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0" w:right="0" w:firstLine="0"/>
        <w:jc w:val="center"/>
        <w:rPr>
          <w:rFonts w:hint="eastAsia" w:ascii="华文中宋" w:hAnsi="华文中宋" w:eastAsia="华文中宋" w:cs="华文中宋"/>
          <w:b/>
          <w:i w:val="0"/>
          <w:caps w:val="0"/>
          <w:color w:val="292934"/>
          <w:spacing w:val="0"/>
          <w:sz w:val="36"/>
          <w:szCs w:val="36"/>
          <w:bdr w:val="none" w:color="auto" w:sz="0" w:space="0"/>
        </w:rPr>
      </w:pPr>
      <w:r>
        <w:rPr>
          <w:rFonts w:hint="eastAsia" w:ascii="华文中宋" w:hAnsi="华文中宋" w:eastAsia="华文中宋" w:cs="华文中宋"/>
          <w:b/>
          <w:i w:val="0"/>
          <w:caps w:val="0"/>
          <w:color w:val="292934"/>
          <w:spacing w:val="0"/>
          <w:sz w:val="36"/>
          <w:szCs w:val="36"/>
          <w:bdr w:val="none" w:color="auto" w:sz="0" w:space="0"/>
        </w:rPr>
        <w:t>经济大省部署2024年重点工作：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0" w:right="0" w:firstLine="0"/>
        <w:jc w:val="center"/>
        <w:rPr>
          <w:rFonts w:hint="eastAsia" w:ascii="华文中宋" w:hAnsi="华文中宋" w:eastAsia="华文中宋" w:cs="华文中宋"/>
          <w:b/>
          <w:i w:val="0"/>
          <w:caps w:val="0"/>
          <w:color w:val="292934"/>
          <w:spacing w:val="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i w:val="0"/>
          <w:caps w:val="0"/>
          <w:color w:val="292934"/>
          <w:spacing w:val="0"/>
          <w:sz w:val="36"/>
          <w:szCs w:val="36"/>
          <w:bdr w:val="none" w:color="auto" w:sz="0" w:space="0"/>
        </w:rPr>
        <w:t>抓住宏观政策加力机遇 大力发展新质生产力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近日，江苏、山东、浙江、四川、河南等经济大省陆续召开省委经济工作会议，对2024年的重点工作做出部署。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21世纪经济报道记者梳理发现，部分经济大省有望圆满实现2023年年初预期目标，但是部分受出口、房地产市场等拖累，距离2023年预期目标仍有差距。部分省份明确表示，“经济大省要真正挑起大梁”体现在坚决完成2024年增长目标上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从目前部署来看，2024年各省经济仍处在“恢复期”，部分省份提出要抓住全球创新变革、国家战略叠加、宏观政策加力机遇，用好专项债、国债等多重政策工具，推动经济更好恢复。以科技创新引领现代化产业体系建设、扩大消费和投资、推进新型城镇化和乡村全面振兴、推进绿色低碳发展、保障和改善民生等，均是各大省普遍提及的重点工作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caps w:val="0"/>
          <w:color w:val="292934"/>
          <w:spacing w:val="0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i w:val="0"/>
          <w:caps w:val="0"/>
          <w:color w:val="292934"/>
          <w:spacing w:val="0"/>
          <w:sz w:val="28"/>
          <w:szCs w:val="28"/>
          <w:bdr w:val="none" w:color="auto" w:sz="0" w:space="0"/>
          <w:shd w:val="clear" w:fill="FFFFFF"/>
        </w:rPr>
        <w:t>抓住宏观政策加力机遇期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四川省委经济工作会议指出，从四川省运行态势看，经济运行整体仍处于恢复期，持续向好基础尚不稳固，必须紧紧抓住经济结构调整窗口期，推动经济增长方式和动力结构加快转化。特别是多重国家战略在四川省交汇叠加，每个战略背后都蕴含着大量的政策、项目、资金支持，尤其这次中央经济工作会议提出的政策举措含金量高，必将为四川省现代化建设增添新动力、拓展新空间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浙江省委经济工作会议指出，要全面把握发展的“时”与“势”，抢抓全球创新变革、国家战略叠加、宏观政策加力机遇，提振信心、奋发有为，采取更加精准务实有效的措施，更大力度激发全社会创新创业澎湃动力，更大力度鼓励民营企业、基层等增强活性、敢闯敢试，扎实推进安全发展、高质量发展、可持续发展，真正扛起经济大省挑大梁的责任担当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据市场机构预判，2023年我国经济有望实现5.2%左右的增长，能顺利完成年初5%左右的增长目标。但是，5.2%的增长是建立在上年3%的较低基数之上，这意味着2022、2023年两年平均增速大概为4.1%，距离回归潜在经济增速（5%—5.5%）仍有一定差距。为此，中央明确2024年要加大宏观调控力度，其中积极财政政策要适度加力。市场机构普遍预计，2024年赤字率可能略超3%，新增地方专项债券规模在4万亿元左右。与此同时，中央财政决定在2023年四季度增发万亿国债，近期国家发展改革委陆续对外公布前两批项目清单，这意味着万亿资金更多将在2024年使用，推动2024年经济更快恢复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不仅要用好国家出台的政策，2024年各地也将出台更多积极政策。江苏省委经济工作会议指出，2024年要着力强化经济运行科学调度。综合施策、精准发力，实打实地帮助企业排忧解难，不折不扣落实好各项惠企政策，适时出台一批针对性强的新政策，为经济恢复注入新动力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浙江省委经济工作会议指出，要坚持政策聚焦稳增长，强化政策统筹，多出台有利于稳预期、稳增长、稳就业的政策，不出收缩性政策，迭代升级“8+4”经济政策体系，扩大有效投资，发挥重大项目“压舱石”作用，着力扩大消费，巩固外贸外资基本盘；党政机关要习惯过紧日子，把资金用在促进高质量发展“刀刃”上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caps w:val="0"/>
          <w:color w:val="292934"/>
          <w:spacing w:val="0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i w:val="0"/>
          <w:caps w:val="0"/>
          <w:color w:val="292934"/>
          <w:spacing w:val="0"/>
          <w:sz w:val="28"/>
          <w:szCs w:val="28"/>
          <w:bdr w:val="none" w:color="auto" w:sz="0" w:space="0"/>
          <w:shd w:val="clear" w:fill="FFFFFF"/>
        </w:rPr>
        <w:t>以科技创新引领现代化产业体系建设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经济大省在部署2024年重点工作时，给予科技创新、打造现代化产业体系等以突出地位。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江苏表示，2024年要着力推动科技自立自强，把产业科技创新作为主攻方向，构建“从0到1”基础研究、“从1到100”工程化和产业化突破、“从100到10000”产业化加速的全链条创新生态体系。要着力构建现代化产业体系，持续推进制造业集群发展和数字化、服务化转型，强化战略性新兴产业领先发展，积极布局发展未来产业，加快形成新质生产力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浙江表示，要聚焦聚力建设浙江特色现代化产业体系，扎实推进新型工业化，深入实施数字经济创新提质“一号发展工程”、“415X”先进制造业集群培育工程、服务业高质量发展“百千万”工程，大力发展壮大数字经济，促进制造业集群式、高端化发展，加快传统产业转型升级，推动先进制造业和现代服务业深度融合，加快打造全球先进制造业基地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河南表示，要持续实施创新驱动、科教兴省、人才强省战略，布局建设重大科技基础设施，完善高能级创新平台体系，强化企业创新主体地位，争创国家吸引集聚人才平台。大力发展新质生产力，加快传统产业延链升链、新兴产业补链强链、未来产业建链成链，建设数字基础设施体系，促进制造业服务业深度融合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四川表示，要以科技创新引领现代化产业体系建设，加快形成新质生产力。提升科技创新内核能级，聚焦强化国家战略科技力量，加强应用基础研究和前沿研究，更好增强科技创新源动力。打造一流创新生态，强化企业创新主体地位，布局建设一批中试熟化平台、技术转移机构和新型研发机构，让更多科研成果从样品到产品、从实验室走向生产车间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中央财办有关负责人在解读2023年中央经济工作会议精神时表示，新质生产力是由技术革命性突破、生产要素创新性配置、产业深度转型升级而催生的当代先进生产力。要加快培育新质生产力，要畅通教育、科技、人才的良性循环，弘扬科学家精神和企业家精神；加快完善新型举国体制，发挥好政府的战略导向作用，让企业真正成为创新主体；支持战略性新兴产业和未来产业发展，激励企业加快数智化转型；健全要素参与收入分配机制，激发劳动、知识、技术、管理、数据和资本等生产要素活力；加快建设全国统一大市场，扩大高水平对外开放，发挥超大规模市场优势，形成具有全球竞争力的开放创新生态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caps w:val="0"/>
          <w:color w:val="292934"/>
          <w:spacing w:val="0"/>
          <w:sz w:val="28"/>
          <w:szCs w:val="28"/>
        </w:rPr>
      </w:pPr>
      <w:bookmarkStart w:id="0" w:name="_GoBack"/>
      <w:r>
        <w:rPr>
          <w:rFonts w:hint="eastAsia" w:ascii="华文中宋" w:hAnsi="华文中宋" w:eastAsia="华文中宋" w:cs="华文中宋"/>
          <w:b/>
          <w:bCs/>
          <w:i w:val="0"/>
          <w:caps w:val="0"/>
          <w:color w:val="292934"/>
          <w:spacing w:val="0"/>
          <w:sz w:val="28"/>
          <w:szCs w:val="28"/>
          <w:bdr w:val="none" w:color="auto" w:sz="0" w:space="0"/>
          <w:shd w:val="clear" w:fill="FFFFFF"/>
        </w:rPr>
        <w:t>促消费、扩投资、稳楼市、推进新型城镇化等</w:t>
      </w:r>
    </w:p>
    <w:bookmarkEnd w:id="0"/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各经济大省还明确了2024年扩内需的重点工作。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山东表示，2024年在扩大有效需求上塑造新优势。加快汽车消费扩容，促进家居消费升级，深挖养老消费潜力，加快构建房地产发展新模式，拓展互联网消费空间，提升文旅消费水平。要抓实抓细消费潜力持续扩大，新能源汽车等大宗消费、新型消费、载体升级和消费下沉要有新起色。继续把扩大有效投资摆在重要位置，聚焦重点领域，突出项目化推进、市场化运作、精准化保障、多元化招引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河南表示，要构建现代综合交通运输体系，完善集疏运体系，强化物流拉动，做强国际空港，做大国际陆港，做实内河航运，加快把交通区位优势转变为枢纽优势、竞争优势。持续实施以人为核心的新型城镇化战略，推动郑州国家中心城市提质进位，加快副中心城市培育壮大，促进中心城市提级扩能，推进以县城为重要载体的新型城镇化建设，实施城市更新行动，促进房地产市场平稳健康发展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四川表示，要有效扩大消费和投资，充分释放内需潜力。推动消费持续恢复，开展“消费促进年”系列活动，培育壮大新型消费，大力发展数字消费、绿色消费、健康消费，积极培育新的消费增长点；稳定和扩大传统消费，优化消费环境，增强居民消费能力。着力扩大有效投资，推动储备项目接续早投、新建项目早开快投、在建项目快建多投、竣工项目投产达效。千方百计扩大民间投资，深入落实促进民间投资的政策措施，实施政府和社会资本合作新机制，持续激发民间投资活力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四川还表示，坚持“一城一策”优化房地产调控政策，多措并举满足群众多样化多元化住房需求，一视同仁满足不同所有制房地产企业的合理融资需求，加快构建房地产发展新模式，促进房地产市场平稳健康发展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有区域经济研究者对21世纪经济报道记者表示，中央经济工作会议指出，要把推进新型城镇化和乡村全面振兴有机结合起来，促进各类要素双向流动。当前我国常住人口城镇化率与户籍人口城镇化率的差距为17个百分点，通过提高市民化水平，能释放巨大的需求。与此同时，当前城镇对于乡村虽然仍有较大的虹吸效应，但是乡村全面振兴也需要资金、技术、人才等支持，乡村振兴也会孕育大量的产业和基建投资机会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92934"/>
          <w:spacing w:val="0"/>
          <w:sz w:val="21"/>
          <w:szCs w:val="21"/>
          <w:bdr w:val="none" w:color="auto" w:sz="0" w:space="0"/>
          <w:shd w:val="clear" w:fill="FFFFFF"/>
        </w:rPr>
        <w:t>中国城市和小城镇改革发展中心研究员冯奎表示，城镇化高质量发展，需要各种空间载体“各美其美”。城市群是中国城镇化的主体，中国19个城市群以及其内外部的40多座都市圈的人口和经济份额占到总量的70%以上，未来还会增加。县城的作用也需要进一步上升，县城的发展既是城镇化的任务，也是乡村振兴的要求。当前，县城人均市政公用设施固定投资大致相当于地级及以上城市城区的1/2，医疗、养老、垃圾与污水处理、公厕、物流设施等都有短板，县城补短板能形成有效投资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D66BDD"/>
    <w:rsid w:val="21D6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2024-02-18T09:55:00Z</dcterms:created>
  <dc:creator>admin</dc:creator>
  <cp:lastModifiedBy>admin</cp:lastModifiedBy>
  <dcterms:modified xsi:type="dcterms:W3CDTF">2024-02-18T09:56:29Z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2052-11.8.2.9068</vt:lpwstr>
  </property>
</Properties>
</file>