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1" w:line="223" w:lineRule="auto"/>
        <w:jc w:val="both"/>
        <w:outlineLvl w:val="0"/>
        <w:rPr>
          <w:rFonts w:hint="default" w:ascii="仿宋" w:hAnsi="仿宋" w:eastAsia="仿宋" w:cs="仿宋"/>
          <w:b w:val="0"/>
          <w:bCs w:val="0"/>
          <w:color w:val="auto"/>
          <w:spacing w:val="7"/>
          <w:sz w:val="34"/>
          <w:szCs w:val="34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 w:val="0"/>
          <w:bCs w:val="0"/>
          <w:color w:val="auto"/>
          <w:spacing w:val="7"/>
          <w:sz w:val="34"/>
          <w:szCs w:val="34"/>
          <w:lang w:val="en-US" w:eastAsia="zh-CN"/>
        </w:rPr>
        <w:t>附件：2</w:t>
      </w:r>
    </w:p>
    <w:p>
      <w:pPr>
        <w:spacing w:before="81" w:line="223" w:lineRule="auto"/>
        <w:jc w:val="center"/>
        <w:outlineLvl w:val="0"/>
        <w:rPr>
          <w:rFonts w:hint="eastAsia" w:ascii="宋体" w:hAnsi="宋体" w:eastAsia="宋体" w:cs="宋体"/>
          <w:b/>
          <w:bCs/>
          <w:color w:val="auto"/>
          <w:spacing w:val="7"/>
          <w:sz w:val="39"/>
          <w:szCs w:val="39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7"/>
          <w:sz w:val="44"/>
          <w:szCs w:val="44"/>
          <w:lang w:val="en-US" w:eastAsia="zh-CN"/>
        </w:rPr>
        <w:t>家具采购报价函</w:t>
      </w:r>
    </w:p>
    <w:p>
      <w:pPr>
        <w:spacing w:before="81" w:line="223" w:lineRule="auto"/>
        <w:jc w:val="center"/>
        <w:outlineLvl w:val="0"/>
        <w:rPr>
          <w:rFonts w:hint="eastAsia" w:ascii="宋体" w:hAnsi="宋体" w:eastAsia="宋体" w:cs="宋体"/>
          <w:b/>
          <w:bCs/>
          <w:color w:val="auto"/>
          <w:spacing w:val="7"/>
          <w:sz w:val="39"/>
          <w:szCs w:val="39"/>
          <w:lang w:val="en-US" w:eastAsia="zh-CN"/>
        </w:rPr>
      </w:pPr>
    </w:p>
    <w:p>
      <w:pPr>
        <w:spacing w:before="81" w:line="223" w:lineRule="auto"/>
        <w:jc w:val="both"/>
        <w:outlineLvl w:val="0"/>
        <w:rPr>
          <w:rFonts w:hint="eastAsia" w:ascii="仿宋" w:hAnsi="仿宋" w:eastAsia="仿宋" w:cs="仿宋"/>
          <w:b w:val="0"/>
          <w:bCs w:val="0"/>
          <w:color w:val="auto"/>
          <w:spacing w:val="7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7"/>
          <w:sz w:val="34"/>
          <w:szCs w:val="34"/>
          <w:lang w:val="en-US" w:eastAsia="zh-CN"/>
        </w:rPr>
        <w:t>广东南方报业传媒集团物业管理有限公司：</w:t>
      </w:r>
    </w:p>
    <w:p>
      <w:pPr>
        <w:spacing w:before="81" w:line="223" w:lineRule="auto"/>
        <w:ind w:firstLine="708" w:firstLineChars="200"/>
        <w:jc w:val="both"/>
        <w:outlineLvl w:val="0"/>
        <w:rPr>
          <w:rFonts w:ascii="宋体" w:hAnsi="宋体" w:eastAsia="宋体" w:cs="宋体"/>
          <w:b/>
          <w:bCs/>
          <w:color w:val="auto"/>
          <w:spacing w:val="7"/>
          <w:sz w:val="39"/>
          <w:szCs w:val="39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7"/>
          <w:sz w:val="34"/>
          <w:szCs w:val="34"/>
          <w:lang w:val="en-US" w:eastAsia="zh-CN"/>
        </w:rPr>
        <w:t>经认真阅读本项目采购公告，我司符合相关资格条件，并已完全了解采购公告的相关内容，承诺按照采购公告的要求提供产品和服务，现按人民币报价如下：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spacing w:line="49" w:lineRule="auto"/>
        <w:rPr>
          <w:rFonts w:ascii="Arial"/>
          <w:color w:val="auto"/>
          <w:sz w:val="2"/>
        </w:rPr>
      </w:pPr>
    </w:p>
    <w:tbl>
      <w:tblPr>
        <w:tblStyle w:val="4"/>
        <w:tblW w:w="5153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2"/>
        <w:gridCol w:w="750"/>
        <w:gridCol w:w="1167"/>
        <w:gridCol w:w="570"/>
        <w:gridCol w:w="2039"/>
        <w:gridCol w:w="496"/>
        <w:gridCol w:w="757"/>
        <w:gridCol w:w="814"/>
        <w:gridCol w:w="344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42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230" w:lineRule="auto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5"/>
                <w:sz w:val="18"/>
                <w:szCs w:val="18"/>
              </w:rPr>
              <w:t>序号</w:t>
            </w:r>
          </w:p>
        </w:tc>
        <w:tc>
          <w:tcPr>
            <w:tcW w:w="355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1" w:line="230" w:lineRule="auto"/>
              <w:jc w:val="center"/>
              <w:rPr>
                <w:rFonts w:ascii="宋体" w:hAnsi="宋体" w:eastAsia="宋体" w:cs="宋体"/>
                <w:color w:val="auto"/>
                <w:spacing w:val="6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6"/>
                <w:sz w:val="18"/>
                <w:szCs w:val="18"/>
              </w:rPr>
              <w:t>项目</w:t>
            </w:r>
          </w:p>
          <w:p>
            <w:pPr>
              <w:spacing w:before="61" w:line="230" w:lineRule="auto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6"/>
                <w:sz w:val="18"/>
                <w:szCs w:val="18"/>
              </w:rPr>
              <w:t>名称</w:t>
            </w:r>
          </w:p>
        </w:tc>
        <w:tc>
          <w:tcPr>
            <w:tcW w:w="552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229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18"/>
                <w:szCs w:val="18"/>
                <w:lang w:val="en-US" w:eastAsia="zh-CN"/>
              </w:rPr>
              <w:t>规格</w:t>
            </w:r>
          </w:p>
        </w:tc>
        <w:tc>
          <w:tcPr>
            <w:tcW w:w="270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230" w:lineRule="auto"/>
              <w:jc w:val="center"/>
              <w:rPr>
                <w:rFonts w:hint="default" w:ascii="宋体" w:hAnsi="宋体" w:eastAsia="宋体" w:cs="宋体"/>
                <w:color w:val="auto"/>
                <w:spacing w:val="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18"/>
                <w:szCs w:val="18"/>
                <w:lang w:val="en-US" w:eastAsia="zh-CN"/>
              </w:rPr>
              <w:t>单位</w:t>
            </w:r>
          </w:p>
        </w:tc>
        <w:tc>
          <w:tcPr>
            <w:tcW w:w="965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230" w:lineRule="auto"/>
              <w:jc w:val="center"/>
              <w:rPr>
                <w:rFonts w:hint="default" w:ascii="宋体" w:hAnsi="宋体" w:eastAsia="宋体" w:cs="宋体"/>
                <w:color w:val="auto"/>
                <w:spacing w:val="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18"/>
                <w:szCs w:val="18"/>
                <w:lang w:val="en-US" w:eastAsia="zh-CN"/>
              </w:rPr>
              <w:t>图例</w:t>
            </w:r>
          </w:p>
        </w:tc>
        <w:tc>
          <w:tcPr>
            <w:tcW w:w="979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spacing w:before="73" w:line="229" w:lineRule="auto"/>
              <w:jc w:val="both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auto"/>
                <w:spacing w:val="5"/>
                <w:sz w:val="18"/>
                <w:szCs w:val="18"/>
              </w:rPr>
              <w:t>金额（元）</w:t>
            </w:r>
          </w:p>
        </w:tc>
        <w:tc>
          <w:tcPr>
            <w:tcW w:w="1633" w:type="pct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bidi w:val="0"/>
              <w:jc w:val="center"/>
              <w:rPr>
                <w:rFonts w:hint="default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材质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24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5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5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5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234" w:line="227" w:lineRule="auto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18"/>
                <w:szCs w:val="18"/>
                <w:lang w:val="en-US" w:eastAsia="zh-CN"/>
              </w:rPr>
              <w:t>数量</w:t>
            </w:r>
          </w:p>
        </w:tc>
        <w:tc>
          <w:tcPr>
            <w:tcW w:w="3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230" w:lineRule="auto"/>
              <w:jc w:val="center"/>
              <w:rPr>
                <w:rFonts w:hint="eastAsia" w:ascii="宋体" w:hAnsi="宋体" w:eastAsia="宋体" w:cs="宋体"/>
                <w:color w:val="auto"/>
                <w:spacing w:val="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18"/>
                <w:szCs w:val="18"/>
                <w:lang w:val="en-US" w:eastAsia="zh-CN"/>
              </w:rPr>
              <w:t>单价</w:t>
            </w:r>
          </w:p>
          <w:p>
            <w:pPr>
              <w:spacing w:before="62" w:line="230" w:lineRule="auto"/>
              <w:jc w:val="center"/>
              <w:rPr>
                <w:rFonts w:hint="default" w:ascii="宋体" w:hAnsi="宋体" w:eastAsia="宋体" w:cs="宋体"/>
                <w:color w:val="auto"/>
                <w:spacing w:val="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18"/>
                <w:szCs w:val="18"/>
                <w:lang w:val="en-US" w:eastAsia="zh-CN"/>
              </w:rPr>
              <w:t>（含税）</w:t>
            </w:r>
          </w:p>
        </w:tc>
        <w:tc>
          <w:tcPr>
            <w:tcW w:w="38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230" w:lineRule="auto"/>
              <w:jc w:val="center"/>
              <w:rPr>
                <w:rFonts w:hint="eastAsia" w:ascii="宋体" w:hAnsi="宋体" w:eastAsia="宋体" w:cs="宋体"/>
                <w:color w:val="auto"/>
                <w:spacing w:val="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18"/>
                <w:szCs w:val="18"/>
                <w:lang w:val="en-US" w:eastAsia="zh-CN"/>
              </w:rPr>
              <w:t>小计</w:t>
            </w:r>
          </w:p>
          <w:p>
            <w:pPr>
              <w:spacing w:before="62" w:line="230" w:lineRule="auto"/>
              <w:jc w:val="center"/>
              <w:rPr>
                <w:rFonts w:hint="eastAsia" w:ascii="宋体" w:hAnsi="宋体" w:eastAsia="宋体" w:cs="宋体"/>
                <w:color w:val="auto"/>
                <w:spacing w:val="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18"/>
                <w:szCs w:val="18"/>
                <w:lang w:val="en-US" w:eastAsia="zh-CN"/>
              </w:rPr>
              <w:t>（含税）</w:t>
            </w:r>
          </w:p>
        </w:tc>
        <w:tc>
          <w:tcPr>
            <w:tcW w:w="1633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spacing w:before="66" w:line="230" w:lineRule="auto"/>
              <w:jc w:val="center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24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5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床</w:t>
            </w:r>
          </w:p>
        </w:tc>
        <w:tc>
          <w:tcPr>
            <w:tcW w:w="11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1.主材为橡木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2.床板为高密度板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sz w:val="22"/>
                <w:szCs w:val="22"/>
                <w:shd w:val="clear" w:fill="FFFFFF"/>
              </w:rPr>
              <w:t>（厚度≥2cm）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3.W2000*D1500*H1030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4.不含床垫</w:t>
            </w:r>
          </w:p>
        </w:tc>
        <w:tc>
          <w:tcPr>
            <w:tcW w:w="27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张</w:t>
            </w:r>
          </w:p>
        </w:tc>
        <w:tc>
          <w:tcPr>
            <w:tcW w:w="96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5"/>
              <w:spacing w:line="246" w:lineRule="auto"/>
              <w:rPr>
                <w:color w:val="auto"/>
                <w:sz w:val="21"/>
                <w:szCs w:val="21"/>
              </w:rPr>
            </w:pPr>
          </w:p>
          <w:p>
            <w:pPr>
              <w:pStyle w:val="5"/>
              <w:spacing w:line="246" w:lineRule="auto"/>
              <w:rPr>
                <w:color w:val="auto"/>
                <w:sz w:val="21"/>
                <w:szCs w:val="21"/>
              </w:rPr>
            </w:pPr>
          </w:p>
          <w:p>
            <w:pPr>
              <w:spacing w:before="61" w:line="190" w:lineRule="auto"/>
              <w:ind w:right="11"/>
              <w:jc w:val="righ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116840</wp:posOffset>
                  </wp:positionV>
                  <wp:extent cx="1104265" cy="651510"/>
                  <wp:effectExtent l="0" t="0" r="635" b="15240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265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1" w:line="190" w:lineRule="auto"/>
              <w:ind w:right="7" w:right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3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1" w:line="190" w:lineRule="auto"/>
              <w:ind w:right="7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1" w:line="190" w:lineRule="auto"/>
              <w:ind w:right="2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34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5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材质：优质进口橡木，表面深浅交错，纹路清晰，原始美感，所有木材都经过蒸压煮、烘干、杀菌、杀虫处理，木材不变形、生虫、不带有害气体，含水率达国家标准的9%到6%；油漆采用符合国家环保标准的无苯油漆，油漆无颗粒、气泡、渣点，颜色均匀，无异味；优质五金配件。                                                                                             颜色：橡木原木色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6" w:hRule="atLeast"/>
        </w:trPr>
        <w:tc>
          <w:tcPr>
            <w:tcW w:w="24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5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床头柜</w:t>
            </w:r>
          </w:p>
        </w:tc>
        <w:tc>
          <w:tcPr>
            <w:tcW w:w="11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1.1.主材为橡木</w:t>
            </w:r>
          </w:p>
          <w:p>
            <w:pPr>
              <w:pStyle w:val="5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2.400*350*500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7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张</w:t>
            </w:r>
          </w:p>
        </w:tc>
        <w:tc>
          <w:tcPr>
            <w:tcW w:w="96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5"/>
              <w:spacing w:line="299" w:lineRule="auto"/>
              <w:rPr>
                <w:color w:val="auto"/>
                <w:sz w:val="21"/>
                <w:szCs w:val="21"/>
              </w:rPr>
            </w:pPr>
          </w:p>
          <w:p>
            <w:pPr>
              <w:spacing w:before="62" w:line="190" w:lineRule="auto"/>
              <w:ind w:right="11"/>
              <w:jc w:val="righ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297180</wp:posOffset>
                  </wp:positionV>
                  <wp:extent cx="955040" cy="648335"/>
                  <wp:effectExtent l="0" t="0" r="16510" b="18415"/>
                  <wp:wrapNone/>
                  <wp:docPr id="2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5040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189" w:lineRule="auto"/>
              <w:ind w:right="7" w:right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3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189" w:lineRule="auto"/>
              <w:ind w:right="7"/>
              <w:jc w:val="center"/>
              <w:rPr>
                <w:rFonts w:hint="eastAsia" w:ascii="仿宋" w:hAnsi="仿宋" w:eastAsia="仿宋" w:cs="仿宋"/>
                <w:color w:val="auto"/>
                <w:spacing w:val="3"/>
                <w:sz w:val="21"/>
                <w:szCs w:val="21"/>
              </w:rPr>
            </w:pPr>
          </w:p>
        </w:tc>
        <w:tc>
          <w:tcPr>
            <w:tcW w:w="38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189" w:lineRule="auto"/>
              <w:ind w:right="2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5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材质：优质进口橡木，表面深浅交错，纹路清晰，原始美感，所有木材都经过蒸压煮、烘干、杀菌、杀虫处理，木材不变形、生虫、不带有害气体，含水率达国家标准的9%到6%；油漆采用符合国家环保标准的无苯油漆，油漆无颗粒、气泡、渣点，颜色均匀，无异味；优质五金配件。                                                                                             颜色：橡木原木色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24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5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5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衣柜</w:t>
            </w:r>
          </w:p>
        </w:tc>
        <w:tc>
          <w:tcPr>
            <w:tcW w:w="11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E1板衣柜</w:t>
            </w:r>
          </w:p>
          <w:p>
            <w:pPr>
              <w:pStyle w:val="5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1200W*550D*2200 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带柜顶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4.推拉门设计</w:t>
            </w:r>
          </w:p>
        </w:tc>
        <w:tc>
          <w:tcPr>
            <w:tcW w:w="27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5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套</w:t>
            </w:r>
          </w:p>
        </w:tc>
        <w:tc>
          <w:tcPr>
            <w:tcW w:w="96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spacing w:before="62" w:line="190" w:lineRule="auto"/>
              <w:ind w:right="11" w:rightChars="0"/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drawing>
                <wp:inline distT="0" distB="0" distL="114300" distR="114300">
                  <wp:extent cx="824230" cy="824230"/>
                  <wp:effectExtent l="0" t="0" r="13970" b="13970"/>
                  <wp:docPr id="10" name="图片 10" descr="10b1a50d88b1f04a8c06d520859b8d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10b1a50d88b1f04a8c06d520859b8d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230" cy="824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189" w:lineRule="auto"/>
              <w:ind w:right="7" w:right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3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189" w:lineRule="auto"/>
              <w:ind w:right="7" w:right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spacing w:val="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190" w:lineRule="auto"/>
              <w:ind w:right="2" w:right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5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板材：采用优质E1级实木颗粒板基材，表面实木贴面，表面环保水性油漆饰面，具有防水防烫、防污、防酸、防碱;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门板/层板厚度≥2cm,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优质五金配件。                                                                                             颜色：橡木原木色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24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5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沙发</w:t>
            </w:r>
          </w:p>
        </w:tc>
        <w:tc>
          <w:tcPr>
            <w:tcW w:w="11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三人位实木沙发（橡木）</w:t>
            </w:r>
          </w:p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2.2040*860*890</w:t>
            </w:r>
          </w:p>
          <w:p>
            <w:pPr>
              <w:pStyle w:val="5"/>
              <w:jc w:val="left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3.软包可拆卸</w:t>
            </w:r>
          </w:p>
        </w:tc>
        <w:tc>
          <w:tcPr>
            <w:tcW w:w="27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套</w:t>
            </w:r>
          </w:p>
        </w:tc>
        <w:tc>
          <w:tcPr>
            <w:tcW w:w="96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5"/>
              <w:spacing w:line="268" w:lineRule="auto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104775</wp:posOffset>
                  </wp:positionV>
                  <wp:extent cx="1226820" cy="793115"/>
                  <wp:effectExtent l="0" t="0" r="11430" b="6985"/>
                  <wp:wrapNone/>
                  <wp:docPr id="12" name="图片 12" descr="bf5b422f3ee25e221df6a56f27a2fd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bf5b422f3ee25e221df6a56f27a2fd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820" cy="793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5"/>
              <w:spacing w:line="268" w:lineRule="auto"/>
              <w:rPr>
                <w:color w:val="auto"/>
                <w:sz w:val="21"/>
                <w:szCs w:val="21"/>
              </w:rPr>
            </w:pPr>
          </w:p>
          <w:p>
            <w:pPr>
              <w:spacing w:before="62" w:line="190" w:lineRule="auto"/>
              <w:ind w:right="11" w:rightChars="0"/>
              <w:jc w:val="right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3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1" w:line="190" w:lineRule="auto"/>
              <w:ind w:right="7" w:right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3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1" w:line="190" w:lineRule="auto"/>
              <w:ind w:right="7" w:right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1" w:line="190" w:lineRule="auto"/>
              <w:ind w:right="7" w:right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5"/>
              <w:jc w:val="left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材质：优质进口橡木，表面深浅交错，纹路清晰，原始美感，所有木材都经过蒸压煮、烘干、杀菌、杀虫处理，木材不变形、生虫、不带有害气体，含水率达国家标准的9%到6%；油漆采用符合国家环保标准的无苯油漆，油漆无颗粒、气泡、渣点，颜色均匀，无异味；优质五金配件。                                                                                             颜色：橡木原木色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24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5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茶几</w:t>
            </w:r>
          </w:p>
        </w:tc>
        <w:tc>
          <w:tcPr>
            <w:tcW w:w="11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1.实木（橡木）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120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*60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*50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7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套</w:t>
            </w:r>
          </w:p>
        </w:tc>
        <w:tc>
          <w:tcPr>
            <w:tcW w:w="96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5"/>
              <w:spacing w:line="351" w:lineRule="auto"/>
              <w:rPr>
                <w:color w:val="auto"/>
                <w:sz w:val="21"/>
                <w:szCs w:val="21"/>
              </w:rPr>
            </w:pPr>
          </w:p>
          <w:p>
            <w:pPr>
              <w:spacing w:before="61" w:line="190" w:lineRule="auto"/>
              <w:ind w:right="11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55880</wp:posOffset>
                  </wp:positionH>
                  <wp:positionV relativeFrom="paragraph">
                    <wp:posOffset>222885</wp:posOffset>
                  </wp:positionV>
                  <wp:extent cx="989330" cy="781685"/>
                  <wp:effectExtent l="0" t="0" r="1270" b="18415"/>
                  <wp:wrapNone/>
                  <wp:docPr id="4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9330" cy="781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1" w:line="189" w:lineRule="auto"/>
              <w:ind w:right="7" w:right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3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1" w:line="189" w:lineRule="auto"/>
              <w:ind w:right="7"/>
              <w:jc w:val="center"/>
              <w:rPr>
                <w:rFonts w:hint="eastAsia" w:ascii="仿宋" w:hAnsi="仿宋" w:eastAsia="仿宋" w:cs="仿宋"/>
                <w:color w:val="auto"/>
                <w:spacing w:val="2"/>
                <w:sz w:val="21"/>
                <w:szCs w:val="21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1" w:line="190" w:lineRule="auto"/>
              <w:ind w:right="2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5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材质：优质进口橡木，表面深浅交错，纹路清晰，原始美感，所有木材都经过蒸压煮、烘干、杀菌、杀虫处理，木材不变形、生虫、不带有害气体，含水率达国家标准的9%到6%；油漆采用符合国家环保标准的无苯油漆，油漆无颗粒、气泡、渣点，颜色均匀，无异味；优质五金配件。                                                                                             颜色：橡木原木色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3" w:hRule="atLeast"/>
        </w:trPr>
        <w:tc>
          <w:tcPr>
            <w:tcW w:w="24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5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5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餐桌、椅子</w:t>
            </w:r>
          </w:p>
        </w:tc>
        <w:tc>
          <w:tcPr>
            <w:tcW w:w="11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1.实木（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橡木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）</w:t>
            </w:r>
          </w:p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2.餐桌可伸缩，（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90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0-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120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*80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*75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0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3.每个餐桌配2把椅子</w:t>
            </w:r>
          </w:p>
        </w:tc>
        <w:tc>
          <w:tcPr>
            <w:tcW w:w="27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96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5"/>
              <w:spacing w:line="303" w:lineRule="auto"/>
              <w:rPr>
                <w:color w:val="auto"/>
                <w:sz w:val="21"/>
                <w:szCs w:val="21"/>
              </w:rPr>
            </w:pPr>
          </w:p>
          <w:p>
            <w:pPr>
              <w:spacing w:before="62" w:line="190" w:lineRule="auto"/>
              <w:ind w:right="11"/>
              <w:jc w:val="righ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198755</wp:posOffset>
                  </wp:positionV>
                  <wp:extent cx="993775" cy="800100"/>
                  <wp:effectExtent l="0" t="0" r="15875" b="0"/>
                  <wp:wrapNone/>
                  <wp:docPr id="5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7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190" w:lineRule="auto"/>
              <w:ind w:right="7" w:right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3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190" w:lineRule="auto"/>
              <w:ind w:right="7"/>
              <w:jc w:val="center"/>
              <w:rPr>
                <w:rFonts w:hint="eastAsia" w:ascii="仿宋" w:hAnsi="仿宋" w:eastAsia="仿宋" w:cs="仿宋"/>
                <w:color w:val="auto"/>
                <w:spacing w:val="-2"/>
                <w:sz w:val="21"/>
                <w:szCs w:val="21"/>
                <w:lang w:val="en-US" w:eastAsia="zh-CN"/>
              </w:rPr>
            </w:pPr>
          </w:p>
        </w:tc>
        <w:tc>
          <w:tcPr>
            <w:tcW w:w="38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189" w:lineRule="auto"/>
              <w:ind w:right="2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4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5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材质：优质进口橡木，表面深浅交错，纹路清晰，原始美感，所有木材都经过蒸压煮、烘干、杀菌、杀虫处理，木材不变形、生虫、不带有害气体，含水率达国家标准的9%到6%；油漆采用符合国家环保标准的无苯油漆，油漆无颗粒、气泡、渣点，颜色均匀，无异味；优质五金配件。                                                                                             颜色：橡木原木色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3" w:hRule="atLeast"/>
        </w:trPr>
        <w:tc>
          <w:tcPr>
            <w:tcW w:w="2386" w:type="pct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190" w:lineRule="auto"/>
              <w:ind w:right="11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该项目总报价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元（含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%增值税率）</w:t>
            </w:r>
          </w:p>
        </w:tc>
        <w:tc>
          <w:tcPr>
            <w:tcW w:w="2613" w:type="pct"/>
            <w:gridSpan w:val="4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报价单位：                      （加盖公章）</w:t>
            </w:r>
          </w:p>
          <w:p>
            <w:pPr>
              <w:pStyle w:val="5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5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项目负责人：                      </w:t>
            </w:r>
          </w:p>
          <w:p>
            <w:pPr>
              <w:pStyle w:val="5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5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联系方式 ：                      </w:t>
            </w:r>
          </w:p>
          <w:p>
            <w:pPr>
              <w:pStyle w:val="5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  <w:p>
            <w:pPr>
              <w:pStyle w:val="5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报价日期：202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年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 月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3" w:hRule="atLeast"/>
        </w:trPr>
        <w:tc>
          <w:tcPr>
            <w:tcW w:w="2386" w:type="pct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190" w:lineRule="auto"/>
              <w:ind w:right="11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供货期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日历天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（合同签订后30个日历天内完成货物生产，并按照甲方指定的时间进行送货及安装。）</w:t>
            </w:r>
          </w:p>
        </w:tc>
        <w:tc>
          <w:tcPr>
            <w:tcW w:w="2613" w:type="pct"/>
            <w:gridSpan w:val="4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3" w:hRule="atLeast"/>
        </w:trPr>
        <w:tc>
          <w:tcPr>
            <w:tcW w:w="2386" w:type="pct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2" w:line="190" w:lineRule="auto"/>
              <w:ind w:right="11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备注：</w:t>
            </w:r>
          </w:p>
          <w:p>
            <w:pPr>
              <w:spacing w:before="62" w:line="190" w:lineRule="auto"/>
              <w:ind w:right="11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  1.报价包含产品、运输、安装等一切费用；</w:t>
            </w:r>
          </w:p>
          <w:p>
            <w:pPr>
              <w:spacing w:before="62" w:line="190" w:lineRule="auto"/>
              <w:ind w:right="11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  2.报价产品需满足产品参数要求及尽量接近于参考图片；</w:t>
            </w:r>
          </w:p>
          <w:p>
            <w:pPr>
              <w:spacing w:before="62" w:line="190" w:lineRule="auto"/>
              <w:ind w:right="11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  3.如报价产品参数有偏差，需在备注栏注明具体情况。</w:t>
            </w:r>
          </w:p>
        </w:tc>
        <w:tc>
          <w:tcPr>
            <w:tcW w:w="2613" w:type="pct"/>
            <w:gridSpan w:val="4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</w:tbl>
    <w:p>
      <w:pPr>
        <w:rPr>
          <w:rFonts w:ascii="Arial"/>
          <w:color w:val="auto"/>
          <w:sz w:val="21"/>
          <w:szCs w:val="21"/>
        </w:rPr>
      </w:pPr>
    </w:p>
    <w:bookmarkEnd w:id="0"/>
    <w:sectPr>
      <w:pgSz w:w="11905" w:h="16837"/>
      <w:pgMar w:top="1701" w:right="856" w:bottom="1701" w:left="814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468D7A"/>
    <w:multiLevelType w:val="singleLevel"/>
    <w:tmpl w:val="FB468D7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47947C9"/>
    <w:rsid w:val="0D9102F9"/>
    <w:rsid w:val="11F27EF5"/>
    <w:rsid w:val="16893110"/>
    <w:rsid w:val="1BB44B6D"/>
    <w:rsid w:val="1C871ED2"/>
    <w:rsid w:val="1D5568E0"/>
    <w:rsid w:val="24AE29AE"/>
    <w:rsid w:val="2DDC2373"/>
    <w:rsid w:val="4148142B"/>
    <w:rsid w:val="42DF63E8"/>
    <w:rsid w:val="461660A2"/>
    <w:rsid w:val="46EA75C4"/>
    <w:rsid w:val="4FC32849"/>
    <w:rsid w:val="57BA73FA"/>
    <w:rsid w:val="58426D7D"/>
    <w:rsid w:val="593769A0"/>
    <w:rsid w:val="605E559B"/>
    <w:rsid w:val="6223653C"/>
    <w:rsid w:val="65D249BF"/>
    <w:rsid w:val="68A35522"/>
    <w:rsid w:val="729917D1"/>
    <w:rsid w:val="781E3A25"/>
    <w:rsid w:val="792512B9"/>
    <w:rsid w:val="7AA01FEA"/>
    <w:rsid w:val="7B8D5612"/>
    <w:rsid w:val="7F4777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Office_11.8.2.11542_F1E327BC-269C-435d-A152-05C5408002CA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2025-02-10T10:05:00Z</dcterms:created>
  <dc:creator>Kingsoft-PDF</dc:creator>
  <cp:lastModifiedBy>陈海霞</cp:lastModifiedBy>
  <cp:lastPrinted>2025-05-16T06:02:00Z</cp:lastPrinted>
  <dcterms:modified xsi:type="dcterms:W3CDTF">2025-05-19T01:32:08Z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2025-02-10T10:05:15Z</vt:filetime>
  </property>
  <property fmtid="{D5CDD505-2E9C-101B-9397-08002B2CF9AE}" pid="4" name="UsrData">
    <vt:lpwstr>67a95edb182be6001fddcc2dwl</vt:lpwstr>
  </property>
  <property fmtid="{D5CDD505-2E9C-101B-9397-08002B2CF9AE}" pid="5" name="KSOProductBuildVer">
    <vt:lpwstr>2052-11.8.2.11542</vt:lpwstr>
  </property>
  <property fmtid="{D5CDD505-2E9C-101B-9397-08002B2CF9AE}" pid="6" name="ICV">
    <vt:lpwstr>765C1BAFD5474E6C844807D2A385AD52</vt:lpwstr>
  </property>
</Properties>
</file>