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F18A25">
      <w:pPr>
        <w:spacing w:line="360" w:lineRule="auto"/>
        <w:jc w:val="center"/>
        <w:rPr>
          <w:rFonts w:hint="eastAsia" w:ascii="宋体" w:hAnsi="宋体" w:cs="宋体"/>
          <w:b/>
          <w:bCs/>
          <w:color w:val="auto"/>
          <w:sz w:val="52"/>
          <w:szCs w:val="52"/>
          <w:highlight w:val="none"/>
        </w:rPr>
      </w:pPr>
    </w:p>
    <w:p w14:paraId="6BC5B4DF">
      <w:pPr>
        <w:spacing w:line="360" w:lineRule="auto"/>
        <w:jc w:val="center"/>
        <w:rPr>
          <w:rFonts w:hint="eastAsia" w:ascii="宋体" w:hAnsi="宋体" w:cs="宋体"/>
          <w:b/>
          <w:bCs/>
          <w:color w:val="auto"/>
          <w:sz w:val="52"/>
          <w:szCs w:val="52"/>
          <w:highlight w:val="none"/>
        </w:rPr>
      </w:pPr>
    </w:p>
    <w:p w14:paraId="0B42B3FB">
      <w:pPr>
        <w:spacing w:line="360" w:lineRule="auto"/>
        <w:jc w:val="center"/>
        <w:rPr>
          <w:rFonts w:hint="eastAsia" w:ascii="宋体" w:hAnsi="宋体" w:cs="宋体"/>
          <w:b/>
          <w:bCs/>
          <w:color w:val="auto"/>
          <w:sz w:val="52"/>
          <w:szCs w:val="52"/>
          <w:highlight w:val="none"/>
          <w:lang w:eastAsia="zh-CN"/>
        </w:rPr>
      </w:pPr>
      <w:r>
        <w:rPr>
          <w:rFonts w:hint="eastAsia" w:ascii="宋体" w:hAnsi="宋体" w:cs="宋体"/>
          <w:b/>
          <w:bCs/>
          <w:color w:val="auto"/>
          <w:sz w:val="52"/>
          <w:szCs w:val="52"/>
          <w:highlight w:val="none"/>
          <w:lang w:eastAsia="zh-CN"/>
        </w:rPr>
        <w:t>南方报业传媒集团</w:t>
      </w:r>
    </w:p>
    <w:p w14:paraId="3DFA2061">
      <w:pPr>
        <w:spacing w:line="360" w:lineRule="auto"/>
        <w:jc w:val="center"/>
        <w:rPr>
          <w:rFonts w:hint="eastAsia" w:ascii="宋体" w:hAnsi="宋体" w:eastAsia="宋体" w:cs="宋体"/>
          <w:color w:val="auto"/>
          <w:sz w:val="30"/>
          <w:highlight w:val="none"/>
          <w:lang w:eastAsia="zh-CN"/>
        </w:rPr>
      </w:pPr>
      <w:r>
        <w:rPr>
          <w:rFonts w:hint="eastAsia" w:ascii="宋体" w:hAnsi="宋体" w:cs="宋体"/>
          <w:b/>
          <w:bCs/>
          <w:color w:val="auto"/>
          <w:sz w:val="52"/>
          <w:szCs w:val="52"/>
          <w:highlight w:val="none"/>
          <w:lang w:eastAsia="zh-CN"/>
        </w:rPr>
        <w:t>2025至2026年度安保服务</w:t>
      </w:r>
    </w:p>
    <w:p w14:paraId="21A1614D">
      <w:pPr>
        <w:spacing w:line="360" w:lineRule="auto"/>
        <w:rPr>
          <w:rFonts w:hint="eastAsia" w:ascii="宋体" w:hAnsi="宋体" w:cs="宋体"/>
          <w:color w:val="auto"/>
          <w:sz w:val="30"/>
          <w:highlight w:val="none"/>
        </w:rPr>
      </w:pPr>
    </w:p>
    <w:p w14:paraId="318AA06F">
      <w:pPr>
        <w:spacing w:line="360" w:lineRule="auto"/>
        <w:rPr>
          <w:rFonts w:hint="eastAsia" w:ascii="宋体" w:hAnsi="宋体" w:cs="宋体"/>
          <w:color w:val="auto"/>
          <w:sz w:val="30"/>
          <w:highlight w:val="none"/>
        </w:rPr>
      </w:pPr>
    </w:p>
    <w:p w14:paraId="60563B06">
      <w:pPr>
        <w:spacing w:line="360" w:lineRule="auto"/>
        <w:jc w:val="center"/>
        <w:rPr>
          <w:rFonts w:hint="eastAsia" w:ascii="宋体" w:hAnsi="宋体" w:cs="宋体"/>
          <w:b/>
          <w:color w:val="auto"/>
          <w:spacing w:val="20"/>
          <w:kern w:val="10"/>
          <w:sz w:val="84"/>
          <w:szCs w:val="84"/>
          <w:highlight w:val="none"/>
        </w:rPr>
      </w:pPr>
      <w:r>
        <w:rPr>
          <w:rFonts w:hint="eastAsia" w:ascii="宋体" w:hAnsi="宋体" w:cs="宋体"/>
          <w:b/>
          <w:color w:val="auto"/>
          <w:spacing w:val="20"/>
          <w:kern w:val="10"/>
          <w:sz w:val="84"/>
          <w:szCs w:val="84"/>
          <w:highlight w:val="none"/>
        </w:rPr>
        <w:t>招标文件</w:t>
      </w:r>
    </w:p>
    <w:p w14:paraId="79E9E2A8">
      <w:pPr>
        <w:spacing w:line="360" w:lineRule="auto"/>
        <w:jc w:val="center"/>
        <w:rPr>
          <w:rFonts w:hint="eastAsia" w:ascii="宋体" w:hAnsi="宋体" w:cs="宋体"/>
          <w:color w:val="auto"/>
          <w:sz w:val="36"/>
          <w:szCs w:val="36"/>
          <w:highlight w:val="none"/>
        </w:rPr>
      </w:pPr>
      <w:r>
        <w:rPr>
          <w:rFonts w:hint="eastAsia" w:ascii="宋体" w:hAnsi="宋体" w:cs="宋体"/>
          <w:color w:val="auto"/>
          <w:sz w:val="36"/>
          <w:szCs w:val="36"/>
          <w:highlight w:val="none"/>
        </w:rPr>
        <w:t>（项目编号：</w:t>
      </w:r>
      <w:r>
        <w:rPr>
          <w:rFonts w:hint="eastAsia" w:ascii="宋体" w:hAnsi="宋体" w:cs="宋体"/>
          <w:color w:val="auto"/>
          <w:sz w:val="36"/>
          <w:szCs w:val="36"/>
          <w:highlight w:val="none"/>
          <w:lang w:eastAsia="zh-CN"/>
        </w:rPr>
        <w:t>M4400000707528175</w:t>
      </w:r>
      <w:r>
        <w:rPr>
          <w:rFonts w:hint="eastAsia" w:ascii="宋体" w:hAnsi="宋体" w:cs="宋体"/>
          <w:color w:val="auto"/>
          <w:sz w:val="36"/>
          <w:szCs w:val="36"/>
          <w:highlight w:val="none"/>
        </w:rPr>
        <w:t>）</w:t>
      </w:r>
    </w:p>
    <w:p w14:paraId="3511C020">
      <w:pPr>
        <w:tabs>
          <w:tab w:val="left" w:pos="8118"/>
        </w:tabs>
        <w:spacing w:line="36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ab/>
      </w:r>
    </w:p>
    <w:p w14:paraId="08C95F64">
      <w:pPr>
        <w:spacing w:line="360" w:lineRule="auto"/>
        <w:jc w:val="center"/>
        <w:rPr>
          <w:rFonts w:hint="eastAsia" w:ascii="宋体" w:hAnsi="宋体" w:cs="宋体"/>
          <w:color w:val="auto"/>
          <w:sz w:val="28"/>
          <w:szCs w:val="28"/>
          <w:highlight w:val="none"/>
        </w:rPr>
      </w:pPr>
    </w:p>
    <w:p w14:paraId="3C01B825">
      <w:pPr>
        <w:spacing w:line="360" w:lineRule="auto"/>
        <w:jc w:val="center"/>
        <w:rPr>
          <w:rFonts w:hint="eastAsia" w:ascii="宋体" w:hAnsi="宋体" w:cs="宋体"/>
          <w:color w:val="auto"/>
          <w:sz w:val="28"/>
          <w:szCs w:val="28"/>
          <w:highlight w:val="none"/>
        </w:rPr>
      </w:pPr>
    </w:p>
    <w:p w14:paraId="6A969C7E">
      <w:pPr>
        <w:spacing w:line="360" w:lineRule="auto"/>
        <w:jc w:val="center"/>
        <w:rPr>
          <w:rFonts w:hint="eastAsia" w:ascii="宋体" w:hAnsi="宋体" w:cs="宋体"/>
          <w:color w:val="auto"/>
          <w:sz w:val="28"/>
          <w:szCs w:val="28"/>
          <w:highlight w:val="none"/>
        </w:rPr>
      </w:pPr>
    </w:p>
    <w:p w14:paraId="0675A4AB">
      <w:pPr>
        <w:snapToGrid w:val="0"/>
        <w:spacing w:line="600" w:lineRule="atLeast"/>
        <w:rPr>
          <w:rFonts w:hint="eastAsia" w:ascii="宋体" w:hAnsi="宋体" w:cs="宋体"/>
          <w:color w:val="auto"/>
          <w:sz w:val="30"/>
          <w:highlight w:val="none"/>
        </w:rPr>
      </w:pPr>
    </w:p>
    <w:p w14:paraId="2F8D9930">
      <w:pPr>
        <w:snapToGrid w:val="0"/>
        <w:spacing w:line="600" w:lineRule="atLeast"/>
        <w:rPr>
          <w:rFonts w:hint="eastAsia" w:ascii="宋体" w:hAnsi="宋体" w:cs="宋体"/>
          <w:color w:val="auto"/>
          <w:sz w:val="30"/>
          <w:highlight w:val="none"/>
        </w:rPr>
      </w:pPr>
    </w:p>
    <w:p w14:paraId="7AC53E43">
      <w:pPr>
        <w:snapToGrid w:val="0"/>
        <w:spacing w:line="600" w:lineRule="atLeast"/>
        <w:ind w:firstLine="1200" w:firstLineChars="400"/>
        <w:rPr>
          <w:rFonts w:hint="eastAsia" w:ascii="宋体" w:hAnsi="宋体" w:cs="宋体"/>
          <w:color w:val="auto"/>
          <w:sz w:val="30"/>
          <w:highlight w:val="none"/>
        </w:rPr>
      </w:pPr>
    </w:p>
    <w:p w14:paraId="7C5B32C9">
      <w:pPr>
        <w:snapToGrid w:val="0"/>
        <w:spacing w:line="600" w:lineRule="atLeast"/>
        <w:ind w:firstLine="1200" w:firstLineChars="400"/>
        <w:rPr>
          <w:rFonts w:hint="eastAsia" w:ascii="宋体" w:hAnsi="宋体" w:cs="宋体"/>
          <w:color w:val="auto"/>
          <w:sz w:val="30"/>
          <w:highlight w:val="none"/>
          <w:u w:val="single"/>
        </w:rPr>
      </w:pPr>
      <w:r>
        <w:rPr>
          <w:rFonts w:hint="eastAsia" w:ascii="宋体" w:hAnsi="宋体" w:cs="宋体"/>
          <w:color w:val="auto"/>
          <w:sz w:val="30"/>
          <w:highlight w:val="none"/>
        </w:rPr>
        <w:t>招   标   人：</w:t>
      </w:r>
      <w:r>
        <w:rPr>
          <w:rFonts w:hint="eastAsia" w:ascii="宋体" w:hAnsi="宋体" w:cs="宋体"/>
          <w:color w:val="auto"/>
          <w:sz w:val="30"/>
          <w:highlight w:val="none"/>
          <w:u w:val="single"/>
        </w:rPr>
        <w:t>广东南方报业传媒集团物业管理有限公司</w:t>
      </w:r>
    </w:p>
    <w:p w14:paraId="3455B828">
      <w:pPr>
        <w:snapToGrid w:val="0"/>
        <w:spacing w:line="600" w:lineRule="atLeast"/>
        <w:ind w:firstLine="1200" w:firstLineChars="400"/>
        <w:rPr>
          <w:rFonts w:hint="eastAsia" w:ascii="宋体" w:hAnsi="宋体" w:cs="宋体"/>
          <w:color w:val="auto"/>
          <w:sz w:val="30"/>
          <w:highlight w:val="none"/>
          <w:u w:val="single"/>
        </w:rPr>
      </w:pPr>
      <w:r>
        <w:rPr>
          <w:rFonts w:hint="eastAsia" w:ascii="宋体" w:hAnsi="宋体" w:cs="宋体"/>
          <w:color w:val="auto"/>
          <w:sz w:val="30"/>
          <w:highlight w:val="none"/>
        </w:rPr>
        <w:t>招标代理机构：</w:t>
      </w:r>
      <w:r>
        <w:rPr>
          <w:rFonts w:hint="eastAsia" w:ascii="宋体" w:hAnsi="宋体" w:cs="宋体"/>
          <w:color w:val="auto"/>
          <w:sz w:val="30"/>
          <w:highlight w:val="none"/>
          <w:u w:val="single"/>
        </w:rPr>
        <w:t>广东省机电设备招标有限公司</w:t>
      </w:r>
    </w:p>
    <w:p w14:paraId="0C4BFD60">
      <w:pPr>
        <w:snapToGrid w:val="0"/>
        <w:spacing w:line="600" w:lineRule="atLeast"/>
        <w:ind w:firstLine="1200" w:firstLineChars="400"/>
        <w:rPr>
          <w:rFonts w:hint="eastAsia" w:ascii="宋体" w:hAnsi="宋体" w:cs="宋体"/>
          <w:color w:val="auto"/>
          <w:sz w:val="30"/>
          <w:highlight w:val="none"/>
          <w:u w:val="single"/>
        </w:rPr>
      </w:pPr>
    </w:p>
    <w:p w14:paraId="0747185A">
      <w:pPr>
        <w:spacing w:line="360" w:lineRule="auto"/>
        <w:jc w:val="center"/>
        <w:rPr>
          <w:rFonts w:hint="eastAsia" w:ascii="宋体" w:hAnsi="宋体" w:cs="宋体"/>
          <w:b/>
          <w:color w:val="auto"/>
          <w:sz w:val="28"/>
          <w:szCs w:val="28"/>
          <w:highlight w:val="none"/>
        </w:rPr>
        <w:sectPr>
          <w:headerReference r:id="rId3" w:type="default"/>
          <w:footerReference r:id="rId4" w:type="default"/>
          <w:pgSz w:w="11906" w:h="16838"/>
          <w:pgMar w:top="1134" w:right="1418" w:bottom="1134" w:left="1418" w:header="851" w:footer="992" w:gutter="0"/>
          <w:pgNumType w:start="1"/>
          <w:cols w:space="720" w:num="1"/>
          <w:docGrid w:type="lines" w:linePitch="312" w:charSpace="0"/>
        </w:sectPr>
      </w:pPr>
      <w:r>
        <w:rPr>
          <w:rFonts w:hint="eastAsia" w:ascii="宋体" w:hAnsi="宋体" w:cs="宋体"/>
          <w:color w:val="auto"/>
          <w:sz w:val="30"/>
          <w:szCs w:val="30"/>
          <w:highlight w:val="none"/>
        </w:rPr>
        <w:t>202</w:t>
      </w:r>
      <w:r>
        <w:rPr>
          <w:rFonts w:hint="eastAsia" w:ascii="宋体" w:hAnsi="宋体" w:cs="宋体"/>
          <w:color w:val="auto"/>
          <w:sz w:val="30"/>
          <w:szCs w:val="30"/>
          <w:highlight w:val="none"/>
          <w:lang w:val="en-US" w:eastAsia="zh-CN"/>
        </w:rPr>
        <w:t>5</w:t>
      </w:r>
      <w:r>
        <w:rPr>
          <w:rFonts w:hint="eastAsia" w:ascii="宋体" w:hAnsi="宋体" w:cs="宋体"/>
          <w:color w:val="auto"/>
          <w:sz w:val="30"/>
          <w:szCs w:val="30"/>
          <w:highlight w:val="none"/>
        </w:rPr>
        <w:t>年</w:t>
      </w:r>
      <w:r>
        <w:rPr>
          <w:rFonts w:hint="eastAsia" w:ascii="宋体" w:hAnsi="宋体" w:cs="宋体"/>
          <w:color w:val="auto"/>
          <w:sz w:val="30"/>
          <w:szCs w:val="30"/>
          <w:highlight w:val="none"/>
          <w:lang w:val="en-US" w:eastAsia="zh-CN"/>
        </w:rPr>
        <w:t>1</w:t>
      </w:r>
      <w:r>
        <w:rPr>
          <w:rFonts w:hint="eastAsia" w:ascii="宋体" w:hAnsi="宋体" w:cs="宋体"/>
          <w:color w:val="auto"/>
          <w:sz w:val="30"/>
          <w:szCs w:val="30"/>
          <w:highlight w:val="none"/>
        </w:rPr>
        <w:t>月</w:t>
      </w:r>
    </w:p>
    <w:p w14:paraId="55338B68">
      <w:pPr>
        <w:spacing w:line="360" w:lineRule="auto"/>
        <w:jc w:val="center"/>
        <w:outlineLvl w:val="0"/>
        <w:rPr>
          <w:rFonts w:hint="eastAsia" w:ascii="宋体" w:hAnsi="宋体" w:cs="宋体"/>
          <w:b/>
          <w:color w:val="auto"/>
          <w:sz w:val="28"/>
          <w:szCs w:val="28"/>
          <w:highlight w:val="none"/>
        </w:rPr>
      </w:pPr>
      <w:bookmarkStart w:id="0" w:name="_Toc27156"/>
      <w:r>
        <w:rPr>
          <w:rFonts w:hint="eastAsia" w:ascii="宋体" w:hAnsi="宋体" w:cs="宋体"/>
          <w:b/>
          <w:color w:val="auto"/>
          <w:sz w:val="28"/>
          <w:szCs w:val="28"/>
          <w:highlight w:val="none"/>
        </w:rPr>
        <w:t>投标提示</w:t>
      </w:r>
      <w:bookmarkEnd w:id="0"/>
    </w:p>
    <w:p w14:paraId="300303F0">
      <w:pPr>
        <w:pStyle w:val="2"/>
        <w:rPr>
          <w:rFonts w:hint="eastAsia"/>
        </w:rPr>
      </w:pPr>
    </w:p>
    <w:p w14:paraId="43EA3256">
      <w:pPr>
        <w:snapToGrid w:val="0"/>
        <w:spacing w:line="360" w:lineRule="auto"/>
        <w:jc w:val="center"/>
        <w:rPr>
          <w:rFonts w:hint="eastAsia" w:ascii="宋体" w:hAnsi="宋体" w:cs="宋体"/>
          <w:color w:val="auto"/>
          <w:highlight w:val="none"/>
        </w:rPr>
      </w:pPr>
      <w:r>
        <w:rPr>
          <w:rFonts w:hint="eastAsia" w:ascii="宋体" w:hAnsi="宋体" w:cs="宋体"/>
          <w:b/>
          <w:color w:val="auto"/>
          <w:highlight w:val="none"/>
        </w:rPr>
        <w:t>（本提示内容非招标文件的组成部分，仅为投标人制作文件提醒。如有不一致，以招标文件为准）</w:t>
      </w:r>
    </w:p>
    <w:p w14:paraId="5C2101DC">
      <w:pPr>
        <w:snapToGrid w:val="0"/>
        <w:spacing w:line="360" w:lineRule="auto"/>
        <w:rPr>
          <w:rFonts w:hint="eastAsia" w:ascii="宋体" w:hAnsi="宋体" w:cs="宋体"/>
          <w:color w:val="auto"/>
          <w:highlight w:val="none"/>
        </w:rPr>
      </w:pPr>
      <w:r>
        <w:rPr>
          <w:rFonts w:hint="eastAsia" w:ascii="宋体" w:hAnsi="宋体" w:cs="宋体"/>
          <w:color w:val="auto"/>
          <w:highlight w:val="none"/>
        </w:rPr>
        <w:t>1、潜在投标</w:t>
      </w:r>
      <w:r>
        <w:rPr>
          <w:rFonts w:hint="eastAsia" w:ascii="宋体" w:hAnsi="宋体" w:cs="宋体"/>
          <w:color w:val="auto"/>
          <w:highlight w:val="none"/>
          <w:lang w:val="en-US" w:eastAsia="zh-CN"/>
        </w:rPr>
        <w:t>人</w:t>
      </w:r>
      <w:r>
        <w:rPr>
          <w:rFonts w:hint="eastAsia" w:ascii="宋体" w:hAnsi="宋体" w:cs="宋体"/>
          <w:color w:val="auto"/>
          <w:highlight w:val="none"/>
        </w:rPr>
        <w:t>须按招标文件及公告要求登记。</w:t>
      </w:r>
    </w:p>
    <w:p w14:paraId="477E89E4">
      <w:pPr>
        <w:snapToGrid w:val="0"/>
        <w:spacing w:line="360" w:lineRule="auto"/>
        <w:rPr>
          <w:rFonts w:hint="eastAsia" w:ascii="宋体" w:hAnsi="宋体" w:cs="宋体"/>
          <w:color w:val="auto"/>
          <w:highlight w:val="none"/>
        </w:rPr>
      </w:pPr>
      <w:r>
        <w:rPr>
          <w:rFonts w:hint="eastAsia" w:ascii="宋体" w:hAnsi="宋体" w:cs="宋体"/>
          <w:color w:val="auto"/>
          <w:highlight w:val="none"/>
        </w:rPr>
        <w:t>2、本公司启用网上登记系统进行</w:t>
      </w:r>
      <w:r>
        <w:rPr>
          <w:rFonts w:hint="eastAsia" w:ascii="宋体" w:hAnsi="宋体" w:cs="宋体"/>
          <w:color w:val="auto"/>
          <w:highlight w:val="none"/>
          <w:lang w:eastAsia="zh-CN"/>
        </w:rPr>
        <w:t>投标人</w:t>
      </w:r>
      <w:r>
        <w:rPr>
          <w:rFonts w:hint="eastAsia" w:ascii="宋体" w:hAnsi="宋体" w:cs="宋体"/>
          <w:color w:val="auto"/>
          <w:highlight w:val="none"/>
        </w:rPr>
        <w:t>登记及购买文件。请登录广咨电子招投标交易平台网站（www.gzebid.cn）进行</w:t>
      </w:r>
      <w:r>
        <w:rPr>
          <w:rFonts w:hint="eastAsia" w:ascii="宋体" w:hAnsi="宋体" w:cs="宋体"/>
          <w:color w:val="auto"/>
          <w:highlight w:val="none"/>
          <w:lang w:eastAsia="zh-CN"/>
        </w:rPr>
        <w:t>投标人</w:t>
      </w:r>
      <w:r>
        <w:rPr>
          <w:rFonts w:hint="eastAsia" w:ascii="宋体" w:hAnsi="宋体" w:cs="宋体"/>
          <w:color w:val="auto"/>
          <w:highlight w:val="none"/>
        </w:rPr>
        <w:t>注册登记。</w:t>
      </w:r>
    </w:p>
    <w:p w14:paraId="0BE9AB87">
      <w:pPr>
        <w:tabs>
          <w:tab w:val="left" w:pos="851"/>
        </w:tabs>
        <w:snapToGrid w:val="0"/>
        <w:spacing w:line="360" w:lineRule="auto"/>
        <w:rPr>
          <w:rFonts w:hint="eastAsia" w:ascii="宋体" w:hAnsi="宋体" w:cs="宋体"/>
          <w:color w:val="auto"/>
          <w:highlight w:val="none"/>
        </w:rPr>
      </w:pPr>
      <w:r>
        <w:rPr>
          <w:rFonts w:hint="eastAsia" w:ascii="宋体" w:hAnsi="宋体" w:cs="宋体"/>
          <w:color w:val="auto"/>
          <w:highlight w:val="none"/>
        </w:rPr>
        <w:t>3、为避免因迟到而失去投标/报价资格，请</w:t>
      </w:r>
      <w:r>
        <w:rPr>
          <w:rFonts w:hint="eastAsia" w:ascii="宋体" w:hAnsi="宋体" w:cs="宋体"/>
          <w:color w:val="auto"/>
          <w:highlight w:val="none"/>
          <w:lang w:eastAsia="zh-CN"/>
        </w:rPr>
        <w:t>投标人</w:t>
      </w:r>
      <w:r>
        <w:rPr>
          <w:rFonts w:hint="eastAsia" w:ascii="宋体" w:hAnsi="宋体" w:cs="宋体"/>
          <w:b/>
          <w:color w:val="auto"/>
          <w:highlight w:val="none"/>
          <w:u w:val="single"/>
        </w:rPr>
        <w:t>适当提前到达开标现场</w:t>
      </w:r>
      <w:r>
        <w:rPr>
          <w:rFonts w:hint="eastAsia" w:ascii="宋体" w:hAnsi="宋体" w:cs="宋体"/>
          <w:color w:val="auto"/>
          <w:highlight w:val="none"/>
        </w:rPr>
        <w:t>。</w:t>
      </w:r>
    </w:p>
    <w:p w14:paraId="7C5ED8A8">
      <w:pPr>
        <w:tabs>
          <w:tab w:val="left" w:pos="851"/>
        </w:tabs>
        <w:snapToGrid w:val="0"/>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4、投标/报价文件应按顺序</w:t>
      </w:r>
      <w:r>
        <w:rPr>
          <w:rFonts w:hint="eastAsia" w:ascii="宋体" w:hAnsi="宋体" w:cs="宋体"/>
          <w:b/>
          <w:color w:val="auto"/>
          <w:highlight w:val="none"/>
          <w:u w:val="single"/>
        </w:rPr>
        <w:t>编制页码</w:t>
      </w:r>
      <w:r>
        <w:rPr>
          <w:rFonts w:hint="eastAsia" w:ascii="宋体" w:hAnsi="宋体" w:cs="宋体"/>
          <w:color w:val="auto"/>
          <w:highlight w:val="none"/>
        </w:rPr>
        <w:t>。</w:t>
      </w:r>
    </w:p>
    <w:p w14:paraId="53540AA1">
      <w:pPr>
        <w:tabs>
          <w:tab w:val="left" w:pos="851"/>
        </w:tabs>
        <w:snapToGrid w:val="0"/>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5、请仔细检查投标/报价文件是否已按招标文件要求</w:t>
      </w:r>
      <w:r>
        <w:rPr>
          <w:rFonts w:hint="eastAsia" w:ascii="宋体" w:hAnsi="宋体" w:cs="宋体"/>
          <w:b/>
          <w:color w:val="auto"/>
          <w:highlight w:val="none"/>
          <w:u w:val="single"/>
        </w:rPr>
        <w:t>盖章、签字（签章）、签署日期</w:t>
      </w:r>
      <w:r>
        <w:rPr>
          <w:rFonts w:hint="eastAsia" w:ascii="宋体" w:hAnsi="宋体" w:cs="宋体"/>
          <w:color w:val="auto"/>
          <w:highlight w:val="none"/>
        </w:rPr>
        <w:t>。</w:t>
      </w:r>
    </w:p>
    <w:p w14:paraId="4D83BBCC">
      <w:pPr>
        <w:tabs>
          <w:tab w:val="left" w:pos="851"/>
        </w:tabs>
        <w:snapToGrid w:val="0"/>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6、请正确填写《开标/报价一览表》。多子包项目请仔细检查子包号，子包号与子包名称必须对应。</w:t>
      </w:r>
    </w:p>
    <w:p w14:paraId="28569A57">
      <w:pPr>
        <w:tabs>
          <w:tab w:val="left" w:pos="851"/>
        </w:tabs>
        <w:snapToGrid w:val="0"/>
        <w:spacing w:line="360" w:lineRule="auto"/>
        <w:rPr>
          <w:rFonts w:hint="eastAsia" w:ascii="宋体" w:hAnsi="宋体" w:cs="宋体"/>
          <w:color w:val="auto"/>
          <w:highlight w:val="none"/>
        </w:rPr>
      </w:pPr>
      <w:r>
        <w:rPr>
          <w:rFonts w:hint="eastAsia" w:ascii="宋体" w:hAnsi="宋体" w:cs="宋体"/>
          <w:color w:val="auto"/>
          <w:highlight w:val="none"/>
        </w:rPr>
        <w:t>7、</w:t>
      </w:r>
      <w:r>
        <w:rPr>
          <w:rFonts w:hint="eastAsia" w:ascii="宋体" w:hAnsi="宋体" w:cs="宋体"/>
          <w:color w:val="auto"/>
          <w:highlight w:val="none"/>
          <w:lang w:eastAsia="zh-CN"/>
        </w:rPr>
        <w:t>投标人</w:t>
      </w:r>
      <w:r>
        <w:rPr>
          <w:rFonts w:hint="eastAsia" w:ascii="宋体" w:hAnsi="宋体" w:cs="宋体"/>
          <w:color w:val="auto"/>
          <w:highlight w:val="none"/>
        </w:rPr>
        <w:t>须通过广咨电子招投标交易平台网站（</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"http://www.gzebid.cn）获取子账号的方式递交投标/报价保证金及中标/" </w:instrText>
      </w:r>
      <w:r>
        <w:rPr>
          <w:rFonts w:hint="eastAsia" w:ascii="宋体" w:hAnsi="宋体" w:cs="宋体"/>
          <w:color w:val="auto"/>
          <w:highlight w:val="none"/>
        </w:rPr>
        <w:fldChar w:fldCharType="separate"/>
      </w:r>
      <w:r>
        <w:rPr>
          <w:rFonts w:hint="eastAsia" w:ascii="宋体" w:hAnsi="宋体" w:cs="宋体"/>
          <w:color w:val="auto"/>
          <w:highlight w:val="none"/>
        </w:rPr>
        <w:t>http://www.gzebid.cn）获取子账号的方式递交投标/报价保证金及中标/</w:t>
      </w:r>
      <w:r>
        <w:rPr>
          <w:rFonts w:hint="eastAsia" w:ascii="宋体" w:hAnsi="宋体" w:cs="宋体"/>
          <w:color w:val="auto"/>
          <w:highlight w:val="none"/>
        </w:rPr>
        <w:fldChar w:fldCharType="end"/>
      </w:r>
      <w:r>
        <w:rPr>
          <w:rFonts w:hint="eastAsia" w:ascii="宋体" w:hAnsi="宋体" w:cs="宋体"/>
          <w:color w:val="auto"/>
          <w:highlight w:val="none"/>
        </w:rPr>
        <w:t>成交服务费。</w:t>
      </w:r>
    </w:p>
    <w:p w14:paraId="2CEB449F">
      <w:pPr>
        <w:snapToGrid w:val="0"/>
        <w:spacing w:line="360" w:lineRule="auto"/>
        <w:rPr>
          <w:rFonts w:hint="eastAsia" w:ascii="宋体" w:hAnsi="宋体" w:cs="宋体"/>
          <w:color w:val="auto"/>
          <w:highlight w:val="none"/>
        </w:rPr>
      </w:pPr>
      <w:r>
        <w:rPr>
          <w:rFonts w:hint="eastAsia" w:ascii="宋体" w:hAnsi="宋体" w:cs="宋体"/>
          <w:color w:val="auto"/>
          <w:highlight w:val="none"/>
          <w:lang w:val="en-US" w:eastAsia="zh-CN"/>
        </w:rPr>
        <w:t>8</w:t>
      </w:r>
      <w:r>
        <w:rPr>
          <w:rFonts w:hint="eastAsia" w:ascii="宋体" w:hAnsi="宋体" w:cs="宋体"/>
          <w:color w:val="auto"/>
          <w:highlight w:val="none"/>
        </w:rPr>
        <w:t>、每个</w:t>
      </w:r>
      <w:r>
        <w:rPr>
          <w:rFonts w:hint="eastAsia" w:ascii="宋体" w:hAnsi="宋体" w:cs="宋体"/>
          <w:color w:val="auto"/>
          <w:highlight w:val="none"/>
          <w:lang w:eastAsia="zh-CN"/>
        </w:rPr>
        <w:t>投标人</w:t>
      </w:r>
      <w:r>
        <w:rPr>
          <w:rFonts w:hint="eastAsia" w:ascii="宋体" w:hAnsi="宋体" w:cs="宋体"/>
          <w:color w:val="auto"/>
          <w:highlight w:val="none"/>
        </w:rPr>
        <w:t>每个项目的保证金缴纳账户是唯一的，本司将根据唯一保证金缴纳账户的缴纳情况，确认</w:t>
      </w:r>
      <w:r>
        <w:rPr>
          <w:rFonts w:hint="eastAsia" w:ascii="宋体" w:hAnsi="宋体" w:cs="宋体"/>
          <w:color w:val="auto"/>
          <w:highlight w:val="none"/>
          <w:lang w:eastAsia="zh-CN"/>
        </w:rPr>
        <w:t>投标人</w:t>
      </w:r>
      <w:r>
        <w:rPr>
          <w:rFonts w:hint="eastAsia" w:ascii="宋体" w:hAnsi="宋体" w:cs="宋体"/>
          <w:color w:val="auto"/>
          <w:highlight w:val="none"/>
        </w:rPr>
        <w:t>是否已按规定缴纳项目保证金。所以请各</w:t>
      </w:r>
      <w:r>
        <w:rPr>
          <w:rFonts w:hint="eastAsia" w:ascii="宋体" w:hAnsi="宋体" w:cs="宋体"/>
          <w:color w:val="auto"/>
          <w:highlight w:val="none"/>
          <w:lang w:eastAsia="zh-CN"/>
        </w:rPr>
        <w:t>投标人</w:t>
      </w:r>
      <w:r>
        <w:rPr>
          <w:rFonts w:hint="eastAsia" w:ascii="宋体" w:hAnsi="宋体" w:cs="宋体"/>
          <w:color w:val="auto"/>
          <w:highlight w:val="none"/>
        </w:rPr>
        <w:t>缴纳保证金前务必核对正确的缴纳账户，错缴误缴导致未按项目缴纳保证金的情况将由</w:t>
      </w:r>
      <w:r>
        <w:rPr>
          <w:rFonts w:hint="eastAsia" w:ascii="宋体" w:hAnsi="宋体" w:cs="宋体"/>
          <w:color w:val="auto"/>
          <w:highlight w:val="none"/>
          <w:lang w:eastAsia="zh-CN"/>
        </w:rPr>
        <w:t>投标人</w:t>
      </w:r>
      <w:r>
        <w:rPr>
          <w:rFonts w:hint="eastAsia" w:ascii="宋体" w:hAnsi="宋体" w:cs="宋体"/>
          <w:color w:val="auto"/>
          <w:highlight w:val="none"/>
        </w:rPr>
        <w:t>自行负责。</w:t>
      </w:r>
    </w:p>
    <w:p w14:paraId="0A19B0F6">
      <w:pPr>
        <w:tabs>
          <w:tab w:val="left" w:pos="851"/>
        </w:tabs>
        <w:snapToGrid w:val="0"/>
        <w:spacing w:line="360" w:lineRule="auto"/>
        <w:rPr>
          <w:rFonts w:hint="eastAsia" w:ascii="宋体" w:hAnsi="宋体" w:cs="宋体"/>
          <w:color w:val="auto"/>
          <w:highlight w:val="none"/>
        </w:rPr>
      </w:pPr>
      <w:r>
        <w:rPr>
          <w:rFonts w:hint="eastAsia" w:ascii="宋体" w:hAnsi="宋体" w:cs="宋体"/>
          <w:color w:val="auto"/>
          <w:highlight w:val="none"/>
          <w:lang w:val="en-US" w:eastAsia="zh-CN"/>
        </w:rPr>
        <w:t>9</w:t>
      </w:r>
      <w:r>
        <w:rPr>
          <w:rFonts w:hint="eastAsia" w:ascii="宋体" w:hAnsi="宋体" w:cs="宋体"/>
          <w:color w:val="auto"/>
          <w:highlight w:val="none"/>
        </w:rPr>
        <w:t>、投标/报价保证金必须于招标文件递交截止时间前到达广东省机电设备招标有限公司的账户。</w:t>
      </w:r>
    </w:p>
    <w:p w14:paraId="34926D7A">
      <w:pPr>
        <w:tabs>
          <w:tab w:val="left" w:pos="851"/>
        </w:tabs>
        <w:snapToGrid w:val="0"/>
        <w:spacing w:line="360" w:lineRule="auto"/>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0</w:t>
      </w:r>
      <w:r>
        <w:rPr>
          <w:rFonts w:hint="eastAsia" w:ascii="宋体" w:hAnsi="宋体" w:cs="宋体"/>
          <w:color w:val="auto"/>
          <w:highlight w:val="none"/>
        </w:rPr>
        <w:t>、未中标</w:t>
      </w:r>
      <w:r>
        <w:rPr>
          <w:rFonts w:hint="eastAsia" w:ascii="宋体" w:hAnsi="宋体" w:cs="宋体"/>
          <w:color w:val="auto"/>
          <w:highlight w:val="none"/>
          <w:lang w:val="en-US" w:eastAsia="zh-CN"/>
        </w:rPr>
        <w:t>的投标人</w:t>
      </w:r>
      <w:r>
        <w:rPr>
          <w:rFonts w:hint="eastAsia" w:ascii="宋体" w:hAnsi="宋体" w:cs="宋体"/>
          <w:color w:val="auto"/>
          <w:highlight w:val="none"/>
        </w:rPr>
        <w:t>的投标保证金退款程序：在</w:t>
      </w:r>
      <w:r>
        <w:rPr>
          <w:rFonts w:hint="eastAsia" w:ascii="宋体" w:hAnsi="宋体" w:cs="宋体"/>
          <w:b/>
          <w:color w:val="auto"/>
          <w:highlight w:val="none"/>
          <w:u w:val="single"/>
        </w:rPr>
        <w:t>中标通知书发出后的五个工作日内</w:t>
      </w:r>
      <w:r>
        <w:rPr>
          <w:rFonts w:hint="eastAsia" w:ascii="宋体" w:hAnsi="宋体" w:cs="宋体"/>
          <w:color w:val="auto"/>
          <w:highlight w:val="none"/>
        </w:rPr>
        <w:t>按规定程序原额退还。</w:t>
      </w:r>
    </w:p>
    <w:p w14:paraId="6761EB35">
      <w:pPr>
        <w:tabs>
          <w:tab w:val="left" w:pos="851"/>
        </w:tabs>
        <w:snapToGrid w:val="0"/>
        <w:spacing w:line="360" w:lineRule="auto"/>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1</w:t>
      </w:r>
      <w:r>
        <w:rPr>
          <w:rFonts w:hint="eastAsia" w:ascii="宋体" w:hAnsi="宋体" w:cs="宋体"/>
          <w:color w:val="auto"/>
          <w:highlight w:val="none"/>
        </w:rPr>
        <w:t>、中标</w:t>
      </w:r>
      <w:r>
        <w:rPr>
          <w:rFonts w:hint="eastAsia" w:ascii="宋体" w:hAnsi="宋体" w:cs="宋体"/>
          <w:color w:val="auto"/>
          <w:highlight w:val="none"/>
          <w:lang w:eastAsia="zh-CN"/>
        </w:rPr>
        <w:t>人</w:t>
      </w:r>
      <w:r>
        <w:rPr>
          <w:rFonts w:hint="eastAsia" w:ascii="宋体" w:hAnsi="宋体" w:cs="宋体"/>
          <w:color w:val="auto"/>
          <w:highlight w:val="none"/>
        </w:rPr>
        <w:t>的投标保证金退款程序：在</w:t>
      </w:r>
      <w:r>
        <w:rPr>
          <w:rFonts w:hint="eastAsia" w:ascii="宋体" w:hAnsi="宋体" w:cs="宋体"/>
          <w:b/>
          <w:color w:val="auto"/>
          <w:highlight w:val="none"/>
          <w:u w:val="single"/>
        </w:rPr>
        <w:t>收到</w:t>
      </w:r>
      <w:r>
        <w:rPr>
          <w:rFonts w:hint="eastAsia" w:ascii="宋体" w:hAnsi="宋体" w:cs="宋体"/>
          <w:color w:val="auto"/>
          <w:highlight w:val="none"/>
        </w:rPr>
        <w:t>中标</w:t>
      </w:r>
      <w:r>
        <w:rPr>
          <w:rFonts w:hint="eastAsia" w:ascii="宋体" w:hAnsi="宋体" w:cs="宋体"/>
          <w:color w:val="auto"/>
          <w:highlight w:val="none"/>
          <w:lang w:val="en-US" w:eastAsia="zh-CN"/>
        </w:rPr>
        <w:t>人</w:t>
      </w:r>
      <w:r>
        <w:rPr>
          <w:rFonts w:hint="eastAsia" w:ascii="宋体" w:hAnsi="宋体" w:cs="宋体"/>
          <w:color w:val="auto"/>
          <w:highlight w:val="none"/>
        </w:rPr>
        <w:t>提交的</w:t>
      </w:r>
      <w:r>
        <w:rPr>
          <w:rFonts w:hint="eastAsia" w:ascii="宋体" w:hAnsi="宋体" w:cs="宋体"/>
          <w:b/>
          <w:color w:val="auto"/>
          <w:highlight w:val="none"/>
          <w:u w:val="single"/>
        </w:rPr>
        <w:t>合同原件或复印件后五个工作日内</w:t>
      </w:r>
      <w:r>
        <w:rPr>
          <w:rFonts w:hint="eastAsia" w:ascii="宋体" w:hAnsi="宋体" w:cs="宋体"/>
          <w:color w:val="auto"/>
          <w:highlight w:val="none"/>
        </w:rPr>
        <w:t>原额退还。</w:t>
      </w:r>
    </w:p>
    <w:p w14:paraId="0B16E976">
      <w:pPr>
        <w:tabs>
          <w:tab w:val="left" w:pos="851"/>
        </w:tabs>
        <w:snapToGrid w:val="0"/>
        <w:spacing w:line="360" w:lineRule="auto"/>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2</w:t>
      </w:r>
      <w:r>
        <w:rPr>
          <w:rFonts w:hint="eastAsia" w:ascii="宋体" w:hAnsi="宋体" w:cs="宋体"/>
          <w:color w:val="auto"/>
          <w:highlight w:val="none"/>
        </w:rPr>
        <w:t>、如招标文件有澄清、修改或者延期的，我司会在相关媒体上发布公告，并</w:t>
      </w:r>
      <w:r>
        <w:rPr>
          <w:rFonts w:hint="eastAsia" w:ascii="宋体" w:hAnsi="宋体" w:cs="宋体"/>
          <w:b/>
          <w:color w:val="auto"/>
          <w:highlight w:val="none"/>
          <w:u w:val="single"/>
        </w:rPr>
        <w:t>以电子邮件的形式</w:t>
      </w:r>
      <w:r>
        <w:rPr>
          <w:rFonts w:hint="eastAsia" w:ascii="宋体" w:hAnsi="宋体" w:cs="宋体"/>
          <w:color w:val="auto"/>
          <w:highlight w:val="none"/>
        </w:rPr>
        <w:t>通知所有登记及购买招标文件的</w:t>
      </w:r>
      <w:r>
        <w:rPr>
          <w:rFonts w:hint="eastAsia" w:ascii="宋体" w:hAnsi="宋体" w:cs="宋体"/>
          <w:color w:val="auto"/>
          <w:highlight w:val="none"/>
          <w:lang w:eastAsia="zh-CN"/>
        </w:rPr>
        <w:t>投标人</w:t>
      </w:r>
      <w:r>
        <w:rPr>
          <w:rFonts w:hint="eastAsia" w:ascii="宋体" w:hAnsi="宋体" w:cs="宋体"/>
          <w:color w:val="auto"/>
          <w:highlight w:val="none"/>
        </w:rPr>
        <w:t>。</w:t>
      </w:r>
    </w:p>
    <w:p w14:paraId="097192EB">
      <w:pPr>
        <w:tabs>
          <w:tab w:val="left" w:pos="851"/>
        </w:tabs>
        <w:snapToGrid w:val="0"/>
        <w:spacing w:line="360" w:lineRule="auto"/>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3</w:t>
      </w:r>
      <w:r>
        <w:rPr>
          <w:rFonts w:hint="eastAsia" w:ascii="宋体" w:hAnsi="宋体" w:cs="宋体"/>
          <w:color w:val="auto"/>
          <w:highlight w:val="none"/>
        </w:rPr>
        <w:t>、如投标/报价产品属于许可证管理范围内的，须提交相应的许可证复印件。</w:t>
      </w:r>
    </w:p>
    <w:p w14:paraId="7341D7ED">
      <w:pPr>
        <w:tabs>
          <w:tab w:val="left" w:pos="851"/>
        </w:tabs>
        <w:snapToGrid w:val="0"/>
        <w:spacing w:line="360" w:lineRule="auto"/>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4</w:t>
      </w:r>
      <w:r>
        <w:rPr>
          <w:rFonts w:hint="eastAsia" w:ascii="宋体" w:hAnsi="宋体" w:cs="宋体"/>
          <w:color w:val="auto"/>
          <w:highlight w:val="none"/>
        </w:rPr>
        <w:t>、如</w:t>
      </w:r>
      <w:r>
        <w:rPr>
          <w:rFonts w:hint="eastAsia" w:ascii="宋体" w:hAnsi="宋体" w:cs="宋体"/>
          <w:color w:val="auto"/>
          <w:highlight w:val="none"/>
          <w:lang w:eastAsia="zh-CN"/>
        </w:rPr>
        <w:t>投标人</w:t>
      </w:r>
      <w:r>
        <w:rPr>
          <w:rFonts w:hint="eastAsia" w:ascii="宋体" w:hAnsi="宋体" w:cs="宋体"/>
          <w:color w:val="auto"/>
          <w:highlight w:val="none"/>
        </w:rPr>
        <w:t>以非独立法人注册的分公司名义代表总公司盖章和签署文件的，须提供总公司的营业执照副本复印件及总公司针对本项目投标/报价的授权书原件。</w:t>
      </w:r>
    </w:p>
    <w:p w14:paraId="33572908">
      <w:pPr>
        <w:tabs>
          <w:tab w:val="left" w:pos="851"/>
        </w:tabs>
        <w:snapToGrid w:val="0"/>
        <w:spacing w:line="360" w:lineRule="auto"/>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5</w:t>
      </w:r>
      <w:r>
        <w:rPr>
          <w:rFonts w:hint="eastAsia" w:ascii="宋体" w:hAnsi="宋体" w:cs="宋体"/>
          <w:color w:val="auto"/>
          <w:highlight w:val="none"/>
        </w:rPr>
        <w:t>、为了提高采购效率，节约社会交易成本与时间，本司希望购买了招标文件而决定不参加本次投标的</w:t>
      </w:r>
      <w:r>
        <w:rPr>
          <w:rFonts w:hint="eastAsia" w:ascii="宋体" w:hAnsi="宋体" w:cs="宋体"/>
          <w:color w:val="auto"/>
          <w:highlight w:val="none"/>
          <w:lang w:eastAsia="zh-CN"/>
        </w:rPr>
        <w:t>投标人</w:t>
      </w:r>
      <w:r>
        <w:rPr>
          <w:rFonts w:hint="eastAsia" w:ascii="宋体" w:hAnsi="宋体" w:cs="宋体"/>
          <w:color w:val="auto"/>
          <w:highlight w:val="none"/>
        </w:rPr>
        <w:t>，在投标/报价文件递交截止时间的3日前，按《投标/报价邀请函》中的联系方式，以书面形式告知招标代理机构。对您的支持与配合，谨此致谢。</w:t>
      </w:r>
    </w:p>
    <w:p w14:paraId="36243471">
      <w:pPr>
        <w:tabs>
          <w:tab w:val="left" w:pos="851"/>
        </w:tabs>
        <w:snapToGrid w:val="0"/>
        <w:spacing w:line="360" w:lineRule="auto"/>
        <w:rPr>
          <w:rFonts w:hint="eastAsia" w:ascii="宋体" w:hAnsi="宋体" w:cs="宋体"/>
          <w:color w:val="auto"/>
          <w:szCs w:val="21"/>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6</w:t>
      </w:r>
      <w:r>
        <w:rPr>
          <w:rFonts w:hint="eastAsia" w:ascii="宋体" w:hAnsi="宋体" w:cs="宋体"/>
          <w:color w:val="auto"/>
          <w:highlight w:val="none"/>
        </w:rPr>
        <w:t>、因场地有限，本公司无法提供停车位，不便之处敬请谅解</w:t>
      </w:r>
      <w:r>
        <w:rPr>
          <w:rFonts w:hint="eastAsia" w:ascii="宋体" w:hAnsi="宋体" w:cs="宋体"/>
          <w:color w:val="auto"/>
          <w:szCs w:val="21"/>
          <w:highlight w:val="none"/>
        </w:rPr>
        <w:t>。</w:t>
      </w:r>
    </w:p>
    <w:p w14:paraId="4F042445">
      <w:pPr>
        <w:tabs>
          <w:tab w:val="left" w:pos="851"/>
        </w:tabs>
        <w:snapToGrid w:val="0"/>
        <w:spacing w:line="360" w:lineRule="auto"/>
        <w:jc w:val="center"/>
        <w:rPr>
          <w:rFonts w:hint="eastAsia" w:ascii="宋体" w:hAnsi="宋体" w:cs="宋体"/>
          <w:b/>
          <w:color w:val="auto"/>
          <w:sz w:val="44"/>
          <w:szCs w:val="32"/>
          <w:highlight w:val="none"/>
        </w:rPr>
        <w:sectPr>
          <w:footerReference r:id="rId5" w:type="default"/>
          <w:pgSz w:w="11906" w:h="16838"/>
          <w:pgMar w:top="1134" w:right="1418" w:bottom="1134" w:left="1418" w:header="851" w:footer="992" w:gutter="0"/>
          <w:pgNumType w:start="1"/>
          <w:cols w:space="720" w:num="1"/>
          <w:docGrid w:type="lines" w:linePitch="312" w:charSpace="0"/>
        </w:sectPr>
      </w:pPr>
    </w:p>
    <w:p w14:paraId="348C855C">
      <w:pPr>
        <w:pStyle w:val="16"/>
        <w:rPr>
          <w:rFonts w:hint="eastAsia" w:hAnsi="宋体" w:cs="宋体"/>
          <w:color w:val="auto"/>
          <w:highlight w:val="none"/>
        </w:rPr>
      </w:pPr>
    </w:p>
    <w:p w14:paraId="5A66D453">
      <w:pPr>
        <w:tabs>
          <w:tab w:val="left" w:pos="851"/>
        </w:tabs>
        <w:snapToGrid w:val="0"/>
        <w:spacing w:line="360" w:lineRule="auto"/>
        <w:jc w:val="center"/>
        <w:rPr>
          <w:rFonts w:hint="eastAsia" w:ascii="宋体" w:hAnsi="宋体" w:cs="宋体"/>
          <w:b/>
          <w:color w:val="auto"/>
          <w:sz w:val="44"/>
          <w:szCs w:val="32"/>
          <w:highlight w:val="none"/>
        </w:rPr>
      </w:pPr>
      <w:r>
        <w:rPr>
          <w:rFonts w:hint="eastAsia" w:ascii="宋体" w:hAnsi="宋体" w:cs="宋体"/>
          <w:b/>
          <w:color w:val="auto"/>
          <w:sz w:val="44"/>
          <w:szCs w:val="32"/>
          <w:highlight w:val="none"/>
        </w:rPr>
        <w:t>目 录</w:t>
      </w:r>
    </w:p>
    <w:p w14:paraId="777FF946">
      <w:pPr>
        <w:pStyle w:val="26"/>
        <w:tabs>
          <w:tab w:val="right" w:leader="dot" w:pos="9070"/>
        </w:tabs>
        <w:rPr>
          <w:rFonts w:hint="eastAsia" w:ascii="宋体" w:hAnsi="宋体" w:cs="宋体"/>
          <w:color w:val="auto"/>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TOC \o "1-1" \h \u </w:instrText>
      </w:r>
      <w:r>
        <w:rPr>
          <w:rFonts w:hint="eastAsia" w:ascii="宋体" w:hAnsi="宋体" w:cs="宋体"/>
          <w:color w:val="auto"/>
          <w:sz w:val="30"/>
          <w:szCs w:val="30"/>
          <w:highlight w:val="none"/>
        </w:rPr>
        <w:fldChar w:fldCharType="separate"/>
      </w:r>
    </w:p>
    <w:p w14:paraId="761634E6">
      <w:pPr>
        <w:pStyle w:val="26"/>
        <w:tabs>
          <w:tab w:val="right" w:leader="dot" w:pos="9070"/>
        </w:tabs>
        <w:spacing w:line="48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HYPERLINK \l _Toc12054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第一章  投标邀请函</w:t>
      </w:r>
      <w:bookmarkStart w:id="202" w:name="_GoBack"/>
      <w:bookmarkEnd w:id="202"/>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_Toc12054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1</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472A01D5">
      <w:pPr>
        <w:pStyle w:val="26"/>
        <w:tabs>
          <w:tab w:val="right" w:leader="dot" w:pos="9070"/>
        </w:tabs>
        <w:spacing w:line="48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HYPERLINK \l _Toc9976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第二章  投标人须知</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_Toc9976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5</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0F01CE8D">
      <w:pPr>
        <w:pStyle w:val="26"/>
        <w:tabs>
          <w:tab w:val="right" w:leader="dot" w:pos="9070"/>
        </w:tabs>
        <w:spacing w:line="48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HYPERLINK \l _Toc5009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第三章  用户需求书</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_Toc5009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19</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790920EF">
      <w:pPr>
        <w:pStyle w:val="26"/>
        <w:tabs>
          <w:tab w:val="right" w:leader="dot" w:pos="9070"/>
        </w:tabs>
        <w:spacing w:line="48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HYPERLINK \l _Toc30591 </w:instrText>
      </w:r>
      <w:r>
        <w:rPr>
          <w:rFonts w:hint="eastAsia" w:ascii="宋体" w:hAnsi="宋体" w:cs="宋体"/>
          <w:color w:val="auto"/>
          <w:sz w:val="32"/>
          <w:szCs w:val="32"/>
          <w:highlight w:val="none"/>
        </w:rPr>
        <w:fldChar w:fldCharType="separate"/>
      </w:r>
      <w:r>
        <w:rPr>
          <w:rFonts w:hint="eastAsia" w:ascii="宋体" w:hAnsi="宋体" w:cs="宋体"/>
          <w:bCs/>
          <w:color w:val="auto"/>
          <w:sz w:val="32"/>
          <w:szCs w:val="32"/>
          <w:highlight w:val="none"/>
        </w:rPr>
        <w:t>第四章  合同格式</w:t>
      </w:r>
      <w:bookmarkStart w:id="1" w:name="_Hlt175214022"/>
      <w:bookmarkStart w:id="2" w:name="_Hlt175214023"/>
      <w:r>
        <w:rPr>
          <w:rFonts w:hint="eastAsia" w:ascii="宋体" w:hAnsi="宋体" w:cs="宋体"/>
          <w:bCs/>
          <w:color w:val="auto"/>
          <w:sz w:val="32"/>
          <w:szCs w:val="32"/>
          <w:highlight w:val="none"/>
        </w:rPr>
        <w:t>（</w:t>
      </w:r>
      <w:bookmarkEnd w:id="1"/>
      <w:bookmarkEnd w:id="2"/>
      <w:r>
        <w:rPr>
          <w:rFonts w:hint="eastAsia" w:ascii="宋体" w:hAnsi="宋体" w:cs="宋体"/>
          <w:bCs/>
          <w:color w:val="auto"/>
          <w:sz w:val="32"/>
          <w:szCs w:val="32"/>
          <w:highlight w:val="none"/>
        </w:rPr>
        <w:t>参考）</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_Toc30591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24</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68BEE23D">
      <w:pPr>
        <w:pStyle w:val="26"/>
        <w:tabs>
          <w:tab w:val="right" w:leader="dot" w:pos="9070"/>
        </w:tabs>
        <w:spacing w:line="48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HYPERLINK \l _Toc31761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第五章  投标文件格式</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_Toc31761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35</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21B1F470">
      <w:pPr>
        <w:pStyle w:val="26"/>
        <w:tabs>
          <w:tab w:val="right" w:leader="dot" w:pos="9070"/>
        </w:tabs>
        <w:spacing w:line="480" w:lineRule="auto"/>
        <w:rPr>
          <w:rFonts w:hint="eastAsia" w:ascii="宋体" w:hAnsi="宋体" w:cs="宋体"/>
          <w:color w:val="auto"/>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HYPERLINK \l _Toc5715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第六章  评标办法</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_Toc5715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60</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56E02EBF">
      <w:pPr>
        <w:pStyle w:val="26"/>
        <w:tabs>
          <w:tab w:val="right" w:leader="dot" w:pos="9070"/>
        </w:tabs>
        <w:rPr>
          <w:rFonts w:hint="eastAsia" w:ascii="宋体" w:hAnsi="宋体" w:cs="宋体"/>
          <w:color w:val="auto"/>
          <w:highlight w:val="none"/>
        </w:rPr>
      </w:pPr>
    </w:p>
    <w:p w14:paraId="257CDA51">
      <w:pPr>
        <w:rPr>
          <w:rFonts w:hint="eastAsia" w:ascii="宋体" w:hAnsi="宋体" w:cs="宋体"/>
          <w:color w:val="auto"/>
          <w:sz w:val="30"/>
          <w:szCs w:val="30"/>
          <w:highlight w:val="none"/>
        </w:rPr>
        <w:sectPr>
          <w:footerReference r:id="rId6" w:type="default"/>
          <w:pgSz w:w="11906" w:h="16838"/>
          <w:pgMar w:top="1134" w:right="1418" w:bottom="1134" w:left="1418" w:header="851" w:footer="992" w:gutter="0"/>
          <w:cols w:space="720" w:num="1"/>
          <w:docGrid w:type="lines" w:linePitch="312" w:charSpace="0"/>
        </w:sectPr>
      </w:pPr>
      <w:r>
        <w:rPr>
          <w:rFonts w:hint="eastAsia" w:ascii="宋体" w:hAnsi="宋体" w:cs="宋体"/>
          <w:color w:val="auto"/>
          <w:szCs w:val="30"/>
          <w:highlight w:val="none"/>
        </w:rPr>
        <w:fldChar w:fldCharType="end"/>
      </w:r>
    </w:p>
    <w:p w14:paraId="61D03959">
      <w:pPr>
        <w:pStyle w:val="16"/>
        <w:rPr>
          <w:rFonts w:hint="eastAsia" w:hAnsi="宋体" w:cs="宋体"/>
          <w:color w:val="auto"/>
          <w:highlight w:val="none"/>
        </w:rPr>
      </w:pPr>
    </w:p>
    <w:p w14:paraId="52508E29">
      <w:pPr>
        <w:spacing w:before="312" w:beforeLines="100" w:after="312" w:afterLines="100"/>
        <w:jc w:val="center"/>
        <w:rPr>
          <w:rFonts w:hint="eastAsia" w:ascii="宋体" w:hAnsi="宋体" w:cs="宋体"/>
          <w:b/>
          <w:color w:val="auto"/>
          <w:sz w:val="44"/>
          <w:highlight w:val="none"/>
        </w:rPr>
      </w:pPr>
    </w:p>
    <w:p w14:paraId="0508B794">
      <w:pPr>
        <w:spacing w:line="360" w:lineRule="auto"/>
        <w:jc w:val="center"/>
        <w:rPr>
          <w:rFonts w:hint="eastAsia" w:ascii="宋体" w:hAnsi="宋体" w:cs="宋体"/>
          <w:b/>
          <w:color w:val="auto"/>
          <w:sz w:val="44"/>
          <w:highlight w:val="none"/>
        </w:rPr>
      </w:pPr>
    </w:p>
    <w:p w14:paraId="0D982217">
      <w:pPr>
        <w:spacing w:line="360" w:lineRule="auto"/>
        <w:jc w:val="center"/>
        <w:rPr>
          <w:rFonts w:hint="eastAsia" w:ascii="宋体" w:hAnsi="宋体" w:cs="宋体"/>
          <w:b/>
          <w:color w:val="auto"/>
          <w:sz w:val="44"/>
          <w:highlight w:val="none"/>
        </w:rPr>
      </w:pPr>
    </w:p>
    <w:p w14:paraId="2D9CD990">
      <w:pPr>
        <w:spacing w:line="360" w:lineRule="auto"/>
        <w:jc w:val="center"/>
        <w:rPr>
          <w:rFonts w:hint="eastAsia" w:ascii="宋体" w:hAnsi="宋体" w:cs="宋体"/>
          <w:b/>
          <w:color w:val="auto"/>
          <w:sz w:val="44"/>
          <w:highlight w:val="none"/>
        </w:rPr>
      </w:pPr>
    </w:p>
    <w:p w14:paraId="11501C3C">
      <w:pPr>
        <w:spacing w:line="360" w:lineRule="auto"/>
        <w:jc w:val="center"/>
        <w:rPr>
          <w:rFonts w:hint="eastAsia" w:ascii="宋体" w:hAnsi="宋体" w:cs="宋体"/>
          <w:b/>
          <w:color w:val="auto"/>
          <w:sz w:val="44"/>
          <w:highlight w:val="none"/>
        </w:rPr>
      </w:pPr>
    </w:p>
    <w:p w14:paraId="7B29D20F">
      <w:pPr>
        <w:spacing w:line="360" w:lineRule="auto"/>
        <w:jc w:val="center"/>
        <w:rPr>
          <w:rFonts w:hint="eastAsia" w:ascii="宋体" w:hAnsi="宋体" w:cs="宋体"/>
          <w:b/>
          <w:color w:val="auto"/>
          <w:sz w:val="44"/>
          <w:highlight w:val="none"/>
        </w:rPr>
      </w:pPr>
    </w:p>
    <w:p w14:paraId="5CA6342D">
      <w:pPr>
        <w:spacing w:line="360" w:lineRule="auto"/>
        <w:jc w:val="center"/>
        <w:rPr>
          <w:rFonts w:hint="eastAsia" w:ascii="宋体" w:hAnsi="宋体" w:cs="宋体"/>
          <w:b/>
          <w:color w:val="auto"/>
          <w:sz w:val="44"/>
          <w:highlight w:val="none"/>
        </w:rPr>
      </w:pPr>
    </w:p>
    <w:p w14:paraId="07847667">
      <w:pPr>
        <w:spacing w:line="360" w:lineRule="auto"/>
        <w:jc w:val="center"/>
        <w:rPr>
          <w:rFonts w:hint="eastAsia" w:ascii="宋体" w:hAnsi="宋体" w:cs="宋体"/>
          <w:b/>
          <w:color w:val="auto"/>
          <w:sz w:val="44"/>
          <w:highlight w:val="none"/>
        </w:rPr>
      </w:pPr>
    </w:p>
    <w:p w14:paraId="6FC5E6B5">
      <w:pPr>
        <w:jc w:val="center"/>
        <w:outlineLvl w:val="0"/>
        <w:rPr>
          <w:rFonts w:hint="eastAsia" w:ascii="宋体" w:hAnsi="宋体" w:cs="宋体"/>
          <w:b/>
          <w:color w:val="auto"/>
          <w:sz w:val="44"/>
          <w:szCs w:val="44"/>
          <w:highlight w:val="none"/>
        </w:rPr>
      </w:pPr>
      <w:bookmarkStart w:id="3" w:name="_Toc12054"/>
      <w:r>
        <w:rPr>
          <w:rFonts w:hint="eastAsia" w:ascii="宋体" w:hAnsi="宋体" w:cs="宋体"/>
          <w:b/>
          <w:color w:val="auto"/>
          <w:sz w:val="44"/>
          <w:szCs w:val="44"/>
          <w:highlight w:val="none"/>
        </w:rPr>
        <w:t>第一章</w:t>
      </w:r>
      <w:bookmarkStart w:id="4" w:name="_Toc477186208"/>
      <w:r>
        <w:rPr>
          <w:rFonts w:hint="eastAsia" w:ascii="宋体" w:hAnsi="宋体" w:cs="宋体"/>
          <w:b/>
          <w:color w:val="auto"/>
          <w:sz w:val="44"/>
          <w:szCs w:val="44"/>
          <w:highlight w:val="none"/>
        </w:rPr>
        <w:t xml:space="preserve">  投标邀请函</w:t>
      </w:r>
      <w:bookmarkEnd w:id="3"/>
      <w:bookmarkEnd w:id="4"/>
    </w:p>
    <w:p w14:paraId="75F4890F">
      <w:pPr>
        <w:tabs>
          <w:tab w:val="left" w:pos="6420"/>
        </w:tabs>
        <w:adjustRightInd w:val="0"/>
        <w:snapToGrid w:val="0"/>
        <w:spacing w:line="360" w:lineRule="auto"/>
        <w:jc w:val="center"/>
        <w:rPr>
          <w:rFonts w:hint="eastAsia" w:ascii="宋体" w:hAnsi="宋体" w:cs="宋体"/>
          <w:b/>
          <w:color w:val="auto"/>
          <w:kern w:val="28"/>
          <w:sz w:val="32"/>
          <w:highlight w:val="none"/>
        </w:rPr>
      </w:pPr>
      <w:r>
        <w:rPr>
          <w:rFonts w:hint="eastAsia" w:ascii="宋体" w:hAnsi="宋体" w:cs="宋体"/>
          <w:color w:val="auto"/>
          <w:sz w:val="24"/>
          <w:highlight w:val="none"/>
        </w:rPr>
        <w:br w:type="page"/>
      </w:r>
      <w:r>
        <w:rPr>
          <w:rFonts w:hint="eastAsia" w:ascii="宋体" w:hAnsi="宋体" w:cs="宋体"/>
          <w:b/>
          <w:color w:val="auto"/>
          <w:kern w:val="28"/>
          <w:sz w:val="32"/>
          <w:highlight w:val="none"/>
        </w:rPr>
        <w:t>投 标 邀 请 函</w:t>
      </w:r>
    </w:p>
    <w:p w14:paraId="712824CE">
      <w:pPr>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[项目编号：</w:t>
      </w:r>
      <w:r>
        <w:rPr>
          <w:rFonts w:hint="eastAsia" w:ascii="宋体" w:hAnsi="宋体" w:cs="宋体"/>
          <w:color w:val="auto"/>
          <w:szCs w:val="24"/>
          <w:highlight w:val="none"/>
          <w:lang w:eastAsia="zh-CN"/>
        </w:rPr>
        <w:t>M4400000707528175</w:t>
      </w:r>
      <w:r>
        <w:rPr>
          <w:rFonts w:hint="eastAsia" w:ascii="宋体" w:hAnsi="宋体" w:cs="宋体"/>
          <w:color w:val="auto"/>
          <w:szCs w:val="24"/>
          <w:highlight w:val="none"/>
        </w:rPr>
        <w:t>]</w:t>
      </w:r>
    </w:p>
    <w:p w14:paraId="69C84317">
      <w:pPr>
        <w:spacing w:line="360" w:lineRule="auto"/>
        <w:ind w:left="-359" w:leftChars="-171" w:firstLine="464" w:firstLineChars="220"/>
        <w:rPr>
          <w:rFonts w:hint="eastAsia" w:ascii="宋体" w:hAnsi="宋体" w:cs="宋体"/>
          <w:b/>
          <w:color w:val="auto"/>
          <w:kern w:val="28"/>
          <w:sz w:val="32"/>
          <w:highlight w:val="none"/>
        </w:rPr>
      </w:pPr>
      <w:r>
        <w:rPr>
          <w:rFonts w:hint="eastAsia" w:ascii="宋体" w:hAnsi="宋体" w:cs="宋体"/>
          <w:b/>
          <w:color w:val="auto"/>
          <w:kern w:val="28"/>
          <w:highlight w:val="none"/>
        </w:rPr>
        <w:t>广东省机电设备招标有限公司</w:t>
      </w:r>
      <w:r>
        <w:rPr>
          <w:rFonts w:hint="eastAsia" w:ascii="宋体" w:hAnsi="宋体" w:cs="宋体"/>
          <w:color w:val="auto"/>
          <w:kern w:val="28"/>
          <w:highlight w:val="none"/>
        </w:rPr>
        <w:t>（以下称“招标代理机构”）受</w:t>
      </w:r>
      <w:r>
        <w:rPr>
          <w:rFonts w:hint="eastAsia" w:ascii="宋体" w:hAnsi="宋体" w:cs="宋体"/>
          <w:b/>
          <w:bCs/>
          <w:color w:val="auto"/>
          <w:highlight w:val="none"/>
        </w:rPr>
        <w:t>广东南方报业传媒集团物业管理有限公司</w:t>
      </w:r>
      <w:r>
        <w:rPr>
          <w:rFonts w:hint="eastAsia" w:ascii="宋体" w:hAnsi="宋体" w:cs="宋体"/>
          <w:color w:val="auto"/>
          <w:kern w:val="28"/>
          <w:highlight w:val="none"/>
        </w:rPr>
        <w:t>（以下称“招标人”）的委托，就</w:t>
      </w:r>
      <w:r>
        <w:rPr>
          <w:rFonts w:hint="eastAsia" w:ascii="宋体" w:hAnsi="宋体" w:cs="宋体"/>
          <w:b/>
          <w:bCs/>
          <w:color w:val="auto"/>
          <w:highlight w:val="none"/>
          <w:lang w:eastAsia="zh-CN"/>
        </w:rPr>
        <w:t>南方报业传媒集团2025至2026年度安保服务</w:t>
      </w:r>
      <w:r>
        <w:rPr>
          <w:rFonts w:hint="eastAsia" w:ascii="宋体" w:hAnsi="宋体" w:cs="宋体"/>
          <w:color w:val="auto"/>
          <w:kern w:val="28"/>
          <w:highlight w:val="none"/>
        </w:rPr>
        <w:t>进行国内公开招标。</w:t>
      </w:r>
      <w:r>
        <w:rPr>
          <w:rFonts w:hint="eastAsia" w:ascii="宋体" w:hAnsi="宋体" w:cs="宋体"/>
          <w:color w:val="auto"/>
          <w:highlight w:val="none"/>
        </w:rPr>
        <w:t xml:space="preserve">有关事项如下： </w:t>
      </w:r>
    </w:p>
    <w:p w14:paraId="530E9C3E">
      <w:pPr>
        <w:tabs>
          <w:tab w:val="left" w:pos="0"/>
        </w:tabs>
        <w:spacing w:line="360" w:lineRule="auto"/>
        <w:outlineLvl w:val="0"/>
        <w:rPr>
          <w:rFonts w:hint="eastAsia" w:ascii="宋体" w:hAnsi="宋体" w:cs="宋体"/>
          <w:b/>
          <w:color w:val="auto"/>
          <w:highlight w:val="none"/>
        </w:rPr>
      </w:pPr>
      <w:bookmarkStart w:id="5" w:name="_Toc476177325"/>
      <w:bookmarkStart w:id="6" w:name="_Toc19867"/>
      <w:bookmarkStart w:id="7" w:name="_Toc477185848"/>
      <w:bookmarkStart w:id="8" w:name="_Toc476177879"/>
      <w:bookmarkStart w:id="9" w:name="_Toc477186209"/>
      <w:r>
        <w:rPr>
          <w:rFonts w:hint="eastAsia" w:ascii="宋体" w:hAnsi="宋体" w:cs="宋体"/>
          <w:b/>
          <w:color w:val="auto"/>
          <w:highlight w:val="none"/>
        </w:rPr>
        <w:t>一、项目概况</w:t>
      </w:r>
      <w:bookmarkEnd w:id="5"/>
      <w:bookmarkEnd w:id="6"/>
      <w:bookmarkEnd w:id="7"/>
      <w:bookmarkEnd w:id="8"/>
      <w:bookmarkEnd w:id="9"/>
    </w:p>
    <w:p w14:paraId="3DA0D968">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4"/>
          <w:highlight w:val="none"/>
        </w:rPr>
        <w:t>项目编号：</w:t>
      </w:r>
      <w:r>
        <w:rPr>
          <w:rFonts w:hint="eastAsia" w:ascii="宋体" w:hAnsi="宋体" w:cs="宋体"/>
          <w:color w:val="auto"/>
          <w:szCs w:val="24"/>
          <w:highlight w:val="none"/>
          <w:lang w:eastAsia="zh-CN"/>
        </w:rPr>
        <w:t>M4400000707528175</w:t>
      </w:r>
    </w:p>
    <w:p w14:paraId="04B8B57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2.项目名称：</w:t>
      </w:r>
      <w:r>
        <w:rPr>
          <w:rFonts w:hint="eastAsia" w:ascii="宋体" w:hAnsi="宋体" w:cs="宋体"/>
          <w:b/>
          <w:color w:val="auto"/>
          <w:szCs w:val="21"/>
          <w:highlight w:val="none"/>
          <w:lang w:eastAsia="zh-CN"/>
        </w:rPr>
        <w:t>南方报业传媒集团2025至2026年度安保服务</w:t>
      </w:r>
      <w:r>
        <w:rPr>
          <w:rFonts w:hint="eastAsia" w:ascii="宋体" w:hAnsi="宋体" w:cs="宋体"/>
          <w:b/>
          <w:color w:val="auto"/>
          <w:szCs w:val="21"/>
          <w:highlight w:val="none"/>
        </w:rPr>
        <w:t>。</w:t>
      </w:r>
    </w:p>
    <w:p w14:paraId="1776F880">
      <w:pPr>
        <w:tabs>
          <w:tab w:val="left" w:pos="540"/>
        </w:tabs>
        <w:spacing w:line="360" w:lineRule="auto"/>
        <w:outlineLvl w:val="0"/>
        <w:rPr>
          <w:rFonts w:hint="eastAsia" w:ascii="宋体" w:hAnsi="宋体" w:cs="宋体"/>
          <w:color w:val="auto"/>
          <w:szCs w:val="21"/>
          <w:highlight w:val="none"/>
          <w:lang w:val="en-US" w:eastAsia="zh-CN"/>
        </w:rPr>
      </w:pPr>
      <w:bookmarkStart w:id="10" w:name="_Toc17501"/>
      <w:r>
        <w:rPr>
          <w:rFonts w:hint="eastAsia" w:ascii="宋体" w:hAnsi="宋体" w:cs="宋体"/>
          <w:color w:val="auto"/>
          <w:szCs w:val="21"/>
          <w:highlight w:val="none"/>
        </w:rPr>
        <w:t>3.最高</w:t>
      </w:r>
      <w:r>
        <w:rPr>
          <w:rFonts w:hint="eastAsia" w:ascii="宋体" w:hAnsi="宋体" w:cs="宋体"/>
          <w:color w:val="auto"/>
          <w:szCs w:val="21"/>
          <w:highlight w:val="none"/>
          <w:lang w:val="en-US" w:eastAsia="zh-CN"/>
        </w:rPr>
        <w:t>总</w:t>
      </w:r>
      <w:r>
        <w:rPr>
          <w:rFonts w:hint="eastAsia" w:ascii="宋体" w:hAnsi="宋体" w:cs="宋体"/>
          <w:color w:val="auto"/>
          <w:szCs w:val="21"/>
          <w:highlight w:val="none"/>
        </w:rPr>
        <w:t>限价</w:t>
      </w:r>
      <w:r>
        <w:rPr>
          <w:rFonts w:hint="eastAsia" w:ascii="宋体" w:hAnsi="宋体" w:cs="宋体"/>
          <w:color w:val="auto"/>
          <w:szCs w:val="21"/>
          <w:highlight w:val="none"/>
          <w:lang w:eastAsia="zh-CN"/>
        </w:rPr>
        <w:t>：310万元（2年）</w:t>
      </w:r>
    </w:p>
    <w:p w14:paraId="22106840">
      <w:pPr>
        <w:tabs>
          <w:tab w:val="left" w:pos="540"/>
        </w:tabs>
        <w:spacing w:line="360" w:lineRule="auto"/>
        <w:outlineLvl w:val="0"/>
        <w:rPr>
          <w:rFonts w:hint="eastAsia" w:ascii="宋体" w:hAnsi="宋体" w:cs="宋体"/>
          <w:b/>
          <w:color w:val="auto"/>
          <w:highlight w:val="none"/>
        </w:rPr>
      </w:pPr>
      <w:r>
        <w:rPr>
          <w:rFonts w:hint="eastAsia" w:ascii="宋体" w:hAnsi="宋体" w:cs="宋体"/>
          <w:b/>
          <w:color w:val="auto"/>
          <w:highlight w:val="none"/>
          <w:lang w:val="zh-CN"/>
        </w:rPr>
        <w:t>注：</w:t>
      </w:r>
      <w:r>
        <w:rPr>
          <w:rFonts w:hint="eastAsia" w:ascii="宋体" w:hAnsi="宋体" w:cs="宋体"/>
          <w:b/>
          <w:color w:val="auto"/>
          <w:highlight w:val="none"/>
        </w:rPr>
        <w:t>如投标报价超过最高</w:t>
      </w:r>
      <w:r>
        <w:rPr>
          <w:rFonts w:hint="eastAsia" w:ascii="宋体" w:hAnsi="宋体" w:cs="宋体"/>
          <w:b/>
          <w:color w:val="auto"/>
          <w:highlight w:val="none"/>
          <w:lang w:val="en-US" w:eastAsia="zh-CN"/>
        </w:rPr>
        <w:t>总</w:t>
      </w:r>
      <w:r>
        <w:rPr>
          <w:rFonts w:hint="eastAsia" w:ascii="宋体" w:hAnsi="宋体" w:cs="宋体"/>
          <w:b/>
          <w:color w:val="auto"/>
          <w:highlight w:val="none"/>
        </w:rPr>
        <w:t>限价，则其投标文件作无效投标处理。</w:t>
      </w:r>
      <w:bookmarkEnd w:id="10"/>
    </w:p>
    <w:p w14:paraId="1CC32316">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4.采购数量：1项</w:t>
      </w:r>
    </w:p>
    <w:p w14:paraId="6E36887A">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5.项目内容及要求：</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4974"/>
        <w:gridCol w:w="3151"/>
      </w:tblGrid>
      <w:tr w14:paraId="533F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154" w:type="dxa"/>
            <w:noWrap w:val="0"/>
            <w:vAlign w:val="center"/>
          </w:tcPr>
          <w:p w14:paraId="5226792D">
            <w:pPr>
              <w:spacing w:line="360" w:lineRule="auto"/>
              <w:jc w:val="center"/>
              <w:rPr>
                <w:rFonts w:hint="eastAsia" w:ascii="宋体" w:hAnsi="宋体" w:cs="宋体"/>
                <w:color w:val="auto"/>
                <w:szCs w:val="21"/>
                <w:highlight w:val="none"/>
              </w:rPr>
            </w:pPr>
            <w:bookmarkStart w:id="11" w:name="_Toc476177880"/>
            <w:bookmarkStart w:id="12" w:name="_Toc476177326"/>
            <w:bookmarkStart w:id="13" w:name="_Toc477185849"/>
            <w:bookmarkStart w:id="14" w:name="_Toc477186210"/>
            <w:r>
              <w:rPr>
                <w:rFonts w:hint="eastAsia" w:ascii="宋体" w:hAnsi="宋体" w:cs="宋体"/>
                <w:color w:val="auto"/>
                <w:szCs w:val="21"/>
                <w:highlight w:val="none"/>
              </w:rPr>
              <w:t>序号</w:t>
            </w:r>
          </w:p>
        </w:tc>
        <w:tc>
          <w:tcPr>
            <w:tcW w:w="4974" w:type="dxa"/>
            <w:noWrap w:val="0"/>
            <w:vAlign w:val="center"/>
          </w:tcPr>
          <w:p w14:paraId="6EA5FA6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采购内容/用途</w:t>
            </w:r>
          </w:p>
        </w:tc>
        <w:tc>
          <w:tcPr>
            <w:tcW w:w="3151" w:type="dxa"/>
            <w:noWrap w:val="0"/>
            <w:vAlign w:val="center"/>
          </w:tcPr>
          <w:p w14:paraId="50F9106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详细要求</w:t>
            </w:r>
          </w:p>
        </w:tc>
      </w:tr>
      <w:tr w14:paraId="67504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54" w:type="dxa"/>
            <w:noWrap w:val="0"/>
            <w:vAlign w:val="center"/>
          </w:tcPr>
          <w:p w14:paraId="7036034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974" w:type="dxa"/>
            <w:noWrap w:val="0"/>
            <w:vAlign w:val="center"/>
          </w:tcPr>
          <w:p w14:paraId="08921C7B">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南方报业传媒集团2025至2026年度安保服务</w:t>
            </w:r>
          </w:p>
        </w:tc>
        <w:tc>
          <w:tcPr>
            <w:tcW w:w="3151" w:type="dxa"/>
            <w:noWrap w:val="0"/>
            <w:vAlign w:val="center"/>
          </w:tcPr>
          <w:p w14:paraId="2AE811F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详见用户需求</w:t>
            </w:r>
          </w:p>
        </w:tc>
      </w:tr>
    </w:tbl>
    <w:p w14:paraId="0C68AFD3">
      <w:pPr>
        <w:tabs>
          <w:tab w:val="left" w:pos="540"/>
        </w:tabs>
        <w:spacing w:line="360" w:lineRule="auto"/>
        <w:outlineLvl w:val="0"/>
        <w:rPr>
          <w:rFonts w:hint="eastAsia" w:ascii="宋体" w:hAnsi="宋体" w:cs="宋体"/>
          <w:b/>
          <w:color w:val="auto"/>
          <w:highlight w:val="none"/>
        </w:rPr>
      </w:pPr>
      <w:bookmarkStart w:id="15" w:name="_Toc22610"/>
      <w:r>
        <w:rPr>
          <w:rFonts w:hint="eastAsia" w:ascii="宋体" w:hAnsi="宋体" w:cs="宋体"/>
          <w:b/>
          <w:color w:val="auto"/>
          <w:highlight w:val="none"/>
          <w:lang w:val="zh-CN"/>
        </w:rPr>
        <w:t>注：投标人应对项目所有的内容进行投标，不允许只对其中部分内容进行投标</w:t>
      </w:r>
      <w:r>
        <w:rPr>
          <w:rFonts w:hint="eastAsia" w:ascii="宋体" w:hAnsi="宋体" w:cs="宋体"/>
          <w:b/>
          <w:color w:val="auto"/>
          <w:highlight w:val="none"/>
        </w:rPr>
        <w:t>。</w:t>
      </w:r>
      <w:bookmarkEnd w:id="15"/>
    </w:p>
    <w:p w14:paraId="0C2A5162">
      <w:pPr>
        <w:tabs>
          <w:tab w:val="left" w:pos="540"/>
        </w:tabs>
        <w:spacing w:line="360" w:lineRule="auto"/>
        <w:outlineLvl w:val="0"/>
        <w:rPr>
          <w:rFonts w:hint="eastAsia" w:ascii="宋体" w:hAnsi="宋体" w:cs="宋体"/>
          <w:b/>
          <w:color w:val="auto"/>
          <w:highlight w:val="none"/>
        </w:rPr>
      </w:pPr>
      <w:bookmarkStart w:id="16" w:name="_Toc9782"/>
      <w:r>
        <w:rPr>
          <w:rFonts w:hint="eastAsia" w:ascii="宋体" w:hAnsi="宋体" w:cs="宋体"/>
          <w:b/>
          <w:color w:val="auto"/>
          <w:highlight w:val="none"/>
        </w:rPr>
        <w:t>二、合格投标人资格条件</w:t>
      </w:r>
      <w:bookmarkEnd w:id="11"/>
      <w:bookmarkEnd w:id="12"/>
      <w:bookmarkEnd w:id="13"/>
      <w:bookmarkEnd w:id="14"/>
      <w:bookmarkEnd w:id="16"/>
    </w:p>
    <w:p w14:paraId="08BB93A2">
      <w:pPr>
        <w:spacing w:line="360" w:lineRule="auto"/>
        <w:ind w:left="-359" w:leftChars="-171" w:firstLine="462" w:firstLineChars="220"/>
        <w:rPr>
          <w:rFonts w:hint="eastAsia" w:ascii="宋体" w:hAnsi="宋体" w:cs="宋体"/>
          <w:bCs/>
          <w:color w:val="auto"/>
          <w:kern w:val="28"/>
          <w:szCs w:val="22"/>
          <w:highlight w:val="none"/>
        </w:rPr>
      </w:pPr>
      <w:bookmarkStart w:id="17" w:name="_Toc476177881"/>
      <w:bookmarkStart w:id="18" w:name="_Toc477185850"/>
      <w:bookmarkStart w:id="19" w:name="_Toc476177327"/>
      <w:bookmarkStart w:id="20" w:name="_Toc477186211"/>
      <w:r>
        <w:rPr>
          <w:rFonts w:hint="eastAsia" w:ascii="宋体" w:hAnsi="宋体" w:cs="宋体"/>
          <w:bCs/>
          <w:color w:val="auto"/>
          <w:kern w:val="28"/>
          <w:szCs w:val="22"/>
          <w:highlight w:val="none"/>
        </w:rPr>
        <w:t>2.1投标人必须是在中华人民共和国范围内注册的独立法人，持有工商行政管理部门核发的有效的营业执照(若持有“一照一码”版本营业执照，则无需提交组织机构代码证及税务登记证）。</w:t>
      </w:r>
    </w:p>
    <w:p w14:paraId="7F88620D">
      <w:pPr>
        <w:spacing w:line="360" w:lineRule="auto"/>
        <w:ind w:left="-359" w:leftChars="-171" w:firstLine="462" w:firstLineChars="220"/>
        <w:rPr>
          <w:rFonts w:hint="eastAsia" w:ascii="宋体" w:hAnsi="宋体" w:eastAsia="宋体" w:cs="宋体"/>
          <w:bCs/>
          <w:color w:val="auto"/>
          <w:kern w:val="28"/>
          <w:szCs w:val="22"/>
          <w:highlight w:val="none"/>
          <w:lang w:val="en-US" w:eastAsia="zh-CN"/>
        </w:rPr>
      </w:pPr>
      <w:r>
        <w:rPr>
          <w:rFonts w:hint="eastAsia" w:ascii="宋体" w:hAnsi="宋体" w:cs="宋体"/>
          <w:bCs/>
          <w:color w:val="auto"/>
          <w:kern w:val="28"/>
          <w:szCs w:val="22"/>
          <w:highlight w:val="none"/>
        </w:rPr>
        <w:t>2.2</w:t>
      </w:r>
      <w:r>
        <w:rPr>
          <w:rFonts w:hint="eastAsia" w:ascii="宋体" w:hAnsi="宋体" w:cs="宋体"/>
          <w:bCs/>
          <w:color w:val="auto"/>
          <w:kern w:val="28"/>
          <w:szCs w:val="22"/>
          <w:highlight w:val="none"/>
          <w:lang w:val="en-US" w:eastAsia="zh-CN"/>
        </w:rPr>
        <w:t>投标人</w:t>
      </w:r>
      <w:r>
        <w:rPr>
          <w:rFonts w:hint="eastAsia" w:ascii="宋体" w:hAnsi="宋体" w:cs="宋体"/>
          <w:bCs/>
          <w:color w:val="auto"/>
          <w:kern w:val="28"/>
          <w:szCs w:val="22"/>
          <w:highlight w:val="none"/>
        </w:rPr>
        <w:t>具有有效的</w:t>
      </w:r>
      <w:r>
        <w:rPr>
          <w:rFonts w:hint="eastAsia" w:ascii="宋体" w:hAnsi="宋体" w:cs="宋体"/>
          <w:bCs/>
          <w:color w:val="auto"/>
          <w:kern w:val="28"/>
          <w:szCs w:val="22"/>
          <w:highlight w:val="none"/>
          <w:lang w:eastAsia="zh-CN"/>
        </w:rPr>
        <w:t>《</w:t>
      </w:r>
      <w:r>
        <w:rPr>
          <w:rFonts w:hint="eastAsia" w:ascii="宋体" w:hAnsi="宋体" w:cs="宋体"/>
          <w:bCs/>
          <w:color w:val="auto"/>
          <w:kern w:val="28"/>
          <w:szCs w:val="22"/>
          <w:highlight w:val="none"/>
        </w:rPr>
        <w:t>保安服务许可证</w:t>
      </w:r>
      <w:r>
        <w:rPr>
          <w:rFonts w:hint="eastAsia" w:ascii="宋体" w:hAnsi="宋体" w:cs="宋体"/>
          <w:bCs/>
          <w:color w:val="auto"/>
          <w:kern w:val="28"/>
          <w:szCs w:val="22"/>
          <w:highlight w:val="none"/>
          <w:lang w:eastAsia="zh-CN"/>
        </w:rPr>
        <w:t>》</w:t>
      </w:r>
      <w:r>
        <w:rPr>
          <w:rFonts w:hint="eastAsia" w:ascii="宋体" w:hAnsi="宋体" w:cs="宋体"/>
          <w:bCs/>
          <w:kern w:val="28"/>
          <w:szCs w:val="22"/>
        </w:rPr>
        <w:t>；如国家另有规定，则从其规定</w:t>
      </w:r>
      <w:r>
        <w:rPr>
          <w:rFonts w:hint="eastAsia" w:ascii="宋体" w:hAnsi="宋体" w:cs="宋体"/>
          <w:bCs/>
          <w:color w:val="auto"/>
          <w:kern w:val="28"/>
          <w:szCs w:val="22"/>
          <w:highlight w:val="none"/>
        </w:rPr>
        <w:t>。</w:t>
      </w:r>
      <w:r>
        <w:rPr>
          <w:rFonts w:hint="eastAsia" w:ascii="宋体" w:hAnsi="宋体" w:cs="宋体"/>
          <w:bCs/>
          <w:color w:val="auto"/>
          <w:kern w:val="28"/>
          <w:szCs w:val="22"/>
          <w:highlight w:val="none"/>
          <w:lang w:eastAsia="zh-CN"/>
        </w:rPr>
        <w:t>（</w:t>
      </w:r>
      <w:r>
        <w:rPr>
          <w:rFonts w:hint="eastAsia" w:ascii="宋体" w:hAnsi="宋体" w:cs="宋体"/>
          <w:bCs/>
          <w:color w:val="auto"/>
          <w:kern w:val="28"/>
          <w:szCs w:val="22"/>
          <w:highlight w:val="none"/>
          <w:lang w:val="en-US" w:eastAsia="zh-CN"/>
        </w:rPr>
        <w:t>须提供有效的证书复印件</w:t>
      </w:r>
      <w:r>
        <w:rPr>
          <w:rFonts w:hint="eastAsia" w:ascii="宋体" w:hAnsi="宋体" w:cs="宋体"/>
          <w:bCs/>
          <w:color w:val="auto"/>
          <w:kern w:val="28"/>
          <w:szCs w:val="22"/>
          <w:highlight w:val="none"/>
          <w:lang w:eastAsia="zh-CN"/>
        </w:rPr>
        <w:t>）</w:t>
      </w:r>
    </w:p>
    <w:p w14:paraId="3EFE3BB5">
      <w:pPr>
        <w:spacing w:line="360" w:lineRule="auto"/>
        <w:ind w:left="-359" w:leftChars="-171" w:firstLine="462" w:firstLineChars="220"/>
        <w:rPr>
          <w:rFonts w:hint="eastAsia" w:ascii="宋体" w:hAnsi="宋体" w:cs="宋体"/>
          <w:bCs/>
          <w:color w:val="auto"/>
          <w:kern w:val="28"/>
          <w:szCs w:val="22"/>
          <w:highlight w:val="none"/>
        </w:rPr>
      </w:pPr>
      <w:r>
        <w:rPr>
          <w:rFonts w:hint="eastAsia" w:ascii="宋体" w:hAnsi="宋体" w:cs="宋体"/>
          <w:bCs/>
          <w:color w:val="auto"/>
          <w:kern w:val="28"/>
          <w:szCs w:val="22"/>
          <w:highlight w:val="none"/>
          <w:lang w:val="en-US" w:eastAsia="zh-CN"/>
        </w:rPr>
        <w:t>2.3</w:t>
      </w:r>
      <w:r>
        <w:rPr>
          <w:rFonts w:hint="eastAsia" w:ascii="宋体" w:hAnsi="宋体" w:cs="宋体"/>
          <w:bCs/>
          <w:color w:val="auto"/>
          <w:kern w:val="28"/>
          <w:szCs w:val="22"/>
          <w:highlight w:val="none"/>
        </w:rPr>
        <w:t>投标人所属的单位负责人为同一人或者存在控股、管理等关联关系的不同供应商，不得参加同一合同项下的采购活动</w:t>
      </w:r>
      <w:r>
        <w:rPr>
          <w:rFonts w:hint="eastAsia" w:ascii="宋体" w:hAnsi="宋体" w:cs="宋体"/>
          <w:bCs/>
          <w:color w:val="auto"/>
          <w:kern w:val="28"/>
          <w:szCs w:val="22"/>
          <w:highlight w:val="none"/>
          <w:lang w:eastAsia="zh-CN"/>
        </w:rPr>
        <w:t>。</w:t>
      </w:r>
      <w:r>
        <w:rPr>
          <w:rFonts w:hint="eastAsia" w:ascii="宋体" w:hAnsi="宋体" w:cs="宋体"/>
          <w:bCs/>
          <w:color w:val="auto"/>
          <w:kern w:val="28"/>
          <w:szCs w:val="22"/>
          <w:highlight w:val="none"/>
        </w:rPr>
        <w:t>投标人应提交书面声明（格式自拟，须加盖公章）。</w:t>
      </w:r>
    </w:p>
    <w:p w14:paraId="4895EE18">
      <w:pPr>
        <w:spacing w:line="360" w:lineRule="auto"/>
        <w:ind w:left="-359" w:leftChars="-171" w:firstLine="462" w:firstLineChars="220"/>
        <w:rPr>
          <w:rFonts w:hint="eastAsia" w:ascii="宋体" w:hAnsi="宋体" w:eastAsia="宋体" w:cs="宋体"/>
          <w:bCs/>
          <w:color w:val="auto"/>
          <w:kern w:val="28"/>
          <w:szCs w:val="22"/>
          <w:highlight w:val="none"/>
        </w:rPr>
      </w:pPr>
      <w:r>
        <w:rPr>
          <w:rFonts w:hint="eastAsia" w:ascii="宋体" w:hAnsi="宋体" w:eastAsia="宋体" w:cs="宋体"/>
          <w:bCs/>
          <w:color w:val="auto"/>
          <w:kern w:val="28"/>
          <w:szCs w:val="22"/>
          <w:highlight w:val="none"/>
        </w:rPr>
        <w:t>2.</w:t>
      </w:r>
      <w:r>
        <w:rPr>
          <w:rFonts w:hint="eastAsia" w:ascii="宋体" w:hAnsi="宋体" w:cs="宋体"/>
          <w:bCs/>
          <w:color w:val="auto"/>
          <w:kern w:val="28"/>
          <w:szCs w:val="22"/>
          <w:highlight w:val="none"/>
          <w:lang w:val="en-US" w:eastAsia="zh-CN"/>
        </w:rPr>
        <w:t>4</w:t>
      </w:r>
      <w:r>
        <w:rPr>
          <w:rFonts w:hint="eastAsia" w:ascii="宋体" w:hAnsi="宋体" w:eastAsia="宋体" w:cs="宋体"/>
          <w:bCs/>
          <w:color w:val="auto"/>
          <w:kern w:val="28"/>
          <w:szCs w:val="22"/>
          <w:highlight w:val="none"/>
        </w:rPr>
        <w:t>参加</w:t>
      </w:r>
      <w:r>
        <w:rPr>
          <w:rFonts w:hint="eastAsia" w:ascii="宋体" w:hAnsi="宋体" w:eastAsia="宋体" w:cs="宋体"/>
          <w:bCs/>
          <w:color w:val="auto"/>
          <w:kern w:val="28"/>
          <w:szCs w:val="22"/>
          <w:highlight w:val="none"/>
          <w:lang w:val="en-US" w:eastAsia="zh-CN"/>
        </w:rPr>
        <w:t>本投标</w:t>
      </w:r>
      <w:r>
        <w:rPr>
          <w:rFonts w:hint="eastAsia" w:ascii="宋体" w:hAnsi="宋体" w:eastAsia="宋体" w:cs="宋体"/>
          <w:bCs/>
          <w:color w:val="auto"/>
          <w:kern w:val="28"/>
          <w:szCs w:val="22"/>
          <w:highlight w:val="none"/>
        </w:rPr>
        <w:t>活动前3年内，经营中没有重大违法记录</w:t>
      </w:r>
      <w:r>
        <w:rPr>
          <w:rFonts w:hint="eastAsia" w:ascii="宋体" w:hAnsi="宋体" w:eastAsia="宋体" w:cs="宋体"/>
          <w:bCs/>
          <w:color w:val="auto"/>
          <w:kern w:val="28"/>
          <w:szCs w:val="22"/>
          <w:highlight w:val="none"/>
          <w:lang w:eastAsia="zh-CN"/>
        </w:rPr>
        <w:t>（</w:t>
      </w:r>
      <w:r>
        <w:rPr>
          <w:rFonts w:hint="eastAsia" w:ascii="宋体" w:hAnsi="宋体" w:eastAsia="宋体" w:cs="宋体"/>
          <w:bCs/>
          <w:color w:val="auto"/>
          <w:kern w:val="28"/>
          <w:szCs w:val="22"/>
          <w:highlight w:val="none"/>
        </w:rPr>
        <w:t>重大违法记录是指：</w:t>
      </w:r>
      <w:r>
        <w:rPr>
          <w:rFonts w:hint="eastAsia" w:ascii="宋体" w:hAnsi="宋体" w:cs="宋体"/>
          <w:bCs/>
          <w:color w:val="auto"/>
          <w:kern w:val="28"/>
          <w:szCs w:val="22"/>
          <w:highlight w:val="none"/>
          <w:lang w:val="en-US" w:eastAsia="zh-CN"/>
        </w:rPr>
        <w:t>投标人</w:t>
      </w:r>
      <w:r>
        <w:rPr>
          <w:rFonts w:hint="eastAsia" w:ascii="宋体" w:hAnsi="宋体" w:eastAsia="宋体" w:cs="宋体"/>
          <w:bCs/>
          <w:color w:val="auto"/>
          <w:kern w:val="28"/>
          <w:szCs w:val="22"/>
          <w:highlight w:val="none"/>
        </w:rPr>
        <w:t>因违法经营受到刑事处罚或者责令停产停业、吊销许可证或者执照、较大数额罚款等行政处罚）</w:t>
      </w:r>
      <w:r>
        <w:rPr>
          <w:rFonts w:hint="eastAsia" w:ascii="宋体" w:hAnsi="宋体" w:eastAsia="宋体" w:cs="宋体"/>
          <w:bCs/>
          <w:color w:val="auto"/>
          <w:kern w:val="28"/>
          <w:szCs w:val="22"/>
          <w:highlight w:val="none"/>
          <w:lang w:eastAsia="zh-CN"/>
        </w:rPr>
        <w:t>，</w:t>
      </w:r>
      <w:r>
        <w:rPr>
          <w:rFonts w:hint="eastAsia" w:ascii="宋体" w:hAnsi="宋体" w:eastAsia="宋体" w:cs="宋体"/>
          <w:bCs/>
          <w:color w:val="auto"/>
          <w:kern w:val="28"/>
          <w:szCs w:val="22"/>
          <w:highlight w:val="none"/>
        </w:rPr>
        <w:t>不曾在与本集团（包括其下属企业）合作过程中存在违约或者骗取中标等不诚信行为</w:t>
      </w:r>
      <w:r>
        <w:rPr>
          <w:rFonts w:hint="eastAsia" w:ascii="宋体" w:hAnsi="宋体" w:eastAsia="宋体" w:cs="宋体"/>
          <w:bCs/>
          <w:color w:val="auto"/>
          <w:kern w:val="28"/>
          <w:szCs w:val="22"/>
          <w:highlight w:val="none"/>
          <w:lang w:eastAsia="zh-CN"/>
        </w:rPr>
        <w:t>。</w:t>
      </w:r>
      <w:r>
        <w:rPr>
          <w:rFonts w:hint="eastAsia" w:ascii="宋体" w:hAnsi="宋体" w:eastAsia="宋体" w:cs="宋体"/>
          <w:bCs/>
          <w:color w:val="auto"/>
          <w:kern w:val="28"/>
          <w:szCs w:val="22"/>
          <w:highlight w:val="none"/>
        </w:rPr>
        <w:t>（格式自拟，须加盖公章）</w:t>
      </w:r>
    </w:p>
    <w:p w14:paraId="30672169">
      <w:pPr>
        <w:spacing w:line="360" w:lineRule="auto"/>
        <w:ind w:left="-359" w:leftChars="-171" w:firstLine="462" w:firstLineChars="220"/>
        <w:rPr>
          <w:rFonts w:hint="eastAsia" w:ascii="宋体" w:hAnsi="宋体" w:eastAsia="宋体" w:cs="宋体"/>
          <w:bCs/>
          <w:color w:val="auto"/>
          <w:kern w:val="28"/>
          <w:szCs w:val="22"/>
          <w:highlight w:val="none"/>
          <w:lang w:eastAsia="zh-CN"/>
        </w:rPr>
      </w:pPr>
      <w:r>
        <w:rPr>
          <w:rFonts w:hint="eastAsia" w:ascii="宋体" w:hAnsi="宋体" w:eastAsia="宋体" w:cs="宋体"/>
          <w:bCs/>
          <w:color w:val="auto"/>
          <w:kern w:val="28"/>
          <w:szCs w:val="22"/>
          <w:highlight w:val="none"/>
        </w:rPr>
        <w:t>2.</w:t>
      </w:r>
      <w:r>
        <w:rPr>
          <w:rFonts w:hint="eastAsia" w:ascii="宋体" w:hAnsi="宋体" w:cs="宋体"/>
          <w:bCs/>
          <w:color w:val="auto"/>
          <w:kern w:val="28"/>
          <w:szCs w:val="22"/>
          <w:highlight w:val="none"/>
          <w:lang w:val="en-US" w:eastAsia="zh-CN"/>
        </w:rPr>
        <w:t>5</w:t>
      </w:r>
      <w:r>
        <w:rPr>
          <w:rFonts w:hint="eastAsia" w:ascii="宋体" w:hAnsi="宋体" w:eastAsia="宋体" w:cs="宋体"/>
          <w:bCs/>
          <w:color w:val="auto"/>
          <w:kern w:val="28"/>
          <w:szCs w:val="22"/>
          <w:highlight w:val="none"/>
        </w:rPr>
        <w:t>投标人未被列入“信用中国”网站(www.creditchina.gov.cn)“记录失信被执行人</w:t>
      </w:r>
      <w:r>
        <w:rPr>
          <w:rFonts w:hint="eastAsia" w:ascii="宋体" w:hAnsi="宋体" w:cs="宋体"/>
          <w:bCs/>
          <w:color w:val="auto"/>
          <w:kern w:val="28"/>
          <w:szCs w:val="22"/>
          <w:highlight w:val="none"/>
        </w:rPr>
        <w:t>或政府采购严重违法失信行为记录名单或重大税收违法失信主体”记录名单；不处于中国政府采购网(www.ccgp.gov.cn)“政府采购严重违法失信行为信息记录”中的禁止参加政府采购活动期间。（以招标代理机构在本项目招标公告发布之日至提交投标文件截止之日期间在“信用中国”网站（www.creditchina.gov.cn）及中国政府采购网（http://www.ccgp.gov.cn/）查询结果为准；处罚期限届满的除外。如“信用中国”网站查询结果显示“没有找到您搜索的企业”或“没有找到您搜索数据”，视为没有上述不良信用记录）。投标人存在不良信用记录的，其投标将被作为无效投标</w:t>
      </w:r>
      <w:r>
        <w:rPr>
          <w:rFonts w:hint="eastAsia" w:ascii="宋体" w:hAnsi="宋体" w:cs="宋体"/>
          <w:bCs/>
          <w:color w:val="auto"/>
          <w:kern w:val="28"/>
          <w:szCs w:val="22"/>
          <w:highlight w:val="none"/>
          <w:lang w:eastAsia="zh-CN"/>
        </w:rPr>
        <w:t>。</w:t>
      </w:r>
    </w:p>
    <w:p w14:paraId="4C49D39E">
      <w:pPr>
        <w:spacing w:line="360" w:lineRule="auto"/>
        <w:ind w:left="-359" w:leftChars="-171" w:firstLine="462" w:firstLineChars="220"/>
        <w:rPr>
          <w:rFonts w:hint="eastAsia"/>
          <w:lang w:val="en-US" w:eastAsia="zh-CN"/>
        </w:rPr>
      </w:pPr>
      <w:r>
        <w:rPr>
          <w:rFonts w:hint="eastAsia" w:ascii="宋体" w:hAnsi="宋体" w:cs="宋体"/>
          <w:bCs/>
          <w:color w:val="auto"/>
          <w:kern w:val="28"/>
          <w:szCs w:val="22"/>
          <w:highlight w:val="none"/>
        </w:rPr>
        <w:t>2.</w:t>
      </w:r>
      <w:r>
        <w:rPr>
          <w:rFonts w:hint="eastAsia" w:ascii="宋体" w:hAnsi="宋体" w:cs="宋体"/>
          <w:bCs/>
          <w:color w:val="auto"/>
          <w:kern w:val="28"/>
          <w:szCs w:val="22"/>
          <w:highlight w:val="none"/>
          <w:lang w:val="en-US" w:eastAsia="zh-CN"/>
        </w:rPr>
        <w:t>6</w:t>
      </w:r>
      <w:r>
        <w:rPr>
          <w:rFonts w:hint="eastAsia" w:ascii="宋体" w:hAnsi="宋体" w:cs="宋体"/>
          <w:color w:val="auto"/>
          <w:highlight w:val="none"/>
          <w:lang w:val="en-US" w:eastAsia="zh-CN"/>
        </w:rPr>
        <w:t>本次招标不接受联合体投标，</w:t>
      </w:r>
      <w:r>
        <w:rPr>
          <w:rFonts w:hint="eastAsia" w:ascii="宋体" w:hAnsi="宋体" w:cs="宋体"/>
          <w:bCs/>
          <w:color w:val="auto"/>
          <w:kern w:val="28"/>
          <w:szCs w:val="22"/>
          <w:highlight w:val="none"/>
        </w:rPr>
        <w:t>不接受备选方案，不允许违法分包或转包。</w:t>
      </w:r>
    </w:p>
    <w:p w14:paraId="59DCC74E">
      <w:pPr>
        <w:tabs>
          <w:tab w:val="left" w:pos="540"/>
        </w:tabs>
        <w:spacing w:line="360" w:lineRule="auto"/>
        <w:outlineLvl w:val="0"/>
        <w:rPr>
          <w:rFonts w:hint="eastAsia" w:ascii="宋体" w:hAnsi="宋体" w:cs="宋体"/>
          <w:b/>
          <w:color w:val="auto"/>
          <w:highlight w:val="none"/>
        </w:rPr>
      </w:pPr>
      <w:bookmarkStart w:id="21" w:name="_Toc2035"/>
      <w:r>
        <w:rPr>
          <w:rFonts w:hint="eastAsia" w:ascii="宋体" w:hAnsi="宋体" w:cs="宋体"/>
          <w:b/>
          <w:color w:val="auto"/>
          <w:highlight w:val="none"/>
        </w:rPr>
        <w:t>三、获取招标文件的</w:t>
      </w:r>
      <w:bookmarkEnd w:id="17"/>
      <w:bookmarkEnd w:id="18"/>
      <w:bookmarkEnd w:id="19"/>
      <w:bookmarkEnd w:id="20"/>
      <w:r>
        <w:rPr>
          <w:rFonts w:hint="eastAsia" w:ascii="宋体" w:hAnsi="宋体" w:cs="宋体"/>
          <w:b/>
          <w:color w:val="auto"/>
          <w:highlight w:val="none"/>
        </w:rPr>
        <w:t>方式</w:t>
      </w:r>
      <w:bookmarkEnd w:id="21"/>
    </w:p>
    <w:p w14:paraId="56FAF286">
      <w:pPr>
        <w:spacing w:line="360" w:lineRule="auto"/>
        <w:ind w:left="-359" w:leftChars="-171" w:firstLine="462" w:firstLineChars="220"/>
        <w:rPr>
          <w:rFonts w:hint="eastAsia" w:ascii="宋体" w:hAnsi="宋体" w:cs="宋体"/>
          <w:bCs/>
          <w:color w:val="auto"/>
          <w:kern w:val="28"/>
          <w:szCs w:val="22"/>
          <w:highlight w:val="none"/>
        </w:rPr>
      </w:pPr>
      <w:r>
        <w:rPr>
          <w:rFonts w:hint="eastAsia" w:ascii="宋体" w:hAnsi="宋体" w:cs="宋体"/>
          <w:bCs/>
          <w:color w:val="auto"/>
          <w:kern w:val="28"/>
          <w:szCs w:val="22"/>
          <w:highlight w:val="none"/>
        </w:rPr>
        <w:t>3.1符合资格的投标人应当在202</w:t>
      </w:r>
      <w:r>
        <w:rPr>
          <w:rFonts w:hint="eastAsia" w:ascii="宋体" w:hAnsi="宋体" w:cs="宋体"/>
          <w:bCs/>
          <w:color w:val="auto"/>
          <w:kern w:val="28"/>
          <w:szCs w:val="22"/>
          <w:highlight w:val="none"/>
          <w:lang w:val="en-US" w:eastAsia="zh-CN"/>
        </w:rPr>
        <w:t>5</w:t>
      </w:r>
      <w:r>
        <w:rPr>
          <w:rFonts w:hint="eastAsia" w:ascii="宋体" w:hAnsi="宋体" w:cs="宋体"/>
          <w:bCs/>
          <w:color w:val="auto"/>
          <w:kern w:val="28"/>
          <w:szCs w:val="22"/>
          <w:highlight w:val="none"/>
        </w:rPr>
        <w:t>年</w:t>
      </w:r>
      <w:r>
        <w:rPr>
          <w:rFonts w:hint="eastAsia" w:ascii="宋体" w:hAnsi="宋体" w:cs="宋体"/>
          <w:bCs/>
          <w:color w:val="auto"/>
          <w:kern w:val="28"/>
          <w:szCs w:val="22"/>
          <w:highlight w:val="none"/>
          <w:lang w:val="en-US" w:eastAsia="zh-CN"/>
        </w:rPr>
        <w:t>1</w:t>
      </w:r>
      <w:r>
        <w:rPr>
          <w:rFonts w:hint="eastAsia" w:ascii="宋体" w:hAnsi="宋体" w:cs="宋体"/>
          <w:bCs/>
          <w:color w:val="auto"/>
          <w:kern w:val="28"/>
          <w:szCs w:val="22"/>
          <w:highlight w:val="none"/>
        </w:rPr>
        <w:t>月</w:t>
      </w:r>
      <w:r>
        <w:rPr>
          <w:rFonts w:hint="eastAsia" w:ascii="宋体" w:hAnsi="宋体" w:cs="宋体"/>
          <w:bCs/>
          <w:color w:val="auto"/>
          <w:kern w:val="28"/>
          <w:szCs w:val="22"/>
          <w:highlight w:val="none"/>
          <w:lang w:val="en-US" w:eastAsia="zh-CN"/>
        </w:rPr>
        <w:t>13</w:t>
      </w:r>
      <w:r>
        <w:rPr>
          <w:rFonts w:hint="eastAsia" w:ascii="宋体" w:hAnsi="宋体" w:cs="宋体"/>
          <w:bCs/>
          <w:color w:val="auto"/>
          <w:kern w:val="28"/>
          <w:szCs w:val="22"/>
          <w:highlight w:val="none"/>
        </w:rPr>
        <w:t>日起至202</w:t>
      </w:r>
      <w:r>
        <w:rPr>
          <w:rFonts w:hint="eastAsia" w:ascii="宋体" w:hAnsi="宋体" w:cs="宋体"/>
          <w:bCs/>
          <w:color w:val="auto"/>
          <w:kern w:val="28"/>
          <w:szCs w:val="22"/>
          <w:highlight w:val="none"/>
          <w:lang w:val="en-US" w:eastAsia="zh-CN"/>
        </w:rPr>
        <w:t>5</w:t>
      </w:r>
      <w:r>
        <w:rPr>
          <w:rFonts w:hint="eastAsia" w:ascii="宋体" w:hAnsi="宋体" w:cs="宋体"/>
          <w:bCs/>
          <w:color w:val="auto"/>
          <w:kern w:val="28"/>
          <w:szCs w:val="22"/>
          <w:highlight w:val="none"/>
        </w:rPr>
        <w:t>年</w:t>
      </w:r>
      <w:r>
        <w:rPr>
          <w:rFonts w:hint="eastAsia" w:ascii="宋体" w:hAnsi="宋体" w:cs="宋体"/>
          <w:bCs/>
          <w:color w:val="auto"/>
          <w:kern w:val="28"/>
          <w:szCs w:val="22"/>
          <w:highlight w:val="none"/>
          <w:lang w:val="en-US" w:eastAsia="zh-CN"/>
        </w:rPr>
        <w:t>1</w:t>
      </w:r>
      <w:r>
        <w:rPr>
          <w:rFonts w:hint="eastAsia" w:ascii="宋体" w:hAnsi="宋体" w:cs="宋体"/>
          <w:bCs/>
          <w:color w:val="auto"/>
          <w:kern w:val="28"/>
          <w:szCs w:val="22"/>
          <w:highlight w:val="none"/>
        </w:rPr>
        <w:t>月</w:t>
      </w:r>
      <w:r>
        <w:rPr>
          <w:rFonts w:hint="eastAsia" w:ascii="宋体" w:hAnsi="宋体" w:cs="宋体"/>
          <w:bCs/>
          <w:color w:val="auto"/>
          <w:kern w:val="28"/>
          <w:szCs w:val="22"/>
          <w:highlight w:val="none"/>
          <w:lang w:val="en-US" w:eastAsia="zh-CN"/>
        </w:rPr>
        <w:t>20</w:t>
      </w:r>
      <w:r>
        <w:rPr>
          <w:rFonts w:hint="eastAsia" w:ascii="宋体" w:hAnsi="宋体" w:cs="宋体"/>
          <w:bCs/>
          <w:color w:val="auto"/>
          <w:kern w:val="28"/>
          <w:szCs w:val="22"/>
          <w:highlight w:val="none"/>
        </w:rPr>
        <w:t>日期间（9:00～12:00，14:00～17:30，法定节假日除外）按以下方式登记并获取招标文件。</w:t>
      </w:r>
    </w:p>
    <w:p w14:paraId="2B6695E8">
      <w:pPr>
        <w:spacing w:line="360" w:lineRule="auto"/>
        <w:ind w:left="-359" w:leftChars="-171" w:firstLine="462" w:firstLineChars="220"/>
        <w:rPr>
          <w:rFonts w:hint="eastAsia" w:ascii="宋体" w:hAnsi="宋体" w:cs="宋体"/>
          <w:bCs/>
          <w:color w:val="auto"/>
          <w:szCs w:val="21"/>
          <w:highlight w:val="none"/>
        </w:rPr>
      </w:pPr>
      <w:r>
        <w:rPr>
          <w:rFonts w:hint="eastAsia" w:ascii="宋体" w:hAnsi="宋体" w:cs="宋体"/>
          <w:color w:val="auto"/>
          <w:highlight w:val="none"/>
        </w:rPr>
        <w:t>本项目只接受网上登记，</w:t>
      </w:r>
      <w:r>
        <w:rPr>
          <w:rFonts w:hint="eastAsia" w:ascii="宋体" w:hAnsi="宋体" w:cs="宋体"/>
          <w:bCs/>
          <w:color w:val="auto"/>
          <w:szCs w:val="21"/>
          <w:highlight w:val="none"/>
        </w:rPr>
        <w:t>投标人首先访问广咨电子招投标交易平台网站（www.gzebid.cn）进行网上注册及项目在线登记。如投标人尚未注册，请根据网站指引进行办理，具体流程操作见网站“平台服务—办事指南—操作手册”的对应栏目。招标文件购买支持微信、支付宝两种方式，支付成功后我司会为您开具增值税普通电子发票，投标人可以登录系统选择对应项目下载电子发票（有关网上注册、在线登记及招标文件发票等事宜，请联系客服。热线电话：</w:t>
      </w:r>
      <w:r>
        <w:rPr>
          <w:rFonts w:hint="eastAsia" w:ascii="宋体" w:hAnsi="宋体" w:cs="宋体"/>
          <w:bCs/>
          <w:color w:val="auto"/>
          <w:szCs w:val="21"/>
          <w:highlight w:val="none"/>
          <w:lang w:eastAsia="zh-CN"/>
        </w:rPr>
        <w:t>400-9030-870</w:t>
      </w:r>
      <w:r>
        <w:rPr>
          <w:rFonts w:hint="eastAsia" w:ascii="宋体" w:hAnsi="宋体" w:cs="宋体"/>
          <w:bCs/>
          <w:color w:val="auto"/>
          <w:szCs w:val="21"/>
          <w:highlight w:val="none"/>
        </w:rPr>
        <w:t>，网站客服(QQ)：3151435402）。</w:t>
      </w:r>
    </w:p>
    <w:p w14:paraId="619DF738">
      <w:pPr>
        <w:spacing w:line="360" w:lineRule="auto"/>
        <w:ind w:left="-359" w:leftChars="-171" w:firstLine="462" w:firstLineChars="220"/>
        <w:rPr>
          <w:rFonts w:hint="eastAsia" w:ascii="宋体" w:hAnsi="宋体" w:cs="宋体"/>
          <w:bCs/>
          <w:color w:val="auto"/>
          <w:szCs w:val="21"/>
          <w:highlight w:val="none"/>
        </w:rPr>
      </w:pPr>
      <w:r>
        <w:rPr>
          <w:rFonts w:hint="eastAsia" w:ascii="宋体" w:hAnsi="宋体" w:cs="宋体"/>
          <w:bCs/>
          <w:color w:val="auto"/>
          <w:szCs w:val="21"/>
          <w:highlight w:val="none"/>
        </w:rPr>
        <w:t>3.2招标文件售价人民币300元，售后不退。</w:t>
      </w:r>
    </w:p>
    <w:p w14:paraId="27C6F026">
      <w:pPr>
        <w:spacing w:line="360" w:lineRule="auto"/>
        <w:ind w:left="-359" w:leftChars="-171" w:firstLine="462" w:firstLineChars="220"/>
        <w:rPr>
          <w:rFonts w:hint="eastAsia" w:ascii="宋体" w:hAnsi="宋体" w:cs="宋体"/>
          <w:color w:val="auto"/>
          <w:highlight w:val="none"/>
        </w:rPr>
      </w:pPr>
      <w:r>
        <w:rPr>
          <w:rFonts w:hint="eastAsia" w:ascii="宋体" w:hAnsi="宋体" w:cs="宋体"/>
          <w:bCs/>
          <w:color w:val="auto"/>
          <w:szCs w:val="21"/>
          <w:highlight w:val="none"/>
        </w:rPr>
        <w:t>3.3发布</w:t>
      </w:r>
      <w:r>
        <w:rPr>
          <w:rFonts w:hint="eastAsia" w:ascii="宋体" w:hAnsi="宋体" w:cs="宋体"/>
          <w:color w:val="auto"/>
          <w:highlight w:val="none"/>
        </w:rPr>
        <w:t>公告的媒介：本项目招标公告同时在中国招标投标公共服务平台、广咨电子招投</w:t>
      </w:r>
      <w:r>
        <w:rPr>
          <w:rFonts w:hint="eastAsia" w:ascii="宋体" w:hAnsi="宋体" w:cs="宋体"/>
          <w:bCs/>
          <w:color w:val="auto"/>
          <w:kern w:val="28"/>
          <w:szCs w:val="22"/>
          <w:highlight w:val="none"/>
        </w:rPr>
        <w:t>标交易平台</w:t>
      </w:r>
      <w:r>
        <w:rPr>
          <w:rFonts w:hint="eastAsia" w:ascii="宋体" w:hAnsi="宋体" w:cs="宋体"/>
          <w:color w:val="auto"/>
          <w:highlight w:val="none"/>
        </w:rPr>
        <w:t>（广东省机电设备招标有限公司网）</w:t>
      </w:r>
      <w:r>
        <w:rPr>
          <w:rFonts w:hint="eastAsia" w:ascii="宋体" w:hAnsi="宋体" w:cs="宋体"/>
          <w:bCs/>
          <w:color w:val="auto"/>
          <w:kern w:val="28"/>
          <w:szCs w:val="22"/>
          <w:highlight w:val="none"/>
        </w:rPr>
        <w:t>、</w:t>
      </w:r>
      <w:r>
        <w:rPr>
          <w:rFonts w:hint="eastAsia" w:ascii="宋体" w:hAnsi="宋体" w:cs="宋体"/>
          <w:color w:val="auto"/>
          <w:highlight w:val="none"/>
        </w:rPr>
        <w:t>南方网、《南方日报》</w:t>
      </w:r>
      <w:r>
        <w:rPr>
          <w:rFonts w:hint="eastAsia" w:ascii="宋体" w:hAnsi="宋体" w:cs="宋体"/>
          <w:bCs/>
          <w:color w:val="auto"/>
          <w:kern w:val="28"/>
          <w:szCs w:val="22"/>
          <w:highlight w:val="none"/>
        </w:rPr>
        <w:t>发布。</w:t>
      </w:r>
    </w:p>
    <w:p w14:paraId="69160304">
      <w:pPr>
        <w:tabs>
          <w:tab w:val="left" w:pos="540"/>
        </w:tabs>
        <w:spacing w:line="360" w:lineRule="auto"/>
        <w:outlineLvl w:val="0"/>
        <w:rPr>
          <w:rFonts w:hint="eastAsia" w:ascii="宋体" w:hAnsi="宋体" w:cs="宋体"/>
          <w:b/>
          <w:color w:val="auto"/>
          <w:highlight w:val="none"/>
        </w:rPr>
      </w:pPr>
      <w:bookmarkStart w:id="22" w:name="_Toc476177328"/>
      <w:bookmarkStart w:id="23" w:name="_Toc476177882"/>
      <w:bookmarkStart w:id="24" w:name="_Toc1650"/>
      <w:bookmarkStart w:id="25" w:name="_Toc477185851"/>
      <w:bookmarkStart w:id="26" w:name="_Toc477186212"/>
      <w:r>
        <w:rPr>
          <w:rFonts w:hint="eastAsia" w:ascii="宋体" w:hAnsi="宋体" w:cs="宋体"/>
          <w:b/>
          <w:color w:val="auto"/>
          <w:highlight w:val="none"/>
        </w:rPr>
        <w:t>四、投标文件的递交时间和递交地点</w:t>
      </w:r>
      <w:bookmarkEnd w:id="22"/>
      <w:bookmarkEnd w:id="23"/>
      <w:bookmarkEnd w:id="24"/>
      <w:bookmarkEnd w:id="25"/>
      <w:bookmarkEnd w:id="26"/>
    </w:p>
    <w:p w14:paraId="603E4352">
      <w:pPr>
        <w:spacing w:line="360" w:lineRule="auto"/>
        <w:ind w:left="-359" w:leftChars="-171" w:firstLine="359" w:firstLineChars="171"/>
        <w:rPr>
          <w:rFonts w:hint="eastAsia" w:ascii="宋体" w:hAnsi="宋体" w:cs="宋体"/>
          <w:b/>
          <w:bCs/>
          <w:color w:val="auto"/>
          <w:szCs w:val="21"/>
          <w:highlight w:val="none"/>
        </w:rPr>
      </w:pPr>
      <w:bookmarkStart w:id="27" w:name="_Toc477185852"/>
      <w:bookmarkStart w:id="28" w:name="_Toc477186213"/>
      <w:bookmarkStart w:id="29" w:name="_Toc476177329"/>
      <w:bookmarkStart w:id="30" w:name="_Toc476177883"/>
      <w:r>
        <w:rPr>
          <w:rFonts w:hint="eastAsia" w:ascii="宋体" w:hAnsi="宋体" w:cs="宋体"/>
          <w:bCs/>
          <w:color w:val="auto"/>
          <w:kern w:val="28"/>
          <w:szCs w:val="22"/>
          <w:highlight w:val="none"/>
        </w:rPr>
        <w:t>4.1、递交投标文件时间：202</w:t>
      </w:r>
      <w:r>
        <w:rPr>
          <w:rFonts w:hint="eastAsia" w:ascii="宋体" w:hAnsi="宋体" w:cs="宋体"/>
          <w:bCs/>
          <w:color w:val="auto"/>
          <w:kern w:val="28"/>
          <w:szCs w:val="22"/>
          <w:highlight w:val="none"/>
          <w:lang w:val="en-US" w:eastAsia="zh-CN"/>
        </w:rPr>
        <w:t>5</w:t>
      </w:r>
      <w:r>
        <w:rPr>
          <w:rFonts w:hint="eastAsia" w:ascii="宋体" w:hAnsi="宋体" w:cs="宋体"/>
          <w:bCs/>
          <w:color w:val="auto"/>
          <w:kern w:val="28"/>
          <w:szCs w:val="22"/>
          <w:highlight w:val="none"/>
        </w:rPr>
        <w:t>年</w:t>
      </w:r>
      <w:r>
        <w:rPr>
          <w:rFonts w:hint="eastAsia" w:ascii="宋体" w:hAnsi="宋体" w:cs="宋体"/>
          <w:bCs/>
          <w:color w:val="auto"/>
          <w:kern w:val="28"/>
          <w:szCs w:val="22"/>
          <w:highlight w:val="none"/>
          <w:lang w:val="en-US" w:eastAsia="zh-CN"/>
        </w:rPr>
        <w:t>2</w:t>
      </w:r>
      <w:r>
        <w:rPr>
          <w:rFonts w:hint="eastAsia" w:ascii="宋体" w:hAnsi="宋体" w:cs="宋体"/>
          <w:bCs/>
          <w:color w:val="auto"/>
          <w:kern w:val="28"/>
          <w:szCs w:val="22"/>
          <w:highlight w:val="none"/>
        </w:rPr>
        <w:t>月</w:t>
      </w:r>
      <w:r>
        <w:rPr>
          <w:rFonts w:hint="eastAsia" w:ascii="宋体" w:hAnsi="宋体" w:cs="宋体"/>
          <w:bCs/>
          <w:color w:val="auto"/>
          <w:kern w:val="28"/>
          <w:szCs w:val="22"/>
          <w:highlight w:val="none"/>
          <w:lang w:val="en-US" w:eastAsia="zh-CN"/>
        </w:rPr>
        <w:t>10</w:t>
      </w:r>
      <w:r>
        <w:rPr>
          <w:rFonts w:hint="eastAsia" w:ascii="宋体" w:hAnsi="宋体" w:cs="宋体"/>
          <w:bCs/>
          <w:color w:val="auto"/>
          <w:kern w:val="28"/>
          <w:szCs w:val="22"/>
          <w:highlight w:val="none"/>
        </w:rPr>
        <w:t>日</w:t>
      </w:r>
      <w:r>
        <w:rPr>
          <w:rFonts w:hint="eastAsia" w:ascii="宋体" w:hAnsi="宋体" w:cs="宋体"/>
          <w:bCs/>
          <w:color w:val="auto"/>
          <w:kern w:val="28"/>
          <w:szCs w:val="22"/>
          <w:highlight w:val="none"/>
          <w:lang w:val="en-US" w:eastAsia="zh-CN"/>
        </w:rPr>
        <w:t>14</w:t>
      </w:r>
      <w:r>
        <w:rPr>
          <w:rFonts w:hint="eastAsia" w:ascii="宋体" w:hAnsi="宋体" w:cs="宋体"/>
          <w:bCs/>
          <w:color w:val="auto"/>
          <w:kern w:val="28"/>
          <w:szCs w:val="22"/>
          <w:highlight w:val="none"/>
        </w:rPr>
        <w:t>:00-</w:t>
      </w:r>
      <w:r>
        <w:rPr>
          <w:rFonts w:hint="eastAsia" w:ascii="宋体" w:hAnsi="宋体" w:cs="宋体"/>
          <w:bCs/>
          <w:color w:val="auto"/>
          <w:kern w:val="28"/>
          <w:szCs w:val="22"/>
          <w:highlight w:val="none"/>
          <w:lang w:val="en-US" w:eastAsia="zh-CN"/>
        </w:rPr>
        <w:t>14</w:t>
      </w:r>
      <w:r>
        <w:rPr>
          <w:rFonts w:hint="eastAsia" w:ascii="宋体" w:hAnsi="宋体" w:cs="宋体"/>
          <w:bCs/>
          <w:color w:val="auto"/>
          <w:kern w:val="28"/>
          <w:szCs w:val="22"/>
          <w:highlight w:val="none"/>
        </w:rPr>
        <w:t>:30（北京时间）</w:t>
      </w:r>
      <w:r>
        <w:rPr>
          <w:rFonts w:hint="eastAsia" w:ascii="宋体" w:hAnsi="宋体" w:cs="宋体"/>
          <w:b/>
          <w:bCs/>
          <w:color w:val="auto"/>
          <w:szCs w:val="21"/>
          <w:highlight w:val="none"/>
        </w:rPr>
        <w:t>，迟于此时间递交的投标文件将被拒绝。</w:t>
      </w:r>
    </w:p>
    <w:p w14:paraId="7E15B033">
      <w:pPr>
        <w:spacing w:line="360" w:lineRule="auto"/>
        <w:ind w:left="-359" w:leftChars="-171" w:firstLine="462" w:firstLineChars="220"/>
        <w:rPr>
          <w:rFonts w:hint="eastAsia" w:ascii="宋体" w:hAnsi="宋体" w:cs="宋体"/>
          <w:bCs/>
          <w:color w:val="auto"/>
          <w:kern w:val="28"/>
          <w:szCs w:val="22"/>
          <w:highlight w:val="none"/>
        </w:rPr>
      </w:pPr>
      <w:r>
        <w:rPr>
          <w:rFonts w:hint="eastAsia" w:ascii="宋体" w:hAnsi="宋体" w:cs="宋体"/>
          <w:bCs/>
          <w:color w:val="auto"/>
          <w:kern w:val="28"/>
          <w:szCs w:val="22"/>
          <w:highlight w:val="none"/>
        </w:rPr>
        <w:t>4.2、递交投标文件地点：广东省机电设备招标有限公司10楼会议室（地址：广州市环市中路316号金鹰大厦10楼）。</w:t>
      </w:r>
    </w:p>
    <w:bookmarkEnd w:id="27"/>
    <w:bookmarkEnd w:id="28"/>
    <w:bookmarkEnd w:id="29"/>
    <w:bookmarkEnd w:id="30"/>
    <w:p w14:paraId="2680F39F">
      <w:pPr>
        <w:tabs>
          <w:tab w:val="left" w:pos="540"/>
        </w:tabs>
        <w:spacing w:line="360" w:lineRule="auto"/>
        <w:outlineLvl w:val="0"/>
        <w:rPr>
          <w:rFonts w:hint="eastAsia" w:ascii="宋体" w:hAnsi="宋体" w:cs="宋体"/>
          <w:b/>
          <w:color w:val="auto"/>
          <w:highlight w:val="none"/>
        </w:rPr>
      </w:pPr>
      <w:bookmarkStart w:id="31" w:name="_Toc476177884"/>
      <w:bookmarkStart w:id="32" w:name="_Toc477185853"/>
      <w:bookmarkStart w:id="33" w:name="_Toc477186214"/>
      <w:bookmarkStart w:id="34" w:name="_Toc19972"/>
      <w:bookmarkStart w:id="35" w:name="_Toc476177330"/>
      <w:r>
        <w:rPr>
          <w:rFonts w:hint="eastAsia" w:ascii="宋体" w:hAnsi="宋体" w:cs="宋体"/>
          <w:b/>
          <w:color w:val="auto"/>
          <w:highlight w:val="none"/>
        </w:rPr>
        <w:t>五、兹定于下列时间和地点公开开标</w:t>
      </w:r>
      <w:bookmarkEnd w:id="31"/>
      <w:bookmarkEnd w:id="32"/>
      <w:bookmarkEnd w:id="33"/>
      <w:bookmarkEnd w:id="34"/>
      <w:bookmarkEnd w:id="35"/>
    </w:p>
    <w:p w14:paraId="41F8B2D0">
      <w:pPr>
        <w:spacing w:line="360" w:lineRule="auto"/>
        <w:ind w:left="-359" w:leftChars="-171" w:firstLine="359" w:firstLineChars="171"/>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.1、投标截止时间和开标时间：</w:t>
      </w:r>
      <w:r>
        <w:rPr>
          <w:rFonts w:hint="eastAsia" w:ascii="宋体" w:hAnsi="宋体" w:cs="宋体"/>
          <w:bCs/>
          <w:color w:val="auto"/>
          <w:kern w:val="28"/>
          <w:szCs w:val="22"/>
          <w:highlight w:val="none"/>
        </w:rPr>
        <w:t>202</w:t>
      </w:r>
      <w:r>
        <w:rPr>
          <w:rFonts w:hint="eastAsia" w:ascii="宋体" w:hAnsi="宋体" w:cs="宋体"/>
          <w:bCs/>
          <w:color w:val="auto"/>
          <w:kern w:val="28"/>
          <w:szCs w:val="22"/>
          <w:highlight w:val="none"/>
          <w:lang w:val="en-US" w:eastAsia="zh-CN"/>
        </w:rPr>
        <w:t>5</w:t>
      </w:r>
      <w:r>
        <w:rPr>
          <w:rFonts w:hint="eastAsia" w:ascii="宋体" w:hAnsi="宋体" w:cs="宋体"/>
          <w:bCs/>
          <w:color w:val="auto"/>
          <w:kern w:val="28"/>
          <w:szCs w:val="22"/>
          <w:highlight w:val="none"/>
        </w:rPr>
        <w:t>年</w:t>
      </w:r>
      <w:r>
        <w:rPr>
          <w:rFonts w:hint="eastAsia" w:ascii="宋体" w:hAnsi="宋体" w:cs="宋体"/>
          <w:bCs/>
          <w:color w:val="auto"/>
          <w:kern w:val="28"/>
          <w:szCs w:val="22"/>
          <w:highlight w:val="none"/>
          <w:lang w:val="en-US" w:eastAsia="zh-CN"/>
        </w:rPr>
        <w:t>2</w:t>
      </w:r>
      <w:r>
        <w:rPr>
          <w:rFonts w:hint="eastAsia" w:ascii="宋体" w:hAnsi="宋体" w:cs="宋体"/>
          <w:bCs/>
          <w:color w:val="auto"/>
          <w:kern w:val="28"/>
          <w:szCs w:val="22"/>
          <w:highlight w:val="none"/>
        </w:rPr>
        <w:t>月</w:t>
      </w:r>
      <w:r>
        <w:rPr>
          <w:rFonts w:hint="eastAsia" w:ascii="宋体" w:hAnsi="宋体" w:cs="宋体"/>
          <w:bCs/>
          <w:color w:val="auto"/>
          <w:kern w:val="28"/>
          <w:szCs w:val="22"/>
          <w:highlight w:val="none"/>
          <w:lang w:val="en-US" w:eastAsia="zh-CN"/>
        </w:rPr>
        <w:t>10</w:t>
      </w:r>
      <w:r>
        <w:rPr>
          <w:rFonts w:hint="eastAsia" w:ascii="宋体" w:hAnsi="宋体" w:cs="宋体"/>
          <w:bCs/>
          <w:color w:val="auto"/>
          <w:kern w:val="28"/>
          <w:szCs w:val="22"/>
          <w:highlight w:val="none"/>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:30（北京时间）</w:t>
      </w:r>
    </w:p>
    <w:p w14:paraId="70A4CCC2">
      <w:pPr>
        <w:spacing w:line="360" w:lineRule="auto"/>
        <w:ind w:left="-359" w:leftChars="-171" w:firstLine="359" w:firstLineChars="171"/>
        <w:rPr>
          <w:rFonts w:hint="eastAsia" w:ascii="宋体" w:hAnsi="宋体" w:cs="宋体"/>
          <w:bCs/>
          <w:color w:val="auto"/>
          <w:kern w:val="28"/>
          <w:szCs w:val="22"/>
          <w:highlight w:val="none"/>
        </w:rPr>
      </w:pP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w:t>
      </w:r>
      <w:r>
        <w:rPr>
          <w:rFonts w:hint="eastAsia" w:ascii="宋体" w:hAnsi="宋体" w:cs="宋体"/>
          <w:color w:val="auto"/>
          <w:szCs w:val="21"/>
          <w:highlight w:val="none"/>
        </w:rPr>
        <w:t>2</w:t>
      </w:r>
      <w:r>
        <w:rPr>
          <w:rFonts w:hint="eastAsia" w:ascii="宋体" w:hAnsi="宋体" w:cs="宋体"/>
          <w:bCs/>
          <w:color w:val="auto"/>
          <w:kern w:val="28"/>
          <w:szCs w:val="22"/>
          <w:highlight w:val="none"/>
        </w:rPr>
        <w:t>、开标地点：广东省机电设备招标有限公司10楼会议室（地址：广州市环市中路316号金鹰大厦10楼）。</w:t>
      </w:r>
    </w:p>
    <w:p w14:paraId="5A06C9FC">
      <w:pPr>
        <w:spacing w:line="360" w:lineRule="auto"/>
        <w:ind w:left="-359" w:leftChars="-171" w:firstLine="359" w:firstLineChars="171"/>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.3、投标人应按招标文件的要求准时参加开标会议。投标人代表未出席开标会，不影响开标，且不得对开标程序、结果等提出任何异议。</w:t>
      </w:r>
    </w:p>
    <w:p w14:paraId="5F5E60D1">
      <w:pPr>
        <w:tabs>
          <w:tab w:val="left" w:pos="540"/>
        </w:tabs>
        <w:spacing w:line="360" w:lineRule="auto"/>
        <w:outlineLvl w:val="0"/>
        <w:rPr>
          <w:rFonts w:hint="eastAsia" w:ascii="宋体" w:hAnsi="宋体" w:cs="宋体"/>
          <w:b/>
          <w:color w:val="auto"/>
          <w:highlight w:val="none"/>
        </w:rPr>
      </w:pPr>
      <w:bookmarkStart w:id="36" w:name="_Toc25490"/>
      <w:bookmarkStart w:id="37" w:name="_Toc476177885"/>
      <w:bookmarkStart w:id="38" w:name="_Toc476177331"/>
      <w:bookmarkStart w:id="39" w:name="_Toc477185854"/>
      <w:bookmarkStart w:id="40" w:name="_Toc477186215"/>
      <w:r>
        <w:rPr>
          <w:rFonts w:hint="eastAsia" w:ascii="宋体" w:hAnsi="宋体" w:cs="宋体"/>
          <w:b/>
          <w:color w:val="auto"/>
          <w:highlight w:val="none"/>
        </w:rPr>
        <w:t>六、其他说明</w:t>
      </w:r>
      <w:bookmarkEnd w:id="36"/>
      <w:bookmarkEnd w:id="37"/>
      <w:bookmarkEnd w:id="38"/>
      <w:bookmarkEnd w:id="39"/>
      <w:bookmarkEnd w:id="40"/>
    </w:p>
    <w:p w14:paraId="4BBF7AD6">
      <w:pPr>
        <w:spacing w:line="360" w:lineRule="auto"/>
        <w:ind w:left="-359" w:leftChars="-171" w:firstLine="359" w:firstLineChars="171"/>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1、各投标人的资料复印件应加盖单位公章保证所提供资料的真实性，如发现有虚假、隐瞒情况者，招标人将取消其投标资格。</w:t>
      </w:r>
    </w:p>
    <w:p w14:paraId="5A5D9E3A">
      <w:pPr>
        <w:spacing w:line="360" w:lineRule="auto"/>
        <w:ind w:left="-359" w:leftChars="-171" w:firstLine="359" w:firstLineChars="171"/>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 xml:space="preserve">2、 </w:t>
      </w:r>
      <w:r>
        <w:rPr>
          <w:rFonts w:hint="eastAsia" w:ascii="宋体" w:hAnsi="宋体" w:cs="宋体"/>
          <w:bCs/>
          <w:color w:val="auto"/>
          <w:highlight w:val="none"/>
        </w:rPr>
        <w:t>购买了招标文件，而不参加投标的投标人，请在开标前3日以书面或邮件形式通知招标代理机构。</w:t>
      </w:r>
    </w:p>
    <w:p w14:paraId="44D1796A">
      <w:pPr>
        <w:spacing w:line="360" w:lineRule="auto"/>
        <w:ind w:left="-359" w:leftChars="-171" w:firstLine="359" w:firstLineChars="171"/>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3、招标代理机构和招标人将不负责投标人准备投标文件和递交投标文件所发生的任何成本或费用。</w:t>
      </w:r>
    </w:p>
    <w:p w14:paraId="727C7DB9">
      <w:pPr>
        <w:tabs>
          <w:tab w:val="left" w:pos="540"/>
        </w:tabs>
        <w:spacing w:line="360" w:lineRule="auto"/>
        <w:outlineLvl w:val="0"/>
        <w:rPr>
          <w:rFonts w:hint="eastAsia" w:ascii="宋体" w:hAnsi="宋体" w:cs="宋体"/>
          <w:b/>
          <w:color w:val="auto"/>
          <w:highlight w:val="none"/>
        </w:rPr>
      </w:pPr>
      <w:bookmarkStart w:id="41" w:name="_Toc476177886"/>
      <w:bookmarkStart w:id="42" w:name="_Toc477186216"/>
      <w:bookmarkStart w:id="43" w:name="_Toc32203"/>
      <w:bookmarkStart w:id="44" w:name="_Toc477185855"/>
      <w:bookmarkStart w:id="45" w:name="_Toc476177332"/>
      <w:r>
        <w:rPr>
          <w:rFonts w:hint="eastAsia" w:ascii="宋体" w:hAnsi="宋体" w:cs="宋体"/>
          <w:b/>
          <w:color w:val="auto"/>
          <w:highlight w:val="none"/>
        </w:rPr>
        <w:t>七、招标代理机构所在地和</w:t>
      </w:r>
      <w:bookmarkEnd w:id="41"/>
      <w:bookmarkEnd w:id="42"/>
      <w:bookmarkEnd w:id="43"/>
      <w:bookmarkEnd w:id="44"/>
      <w:bookmarkEnd w:id="45"/>
      <w:r>
        <w:rPr>
          <w:rFonts w:hint="eastAsia" w:ascii="宋体" w:hAnsi="宋体" w:cs="宋体"/>
          <w:b/>
          <w:color w:val="auto"/>
          <w:highlight w:val="none"/>
        </w:rPr>
        <w:t>联系方式</w:t>
      </w:r>
    </w:p>
    <w:p w14:paraId="68EB4423">
      <w:pPr>
        <w:spacing w:line="360" w:lineRule="auto"/>
        <w:ind w:left="-359" w:leftChars="-171" w:firstLine="359" w:firstLineChars="171"/>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1、招标人联系方式</w:t>
      </w:r>
    </w:p>
    <w:p w14:paraId="782AE426">
      <w:pPr>
        <w:spacing w:line="360" w:lineRule="auto"/>
        <w:ind w:left="-359" w:leftChars="-171" w:firstLine="359" w:firstLineChars="171"/>
        <w:rPr>
          <w:rFonts w:hint="eastAsia" w:ascii="宋体" w:hAnsi="宋体" w:cs="宋体"/>
          <w:color w:val="auto"/>
          <w:szCs w:val="21"/>
          <w:highlight w:val="none"/>
        </w:rPr>
      </w:pPr>
      <w:r>
        <w:rPr>
          <w:rFonts w:hint="eastAsia" w:ascii="宋体" w:hAnsi="宋体" w:cs="宋体"/>
          <w:color w:val="auto"/>
          <w:szCs w:val="21"/>
          <w:highlight w:val="none"/>
        </w:rPr>
        <w:t>招 标 人：广东南方报业传媒集团物业管理有限公司</w:t>
      </w:r>
    </w:p>
    <w:p w14:paraId="46EDDC8F">
      <w:pPr>
        <w:spacing w:line="360" w:lineRule="auto"/>
        <w:ind w:left="-359" w:leftChars="-171" w:firstLine="359" w:firstLineChars="171"/>
        <w:rPr>
          <w:rFonts w:hint="eastAsia" w:ascii="宋体" w:hAnsi="宋体" w:cs="宋体"/>
          <w:color w:val="auto"/>
          <w:szCs w:val="21"/>
          <w:highlight w:val="none"/>
        </w:rPr>
      </w:pPr>
      <w:r>
        <w:rPr>
          <w:rFonts w:hint="eastAsia" w:ascii="宋体" w:hAnsi="宋体" w:cs="宋体"/>
          <w:color w:val="auto"/>
          <w:szCs w:val="21"/>
          <w:highlight w:val="none"/>
        </w:rPr>
        <w:t>地    址：广东省广州市越秀区广州大道中289号</w:t>
      </w:r>
    </w:p>
    <w:p w14:paraId="2AF60C1B">
      <w:pPr>
        <w:spacing w:line="360" w:lineRule="auto"/>
        <w:ind w:left="-359" w:leftChars="-171" w:firstLine="359" w:firstLineChars="171"/>
        <w:rPr>
          <w:rFonts w:hint="default" w:ascii="宋体" w:hAnsi="宋体" w:eastAsia="宋体" w:cs="宋体"/>
          <w:color w:val="auto"/>
          <w:highlight w:val="none"/>
          <w:lang w:val="en-US" w:eastAsia="zh-CN"/>
        </w:rPr>
      </w:pPr>
      <w:r>
        <w:rPr>
          <w:rFonts w:hint="eastAsia" w:ascii="宋体" w:hAnsi="宋体" w:cs="宋体"/>
          <w:color w:val="auto"/>
          <w:szCs w:val="21"/>
          <w:highlight w:val="none"/>
        </w:rPr>
        <w:t>联 系 人：</w:t>
      </w:r>
      <w:r>
        <w:rPr>
          <w:rFonts w:hint="eastAsia" w:ascii="宋体" w:hAnsi="宋体" w:cs="宋体"/>
          <w:color w:val="auto"/>
          <w:szCs w:val="21"/>
          <w:highlight w:val="none"/>
          <w:lang w:val="en-US" w:eastAsia="zh-CN"/>
        </w:rPr>
        <w:t>陈先生</w:t>
      </w:r>
    </w:p>
    <w:p w14:paraId="721F7920">
      <w:pPr>
        <w:pStyle w:val="2"/>
        <w:rPr>
          <w:rFonts w:hint="default" w:ascii="宋体" w:hAnsi="宋体" w:eastAsia="宋体" w:cs="宋体"/>
          <w:color w:val="auto"/>
          <w:highlight w:val="none"/>
          <w:lang w:val="en-US" w:eastAsia="zh-CN"/>
        </w:rPr>
      </w:pPr>
      <w:r>
        <w:rPr>
          <w:rFonts w:hint="eastAsia" w:ascii="宋体" w:hAnsi="宋体" w:cs="宋体"/>
          <w:color w:val="auto"/>
          <w:highlight w:val="none"/>
        </w:rPr>
        <w:t>电  话：</w:t>
      </w:r>
      <w:r>
        <w:rPr>
          <w:rFonts w:hint="eastAsia"/>
          <w:lang w:val="en-US" w:eastAsia="zh-CN"/>
        </w:rPr>
        <w:t>020-83004520</w:t>
      </w:r>
    </w:p>
    <w:p w14:paraId="3600AF2D">
      <w:pPr>
        <w:spacing w:line="360" w:lineRule="auto"/>
        <w:ind w:left="-359" w:leftChars="-171" w:firstLine="359" w:firstLineChars="171"/>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2、招标代理机构联系方式</w:t>
      </w:r>
    </w:p>
    <w:p w14:paraId="00607D6A">
      <w:pPr>
        <w:spacing w:line="360" w:lineRule="auto"/>
        <w:ind w:left="-359" w:leftChars="-171" w:firstLine="359" w:firstLineChars="171"/>
        <w:rPr>
          <w:rFonts w:hint="eastAsia" w:ascii="宋体" w:hAnsi="宋体" w:cs="宋体"/>
          <w:color w:val="auto"/>
          <w:szCs w:val="21"/>
          <w:highlight w:val="none"/>
        </w:rPr>
      </w:pPr>
      <w:r>
        <w:rPr>
          <w:rFonts w:hint="eastAsia" w:ascii="宋体" w:hAnsi="宋体" w:cs="宋体"/>
          <w:color w:val="auto"/>
          <w:szCs w:val="21"/>
          <w:highlight w:val="none"/>
        </w:rPr>
        <w:t>招标代理机构名称：广东省机电设备招标有限公司</w:t>
      </w:r>
    </w:p>
    <w:p w14:paraId="04365D19">
      <w:pPr>
        <w:spacing w:line="360" w:lineRule="auto"/>
        <w:ind w:left="-359" w:leftChars="-171" w:firstLine="359" w:firstLineChars="171"/>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联系人：刘先生、胡小姐、</w:t>
      </w:r>
      <w:r>
        <w:rPr>
          <w:rFonts w:hint="eastAsia" w:ascii="宋体" w:hAnsi="宋体" w:cs="宋体"/>
          <w:color w:val="auto"/>
          <w:szCs w:val="21"/>
          <w:highlight w:val="none"/>
          <w:lang w:val="en-US" w:eastAsia="zh-CN"/>
        </w:rPr>
        <w:t>谢先生</w:t>
      </w:r>
    </w:p>
    <w:p w14:paraId="52191435">
      <w:pPr>
        <w:spacing w:line="360" w:lineRule="auto"/>
        <w:ind w:left="-359" w:leftChars="-171" w:firstLine="359" w:firstLineChars="171"/>
        <w:rPr>
          <w:rFonts w:hint="eastAsia" w:ascii="宋体" w:hAnsi="宋体" w:cs="宋体"/>
          <w:color w:val="auto"/>
          <w:szCs w:val="21"/>
          <w:highlight w:val="none"/>
        </w:rPr>
      </w:pPr>
      <w:r>
        <w:rPr>
          <w:rFonts w:hint="eastAsia" w:ascii="宋体" w:hAnsi="宋体" w:cs="宋体"/>
          <w:color w:val="auto"/>
          <w:szCs w:val="21"/>
          <w:highlight w:val="none"/>
        </w:rPr>
        <w:t>电  话：020-8354</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332、83541795</w:t>
      </w:r>
    </w:p>
    <w:p w14:paraId="78CF6EA8">
      <w:pPr>
        <w:spacing w:line="360" w:lineRule="auto"/>
        <w:ind w:left="-359" w:leftChars="-171" w:firstLine="359" w:firstLineChars="171"/>
        <w:rPr>
          <w:rFonts w:hint="eastAsia" w:ascii="宋体" w:hAnsi="宋体" w:cs="宋体"/>
          <w:color w:val="auto"/>
          <w:szCs w:val="21"/>
          <w:highlight w:val="none"/>
        </w:rPr>
      </w:pPr>
      <w:r>
        <w:rPr>
          <w:rFonts w:hint="eastAsia" w:ascii="宋体" w:hAnsi="宋体" w:cs="宋体"/>
          <w:color w:val="auto"/>
          <w:szCs w:val="21"/>
          <w:highlight w:val="none"/>
        </w:rPr>
        <w:t>电子邮件：jdzbhu@163.com</w:t>
      </w:r>
    </w:p>
    <w:p w14:paraId="1AD99742">
      <w:pPr>
        <w:wordWrap w:val="0"/>
        <w:spacing w:line="360" w:lineRule="auto"/>
        <w:ind w:firstLine="420" w:firstLineChars="200"/>
        <w:jc w:val="right"/>
        <w:rPr>
          <w:rFonts w:hint="eastAsia" w:ascii="宋体" w:hAnsi="宋体" w:cs="宋体"/>
          <w:color w:val="auto"/>
          <w:highlight w:val="none"/>
        </w:rPr>
      </w:pPr>
      <w:r>
        <w:rPr>
          <w:rFonts w:hint="eastAsia" w:ascii="宋体" w:hAnsi="宋体" w:cs="宋体"/>
          <w:color w:val="auto"/>
          <w:highlight w:val="none"/>
        </w:rPr>
        <w:t xml:space="preserve">  招标人：</w:t>
      </w:r>
      <w:r>
        <w:rPr>
          <w:rFonts w:hint="eastAsia" w:ascii="宋体" w:hAnsi="宋体" w:cs="宋体"/>
          <w:bCs/>
          <w:color w:val="auto"/>
          <w:highlight w:val="none"/>
        </w:rPr>
        <w:t>广东南方报业传媒集团物业管理有限公司</w:t>
      </w:r>
    </w:p>
    <w:p w14:paraId="61063A85">
      <w:pPr>
        <w:spacing w:line="360" w:lineRule="auto"/>
        <w:jc w:val="right"/>
        <w:rPr>
          <w:rFonts w:hint="eastAsia" w:ascii="宋体" w:hAnsi="宋体" w:cs="宋体"/>
          <w:color w:val="auto"/>
          <w:highlight w:val="none"/>
        </w:rPr>
      </w:pPr>
      <w:r>
        <w:rPr>
          <w:rFonts w:hint="eastAsia" w:ascii="宋体" w:hAnsi="宋体" w:cs="宋体"/>
          <w:color w:val="auto"/>
          <w:highlight w:val="none"/>
        </w:rPr>
        <w:t xml:space="preserve">招标代理：广东省机电设备招标有限公司 </w:t>
      </w:r>
    </w:p>
    <w:p w14:paraId="67AA728E">
      <w:pPr>
        <w:wordWrap w:val="0"/>
        <w:spacing w:line="360" w:lineRule="auto"/>
        <w:ind w:firstLine="420" w:firstLineChars="200"/>
        <w:jc w:val="right"/>
        <w:rPr>
          <w:rFonts w:hint="eastAsia" w:ascii="宋体" w:hAnsi="宋体" w:cs="宋体"/>
          <w:color w:val="auto"/>
          <w:highlight w:val="none"/>
        </w:rPr>
        <w:sectPr>
          <w:footerReference r:id="rId7" w:type="default"/>
          <w:pgSz w:w="11906" w:h="16838"/>
          <w:pgMar w:top="1134" w:right="1418" w:bottom="1134" w:left="1418" w:header="851" w:footer="992" w:gutter="0"/>
          <w:pgNumType w:start="1"/>
          <w:cols w:space="720" w:num="1"/>
          <w:docGrid w:type="lines" w:linePitch="312" w:charSpace="0"/>
        </w:sectPr>
      </w:pPr>
      <w:r>
        <w:rPr>
          <w:rFonts w:hint="eastAsia" w:ascii="宋体" w:hAnsi="宋体" w:cs="宋体"/>
          <w:color w:val="auto"/>
          <w:highlight w:val="none"/>
        </w:rPr>
        <w:t>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lang w:val="en-US" w:eastAsia="zh-CN"/>
        </w:rPr>
        <w:t>1</w:t>
      </w:r>
      <w:r>
        <w:rPr>
          <w:rFonts w:hint="eastAsia" w:ascii="宋体" w:hAnsi="宋体" w:cs="宋体"/>
          <w:color w:val="auto"/>
          <w:highlight w:val="none"/>
        </w:rPr>
        <w:t>月</w:t>
      </w:r>
      <w:r>
        <w:rPr>
          <w:rFonts w:hint="eastAsia" w:ascii="宋体" w:hAnsi="宋体" w:cs="宋体"/>
          <w:color w:val="auto"/>
          <w:highlight w:val="none"/>
          <w:lang w:val="en-US" w:eastAsia="zh-CN"/>
        </w:rPr>
        <w:t>13</w:t>
      </w:r>
      <w:r>
        <w:rPr>
          <w:rFonts w:hint="eastAsia" w:ascii="宋体" w:hAnsi="宋体" w:cs="宋体"/>
          <w:color w:val="auto"/>
          <w:highlight w:val="none"/>
        </w:rPr>
        <w:t>日</w:t>
      </w:r>
    </w:p>
    <w:p w14:paraId="7C62B670">
      <w:pPr>
        <w:rPr>
          <w:rFonts w:hint="eastAsia" w:ascii="宋体" w:hAnsi="宋体" w:cs="宋体"/>
          <w:color w:val="auto"/>
          <w:highlight w:val="none"/>
        </w:rPr>
      </w:pPr>
    </w:p>
    <w:p w14:paraId="2541F671">
      <w:pPr>
        <w:rPr>
          <w:rFonts w:hint="eastAsia" w:ascii="宋体" w:hAnsi="宋体" w:cs="宋体"/>
          <w:color w:val="auto"/>
          <w:highlight w:val="none"/>
        </w:rPr>
      </w:pPr>
    </w:p>
    <w:p w14:paraId="286C82F4">
      <w:pPr>
        <w:rPr>
          <w:rFonts w:hint="eastAsia" w:ascii="宋体" w:hAnsi="宋体" w:cs="宋体"/>
          <w:color w:val="auto"/>
          <w:highlight w:val="none"/>
        </w:rPr>
      </w:pPr>
    </w:p>
    <w:p w14:paraId="155721D8">
      <w:pPr>
        <w:rPr>
          <w:rFonts w:hint="eastAsia" w:ascii="宋体" w:hAnsi="宋体" w:cs="宋体"/>
          <w:color w:val="auto"/>
          <w:highlight w:val="none"/>
        </w:rPr>
      </w:pPr>
    </w:p>
    <w:p w14:paraId="5163224E">
      <w:pPr>
        <w:rPr>
          <w:rFonts w:hint="eastAsia" w:ascii="宋体" w:hAnsi="宋体" w:cs="宋体"/>
          <w:color w:val="auto"/>
          <w:highlight w:val="none"/>
        </w:rPr>
      </w:pPr>
    </w:p>
    <w:p w14:paraId="0F3E5F6E">
      <w:pPr>
        <w:rPr>
          <w:rFonts w:hint="eastAsia" w:ascii="宋体" w:hAnsi="宋体" w:cs="宋体"/>
          <w:color w:val="auto"/>
          <w:highlight w:val="none"/>
        </w:rPr>
      </w:pPr>
    </w:p>
    <w:p w14:paraId="528D042A">
      <w:pPr>
        <w:rPr>
          <w:rFonts w:hint="eastAsia" w:ascii="宋体" w:hAnsi="宋体" w:cs="宋体"/>
          <w:color w:val="auto"/>
          <w:highlight w:val="none"/>
        </w:rPr>
      </w:pPr>
    </w:p>
    <w:p w14:paraId="53ABBBE2">
      <w:pPr>
        <w:rPr>
          <w:rFonts w:hint="eastAsia" w:ascii="宋体" w:hAnsi="宋体" w:cs="宋体"/>
          <w:color w:val="auto"/>
          <w:highlight w:val="none"/>
        </w:rPr>
      </w:pPr>
    </w:p>
    <w:p w14:paraId="5CE32DCE">
      <w:pPr>
        <w:snapToGrid w:val="0"/>
        <w:spacing w:line="360" w:lineRule="auto"/>
        <w:jc w:val="center"/>
        <w:rPr>
          <w:rFonts w:hint="eastAsia" w:ascii="宋体" w:hAnsi="宋体" w:cs="宋体"/>
          <w:b/>
          <w:color w:val="auto"/>
          <w:sz w:val="44"/>
          <w:highlight w:val="none"/>
        </w:rPr>
      </w:pPr>
    </w:p>
    <w:p w14:paraId="2C6AC67C">
      <w:pPr>
        <w:snapToGrid w:val="0"/>
        <w:spacing w:line="360" w:lineRule="auto"/>
        <w:jc w:val="center"/>
        <w:rPr>
          <w:rFonts w:hint="eastAsia" w:ascii="宋体" w:hAnsi="宋体" w:cs="宋体"/>
          <w:b/>
          <w:color w:val="auto"/>
          <w:sz w:val="44"/>
          <w:highlight w:val="none"/>
        </w:rPr>
      </w:pPr>
    </w:p>
    <w:p w14:paraId="35EA24CE">
      <w:pPr>
        <w:jc w:val="center"/>
        <w:outlineLvl w:val="0"/>
        <w:rPr>
          <w:rFonts w:hint="eastAsia" w:ascii="宋体" w:hAnsi="宋体" w:cs="宋体"/>
          <w:b/>
          <w:color w:val="auto"/>
          <w:sz w:val="44"/>
          <w:szCs w:val="44"/>
          <w:highlight w:val="none"/>
        </w:rPr>
      </w:pPr>
      <w:bookmarkStart w:id="46" w:name="_Toc9976"/>
      <w:r>
        <w:rPr>
          <w:rFonts w:hint="eastAsia" w:ascii="宋体" w:hAnsi="宋体" w:cs="宋体"/>
          <w:b/>
          <w:color w:val="auto"/>
          <w:sz w:val="44"/>
          <w:szCs w:val="44"/>
          <w:highlight w:val="none"/>
        </w:rPr>
        <w:t>第二章</w:t>
      </w:r>
      <w:bookmarkStart w:id="47" w:name="_Toc477186217"/>
      <w:r>
        <w:rPr>
          <w:rFonts w:hint="eastAsia" w:ascii="宋体" w:hAnsi="宋体" w:cs="宋体"/>
          <w:b/>
          <w:color w:val="auto"/>
          <w:sz w:val="44"/>
          <w:szCs w:val="44"/>
          <w:highlight w:val="none"/>
        </w:rPr>
        <w:t xml:space="preserve">  投标人须知</w:t>
      </w:r>
      <w:bookmarkEnd w:id="46"/>
      <w:bookmarkEnd w:id="47"/>
    </w:p>
    <w:p w14:paraId="055959BC">
      <w:pPr>
        <w:rPr>
          <w:rFonts w:hint="eastAsia" w:ascii="宋体" w:hAnsi="宋体" w:cs="宋体"/>
          <w:color w:val="auto"/>
          <w:highlight w:val="none"/>
        </w:rPr>
      </w:pPr>
    </w:p>
    <w:p w14:paraId="7A7F1987">
      <w:pPr>
        <w:rPr>
          <w:rFonts w:hint="eastAsia" w:ascii="宋体" w:hAnsi="宋体" w:cs="宋体"/>
          <w:color w:val="auto"/>
          <w:highlight w:val="none"/>
        </w:rPr>
      </w:pPr>
    </w:p>
    <w:p w14:paraId="61DE12D5">
      <w:pPr>
        <w:rPr>
          <w:rFonts w:hint="eastAsia" w:ascii="宋体" w:hAnsi="宋体" w:cs="宋体"/>
          <w:color w:val="auto"/>
          <w:highlight w:val="none"/>
        </w:rPr>
      </w:pPr>
    </w:p>
    <w:p w14:paraId="29F70DB1">
      <w:pPr>
        <w:rPr>
          <w:rFonts w:hint="eastAsia" w:ascii="宋体" w:hAnsi="宋体" w:cs="宋体"/>
          <w:color w:val="auto"/>
          <w:highlight w:val="none"/>
        </w:rPr>
      </w:pPr>
    </w:p>
    <w:p w14:paraId="7829ACE2">
      <w:pPr>
        <w:rPr>
          <w:rFonts w:hint="eastAsia" w:ascii="宋体" w:hAnsi="宋体" w:cs="宋体"/>
          <w:color w:val="auto"/>
          <w:highlight w:val="none"/>
        </w:rPr>
      </w:pPr>
    </w:p>
    <w:p w14:paraId="2E16900A">
      <w:pPr>
        <w:rPr>
          <w:rFonts w:hint="eastAsia" w:ascii="宋体" w:hAnsi="宋体" w:cs="宋体"/>
          <w:color w:val="auto"/>
          <w:highlight w:val="none"/>
        </w:rPr>
      </w:pPr>
    </w:p>
    <w:p w14:paraId="02C01654">
      <w:pPr>
        <w:rPr>
          <w:rFonts w:hint="eastAsia" w:ascii="宋体" w:hAnsi="宋体" w:cs="宋体"/>
          <w:color w:val="auto"/>
          <w:highlight w:val="none"/>
        </w:rPr>
      </w:pPr>
    </w:p>
    <w:p w14:paraId="6AA22F3C">
      <w:pPr>
        <w:rPr>
          <w:rFonts w:hint="eastAsia" w:ascii="宋体" w:hAnsi="宋体" w:cs="宋体"/>
          <w:color w:val="auto"/>
          <w:highlight w:val="none"/>
        </w:rPr>
      </w:pPr>
    </w:p>
    <w:p w14:paraId="407C268B">
      <w:pPr>
        <w:rPr>
          <w:rFonts w:hint="eastAsia" w:ascii="宋体" w:hAnsi="宋体" w:cs="宋体"/>
          <w:color w:val="auto"/>
          <w:highlight w:val="none"/>
        </w:rPr>
      </w:pPr>
    </w:p>
    <w:p w14:paraId="65AE3210">
      <w:pPr>
        <w:rPr>
          <w:rFonts w:hint="eastAsia" w:ascii="宋体" w:hAnsi="宋体" w:cs="宋体"/>
          <w:color w:val="auto"/>
          <w:highlight w:val="none"/>
        </w:rPr>
      </w:pPr>
    </w:p>
    <w:p w14:paraId="059BBB81">
      <w:pPr>
        <w:rPr>
          <w:rFonts w:hint="eastAsia" w:ascii="宋体" w:hAnsi="宋体" w:cs="宋体"/>
          <w:color w:val="auto"/>
          <w:highlight w:val="none"/>
        </w:rPr>
      </w:pPr>
    </w:p>
    <w:p w14:paraId="0DA99DC6">
      <w:pPr>
        <w:rPr>
          <w:rFonts w:hint="eastAsia" w:ascii="宋体" w:hAnsi="宋体" w:cs="宋体"/>
          <w:color w:val="auto"/>
          <w:highlight w:val="none"/>
        </w:rPr>
      </w:pPr>
    </w:p>
    <w:p w14:paraId="42F6E817">
      <w:pPr>
        <w:rPr>
          <w:rFonts w:hint="eastAsia" w:ascii="宋体" w:hAnsi="宋体" w:cs="宋体"/>
          <w:color w:val="auto"/>
          <w:highlight w:val="none"/>
        </w:rPr>
      </w:pPr>
    </w:p>
    <w:p w14:paraId="236E9B7F">
      <w:pPr>
        <w:rPr>
          <w:rFonts w:hint="eastAsia" w:ascii="宋体" w:hAnsi="宋体" w:cs="宋体"/>
          <w:color w:val="auto"/>
          <w:highlight w:val="none"/>
        </w:rPr>
      </w:pPr>
    </w:p>
    <w:p w14:paraId="4EF25C54">
      <w:pPr>
        <w:rPr>
          <w:rFonts w:hint="eastAsia" w:ascii="宋体" w:hAnsi="宋体" w:cs="宋体"/>
          <w:color w:val="auto"/>
          <w:highlight w:val="none"/>
        </w:rPr>
      </w:pPr>
    </w:p>
    <w:p w14:paraId="1CF687DB">
      <w:pPr>
        <w:rPr>
          <w:rFonts w:hint="eastAsia" w:ascii="宋体" w:hAnsi="宋体" w:cs="宋体"/>
          <w:color w:val="auto"/>
          <w:highlight w:val="none"/>
        </w:rPr>
      </w:pPr>
    </w:p>
    <w:p w14:paraId="33E05E77">
      <w:pPr>
        <w:rPr>
          <w:rFonts w:hint="eastAsia" w:ascii="宋体" w:hAnsi="宋体" w:cs="宋体"/>
          <w:color w:val="auto"/>
          <w:highlight w:val="none"/>
        </w:rPr>
      </w:pPr>
    </w:p>
    <w:p w14:paraId="1166051B">
      <w:pPr>
        <w:rPr>
          <w:rFonts w:hint="eastAsia" w:ascii="宋体" w:hAnsi="宋体" w:cs="宋体"/>
          <w:color w:val="auto"/>
          <w:highlight w:val="none"/>
        </w:rPr>
      </w:pPr>
    </w:p>
    <w:p w14:paraId="6FA0F1F8">
      <w:pPr>
        <w:rPr>
          <w:rFonts w:hint="eastAsia" w:ascii="宋体" w:hAnsi="宋体" w:cs="宋体"/>
          <w:color w:val="auto"/>
          <w:highlight w:val="none"/>
        </w:rPr>
      </w:pPr>
    </w:p>
    <w:p w14:paraId="25F62C47">
      <w:pPr>
        <w:rPr>
          <w:rFonts w:hint="eastAsia" w:ascii="宋体" w:hAnsi="宋体" w:cs="宋体"/>
          <w:color w:val="auto"/>
          <w:highlight w:val="none"/>
        </w:rPr>
      </w:pPr>
    </w:p>
    <w:p w14:paraId="3EEE04D7">
      <w:pPr>
        <w:rPr>
          <w:rFonts w:hint="eastAsia" w:ascii="宋体" w:hAnsi="宋体" w:cs="宋体"/>
          <w:color w:val="auto"/>
          <w:highlight w:val="none"/>
        </w:rPr>
      </w:pPr>
    </w:p>
    <w:p w14:paraId="7AD748E6">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投标人须知前附表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8443"/>
      </w:tblGrid>
      <w:tr w14:paraId="4A2A0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43" w:type="dxa"/>
            <w:noWrap w:val="0"/>
            <w:vAlign w:val="center"/>
          </w:tcPr>
          <w:p w14:paraId="3A2F57EA">
            <w:pPr>
              <w:pStyle w:val="20"/>
              <w:ind w:left="1265" w:right="42" w:rightChars="20" w:hanging="1265"/>
              <w:jc w:val="center"/>
              <w:rPr>
                <w:rFonts w:hint="eastAsia" w:hAnsi="宋体" w:cs="宋体"/>
                <w:b/>
                <w:bCs/>
                <w:color w:val="auto"/>
                <w:highlight w:val="none"/>
              </w:rPr>
            </w:pPr>
            <w:bookmarkStart w:id="48" w:name="_Toc119753876"/>
            <w:bookmarkStart w:id="49" w:name="_Toc476177333"/>
            <w:bookmarkStart w:id="50" w:name="_Toc30250"/>
            <w:bookmarkStart w:id="51" w:name="_Toc476177888"/>
            <w:r>
              <w:rPr>
                <w:rFonts w:hint="eastAsia" w:hAnsi="宋体" w:cs="宋体"/>
                <w:b/>
                <w:bCs/>
                <w:color w:val="auto"/>
                <w:highlight w:val="none"/>
              </w:rPr>
              <w:t>项号</w:t>
            </w:r>
          </w:p>
        </w:tc>
        <w:tc>
          <w:tcPr>
            <w:tcW w:w="8443" w:type="dxa"/>
            <w:noWrap w:val="0"/>
            <w:vAlign w:val="center"/>
          </w:tcPr>
          <w:p w14:paraId="2B536916">
            <w:pPr>
              <w:pStyle w:val="20"/>
              <w:ind w:left="252" w:leftChars="120" w:firstLine="2509" w:firstLineChars="1190"/>
              <w:rPr>
                <w:rFonts w:hint="eastAsia" w:hAnsi="宋体" w:cs="宋体"/>
                <w:b/>
                <w:bCs/>
                <w:color w:val="auto"/>
                <w:highlight w:val="none"/>
              </w:rPr>
            </w:pPr>
            <w:r>
              <w:rPr>
                <w:rFonts w:hint="eastAsia" w:hAnsi="宋体" w:cs="宋体"/>
                <w:b/>
                <w:bCs/>
                <w:color w:val="auto"/>
                <w:highlight w:val="none"/>
              </w:rPr>
              <w:t>内容规定</w:t>
            </w:r>
          </w:p>
        </w:tc>
      </w:tr>
      <w:tr w14:paraId="4299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43" w:type="dxa"/>
            <w:noWrap w:val="0"/>
            <w:vAlign w:val="center"/>
          </w:tcPr>
          <w:p w14:paraId="1BFFF153">
            <w:pPr>
              <w:pStyle w:val="20"/>
              <w:ind w:left="-2394" w:leftChars="-1140" w:right="-107" w:rightChars="-51" w:firstLine="2284" w:firstLineChars="1088"/>
              <w:jc w:val="center"/>
              <w:rPr>
                <w:rFonts w:hint="eastAsia" w:hAnsi="宋体" w:cs="宋体"/>
                <w:color w:val="auto"/>
                <w:highlight w:val="none"/>
              </w:rPr>
            </w:pPr>
            <w:r>
              <w:rPr>
                <w:rFonts w:hint="eastAsia" w:hAnsi="宋体" w:cs="宋体"/>
                <w:color w:val="auto"/>
                <w:highlight w:val="none"/>
              </w:rPr>
              <w:t>1</w:t>
            </w:r>
          </w:p>
        </w:tc>
        <w:tc>
          <w:tcPr>
            <w:tcW w:w="8443" w:type="dxa"/>
            <w:noWrap w:val="0"/>
            <w:vAlign w:val="top"/>
          </w:tcPr>
          <w:p w14:paraId="3AAFA054">
            <w:pPr>
              <w:pStyle w:val="20"/>
              <w:ind w:left="1" w:firstLine="0"/>
              <w:rPr>
                <w:rFonts w:hint="eastAsia" w:hAnsi="宋体" w:eastAsia="宋体" w:cs="宋体"/>
                <w:b/>
                <w:color w:val="auto"/>
                <w:highlight w:val="none"/>
                <w:lang w:eastAsia="zh-CN"/>
              </w:rPr>
            </w:pPr>
            <w:r>
              <w:rPr>
                <w:rFonts w:hint="eastAsia" w:hAnsi="宋体" w:cs="宋体"/>
                <w:b/>
                <w:color w:val="auto"/>
                <w:highlight w:val="none"/>
              </w:rPr>
              <w:t>项目名称：</w:t>
            </w:r>
            <w:r>
              <w:rPr>
                <w:rFonts w:hint="eastAsia" w:hAnsi="宋体" w:cs="宋体"/>
                <w:b/>
                <w:color w:val="auto"/>
                <w:highlight w:val="none"/>
                <w:lang w:eastAsia="zh-CN"/>
              </w:rPr>
              <w:t>南方报业传媒集团2025至2026年度安保服务</w:t>
            </w:r>
          </w:p>
          <w:p w14:paraId="5A39772B">
            <w:pPr>
              <w:pStyle w:val="20"/>
              <w:ind w:left="1265" w:hanging="1265"/>
              <w:rPr>
                <w:rFonts w:hint="eastAsia" w:hAnsi="宋体" w:cs="宋体"/>
                <w:color w:val="auto"/>
                <w:highlight w:val="none"/>
              </w:rPr>
            </w:pPr>
            <w:r>
              <w:rPr>
                <w:rFonts w:hint="eastAsia" w:hAnsi="宋体" w:cs="宋体"/>
                <w:b/>
                <w:bCs/>
                <w:color w:val="auto"/>
                <w:highlight w:val="none"/>
              </w:rPr>
              <w:t>招标人名称：</w:t>
            </w:r>
            <w:r>
              <w:rPr>
                <w:rFonts w:hint="eastAsia" w:hAnsi="宋体" w:cs="宋体"/>
                <w:b/>
                <w:color w:val="auto"/>
                <w:highlight w:val="none"/>
              </w:rPr>
              <w:t>广东南方报业传媒集团物业管理有限公司</w:t>
            </w:r>
          </w:p>
        </w:tc>
      </w:tr>
      <w:tr w14:paraId="781B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noWrap w:val="0"/>
            <w:vAlign w:val="center"/>
          </w:tcPr>
          <w:p w14:paraId="1DBEE123">
            <w:pPr>
              <w:pStyle w:val="20"/>
              <w:ind w:left="-466" w:leftChars="-222" w:right="42" w:rightChars="20" w:firstLine="464" w:firstLineChars="221"/>
              <w:jc w:val="center"/>
              <w:rPr>
                <w:rFonts w:hint="eastAsia" w:hAnsi="宋体" w:cs="宋体"/>
                <w:color w:val="auto"/>
                <w:highlight w:val="none"/>
              </w:rPr>
            </w:pPr>
            <w:r>
              <w:rPr>
                <w:rFonts w:hint="eastAsia" w:hAnsi="宋体" w:cs="宋体"/>
                <w:color w:val="auto"/>
                <w:highlight w:val="none"/>
              </w:rPr>
              <w:t>2</w:t>
            </w:r>
          </w:p>
        </w:tc>
        <w:tc>
          <w:tcPr>
            <w:tcW w:w="8443" w:type="dxa"/>
            <w:noWrap w:val="0"/>
            <w:vAlign w:val="center"/>
          </w:tcPr>
          <w:p w14:paraId="5E36DE5B">
            <w:pPr>
              <w:pStyle w:val="20"/>
              <w:ind w:left="1103" w:hanging="1103" w:hangingChars="523"/>
              <w:rPr>
                <w:rFonts w:hint="eastAsia" w:hAnsi="宋体" w:cs="宋体"/>
                <w:b/>
                <w:color w:val="auto"/>
                <w:highlight w:val="none"/>
                <w:u w:val="single"/>
              </w:rPr>
            </w:pPr>
            <w:r>
              <w:rPr>
                <w:rFonts w:hint="eastAsia" w:hAnsi="宋体" w:cs="宋体"/>
                <w:b/>
                <w:bCs/>
                <w:color w:val="auto"/>
                <w:highlight w:val="none"/>
              </w:rPr>
              <w:t>资金来源：</w:t>
            </w:r>
            <w:r>
              <w:rPr>
                <w:rFonts w:hint="eastAsia" w:hAnsi="宋体" w:cs="宋体"/>
                <w:color w:val="auto"/>
                <w:highlight w:val="none"/>
              </w:rPr>
              <w:t>自筹资金</w:t>
            </w:r>
          </w:p>
        </w:tc>
      </w:tr>
      <w:tr w14:paraId="6970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noWrap w:val="0"/>
            <w:vAlign w:val="center"/>
          </w:tcPr>
          <w:p w14:paraId="1FE9C0A4">
            <w:pPr>
              <w:pStyle w:val="20"/>
              <w:ind w:left="-466" w:leftChars="-222" w:right="42" w:rightChars="20" w:firstLine="464" w:firstLineChars="221"/>
              <w:jc w:val="center"/>
              <w:rPr>
                <w:rFonts w:hint="eastAsia" w:hAnsi="宋体" w:cs="宋体"/>
                <w:color w:val="auto"/>
                <w:highlight w:val="none"/>
              </w:rPr>
            </w:pPr>
            <w:r>
              <w:rPr>
                <w:rFonts w:hint="eastAsia" w:hAnsi="宋体" w:cs="宋体"/>
                <w:color w:val="auto"/>
                <w:highlight w:val="none"/>
              </w:rPr>
              <w:t>3</w:t>
            </w:r>
          </w:p>
        </w:tc>
        <w:tc>
          <w:tcPr>
            <w:tcW w:w="8443" w:type="dxa"/>
            <w:noWrap w:val="0"/>
            <w:vAlign w:val="center"/>
          </w:tcPr>
          <w:p w14:paraId="0ED55EEA">
            <w:pPr>
              <w:pStyle w:val="20"/>
              <w:ind w:left="1265" w:hanging="1265"/>
              <w:rPr>
                <w:rFonts w:hint="eastAsia" w:hAnsi="宋体" w:cs="宋体"/>
                <w:color w:val="auto"/>
                <w:highlight w:val="none"/>
              </w:rPr>
            </w:pPr>
            <w:r>
              <w:rPr>
                <w:rFonts w:hint="eastAsia" w:hAnsi="宋体" w:cs="宋体"/>
                <w:b/>
                <w:bCs/>
                <w:color w:val="auto"/>
                <w:highlight w:val="none"/>
              </w:rPr>
              <w:t>招标方式：</w:t>
            </w:r>
            <w:r>
              <w:rPr>
                <w:rFonts w:hint="eastAsia" w:hAnsi="宋体" w:cs="宋体"/>
                <w:color w:val="auto"/>
                <w:highlight w:val="none"/>
              </w:rPr>
              <w:t>国内公开招标</w:t>
            </w:r>
          </w:p>
        </w:tc>
      </w:tr>
      <w:tr w14:paraId="22CD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noWrap w:val="0"/>
            <w:vAlign w:val="center"/>
          </w:tcPr>
          <w:p w14:paraId="7BCFBE49">
            <w:pPr>
              <w:pStyle w:val="20"/>
              <w:ind w:left="-466" w:leftChars="-222" w:right="42" w:rightChars="20" w:firstLine="464" w:firstLineChars="221"/>
              <w:jc w:val="center"/>
              <w:rPr>
                <w:rFonts w:hint="eastAsia" w:hAnsi="宋体" w:cs="宋体"/>
                <w:color w:val="auto"/>
                <w:highlight w:val="none"/>
              </w:rPr>
            </w:pPr>
            <w:r>
              <w:rPr>
                <w:rFonts w:hint="eastAsia" w:hAnsi="宋体" w:cs="宋体"/>
                <w:color w:val="auto"/>
                <w:highlight w:val="none"/>
              </w:rPr>
              <w:t>4</w:t>
            </w:r>
          </w:p>
        </w:tc>
        <w:tc>
          <w:tcPr>
            <w:tcW w:w="8443" w:type="dxa"/>
            <w:noWrap w:val="0"/>
            <w:vAlign w:val="center"/>
          </w:tcPr>
          <w:p w14:paraId="47A41AE5">
            <w:pPr>
              <w:pStyle w:val="20"/>
              <w:ind w:left="1" w:firstLine="0"/>
              <w:jc w:val="left"/>
              <w:rPr>
                <w:rFonts w:hint="eastAsia" w:hAnsi="宋体" w:cs="宋体"/>
                <w:b/>
                <w:bCs/>
                <w:color w:val="auto"/>
                <w:highlight w:val="none"/>
              </w:rPr>
            </w:pPr>
            <w:r>
              <w:rPr>
                <w:rFonts w:hint="eastAsia" w:hAnsi="宋体" w:cs="宋体"/>
                <w:b/>
                <w:color w:val="auto"/>
                <w:highlight w:val="none"/>
              </w:rPr>
              <w:t>招标信息发布：</w:t>
            </w:r>
            <w:r>
              <w:rPr>
                <w:rFonts w:hint="eastAsia" w:hAnsi="宋体" w:cs="宋体"/>
                <w:bCs/>
                <w:color w:val="auto"/>
                <w:highlight w:val="none"/>
              </w:rPr>
              <w:t>中</w:t>
            </w:r>
            <w:r>
              <w:rPr>
                <w:rFonts w:hint="eastAsia" w:hAnsi="宋体" w:cs="宋体"/>
                <w:color w:val="auto"/>
                <w:highlight w:val="none"/>
              </w:rPr>
              <w:t>国招标投标公共服务平台、广咨电子招投标交易平台网站（广东省机电设备招标有限公司网）、南方网、《南方日报》。</w:t>
            </w:r>
          </w:p>
        </w:tc>
      </w:tr>
      <w:tr w14:paraId="5200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noWrap w:val="0"/>
            <w:vAlign w:val="center"/>
          </w:tcPr>
          <w:p w14:paraId="5B5EF754">
            <w:pPr>
              <w:pStyle w:val="20"/>
              <w:ind w:left="-466" w:leftChars="-222" w:right="42" w:rightChars="20" w:firstLine="464" w:firstLineChars="221"/>
              <w:jc w:val="center"/>
              <w:rPr>
                <w:rFonts w:hint="eastAsia" w:hAnsi="宋体" w:cs="宋体"/>
                <w:color w:val="auto"/>
                <w:highlight w:val="none"/>
              </w:rPr>
            </w:pPr>
            <w:r>
              <w:rPr>
                <w:rFonts w:hint="eastAsia" w:hAnsi="宋体" w:cs="宋体"/>
                <w:color w:val="auto"/>
                <w:highlight w:val="none"/>
              </w:rPr>
              <w:t>5</w:t>
            </w:r>
          </w:p>
        </w:tc>
        <w:tc>
          <w:tcPr>
            <w:tcW w:w="8443" w:type="dxa"/>
            <w:noWrap w:val="0"/>
            <w:vAlign w:val="center"/>
          </w:tcPr>
          <w:p w14:paraId="1D9FB4A1">
            <w:pPr>
              <w:pStyle w:val="20"/>
              <w:ind w:left="1265" w:hanging="1265"/>
              <w:rPr>
                <w:rFonts w:hint="eastAsia" w:hAnsi="宋体" w:cs="宋体"/>
                <w:color w:val="auto"/>
                <w:highlight w:val="none"/>
              </w:rPr>
            </w:pPr>
            <w:r>
              <w:rPr>
                <w:rFonts w:hint="eastAsia" w:hAnsi="宋体" w:cs="宋体"/>
                <w:b/>
                <w:bCs/>
                <w:color w:val="auto"/>
                <w:highlight w:val="none"/>
              </w:rPr>
              <w:t>招标范围：</w:t>
            </w:r>
            <w:r>
              <w:rPr>
                <w:rFonts w:hint="eastAsia" w:hAnsi="宋体" w:cs="宋体"/>
                <w:color w:val="auto"/>
                <w:highlight w:val="none"/>
              </w:rPr>
              <w:t>详见投标人须知</w:t>
            </w:r>
          </w:p>
        </w:tc>
      </w:tr>
      <w:tr w14:paraId="7BF6C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noWrap w:val="0"/>
            <w:vAlign w:val="center"/>
          </w:tcPr>
          <w:p w14:paraId="3A90EC7B">
            <w:pPr>
              <w:pStyle w:val="20"/>
              <w:ind w:left="-466" w:leftChars="-222" w:right="42" w:rightChars="20" w:firstLine="464" w:firstLineChars="221"/>
              <w:jc w:val="center"/>
              <w:rPr>
                <w:rFonts w:hint="eastAsia" w:hAnsi="宋体" w:cs="宋体"/>
                <w:color w:val="auto"/>
                <w:highlight w:val="none"/>
              </w:rPr>
            </w:pPr>
            <w:r>
              <w:rPr>
                <w:rFonts w:hint="eastAsia" w:hAnsi="宋体" w:cs="宋体"/>
                <w:color w:val="auto"/>
                <w:highlight w:val="none"/>
              </w:rPr>
              <w:t>6</w:t>
            </w:r>
          </w:p>
        </w:tc>
        <w:tc>
          <w:tcPr>
            <w:tcW w:w="8443" w:type="dxa"/>
            <w:noWrap w:val="0"/>
            <w:vAlign w:val="center"/>
          </w:tcPr>
          <w:p w14:paraId="135874E1">
            <w:pPr>
              <w:pStyle w:val="20"/>
              <w:ind w:left="1265" w:hanging="1265"/>
              <w:rPr>
                <w:rFonts w:hint="eastAsia" w:hAnsi="宋体" w:cs="宋体"/>
                <w:color w:val="auto"/>
                <w:highlight w:val="none"/>
              </w:rPr>
            </w:pPr>
            <w:r>
              <w:rPr>
                <w:rFonts w:hint="eastAsia" w:hAnsi="宋体" w:cs="宋体"/>
                <w:b/>
                <w:bCs/>
                <w:color w:val="auto"/>
                <w:highlight w:val="none"/>
              </w:rPr>
              <w:t>踏勘现场：</w:t>
            </w:r>
            <w:r>
              <w:rPr>
                <w:rFonts w:hint="eastAsia" w:hAnsi="宋体" w:cs="宋体"/>
                <w:color w:val="auto"/>
                <w:highlight w:val="none"/>
              </w:rPr>
              <w:t>招标人不组织集中踏勘现场。投标人如有意愿踏勘现场提前与招标人联系，踏勘现场发生的费用自理。</w:t>
            </w:r>
          </w:p>
          <w:p w14:paraId="629E2019">
            <w:pPr>
              <w:pStyle w:val="20"/>
              <w:ind w:left="1265" w:hanging="1265"/>
              <w:rPr>
                <w:rFonts w:hAnsi="宋体" w:cs="宋体"/>
                <w:color w:val="auto"/>
                <w:highlight w:val="none"/>
              </w:rPr>
            </w:pPr>
            <w:r>
              <w:rPr>
                <w:rFonts w:hint="eastAsia" w:hAnsi="宋体" w:cs="宋体"/>
                <w:b/>
                <w:bCs/>
                <w:color w:val="auto"/>
                <w:highlight w:val="none"/>
              </w:rPr>
              <w:t>踏勘时间：</w:t>
            </w:r>
            <w:r>
              <w:rPr>
                <w:rFonts w:hint="eastAsia" w:hAnsi="宋体" w:eastAsia="宋体" w:cs="宋体"/>
                <w:b w:val="0"/>
                <w:bCs w:val="0"/>
                <w:color w:val="auto"/>
                <w:highlight w:val="none"/>
                <w:lang w:val="en-US" w:eastAsia="zh-CN"/>
              </w:rPr>
              <w:t>202</w:t>
            </w:r>
            <w:r>
              <w:rPr>
                <w:rFonts w:hint="eastAsia" w:hAnsi="宋体" w:cs="宋体"/>
                <w:b w:val="0"/>
                <w:bCs w:val="0"/>
                <w:color w:val="auto"/>
                <w:highlight w:val="none"/>
                <w:lang w:val="en-US" w:eastAsia="zh-CN"/>
              </w:rPr>
              <w:t>5</w:t>
            </w:r>
            <w:r>
              <w:rPr>
                <w:rFonts w:hint="eastAsia" w:hAnsi="宋体" w:eastAsia="宋体" w:cs="宋体"/>
                <w:b w:val="0"/>
                <w:bCs w:val="0"/>
                <w:color w:val="auto"/>
                <w:highlight w:val="none"/>
                <w:lang w:val="en-US" w:eastAsia="zh-CN"/>
              </w:rPr>
              <w:t>年</w:t>
            </w:r>
            <w:r>
              <w:rPr>
                <w:rFonts w:hint="eastAsia" w:hAnsi="宋体" w:cs="宋体"/>
                <w:b w:val="0"/>
                <w:bCs w:val="0"/>
                <w:color w:val="auto"/>
                <w:highlight w:val="none"/>
                <w:lang w:val="en-US" w:eastAsia="zh-CN"/>
              </w:rPr>
              <w:t>1</w:t>
            </w:r>
            <w:r>
              <w:rPr>
                <w:rFonts w:hint="eastAsia" w:hAnsi="宋体" w:eastAsia="宋体" w:cs="宋体"/>
                <w:b w:val="0"/>
                <w:bCs w:val="0"/>
                <w:color w:val="auto"/>
                <w:highlight w:val="none"/>
                <w:lang w:val="en-US" w:eastAsia="zh-CN"/>
              </w:rPr>
              <w:t>月</w:t>
            </w:r>
            <w:r>
              <w:rPr>
                <w:rFonts w:hint="eastAsia" w:hAnsi="宋体" w:cs="宋体"/>
                <w:b w:val="0"/>
                <w:bCs w:val="0"/>
                <w:color w:val="auto"/>
                <w:highlight w:val="none"/>
                <w:lang w:val="en-US" w:eastAsia="zh-CN"/>
              </w:rPr>
              <w:t>21</w:t>
            </w:r>
            <w:r>
              <w:rPr>
                <w:rFonts w:hint="eastAsia" w:hAnsi="宋体" w:eastAsia="宋体" w:cs="宋体"/>
                <w:b w:val="0"/>
                <w:bCs w:val="0"/>
                <w:color w:val="auto"/>
                <w:highlight w:val="none"/>
                <w:lang w:val="en-US" w:eastAsia="zh-CN"/>
              </w:rPr>
              <w:t>日</w:t>
            </w:r>
            <w:r>
              <w:rPr>
                <w:rFonts w:hint="eastAsia" w:hAnsi="宋体" w:cs="宋体"/>
                <w:color w:val="auto"/>
                <w:highlight w:val="none"/>
              </w:rPr>
              <w:t>上午9:00-12:00；下午2:30-5:00。</w:t>
            </w:r>
          </w:p>
          <w:p w14:paraId="5F09893F">
            <w:pPr>
              <w:pStyle w:val="20"/>
              <w:ind w:left="1265" w:hanging="1265"/>
              <w:rPr>
                <w:rFonts w:hint="eastAsia" w:hAnsi="宋体" w:cs="宋体"/>
                <w:color w:val="auto"/>
                <w:highlight w:val="none"/>
              </w:rPr>
            </w:pPr>
            <w:r>
              <w:rPr>
                <w:rFonts w:hint="eastAsia" w:hAnsi="宋体" w:cs="宋体"/>
                <w:b/>
                <w:bCs/>
                <w:color w:val="auto"/>
                <w:highlight w:val="none"/>
              </w:rPr>
              <w:t>踏勘地点：</w:t>
            </w:r>
            <w:r>
              <w:rPr>
                <w:rFonts w:hint="eastAsia" w:hAnsi="宋体" w:cs="宋体"/>
                <w:color w:val="auto"/>
                <w:highlight w:val="none"/>
              </w:rPr>
              <w:t>广东省广州市越秀区广州大道中289号招标人指定地点。</w:t>
            </w:r>
          </w:p>
          <w:p w14:paraId="616F30AC">
            <w:pPr>
              <w:pStyle w:val="20"/>
              <w:ind w:left="1265" w:hanging="1265"/>
              <w:rPr>
                <w:rFonts w:hint="default" w:hAnsi="宋体" w:eastAsia="宋体" w:cs="宋体"/>
                <w:color w:val="auto"/>
                <w:highlight w:val="none"/>
                <w:lang w:val="en-US" w:eastAsia="zh-CN"/>
              </w:rPr>
            </w:pPr>
            <w:r>
              <w:rPr>
                <w:rFonts w:hint="eastAsia" w:hAnsi="宋体" w:cs="宋体"/>
                <w:b/>
                <w:bCs/>
                <w:color w:val="auto"/>
                <w:highlight w:val="none"/>
              </w:rPr>
              <w:t>联系人：</w:t>
            </w:r>
            <w:r>
              <w:rPr>
                <w:rFonts w:hint="eastAsia" w:hAnsi="宋体" w:cs="宋体"/>
                <w:b/>
                <w:bCs/>
                <w:color w:val="auto"/>
                <w:highlight w:val="none"/>
                <w:lang w:val="en-US" w:eastAsia="zh-CN"/>
              </w:rPr>
              <w:t>陈先生</w:t>
            </w:r>
          </w:p>
          <w:p w14:paraId="57FB2514">
            <w:pPr>
              <w:pStyle w:val="20"/>
              <w:ind w:left="1265" w:hanging="1265"/>
              <w:rPr>
                <w:rFonts w:hint="default" w:hAnsi="宋体" w:eastAsia="宋体" w:cs="宋体"/>
                <w:b/>
                <w:bCs/>
                <w:color w:val="auto"/>
                <w:highlight w:val="none"/>
                <w:lang w:val="en-US" w:eastAsia="zh-CN"/>
              </w:rPr>
            </w:pPr>
            <w:r>
              <w:rPr>
                <w:rFonts w:hint="eastAsia" w:hAnsi="宋体" w:cs="宋体"/>
                <w:b/>
                <w:bCs/>
                <w:color w:val="auto"/>
                <w:highlight w:val="none"/>
              </w:rPr>
              <w:t>联系方式：</w:t>
            </w:r>
            <w:r>
              <w:rPr>
                <w:rFonts w:hint="eastAsia"/>
                <w:lang w:val="en-US" w:eastAsia="zh-CN"/>
              </w:rPr>
              <w:t>020-83004520</w:t>
            </w:r>
          </w:p>
        </w:tc>
      </w:tr>
      <w:tr w14:paraId="7B40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43" w:type="dxa"/>
            <w:noWrap w:val="0"/>
            <w:vAlign w:val="center"/>
          </w:tcPr>
          <w:p w14:paraId="7156E5BA">
            <w:pPr>
              <w:pStyle w:val="20"/>
              <w:ind w:left="-466" w:leftChars="-222" w:right="42" w:rightChars="20" w:firstLine="464" w:firstLineChars="221"/>
              <w:jc w:val="center"/>
              <w:rPr>
                <w:rFonts w:hint="eastAsia" w:hAnsi="宋体" w:cs="宋体"/>
                <w:color w:val="auto"/>
                <w:highlight w:val="none"/>
              </w:rPr>
            </w:pPr>
            <w:r>
              <w:rPr>
                <w:rFonts w:hint="eastAsia" w:hAnsi="宋体" w:cs="宋体"/>
                <w:color w:val="auto"/>
                <w:highlight w:val="none"/>
              </w:rPr>
              <w:t>7</w:t>
            </w:r>
          </w:p>
        </w:tc>
        <w:tc>
          <w:tcPr>
            <w:tcW w:w="8443" w:type="dxa"/>
            <w:noWrap w:val="0"/>
            <w:vAlign w:val="center"/>
          </w:tcPr>
          <w:p w14:paraId="76283605">
            <w:pPr>
              <w:pStyle w:val="20"/>
              <w:ind w:left="1" w:firstLine="0"/>
              <w:jc w:val="left"/>
              <w:rPr>
                <w:rFonts w:hint="eastAsia" w:hAnsi="宋体" w:cs="宋体"/>
                <w:color w:val="auto"/>
                <w:highlight w:val="none"/>
              </w:rPr>
            </w:pPr>
            <w:r>
              <w:rPr>
                <w:rFonts w:hint="eastAsia" w:hAnsi="宋体" w:cs="宋体"/>
                <w:b/>
                <w:bCs/>
                <w:color w:val="auto"/>
                <w:highlight w:val="none"/>
              </w:rPr>
              <w:t>投标文件份数：</w:t>
            </w:r>
            <w:r>
              <w:rPr>
                <w:rFonts w:hint="eastAsia" w:hAnsi="宋体" w:cs="宋体"/>
                <w:color w:val="auto"/>
                <w:highlight w:val="none"/>
              </w:rPr>
              <w:t>中文正本1份；中文副本4份；投标文件电子文档1份（usb闪存盘）</w:t>
            </w:r>
          </w:p>
        </w:tc>
      </w:tr>
      <w:tr w14:paraId="1681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noWrap w:val="0"/>
            <w:vAlign w:val="center"/>
          </w:tcPr>
          <w:p w14:paraId="16D28A87">
            <w:pPr>
              <w:pStyle w:val="20"/>
              <w:ind w:left="-466" w:leftChars="-222" w:right="42" w:rightChars="20" w:firstLine="464" w:firstLineChars="221"/>
              <w:jc w:val="center"/>
              <w:rPr>
                <w:rFonts w:hint="eastAsia" w:hAnsi="宋体" w:cs="宋体"/>
                <w:color w:val="auto"/>
                <w:highlight w:val="none"/>
              </w:rPr>
            </w:pPr>
            <w:r>
              <w:rPr>
                <w:rFonts w:hint="eastAsia" w:hAnsi="宋体" w:cs="宋体"/>
                <w:color w:val="auto"/>
                <w:highlight w:val="none"/>
              </w:rPr>
              <w:t>8</w:t>
            </w:r>
          </w:p>
        </w:tc>
        <w:tc>
          <w:tcPr>
            <w:tcW w:w="8443" w:type="dxa"/>
            <w:noWrap w:val="0"/>
            <w:vAlign w:val="center"/>
          </w:tcPr>
          <w:p w14:paraId="1BB8BB36">
            <w:pPr>
              <w:pStyle w:val="20"/>
              <w:ind w:left="1265" w:hanging="1265"/>
              <w:rPr>
                <w:rFonts w:hint="eastAsia" w:hAnsi="宋体" w:cs="宋体"/>
                <w:color w:val="auto"/>
                <w:highlight w:val="none"/>
              </w:rPr>
            </w:pPr>
            <w:r>
              <w:rPr>
                <w:rFonts w:hint="eastAsia" w:hAnsi="宋体" w:cs="宋体"/>
                <w:b/>
                <w:bCs/>
                <w:color w:val="auto"/>
                <w:highlight w:val="none"/>
              </w:rPr>
              <w:t>投标有效期：</w:t>
            </w:r>
            <w:r>
              <w:rPr>
                <w:rFonts w:hint="eastAsia" w:hAnsi="宋体" w:cs="宋体"/>
                <w:b/>
                <w:color w:val="auto"/>
                <w:highlight w:val="none"/>
                <w:u w:val="single"/>
              </w:rPr>
              <w:t>90天（日历天）</w:t>
            </w:r>
          </w:p>
        </w:tc>
      </w:tr>
      <w:tr w14:paraId="1806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3" w:type="dxa"/>
            <w:noWrap w:val="0"/>
            <w:vAlign w:val="center"/>
          </w:tcPr>
          <w:p w14:paraId="1CE2489F">
            <w:pPr>
              <w:pStyle w:val="20"/>
              <w:ind w:left="-466" w:leftChars="-222" w:right="42" w:rightChars="20" w:firstLine="464" w:firstLineChars="221"/>
              <w:jc w:val="center"/>
              <w:rPr>
                <w:rFonts w:hint="eastAsia" w:hAnsi="宋体" w:cs="宋体"/>
                <w:color w:val="auto"/>
                <w:highlight w:val="none"/>
              </w:rPr>
            </w:pPr>
            <w:r>
              <w:rPr>
                <w:rFonts w:hint="eastAsia" w:hAnsi="宋体" w:cs="宋体"/>
                <w:color w:val="auto"/>
                <w:highlight w:val="none"/>
              </w:rPr>
              <w:t>9</w:t>
            </w:r>
          </w:p>
        </w:tc>
        <w:tc>
          <w:tcPr>
            <w:tcW w:w="8443" w:type="dxa"/>
            <w:noWrap w:val="0"/>
            <w:vAlign w:val="top"/>
          </w:tcPr>
          <w:p w14:paraId="5D436B74">
            <w:pPr>
              <w:pStyle w:val="20"/>
              <w:spacing w:before="120" w:after="120"/>
              <w:ind w:left="1" w:firstLine="0"/>
              <w:rPr>
                <w:rFonts w:hint="eastAsia" w:hAnsi="宋体" w:cs="宋体"/>
                <w:b/>
                <w:bCs/>
                <w:color w:val="auto"/>
                <w:highlight w:val="none"/>
              </w:rPr>
            </w:pPr>
            <w:r>
              <w:rPr>
                <w:rFonts w:hint="eastAsia" w:hAnsi="宋体" w:cs="宋体"/>
                <w:b/>
                <w:bCs/>
                <w:color w:val="auto"/>
                <w:highlight w:val="none"/>
              </w:rPr>
              <w:t>投标保证金：</w:t>
            </w:r>
          </w:p>
          <w:p w14:paraId="3D06C131">
            <w:pPr>
              <w:pStyle w:val="20"/>
              <w:spacing w:before="120" w:after="120"/>
              <w:ind w:left="1" w:firstLine="0"/>
              <w:rPr>
                <w:rFonts w:hint="eastAsia" w:hAnsi="宋体" w:cs="宋体"/>
                <w:b/>
                <w:bCs/>
                <w:color w:val="auto"/>
                <w:highlight w:val="none"/>
              </w:rPr>
            </w:pPr>
            <w:r>
              <w:rPr>
                <w:rFonts w:hint="eastAsia" w:hAnsi="宋体" w:cs="宋体"/>
                <w:b/>
                <w:bCs/>
                <w:color w:val="auto"/>
                <w:highlight w:val="none"/>
              </w:rPr>
              <w:t>1、投标保证金金额：</w:t>
            </w:r>
          </w:p>
          <w:p w14:paraId="1984809A">
            <w:pPr>
              <w:pStyle w:val="20"/>
              <w:spacing w:before="120" w:after="120"/>
              <w:ind w:left="1" w:firstLine="0"/>
              <w:rPr>
                <w:rFonts w:hint="eastAsia" w:hAnsi="宋体" w:cs="宋体"/>
                <w:b/>
                <w:bCs/>
                <w:color w:val="auto"/>
                <w:highlight w:val="none"/>
              </w:rPr>
            </w:pPr>
            <w:r>
              <w:rPr>
                <w:rFonts w:hint="eastAsia" w:hAnsi="宋体" w:cs="宋体"/>
                <w:b/>
                <w:bCs/>
                <w:color w:val="auto"/>
                <w:highlight w:val="none"/>
              </w:rPr>
              <w:t>投标人必须提交</w:t>
            </w:r>
            <w:r>
              <w:rPr>
                <w:rFonts w:hint="eastAsia" w:hAnsi="宋体" w:cs="宋体"/>
                <w:b/>
                <w:bCs/>
                <w:color w:val="auto"/>
                <w:highlight w:val="none"/>
                <w:lang w:val="en-US" w:eastAsia="zh-CN"/>
              </w:rPr>
              <w:t>¥</w:t>
            </w:r>
            <w:r>
              <w:rPr>
                <w:rFonts w:hint="eastAsia" w:hAnsi="宋体" w:cs="宋体"/>
                <w:b/>
                <w:bCs/>
                <w:color w:val="auto"/>
                <w:highlight w:val="none"/>
                <w:u w:val="single"/>
                <w:lang w:val="en-US" w:eastAsia="zh-CN"/>
              </w:rPr>
              <w:t>30</w:t>
            </w:r>
            <w:r>
              <w:rPr>
                <w:rFonts w:hint="eastAsia" w:hAnsi="宋体" w:cs="宋体"/>
                <w:b/>
                <w:bCs/>
                <w:color w:val="auto"/>
                <w:highlight w:val="none"/>
                <w:u w:val="single"/>
              </w:rPr>
              <w:t>000.00</w:t>
            </w:r>
            <w:r>
              <w:rPr>
                <w:rFonts w:hint="eastAsia" w:hAnsi="宋体" w:cs="宋体"/>
                <w:b/>
                <w:bCs/>
                <w:color w:val="auto"/>
                <w:highlight w:val="none"/>
              </w:rPr>
              <w:t>元(大写：人民币</w:t>
            </w:r>
            <w:r>
              <w:rPr>
                <w:rFonts w:hint="eastAsia" w:hAnsi="宋体" w:cs="宋体"/>
                <w:b/>
                <w:bCs/>
                <w:color w:val="auto"/>
                <w:highlight w:val="none"/>
                <w:lang w:val="en-US" w:eastAsia="zh-CN"/>
              </w:rPr>
              <w:t>叁</w:t>
            </w:r>
            <w:r>
              <w:rPr>
                <w:rFonts w:hint="eastAsia" w:hAnsi="宋体" w:cs="宋体"/>
                <w:b/>
                <w:bCs/>
                <w:color w:val="auto"/>
                <w:highlight w:val="none"/>
              </w:rPr>
              <w:t>万元整)的投标保证金</w:t>
            </w:r>
          </w:p>
          <w:p w14:paraId="42C76D3D">
            <w:pPr>
              <w:pStyle w:val="20"/>
              <w:spacing w:before="120" w:after="120" w:line="240" w:lineRule="auto"/>
              <w:ind w:left="1" w:firstLine="0"/>
              <w:rPr>
                <w:rFonts w:hint="eastAsia" w:hAnsi="宋体" w:cs="宋体"/>
                <w:color w:val="auto"/>
                <w:highlight w:val="none"/>
              </w:rPr>
            </w:pPr>
            <w:r>
              <w:rPr>
                <w:rFonts w:hint="eastAsia" w:hAnsi="宋体" w:cs="宋体"/>
                <w:b/>
                <w:bCs/>
                <w:color w:val="auto"/>
                <w:highlight w:val="none"/>
              </w:rPr>
              <w:t>2、投标保证金缴纳方式：</w:t>
            </w:r>
            <w:r>
              <w:rPr>
                <w:rFonts w:hint="eastAsia" w:hAnsi="宋体" w:cs="宋体"/>
                <w:color w:val="auto"/>
                <w:highlight w:val="none"/>
              </w:rPr>
              <w:t>（1）按银行子账号信息汇款/转账方式缴纳；或（2）电子保函线上缴纳方式：</w:t>
            </w:r>
          </w:p>
          <w:p w14:paraId="5EA84065">
            <w:pPr>
              <w:pStyle w:val="20"/>
              <w:ind w:firstLine="0"/>
              <w:rPr>
                <w:rFonts w:hint="eastAsia" w:hAnsi="宋体" w:cs="宋体"/>
                <w:b/>
                <w:bCs/>
                <w:color w:val="auto"/>
                <w:highlight w:val="none"/>
              </w:rPr>
            </w:pPr>
            <w:r>
              <w:rPr>
                <w:rFonts w:hint="eastAsia" w:hAnsi="宋体" w:cs="宋体"/>
                <w:b/>
                <w:bCs/>
                <w:color w:val="auto"/>
                <w:highlight w:val="none"/>
              </w:rPr>
              <w:t>（1）银行子账号信息汇款/转账缴纳方式：</w:t>
            </w:r>
          </w:p>
          <w:p w14:paraId="03216ADE">
            <w:pPr>
              <w:pStyle w:val="20"/>
              <w:ind w:firstLine="0"/>
              <w:rPr>
                <w:rFonts w:hint="eastAsia" w:hAnsi="宋体" w:cs="宋体"/>
                <w:color w:val="auto"/>
                <w:highlight w:val="none"/>
              </w:rPr>
            </w:pPr>
            <w:r>
              <w:rPr>
                <w:rFonts w:hint="eastAsia" w:hAnsi="宋体" w:cs="宋体"/>
                <w:color w:val="auto"/>
                <w:highlight w:val="none"/>
              </w:rPr>
              <w:t>①投标人网上登记成功后，应登录广东省机电设备招标有限公司广咨电子招投标交易平台网站（http://www.gzebid.cn）并选择对应项目获取缴纳投标保证金的银行子账号信息（每位投标人每个项目的保证金缴纳账户是唯一的，该账号是针对每位投标人随机生成的专属账号）。</w:t>
            </w:r>
          </w:p>
          <w:p w14:paraId="561449AF">
            <w:pPr>
              <w:pStyle w:val="20"/>
              <w:ind w:firstLine="0"/>
              <w:rPr>
                <w:rFonts w:hint="eastAsia" w:hAnsi="宋体" w:cs="宋体"/>
                <w:color w:val="auto"/>
                <w:highlight w:val="none"/>
              </w:rPr>
            </w:pPr>
            <w:r>
              <w:rPr>
                <w:rFonts w:hint="eastAsia" w:hAnsi="宋体" w:cs="宋体"/>
                <w:color w:val="auto"/>
                <w:highlight w:val="none"/>
              </w:rPr>
              <w:t>②投标保证金应从投标人的基本户中支付，并以资金到达该子账号的时间为准，如从其他账户、或未缴纳到指定的子账号，视为无效投标保证金。</w:t>
            </w:r>
          </w:p>
          <w:p w14:paraId="6C0C304F">
            <w:pPr>
              <w:pStyle w:val="20"/>
              <w:ind w:firstLine="0"/>
              <w:rPr>
                <w:rFonts w:hint="eastAsia" w:hAnsi="宋体" w:cs="宋体"/>
                <w:color w:val="auto"/>
                <w:highlight w:val="none"/>
              </w:rPr>
            </w:pPr>
            <w:r>
              <w:rPr>
                <w:rFonts w:hint="eastAsia" w:hAnsi="宋体" w:cs="宋体"/>
                <w:color w:val="auto"/>
                <w:highlight w:val="none"/>
              </w:rPr>
              <w:t>③缴纳投标保证金时投标人须仔细阅读广咨电子招投标交易平台的缴纳保证金页面的所有内容（包括重要事项），如因投标人未按要求错误操作造成系统平台无法识别缴纳账号信息或投标保证金未在投标截止时间前到账的，视为未按要求缴纳保证金，由此造成后果由投标</w:t>
            </w:r>
            <w:r>
              <w:rPr>
                <w:rFonts w:hint="eastAsia" w:hAnsi="宋体" w:cs="宋体"/>
                <w:color w:val="auto"/>
                <w:highlight w:val="none"/>
                <w:lang w:val="en-US" w:eastAsia="zh-CN"/>
              </w:rPr>
              <w:t>人</w:t>
            </w:r>
            <w:r>
              <w:rPr>
                <w:rFonts w:hint="eastAsia" w:hAnsi="宋体" w:cs="宋体"/>
                <w:color w:val="auto"/>
                <w:highlight w:val="none"/>
              </w:rPr>
              <w:t>自行承担责任。</w:t>
            </w:r>
          </w:p>
          <w:p w14:paraId="5C93DC45">
            <w:pPr>
              <w:pStyle w:val="20"/>
              <w:ind w:firstLine="0"/>
              <w:rPr>
                <w:rFonts w:hint="eastAsia" w:hAnsi="宋体" w:cs="宋体"/>
                <w:b/>
                <w:bCs/>
                <w:color w:val="auto"/>
                <w:highlight w:val="none"/>
              </w:rPr>
            </w:pPr>
            <w:r>
              <w:rPr>
                <w:rFonts w:hint="eastAsia" w:hAnsi="宋体" w:cs="宋体"/>
                <w:b/>
                <w:bCs/>
                <w:color w:val="auto"/>
                <w:highlight w:val="none"/>
              </w:rPr>
              <w:t>（2）电子保函线上缴纳方式：</w:t>
            </w:r>
          </w:p>
          <w:p w14:paraId="66DEF889">
            <w:pPr>
              <w:pStyle w:val="20"/>
              <w:ind w:firstLine="0"/>
              <w:rPr>
                <w:rFonts w:hint="eastAsia" w:hAnsi="宋体" w:cs="宋体"/>
                <w:color w:val="auto"/>
                <w:highlight w:val="none"/>
              </w:rPr>
            </w:pPr>
            <w:r>
              <w:rPr>
                <w:rFonts w:hint="eastAsia" w:hAnsi="宋体" w:cs="宋体"/>
                <w:color w:val="auto"/>
                <w:highlight w:val="none"/>
              </w:rPr>
              <w:t>①登录广咨电子招投标交易平台网站（www.gzebid.cn）并选择对应项目，选择“申请电子保函”，使用标信通APP进行扫码申请，选择开函机构并填写发票信息（如为首次在该开函机构申请电子保函需先完成准入），选择CA盾（如未办理移动CA，系统将自动赠送一个仅能用于开函的CA），确认提交并完成支付，成功出函后，投标人在标信通APP点击“确定提交”，电子保函同步提交至广咨电子招投标交易平台，还可在标信通APP手机下载所开具的电子保函。</w:t>
            </w:r>
          </w:p>
          <w:p w14:paraId="0921A448">
            <w:pPr>
              <w:pStyle w:val="20"/>
              <w:ind w:firstLine="0"/>
              <w:rPr>
                <w:rFonts w:hint="eastAsia" w:hAnsi="宋体" w:cs="宋体"/>
                <w:color w:val="auto"/>
                <w:highlight w:val="none"/>
              </w:rPr>
            </w:pPr>
            <w:r>
              <w:rPr>
                <w:rFonts w:hint="eastAsia" w:hAnsi="宋体" w:cs="宋体"/>
                <w:color w:val="auto"/>
                <w:highlight w:val="none"/>
              </w:rPr>
              <w:t>②登录标信通APP，点击“投标保函”-“申请保函”，选择“广咨电子招投标交易平台”并选择开函机构（如首次在该开函机构申请电子保函需先完成准入），选择项目申请保函（需先在广咨电子招投标交易平台完成项目投标登记，否则无法购买电子保函），填写发票信息，选择CA盾，确认提交并完成支付，成功出函后，投标人在标信通APP点击“确定提交”，电子保函同步提交至广咨电子招投标交易平台，投标人可在标信通APP手机下载所开具的电子保函。</w:t>
            </w:r>
          </w:p>
          <w:p w14:paraId="7E9DC777">
            <w:pPr>
              <w:pStyle w:val="20"/>
              <w:ind w:firstLineChars="200"/>
              <w:rPr>
                <w:rFonts w:hint="eastAsia" w:hAnsi="宋体" w:cs="宋体"/>
                <w:color w:val="auto"/>
                <w:highlight w:val="none"/>
              </w:rPr>
            </w:pPr>
            <w:r>
              <w:rPr>
                <w:rFonts w:hint="eastAsia" w:hAnsi="宋体" w:cs="宋体"/>
                <w:color w:val="auto"/>
                <w:highlight w:val="none"/>
              </w:rPr>
              <w:t>具体操作可访问广咨电子招投标交易平台：平台服务》办事指引》电子保函方式缴纳保证金。</w:t>
            </w:r>
          </w:p>
          <w:p w14:paraId="62D32CC3">
            <w:pPr>
              <w:pStyle w:val="20"/>
              <w:ind w:firstLine="0"/>
              <w:rPr>
                <w:rFonts w:hint="eastAsia" w:hAnsi="宋体" w:cs="宋体"/>
                <w:color w:val="auto"/>
                <w:highlight w:val="none"/>
              </w:rPr>
            </w:pPr>
            <w:r>
              <w:rPr>
                <w:rFonts w:hint="eastAsia" w:hAnsi="宋体" w:cs="宋体"/>
                <w:color w:val="auto"/>
                <w:highlight w:val="none"/>
              </w:rPr>
              <w:t>（投标保证金缴纳指南具体见：广咨电子招投标交易平台网站（www.gzebid.cn）首页&gt;平台服务&gt;办事指南&gt;广咨电子招投标交易平台网上缴纳投标保证金说明，咨询热线电话：</w:t>
            </w:r>
            <w:r>
              <w:rPr>
                <w:rFonts w:hint="eastAsia" w:hAnsi="宋体" w:cs="宋体"/>
                <w:color w:val="auto"/>
                <w:highlight w:val="none"/>
                <w:lang w:eastAsia="zh-CN"/>
              </w:rPr>
              <w:t>400-9030-870</w:t>
            </w:r>
            <w:r>
              <w:rPr>
                <w:rFonts w:hint="eastAsia" w:hAnsi="宋体" w:cs="宋体"/>
                <w:color w:val="auto"/>
                <w:highlight w:val="none"/>
              </w:rPr>
              <w:t xml:space="preserve"> 网站客服(QQ)：3151435402。）</w:t>
            </w:r>
          </w:p>
        </w:tc>
      </w:tr>
      <w:tr w14:paraId="3ADD5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0"/>
            <w:vAlign w:val="center"/>
          </w:tcPr>
          <w:p w14:paraId="4A8A65FC">
            <w:pPr>
              <w:pStyle w:val="20"/>
              <w:ind w:left="-466" w:leftChars="-222" w:right="42" w:rightChars="20" w:firstLine="464" w:firstLineChars="221"/>
              <w:jc w:val="center"/>
              <w:rPr>
                <w:rFonts w:hAnsi="宋体" w:cs="宋体"/>
                <w:color w:val="auto"/>
                <w:highlight w:val="none"/>
              </w:rPr>
            </w:pPr>
            <w:r>
              <w:rPr>
                <w:rFonts w:hint="eastAsia" w:hAnsi="宋体" w:cs="宋体"/>
                <w:color w:val="auto"/>
                <w:highlight w:val="none"/>
              </w:rPr>
              <w:t>10</w:t>
            </w:r>
          </w:p>
        </w:tc>
        <w:tc>
          <w:tcPr>
            <w:tcW w:w="8443" w:type="dxa"/>
            <w:noWrap w:val="0"/>
            <w:vAlign w:val="top"/>
          </w:tcPr>
          <w:p w14:paraId="32B2C940">
            <w:pPr>
              <w:pStyle w:val="20"/>
              <w:ind w:left="1265" w:hanging="1265"/>
              <w:rPr>
                <w:rFonts w:hint="eastAsia" w:hAnsi="宋体" w:cs="宋体"/>
                <w:color w:val="auto"/>
                <w:highlight w:val="none"/>
              </w:rPr>
            </w:pPr>
            <w:r>
              <w:rPr>
                <w:rFonts w:hint="eastAsia" w:hAnsi="宋体" w:cs="宋体"/>
                <w:color w:val="auto"/>
                <w:highlight w:val="none"/>
              </w:rPr>
              <w:t>投标截止时间：</w:t>
            </w:r>
            <w:r>
              <w:rPr>
                <w:rFonts w:hint="eastAsia" w:hAnsi="宋体" w:cs="宋体"/>
                <w:color w:val="auto"/>
                <w:highlight w:val="none"/>
                <w:u w:val="single"/>
              </w:rPr>
              <w:t>详见投标邀请函</w:t>
            </w:r>
          </w:p>
          <w:p w14:paraId="760D3AF8">
            <w:pPr>
              <w:pStyle w:val="20"/>
              <w:ind w:firstLine="0"/>
              <w:rPr>
                <w:rFonts w:hint="eastAsia" w:hAnsi="宋体" w:cs="宋体"/>
                <w:color w:val="auto"/>
                <w:highlight w:val="none"/>
              </w:rPr>
            </w:pPr>
            <w:r>
              <w:rPr>
                <w:rFonts w:hint="eastAsia" w:hAnsi="宋体" w:cs="宋体"/>
                <w:color w:val="auto"/>
                <w:highlight w:val="none"/>
              </w:rPr>
              <w:t>投标文件递交地址：</w:t>
            </w:r>
            <w:r>
              <w:rPr>
                <w:rFonts w:hint="eastAsia" w:hAnsi="宋体" w:cs="宋体"/>
                <w:color w:val="auto"/>
                <w:highlight w:val="none"/>
                <w:u w:val="single"/>
              </w:rPr>
              <w:t>详见投标邀请函</w:t>
            </w:r>
            <w:r>
              <w:rPr>
                <w:rFonts w:hint="eastAsia" w:hAnsi="宋体" w:cs="宋体"/>
                <w:color w:val="auto"/>
                <w:highlight w:val="none"/>
              </w:rPr>
              <w:t>。</w:t>
            </w:r>
          </w:p>
        </w:tc>
      </w:tr>
      <w:tr w14:paraId="6097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43" w:type="dxa"/>
            <w:noWrap w:val="0"/>
            <w:vAlign w:val="center"/>
          </w:tcPr>
          <w:p w14:paraId="2EA25123">
            <w:pPr>
              <w:pStyle w:val="20"/>
              <w:ind w:left="-466" w:leftChars="-222" w:right="42" w:rightChars="20" w:firstLine="464" w:firstLineChars="221"/>
              <w:jc w:val="center"/>
              <w:rPr>
                <w:rFonts w:hAnsi="宋体" w:cs="宋体"/>
                <w:color w:val="auto"/>
                <w:highlight w:val="none"/>
              </w:rPr>
            </w:pPr>
            <w:r>
              <w:rPr>
                <w:rFonts w:hint="eastAsia" w:hAnsi="宋体" w:cs="宋体"/>
                <w:color w:val="auto"/>
                <w:highlight w:val="none"/>
              </w:rPr>
              <w:t>11</w:t>
            </w:r>
          </w:p>
        </w:tc>
        <w:tc>
          <w:tcPr>
            <w:tcW w:w="8443" w:type="dxa"/>
            <w:noWrap w:val="0"/>
            <w:vAlign w:val="top"/>
          </w:tcPr>
          <w:p w14:paraId="6D01920A">
            <w:pPr>
              <w:pStyle w:val="20"/>
              <w:ind w:left="1265" w:hanging="1265"/>
              <w:rPr>
                <w:rFonts w:hint="eastAsia" w:hAnsi="宋体" w:cs="宋体"/>
                <w:color w:val="auto"/>
                <w:highlight w:val="none"/>
              </w:rPr>
            </w:pPr>
            <w:r>
              <w:rPr>
                <w:rFonts w:hint="eastAsia" w:hAnsi="宋体" w:cs="宋体"/>
                <w:color w:val="auto"/>
                <w:highlight w:val="none"/>
              </w:rPr>
              <w:t>开标时间：</w:t>
            </w:r>
            <w:r>
              <w:rPr>
                <w:rFonts w:hint="eastAsia" w:hAnsi="宋体" w:cs="宋体"/>
                <w:color w:val="auto"/>
                <w:highlight w:val="none"/>
                <w:u w:val="single"/>
              </w:rPr>
              <w:t>详见投标邀请函</w:t>
            </w:r>
          </w:p>
          <w:p w14:paraId="1FC8D3FE">
            <w:pPr>
              <w:pStyle w:val="20"/>
              <w:ind w:left="1265" w:hanging="1265"/>
              <w:rPr>
                <w:rFonts w:hint="eastAsia" w:hAnsi="宋体" w:cs="宋体"/>
                <w:color w:val="auto"/>
                <w:highlight w:val="none"/>
              </w:rPr>
            </w:pPr>
            <w:r>
              <w:rPr>
                <w:rFonts w:hint="eastAsia" w:hAnsi="宋体" w:cs="宋体"/>
                <w:color w:val="auto"/>
                <w:highlight w:val="none"/>
              </w:rPr>
              <w:t>地址：</w:t>
            </w:r>
            <w:r>
              <w:rPr>
                <w:rFonts w:hint="eastAsia" w:hAnsi="宋体" w:cs="宋体"/>
                <w:color w:val="auto"/>
                <w:highlight w:val="none"/>
                <w:u w:val="single"/>
              </w:rPr>
              <w:t>详见投标邀请函</w:t>
            </w:r>
            <w:r>
              <w:rPr>
                <w:rFonts w:hint="eastAsia" w:hAnsi="宋体" w:cs="宋体"/>
                <w:color w:val="auto"/>
                <w:szCs w:val="21"/>
                <w:highlight w:val="none"/>
              </w:rPr>
              <w:t>。</w:t>
            </w:r>
          </w:p>
        </w:tc>
      </w:tr>
      <w:tr w14:paraId="41277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43" w:type="dxa"/>
            <w:noWrap w:val="0"/>
            <w:vAlign w:val="center"/>
          </w:tcPr>
          <w:p w14:paraId="6D6C87A9">
            <w:pPr>
              <w:pStyle w:val="20"/>
              <w:ind w:left="-466" w:leftChars="-222" w:right="42" w:rightChars="20" w:firstLine="464" w:firstLineChars="221"/>
              <w:jc w:val="center"/>
              <w:rPr>
                <w:rFonts w:hint="eastAsia" w:hAnsi="宋体" w:cs="宋体"/>
                <w:color w:val="auto"/>
                <w:highlight w:val="none"/>
              </w:rPr>
            </w:pPr>
            <w:r>
              <w:rPr>
                <w:rFonts w:hint="eastAsia" w:hAnsi="宋体" w:cs="宋体"/>
                <w:color w:val="auto"/>
                <w:highlight w:val="none"/>
              </w:rPr>
              <w:t>12</w:t>
            </w:r>
          </w:p>
        </w:tc>
        <w:tc>
          <w:tcPr>
            <w:tcW w:w="8443" w:type="dxa"/>
            <w:noWrap w:val="0"/>
            <w:vAlign w:val="top"/>
          </w:tcPr>
          <w:p w14:paraId="7AC61FE4">
            <w:pPr>
              <w:pStyle w:val="2"/>
              <w:rPr>
                <w:rFonts w:hint="eastAsia" w:ascii="宋体" w:hAnsi="宋体" w:cs="宋体"/>
                <w:color w:val="auto"/>
                <w:highlight w:val="none"/>
              </w:rPr>
            </w:pPr>
            <w:r>
              <w:rPr>
                <w:rFonts w:hint="eastAsia" w:ascii="宋体" w:hAnsi="宋体" w:cs="宋体"/>
                <w:color w:val="auto"/>
                <w:highlight w:val="none"/>
              </w:rPr>
              <w:t>招 标 人：广东南方报业传媒集团物业管理有限公司</w:t>
            </w:r>
          </w:p>
          <w:p w14:paraId="123B9799">
            <w:pPr>
              <w:pStyle w:val="2"/>
              <w:rPr>
                <w:rFonts w:hint="eastAsia" w:ascii="宋体" w:hAnsi="宋体" w:cs="宋体"/>
                <w:color w:val="auto"/>
                <w:highlight w:val="none"/>
              </w:rPr>
            </w:pPr>
            <w:r>
              <w:rPr>
                <w:rFonts w:hint="eastAsia" w:ascii="宋体" w:hAnsi="宋体" w:cs="宋体"/>
                <w:color w:val="auto"/>
                <w:highlight w:val="none"/>
              </w:rPr>
              <w:t>地    址：广东省广州市越秀区广州大道中289号</w:t>
            </w:r>
          </w:p>
          <w:p w14:paraId="222FF17F">
            <w:pPr>
              <w:pStyle w:val="2"/>
              <w:rPr>
                <w:rFonts w:hint="default" w:ascii="宋体" w:hAnsi="宋体" w:eastAsia="宋体" w:cs="宋体"/>
                <w:color w:val="auto"/>
                <w:highlight w:val="none"/>
                <w:lang w:val="en-US" w:eastAsia="zh-CN"/>
              </w:rPr>
            </w:pPr>
            <w:r>
              <w:rPr>
                <w:rFonts w:hint="eastAsia" w:ascii="宋体" w:hAnsi="宋体" w:cs="宋体"/>
                <w:color w:val="auto"/>
                <w:highlight w:val="none"/>
              </w:rPr>
              <w:t>联 系 人：</w:t>
            </w:r>
            <w:r>
              <w:rPr>
                <w:rFonts w:hint="eastAsia" w:ascii="宋体" w:hAnsi="宋体" w:cs="宋体"/>
                <w:color w:val="auto"/>
                <w:highlight w:val="none"/>
                <w:lang w:val="en-US" w:eastAsia="zh-CN"/>
              </w:rPr>
              <w:t xml:space="preserve"> 陈先生</w:t>
            </w:r>
          </w:p>
          <w:p w14:paraId="7552B93A">
            <w:pPr>
              <w:pStyle w:val="2"/>
              <w:rPr>
                <w:rFonts w:hint="default" w:ascii="宋体" w:hAnsi="宋体" w:eastAsia="宋体" w:cs="宋体"/>
                <w:color w:val="auto"/>
                <w:highlight w:val="none"/>
                <w:lang w:val="en-US" w:eastAsia="zh-CN"/>
              </w:rPr>
            </w:pPr>
            <w:r>
              <w:rPr>
                <w:rFonts w:hint="eastAsia" w:ascii="宋体" w:hAnsi="宋体" w:cs="宋体"/>
                <w:color w:val="auto"/>
                <w:highlight w:val="none"/>
              </w:rPr>
              <w:t>电  话：</w:t>
            </w:r>
            <w:r>
              <w:rPr>
                <w:rFonts w:hint="eastAsia" w:ascii="宋体" w:hAnsi="宋体" w:cs="宋体"/>
                <w:color w:val="auto"/>
                <w:highlight w:val="none"/>
                <w:lang w:val="en-US" w:eastAsia="zh-CN"/>
              </w:rPr>
              <w:t>020-83004520</w:t>
            </w:r>
          </w:p>
        </w:tc>
      </w:tr>
      <w:tr w14:paraId="4BB21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843" w:type="dxa"/>
            <w:noWrap w:val="0"/>
            <w:vAlign w:val="center"/>
          </w:tcPr>
          <w:p w14:paraId="6B58A883">
            <w:pPr>
              <w:pStyle w:val="20"/>
              <w:ind w:left="-466" w:leftChars="-222" w:right="42" w:rightChars="20" w:firstLine="464" w:firstLineChars="221"/>
              <w:jc w:val="center"/>
              <w:rPr>
                <w:rFonts w:hint="eastAsia" w:hAnsi="宋体" w:cs="宋体"/>
                <w:color w:val="auto"/>
                <w:highlight w:val="none"/>
              </w:rPr>
            </w:pPr>
            <w:r>
              <w:rPr>
                <w:rFonts w:hint="eastAsia" w:hAnsi="宋体" w:cs="宋体"/>
                <w:color w:val="auto"/>
                <w:highlight w:val="none"/>
              </w:rPr>
              <w:t>13</w:t>
            </w:r>
          </w:p>
        </w:tc>
        <w:tc>
          <w:tcPr>
            <w:tcW w:w="8443" w:type="dxa"/>
            <w:noWrap w:val="0"/>
            <w:vAlign w:val="top"/>
          </w:tcPr>
          <w:p w14:paraId="4011966B">
            <w:pPr>
              <w:spacing w:line="360" w:lineRule="auto"/>
              <w:ind w:left="-359" w:leftChars="-171" w:firstLine="359" w:firstLineChars="171"/>
              <w:rPr>
                <w:rFonts w:hint="eastAsia" w:ascii="宋体" w:hAnsi="宋体" w:cs="宋体"/>
                <w:color w:val="auto"/>
                <w:szCs w:val="21"/>
                <w:highlight w:val="none"/>
              </w:rPr>
            </w:pPr>
            <w:r>
              <w:rPr>
                <w:rFonts w:hint="eastAsia" w:ascii="宋体" w:hAnsi="宋体" w:cs="宋体"/>
                <w:color w:val="auto"/>
                <w:szCs w:val="21"/>
                <w:highlight w:val="none"/>
              </w:rPr>
              <w:t>招标代理机构名称：广东省机电设备招标有限公司</w:t>
            </w:r>
          </w:p>
          <w:p w14:paraId="70764275">
            <w:pPr>
              <w:spacing w:line="360" w:lineRule="auto"/>
              <w:ind w:left="-359" w:leftChars="-171" w:firstLine="359" w:firstLineChars="171"/>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联系人：刘先生、胡小姐、</w:t>
            </w:r>
            <w:r>
              <w:rPr>
                <w:rFonts w:hint="eastAsia" w:ascii="宋体" w:hAnsi="宋体" w:cs="宋体"/>
                <w:color w:val="auto"/>
                <w:szCs w:val="21"/>
                <w:highlight w:val="none"/>
                <w:lang w:val="en-US" w:eastAsia="zh-CN"/>
              </w:rPr>
              <w:t>谢先生</w:t>
            </w:r>
          </w:p>
          <w:p w14:paraId="1FA1E10B">
            <w:pPr>
              <w:spacing w:line="360" w:lineRule="auto"/>
              <w:ind w:left="-359" w:leftChars="-171" w:firstLine="359" w:firstLineChars="171"/>
              <w:rPr>
                <w:rFonts w:hint="eastAsia" w:ascii="宋体" w:hAnsi="宋体" w:cs="宋体"/>
                <w:color w:val="auto"/>
                <w:szCs w:val="21"/>
                <w:highlight w:val="none"/>
              </w:rPr>
            </w:pPr>
            <w:r>
              <w:rPr>
                <w:rFonts w:hint="eastAsia" w:ascii="宋体" w:hAnsi="宋体" w:cs="宋体"/>
                <w:color w:val="auto"/>
                <w:szCs w:val="21"/>
                <w:highlight w:val="none"/>
              </w:rPr>
              <w:t>电  话：020-8354</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332、83541795</w:t>
            </w:r>
          </w:p>
          <w:p w14:paraId="7D906416">
            <w:pPr>
              <w:spacing w:line="360" w:lineRule="auto"/>
              <w:ind w:left="-359" w:leftChars="-171" w:firstLine="359" w:firstLineChars="171"/>
              <w:rPr>
                <w:rFonts w:hint="eastAsia" w:ascii="宋体" w:hAnsi="宋体" w:cs="宋体"/>
                <w:color w:val="auto"/>
                <w:highlight w:val="none"/>
              </w:rPr>
            </w:pPr>
            <w:r>
              <w:rPr>
                <w:rFonts w:hint="eastAsia" w:ascii="宋体" w:hAnsi="宋体" w:cs="宋体"/>
                <w:color w:val="auto"/>
                <w:szCs w:val="21"/>
                <w:highlight w:val="none"/>
              </w:rPr>
              <w:t>电子邮件：jdzbhu@163.com</w:t>
            </w:r>
          </w:p>
        </w:tc>
      </w:tr>
    </w:tbl>
    <w:p w14:paraId="2B37FE02">
      <w:pPr>
        <w:rPr>
          <w:rFonts w:hint="eastAsia" w:ascii="宋体" w:hAnsi="宋体" w:cs="宋体"/>
          <w:color w:val="auto"/>
          <w:sz w:val="24"/>
          <w:szCs w:val="24"/>
          <w:highlight w:val="none"/>
        </w:rPr>
      </w:pPr>
    </w:p>
    <w:p w14:paraId="4ADA2D75">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bookmarkEnd w:id="48"/>
    <w:bookmarkEnd w:id="49"/>
    <w:bookmarkEnd w:id="50"/>
    <w:bookmarkEnd w:id="51"/>
    <w:p w14:paraId="4BF0E270">
      <w:pPr>
        <w:pStyle w:val="5"/>
        <w:numPr>
          <w:ilvl w:val="0"/>
          <w:numId w:val="0"/>
        </w:numPr>
        <w:ind w:left="422"/>
        <w:jc w:val="center"/>
        <w:rPr>
          <w:rFonts w:hint="eastAsia" w:hAnsi="宋体" w:cs="宋体"/>
          <w:b w:val="0"/>
          <w:bCs/>
          <w:color w:val="auto"/>
          <w:highlight w:val="none"/>
        </w:rPr>
      </w:pPr>
      <w:bookmarkStart w:id="52" w:name="_Toc513818901"/>
      <w:r>
        <w:rPr>
          <w:rFonts w:hint="eastAsia" w:hAnsi="宋体" w:cs="宋体"/>
          <w:color w:val="auto"/>
          <w:highlight w:val="none"/>
        </w:rPr>
        <w:t>一、总则</w:t>
      </w:r>
      <w:bookmarkEnd w:id="52"/>
    </w:p>
    <w:p w14:paraId="4BF94167">
      <w:pPr>
        <w:spacing w:line="360" w:lineRule="auto"/>
        <w:rPr>
          <w:rFonts w:hint="eastAsia" w:ascii="宋体" w:hAnsi="宋体" w:cs="宋体"/>
          <w:b/>
          <w:bCs/>
          <w:color w:val="auto"/>
          <w:highlight w:val="none"/>
        </w:rPr>
      </w:pPr>
      <w:r>
        <w:rPr>
          <w:rFonts w:hint="eastAsia" w:ascii="宋体" w:hAnsi="宋体" w:cs="宋体"/>
          <w:b/>
          <w:bCs/>
          <w:color w:val="auto"/>
          <w:highlight w:val="none"/>
        </w:rPr>
        <w:t>1、项目说明</w:t>
      </w:r>
    </w:p>
    <w:p w14:paraId="0BB34C24">
      <w:pPr>
        <w:spacing w:line="360" w:lineRule="auto"/>
        <w:rPr>
          <w:rFonts w:hint="eastAsia" w:ascii="宋体" w:hAnsi="宋体" w:cs="宋体"/>
          <w:color w:val="auto"/>
          <w:highlight w:val="none"/>
        </w:rPr>
      </w:pPr>
      <w:r>
        <w:rPr>
          <w:rFonts w:hint="eastAsia" w:ascii="宋体" w:hAnsi="宋体" w:cs="宋体"/>
          <w:color w:val="auto"/>
          <w:highlight w:val="none"/>
        </w:rPr>
        <w:t>1.1项目说明</w:t>
      </w:r>
    </w:p>
    <w:p w14:paraId="6914DE96">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广东省机电设备招标有限公司（以下简称“招标代理机构”）受广东南方报业传媒集团物业管理有限公司委托（以下简称“招标人”），就“</w:t>
      </w:r>
      <w:r>
        <w:rPr>
          <w:rFonts w:hint="eastAsia" w:ascii="宋体" w:hAnsi="宋体" w:cs="宋体"/>
          <w:b/>
          <w:bCs/>
          <w:color w:val="auto"/>
          <w:highlight w:val="none"/>
          <w:lang w:eastAsia="zh-CN"/>
        </w:rPr>
        <w:t>南方报业传媒集团2025至2026年度安保服务</w:t>
      </w:r>
      <w:r>
        <w:rPr>
          <w:rFonts w:hint="eastAsia" w:ascii="宋体" w:hAnsi="宋体" w:cs="宋体"/>
          <w:color w:val="auto"/>
          <w:highlight w:val="none"/>
        </w:rPr>
        <w:t>”</w:t>
      </w:r>
      <w:r>
        <w:rPr>
          <w:rFonts w:hint="eastAsia" w:ascii="宋体" w:hAnsi="宋体" w:cs="宋体"/>
          <w:bCs/>
          <w:color w:val="auto"/>
          <w:highlight w:val="none"/>
        </w:rPr>
        <w:t>进行国内公开招标。</w:t>
      </w:r>
    </w:p>
    <w:p w14:paraId="7141F4CE">
      <w:pPr>
        <w:spacing w:line="360" w:lineRule="auto"/>
        <w:rPr>
          <w:rFonts w:hint="eastAsia" w:ascii="宋体" w:hAnsi="宋体" w:cs="宋体"/>
          <w:color w:val="auto"/>
          <w:highlight w:val="none"/>
        </w:rPr>
      </w:pPr>
      <w:bookmarkStart w:id="53" w:name="_Toc409173103"/>
      <w:bookmarkStart w:id="54" w:name="_Toc409173217"/>
      <w:r>
        <w:rPr>
          <w:rFonts w:hint="eastAsia" w:ascii="宋体" w:hAnsi="宋体" w:cs="宋体"/>
          <w:color w:val="auto"/>
          <w:highlight w:val="none"/>
        </w:rPr>
        <w:t>1.2资金来源</w:t>
      </w:r>
      <w:bookmarkEnd w:id="53"/>
      <w:bookmarkEnd w:id="54"/>
    </w:p>
    <w:p w14:paraId="3AF819EB">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自筹资金</w:t>
      </w:r>
    </w:p>
    <w:p w14:paraId="520635F7">
      <w:pPr>
        <w:spacing w:line="360" w:lineRule="auto"/>
        <w:rPr>
          <w:rFonts w:hint="eastAsia" w:ascii="宋体" w:hAnsi="宋体" w:cs="宋体"/>
          <w:color w:val="auto"/>
          <w:highlight w:val="none"/>
        </w:rPr>
      </w:pPr>
      <w:r>
        <w:rPr>
          <w:rFonts w:hint="eastAsia" w:ascii="宋体" w:hAnsi="宋体" w:cs="宋体"/>
          <w:color w:val="auto"/>
          <w:highlight w:val="none"/>
        </w:rPr>
        <w:t>1.3招标方式</w:t>
      </w:r>
    </w:p>
    <w:p w14:paraId="40856F8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公开招标方式</w:t>
      </w:r>
    </w:p>
    <w:p w14:paraId="6ED59C31">
      <w:pPr>
        <w:spacing w:line="360" w:lineRule="auto"/>
        <w:jc w:val="left"/>
        <w:rPr>
          <w:rFonts w:hint="eastAsia" w:ascii="宋体" w:hAnsi="宋体" w:cs="宋体"/>
          <w:color w:val="auto"/>
          <w:highlight w:val="none"/>
        </w:rPr>
      </w:pPr>
      <w:r>
        <w:rPr>
          <w:rFonts w:hint="eastAsia" w:ascii="宋体" w:hAnsi="宋体" w:cs="宋体"/>
          <w:color w:val="auto"/>
          <w:highlight w:val="none"/>
        </w:rPr>
        <w:t>1.4招标项目</w:t>
      </w:r>
    </w:p>
    <w:p w14:paraId="110FA72F">
      <w:pPr>
        <w:spacing w:line="360" w:lineRule="auto"/>
        <w:ind w:firstLine="422" w:firstLineChars="200"/>
        <w:rPr>
          <w:rFonts w:hint="eastAsia" w:ascii="宋体" w:hAnsi="宋体" w:cs="宋体"/>
          <w:b/>
          <w:color w:val="auto"/>
          <w:highlight w:val="none"/>
          <w:u w:val="single"/>
        </w:rPr>
      </w:pPr>
      <w:r>
        <w:rPr>
          <w:rFonts w:hint="eastAsia" w:ascii="宋体" w:hAnsi="宋体" w:cs="宋体"/>
          <w:b/>
          <w:color w:val="auto"/>
          <w:highlight w:val="none"/>
          <w:u w:val="single"/>
          <w:lang w:eastAsia="zh-CN"/>
        </w:rPr>
        <w:t>南方报业传媒集团2025至2026年度安保服务</w:t>
      </w:r>
      <w:r>
        <w:rPr>
          <w:rFonts w:hint="eastAsia" w:ascii="宋体" w:hAnsi="宋体" w:cs="宋体"/>
          <w:b/>
          <w:color w:val="auto"/>
          <w:highlight w:val="none"/>
          <w:u w:val="single"/>
        </w:rPr>
        <w:t>（下称“本项目”）</w:t>
      </w:r>
    </w:p>
    <w:p w14:paraId="48BE5077">
      <w:pPr>
        <w:tabs>
          <w:tab w:val="left" w:pos="720"/>
        </w:tabs>
        <w:spacing w:line="360" w:lineRule="auto"/>
        <w:ind w:firstLine="210" w:firstLineChars="100"/>
        <w:rPr>
          <w:rFonts w:hint="eastAsia" w:ascii="宋体" w:hAnsi="宋体" w:cs="宋体"/>
          <w:b/>
          <w:color w:val="auto"/>
          <w:sz w:val="24"/>
          <w:highlight w:val="none"/>
        </w:rPr>
      </w:pPr>
      <w:r>
        <w:rPr>
          <w:rFonts w:hint="eastAsia" w:ascii="宋体" w:hAnsi="宋体" w:cs="宋体"/>
          <w:color w:val="auto"/>
          <w:highlight w:val="none"/>
        </w:rPr>
        <w:t>（详细内容请参阅招标文件中“用户需求书”的相关内容）</w:t>
      </w:r>
    </w:p>
    <w:p w14:paraId="510EA5EB">
      <w:pPr>
        <w:tabs>
          <w:tab w:val="left" w:pos="720"/>
        </w:tabs>
        <w:spacing w:line="360" w:lineRule="auto"/>
        <w:rPr>
          <w:rFonts w:hint="eastAsia" w:ascii="宋体" w:hAnsi="宋体" w:cs="宋体"/>
          <w:b/>
          <w:color w:val="auto"/>
          <w:sz w:val="24"/>
          <w:highlight w:val="none"/>
          <w:u w:val="single"/>
        </w:rPr>
      </w:pPr>
      <w:r>
        <w:rPr>
          <w:rFonts w:hint="eastAsia" w:ascii="宋体" w:hAnsi="宋体" w:cs="宋体"/>
          <w:b/>
          <w:color w:val="auto"/>
          <w:sz w:val="24"/>
          <w:highlight w:val="none"/>
        </w:rPr>
        <w:t>2、</w:t>
      </w:r>
      <w:r>
        <w:rPr>
          <w:rFonts w:hint="eastAsia" w:ascii="宋体" w:hAnsi="宋体" w:cs="宋体"/>
          <w:b/>
          <w:bCs/>
          <w:color w:val="auto"/>
          <w:highlight w:val="none"/>
        </w:rPr>
        <w:t>定义及解释</w:t>
      </w:r>
    </w:p>
    <w:p w14:paraId="55B704C5">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2.1公开招标方式：招标人参照《中华人民共和国招标投标法》及相关法律法规，在指定的网站发布相关采购信息，邀请不特定法人单位购买招标文件，法人单位并按照招标文件的约定，编制投标文件，参与投标，随后，招标人组织评标委员会，按照招标文件的要求投标文件进行评审，并最终推荐中标单位的过程。</w:t>
      </w:r>
    </w:p>
    <w:p w14:paraId="060122D3">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2.2服务：指招标文件规定</w:t>
      </w:r>
      <w:r>
        <w:rPr>
          <w:rFonts w:hint="eastAsia" w:ascii="宋体" w:hAnsi="宋体" w:cs="宋体"/>
          <w:bCs/>
          <w:color w:val="auto"/>
          <w:highlight w:val="none"/>
        </w:rPr>
        <w:t>投标人须承担的</w:t>
      </w:r>
      <w:r>
        <w:rPr>
          <w:rFonts w:hint="eastAsia" w:ascii="宋体" w:hAnsi="宋体" w:cs="宋体"/>
          <w:bCs/>
          <w:color w:val="auto"/>
          <w:highlight w:val="none"/>
          <w:lang w:val="en-US" w:eastAsia="zh-CN"/>
        </w:rPr>
        <w:t>岗位值班、安保巡查、参与</w:t>
      </w:r>
      <w:r>
        <w:rPr>
          <w:rFonts w:hint="eastAsia" w:ascii="宋体" w:hAnsi="宋体" w:cs="宋体"/>
          <w:bCs/>
          <w:color w:val="auto"/>
          <w:highlight w:val="none"/>
        </w:rPr>
        <w:t>培训以及其它伴随服务。</w:t>
      </w:r>
    </w:p>
    <w:p w14:paraId="6E2CF9A8">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2.3业主/招标人/甲方/使用单位/采购人/用户：均指广东南方报业传媒集团物业管理有限公司；招标代理机构：</w:t>
      </w:r>
      <w:r>
        <w:rPr>
          <w:rFonts w:hint="eastAsia" w:ascii="宋体" w:hAnsi="宋体" w:cs="宋体"/>
          <w:color w:val="auto"/>
          <w:szCs w:val="21"/>
          <w:highlight w:val="none"/>
        </w:rPr>
        <w:t>广东省机电设备招标有限公司。</w:t>
      </w:r>
    </w:p>
    <w:p w14:paraId="61392450">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2.4 投标人/供应商：指</w:t>
      </w:r>
      <w:r>
        <w:rPr>
          <w:rFonts w:hint="eastAsia" w:ascii="宋体" w:hAnsi="宋体" w:cs="宋体"/>
          <w:color w:val="auto"/>
          <w:spacing w:val="8"/>
          <w:szCs w:val="21"/>
          <w:highlight w:val="none"/>
        </w:rPr>
        <w:t>响应招标、参加投标竞争的法人或者其他组织</w:t>
      </w:r>
      <w:r>
        <w:rPr>
          <w:rFonts w:hint="eastAsia" w:ascii="宋体" w:hAnsi="宋体" w:cs="宋体"/>
          <w:color w:val="auto"/>
          <w:highlight w:val="none"/>
        </w:rPr>
        <w:t>。</w:t>
      </w:r>
    </w:p>
    <w:p w14:paraId="2DB1490E">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2.5评标委员会：评标委员会是依法组织的专门负责本次招标及评标工作的临时性机构。</w:t>
      </w:r>
    </w:p>
    <w:p w14:paraId="4FAFB6BE">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2.6日期：是指公历日。</w:t>
      </w:r>
    </w:p>
    <w:p w14:paraId="262BF214">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2.7合同：指本次招标所产生的合同或合约文件。</w:t>
      </w:r>
    </w:p>
    <w:p w14:paraId="69112C40">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2.8招标文件中的标题或标名仅起引导作用，而不应视为对招标文件内容的理解和解释。</w:t>
      </w:r>
    </w:p>
    <w:p w14:paraId="76E0339C">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2.9“</w:t>
      </w:r>
      <w:r>
        <w:rPr>
          <w:rFonts w:hint="eastAsia" w:ascii="宋体" w:hAnsi="宋体" w:cs="宋体"/>
          <w:color w:val="auto"/>
          <w:highlight w:val="none"/>
          <w:lang w:eastAsia="zh-CN"/>
        </w:rPr>
        <w:t>招标人</w:t>
      </w:r>
      <w:r>
        <w:rPr>
          <w:rFonts w:hint="eastAsia" w:ascii="宋体" w:hAnsi="宋体" w:cs="宋体"/>
          <w:color w:val="auto"/>
          <w:highlight w:val="none"/>
        </w:rPr>
        <w:t>”、“投标人”、“成员”和“各方”等人或有关组织的用词均是指依法成立的公司、组织或行政事业单位下属机构。根据上下文的需要，这些用词的单复数具有相同的定义。</w:t>
      </w:r>
    </w:p>
    <w:p w14:paraId="32A5403F">
      <w:pPr>
        <w:spacing w:line="360" w:lineRule="auto"/>
        <w:ind w:left="630" w:hanging="630" w:hangingChars="300"/>
        <w:rPr>
          <w:rFonts w:hint="eastAsia" w:ascii="宋体" w:hAnsi="宋体" w:cs="宋体"/>
          <w:color w:val="auto"/>
          <w:highlight w:val="none"/>
        </w:rPr>
      </w:pPr>
      <w:r>
        <w:rPr>
          <w:rFonts w:hint="eastAsia" w:ascii="宋体" w:hAnsi="宋体" w:cs="宋体"/>
          <w:color w:val="auto"/>
          <w:highlight w:val="none"/>
        </w:rPr>
        <w:t>2.10招标文件中所规定的“书面形式”，是指任何手写的、打印的或印刷的通讯，包括电报和传真发送。</w:t>
      </w:r>
    </w:p>
    <w:p w14:paraId="6CD3E69A">
      <w:pPr>
        <w:spacing w:line="360" w:lineRule="auto"/>
        <w:ind w:left="422" w:hanging="422" w:hangingChars="200"/>
        <w:rPr>
          <w:rFonts w:hint="eastAsia" w:ascii="宋体" w:hAnsi="宋体" w:cs="宋体"/>
          <w:b/>
          <w:color w:val="auto"/>
          <w:highlight w:val="none"/>
        </w:rPr>
      </w:pPr>
      <w:r>
        <w:rPr>
          <w:rFonts w:hint="eastAsia" w:ascii="宋体" w:hAnsi="宋体" w:cs="宋体"/>
          <w:b/>
          <w:color w:val="auto"/>
          <w:highlight w:val="none"/>
        </w:rPr>
        <w:t>3、合格的投标人</w:t>
      </w:r>
    </w:p>
    <w:p w14:paraId="5E71AA76">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3.1与本项目招标公告（或投标人须知前附表）中合格投标人资格条件一致。</w:t>
      </w:r>
    </w:p>
    <w:p w14:paraId="4D5A3803">
      <w:pPr>
        <w:spacing w:line="360" w:lineRule="auto"/>
        <w:rPr>
          <w:rFonts w:hint="eastAsia" w:ascii="宋体" w:hAnsi="宋体" w:cs="宋体"/>
          <w:b/>
          <w:bCs/>
          <w:color w:val="auto"/>
          <w:highlight w:val="none"/>
        </w:rPr>
      </w:pPr>
      <w:r>
        <w:rPr>
          <w:rFonts w:hint="eastAsia" w:ascii="宋体" w:hAnsi="宋体" w:cs="宋体"/>
          <w:b/>
          <w:bCs/>
          <w:color w:val="auto"/>
          <w:highlight w:val="none"/>
        </w:rPr>
        <w:t>4、纪律与保密事项</w:t>
      </w:r>
    </w:p>
    <w:p w14:paraId="54E75914">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4.1凡参与招标工作的有关人员均应自觉接受有关主管部门的监督，不得向他人透露已获得招标文件的潜在投标人的名称、数量以及可能影响公平竞争的有关招投标的其他情况。</w:t>
      </w:r>
    </w:p>
    <w:p w14:paraId="2B3619FB">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4.2开标后，直至向乙方发出《中标通知书》时止，凡与审查、澄清、评价和比较投标的有关资料以及授标意见等，参与招标工作的有关人员均不得向投标人及与评标无关的其他人透露。</w:t>
      </w:r>
    </w:p>
    <w:p w14:paraId="4F38A4DF">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4.3除投标人被要求对投标文件进行澄清外，从开标之日起至授予合同期间，投标人不得就与其投标文件有关的事项主动与评标委员会及</w:t>
      </w:r>
      <w:r>
        <w:rPr>
          <w:rFonts w:hint="eastAsia" w:ascii="宋体" w:hAnsi="宋体" w:cs="宋体"/>
          <w:color w:val="auto"/>
          <w:highlight w:val="none"/>
          <w:lang w:eastAsia="zh-CN"/>
        </w:rPr>
        <w:t>招标人</w:t>
      </w:r>
      <w:r>
        <w:rPr>
          <w:rFonts w:hint="eastAsia" w:ascii="宋体" w:hAnsi="宋体" w:cs="宋体"/>
          <w:color w:val="auto"/>
          <w:highlight w:val="none"/>
        </w:rPr>
        <w:t>联系。</w:t>
      </w:r>
    </w:p>
    <w:p w14:paraId="68063FEA">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4.4从开标之日起至授予合同期间，投标人试图在投标文件审查、澄清、比较和评价时对评标委员会施加任何影响或对</w:t>
      </w:r>
      <w:r>
        <w:rPr>
          <w:rFonts w:hint="eastAsia" w:ascii="宋体" w:hAnsi="宋体" w:cs="宋体"/>
          <w:color w:val="auto"/>
          <w:highlight w:val="none"/>
          <w:lang w:eastAsia="zh-CN"/>
        </w:rPr>
        <w:t>招标人</w:t>
      </w:r>
      <w:r>
        <w:rPr>
          <w:rFonts w:hint="eastAsia" w:ascii="宋体" w:hAnsi="宋体" w:cs="宋体"/>
          <w:color w:val="auto"/>
          <w:highlight w:val="none"/>
        </w:rPr>
        <w:t>的比较及授予合同的决定进行影响，都可能导致其投标文件被拒绝。</w:t>
      </w:r>
    </w:p>
    <w:p w14:paraId="6B49A3D9">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4.5投标人不得串通作弊，以不正当的手段妨碍、排挤其他人，扰乱招标市场，破坏公平竞争原则。</w:t>
      </w:r>
    </w:p>
    <w:p w14:paraId="0860809D">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4.6获得本招标文件者，应对文件进行保密，不得用作本次投标以外的任何用途。若有要求，开标后，投标人应归还招标文件中的保密文件和资料。</w:t>
      </w:r>
    </w:p>
    <w:p w14:paraId="618EDC3C">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4.7由</w:t>
      </w:r>
      <w:r>
        <w:rPr>
          <w:rFonts w:hint="eastAsia" w:ascii="宋体" w:hAnsi="宋体" w:cs="宋体"/>
          <w:color w:val="auto"/>
          <w:highlight w:val="none"/>
          <w:lang w:val="en-US" w:eastAsia="zh-CN"/>
        </w:rPr>
        <w:t>招标人</w:t>
      </w:r>
      <w:r>
        <w:rPr>
          <w:rFonts w:hint="eastAsia" w:ascii="宋体" w:hAnsi="宋体" w:cs="宋体"/>
          <w:color w:val="auto"/>
          <w:highlight w:val="none"/>
        </w:rPr>
        <w:t>向投标人提供的</w:t>
      </w:r>
      <w:r>
        <w:rPr>
          <w:rFonts w:hint="eastAsia" w:ascii="宋体" w:hAnsi="宋体" w:cs="宋体"/>
          <w:color w:val="auto"/>
          <w:highlight w:val="none"/>
          <w:lang w:val="en-US" w:eastAsia="zh-CN"/>
        </w:rPr>
        <w:t>服务要求等相关</w:t>
      </w:r>
      <w:r>
        <w:rPr>
          <w:rFonts w:hint="eastAsia" w:ascii="宋体" w:hAnsi="宋体" w:cs="宋体"/>
          <w:color w:val="auto"/>
          <w:highlight w:val="none"/>
        </w:rPr>
        <w:t>资料，被视为保密资料，仅被用于它所规定的用途，除非得到</w:t>
      </w:r>
      <w:r>
        <w:rPr>
          <w:rFonts w:hint="eastAsia" w:ascii="宋体" w:hAnsi="宋体" w:cs="宋体"/>
          <w:color w:val="auto"/>
          <w:highlight w:val="none"/>
          <w:lang w:eastAsia="zh-CN"/>
        </w:rPr>
        <w:t>招标人</w:t>
      </w:r>
      <w:r>
        <w:rPr>
          <w:rFonts w:hint="eastAsia" w:ascii="宋体" w:hAnsi="宋体" w:cs="宋体"/>
          <w:color w:val="auto"/>
          <w:highlight w:val="none"/>
        </w:rPr>
        <w:t>或招标人的同意，不能向任何第三方透露。开标完成后，投标人应归还所有从</w:t>
      </w:r>
      <w:r>
        <w:rPr>
          <w:rFonts w:hint="eastAsia" w:ascii="宋体" w:hAnsi="宋体" w:cs="宋体"/>
          <w:color w:val="auto"/>
          <w:highlight w:val="none"/>
          <w:lang w:eastAsia="zh-CN"/>
        </w:rPr>
        <w:t>招标人</w:t>
      </w:r>
      <w:r>
        <w:rPr>
          <w:rFonts w:hint="eastAsia" w:ascii="宋体" w:hAnsi="宋体" w:cs="宋体"/>
          <w:color w:val="auto"/>
          <w:highlight w:val="none"/>
        </w:rPr>
        <w:t>处获得的保密资料。</w:t>
      </w:r>
    </w:p>
    <w:p w14:paraId="5DF925EB">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5、投标人须知</w:t>
      </w:r>
    </w:p>
    <w:p w14:paraId="62B47F65">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5.1凡参加本次投标的投标人视为已充分认识和理解了任何与本项目有关的事项及各种困难情况。</w:t>
      </w:r>
    </w:p>
    <w:p w14:paraId="6C8E5BF8">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5.2 投标人应保证所提供给</w:t>
      </w:r>
      <w:r>
        <w:rPr>
          <w:rFonts w:hint="eastAsia" w:ascii="宋体" w:hAnsi="宋体" w:cs="宋体"/>
          <w:color w:val="auto"/>
          <w:highlight w:val="none"/>
          <w:lang w:eastAsia="zh-CN"/>
        </w:rPr>
        <w:t>招标人</w:t>
      </w:r>
      <w:r>
        <w:rPr>
          <w:rFonts w:hint="eastAsia" w:ascii="宋体" w:hAnsi="宋体" w:cs="宋体"/>
          <w:color w:val="auto"/>
          <w:highlight w:val="none"/>
        </w:rPr>
        <w:t>的资料和数据是真实的。</w:t>
      </w:r>
    </w:p>
    <w:p w14:paraId="677F4948">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6、投标费用</w:t>
      </w:r>
    </w:p>
    <w:p w14:paraId="10C0D6DE">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6.1投标人应承担获取招标文件及所有与编写和提交投标文件有关的费用，不论投标的结果如何，</w:t>
      </w:r>
      <w:r>
        <w:rPr>
          <w:rFonts w:hint="eastAsia" w:ascii="宋体" w:hAnsi="宋体" w:cs="宋体"/>
          <w:color w:val="auto"/>
          <w:highlight w:val="none"/>
          <w:lang w:eastAsia="zh-CN"/>
        </w:rPr>
        <w:t>招标人</w:t>
      </w:r>
      <w:r>
        <w:rPr>
          <w:rFonts w:hint="eastAsia" w:ascii="宋体" w:hAnsi="宋体" w:cs="宋体"/>
          <w:color w:val="auto"/>
          <w:highlight w:val="none"/>
        </w:rPr>
        <w:t>在任何情况下均无义务和责任承担这些费用。</w:t>
      </w:r>
    </w:p>
    <w:p w14:paraId="4898C61B">
      <w:pPr>
        <w:pStyle w:val="5"/>
        <w:numPr>
          <w:ilvl w:val="0"/>
          <w:numId w:val="0"/>
        </w:numPr>
        <w:ind w:left="422"/>
        <w:jc w:val="center"/>
        <w:rPr>
          <w:rFonts w:hint="eastAsia" w:hAnsi="宋体" w:cs="宋体"/>
          <w:b w:val="0"/>
          <w:bCs/>
          <w:color w:val="auto"/>
          <w:highlight w:val="none"/>
        </w:rPr>
      </w:pPr>
      <w:bookmarkStart w:id="55" w:name="_Toc409173104"/>
      <w:bookmarkStart w:id="56" w:name="_Toc409173218"/>
      <w:bookmarkStart w:id="57" w:name="_Toc513818902"/>
      <w:r>
        <w:rPr>
          <w:rFonts w:hint="eastAsia" w:hAnsi="宋体" w:cs="宋体"/>
          <w:color w:val="auto"/>
          <w:highlight w:val="none"/>
        </w:rPr>
        <w:t>二、招标文件</w:t>
      </w:r>
      <w:bookmarkEnd w:id="55"/>
      <w:bookmarkEnd w:id="56"/>
      <w:bookmarkEnd w:id="57"/>
    </w:p>
    <w:p w14:paraId="663D2F25">
      <w:pPr>
        <w:spacing w:line="360" w:lineRule="auto"/>
        <w:ind w:left="542" w:hanging="542" w:hangingChars="257"/>
        <w:rPr>
          <w:rFonts w:hint="eastAsia" w:ascii="宋体" w:hAnsi="宋体" w:cs="宋体"/>
          <w:b/>
          <w:bCs/>
          <w:color w:val="auto"/>
          <w:highlight w:val="none"/>
        </w:rPr>
      </w:pPr>
      <w:r>
        <w:rPr>
          <w:rFonts w:hint="eastAsia" w:ascii="宋体" w:hAnsi="宋体" w:cs="宋体"/>
          <w:b/>
          <w:bCs/>
          <w:color w:val="auto"/>
          <w:highlight w:val="none"/>
        </w:rPr>
        <w:t>7、招标文件的构成</w:t>
      </w:r>
    </w:p>
    <w:p w14:paraId="7159AC37">
      <w:pPr>
        <w:spacing w:line="360" w:lineRule="auto"/>
        <w:ind w:left="540" w:hanging="539" w:hangingChars="257"/>
        <w:rPr>
          <w:rFonts w:hint="eastAsia" w:ascii="宋体" w:hAnsi="宋体" w:cs="宋体"/>
          <w:color w:val="auto"/>
          <w:highlight w:val="none"/>
        </w:rPr>
      </w:pPr>
      <w:r>
        <w:rPr>
          <w:rFonts w:hint="eastAsia" w:ascii="宋体" w:hAnsi="宋体" w:cs="宋体"/>
          <w:color w:val="auto"/>
          <w:highlight w:val="none"/>
        </w:rPr>
        <w:t>7.1本次招标的有关内容和要求在招标文件中均有说明。招标文件包括：</w:t>
      </w:r>
    </w:p>
    <w:p w14:paraId="2B0BBDE6">
      <w:pPr>
        <w:spacing w:line="360" w:lineRule="auto"/>
        <w:ind w:left="359" w:hanging="359" w:hangingChars="171"/>
        <w:rPr>
          <w:rFonts w:hint="eastAsia" w:ascii="宋体" w:hAnsi="宋体" w:cs="宋体"/>
          <w:color w:val="auto"/>
          <w:szCs w:val="22"/>
          <w:highlight w:val="none"/>
        </w:rPr>
      </w:pPr>
      <w:r>
        <w:rPr>
          <w:rFonts w:hint="eastAsia" w:ascii="宋体" w:hAnsi="宋体" w:cs="宋体"/>
          <w:color w:val="auto"/>
          <w:szCs w:val="22"/>
          <w:highlight w:val="none"/>
        </w:rPr>
        <w:t>第一章  投标邀请函</w:t>
      </w:r>
    </w:p>
    <w:p w14:paraId="48D2A7BB">
      <w:pPr>
        <w:spacing w:line="360" w:lineRule="auto"/>
        <w:ind w:left="359" w:hanging="359" w:hangingChars="171"/>
        <w:rPr>
          <w:rFonts w:hint="eastAsia" w:ascii="宋体" w:hAnsi="宋体" w:cs="宋体"/>
          <w:color w:val="auto"/>
          <w:szCs w:val="22"/>
          <w:highlight w:val="none"/>
        </w:rPr>
      </w:pPr>
      <w:r>
        <w:rPr>
          <w:rFonts w:hint="eastAsia" w:ascii="宋体" w:hAnsi="宋体" w:cs="宋体"/>
          <w:color w:val="auto"/>
          <w:szCs w:val="22"/>
          <w:highlight w:val="none"/>
        </w:rPr>
        <w:t>第二章  投标人须知</w:t>
      </w:r>
    </w:p>
    <w:p w14:paraId="1B62368B">
      <w:pPr>
        <w:spacing w:line="360" w:lineRule="auto"/>
        <w:ind w:left="359" w:hanging="359" w:hangingChars="171"/>
        <w:rPr>
          <w:rFonts w:hint="eastAsia" w:ascii="宋体" w:hAnsi="宋体" w:cs="宋体"/>
          <w:color w:val="auto"/>
          <w:szCs w:val="22"/>
          <w:highlight w:val="none"/>
        </w:rPr>
      </w:pPr>
      <w:r>
        <w:rPr>
          <w:rFonts w:hint="eastAsia" w:ascii="宋体" w:hAnsi="宋体" w:cs="宋体"/>
          <w:color w:val="auto"/>
          <w:szCs w:val="22"/>
          <w:highlight w:val="none"/>
        </w:rPr>
        <w:t>第三章  用户需求书</w:t>
      </w:r>
    </w:p>
    <w:p w14:paraId="73D860B8">
      <w:pPr>
        <w:spacing w:line="360" w:lineRule="auto"/>
        <w:ind w:left="359" w:hanging="359" w:hangingChars="171"/>
        <w:rPr>
          <w:rFonts w:hint="eastAsia" w:ascii="宋体" w:hAnsi="宋体" w:cs="宋体"/>
          <w:color w:val="auto"/>
          <w:szCs w:val="22"/>
          <w:highlight w:val="none"/>
        </w:rPr>
      </w:pPr>
      <w:r>
        <w:rPr>
          <w:rFonts w:hint="eastAsia" w:ascii="宋体" w:hAnsi="宋体" w:cs="宋体"/>
          <w:color w:val="auto"/>
          <w:szCs w:val="22"/>
          <w:highlight w:val="none"/>
        </w:rPr>
        <w:t>第四章  合同格式</w:t>
      </w:r>
    </w:p>
    <w:p w14:paraId="16B4840D">
      <w:pPr>
        <w:spacing w:line="360" w:lineRule="auto"/>
        <w:ind w:left="359" w:hanging="359" w:hangingChars="171"/>
        <w:rPr>
          <w:rFonts w:hint="eastAsia" w:ascii="宋体" w:hAnsi="宋体" w:cs="宋体"/>
          <w:color w:val="auto"/>
          <w:szCs w:val="22"/>
          <w:highlight w:val="none"/>
        </w:rPr>
      </w:pPr>
      <w:r>
        <w:rPr>
          <w:rFonts w:hint="eastAsia" w:ascii="宋体" w:hAnsi="宋体" w:cs="宋体"/>
          <w:color w:val="auto"/>
          <w:szCs w:val="22"/>
          <w:highlight w:val="none"/>
        </w:rPr>
        <w:t>第五章  投标文件格式</w:t>
      </w:r>
    </w:p>
    <w:p w14:paraId="7892314D">
      <w:pPr>
        <w:spacing w:line="360" w:lineRule="auto"/>
        <w:ind w:left="359" w:hanging="359" w:hangingChars="171"/>
        <w:rPr>
          <w:rFonts w:hint="eastAsia" w:ascii="宋体" w:hAnsi="宋体" w:cs="宋体"/>
          <w:color w:val="auto"/>
          <w:szCs w:val="22"/>
          <w:highlight w:val="none"/>
        </w:rPr>
      </w:pPr>
      <w:r>
        <w:rPr>
          <w:rFonts w:hint="eastAsia" w:ascii="宋体" w:hAnsi="宋体" w:cs="宋体"/>
          <w:color w:val="auto"/>
          <w:szCs w:val="22"/>
          <w:highlight w:val="none"/>
        </w:rPr>
        <w:t>第六章  评标办法</w:t>
      </w:r>
    </w:p>
    <w:p w14:paraId="16ACCBAF">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7.2投标人应认真阅读招标文件中所有的事项、格式、条款和规范等要求。投标人没有按照招标文件要求提交全部资料，或者投标文件没有对招标文件各方面都有做出实质性响应是投标人的风险，因为没有实质性响应招标文件要求的投标将被拒绝。</w:t>
      </w:r>
    </w:p>
    <w:p w14:paraId="1C7B10B7">
      <w:pPr>
        <w:spacing w:line="360" w:lineRule="auto"/>
        <w:rPr>
          <w:rFonts w:hint="eastAsia" w:ascii="宋体" w:hAnsi="宋体" w:cs="宋体"/>
          <w:b/>
          <w:bCs/>
          <w:color w:val="auto"/>
          <w:highlight w:val="none"/>
        </w:rPr>
      </w:pPr>
      <w:r>
        <w:rPr>
          <w:rFonts w:hint="eastAsia" w:ascii="宋体" w:hAnsi="宋体" w:cs="宋体"/>
          <w:b/>
          <w:bCs/>
          <w:color w:val="auto"/>
          <w:highlight w:val="none"/>
        </w:rPr>
        <w:t>8、招标文件的澄清</w:t>
      </w:r>
    </w:p>
    <w:p w14:paraId="2E0A7119">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8.1任何要求对招标文件进行澄清的投标人，均应以书面形式通知招标代理机构。招标代理机构对其在投标人须知规定的投标截止时间</w:t>
      </w:r>
      <w:r>
        <w:rPr>
          <w:rFonts w:hint="eastAsia" w:ascii="宋体" w:hAnsi="宋体" w:cs="宋体"/>
          <w:b/>
          <w:color w:val="auto"/>
          <w:highlight w:val="none"/>
          <w:u w:val="single"/>
        </w:rPr>
        <w:t>15日以前</w:t>
      </w:r>
      <w:r>
        <w:rPr>
          <w:rFonts w:hint="eastAsia" w:ascii="宋体" w:hAnsi="宋体" w:cs="宋体"/>
          <w:color w:val="auto"/>
          <w:highlight w:val="none"/>
        </w:rPr>
        <w:t>收到的对招标文件的澄清要求将以书面形式予以答复，同时将书面答复</w:t>
      </w:r>
      <w:r>
        <w:rPr>
          <w:rFonts w:hint="eastAsia" w:ascii="宋体" w:hAnsi="宋体" w:cs="宋体"/>
          <w:color w:val="auto"/>
          <w:highlight w:val="none"/>
          <w:lang w:val="en-US" w:eastAsia="zh-CN"/>
        </w:rPr>
        <w:t>发送</w:t>
      </w:r>
      <w:r>
        <w:rPr>
          <w:rFonts w:hint="eastAsia" w:ascii="宋体" w:hAnsi="宋体" w:cs="宋体"/>
          <w:color w:val="auto"/>
          <w:highlight w:val="none"/>
        </w:rPr>
        <w:t>给每个购买招标文件的投标人（答复中包括所有问题，但不包括问题的来源）。</w:t>
      </w:r>
    </w:p>
    <w:p w14:paraId="421C9FB4">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8.2对于投标</w:t>
      </w:r>
      <w:r>
        <w:rPr>
          <w:rFonts w:hint="eastAsia" w:ascii="宋体" w:hAnsi="宋体" w:cs="宋体"/>
          <w:color w:val="auto"/>
          <w:highlight w:val="none"/>
          <w:lang w:eastAsia="zh-CN"/>
        </w:rPr>
        <w:t>人</w:t>
      </w:r>
      <w:r>
        <w:rPr>
          <w:rFonts w:hint="eastAsia" w:ascii="宋体" w:hAnsi="宋体" w:cs="宋体"/>
          <w:color w:val="auto"/>
          <w:highlight w:val="none"/>
        </w:rPr>
        <w:t>澄清要求的回复，招标代理机构均将以书面形式或</w:t>
      </w:r>
      <w:r>
        <w:rPr>
          <w:rFonts w:hint="eastAsia" w:ascii="宋体" w:hAnsi="宋体" w:cs="宋体"/>
          <w:color w:val="auto"/>
          <w:highlight w:val="none"/>
          <w:u w:val="single"/>
        </w:rPr>
        <w:t>指定网站及媒体上</w:t>
      </w:r>
      <w:r>
        <w:rPr>
          <w:rFonts w:hint="eastAsia" w:ascii="宋体" w:hAnsi="宋体" w:cs="宋体"/>
          <w:color w:val="auto"/>
          <w:highlight w:val="none"/>
        </w:rPr>
        <w:t>发布的信息通知所有投标</w:t>
      </w:r>
      <w:r>
        <w:rPr>
          <w:rFonts w:hint="eastAsia" w:ascii="宋体" w:hAnsi="宋体" w:cs="宋体"/>
          <w:color w:val="auto"/>
          <w:highlight w:val="none"/>
          <w:lang w:eastAsia="zh-CN"/>
        </w:rPr>
        <w:t>人</w:t>
      </w:r>
      <w:r>
        <w:rPr>
          <w:rFonts w:hint="eastAsia" w:ascii="宋体" w:hAnsi="宋体" w:cs="宋体"/>
          <w:color w:val="auto"/>
          <w:highlight w:val="none"/>
        </w:rPr>
        <w:t>，凡在上述网上发布的信息，与招标文件具有同等法律效力，将被视为对所有投标</w:t>
      </w:r>
      <w:r>
        <w:rPr>
          <w:rFonts w:hint="eastAsia" w:ascii="宋体" w:hAnsi="宋体" w:cs="宋体"/>
          <w:color w:val="auto"/>
          <w:highlight w:val="none"/>
          <w:lang w:val="en-US" w:eastAsia="zh-CN"/>
        </w:rPr>
        <w:t>人</w:t>
      </w:r>
      <w:r>
        <w:rPr>
          <w:rFonts w:hint="eastAsia" w:ascii="宋体" w:hAnsi="宋体" w:cs="宋体"/>
          <w:color w:val="auto"/>
          <w:highlight w:val="none"/>
        </w:rPr>
        <w:t>进行了有效通知。</w:t>
      </w:r>
    </w:p>
    <w:p w14:paraId="51B8053D">
      <w:pPr>
        <w:tabs>
          <w:tab w:val="left" w:pos="720"/>
        </w:tabs>
        <w:spacing w:line="360" w:lineRule="auto"/>
        <w:rPr>
          <w:rFonts w:hint="eastAsia" w:ascii="宋体" w:hAnsi="宋体" w:cs="宋体"/>
          <w:b/>
          <w:bCs/>
          <w:color w:val="auto"/>
          <w:highlight w:val="none"/>
        </w:rPr>
      </w:pPr>
      <w:r>
        <w:rPr>
          <w:rFonts w:hint="eastAsia" w:ascii="宋体" w:hAnsi="宋体" w:cs="宋体"/>
          <w:b/>
          <w:bCs/>
          <w:color w:val="auto"/>
          <w:highlight w:val="none"/>
        </w:rPr>
        <w:t>9、招标文件的修改</w:t>
      </w:r>
    </w:p>
    <w:p w14:paraId="4721B833">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9.1在截止投标时间</w:t>
      </w:r>
      <w:r>
        <w:rPr>
          <w:rFonts w:hint="eastAsia" w:ascii="宋体" w:hAnsi="宋体" w:cs="宋体"/>
          <w:b/>
          <w:color w:val="auto"/>
          <w:highlight w:val="none"/>
          <w:u w:val="single"/>
        </w:rPr>
        <w:t>15日前</w:t>
      </w:r>
      <w:r>
        <w:rPr>
          <w:rFonts w:hint="eastAsia" w:ascii="宋体" w:hAnsi="宋体" w:cs="宋体"/>
          <w:color w:val="auto"/>
          <w:highlight w:val="none"/>
        </w:rPr>
        <w:t>的任何时候，无论出于何种原因，</w:t>
      </w:r>
      <w:r>
        <w:rPr>
          <w:rFonts w:hint="eastAsia" w:ascii="宋体" w:hAnsi="宋体" w:cs="宋体"/>
          <w:color w:val="auto"/>
          <w:highlight w:val="none"/>
          <w:lang w:eastAsia="zh-CN"/>
        </w:rPr>
        <w:t>招标人</w:t>
      </w:r>
      <w:r>
        <w:rPr>
          <w:rFonts w:hint="eastAsia" w:ascii="宋体" w:hAnsi="宋体" w:cs="宋体"/>
          <w:color w:val="auto"/>
          <w:highlight w:val="none"/>
        </w:rPr>
        <w:t>或招标代理机构可主动地或在解答投标人提出的需澄清的问题时向投标人发修改文件对招标文件进行修改。</w:t>
      </w:r>
    </w:p>
    <w:p w14:paraId="038F850A">
      <w:pPr>
        <w:pStyle w:val="17"/>
        <w:spacing w:line="360" w:lineRule="auto"/>
        <w:ind w:left="359" w:leftChars="0" w:hanging="359" w:hangingChars="171"/>
        <w:rPr>
          <w:rFonts w:hint="eastAsia" w:ascii="宋体" w:hAnsi="宋体" w:cs="宋体"/>
          <w:color w:val="auto"/>
          <w:highlight w:val="none"/>
        </w:rPr>
      </w:pPr>
      <w:r>
        <w:rPr>
          <w:rFonts w:hint="eastAsia" w:ascii="宋体" w:hAnsi="宋体" w:cs="宋体"/>
          <w:color w:val="auto"/>
          <w:highlight w:val="none"/>
        </w:rPr>
        <w:t>9.2文件的澄清和修改文件将以书面形式通知所有购买招标文件的投标人，该澄清文件也是招标文件的组成部分，并对投标人具有约束力。</w:t>
      </w:r>
    </w:p>
    <w:p w14:paraId="3AB44C9E">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9.3为使投标人编写招标文件时有充分时间对招标文件的修改部分进行研究，</w:t>
      </w:r>
      <w:r>
        <w:rPr>
          <w:rFonts w:hint="eastAsia" w:ascii="宋体" w:hAnsi="宋体" w:cs="宋体"/>
          <w:color w:val="auto"/>
          <w:highlight w:val="none"/>
          <w:lang w:eastAsia="zh-CN"/>
        </w:rPr>
        <w:t>招标人</w:t>
      </w:r>
      <w:r>
        <w:rPr>
          <w:rFonts w:hint="eastAsia" w:ascii="宋体" w:hAnsi="宋体" w:cs="宋体"/>
          <w:color w:val="auto"/>
          <w:highlight w:val="none"/>
        </w:rPr>
        <w:t>或招标代理机构可</w:t>
      </w:r>
      <w:r>
        <w:rPr>
          <w:rFonts w:hint="eastAsia" w:ascii="宋体" w:hAnsi="宋体" w:cs="宋体"/>
          <w:color w:val="auto"/>
          <w:highlight w:val="none"/>
          <w:lang w:val="en-US" w:eastAsia="zh-CN"/>
        </w:rPr>
        <w:t>自</w:t>
      </w:r>
      <w:r>
        <w:rPr>
          <w:rFonts w:hint="eastAsia" w:ascii="宋体" w:hAnsi="宋体" w:cs="宋体"/>
          <w:color w:val="auto"/>
          <w:highlight w:val="none"/>
        </w:rPr>
        <w:t>行决定，酌情延长投标截止日期，同时将决定以书面形式通知所有购买招标文件的投标人。</w:t>
      </w:r>
    </w:p>
    <w:p w14:paraId="449E268F">
      <w:pPr>
        <w:spacing w:line="360" w:lineRule="auto"/>
        <w:ind w:left="424" w:hanging="424" w:hangingChars="202"/>
        <w:rPr>
          <w:rFonts w:hint="eastAsia" w:ascii="宋体" w:hAnsi="宋体" w:cs="宋体"/>
          <w:color w:val="auto"/>
          <w:highlight w:val="none"/>
        </w:rPr>
      </w:pPr>
      <w:r>
        <w:rPr>
          <w:rFonts w:hint="eastAsia" w:ascii="宋体" w:hAnsi="宋体" w:cs="宋体"/>
          <w:color w:val="auto"/>
          <w:highlight w:val="none"/>
        </w:rPr>
        <w:t>9.4投标人在收到招标代理机构发给的任何澄清和修改文件时，都应在收到后立即以书面形式向招标代理机构确认。</w:t>
      </w:r>
    </w:p>
    <w:p w14:paraId="30758A04">
      <w:pPr>
        <w:spacing w:line="360" w:lineRule="auto"/>
        <w:ind w:left="491" w:hanging="491" w:hangingChars="234"/>
        <w:rPr>
          <w:rFonts w:hint="eastAsia" w:ascii="宋体" w:hAnsi="宋体" w:cs="宋体"/>
          <w:color w:val="auto"/>
          <w:highlight w:val="none"/>
        </w:rPr>
      </w:pPr>
      <w:r>
        <w:rPr>
          <w:rFonts w:hint="eastAsia" w:ascii="宋体" w:hAnsi="宋体" w:cs="宋体"/>
          <w:color w:val="auto"/>
          <w:highlight w:val="none"/>
        </w:rPr>
        <w:t>9.5对于招标文件的修改或补充文件，招标代理机构均将以书面形式或</w:t>
      </w:r>
      <w:r>
        <w:rPr>
          <w:rFonts w:hint="eastAsia" w:ascii="宋体" w:hAnsi="宋体" w:cs="宋体"/>
          <w:color w:val="auto"/>
          <w:highlight w:val="none"/>
          <w:u w:val="single"/>
        </w:rPr>
        <w:t>指定网站及媒体上</w:t>
      </w:r>
      <w:r>
        <w:rPr>
          <w:rFonts w:hint="eastAsia" w:ascii="宋体" w:hAnsi="宋体" w:cs="宋体"/>
          <w:color w:val="auto"/>
          <w:highlight w:val="none"/>
        </w:rPr>
        <w:t>发布的信息通知所有投标</w:t>
      </w:r>
      <w:r>
        <w:rPr>
          <w:rFonts w:hint="eastAsia" w:ascii="宋体" w:hAnsi="宋体" w:cs="宋体"/>
          <w:color w:val="auto"/>
          <w:highlight w:val="none"/>
          <w:lang w:val="en-US" w:eastAsia="zh-CN"/>
        </w:rPr>
        <w:t>人</w:t>
      </w:r>
      <w:r>
        <w:rPr>
          <w:rFonts w:hint="eastAsia" w:ascii="宋体" w:hAnsi="宋体" w:cs="宋体"/>
          <w:color w:val="auto"/>
          <w:highlight w:val="none"/>
        </w:rPr>
        <w:t>，凡在上述网上发布的信息，与招标文件具有同等法律效力，将被视为对所有投标</w:t>
      </w:r>
      <w:r>
        <w:rPr>
          <w:rFonts w:hint="eastAsia" w:ascii="宋体" w:hAnsi="宋体" w:cs="宋体"/>
          <w:color w:val="auto"/>
          <w:highlight w:val="none"/>
          <w:lang w:val="en-US" w:eastAsia="zh-CN"/>
        </w:rPr>
        <w:t>人</w:t>
      </w:r>
      <w:r>
        <w:rPr>
          <w:rFonts w:hint="eastAsia" w:ascii="宋体" w:hAnsi="宋体" w:cs="宋体"/>
          <w:color w:val="auto"/>
          <w:highlight w:val="none"/>
        </w:rPr>
        <w:t>进行了有效通知。</w:t>
      </w:r>
    </w:p>
    <w:p w14:paraId="4CD6D0ED">
      <w:pPr>
        <w:tabs>
          <w:tab w:val="left" w:pos="720"/>
        </w:tabs>
        <w:spacing w:line="360" w:lineRule="auto"/>
        <w:rPr>
          <w:rFonts w:hint="eastAsia" w:ascii="宋体" w:hAnsi="宋体" w:cs="宋体"/>
          <w:b/>
          <w:bCs/>
          <w:color w:val="auto"/>
          <w:highlight w:val="none"/>
        </w:rPr>
      </w:pPr>
      <w:r>
        <w:rPr>
          <w:rFonts w:hint="eastAsia" w:ascii="宋体" w:hAnsi="宋体" w:cs="宋体"/>
          <w:b/>
          <w:bCs/>
          <w:color w:val="auto"/>
          <w:highlight w:val="none"/>
        </w:rPr>
        <w:t>10、招标语言及计量</w:t>
      </w:r>
    </w:p>
    <w:p w14:paraId="65D41039">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10.1投标文件和来往函件应用中文书写，投标</w:t>
      </w:r>
      <w:r>
        <w:rPr>
          <w:rFonts w:hint="eastAsia" w:ascii="宋体" w:hAnsi="宋体" w:cs="宋体"/>
          <w:color w:val="auto"/>
          <w:highlight w:val="none"/>
          <w:lang w:val="en-US" w:eastAsia="zh-CN"/>
        </w:rPr>
        <w:t>人</w:t>
      </w:r>
      <w:r>
        <w:rPr>
          <w:rFonts w:hint="eastAsia" w:ascii="宋体" w:hAnsi="宋体" w:cs="宋体"/>
          <w:color w:val="auto"/>
          <w:highlight w:val="none"/>
        </w:rPr>
        <w:t>提供的支持文件、技术资料和印刷的文献可以用其它语言，但相应内容应附有中文翻译本（经公证处公证），以中文为准，对不同文字文本投标文件的解释发生异议的，以中文文本为准。</w:t>
      </w:r>
    </w:p>
    <w:p w14:paraId="0F9EDF09">
      <w:pPr>
        <w:spacing w:line="360" w:lineRule="auto"/>
        <w:rPr>
          <w:rFonts w:hint="eastAsia" w:ascii="宋体" w:hAnsi="宋体" w:cs="宋体"/>
          <w:color w:val="auto"/>
          <w:highlight w:val="none"/>
        </w:rPr>
      </w:pPr>
      <w:r>
        <w:rPr>
          <w:rFonts w:hint="eastAsia" w:ascii="宋体" w:hAnsi="宋体" w:cs="宋体"/>
          <w:color w:val="auto"/>
          <w:highlight w:val="none"/>
        </w:rPr>
        <w:t>10.2招标文件中的所有计量单位和规格说明都使用国家法定计量单位表示。</w:t>
      </w:r>
    </w:p>
    <w:p w14:paraId="021F2ADE">
      <w:pPr>
        <w:pStyle w:val="5"/>
        <w:numPr>
          <w:ilvl w:val="0"/>
          <w:numId w:val="0"/>
        </w:numPr>
        <w:ind w:left="422"/>
        <w:jc w:val="center"/>
        <w:rPr>
          <w:rFonts w:hint="eastAsia" w:hAnsi="宋体" w:cs="宋体"/>
          <w:b w:val="0"/>
          <w:bCs/>
          <w:color w:val="auto"/>
          <w:highlight w:val="none"/>
        </w:rPr>
      </w:pPr>
      <w:bookmarkStart w:id="58" w:name="_Toc409173219"/>
      <w:bookmarkStart w:id="59" w:name="_Toc513818903"/>
      <w:bookmarkStart w:id="60" w:name="_Toc409173105"/>
      <w:r>
        <w:rPr>
          <w:rFonts w:hint="eastAsia" w:hAnsi="宋体" w:cs="宋体"/>
          <w:color w:val="auto"/>
          <w:highlight w:val="none"/>
        </w:rPr>
        <w:t>三、投标文件的编制</w:t>
      </w:r>
      <w:bookmarkEnd w:id="58"/>
      <w:bookmarkEnd w:id="59"/>
      <w:bookmarkEnd w:id="60"/>
    </w:p>
    <w:p w14:paraId="6CDC3697">
      <w:pPr>
        <w:tabs>
          <w:tab w:val="left" w:pos="540"/>
        </w:tabs>
        <w:spacing w:line="360" w:lineRule="auto"/>
        <w:rPr>
          <w:rFonts w:hint="eastAsia" w:ascii="宋体" w:hAnsi="宋体" w:cs="宋体"/>
          <w:b/>
          <w:bCs/>
          <w:color w:val="auto"/>
          <w:highlight w:val="none"/>
        </w:rPr>
      </w:pPr>
      <w:r>
        <w:rPr>
          <w:rFonts w:hint="eastAsia" w:ascii="宋体" w:hAnsi="宋体" w:cs="宋体"/>
          <w:b/>
          <w:bCs/>
          <w:color w:val="auto"/>
          <w:highlight w:val="none"/>
        </w:rPr>
        <w:t>11、特别说明</w:t>
      </w:r>
    </w:p>
    <w:p w14:paraId="65EBB243">
      <w:pPr>
        <w:spacing w:line="360" w:lineRule="auto"/>
        <w:ind w:left="464" w:hanging="464" w:hangingChars="221"/>
        <w:rPr>
          <w:rFonts w:hint="eastAsia" w:ascii="宋体" w:hAnsi="宋体" w:cs="宋体"/>
          <w:color w:val="auto"/>
          <w:highlight w:val="none"/>
        </w:rPr>
      </w:pPr>
      <w:r>
        <w:rPr>
          <w:rFonts w:hint="eastAsia" w:ascii="宋体" w:hAnsi="宋体" w:cs="宋体"/>
          <w:color w:val="auto"/>
          <w:highlight w:val="none"/>
        </w:rPr>
        <w:t>11.1本招标文件服务指标要求中，重要的、关键的服务指标要求或性能要求，投标人要特别注意，必须对此响应或完全满足或优于这些要求。否则若有一项重要指标未响应或存在负偏差，将按投标无效处理，即废标。</w:t>
      </w:r>
    </w:p>
    <w:p w14:paraId="5ED8CEDC">
      <w:pPr>
        <w:spacing w:line="360" w:lineRule="auto"/>
        <w:ind w:left="464" w:hanging="464" w:hangingChars="221"/>
        <w:rPr>
          <w:rFonts w:hint="eastAsia" w:ascii="宋体" w:hAnsi="宋体" w:cs="宋体"/>
          <w:color w:val="auto"/>
          <w:highlight w:val="none"/>
        </w:rPr>
      </w:pPr>
      <w:r>
        <w:rPr>
          <w:rFonts w:hint="eastAsia" w:ascii="宋体" w:hAnsi="宋体" w:cs="宋体"/>
          <w:color w:val="auto"/>
          <w:highlight w:val="none"/>
        </w:rPr>
        <w:t>11.2本招标文件的商务合同条款部分除保险、终止和合同生效条款外，均不允许实质性偏离。投标人必须对本招标文件的每一项要求给予实质性的响应，否则其投标将被拒绝。</w:t>
      </w:r>
    </w:p>
    <w:p w14:paraId="47F53B98">
      <w:pPr>
        <w:spacing w:line="360" w:lineRule="auto"/>
        <w:rPr>
          <w:rFonts w:hint="eastAsia" w:ascii="宋体" w:hAnsi="宋体" w:cs="宋体"/>
          <w:color w:val="auto"/>
          <w:highlight w:val="none"/>
        </w:rPr>
      </w:pPr>
      <w:r>
        <w:rPr>
          <w:rFonts w:hint="eastAsia" w:ascii="宋体" w:hAnsi="宋体" w:cs="宋体"/>
          <w:color w:val="auto"/>
          <w:highlight w:val="none"/>
        </w:rPr>
        <w:t>11.3 投标人对本投标文件的每一项要求所给予的响应必须是唯一的，否则将视为不响应。</w:t>
      </w:r>
    </w:p>
    <w:p w14:paraId="28D76DDA">
      <w:pPr>
        <w:spacing w:line="360" w:lineRule="auto"/>
        <w:rPr>
          <w:rFonts w:hint="eastAsia" w:ascii="宋体" w:hAnsi="宋体" w:cs="宋体"/>
          <w:b/>
          <w:bCs/>
          <w:color w:val="auto"/>
          <w:highlight w:val="none"/>
        </w:rPr>
      </w:pPr>
      <w:r>
        <w:rPr>
          <w:rFonts w:hint="eastAsia" w:ascii="宋体" w:hAnsi="宋体" w:cs="宋体"/>
          <w:b/>
          <w:bCs/>
          <w:color w:val="auto"/>
          <w:highlight w:val="none"/>
        </w:rPr>
        <w:t>12、投标语言及计量</w:t>
      </w:r>
    </w:p>
    <w:p w14:paraId="77BF0908">
      <w:pPr>
        <w:spacing w:line="360" w:lineRule="auto"/>
        <w:ind w:left="464" w:hanging="464" w:hangingChars="221"/>
        <w:rPr>
          <w:rFonts w:hint="eastAsia" w:ascii="宋体" w:hAnsi="宋体" w:cs="宋体"/>
          <w:color w:val="auto"/>
          <w:highlight w:val="none"/>
        </w:rPr>
      </w:pPr>
      <w:r>
        <w:rPr>
          <w:rFonts w:hint="eastAsia" w:ascii="宋体" w:hAnsi="宋体" w:cs="宋体"/>
          <w:color w:val="auto"/>
          <w:highlight w:val="none"/>
        </w:rPr>
        <w:t>12.1投标人提交的投标文件以及投标人与</w:t>
      </w:r>
      <w:r>
        <w:rPr>
          <w:rFonts w:hint="eastAsia" w:ascii="宋体" w:hAnsi="宋体" w:cs="宋体"/>
          <w:color w:val="auto"/>
          <w:highlight w:val="none"/>
          <w:lang w:eastAsia="zh-CN"/>
        </w:rPr>
        <w:t>招标人</w:t>
      </w:r>
      <w:r>
        <w:rPr>
          <w:rFonts w:hint="eastAsia" w:ascii="宋体" w:hAnsi="宋体" w:cs="宋体"/>
          <w:color w:val="auto"/>
          <w:highlight w:val="none"/>
        </w:rPr>
        <w:t>就有关投标的所有往来函电均使用中文。投标人提供的支持文件和印刷的文件可以使用英文，但相应内容应附有中文翻译本，在解释时以中文翻译为准。</w:t>
      </w:r>
    </w:p>
    <w:p w14:paraId="482211BB">
      <w:pPr>
        <w:spacing w:line="360" w:lineRule="auto"/>
        <w:ind w:left="540" w:hanging="539" w:hangingChars="257"/>
        <w:rPr>
          <w:rFonts w:hint="eastAsia" w:ascii="宋体" w:hAnsi="宋体" w:cs="宋体"/>
          <w:color w:val="auto"/>
          <w:highlight w:val="none"/>
        </w:rPr>
      </w:pPr>
      <w:r>
        <w:rPr>
          <w:rFonts w:hint="eastAsia" w:ascii="宋体" w:hAnsi="宋体" w:cs="宋体"/>
          <w:color w:val="auto"/>
          <w:highlight w:val="none"/>
        </w:rPr>
        <w:t>12.2在投标文件及所有投标人与</w:t>
      </w:r>
      <w:r>
        <w:rPr>
          <w:rFonts w:hint="eastAsia" w:ascii="宋体" w:hAnsi="宋体" w:cs="宋体"/>
          <w:color w:val="auto"/>
          <w:highlight w:val="none"/>
          <w:lang w:eastAsia="zh-CN"/>
        </w:rPr>
        <w:t>招标人</w:t>
      </w:r>
      <w:r>
        <w:rPr>
          <w:rFonts w:hint="eastAsia" w:ascii="宋体" w:hAnsi="宋体" w:cs="宋体"/>
          <w:color w:val="auto"/>
          <w:highlight w:val="none"/>
        </w:rPr>
        <w:t>往来文件中所有计量单位和规格说明均须用国家法定计量单位表示。</w:t>
      </w:r>
    </w:p>
    <w:p w14:paraId="47C7B14C">
      <w:pPr>
        <w:spacing w:line="360" w:lineRule="auto"/>
        <w:rPr>
          <w:rFonts w:hint="eastAsia" w:ascii="宋体" w:hAnsi="宋体" w:cs="宋体"/>
          <w:b/>
          <w:bCs/>
          <w:color w:val="auto"/>
          <w:highlight w:val="none"/>
        </w:rPr>
      </w:pPr>
      <w:r>
        <w:rPr>
          <w:rFonts w:hint="eastAsia" w:ascii="宋体" w:hAnsi="宋体" w:cs="宋体"/>
          <w:b/>
          <w:bCs/>
          <w:color w:val="auto"/>
          <w:highlight w:val="none"/>
        </w:rPr>
        <w:t>13、投标文件的构成</w:t>
      </w:r>
    </w:p>
    <w:p w14:paraId="6A8F4326">
      <w:pPr>
        <w:spacing w:line="360" w:lineRule="auto"/>
        <w:rPr>
          <w:rFonts w:hint="eastAsia" w:ascii="宋体" w:hAnsi="宋体" w:cs="宋体"/>
          <w:color w:val="auto"/>
          <w:highlight w:val="none"/>
        </w:rPr>
      </w:pPr>
      <w:r>
        <w:rPr>
          <w:rFonts w:hint="eastAsia" w:ascii="宋体" w:hAnsi="宋体" w:cs="宋体"/>
          <w:color w:val="auto"/>
          <w:highlight w:val="none"/>
        </w:rPr>
        <w:t>13.1投标人编写的投标文件应包括下列部分：</w:t>
      </w:r>
    </w:p>
    <w:p w14:paraId="0AD28C78">
      <w:pPr>
        <w:spacing w:line="360" w:lineRule="auto"/>
        <w:ind w:firstLine="540"/>
        <w:rPr>
          <w:rFonts w:hint="eastAsia" w:ascii="宋体" w:hAnsi="宋体" w:cs="宋体"/>
          <w:color w:val="auto"/>
          <w:highlight w:val="none"/>
        </w:rPr>
      </w:pPr>
      <w:r>
        <w:rPr>
          <w:rFonts w:hint="eastAsia" w:ascii="宋体" w:hAnsi="宋体" w:cs="宋体"/>
          <w:color w:val="auto"/>
          <w:highlight w:val="none"/>
        </w:rPr>
        <w:t>（1）按投标人须知规定填写投标函、投标报价表。</w:t>
      </w:r>
    </w:p>
    <w:p w14:paraId="1E56245C">
      <w:pPr>
        <w:spacing w:line="360" w:lineRule="auto"/>
        <w:ind w:firstLine="540"/>
        <w:rPr>
          <w:rFonts w:hint="eastAsia" w:ascii="宋体" w:hAnsi="宋体" w:cs="宋体"/>
          <w:color w:val="auto"/>
          <w:highlight w:val="none"/>
        </w:rPr>
      </w:pPr>
      <w:r>
        <w:rPr>
          <w:rFonts w:hint="eastAsia" w:ascii="宋体" w:hAnsi="宋体" w:cs="宋体"/>
          <w:color w:val="auto"/>
          <w:highlight w:val="none"/>
        </w:rPr>
        <w:t>（2）按投标人须知出具的资格证明文件，证明投标人是合格的且中标后有能力履行合同。</w:t>
      </w:r>
    </w:p>
    <w:p w14:paraId="7DFCECAA">
      <w:pPr>
        <w:spacing w:line="360" w:lineRule="auto"/>
        <w:ind w:firstLine="540"/>
        <w:rPr>
          <w:rFonts w:hint="eastAsia" w:ascii="宋体" w:hAnsi="宋体" w:cs="宋体"/>
          <w:color w:val="auto"/>
          <w:highlight w:val="none"/>
        </w:rPr>
      </w:pPr>
      <w:r>
        <w:rPr>
          <w:rFonts w:hint="eastAsia" w:ascii="宋体" w:hAnsi="宋体" w:cs="宋体"/>
          <w:color w:val="auto"/>
          <w:highlight w:val="none"/>
        </w:rPr>
        <w:t>（3）按招标文件的规定出具的证明文件。</w:t>
      </w:r>
    </w:p>
    <w:p w14:paraId="6EA0F04E">
      <w:pPr>
        <w:spacing w:line="360" w:lineRule="auto"/>
        <w:ind w:firstLine="540"/>
        <w:rPr>
          <w:rFonts w:hint="eastAsia" w:ascii="宋体" w:hAnsi="宋体" w:cs="宋体"/>
          <w:color w:val="auto"/>
          <w:highlight w:val="none"/>
        </w:rPr>
      </w:pPr>
      <w:r>
        <w:rPr>
          <w:rFonts w:hint="eastAsia" w:ascii="宋体" w:hAnsi="宋体" w:cs="宋体"/>
          <w:color w:val="auto"/>
          <w:highlight w:val="none"/>
        </w:rPr>
        <w:t>（4）按投标人须知规定提交的投标保证金。</w:t>
      </w:r>
    </w:p>
    <w:p w14:paraId="5FF12007">
      <w:pPr>
        <w:spacing w:line="360" w:lineRule="auto"/>
        <w:ind w:firstLine="540"/>
        <w:rPr>
          <w:rFonts w:hint="eastAsia" w:ascii="宋体" w:hAnsi="宋体" w:cs="宋体"/>
          <w:color w:val="auto"/>
          <w:highlight w:val="none"/>
        </w:rPr>
      </w:pPr>
      <w:r>
        <w:rPr>
          <w:rFonts w:hint="eastAsia" w:ascii="宋体" w:hAnsi="宋体" w:cs="宋体"/>
          <w:color w:val="auto"/>
          <w:highlight w:val="none"/>
        </w:rPr>
        <w:t>（5）对招标文件第三章做出书面响应。</w:t>
      </w:r>
    </w:p>
    <w:p w14:paraId="371CC5E9">
      <w:pPr>
        <w:spacing w:line="360" w:lineRule="auto"/>
        <w:ind w:firstLine="540"/>
        <w:rPr>
          <w:rFonts w:hint="eastAsia" w:ascii="宋体" w:hAnsi="宋体" w:cs="宋体"/>
          <w:color w:val="auto"/>
          <w:highlight w:val="none"/>
        </w:rPr>
      </w:pPr>
      <w:r>
        <w:rPr>
          <w:rFonts w:hint="eastAsia" w:ascii="宋体" w:hAnsi="宋体" w:cs="宋体"/>
          <w:color w:val="auto"/>
          <w:highlight w:val="none"/>
        </w:rPr>
        <w:t>（6）投标人应参照招标文件第五章的内容格式提供全面的响应的文件。</w:t>
      </w:r>
    </w:p>
    <w:p w14:paraId="0A0534A0">
      <w:pPr>
        <w:spacing w:line="360" w:lineRule="auto"/>
        <w:rPr>
          <w:rFonts w:hint="eastAsia" w:ascii="宋体" w:hAnsi="宋体" w:cs="宋体"/>
          <w:color w:val="auto"/>
          <w:highlight w:val="none"/>
        </w:rPr>
      </w:pPr>
      <w:r>
        <w:rPr>
          <w:rFonts w:hint="eastAsia" w:ascii="宋体" w:hAnsi="宋体" w:cs="宋体"/>
          <w:b/>
          <w:bCs/>
          <w:color w:val="auto"/>
          <w:highlight w:val="none"/>
        </w:rPr>
        <w:t>14、投标文件的要求</w:t>
      </w:r>
    </w:p>
    <w:p w14:paraId="4B3F65B5">
      <w:pPr>
        <w:spacing w:line="360" w:lineRule="auto"/>
        <w:rPr>
          <w:rFonts w:hint="eastAsia" w:ascii="宋体" w:hAnsi="宋体" w:cs="宋体"/>
          <w:color w:val="auto"/>
          <w:highlight w:val="none"/>
        </w:rPr>
      </w:pPr>
      <w:r>
        <w:rPr>
          <w:rFonts w:hint="eastAsia" w:ascii="宋体" w:hAnsi="宋体" w:cs="宋体"/>
          <w:color w:val="auto"/>
          <w:highlight w:val="none"/>
        </w:rPr>
        <w:t>14.1投标人应依照招标文件中投标文件格式填写，并真正对招标文件的要求做实质性的响应。</w:t>
      </w:r>
    </w:p>
    <w:p w14:paraId="7E28DA70">
      <w:pPr>
        <w:spacing w:line="360" w:lineRule="auto"/>
        <w:rPr>
          <w:rFonts w:hint="eastAsia" w:ascii="宋体" w:hAnsi="宋体" w:cs="宋体"/>
          <w:color w:val="auto"/>
          <w:highlight w:val="none"/>
        </w:rPr>
      </w:pPr>
      <w:r>
        <w:rPr>
          <w:rFonts w:hint="eastAsia" w:ascii="宋体" w:hAnsi="宋体" w:cs="宋体"/>
          <w:color w:val="auto"/>
          <w:highlight w:val="none"/>
        </w:rPr>
        <w:t>14.2投标人必须按照招标文件要求，正面回答所有的问题，并按所附格式要求正式签署。</w:t>
      </w:r>
    </w:p>
    <w:p w14:paraId="0E871A62">
      <w:pPr>
        <w:spacing w:line="360" w:lineRule="auto"/>
        <w:rPr>
          <w:rFonts w:hint="eastAsia" w:ascii="宋体" w:hAnsi="宋体" w:cs="宋体"/>
          <w:color w:val="auto"/>
          <w:highlight w:val="none"/>
        </w:rPr>
      </w:pPr>
      <w:r>
        <w:rPr>
          <w:rFonts w:hint="eastAsia" w:ascii="宋体" w:hAnsi="宋体" w:cs="宋体"/>
          <w:color w:val="auto"/>
          <w:highlight w:val="none"/>
        </w:rPr>
        <w:t>14.3投标人对于招标文件的所有“★”号要求，必须作出真实满足的响应，否则将作无效投标处理。</w:t>
      </w:r>
    </w:p>
    <w:p w14:paraId="1E0A732C">
      <w:pPr>
        <w:spacing w:line="360" w:lineRule="auto"/>
        <w:rPr>
          <w:rFonts w:hint="eastAsia" w:ascii="宋体" w:hAnsi="宋体" w:cs="宋体"/>
          <w:b/>
          <w:bCs/>
          <w:color w:val="auto"/>
          <w:highlight w:val="none"/>
        </w:rPr>
      </w:pPr>
      <w:r>
        <w:rPr>
          <w:rFonts w:hint="eastAsia" w:ascii="宋体" w:hAnsi="宋体" w:cs="宋体"/>
          <w:b/>
          <w:bCs/>
          <w:color w:val="auto"/>
          <w:highlight w:val="none"/>
        </w:rPr>
        <w:t>15、投标报价</w:t>
      </w:r>
    </w:p>
    <w:p w14:paraId="1328B7BD">
      <w:pPr>
        <w:tabs>
          <w:tab w:val="left" w:pos="840"/>
        </w:tabs>
        <w:spacing w:line="360" w:lineRule="auto"/>
        <w:ind w:left="525" w:hanging="525" w:hangingChars="250"/>
        <w:rPr>
          <w:rFonts w:hint="eastAsia" w:ascii="宋体" w:hAnsi="宋体" w:cs="宋体"/>
          <w:color w:val="auto"/>
          <w:highlight w:val="none"/>
        </w:rPr>
      </w:pPr>
      <w:r>
        <w:rPr>
          <w:rFonts w:hint="eastAsia" w:ascii="宋体" w:hAnsi="宋体" w:cs="宋体"/>
          <w:color w:val="auto"/>
          <w:highlight w:val="none"/>
        </w:rPr>
        <w:t>15.1</w:t>
      </w:r>
      <w:r>
        <w:rPr>
          <w:rFonts w:hint="eastAsia" w:ascii="宋体" w:hAnsi="宋体" w:cs="宋体"/>
          <w:color w:val="auto"/>
          <w:highlight w:val="none"/>
          <w:u w:val="single"/>
        </w:rPr>
        <w:t>投标人必须按招标文件中“用户需求书”等规定的报价方案报价，否则视为非实质响应性投标。</w:t>
      </w:r>
    </w:p>
    <w:p w14:paraId="4D043EC5">
      <w:pPr>
        <w:tabs>
          <w:tab w:val="left" w:pos="840"/>
        </w:tabs>
        <w:spacing w:line="360" w:lineRule="auto"/>
        <w:ind w:left="525" w:hanging="525" w:hangingChars="250"/>
        <w:rPr>
          <w:rFonts w:hint="eastAsia" w:ascii="宋体" w:hAnsi="宋体" w:cs="宋体"/>
          <w:color w:val="auto"/>
          <w:szCs w:val="22"/>
          <w:highlight w:val="none"/>
        </w:rPr>
      </w:pPr>
      <w:r>
        <w:rPr>
          <w:rFonts w:hint="eastAsia" w:ascii="宋体" w:hAnsi="宋体" w:cs="宋体"/>
          <w:color w:val="auto"/>
          <w:highlight w:val="none"/>
        </w:rPr>
        <w:t>15.</w:t>
      </w:r>
      <w:r>
        <w:rPr>
          <w:rFonts w:hint="eastAsia" w:ascii="宋体" w:hAnsi="宋体" w:cs="宋体"/>
          <w:color w:val="auto"/>
          <w:highlight w:val="none"/>
          <w:lang w:val="en-US" w:eastAsia="zh-CN"/>
        </w:rPr>
        <w:t>2</w:t>
      </w:r>
      <w:r>
        <w:rPr>
          <w:rFonts w:hint="eastAsia" w:ascii="宋体" w:hAnsi="宋体" w:cs="宋体"/>
          <w:color w:val="auto"/>
          <w:szCs w:val="22"/>
          <w:highlight w:val="none"/>
        </w:rPr>
        <w:t>投标人所报的投标价在合同执行期间是固定不变的，不得以任何理由予以变更。以可调整的价格提交的投标文件将作为非响应性投标而予以拒绝。</w:t>
      </w:r>
    </w:p>
    <w:p w14:paraId="1FB904EB">
      <w:pPr>
        <w:tabs>
          <w:tab w:val="left" w:pos="840"/>
        </w:tabs>
        <w:spacing w:line="360" w:lineRule="auto"/>
        <w:ind w:left="527" w:hanging="527" w:hangingChars="250"/>
        <w:rPr>
          <w:rFonts w:hint="eastAsia" w:ascii="宋体" w:hAnsi="宋体" w:cs="宋体"/>
          <w:b/>
          <w:bCs/>
          <w:color w:val="auto"/>
          <w:szCs w:val="22"/>
          <w:highlight w:val="none"/>
        </w:rPr>
      </w:pPr>
      <w:r>
        <w:rPr>
          <w:rFonts w:hint="eastAsia" w:ascii="宋体" w:hAnsi="宋体" w:cs="宋体"/>
          <w:b/>
          <w:bCs/>
          <w:color w:val="auto"/>
          <w:szCs w:val="22"/>
          <w:highlight w:val="none"/>
        </w:rPr>
        <w:t>16、投标货币</w:t>
      </w:r>
    </w:p>
    <w:p w14:paraId="7875DF25">
      <w:pPr>
        <w:tabs>
          <w:tab w:val="left" w:pos="840"/>
        </w:tabs>
        <w:spacing w:line="360" w:lineRule="auto"/>
        <w:ind w:left="525" w:hanging="525" w:hangingChars="250"/>
        <w:rPr>
          <w:rFonts w:hint="eastAsia" w:ascii="宋体" w:hAnsi="宋体" w:cs="宋体"/>
          <w:color w:val="auto"/>
          <w:szCs w:val="22"/>
          <w:highlight w:val="none"/>
        </w:rPr>
      </w:pPr>
      <w:r>
        <w:rPr>
          <w:rFonts w:hint="eastAsia" w:ascii="宋体" w:hAnsi="宋体" w:cs="宋体"/>
          <w:color w:val="auto"/>
          <w:szCs w:val="22"/>
          <w:highlight w:val="none"/>
        </w:rPr>
        <w:t>16.1投标人提供的服务须用人民币报价；</w:t>
      </w:r>
    </w:p>
    <w:p w14:paraId="38319B7D">
      <w:pPr>
        <w:tabs>
          <w:tab w:val="left" w:pos="840"/>
        </w:tabs>
        <w:spacing w:line="360" w:lineRule="auto"/>
        <w:ind w:left="525" w:hanging="525" w:hangingChars="250"/>
        <w:rPr>
          <w:rFonts w:hint="eastAsia" w:ascii="宋体" w:hAnsi="宋体" w:cs="宋体"/>
          <w:color w:val="auto"/>
          <w:szCs w:val="22"/>
          <w:highlight w:val="none"/>
        </w:rPr>
      </w:pPr>
      <w:r>
        <w:rPr>
          <w:rFonts w:hint="eastAsia" w:ascii="宋体" w:hAnsi="宋体" w:cs="宋体"/>
          <w:color w:val="auto"/>
          <w:szCs w:val="22"/>
          <w:highlight w:val="none"/>
        </w:rPr>
        <w:t>16.2投标文件中的大写金额和小写金额不一致的，以大写金额为准；总价金额与单价金额和数量乘积不一致的，以单价金额和数量乘积为准，但单价金额小数点有明显错误的除外。</w:t>
      </w:r>
    </w:p>
    <w:p w14:paraId="391CE5C3">
      <w:pPr>
        <w:tabs>
          <w:tab w:val="left" w:pos="840"/>
        </w:tabs>
        <w:spacing w:line="360" w:lineRule="auto"/>
        <w:ind w:left="527" w:hanging="527" w:hangingChars="250"/>
        <w:rPr>
          <w:rFonts w:hint="eastAsia" w:ascii="宋体" w:hAnsi="宋体" w:cs="宋体"/>
          <w:b/>
          <w:bCs/>
          <w:color w:val="auto"/>
          <w:szCs w:val="22"/>
          <w:highlight w:val="none"/>
        </w:rPr>
      </w:pPr>
      <w:r>
        <w:rPr>
          <w:rFonts w:hint="eastAsia" w:ascii="宋体" w:hAnsi="宋体" w:cs="宋体"/>
          <w:b/>
          <w:bCs/>
          <w:color w:val="auto"/>
          <w:szCs w:val="22"/>
          <w:highlight w:val="none"/>
        </w:rPr>
        <w:t>17、证明投标人合格和资格的文件</w:t>
      </w:r>
    </w:p>
    <w:p w14:paraId="32809623">
      <w:pPr>
        <w:tabs>
          <w:tab w:val="left" w:pos="840"/>
        </w:tabs>
        <w:spacing w:line="360" w:lineRule="auto"/>
        <w:ind w:left="525" w:hanging="525" w:hangingChars="250"/>
        <w:rPr>
          <w:rFonts w:hint="eastAsia" w:ascii="宋体" w:hAnsi="宋体" w:cs="宋体"/>
          <w:color w:val="auto"/>
          <w:highlight w:val="none"/>
        </w:rPr>
      </w:pPr>
      <w:r>
        <w:rPr>
          <w:rFonts w:hint="eastAsia" w:ascii="宋体" w:hAnsi="宋体" w:cs="宋体"/>
          <w:color w:val="auto"/>
          <w:szCs w:val="22"/>
          <w:highlight w:val="none"/>
        </w:rPr>
        <w:t>17.1如投标人须知规定，投标人应提交证明</w:t>
      </w:r>
      <w:r>
        <w:rPr>
          <w:rFonts w:hint="eastAsia" w:ascii="宋体" w:hAnsi="宋体" w:cs="宋体"/>
          <w:color w:val="auto"/>
          <w:highlight w:val="none"/>
        </w:rPr>
        <w:t>其有资格参加投标和中标后有能力履行合同的文件，并作为其投标文件的一部分。</w:t>
      </w:r>
    </w:p>
    <w:p w14:paraId="66628A02">
      <w:pPr>
        <w:spacing w:line="360" w:lineRule="auto"/>
        <w:rPr>
          <w:rFonts w:hint="eastAsia" w:ascii="宋体" w:hAnsi="宋体" w:cs="宋体"/>
          <w:color w:val="auto"/>
          <w:highlight w:val="none"/>
        </w:rPr>
      </w:pPr>
      <w:r>
        <w:rPr>
          <w:rFonts w:hint="eastAsia" w:ascii="宋体" w:hAnsi="宋体" w:cs="宋体"/>
          <w:color w:val="auto"/>
          <w:highlight w:val="none"/>
        </w:rPr>
        <w:t>17.2投标人提交的中标后履行合同的资格证明文件应满足招标文件的要求：</w:t>
      </w:r>
    </w:p>
    <w:p w14:paraId="58CCE636">
      <w:pPr>
        <w:numPr>
          <w:ilvl w:val="0"/>
          <w:numId w:val="2"/>
        </w:numPr>
        <w:tabs>
          <w:tab w:val="left" w:pos="-180"/>
          <w:tab w:val="clear" w:pos="1365"/>
        </w:tabs>
        <w:spacing w:line="360" w:lineRule="auto"/>
        <w:ind w:left="1260" w:hanging="615"/>
        <w:rPr>
          <w:rFonts w:hint="eastAsia" w:ascii="宋体" w:hAnsi="宋体" w:cs="宋体"/>
          <w:color w:val="auto"/>
          <w:highlight w:val="none"/>
        </w:rPr>
      </w:pPr>
      <w:r>
        <w:rPr>
          <w:rFonts w:hint="eastAsia" w:ascii="宋体" w:hAnsi="宋体" w:cs="宋体"/>
          <w:color w:val="auto"/>
          <w:highlight w:val="none"/>
        </w:rPr>
        <w:t>投标人与本次招标项目类似案例的业绩（提供合同复印件）；（如需）</w:t>
      </w:r>
    </w:p>
    <w:p w14:paraId="49548A5E">
      <w:pPr>
        <w:numPr>
          <w:ilvl w:val="0"/>
          <w:numId w:val="2"/>
        </w:numPr>
        <w:tabs>
          <w:tab w:val="clear" w:pos="1365"/>
        </w:tabs>
        <w:spacing w:line="360" w:lineRule="auto"/>
        <w:rPr>
          <w:rFonts w:hint="eastAsia" w:ascii="宋体" w:hAnsi="宋体" w:cs="宋体"/>
          <w:color w:val="auto"/>
          <w:highlight w:val="none"/>
        </w:rPr>
      </w:pPr>
      <w:r>
        <w:rPr>
          <w:rFonts w:hint="eastAsia" w:ascii="宋体" w:hAnsi="宋体" w:cs="宋体"/>
          <w:color w:val="auto"/>
          <w:highlight w:val="none"/>
        </w:rPr>
        <w:t>投标人已具备履行合同所需的人力、财力、物力和服务能力；（如需）</w:t>
      </w:r>
    </w:p>
    <w:p w14:paraId="35D210EA">
      <w:pPr>
        <w:numPr>
          <w:ilvl w:val="0"/>
          <w:numId w:val="2"/>
        </w:numPr>
        <w:tabs>
          <w:tab w:val="clear" w:pos="1365"/>
        </w:tabs>
        <w:spacing w:line="360" w:lineRule="auto"/>
        <w:ind w:left="0" w:firstLine="638" w:firstLineChars="304"/>
        <w:rPr>
          <w:rFonts w:hint="eastAsia" w:ascii="宋体" w:hAnsi="宋体" w:cs="宋体"/>
          <w:color w:val="auto"/>
          <w:highlight w:val="none"/>
        </w:rPr>
      </w:pPr>
      <w:r>
        <w:rPr>
          <w:rFonts w:hint="eastAsia" w:ascii="宋体" w:hAnsi="宋体" w:cs="宋体"/>
          <w:color w:val="auto"/>
          <w:highlight w:val="none"/>
        </w:rPr>
        <w:t>有关确立投标人法律地位和专业服务能力的原始文件副本复印件（如营业执照等资格证书）。（如需）</w:t>
      </w:r>
    </w:p>
    <w:p w14:paraId="038971FE">
      <w:pPr>
        <w:spacing w:line="360" w:lineRule="auto"/>
        <w:rPr>
          <w:rFonts w:hint="eastAsia" w:ascii="宋体" w:hAnsi="宋体" w:cs="宋体"/>
          <w:b/>
          <w:bCs/>
          <w:color w:val="auto"/>
          <w:highlight w:val="none"/>
        </w:rPr>
      </w:pPr>
      <w:r>
        <w:rPr>
          <w:rFonts w:hint="eastAsia" w:ascii="宋体" w:hAnsi="宋体" w:cs="宋体"/>
          <w:b/>
          <w:bCs/>
          <w:color w:val="auto"/>
          <w:highlight w:val="none"/>
        </w:rPr>
        <w:t>1</w:t>
      </w:r>
      <w:r>
        <w:rPr>
          <w:rFonts w:hint="eastAsia" w:ascii="宋体" w:hAnsi="宋体" w:cs="宋体"/>
          <w:b/>
          <w:bCs/>
          <w:color w:val="auto"/>
          <w:highlight w:val="none"/>
          <w:lang w:val="en-US" w:eastAsia="zh-CN"/>
        </w:rPr>
        <w:t>8</w:t>
      </w:r>
      <w:r>
        <w:rPr>
          <w:rFonts w:hint="eastAsia" w:ascii="宋体" w:hAnsi="宋体" w:cs="宋体"/>
          <w:b/>
          <w:bCs/>
          <w:color w:val="auto"/>
          <w:highlight w:val="none"/>
        </w:rPr>
        <w:t>、投标保证金</w:t>
      </w:r>
    </w:p>
    <w:p w14:paraId="3582843A">
      <w:pPr>
        <w:spacing w:line="360" w:lineRule="auto"/>
        <w:ind w:left="540" w:hanging="539" w:hangingChars="257"/>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8</w:t>
      </w:r>
      <w:r>
        <w:rPr>
          <w:rFonts w:hint="eastAsia" w:ascii="宋体" w:hAnsi="宋体" w:cs="宋体"/>
          <w:color w:val="auto"/>
          <w:highlight w:val="none"/>
        </w:rPr>
        <w:t>.1招标代理机构受招标人委托代理招标人收取本项目投标保证金。所有投标人必须就所投项目按规定提交投标保证金。投标保证金金额详见投标人须知前附表规定。投标保证金应在投标截止时间前到达广东省机电设备招标有限公司帐户上。</w:t>
      </w:r>
    </w:p>
    <w:p w14:paraId="482431DD">
      <w:pPr>
        <w:spacing w:line="360" w:lineRule="auto"/>
        <w:ind w:left="718" w:hanging="718" w:hangingChars="342"/>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8</w:t>
      </w:r>
      <w:r>
        <w:rPr>
          <w:rFonts w:hint="eastAsia" w:ascii="宋体" w:hAnsi="宋体" w:cs="宋体"/>
          <w:color w:val="auto"/>
          <w:highlight w:val="none"/>
        </w:rPr>
        <w:t>.2投标保证金是为了保护</w:t>
      </w:r>
      <w:r>
        <w:rPr>
          <w:rFonts w:hint="eastAsia" w:ascii="宋体" w:hAnsi="宋体" w:cs="宋体"/>
          <w:color w:val="auto"/>
          <w:highlight w:val="none"/>
          <w:lang w:eastAsia="zh-CN"/>
        </w:rPr>
        <w:t>招标人</w:t>
      </w:r>
      <w:r>
        <w:rPr>
          <w:rFonts w:hint="eastAsia" w:ascii="宋体" w:hAnsi="宋体" w:cs="宋体"/>
          <w:color w:val="auto"/>
          <w:highlight w:val="none"/>
        </w:rPr>
        <w:t>免遭因投标人的行为而蒙受损失，</w:t>
      </w:r>
      <w:r>
        <w:rPr>
          <w:rFonts w:hint="eastAsia" w:ascii="宋体" w:hAnsi="宋体" w:cs="宋体"/>
          <w:color w:val="auto"/>
          <w:highlight w:val="none"/>
          <w:lang w:eastAsia="zh-CN"/>
        </w:rPr>
        <w:t>招标人</w:t>
      </w:r>
      <w:r>
        <w:rPr>
          <w:rFonts w:hint="eastAsia" w:ascii="宋体" w:hAnsi="宋体" w:cs="宋体"/>
          <w:color w:val="auto"/>
          <w:highlight w:val="none"/>
        </w:rPr>
        <w:t>在因投标人的行为受到损害时可以依法没收投标人的投标保证金。</w:t>
      </w:r>
    </w:p>
    <w:p w14:paraId="100D789D">
      <w:pPr>
        <w:spacing w:line="360" w:lineRule="auto"/>
        <w:ind w:left="525" w:hanging="525" w:hangingChars="250"/>
        <w:rPr>
          <w:rFonts w:hint="eastAsia" w:ascii="宋体" w:hAnsi="宋体" w:cs="宋体"/>
          <w:color w:val="auto"/>
          <w:highlight w:val="none"/>
        </w:rPr>
      </w:pPr>
      <w:r>
        <w:rPr>
          <w:rFonts w:hint="eastAsia" w:ascii="宋体" w:hAnsi="宋体" w:cs="宋体"/>
          <w:bCs/>
          <w:color w:val="auto"/>
          <w:highlight w:val="none"/>
        </w:rPr>
        <w:t>1</w:t>
      </w:r>
      <w:r>
        <w:rPr>
          <w:rFonts w:hint="eastAsia" w:ascii="宋体" w:hAnsi="宋体" w:cs="宋体"/>
          <w:bCs/>
          <w:color w:val="auto"/>
          <w:highlight w:val="none"/>
          <w:lang w:val="en-US" w:eastAsia="zh-CN"/>
        </w:rPr>
        <w:t>8</w:t>
      </w:r>
      <w:r>
        <w:rPr>
          <w:rFonts w:hint="eastAsia" w:ascii="宋体" w:hAnsi="宋体" w:cs="宋体"/>
          <w:bCs/>
          <w:color w:val="auto"/>
          <w:highlight w:val="none"/>
        </w:rPr>
        <w:t>.3投</w:t>
      </w:r>
      <w:r>
        <w:rPr>
          <w:rFonts w:hint="eastAsia" w:ascii="宋体" w:hAnsi="宋体" w:cs="宋体"/>
          <w:color w:val="auto"/>
          <w:highlight w:val="none"/>
        </w:rPr>
        <w:t>标保证金投标保证金缴纳方式：子账号方式缴纳。投标人网上登记成功后，应登录广东省机电设备招标有限公司广咨电子招投标交易平台网站（http://www.gzebid.cn）并选择对应项目获取缴纳投标保证金的子账号（每位</w:t>
      </w:r>
      <w:r>
        <w:rPr>
          <w:rFonts w:hint="eastAsia" w:ascii="宋体" w:hAnsi="宋体" w:cs="宋体"/>
          <w:bCs/>
          <w:color w:val="auto"/>
          <w:highlight w:val="none"/>
        </w:rPr>
        <w:t>投标人</w:t>
      </w:r>
      <w:r>
        <w:rPr>
          <w:rFonts w:hint="eastAsia" w:ascii="宋体" w:hAnsi="宋体" w:cs="宋体"/>
          <w:color w:val="auto"/>
          <w:highlight w:val="none"/>
        </w:rPr>
        <w:t>每个项目的保证金缴纳账户是唯一的，该账号是针对每位</w:t>
      </w:r>
      <w:r>
        <w:rPr>
          <w:rFonts w:hint="eastAsia" w:ascii="宋体" w:hAnsi="宋体" w:cs="宋体"/>
          <w:bCs/>
          <w:color w:val="auto"/>
          <w:highlight w:val="none"/>
        </w:rPr>
        <w:t>投标人</w:t>
      </w:r>
      <w:r>
        <w:rPr>
          <w:rFonts w:hint="eastAsia" w:ascii="宋体" w:hAnsi="宋体" w:cs="宋体"/>
          <w:color w:val="auto"/>
          <w:highlight w:val="none"/>
        </w:rPr>
        <w:t>随机生成的专属账号）。</w:t>
      </w:r>
    </w:p>
    <w:p w14:paraId="7F00C8DB">
      <w:pPr>
        <w:spacing w:line="360" w:lineRule="auto"/>
        <w:ind w:firstLine="617" w:firstLineChars="294"/>
        <w:rPr>
          <w:rFonts w:hint="eastAsia" w:ascii="宋体" w:hAnsi="宋体" w:cs="宋体"/>
          <w:color w:val="auto"/>
          <w:highlight w:val="none"/>
        </w:rPr>
      </w:pPr>
      <w:r>
        <w:rPr>
          <w:rFonts w:hint="eastAsia" w:ascii="宋体" w:hAnsi="宋体" w:cs="宋体"/>
          <w:color w:val="auto"/>
          <w:highlight w:val="none"/>
        </w:rPr>
        <w:t>①投标保证金应从投标人在本平台注册的基本户中支付，并以资金到达该子账号的时间为准，如从其他账户、或未缴纳到指定的子账号，视为无效投标保证金。</w:t>
      </w:r>
    </w:p>
    <w:p w14:paraId="12E3E01E">
      <w:pPr>
        <w:spacing w:line="360" w:lineRule="auto"/>
        <w:ind w:firstLine="617" w:firstLineChars="294"/>
        <w:rPr>
          <w:rFonts w:hint="eastAsia" w:ascii="宋体" w:hAnsi="宋体" w:cs="宋体"/>
          <w:color w:val="auto"/>
          <w:highlight w:val="none"/>
        </w:rPr>
      </w:pPr>
      <w:r>
        <w:rPr>
          <w:rFonts w:hint="eastAsia" w:ascii="宋体" w:hAnsi="宋体" w:cs="宋体"/>
          <w:color w:val="auto"/>
          <w:highlight w:val="none"/>
        </w:rPr>
        <w:t>②投标人严禁采用EFT系统(广东金融结算系统/广州银行)方式缴纳投标保证，如采用此方式导致招投标系统无法识别缴纳账号信息的，视为未按要求缴纳保证金，由此造成后果由投标</w:t>
      </w:r>
      <w:r>
        <w:rPr>
          <w:rFonts w:hint="eastAsia" w:ascii="宋体" w:hAnsi="宋体" w:cs="宋体"/>
          <w:color w:val="auto"/>
          <w:highlight w:val="none"/>
          <w:lang w:val="en-US" w:eastAsia="zh-CN"/>
        </w:rPr>
        <w:t>人</w:t>
      </w:r>
      <w:r>
        <w:rPr>
          <w:rFonts w:hint="eastAsia" w:ascii="宋体" w:hAnsi="宋体" w:cs="宋体"/>
          <w:color w:val="auto"/>
          <w:highlight w:val="none"/>
        </w:rPr>
        <w:t>自行承担责任。</w:t>
      </w:r>
    </w:p>
    <w:p w14:paraId="2D9F67AE">
      <w:pPr>
        <w:spacing w:line="360" w:lineRule="auto"/>
        <w:ind w:firstLine="617" w:firstLineChars="294"/>
        <w:rPr>
          <w:rFonts w:hint="eastAsia" w:ascii="宋体" w:hAnsi="宋体" w:cs="宋体"/>
          <w:b/>
          <w:bCs/>
          <w:color w:val="auto"/>
          <w:highlight w:val="none"/>
        </w:rPr>
      </w:pPr>
      <w:r>
        <w:rPr>
          <w:rFonts w:hint="eastAsia" w:ascii="宋体" w:hAnsi="宋体" w:cs="宋体"/>
          <w:color w:val="auto"/>
          <w:highlight w:val="none"/>
        </w:rPr>
        <w:t>③根据银行跨行转账时间惯例，一般需要2个工作日到帐，部分银行需要3至5个工作日到账。为确保投标保证金有效，请投标人预留足够的时间提前转账，以免影响投标。</w:t>
      </w:r>
    </w:p>
    <w:p w14:paraId="0AFA8D0F">
      <w:pPr>
        <w:spacing w:line="360" w:lineRule="auto"/>
        <w:ind w:left="359" w:hanging="359" w:hangingChars="171"/>
        <w:jc w:val="left"/>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8</w:t>
      </w:r>
      <w:r>
        <w:rPr>
          <w:rFonts w:hint="eastAsia" w:ascii="宋体" w:hAnsi="宋体" w:cs="宋体"/>
          <w:color w:val="auto"/>
          <w:highlight w:val="none"/>
        </w:rPr>
        <w:t>.4凡没有根据投标人须知的规定提交投标保证金的投标，将按投标人须知的规定视为非响应性投标予以拒绝。</w:t>
      </w:r>
    </w:p>
    <w:p w14:paraId="718AF094">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8</w:t>
      </w:r>
      <w:r>
        <w:rPr>
          <w:rFonts w:hint="eastAsia" w:ascii="宋体" w:hAnsi="宋体" w:cs="宋体"/>
          <w:color w:val="auto"/>
          <w:highlight w:val="none"/>
        </w:rPr>
        <w:t>.5未中标的投标人的保证金，将按投标人须知发出中标结果通知之日起5个工作日内由收款人原额退还</w:t>
      </w:r>
      <w:r>
        <w:rPr>
          <w:rFonts w:hint="eastAsia" w:ascii="宋体" w:hAnsi="宋体" w:cs="宋体"/>
          <w:b/>
          <w:bCs/>
          <w:color w:val="auto"/>
          <w:highlight w:val="none"/>
        </w:rPr>
        <w:t>（保证金不计利息）</w:t>
      </w:r>
      <w:r>
        <w:rPr>
          <w:rFonts w:hint="eastAsia" w:ascii="宋体" w:hAnsi="宋体" w:cs="宋体"/>
          <w:color w:val="auto"/>
          <w:highlight w:val="none"/>
        </w:rPr>
        <w:t>。为了便于投标保证金顺利退还，所有投标人务必详细填写好投标保证金退还说明并在开标时与标书一起递交。</w:t>
      </w:r>
    </w:p>
    <w:p w14:paraId="4F888A08">
      <w:pPr>
        <w:spacing w:line="360" w:lineRule="auto"/>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8</w:t>
      </w:r>
      <w:r>
        <w:rPr>
          <w:rFonts w:hint="eastAsia" w:ascii="宋体" w:hAnsi="宋体" w:cs="宋体"/>
          <w:color w:val="auto"/>
          <w:highlight w:val="none"/>
        </w:rPr>
        <w:t>.6</w:t>
      </w:r>
      <w:r>
        <w:rPr>
          <w:rFonts w:hint="eastAsia" w:ascii="宋体" w:hAnsi="宋体" w:cs="宋体"/>
          <w:color w:val="auto"/>
          <w:highlight w:val="none"/>
          <w:lang w:val="en-US" w:eastAsia="zh-CN"/>
        </w:rPr>
        <w:t>中标人</w:t>
      </w:r>
      <w:r>
        <w:rPr>
          <w:rFonts w:hint="eastAsia" w:ascii="宋体" w:hAnsi="宋体" w:cs="宋体"/>
          <w:color w:val="auto"/>
          <w:highlight w:val="none"/>
        </w:rPr>
        <w:t>的投标保证金的退还必须同时满足以下要求：</w:t>
      </w:r>
    </w:p>
    <w:p w14:paraId="029D7504">
      <w:pPr>
        <w:spacing w:line="360" w:lineRule="auto"/>
        <w:ind w:left="720"/>
        <w:rPr>
          <w:rFonts w:hint="eastAsia" w:ascii="宋体" w:hAnsi="宋体" w:cs="宋体"/>
          <w:color w:val="auto"/>
          <w:szCs w:val="22"/>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中标</w:t>
      </w:r>
      <w:r>
        <w:rPr>
          <w:rFonts w:hint="eastAsia" w:ascii="宋体" w:hAnsi="宋体" w:cs="宋体"/>
          <w:color w:val="auto"/>
          <w:szCs w:val="22"/>
          <w:highlight w:val="none"/>
          <w:lang w:eastAsia="zh-CN"/>
        </w:rPr>
        <w:t>人</w:t>
      </w:r>
      <w:r>
        <w:rPr>
          <w:rFonts w:hint="eastAsia" w:ascii="宋体" w:hAnsi="宋体" w:cs="宋体"/>
          <w:color w:val="auto"/>
          <w:szCs w:val="22"/>
          <w:highlight w:val="none"/>
        </w:rPr>
        <w:t>按投标人须知规定签订合同；</w:t>
      </w:r>
    </w:p>
    <w:p w14:paraId="1ECD110D">
      <w:pPr>
        <w:spacing w:line="360" w:lineRule="auto"/>
        <w:ind w:left="72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中标</w:t>
      </w:r>
      <w:r>
        <w:rPr>
          <w:rFonts w:hint="eastAsia" w:ascii="宋体" w:hAnsi="宋体" w:cs="宋体"/>
          <w:color w:val="auto"/>
          <w:szCs w:val="22"/>
          <w:highlight w:val="none"/>
          <w:lang w:eastAsia="zh-CN"/>
        </w:rPr>
        <w:t>人</w:t>
      </w:r>
      <w:r>
        <w:rPr>
          <w:rFonts w:hint="eastAsia" w:ascii="宋体" w:hAnsi="宋体" w:cs="宋体"/>
          <w:color w:val="auto"/>
          <w:szCs w:val="22"/>
          <w:highlight w:val="none"/>
        </w:rPr>
        <w:t>按投标人须知规定支付招标代理服务费。如果</w:t>
      </w:r>
      <w:r>
        <w:rPr>
          <w:rFonts w:hint="eastAsia" w:ascii="宋体" w:hAnsi="宋体" w:cs="宋体"/>
          <w:color w:val="auto"/>
          <w:highlight w:val="none"/>
          <w:lang w:val="en-US" w:eastAsia="zh-CN"/>
        </w:rPr>
        <w:t>中标</w:t>
      </w:r>
      <w:r>
        <w:rPr>
          <w:rFonts w:hint="eastAsia" w:ascii="宋体" w:hAnsi="宋体" w:cs="宋体"/>
          <w:color w:val="auto"/>
          <w:szCs w:val="22"/>
          <w:highlight w:val="none"/>
          <w:lang w:eastAsia="zh-CN"/>
        </w:rPr>
        <w:t>人</w:t>
      </w:r>
      <w:r>
        <w:rPr>
          <w:rFonts w:hint="eastAsia" w:ascii="宋体" w:hAnsi="宋体" w:cs="宋体"/>
          <w:color w:val="auto"/>
          <w:szCs w:val="22"/>
          <w:highlight w:val="none"/>
        </w:rPr>
        <w:t>拒绝支付规定的招标代理服务费，</w:t>
      </w:r>
      <w:r>
        <w:rPr>
          <w:rFonts w:hint="eastAsia" w:ascii="宋体" w:hAnsi="宋体" w:cs="宋体"/>
          <w:color w:val="auto"/>
          <w:szCs w:val="22"/>
          <w:highlight w:val="none"/>
          <w:lang w:eastAsia="zh-CN"/>
        </w:rPr>
        <w:t>招标人</w:t>
      </w:r>
      <w:r>
        <w:rPr>
          <w:rFonts w:hint="eastAsia" w:ascii="宋体" w:hAnsi="宋体" w:cs="宋体"/>
          <w:color w:val="auto"/>
          <w:szCs w:val="22"/>
          <w:highlight w:val="none"/>
        </w:rPr>
        <w:t>有</w:t>
      </w:r>
      <w:r>
        <w:rPr>
          <w:rFonts w:hint="eastAsia" w:ascii="宋体" w:hAnsi="宋体" w:cs="宋体"/>
          <w:color w:val="auto"/>
          <w:highlight w:val="none"/>
        </w:rPr>
        <w:t>权在投标人所交的投标保证金中扣除相应费用。</w:t>
      </w:r>
    </w:p>
    <w:p w14:paraId="2A6D7942">
      <w:pPr>
        <w:spacing w:line="360" w:lineRule="auto"/>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8</w:t>
      </w:r>
      <w:r>
        <w:rPr>
          <w:rFonts w:hint="eastAsia" w:ascii="宋体" w:hAnsi="宋体" w:cs="宋体"/>
          <w:color w:val="auto"/>
          <w:highlight w:val="none"/>
        </w:rPr>
        <w:t>.7下列任何一种情况发生时，投标保证金将被没收：</w:t>
      </w:r>
    </w:p>
    <w:p w14:paraId="64EAB75A">
      <w:pPr>
        <w:spacing w:line="360" w:lineRule="auto"/>
        <w:ind w:left="720"/>
        <w:rPr>
          <w:rFonts w:hint="eastAsia" w:ascii="宋体" w:hAnsi="宋体" w:cs="宋体"/>
          <w:color w:val="auto"/>
          <w:szCs w:val="22"/>
          <w:highlight w:val="none"/>
        </w:rPr>
      </w:pPr>
      <w:r>
        <w:rPr>
          <w:rFonts w:hint="eastAsia" w:ascii="宋体" w:hAnsi="宋体" w:cs="宋体"/>
          <w:color w:val="auto"/>
          <w:szCs w:val="22"/>
          <w:highlight w:val="none"/>
        </w:rPr>
        <w:t>（1）投标人在投标文件中规定的投标有效期内撤回其投标；</w:t>
      </w:r>
    </w:p>
    <w:p w14:paraId="3B5CF797">
      <w:pPr>
        <w:spacing w:line="360" w:lineRule="auto"/>
        <w:ind w:left="720"/>
        <w:rPr>
          <w:rFonts w:hint="eastAsia" w:ascii="宋体" w:hAnsi="宋体" w:cs="宋体"/>
          <w:color w:val="auto"/>
          <w:szCs w:val="22"/>
          <w:highlight w:val="none"/>
        </w:rPr>
      </w:pPr>
      <w:r>
        <w:rPr>
          <w:rFonts w:hint="eastAsia" w:ascii="宋体" w:hAnsi="宋体" w:cs="宋体"/>
          <w:color w:val="auto"/>
          <w:szCs w:val="22"/>
          <w:highlight w:val="none"/>
        </w:rPr>
        <w:t>（2）</w:t>
      </w:r>
      <w:r>
        <w:rPr>
          <w:rFonts w:hint="eastAsia" w:ascii="宋体" w:hAnsi="宋体" w:cs="宋体"/>
          <w:color w:val="auto"/>
          <w:szCs w:val="22"/>
          <w:highlight w:val="none"/>
          <w:lang w:eastAsia="zh-CN"/>
        </w:rPr>
        <w:t>投标人</w:t>
      </w:r>
      <w:r>
        <w:rPr>
          <w:rFonts w:hint="eastAsia" w:ascii="宋体" w:hAnsi="宋体" w:cs="宋体"/>
          <w:color w:val="auto"/>
          <w:szCs w:val="22"/>
          <w:highlight w:val="none"/>
        </w:rPr>
        <w:t>在规定期限内未能根据投标人须知规定签订合同；或未能根据投标人须知规定接受对错误的修正；</w:t>
      </w:r>
    </w:p>
    <w:p w14:paraId="0AB6D05F">
      <w:pPr>
        <w:spacing w:line="360" w:lineRule="auto"/>
        <w:ind w:left="720"/>
        <w:rPr>
          <w:rFonts w:hint="eastAsia" w:ascii="宋体" w:hAnsi="宋体" w:cs="宋体"/>
          <w:color w:val="auto"/>
          <w:highlight w:val="none"/>
        </w:rPr>
      </w:pPr>
      <w:r>
        <w:rPr>
          <w:rFonts w:hint="eastAsia" w:ascii="宋体" w:hAnsi="宋体" w:cs="宋体"/>
          <w:color w:val="auto"/>
          <w:szCs w:val="22"/>
          <w:highlight w:val="none"/>
        </w:rPr>
        <w:t>（3）投标人在</w:t>
      </w:r>
      <w:r>
        <w:rPr>
          <w:rFonts w:hint="eastAsia" w:ascii="宋体" w:hAnsi="宋体" w:cs="宋体"/>
          <w:color w:val="auto"/>
          <w:highlight w:val="none"/>
        </w:rPr>
        <w:t>投标过程中提供虚假材料。</w:t>
      </w:r>
    </w:p>
    <w:p w14:paraId="047F0201">
      <w:pPr>
        <w:spacing w:line="360" w:lineRule="auto"/>
        <w:rPr>
          <w:rFonts w:hint="eastAsia" w:ascii="宋体" w:hAnsi="宋体" w:cs="宋体"/>
          <w:b/>
          <w:bCs/>
          <w:color w:val="auto"/>
          <w:highlight w:val="none"/>
        </w:rPr>
      </w:pPr>
      <w:r>
        <w:rPr>
          <w:rFonts w:hint="eastAsia" w:ascii="宋体" w:hAnsi="宋体" w:cs="宋体"/>
          <w:b/>
          <w:bCs/>
          <w:color w:val="auto"/>
          <w:highlight w:val="none"/>
          <w:lang w:val="en-US" w:eastAsia="zh-CN"/>
        </w:rPr>
        <w:t>19</w:t>
      </w:r>
      <w:r>
        <w:rPr>
          <w:rFonts w:hint="eastAsia" w:ascii="宋体" w:hAnsi="宋体" w:cs="宋体"/>
          <w:b/>
          <w:bCs/>
          <w:color w:val="auto"/>
          <w:highlight w:val="none"/>
        </w:rPr>
        <w:t>、投标有效期</w:t>
      </w:r>
    </w:p>
    <w:p w14:paraId="49F45FC0">
      <w:pPr>
        <w:spacing w:line="360" w:lineRule="auto"/>
        <w:ind w:left="630" w:hanging="630" w:hangingChars="300"/>
        <w:rPr>
          <w:rFonts w:hint="eastAsia" w:ascii="宋体" w:hAnsi="宋体" w:cs="宋体"/>
          <w:color w:val="auto"/>
          <w:highlight w:val="none"/>
        </w:rPr>
      </w:pPr>
      <w:r>
        <w:rPr>
          <w:rFonts w:hint="eastAsia" w:ascii="宋体" w:hAnsi="宋体" w:cs="宋体"/>
          <w:color w:val="auto"/>
          <w:highlight w:val="none"/>
          <w:lang w:val="en-US" w:eastAsia="zh-CN"/>
        </w:rPr>
        <w:t>19</w:t>
      </w:r>
      <w:r>
        <w:rPr>
          <w:rFonts w:hint="eastAsia" w:ascii="宋体" w:hAnsi="宋体" w:cs="宋体"/>
          <w:color w:val="auto"/>
          <w:highlight w:val="none"/>
        </w:rPr>
        <w:t>.1投标文件应根据投标人须知的规定保持有效，比规定期限短的将视为非响应投标而予以拒绝。</w:t>
      </w:r>
    </w:p>
    <w:p w14:paraId="104CE161">
      <w:pPr>
        <w:spacing w:line="360" w:lineRule="auto"/>
        <w:ind w:left="424" w:hanging="424" w:hangingChars="202"/>
        <w:rPr>
          <w:rFonts w:hint="eastAsia" w:ascii="宋体" w:hAnsi="宋体" w:cs="宋体"/>
          <w:color w:val="auto"/>
          <w:highlight w:val="none"/>
        </w:rPr>
      </w:pPr>
      <w:r>
        <w:rPr>
          <w:rFonts w:hint="eastAsia" w:ascii="宋体" w:hAnsi="宋体" w:cs="宋体"/>
          <w:color w:val="auto"/>
          <w:highlight w:val="none"/>
          <w:lang w:val="en-US" w:eastAsia="zh-CN"/>
        </w:rPr>
        <w:t>19</w:t>
      </w:r>
      <w:r>
        <w:rPr>
          <w:rFonts w:hint="eastAsia" w:ascii="宋体" w:hAnsi="宋体" w:cs="宋体"/>
          <w:color w:val="auto"/>
          <w:highlight w:val="none"/>
        </w:rPr>
        <w:t>.2特殊情况下在原有投标有效期截止之前，</w:t>
      </w:r>
      <w:r>
        <w:rPr>
          <w:rFonts w:hint="eastAsia" w:ascii="宋体" w:hAnsi="宋体" w:cs="宋体"/>
          <w:color w:val="auto"/>
          <w:highlight w:val="none"/>
          <w:lang w:eastAsia="zh-CN"/>
        </w:rPr>
        <w:t>招标人</w:t>
      </w:r>
      <w:r>
        <w:rPr>
          <w:rFonts w:hint="eastAsia" w:ascii="宋体" w:hAnsi="宋体" w:cs="宋体"/>
          <w:color w:val="auto"/>
          <w:highlight w:val="none"/>
        </w:rPr>
        <w:t>可征求投标人同意延长投标有效期。这种要求与答复均为书面形式提交。投标人可以拒绝</w:t>
      </w:r>
      <w:r>
        <w:rPr>
          <w:rFonts w:hint="eastAsia" w:ascii="宋体" w:hAnsi="宋体" w:cs="宋体"/>
          <w:color w:val="auto"/>
          <w:highlight w:val="none"/>
          <w:lang w:eastAsia="zh-CN"/>
        </w:rPr>
        <w:t>招标人</w:t>
      </w:r>
      <w:r>
        <w:rPr>
          <w:rFonts w:hint="eastAsia" w:ascii="宋体" w:hAnsi="宋体" w:cs="宋体"/>
          <w:color w:val="auto"/>
          <w:highlight w:val="none"/>
        </w:rPr>
        <w:t>的这种要求，其投标保证金将不会被没收。接受投标的有效期延长的投标人将不会被要求和允许修正其投标文件，而只会要求其相应地延长其投标保证金的有效期。在这种情况下，本须知有关投标保证金的退还和没收的规定将在延长了的有效期内继续有效。</w:t>
      </w:r>
    </w:p>
    <w:p w14:paraId="1D5C5532">
      <w:pPr>
        <w:spacing w:line="360" w:lineRule="auto"/>
        <w:rPr>
          <w:rFonts w:hint="eastAsia" w:ascii="宋体" w:hAnsi="宋体" w:cs="宋体"/>
          <w:b/>
          <w:bCs/>
          <w:color w:val="auto"/>
          <w:highlight w:val="none"/>
        </w:rPr>
      </w:pPr>
      <w:r>
        <w:rPr>
          <w:rFonts w:hint="eastAsia" w:ascii="宋体" w:hAnsi="宋体" w:cs="宋体"/>
          <w:b/>
          <w:bCs/>
          <w:color w:val="auto"/>
          <w:highlight w:val="none"/>
        </w:rPr>
        <w:t>2</w:t>
      </w:r>
      <w:r>
        <w:rPr>
          <w:rFonts w:hint="eastAsia" w:ascii="宋体" w:hAnsi="宋体" w:cs="宋体"/>
          <w:b/>
          <w:bCs/>
          <w:color w:val="auto"/>
          <w:highlight w:val="none"/>
          <w:lang w:val="en-US" w:eastAsia="zh-CN"/>
        </w:rPr>
        <w:t>0</w:t>
      </w:r>
      <w:r>
        <w:rPr>
          <w:rFonts w:hint="eastAsia" w:ascii="宋体" w:hAnsi="宋体" w:cs="宋体"/>
          <w:b/>
          <w:bCs/>
          <w:color w:val="auto"/>
          <w:highlight w:val="none"/>
        </w:rPr>
        <w:t>、投标文件的样式和签署</w:t>
      </w:r>
    </w:p>
    <w:p w14:paraId="3F05494D">
      <w:pPr>
        <w:spacing w:line="360" w:lineRule="auto"/>
        <w:ind w:left="357" w:leftChars="8" w:hanging="340" w:hangingChars="162"/>
        <w:rPr>
          <w:rFonts w:hint="eastAsia" w:ascii="宋体" w:hAnsi="宋体" w:cs="宋体"/>
          <w:color w:val="auto"/>
          <w:highlight w:val="none"/>
        </w:rPr>
      </w:pPr>
      <w:bookmarkStart w:id="61" w:name="_Toc409173106"/>
      <w:bookmarkStart w:id="62" w:name="_Toc409173220"/>
      <w:r>
        <w:rPr>
          <w:rFonts w:hint="eastAsia" w:ascii="宋体" w:hAnsi="宋体" w:cs="宋体"/>
          <w:color w:val="auto"/>
          <w:highlight w:val="none"/>
        </w:rPr>
        <w:t>2</w:t>
      </w:r>
      <w:r>
        <w:rPr>
          <w:rFonts w:hint="eastAsia" w:ascii="宋体" w:hAnsi="宋体" w:cs="宋体"/>
          <w:color w:val="auto"/>
          <w:highlight w:val="none"/>
          <w:lang w:val="en-US" w:eastAsia="zh-CN"/>
        </w:rPr>
        <w:t>0</w:t>
      </w:r>
      <w:r>
        <w:rPr>
          <w:rFonts w:hint="eastAsia" w:ascii="宋体" w:hAnsi="宋体" w:cs="宋体"/>
          <w:color w:val="auto"/>
          <w:highlight w:val="none"/>
        </w:rPr>
        <w:t>.1投标文件应按第五章要求</w:t>
      </w:r>
      <w:bookmarkEnd w:id="61"/>
      <w:bookmarkEnd w:id="62"/>
      <w:r>
        <w:rPr>
          <w:rFonts w:hint="eastAsia" w:ascii="宋体" w:hAnsi="宋体" w:cs="宋体"/>
          <w:color w:val="auto"/>
          <w:highlight w:val="none"/>
        </w:rPr>
        <w:t>编制。</w:t>
      </w:r>
    </w:p>
    <w:p w14:paraId="1A03A328">
      <w:pPr>
        <w:spacing w:line="360" w:lineRule="auto"/>
        <w:ind w:left="462" w:leftChars="8" w:hanging="445" w:hangingChars="212"/>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0</w:t>
      </w:r>
      <w:r>
        <w:rPr>
          <w:rFonts w:hint="eastAsia" w:ascii="宋体" w:hAnsi="宋体" w:cs="宋体"/>
          <w:color w:val="auto"/>
          <w:highlight w:val="none"/>
        </w:rPr>
        <w:t>.2投标人应准备投标文件1份(正本)，4份(副本)， 1份（投标文件电子文档）。每份投标文件清楚标明“正本”或“副本”，如果“正本”与“副本”或“电子文档”不符，以“正本”为准。</w:t>
      </w:r>
    </w:p>
    <w:p w14:paraId="77A73D07">
      <w:pPr>
        <w:spacing w:line="360" w:lineRule="auto"/>
        <w:ind w:left="437" w:leftChars="208"/>
        <w:rPr>
          <w:rFonts w:hint="eastAsia" w:ascii="宋体" w:hAnsi="宋体" w:cs="宋体"/>
          <w:b/>
          <w:bCs/>
          <w:color w:val="auto"/>
          <w:highlight w:val="none"/>
        </w:rPr>
      </w:pPr>
      <w:r>
        <w:rPr>
          <w:rFonts w:hint="eastAsia" w:ascii="宋体" w:hAnsi="宋体" w:cs="宋体"/>
          <w:b/>
          <w:bCs/>
          <w:color w:val="auto"/>
          <w:highlight w:val="none"/>
        </w:rPr>
        <w:t>电子文件的内容</w:t>
      </w:r>
      <w:r>
        <w:rPr>
          <w:rFonts w:hint="eastAsia" w:ascii="宋体" w:hAnsi="宋体" w:cs="宋体"/>
          <w:b/>
          <w:bCs/>
          <w:color w:val="auto"/>
          <w:szCs w:val="21"/>
          <w:highlight w:val="none"/>
        </w:rPr>
        <w:t>为投标文件可</w:t>
      </w:r>
      <w:r>
        <w:rPr>
          <w:rFonts w:hint="eastAsia" w:ascii="宋体" w:hAnsi="宋体" w:cs="宋体"/>
          <w:b/>
          <w:bCs/>
          <w:color w:val="auto"/>
          <w:szCs w:val="21"/>
          <w:highlight w:val="none"/>
          <w:lang w:val="zh-CN"/>
        </w:rPr>
        <w:t>编辑电子版，</w:t>
      </w:r>
      <w:r>
        <w:rPr>
          <w:rFonts w:hint="eastAsia" w:ascii="宋体" w:hAnsi="宋体" w:cs="宋体"/>
          <w:b/>
          <w:bCs/>
          <w:color w:val="auto"/>
          <w:szCs w:val="21"/>
          <w:highlight w:val="none"/>
        </w:rPr>
        <w:t>详细报价表（用excel制作，保存为.xls格式）及正本盖章签字PDF扫描件</w:t>
      </w:r>
      <w:r>
        <w:rPr>
          <w:rFonts w:hint="eastAsia" w:ascii="宋体" w:hAnsi="宋体" w:cs="宋体"/>
          <w:b/>
          <w:bCs/>
          <w:color w:val="auto"/>
          <w:highlight w:val="none"/>
        </w:rPr>
        <w:t>保存至usb闪存盘介质。</w:t>
      </w:r>
    </w:p>
    <w:p w14:paraId="15CAF4BA">
      <w:pPr>
        <w:spacing w:line="360" w:lineRule="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0</w:t>
      </w:r>
      <w:r>
        <w:rPr>
          <w:rFonts w:hint="eastAsia" w:ascii="宋体" w:hAnsi="宋体" w:cs="宋体"/>
          <w:color w:val="auto"/>
          <w:highlight w:val="none"/>
        </w:rPr>
        <w:t>.3投标人文件“正本”是属于投标人自己制作的，均需用不褪色墨水书写或打印。</w:t>
      </w:r>
    </w:p>
    <w:p w14:paraId="37B7B79D">
      <w:pPr>
        <w:spacing w:line="360" w:lineRule="auto"/>
        <w:ind w:left="462" w:hanging="462" w:hangingChars="22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0</w:t>
      </w:r>
      <w:r>
        <w:rPr>
          <w:rFonts w:hint="eastAsia" w:ascii="宋体" w:hAnsi="宋体" w:cs="宋体"/>
          <w:color w:val="auto"/>
          <w:highlight w:val="none"/>
        </w:rPr>
        <w:t>.4投标文件的任何行间插字、涂改和增删，必须由投标文件的签字人用姓氏或首字母在旁边签字并加盖修改章或法人公章才有效。</w:t>
      </w:r>
    </w:p>
    <w:p w14:paraId="29D1E890">
      <w:pPr>
        <w:spacing w:line="360" w:lineRule="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0</w:t>
      </w:r>
      <w:r>
        <w:rPr>
          <w:rFonts w:hint="eastAsia" w:ascii="宋体" w:hAnsi="宋体" w:cs="宋体"/>
          <w:color w:val="auto"/>
          <w:highlight w:val="none"/>
        </w:rPr>
        <w:t>.5投标文件（副本），所有资料都有可以用投标文件的（正本）复印而成。</w:t>
      </w:r>
    </w:p>
    <w:p w14:paraId="3B3D4F0C">
      <w:pPr>
        <w:spacing w:line="360" w:lineRule="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0</w:t>
      </w:r>
      <w:r>
        <w:rPr>
          <w:rFonts w:hint="eastAsia" w:ascii="宋体" w:hAnsi="宋体" w:cs="宋体"/>
          <w:color w:val="auto"/>
          <w:highlight w:val="none"/>
        </w:rPr>
        <w:t>.6投标文件的正本及所有副本的封面均须由投标人加盖公章。</w:t>
      </w:r>
    </w:p>
    <w:p w14:paraId="0CB123C2">
      <w:pPr>
        <w:spacing w:line="360" w:lineRule="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0</w:t>
      </w:r>
      <w:r>
        <w:rPr>
          <w:rFonts w:hint="eastAsia" w:ascii="宋体" w:hAnsi="宋体" w:cs="宋体"/>
          <w:color w:val="auto"/>
          <w:highlight w:val="none"/>
        </w:rPr>
        <w:t>.7投标人须为其投标文件的正本及所有副本</w:t>
      </w:r>
      <w:r>
        <w:rPr>
          <w:rFonts w:hint="eastAsia" w:ascii="宋体" w:hAnsi="宋体" w:cs="宋体"/>
          <w:b/>
          <w:bCs/>
          <w:color w:val="auto"/>
          <w:highlight w:val="none"/>
          <w:u w:val="single"/>
        </w:rPr>
        <w:t>制作目录并标明页码</w:t>
      </w:r>
      <w:r>
        <w:rPr>
          <w:rFonts w:hint="eastAsia" w:ascii="宋体" w:hAnsi="宋体" w:cs="宋体"/>
          <w:color w:val="auto"/>
          <w:highlight w:val="none"/>
        </w:rPr>
        <w:t>。</w:t>
      </w:r>
    </w:p>
    <w:p w14:paraId="743F7E72">
      <w:pPr>
        <w:spacing w:line="360" w:lineRule="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0</w:t>
      </w:r>
      <w:r>
        <w:rPr>
          <w:rFonts w:hint="eastAsia" w:ascii="宋体" w:hAnsi="宋体" w:cs="宋体"/>
          <w:color w:val="auto"/>
          <w:highlight w:val="none"/>
        </w:rPr>
        <w:t>.8电报、电话、电传、传真的投标文件将被拒绝。</w:t>
      </w:r>
    </w:p>
    <w:p w14:paraId="165594E1">
      <w:pPr>
        <w:pStyle w:val="5"/>
        <w:numPr>
          <w:ilvl w:val="0"/>
          <w:numId w:val="0"/>
        </w:numPr>
        <w:jc w:val="center"/>
        <w:rPr>
          <w:rFonts w:hint="eastAsia" w:hAnsi="宋体" w:cs="宋体"/>
          <w:color w:val="auto"/>
          <w:highlight w:val="none"/>
        </w:rPr>
      </w:pPr>
      <w:bookmarkStart w:id="63" w:name="_Toc513818904"/>
      <w:bookmarkStart w:id="64" w:name="_Toc409173107"/>
      <w:bookmarkStart w:id="65" w:name="_Toc409173221"/>
      <w:r>
        <w:rPr>
          <w:rFonts w:hint="eastAsia" w:hAnsi="宋体" w:cs="宋体"/>
          <w:color w:val="auto"/>
          <w:highlight w:val="none"/>
        </w:rPr>
        <w:t>四、投标文件的递交</w:t>
      </w:r>
      <w:bookmarkEnd w:id="63"/>
      <w:bookmarkEnd w:id="64"/>
      <w:bookmarkEnd w:id="65"/>
    </w:p>
    <w:p w14:paraId="0CBAB9C7">
      <w:pPr>
        <w:spacing w:line="360" w:lineRule="auto"/>
        <w:rPr>
          <w:rFonts w:hint="eastAsia" w:ascii="宋体" w:hAnsi="宋体" w:cs="宋体"/>
          <w:b/>
          <w:bCs/>
          <w:color w:val="auto"/>
          <w:highlight w:val="none"/>
        </w:rPr>
      </w:pPr>
      <w:r>
        <w:rPr>
          <w:rFonts w:hint="eastAsia" w:ascii="宋体" w:hAnsi="宋体" w:cs="宋体"/>
          <w:b/>
          <w:bCs/>
          <w:color w:val="auto"/>
          <w:highlight w:val="none"/>
        </w:rPr>
        <w:t>2</w:t>
      </w:r>
      <w:r>
        <w:rPr>
          <w:rFonts w:hint="eastAsia" w:ascii="宋体" w:hAnsi="宋体" w:cs="宋体"/>
          <w:b/>
          <w:bCs/>
          <w:color w:val="auto"/>
          <w:highlight w:val="none"/>
          <w:lang w:val="en-US" w:eastAsia="zh-CN"/>
        </w:rPr>
        <w:t>1</w:t>
      </w:r>
      <w:r>
        <w:rPr>
          <w:rFonts w:hint="eastAsia" w:ascii="宋体" w:hAnsi="宋体" w:cs="宋体"/>
          <w:b/>
          <w:bCs/>
          <w:color w:val="auto"/>
          <w:highlight w:val="none"/>
        </w:rPr>
        <w:t>、投标文件的密封和标记</w:t>
      </w:r>
    </w:p>
    <w:p w14:paraId="3C3100BD">
      <w:pPr>
        <w:tabs>
          <w:tab w:val="left" w:pos="360"/>
          <w:tab w:val="left" w:pos="540"/>
          <w:tab w:val="left" w:pos="900"/>
          <w:tab w:val="left" w:pos="1680"/>
        </w:tabs>
        <w:spacing w:line="360" w:lineRule="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1</w:t>
      </w:r>
      <w:r>
        <w:rPr>
          <w:rFonts w:hint="eastAsia" w:ascii="宋体" w:hAnsi="宋体" w:cs="宋体"/>
          <w:color w:val="auto"/>
          <w:highlight w:val="none"/>
        </w:rPr>
        <w:t xml:space="preserve">.1  </w:t>
      </w:r>
      <w:r>
        <w:rPr>
          <w:rFonts w:hint="eastAsia" w:ascii="宋体" w:hAnsi="宋体" w:cs="宋体"/>
          <w:b/>
          <w:color w:val="auto"/>
          <w:highlight w:val="none"/>
          <w:u w:val="single"/>
        </w:rPr>
        <w:t>投标文件的包封要求；投标人最好按以下规定分别独立包封投标文件，独自分开的封包数共为3包:</w:t>
      </w:r>
    </w:p>
    <w:p w14:paraId="6CE1170F">
      <w:pPr>
        <w:tabs>
          <w:tab w:val="left" w:pos="360"/>
          <w:tab w:val="left" w:pos="540"/>
          <w:tab w:val="left" w:pos="900"/>
        </w:tabs>
        <w:spacing w:line="360" w:lineRule="auto"/>
        <w:ind w:left="420"/>
        <w:rPr>
          <w:rFonts w:hint="eastAsia" w:ascii="宋体" w:hAnsi="宋体" w:cs="宋体"/>
          <w:color w:val="auto"/>
          <w:highlight w:val="none"/>
        </w:rPr>
      </w:pPr>
      <w:r>
        <w:rPr>
          <w:rFonts w:hint="eastAsia" w:ascii="宋体" w:hAnsi="宋体" w:cs="宋体"/>
          <w:color w:val="auto"/>
          <w:highlight w:val="none"/>
        </w:rPr>
        <w:t>（1）投标文件正本包封为一包，并在外包装上清晰标明“正本”字样；</w:t>
      </w:r>
    </w:p>
    <w:p w14:paraId="21E8E4F3">
      <w:pPr>
        <w:tabs>
          <w:tab w:val="left" w:pos="360"/>
          <w:tab w:val="left" w:pos="540"/>
          <w:tab w:val="left" w:pos="900"/>
        </w:tabs>
        <w:spacing w:line="360" w:lineRule="auto"/>
        <w:ind w:left="420"/>
        <w:rPr>
          <w:rFonts w:hint="eastAsia" w:ascii="宋体" w:hAnsi="宋体" w:cs="宋体"/>
          <w:color w:val="auto"/>
          <w:highlight w:val="none"/>
        </w:rPr>
      </w:pPr>
      <w:r>
        <w:rPr>
          <w:rFonts w:hint="eastAsia" w:ascii="宋体" w:hAnsi="宋体" w:cs="宋体"/>
          <w:color w:val="auto"/>
          <w:highlight w:val="none"/>
        </w:rPr>
        <w:t>（2）投标文件所有的副本一起包封为一包，并在外包装上清晰标明“副本”字样；</w:t>
      </w:r>
    </w:p>
    <w:p w14:paraId="3D56B06F">
      <w:pPr>
        <w:tabs>
          <w:tab w:val="left" w:pos="360"/>
          <w:tab w:val="left" w:pos="540"/>
          <w:tab w:val="left" w:pos="900"/>
        </w:tabs>
        <w:spacing w:line="360" w:lineRule="auto"/>
        <w:ind w:left="420"/>
        <w:rPr>
          <w:rFonts w:hint="eastAsia" w:ascii="宋体" w:hAnsi="宋体" w:cs="宋体"/>
          <w:color w:val="auto"/>
          <w:highlight w:val="none"/>
        </w:rPr>
      </w:pPr>
      <w:r>
        <w:rPr>
          <w:rFonts w:hint="eastAsia" w:ascii="宋体" w:hAnsi="宋体" w:cs="宋体"/>
          <w:color w:val="auto"/>
          <w:highlight w:val="none"/>
        </w:rPr>
        <w:t>（3）投标文件的电子文件封为一包，并在外包装上清晰标明“电子文件”字样；</w:t>
      </w:r>
    </w:p>
    <w:p w14:paraId="204971E5">
      <w:pPr>
        <w:spacing w:line="360" w:lineRule="auto"/>
        <w:ind w:left="359" w:hanging="359" w:hangingChars="171"/>
        <w:rPr>
          <w:rFonts w:hint="eastAsia" w:ascii="宋体" w:hAnsi="宋体" w:cs="宋体"/>
          <w:color w:val="auto"/>
          <w:highlight w:val="none"/>
        </w:rPr>
      </w:pPr>
      <w:bookmarkStart w:id="66" w:name="_Toc409173222"/>
      <w:bookmarkStart w:id="67" w:name="_Toc409173108"/>
      <w:r>
        <w:rPr>
          <w:rFonts w:hint="eastAsia" w:ascii="宋体" w:hAnsi="宋体" w:cs="宋体"/>
          <w:color w:val="auto"/>
          <w:highlight w:val="none"/>
        </w:rPr>
        <w:t>2</w:t>
      </w:r>
      <w:r>
        <w:rPr>
          <w:rFonts w:hint="eastAsia" w:ascii="宋体" w:hAnsi="宋体" w:cs="宋体"/>
          <w:color w:val="auto"/>
          <w:highlight w:val="none"/>
          <w:lang w:val="en-US" w:eastAsia="zh-CN"/>
        </w:rPr>
        <w:t>1</w:t>
      </w:r>
      <w:r>
        <w:rPr>
          <w:rFonts w:hint="eastAsia" w:ascii="宋体" w:hAnsi="宋体" w:cs="宋体"/>
          <w:color w:val="auto"/>
          <w:highlight w:val="none"/>
        </w:rPr>
        <w:t>.2</w:t>
      </w:r>
      <w:bookmarkEnd w:id="66"/>
      <w:bookmarkEnd w:id="67"/>
      <w:r>
        <w:rPr>
          <w:rFonts w:hint="eastAsia" w:ascii="宋体" w:hAnsi="宋体" w:cs="宋体"/>
          <w:color w:val="auto"/>
          <w:highlight w:val="none"/>
        </w:rPr>
        <w:t>投标文件的密封要求：投标人应确保上述各包分别独立密闭封装，外包装材料不应留有可在包封后添加或抽取投标文件的空隙。</w:t>
      </w:r>
    </w:p>
    <w:p w14:paraId="0F2452C3">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1</w:t>
      </w:r>
      <w:r>
        <w:rPr>
          <w:rFonts w:hint="eastAsia" w:ascii="宋体" w:hAnsi="宋体" w:cs="宋体"/>
          <w:color w:val="auto"/>
          <w:highlight w:val="none"/>
        </w:rPr>
        <w:t>.3信封或外包装封套上应当注明项目名称、投标人名称。如果未按要求标记，招标人和招标代理机构对误投或提前启封概不负责。</w:t>
      </w:r>
    </w:p>
    <w:p w14:paraId="3D8FF498">
      <w:pPr>
        <w:spacing w:line="360" w:lineRule="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1</w:t>
      </w:r>
      <w:r>
        <w:rPr>
          <w:rFonts w:hint="eastAsia" w:ascii="宋体" w:hAnsi="宋体" w:cs="宋体"/>
          <w:color w:val="auto"/>
          <w:highlight w:val="none"/>
        </w:rPr>
        <w:t>.4招标代理机构对不可抗力事件造成的投标文件的损坏、丢失不承担任何责任。</w:t>
      </w:r>
    </w:p>
    <w:p w14:paraId="6371F5C1">
      <w:pPr>
        <w:spacing w:line="360" w:lineRule="auto"/>
        <w:rPr>
          <w:rFonts w:hint="eastAsia" w:ascii="宋体" w:hAnsi="宋体" w:cs="宋体"/>
          <w:b/>
          <w:bCs/>
          <w:color w:val="auto"/>
          <w:highlight w:val="none"/>
        </w:rPr>
      </w:pPr>
      <w:r>
        <w:rPr>
          <w:rFonts w:hint="eastAsia" w:ascii="宋体" w:hAnsi="宋体" w:cs="宋体"/>
          <w:b/>
          <w:bCs/>
          <w:color w:val="auto"/>
          <w:highlight w:val="none"/>
        </w:rPr>
        <w:t>2</w:t>
      </w:r>
      <w:r>
        <w:rPr>
          <w:rFonts w:hint="eastAsia" w:ascii="宋体" w:hAnsi="宋体" w:cs="宋体"/>
          <w:b/>
          <w:bCs/>
          <w:color w:val="auto"/>
          <w:highlight w:val="none"/>
          <w:lang w:val="en-US" w:eastAsia="zh-CN"/>
        </w:rPr>
        <w:t>2</w:t>
      </w:r>
      <w:r>
        <w:rPr>
          <w:rFonts w:hint="eastAsia" w:ascii="宋体" w:hAnsi="宋体" w:cs="宋体"/>
          <w:b/>
          <w:bCs/>
          <w:color w:val="auto"/>
          <w:highlight w:val="none"/>
        </w:rPr>
        <w:t>、投标截止日期</w:t>
      </w:r>
    </w:p>
    <w:p w14:paraId="692BE6C9">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2</w:t>
      </w:r>
      <w:r>
        <w:rPr>
          <w:rFonts w:hint="eastAsia" w:ascii="宋体" w:hAnsi="宋体" w:cs="宋体"/>
          <w:color w:val="auto"/>
          <w:highlight w:val="none"/>
        </w:rPr>
        <w:t>.1所有投标文件应在投标截止时间前送达投标、开标地点，并交予招标代理机构工作人员，任何迟于这个时间的投标将被拒绝。</w:t>
      </w:r>
    </w:p>
    <w:p w14:paraId="3FBFF469">
      <w:pPr>
        <w:spacing w:line="360" w:lineRule="auto"/>
        <w:rPr>
          <w:rFonts w:hint="eastAsia" w:ascii="宋体" w:hAnsi="宋体" w:cs="宋体"/>
          <w:b/>
          <w:bCs/>
          <w:color w:val="auto"/>
          <w:highlight w:val="none"/>
        </w:rPr>
      </w:pPr>
      <w:r>
        <w:rPr>
          <w:rFonts w:hint="eastAsia" w:ascii="宋体" w:hAnsi="宋体" w:cs="宋体"/>
          <w:b/>
          <w:bCs/>
          <w:color w:val="auto"/>
          <w:highlight w:val="none"/>
        </w:rPr>
        <w:t>2</w:t>
      </w:r>
      <w:r>
        <w:rPr>
          <w:rFonts w:hint="eastAsia" w:ascii="宋体" w:hAnsi="宋体" w:cs="宋体"/>
          <w:b/>
          <w:bCs/>
          <w:color w:val="auto"/>
          <w:highlight w:val="none"/>
          <w:lang w:val="en-US" w:eastAsia="zh-CN"/>
        </w:rPr>
        <w:t>3</w:t>
      </w:r>
      <w:r>
        <w:rPr>
          <w:rFonts w:hint="eastAsia" w:ascii="宋体" w:hAnsi="宋体" w:cs="宋体"/>
          <w:b/>
          <w:bCs/>
          <w:color w:val="auto"/>
          <w:highlight w:val="none"/>
        </w:rPr>
        <w:t>、迟交的投标文件</w:t>
      </w:r>
    </w:p>
    <w:p w14:paraId="1E24F2C0">
      <w:pPr>
        <w:spacing w:line="360" w:lineRule="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3</w:t>
      </w:r>
      <w:r>
        <w:rPr>
          <w:rFonts w:hint="eastAsia" w:ascii="宋体" w:hAnsi="宋体" w:cs="宋体"/>
          <w:color w:val="auto"/>
          <w:highlight w:val="none"/>
        </w:rPr>
        <w:t>.1按照投标人须知规定，招标代理机构将拒绝并原封退回在规定的投标截止时间后收到的任何投标证明文件。</w:t>
      </w:r>
    </w:p>
    <w:p w14:paraId="00E8D4CF">
      <w:pPr>
        <w:spacing w:line="360" w:lineRule="auto"/>
        <w:rPr>
          <w:rFonts w:hint="eastAsia" w:ascii="宋体" w:hAnsi="宋体" w:cs="宋体"/>
          <w:b/>
          <w:bCs/>
          <w:color w:val="auto"/>
          <w:highlight w:val="none"/>
        </w:rPr>
      </w:pPr>
      <w:r>
        <w:rPr>
          <w:rFonts w:hint="eastAsia" w:ascii="宋体" w:hAnsi="宋体" w:cs="宋体"/>
          <w:b/>
          <w:bCs/>
          <w:color w:val="auto"/>
          <w:highlight w:val="none"/>
        </w:rPr>
        <w:t>2</w:t>
      </w:r>
      <w:r>
        <w:rPr>
          <w:rFonts w:hint="eastAsia" w:ascii="宋体" w:hAnsi="宋体" w:cs="宋体"/>
          <w:b/>
          <w:bCs/>
          <w:color w:val="auto"/>
          <w:highlight w:val="none"/>
          <w:lang w:val="en-US" w:eastAsia="zh-CN"/>
        </w:rPr>
        <w:t>4</w:t>
      </w:r>
      <w:r>
        <w:rPr>
          <w:rFonts w:hint="eastAsia" w:ascii="宋体" w:hAnsi="宋体" w:cs="宋体"/>
          <w:b/>
          <w:bCs/>
          <w:color w:val="auto"/>
          <w:highlight w:val="none"/>
        </w:rPr>
        <w:t>、投标文件的修改与撤回</w:t>
      </w:r>
    </w:p>
    <w:p w14:paraId="4CE5FB1C">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4</w:t>
      </w:r>
      <w:r>
        <w:rPr>
          <w:rFonts w:hint="eastAsia" w:ascii="宋体" w:hAnsi="宋体" w:cs="宋体"/>
          <w:color w:val="auto"/>
          <w:highlight w:val="none"/>
        </w:rPr>
        <w:t>.1投标人在递交投标文件后，在投标截止时间前投标人可以修改其投标，但必须以书面形式（密封同投标文件）送达招标人，并在信袋上注明“投标修改”和“开标前不得开封”字样。投标截止时间不得修改其投标。</w:t>
      </w:r>
    </w:p>
    <w:p w14:paraId="3B5C3B41">
      <w:pPr>
        <w:spacing w:line="360" w:lineRule="auto"/>
        <w:ind w:left="360" w:hanging="360"/>
        <w:rPr>
          <w:rFonts w:hint="eastAsia" w:ascii="宋体" w:hAnsi="宋体" w:cs="宋体"/>
          <w:b/>
          <w:bCs/>
          <w:color w:val="auto"/>
          <w:sz w:val="32"/>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4</w:t>
      </w:r>
      <w:r>
        <w:rPr>
          <w:rFonts w:hint="eastAsia" w:ascii="宋体" w:hAnsi="宋体" w:cs="宋体"/>
          <w:color w:val="auto"/>
          <w:highlight w:val="none"/>
        </w:rPr>
        <w:t>.2 投标人可以在投标截止时间前撤回其投标。</w:t>
      </w:r>
    </w:p>
    <w:p w14:paraId="6049EB97">
      <w:pPr>
        <w:pStyle w:val="5"/>
        <w:numPr>
          <w:ilvl w:val="0"/>
          <w:numId w:val="0"/>
        </w:numPr>
        <w:ind w:left="422"/>
        <w:jc w:val="center"/>
        <w:rPr>
          <w:rFonts w:hint="eastAsia" w:hAnsi="宋体" w:cs="宋体"/>
          <w:b w:val="0"/>
          <w:bCs/>
          <w:color w:val="auto"/>
          <w:sz w:val="32"/>
          <w:highlight w:val="none"/>
        </w:rPr>
      </w:pPr>
      <w:bookmarkStart w:id="68" w:name="_Toc409173223"/>
      <w:bookmarkStart w:id="69" w:name="_Toc513818905"/>
      <w:bookmarkStart w:id="70" w:name="_Toc409173109"/>
      <w:r>
        <w:rPr>
          <w:rFonts w:hint="eastAsia" w:hAnsi="宋体" w:cs="宋体"/>
          <w:color w:val="auto"/>
          <w:szCs w:val="30"/>
          <w:highlight w:val="none"/>
        </w:rPr>
        <w:t>五、开标与评标</w:t>
      </w:r>
      <w:bookmarkEnd w:id="68"/>
      <w:bookmarkEnd w:id="69"/>
      <w:bookmarkEnd w:id="70"/>
    </w:p>
    <w:p w14:paraId="279F6EFC">
      <w:pPr>
        <w:spacing w:line="360" w:lineRule="auto"/>
        <w:rPr>
          <w:rFonts w:hint="eastAsia" w:ascii="宋体" w:hAnsi="宋体" w:cs="宋体"/>
          <w:b/>
          <w:bCs/>
          <w:color w:val="auto"/>
          <w:highlight w:val="none"/>
        </w:rPr>
      </w:pPr>
      <w:r>
        <w:rPr>
          <w:rFonts w:hint="eastAsia" w:ascii="宋体" w:hAnsi="宋体" w:cs="宋体"/>
          <w:b/>
          <w:bCs/>
          <w:color w:val="auto"/>
          <w:highlight w:val="none"/>
        </w:rPr>
        <w:t>2</w:t>
      </w:r>
      <w:r>
        <w:rPr>
          <w:rFonts w:hint="eastAsia" w:ascii="宋体" w:hAnsi="宋体" w:cs="宋体"/>
          <w:b/>
          <w:bCs/>
          <w:color w:val="auto"/>
          <w:highlight w:val="none"/>
          <w:lang w:val="en-US" w:eastAsia="zh-CN"/>
        </w:rPr>
        <w:t>5</w:t>
      </w:r>
      <w:r>
        <w:rPr>
          <w:rFonts w:hint="eastAsia" w:ascii="宋体" w:hAnsi="宋体" w:cs="宋体"/>
          <w:b/>
          <w:bCs/>
          <w:color w:val="auto"/>
          <w:highlight w:val="none"/>
        </w:rPr>
        <w:t>、开标</w:t>
      </w:r>
    </w:p>
    <w:p w14:paraId="60EA1AEB">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1本次招标采用一次开标形式，开标时，由招标人和投标人代表共同检查投标文件的密封情况。经确认无误后，由招标代理机构工作人员当众拆封开启投标文件并宣读投标报价函正本与副本内容不一致时以投标文件正本内容为准。投标人的投标文件中的相关价格变更或者其他说明，都应在招标文件要求的投标报价表总表中明确，否则，评标时不予认可。</w:t>
      </w:r>
    </w:p>
    <w:p w14:paraId="02026473">
      <w:pPr>
        <w:spacing w:line="360" w:lineRule="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.2开标时间采用北京时间计时（以国家授时中心标准时间为准）。</w:t>
      </w:r>
    </w:p>
    <w:p w14:paraId="22F98261">
      <w:pPr>
        <w:spacing w:line="360" w:lineRule="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.3开标地点：详见投标人须知前附表规定。</w:t>
      </w:r>
    </w:p>
    <w:p w14:paraId="44EB5611">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4开标由招标代理机构主持，投标人代表应准时参加开标会议。投标人代表未出席开标会，不影响开标，且不得对开标程序、结果等提出任何异议。未递交投标文件的投标人广东省机电设备招标有限公司有权拒绝其参加开标会。</w:t>
      </w:r>
    </w:p>
    <w:p w14:paraId="0FB5776D">
      <w:pPr>
        <w:spacing w:line="360" w:lineRule="auto"/>
        <w:ind w:left="359" w:hanging="359" w:hangingChars="171"/>
        <w:jc w:val="left"/>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.5 开标时，招标代理机构当众宣读投标人名称、修改和撤回投标的通知（如果有）、投标报价及其他必要的内容，除照规定原封退回迟到的投标之外，开标将不得拒绝在投标截止时间前收到的投标文件，开标会过程中不接受已提交投标文件的投标人撤回投标文件。发现投标人不足三家的公开招标项目，做废标处理。</w:t>
      </w:r>
    </w:p>
    <w:p w14:paraId="29E61176">
      <w:pPr>
        <w:spacing w:line="360" w:lineRule="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.6迟到或撤回的投标文件将被原封退回给投标人。</w:t>
      </w:r>
    </w:p>
    <w:p w14:paraId="4FD95FFA">
      <w:pPr>
        <w:spacing w:line="360" w:lineRule="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5</w:t>
      </w:r>
      <w:r>
        <w:rPr>
          <w:rFonts w:hint="eastAsia" w:ascii="宋体" w:hAnsi="宋体" w:cs="宋体"/>
          <w:color w:val="auto"/>
          <w:highlight w:val="none"/>
        </w:rPr>
        <w:t>.7招标代理机构将做开标记录，开标记录包括在开标时宣读的全部内容，并由投标人签字确认，存档备查。</w:t>
      </w:r>
    </w:p>
    <w:p w14:paraId="41359C72">
      <w:pPr>
        <w:spacing w:line="360" w:lineRule="auto"/>
        <w:rPr>
          <w:rFonts w:hint="eastAsia" w:ascii="宋体" w:hAnsi="宋体" w:cs="宋体"/>
          <w:b/>
          <w:bCs/>
          <w:color w:val="auto"/>
          <w:highlight w:val="none"/>
        </w:rPr>
      </w:pPr>
      <w:r>
        <w:rPr>
          <w:rFonts w:hint="eastAsia" w:ascii="宋体" w:hAnsi="宋体" w:cs="宋体"/>
          <w:b/>
          <w:bCs/>
          <w:color w:val="auto"/>
          <w:highlight w:val="none"/>
        </w:rPr>
        <w:t>2</w:t>
      </w:r>
      <w:r>
        <w:rPr>
          <w:rFonts w:hint="eastAsia" w:ascii="宋体" w:hAnsi="宋体" w:cs="宋体"/>
          <w:b/>
          <w:bCs/>
          <w:color w:val="auto"/>
          <w:highlight w:val="none"/>
          <w:lang w:val="en-US" w:eastAsia="zh-CN"/>
        </w:rPr>
        <w:t>6</w:t>
      </w:r>
      <w:r>
        <w:rPr>
          <w:rFonts w:hint="eastAsia" w:ascii="宋体" w:hAnsi="宋体" w:cs="宋体"/>
          <w:b/>
          <w:bCs/>
          <w:color w:val="auto"/>
          <w:highlight w:val="none"/>
        </w:rPr>
        <w:t>、评标委员会</w:t>
      </w:r>
    </w:p>
    <w:p w14:paraId="468A0AF8">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.1本次招标，招标人参照相关法律法规组成评标委员会。</w:t>
      </w:r>
    </w:p>
    <w:p w14:paraId="2AE24344">
      <w:pPr>
        <w:spacing w:line="360" w:lineRule="auto"/>
        <w:ind w:left="420" w:hanging="420" w:hanging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.2 评标委员会</w:t>
      </w:r>
    </w:p>
    <w:p w14:paraId="0AC9806A">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6</w:t>
      </w:r>
      <w:r>
        <w:rPr>
          <w:rFonts w:hint="eastAsia" w:ascii="宋体" w:hAnsi="宋体" w:cs="宋体"/>
          <w:color w:val="auto"/>
          <w:highlight w:val="none"/>
        </w:rPr>
        <w:t>.3评标委员会只对确定为实质上响应招标文件要求的投标，即通过符合性</w:t>
      </w:r>
      <w:r>
        <w:rPr>
          <w:rFonts w:hint="eastAsia" w:ascii="宋体" w:hAnsi="宋体" w:cs="宋体"/>
          <w:color w:val="auto"/>
          <w:highlight w:val="none"/>
          <w:lang w:val="en-US" w:eastAsia="zh-CN"/>
        </w:rPr>
        <w:t>审</w:t>
      </w:r>
      <w:r>
        <w:rPr>
          <w:rFonts w:hint="eastAsia" w:ascii="宋体" w:hAnsi="宋体" w:cs="宋体"/>
          <w:color w:val="auto"/>
          <w:highlight w:val="none"/>
        </w:rPr>
        <w:t>查的投标进行评价和比较，响应的依据是招标文件本身的内容，而不寻求其它证据。实质上响应的投标应该是与招标文件要求的全部主要条款、条件和规格相符，没有重大偏离的投标、关键条文的偏离、保留或反对。</w:t>
      </w:r>
    </w:p>
    <w:p w14:paraId="335B96AA">
      <w:pPr>
        <w:spacing w:line="360" w:lineRule="auto"/>
        <w:rPr>
          <w:rFonts w:hint="eastAsia" w:ascii="宋体" w:hAnsi="宋体" w:cs="宋体"/>
          <w:b/>
          <w:bCs/>
          <w:color w:val="auto"/>
          <w:highlight w:val="none"/>
        </w:rPr>
      </w:pPr>
      <w:r>
        <w:rPr>
          <w:rFonts w:hint="eastAsia" w:ascii="宋体" w:hAnsi="宋体" w:cs="宋体"/>
          <w:b/>
          <w:bCs/>
          <w:color w:val="auto"/>
          <w:highlight w:val="none"/>
        </w:rPr>
        <w:t>2</w:t>
      </w:r>
      <w:r>
        <w:rPr>
          <w:rFonts w:hint="eastAsia" w:ascii="宋体" w:hAnsi="宋体" w:cs="宋体"/>
          <w:b/>
          <w:bCs/>
          <w:color w:val="auto"/>
          <w:highlight w:val="none"/>
          <w:lang w:val="en-US" w:eastAsia="zh-CN"/>
        </w:rPr>
        <w:t>7</w:t>
      </w:r>
      <w:r>
        <w:rPr>
          <w:rFonts w:hint="eastAsia" w:ascii="宋体" w:hAnsi="宋体" w:cs="宋体"/>
          <w:b/>
          <w:bCs/>
          <w:color w:val="auto"/>
          <w:highlight w:val="none"/>
        </w:rPr>
        <w:t>、评标原则和评标方法</w:t>
      </w:r>
    </w:p>
    <w:p w14:paraId="5521948A">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.1评标遵循公平、公正、科学、择优的原则。评标委员会将按照规定只对通过初步评审的招标文件进行详细评审。</w:t>
      </w:r>
    </w:p>
    <w:p w14:paraId="264112E8">
      <w:pPr>
        <w:spacing w:line="360" w:lineRule="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.2评标方法：本次招标的评标方法采用综合评分法。</w:t>
      </w:r>
    </w:p>
    <w:p w14:paraId="583CD674">
      <w:pPr>
        <w:spacing w:line="360" w:lineRule="auto"/>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7</w:t>
      </w:r>
      <w:r>
        <w:rPr>
          <w:rFonts w:hint="eastAsia" w:ascii="宋体" w:hAnsi="宋体" w:cs="宋体"/>
          <w:color w:val="auto"/>
          <w:highlight w:val="none"/>
        </w:rPr>
        <w:t>.3评标规则与步骤：详见第六章；</w:t>
      </w:r>
    </w:p>
    <w:p w14:paraId="00A0DBDC">
      <w:pPr>
        <w:spacing w:line="360" w:lineRule="auto"/>
        <w:rPr>
          <w:rFonts w:hint="eastAsia" w:ascii="宋体" w:hAnsi="宋体" w:cs="宋体"/>
          <w:b/>
          <w:bCs/>
          <w:color w:val="auto"/>
          <w:highlight w:val="none"/>
        </w:rPr>
      </w:pPr>
      <w:r>
        <w:rPr>
          <w:rFonts w:hint="eastAsia" w:ascii="宋体" w:hAnsi="宋体" w:cs="宋体"/>
          <w:b/>
          <w:bCs/>
          <w:color w:val="auto"/>
          <w:highlight w:val="none"/>
          <w:lang w:val="en-US" w:eastAsia="zh-CN"/>
        </w:rPr>
        <w:t>28</w:t>
      </w:r>
      <w:r>
        <w:rPr>
          <w:rFonts w:hint="eastAsia" w:ascii="宋体" w:hAnsi="宋体" w:cs="宋体"/>
          <w:b/>
          <w:bCs/>
          <w:color w:val="auto"/>
          <w:highlight w:val="none"/>
        </w:rPr>
        <w:t>、投标文件的修正和澄清</w:t>
      </w:r>
    </w:p>
    <w:p w14:paraId="06E68418">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lang w:val="en-US" w:eastAsia="zh-CN"/>
        </w:rPr>
        <w:t>28</w:t>
      </w:r>
      <w:r>
        <w:rPr>
          <w:rFonts w:hint="eastAsia" w:ascii="宋体" w:hAnsi="宋体" w:cs="宋体"/>
          <w:color w:val="auto"/>
          <w:highlight w:val="none"/>
        </w:rPr>
        <w:t>.1为有助于投标文件的审核、评价和比较，评标委员会可分别要求投标人对其投标文件进行澄清，有关澄清的要求和答复先以口头形式答辩，然后在要求的时间内以书面形式提交，但不得寻求、提供或允许对投标价格或实质性内容做任何更改。</w:t>
      </w:r>
    </w:p>
    <w:p w14:paraId="0B398A69">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lang w:val="en-US" w:eastAsia="zh-CN"/>
        </w:rPr>
        <w:t>28</w:t>
      </w:r>
      <w:r>
        <w:rPr>
          <w:rFonts w:hint="eastAsia" w:ascii="宋体" w:hAnsi="宋体" w:cs="宋体"/>
          <w:color w:val="auto"/>
          <w:highlight w:val="none"/>
        </w:rPr>
        <w:t>.2投标人不得通过修正和撤销不合要求的偏离或保留从而使其没有实质上响应招标文件要求的投标成为实质上响应的投标。</w:t>
      </w:r>
    </w:p>
    <w:p w14:paraId="0E86E30A">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lang w:val="en-US" w:eastAsia="zh-CN"/>
        </w:rPr>
        <w:t>28</w:t>
      </w:r>
      <w:r>
        <w:rPr>
          <w:rFonts w:hint="eastAsia" w:ascii="宋体" w:hAnsi="宋体" w:cs="宋体"/>
          <w:color w:val="auto"/>
          <w:highlight w:val="none"/>
        </w:rPr>
        <w:t>.3所谓实质上响应投标应是与招标文件要求的全部条款、条件和规格相符，没有重大偏离或保留。所谓重大偏离和保留是指实质上与招标文件不一致，而且限制了合同中</w:t>
      </w:r>
      <w:r>
        <w:rPr>
          <w:rFonts w:hint="eastAsia" w:ascii="宋体" w:hAnsi="宋体" w:cs="宋体"/>
          <w:color w:val="auto"/>
          <w:highlight w:val="none"/>
          <w:lang w:eastAsia="zh-CN"/>
        </w:rPr>
        <w:t>招标人</w:t>
      </w:r>
      <w:r>
        <w:rPr>
          <w:rFonts w:hint="eastAsia" w:ascii="宋体" w:hAnsi="宋体" w:cs="宋体"/>
          <w:color w:val="auto"/>
          <w:highlight w:val="none"/>
        </w:rPr>
        <w:t>的权力或投标人的业务。纠正这些偏离或保留将会对其他实质上的响应要求的投标人的竞争地位产生不公正的影响，评标委员会决定投标文件的响应性只根据投标文件本身内容，而不寻求外部的证据。对于在技术响应/差异表中的描述与投标文件其他地方的描述有差异的，以该表为准。评标委员会若注意到该差异，可要求投标人澄清（除不允许偏离的★条款外）或视为完全响应；若未注意到，则视为完全响应。</w:t>
      </w:r>
      <w:r>
        <w:rPr>
          <w:rFonts w:hint="eastAsia" w:ascii="宋体" w:hAnsi="宋体" w:cs="宋体"/>
          <w:color w:val="auto"/>
          <w:highlight w:val="none"/>
          <w:lang w:val="en-US" w:eastAsia="zh-CN"/>
        </w:rPr>
        <w:t>投标人</w:t>
      </w:r>
      <w:r>
        <w:rPr>
          <w:rFonts w:hint="eastAsia" w:ascii="宋体" w:hAnsi="宋体" w:cs="宋体"/>
          <w:color w:val="auto"/>
          <w:highlight w:val="none"/>
        </w:rPr>
        <w:t>必须按照技术响应表中对用户需求书的实际响应情况提供服务，否则按提供虚假材料处理，已中标的可取消中标资格。</w:t>
      </w:r>
    </w:p>
    <w:p w14:paraId="182303AE">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lang w:val="en-US" w:eastAsia="zh-CN"/>
        </w:rPr>
        <w:t>28</w:t>
      </w:r>
      <w:r>
        <w:rPr>
          <w:rFonts w:hint="eastAsia" w:ascii="宋体" w:hAnsi="宋体" w:cs="宋体"/>
          <w:color w:val="auto"/>
          <w:highlight w:val="none"/>
        </w:rPr>
        <w:t>.4评标委员会将允许修正投标文件中的不构成重大偏离的、微小的、非正规的、不一致的或不规则的地方，但这些修正不能影响任何投标人相应的名次排列。</w:t>
      </w:r>
    </w:p>
    <w:p w14:paraId="0116C3D5">
      <w:pPr>
        <w:spacing w:line="360" w:lineRule="auto"/>
        <w:rPr>
          <w:rFonts w:hint="eastAsia" w:ascii="宋体" w:hAnsi="宋体" w:cs="宋体"/>
          <w:b/>
          <w:bCs/>
          <w:color w:val="auto"/>
          <w:highlight w:val="none"/>
        </w:rPr>
      </w:pPr>
      <w:r>
        <w:rPr>
          <w:rFonts w:hint="eastAsia" w:ascii="宋体" w:hAnsi="宋体" w:cs="宋体"/>
          <w:b/>
          <w:color w:val="auto"/>
          <w:highlight w:val="none"/>
          <w:lang w:val="en-US" w:eastAsia="zh-CN"/>
        </w:rPr>
        <w:t>29</w:t>
      </w:r>
      <w:r>
        <w:rPr>
          <w:rFonts w:hint="eastAsia" w:ascii="宋体" w:hAnsi="宋体" w:cs="宋体"/>
          <w:b/>
          <w:color w:val="auto"/>
          <w:highlight w:val="none"/>
        </w:rPr>
        <w:t>、</w:t>
      </w:r>
      <w:r>
        <w:rPr>
          <w:rFonts w:hint="eastAsia" w:ascii="宋体" w:hAnsi="宋体" w:cs="宋体"/>
          <w:b/>
          <w:bCs/>
          <w:color w:val="auto"/>
          <w:highlight w:val="none"/>
        </w:rPr>
        <w:t>拒绝任何或所有投标的权力</w:t>
      </w:r>
    </w:p>
    <w:p w14:paraId="08CC3211">
      <w:pPr>
        <w:spacing w:line="360" w:lineRule="auto"/>
        <w:rPr>
          <w:rFonts w:hint="eastAsia" w:ascii="宋体" w:hAnsi="宋体" w:cs="宋体"/>
          <w:color w:val="auto"/>
          <w:highlight w:val="none"/>
        </w:rPr>
      </w:pPr>
      <w:r>
        <w:rPr>
          <w:rFonts w:hint="eastAsia" w:ascii="宋体" w:hAnsi="宋体" w:cs="宋体"/>
          <w:color w:val="auto"/>
          <w:highlight w:val="none"/>
          <w:lang w:val="en-US" w:eastAsia="zh-CN"/>
        </w:rPr>
        <w:t>29</w:t>
      </w:r>
      <w:r>
        <w:rPr>
          <w:rFonts w:hint="eastAsia" w:ascii="宋体" w:hAnsi="宋体" w:cs="宋体"/>
          <w:color w:val="auto"/>
          <w:highlight w:val="none"/>
        </w:rPr>
        <w:t>.1评标委员会经评审，认为所有投标都不符合招标文件实质性要求的，可以否决所有投标。</w:t>
      </w:r>
    </w:p>
    <w:p w14:paraId="7E0E04E8">
      <w:pPr>
        <w:spacing w:line="360" w:lineRule="auto"/>
        <w:rPr>
          <w:rFonts w:hint="eastAsia" w:ascii="宋体" w:hAnsi="宋体" w:cs="宋体"/>
          <w:color w:val="auto"/>
          <w:highlight w:val="none"/>
        </w:rPr>
      </w:pPr>
      <w:r>
        <w:rPr>
          <w:rFonts w:hint="eastAsia" w:ascii="宋体" w:hAnsi="宋体" w:cs="宋体"/>
          <w:color w:val="auto"/>
          <w:highlight w:val="none"/>
          <w:lang w:val="en-US" w:eastAsia="zh-CN"/>
        </w:rPr>
        <w:t>29</w:t>
      </w:r>
      <w:r>
        <w:rPr>
          <w:rFonts w:hint="eastAsia" w:ascii="宋体" w:hAnsi="宋体" w:cs="宋体"/>
          <w:color w:val="auto"/>
          <w:highlight w:val="none"/>
        </w:rPr>
        <w:t>.2当有效投标人少于3名时，可以拒绝所有投标并重新组织招标。</w:t>
      </w:r>
    </w:p>
    <w:p w14:paraId="141A4D89">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lang w:val="en-US" w:eastAsia="zh-CN"/>
        </w:rPr>
        <w:t>29</w:t>
      </w:r>
      <w:r>
        <w:rPr>
          <w:rFonts w:hint="eastAsia" w:ascii="宋体" w:hAnsi="宋体" w:cs="宋体"/>
          <w:color w:val="auto"/>
          <w:highlight w:val="none"/>
        </w:rPr>
        <w:t>.3如果第一、或二、或三中标候选人不能按照招标文件要求及其投标文件的承诺签订合同或其投标文件与事实不符，</w:t>
      </w:r>
      <w:r>
        <w:rPr>
          <w:rFonts w:hint="eastAsia" w:ascii="宋体" w:hAnsi="宋体" w:cs="宋体"/>
          <w:color w:val="auto"/>
          <w:highlight w:val="none"/>
          <w:lang w:eastAsia="zh-CN"/>
        </w:rPr>
        <w:t>招标人</w:t>
      </w:r>
      <w:r>
        <w:rPr>
          <w:rFonts w:hint="eastAsia" w:ascii="宋体" w:hAnsi="宋体" w:cs="宋体"/>
          <w:color w:val="auto"/>
          <w:highlight w:val="none"/>
        </w:rPr>
        <w:t>有权依照法定程序将合同按顺序授予其他中标候选人或重新开启招标程序，对受影响的投标人不承担任何责任，也无义务向受影响的投标人解释采取这一行动的理由。</w:t>
      </w:r>
    </w:p>
    <w:p w14:paraId="1B6C3603">
      <w:pPr>
        <w:pStyle w:val="5"/>
        <w:numPr>
          <w:ilvl w:val="0"/>
          <w:numId w:val="0"/>
        </w:numPr>
        <w:ind w:left="422"/>
        <w:jc w:val="center"/>
        <w:rPr>
          <w:rFonts w:hint="eastAsia" w:hAnsi="宋体" w:cs="宋体"/>
          <w:color w:val="auto"/>
          <w:sz w:val="32"/>
          <w:highlight w:val="none"/>
        </w:rPr>
      </w:pPr>
      <w:bookmarkStart w:id="71" w:name="_Toc513818906"/>
      <w:r>
        <w:rPr>
          <w:rFonts w:hint="eastAsia" w:hAnsi="宋体" w:cs="宋体"/>
          <w:color w:val="auto"/>
          <w:szCs w:val="30"/>
          <w:highlight w:val="none"/>
        </w:rPr>
        <w:t>六、授予合同</w:t>
      </w:r>
      <w:bookmarkEnd w:id="71"/>
    </w:p>
    <w:p w14:paraId="6CF0A6BF">
      <w:pPr>
        <w:spacing w:line="360" w:lineRule="auto"/>
        <w:rPr>
          <w:rFonts w:hint="eastAsia" w:ascii="宋体" w:hAnsi="宋体" w:cs="宋体"/>
          <w:b/>
          <w:bCs/>
          <w:color w:val="auto"/>
          <w:highlight w:val="none"/>
        </w:rPr>
      </w:pPr>
      <w:r>
        <w:rPr>
          <w:rFonts w:hint="eastAsia" w:ascii="宋体" w:hAnsi="宋体" w:cs="宋体"/>
          <w:b/>
          <w:bCs/>
          <w:color w:val="auto"/>
          <w:highlight w:val="none"/>
        </w:rPr>
        <w:t>3</w:t>
      </w:r>
      <w:r>
        <w:rPr>
          <w:rFonts w:hint="eastAsia" w:ascii="宋体" w:hAnsi="宋体" w:cs="宋体"/>
          <w:b/>
          <w:bCs/>
          <w:color w:val="auto"/>
          <w:highlight w:val="none"/>
          <w:lang w:val="en-US" w:eastAsia="zh-CN"/>
        </w:rPr>
        <w:t>0</w:t>
      </w:r>
      <w:r>
        <w:rPr>
          <w:rFonts w:hint="eastAsia" w:ascii="宋体" w:hAnsi="宋体" w:cs="宋体"/>
          <w:b/>
          <w:bCs/>
          <w:color w:val="auto"/>
          <w:highlight w:val="none"/>
        </w:rPr>
        <w:t>、中标人的确定</w:t>
      </w:r>
    </w:p>
    <w:p w14:paraId="0D8B070A">
      <w:pPr>
        <w:spacing w:line="360" w:lineRule="auto"/>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0</w:t>
      </w:r>
      <w:r>
        <w:rPr>
          <w:rFonts w:hint="eastAsia" w:ascii="宋体" w:hAnsi="宋体" w:cs="宋体"/>
          <w:color w:val="auto"/>
          <w:highlight w:val="none"/>
        </w:rPr>
        <w:t>.1根据评标结果，招标人将按照招标文件的约定确定中标人。</w:t>
      </w:r>
    </w:p>
    <w:p w14:paraId="25BCBA6B">
      <w:pPr>
        <w:spacing w:line="360" w:lineRule="auto"/>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0</w:t>
      </w:r>
      <w:r>
        <w:rPr>
          <w:rFonts w:hint="eastAsia" w:ascii="宋体" w:hAnsi="宋体" w:cs="宋体"/>
          <w:color w:val="auto"/>
          <w:highlight w:val="none"/>
        </w:rPr>
        <w:t>.2评标委员会无义务将合同授予投标报价最低的投标人。</w:t>
      </w:r>
    </w:p>
    <w:p w14:paraId="2A814EE9">
      <w:pPr>
        <w:spacing w:line="360" w:lineRule="auto"/>
        <w:rPr>
          <w:rFonts w:hint="eastAsia" w:ascii="宋体" w:hAnsi="宋体" w:cs="宋体"/>
          <w:b/>
          <w:bCs/>
          <w:color w:val="auto"/>
          <w:highlight w:val="none"/>
        </w:rPr>
      </w:pPr>
      <w:r>
        <w:rPr>
          <w:rFonts w:hint="eastAsia" w:ascii="宋体" w:hAnsi="宋体" w:cs="宋体"/>
          <w:b/>
          <w:bCs/>
          <w:color w:val="auto"/>
          <w:highlight w:val="none"/>
        </w:rPr>
        <w:t>3</w:t>
      </w:r>
      <w:r>
        <w:rPr>
          <w:rFonts w:hint="eastAsia" w:ascii="宋体" w:hAnsi="宋体" w:cs="宋体"/>
          <w:b/>
          <w:bCs/>
          <w:color w:val="auto"/>
          <w:highlight w:val="none"/>
          <w:lang w:val="en-US" w:eastAsia="zh-CN"/>
        </w:rPr>
        <w:t>1</w:t>
      </w:r>
      <w:r>
        <w:rPr>
          <w:rFonts w:hint="eastAsia" w:ascii="宋体" w:hAnsi="宋体" w:cs="宋体"/>
          <w:b/>
          <w:bCs/>
          <w:color w:val="auto"/>
          <w:highlight w:val="none"/>
        </w:rPr>
        <w:t>、中标结果公示</w:t>
      </w:r>
    </w:p>
    <w:p w14:paraId="443223BE">
      <w:pPr>
        <w:spacing w:line="360" w:lineRule="auto"/>
        <w:rPr>
          <w:rFonts w:hint="eastAsia" w:ascii="宋体" w:hAnsi="宋体" w:cs="宋体"/>
          <w:b/>
          <w:color w:val="auto"/>
          <w:highlight w:val="none"/>
        </w:rPr>
      </w:pPr>
      <w:r>
        <w:rPr>
          <w:rFonts w:hint="eastAsia" w:ascii="宋体" w:hAnsi="宋体" w:cs="宋体"/>
          <w:b/>
          <w:color w:val="auto"/>
          <w:highlight w:val="none"/>
        </w:rPr>
        <w:t>3</w:t>
      </w:r>
      <w:r>
        <w:rPr>
          <w:rFonts w:hint="eastAsia" w:ascii="宋体" w:hAnsi="宋体" w:cs="宋体"/>
          <w:b/>
          <w:color w:val="auto"/>
          <w:highlight w:val="none"/>
          <w:lang w:val="en-US" w:eastAsia="zh-CN"/>
        </w:rPr>
        <w:t>1</w:t>
      </w:r>
      <w:r>
        <w:rPr>
          <w:rFonts w:hint="eastAsia" w:ascii="宋体" w:hAnsi="宋体" w:cs="宋体"/>
          <w:b/>
          <w:color w:val="auto"/>
          <w:highlight w:val="none"/>
        </w:rPr>
        <w:t>.1</w:t>
      </w:r>
      <w:r>
        <w:rPr>
          <w:rFonts w:hint="eastAsia" w:ascii="宋体" w:hAnsi="宋体" w:cs="宋体"/>
          <w:b/>
          <w:color w:val="auto"/>
          <w:szCs w:val="21"/>
          <w:highlight w:val="none"/>
        </w:rPr>
        <w:t>广东省机电设备招标有限公司</w:t>
      </w:r>
      <w:r>
        <w:rPr>
          <w:rFonts w:hint="eastAsia" w:ascii="宋体" w:hAnsi="宋体" w:cs="宋体"/>
          <w:b/>
          <w:color w:val="auto"/>
          <w:highlight w:val="none"/>
        </w:rPr>
        <w:t>将在规定的时间通过指定网址公示中标结果。</w:t>
      </w:r>
    </w:p>
    <w:p w14:paraId="4F27F752">
      <w:pPr>
        <w:spacing w:line="360" w:lineRule="auto"/>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1</w:t>
      </w:r>
      <w:r>
        <w:rPr>
          <w:rFonts w:hint="eastAsia" w:ascii="宋体" w:hAnsi="宋体" w:cs="宋体"/>
          <w:color w:val="auto"/>
          <w:highlight w:val="none"/>
        </w:rPr>
        <w:t>.2在投标有效期满之前，广东省机电设备招标有限公司将在指定网址公告中标结果，并将招标结果通知</w:t>
      </w:r>
      <w:r>
        <w:rPr>
          <w:rFonts w:hint="eastAsia" w:ascii="宋体" w:hAnsi="宋体" w:cs="宋体"/>
          <w:color w:val="auto"/>
          <w:highlight w:val="none"/>
          <w:lang w:eastAsia="zh-CN"/>
        </w:rPr>
        <w:t>招标人</w:t>
      </w:r>
      <w:r>
        <w:rPr>
          <w:rFonts w:hint="eastAsia" w:ascii="宋体" w:hAnsi="宋体" w:cs="宋体"/>
          <w:color w:val="auto"/>
          <w:highlight w:val="none"/>
        </w:rPr>
        <w:t>。</w:t>
      </w:r>
    </w:p>
    <w:p w14:paraId="1AFC1DD3">
      <w:pPr>
        <w:spacing w:line="360" w:lineRule="auto"/>
        <w:rPr>
          <w:rFonts w:hint="eastAsia" w:ascii="宋体" w:hAnsi="宋体" w:cs="宋体"/>
          <w:b/>
          <w:bCs/>
          <w:color w:val="auto"/>
          <w:highlight w:val="none"/>
        </w:rPr>
      </w:pPr>
      <w:r>
        <w:rPr>
          <w:rFonts w:hint="eastAsia" w:ascii="宋体" w:hAnsi="宋体" w:cs="宋体"/>
          <w:b/>
          <w:bCs/>
          <w:color w:val="auto"/>
          <w:highlight w:val="none"/>
        </w:rPr>
        <w:t>3</w:t>
      </w:r>
      <w:r>
        <w:rPr>
          <w:rFonts w:hint="eastAsia" w:ascii="宋体" w:hAnsi="宋体" w:cs="宋体"/>
          <w:b/>
          <w:bCs/>
          <w:color w:val="auto"/>
          <w:highlight w:val="none"/>
          <w:lang w:val="en-US" w:eastAsia="zh-CN"/>
        </w:rPr>
        <w:t>2</w:t>
      </w:r>
      <w:r>
        <w:rPr>
          <w:rFonts w:hint="eastAsia" w:ascii="宋体" w:hAnsi="宋体" w:cs="宋体"/>
          <w:b/>
          <w:bCs/>
          <w:color w:val="auto"/>
          <w:highlight w:val="none"/>
        </w:rPr>
        <w:t>、合同授予</w:t>
      </w:r>
    </w:p>
    <w:p w14:paraId="3AF9ADCC">
      <w:pPr>
        <w:spacing w:line="360" w:lineRule="auto"/>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2</w:t>
      </w:r>
      <w:r>
        <w:rPr>
          <w:rFonts w:hint="eastAsia" w:ascii="宋体" w:hAnsi="宋体" w:cs="宋体"/>
          <w:color w:val="auto"/>
          <w:highlight w:val="none"/>
        </w:rPr>
        <w:t>.1</w:t>
      </w:r>
      <w:r>
        <w:rPr>
          <w:rFonts w:hint="eastAsia" w:ascii="宋体" w:hAnsi="宋体" w:cs="宋体"/>
          <w:color w:val="auto"/>
          <w:highlight w:val="none"/>
          <w:lang w:eastAsia="zh-CN"/>
        </w:rPr>
        <w:t>招标人</w:t>
      </w:r>
      <w:r>
        <w:rPr>
          <w:rFonts w:hint="eastAsia" w:ascii="宋体" w:hAnsi="宋体" w:cs="宋体"/>
          <w:color w:val="auto"/>
          <w:highlight w:val="none"/>
        </w:rPr>
        <w:t>将合同授予被确定的中标人，中标人必须以中标人名义签订合同，若中标人为分公司或子公司的，应当在合同签订前提交由总公司出具的授权函。</w:t>
      </w:r>
    </w:p>
    <w:p w14:paraId="6AED6EF5">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2</w:t>
      </w:r>
      <w:r>
        <w:rPr>
          <w:rFonts w:hint="eastAsia" w:ascii="宋体" w:hAnsi="宋体" w:cs="宋体"/>
          <w:color w:val="auto"/>
          <w:highlight w:val="none"/>
        </w:rPr>
        <w:t>.2</w:t>
      </w:r>
      <w:r>
        <w:rPr>
          <w:rFonts w:hint="eastAsia" w:ascii="宋体" w:hAnsi="宋体" w:cs="宋体"/>
          <w:color w:val="auto"/>
          <w:highlight w:val="none"/>
          <w:lang w:eastAsia="zh-CN"/>
        </w:rPr>
        <w:t>招标人</w:t>
      </w:r>
      <w:r>
        <w:rPr>
          <w:rFonts w:hint="eastAsia" w:ascii="宋体" w:hAnsi="宋体" w:cs="宋体"/>
          <w:color w:val="auto"/>
          <w:highlight w:val="none"/>
        </w:rPr>
        <w:t>在授予合同时根据实际的需要有权对“用户需求书”中列举的涉及内容予以适当的增减，涉及内容的增减，该等增减行为不得对整个“用户需求”产生实际背离。按实际内容变化修正相应的价格。</w:t>
      </w:r>
    </w:p>
    <w:p w14:paraId="0EB9158B">
      <w:pPr>
        <w:spacing w:line="360" w:lineRule="auto"/>
        <w:rPr>
          <w:rFonts w:hint="eastAsia" w:ascii="宋体" w:hAnsi="宋体" w:cs="宋体"/>
          <w:b/>
          <w:bCs/>
          <w:color w:val="auto"/>
          <w:highlight w:val="none"/>
        </w:rPr>
      </w:pPr>
      <w:r>
        <w:rPr>
          <w:rFonts w:hint="eastAsia" w:ascii="宋体" w:hAnsi="宋体" w:cs="宋体"/>
          <w:b/>
          <w:bCs/>
          <w:color w:val="auto"/>
          <w:highlight w:val="none"/>
        </w:rPr>
        <w:t>3</w:t>
      </w:r>
      <w:r>
        <w:rPr>
          <w:rFonts w:hint="eastAsia" w:ascii="宋体" w:hAnsi="宋体" w:cs="宋体"/>
          <w:b/>
          <w:bCs/>
          <w:color w:val="auto"/>
          <w:highlight w:val="none"/>
          <w:lang w:val="en-US" w:eastAsia="zh-CN"/>
        </w:rPr>
        <w:t>3</w:t>
      </w:r>
      <w:r>
        <w:rPr>
          <w:rFonts w:hint="eastAsia" w:ascii="宋体" w:hAnsi="宋体" w:cs="宋体"/>
          <w:b/>
          <w:bCs/>
          <w:color w:val="auto"/>
          <w:highlight w:val="none"/>
        </w:rPr>
        <w:t>、中标通知书及中标结果通知书</w:t>
      </w:r>
    </w:p>
    <w:p w14:paraId="2C318CFA">
      <w:pPr>
        <w:spacing w:line="360" w:lineRule="auto"/>
        <w:ind w:left="359" w:hanging="359" w:hangingChars="171"/>
        <w:rPr>
          <w:rFonts w:hint="eastAsia" w:ascii="宋体" w:hAnsi="宋体" w:cs="宋体"/>
          <w:color w:val="auto"/>
          <w:szCs w:val="22"/>
          <w:highlight w:val="none"/>
        </w:rPr>
      </w:pPr>
      <w:r>
        <w:rPr>
          <w:rFonts w:hint="eastAsia" w:ascii="宋体" w:hAnsi="宋体" w:cs="宋体"/>
          <w:color w:val="auto"/>
          <w:highlight w:val="none"/>
        </w:rPr>
        <w:t>3</w:t>
      </w:r>
      <w:r>
        <w:rPr>
          <w:rFonts w:hint="eastAsia" w:ascii="宋体" w:hAnsi="宋体" w:cs="宋体"/>
          <w:color w:val="auto"/>
          <w:szCs w:val="22"/>
          <w:highlight w:val="none"/>
          <w:lang w:val="en-US" w:eastAsia="zh-CN"/>
        </w:rPr>
        <w:t>3</w:t>
      </w:r>
      <w:r>
        <w:rPr>
          <w:rFonts w:hint="eastAsia" w:ascii="宋体" w:hAnsi="宋体" w:cs="宋体"/>
          <w:color w:val="auto"/>
          <w:szCs w:val="22"/>
          <w:highlight w:val="none"/>
        </w:rPr>
        <w:t>.1招标代理机构将用书面的方式向中标人发出经确认的书面《中标通知书》，中标人收到《中标通知书》后及时书面向广东省机电设备招标有限公司确认。</w:t>
      </w:r>
    </w:p>
    <w:p w14:paraId="43BAF27A">
      <w:pPr>
        <w:spacing w:line="360" w:lineRule="auto"/>
        <w:ind w:left="359" w:hanging="359" w:hangingChars="171"/>
        <w:rPr>
          <w:rFonts w:hint="eastAsia" w:ascii="宋体" w:hAnsi="宋体" w:cs="宋体"/>
          <w:color w:val="auto"/>
          <w:szCs w:val="22"/>
          <w:highlight w:val="none"/>
        </w:rPr>
      </w:pPr>
      <w:r>
        <w:rPr>
          <w:rFonts w:hint="eastAsia" w:ascii="宋体" w:hAnsi="宋体" w:cs="宋体"/>
          <w:color w:val="auto"/>
          <w:szCs w:val="22"/>
          <w:highlight w:val="none"/>
        </w:rPr>
        <w:t>3</w:t>
      </w:r>
      <w:r>
        <w:rPr>
          <w:rFonts w:hint="eastAsia" w:ascii="宋体" w:hAnsi="宋体" w:cs="宋体"/>
          <w:color w:val="auto"/>
          <w:szCs w:val="22"/>
          <w:highlight w:val="none"/>
          <w:lang w:val="en-US" w:eastAsia="zh-CN"/>
        </w:rPr>
        <w:t>3</w:t>
      </w:r>
      <w:r>
        <w:rPr>
          <w:rFonts w:hint="eastAsia" w:ascii="宋体" w:hAnsi="宋体" w:cs="宋体"/>
          <w:color w:val="auto"/>
          <w:szCs w:val="22"/>
          <w:highlight w:val="none"/>
        </w:rPr>
        <w:t>.2 《中标通知书》将是合同的一个组成部分。</w:t>
      </w:r>
    </w:p>
    <w:p w14:paraId="26A2CD93">
      <w:pPr>
        <w:spacing w:line="360" w:lineRule="auto"/>
        <w:ind w:left="359" w:hanging="359" w:hangingChars="171"/>
        <w:rPr>
          <w:rFonts w:hint="eastAsia" w:ascii="宋体" w:hAnsi="宋体" w:cs="宋体"/>
          <w:color w:val="auto"/>
          <w:highlight w:val="none"/>
        </w:rPr>
      </w:pPr>
      <w:r>
        <w:rPr>
          <w:rFonts w:hint="eastAsia" w:ascii="宋体" w:hAnsi="宋体" w:cs="宋体"/>
          <w:color w:val="auto"/>
          <w:szCs w:val="22"/>
          <w:highlight w:val="none"/>
        </w:rPr>
        <w:t>3</w:t>
      </w:r>
      <w:r>
        <w:rPr>
          <w:rFonts w:hint="eastAsia" w:ascii="宋体" w:hAnsi="宋体" w:cs="宋体"/>
          <w:color w:val="auto"/>
          <w:szCs w:val="22"/>
          <w:highlight w:val="none"/>
          <w:lang w:val="en-US" w:eastAsia="zh-CN"/>
        </w:rPr>
        <w:t>3</w:t>
      </w:r>
      <w:r>
        <w:rPr>
          <w:rFonts w:hint="eastAsia" w:ascii="宋体" w:hAnsi="宋体" w:cs="宋体"/>
          <w:color w:val="auto"/>
          <w:szCs w:val="22"/>
          <w:highlight w:val="none"/>
        </w:rPr>
        <w:t>.3广东省机电设备招标有限公司发出《中标通知书》时，向所有未中标人公告中标结果，对不中标的投标人不另行</w:t>
      </w:r>
      <w:r>
        <w:rPr>
          <w:rFonts w:hint="eastAsia" w:ascii="宋体" w:hAnsi="宋体" w:cs="宋体"/>
          <w:color w:val="auto"/>
          <w:highlight w:val="none"/>
        </w:rPr>
        <w:t>通知，亦不作任何解释。</w:t>
      </w:r>
    </w:p>
    <w:p w14:paraId="393C52AD">
      <w:pPr>
        <w:spacing w:line="360" w:lineRule="auto"/>
        <w:rPr>
          <w:rFonts w:hint="eastAsia" w:ascii="宋体" w:hAnsi="宋体" w:cs="宋体"/>
          <w:b/>
          <w:bCs/>
          <w:color w:val="auto"/>
          <w:highlight w:val="none"/>
        </w:rPr>
      </w:pPr>
      <w:r>
        <w:rPr>
          <w:rFonts w:hint="eastAsia" w:ascii="宋体" w:hAnsi="宋体" w:cs="宋体"/>
          <w:b/>
          <w:bCs/>
          <w:color w:val="auto"/>
          <w:highlight w:val="none"/>
        </w:rPr>
        <w:t>3</w:t>
      </w:r>
      <w:r>
        <w:rPr>
          <w:rFonts w:hint="eastAsia" w:ascii="宋体" w:hAnsi="宋体" w:cs="宋体"/>
          <w:b/>
          <w:bCs/>
          <w:color w:val="auto"/>
          <w:highlight w:val="none"/>
          <w:lang w:val="en-US" w:eastAsia="zh-CN"/>
        </w:rPr>
        <w:t>4</w:t>
      </w:r>
      <w:r>
        <w:rPr>
          <w:rFonts w:hint="eastAsia" w:ascii="宋体" w:hAnsi="宋体" w:cs="宋体"/>
          <w:b/>
          <w:bCs/>
          <w:color w:val="auto"/>
          <w:highlight w:val="none"/>
        </w:rPr>
        <w:t>、签订合同</w:t>
      </w:r>
    </w:p>
    <w:p w14:paraId="5A7308A4">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4</w:t>
      </w:r>
      <w:r>
        <w:rPr>
          <w:rFonts w:hint="eastAsia" w:ascii="宋体" w:hAnsi="宋体" w:cs="宋体"/>
          <w:color w:val="auto"/>
          <w:highlight w:val="none"/>
        </w:rPr>
        <w:t>.1中标人应自《中标通知书》发出之日起三十日内，应按照《中标通知书》指定的时间、地点，派遣其授权代表前往与</w:t>
      </w:r>
      <w:r>
        <w:rPr>
          <w:rFonts w:hint="eastAsia" w:ascii="宋体" w:hAnsi="宋体" w:cs="宋体"/>
          <w:color w:val="auto"/>
          <w:highlight w:val="none"/>
          <w:lang w:val="en-US" w:eastAsia="zh-CN"/>
        </w:rPr>
        <w:t>招标人</w:t>
      </w:r>
      <w:r>
        <w:rPr>
          <w:rFonts w:hint="eastAsia" w:ascii="宋体" w:hAnsi="宋体" w:cs="宋体"/>
          <w:color w:val="auto"/>
          <w:highlight w:val="none"/>
        </w:rPr>
        <w:t>签署合同。</w:t>
      </w:r>
    </w:p>
    <w:p w14:paraId="3F02AEA5">
      <w:pPr>
        <w:spacing w:line="360" w:lineRule="auto"/>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4</w:t>
      </w:r>
      <w:r>
        <w:rPr>
          <w:rFonts w:hint="eastAsia" w:ascii="宋体" w:hAnsi="宋体" w:cs="宋体"/>
          <w:color w:val="auto"/>
          <w:highlight w:val="none"/>
        </w:rPr>
        <w:t>.2合同的组成基于但不限于以下部分：</w:t>
      </w:r>
    </w:p>
    <w:p w14:paraId="2C67118F">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（1）《合同条款》；</w:t>
      </w:r>
    </w:p>
    <w:p w14:paraId="07CDF88A">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（2）招标文件及澄清、补充、修改文件；</w:t>
      </w:r>
    </w:p>
    <w:p w14:paraId="154B1DB5">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（3）中标人的投标文件及澄清、补充、修改文件；</w:t>
      </w:r>
    </w:p>
    <w:p w14:paraId="0DB00D2C">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（4）相关资料；</w:t>
      </w:r>
    </w:p>
    <w:p w14:paraId="2F6448B3">
      <w:pPr>
        <w:spacing w:line="360" w:lineRule="auto"/>
        <w:ind w:firstLine="525" w:firstLineChars="250"/>
        <w:rPr>
          <w:rFonts w:hint="eastAsia" w:ascii="宋体" w:hAnsi="宋体" w:cs="宋体"/>
          <w:color w:val="auto"/>
          <w:highlight w:val="none"/>
        </w:rPr>
      </w:pPr>
      <w:r>
        <w:rPr>
          <w:rFonts w:hint="eastAsia" w:ascii="宋体" w:hAnsi="宋体" w:cs="宋体"/>
          <w:color w:val="auto"/>
          <w:highlight w:val="none"/>
        </w:rPr>
        <w:t>（5）《中标通知书》。</w:t>
      </w:r>
    </w:p>
    <w:p w14:paraId="1D265690">
      <w:pPr>
        <w:spacing w:line="360" w:lineRule="auto"/>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4</w:t>
      </w:r>
      <w:r>
        <w:rPr>
          <w:rFonts w:hint="eastAsia" w:ascii="宋体" w:hAnsi="宋体" w:cs="宋体"/>
          <w:color w:val="auto"/>
          <w:highlight w:val="none"/>
        </w:rPr>
        <w:t>.3签定合同过程中的解释顺序：1、中标通知书；2、中标单位投标文件；3、招标文件；当上述三份文件中的表述有冲突之处，以上述文件顺序列前的文件表述为准。</w:t>
      </w:r>
    </w:p>
    <w:p w14:paraId="1D43620A">
      <w:pPr>
        <w:spacing w:line="360" w:lineRule="auto"/>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4</w:t>
      </w:r>
      <w:r>
        <w:rPr>
          <w:rFonts w:hint="eastAsia" w:ascii="宋体" w:hAnsi="宋体" w:cs="宋体"/>
          <w:color w:val="auto"/>
          <w:highlight w:val="none"/>
        </w:rPr>
        <w:t>.4不接受中标人授权其分公司或者分支机构签订合同。</w:t>
      </w:r>
    </w:p>
    <w:p w14:paraId="1F054D5E">
      <w:pPr>
        <w:spacing w:line="360" w:lineRule="auto"/>
        <w:rPr>
          <w:rFonts w:hint="eastAsia" w:ascii="宋体" w:hAnsi="宋体" w:cs="宋体"/>
          <w:b/>
          <w:bCs/>
          <w:color w:val="auto"/>
          <w:highlight w:val="none"/>
        </w:rPr>
      </w:pPr>
      <w:r>
        <w:rPr>
          <w:rFonts w:hint="eastAsia" w:ascii="宋体" w:hAnsi="宋体" w:cs="宋体"/>
          <w:b/>
          <w:bCs/>
          <w:color w:val="auto"/>
          <w:highlight w:val="none"/>
        </w:rPr>
        <w:t>3</w:t>
      </w:r>
      <w:r>
        <w:rPr>
          <w:rFonts w:hint="eastAsia" w:ascii="宋体" w:hAnsi="宋体" w:cs="宋体"/>
          <w:b/>
          <w:bCs/>
          <w:color w:val="auto"/>
          <w:highlight w:val="none"/>
          <w:lang w:val="en-US" w:eastAsia="zh-CN"/>
        </w:rPr>
        <w:t>5</w:t>
      </w:r>
      <w:r>
        <w:rPr>
          <w:rFonts w:hint="eastAsia" w:ascii="宋体" w:hAnsi="宋体" w:cs="宋体"/>
          <w:b/>
          <w:bCs/>
          <w:color w:val="auto"/>
          <w:highlight w:val="none"/>
        </w:rPr>
        <w:t>、招标代理服务费</w:t>
      </w:r>
    </w:p>
    <w:p w14:paraId="4459C163">
      <w:pPr>
        <w:spacing w:line="360" w:lineRule="auto"/>
        <w:rPr>
          <w:rFonts w:hint="eastAsia" w:ascii="宋体" w:hAnsi="宋体" w:cs="宋体"/>
          <w:b/>
          <w:bCs/>
          <w:color w:val="auto"/>
          <w:highlight w:val="none"/>
        </w:rPr>
      </w:pPr>
      <w:r>
        <w:rPr>
          <w:rFonts w:hint="eastAsia" w:ascii="宋体" w:hAnsi="宋体" w:cs="宋体"/>
          <w:b/>
          <w:bCs/>
          <w:color w:val="auto"/>
          <w:highlight w:val="none"/>
        </w:rPr>
        <w:t>3</w:t>
      </w:r>
      <w:r>
        <w:rPr>
          <w:rFonts w:hint="eastAsia" w:ascii="宋体" w:hAnsi="宋体" w:cs="宋体"/>
          <w:b/>
          <w:bCs/>
          <w:color w:val="auto"/>
          <w:highlight w:val="none"/>
          <w:lang w:val="en-US" w:eastAsia="zh-CN"/>
        </w:rPr>
        <w:t>5</w:t>
      </w:r>
      <w:r>
        <w:rPr>
          <w:rFonts w:hint="eastAsia" w:ascii="宋体" w:hAnsi="宋体" w:cs="宋体"/>
          <w:b/>
          <w:bCs/>
          <w:color w:val="auto"/>
          <w:highlight w:val="none"/>
        </w:rPr>
        <w:t>.1.中标人应按中标通知书要求与招标人签订合同。</w:t>
      </w:r>
    </w:p>
    <w:p w14:paraId="00A3ACF2">
      <w:pPr>
        <w:spacing w:line="360" w:lineRule="auto"/>
        <w:rPr>
          <w:rFonts w:hint="eastAsia" w:ascii="宋体" w:hAnsi="宋体" w:cs="宋体"/>
          <w:b/>
          <w:bCs/>
          <w:color w:val="auto"/>
          <w:highlight w:val="none"/>
        </w:rPr>
      </w:pPr>
      <w:r>
        <w:rPr>
          <w:rFonts w:hint="eastAsia" w:ascii="宋体" w:hAnsi="宋体" w:cs="宋体"/>
          <w:b/>
          <w:bCs/>
          <w:color w:val="auto"/>
          <w:highlight w:val="none"/>
        </w:rPr>
        <w:t>3</w:t>
      </w:r>
      <w:r>
        <w:rPr>
          <w:rFonts w:hint="eastAsia" w:ascii="宋体" w:hAnsi="宋体" w:cs="宋体"/>
          <w:b/>
          <w:bCs/>
          <w:color w:val="auto"/>
          <w:highlight w:val="none"/>
          <w:lang w:val="en-US" w:eastAsia="zh-CN"/>
        </w:rPr>
        <w:t>5</w:t>
      </w:r>
      <w:r>
        <w:rPr>
          <w:rFonts w:hint="eastAsia" w:ascii="宋体" w:hAnsi="宋体" w:cs="宋体"/>
          <w:b/>
          <w:bCs/>
          <w:color w:val="auto"/>
          <w:highlight w:val="none"/>
        </w:rPr>
        <w:t>.2.中标人须向招标代理机构交纳的招标代理服务费，收费按照《国家计委关于印发《招标代理服务收费管理暂行办法》的通知》（计价格[2002]1980号）及《国家发展改革委员会办公厅关于招标代理服务收费有关问题的通知</w:t>
      </w:r>
      <w:bookmarkStart w:id="72" w:name="_Hlt263413520"/>
      <w:bookmarkEnd w:id="72"/>
      <w:r>
        <w:rPr>
          <w:rFonts w:hint="eastAsia" w:ascii="宋体" w:hAnsi="宋体" w:cs="宋体"/>
          <w:b/>
          <w:bCs/>
          <w:color w:val="auto"/>
          <w:highlight w:val="none"/>
        </w:rPr>
        <w:t>》（发改办价格【2003】857号）的标准，以</w:t>
      </w:r>
      <w:r>
        <w:rPr>
          <w:rFonts w:hint="eastAsia" w:ascii="宋体" w:hAnsi="宋体" w:cs="宋体"/>
          <w:b/>
          <w:bCs/>
          <w:color w:val="auto"/>
          <w:highlight w:val="none"/>
          <w:u w:val="single"/>
        </w:rPr>
        <w:t>中标金额</w:t>
      </w:r>
      <w:r>
        <w:rPr>
          <w:rFonts w:hint="eastAsia" w:ascii="宋体" w:hAnsi="宋体" w:cs="宋体"/>
          <w:b/>
          <w:bCs/>
          <w:color w:val="auto"/>
          <w:highlight w:val="none"/>
        </w:rPr>
        <w:t>作为采购代理服务费的计算基数进行计算招标代理服务费并</w:t>
      </w:r>
      <w:r>
        <w:rPr>
          <w:rFonts w:hint="eastAsia" w:ascii="宋体" w:hAnsi="宋体" w:cs="宋体"/>
          <w:b/>
          <w:bCs/>
          <w:color w:val="auto"/>
          <w:highlight w:val="none"/>
          <w:u w:val="single"/>
        </w:rPr>
        <w:t>下浮50%</w:t>
      </w:r>
      <w:r>
        <w:rPr>
          <w:rFonts w:hint="eastAsia" w:ascii="宋体" w:hAnsi="宋体" w:cs="宋体"/>
          <w:b/>
          <w:bCs/>
          <w:color w:val="auto"/>
          <w:highlight w:val="none"/>
        </w:rPr>
        <w:t>向招标代理机构缴纳</w:t>
      </w:r>
      <w:r>
        <w:rPr>
          <w:rFonts w:hint="eastAsia" w:ascii="宋体" w:hAnsi="宋体" w:cs="宋体"/>
          <w:b/>
          <w:bCs/>
          <w:color w:val="auto"/>
          <w:highlight w:val="none"/>
          <w:lang w:eastAsia="zh-CN"/>
        </w:rPr>
        <w:t>，</w:t>
      </w:r>
      <w:r>
        <w:rPr>
          <w:rFonts w:hint="eastAsia" w:ascii="宋体" w:hAnsi="宋体" w:cs="宋体"/>
          <w:b/>
          <w:bCs/>
          <w:color w:val="auto"/>
          <w:highlight w:val="none"/>
          <w:lang w:val="en-US" w:eastAsia="zh-CN"/>
        </w:rPr>
        <w:t>本项目为服务类招标项目</w:t>
      </w:r>
      <w:r>
        <w:rPr>
          <w:rFonts w:hint="eastAsia" w:ascii="宋体" w:hAnsi="宋体" w:cs="宋体"/>
          <w:b/>
          <w:bCs/>
          <w:color w:val="auto"/>
          <w:highlight w:val="none"/>
        </w:rPr>
        <w:t>。</w:t>
      </w:r>
    </w:p>
    <w:tbl>
      <w:tblPr>
        <w:tblStyle w:val="23"/>
        <w:tblW w:w="84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31"/>
        <w:gridCol w:w="1854"/>
        <w:gridCol w:w="2056"/>
        <w:gridCol w:w="2205"/>
      </w:tblGrid>
      <w:tr w14:paraId="1702D2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2331" w:type="dxa"/>
            <w:noWrap w:val="0"/>
            <w:vAlign w:val="top"/>
          </w:tcPr>
          <w:p w14:paraId="63002345">
            <w:pPr>
              <w:snapToGrid w:val="0"/>
              <w:ind w:firstLine="1155" w:firstLineChars="550"/>
              <w:rPr>
                <w:rFonts w:hint="eastAsia" w:ascii="宋体" w:hAnsi="宋体" w:cs="宋体"/>
                <w:color w:val="auto"/>
                <w:szCs w:val="21"/>
                <w:highlight w:val="none"/>
              </w:rPr>
            </w:pPr>
            <w:r>
              <w:rPr>
                <w:rFonts w:hint="eastAsia" w:ascii="宋体" w:hAnsi="宋体" w:cs="宋体"/>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29210</wp:posOffset>
                      </wp:positionV>
                      <wp:extent cx="1430655" cy="386080"/>
                      <wp:effectExtent l="1270" t="4445" r="15875" b="9525"/>
                      <wp:wrapNone/>
                      <wp:docPr id="3" name="直接箭头连接符 3"/>
                      <wp:cNvGraphicFramePr/>
                      <a:graphic xmlns:a="http://schemas.openxmlformats.org/drawingml/2006/main">
                        <a:graphicData uri="http://schemas.microsoft.com/office/word/2010/wordprocessingShape">
                          <wps:wsp>
                            <wps:cNvCnPr/>
                            <wps:spPr>
                              <a:xfrm>
                                <a:off x="0" y="0"/>
                                <a:ext cx="1430655" cy="3860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55pt;margin-top:2.3pt;height:30.4pt;width:112.65pt;z-index:251659264;mso-width-relative:page;mso-height-relative:page;" filled="f" stroked="t" coordsize="21600,21600" o:gfxdata="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scpgo1QAAAAcBAAAPAAAAAAAAAAEAIAAAACIAAABkcnMvZG93&#10;bnJldi54bWxQSwECFAAUAAAACACHTuJAtYSjLAMCAADxAwAADgAAAAAAAAABACAAAAAkAQAAZHJz&#10;L2Uyb0RvYy54bWxQSwUGAAAAAAYABgBZAQAAmQUAAAAA&#10;">
                      <v:fill on="f" focussize="0,0"/>
                      <v:stroke color="#000000" joinstyle="round"/>
                      <v:imagedata o:title=""/>
                      <o:lock v:ext="edit" aspectratio="f"/>
                    </v:shape>
                  </w:pict>
                </mc:Fallback>
              </mc:AlternateContent>
            </w:r>
            <w:r>
              <w:rPr>
                <w:rFonts w:hint="eastAsia" w:ascii="宋体" w:hAnsi="宋体" w:cs="宋体"/>
                <w:bCs/>
                <w:color w:val="auto"/>
                <w:szCs w:val="21"/>
                <w:highlight w:val="none"/>
              </w:rPr>
              <w:t>费率</w:t>
            </w:r>
          </w:p>
          <w:p w14:paraId="521ABBCC">
            <w:pPr>
              <w:snapToGrid w:val="0"/>
              <w:rPr>
                <w:rFonts w:hint="eastAsia" w:ascii="宋体" w:hAnsi="宋体" w:cs="宋体"/>
                <w:color w:val="auto"/>
                <w:szCs w:val="21"/>
                <w:highlight w:val="none"/>
              </w:rPr>
            </w:pPr>
            <w:r>
              <w:rPr>
                <w:rFonts w:hint="eastAsia" w:ascii="宋体" w:hAnsi="宋体" w:cs="宋体"/>
                <w:bCs/>
                <w:color w:val="auto"/>
                <w:szCs w:val="21"/>
                <w:highlight w:val="none"/>
              </w:rPr>
              <w:t>中标金额</w:t>
            </w:r>
          </w:p>
        </w:tc>
        <w:tc>
          <w:tcPr>
            <w:tcW w:w="1854" w:type="dxa"/>
            <w:noWrap w:val="0"/>
            <w:vAlign w:val="center"/>
          </w:tcPr>
          <w:p w14:paraId="64B26A24">
            <w:pPr>
              <w:snapToGrid w:val="0"/>
              <w:jc w:val="center"/>
              <w:rPr>
                <w:rFonts w:hint="eastAsia" w:ascii="宋体" w:hAnsi="宋体" w:cs="宋体"/>
                <w:color w:val="auto"/>
                <w:szCs w:val="21"/>
                <w:highlight w:val="none"/>
              </w:rPr>
            </w:pPr>
            <w:r>
              <w:rPr>
                <w:rFonts w:hint="eastAsia" w:ascii="宋体" w:hAnsi="宋体" w:cs="宋体"/>
                <w:bCs/>
                <w:color w:val="auto"/>
                <w:szCs w:val="21"/>
                <w:highlight w:val="none"/>
              </w:rPr>
              <w:t>货物招标</w:t>
            </w:r>
          </w:p>
        </w:tc>
        <w:tc>
          <w:tcPr>
            <w:tcW w:w="2056" w:type="dxa"/>
            <w:noWrap w:val="0"/>
            <w:vAlign w:val="center"/>
          </w:tcPr>
          <w:p w14:paraId="036E6A23">
            <w:pPr>
              <w:snapToGrid w:val="0"/>
              <w:jc w:val="center"/>
              <w:rPr>
                <w:rFonts w:hint="eastAsia" w:ascii="宋体" w:hAnsi="宋体" w:cs="宋体"/>
                <w:color w:val="auto"/>
                <w:szCs w:val="21"/>
                <w:highlight w:val="none"/>
              </w:rPr>
            </w:pPr>
            <w:r>
              <w:rPr>
                <w:rFonts w:hint="eastAsia" w:ascii="宋体" w:hAnsi="宋体" w:cs="宋体"/>
                <w:bCs/>
                <w:color w:val="auto"/>
                <w:szCs w:val="21"/>
                <w:highlight w:val="none"/>
              </w:rPr>
              <w:t>服务招标</w:t>
            </w:r>
          </w:p>
        </w:tc>
        <w:tc>
          <w:tcPr>
            <w:tcW w:w="2205" w:type="dxa"/>
            <w:noWrap w:val="0"/>
            <w:vAlign w:val="center"/>
          </w:tcPr>
          <w:p w14:paraId="03E38175">
            <w:pPr>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工程招标</w:t>
            </w:r>
          </w:p>
        </w:tc>
      </w:tr>
      <w:tr w14:paraId="380EE7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331" w:type="dxa"/>
            <w:noWrap w:val="0"/>
            <w:vAlign w:val="center"/>
          </w:tcPr>
          <w:p w14:paraId="5E06B2D0">
            <w:pPr>
              <w:jc w:val="center"/>
              <w:rPr>
                <w:rFonts w:hint="eastAsia" w:ascii="宋体" w:hAnsi="宋体" w:cs="宋体"/>
                <w:bCs/>
                <w:color w:val="auto"/>
                <w:szCs w:val="21"/>
                <w:highlight w:val="none"/>
              </w:rPr>
            </w:pPr>
            <w:r>
              <w:rPr>
                <w:rFonts w:hint="eastAsia" w:ascii="宋体" w:hAnsi="宋体" w:cs="宋体"/>
                <w:color w:val="auto"/>
                <w:szCs w:val="21"/>
                <w:highlight w:val="none"/>
              </w:rPr>
              <w:t>100万元以下</w:t>
            </w:r>
          </w:p>
        </w:tc>
        <w:tc>
          <w:tcPr>
            <w:tcW w:w="1854" w:type="dxa"/>
            <w:noWrap w:val="0"/>
            <w:vAlign w:val="center"/>
          </w:tcPr>
          <w:p w14:paraId="3BEB95D4">
            <w:pPr>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2056" w:type="dxa"/>
            <w:noWrap w:val="0"/>
            <w:vAlign w:val="center"/>
          </w:tcPr>
          <w:p w14:paraId="0DCD36D6">
            <w:pPr>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2205" w:type="dxa"/>
            <w:noWrap w:val="0"/>
            <w:vAlign w:val="top"/>
          </w:tcPr>
          <w:p w14:paraId="20B4F01E">
            <w:pPr>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rPr>
              <w:t>1.0%</w:t>
            </w:r>
          </w:p>
        </w:tc>
      </w:tr>
      <w:tr w14:paraId="59CB2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331" w:type="dxa"/>
            <w:noWrap w:val="0"/>
            <w:vAlign w:val="center"/>
          </w:tcPr>
          <w:p w14:paraId="1E4B26F3">
            <w:pPr>
              <w:jc w:val="center"/>
              <w:rPr>
                <w:rFonts w:hint="eastAsia" w:ascii="宋体" w:hAnsi="宋体" w:cs="宋体"/>
                <w:color w:val="auto"/>
                <w:szCs w:val="21"/>
                <w:highlight w:val="none"/>
              </w:rPr>
            </w:pPr>
            <w:r>
              <w:rPr>
                <w:rFonts w:hint="eastAsia" w:ascii="宋体" w:hAnsi="宋体" w:cs="宋体"/>
                <w:color w:val="auto"/>
                <w:szCs w:val="21"/>
                <w:highlight w:val="none"/>
              </w:rPr>
              <w:t>100～500万元</w:t>
            </w:r>
          </w:p>
        </w:tc>
        <w:tc>
          <w:tcPr>
            <w:tcW w:w="1854" w:type="dxa"/>
            <w:noWrap w:val="0"/>
            <w:vAlign w:val="center"/>
          </w:tcPr>
          <w:p w14:paraId="0CCB9827">
            <w:pPr>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2056" w:type="dxa"/>
            <w:noWrap w:val="0"/>
            <w:vAlign w:val="center"/>
          </w:tcPr>
          <w:p w14:paraId="0281CBF7">
            <w:pPr>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rPr>
              <w:t>0.8%</w:t>
            </w:r>
          </w:p>
        </w:tc>
        <w:tc>
          <w:tcPr>
            <w:tcW w:w="2205" w:type="dxa"/>
            <w:noWrap w:val="0"/>
            <w:vAlign w:val="top"/>
          </w:tcPr>
          <w:p w14:paraId="0B073A1C">
            <w:pPr>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rPr>
              <w:t>0.7%</w:t>
            </w:r>
          </w:p>
        </w:tc>
      </w:tr>
      <w:tr w14:paraId="5AA58A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331" w:type="dxa"/>
            <w:noWrap w:val="0"/>
            <w:vAlign w:val="center"/>
          </w:tcPr>
          <w:p w14:paraId="796F1448">
            <w:pPr>
              <w:jc w:val="center"/>
              <w:rPr>
                <w:rFonts w:hint="eastAsia" w:ascii="宋体" w:hAnsi="宋体" w:cs="宋体"/>
                <w:color w:val="auto"/>
                <w:szCs w:val="21"/>
                <w:highlight w:val="none"/>
              </w:rPr>
            </w:pPr>
            <w:r>
              <w:rPr>
                <w:rFonts w:hint="eastAsia" w:ascii="宋体" w:hAnsi="宋体" w:cs="宋体"/>
                <w:color w:val="auto"/>
                <w:szCs w:val="21"/>
                <w:highlight w:val="none"/>
              </w:rPr>
              <w:t>500～1000万元</w:t>
            </w:r>
          </w:p>
        </w:tc>
        <w:tc>
          <w:tcPr>
            <w:tcW w:w="1854" w:type="dxa"/>
            <w:noWrap w:val="0"/>
            <w:vAlign w:val="center"/>
          </w:tcPr>
          <w:p w14:paraId="4ABCCC10">
            <w:pPr>
              <w:jc w:val="center"/>
              <w:rPr>
                <w:rFonts w:hint="eastAsia" w:ascii="宋体" w:hAnsi="宋体" w:cs="宋体"/>
                <w:color w:val="auto"/>
                <w:szCs w:val="21"/>
                <w:highlight w:val="none"/>
              </w:rPr>
            </w:pPr>
            <w:r>
              <w:rPr>
                <w:rFonts w:hint="eastAsia" w:ascii="宋体" w:hAnsi="宋体" w:cs="宋体"/>
                <w:color w:val="auto"/>
                <w:szCs w:val="21"/>
                <w:highlight w:val="none"/>
              </w:rPr>
              <w:t>0.8%</w:t>
            </w:r>
          </w:p>
        </w:tc>
        <w:tc>
          <w:tcPr>
            <w:tcW w:w="2056" w:type="dxa"/>
            <w:noWrap w:val="0"/>
            <w:vAlign w:val="center"/>
          </w:tcPr>
          <w:p w14:paraId="2E27C177">
            <w:pPr>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rPr>
              <w:t>0.45%</w:t>
            </w:r>
          </w:p>
        </w:tc>
        <w:tc>
          <w:tcPr>
            <w:tcW w:w="2205" w:type="dxa"/>
            <w:noWrap w:val="0"/>
            <w:vAlign w:val="top"/>
          </w:tcPr>
          <w:p w14:paraId="48C4BD1A">
            <w:pPr>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rPr>
              <w:t>0.55%</w:t>
            </w:r>
          </w:p>
        </w:tc>
      </w:tr>
      <w:tr w14:paraId="286554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6" w:hRule="atLeast"/>
          <w:jc w:val="center"/>
        </w:trPr>
        <w:tc>
          <w:tcPr>
            <w:tcW w:w="2331" w:type="dxa"/>
            <w:noWrap w:val="0"/>
            <w:vAlign w:val="center"/>
          </w:tcPr>
          <w:p w14:paraId="3EAE4477">
            <w:pPr>
              <w:jc w:val="center"/>
              <w:rPr>
                <w:rFonts w:hint="eastAsia" w:ascii="宋体" w:hAnsi="宋体" w:cs="宋体"/>
                <w:color w:val="auto"/>
                <w:szCs w:val="21"/>
                <w:highlight w:val="none"/>
              </w:rPr>
            </w:pPr>
            <w:r>
              <w:rPr>
                <w:rFonts w:hint="eastAsia" w:ascii="宋体" w:hAnsi="宋体" w:cs="宋体"/>
                <w:color w:val="auto"/>
                <w:szCs w:val="21"/>
                <w:highlight w:val="none"/>
              </w:rPr>
              <w:t>1000～5000万元</w:t>
            </w:r>
          </w:p>
        </w:tc>
        <w:tc>
          <w:tcPr>
            <w:tcW w:w="1854" w:type="dxa"/>
            <w:noWrap w:val="0"/>
            <w:vAlign w:val="center"/>
          </w:tcPr>
          <w:p w14:paraId="1864D68B">
            <w:pPr>
              <w:jc w:val="center"/>
              <w:rPr>
                <w:rFonts w:hint="eastAsia" w:ascii="宋体" w:hAnsi="宋体" w:cs="宋体"/>
                <w:color w:val="auto"/>
                <w:szCs w:val="21"/>
                <w:highlight w:val="none"/>
              </w:rPr>
            </w:pPr>
            <w:r>
              <w:rPr>
                <w:rFonts w:hint="eastAsia" w:ascii="宋体" w:hAnsi="宋体" w:cs="宋体"/>
                <w:color w:val="auto"/>
                <w:szCs w:val="21"/>
                <w:highlight w:val="none"/>
              </w:rPr>
              <w:t>0.5%</w:t>
            </w:r>
          </w:p>
        </w:tc>
        <w:tc>
          <w:tcPr>
            <w:tcW w:w="2056" w:type="dxa"/>
            <w:noWrap w:val="0"/>
            <w:vAlign w:val="center"/>
          </w:tcPr>
          <w:p w14:paraId="6CC165CC">
            <w:pPr>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rPr>
              <w:t>0.25%</w:t>
            </w:r>
          </w:p>
        </w:tc>
        <w:tc>
          <w:tcPr>
            <w:tcW w:w="2205" w:type="dxa"/>
            <w:noWrap w:val="0"/>
            <w:vAlign w:val="top"/>
          </w:tcPr>
          <w:p w14:paraId="7F96BCF7">
            <w:pPr>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rPr>
              <w:t>0.35%</w:t>
            </w:r>
          </w:p>
        </w:tc>
      </w:tr>
    </w:tbl>
    <w:p w14:paraId="0805D481">
      <w:pPr>
        <w:spacing w:line="360" w:lineRule="auto"/>
        <w:ind w:left="439" w:hanging="439" w:hangingChars="208"/>
        <w:rPr>
          <w:rFonts w:hint="eastAsia" w:ascii="宋体" w:hAnsi="宋体" w:cs="宋体"/>
          <w:b/>
          <w:bCs/>
          <w:color w:val="auto"/>
          <w:highlight w:val="none"/>
        </w:rPr>
      </w:pPr>
    </w:p>
    <w:p w14:paraId="3220D470">
      <w:pPr>
        <w:spacing w:line="360" w:lineRule="auto"/>
        <w:ind w:left="439" w:hanging="439" w:hangingChars="208"/>
        <w:rPr>
          <w:rFonts w:hint="eastAsia" w:ascii="宋体" w:hAnsi="宋体" w:cs="宋体"/>
          <w:b/>
          <w:bCs/>
          <w:color w:val="auto"/>
          <w:highlight w:val="none"/>
        </w:rPr>
      </w:pPr>
      <w:r>
        <w:rPr>
          <w:rFonts w:hint="eastAsia" w:ascii="宋体" w:hAnsi="宋体" w:cs="宋体"/>
          <w:b/>
          <w:bCs/>
          <w:color w:val="auto"/>
          <w:highlight w:val="none"/>
        </w:rPr>
        <w:t>3</w:t>
      </w:r>
      <w:r>
        <w:rPr>
          <w:rFonts w:hint="eastAsia" w:ascii="宋体" w:hAnsi="宋体" w:cs="宋体"/>
          <w:b/>
          <w:bCs/>
          <w:color w:val="auto"/>
          <w:highlight w:val="none"/>
          <w:lang w:val="en-US" w:eastAsia="zh-CN"/>
        </w:rPr>
        <w:t>5</w:t>
      </w:r>
      <w:r>
        <w:rPr>
          <w:rFonts w:hint="eastAsia" w:ascii="宋体" w:hAnsi="宋体" w:cs="宋体"/>
          <w:b/>
          <w:bCs/>
          <w:color w:val="auto"/>
          <w:highlight w:val="none"/>
        </w:rPr>
        <w:t>.3招标代理服务费由中标</w:t>
      </w:r>
      <w:r>
        <w:rPr>
          <w:rFonts w:hint="eastAsia" w:ascii="宋体" w:hAnsi="宋体" w:cs="宋体"/>
          <w:b/>
          <w:bCs/>
          <w:color w:val="auto"/>
          <w:highlight w:val="none"/>
          <w:lang w:val="en-US" w:eastAsia="zh-CN"/>
        </w:rPr>
        <w:t>人</w:t>
      </w:r>
      <w:r>
        <w:rPr>
          <w:rFonts w:hint="eastAsia" w:ascii="宋体" w:hAnsi="宋体" w:cs="宋体"/>
          <w:b/>
          <w:bCs/>
          <w:color w:val="auto"/>
          <w:highlight w:val="none"/>
        </w:rPr>
        <w:t>通过广咨电子招投标交易平台（http://www.gzebid.cn）向招标代理机构缴交。【严禁采用EFT系统(广东金融结算系统)方式缴纳，如采用此方式导致招投标系统无法识别缴纳账号信息的，视为未按要求缴纳招标代理服务费，由此造成后果由投标</w:t>
      </w:r>
      <w:r>
        <w:rPr>
          <w:rFonts w:hint="eastAsia" w:ascii="宋体" w:hAnsi="宋体" w:cs="宋体"/>
          <w:b/>
          <w:bCs/>
          <w:color w:val="auto"/>
          <w:highlight w:val="none"/>
          <w:lang w:val="en-US" w:eastAsia="zh-CN"/>
        </w:rPr>
        <w:t>人</w:t>
      </w:r>
      <w:r>
        <w:rPr>
          <w:rFonts w:hint="eastAsia" w:ascii="宋体" w:hAnsi="宋体" w:cs="宋体"/>
          <w:b/>
          <w:bCs/>
          <w:color w:val="auto"/>
          <w:highlight w:val="none"/>
        </w:rPr>
        <w:t>自行承担责任。】。</w:t>
      </w:r>
    </w:p>
    <w:p w14:paraId="6D0275FC">
      <w:pPr>
        <w:widowControl/>
        <w:spacing w:line="360" w:lineRule="auto"/>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3</w:t>
      </w:r>
      <w:r>
        <w:rPr>
          <w:rFonts w:hint="eastAsia" w:ascii="宋体" w:hAnsi="宋体" w:cs="宋体"/>
          <w:b/>
          <w:color w:val="auto"/>
          <w:kern w:val="0"/>
          <w:szCs w:val="21"/>
          <w:highlight w:val="none"/>
          <w:lang w:val="en-US" w:eastAsia="zh-CN"/>
        </w:rPr>
        <w:t>6</w:t>
      </w:r>
      <w:r>
        <w:rPr>
          <w:rFonts w:hint="eastAsia" w:ascii="宋体" w:hAnsi="宋体" w:cs="宋体"/>
          <w:b/>
          <w:color w:val="auto"/>
          <w:kern w:val="0"/>
          <w:szCs w:val="21"/>
          <w:highlight w:val="none"/>
        </w:rPr>
        <w:t>、监督与检查</w:t>
      </w:r>
    </w:p>
    <w:p w14:paraId="5DAB5D80">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6</w:t>
      </w:r>
      <w:r>
        <w:rPr>
          <w:rFonts w:hint="eastAsia" w:ascii="宋体" w:hAnsi="宋体" w:cs="宋体"/>
          <w:color w:val="auto"/>
          <w:highlight w:val="none"/>
        </w:rPr>
        <w:t>.1</w:t>
      </w:r>
      <w:r>
        <w:rPr>
          <w:rFonts w:hint="eastAsia" w:ascii="宋体" w:hAnsi="宋体" w:cs="宋体"/>
          <w:color w:val="auto"/>
          <w:kern w:val="0"/>
          <w:szCs w:val="21"/>
          <w:highlight w:val="none"/>
        </w:rPr>
        <w:t>投标人有下列情形之一，则中标、成交无效，投标保证金不予退还，取消投标人一年至三年内参加</w:t>
      </w:r>
      <w:r>
        <w:rPr>
          <w:rFonts w:hint="eastAsia" w:ascii="宋体" w:hAnsi="宋体" w:cs="宋体"/>
          <w:color w:val="auto"/>
          <w:highlight w:val="none"/>
          <w:u w:val="single"/>
        </w:rPr>
        <w:t>广东南方报业传媒集团物业管理有限公司</w:t>
      </w:r>
      <w:r>
        <w:rPr>
          <w:rFonts w:hint="eastAsia" w:ascii="宋体" w:hAnsi="宋体" w:cs="宋体"/>
          <w:color w:val="auto"/>
          <w:highlight w:val="none"/>
        </w:rPr>
        <w:t>招标项目的投标资格并予以公告；给招标人造成损失的，应追究其经济责任或法律责任：</w:t>
      </w:r>
    </w:p>
    <w:p w14:paraId="5BC44AB8">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1.提供虚假投标材料的；</w:t>
      </w:r>
    </w:p>
    <w:p w14:paraId="2E2F8CC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2.采取不正当手段诋毁、排挤其他投标人的；</w:t>
      </w:r>
    </w:p>
    <w:p w14:paraId="6625CA22">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3.与招标单位、其他投标人恶意串通的；</w:t>
      </w:r>
    </w:p>
    <w:p w14:paraId="6A645BA0">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4.向招标单位行贿或者提供其他不正当利益的；</w:t>
      </w:r>
    </w:p>
    <w:p w14:paraId="6241DC8C">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5.其它违法、违纪或违规的行为。</w:t>
      </w:r>
    </w:p>
    <w:p w14:paraId="0F527F94">
      <w:pPr>
        <w:spacing w:line="360" w:lineRule="auto"/>
        <w:rPr>
          <w:rFonts w:hint="eastAsia" w:ascii="宋体" w:hAnsi="宋体" w:cs="宋体"/>
          <w:b/>
          <w:bCs/>
          <w:color w:val="auto"/>
          <w:highlight w:val="none"/>
        </w:rPr>
      </w:pPr>
      <w:r>
        <w:rPr>
          <w:rFonts w:hint="eastAsia" w:ascii="宋体" w:hAnsi="宋体" w:cs="宋体"/>
          <w:b/>
          <w:bCs/>
          <w:color w:val="auto"/>
          <w:highlight w:val="none"/>
        </w:rPr>
        <w:t>3</w:t>
      </w:r>
      <w:r>
        <w:rPr>
          <w:rFonts w:hint="eastAsia" w:ascii="宋体" w:hAnsi="宋体" w:cs="宋体"/>
          <w:b/>
          <w:bCs/>
          <w:color w:val="auto"/>
          <w:highlight w:val="none"/>
          <w:lang w:val="en-US" w:eastAsia="zh-CN"/>
        </w:rPr>
        <w:t>7</w:t>
      </w:r>
      <w:r>
        <w:rPr>
          <w:rFonts w:hint="eastAsia" w:ascii="宋体" w:hAnsi="宋体" w:cs="宋体"/>
          <w:b/>
          <w:bCs/>
          <w:color w:val="auto"/>
          <w:highlight w:val="none"/>
        </w:rPr>
        <w:t>、招标文件的解释权</w:t>
      </w:r>
    </w:p>
    <w:p w14:paraId="0F6A1409">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7</w:t>
      </w:r>
      <w:r>
        <w:rPr>
          <w:rFonts w:hint="eastAsia" w:ascii="宋体" w:hAnsi="宋体" w:cs="宋体"/>
          <w:color w:val="auto"/>
          <w:highlight w:val="none"/>
        </w:rPr>
        <w:t>.1如果投标人对此次招标活动有疑问，可参照相关法律法规向广东省机电设备招标有限公司提出异议。广东省机电设备招标有限公司应当给与答复，并将结果告知有关当事人。异议应符合以下条件，如不符合，广东省机电设备招标有限公司将不予受理。</w:t>
      </w:r>
    </w:p>
    <w:p w14:paraId="543E357C">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(1) 提出异议的应是投标人或者其他利害关系人。</w:t>
      </w:r>
    </w:p>
    <w:p w14:paraId="444FBA97">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(2) 异议必须以书面形式提出，注明异议的项目名称、项目编号、异议</w:t>
      </w:r>
      <w:r>
        <w:rPr>
          <w:rFonts w:hint="eastAsia" w:ascii="宋体" w:hAnsi="宋体" w:cs="宋体"/>
          <w:color w:val="auto"/>
          <w:highlight w:val="none"/>
          <w:lang w:val="en-US" w:eastAsia="zh-CN"/>
        </w:rPr>
        <w:t>投标人</w:t>
      </w:r>
      <w:r>
        <w:rPr>
          <w:rFonts w:hint="eastAsia" w:ascii="宋体" w:hAnsi="宋体" w:cs="宋体"/>
          <w:color w:val="auto"/>
          <w:highlight w:val="none"/>
        </w:rPr>
        <w:t>的单位名称、详细地址、邮政编码、联系人及联系电话等基本情况。</w:t>
      </w:r>
    </w:p>
    <w:p w14:paraId="458C76A5">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(3) 异议文件必须由法定代表人签署或经法定代表人授权的代表签署，加盖单位公章，在规定的时限内将异议书原件送抵广东省机电设备招标有限公司。</w:t>
      </w:r>
    </w:p>
    <w:p w14:paraId="595071C4">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(4) 有异议的具体事项、请求及理由，不得含有虚假、恶意成份，并附相关证据材料，所依据的有关法律、法规、规章的名称及条款内容。</w:t>
      </w:r>
    </w:p>
    <w:p w14:paraId="1D791F39">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(5) 异议材料中有外文资料的，应一并附上中文译本，并以中文译本为准。</w:t>
      </w:r>
    </w:p>
    <w:p w14:paraId="6283598D">
      <w:pPr>
        <w:spacing w:line="360" w:lineRule="auto"/>
        <w:ind w:left="359" w:hanging="359" w:hangingChars="171"/>
        <w:rPr>
          <w:rFonts w:hint="eastAsia" w:ascii="宋体" w:hAnsi="宋体" w:cs="宋体"/>
          <w:color w:val="auto"/>
          <w:highlight w:val="none"/>
        </w:rPr>
      </w:pPr>
      <w:r>
        <w:rPr>
          <w:rFonts w:hint="eastAsia" w:ascii="宋体" w:hAnsi="宋体" w:cs="宋体"/>
          <w:color w:val="auto"/>
          <w:highlight w:val="none"/>
        </w:rPr>
        <w:t>(6) 异议事项属于有关法律、法规和规章规定处于保密阶段的事项，异议的当事人应当提供信息来源或有效证据。</w:t>
      </w:r>
      <w:r>
        <w:rPr>
          <w:rFonts w:hint="eastAsia" w:ascii="宋体" w:hAnsi="宋体" w:cs="宋体"/>
          <w:color w:val="auto"/>
          <w:highlight w:val="none"/>
        </w:rPr>
        <w:br w:type="page"/>
      </w:r>
    </w:p>
    <w:p w14:paraId="77F11FE8">
      <w:pPr>
        <w:pStyle w:val="2"/>
        <w:rPr>
          <w:rFonts w:hint="eastAsia"/>
        </w:rPr>
      </w:pPr>
    </w:p>
    <w:p w14:paraId="52F9D6DD">
      <w:pPr>
        <w:rPr>
          <w:rFonts w:hint="eastAsia" w:ascii="宋体" w:hAnsi="宋体" w:cs="宋体"/>
          <w:color w:val="auto"/>
          <w:sz w:val="24"/>
          <w:szCs w:val="24"/>
          <w:highlight w:val="none"/>
        </w:rPr>
      </w:pPr>
    </w:p>
    <w:p w14:paraId="56F36873">
      <w:pPr>
        <w:rPr>
          <w:rFonts w:hint="eastAsia" w:ascii="宋体" w:hAnsi="宋体" w:cs="宋体"/>
          <w:color w:val="auto"/>
          <w:sz w:val="24"/>
          <w:szCs w:val="24"/>
          <w:highlight w:val="none"/>
        </w:rPr>
      </w:pPr>
    </w:p>
    <w:p w14:paraId="5F9CA627">
      <w:pPr>
        <w:rPr>
          <w:rFonts w:hint="eastAsia" w:ascii="宋体" w:hAnsi="宋体" w:cs="宋体"/>
          <w:color w:val="auto"/>
          <w:sz w:val="24"/>
          <w:szCs w:val="24"/>
          <w:highlight w:val="none"/>
        </w:rPr>
      </w:pPr>
    </w:p>
    <w:p w14:paraId="163674F1">
      <w:pPr>
        <w:rPr>
          <w:rFonts w:hint="eastAsia" w:ascii="宋体" w:hAnsi="宋体" w:cs="宋体"/>
          <w:color w:val="auto"/>
          <w:sz w:val="24"/>
          <w:szCs w:val="24"/>
          <w:highlight w:val="none"/>
        </w:rPr>
      </w:pPr>
    </w:p>
    <w:p w14:paraId="2ABCD2F0">
      <w:pPr>
        <w:rPr>
          <w:rFonts w:hint="eastAsia" w:ascii="宋体" w:hAnsi="宋体" w:cs="宋体"/>
          <w:color w:val="auto"/>
          <w:sz w:val="24"/>
          <w:szCs w:val="24"/>
          <w:highlight w:val="none"/>
        </w:rPr>
      </w:pPr>
    </w:p>
    <w:p w14:paraId="3366EF42">
      <w:pPr>
        <w:rPr>
          <w:rFonts w:hint="eastAsia" w:ascii="宋体" w:hAnsi="宋体" w:cs="宋体"/>
          <w:color w:val="auto"/>
          <w:sz w:val="24"/>
          <w:szCs w:val="24"/>
          <w:highlight w:val="none"/>
        </w:rPr>
      </w:pPr>
    </w:p>
    <w:p w14:paraId="4D94783B">
      <w:pPr>
        <w:rPr>
          <w:rFonts w:hint="eastAsia" w:ascii="宋体" w:hAnsi="宋体" w:cs="宋体"/>
          <w:color w:val="auto"/>
          <w:sz w:val="24"/>
          <w:szCs w:val="24"/>
          <w:highlight w:val="none"/>
        </w:rPr>
      </w:pPr>
    </w:p>
    <w:p w14:paraId="54999D51">
      <w:pPr>
        <w:rPr>
          <w:rFonts w:hint="eastAsia" w:ascii="宋体" w:hAnsi="宋体" w:cs="宋体"/>
          <w:color w:val="auto"/>
          <w:sz w:val="24"/>
          <w:szCs w:val="24"/>
          <w:highlight w:val="none"/>
        </w:rPr>
      </w:pPr>
    </w:p>
    <w:p w14:paraId="2794C8EC">
      <w:pPr>
        <w:rPr>
          <w:rFonts w:hint="eastAsia" w:ascii="宋体" w:hAnsi="宋体" w:cs="宋体"/>
          <w:color w:val="auto"/>
          <w:sz w:val="24"/>
          <w:szCs w:val="24"/>
          <w:highlight w:val="none"/>
        </w:rPr>
      </w:pPr>
    </w:p>
    <w:p w14:paraId="063E7400">
      <w:pPr>
        <w:rPr>
          <w:rFonts w:hint="eastAsia" w:ascii="宋体" w:hAnsi="宋体" w:cs="宋体"/>
          <w:color w:val="auto"/>
          <w:sz w:val="24"/>
          <w:szCs w:val="24"/>
          <w:highlight w:val="none"/>
        </w:rPr>
      </w:pPr>
    </w:p>
    <w:p w14:paraId="235723D9">
      <w:pPr>
        <w:rPr>
          <w:rFonts w:hint="eastAsia" w:ascii="宋体" w:hAnsi="宋体" w:cs="宋体"/>
          <w:color w:val="auto"/>
          <w:sz w:val="24"/>
          <w:szCs w:val="24"/>
          <w:highlight w:val="none"/>
        </w:rPr>
      </w:pPr>
    </w:p>
    <w:p w14:paraId="2615325E">
      <w:pPr>
        <w:rPr>
          <w:rFonts w:hint="eastAsia" w:ascii="宋体" w:hAnsi="宋体" w:cs="宋体"/>
          <w:color w:val="auto"/>
          <w:sz w:val="24"/>
          <w:szCs w:val="24"/>
          <w:highlight w:val="none"/>
        </w:rPr>
      </w:pPr>
    </w:p>
    <w:p w14:paraId="3F4AF56D">
      <w:pPr>
        <w:rPr>
          <w:rFonts w:hint="eastAsia" w:ascii="宋体" w:hAnsi="宋体" w:cs="宋体"/>
          <w:color w:val="auto"/>
          <w:sz w:val="24"/>
          <w:szCs w:val="24"/>
          <w:highlight w:val="none"/>
        </w:rPr>
      </w:pPr>
    </w:p>
    <w:p w14:paraId="00911D7F">
      <w:pPr>
        <w:rPr>
          <w:rFonts w:hint="eastAsia" w:ascii="宋体" w:hAnsi="宋体" w:cs="宋体"/>
          <w:color w:val="auto"/>
          <w:sz w:val="24"/>
          <w:szCs w:val="24"/>
          <w:highlight w:val="none"/>
        </w:rPr>
      </w:pPr>
    </w:p>
    <w:p w14:paraId="14C9B29E">
      <w:pPr>
        <w:numPr>
          <w:ilvl w:val="0"/>
          <w:numId w:val="3"/>
        </w:numPr>
        <w:jc w:val="center"/>
        <w:outlineLvl w:val="0"/>
        <w:rPr>
          <w:rFonts w:hint="eastAsia" w:ascii="宋体" w:hAnsi="宋体" w:cs="宋体"/>
          <w:b/>
          <w:color w:val="auto"/>
          <w:sz w:val="44"/>
          <w:szCs w:val="44"/>
          <w:highlight w:val="none"/>
        </w:rPr>
      </w:pPr>
      <w:bookmarkStart w:id="73" w:name="_Toc477186261"/>
      <w:bookmarkStart w:id="74" w:name="_Toc5009"/>
      <w:r>
        <w:rPr>
          <w:rFonts w:hint="eastAsia" w:ascii="宋体" w:hAnsi="宋体" w:cs="宋体"/>
          <w:b/>
          <w:color w:val="auto"/>
          <w:sz w:val="44"/>
          <w:szCs w:val="44"/>
          <w:highlight w:val="none"/>
        </w:rPr>
        <w:t xml:space="preserve"> </w:t>
      </w:r>
      <w:bookmarkEnd w:id="73"/>
      <w:r>
        <w:rPr>
          <w:rFonts w:hint="eastAsia" w:ascii="宋体" w:hAnsi="宋体" w:cs="宋体"/>
          <w:b/>
          <w:color w:val="auto"/>
          <w:sz w:val="44"/>
          <w:szCs w:val="44"/>
          <w:highlight w:val="none"/>
        </w:rPr>
        <w:t>用户需求书</w:t>
      </w:r>
      <w:bookmarkEnd w:id="74"/>
    </w:p>
    <w:p w14:paraId="0CB8DBAF">
      <w:pPr>
        <w:pStyle w:val="7"/>
        <w:ind w:left="0" w:leftChars="0"/>
        <w:rPr>
          <w:rFonts w:hint="eastAsia" w:ascii="宋体" w:hAnsi="宋体" w:cs="宋体"/>
          <w:color w:val="auto"/>
          <w:highlight w:val="none"/>
        </w:rPr>
      </w:pPr>
    </w:p>
    <w:p w14:paraId="599DDC65">
      <w:pPr>
        <w:rPr>
          <w:rFonts w:hint="eastAsia" w:ascii="宋体" w:hAnsi="宋体" w:cs="宋体"/>
          <w:color w:val="auto"/>
          <w:highlight w:val="none"/>
        </w:rPr>
      </w:pPr>
    </w:p>
    <w:p w14:paraId="602750E4">
      <w:pPr>
        <w:pStyle w:val="7"/>
        <w:rPr>
          <w:rFonts w:hint="eastAsia" w:ascii="宋体" w:hAnsi="宋体" w:cs="宋体"/>
          <w:color w:val="auto"/>
          <w:highlight w:val="none"/>
        </w:rPr>
      </w:pPr>
    </w:p>
    <w:p w14:paraId="6608349B">
      <w:pPr>
        <w:spacing w:line="360" w:lineRule="auto"/>
        <w:rPr>
          <w:rFonts w:hint="eastAsia" w:ascii="宋体" w:hAnsi="宋体" w:cs="宋体"/>
          <w:color w:val="auto"/>
          <w:szCs w:val="21"/>
          <w:highlight w:val="none"/>
        </w:rPr>
      </w:pPr>
      <w:bookmarkStart w:id="75" w:name="_Toc475448858"/>
      <w:bookmarkStart w:id="76" w:name="_Toc474757211"/>
      <w:r>
        <w:rPr>
          <w:rFonts w:hint="eastAsia" w:ascii="宋体" w:hAnsi="宋体" w:cs="宋体"/>
          <w:color w:val="auto"/>
          <w:szCs w:val="21"/>
          <w:highlight w:val="none"/>
        </w:rPr>
        <w:t>1.打“★”号条款为实质性条款，若有任何一条负偏离或不满足则导致投标（响应）无效。</w:t>
      </w:r>
    </w:p>
    <w:p w14:paraId="496E3F6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2.打“▲”号条款为重要技术参数（如有），若有部分“▲”条款未响应或不满足，将根据评审要求影响其得分，但不作为无效投标（响应）条款。</w:t>
      </w:r>
    </w:p>
    <w:p w14:paraId="44458640">
      <w:pPr>
        <w:pStyle w:val="16"/>
        <w:adjustRightInd w:val="0"/>
        <w:snapToGrid w:val="0"/>
        <w:spacing w:line="360" w:lineRule="auto"/>
        <w:jc w:val="left"/>
        <w:rPr>
          <w:rFonts w:hint="eastAsia" w:hAnsi="宋体"/>
          <w:b/>
          <w:sz w:val="28"/>
          <w:szCs w:val="28"/>
          <w:highlight w:val="none"/>
          <w:lang w:val="en-US" w:eastAsia="zh-CN"/>
        </w:rPr>
      </w:pPr>
      <w:r>
        <w:rPr>
          <w:rFonts w:hint="eastAsia" w:ascii="宋体" w:hAnsi="宋体" w:cs="宋体"/>
          <w:color w:val="auto"/>
          <w:sz w:val="24"/>
          <w:szCs w:val="24"/>
          <w:highlight w:val="none"/>
        </w:rPr>
        <w:br w:type="page"/>
      </w:r>
    </w:p>
    <w:p w14:paraId="4DFAE7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422" w:firstLineChars="200"/>
        <w:jc w:val="both"/>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i w:val="0"/>
          <w:caps w:val="0"/>
          <w:color w:val="auto"/>
          <w:spacing w:val="0"/>
          <w:sz w:val="21"/>
          <w:szCs w:val="21"/>
          <w:lang w:val="en-US" w:eastAsia="zh-CN"/>
        </w:rPr>
        <w:t>一、项目概况</w:t>
      </w:r>
    </w:p>
    <w:p w14:paraId="60E2C292">
      <w:pPr>
        <w:keepNext w:val="0"/>
        <w:keepLines w:val="0"/>
        <w:pageBreakBefore w:val="0"/>
        <w:shd w:val="clear" w:color="auto" w:fill="FFFFFF"/>
        <w:tabs>
          <w:tab w:val="left" w:pos="2908"/>
        </w:tabs>
        <w:kinsoku/>
        <w:wordWrap/>
        <w:overflowPunct/>
        <w:topLinePunct w:val="0"/>
        <w:autoSpaceDE/>
        <w:autoSpaceDN/>
        <w:bidi w:val="0"/>
        <w:adjustRightInd/>
        <w:snapToGrid/>
        <w:spacing w:line="560" w:lineRule="exact"/>
        <w:ind w:firstLine="371" w:firstLineChars="177"/>
        <w:jc w:val="left"/>
        <w:textAlignment w:val="auto"/>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sz w:val="21"/>
          <w:szCs w:val="21"/>
          <w:highlight w:val="none"/>
        </w:rPr>
        <w:t>1.项目名称：</w:t>
      </w:r>
      <w:r>
        <w:rPr>
          <w:rFonts w:hint="eastAsia" w:asciiTheme="minorEastAsia" w:hAnsiTheme="minorEastAsia" w:eastAsiaTheme="minorEastAsia" w:cstheme="minorEastAsia"/>
          <w:sz w:val="21"/>
          <w:szCs w:val="21"/>
          <w:highlight w:val="none"/>
          <w:lang w:val="en-US" w:eastAsia="zh-CN"/>
        </w:rPr>
        <w:t>南方报业传媒集团2025至2026年度安保服务。</w:t>
      </w:r>
    </w:p>
    <w:p w14:paraId="604E1869">
      <w:pPr>
        <w:keepNext w:val="0"/>
        <w:keepLines w:val="0"/>
        <w:pageBreakBefore w:val="0"/>
        <w:shd w:val="clear" w:color="auto" w:fill="FFFFFF"/>
        <w:tabs>
          <w:tab w:val="left" w:pos="2908"/>
        </w:tabs>
        <w:kinsoku/>
        <w:wordWrap/>
        <w:overflowPunct/>
        <w:topLinePunct w:val="0"/>
        <w:autoSpaceDE/>
        <w:autoSpaceDN/>
        <w:bidi w:val="0"/>
        <w:adjustRightInd/>
        <w:snapToGrid/>
        <w:spacing w:line="560" w:lineRule="exact"/>
        <w:ind w:firstLine="371" w:firstLineChars="177"/>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lang w:val="en-US" w:eastAsia="zh-CN"/>
        </w:rPr>
        <w:t>项目服务</w:t>
      </w:r>
      <w:r>
        <w:rPr>
          <w:rFonts w:hint="eastAsia" w:asciiTheme="minorEastAsia" w:hAnsiTheme="minorEastAsia" w:eastAsiaTheme="minorEastAsia" w:cstheme="minorEastAsia"/>
          <w:sz w:val="21"/>
          <w:szCs w:val="21"/>
          <w:highlight w:val="none"/>
        </w:rPr>
        <w:t>地点：</w:t>
      </w:r>
      <w:r>
        <w:rPr>
          <w:rFonts w:hint="eastAsia" w:asciiTheme="minorEastAsia" w:hAnsiTheme="minorEastAsia" w:eastAsiaTheme="minorEastAsia" w:cstheme="minorEastAsia"/>
          <w:sz w:val="21"/>
          <w:szCs w:val="21"/>
          <w:highlight w:val="none"/>
          <w:lang w:eastAsia="zh-CN"/>
        </w:rPr>
        <w:t>广州市广州大道中289号</w:t>
      </w:r>
      <w:r>
        <w:rPr>
          <w:rFonts w:hint="eastAsia" w:asciiTheme="minorEastAsia" w:hAnsiTheme="minorEastAsia" w:eastAsiaTheme="minorEastAsia" w:cstheme="minorEastAsia"/>
          <w:sz w:val="21"/>
          <w:szCs w:val="21"/>
          <w:highlight w:val="none"/>
          <w:lang w:val="en-US" w:eastAsia="zh-CN"/>
        </w:rPr>
        <w:t>媒体区院内。</w:t>
      </w:r>
    </w:p>
    <w:p w14:paraId="265616D2">
      <w:pPr>
        <w:keepNext w:val="0"/>
        <w:keepLines w:val="0"/>
        <w:pageBreakBefore w:val="0"/>
        <w:shd w:val="clear" w:color="auto" w:fill="FFFFFF"/>
        <w:tabs>
          <w:tab w:val="left" w:pos="2908"/>
        </w:tabs>
        <w:kinsoku/>
        <w:wordWrap/>
        <w:overflowPunct/>
        <w:topLinePunct w:val="0"/>
        <w:autoSpaceDE/>
        <w:autoSpaceDN/>
        <w:bidi w:val="0"/>
        <w:adjustRightInd/>
        <w:snapToGrid/>
        <w:spacing w:line="560" w:lineRule="exact"/>
        <w:ind w:firstLine="371" w:firstLineChars="177"/>
        <w:jc w:val="left"/>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3.招标单位：广东南方报业传媒集团物业管理有限公司</w:t>
      </w:r>
      <w:r>
        <w:rPr>
          <w:rFonts w:hint="eastAsia" w:asciiTheme="minorEastAsia" w:hAnsiTheme="minorEastAsia" w:eastAsiaTheme="minorEastAsia" w:cstheme="minorEastAsia"/>
          <w:sz w:val="21"/>
          <w:szCs w:val="21"/>
          <w:highlight w:val="none"/>
          <w:lang w:eastAsia="zh-CN"/>
        </w:rPr>
        <w:t>。</w:t>
      </w:r>
    </w:p>
    <w:p w14:paraId="5846E5FF">
      <w:pPr>
        <w:keepNext w:val="0"/>
        <w:keepLines w:val="0"/>
        <w:pageBreakBefore w:val="0"/>
        <w:shd w:val="clear" w:color="auto" w:fill="FFFFFF"/>
        <w:tabs>
          <w:tab w:val="left" w:pos="2908"/>
        </w:tabs>
        <w:kinsoku/>
        <w:wordWrap/>
        <w:overflowPunct/>
        <w:topLinePunct w:val="0"/>
        <w:autoSpaceDE/>
        <w:autoSpaceDN/>
        <w:bidi w:val="0"/>
        <w:adjustRightInd/>
        <w:snapToGrid/>
        <w:spacing w:line="560" w:lineRule="exact"/>
        <w:ind w:firstLine="371" w:firstLineChars="177"/>
        <w:jc w:val="left"/>
        <w:textAlignment w:val="auto"/>
        <w:rPr>
          <w:rFonts w:hint="eastAsia" w:asciiTheme="minorEastAsia" w:hAnsiTheme="minorEastAsia" w:eastAsiaTheme="minorEastAsia" w:cstheme="minorEastAsia"/>
          <w:i w:val="0"/>
          <w:caps w:val="0"/>
          <w:color w:val="000000"/>
          <w:spacing w:val="0"/>
          <w:kern w:val="0"/>
          <w:sz w:val="21"/>
          <w:szCs w:val="21"/>
          <w:u w:val="none"/>
          <w:shd w:val="clear" w:color="auto" w:fill="FFFFFF"/>
          <w:lang w:val="en-US" w:eastAsia="zh-CN" w:bidi="ar"/>
        </w:rPr>
      </w:pPr>
      <w:r>
        <w:rPr>
          <w:rFonts w:hint="eastAsia" w:asciiTheme="minorEastAsia" w:hAnsiTheme="minorEastAsia" w:eastAsiaTheme="minorEastAsia" w:cstheme="minorEastAsia"/>
          <w:sz w:val="21"/>
          <w:szCs w:val="21"/>
          <w:highlight w:val="none"/>
          <w:lang w:val="en-US" w:eastAsia="zh-CN"/>
        </w:rPr>
        <w:t>4.项目合同期限：</w:t>
      </w:r>
      <w:r>
        <w:rPr>
          <w:rFonts w:hint="eastAsia" w:asciiTheme="minorEastAsia" w:hAnsiTheme="minorEastAsia" w:eastAsiaTheme="minorEastAsia" w:cstheme="minorEastAsia"/>
          <w:i w:val="0"/>
          <w:caps w:val="0"/>
          <w:color w:val="000000"/>
          <w:spacing w:val="0"/>
          <w:kern w:val="0"/>
          <w:sz w:val="21"/>
          <w:szCs w:val="21"/>
          <w:shd w:val="clear" w:color="auto" w:fill="FFFFFF"/>
          <w:lang w:val="en-US" w:eastAsia="zh-CN" w:bidi="ar"/>
        </w:rPr>
        <w:t>合同签订为1年+1年模式，第一年合同期限为</w:t>
      </w:r>
      <w:r>
        <w:rPr>
          <w:rFonts w:hint="eastAsia" w:asciiTheme="minorEastAsia" w:hAnsiTheme="minorEastAsia" w:eastAsiaTheme="minorEastAsia" w:cstheme="minorEastAsia"/>
          <w:i w:val="0"/>
          <w:caps w:val="0"/>
          <w:color w:val="000000"/>
          <w:spacing w:val="0"/>
          <w:kern w:val="0"/>
          <w:sz w:val="21"/>
          <w:szCs w:val="21"/>
          <w:u w:val="none"/>
          <w:shd w:val="clear" w:color="auto" w:fill="FFFFFF"/>
          <w:lang w:val="en-US" w:eastAsia="zh-CN" w:bidi="ar"/>
        </w:rPr>
        <w:t>2025年3月1日至2026年2月28日，该合同期内</w:t>
      </w:r>
      <w:r>
        <w:rPr>
          <w:rFonts w:hint="eastAsia" w:asciiTheme="minorEastAsia" w:hAnsiTheme="minorEastAsia" w:eastAsiaTheme="minorEastAsia" w:cstheme="minorEastAsia"/>
          <w:i w:val="0"/>
          <w:caps w:val="0"/>
          <w:color w:val="000000"/>
          <w:spacing w:val="0"/>
          <w:kern w:val="0"/>
          <w:sz w:val="21"/>
          <w:szCs w:val="21"/>
          <w:shd w:val="clear" w:color="auto" w:fill="FFFFFF"/>
          <w:lang w:val="en-US" w:eastAsia="zh-CN" w:bidi="ar"/>
        </w:rPr>
        <w:t>招标人对中标人保安人员的服务工作进行月度考核，若累计三个月未能达到招标人考核标准，本</w:t>
      </w:r>
      <w:r>
        <w:rPr>
          <w:rFonts w:hint="eastAsia" w:asciiTheme="minorEastAsia" w:hAnsiTheme="minorEastAsia" w:eastAsiaTheme="minorEastAsia" w:cstheme="minorEastAsia"/>
          <w:i w:val="0"/>
          <w:caps w:val="0"/>
          <w:color w:val="000000"/>
          <w:spacing w:val="0"/>
          <w:kern w:val="0"/>
          <w:sz w:val="21"/>
          <w:szCs w:val="21"/>
          <w:u w:val="none"/>
          <w:shd w:val="clear" w:color="auto" w:fill="FFFFFF"/>
          <w:lang w:val="en-US" w:eastAsia="zh-CN" w:bidi="ar"/>
        </w:rPr>
        <w:t>合同期</w:t>
      </w:r>
      <w:r>
        <w:rPr>
          <w:rFonts w:hint="eastAsia" w:asciiTheme="minorEastAsia" w:hAnsiTheme="minorEastAsia" w:eastAsiaTheme="minorEastAsia" w:cstheme="minorEastAsia"/>
          <w:i w:val="0"/>
          <w:caps w:val="0"/>
          <w:color w:val="000000"/>
          <w:spacing w:val="0"/>
          <w:kern w:val="0"/>
          <w:sz w:val="21"/>
          <w:szCs w:val="21"/>
          <w:shd w:val="clear" w:color="auto" w:fill="FFFFFF"/>
          <w:lang w:val="en-US" w:eastAsia="zh-CN" w:bidi="ar"/>
        </w:rPr>
        <w:t>到期后自然终止；若未达标次数未达到三个月，则</w:t>
      </w:r>
      <w:r>
        <w:rPr>
          <w:rFonts w:hint="eastAsia" w:asciiTheme="minorEastAsia" w:hAnsiTheme="minorEastAsia" w:eastAsiaTheme="minorEastAsia" w:cstheme="minorEastAsia"/>
          <w:i w:val="0"/>
          <w:caps w:val="0"/>
          <w:color w:val="000000"/>
          <w:spacing w:val="0"/>
          <w:kern w:val="0"/>
          <w:sz w:val="21"/>
          <w:szCs w:val="21"/>
          <w:u w:val="none"/>
          <w:shd w:val="clear" w:color="auto" w:fill="FFFFFF"/>
          <w:lang w:val="en-US" w:eastAsia="zh-CN" w:bidi="ar"/>
        </w:rPr>
        <w:t>合同</w:t>
      </w:r>
      <w:r>
        <w:rPr>
          <w:rFonts w:hint="eastAsia" w:asciiTheme="minorEastAsia" w:hAnsiTheme="minorEastAsia" w:eastAsiaTheme="minorEastAsia" w:cstheme="minorEastAsia"/>
          <w:i w:val="0"/>
          <w:caps w:val="0"/>
          <w:color w:val="000000"/>
          <w:spacing w:val="0"/>
          <w:kern w:val="0"/>
          <w:sz w:val="21"/>
          <w:szCs w:val="21"/>
          <w:shd w:val="clear" w:color="auto" w:fill="FFFFFF"/>
          <w:lang w:val="en-US" w:eastAsia="zh-CN" w:bidi="ar"/>
        </w:rPr>
        <w:t>期延续至</w:t>
      </w:r>
      <w:r>
        <w:rPr>
          <w:rFonts w:hint="eastAsia" w:asciiTheme="minorEastAsia" w:hAnsiTheme="minorEastAsia" w:eastAsiaTheme="minorEastAsia" w:cstheme="minorEastAsia"/>
          <w:i w:val="0"/>
          <w:caps w:val="0"/>
          <w:color w:val="000000"/>
          <w:spacing w:val="0"/>
          <w:kern w:val="0"/>
          <w:sz w:val="21"/>
          <w:szCs w:val="21"/>
          <w:u w:val="none"/>
          <w:shd w:val="clear" w:color="auto" w:fill="FFFFFF"/>
          <w:lang w:val="en-US" w:eastAsia="zh-CN" w:bidi="ar"/>
        </w:rPr>
        <w:t>2027年2月28日。</w:t>
      </w:r>
    </w:p>
    <w:p w14:paraId="2CE94289">
      <w:pPr>
        <w:keepNext w:val="0"/>
        <w:keepLines w:val="0"/>
        <w:pageBreakBefore w:val="0"/>
        <w:shd w:val="clear" w:color="auto" w:fill="FFFFFF"/>
        <w:tabs>
          <w:tab w:val="left" w:pos="2908"/>
        </w:tabs>
        <w:kinsoku/>
        <w:wordWrap/>
        <w:overflowPunct/>
        <w:topLinePunct w:val="0"/>
        <w:autoSpaceDE/>
        <w:autoSpaceDN/>
        <w:bidi w:val="0"/>
        <w:adjustRightInd/>
        <w:snapToGrid/>
        <w:spacing w:line="560" w:lineRule="exact"/>
        <w:ind w:firstLine="371" w:firstLineChars="177"/>
        <w:jc w:val="lef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本项目招标主体为</w:t>
      </w:r>
      <w:r>
        <w:rPr>
          <w:rFonts w:hint="eastAsia" w:asciiTheme="minorEastAsia" w:hAnsiTheme="minorEastAsia" w:eastAsiaTheme="minorEastAsia" w:cstheme="minorEastAsia"/>
          <w:sz w:val="21"/>
          <w:szCs w:val="21"/>
          <w:highlight w:val="none"/>
          <w:lang w:val="en-US" w:eastAsia="zh-CN"/>
        </w:rPr>
        <w:t>广东南方报业传媒集团物业管理有限公司，合同签订主体为</w:t>
      </w:r>
      <w:r>
        <w:rPr>
          <w:rFonts w:hint="eastAsia" w:asciiTheme="minorEastAsia" w:hAnsiTheme="minorEastAsia" w:eastAsiaTheme="minorEastAsia" w:cstheme="minorEastAsia"/>
          <w:sz w:val="21"/>
          <w:szCs w:val="21"/>
          <w:highlight w:val="none"/>
        </w:rPr>
        <w:t>广东南方报业传媒集团</w:t>
      </w:r>
      <w:r>
        <w:rPr>
          <w:rFonts w:hint="eastAsia" w:asciiTheme="minorEastAsia" w:hAnsiTheme="minorEastAsia" w:eastAsiaTheme="minorEastAsia" w:cstheme="minorEastAsia"/>
          <w:sz w:val="21"/>
          <w:szCs w:val="21"/>
          <w:highlight w:val="none"/>
          <w:lang w:val="en-US" w:eastAsia="zh-CN"/>
        </w:rPr>
        <w:t>物业管理</w:t>
      </w:r>
      <w:r>
        <w:rPr>
          <w:rFonts w:hint="eastAsia" w:asciiTheme="minorEastAsia" w:hAnsiTheme="minorEastAsia" w:eastAsiaTheme="minorEastAsia" w:cstheme="minorEastAsia"/>
          <w:sz w:val="21"/>
          <w:szCs w:val="21"/>
          <w:highlight w:val="none"/>
        </w:rPr>
        <w:t>有限公司</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中标人中标后须与合同签订主体签订本项目的服务合同</w:t>
      </w:r>
      <w:r>
        <w:rPr>
          <w:rFonts w:hint="eastAsia" w:asciiTheme="minorEastAsia" w:hAnsiTheme="minorEastAsia" w:eastAsiaTheme="minorEastAsia" w:cstheme="minorEastAsia"/>
          <w:sz w:val="21"/>
          <w:szCs w:val="21"/>
          <w:highlight w:val="none"/>
        </w:rPr>
        <w:t>。</w:t>
      </w:r>
    </w:p>
    <w:p w14:paraId="4F5FA2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422" w:firstLineChars="200"/>
        <w:jc w:val="both"/>
        <w:textAlignment w:val="auto"/>
        <w:rPr>
          <w:rFonts w:hint="eastAsia" w:asciiTheme="minorEastAsia" w:hAnsiTheme="minorEastAsia" w:eastAsiaTheme="minorEastAsia" w:cstheme="minorEastAsia"/>
          <w:b/>
          <w:bCs/>
          <w:i w:val="0"/>
          <w:caps w:val="0"/>
          <w:color w:val="auto"/>
          <w:spacing w:val="0"/>
          <w:sz w:val="21"/>
          <w:szCs w:val="21"/>
          <w:lang w:val="en-US" w:eastAsia="zh-CN"/>
        </w:rPr>
      </w:pPr>
      <w:r>
        <w:rPr>
          <w:rFonts w:hint="eastAsia" w:asciiTheme="minorEastAsia" w:hAnsiTheme="minorEastAsia" w:eastAsiaTheme="minorEastAsia" w:cstheme="minorEastAsia"/>
          <w:b/>
          <w:bCs/>
          <w:color w:val="auto"/>
          <w:sz w:val="21"/>
          <w:szCs w:val="21"/>
          <w:lang w:val="en-US" w:eastAsia="zh-CN"/>
        </w:rPr>
        <w:t>二、</w:t>
      </w:r>
      <w:r>
        <w:rPr>
          <w:rFonts w:hint="eastAsia" w:asciiTheme="minorEastAsia" w:hAnsiTheme="minorEastAsia" w:eastAsiaTheme="minorEastAsia" w:cstheme="minorEastAsia"/>
          <w:b/>
          <w:bCs/>
          <w:i w:val="0"/>
          <w:caps w:val="0"/>
          <w:color w:val="auto"/>
          <w:spacing w:val="0"/>
          <w:sz w:val="21"/>
          <w:szCs w:val="21"/>
          <w:lang w:val="en-US" w:eastAsia="zh-CN"/>
        </w:rPr>
        <w:t>安保服务说明</w:t>
      </w:r>
    </w:p>
    <w:p w14:paraId="362D4D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420" w:firstLineChars="200"/>
        <w:jc w:val="both"/>
        <w:textAlignment w:val="auto"/>
        <w:rPr>
          <w:rFonts w:hint="eastAsia" w:asciiTheme="minorEastAsia" w:hAnsiTheme="minorEastAsia" w:eastAsiaTheme="minorEastAsia" w:cstheme="minorEastAsia"/>
          <w:i w:val="0"/>
          <w:caps w:val="0"/>
          <w:color w:val="auto"/>
          <w:spacing w:val="0"/>
          <w:sz w:val="21"/>
          <w:szCs w:val="21"/>
          <w:lang w:val="en-US" w:eastAsia="zh-CN"/>
        </w:rPr>
      </w:pPr>
      <w:r>
        <w:rPr>
          <w:rFonts w:hint="eastAsia" w:asciiTheme="minorEastAsia" w:hAnsiTheme="minorEastAsia" w:eastAsiaTheme="minorEastAsia" w:cstheme="minorEastAsia"/>
          <w:i w:val="0"/>
          <w:caps w:val="0"/>
          <w:color w:val="auto"/>
          <w:spacing w:val="0"/>
          <w:sz w:val="21"/>
          <w:szCs w:val="21"/>
          <w:lang w:val="en-US" w:eastAsia="zh-CN"/>
        </w:rPr>
        <w:t>1.聘请专业保安公司</w:t>
      </w:r>
      <w:r>
        <w:rPr>
          <w:rFonts w:hint="eastAsia" w:asciiTheme="minorEastAsia" w:hAnsiTheme="minorEastAsia" w:eastAsiaTheme="minorEastAsia" w:cstheme="minorEastAsia"/>
          <w:color w:val="auto"/>
          <w:sz w:val="21"/>
          <w:szCs w:val="21"/>
          <w:highlight w:val="none"/>
          <w:lang w:val="en-US" w:eastAsia="zh-CN"/>
        </w:rPr>
        <w:t>派驻</w:t>
      </w:r>
      <w:r>
        <w:rPr>
          <w:rFonts w:hint="eastAsia" w:asciiTheme="minorEastAsia" w:hAnsiTheme="minorEastAsia" w:eastAsiaTheme="minorEastAsia" w:cstheme="minorEastAsia"/>
          <w:i w:val="0"/>
          <w:caps w:val="0"/>
          <w:color w:val="auto"/>
          <w:spacing w:val="0"/>
          <w:sz w:val="21"/>
          <w:szCs w:val="21"/>
          <w:lang w:val="en-US" w:eastAsia="zh-CN"/>
        </w:rPr>
        <w:t>20名保安人员协助开展安保防范等相关工作，其中保安主管1名，保安员19名。</w:t>
      </w:r>
    </w:p>
    <w:p w14:paraId="486105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420" w:firstLineChars="200"/>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aps w:val="0"/>
          <w:color w:val="auto"/>
          <w:spacing w:val="0"/>
          <w:sz w:val="21"/>
          <w:szCs w:val="21"/>
          <w:lang w:val="en-US" w:eastAsia="zh-CN"/>
        </w:rPr>
        <w:t>2.</w:t>
      </w:r>
      <w:r>
        <w:rPr>
          <w:rFonts w:hint="eastAsia" w:asciiTheme="minorEastAsia" w:hAnsiTheme="minorEastAsia" w:eastAsiaTheme="minorEastAsia" w:cstheme="minorEastAsia"/>
          <w:color w:val="auto"/>
          <w:sz w:val="21"/>
          <w:szCs w:val="21"/>
          <w:highlight w:val="none"/>
          <w:lang w:val="en-US" w:eastAsia="zh-CN"/>
        </w:rPr>
        <w:t>派驻</w:t>
      </w:r>
      <w:r>
        <w:rPr>
          <w:rFonts w:hint="eastAsia" w:asciiTheme="minorEastAsia" w:hAnsiTheme="minorEastAsia" w:eastAsiaTheme="minorEastAsia" w:cstheme="minorEastAsia"/>
          <w:i w:val="0"/>
          <w:caps w:val="0"/>
          <w:color w:val="auto"/>
          <w:spacing w:val="0"/>
          <w:sz w:val="21"/>
          <w:szCs w:val="21"/>
          <w:lang w:val="en-US" w:eastAsia="zh-CN"/>
        </w:rPr>
        <w:t>的保安</w:t>
      </w:r>
      <w:r>
        <w:rPr>
          <w:rFonts w:hint="eastAsia" w:asciiTheme="minorEastAsia" w:hAnsiTheme="minorEastAsia" w:eastAsiaTheme="minorEastAsia" w:cstheme="minorEastAsia"/>
          <w:color w:val="auto"/>
          <w:sz w:val="21"/>
          <w:szCs w:val="21"/>
          <w:highlight w:val="none"/>
          <w:lang w:val="en-US" w:eastAsia="zh-CN"/>
        </w:rPr>
        <w:t>人员每人每</w:t>
      </w:r>
      <w:r>
        <w:rPr>
          <w:rFonts w:hint="eastAsia" w:asciiTheme="minorEastAsia" w:hAnsiTheme="minorEastAsia" w:eastAsiaTheme="minorEastAsia" w:cstheme="minorEastAsia"/>
          <w:color w:val="auto"/>
          <w:sz w:val="21"/>
          <w:szCs w:val="21"/>
          <w:highlight w:val="none"/>
          <w:lang w:eastAsia="zh-CN"/>
        </w:rPr>
        <w:t>周</w:t>
      </w:r>
      <w:r>
        <w:rPr>
          <w:rFonts w:hint="eastAsia" w:asciiTheme="minorEastAsia" w:hAnsiTheme="minorEastAsia" w:eastAsiaTheme="minorEastAsia" w:cstheme="minorEastAsia"/>
          <w:color w:val="auto"/>
          <w:sz w:val="21"/>
          <w:szCs w:val="21"/>
          <w:highlight w:val="none"/>
          <w:lang w:val="en-US" w:eastAsia="zh-CN"/>
        </w:rPr>
        <w:t>工作</w:t>
      </w:r>
      <w:r>
        <w:rPr>
          <w:rFonts w:hint="eastAsia" w:asciiTheme="minorEastAsia" w:hAnsiTheme="minorEastAsia" w:eastAsiaTheme="minorEastAsia" w:cstheme="minorEastAsia"/>
          <w:color w:val="auto"/>
          <w:sz w:val="21"/>
          <w:szCs w:val="21"/>
          <w:highlight w:val="none"/>
          <w:u w:val="none"/>
          <w:lang w:val="en-US" w:eastAsia="zh-CN"/>
        </w:rPr>
        <w:t>6</w:t>
      </w:r>
      <w:r>
        <w:rPr>
          <w:rFonts w:hint="eastAsia" w:asciiTheme="minorEastAsia" w:hAnsiTheme="minorEastAsia" w:eastAsiaTheme="minorEastAsia" w:cstheme="minorEastAsia"/>
          <w:color w:val="auto"/>
          <w:sz w:val="21"/>
          <w:szCs w:val="21"/>
          <w:highlight w:val="none"/>
          <w:lang w:eastAsia="zh-CN"/>
        </w:rPr>
        <w:t>个日历天，</w:t>
      </w:r>
      <w:r>
        <w:rPr>
          <w:rFonts w:hint="eastAsia" w:asciiTheme="minorEastAsia" w:hAnsiTheme="minorEastAsia" w:eastAsiaTheme="minorEastAsia" w:cstheme="minorEastAsia"/>
          <w:color w:val="auto"/>
          <w:sz w:val="21"/>
          <w:szCs w:val="21"/>
          <w:highlight w:val="none"/>
          <w:lang w:val="en-US" w:eastAsia="zh-CN"/>
        </w:rPr>
        <w:t>每人每周工作</w:t>
      </w:r>
      <w:r>
        <w:rPr>
          <w:rFonts w:hint="eastAsia" w:asciiTheme="minorEastAsia" w:hAnsiTheme="minorEastAsia" w:eastAsiaTheme="minorEastAsia" w:cstheme="minorEastAsia"/>
          <w:color w:val="auto"/>
          <w:sz w:val="21"/>
          <w:szCs w:val="21"/>
          <w:highlight w:val="none"/>
          <w:u w:val="none"/>
          <w:lang w:val="en-US" w:eastAsia="zh-CN"/>
        </w:rPr>
        <w:t>44</w:t>
      </w:r>
      <w:r>
        <w:rPr>
          <w:rFonts w:hint="eastAsia" w:asciiTheme="minorEastAsia" w:hAnsiTheme="minorEastAsia" w:eastAsiaTheme="minorEastAsia" w:cstheme="minorEastAsia"/>
          <w:color w:val="auto"/>
          <w:sz w:val="21"/>
          <w:szCs w:val="21"/>
          <w:highlight w:val="none"/>
          <w:lang w:val="en-US" w:eastAsia="zh-CN"/>
        </w:rPr>
        <w:t>小时，如因工作需要加班，每人每周加班时间不超过4小时，具体班次及岗位由招标人安保工作具体管理部门排定；</w:t>
      </w:r>
      <w:r>
        <w:rPr>
          <w:rFonts w:hint="eastAsia" w:asciiTheme="minorEastAsia" w:hAnsiTheme="minorEastAsia" w:eastAsiaTheme="minorEastAsia" w:cstheme="minorEastAsia"/>
          <w:sz w:val="21"/>
          <w:szCs w:val="21"/>
          <w:lang w:val="en-US" w:eastAsia="zh-CN"/>
        </w:rPr>
        <w:t>法定节假日须按排定的班次上岗执勤</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sz w:val="21"/>
          <w:szCs w:val="21"/>
          <w:lang w:val="en-US" w:eastAsia="zh-CN"/>
        </w:rPr>
        <w:t>不得无故要求放假休息，若确有事需要休息，须提前一周向招标人提出申请，经批准后方可休息。</w:t>
      </w:r>
    </w:p>
    <w:p w14:paraId="763152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420" w:firstLineChars="200"/>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color w:val="auto"/>
          <w:sz w:val="21"/>
          <w:szCs w:val="21"/>
          <w:highlight w:val="none"/>
          <w:lang w:val="en-US" w:eastAsia="zh-CN"/>
        </w:rPr>
        <w:t>保安人</w:t>
      </w:r>
      <w:r>
        <w:rPr>
          <w:rFonts w:hint="eastAsia" w:asciiTheme="minorEastAsia" w:hAnsiTheme="minorEastAsia" w:eastAsiaTheme="minorEastAsia" w:cstheme="minorEastAsia"/>
          <w:color w:val="auto"/>
          <w:sz w:val="21"/>
          <w:szCs w:val="21"/>
          <w:highlight w:val="none"/>
        </w:rPr>
        <w:t>员须随时保持足额</w:t>
      </w:r>
      <w:r>
        <w:rPr>
          <w:rFonts w:hint="eastAsia" w:asciiTheme="minorEastAsia" w:hAnsiTheme="minorEastAsia" w:eastAsiaTheme="minorEastAsia" w:cstheme="minorEastAsia"/>
          <w:color w:val="auto"/>
          <w:sz w:val="21"/>
          <w:szCs w:val="21"/>
          <w:highlight w:val="none"/>
          <w:lang w:val="en-US" w:eastAsia="zh-CN"/>
        </w:rPr>
        <w:t>派驻</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且须相对固定，不得随意更换，</w:t>
      </w:r>
      <w:r>
        <w:rPr>
          <w:rFonts w:hint="eastAsia" w:asciiTheme="minorEastAsia" w:hAnsiTheme="minorEastAsia" w:eastAsiaTheme="minorEastAsia" w:cstheme="minorEastAsia"/>
          <w:color w:val="auto"/>
          <w:sz w:val="21"/>
          <w:szCs w:val="21"/>
          <w:highlight w:val="none"/>
        </w:rPr>
        <w:t>因工作需要临时性借调或因病（事）请假，</w:t>
      </w:r>
      <w:r>
        <w:rPr>
          <w:rFonts w:hint="eastAsia" w:asciiTheme="minorEastAsia" w:hAnsiTheme="minorEastAsia" w:eastAsiaTheme="minorEastAsia" w:cstheme="minorEastAsia"/>
          <w:color w:val="auto"/>
          <w:sz w:val="21"/>
          <w:szCs w:val="21"/>
          <w:highlight w:val="none"/>
          <w:lang w:val="en-US" w:eastAsia="zh-CN"/>
        </w:rPr>
        <w:t>中标人</w:t>
      </w:r>
      <w:r>
        <w:rPr>
          <w:rFonts w:hint="eastAsia" w:asciiTheme="minorEastAsia" w:hAnsiTheme="minorEastAsia" w:eastAsiaTheme="minorEastAsia" w:cstheme="minorEastAsia"/>
          <w:color w:val="auto"/>
          <w:sz w:val="21"/>
          <w:szCs w:val="21"/>
          <w:highlight w:val="none"/>
        </w:rPr>
        <w:t>需提前</w:t>
      </w:r>
      <w:r>
        <w:rPr>
          <w:rFonts w:hint="eastAsia" w:asciiTheme="minorEastAsia" w:hAnsiTheme="minorEastAsia" w:eastAsiaTheme="minorEastAsia" w:cstheme="minorEastAsia"/>
          <w:color w:val="auto"/>
          <w:sz w:val="21"/>
          <w:szCs w:val="21"/>
          <w:highlight w:val="none"/>
          <w:lang w:val="en-US" w:eastAsia="zh-CN"/>
        </w:rPr>
        <w:t>书面</w:t>
      </w:r>
      <w:r>
        <w:rPr>
          <w:rFonts w:hint="eastAsia" w:asciiTheme="minorEastAsia" w:hAnsiTheme="minorEastAsia" w:eastAsiaTheme="minorEastAsia" w:cstheme="minorEastAsia"/>
          <w:color w:val="auto"/>
          <w:sz w:val="21"/>
          <w:szCs w:val="21"/>
          <w:highlight w:val="none"/>
        </w:rPr>
        <w:t>通知</w:t>
      </w:r>
      <w:r>
        <w:rPr>
          <w:rFonts w:hint="eastAsia" w:asciiTheme="minorEastAsia" w:hAnsiTheme="minorEastAsia" w:eastAsiaTheme="minorEastAsia" w:cstheme="minorEastAsia"/>
          <w:color w:val="auto"/>
          <w:sz w:val="21"/>
          <w:szCs w:val="21"/>
          <w:highlight w:val="none"/>
          <w:lang w:val="en-US" w:eastAsia="zh-CN"/>
        </w:rPr>
        <w:t>招标人安保工作具体管理部门（集团服务中心保安部），</w:t>
      </w:r>
      <w:r>
        <w:rPr>
          <w:rFonts w:hint="eastAsia" w:asciiTheme="minorEastAsia" w:hAnsiTheme="minorEastAsia" w:eastAsiaTheme="minorEastAsia" w:cstheme="minorEastAsia"/>
          <w:color w:val="auto"/>
          <w:sz w:val="21"/>
          <w:szCs w:val="21"/>
          <w:highlight w:val="none"/>
        </w:rPr>
        <w:t>并及时另外</w:t>
      </w:r>
      <w:r>
        <w:rPr>
          <w:rFonts w:hint="eastAsia" w:asciiTheme="minorEastAsia" w:hAnsiTheme="minorEastAsia" w:eastAsiaTheme="minorEastAsia" w:cstheme="minorEastAsia"/>
          <w:color w:val="auto"/>
          <w:sz w:val="21"/>
          <w:szCs w:val="21"/>
          <w:highlight w:val="none"/>
          <w:lang w:val="en-US" w:eastAsia="zh-CN"/>
        </w:rPr>
        <w:t>派遣人</w:t>
      </w:r>
      <w:r>
        <w:rPr>
          <w:rFonts w:hint="eastAsia" w:asciiTheme="minorEastAsia" w:hAnsiTheme="minorEastAsia" w:eastAsiaTheme="minorEastAsia" w:cstheme="minorEastAsia"/>
          <w:color w:val="auto"/>
          <w:sz w:val="21"/>
          <w:szCs w:val="21"/>
          <w:highlight w:val="none"/>
        </w:rPr>
        <w:t>员顶岗值班。</w:t>
      </w:r>
    </w:p>
    <w:p w14:paraId="788EF1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4.保安人</w:t>
      </w:r>
      <w:r>
        <w:rPr>
          <w:rFonts w:hint="eastAsia" w:asciiTheme="minorEastAsia" w:hAnsiTheme="minorEastAsia" w:eastAsiaTheme="minorEastAsia" w:cstheme="minorEastAsia"/>
          <w:color w:val="auto"/>
          <w:sz w:val="21"/>
          <w:szCs w:val="21"/>
          <w:highlight w:val="none"/>
        </w:rPr>
        <w:t>员工作</w:t>
      </w:r>
      <w:r>
        <w:rPr>
          <w:rFonts w:hint="eastAsia" w:asciiTheme="minorEastAsia" w:hAnsiTheme="minorEastAsia" w:eastAsiaTheme="minorEastAsia" w:cstheme="minorEastAsia"/>
          <w:color w:val="auto"/>
          <w:sz w:val="21"/>
          <w:szCs w:val="21"/>
          <w:highlight w:val="none"/>
          <w:lang w:val="en-US" w:eastAsia="zh-CN"/>
        </w:rPr>
        <w:t>能力不能达到招标人要求</w:t>
      </w:r>
      <w:r>
        <w:rPr>
          <w:rFonts w:hint="eastAsia" w:asciiTheme="minorEastAsia" w:hAnsiTheme="minorEastAsia" w:eastAsiaTheme="minorEastAsia" w:cstheme="minorEastAsia"/>
          <w:color w:val="auto"/>
          <w:sz w:val="21"/>
          <w:szCs w:val="21"/>
          <w:highlight w:val="none"/>
        </w:rPr>
        <w:t>或</w:t>
      </w:r>
      <w:r>
        <w:rPr>
          <w:rFonts w:hint="eastAsia" w:asciiTheme="minorEastAsia" w:hAnsiTheme="minorEastAsia" w:eastAsiaTheme="minorEastAsia" w:cstheme="minorEastAsia"/>
          <w:color w:val="auto"/>
          <w:sz w:val="21"/>
          <w:szCs w:val="21"/>
          <w:highlight w:val="none"/>
          <w:lang w:val="en-US" w:eastAsia="zh-CN"/>
        </w:rPr>
        <w:t>有</w:t>
      </w:r>
      <w:r>
        <w:rPr>
          <w:rFonts w:hint="eastAsia" w:asciiTheme="minorEastAsia" w:hAnsiTheme="minorEastAsia" w:eastAsiaTheme="minorEastAsia" w:cstheme="minorEastAsia"/>
          <w:color w:val="auto"/>
          <w:sz w:val="21"/>
          <w:szCs w:val="21"/>
          <w:highlight w:val="none"/>
        </w:rPr>
        <w:t>其他原因不具备保安员条件的，</w:t>
      </w:r>
      <w:r>
        <w:rPr>
          <w:rFonts w:hint="eastAsia" w:asciiTheme="minorEastAsia" w:hAnsiTheme="minorEastAsia" w:eastAsiaTheme="minorEastAsia" w:cstheme="minorEastAsia"/>
          <w:color w:val="auto"/>
          <w:sz w:val="21"/>
          <w:szCs w:val="21"/>
          <w:highlight w:val="none"/>
          <w:lang w:val="en-US" w:eastAsia="zh-CN"/>
        </w:rPr>
        <w:t>招标人</w:t>
      </w:r>
      <w:r>
        <w:rPr>
          <w:rFonts w:hint="eastAsia" w:asciiTheme="minorEastAsia" w:hAnsiTheme="minorEastAsia" w:eastAsiaTheme="minorEastAsia" w:cstheme="minorEastAsia"/>
          <w:color w:val="auto"/>
          <w:sz w:val="21"/>
          <w:szCs w:val="21"/>
          <w:highlight w:val="none"/>
        </w:rPr>
        <w:t>向</w:t>
      </w:r>
      <w:r>
        <w:rPr>
          <w:rFonts w:hint="eastAsia" w:asciiTheme="minorEastAsia" w:hAnsiTheme="minorEastAsia" w:eastAsiaTheme="minorEastAsia" w:cstheme="minorEastAsia"/>
          <w:color w:val="auto"/>
          <w:sz w:val="21"/>
          <w:szCs w:val="21"/>
          <w:highlight w:val="none"/>
          <w:lang w:val="en-US" w:eastAsia="zh-CN"/>
        </w:rPr>
        <w:t>中标人</w:t>
      </w:r>
      <w:r>
        <w:rPr>
          <w:rFonts w:hint="eastAsia" w:asciiTheme="minorEastAsia" w:hAnsiTheme="minorEastAsia" w:eastAsiaTheme="minorEastAsia" w:cstheme="minorEastAsia"/>
          <w:color w:val="auto"/>
          <w:sz w:val="21"/>
          <w:szCs w:val="21"/>
          <w:highlight w:val="none"/>
        </w:rPr>
        <w:t>提出更换要求（以书面形式为准）</w:t>
      </w:r>
      <w:r>
        <w:rPr>
          <w:rFonts w:hint="eastAsia" w:asciiTheme="minorEastAsia" w:hAnsiTheme="minorEastAsia" w:eastAsiaTheme="minorEastAsia" w:cstheme="minorEastAsia"/>
          <w:color w:val="auto"/>
          <w:sz w:val="21"/>
          <w:szCs w:val="21"/>
          <w:highlight w:val="none"/>
          <w:lang w:val="en-US" w:eastAsia="zh-CN"/>
        </w:rPr>
        <w:t>后</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中标人</w:t>
      </w:r>
      <w:r>
        <w:rPr>
          <w:rFonts w:hint="eastAsia" w:asciiTheme="minorEastAsia" w:hAnsiTheme="minorEastAsia" w:eastAsiaTheme="minorEastAsia" w:cstheme="minorEastAsia"/>
          <w:color w:val="auto"/>
          <w:sz w:val="21"/>
          <w:szCs w:val="21"/>
          <w:highlight w:val="none"/>
        </w:rPr>
        <w:t>应在十个工作日内进行更换</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且拟更换派遣人</w:t>
      </w:r>
      <w:r>
        <w:rPr>
          <w:rFonts w:hint="eastAsia" w:asciiTheme="minorEastAsia" w:hAnsiTheme="minorEastAsia" w:eastAsiaTheme="minorEastAsia" w:cstheme="minorEastAsia"/>
          <w:color w:val="auto"/>
          <w:sz w:val="21"/>
          <w:szCs w:val="21"/>
          <w:highlight w:val="none"/>
        </w:rPr>
        <w:t>员须经</w:t>
      </w:r>
      <w:r>
        <w:rPr>
          <w:rFonts w:hint="eastAsia" w:asciiTheme="minorEastAsia" w:hAnsiTheme="minorEastAsia" w:eastAsiaTheme="minorEastAsia" w:cstheme="minorEastAsia"/>
          <w:color w:val="auto"/>
          <w:sz w:val="21"/>
          <w:szCs w:val="21"/>
          <w:highlight w:val="none"/>
          <w:lang w:val="en-US" w:eastAsia="zh-CN"/>
        </w:rPr>
        <w:t>招标人试用</w:t>
      </w:r>
      <w:r>
        <w:rPr>
          <w:rFonts w:hint="eastAsia" w:asciiTheme="minorEastAsia" w:hAnsiTheme="minorEastAsia" w:eastAsiaTheme="minorEastAsia" w:cstheme="minorEastAsia"/>
          <w:color w:val="auto"/>
          <w:sz w:val="21"/>
          <w:szCs w:val="21"/>
          <w:highlight w:val="none"/>
        </w:rPr>
        <w:t>认可方可上岗</w:t>
      </w:r>
      <w:r>
        <w:rPr>
          <w:rFonts w:hint="eastAsia" w:asciiTheme="minorEastAsia" w:hAnsiTheme="minorEastAsia" w:eastAsiaTheme="minorEastAsia" w:cstheme="minorEastAsia"/>
          <w:color w:val="auto"/>
          <w:sz w:val="21"/>
          <w:szCs w:val="21"/>
          <w:highlight w:val="none"/>
          <w:lang w:val="en-US" w:eastAsia="zh-CN"/>
        </w:rPr>
        <w:t>服务，试用期为15个日历天，试用期间不算作中标人正式派驻人员。</w:t>
      </w:r>
    </w:p>
    <w:p w14:paraId="79E29A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420" w:firstLineChars="200"/>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5.中标人自行为派驻保安人员配发符合保安服务管理条例规定的统一保安制服，保安制服样式须经招标人认可。</w:t>
      </w:r>
    </w:p>
    <w:p w14:paraId="6A8391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420" w:firstLineChars="200"/>
        <w:jc w:val="both"/>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6.招标人单位按实际住宿需求为中标人派驻的保安人员提供免费住宿（住宿期间产生的水电费由招标人承担）；中标人派驻的保安人员自理餐饮（招标人单位有员工饭堂可供保安人员自费就餐）。</w:t>
      </w:r>
    </w:p>
    <w:p w14:paraId="588C3B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422" w:firstLineChars="200"/>
        <w:jc w:val="both"/>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三、安保服务工作内容</w:t>
      </w:r>
    </w:p>
    <w:p w14:paraId="30D61F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2"/>
        <w:jc w:val="both"/>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按照南方报业传媒集团、招标</w:t>
      </w:r>
      <w:r>
        <w:rPr>
          <w:rFonts w:hint="eastAsia" w:asciiTheme="minorEastAsia" w:hAnsiTheme="minorEastAsia" w:eastAsiaTheme="minorEastAsia" w:cstheme="minorEastAsia"/>
          <w:kern w:val="0"/>
          <w:sz w:val="21"/>
          <w:szCs w:val="21"/>
          <w:lang w:val="en-US" w:eastAsia="zh-CN"/>
        </w:rPr>
        <w:t>人单位</w:t>
      </w:r>
      <w:r>
        <w:rPr>
          <w:rFonts w:hint="eastAsia" w:asciiTheme="minorEastAsia" w:hAnsiTheme="minorEastAsia" w:eastAsiaTheme="minorEastAsia" w:cstheme="minorEastAsia"/>
          <w:kern w:val="0"/>
          <w:sz w:val="21"/>
          <w:szCs w:val="21"/>
        </w:rPr>
        <w:t>的</w:t>
      </w:r>
      <w:r>
        <w:rPr>
          <w:rFonts w:hint="eastAsia" w:asciiTheme="minorEastAsia" w:hAnsiTheme="minorEastAsia" w:eastAsiaTheme="minorEastAsia" w:cstheme="minorEastAsia"/>
          <w:kern w:val="0"/>
          <w:sz w:val="21"/>
          <w:szCs w:val="21"/>
          <w:lang w:val="en-US" w:eastAsia="zh-CN"/>
        </w:rPr>
        <w:t>相关</w:t>
      </w:r>
      <w:r>
        <w:rPr>
          <w:rFonts w:hint="eastAsia" w:asciiTheme="minorEastAsia" w:hAnsiTheme="minorEastAsia" w:eastAsiaTheme="minorEastAsia" w:cstheme="minorEastAsia"/>
          <w:kern w:val="0"/>
          <w:sz w:val="21"/>
          <w:szCs w:val="21"/>
        </w:rPr>
        <w:t>制度和日常管理措施要求，</w:t>
      </w:r>
      <w:r>
        <w:rPr>
          <w:rFonts w:hint="eastAsia" w:asciiTheme="minorEastAsia" w:hAnsiTheme="minorEastAsia" w:eastAsiaTheme="minorEastAsia" w:cstheme="minorEastAsia"/>
          <w:kern w:val="0"/>
          <w:sz w:val="21"/>
          <w:szCs w:val="21"/>
          <w:lang w:val="en-US" w:eastAsia="zh-CN"/>
        </w:rPr>
        <w:t>协助承担开展下列安保工作：</w:t>
      </w:r>
    </w:p>
    <w:p w14:paraId="30BD56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2"/>
        <w:jc w:val="both"/>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人、车、物的日常安全管</w:t>
      </w:r>
      <w:r>
        <w:rPr>
          <w:rFonts w:hint="eastAsia" w:asciiTheme="minorEastAsia" w:hAnsiTheme="minorEastAsia" w:eastAsiaTheme="minorEastAsia" w:cstheme="minorEastAsia"/>
          <w:kern w:val="0"/>
          <w:sz w:val="21"/>
          <w:szCs w:val="21"/>
          <w:lang w:val="en-US" w:eastAsia="zh-CN"/>
        </w:rPr>
        <w:t>理；</w:t>
      </w:r>
    </w:p>
    <w:p w14:paraId="78CDB1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2"/>
        <w:jc w:val="both"/>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2.消防、安保、治安、防汛等安全巡查；</w:t>
      </w:r>
    </w:p>
    <w:p w14:paraId="14F9E5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2"/>
        <w:jc w:val="both"/>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3.突发事件的应急配合处置；</w:t>
      </w:r>
    </w:p>
    <w:p w14:paraId="1F8D19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2"/>
        <w:jc w:val="both"/>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4.各项安保系统设备（消防、视频监控、防暴、巡更、车管、立体机械车位等）的日常维护管理及操作运用；</w:t>
      </w:r>
    </w:p>
    <w:p w14:paraId="543498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2"/>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5.参与并配合执行各项演练、培训活动</w:t>
      </w:r>
      <w:r>
        <w:rPr>
          <w:rFonts w:hint="eastAsia" w:asciiTheme="minorEastAsia" w:hAnsiTheme="minorEastAsia" w:eastAsiaTheme="minorEastAsia" w:cstheme="minorEastAsia"/>
          <w:kern w:val="0"/>
          <w:sz w:val="21"/>
          <w:szCs w:val="21"/>
        </w:rPr>
        <w:t>。</w:t>
      </w:r>
    </w:p>
    <w:p w14:paraId="2A70AE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422" w:firstLineChars="200"/>
        <w:jc w:val="both"/>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四、安保人员要求</w:t>
      </w:r>
    </w:p>
    <w:p w14:paraId="098C94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2"/>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1.年龄在20--45岁之间，复转、退伍军人及有连续5年以上保安工作经验者可放宽到48岁；身高一般不低于170cm。</w:t>
      </w:r>
    </w:p>
    <w:p w14:paraId="5D6898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2"/>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2.相貌端庄、身形匀称、身体健康；有纹身、有明显疤痕人员不予选用。</w:t>
      </w:r>
    </w:p>
    <w:p w14:paraId="59F5C2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2"/>
        <w:jc w:val="both"/>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3.具有高中或以上文化程度，持有效《保安员证》，至少有5人持有有效《消防设施操作员证》。</w:t>
      </w:r>
    </w:p>
    <w:p w14:paraId="104A78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2"/>
        <w:jc w:val="both"/>
        <w:textAlignment w:val="auto"/>
        <w:rPr>
          <w:rFonts w:hint="eastAsia" w:asciiTheme="minorEastAsia" w:hAnsiTheme="minorEastAsia" w:eastAsiaTheme="minorEastAsia" w:cstheme="minorEastAsia"/>
          <w:b w:val="0"/>
          <w:bCs w:val="0"/>
          <w:kern w:val="0"/>
          <w:sz w:val="21"/>
          <w:szCs w:val="21"/>
          <w:shd w:val="clear" w:fill="FFFFFF"/>
          <w:lang w:val="en-US" w:eastAsia="zh-CN" w:bidi="ar"/>
        </w:rPr>
      </w:pP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kern w:val="0"/>
          <w:sz w:val="21"/>
          <w:szCs w:val="21"/>
          <w:shd w:val="clear" w:fill="FFFFFF"/>
          <w:lang w:val="en-US" w:eastAsia="zh-CN" w:bidi="ar"/>
        </w:rPr>
        <w:t>无犯罪及不良征信记录（提供无犯罪记录及征信证明）。</w:t>
      </w:r>
    </w:p>
    <w:p w14:paraId="3B9D36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2"/>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保安</w:t>
      </w:r>
      <w:r>
        <w:rPr>
          <w:rFonts w:hint="eastAsia" w:asciiTheme="minorEastAsia" w:hAnsiTheme="minorEastAsia" w:eastAsiaTheme="minorEastAsia" w:cstheme="minorEastAsia"/>
          <w:sz w:val="21"/>
          <w:szCs w:val="21"/>
          <w:lang w:val="en-US" w:eastAsia="zh-CN"/>
        </w:rPr>
        <w:t>主管</w:t>
      </w:r>
      <w:r>
        <w:rPr>
          <w:rFonts w:hint="eastAsia" w:asciiTheme="minorEastAsia" w:hAnsiTheme="minorEastAsia" w:eastAsiaTheme="minorEastAsia" w:cstheme="minorEastAsia"/>
          <w:sz w:val="21"/>
          <w:szCs w:val="21"/>
        </w:rPr>
        <w:t>须有</w:t>
      </w:r>
      <w:r>
        <w:rPr>
          <w:rFonts w:hint="eastAsia" w:asciiTheme="minorEastAsia" w:hAnsiTheme="minorEastAsia" w:eastAsiaTheme="minorEastAsia" w:cstheme="minorEastAsia"/>
          <w:sz w:val="21"/>
          <w:szCs w:val="21"/>
          <w:lang w:val="en-US" w:eastAsia="zh-CN"/>
        </w:rPr>
        <w:t>两年或以上</w:t>
      </w:r>
      <w:r>
        <w:rPr>
          <w:rFonts w:hint="eastAsia" w:asciiTheme="minorEastAsia" w:hAnsiTheme="minorEastAsia" w:eastAsiaTheme="minorEastAsia" w:cstheme="minorEastAsia"/>
          <w:sz w:val="21"/>
          <w:szCs w:val="21"/>
        </w:rPr>
        <w:t>安保管理工作经验</w:t>
      </w:r>
      <w:r>
        <w:rPr>
          <w:rFonts w:hint="eastAsia" w:asciiTheme="minorEastAsia" w:hAnsiTheme="minorEastAsia" w:eastAsiaTheme="minorEastAsia" w:cstheme="minorEastAsia"/>
          <w:sz w:val="21"/>
          <w:szCs w:val="21"/>
          <w:lang w:eastAsia="zh-CN"/>
        </w:rPr>
        <w:t>。</w:t>
      </w:r>
    </w:p>
    <w:p w14:paraId="3ED81D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2"/>
        <w:jc w:val="both"/>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6.</w:t>
      </w:r>
      <w:r>
        <w:rPr>
          <w:rFonts w:hint="eastAsia" w:asciiTheme="minorEastAsia" w:hAnsiTheme="minorEastAsia" w:eastAsiaTheme="minorEastAsia" w:cstheme="minorEastAsia"/>
          <w:kern w:val="0"/>
          <w:sz w:val="21"/>
          <w:szCs w:val="21"/>
        </w:rPr>
        <w:t>遵纪守法，遵守南方报业传媒集团、</w:t>
      </w:r>
      <w:r>
        <w:rPr>
          <w:rFonts w:hint="eastAsia" w:asciiTheme="minorEastAsia" w:hAnsiTheme="minorEastAsia" w:eastAsiaTheme="minorEastAsia" w:cstheme="minorEastAsia"/>
          <w:kern w:val="0"/>
          <w:sz w:val="21"/>
          <w:szCs w:val="21"/>
          <w:lang w:val="en-US" w:eastAsia="zh-CN"/>
        </w:rPr>
        <w:t>招标人单位的相关规章</w:t>
      </w:r>
      <w:r>
        <w:rPr>
          <w:rFonts w:hint="eastAsia" w:asciiTheme="minorEastAsia" w:hAnsiTheme="minorEastAsia" w:eastAsiaTheme="minorEastAsia" w:cstheme="minorEastAsia"/>
          <w:kern w:val="0"/>
          <w:sz w:val="21"/>
          <w:szCs w:val="21"/>
        </w:rPr>
        <w:t>制度</w:t>
      </w:r>
      <w:r>
        <w:rPr>
          <w:rFonts w:hint="eastAsia" w:asciiTheme="minorEastAsia" w:hAnsiTheme="minorEastAsia" w:eastAsiaTheme="minorEastAsia" w:cstheme="minorEastAsia"/>
          <w:kern w:val="0"/>
          <w:sz w:val="21"/>
          <w:szCs w:val="21"/>
          <w:lang w:eastAsia="zh-CN"/>
        </w:rPr>
        <w:t>。</w:t>
      </w:r>
    </w:p>
    <w:p w14:paraId="611634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2"/>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b w:val="0"/>
          <w:bCs w:val="0"/>
          <w:kern w:val="0"/>
          <w:sz w:val="21"/>
          <w:szCs w:val="21"/>
          <w:shd w:val="clear" w:fill="FFFFFF"/>
          <w:lang w:val="en-US" w:eastAsia="zh-CN" w:bidi="ar"/>
        </w:rPr>
        <w:t>7.吃苦耐劳，服从工作安排（包括且不限于日常岗位值班、额外加值班、参与临时性突发事件应急处置等）、调度及指挥</w:t>
      </w:r>
      <w:r>
        <w:rPr>
          <w:rFonts w:hint="eastAsia" w:asciiTheme="minorEastAsia" w:hAnsiTheme="minorEastAsia" w:eastAsiaTheme="minorEastAsia" w:cstheme="minorEastAsia"/>
          <w:kern w:val="0"/>
          <w:sz w:val="21"/>
          <w:szCs w:val="21"/>
        </w:rPr>
        <w:t>。</w:t>
      </w:r>
    </w:p>
    <w:p w14:paraId="4BEA78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2"/>
        <w:jc w:val="both"/>
        <w:textAlignment w:val="auto"/>
        <w:rPr>
          <w:rFonts w:hint="eastAsia" w:asciiTheme="minorEastAsia" w:hAnsiTheme="minorEastAsia" w:eastAsiaTheme="minorEastAsia" w:cstheme="minorEastAsia"/>
          <w:i w:val="0"/>
          <w:caps w:val="0"/>
          <w:color w:val="000000"/>
          <w:spacing w:val="0"/>
          <w:kern w:val="0"/>
          <w:sz w:val="21"/>
          <w:szCs w:val="21"/>
          <w:shd w:val="clear" w:color="auto" w:fill="FFFFFF"/>
          <w:lang w:val="en-US" w:eastAsia="zh-CN" w:bidi="ar"/>
        </w:rPr>
      </w:pPr>
      <w:r>
        <w:rPr>
          <w:rFonts w:hint="eastAsia" w:asciiTheme="minorEastAsia" w:hAnsiTheme="minorEastAsia" w:eastAsiaTheme="minorEastAsia" w:cstheme="minorEastAsia"/>
          <w:b w:val="0"/>
          <w:bCs w:val="0"/>
          <w:kern w:val="0"/>
          <w:sz w:val="21"/>
          <w:szCs w:val="21"/>
          <w:shd w:val="clear" w:color="auto" w:fill="FFFFFF"/>
          <w:lang w:val="en-US" w:eastAsia="zh-CN" w:bidi="ar"/>
        </w:rPr>
        <w:t>8.</w:t>
      </w:r>
      <w:r>
        <w:rPr>
          <w:rFonts w:hint="eastAsia" w:asciiTheme="minorEastAsia" w:hAnsiTheme="minorEastAsia" w:eastAsiaTheme="minorEastAsia" w:cstheme="minorEastAsia"/>
          <w:i w:val="0"/>
          <w:caps w:val="0"/>
          <w:color w:val="000000"/>
          <w:spacing w:val="0"/>
          <w:kern w:val="0"/>
          <w:sz w:val="21"/>
          <w:szCs w:val="21"/>
          <w:shd w:val="clear" w:color="auto" w:fill="FFFFFF"/>
          <w:lang w:val="en-US" w:eastAsia="zh-CN" w:bidi="ar"/>
        </w:rPr>
        <w:t>熟悉安保工作内容和职责，知晓防火、防盗、防暴恐等事故的应急处置技能。</w:t>
      </w:r>
    </w:p>
    <w:p w14:paraId="03B59C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2"/>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i w:val="0"/>
          <w:caps w:val="0"/>
          <w:color w:val="000000"/>
          <w:spacing w:val="0"/>
          <w:kern w:val="0"/>
          <w:sz w:val="21"/>
          <w:szCs w:val="21"/>
          <w:shd w:val="clear" w:color="auto" w:fill="FFFFFF"/>
          <w:lang w:val="en-US" w:eastAsia="zh-CN" w:bidi="ar"/>
        </w:rPr>
        <w:t>9.</w:t>
      </w:r>
      <w:r>
        <w:rPr>
          <w:rFonts w:hint="eastAsia" w:asciiTheme="minorEastAsia" w:hAnsiTheme="minorEastAsia" w:eastAsiaTheme="minorEastAsia" w:cstheme="minorEastAsia"/>
          <w:kern w:val="0"/>
          <w:sz w:val="21"/>
          <w:szCs w:val="21"/>
        </w:rPr>
        <w:t>爱岗敬业、文明执勤、</w:t>
      </w:r>
      <w:r>
        <w:rPr>
          <w:rFonts w:hint="eastAsia" w:asciiTheme="minorEastAsia" w:hAnsiTheme="minorEastAsia" w:eastAsiaTheme="minorEastAsia" w:cstheme="minorEastAsia"/>
          <w:kern w:val="0"/>
          <w:sz w:val="21"/>
          <w:szCs w:val="21"/>
          <w:lang w:val="en-US" w:eastAsia="zh-CN"/>
        </w:rPr>
        <w:t>礼貌待人</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执勤动作标准规范，服务意识</w:t>
      </w:r>
      <w:r>
        <w:rPr>
          <w:rFonts w:hint="eastAsia" w:asciiTheme="minorEastAsia" w:hAnsiTheme="minorEastAsia" w:eastAsiaTheme="minorEastAsia" w:cstheme="minorEastAsia"/>
          <w:i w:val="0"/>
          <w:caps w:val="0"/>
          <w:color w:val="000000"/>
          <w:spacing w:val="0"/>
          <w:kern w:val="0"/>
          <w:sz w:val="21"/>
          <w:szCs w:val="21"/>
          <w:shd w:val="clear" w:color="auto" w:fill="FFFFFF"/>
          <w:lang w:val="en-US" w:eastAsia="zh-CN" w:bidi="ar"/>
        </w:rPr>
        <w:t>良好，</w:t>
      </w:r>
      <w:r>
        <w:rPr>
          <w:rFonts w:hint="eastAsia" w:asciiTheme="minorEastAsia" w:hAnsiTheme="minorEastAsia" w:eastAsiaTheme="minorEastAsia" w:cstheme="minorEastAsia"/>
          <w:kern w:val="0"/>
          <w:sz w:val="21"/>
          <w:szCs w:val="21"/>
        </w:rPr>
        <w:t>着装整洁、仪表端正、</w:t>
      </w:r>
      <w:r>
        <w:rPr>
          <w:rFonts w:hint="eastAsia" w:asciiTheme="minorEastAsia" w:hAnsiTheme="minorEastAsia" w:eastAsiaTheme="minorEastAsia" w:cstheme="minorEastAsia"/>
          <w:kern w:val="0"/>
          <w:sz w:val="21"/>
          <w:szCs w:val="21"/>
          <w:lang w:val="en-US" w:eastAsia="zh-CN"/>
        </w:rPr>
        <w:t>精神</w:t>
      </w:r>
      <w:r>
        <w:rPr>
          <w:rFonts w:hint="eastAsia" w:asciiTheme="minorEastAsia" w:hAnsiTheme="minorEastAsia" w:eastAsiaTheme="minorEastAsia" w:cstheme="minorEastAsia"/>
          <w:kern w:val="0"/>
          <w:sz w:val="21"/>
          <w:szCs w:val="21"/>
        </w:rPr>
        <w:t>饱满</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树立良好形象。</w:t>
      </w:r>
    </w:p>
    <w:p w14:paraId="5BE944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2"/>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10.</w:t>
      </w:r>
      <w:r>
        <w:rPr>
          <w:rFonts w:hint="eastAsia" w:asciiTheme="minorEastAsia" w:hAnsiTheme="minorEastAsia" w:eastAsiaTheme="minorEastAsia" w:cstheme="minorEastAsia"/>
          <w:kern w:val="0"/>
          <w:sz w:val="21"/>
          <w:szCs w:val="21"/>
        </w:rPr>
        <w:t>履行</w:t>
      </w:r>
      <w:r>
        <w:rPr>
          <w:rFonts w:hint="eastAsia" w:asciiTheme="minorEastAsia" w:hAnsiTheme="minorEastAsia" w:eastAsiaTheme="minorEastAsia" w:cstheme="minorEastAsia"/>
          <w:kern w:val="0"/>
          <w:sz w:val="21"/>
          <w:szCs w:val="21"/>
          <w:lang w:val="en-US" w:eastAsia="zh-CN"/>
        </w:rPr>
        <w:t>工作</w:t>
      </w:r>
      <w:r>
        <w:rPr>
          <w:rFonts w:hint="eastAsia" w:asciiTheme="minorEastAsia" w:hAnsiTheme="minorEastAsia" w:eastAsiaTheme="minorEastAsia" w:cstheme="minorEastAsia"/>
          <w:kern w:val="0"/>
          <w:sz w:val="21"/>
          <w:szCs w:val="21"/>
        </w:rPr>
        <w:t>职责</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遵守岗位执勤工作规范及工作纪律，</w:t>
      </w:r>
      <w:r>
        <w:rPr>
          <w:rFonts w:hint="eastAsia" w:asciiTheme="minorEastAsia" w:hAnsiTheme="minorEastAsia" w:eastAsiaTheme="minorEastAsia" w:cstheme="minorEastAsia"/>
          <w:kern w:val="0"/>
          <w:sz w:val="21"/>
          <w:szCs w:val="21"/>
        </w:rPr>
        <w:t>工作时间</w:t>
      </w:r>
      <w:r>
        <w:rPr>
          <w:rFonts w:hint="eastAsia" w:asciiTheme="minorEastAsia" w:hAnsiTheme="minorEastAsia" w:eastAsiaTheme="minorEastAsia" w:cstheme="minorEastAsia"/>
          <w:kern w:val="0"/>
          <w:sz w:val="21"/>
          <w:szCs w:val="21"/>
          <w:lang w:val="en-US" w:eastAsia="zh-CN"/>
        </w:rPr>
        <w:t>内严禁有脱岗、睡岗、</w:t>
      </w:r>
      <w:r>
        <w:rPr>
          <w:rFonts w:hint="eastAsia" w:asciiTheme="minorEastAsia" w:hAnsiTheme="minorEastAsia" w:eastAsiaTheme="minorEastAsia" w:cstheme="minorEastAsia"/>
          <w:kern w:val="0"/>
          <w:sz w:val="21"/>
          <w:szCs w:val="21"/>
        </w:rPr>
        <w:t>喝酒、玩手机等</w:t>
      </w:r>
      <w:r>
        <w:rPr>
          <w:rFonts w:hint="eastAsia" w:asciiTheme="minorEastAsia" w:hAnsiTheme="minorEastAsia" w:eastAsiaTheme="minorEastAsia" w:cstheme="minorEastAsia"/>
          <w:kern w:val="0"/>
          <w:sz w:val="21"/>
          <w:szCs w:val="21"/>
          <w:lang w:val="en-US" w:eastAsia="zh-CN"/>
        </w:rPr>
        <w:t>行为</w:t>
      </w:r>
      <w:r>
        <w:rPr>
          <w:rFonts w:hint="eastAsia" w:asciiTheme="minorEastAsia" w:hAnsiTheme="minorEastAsia" w:eastAsiaTheme="minorEastAsia" w:cstheme="minorEastAsia"/>
          <w:kern w:val="0"/>
          <w:sz w:val="21"/>
          <w:szCs w:val="21"/>
        </w:rPr>
        <w:t>，不耍特权，不</w:t>
      </w:r>
      <w:r>
        <w:rPr>
          <w:rFonts w:hint="eastAsia" w:asciiTheme="minorEastAsia" w:hAnsiTheme="minorEastAsia" w:eastAsiaTheme="minorEastAsia" w:cstheme="minorEastAsia"/>
          <w:kern w:val="0"/>
          <w:sz w:val="21"/>
          <w:szCs w:val="21"/>
          <w:lang w:val="en-US" w:eastAsia="zh-CN"/>
        </w:rPr>
        <w:t>得有</w:t>
      </w:r>
      <w:r>
        <w:rPr>
          <w:rFonts w:hint="eastAsia" w:asciiTheme="minorEastAsia" w:hAnsiTheme="minorEastAsia" w:eastAsiaTheme="minorEastAsia" w:cstheme="minorEastAsia"/>
          <w:kern w:val="0"/>
          <w:sz w:val="21"/>
          <w:szCs w:val="21"/>
        </w:rPr>
        <w:t>打人</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骂人和侮辱他人</w:t>
      </w:r>
      <w:r>
        <w:rPr>
          <w:rFonts w:hint="eastAsia" w:asciiTheme="minorEastAsia" w:hAnsiTheme="minorEastAsia" w:eastAsiaTheme="minorEastAsia" w:cstheme="minorEastAsia"/>
          <w:kern w:val="0"/>
          <w:sz w:val="21"/>
          <w:szCs w:val="21"/>
          <w:lang w:val="en-US" w:eastAsia="zh-CN"/>
        </w:rPr>
        <w:t>的</w:t>
      </w:r>
      <w:r>
        <w:rPr>
          <w:rFonts w:hint="eastAsia" w:asciiTheme="minorEastAsia" w:hAnsiTheme="minorEastAsia" w:eastAsiaTheme="minorEastAsia" w:cstheme="minorEastAsia"/>
          <w:kern w:val="0"/>
          <w:sz w:val="21"/>
          <w:szCs w:val="21"/>
        </w:rPr>
        <w:t>人格</w:t>
      </w:r>
      <w:r>
        <w:rPr>
          <w:rFonts w:hint="eastAsia" w:asciiTheme="minorEastAsia" w:hAnsiTheme="minorEastAsia" w:eastAsiaTheme="minorEastAsia" w:cstheme="minorEastAsia"/>
          <w:kern w:val="0"/>
          <w:sz w:val="21"/>
          <w:szCs w:val="21"/>
          <w:lang w:val="en-US" w:eastAsia="zh-CN"/>
        </w:rPr>
        <w:t>行为</w:t>
      </w:r>
      <w:r>
        <w:rPr>
          <w:rFonts w:hint="eastAsia" w:asciiTheme="minorEastAsia" w:hAnsiTheme="minorEastAsia" w:eastAsiaTheme="minorEastAsia" w:cstheme="minorEastAsia"/>
          <w:kern w:val="0"/>
          <w:sz w:val="21"/>
          <w:szCs w:val="21"/>
        </w:rPr>
        <w:t>。</w:t>
      </w:r>
    </w:p>
    <w:p w14:paraId="11F334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2"/>
        <w:jc w:val="both"/>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color w:val="auto"/>
          <w:sz w:val="21"/>
          <w:szCs w:val="21"/>
          <w:highlight w:val="none"/>
          <w:lang w:val="en-US" w:eastAsia="zh-CN"/>
        </w:rPr>
        <w:t>安全保密意识，</w:t>
      </w:r>
      <w:r>
        <w:rPr>
          <w:rFonts w:hint="eastAsia" w:asciiTheme="minorEastAsia" w:hAnsiTheme="minorEastAsia" w:eastAsiaTheme="minorEastAsia" w:cstheme="minorEastAsia"/>
          <w:kern w:val="0"/>
          <w:sz w:val="21"/>
          <w:szCs w:val="21"/>
        </w:rPr>
        <w:t>严守招标</w:t>
      </w:r>
      <w:r>
        <w:rPr>
          <w:rFonts w:hint="eastAsia" w:asciiTheme="minorEastAsia" w:hAnsiTheme="minorEastAsia" w:eastAsiaTheme="minorEastAsia" w:cstheme="minorEastAsia"/>
          <w:kern w:val="0"/>
          <w:sz w:val="21"/>
          <w:szCs w:val="21"/>
          <w:lang w:val="en-US" w:eastAsia="zh-CN"/>
        </w:rPr>
        <w:t>人单位</w:t>
      </w:r>
      <w:r>
        <w:rPr>
          <w:rFonts w:hint="eastAsia" w:asciiTheme="minorEastAsia" w:hAnsiTheme="minorEastAsia" w:eastAsiaTheme="minorEastAsia" w:cstheme="minorEastAsia"/>
          <w:kern w:val="0"/>
          <w:sz w:val="21"/>
          <w:szCs w:val="21"/>
        </w:rPr>
        <w:t>的</w:t>
      </w:r>
      <w:r>
        <w:rPr>
          <w:rFonts w:hint="eastAsia" w:asciiTheme="minorEastAsia" w:hAnsiTheme="minorEastAsia" w:eastAsiaTheme="minorEastAsia" w:cstheme="minorEastAsia"/>
          <w:kern w:val="0"/>
          <w:sz w:val="21"/>
          <w:szCs w:val="21"/>
          <w:lang w:val="en-US" w:eastAsia="zh-CN"/>
        </w:rPr>
        <w:t>各项安保信息秘密。</w:t>
      </w:r>
    </w:p>
    <w:p w14:paraId="5C54BC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61" w:firstLineChars="0"/>
        <w:jc w:val="both"/>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12.积极参加演练等培训工作，</w:t>
      </w:r>
      <w:r>
        <w:rPr>
          <w:rFonts w:hint="eastAsia" w:asciiTheme="minorEastAsia" w:hAnsiTheme="minorEastAsia" w:eastAsiaTheme="minorEastAsia" w:cstheme="minorEastAsia"/>
          <w:kern w:val="0"/>
          <w:sz w:val="21"/>
          <w:szCs w:val="21"/>
        </w:rPr>
        <w:t>熟练掌握业务技能。</w:t>
      </w:r>
    </w:p>
    <w:p w14:paraId="1DAB82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561" w:firstLineChars="0"/>
        <w:jc w:val="both"/>
        <w:textAlignment w:val="auto"/>
        <w:rPr>
          <w:rFonts w:hint="default"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五、报价要求</w:t>
      </w:r>
    </w:p>
    <w:p w14:paraId="1F367C2C">
      <w:pPr>
        <w:keepNext w:val="0"/>
        <w:keepLines w:val="0"/>
        <w:pageBreakBefore w:val="0"/>
        <w:kinsoku/>
        <w:wordWrap/>
        <w:overflowPunct/>
        <w:topLinePunct w:val="0"/>
        <w:autoSpaceDE/>
        <w:autoSpaceDN/>
        <w:bidi w:val="0"/>
        <w:adjustRightInd/>
        <w:snapToGrid/>
        <w:spacing w:line="600" w:lineRule="exact"/>
        <w:ind w:firstLine="561" w:firstLineChars="0"/>
        <w:jc w:val="left"/>
        <w:textAlignment w:val="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按</w:t>
      </w:r>
      <w:r>
        <w:rPr>
          <w:rFonts w:hint="eastAsia" w:ascii="宋体" w:hAnsi="宋体" w:cs="宋体"/>
          <w:b/>
          <w:bCs/>
          <w:color w:val="auto"/>
          <w:szCs w:val="21"/>
          <w:highlight w:val="none"/>
          <w:lang w:val="en-US" w:eastAsia="zh-CN"/>
        </w:rPr>
        <w:t>2年</w:t>
      </w:r>
      <w:r>
        <w:rPr>
          <w:rFonts w:hint="eastAsia" w:ascii="宋体" w:hAnsi="宋体" w:cs="宋体"/>
          <w:b/>
          <w:bCs/>
          <w:color w:val="auto"/>
          <w:szCs w:val="21"/>
          <w:highlight w:val="none"/>
        </w:rPr>
        <w:t>总价</w:t>
      </w:r>
      <w:r>
        <w:rPr>
          <w:rFonts w:hint="eastAsia" w:ascii="宋体" w:hAnsi="宋体" w:cs="宋体"/>
          <w:b/>
          <w:bCs/>
          <w:color w:val="auto"/>
          <w:szCs w:val="21"/>
          <w:highlight w:val="none"/>
          <w:lang w:val="en-US" w:eastAsia="zh-CN"/>
        </w:rPr>
        <w:t>进行</w:t>
      </w:r>
      <w:r>
        <w:rPr>
          <w:rFonts w:hint="eastAsia" w:ascii="宋体" w:hAnsi="宋体" w:cs="宋体"/>
          <w:b/>
          <w:bCs/>
          <w:color w:val="auto"/>
          <w:szCs w:val="21"/>
          <w:highlight w:val="none"/>
        </w:rPr>
        <w:t>报价，</w:t>
      </w:r>
      <w:r>
        <w:rPr>
          <w:rFonts w:hint="eastAsia" w:ascii="宋体" w:hAnsi="宋体" w:cs="宋体"/>
          <w:b/>
          <w:bCs/>
          <w:color w:val="auto"/>
          <w:szCs w:val="21"/>
          <w:highlight w:val="none"/>
          <w:lang w:val="en-US" w:eastAsia="zh-CN"/>
        </w:rPr>
        <w:t>投标人</w:t>
      </w:r>
      <w:r>
        <w:rPr>
          <w:rFonts w:hint="eastAsia" w:ascii="宋体" w:hAnsi="宋体" w:cs="宋体"/>
          <w:b/>
          <w:bCs/>
          <w:color w:val="auto"/>
          <w:szCs w:val="21"/>
          <w:highlight w:val="none"/>
        </w:rPr>
        <w:t>的报价不得超过最高限价，否则作</w:t>
      </w:r>
      <w:r>
        <w:rPr>
          <w:rFonts w:hint="eastAsia" w:ascii="宋体" w:hAnsi="宋体" w:cs="宋体"/>
          <w:b/>
          <w:bCs/>
          <w:color w:val="auto"/>
          <w:szCs w:val="21"/>
          <w:highlight w:val="none"/>
          <w:lang w:val="en-US" w:eastAsia="zh-CN"/>
        </w:rPr>
        <w:t>投标</w:t>
      </w:r>
      <w:r>
        <w:rPr>
          <w:rFonts w:hint="eastAsia" w:ascii="宋体" w:hAnsi="宋体" w:cs="宋体"/>
          <w:b/>
          <w:bCs/>
          <w:color w:val="auto"/>
          <w:szCs w:val="21"/>
          <w:highlight w:val="none"/>
        </w:rPr>
        <w:t>无效处理。</w:t>
      </w:r>
    </w:p>
    <w:p w14:paraId="530B341A">
      <w:pPr>
        <w:keepNext w:val="0"/>
        <w:keepLines w:val="0"/>
        <w:pageBreakBefore w:val="0"/>
        <w:kinsoku/>
        <w:wordWrap/>
        <w:overflowPunct/>
        <w:topLinePunct w:val="0"/>
        <w:autoSpaceDE/>
        <w:autoSpaceDN/>
        <w:bidi w:val="0"/>
        <w:adjustRightInd/>
        <w:snapToGrid/>
        <w:spacing w:line="600" w:lineRule="exact"/>
        <w:ind w:firstLine="561" w:firstLineChars="0"/>
        <w:jc w:val="left"/>
        <w:textAlignment w:val="auto"/>
        <w:rPr>
          <w:rFonts w:hint="eastAsia" w:ascii="宋体" w:hAnsi="宋体" w:cs="宋体"/>
          <w:b/>
          <w:bCs/>
          <w:color w:val="auto"/>
          <w:szCs w:val="21"/>
          <w:highlight w:val="none"/>
        </w:rPr>
      </w:pPr>
      <w:r>
        <w:rPr>
          <w:rFonts w:hint="eastAsia" w:ascii="宋体" w:hAnsi="宋体" w:cs="宋体"/>
          <w:b w:val="0"/>
          <w:bCs w:val="0"/>
          <w:color w:val="auto"/>
          <w:szCs w:val="21"/>
          <w:highlight w:val="none"/>
          <w:lang w:val="en-US" w:eastAsia="zh-CN"/>
        </w:rPr>
        <w:t>2.投标</w:t>
      </w:r>
      <w:r>
        <w:rPr>
          <w:rFonts w:hint="eastAsia" w:ascii="宋体" w:hAnsi="宋体" w:cs="宋体"/>
          <w:b w:val="0"/>
          <w:bCs w:val="0"/>
          <w:color w:val="auto"/>
          <w:szCs w:val="21"/>
          <w:highlight w:val="none"/>
        </w:rPr>
        <w:t>报价</w:t>
      </w:r>
      <w:r>
        <w:rPr>
          <w:rFonts w:hint="eastAsia" w:ascii="宋体" w:hAnsi="宋体" w:eastAsia="宋体" w:cs="宋体"/>
          <w:kern w:val="0"/>
          <w:sz w:val="21"/>
          <w:szCs w:val="21"/>
          <w:highlight w:val="none"/>
          <w:lang w:val="en-US" w:eastAsia="zh-CN"/>
        </w:rPr>
        <w:t>包</w:t>
      </w:r>
      <w:r>
        <w:rPr>
          <w:rFonts w:hint="eastAsia" w:cs="宋体"/>
          <w:kern w:val="0"/>
          <w:sz w:val="21"/>
          <w:szCs w:val="21"/>
          <w:highlight w:val="none"/>
          <w:lang w:val="en-US" w:eastAsia="zh-CN"/>
        </w:rPr>
        <w:t>括投标人应支付</w:t>
      </w:r>
      <w:r>
        <w:rPr>
          <w:rFonts w:hint="eastAsia"/>
          <w:lang w:val="en-US" w:eastAsia="zh-CN"/>
        </w:rPr>
        <w:t>派驻保安人员的工资（五险一金等）、每周不超过4小时的加班费、假期待遇（含法定节假日值班费、年休假、探亲假等）、劳保费、高温补贴、</w:t>
      </w:r>
      <w:r>
        <w:rPr>
          <w:rFonts w:hint="eastAsia"/>
        </w:rPr>
        <w:t>工作期间意外伤亡保险费</w:t>
      </w:r>
      <w:r>
        <w:rPr>
          <w:rFonts w:hint="eastAsia"/>
          <w:lang w:eastAsia="zh-CN"/>
        </w:rPr>
        <w:t>、</w:t>
      </w:r>
      <w:r>
        <w:rPr>
          <w:rFonts w:hint="eastAsia"/>
          <w:lang w:val="en-US" w:eastAsia="zh-CN"/>
        </w:rPr>
        <w:t>因投标人原因造成招标人损失（或伤害）相关责任保险费用或赔偿费用、运营</w:t>
      </w:r>
      <w:r>
        <w:rPr>
          <w:rFonts w:hint="eastAsia"/>
        </w:rPr>
        <w:t>开支成本（税费及管理费等）</w:t>
      </w:r>
      <w:r>
        <w:rPr>
          <w:rFonts w:hint="eastAsia"/>
          <w:lang w:eastAsia="zh-CN"/>
        </w:rPr>
        <w:t>、</w:t>
      </w:r>
      <w:r>
        <w:rPr>
          <w:rFonts w:hint="eastAsia"/>
          <w:lang w:val="en-US" w:eastAsia="zh-CN"/>
        </w:rPr>
        <w:t>利润等相关费用。</w:t>
      </w:r>
    </w:p>
    <w:p w14:paraId="6C0E4292">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ind w:firstLine="561" w:firstLineChars="0"/>
        <w:jc w:val="both"/>
        <w:textAlignment w:val="auto"/>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六、结算方式</w:t>
      </w:r>
    </w:p>
    <w:p w14:paraId="116E34B3">
      <w:pPr>
        <w:widowControl/>
        <w:pBdr>
          <w:top w:val="none" w:color="auto" w:sz="0" w:space="0"/>
          <w:left w:val="none" w:color="auto" w:sz="0" w:space="0"/>
          <w:bottom w:val="none" w:color="auto" w:sz="0" w:space="0"/>
          <w:right w:val="none" w:color="auto" w:sz="0" w:space="0"/>
        </w:pBdr>
        <w:spacing w:line="600" w:lineRule="exact"/>
        <w:ind w:firstLine="561" w:firstLineChars="0"/>
        <w:jc w:val="both"/>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1、招标人和中标人于每月的前5个工作日内确认上月保安服务费及相关考核、罚金、垫付等费用。中标人应于保安服务费确定后的5个工作日内提交相应</w:t>
      </w:r>
      <w:r>
        <w:rPr>
          <w:rFonts w:hint="eastAsia" w:asciiTheme="minorEastAsia" w:hAnsiTheme="minorEastAsia" w:eastAsiaTheme="minorEastAsia" w:cstheme="minorEastAsia"/>
          <w:b w:val="0"/>
          <w:bCs w:val="0"/>
          <w:color w:val="auto"/>
          <w:szCs w:val="21"/>
          <w:highlight w:val="none"/>
          <w:lang w:val="en-US" w:eastAsia="zh-CN"/>
        </w:rPr>
        <w:t>正规等额</w:t>
      </w:r>
      <w:r>
        <w:rPr>
          <w:rFonts w:hint="eastAsia" w:asciiTheme="minorEastAsia" w:hAnsiTheme="minorEastAsia" w:eastAsiaTheme="minorEastAsia" w:cstheme="minorEastAsia"/>
          <w:b w:val="0"/>
          <w:bCs w:val="0"/>
          <w:color w:val="auto"/>
          <w:szCs w:val="21"/>
          <w:highlight w:val="none"/>
        </w:rPr>
        <w:t>发票。双方约定，因本合同约定而产生的中标人罚金、补偿金、赔偿金、违约金及垫付费用等，招标人可在中标人当月或延续月份的保安服务费中直接予以扣除，招标人提前通知中标人确认扣除标准及扣除数额，中标人无正当理由不得拒绝确认，否则作中标人违约处理。</w:t>
      </w:r>
    </w:p>
    <w:p w14:paraId="7DC0A83E">
      <w:pPr>
        <w:widowControl/>
        <w:pBdr>
          <w:top w:val="none" w:color="auto" w:sz="0" w:space="0"/>
          <w:left w:val="none" w:color="auto" w:sz="0" w:space="0"/>
          <w:bottom w:val="none" w:color="auto" w:sz="0" w:space="0"/>
          <w:right w:val="none" w:color="auto" w:sz="0" w:space="0"/>
        </w:pBdr>
        <w:spacing w:line="600" w:lineRule="exact"/>
        <w:ind w:firstLine="561" w:firstLineChars="0"/>
        <w:jc w:val="both"/>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2、招标人应在收到中标人正式发票后10个工作日内，以支票或转账形式向中标人支付上月保安服务费。</w:t>
      </w:r>
    </w:p>
    <w:p w14:paraId="27019FFC">
      <w:pPr>
        <w:widowControl/>
        <w:pBdr>
          <w:top w:val="none" w:color="auto" w:sz="0" w:space="0"/>
          <w:left w:val="none" w:color="auto" w:sz="0" w:space="0"/>
          <w:bottom w:val="none" w:color="auto" w:sz="0" w:space="0"/>
          <w:right w:val="none" w:color="auto" w:sz="0" w:space="0"/>
        </w:pBdr>
        <w:spacing w:line="600" w:lineRule="exact"/>
        <w:ind w:firstLine="561" w:firstLineChars="0"/>
        <w:jc w:val="both"/>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3、合同服务期最后一个月的服务费须在招标人、中标人、新接管单位三方共同完成书面（签字、盖章）保安档案交接手续后，再按上述“1”及“2”点流程支付。</w:t>
      </w:r>
    </w:p>
    <w:p w14:paraId="066125C1">
      <w:pPr>
        <w:widowControl/>
        <w:pBdr>
          <w:top w:val="none" w:color="auto" w:sz="0" w:space="0"/>
          <w:left w:val="none" w:color="auto" w:sz="0" w:space="0"/>
          <w:bottom w:val="none" w:color="auto" w:sz="0" w:space="0"/>
          <w:right w:val="none" w:color="auto" w:sz="0" w:space="0"/>
        </w:pBdr>
        <w:spacing w:line="600" w:lineRule="exact"/>
        <w:ind w:firstLine="561" w:firstLineChars="0"/>
        <w:jc w:val="both"/>
        <w:rPr>
          <w:rFonts w:hint="eastAsia" w:asciiTheme="minorEastAsia" w:hAnsiTheme="minorEastAsia" w:eastAsiaTheme="minorEastAsia" w:cstheme="minorEastAsia"/>
          <w:b/>
          <w:bCs/>
          <w:color w:val="auto"/>
          <w:szCs w:val="21"/>
        </w:rPr>
      </w:pPr>
      <w:r>
        <w:rPr>
          <w:rFonts w:hint="eastAsia" w:asciiTheme="minorEastAsia" w:hAnsiTheme="minorEastAsia" w:eastAsiaTheme="minorEastAsia" w:cstheme="minorEastAsia"/>
          <w:b/>
          <w:bCs/>
          <w:color w:val="auto"/>
          <w:szCs w:val="21"/>
          <w:lang w:val="en-US" w:eastAsia="zh-CN"/>
        </w:rPr>
        <w:t>七</w:t>
      </w:r>
      <w:r>
        <w:rPr>
          <w:rFonts w:hint="eastAsia" w:asciiTheme="minorEastAsia" w:hAnsiTheme="minorEastAsia" w:eastAsiaTheme="minorEastAsia" w:cstheme="minorEastAsia"/>
          <w:b/>
          <w:bCs/>
          <w:color w:val="auto"/>
          <w:szCs w:val="21"/>
        </w:rPr>
        <w:t>、人数调整</w:t>
      </w:r>
    </w:p>
    <w:p w14:paraId="64D9532E">
      <w:pPr>
        <w:widowControl/>
        <w:pBdr>
          <w:top w:val="none" w:color="auto" w:sz="0" w:space="0"/>
          <w:left w:val="none" w:color="auto" w:sz="0" w:space="0"/>
          <w:bottom w:val="none" w:color="auto" w:sz="0" w:space="0"/>
          <w:right w:val="none" w:color="auto" w:sz="0" w:space="0"/>
        </w:pBdr>
        <w:spacing w:line="600" w:lineRule="exact"/>
        <w:ind w:firstLine="561" w:firstLineChars="0"/>
        <w:jc w:val="both"/>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szCs w:val="21"/>
        </w:rPr>
        <w:t>1、招标人有权根据自身安全需求的变化，对派驻的保安人数进行调整。调整后的保安服务应继续满足双方约定的服务标准和要求，包括但不限于保安人员的专业素质、巡逻频次、应急响应等。</w:t>
      </w:r>
    </w:p>
    <w:p w14:paraId="7C3BF0FE">
      <w:pPr>
        <w:widowControl/>
        <w:pBdr>
          <w:top w:val="none" w:color="auto" w:sz="0" w:space="0"/>
          <w:left w:val="none" w:color="auto" w:sz="0" w:space="0"/>
          <w:bottom w:val="none" w:color="auto" w:sz="0" w:space="0"/>
          <w:right w:val="none" w:color="auto" w:sz="0" w:space="0"/>
        </w:pBdr>
        <w:spacing w:line="600" w:lineRule="exact"/>
        <w:ind w:firstLine="561" w:firstLineChars="0"/>
        <w:jc w:val="both"/>
        <w:rPr>
          <w:rFonts w:hint="eastAsia" w:asciiTheme="minorEastAsia" w:hAnsiTheme="minorEastAsia" w:eastAsiaTheme="minorEastAsia" w:cstheme="minorEastAsia"/>
          <w:b w:val="0"/>
          <w:bCs w:val="0"/>
          <w:color w:val="auto"/>
          <w:szCs w:val="21"/>
        </w:rPr>
      </w:pPr>
      <w:r>
        <w:rPr>
          <w:rFonts w:hint="eastAsia" w:asciiTheme="minorEastAsia" w:hAnsiTheme="minorEastAsia" w:eastAsiaTheme="minorEastAsia" w:cstheme="minorEastAsia"/>
          <w:b w:val="0"/>
          <w:bCs w:val="0"/>
          <w:color w:val="auto"/>
          <w:szCs w:val="21"/>
        </w:rPr>
        <w:t>2、在服务期内，如出现</w:t>
      </w:r>
      <w:r>
        <w:rPr>
          <w:rFonts w:hint="eastAsia" w:asciiTheme="minorEastAsia" w:hAnsiTheme="minorEastAsia" w:eastAsiaTheme="minorEastAsia" w:cstheme="minorEastAsia"/>
          <w:b w:val="0"/>
          <w:bCs w:val="0"/>
          <w:color w:val="auto"/>
          <w:szCs w:val="21"/>
          <w:lang w:val="en-US" w:eastAsia="zh-CN"/>
        </w:rPr>
        <w:t>派驻的保安</w:t>
      </w:r>
      <w:r>
        <w:rPr>
          <w:rFonts w:hint="eastAsia" w:asciiTheme="minorEastAsia" w:hAnsiTheme="minorEastAsia" w:eastAsiaTheme="minorEastAsia" w:cstheme="minorEastAsia"/>
          <w:b w:val="0"/>
          <w:bCs w:val="0"/>
          <w:color w:val="auto"/>
          <w:szCs w:val="21"/>
        </w:rPr>
        <w:t>人员人数增加或减少的，按</w:t>
      </w:r>
      <w:r>
        <w:rPr>
          <w:rFonts w:hint="eastAsia" w:asciiTheme="minorEastAsia" w:hAnsiTheme="minorEastAsia" w:eastAsiaTheme="minorEastAsia" w:cstheme="minorEastAsia"/>
          <w:b w:val="0"/>
          <w:bCs w:val="0"/>
          <w:color w:val="auto"/>
          <w:szCs w:val="21"/>
          <w:lang w:eastAsia="zh-CN"/>
        </w:rPr>
        <w:t>中标人</w:t>
      </w:r>
      <w:r>
        <w:rPr>
          <w:rFonts w:hint="eastAsia" w:asciiTheme="minorEastAsia" w:hAnsiTheme="minorEastAsia" w:eastAsiaTheme="minorEastAsia" w:cstheme="minorEastAsia"/>
          <w:b w:val="0"/>
          <w:bCs w:val="0"/>
          <w:color w:val="auto"/>
          <w:szCs w:val="21"/>
        </w:rPr>
        <w:t>中标明细价计算人员工资。增加</w:t>
      </w:r>
      <w:r>
        <w:rPr>
          <w:rFonts w:hint="eastAsia" w:asciiTheme="minorEastAsia" w:hAnsiTheme="minorEastAsia" w:eastAsiaTheme="minorEastAsia" w:cstheme="minorEastAsia"/>
          <w:b w:val="0"/>
          <w:bCs w:val="0"/>
          <w:color w:val="auto"/>
          <w:szCs w:val="21"/>
          <w:lang w:val="en-US" w:eastAsia="zh-CN"/>
        </w:rPr>
        <w:t>保安</w:t>
      </w:r>
      <w:r>
        <w:rPr>
          <w:rFonts w:hint="eastAsia" w:asciiTheme="minorEastAsia" w:hAnsiTheme="minorEastAsia" w:eastAsiaTheme="minorEastAsia" w:cstheme="minorEastAsia"/>
          <w:b w:val="0"/>
          <w:bCs w:val="0"/>
          <w:color w:val="auto"/>
          <w:szCs w:val="21"/>
        </w:rPr>
        <w:t>人员时的服务费用：从确认到岗之日起算，按每人每日服务费标准和实际上岗时间计算。减少</w:t>
      </w:r>
      <w:r>
        <w:rPr>
          <w:rFonts w:hint="eastAsia" w:asciiTheme="minorEastAsia" w:hAnsiTheme="minorEastAsia" w:eastAsiaTheme="minorEastAsia" w:cstheme="minorEastAsia"/>
          <w:b w:val="0"/>
          <w:bCs w:val="0"/>
          <w:color w:val="auto"/>
          <w:szCs w:val="21"/>
          <w:lang w:val="en-US" w:eastAsia="zh-CN"/>
        </w:rPr>
        <w:t>保安</w:t>
      </w:r>
      <w:r>
        <w:rPr>
          <w:rFonts w:hint="eastAsia" w:asciiTheme="minorEastAsia" w:hAnsiTheme="minorEastAsia" w:eastAsiaTheme="minorEastAsia" w:cstheme="minorEastAsia"/>
          <w:b w:val="0"/>
          <w:bCs w:val="0"/>
          <w:color w:val="auto"/>
          <w:szCs w:val="21"/>
        </w:rPr>
        <w:t>人员时的服务费用：从确认离岗之日起算，按每人每日服务费标准和实际离岗时间计算，从当次的服务费中扣减。</w:t>
      </w:r>
    </w:p>
    <w:p w14:paraId="0678B0EA">
      <w:pPr>
        <w:spacing w:line="360" w:lineRule="auto"/>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br w:type="page"/>
      </w:r>
    </w:p>
    <w:p w14:paraId="3DCD3A9F">
      <w:pPr>
        <w:spacing w:line="360" w:lineRule="auto"/>
        <w:ind w:firstLine="482" w:firstLineChars="200"/>
        <w:jc w:val="left"/>
        <w:rPr>
          <w:rFonts w:hint="eastAsia" w:ascii="宋体" w:hAnsi="宋体" w:cs="宋体"/>
          <w:b/>
          <w:color w:val="auto"/>
          <w:kern w:val="0"/>
          <w:sz w:val="48"/>
          <w:szCs w:val="48"/>
          <w:highlight w:val="none"/>
          <w:shd w:val="clear" w:color="auto" w:fill="F8FCFF"/>
        </w:rPr>
      </w:pPr>
      <w:r>
        <w:rPr>
          <w:rFonts w:hint="eastAsia" w:ascii="宋体" w:hAnsi="宋体" w:cs="宋体"/>
          <w:b/>
          <w:bCs/>
          <w:color w:val="auto"/>
          <w:sz w:val="24"/>
          <w:szCs w:val="24"/>
          <w:highlight w:val="none"/>
        </w:rPr>
        <w:t>（合同条款仅供参考，合同具体细则最终以招标人与中标人协定为准， 但不得对招标文件、投标文件作实质性修改）</w:t>
      </w:r>
    </w:p>
    <w:p w14:paraId="3EB09F38">
      <w:pPr>
        <w:pStyle w:val="22"/>
        <w:ind w:firstLine="482"/>
        <w:rPr>
          <w:rFonts w:hint="eastAsia" w:ascii="宋体" w:hAnsi="宋体" w:cs="宋体"/>
          <w:b/>
          <w:color w:val="auto"/>
          <w:kern w:val="0"/>
          <w:sz w:val="48"/>
          <w:szCs w:val="48"/>
          <w:highlight w:val="none"/>
          <w:shd w:val="clear" w:color="auto" w:fill="F8FCFF"/>
        </w:rPr>
      </w:pPr>
    </w:p>
    <w:p w14:paraId="4D839838">
      <w:pPr>
        <w:pStyle w:val="22"/>
        <w:ind w:firstLine="482"/>
        <w:rPr>
          <w:rFonts w:hint="eastAsia" w:ascii="宋体" w:hAnsi="宋体" w:cs="宋体"/>
          <w:b/>
          <w:color w:val="auto"/>
          <w:kern w:val="0"/>
          <w:sz w:val="48"/>
          <w:szCs w:val="48"/>
          <w:highlight w:val="none"/>
          <w:shd w:val="clear" w:color="auto" w:fill="F8FCFF"/>
        </w:rPr>
      </w:pPr>
    </w:p>
    <w:p w14:paraId="4376BAF1">
      <w:pPr>
        <w:pStyle w:val="22"/>
        <w:ind w:firstLine="482"/>
        <w:rPr>
          <w:rFonts w:hint="eastAsia" w:ascii="宋体" w:hAnsi="宋体" w:cs="宋体"/>
          <w:b/>
          <w:color w:val="auto"/>
          <w:kern w:val="0"/>
          <w:sz w:val="48"/>
          <w:szCs w:val="48"/>
          <w:highlight w:val="none"/>
          <w:shd w:val="clear" w:color="auto" w:fill="F8FCFF"/>
        </w:rPr>
      </w:pPr>
    </w:p>
    <w:p w14:paraId="4709EE0D">
      <w:pPr>
        <w:pStyle w:val="22"/>
        <w:ind w:firstLine="482"/>
        <w:rPr>
          <w:rFonts w:hint="eastAsia" w:ascii="宋体" w:hAnsi="宋体" w:cs="宋体"/>
          <w:b/>
          <w:color w:val="auto"/>
          <w:kern w:val="0"/>
          <w:sz w:val="48"/>
          <w:szCs w:val="48"/>
          <w:highlight w:val="none"/>
          <w:shd w:val="clear" w:color="auto" w:fill="F8FCFF"/>
        </w:rPr>
      </w:pPr>
    </w:p>
    <w:p w14:paraId="73F1A6D6">
      <w:pPr>
        <w:pStyle w:val="22"/>
        <w:ind w:firstLine="482"/>
        <w:rPr>
          <w:rFonts w:hint="eastAsia" w:ascii="宋体" w:hAnsi="宋体" w:cs="宋体"/>
          <w:b/>
          <w:color w:val="auto"/>
          <w:kern w:val="0"/>
          <w:sz w:val="48"/>
          <w:szCs w:val="48"/>
          <w:highlight w:val="none"/>
          <w:shd w:val="clear" w:color="auto" w:fill="F8FCFF"/>
        </w:rPr>
      </w:pPr>
    </w:p>
    <w:p w14:paraId="4FBDD1D2">
      <w:pPr>
        <w:pStyle w:val="22"/>
        <w:ind w:firstLine="482"/>
        <w:rPr>
          <w:rFonts w:hint="eastAsia" w:ascii="宋体" w:hAnsi="宋体" w:cs="宋体"/>
          <w:b/>
          <w:color w:val="auto"/>
          <w:kern w:val="0"/>
          <w:sz w:val="48"/>
          <w:szCs w:val="48"/>
          <w:highlight w:val="none"/>
          <w:shd w:val="clear" w:color="auto" w:fill="F8FCFF"/>
        </w:rPr>
      </w:pPr>
    </w:p>
    <w:p w14:paraId="499139ED">
      <w:pPr>
        <w:pStyle w:val="22"/>
        <w:ind w:firstLine="0" w:firstLineChars="0"/>
        <w:rPr>
          <w:rFonts w:hint="eastAsia" w:ascii="宋体" w:hAnsi="宋体" w:cs="宋体"/>
          <w:b/>
          <w:color w:val="auto"/>
          <w:kern w:val="0"/>
          <w:sz w:val="48"/>
          <w:szCs w:val="48"/>
          <w:highlight w:val="none"/>
          <w:shd w:val="clear" w:color="auto" w:fill="F8FCFF"/>
        </w:rPr>
      </w:pPr>
    </w:p>
    <w:p w14:paraId="76C87BD0">
      <w:pPr>
        <w:pStyle w:val="10"/>
        <w:jc w:val="center"/>
        <w:rPr>
          <w:rFonts w:hint="eastAsia" w:ascii="宋体" w:hAnsi="宋体" w:cs="宋体"/>
          <w:b/>
          <w:bCs/>
          <w:color w:val="auto"/>
          <w:sz w:val="36"/>
          <w:szCs w:val="36"/>
          <w:highlight w:val="none"/>
        </w:rPr>
      </w:pPr>
    </w:p>
    <w:p w14:paraId="17BA91F0">
      <w:pPr>
        <w:pStyle w:val="10"/>
        <w:jc w:val="center"/>
        <w:outlineLvl w:val="0"/>
        <w:rPr>
          <w:rFonts w:hint="eastAsia" w:ascii="宋体" w:hAnsi="宋体" w:cs="宋体"/>
          <w:b/>
          <w:bCs/>
          <w:color w:val="auto"/>
          <w:sz w:val="36"/>
          <w:szCs w:val="36"/>
          <w:highlight w:val="none"/>
        </w:rPr>
      </w:pPr>
      <w:bookmarkStart w:id="77" w:name="_Toc30591"/>
      <w:r>
        <w:rPr>
          <w:rFonts w:hint="eastAsia" w:ascii="宋体" w:hAnsi="宋体" w:cs="宋体"/>
          <w:b/>
          <w:bCs/>
          <w:color w:val="auto"/>
          <w:sz w:val="36"/>
          <w:szCs w:val="36"/>
          <w:highlight w:val="none"/>
        </w:rPr>
        <w:t>第四章  合同格式（参考）</w:t>
      </w:r>
      <w:bookmarkEnd w:id="77"/>
    </w:p>
    <w:p w14:paraId="2AF04ACC">
      <w:pPr>
        <w:pStyle w:val="10"/>
        <w:rPr>
          <w:rFonts w:hint="eastAsia" w:ascii="宋体" w:hAnsi="宋体" w:cs="宋体"/>
          <w:color w:val="auto"/>
          <w:highlight w:val="none"/>
        </w:rPr>
      </w:pPr>
    </w:p>
    <w:p w14:paraId="38188937">
      <w:pPr>
        <w:pStyle w:val="10"/>
        <w:rPr>
          <w:rFonts w:hint="eastAsia" w:ascii="宋体" w:hAnsi="宋体" w:cs="宋体"/>
          <w:color w:val="auto"/>
          <w:highlight w:val="none"/>
        </w:rPr>
      </w:pPr>
    </w:p>
    <w:p w14:paraId="6289F499">
      <w:pPr>
        <w:pStyle w:val="10"/>
        <w:rPr>
          <w:rFonts w:hint="eastAsia" w:ascii="宋体" w:hAnsi="宋体" w:cs="宋体"/>
          <w:color w:val="auto"/>
          <w:highlight w:val="none"/>
        </w:rPr>
      </w:pPr>
    </w:p>
    <w:p w14:paraId="6800F319">
      <w:pPr>
        <w:pStyle w:val="10"/>
        <w:rPr>
          <w:rFonts w:hint="eastAsia" w:ascii="宋体" w:hAnsi="宋体" w:cs="宋体"/>
          <w:color w:val="auto"/>
          <w:highlight w:val="none"/>
        </w:rPr>
      </w:pPr>
    </w:p>
    <w:p w14:paraId="0C0C3CEE">
      <w:pPr>
        <w:pStyle w:val="10"/>
        <w:rPr>
          <w:rFonts w:hint="eastAsia" w:ascii="宋体" w:hAnsi="宋体" w:cs="宋体"/>
          <w:color w:val="auto"/>
          <w:highlight w:val="none"/>
        </w:rPr>
      </w:pPr>
    </w:p>
    <w:p w14:paraId="57E6CEEE">
      <w:pPr>
        <w:pStyle w:val="10"/>
        <w:rPr>
          <w:rFonts w:hint="eastAsia" w:ascii="宋体" w:hAnsi="宋体" w:cs="宋体"/>
          <w:color w:val="auto"/>
          <w:highlight w:val="none"/>
        </w:rPr>
      </w:pPr>
    </w:p>
    <w:p w14:paraId="04CE6706">
      <w:pPr>
        <w:pStyle w:val="10"/>
        <w:rPr>
          <w:rFonts w:hint="eastAsia" w:ascii="宋体" w:hAnsi="宋体" w:cs="宋体"/>
          <w:color w:val="auto"/>
          <w:highlight w:val="none"/>
        </w:rPr>
      </w:pPr>
    </w:p>
    <w:p w14:paraId="301E958B">
      <w:pPr>
        <w:pStyle w:val="10"/>
        <w:rPr>
          <w:rFonts w:hint="eastAsia" w:ascii="宋体" w:hAnsi="宋体" w:cs="宋体"/>
          <w:color w:val="auto"/>
          <w:highlight w:val="none"/>
        </w:rPr>
      </w:pPr>
    </w:p>
    <w:p w14:paraId="6CF399D7">
      <w:pPr>
        <w:pStyle w:val="10"/>
        <w:rPr>
          <w:rFonts w:hint="eastAsia" w:ascii="宋体" w:hAnsi="宋体" w:cs="宋体"/>
          <w:color w:val="auto"/>
          <w:highlight w:val="none"/>
        </w:rPr>
      </w:pPr>
    </w:p>
    <w:p w14:paraId="75732206">
      <w:pPr>
        <w:pStyle w:val="10"/>
        <w:rPr>
          <w:rFonts w:hint="eastAsia" w:ascii="宋体" w:hAnsi="宋体" w:cs="宋体"/>
          <w:color w:val="auto"/>
          <w:highlight w:val="none"/>
        </w:rPr>
      </w:pPr>
    </w:p>
    <w:p w14:paraId="093DE124">
      <w:pPr>
        <w:pStyle w:val="10"/>
        <w:rPr>
          <w:rFonts w:hint="eastAsia" w:ascii="宋体" w:hAnsi="宋体" w:cs="宋体"/>
          <w:color w:val="auto"/>
          <w:highlight w:val="none"/>
        </w:rPr>
      </w:pPr>
    </w:p>
    <w:p w14:paraId="4534B8F9">
      <w:pPr>
        <w:pStyle w:val="10"/>
        <w:rPr>
          <w:rFonts w:hint="eastAsia" w:ascii="宋体" w:hAnsi="宋体" w:cs="宋体"/>
          <w:color w:val="auto"/>
          <w:highlight w:val="none"/>
        </w:rPr>
      </w:pPr>
    </w:p>
    <w:p w14:paraId="3F095FD2">
      <w:pPr>
        <w:rPr>
          <w:rFonts w:hint="eastAsia" w:ascii="宋体" w:hAnsi="宋体" w:cs="宋体"/>
          <w:color w:val="auto"/>
          <w:highlight w:val="none"/>
        </w:rPr>
      </w:pPr>
      <w:r>
        <w:rPr>
          <w:rFonts w:hint="eastAsia" w:ascii="宋体" w:hAnsi="宋体" w:cs="宋体"/>
          <w:color w:val="auto"/>
          <w:highlight w:val="none"/>
        </w:rPr>
        <w:br w:type="page"/>
      </w:r>
    </w:p>
    <w:p w14:paraId="081586AE">
      <w:pPr>
        <w:spacing w:line="360" w:lineRule="auto"/>
        <w:jc w:val="center"/>
        <w:rPr>
          <w:rFonts w:hint="eastAsia" w:ascii="宋体" w:hAnsi="宋体" w:cs="宋体"/>
          <w:b/>
          <w:bCs/>
          <w:color w:val="auto"/>
          <w:sz w:val="52"/>
          <w:szCs w:val="52"/>
          <w:highlight w:val="none"/>
        </w:rPr>
      </w:pPr>
    </w:p>
    <w:p w14:paraId="0145292E">
      <w:pPr>
        <w:spacing w:line="360" w:lineRule="auto"/>
        <w:rPr>
          <w:rFonts w:hint="eastAsia" w:ascii="宋体" w:hAnsi="宋体" w:cs="宋体"/>
          <w:color w:val="auto"/>
          <w:sz w:val="30"/>
          <w:highlight w:val="none"/>
        </w:rPr>
      </w:pPr>
    </w:p>
    <w:p w14:paraId="4875DBAE">
      <w:pPr>
        <w:bidi w:val="0"/>
        <w:rPr>
          <w:rFonts w:hint="eastAsia"/>
        </w:rPr>
      </w:pPr>
    </w:p>
    <w:p w14:paraId="32168705">
      <w:pPr>
        <w:bidi w:val="0"/>
        <w:rPr>
          <w:rFonts w:hint="eastAsia"/>
        </w:rPr>
      </w:pPr>
    </w:p>
    <w:p w14:paraId="707AC6EF">
      <w:pPr>
        <w:bidi w:val="0"/>
        <w:rPr>
          <w:rFonts w:hint="eastAsia"/>
        </w:rPr>
      </w:pPr>
    </w:p>
    <w:p w14:paraId="69CFD7A9">
      <w:pPr>
        <w:bidi w:val="0"/>
        <w:rPr>
          <w:rFonts w:hint="eastAsia"/>
        </w:rPr>
      </w:pPr>
    </w:p>
    <w:p w14:paraId="58CE4DEC">
      <w:pPr>
        <w:bidi w:val="0"/>
        <w:rPr>
          <w:rFonts w:hint="eastAsia"/>
        </w:rPr>
      </w:pPr>
    </w:p>
    <w:p w14:paraId="58867D5C">
      <w:pPr>
        <w:bidi w:val="0"/>
        <w:rPr>
          <w:rFonts w:hint="eastAsia"/>
        </w:rPr>
      </w:pPr>
    </w:p>
    <w:p w14:paraId="1A809BA7">
      <w:pPr>
        <w:bidi w:val="0"/>
        <w:rPr>
          <w:rFonts w:hint="eastAsia"/>
        </w:rPr>
      </w:pPr>
    </w:p>
    <w:p w14:paraId="61008A7A">
      <w:pPr>
        <w:pStyle w:val="2"/>
        <w:rPr>
          <w:rFonts w:hint="eastAsia"/>
        </w:rPr>
      </w:pPr>
    </w:p>
    <w:p w14:paraId="726085A1">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color w:val="auto"/>
          <w:sz w:val="48"/>
          <w:szCs w:val="48"/>
          <w:highlight w:val="none"/>
          <w:lang w:val="en-US" w:eastAsia="zh-CN"/>
        </w:rPr>
      </w:pPr>
      <w:r>
        <w:rPr>
          <w:rFonts w:hint="eastAsia" w:ascii="宋体" w:hAnsi="宋体" w:eastAsia="宋体" w:cs="宋体"/>
          <w:b/>
          <w:color w:val="auto"/>
          <w:sz w:val="48"/>
          <w:szCs w:val="48"/>
          <w:highlight w:val="none"/>
          <w:lang w:val="en-US" w:eastAsia="zh-CN"/>
        </w:rPr>
        <w:t>南方报业传媒集团</w:t>
      </w:r>
    </w:p>
    <w:p w14:paraId="431A07A4">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48"/>
          <w:szCs w:val="48"/>
          <w:highlight w:val="none"/>
        </w:rPr>
      </w:pPr>
      <w:r>
        <w:rPr>
          <w:rFonts w:hint="eastAsia" w:ascii="宋体" w:hAnsi="宋体" w:eastAsia="宋体" w:cs="宋体"/>
          <w:b/>
          <w:color w:val="auto"/>
          <w:sz w:val="48"/>
          <w:szCs w:val="48"/>
          <w:highlight w:val="none"/>
          <w:lang w:val="en-US" w:eastAsia="zh-CN"/>
        </w:rPr>
        <w:t>2025至2026年度安保服务</w:t>
      </w:r>
      <w:r>
        <w:rPr>
          <w:rFonts w:hint="eastAsia" w:ascii="宋体" w:hAnsi="宋体" w:eastAsia="宋体" w:cs="宋体"/>
          <w:b/>
          <w:bCs/>
          <w:snapToGrid w:val="0"/>
          <w:color w:val="000000"/>
          <w:kern w:val="0"/>
          <w:sz w:val="48"/>
          <w:szCs w:val="48"/>
          <w:highlight w:val="none"/>
          <w:lang w:bidi="ar"/>
        </w:rPr>
        <w:t>合同</w:t>
      </w:r>
    </w:p>
    <w:p w14:paraId="3554E8AA">
      <w:pPr>
        <w:pStyle w:val="2"/>
        <w:spacing w:before="166" w:line="223" w:lineRule="auto"/>
        <w:ind w:left="2480"/>
        <w:outlineLvl w:val="0"/>
        <w:rPr>
          <w:rFonts w:hint="eastAsia" w:ascii="宋体" w:hAnsi="宋体" w:eastAsia="宋体" w:cs="宋体"/>
          <w:b/>
          <w:bCs/>
          <w:spacing w:val="-49"/>
          <w:w w:val="98"/>
          <w:sz w:val="51"/>
          <w:szCs w:val="51"/>
          <w:highlight w:val="none"/>
        </w:rPr>
      </w:pPr>
    </w:p>
    <w:p w14:paraId="107F816A">
      <w:pPr>
        <w:pStyle w:val="3"/>
        <w:ind w:left="0" w:leftChars="0" w:firstLine="0" w:firstLineChars="0"/>
        <w:rPr>
          <w:rFonts w:hint="eastAsia" w:ascii="仿宋_GB2312" w:hAnsi="仿宋_GB2312" w:eastAsia="仿宋_GB2312" w:cs="仿宋_GB2312"/>
          <w:b/>
          <w:bCs/>
          <w:sz w:val="32"/>
          <w:szCs w:val="32"/>
          <w:highlight w:val="none"/>
          <w:lang w:val="en-US" w:eastAsia="zh-CN"/>
        </w:rPr>
      </w:pPr>
    </w:p>
    <w:p w14:paraId="19E95233">
      <w:pPr>
        <w:rPr>
          <w:rFonts w:hint="eastAsia" w:ascii="宋体" w:hAnsi="宋体" w:eastAsia="宋体" w:cs="宋体"/>
          <w:b/>
          <w:bCs/>
          <w:highlight w:val="none"/>
        </w:rPr>
      </w:pPr>
    </w:p>
    <w:p w14:paraId="521593E0">
      <w:pPr>
        <w:pStyle w:val="2"/>
        <w:rPr>
          <w:rFonts w:hint="eastAsia" w:ascii="宋体" w:hAnsi="宋体" w:eastAsia="宋体" w:cs="宋体"/>
          <w:b/>
          <w:bCs/>
          <w:highlight w:val="none"/>
        </w:rPr>
      </w:pPr>
    </w:p>
    <w:p w14:paraId="502140E2">
      <w:pPr>
        <w:rPr>
          <w:rFonts w:hint="eastAsia"/>
        </w:rPr>
      </w:pPr>
    </w:p>
    <w:p w14:paraId="55EFF3F9">
      <w:pPr>
        <w:pStyle w:val="2"/>
        <w:rPr>
          <w:rFonts w:hint="eastAsia" w:ascii="宋体" w:hAnsi="宋体" w:eastAsia="宋体" w:cs="宋体"/>
          <w:b/>
          <w:bCs/>
        </w:rPr>
      </w:pPr>
    </w:p>
    <w:p w14:paraId="3A57837F">
      <w:pPr>
        <w:spacing w:line="245" w:lineRule="auto"/>
        <w:rPr>
          <w:rFonts w:hint="eastAsia" w:ascii="宋体" w:hAnsi="宋体" w:eastAsia="宋体" w:cs="宋体"/>
          <w:highlight w:val="none"/>
        </w:rPr>
      </w:pPr>
    </w:p>
    <w:p w14:paraId="10928F8B">
      <w:pPr>
        <w:spacing w:line="245" w:lineRule="auto"/>
        <w:rPr>
          <w:rFonts w:hint="eastAsia" w:ascii="宋体" w:hAnsi="宋体" w:eastAsia="宋体" w:cs="宋体"/>
          <w:highlight w:val="none"/>
        </w:rPr>
      </w:pPr>
    </w:p>
    <w:p w14:paraId="69E4C7D7">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firstLine="0"/>
        <w:textAlignment w:val="auto"/>
        <w:rPr>
          <w:rStyle w:val="29"/>
          <w:rFonts w:hint="eastAsia" w:asciiTheme="minorEastAsia" w:hAnsiTheme="minorEastAsia" w:eastAsiaTheme="minorEastAsia" w:cstheme="minorEastAsia"/>
          <w:b w:val="0"/>
          <w:bCs w:val="0"/>
          <w:sz w:val="21"/>
          <w:szCs w:val="21"/>
          <w:u w:val="single"/>
          <w:lang w:val="en-US" w:eastAsia="zh-CN"/>
        </w:rPr>
      </w:pPr>
      <w:r>
        <w:rPr>
          <w:rFonts w:hint="eastAsia" w:ascii="仿宋_GB2312" w:hAnsi="仿宋_GB2312" w:eastAsia="仿宋_GB2312" w:cs="仿宋_GB2312"/>
          <w:b w:val="0"/>
          <w:bCs w:val="0"/>
          <w:sz w:val="32"/>
          <w:szCs w:val="32"/>
          <w:highlight w:val="none"/>
          <w:lang w:eastAsia="zh-CN"/>
        </w:rPr>
        <w:br w:type="page"/>
      </w:r>
      <w:r>
        <w:rPr>
          <w:rFonts w:hint="eastAsia" w:asciiTheme="minorEastAsia" w:hAnsiTheme="minorEastAsia" w:eastAsiaTheme="minorEastAsia" w:cstheme="minorEastAsia"/>
          <w:b w:val="0"/>
          <w:bCs w:val="0"/>
          <w:sz w:val="21"/>
          <w:szCs w:val="21"/>
          <w:highlight w:val="none"/>
          <w:lang w:eastAsia="zh-CN"/>
        </w:rPr>
        <w:t>甲</w:t>
      </w:r>
      <w:r>
        <w:rPr>
          <w:rFonts w:hint="eastAsia" w:asciiTheme="minorEastAsia" w:hAnsiTheme="minorEastAsia" w:eastAsiaTheme="minorEastAsia" w:cstheme="minorEastAsia"/>
          <w:b w:val="0"/>
          <w:bCs w:val="0"/>
          <w:sz w:val="21"/>
          <w:szCs w:val="21"/>
          <w:highlight w:val="none"/>
          <w:lang w:val="en-US" w:eastAsia="zh-CN"/>
        </w:rPr>
        <w:t xml:space="preserve"> </w:t>
      </w:r>
      <w:r>
        <w:rPr>
          <w:rFonts w:hint="eastAsia" w:asciiTheme="minorEastAsia" w:hAnsiTheme="minorEastAsia" w:eastAsiaTheme="minorEastAsia" w:cstheme="minorEastAsia"/>
          <w:b w:val="0"/>
          <w:bCs w:val="0"/>
          <w:sz w:val="21"/>
          <w:szCs w:val="21"/>
          <w:highlight w:val="none"/>
          <w:lang w:eastAsia="zh-CN"/>
        </w:rPr>
        <w:t>方：</w:t>
      </w:r>
      <w:r>
        <w:rPr>
          <w:rFonts w:hint="eastAsia" w:asciiTheme="minorEastAsia" w:hAnsiTheme="minorEastAsia" w:eastAsiaTheme="minorEastAsia" w:cstheme="minorEastAsia"/>
          <w:b w:val="0"/>
          <w:bCs w:val="0"/>
          <w:sz w:val="21"/>
          <w:szCs w:val="21"/>
          <w:highlight w:val="none"/>
          <w:u w:val="single"/>
          <w:lang w:val="en-US" w:eastAsia="zh-CN"/>
        </w:rPr>
        <w:t xml:space="preserve">                                </w:t>
      </w:r>
      <w:r>
        <w:rPr>
          <w:rStyle w:val="29"/>
          <w:rFonts w:hint="eastAsia" w:asciiTheme="minorEastAsia" w:hAnsiTheme="minorEastAsia" w:eastAsiaTheme="minorEastAsia" w:cstheme="minorEastAsia"/>
          <w:b w:val="0"/>
          <w:bCs w:val="0"/>
          <w:sz w:val="21"/>
          <w:szCs w:val="21"/>
          <w:u w:val="single"/>
          <w:lang w:val="en-US" w:eastAsia="zh-CN"/>
        </w:rPr>
        <w:t xml:space="preserve">       </w:t>
      </w:r>
    </w:p>
    <w:p w14:paraId="0FC3B76A">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firstLine="0"/>
        <w:textAlignment w:val="auto"/>
        <w:rPr>
          <w:rFonts w:hint="eastAsia" w:asciiTheme="minorEastAsia" w:hAnsiTheme="minorEastAsia" w:eastAsiaTheme="minorEastAsia" w:cstheme="minorEastAsia"/>
          <w:b w:val="0"/>
          <w:bCs w:val="0"/>
          <w:sz w:val="21"/>
          <w:szCs w:val="21"/>
          <w:highlight w:val="none"/>
          <w:u w:val="single"/>
          <w:lang w:val="en-US" w:eastAsia="zh-CN"/>
        </w:rPr>
      </w:pPr>
      <w:r>
        <w:rPr>
          <w:rFonts w:hint="eastAsia" w:asciiTheme="minorEastAsia" w:hAnsiTheme="minorEastAsia" w:eastAsiaTheme="minorEastAsia" w:cstheme="minorEastAsia"/>
          <w:b w:val="0"/>
          <w:bCs w:val="0"/>
          <w:sz w:val="21"/>
          <w:szCs w:val="21"/>
          <w:highlight w:val="none"/>
          <w:lang w:eastAsia="zh-CN"/>
        </w:rPr>
        <w:t>法定代表人（负责人）：</w:t>
      </w:r>
      <w:r>
        <w:rPr>
          <w:rFonts w:hint="eastAsia" w:asciiTheme="minorEastAsia" w:hAnsiTheme="minorEastAsia" w:eastAsiaTheme="minorEastAsia" w:cstheme="minorEastAsia"/>
          <w:b w:val="0"/>
          <w:bCs w:val="0"/>
          <w:sz w:val="21"/>
          <w:szCs w:val="21"/>
          <w:highlight w:val="none"/>
          <w:u w:val="single"/>
          <w:lang w:val="en-US" w:eastAsia="zh-CN"/>
        </w:rPr>
        <w:t xml:space="preserve">                        </w:t>
      </w:r>
    </w:p>
    <w:p w14:paraId="07479E1B">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firstLine="0"/>
        <w:textAlignment w:val="auto"/>
        <w:rPr>
          <w:rFonts w:hint="eastAsia" w:asciiTheme="minorEastAsia" w:hAnsiTheme="minorEastAsia" w:eastAsiaTheme="minorEastAsia" w:cstheme="minorEastAsia"/>
          <w:color w:val="auto"/>
          <w:sz w:val="21"/>
          <w:szCs w:val="21"/>
          <w:u w:val="single"/>
          <w:lang w:val="en-US" w:eastAsia="zh-CN"/>
        </w:rPr>
      </w:pPr>
      <w:r>
        <w:rPr>
          <w:rFonts w:hint="eastAsia" w:asciiTheme="minorEastAsia" w:hAnsiTheme="minorEastAsia" w:eastAsiaTheme="minorEastAsia" w:cstheme="minorEastAsia"/>
          <w:b w:val="0"/>
          <w:bCs w:val="0"/>
          <w:sz w:val="21"/>
          <w:szCs w:val="21"/>
          <w:highlight w:val="none"/>
          <w:lang w:eastAsia="zh-CN"/>
        </w:rPr>
        <w:t>地</w:t>
      </w:r>
      <w:r>
        <w:rPr>
          <w:rFonts w:hint="eastAsia" w:asciiTheme="minorEastAsia" w:hAnsiTheme="minorEastAsia" w:eastAsiaTheme="minorEastAsia" w:cstheme="minorEastAsia"/>
          <w:b w:val="0"/>
          <w:bCs w:val="0"/>
          <w:sz w:val="21"/>
          <w:szCs w:val="21"/>
          <w:highlight w:val="none"/>
          <w:lang w:val="en-US" w:eastAsia="zh-CN"/>
        </w:rPr>
        <w:t xml:space="preserve"> </w:t>
      </w:r>
      <w:r>
        <w:rPr>
          <w:rFonts w:hint="eastAsia" w:asciiTheme="minorEastAsia" w:hAnsiTheme="minorEastAsia" w:eastAsiaTheme="minorEastAsia" w:cstheme="minorEastAsia"/>
          <w:b w:val="0"/>
          <w:bCs w:val="0"/>
          <w:sz w:val="21"/>
          <w:szCs w:val="21"/>
          <w:highlight w:val="none"/>
          <w:lang w:eastAsia="zh-CN"/>
        </w:rPr>
        <w:t>址：</w:t>
      </w:r>
      <w:r>
        <w:rPr>
          <w:rFonts w:hint="eastAsia" w:asciiTheme="minorEastAsia" w:hAnsiTheme="minorEastAsia" w:eastAsiaTheme="minorEastAsia" w:cstheme="minorEastAsia"/>
          <w:color w:val="auto"/>
          <w:sz w:val="21"/>
          <w:szCs w:val="21"/>
          <w:u w:val="single"/>
          <w:lang w:val="en-US" w:eastAsia="zh-CN"/>
        </w:rPr>
        <w:t xml:space="preserve">                                       </w:t>
      </w:r>
    </w:p>
    <w:p w14:paraId="2DE2ECB1">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firstLine="0"/>
        <w:textAlignment w:val="auto"/>
        <w:rPr>
          <w:rFonts w:hint="eastAsia" w:asciiTheme="minorEastAsia" w:hAnsiTheme="minorEastAsia" w:eastAsiaTheme="minorEastAsia" w:cstheme="minorEastAsia"/>
          <w:b w:val="0"/>
          <w:bCs w:val="0"/>
          <w:sz w:val="21"/>
          <w:szCs w:val="21"/>
          <w:highlight w:val="none"/>
          <w:u w:val="single"/>
          <w:lang w:val="en-US" w:eastAsia="zh-CN"/>
        </w:rPr>
      </w:pPr>
      <w:r>
        <w:rPr>
          <w:rFonts w:hint="eastAsia" w:asciiTheme="minorEastAsia" w:hAnsiTheme="minorEastAsia" w:eastAsiaTheme="minorEastAsia" w:cstheme="minorEastAsia"/>
          <w:b w:val="0"/>
          <w:bCs w:val="0"/>
          <w:sz w:val="21"/>
          <w:szCs w:val="21"/>
          <w:highlight w:val="none"/>
          <w:lang w:eastAsia="zh-CN"/>
        </w:rPr>
        <w:t>联系方式：</w:t>
      </w:r>
      <w:r>
        <w:rPr>
          <w:rFonts w:hint="eastAsia" w:asciiTheme="minorEastAsia" w:hAnsiTheme="minorEastAsia" w:eastAsiaTheme="minorEastAsia" w:cstheme="minorEastAsia"/>
          <w:b w:val="0"/>
          <w:bCs w:val="0"/>
          <w:sz w:val="21"/>
          <w:szCs w:val="21"/>
          <w:highlight w:val="none"/>
          <w:u w:val="single"/>
          <w:lang w:val="en-US" w:eastAsia="zh-CN"/>
        </w:rPr>
        <w:t xml:space="preserve">                                    </w:t>
      </w:r>
    </w:p>
    <w:p w14:paraId="34733540">
      <w:pPr>
        <w:pageBreakBefore w:val="0"/>
        <w:numPr>
          <w:ilvl w:val="0"/>
          <w:numId w:val="0"/>
        </w:numPr>
        <w:kinsoku/>
        <w:overflowPunct/>
        <w:topLinePunct w:val="0"/>
        <w:autoSpaceDE/>
        <w:autoSpaceDN/>
        <w:bidi w:val="0"/>
        <w:snapToGrid w:val="0"/>
        <w:spacing w:line="600" w:lineRule="exact"/>
        <w:textAlignment w:val="auto"/>
        <w:rPr>
          <w:rFonts w:hint="eastAsia" w:asciiTheme="minorEastAsia" w:hAnsiTheme="minorEastAsia" w:eastAsiaTheme="minorEastAsia" w:cstheme="minorEastAsia"/>
          <w:sz w:val="21"/>
          <w:szCs w:val="21"/>
          <w:lang w:eastAsia="zh-CN"/>
        </w:rPr>
      </w:pPr>
    </w:p>
    <w:p w14:paraId="51F3369E">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firstLine="0"/>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eastAsia="zh-CN"/>
        </w:rPr>
        <w:t>乙 方：</w:t>
      </w:r>
      <w:r>
        <w:rPr>
          <w:rFonts w:hint="eastAsia" w:asciiTheme="minorEastAsia" w:hAnsiTheme="minorEastAsia" w:eastAsiaTheme="minorEastAsia" w:cstheme="minorEastAsia"/>
          <w:b w:val="0"/>
          <w:bCs w:val="0"/>
          <w:sz w:val="21"/>
          <w:szCs w:val="21"/>
          <w:highlight w:val="none"/>
          <w:u w:val="single"/>
          <w:lang w:val="en-US" w:eastAsia="zh-CN"/>
        </w:rPr>
        <w:t xml:space="preserve"> </w:t>
      </w:r>
      <w:r>
        <w:rPr>
          <w:rFonts w:hint="eastAsia" w:asciiTheme="minorEastAsia" w:hAnsiTheme="minorEastAsia" w:eastAsiaTheme="minorEastAsia" w:cstheme="minorEastAsia"/>
          <w:b w:val="0"/>
          <w:bCs w:val="0"/>
          <w:kern w:val="0"/>
          <w:sz w:val="21"/>
          <w:szCs w:val="21"/>
          <w:u w:val="single"/>
          <w:lang w:val="en-US" w:eastAsia="zh-CN"/>
        </w:rPr>
        <w:t xml:space="preserve">                                     </w:t>
      </w:r>
      <w:r>
        <w:rPr>
          <w:rStyle w:val="29"/>
          <w:rFonts w:hint="eastAsia" w:asciiTheme="minorEastAsia" w:hAnsiTheme="minorEastAsia" w:eastAsiaTheme="minorEastAsia" w:cstheme="minorEastAsia"/>
          <w:b w:val="0"/>
          <w:bCs w:val="0"/>
          <w:sz w:val="21"/>
          <w:szCs w:val="21"/>
          <w:u w:val="single"/>
          <w:lang w:val="en-US" w:eastAsia="zh-CN"/>
        </w:rPr>
        <w:t xml:space="preserve"> </w:t>
      </w:r>
    </w:p>
    <w:p w14:paraId="715F7EB3">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firstLine="0"/>
        <w:textAlignment w:val="auto"/>
        <w:rPr>
          <w:rFonts w:hint="eastAsia" w:asciiTheme="minorEastAsia" w:hAnsiTheme="minorEastAsia" w:eastAsiaTheme="minorEastAsia" w:cstheme="minorEastAsia"/>
          <w:sz w:val="21"/>
          <w:szCs w:val="21"/>
          <w:highlight w:val="none"/>
          <w:u w:val="single"/>
          <w:lang w:val="en-US" w:eastAsia="zh-CN"/>
        </w:rPr>
      </w:pPr>
      <w:r>
        <w:rPr>
          <w:rFonts w:hint="eastAsia" w:asciiTheme="minorEastAsia" w:hAnsiTheme="minorEastAsia" w:eastAsiaTheme="minorEastAsia" w:cstheme="minorEastAsia"/>
          <w:sz w:val="21"/>
          <w:szCs w:val="21"/>
          <w:highlight w:val="none"/>
          <w:lang w:eastAsia="zh-CN"/>
        </w:rPr>
        <w:t>法定代表人（负责人）：</w:t>
      </w:r>
      <w:r>
        <w:rPr>
          <w:rFonts w:hint="eastAsia" w:asciiTheme="minorEastAsia" w:hAnsiTheme="minorEastAsia" w:eastAsiaTheme="minorEastAsia" w:cstheme="minorEastAsia"/>
          <w:sz w:val="21"/>
          <w:szCs w:val="21"/>
          <w:highlight w:val="none"/>
          <w:u w:val="single"/>
          <w:lang w:val="en-US" w:eastAsia="zh-CN"/>
        </w:rPr>
        <w:t xml:space="preserve">                        </w:t>
      </w:r>
    </w:p>
    <w:p w14:paraId="5B4E1990">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firstLine="0"/>
        <w:textAlignment w:val="auto"/>
        <w:rPr>
          <w:rStyle w:val="29"/>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sz w:val="21"/>
          <w:szCs w:val="21"/>
          <w:highlight w:val="none"/>
          <w:lang w:eastAsia="zh-CN"/>
        </w:rPr>
        <w:t>地 址：</w:t>
      </w:r>
      <w:r>
        <w:rPr>
          <w:rFonts w:hint="eastAsia" w:asciiTheme="minorEastAsia" w:hAnsiTheme="minorEastAsia" w:eastAsiaTheme="minorEastAsia" w:cstheme="minorEastAsia"/>
          <w:sz w:val="21"/>
          <w:szCs w:val="21"/>
          <w:highlight w:val="none"/>
          <w:u w:val="single"/>
          <w:lang w:val="en-US" w:eastAsia="zh-CN"/>
        </w:rPr>
        <w:t xml:space="preserve"> </w:t>
      </w:r>
      <w:r>
        <w:rPr>
          <w:rStyle w:val="29"/>
          <w:rFonts w:hint="eastAsia" w:asciiTheme="minorEastAsia" w:hAnsiTheme="minorEastAsia" w:eastAsiaTheme="minorEastAsia" w:cstheme="minorEastAsia"/>
          <w:b w:val="0"/>
          <w:bCs/>
          <w:sz w:val="21"/>
          <w:szCs w:val="21"/>
          <w:u w:val="single"/>
          <w:lang w:val="en-US" w:eastAsia="zh-CN"/>
        </w:rPr>
        <w:t xml:space="preserve">                                      </w:t>
      </w:r>
    </w:p>
    <w:p w14:paraId="20C940DE">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firstLine="0"/>
        <w:textAlignment w:val="auto"/>
        <w:rPr>
          <w:rFonts w:hint="eastAsia" w:asciiTheme="minorEastAsia" w:hAnsiTheme="minorEastAsia" w:eastAsiaTheme="minorEastAsia" w:cstheme="minorEastAsia"/>
          <w:sz w:val="21"/>
          <w:szCs w:val="21"/>
          <w:highlight w:val="none"/>
          <w:u w:val="single"/>
          <w:lang w:val="en-US" w:eastAsia="zh-CN"/>
        </w:rPr>
      </w:pPr>
      <w:r>
        <w:rPr>
          <w:rFonts w:hint="eastAsia" w:asciiTheme="minorEastAsia" w:hAnsiTheme="minorEastAsia" w:eastAsiaTheme="minorEastAsia" w:cstheme="minorEastAsia"/>
          <w:sz w:val="21"/>
          <w:szCs w:val="21"/>
          <w:highlight w:val="none"/>
          <w:lang w:eastAsia="zh-CN"/>
        </w:rPr>
        <w:t>联系方式：</w:t>
      </w:r>
      <w:r>
        <w:rPr>
          <w:rFonts w:hint="eastAsia" w:asciiTheme="minorEastAsia" w:hAnsiTheme="minorEastAsia" w:eastAsiaTheme="minorEastAsia" w:cstheme="minorEastAsia"/>
          <w:sz w:val="21"/>
          <w:szCs w:val="21"/>
          <w:highlight w:val="none"/>
          <w:u w:val="single"/>
          <w:lang w:val="en-US" w:eastAsia="zh-CN"/>
        </w:rPr>
        <w:t xml:space="preserve">                                    </w:t>
      </w:r>
    </w:p>
    <w:p w14:paraId="68B97434">
      <w:pPr>
        <w:pStyle w:val="28"/>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420" w:firstLineChars="200"/>
        <w:textAlignment w:val="auto"/>
        <w:rPr>
          <w:rStyle w:val="30"/>
          <w:rFonts w:hint="eastAsia" w:asciiTheme="minorEastAsia" w:hAnsiTheme="minorEastAsia" w:eastAsiaTheme="minorEastAsia" w:cstheme="minorEastAsia"/>
          <w:bCs/>
          <w:sz w:val="21"/>
          <w:szCs w:val="21"/>
        </w:rPr>
      </w:pPr>
    </w:p>
    <w:p w14:paraId="0DF637BB">
      <w:pPr>
        <w:pStyle w:val="28"/>
        <w:keepNext w:val="0"/>
        <w:keepLines w:val="0"/>
        <w:pageBreakBefore w:val="0"/>
        <w:numPr>
          <w:ilvl w:val="0"/>
          <w:numId w:val="4"/>
        </w:numPr>
        <w:kinsoku/>
        <w:wordWrap/>
        <w:overflowPunct/>
        <w:topLinePunct w:val="0"/>
        <w:autoSpaceDE/>
        <w:autoSpaceDN/>
        <w:bidi w:val="0"/>
        <w:adjustRightInd w:val="0"/>
        <w:snapToGrid w:val="0"/>
        <w:spacing w:before="0" w:beforeAutospacing="0" w:after="0" w:afterAutospacing="0" w:line="600" w:lineRule="exact"/>
        <w:ind w:firstLine="420" w:firstLineChars="200"/>
        <w:textAlignment w:val="auto"/>
        <w:rPr>
          <w:rFonts w:hint="eastAsia" w:asciiTheme="minorEastAsia" w:hAnsiTheme="minorEastAsia" w:eastAsiaTheme="minorEastAsia" w:cstheme="minorEastAsia"/>
          <w:kern w:val="0"/>
          <w:sz w:val="21"/>
          <w:szCs w:val="21"/>
          <w:highlight w:val="none"/>
          <w:lang w:val="en-US" w:eastAsia="zh-CN"/>
        </w:rPr>
      </w:pPr>
      <w:r>
        <w:rPr>
          <w:rStyle w:val="30"/>
          <w:rFonts w:hint="eastAsia" w:asciiTheme="minorEastAsia" w:hAnsiTheme="minorEastAsia" w:eastAsiaTheme="minorEastAsia" w:cstheme="minorEastAsia"/>
          <w:bCs/>
          <w:sz w:val="21"/>
          <w:szCs w:val="21"/>
        </w:rPr>
        <w:t>乙双方经过</w:t>
      </w:r>
      <w:r>
        <w:rPr>
          <w:rStyle w:val="30"/>
          <w:rFonts w:hint="eastAsia" w:asciiTheme="minorEastAsia" w:hAnsiTheme="minorEastAsia" w:eastAsiaTheme="minorEastAsia" w:cstheme="minorEastAsia"/>
          <w:bCs/>
          <w:sz w:val="21"/>
          <w:szCs w:val="21"/>
          <w:lang w:eastAsia="zh-CN"/>
        </w:rPr>
        <w:t>平等</w:t>
      </w:r>
      <w:r>
        <w:rPr>
          <w:rStyle w:val="30"/>
          <w:rFonts w:hint="eastAsia" w:asciiTheme="minorEastAsia" w:hAnsiTheme="minorEastAsia" w:eastAsiaTheme="minorEastAsia" w:cstheme="minorEastAsia"/>
          <w:bCs/>
          <w:sz w:val="21"/>
          <w:szCs w:val="21"/>
        </w:rPr>
        <w:t>友好协商，依照《中华人民共和国民法典》等相关法律法规，</w:t>
      </w:r>
      <w:r>
        <w:rPr>
          <w:rStyle w:val="29"/>
          <w:rFonts w:hint="eastAsia" w:asciiTheme="minorEastAsia" w:hAnsiTheme="minorEastAsia" w:eastAsiaTheme="minorEastAsia" w:cstheme="minorEastAsia"/>
          <w:color w:val="auto"/>
          <w:sz w:val="21"/>
          <w:szCs w:val="21"/>
          <w:highlight w:val="none"/>
        </w:rPr>
        <w:t>就</w:t>
      </w:r>
      <w:r>
        <w:rPr>
          <w:rStyle w:val="29"/>
          <w:rFonts w:hint="eastAsia" w:asciiTheme="minorEastAsia" w:hAnsiTheme="minorEastAsia" w:eastAsiaTheme="minorEastAsia" w:cstheme="minorEastAsia"/>
          <w:color w:val="auto"/>
          <w:sz w:val="21"/>
          <w:szCs w:val="21"/>
          <w:highlight w:val="none"/>
          <w:lang w:val="en-US" w:eastAsia="zh-CN"/>
        </w:rPr>
        <w:t>2025至2026年度安保服务</w:t>
      </w:r>
      <w:r>
        <w:rPr>
          <w:rFonts w:hint="eastAsia" w:asciiTheme="minorEastAsia" w:hAnsiTheme="minorEastAsia" w:eastAsiaTheme="minorEastAsia" w:cstheme="minorEastAsia"/>
          <w:kern w:val="0"/>
          <w:sz w:val="21"/>
          <w:szCs w:val="21"/>
          <w:highlight w:val="none"/>
          <w:lang w:val="zh-CN"/>
        </w:rPr>
        <w:t>有关事宜，达成如下条款</w:t>
      </w:r>
      <w:r>
        <w:rPr>
          <w:rFonts w:hint="eastAsia" w:asciiTheme="minorEastAsia" w:hAnsiTheme="minorEastAsia" w:eastAsiaTheme="minorEastAsia" w:cstheme="minorEastAsia"/>
          <w:kern w:val="0"/>
          <w:sz w:val="21"/>
          <w:szCs w:val="21"/>
          <w:highlight w:val="none"/>
          <w:lang w:val="en-US" w:eastAsia="zh-CN"/>
        </w:rPr>
        <w:t>并共同遵守。</w:t>
      </w:r>
    </w:p>
    <w:p w14:paraId="00996897">
      <w:pPr>
        <w:pStyle w:val="28"/>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422" w:firstLineChars="200"/>
        <w:textAlignment w:val="auto"/>
        <w:rPr>
          <w:rStyle w:val="29"/>
          <w:rFonts w:hint="eastAsia" w:asciiTheme="minorEastAsia" w:hAnsiTheme="minorEastAsia" w:eastAsiaTheme="minorEastAsia" w:cstheme="minorEastAsia"/>
          <w:b/>
          <w:sz w:val="21"/>
          <w:szCs w:val="21"/>
        </w:rPr>
      </w:pPr>
      <w:r>
        <w:rPr>
          <w:rStyle w:val="29"/>
          <w:rFonts w:hint="eastAsia" w:asciiTheme="minorEastAsia" w:hAnsiTheme="minorEastAsia" w:eastAsiaTheme="minorEastAsia" w:cstheme="minorEastAsia"/>
          <w:b/>
          <w:sz w:val="21"/>
          <w:szCs w:val="21"/>
          <w:lang w:eastAsia="zh-CN"/>
        </w:rPr>
        <w:t>第</w:t>
      </w:r>
      <w:r>
        <w:rPr>
          <w:rStyle w:val="29"/>
          <w:rFonts w:hint="eastAsia" w:asciiTheme="minorEastAsia" w:hAnsiTheme="minorEastAsia" w:eastAsiaTheme="minorEastAsia" w:cstheme="minorEastAsia"/>
          <w:b/>
          <w:sz w:val="21"/>
          <w:szCs w:val="21"/>
        </w:rPr>
        <w:t>一</w:t>
      </w:r>
      <w:r>
        <w:rPr>
          <w:rStyle w:val="29"/>
          <w:rFonts w:hint="eastAsia" w:asciiTheme="minorEastAsia" w:hAnsiTheme="minorEastAsia" w:eastAsiaTheme="minorEastAsia" w:cstheme="minorEastAsia"/>
          <w:b/>
          <w:sz w:val="21"/>
          <w:szCs w:val="21"/>
          <w:lang w:eastAsia="zh-CN"/>
        </w:rPr>
        <w:t>条</w:t>
      </w:r>
      <w:r>
        <w:rPr>
          <w:rStyle w:val="29"/>
          <w:rFonts w:hint="eastAsia" w:asciiTheme="minorEastAsia" w:hAnsiTheme="minorEastAsia" w:eastAsiaTheme="minorEastAsia" w:cstheme="minorEastAsia"/>
          <w:b/>
          <w:sz w:val="21"/>
          <w:szCs w:val="21"/>
          <w:lang w:val="en-US" w:eastAsia="zh-CN"/>
        </w:rPr>
        <w:t xml:space="preserve">  </w:t>
      </w:r>
      <w:r>
        <w:rPr>
          <w:rStyle w:val="29"/>
          <w:rFonts w:hint="eastAsia" w:asciiTheme="minorEastAsia" w:hAnsiTheme="minorEastAsia" w:eastAsiaTheme="minorEastAsia" w:cstheme="minorEastAsia"/>
          <w:b/>
          <w:sz w:val="21"/>
          <w:szCs w:val="21"/>
        </w:rPr>
        <w:t>项目概况</w:t>
      </w:r>
    </w:p>
    <w:p w14:paraId="7A565E33">
      <w:pPr>
        <w:pStyle w:val="28"/>
        <w:keepNext w:val="0"/>
        <w:keepLines w:val="0"/>
        <w:pageBreakBefore w:val="0"/>
        <w:kinsoku/>
        <w:wordWrap w:val="0"/>
        <w:overflowPunct/>
        <w:topLinePunct w:val="0"/>
        <w:autoSpaceDE/>
        <w:autoSpaceDN/>
        <w:bidi w:val="0"/>
        <w:adjustRightInd w:val="0"/>
        <w:snapToGrid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sz w:val="21"/>
          <w:szCs w:val="21"/>
          <w:u w:val="single"/>
          <w:lang w:val="en-US" w:eastAsia="zh-CN"/>
        </w:rPr>
      </w:pPr>
      <w:r>
        <w:rPr>
          <w:rStyle w:val="30"/>
          <w:rFonts w:hint="eastAsia" w:asciiTheme="minorEastAsia" w:hAnsiTheme="minorEastAsia" w:eastAsiaTheme="minorEastAsia" w:cstheme="minorEastAsia"/>
          <w:bCs/>
          <w:sz w:val="21"/>
          <w:szCs w:val="21"/>
          <w:lang w:val="en-US" w:eastAsia="zh-CN"/>
        </w:rPr>
        <w:t>1.项目</w:t>
      </w:r>
      <w:r>
        <w:rPr>
          <w:rStyle w:val="30"/>
          <w:rFonts w:hint="eastAsia" w:asciiTheme="minorEastAsia" w:hAnsiTheme="minorEastAsia" w:eastAsiaTheme="minorEastAsia" w:cstheme="minorEastAsia"/>
          <w:bCs/>
          <w:sz w:val="21"/>
          <w:szCs w:val="21"/>
        </w:rPr>
        <w:t>名称：</w:t>
      </w:r>
      <w:r>
        <w:rPr>
          <w:rStyle w:val="29"/>
          <w:rFonts w:hint="eastAsia" w:asciiTheme="minorEastAsia" w:hAnsiTheme="minorEastAsia" w:eastAsiaTheme="minorEastAsia" w:cstheme="minorEastAsia"/>
          <w:sz w:val="21"/>
          <w:szCs w:val="21"/>
          <w:u w:val="single"/>
          <w:lang w:val="en-US" w:eastAsia="zh-CN"/>
        </w:rPr>
        <w:t>南方报业传媒集团2025至2026年度安保服务</w:t>
      </w:r>
    </w:p>
    <w:p w14:paraId="57C0EB90">
      <w:pPr>
        <w:pStyle w:val="28"/>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sz w:val="21"/>
          <w:szCs w:val="21"/>
          <w:u w:val="single"/>
        </w:rPr>
      </w:pPr>
      <w:r>
        <w:rPr>
          <w:rStyle w:val="29"/>
          <w:rFonts w:hint="eastAsia" w:asciiTheme="minorEastAsia" w:hAnsiTheme="minorEastAsia" w:eastAsiaTheme="minorEastAsia" w:cstheme="minorEastAsia"/>
          <w:sz w:val="21"/>
          <w:szCs w:val="21"/>
          <w:u w:val="none"/>
          <w:lang w:val="en-US" w:eastAsia="zh-CN"/>
        </w:rPr>
        <w:t>2.项目服务地点</w:t>
      </w:r>
      <w:r>
        <w:rPr>
          <w:rStyle w:val="29"/>
          <w:rFonts w:hint="eastAsia" w:asciiTheme="minorEastAsia" w:hAnsiTheme="minorEastAsia" w:eastAsiaTheme="minorEastAsia" w:cstheme="minorEastAsia"/>
          <w:sz w:val="21"/>
          <w:szCs w:val="21"/>
        </w:rPr>
        <w:t>：</w:t>
      </w:r>
      <w:r>
        <w:rPr>
          <w:rStyle w:val="29"/>
          <w:rFonts w:hint="eastAsia" w:asciiTheme="minorEastAsia" w:hAnsiTheme="minorEastAsia" w:eastAsiaTheme="minorEastAsia" w:cstheme="minorEastAsia"/>
          <w:sz w:val="21"/>
          <w:szCs w:val="21"/>
          <w:u w:val="single"/>
          <w:lang w:val="en-US" w:eastAsia="zh-CN"/>
        </w:rPr>
        <w:t xml:space="preserve">广州市广州大道中289号大院媒体区内  </w:t>
      </w:r>
    </w:p>
    <w:p w14:paraId="1D0CAF71">
      <w:pPr>
        <w:pStyle w:val="28"/>
        <w:keepNext w:val="0"/>
        <w:keepLines w:val="0"/>
        <w:pageBreakBefore w:val="0"/>
        <w:kinsoku/>
        <w:overflowPunct/>
        <w:topLinePunct w:val="0"/>
        <w:autoSpaceDE/>
        <w:autoSpaceDN/>
        <w:bidi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sz w:val="21"/>
          <w:szCs w:val="21"/>
        </w:rPr>
      </w:pPr>
      <w:r>
        <w:rPr>
          <w:rStyle w:val="29"/>
          <w:rFonts w:hint="eastAsia" w:asciiTheme="minorEastAsia" w:hAnsiTheme="minorEastAsia" w:eastAsiaTheme="minorEastAsia" w:cstheme="minorEastAsia"/>
          <w:sz w:val="21"/>
          <w:szCs w:val="21"/>
          <w:lang w:val="en-US" w:eastAsia="zh-CN"/>
        </w:rPr>
        <w:t>3.服务</w:t>
      </w:r>
      <w:r>
        <w:rPr>
          <w:rStyle w:val="29"/>
          <w:rFonts w:hint="eastAsia" w:asciiTheme="minorEastAsia" w:hAnsiTheme="minorEastAsia" w:eastAsiaTheme="minorEastAsia" w:cstheme="minorEastAsia"/>
          <w:sz w:val="21"/>
          <w:szCs w:val="21"/>
        </w:rPr>
        <w:t>内容：</w:t>
      </w:r>
      <w:r>
        <w:rPr>
          <w:rStyle w:val="29"/>
          <w:rFonts w:hint="eastAsia" w:asciiTheme="minorEastAsia" w:hAnsiTheme="minorEastAsia" w:eastAsiaTheme="minorEastAsia" w:cstheme="minorEastAsia"/>
          <w:color w:val="auto"/>
          <w:sz w:val="21"/>
          <w:szCs w:val="21"/>
          <w:highlight w:val="none"/>
        </w:rPr>
        <w:t>详见甲方招标文件</w:t>
      </w:r>
      <w:r>
        <w:rPr>
          <w:rStyle w:val="29"/>
          <w:rFonts w:hint="eastAsia" w:asciiTheme="minorEastAsia" w:hAnsiTheme="minorEastAsia" w:eastAsiaTheme="minorEastAsia" w:cstheme="minorEastAsia"/>
          <w:color w:val="auto"/>
          <w:sz w:val="21"/>
          <w:szCs w:val="21"/>
          <w:highlight w:val="none"/>
          <w:lang w:eastAsia="zh-CN"/>
        </w:rPr>
        <w:t>（</w:t>
      </w:r>
      <w:r>
        <w:rPr>
          <w:rStyle w:val="29"/>
          <w:rFonts w:hint="eastAsia" w:asciiTheme="minorEastAsia" w:hAnsiTheme="minorEastAsia" w:eastAsiaTheme="minorEastAsia" w:cstheme="minorEastAsia"/>
          <w:color w:val="auto"/>
          <w:sz w:val="21"/>
          <w:szCs w:val="21"/>
          <w:highlight w:val="none"/>
          <w:lang w:val="en-US" w:eastAsia="zh-CN"/>
        </w:rPr>
        <w:t>项目需求说明）</w:t>
      </w:r>
      <w:r>
        <w:rPr>
          <w:rStyle w:val="29"/>
          <w:rFonts w:hint="eastAsia" w:asciiTheme="minorEastAsia" w:hAnsiTheme="minorEastAsia" w:eastAsiaTheme="minorEastAsia" w:cstheme="minorEastAsia"/>
          <w:color w:val="auto"/>
          <w:sz w:val="21"/>
          <w:szCs w:val="21"/>
          <w:highlight w:val="none"/>
        </w:rPr>
        <w:t>和乙方的投标文件</w:t>
      </w:r>
      <w:r>
        <w:rPr>
          <w:rStyle w:val="29"/>
          <w:rFonts w:hint="eastAsia" w:asciiTheme="minorEastAsia" w:hAnsiTheme="minorEastAsia" w:eastAsiaTheme="minorEastAsia" w:cstheme="minorEastAsia"/>
          <w:sz w:val="21"/>
          <w:szCs w:val="21"/>
        </w:rPr>
        <w:t>。</w:t>
      </w:r>
    </w:p>
    <w:p w14:paraId="45BB5353">
      <w:pPr>
        <w:pStyle w:val="28"/>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422" w:firstLineChars="200"/>
        <w:textAlignment w:val="auto"/>
        <w:rPr>
          <w:rStyle w:val="29"/>
          <w:rFonts w:hint="eastAsia" w:asciiTheme="minorEastAsia" w:hAnsiTheme="minorEastAsia" w:eastAsiaTheme="minorEastAsia" w:cstheme="minorEastAsia"/>
          <w:b/>
          <w:sz w:val="21"/>
          <w:szCs w:val="21"/>
        </w:rPr>
      </w:pPr>
      <w:r>
        <w:rPr>
          <w:rStyle w:val="29"/>
          <w:rFonts w:hint="eastAsia" w:asciiTheme="minorEastAsia" w:hAnsiTheme="minorEastAsia" w:eastAsiaTheme="minorEastAsia" w:cstheme="minorEastAsia"/>
          <w:b/>
          <w:sz w:val="21"/>
          <w:szCs w:val="21"/>
          <w:lang w:eastAsia="zh-CN"/>
        </w:rPr>
        <w:t>第</w:t>
      </w:r>
      <w:r>
        <w:rPr>
          <w:rStyle w:val="29"/>
          <w:rFonts w:hint="eastAsia" w:asciiTheme="minorEastAsia" w:hAnsiTheme="minorEastAsia" w:eastAsiaTheme="minorEastAsia" w:cstheme="minorEastAsia"/>
          <w:b/>
          <w:sz w:val="21"/>
          <w:szCs w:val="21"/>
          <w:lang w:val="en-US" w:eastAsia="zh-CN"/>
        </w:rPr>
        <w:t>二</w:t>
      </w:r>
      <w:r>
        <w:rPr>
          <w:rStyle w:val="29"/>
          <w:rFonts w:hint="eastAsia" w:asciiTheme="minorEastAsia" w:hAnsiTheme="minorEastAsia" w:eastAsiaTheme="minorEastAsia" w:cstheme="minorEastAsia"/>
          <w:b/>
          <w:sz w:val="21"/>
          <w:szCs w:val="21"/>
          <w:lang w:eastAsia="zh-CN"/>
        </w:rPr>
        <w:t>条</w:t>
      </w:r>
      <w:r>
        <w:rPr>
          <w:rStyle w:val="29"/>
          <w:rFonts w:hint="eastAsia" w:asciiTheme="minorEastAsia" w:hAnsiTheme="minorEastAsia" w:eastAsiaTheme="minorEastAsia" w:cstheme="minorEastAsia"/>
          <w:b/>
          <w:sz w:val="21"/>
          <w:szCs w:val="21"/>
          <w:lang w:val="en-US" w:eastAsia="zh-CN"/>
        </w:rPr>
        <w:t xml:space="preserve">  服务期限</w:t>
      </w:r>
    </w:p>
    <w:p w14:paraId="7BE08C4E">
      <w:pPr>
        <w:pStyle w:val="28"/>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sz w:val="21"/>
          <w:szCs w:val="21"/>
        </w:rPr>
      </w:pPr>
      <w:r>
        <w:rPr>
          <w:rStyle w:val="29"/>
          <w:rFonts w:hint="eastAsia" w:asciiTheme="minorEastAsia" w:hAnsiTheme="minorEastAsia" w:eastAsiaTheme="minorEastAsia" w:cstheme="minorEastAsia"/>
          <w:sz w:val="21"/>
          <w:szCs w:val="21"/>
          <w:lang w:val="en-US" w:eastAsia="zh-CN"/>
        </w:rPr>
        <w:t>合同签订为1年+1年模式，第一年合同期限为</w:t>
      </w:r>
      <w:r>
        <w:rPr>
          <w:rStyle w:val="29"/>
          <w:rFonts w:hint="eastAsia" w:asciiTheme="minorEastAsia" w:hAnsiTheme="minorEastAsia" w:eastAsiaTheme="minorEastAsia" w:cstheme="minorEastAsia"/>
          <w:sz w:val="21"/>
          <w:szCs w:val="21"/>
          <w:u w:val="single"/>
          <w:lang w:val="en-US" w:eastAsia="zh-CN"/>
        </w:rPr>
        <w:t>2025</w:t>
      </w:r>
      <w:r>
        <w:rPr>
          <w:rStyle w:val="29"/>
          <w:rFonts w:hint="eastAsia" w:asciiTheme="minorEastAsia" w:hAnsiTheme="minorEastAsia" w:eastAsiaTheme="minorEastAsia" w:cstheme="minorEastAsia"/>
          <w:sz w:val="21"/>
          <w:szCs w:val="21"/>
          <w:lang w:val="en-US" w:eastAsia="zh-CN"/>
        </w:rPr>
        <w:t>年</w:t>
      </w:r>
      <w:r>
        <w:rPr>
          <w:rStyle w:val="29"/>
          <w:rFonts w:hint="eastAsia" w:asciiTheme="minorEastAsia" w:hAnsiTheme="minorEastAsia" w:eastAsiaTheme="minorEastAsia" w:cstheme="minorEastAsia"/>
          <w:sz w:val="21"/>
          <w:szCs w:val="21"/>
          <w:u w:val="single"/>
          <w:lang w:val="en-US" w:eastAsia="zh-CN"/>
        </w:rPr>
        <w:t>3</w:t>
      </w:r>
      <w:r>
        <w:rPr>
          <w:rStyle w:val="29"/>
          <w:rFonts w:hint="eastAsia" w:asciiTheme="minorEastAsia" w:hAnsiTheme="minorEastAsia" w:eastAsiaTheme="minorEastAsia" w:cstheme="minorEastAsia"/>
          <w:sz w:val="21"/>
          <w:szCs w:val="21"/>
          <w:lang w:val="en-US" w:eastAsia="zh-CN"/>
        </w:rPr>
        <w:t>月</w:t>
      </w:r>
      <w:r>
        <w:rPr>
          <w:rStyle w:val="29"/>
          <w:rFonts w:hint="eastAsia" w:asciiTheme="minorEastAsia" w:hAnsiTheme="minorEastAsia" w:eastAsiaTheme="minorEastAsia" w:cstheme="minorEastAsia"/>
          <w:sz w:val="21"/>
          <w:szCs w:val="21"/>
          <w:u w:val="single"/>
          <w:lang w:val="en-US" w:eastAsia="zh-CN"/>
        </w:rPr>
        <w:t>1</w:t>
      </w:r>
      <w:r>
        <w:rPr>
          <w:rStyle w:val="29"/>
          <w:rFonts w:hint="eastAsia" w:asciiTheme="minorEastAsia" w:hAnsiTheme="minorEastAsia" w:eastAsiaTheme="minorEastAsia" w:cstheme="minorEastAsia"/>
          <w:sz w:val="21"/>
          <w:szCs w:val="21"/>
          <w:lang w:val="en-US" w:eastAsia="zh-CN"/>
        </w:rPr>
        <w:t>日至</w:t>
      </w:r>
      <w:r>
        <w:rPr>
          <w:rStyle w:val="29"/>
          <w:rFonts w:hint="eastAsia" w:asciiTheme="minorEastAsia" w:hAnsiTheme="minorEastAsia" w:eastAsiaTheme="minorEastAsia" w:cstheme="minorEastAsia"/>
          <w:sz w:val="21"/>
          <w:szCs w:val="21"/>
          <w:u w:val="single"/>
          <w:lang w:val="en-US" w:eastAsia="zh-CN"/>
        </w:rPr>
        <w:t>2026</w:t>
      </w:r>
      <w:r>
        <w:rPr>
          <w:rStyle w:val="29"/>
          <w:rFonts w:hint="eastAsia" w:asciiTheme="minorEastAsia" w:hAnsiTheme="minorEastAsia" w:eastAsiaTheme="minorEastAsia" w:cstheme="minorEastAsia"/>
          <w:sz w:val="21"/>
          <w:szCs w:val="21"/>
          <w:lang w:val="en-US" w:eastAsia="zh-CN"/>
        </w:rPr>
        <w:t>年</w:t>
      </w:r>
      <w:r>
        <w:rPr>
          <w:rStyle w:val="29"/>
          <w:rFonts w:hint="eastAsia" w:asciiTheme="minorEastAsia" w:hAnsiTheme="minorEastAsia" w:eastAsiaTheme="minorEastAsia" w:cstheme="minorEastAsia"/>
          <w:sz w:val="21"/>
          <w:szCs w:val="21"/>
          <w:u w:val="single"/>
          <w:lang w:val="en-US" w:eastAsia="zh-CN"/>
        </w:rPr>
        <w:t>2</w:t>
      </w:r>
      <w:r>
        <w:rPr>
          <w:rStyle w:val="29"/>
          <w:rFonts w:hint="eastAsia" w:asciiTheme="minorEastAsia" w:hAnsiTheme="minorEastAsia" w:eastAsiaTheme="minorEastAsia" w:cstheme="minorEastAsia"/>
          <w:sz w:val="21"/>
          <w:szCs w:val="21"/>
          <w:lang w:val="en-US" w:eastAsia="zh-CN"/>
        </w:rPr>
        <w:t>月</w:t>
      </w:r>
      <w:r>
        <w:rPr>
          <w:rStyle w:val="29"/>
          <w:rFonts w:hint="eastAsia" w:asciiTheme="minorEastAsia" w:hAnsiTheme="minorEastAsia" w:eastAsiaTheme="minorEastAsia" w:cstheme="minorEastAsia"/>
          <w:sz w:val="21"/>
          <w:szCs w:val="21"/>
          <w:u w:val="single"/>
          <w:lang w:val="en-US" w:eastAsia="zh-CN"/>
        </w:rPr>
        <w:t>28</w:t>
      </w:r>
      <w:r>
        <w:rPr>
          <w:rStyle w:val="29"/>
          <w:rFonts w:hint="eastAsia" w:asciiTheme="minorEastAsia" w:hAnsiTheme="minorEastAsia" w:eastAsiaTheme="minorEastAsia" w:cstheme="minorEastAsia"/>
          <w:sz w:val="21"/>
          <w:szCs w:val="21"/>
          <w:lang w:val="en-US" w:eastAsia="zh-CN"/>
        </w:rPr>
        <w:t>日，该合同期内甲方对乙方保安人员的服务工作进行月度考核，若累计三个月未能达到甲方考核标准，本合同期到期后自然终止；若未达标次数未达到三个月，则合同期延续至</w:t>
      </w:r>
      <w:r>
        <w:rPr>
          <w:rStyle w:val="29"/>
          <w:rFonts w:hint="eastAsia" w:asciiTheme="minorEastAsia" w:hAnsiTheme="minorEastAsia" w:eastAsiaTheme="minorEastAsia" w:cstheme="minorEastAsia"/>
          <w:sz w:val="21"/>
          <w:szCs w:val="21"/>
          <w:u w:val="single"/>
          <w:lang w:val="en-US" w:eastAsia="zh-CN"/>
        </w:rPr>
        <w:t>2027</w:t>
      </w:r>
      <w:r>
        <w:rPr>
          <w:rStyle w:val="29"/>
          <w:rFonts w:hint="eastAsia" w:asciiTheme="minorEastAsia" w:hAnsiTheme="minorEastAsia" w:eastAsiaTheme="minorEastAsia" w:cstheme="minorEastAsia"/>
          <w:sz w:val="21"/>
          <w:szCs w:val="21"/>
          <w:lang w:val="en-US" w:eastAsia="zh-CN"/>
        </w:rPr>
        <w:t>年</w:t>
      </w:r>
      <w:r>
        <w:rPr>
          <w:rStyle w:val="29"/>
          <w:rFonts w:hint="eastAsia" w:asciiTheme="minorEastAsia" w:hAnsiTheme="minorEastAsia" w:eastAsiaTheme="minorEastAsia" w:cstheme="minorEastAsia"/>
          <w:sz w:val="21"/>
          <w:szCs w:val="21"/>
          <w:u w:val="single"/>
          <w:lang w:val="en-US" w:eastAsia="zh-CN"/>
        </w:rPr>
        <w:t>2</w:t>
      </w:r>
      <w:r>
        <w:rPr>
          <w:rStyle w:val="29"/>
          <w:rFonts w:hint="eastAsia" w:asciiTheme="minorEastAsia" w:hAnsiTheme="minorEastAsia" w:eastAsiaTheme="minorEastAsia" w:cstheme="minorEastAsia"/>
          <w:sz w:val="21"/>
          <w:szCs w:val="21"/>
          <w:lang w:val="en-US" w:eastAsia="zh-CN"/>
        </w:rPr>
        <w:t>月</w:t>
      </w:r>
      <w:r>
        <w:rPr>
          <w:rStyle w:val="29"/>
          <w:rFonts w:hint="eastAsia" w:asciiTheme="minorEastAsia" w:hAnsiTheme="minorEastAsia" w:eastAsiaTheme="minorEastAsia" w:cstheme="minorEastAsia"/>
          <w:sz w:val="21"/>
          <w:szCs w:val="21"/>
          <w:u w:val="single"/>
          <w:lang w:val="en-US" w:eastAsia="zh-CN"/>
        </w:rPr>
        <w:t>28</w:t>
      </w:r>
      <w:r>
        <w:rPr>
          <w:rStyle w:val="29"/>
          <w:rFonts w:hint="eastAsia" w:asciiTheme="minorEastAsia" w:hAnsiTheme="minorEastAsia" w:eastAsiaTheme="minorEastAsia" w:cstheme="minorEastAsia"/>
          <w:sz w:val="21"/>
          <w:szCs w:val="21"/>
          <w:lang w:val="en-US" w:eastAsia="zh-CN"/>
        </w:rPr>
        <w:t>日。</w:t>
      </w:r>
    </w:p>
    <w:p w14:paraId="662FE6BC">
      <w:pPr>
        <w:pStyle w:val="28"/>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422" w:firstLineChars="200"/>
        <w:textAlignment w:val="auto"/>
        <w:rPr>
          <w:rStyle w:val="29"/>
          <w:rFonts w:hint="eastAsia" w:asciiTheme="minorEastAsia" w:hAnsiTheme="minorEastAsia" w:eastAsiaTheme="minorEastAsia" w:cstheme="minorEastAsia"/>
          <w:b/>
          <w:sz w:val="21"/>
          <w:szCs w:val="21"/>
        </w:rPr>
      </w:pPr>
      <w:r>
        <w:rPr>
          <w:rStyle w:val="29"/>
          <w:rFonts w:hint="eastAsia" w:asciiTheme="minorEastAsia" w:hAnsiTheme="minorEastAsia" w:eastAsiaTheme="minorEastAsia" w:cstheme="minorEastAsia"/>
          <w:b/>
          <w:sz w:val="21"/>
          <w:szCs w:val="21"/>
          <w:lang w:eastAsia="zh-CN"/>
        </w:rPr>
        <w:t>第</w:t>
      </w:r>
      <w:r>
        <w:rPr>
          <w:rStyle w:val="29"/>
          <w:rFonts w:hint="eastAsia" w:asciiTheme="minorEastAsia" w:hAnsiTheme="minorEastAsia" w:eastAsiaTheme="minorEastAsia" w:cstheme="minorEastAsia"/>
          <w:b/>
          <w:sz w:val="21"/>
          <w:szCs w:val="21"/>
          <w:lang w:val="en-US" w:eastAsia="zh-CN"/>
        </w:rPr>
        <w:t>三</w:t>
      </w:r>
      <w:r>
        <w:rPr>
          <w:rStyle w:val="29"/>
          <w:rFonts w:hint="eastAsia" w:asciiTheme="minorEastAsia" w:hAnsiTheme="minorEastAsia" w:eastAsiaTheme="minorEastAsia" w:cstheme="minorEastAsia"/>
          <w:b/>
          <w:sz w:val="21"/>
          <w:szCs w:val="21"/>
          <w:lang w:eastAsia="zh-CN"/>
        </w:rPr>
        <w:t>条</w:t>
      </w:r>
      <w:r>
        <w:rPr>
          <w:rStyle w:val="29"/>
          <w:rFonts w:hint="eastAsia" w:asciiTheme="minorEastAsia" w:hAnsiTheme="minorEastAsia" w:eastAsiaTheme="minorEastAsia" w:cstheme="minorEastAsia"/>
          <w:b/>
          <w:sz w:val="21"/>
          <w:szCs w:val="21"/>
          <w:lang w:val="en-US" w:eastAsia="zh-CN"/>
        </w:rPr>
        <w:t xml:space="preserve">  服务费用</w:t>
      </w:r>
    </w:p>
    <w:p w14:paraId="39C0FAAD">
      <w:pPr>
        <w:pStyle w:val="28"/>
        <w:keepNext w:val="0"/>
        <w:keepLines w:val="0"/>
        <w:pageBreakBefore w:val="0"/>
        <w:kinsoku/>
        <w:overflowPunct/>
        <w:topLinePunct w:val="0"/>
        <w:autoSpaceDE/>
        <w:autoSpaceDN/>
        <w:bidi w:val="0"/>
        <w:spacing w:before="0" w:beforeAutospacing="0" w:after="0" w:afterAutospacing="0" w:line="600" w:lineRule="exact"/>
        <w:ind w:firstLine="420" w:firstLineChars="200"/>
        <w:textAlignment w:val="auto"/>
        <w:rPr>
          <w:rFonts w:hint="eastAsia" w:asciiTheme="minorEastAsia" w:hAnsiTheme="minorEastAsia" w:eastAsiaTheme="minorEastAsia" w:cstheme="minorEastAsia"/>
          <w:kern w:val="0"/>
          <w:sz w:val="21"/>
          <w:szCs w:val="21"/>
          <w:highlight w:val="none"/>
          <w:lang w:val="zh-CN"/>
        </w:rPr>
      </w:pPr>
      <w:r>
        <w:rPr>
          <w:rStyle w:val="29"/>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val="en-US" w:eastAsia="zh-CN"/>
        </w:rPr>
        <w:t>甲方每月按保安主管</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rPr>
        <w:t>元</w:t>
      </w:r>
      <w:r>
        <w:rPr>
          <w:rFonts w:hint="eastAsia" w:asciiTheme="minorEastAsia" w:hAnsiTheme="minorEastAsia" w:eastAsiaTheme="minorEastAsia" w:cstheme="minorEastAsia"/>
          <w:color w:val="auto"/>
          <w:sz w:val="21"/>
          <w:szCs w:val="21"/>
          <w:highlight w:val="none"/>
          <w:u w:val="none"/>
          <w:lang w:val="en-US" w:eastAsia="zh-CN"/>
        </w:rPr>
        <w:t>、</w:t>
      </w:r>
      <w:r>
        <w:rPr>
          <w:rFonts w:hint="eastAsia" w:asciiTheme="minorEastAsia" w:hAnsiTheme="minorEastAsia" w:eastAsiaTheme="minorEastAsia" w:cstheme="minorEastAsia"/>
          <w:color w:val="auto"/>
          <w:sz w:val="21"/>
          <w:szCs w:val="21"/>
          <w:highlight w:val="none"/>
          <w:lang w:val="en-US" w:eastAsia="zh-CN"/>
        </w:rPr>
        <w:t>保安员</w:t>
      </w:r>
      <w:r>
        <w:rPr>
          <w:rFonts w:hint="eastAsia" w:asciiTheme="minorEastAsia" w:hAnsiTheme="minorEastAsia" w:eastAsiaTheme="minorEastAsia" w:cstheme="minorEastAsia"/>
          <w:color w:val="auto"/>
          <w:sz w:val="21"/>
          <w:szCs w:val="21"/>
          <w:highlight w:val="none"/>
        </w:rPr>
        <w:t>每人</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rPr>
        <w:t>元</w:t>
      </w:r>
      <w:r>
        <w:rPr>
          <w:rFonts w:hint="eastAsia" w:asciiTheme="minorEastAsia" w:hAnsiTheme="minorEastAsia" w:eastAsiaTheme="minorEastAsia" w:cstheme="minorEastAsia"/>
          <w:color w:val="auto"/>
          <w:sz w:val="21"/>
          <w:szCs w:val="21"/>
          <w:highlight w:val="none"/>
          <w:u w:val="none"/>
          <w:lang w:val="en-US" w:eastAsia="zh-CN"/>
        </w:rPr>
        <w:t>、每月合</w:t>
      </w:r>
      <w:r>
        <w:rPr>
          <w:rFonts w:hint="eastAsia" w:asciiTheme="minorEastAsia" w:hAnsiTheme="minorEastAsia" w:eastAsiaTheme="minorEastAsia" w:cstheme="minorEastAsia"/>
          <w:color w:val="auto"/>
          <w:sz w:val="21"/>
          <w:szCs w:val="21"/>
          <w:highlight w:val="none"/>
          <w:lang w:val="en-US" w:eastAsia="zh-CN"/>
        </w:rPr>
        <w:t>计</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rPr>
        <w:t>元</w:t>
      </w:r>
      <w:r>
        <w:rPr>
          <w:rFonts w:hint="eastAsia" w:asciiTheme="minorEastAsia" w:hAnsiTheme="minorEastAsia" w:eastAsiaTheme="minorEastAsia" w:cstheme="minorEastAsia"/>
          <w:kern w:val="0"/>
          <w:sz w:val="21"/>
          <w:szCs w:val="21"/>
          <w:highlight w:val="none"/>
          <w:lang w:val="zh-CN"/>
        </w:rPr>
        <w:t>（含税）</w:t>
      </w:r>
      <w:r>
        <w:rPr>
          <w:rFonts w:hint="eastAsia" w:asciiTheme="minorEastAsia" w:hAnsiTheme="minorEastAsia" w:eastAsiaTheme="minorEastAsia" w:cstheme="minorEastAsia"/>
          <w:color w:val="auto"/>
          <w:sz w:val="21"/>
          <w:szCs w:val="21"/>
          <w:highlight w:val="none"/>
          <w:u w:val="none"/>
          <w:lang w:val="en-US" w:eastAsia="zh-CN"/>
        </w:rPr>
        <w:t>标准向乙方支付保安服务费，</w:t>
      </w:r>
      <w:r>
        <w:rPr>
          <w:rStyle w:val="29"/>
          <w:rFonts w:hint="eastAsia" w:asciiTheme="minorEastAsia" w:hAnsiTheme="minorEastAsia" w:eastAsiaTheme="minorEastAsia" w:cstheme="minorEastAsia"/>
          <w:color w:val="auto"/>
          <w:sz w:val="21"/>
          <w:szCs w:val="21"/>
          <w:highlight w:val="none"/>
          <w:lang w:val="en-US" w:eastAsia="zh-CN"/>
        </w:rPr>
        <w:t>合同</w:t>
      </w:r>
      <w:r>
        <w:rPr>
          <w:rFonts w:hint="eastAsia" w:asciiTheme="minorEastAsia" w:hAnsiTheme="minorEastAsia" w:eastAsiaTheme="minorEastAsia" w:cstheme="minorEastAsia"/>
          <w:kern w:val="0"/>
          <w:sz w:val="21"/>
          <w:szCs w:val="21"/>
          <w:highlight w:val="none"/>
          <w:lang w:val="zh-CN"/>
        </w:rPr>
        <w:t>总</w:t>
      </w:r>
      <w:r>
        <w:rPr>
          <w:rFonts w:hint="eastAsia" w:asciiTheme="minorEastAsia" w:hAnsiTheme="minorEastAsia" w:eastAsiaTheme="minorEastAsia" w:cstheme="minorEastAsia"/>
          <w:kern w:val="0"/>
          <w:sz w:val="21"/>
          <w:szCs w:val="21"/>
          <w:highlight w:val="none"/>
          <w:lang w:val="en-US" w:eastAsia="zh-CN"/>
        </w:rPr>
        <w:t>服务费</w:t>
      </w:r>
      <w:r>
        <w:rPr>
          <w:rFonts w:hint="eastAsia" w:asciiTheme="minorEastAsia" w:hAnsiTheme="minorEastAsia" w:eastAsiaTheme="minorEastAsia" w:cstheme="minorEastAsia"/>
          <w:kern w:val="0"/>
          <w:sz w:val="21"/>
          <w:szCs w:val="21"/>
          <w:highlight w:val="none"/>
          <w:lang w:val="zh-CN"/>
        </w:rPr>
        <w:t>为</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kern w:val="0"/>
          <w:sz w:val="21"/>
          <w:szCs w:val="21"/>
          <w:highlight w:val="none"/>
          <w:u w:val="single"/>
          <w:lang w:val="zh-CN"/>
        </w:rPr>
        <w:t xml:space="preserve">      </w:t>
      </w:r>
      <w:r>
        <w:rPr>
          <w:rFonts w:hint="eastAsia" w:asciiTheme="minorEastAsia" w:hAnsiTheme="minorEastAsia" w:eastAsiaTheme="minorEastAsia" w:cstheme="minorEastAsia"/>
          <w:kern w:val="0"/>
          <w:sz w:val="21"/>
          <w:szCs w:val="21"/>
          <w:highlight w:val="none"/>
          <w:lang w:val="zh-CN"/>
        </w:rPr>
        <w:t>元（含税），大写人民币：</w:t>
      </w:r>
      <w:r>
        <w:rPr>
          <w:rFonts w:hint="eastAsia" w:asciiTheme="minorEastAsia" w:hAnsiTheme="minorEastAsia" w:eastAsiaTheme="minorEastAsia" w:cstheme="minorEastAsia"/>
          <w:color w:val="auto"/>
          <w:sz w:val="21"/>
          <w:szCs w:val="21"/>
          <w:highlight w:val="none"/>
          <w:u w:val="single"/>
        </w:rPr>
        <w:t>￥</w:t>
      </w:r>
      <w:r>
        <w:rPr>
          <w:rFonts w:hint="eastAsia" w:asciiTheme="minorEastAsia" w:hAnsiTheme="minorEastAsia" w:eastAsiaTheme="minorEastAsia" w:cstheme="minorEastAsia"/>
          <w:kern w:val="0"/>
          <w:sz w:val="21"/>
          <w:szCs w:val="21"/>
          <w:highlight w:val="none"/>
          <w:u w:val="single"/>
          <w:lang w:val="zh-CN"/>
        </w:rPr>
        <w:t xml:space="preserve">       </w:t>
      </w:r>
      <w:r>
        <w:rPr>
          <w:rFonts w:hint="eastAsia" w:asciiTheme="minorEastAsia" w:hAnsiTheme="minorEastAsia" w:eastAsiaTheme="minorEastAsia" w:cstheme="minorEastAsia"/>
          <w:kern w:val="0"/>
          <w:sz w:val="21"/>
          <w:szCs w:val="21"/>
          <w:highlight w:val="none"/>
          <w:lang w:val="zh-CN"/>
        </w:rPr>
        <w:t>元整。</w:t>
      </w:r>
    </w:p>
    <w:p w14:paraId="6A00F182">
      <w:pPr>
        <w:pStyle w:val="28"/>
        <w:keepNext w:val="0"/>
        <w:keepLines w:val="0"/>
        <w:pageBreakBefore w:val="0"/>
        <w:shd w:val="clear"/>
        <w:kinsoku/>
        <w:overflowPunct/>
        <w:topLinePunct w:val="0"/>
        <w:autoSpaceDE/>
        <w:autoSpaceDN/>
        <w:bidi w:val="0"/>
        <w:spacing w:before="0" w:beforeAutospacing="0" w:after="0" w:afterAutospacing="0" w:line="600" w:lineRule="exact"/>
        <w:ind w:firstLine="420" w:firstLineChars="200"/>
        <w:textAlignment w:val="auto"/>
        <w:rPr>
          <w:rFonts w:hint="eastAsia" w:asciiTheme="minorEastAsia" w:hAnsiTheme="minorEastAsia" w:eastAsiaTheme="minorEastAsia" w:cstheme="minorEastAsia"/>
          <w:kern w:val="0"/>
          <w:sz w:val="21"/>
          <w:szCs w:val="21"/>
          <w:highlight w:val="none"/>
          <w:lang w:val="zh-CN"/>
        </w:rPr>
      </w:pPr>
      <w:r>
        <w:rPr>
          <w:rFonts w:hint="eastAsia" w:asciiTheme="minorEastAsia" w:hAnsiTheme="minorEastAsia" w:eastAsiaTheme="minorEastAsia" w:cstheme="minorEastAsia"/>
          <w:kern w:val="0"/>
          <w:sz w:val="21"/>
          <w:szCs w:val="21"/>
          <w:highlight w:val="none"/>
          <w:lang w:val="en-US" w:eastAsia="zh-CN"/>
        </w:rPr>
        <w:t>2.甲方支付的服务费包括乙方应支付派驻保安人员的工资（五险一金等）、每周不超过4小时的加班费、假期待遇（含法定节假日值班费、年休假、探亲假等）、劳保费、高温补贴、工作期间意外伤亡保险费、因乙方原因造成甲方损失（或伤害）相关责任保险费用或赔偿费用、运营开支成本（税费及管理费等）、利润等相关费用。</w:t>
      </w:r>
    </w:p>
    <w:p w14:paraId="60E5B1E4">
      <w:pPr>
        <w:pStyle w:val="28"/>
        <w:keepNext w:val="0"/>
        <w:keepLines w:val="0"/>
        <w:pageBreakBefore w:val="0"/>
        <w:kinsoku/>
        <w:overflowPunct/>
        <w:topLinePunct w:val="0"/>
        <w:autoSpaceDE/>
        <w:autoSpaceDN/>
        <w:bidi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color w:val="auto"/>
          <w:sz w:val="21"/>
          <w:szCs w:val="21"/>
          <w:highlight w:val="none"/>
        </w:rPr>
      </w:pPr>
      <w:r>
        <w:rPr>
          <w:rStyle w:val="29"/>
          <w:rFonts w:hint="eastAsia" w:asciiTheme="minorEastAsia" w:hAnsiTheme="minorEastAsia" w:eastAsiaTheme="minorEastAsia" w:cstheme="minorEastAsia"/>
          <w:sz w:val="21"/>
          <w:szCs w:val="21"/>
          <w:u w:val="none"/>
          <w:lang w:val="en-US" w:eastAsia="zh-CN"/>
        </w:rPr>
        <w:t>3.</w:t>
      </w:r>
      <w:r>
        <w:rPr>
          <w:rStyle w:val="29"/>
          <w:rFonts w:hint="eastAsia" w:asciiTheme="minorEastAsia" w:hAnsiTheme="minorEastAsia" w:eastAsiaTheme="minorEastAsia" w:cstheme="minorEastAsia"/>
          <w:color w:val="auto"/>
          <w:sz w:val="21"/>
          <w:szCs w:val="21"/>
          <w:highlight w:val="none"/>
        </w:rPr>
        <w:t>付款方式</w:t>
      </w:r>
    </w:p>
    <w:p w14:paraId="1F45E121">
      <w:pPr>
        <w:pStyle w:val="2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sz w:val="21"/>
          <w:szCs w:val="21"/>
          <w:u w:val="none"/>
          <w:lang w:val="en-US" w:eastAsia="zh-CN"/>
        </w:rPr>
      </w:pPr>
      <w:r>
        <w:rPr>
          <w:rStyle w:val="29"/>
          <w:rFonts w:hint="eastAsia" w:asciiTheme="minorEastAsia" w:hAnsiTheme="minorEastAsia" w:eastAsiaTheme="minorEastAsia" w:cstheme="minorEastAsia"/>
          <w:sz w:val="21"/>
          <w:szCs w:val="21"/>
          <w:u w:val="none"/>
          <w:lang w:val="en-US" w:eastAsia="zh-CN"/>
        </w:rPr>
        <w:t>3.1甲方和乙方于每月的前5个工作日内确认上月保安服务费及相关考核、罚金、垫付等费用。乙方应于保安服务费确定后的5个工作日内提交相应正规等额发票。双方约定，因本合同约定而产生的乙方罚金、补偿金、赔偿金、违约金及垫付费用等，甲方可在乙方当月或延续月份的保安服务费中直接予以扣除，甲方提前通知乙方确认扣除标准及扣除数额，乙方无正当理由不得拒绝确认，否则作乙方违约处理。</w:t>
      </w:r>
    </w:p>
    <w:p w14:paraId="06B302F0">
      <w:pPr>
        <w:pStyle w:val="2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sz w:val="21"/>
          <w:szCs w:val="21"/>
          <w:u w:val="none"/>
          <w:lang w:val="en-US" w:eastAsia="zh-CN"/>
        </w:rPr>
      </w:pPr>
      <w:r>
        <w:rPr>
          <w:rStyle w:val="29"/>
          <w:rFonts w:hint="eastAsia" w:asciiTheme="minorEastAsia" w:hAnsiTheme="minorEastAsia" w:eastAsiaTheme="minorEastAsia" w:cstheme="minorEastAsia"/>
          <w:sz w:val="21"/>
          <w:szCs w:val="21"/>
          <w:u w:val="none"/>
          <w:lang w:val="en-US" w:eastAsia="zh-CN"/>
        </w:rPr>
        <w:t>3.2甲方应在收到乙方正式发票后10个工作日内，以支票或转账形式向乙方支付上月保安服务费。</w:t>
      </w:r>
    </w:p>
    <w:p w14:paraId="74A4591C">
      <w:pPr>
        <w:pStyle w:val="28"/>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color w:val="auto"/>
          <w:sz w:val="21"/>
          <w:szCs w:val="21"/>
          <w:highlight w:val="yellow"/>
        </w:rPr>
      </w:pPr>
      <w:r>
        <w:rPr>
          <w:rStyle w:val="29"/>
          <w:rFonts w:hint="eastAsia" w:asciiTheme="minorEastAsia" w:hAnsiTheme="minorEastAsia" w:eastAsiaTheme="minorEastAsia" w:cstheme="minorEastAsia"/>
          <w:sz w:val="21"/>
          <w:szCs w:val="21"/>
          <w:u w:val="none"/>
          <w:lang w:val="en-US" w:eastAsia="zh-CN"/>
        </w:rPr>
        <w:t>3.3合同服务期最后一个月的服务费须在甲方、乙方、新接管单位三方共同完成书面（签字、盖章）保安档案交接手续后，再按上述“3.1”及“3.2”点流程支付。</w:t>
      </w:r>
    </w:p>
    <w:p w14:paraId="4CC0B726">
      <w:pPr>
        <w:pStyle w:val="2"/>
        <w:keepNext w:val="0"/>
        <w:keepLines w:val="0"/>
        <w:pageBreakBefore w:val="0"/>
        <w:kinsoku/>
        <w:wordWrap w:val="0"/>
        <w:overflowPunct/>
        <w:topLinePunct w:val="0"/>
        <w:autoSpaceDE/>
        <w:autoSpaceDN/>
        <w:bidi w:val="0"/>
        <w:adjustRightInd w:val="0"/>
        <w:snapToGrid w:val="0"/>
        <w:spacing w:line="600" w:lineRule="exact"/>
        <w:ind w:firstLine="420" w:firstLineChars="200"/>
        <w:textAlignment w:val="auto"/>
        <w:rPr>
          <w:rFonts w:hint="eastAsia" w:asciiTheme="minorEastAsia" w:hAnsiTheme="minorEastAsia" w:eastAsiaTheme="minorEastAsia" w:cstheme="minorEastAsia"/>
          <w:color w:val="000000"/>
          <w:kern w:val="0"/>
          <w:sz w:val="21"/>
          <w:szCs w:val="21"/>
          <w:lang w:val="en-US" w:eastAsia="zh-CN" w:bidi="ar"/>
        </w:rPr>
      </w:pPr>
      <w:r>
        <w:rPr>
          <w:rStyle w:val="29"/>
          <w:rFonts w:hint="eastAsia" w:asciiTheme="minorEastAsia" w:hAnsiTheme="minorEastAsia" w:eastAsiaTheme="minorEastAsia" w:cstheme="minorEastAsia"/>
          <w:color w:val="auto"/>
          <w:sz w:val="21"/>
          <w:szCs w:val="21"/>
          <w:highlight w:val="none"/>
          <w:lang w:val="en-US" w:eastAsia="zh-CN"/>
        </w:rPr>
        <w:t>3.4</w:t>
      </w:r>
      <w:r>
        <w:rPr>
          <w:rFonts w:hint="eastAsia" w:asciiTheme="minorEastAsia" w:hAnsiTheme="minorEastAsia" w:eastAsiaTheme="minorEastAsia" w:cstheme="minorEastAsia"/>
          <w:sz w:val="21"/>
          <w:szCs w:val="21"/>
        </w:rPr>
        <w:t>乙方按相关税法规定及甲方要求开具正规等额发票</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000000"/>
          <w:kern w:val="0"/>
          <w:sz w:val="21"/>
          <w:szCs w:val="21"/>
          <w:lang w:val="en-US" w:eastAsia="zh-CN" w:bidi="ar"/>
        </w:rPr>
        <w:t>如因乙方提供发票时间延迟则甲方有权顺延付款时间且不承担逾期付款违约责任。</w:t>
      </w:r>
    </w:p>
    <w:p w14:paraId="78A18424">
      <w:pPr>
        <w:pStyle w:val="2"/>
        <w:keepNext w:val="0"/>
        <w:keepLines w:val="0"/>
        <w:pageBreakBefore w:val="0"/>
        <w:kinsoku/>
        <w:wordWrap w:val="0"/>
        <w:overflowPunct/>
        <w:topLinePunct w:val="0"/>
        <w:autoSpaceDE/>
        <w:autoSpaceDN/>
        <w:bidi w:val="0"/>
        <w:adjustRightInd w:val="0"/>
        <w:snapToGrid w:val="0"/>
        <w:spacing w:line="600" w:lineRule="exact"/>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bidi="ar"/>
        </w:rPr>
        <w:t xml:space="preserve">3.5 </w:t>
      </w:r>
      <w:r>
        <w:rPr>
          <w:rFonts w:hint="eastAsia" w:asciiTheme="minorEastAsia" w:hAnsiTheme="minorEastAsia" w:eastAsiaTheme="minorEastAsia" w:cstheme="minorEastAsia"/>
          <w:sz w:val="21"/>
          <w:szCs w:val="21"/>
          <w:highlight w:val="none"/>
          <w:lang w:val="en-US" w:eastAsia="zh-CN"/>
        </w:rPr>
        <w:t>双方结算账户及发票信息如下表。本合同有效期内，如一方需要改变以下结算账户及发票信息，应提前十五天以加盖合同专用章或公司章的书面文件通知对方。如一方未按本合同规定通知而遭受损失的自行承担，若使另外一方遭受损失的，应赔偿相应损失。</w:t>
      </w:r>
    </w:p>
    <w:tbl>
      <w:tblPr>
        <w:tblStyle w:val="24"/>
        <w:tblW w:w="8763"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4"/>
        <w:gridCol w:w="6559"/>
      </w:tblGrid>
      <w:tr w14:paraId="622B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4" w:type="dxa"/>
            <w:noWrap w:val="0"/>
            <w:vAlign w:val="center"/>
          </w:tcPr>
          <w:p w14:paraId="2076D293">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0" w:firstLineChars="0"/>
              <w:jc w:val="both"/>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sz w:val="21"/>
                <w:szCs w:val="21"/>
                <w:highlight w:val="none"/>
                <w:vertAlign w:val="baseline"/>
                <w:lang w:val="en-US" w:eastAsia="zh-CN"/>
              </w:rPr>
              <w:t>甲方名称</w:t>
            </w:r>
          </w:p>
        </w:tc>
        <w:tc>
          <w:tcPr>
            <w:tcW w:w="6559" w:type="dxa"/>
            <w:noWrap w:val="0"/>
            <w:vAlign w:val="center"/>
          </w:tcPr>
          <w:p w14:paraId="513F384C">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0" w:firstLineChars="0"/>
              <w:jc w:val="both"/>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p>
        </w:tc>
      </w:tr>
      <w:tr w14:paraId="2B1A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4" w:type="dxa"/>
            <w:noWrap w:val="0"/>
            <w:vAlign w:val="center"/>
          </w:tcPr>
          <w:p w14:paraId="1B3346D5">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0" w:firstLineChars="0"/>
              <w:jc w:val="both"/>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sz w:val="21"/>
                <w:szCs w:val="21"/>
              </w:rPr>
              <w:t>纳税人识别号</w:t>
            </w:r>
          </w:p>
        </w:tc>
        <w:tc>
          <w:tcPr>
            <w:tcW w:w="6559" w:type="dxa"/>
            <w:noWrap w:val="0"/>
            <w:vAlign w:val="center"/>
          </w:tcPr>
          <w:p w14:paraId="5A84AC78">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0" w:firstLineChars="0"/>
              <w:jc w:val="both"/>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p>
        </w:tc>
      </w:tr>
      <w:tr w14:paraId="24420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4" w:type="dxa"/>
            <w:noWrap w:val="0"/>
            <w:vAlign w:val="center"/>
          </w:tcPr>
          <w:p w14:paraId="517D3A5C">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0" w:firstLineChars="0"/>
              <w:jc w:val="both"/>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sz w:val="21"/>
                <w:szCs w:val="21"/>
              </w:rPr>
              <w:t>开户</w:t>
            </w:r>
            <w:r>
              <w:rPr>
                <w:rFonts w:hint="eastAsia" w:asciiTheme="minorEastAsia" w:hAnsiTheme="minorEastAsia" w:eastAsiaTheme="minorEastAsia" w:cstheme="minorEastAsia"/>
                <w:sz w:val="21"/>
                <w:szCs w:val="21"/>
                <w:highlight w:val="none"/>
                <w:vertAlign w:val="baseline"/>
                <w:lang w:val="en-US" w:eastAsia="zh-CN"/>
              </w:rPr>
              <w:t>银行名称</w:t>
            </w:r>
          </w:p>
        </w:tc>
        <w:tc>
          <w:tcPr>
            <w:tcW w:w="6559" w:type="dxa"/>
            <w:noWrap w:val="0"/>
            <w:vAlign w:val="center"/>
          </w:tcPr>
          <w:p w14:paraId="5FF39F60">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0" w:firstLineChars="0"/>
              <w:jc w:val="both"/>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p>
        </w:tc>
      </w:tr>
      <w:tr w14:paraId="63414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4" w:type="dxa"/>
            <w:noWrap w:val="0"/>
            <w:vAlign w:val="center"/>
          </w:tcPr>
          <w:p w14:paraId="0A3861AF">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0" w:firstLineChars="0"/>
              <w:jc w:val="both"/>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sz w:val="21"/>
                <w:szCs w:val="21"/>
              </w:rPr>
              <w:t>银行</w:t>
            </w:r>
            <w:r>
              <w:rPr>
                <w:rFonts w:hint="eastAsia" w:asciiTheme="minorEastAsia" w:hAnsiTheme="minorEastAsia" w:eastAsiaTheme="minorEastAsia" w:cstheme="minorEastAsia"/>
                <w:sz w:val="21"/>
                <w:szCs w:val="21"/>
                <w:highlight w:val="none"/>
                <w:vertAlign w:val="baseline"/>
                <w:lang w:val="en-US" w:eastAsia="zh-CN"/>
              </w:rPr>
              <w:t>账号</w:t>
            </w:r>
          </w:p>
        </w:tc>
        <w:tc>
          <w:tcPr>
            <w:tcW w:w="6559" w:type="dxa"/>
            <w:noWrap w:val="0"/>
            <w:vAlign w:val="center"/>
          </w:tcPr>
          <w:p w14:paraId="3E25085C">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0" w:firstLineChars="0"/>
              <w:jc w:val="both"/>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p>
        </w:tc>
      </w:tr>
      <w:tr w14:paraId="4A0A0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4" w:type="dxa"/>
            <w:noWrap w:val="0"/>
            <w:vAlign w:val="center"/>
          </w:tcPr>
          <w:p w14:paraId="449FFF1B">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0" w:firstLineChars="0"/>
              <w:jc w:val="both"/>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sz w:val="21"/>
                <w:szCs w:val="21"/>
                <w:highlight w:val="none"/>
                <w:vertAlign w:val="baseline"/>
                <w:lang w:val="en-US" w:eastAsia="zh-CN"/>
              </w:rPr>
              <w:t>地址</w:t>
            </w:r>
          </w:p>
        </w:tc>
        <w:tc>
          <w:tcPr>
            <w:tcW w:w="6559" w:type="dxa"/>
            <w:noWrap w:val="0"/>
            <w:vAlign w:val="top"/>
          </w:tcPr>
          <w:p w14:paraId="4A90D341">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0" w:firstLineChars="0"/>
              <w:jc w:val="left"/>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p>
        </w:tc>
      </w:tr>
      <w:tr w14:paraId="5C5B1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4" w:type="dxa"/>
            <w:noWrap w:val="0"/>
            <w:vAlign w:val="center"/>
          </w:tcPr>
          <w:p w14:paraId="1A31918F">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0" w:firstLineChars="0"/>
              <w:jc w:val="both"/>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sz w:val="21"/>
                <w:szCs w:val="21"/>
                <w:highlight w:val="none"/>
                <w:vertAlign w:val="baseline"/>
                <w:lang w:val="en-US" w:eastAsia="zh-CN"/>
              </w:rPr>
              <w:t>电话</w:t>
            </w:r>
          </w:p>
        </w:tc>
        <w:tc>
          <w:tcPr>
            <w:tcW w:w="6559" w:type="dxa"/>
            <w:noWrap w:val="0"/>
            <w:vAlign w:val="center"/>
          </w:tcPr>
          <w:p w14:paraId="7F24AFDC">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0" w:firstLineChars="0"/>
              <w:jc w:val="both"/>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p>
        </w:tc>
      </w:tr>
      <w:tr w14:paraId="60C2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4" w:type="dxa"/>
            <w:noWrap w:val="0"/>
            <w:vAlign w:val="center"/>
          </w:tcPr>
          <w:p w14:paraId="7093FB80">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0" w:firstLineChars="0"/>
              <w:jc w:val="both"/>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sz w:val="21"/>
                <w:szCs w:val="21"/>
                <w:highlight w:val="none"/>
                <w:vertAlign w:val="baseline"/>
                <w:lang w:val="en-US" w:eastAsia="zh-CN"/>
              </w:rPr>
              <w:t>乙方名称</w:t>
            </w:r>
          </w:p>
        </w:tc>
        <w:tc>
          <w:tcPr>
            <w:tcW w:w="6559" w:type="dxa"/>
            <w:noWrap w:val="0"/>
            <w:vAlign w:val="center"/>
          </w:tcPr>
          <w:p w14:paraId="5DA71424">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0" w:firstLineChars="0"/>
              <w:jc w:val="both"/>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p>
        </w:tc>
      </w:tr>
      <w:tr w14:paraId="57AB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04" w:type="dxa"/>
            <w:noWrap w:val="0"/>
            <w:vAlign w:val="center"/>
          </w:tcPr>
          <w:p w14:paraId="1241B3BE">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0" w:firstLineChars="0"/>
              <w:jc w:val="both"/>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sz w:val="21"/>
                <w:szCs w:val="21"/>
              </w:rPr>
              <w:t>纳税人识别号</w:t>
            </w:r>
          </w:p>
        </w:tc>
        <w:tc>
          <w:tcPr>
            <w:tcW w:w="6559" w:type="dxa"/>
            <w:noWrap w:val="0"/>
            <w:vAlign w:val="center"/>
          </w:tcPr>
          <w:p w14:paraId="2456616D">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0" w:firstLineChars="0"/>
              <w:jc w:val="both"/>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p>
        </w:tc>
      </w:tr>
      <w:tr w14:paraId="4A496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04" w:type="dxa"/>
            <w:noWrap w:val="0"/>
            <w:vAlign w:val="center"/>
          </w:tcPr>
          <w:p w14:paraId="58AB56CC">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0" w:firstLineChars="0"/>
              <w:jc w:val="both"/>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sz w:val="21"/>
                <w:szCs w:val="21"/>
              </w:rPr>
              <w:t>开户</w:t>
            </w:r>
            <w:r>
              <w:rPr>
                <w:rFonts w:hint="eastAsia" w:asciiTheme="minorEastAsia" w:hAnsiTheme="minorEastAsia" w:eastAsiaTheme="minorEastAsia" w:cstheme="minorEastAsia"/>
                <w:sz w:val="21"/>
                <w:szCs w:val="21"/>
                <w:highlight w:val="none"/>
                <w:vertAlign w:val="baseline"/>
                <w:lang w:val="en-US" w:eastAsia="zh-CN"/>
              </w:rPr>
              <w:t>银行名称</w:t>
            </w:r>
          </w:p>
        </w:tc>
        <w:tc>
          <w:tcPr>
            <w:tcW w:w="6559" w:type="dxa"/>
            <w:noWrap w:val="0"/>
            <w:vAlign w:val="center"/>
          </w:tcPr>
          <w:p w14:paraId="577E6FF7">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0" w:firstLineChars="0"/>
              <w:jc w:val="both"/>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p>
        </w:tc>
      </w:tr>
      <w:tr w14:paraId="59F5A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4" w:type="dxa"/>
            <w:noWrap w:val="0"/>
            <w:vAlign w:val="center"/>
          </w:tcPr>
          <w:p w14:paraId="6BDF3628">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0" w:firstLineChars="0"/>
              <w:jc w:val="both"/>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r>
              <w:rPr>
                <w:rFonts w:hint="eastAsia" w:asciiTheme="minorEastAsia" w:hAnsiTheme="minorEastAsia" w:eastAsiaTheme="minorEastAsia" w:cstheme="minorEastAsia"/>
                <w:sz w:val="21"/>
                <w:szCs w:val="21"/>
              </w:rPr>
              <w:t>银行</w:t>
            </w:r>
            <w:r>
              <w:rPr>
                <w:rFonts w:hint="eastAsia" w:asciiTheme="minorEastAsia" w:hAnsiTheme="minorEastAsia" w:eastAsiaTheme="minorEastAsia" w:cstheme="minorEastAsia"/>
                <w:sz w:val="21"/>
                <w:szCs w:val="21"/>
                <w:highlight w:val="none"/>
                <w:vertAlign w:val="baseline"/>
                <w:lang w:val="en-US" w:eastAsia="zh-CN"/>
              </w:rPr>
              <w:t>账号</w:t>
            </w:r>
          </w:p>
        </w:tc>
        <w:tc>
          <w:tcPr>
            <w:tcW w:w="6559" w:type="dxa"/>
            <w:noWrap w:val="0"/>
            <w:vAlign w:val="center"/>
          </w:tcPr>
          <w:p w14:paraId="42C28EF4">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0" w:firstLineChars="0"/>
              <w:jc w:val="both"/>
              <w:textAlignment w:val="auto"/>
              <w:rPr>
                <w:rFonts w:hint="eastAsia" w:asciiTheme="minorEastAsia" w:hAnsiTheme="minorEastAsia" w:eastAsiaTheme="minorEastAsia" w:cstheme="minorEastAsia"/>
                <w:kern w:val="2"/>
                <w:sz w:val="21"/>
                <w:szCs w:val="21"/>
                <w:highlight w:val="none"/>
                <w:vertAlign w:val="baseline"/>
                <w:lang w:val="en-US" w:eastAsia="zh-CN" w:bidi="ar-SA"/>
              </w:rPr>
            </w:pPr>
          </w:p>
        </w:tc>
      </w:tr>
    </w:tbl>
    <w:p w14:paraId="3127DEE0">
      <w:pPr>
        <w:pStyle w:val="28"/>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422" w:firstLineChars="200"/>
        <w:textAlignment w:val="auto"/>
        <w:rPr>
          <w:rStyle w:val="29"/>
          <w:rFonts w:hint="eastAsia" w:asciiTheme="minorEastAsia" w:hAnsiTheme="minorEastAsia" w:eastAsiaTheme="minorEastAsia" w:cstheme="minorEastAsia"/>
          <w:b/>
          <w:sz w:val="21"/>
          <w:szCs w:val="21"/>
          <w:lang w:eastAsia="zh-CN"/>
        </w:rPr>
      </w:pPr>
    </w:p>
    <w:p w14:paraId="60ED60B3">
      <w:pPr>
        <w:pStyle w:val="28"/>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422" w:firstLineChars="200"/>
        <w:textAlignment w:val="auto"/>
        <w:rPr>
          <w:rStyle w:val="29"/>
          <w:rFonts w:hint="eastAsia" w:asciiTheme="minorEastAsia" w:hAnsiTheme="minorEastAsia" w:eastAsiaTheme="minorEastAsia" w:cstheme="minorEastAsia"/>
          <w:b/>
          <w:sz w:val="21"/>
          <w:szCs w:val="21"/>
          <w:lang w:val="en-US" w:eastAsia="zh-CN"/>
        </w:rPr>
      </w:pPr>
      <w:r>
        <w:rPr>
          <w:rStyle w:val="29"/>
          <w:rFonts w:hint="eastAsia" w:asciiTheme="minorEastAsia" w:hAnsiTheme="minorEastAsia" w:eastAsiaTheme="minorEastAsia" w:cstheme="minorEastAsia"/>
          <w:b/>
          <w:sz w:val="21"/>
          <w:szCs w:val="21"/>
          <w:lang w:eastAsia="zh-CN"/>
        </w:rPr>
        <w:t>第</w:t>
      </w:r>
      <w:r>
        <w:rPr>
          <w:rStyle w:val="29"/>
          <w:rFonts w:hint="eastAsia" w:asciiTheme="minorEastAsia" w:hAnsiTheme="minorEastAsia" w:eastAsiaTheme="minorEastAsia" w:cstheme="minorEastAsia"/>
          <w:b/>
          <w:sz w:val="21"/>
          <w:szCs w:val="21"/>
        </w:rPr>
        <w:t>四</w:t>
      </w:r>
      <w:r>
        <w:rPr>
          <w:rStyle w:val="29"/>
          <w:rFonts w:hint="eastAsia" w:asciiTheme="minorEastAsia" w:hAnsiTheme="minorEastAsia" w:eastAsiaTheme="minorEastAsia" w:cstheme="minorEastAsia"/>
          <w:b/>
          <w:sz w:val="21"/>
          <w:szCs w:val="21"/>
          <w:lang w:eastAsia="zh-CN"/>
        </w:rPr>
        <w:t>条</w:t>
      </w:r>
      <w:r>
        <w:rPr>
          <w:rStyle w:val="29"/>
          <w:rFonts w:hint="eastAsia" w:asciiTheme="minorEastAsia" w:hAnsiTheme="minorEastAsia" w:eastAsiaTheme="minorEastAsia" w:cstheme="minorEastAsia"/>
          <w:b/>
          <w:sz w:val="21"/>
          <w:szCs w:val="21"/>
          <w:lang w:val="en-US" w:eastAsia="zh-CN"/>
        </w:rPr>
        <w:t xml:space="preserve">  安保服务说明</w:t>
      </w:r>
    </w:p>
    <w:p w14:paraId="593C94D5">
      <w:pPr>
        <w:pStyle w:val="28"/>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b w:val="0"/>
          <w:bCs/>
          <w:sz w:val="21"/>
          <w:szCs w:val="21"/>
          <w:lang w:val="en-US" w:eastAsia="zh-CN"/>
        </w:rPr>
      </w:pPr>
      <w:r>
        <w:rPr>
          <w:rStyle w:val="29"/>
          <w:rFonts w:hint="eastAsia" w:asciiTheme="minorEastAsia" w:hAnsiTheme="minorEastAsia" w:eastAsiaTheme="minorEastAsia" w:cstheme="minorEastAsia"/>
          <w:b w:val="0"/>
          <w:bCs/>
          <w:sz w:val="21"/>
          <w:szCs w:val="21"/>
          <w:lang w:val="en-US" w:eastAsia="zh-CN"/>
        </w:rPr>
        <w:t>1.乙方派驻20名保安人员协助开展安保防范等相关工作，其中保安主管1名，保安员19名。</w:t>
      </w:r>
    </w:p>
    <w:p w14:paraId="042D0301">
      <w:pPr>
        <w:pStyle w:val="28"/>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b w:val="0"/>
          <w:bCs/>
          <w:sz w:val="21"/>
          <w:szCs w:val="21"/>
          <w:lang w:val="en-US" w:eastAsia="zh-CN"/>
        </w:rPr>
      </w:pPr>
      <w:r>
        <w:rPr>
          <w:rStyle w:val="29"/>
          <w:rFonts w:hint="eastAsia" w:asciiTheme="minorEastAsia" w:hAnsiTheme="minorEastAsia" w:eastAsiaTheme="minorEastAsia" w:cstheme="minorEastAsia"/>
          <w:b w:val="0"/>
          <w:bCs/>
          <w:sz w:val="21"/>
          <w:szCs w:val="21"/>
          <w:lang w:val="en-US" w:eastAsia="zh-CN"/>
        </w:rPr>
        <w:t>2.派驻的保安人员每人每周工作6个日历天，每人每周工作44小时，如因工作需要加班，每人每周加班时间不超过4小时，具体班次及岗位由甲方安保工作具体管理部门人员排定；法定节假日须按排定的班次上岗执勤，不得无故要求放假休息，若确有事需要休息，须提前一周向甲方提出申请，经批准后方可休息。</w:t>
      </w:r>
    </w:p>
    <w:p w14:paraId="487D3135">
      <w:pPr>
        <w:pStyle w:val="28"/>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b w:val="0"/>
          <w:bCs/>
          <w:sz w:val="21"/>
          <w:szCs w:val="21"/>
          <w:lang w:val="en-US" w:eastAsia="zh-CN"/>
        </w:rPr>
      </w:pPr>
      <w:r>
        <w:rPr>
          <w:rStyle w:val="29"/>
          <w:rFonts w:hint="eastAsia" w:asciiTheme="minorEastAsia" w:hAnsiTheme="minorEastAsia" w:eastAsiaTheme="minorEastAsia" w:cstheme="minorEastAsia"/>
          <w:b w:val="0"/>
          <w:bCs/>
          <w:sz w:val="21"/>
          <w:szCs w:val="21"/>
          <w:lang w:val="en-US" w:eastAsia="zh-CN"/>
        </w:rPr>
        <w:t>3.保安人员须随时保持足额派驻，且须相对固定，不得随意更换，因工作需要临时性借调或因病（事）请假，乙方需提前书面通知甲方安保工作具体管理部门（集团服务中心保安部），并及时另外派遣人员顶岗值班。</w:t>
      </w:r>
    </w:p>
    <w:p w14:paraId="49E47068">
      <w:pPr>
        <w:pStyle w:val="28"/>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b w:val="0"/>
          <w:bCs/>
          <w:sz w:val="21"/>
          <w:szCs w:val="21"/>
          <w:lang w:val="en-US" w:eastAsia="zh-CN"/>
        </w:rPr>
      </w:pPr>
      <w:r>
        <w:rPr>
          <w:rStyle w:val="29"/>
          <w:rFonts w:hint="eastAsia" w:asciiTheme="minorEastAsia" w:hAnsiTheme="minorEastAsia" w:eastAsiaTheme="minorEastAsia" w:cstheme="minorEastAsia"/>
          <w:b w:val="0"/>
          <w:bCs/>
          <w:sz w:val="21"/>
          <w:szCs w:val="21"/>
          <w:lang w:val="en-US" w:eastAsia="zh-CN"/>
        </w:rPr>
        <w:t>4.保安人员工作能力不能达到甲方要求或有其他原因不具备保安员条件的，甲方向乙方提出更换要求（以书面形式为准）后，乙方应在十个工作日内进行更换，且拟更换派遣人员须经甲方试用认可方可上岗服务，试用期为15个日历天，试用期间不算作乙方正式派驻人员。</w:t>
      </w:r>
    </w:p>
    <w:p w14:paraId="2B8DDBDA">
      <w:pPr>
        <w:pStyle w:val="28"/>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b w:val="0"/>
          <w:bCs/>
          <w:sz w:val="21"/>
          <w:szCs w:val="21"/>
          <w:lang w:val="en-US" w:eastAsia="zh-CN"/>
        </w:rPr>
      </w:pPr>
      <w:r>
        <w:rPr>
          <w:rStyle w:val="29"/>
          <w:rFonts w:hint="eastAsia" w:asciiTheme="minorEastAsia" w:hAnsiTheme="minorEastAsia" w:eastAsiaTheme="minorEastAsia" w:cstheme="minorEastAsia"/>
          <w:b w:val="0"/>
          <w:bCs/>
          <w:sz w:val="21"/>
          <w:szCs w:val="21"/>
          <w:lang w:val="en-US" w:eastAsia="zh-CN"/>
        </w:rPr>
        <w:t>5.乙方自行为派驻保安人员配发符合保安服务管理条例规定的统一保安制服，保安制服样式须经甲方认可。</w:t>
      </w:r>
    </w:p>
    <w:p w14:paraId="7FFD8B8B">
      <w:pPr>
        <w:pStyle w:val="28"/>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b w:val="0"/>
          <w:bCs/>
          <w:sz w:val="21"/>
          <w:szCs w:val="21"/>
          <w:lang w:val="en-US" w:eastAsia="zh-CN"/>
        </w:rPr>
      </w:pPr>
      <w:r>
        <w:rPr>
          <w:rStyle w:val="29"/>
          <w:rFonts w:hint="eastAsia" w:asciiTheme="minorEastAsia" w:hAnsiTheme="minorEastAsia" w:eastAsiaTheme="minorEastAsia" w:cstheme="minorEastAsia"/>
          <w:b w:val="0"/>
          <w:bCs/>
          <w:sz w:val="21"/>
          <w:szCs w:val="21"/>
          <w:lang w:val="en-US" w:eastAsia="zh-CN"/>
        </w:rPr>
        <w:t>6.</w:t>
      </w:r>
      <w:r>
        <w:rPr>
          <w:rFonts w:hint="eastAsia" w:asciiTheme="minorEastAsia" w:hAnsiTheme="minorEastAsia" w:eastAsiaTheme="minorEastAsia" w:cstheme="minorEastAsia"/>
          <w:i w:val="0"/>
          <w:caps w:val="0"/>
          <w:color w:val="000000"/>
          <w:spacing w:val="0"/>
          <w:kern w:val="0"/>
          <w:sz w:val="21"/>
          <w:szCs w:val="21"/>
          <w:shd w:val="clear" w:color="auto" w:fill="FFFFFF"/>
          <w:lang w:val="en-US" w:eastAsia="zh-CN" w:bidi="ar"/>
        </w:rPr>
        <w:t>甲方</w:t>
      </w:r>
      <w:r>
        <w:rPr>
          <w:rFonts w:hint="eastAsia" w:asciiTheme="minorEastAsia" w:hAnsiTheme="minorEastAsia" w:eastAsiaTheme="minorEastAsia" w:cstheme="minorEastAsia"/>
          <w:sz w:val="21"/>
          <w:szCs w:val="21"/>
          <w:vertAlign w:val="baseline"/>
          <w:lang w:val="en-US" w:eastAsia="zh-CN"/>
        </w:rPr>
        <w:t>按实际住宿需求为乙方派驻的保安人员提供免费住宿（住宿期间产生的水电费由甲方承担）；乙方派驻的保安人员自理餐饮（甲方单位有员工饭堂可供保安人员自费就餐）。</w:t>
      </w:r>
    </w:p>
    <w:p w14:paraId="4F4AD15F">
      <w:pPr>
        <w:pStyle w:val="28"/>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422" w:firstLineChars="200"/>
        <w:textAlignment w:val="auto"/>
        <w:rPr>
          <w:rStyle w:val="29"/>
          <w:rFonts w:hint="eastAsia" w:asciiTheme="minorEastAsia" w:hAnsiTheme="minorEastAsia" w:eastAsiaTheme="minorEastAsia" w:cstheme="minorEastAsia"/>
          <w:b/>
          <w:sz w:val="21"/>
          <w:szCs w:val="21"/>
          <w:lang w:val="en-US" w:eastAsia="zh-CN"/>
        </w:rPr>
      </w:pPr>
      <w:r>
        <w:rPr>
          <w:rStyle w:val="29"/>
          <w:rFonts w:hint="eastAsia" w:asciiTheme="minorEastAsia" w:hAnsiTheme="minorEastAsia" w:eastAsiaTheme="minorEastAsia" w:cstheme="minorEastAsia"/>
          <w:b/>
          <w:sz w:val="21"/>
          <w:szCs w:val="21"/>
          <w:lang w:val="en-US" w:eastAsia="zh-CN"/>
        </w:rPr>
        <w:t>第五条  安保服务工作内容</w:t>
      </w:r>
    </w:p>
    <w:p w14:paraId="502C9F08">
      <w:pPr>
        <w:pStyle w:val="28"/>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b w:val="0"/>
          <w:bCs/>
          <w:sz w:val="21"/>
          <w:szCs w:val="21"/>
          <w:lang w:val="en-US" w:eastAsia="zh-CN"/>
        </w:rPr>
      </w:pPr>
      <w:r>
        <w:rPr>
          <w:rStyle w:val="29"/>
          <w:rFonts w:hint="eastAsia" w:asciiTheme="minorEastAsia" w:hAnsiTheme="minorEastAsia" w:eastAsiaTheme="minorEastAsia" w:cstheme="minorEastAsia"/>
          <w:b w:val="0"/>
          <w:bCs/>
          <w:sz w:val="21"/>
          <w:szCs w:val="21"/>
          <w:lang w:val="en-US" w:eastAsia="zh-CN"/>
        </w:rPr>
        <w:t>按照南方报业传媒集团、甲方单位的相关制度和日常管理措施要求，协助承担开展下列安保工作：</w:t>
      </w:r>
    </w:p>
    <w:p w14:paraId="21FB6DB1">
      <w:pPr>
        <w:pStyle w:val="28"/>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b w:val="0"/>
          <w:bCs/>
          <w:sz w:val="21"/>
          <w:szCs w:val="21"/>
          <w:lang w:val="en-US" w:eastAsia="zh-CN"/>
        </w:rPr>
      </w:pPr>
      <w:r>
        <w:rPr>
          <w:rStyle w:val="29"/>
          <w:rFonts w:hint="eastAsia" w:asciiTheme="minorEastAsia" w:hAnsiTheme="minorEastAsia" w:eastAsiaTheme="minorEastAsia" w:cstheme="minorEastAsia"/>
          <w:b w:val="0"/>
          <w:bCs/>
          <w:sz w:val="21"/>
          <w:szCs w:val="21"/>
          <w:lang w:val="en-US" w:eastAsia="zh-CN"/>
        </w:rPr>
        <w:t>1.人、车、物的日常安全管理；</w:t>
      </w:r>
    </w:p>
    <w:p w14:paraId="7D9BA182">
      <w:pPr>
        <w:pStyle w:val="28"/>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b w:val="0"/>
          <w:bCs/>
          <w:sz w:val="21"/>
          <w:szCs w:val="21"/>
          <w:lang w:val="en-US" w:eastAsia="zh-CN"/>
        </w:rPr>
      </w:pPr>
      <w:r>
        <w:rPr>
          <w:rStyle w:val="29"/>
          <w:rFonts w:hint="eastAsia" w:asciiTheme="minorEastAsia" w:hAnsiTheme="minorEastAsia" w:eastAsiaTheme="minorEastAsia" w:cstheme="minorEastAsia"/>
          <w:b w:val="0"/>
          <w:bCs/>
          <w:sz w:val="21"/>
          <w:szCs w:val="21"/>
          <w:lang w:val="en-US" w:eastAsia="zh-CN"/>
        </w:rPr>
        <w:t>2.消防、安保、治安、防汛等安全巡查；</w:t>
      </w:r>
    </w:p>
    <w:p w14:paraId="2F800D34">
      <w:pPr>
        <w:pStyle w:val="28"/>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b w:val="0"/>
          <w:bCs/>
          <w:sz w:val="21"/>
          <w:szCs w:val="21"/>
          <w:lang w:val="en-US" w:eastAsia="zh-CN"/>
        </w:rPr>
      </w:pPr>
      <w:r>
        <w:rPr>
          <w:rStyle w:val="29"/>
          <w:rFonts w:hint="eastAsia" w:asciiTheme="minorEastAsia" w:hAnsiTheme="minorEastAsia" w:eastAsiaTheme="minorEastAsia" w:cstheme="minorEastAsia"/>
          <w:b w:val="0"/>
          <w:bCs/>
          <w:sz w:val="21"/>
          <w:szCs w:val="21"/>
          <w:lang w:val="en-US" w:eastAsia="zh-CN"/>
        </w:rPr>
        <w:t>3.突发事件的应急配合处置；</w:t>
      </w:r>
    </w:p>
    <w:p w14:paraId="3DD5321E">
      <w:pPr>
        <w:pStyle w:val="28"/>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b w:val="0"/>
          <w:bCs/>
          <w:sz w:val="21"/>
          <w:szCs w:val="21"/>
          <w:lang w:val="en-US" w:eastAsia="zh-CN"/>
        </w:rPr>
      </w:pPr>
      <w:r>
        <w:rPr>
          <w:rStyle w:val="29"/>
          <w:rFonts w:hint="eastAsia" w:asciiTheme="minorEastAsia" w:hAnsiTheme="minorEastAsia" w:eastAsiaTheme="minorEastAsia" w:cstheme="minorEastAsia"/>
          <w:b w:val="0"/>
          <w:bCs/>
          <w:sz w:val="21"/>
          <w:szCs w:val="21"/>
          <w:lang w:val="en-US" w:eastAsia="zh-CN"/>
        </w:rPr>
        <w:t>4.各项安保系统设备（消防、视频监控、防暴、巡更、车管、立体机械车位等）的日常维护管理及操作运用；</w:t>
      </w:r>
    </w:p>
    <w:p w14:paraId="3D0B3B22">
      <w:pPr>
        <w:pStyle w:val="28"/>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b w:val="0"/>
          <w:bCs/>
          <w:sz w:val="21"/>
          <w:szCs w:val="21"/>
          <w:lang w:val="en-US" w:eastAsia="zh-CN"/>
        </w:rPr>
      </w:pPr>
      <w:r>
        <w:rPr>
          <w:rStyle w:val="29"/>
          <w:rFonts w:hint="eastAsia" w:asciiTheme="minorEastAsia" w:hAnsiTheme="minorEastAsia" w:eastAsiaTheme="minorEastAsia" w:cstheme="minorEastAsia"/>
          <w:b w:val="0"/>
          <w:bCs/>
          <w:sz w:val="21"/>
          <w:szCs w:val="21"/>
          <w:lang w:val="en-US" w:eastAsia="zh-CN"/>
        </w:rPr>
        <w:t>5.参与并配合执行各项演练、培训活动。</w:t>
      </w:r>
    </w:p>
    <w:p w14:paraId="1A5E1183">
      <w:pPr>
        <w:pStyle w:val="28"/>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422" w:firstLineChars="200"/>
        <w:textAlignment w:val="auto"/>
        <w:rPr>
          <w:rStyle w:val="29"/>
          <w:rFonts w:hint="eastAsia" w:asciiTheme="minorEastAsia" w:hAnsiTheme="minorEastAsia" w:eastAsiaTheme="minorEastAsia" w:cstheme="minorEastAsia"/>
          <w:b/>
          <w:sz w:val="21"/>
          <w:szCs w:val="21"/>
          <w:lang w:val="en-US" w:eastAsia="zh-CN"/>
        </w:rPr>
      </w:pPr>
      <w:r>
        <w:rPr>
          <w:rStyle w:val="29"/>
          <w:rFonts w:hint="eastAsia" w:asciiTheme="minorEastAsia" w:hAnsiTheme="minorEastAsia" w:eastAsiaTheme="minorEastAsia" w:cstheme="minorEastAsia"/>
          <w:b/>
          <w:sz w:val="21"/>
          <w:szCs w:val="21"/>
          <w:lang w:val="en-US" w:eastAsia="zh-CN"/>
        </w:rPr>
        <w:t>第六条  安保人员要求</w:t>
      </w:r>
    </w:p>
    <w:p w14:paraId="42CED7B2">
      <w:pPr>
        <w:pStyle w:val="28"/>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b w:val="0"/>
          <w:bCs/>
          <w:sz w:val="21"/>
          <w:szCs w:val="21"/>
          <w:lang w:val="en-US" w:eastAsia="zh-CN"/>
        </w:rPr>
      </w:pPr>
      <w:r>
        <w:rPr>
          <w:rStyle w:val="29"/>
          <w:rFonts w:hint="eastAsia" w:asciiTheme="minorEastAsia" w:hAnsiTheme="minorEastAsia" w:eastAsiaTheme="minorEastAsia" w:cstheme="minorEastAsia"/>
          <w:b w:val="0"/>
          <w:bCs/>
          <w:sz w:val="21"/>
          <w:szCs w:val="21"/>
          <w:lang w:val="en-US" w:eastAsia="zh-CN"/>
        </w:rPr>
        <w:t>1.年龄在20--45岁之间，复转、退伍军人及有连续5年以上保安工作经验者可放宽到48岁；身高一般不低于170cm。</w:t>
      </w:r>
    </w:p>
    <w:p w14:paraId="44B95469">
      <w:pPr>
        <w:pStyle w:val="28"/>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b w:val="0"/>
          <w:bCs/>
          <w:sz w:val="21"/>
          <w:szCs w:val="21"/>
          <w:lang w:val="en-US" w:eastAsia="zh-CN"/>
        </w:rPr>
      </w:pPr>
      <w:r>
        <w:rPr>
          <w:rStyle w:val="29"/>
          <w:rFonts w:hint="eastAsia" w:asciiTheme="minorEastAsia" w:hAnsiTheme="minorEastAsia" w:eastAsiaTheme="minorEastAsia" w:cstheme="minorEastAsia"/>
          <w:b w:val="0"/>
          <w:bCs/>
          <w:sz w:val="21"/>
          <w:szCs w:val="21"/>
          <w:lang w:val="en-US" w:eastAsia="zh-CN"/>
        </w:rPr>
        <w:t>2.相貌端庄、身形匀称、身体健康；有纹身、有明显疤痕人员不予选用。</w:t>
      </w:r>
    </w:p>
    <w:p w14:paraId="7D0A80EE">
      <w:pPr>
        <w:pStyle w:val="28"/>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b w:val="0"/>
          <w:bCs/>
          <w:sz w:val="21"/>
          <w:szCs w:val="21"/>
          <w:lang w:val="en-US" w:eastAsia="zh-CN"/>
        </w:rPr>
      </w:pPr>
      <w:r>
        <w:rPr>
          <w:rStyle w:val="29"/>
          <w:rFonts w:hint="eastAsia" w:asciiTheme="minorEastAsia" w:hAnsiTheme="minorEastAsia" w:eastAsiaTheme="minorEastAsia" w:cstheme="minorEastAsia"/>
          <w:b w:val="0"/>
          <w:bCs/>
          <w:sz w:val="21"/>
          <w:szCs w:val="21"/>
          <w:lang w:val="en-US" w:eastAsia="zh-CN"/>
        </w:rPr>
        <w:t>3.具有高中或以上文化程度，持有效《保安员证》，至少有5人持有有效《消防设施操作员证》。</w:t>
      </w:r>
    </w:p>
    <w:p w14:paraId="3A914A64">
      <w:pPr>
        <w:pStyle w:val="28"/>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b w:val="0"/>
          <w:bCs/>
          <w:sz w:val="21"/>
          <w:szCs w:val="21"/>
          <w:lang w:val="en-US" w:eastAsia="zh-CN"/>
        </w:rPr>
      </w:pPr>
      <w:r>
        <w:rPr>
          <w:rStyle w:val="29"/>
          <w:rFonts w:hint="eastAsia" w:asciiTheme="minorEastAsia" w:hAnsiTheme="minorEastAsia" w:eastAsiaTheme="minorEastAsia" w:cstheme="minorEastAsia"/>
          <w:b w:val="0"/>
          <w:bCs/>
          <w:sz w:val="21"/>
          <w:szCs w:val="21"/>
          <w:lang w:val="en-US" w:eastAsia="zh-CN"/>
        </w:rPr>
        <w:t>4.无犯罪及不良征信记录（提供无犯罪记录及征信证明）。</w:t>
      </w:r>
    </w:p>
    <w:p w14:paraId="06C22101">
      <w:pPr>
        <w:pStyle w:val="28"/>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b w:val="0"/>
          <w:bCs/>
          <w:sz w:val="21"/>
          <w:szCs w:val="21"/>
          <w:lang w:val="en-US" w:eastAsia="zh-CN"/>
        </w:rPr>
      </w:pPr>
      <w:r>
        <w:rPr>
          <w:rStyle w:val="29"/>
          <w:rFonts w:hint="eastAsia" w:asciiTheme="minorEastAsia" w:hAnsiTheme="minorEastAsia" w:eastAsiaTheme="minorEastAsia" w:cstheme="minorEastAsia"/>
          <w:b w:val="0"/>
          <w:bCs/>
          <w:sz w:val="21"/>
          <w:szCs w:val="21"/>
          <w:lang w:val="en-US" w:eastAsia="zh-CN"/>
        </w:rPr>
        <w:t>5.保安主管须有两年或以上安保管理工作经验。</w:t>
      </w:r>
    </w:p>
    <w:p w14:paraId="5F100470">
      <w:pPr>
        <w:pStyle w:val="28"/>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b w:val="0"/>
          <w:bCs/>
          <w:sz w:val="21"/>
          <w:szCs w:val="21"/>
          <w:lang w:val="en-US" w:eastAsia="zh-CN"/>
        </w:rPr>
      </w:pPr>
      <w:r>
        <w:rPr>
          <w:rStyle w:val="29"/>
          <w:rFonts w:hint="eastAsia" w:asciiTheme="minorEastAsia" w:hAnsiTheme="minorEastAsia" w:eastAsiaTheme="minorEastAsia" w:cstheme="minorEastAsia"/>
          <w:b w:val="0"/>
          <w:bCs/>
          <w:sz w:val="21"/>
          <w:szCs w:val="21"/>
          <w:lang w:val="en-US" w:eastAsia="zh-CN"/>
        </w:rPr>
        <w:t>6.遵纪守法，遵守南方报业传媒集团、甲方单位的相关规章制度。</w:t>
      </w:r>
    </w:p>
    <w:p w14:paraId="68A1E0C5">
      <w:pPr>
        <w:pStyle w:val="28"/>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b w:val="0"/>
          <w:bCs/>
          <w:sz w:val="21"/>
          <w:szCs w:val="21"/>
          <w:lang w:val="en-US" w:eastAsia="zh-CN"/>
        </w:rPr>
      </w:pPr>
      <w:r>
        <w:rPr>
          <w:rStyle w:val="29"/>
          <w:rFonts w:hint="eastAsia" w:asciiTheme="minorEastAsia" w:hAnsiTheme="minorEastAsia" w:eastAsiaTheme="minorEastAsia" w:cstheme="minorEastAsia"/>
          <w:b w:val="0"/>
          <w:bCs/>
          <w:sz w:val="21"/>
          <w:szCs w:val="21"/>
          <w:lang w:val="en-US" w:eastAsia="zh-CN"/>
        </w:rPr>
        <w:t>7.吃苦耐劳，服从工作安排（包括且不限于日常岗位值班、额外加值班、参与临时性突发事件应急处置等）、调度及指挥。</w:t>
      </w:r>
    </w:p>
    <w:p w14:paraId="0685F78E">
      <w:pPr>
        <w:pStyle w:val="28"/>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b w:val="0"/>
          <w:bCs/>
          <w:sz w:val="21"/>
          <w:szCs w:val="21"/>
          <w:lang w:val="en-US" w:eastAsia="zh-CN"/>
        </w:rPr>
      </w:pPr>
      <w:r>
        <w:rPr>
          <w:rStyle w:val="29"/>
          <w:rFonts w:hint="eastAsia" w:asciiTheme="minorEastAsia" w:hAnsiTheme="minorEastAsia" w:eastAsiaTheme="minorEastAsia" w:cstheme="minorEastAsia"/>
          <w:b w:val="0"/>
          <w:bCs/>
          <w:sz w:val="21"/>
          <w:szCs w:val="21"/>
          <w:lang w:val="en-US" w:eastAsia="zh-CN"/>
        </w:rPr>
        <w:t>8.熟悉安保工作内容和职责，知晓防火、防盗、防暴恐等事故的应急处置技能。</w:t>
      </w:r>
    </w:p>
    <w:p w14:paraId="148863D4">
      <w:pPr>
        <w:pStyle w:val="28"/>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b w:val="0"/>
          <w:bCs/>
          <w:sz w:val="21"/>
          <w:szCs w:val="21"/>
          <w:lang w:val="en-US" w:eastAsia="zh-CN"/>
        </w:rPr>
      </w:pPr>
      <w:r>
        <w:rPr>
          <w:rStyle w:val="29"/>
          <w:rFonts w:hint="eastAsia" w:asciiTheme="minorEastAsia" w:hAnsiTheme="minorEastAsia" w:eastAsiaTheme="minorEastAsia" w:cstheme="minorEastAsia"/>
          <w:b w:val="0"/>
          <w:bCs/>
          <w:sz w:val="21"/>
          <w:szCs w:val="21"/>
          <w:lang w:val="en-US" w:eastAsia="zh-CN"/>
        </w:rPr>
        <w:t>9.爱岗敬业、文明执勤、礼貌待人，执勤动作标准规范，服务意识良好，着装整洁、仪表端正、精神饱满，树立良好形象。</w:t>
      </w:r>
    </w:p>
    <w:p w14:paraId="1D51CE33">
      <w:pPr>
        <w:pStyle w:val="28"/>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b w:val="0"/>
          <w:bCs/>
          <w:sz w:val="21"/>
          <w:szCs w:val="21"/>
          <w:lang w:val="en-US" w:eastAsia="zh-CN"/>
        </w:rPr>
      </w:pPr>
      <w:r>
        <w:rPr>
          <w:rStyle w:val="29"/>
          <w:rFonts w:hint="eastAsia" w:asciiTheme="minorEastAsia" w:hAnsiTheme="minorEastAsia" w:eastAsiaTheme="minorEastAsia" w:cstheme="minorEastAsia"/>
          <w:b w:val="0"/>
          <w:bCs/>
          <w:sz w:val="21"/>
          <w:szCs w:val="21"/>
          <w:lang w:val="en-US" w:eastAsia="zh-CN"/>
        </w:rPr>
        <w:t>10.履行工作职责，遵守岗位执勤工作规范及工作纪律，工作时间内严禁有脱岗、睡岗、喝酒、玩手机等行为，不耍特权，不得有打人、骂人和侮辱他人人格行为。</w:t>
      </w:r>
    </w:p>
    <w:p w14:paraId="736A9B14">
      <w:pPr>
        <w:pStyle w:val="28"/>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b w:val="0"/>
          <w:bCs/>
          <w:sz w:val="21"/>
          <w:szCs w:val="21"/>
          <w:lang w:val="en-US" w:eastAsia="zh-CN"/>
        </w:rPr>
      </w:pPr>
      <w:r>
        <w:rPr>
          <w:rStyle w:val="29"/>
          <w:rFonts w:hint="eastAsia" w:asciiTheme="minorEastAsia" w:hAnsiTheme="minorEastAsia" w:eastAsiaTheme="minorEastAsia" w:cstheme="minorEastAsia"/>
          <w:b w:val="0"/>
          <w:bCs/>
          <w:sz w:val="21"/>
          <w:szCs w:val="21"/>
          <w:lang w:val="en-US" w:eastAsia="zh-CN"/>
        </w:rPr>
        <w:t>11.安全保密意识，严守甲方单位的各项安保信息秘密。</w:t>
      </w:r>
    </w:p>
    <w:p w14:paraId="7A825664">
      <w:pPr>
        <w:pStyle w:val="28"/>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b w:val="0"/>
          <w:bCs/>
          <w:sz w:val="21"/>
          <w:szCs w:val="21"/>
          <w:lang w:val="en-US" w:eastAsia="zh-CN"/>
        </w:rPr>
      </w:pPr>
      <w:r>
        <w:rPr>
          <w:rStyle w:val="29"/>
          <w:rFonts w:hint="eastAsia" w:asciiTheme="minorEastAsia" w:hAnsiTheme="minorEastAsia" w:eastAsiaTheme="minorEastAsia" w:cstheme="minorEastAsia"/>
          <w:b w:val="0"/>
          <w:bCs/>
          <w:sz w:val="21"/>
          <w:szCs w:val="21"/>
          <w:lang w:val="en-US" w:eastAsia="zh-CN"/>
        </w:rPr>
        <w:t>12.积极参加演练等培训工作，熟练掌握业务技能。</w:t>
      </w:r>
    </w:p>
    <w:p w14:paraId="7821DB8C">
      <w:pPr>
        <w:pStyle w:val="28"/>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422" w:firstLineChars="200"/>
        <w:textAlignment w:val="auto"/>
        <w:rPr>
          <w:rStyle w:val="29"/>
          <w:rFonts w:hint="eastAsia" w:asciiTheme="minorEastAsia" w:hAnsiTheme="minorEastAsia" w:eastAsiaTheme="minorEastAsia" w:cstheme="minorEastAsia"/>
          <w:b/>
          <w:bCs w:val="0"/>
          <w:sz w:val="21"/>
          <w:szCs w:val="21"/>
        </w:rPr>
      </w:pPr>
      <w:r>
        <w:rPr>
          <w:rStyle w:val="29"/>
          <w:rFonts w:hint="eastAsia" w:asciiTheme="minorEastAsia" w:hAnsiTheme="minorEastAsia" w:eastAsiaTheme="minorEastAsia" w:cstheme="minorEastAsia"/>
          <w:b/>
          <w:bCs w:val="0"/>
          <w:sz w:val="21"/>
          <w:szCs w:val="21"/>
          <w:lang w:eastAsia="zh-CN"/>
        </w:rPr>
        <w:t>第</w:t>
      </w:r>
      <w:r>
        <w:rPr>
          <w:rStyle w:val="29"/>
          <w:rFonts w:hint="eastAsia" w:asciiTheme="minorEastAsia" w:hAnsiTheme="minorEastAsia" w:eastAsiaTheme="minorEastAsia" w:cstheme="minorEastAsia"/>
          <w:b/>
          <w:bCs w:val="0"/>
          <w:sz w:val="21"/>
          <w:szCs w:val="21"/>
          <w:lang w:val="en-US" w:eastAsia="zh-CN"/>
        </w:rPr>
        <w:t>七</w:t>
      </w:r>
      <w:r>
        <w:rPr>
          <w:rStyle w:val="29"/>
          <w:rFonts w:hint="eastAsia" w:asciiTheme="minorEastAsia" w:hAnsiTheme="minorEastAsia" w:eastAsiaTheme="minorEastAsia" w:cstheme="minorEastAsia"/>
          <w:b/>
          <w:bCs w:val="0"/>
          <w:sz w:val="21"/>
          <w:szCs w:val="21"/>
          <w:lang w:eastAsia="zh-CN"/>
        </w:rPr>
        <w:t>条</w:t>
      </w:r>
      <w:r>
        <w:rPr>
          <w:rStyle w:val="29"/>
          <w:rFonts w:hint="eastAsia" w:asciiTheme="minorEastAsia" w:hAnsiTheme="minorEastAsia" w:eastAsiaTheme="minorEastAsia" w:cstheme="minorEastAsia"/>
          <w:b/>
          <w:bCs w:val="0"/>
          <w:sz w:val="21"/>
          <w:szCs w:val="21"/>
          <w:lang w:val="en-US" w:eastAsia="zh-CN"/>
        </w:rPr>
        <w:t xml:space="preserve">  </w:t>
      </w:r>
      <w:r>
        <w:rPr>
          <w:rStyle w:val="29"/>
          <w:rFonts w:hint="eastAsia" w:asciiTheme="minorEastAsia" w:hAnsiTheme="minorEastAsia" w:eastAsiaTheme="minorEastAsia" w:cstheme="minorEastAsia"/>
          <w:b/>
          <w:bCs w:val="0"/>
          <w:sz w:val="21"/>
          <w:szCs w:val="21"/>
        </w:rPr>
        <w:t>其他要求</w:t>
      </w:r>
    </w:p>
    <w:p w14:paraId="29579FA5">
      <w:pPr>
        <w:pStyle w:val="28"/>
        <w:keepNext w:val="0"/>
        <w:keepLines w:val="0"/>
        <w:pageBreakBefore w:val="0"/>
        <w:kinsoku/>
        <w:wordWrap w:val="0"/>
        <w:overflowPunct/>
        <w:topLinePunct w:val="0"/>
        <w:autoSpaceDE/>
        <w:autoSpaceDN/>
        <w:bidi w:val="0"/>
        <w:adjustRightInd w:val="0"/>
        <w:snapToGrid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sz w:val="21"/>
          <w:szCs w:val="21"/>
        </w:rPr>
      </w:pPr>
      <w:r>
        <w:rPr>
          <w:rStyle w:val="29"/>
          <w:rFonts w:hint="eastAsia" w:asciiTheme="minorEastAsia" w:hAnsiTheme="minorEastAsia" w:eastAsiaTheme="minorEastAsia" w:cstheme="minorEastAsia"/>
          <w:sz w:val="21"/>
          <w:szCs w:val="21"/>
        </w:rPr>
        <w:t>1.如果发生以下情况</w:t>
      </w:r>
      <w:r>
        <w:rPr>
          <w:rStyle w:val="29"/>
          <w:rFonts w:hint="eastAsia" w:asciiTheme="minorEastAsia" w:hAnsiTheme="minorEastAsia" w:eastAsiaTheme="minorEastAsia" w:cstheme="minorEastAsia"/>
          <w:sz w:val="21"/>
          <w:szCs w:val="21"/>
          <w:lang w:eastAsia="zh-CN"/>
        </w:rPr>
        <w:t>甲方</w:t>
      </w:r>
      <w:r>
        <w:rPr>
          <w:rStyle w:val="29"/>
          <w:rFonts w:hint="eastAsia" w:asciiTheme="minorEastAsia" w:hAnsiTheme="minorEastAsia" w:eastAsiaTheme="minorEastAsia" w:cstheme="minorEastAsia"/>
          <w:sz w:val="21"/>
          <w:szCs w:val="21"/>
        </w:rPr>
        <w:t>有权随时终止合同：</w:t>
      </w:r>
    </w:p>
    <w:p w14:paraId="59EA8F56">
      <w:pPr>
        <w:pStyle w:val="28"/>
        <w:keepNext w:val="0"/>
        <w:keepLines w:val="0"/>
        <w:pageBreakBefore w:val="0"/>
        <w:kinsoku/>
        <w:wordWrap w:val="0"/>
        <w:overflowPunct/>
        <w:topLinePunct w:val="0"/>
        <w:autoSpaceDE/>
        <w:autoSpaceDN/>
        <w:bidi w:val="0"/>
        <w:adjustRightInd w:val="0"/>
        <w:snapToGrid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sz w:val="21"/>
          <w:szCs w:val="21"/>
        </w:rPr>
      </w:pPr>
      <w:r>
        <w:rPr>
          <w:rStyle w:val="29"/>
          <w:rFonts w:hint="eastAsia" w:asciiTheme="minorEastAsia" w:hAnsiTheme="minorEastAsia" w:eastAsiaTheme="minorEastAsia" w:cstheme="minorEastAsia"/>
          <w:sz w:val="21"/>
          <w:szCs w:val="21"/>
        </w:rPr>
        <w:t>（1）</w:t>
      </w:r>
      <w:r>
        <w:rPr>
          <w:rStyle w:val="29"/>
          <w:rFonts w:hint="eastAsia" w:asciiTheme="minorEastAsia" w:hAnsiTheme="minorEastAsia" w:eastAsiaTheme="minorEastAsia" w:cstheme="minorEastAsia"/>
          <w:sz w:val="21"/>
          <w:szCs w:val="21"/>
          <w:lang w:eastAsia="zh-CN"/>
        </w:rPr>
        <w:t>乙方</w:t>
      </w:r>
      <w:r>
        <w:rPr>
          <w:rStyle w:val="29"/>
          <w:rFonts w:hint="eastAsia" w:asciiTheme="minorEastAsia" w:hAnsiTheme="minorEastAsia" w:eastAsiaTheme="minorEastAsia" w:cstheme="minorEastAsia"/>
          <w:sz w:val="21"/>
          <w:szCs w:val="21"/>
        </w:rPr>
        <w:t>管理不到位，</w:t>
      </w:r>
      <w:r>
        <w:rPr>
          <w:rStyle w:val="29"/>
          <w:rFonts w:hint="eastAsia" w:asciiTheme="minorEastAsia" w:hAnsiTheme="minorEastAsia" w:eastAsiaTheme="minorEastAsia" w:cstheme="minorEastAsia"/>
          <w:sz w:val="21"/>
          <w:szCs w:val="21"/>
          <w:lang w:val="en-US" w:eastAsia="zh-CN"/>
        </w:rPr>
        <w:t>派驻的保安</w:t>
      </w:r>
      <w:r>
        <w:rPr>
          <w:rStyle w:val="29"/>
          <w:rFonts w:hint="eastAsia" w:asciiTheme="minorEastAsia" w:hAnsiTheme="minorEastAsia" w:eastAsiaTheme="minorEastAsia" w:cstheme="minorEastAsia"/>
          <w:sz w:val="21"/>
          <w:szCs w:val="21"/>
        </w:rPr>
        <w:t>人员违反国家的法律、法规及</w:t>
      </w:r>
      <w:r>
        <w:rPr>
          <w:rStyle w:val="29"/>
          <w:rFonts w:hint="eastAsia" w:asciiTheme="minorEastAsia" w:hAnsiTheme="minorEastAsia" w:eastAsiaTheme="minorEastAsia" w:cstheme="minorEastAsia"/>
          <w:sz w:val="21"/>
          <w:szCs w:val="21"/>
          <w:lang w:eastAsia="zh-CN"/>
        </w:rPr>
        <w:t>甲方</w:t>
      </w:r>
      <w:r>
        <w:rPr>
          <w:rStyle w:val="29"/>
          <w:rFonts w:hint="eastAsia" w:asciiTheme="minorEastAsia" w:hAnsiTheme="minorEastAsia" w:eastAsiaTheme="minorEastAsia" w:cstheme="minorEastAsia"/>
          <w:sz w:val="21"/>
          <w:szCs w:val="21"/>
        </w:rPr>
        <w:t>的规章制度，造成严重后果的；</w:t>
      </w:r>
    </w:p>
    <w:p w14:paraId="5E9E2FB6">
      <w:pPr>
        <w:pStyle w:val="28"/>
        <w:keepNext w:val="0"/>
        <w:keepLines w:val="0"/>
        <w:pageBreakBefore w:val="0"/>
        <w:kinsoku/>
        <w:wordWrap w:val="0"/>
        <w:overflowPunct/>
        <w:topLinePunct w:val="0"/>
        <w:autoSpaceDE/>
        <w:autoSpaceDN/>
        <w:bidi w:val="0"/>
        <w:adjustRightInd w:val="0"/>
        <w:snapToGrid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sz w:val="21"/>
          <w:szCs w:val="21"/>
        </w:rPr>
      </w:pPr>
      <w:r>
        <w:rPr>
          <w:rStyle w:val="29"/>
          <w:rFonts w:hint="eastAsia" w:asciiTheme="minorEastAsia" w:hAnsiTheme="minorEastAsia" w:eastAsiaTheme="minorEastAsia" w:cstheme="minorEastAsia"/>
          <w:sz w:val="21"/>
          <w:szCs w:val="21"/>
        </w:rPr>
        <w:t>（2）</w:t>
      </w:r>
      <w:r>
        <w:rPr>
          <w:rStyle w:val="29"/>
          <w:rFonts w:hint="eastAsia" w:asciiTheme="minorEastAsia" w:hAnsiTheme="minorEastAsia" w:eastAsiaTheme="minorEastAsia" w:cstheme="minorEastAsia"/>
          <w:sz w:val="21"/>
          <w:szCs w:val="21"/>
          <w:lang w:eastAsia="zh-CN"/>
        </w:rPr>
        <w:t>乙方</w:t>
      </w:r>
      <w:r>
        <w:rPr>
          <w:rStyle w:val="29"/>
          <w:rFonts w:hint="eastAsia" w:asciiTheme="minorEastAsia" w:hAnsiTheme="minorEastAsia" w:eastAsiaTheme="minorEastAsia" w:cstheme="minorEastAsia"/>
          <w:sz w:val="21"/>
          <w:szCs w:val="21"/>
        </w:rPr>
        <w:t>未按规定人数</w:t>
      </w:r>
      <w:r>
        <w:rPr>
          <w:rStyle w:val="29"/>
          <w:rFonts w:hint="eastAsia" w:asciiTheme="minorEastAsia" w:hAnsiTheme="minorEastAsia" w:eastAsiaTheme="minorEastAsia" w:cstheme="minorEastAsia"/>
          <w:sz w:val="21"/>
          <w:szCs w:val="21"/>
          <w:lang w:val="en-US" w:eastAsia="zh-CN"/>
        </w:rPr>
        <w:t>派驻保安</w:t>
      </w:r>
      <w:r>
        <w:rPr>
          <w:rStyle w:val="29"/>
          <w:rFonts w:hint="eastAsia" w:asciiTheme="minorEastAsia" w:hAnsiTheme="minorEastAsia" w:eastAsiaTheme="minorEastAsia" w:cstheme="minorEastAsia"/>
          <w:sz w:val="21"/>
          <w:szCs w:val="21"/>
        </w:rPr>
        <w:t>人员或当班人数少于约定的人数经</w:t>
      </w:r>
      <w:r>
        <w:rPr>
          <w:rStyle w:val="29"/>
          <w:rFonts w:hint="eastAsia" w:asciiTheme="minorEastAsia" w:hAnsiTheme="minorEastAsia" w:eastAsiaTheme="minorEastAsia" w:cstheme="minorEastAsia"/>
          <w:sz w:val="21"/>
          <w:szCs w:val="21"/>
          <w:lang w:eastAsia="zh-CN"/>
        </w:rPr>
        <w:t>甲方</w:t>
      </w:r>
      <w:r>
        <w:rPr>
          <w:rStyle w:val="29"/>
          <w:rFonts w:hint="eastAsia" w:asciiTheme="minorEastAsia" w:hAnsiTheme="minorEastAsia" w:eastAsiaTheme="minorEastAsia" w:cstheme="minorEastAsia"/>
          <w:sz w:val="21"/>
          <w:szCs w:val="21"/>
        </w:rPr>
        <w:t>提出不改的；</w:t>
      </w:r>
    </w:p>
    <w:p w14:paraId="7EED143F">
      <w:pPr>
        <w:pStyle w:val="28"/>
        <w:keepNext w:val="0"/>
        <w:keepLines w:val="0"/>
        <w:pageBreakBefore w:val="0"/>
        <w:kinsoku/>
        <w:wordWrap w:val="0"/>
        <w:overflowPunct/>
        <w:topLinePunct w:val="0"/>
        <w:autoSpaceDE/>
        <w:autoSpaceDN/>
        <w:bidi w:val="0"/>
        <w:adjustRightInd w:val="0"/>
        <w:snapToGrid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sz w:val="21"/>
          <w:szCs w:val="21"/>
        </w:rPr>
      </w:pPr>
      <w:r>
        <w:rPr>
          <w:rStyle w:val="29"/>
          <w:rFonts w:hint="eastAsia" w:asciiTheme="minorEastAsia" w:hAnsiTheme="minorEastAsia" w:eastAsiaTheme="minorEastAsia" w:cstheme="minorEastAsia"/>
          <w:sz w:val="21"/>
          <w:szCs w:val="21"/>
        </w:rPr>
        <w:t>（3）</w:t>
      </w:r>
      <w:r>
        <w:rPr>
          <w:rStyle w:val="29"/>
          <w:rFonts w:hint="eastAsia" w:asciiTheme="minorEastAsia" w:hAnsiTheme="minorEastAsia" w:eastAsiaTheme="minorEastAsia" w:cstheme="minorEastAsia"/>
          <w:sz w:val="21"/>
          <w:szCs w:val="21"/>
          <w:lang w:eastAsia="zh-CN"/>
        </w:rPr>
        <w:t>乙方</w:t>
      </w:r>
      <w:r>
        <w:rPr>
          <w:rStyle w:val="29"/>
          <w:rFonts w:hint="eastAsia" w:asciiTheme="minorEastAsia" w:hAnsiTheme="minorEastAsia" w:eastAsiaTheme="minorEastAsia" w:cstheme="minorEastAsia"/>
          <w:sz w:val="21"/>
          <w:szCs w:val="21"/>
        </w:rPr>
        <w:t>管理不到位，</w:t>
      </w:r>
      <w:r>
        <w:rPr>
          <w:rStyle w:val="29"/>
          <w:rFonts w:hint="eastAsia" w:asciiTheme="minorEastAsia" w:hAnsiTheme="minorEastAsia" w:eastAsiaTheme="minorEastAsia" w:cstheme="minorEastAsia"/>
          <w:sz w:val="21"/>
          <w:szCs w:val="21"/>
          <w:lang w:val="en-US" w:eastAsia="zh-CN"/>
        </w:rPr>
        <w:t>派驻的保安</w:t>
      </w:r>
      <w:r>
        <w:rPr>
          <w:rStyle w:val="29"/>
          <w:rFonts w:hint="eastAsia" w:asciiTheme="minorEastAsia" w:hAnsiTheme="minorEastAsia" w:eastAsiaTheme="minorEastAsia" w:cstheme="minorEastAsia"/>
          <w:sz w:val="21"/>
          <w:szCs w:val="21"/>
        </w:rPr>
        <w:t>人员责任心不强，工作疏忽大意，造成</w:t>
      </w:r>
      <w:r>
        <w:rPr>
          <w:rStyle w:val="29"/>
          <w:rFonts w:hint="eastAsia" w:asciiTheme="minorEastAsia" w:hAnsiTheme="minorEastAsia" w:eastAsiaTheme="minorEastAsia" w:cstheme="minorEastAsia"/>
          <w:sz w:val="21"/>
          <w:szCs w:val="21"/>
          <w:lang w:eastAsia="zh-CN"/>
        </w:rPr>
        <w:t>甲方</w:t>
      </w:r>
      <w:r>
        <w:rPr>
          <w:rStyle w:val="29"/>
          <w:rFonts w:hint="eastAsia" w:asciiTheme="minorEastAsia" w:hAnsiTheme="minorEastAsia" w:eastAsiaTheme="minorEastAsia" w:cstheme="minorEastAsia"/>
          <w:sz w:val="21"/>
          <w:szCs w:val="21"/>
        </w:rPr>
        <w:t>财物重大损失的。</w:t>
      </w:r>
    </w:p>
    <w:p w14:paraId="5954B11A">
      <w:pPr>
        <w:pStyle w:val="28"/>
        <w:keepNext w:val="0"/>
        <w:keepLines w:val="0"/>
        <w:pageBreakBefore w:val="0"/>
        <w:kinsoku/>
        <w:wordWrap w:val="0"/>
        <w:overflowPunct/>
        <w:topLinePunct w:val="0"/>
        <w:autoSpaceDE/>
        <w:autoSpaceDN/>
        <w:bidi w:val="0"/>
        <w:adjustRightInd w:val="0"/>
        <w:snapToGrid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sz w:val="21"/>
          <w:szCs w:val="21"/>
          <w:lang w:eastAsia="zh-CN"/>
        </w:rPr>
      </w:pPr>
      <w:r>
        <w:rPr>
          <w:rStyle w:val="29"/>
          <w:rFonts w:hint="eastAsia" w:asciiTheme="minorEastAsia" w:hAnsiTheme="minorEastAsia" w:eastAsiaTheme="minorEastAsia" w:cstheme="minorEastAsia"/>
          <w:sz w:val="21"/>
          <w:szCs w:val="21"/>
        </w:rPr>
        <w:t>（</w:t>
      </w:r>
      <w:r>
        <w:rPr>
          <w:rStyle w:val="29"/>
          <w:rFonts w:hint="eastAsia" w:asciiTheme="minorEastAsia" w:hAnsiTheme="minorEastAsia" w:eastAsiaTheme="minorEastAsia" w:cstheme="minorEastAsia"/>
          <w:sz w:val="21"/>
          <w:szCs w:val="21"/>
          <w:lang w:val="en-US" w:eastAsia="zh-CN"/>
        </w:rPr>
        <w:t>4</w:t>
      </w:r>
      <w:r>
        <w:rPr>
          <w:rStyle w:val="29"/>
          <w:rFonts w:hint="eastAsia" w:asciiTheme="minorEastAsia" w:hAnsiTheme="minorEastAsia" w:eastAsiaTheme="minorEastAsia" w:cstheme="minorEastAsia"/>
          <w:sz w:val="21"/>
          <w:szCs w:val="21"/>
        </w:rPr>
        <w:t>）发生重大责任事故，造成重大损失或重大负面影响的</w:t>
      </w:r>
      <w:r>
        <w:rPr>
          <w:rStyle w:val="29"/>
          <w:rFonts w:hint="eastAsia" w:asciiTheme="minorEastAsia" w:hAnsiTheme="minorEastAsia" w:eastAsiaTheme="minorEastAsia" w:cstheme="minorEastAsia"/>
          <w:sz w:val="21"/>
          <w:szCs w:val="21"/>
          <w:lang w:eastAsia="zh-CN"/>
        </w:rPr>
        <w:t>。</w:t>
      </w:r>
    </w:p>
    <w:p w14:paraId="66A36BFA">
      <w:pPr>
        <w:pStyle w:val="28"/>
        <w:keepNext w:val="0"/>
        <w:keepLines w:val="0"/>
        <w:pageBreakBefore w:val="0"/>
        <w:kinsoku/>
        <w:wordWrap w:val="0"/>
        <w:overflowPunct/>
        <w:topLinePunct w:val="0"/>
        <w:autoSpaceDE/>
        <w:autoSpaceDN/>
        <w:bidi w:val="0"/>
        <w:adjustRightInd w:val="0"/>
        <w:snapToGrid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sz w:val="21"/>
          <w:szCs w:val="21"/>
        </w:rPr>
      </w:pPr>
      <w:r>
        <w:rPr>
          <w:rStyle w:val="29"/>
          <w:rFonts w:hint="eastAsia" w:asciiTheme="minorEastAsia" w:hAnsiTheme="minorEastAsia" w:eastAsiaTheme="minorEastAsia" w:cstheme="minorEastAsia"/>
          <w:sz w:val="21"/>
          <w:szCs w:val="21"/>
        </w:rPr>
        <w:t>（</w:t>
      </w:r>
      <w:r>
        <w:rPr>
          <w:rStyle w:val="29"/>
          <w:rFonts w:hint="eastAsia" w:asciiTheme="minorEastAsia" w:hAnsiTheme="minorEastAsia" w:eastAsiaTheme="minorEastAsia" w:cstheme="minorEastAsia"/>
          <w:sz w:val="21"/>
          <w:szCs w:val="21"/>
          <w:lang w:val="en-US" w:eastAsia="zh-CN"/>
        </w:rPr>
        <w:t>5</w:t>
      </w:r>
      <w:r>
        <w:rPr>
          <w:rStyle w:val="29"/>
          <w:rFonts w:hint="eastAsia" w:asciiTheme="minorEastAsia" w:hAnsiTheme="minorEastAsia" w:eastAsiaTheme="minorEastAsia" w:cstheme="minorEastAsia"/>
          <w:sz w:val="21"/>
          <w:szCs w:val="21"/>
        </w:rPr>
        <w:t>）因</w:t>
      </w:r>
      <w:r>
        <w:rPr>
          <w:rStyle w:val="29"/>
          <w:rFonts w:hint="eastAsia" w:asciiTheme="minorEastAsia" w:hAnsiTheme="minorEastAsia" w:eastAsiaTheme="minorEastAsia" w:cstheme="minorEastAsia"/>
          <w:sz w:val="21"/>
          <w:szCs w:val="21"/>
          <w:lang w:val="en-US" w:eastAsia="zh-CN"/>
        </w:rPr>
        <w:t>乙方与保安人员间的劳动争议</w:t>
      </w:r>
      <w:r>
        <w:rPr>
          <w:rStyle w:val="29"/>
          <w:rFonts w:hint="eastAsia" w:asciiTheme="minorEastAsia" w:hAnsiTheme="minorEastAsia" w:eastAsiaTheme="minorEastAsia" w:cstheme="minorEastAsia"/>
          <w:sz w:val="21"/>
          <w:szCs w:val="21"/>
        </w:rPr>
        <w:t>发生群体事件</w:t>
      </w:r>
      <w:r>
        <w:rPr>
          <w:rStyle w:val="29"/>
          <w:rFonts w:hint="eastAsia" w:asciiTheme="minorEastAsia" w:hAnsiTheme="minorEastAsia" w:eastAsiaTheme="minorEastAsia" w:cstheme="minorEastAsia"/>
          <w:sz w:val="21"/>
          <w:szCs w:val="21"/>
          <w:lang w:val="en-US" w:eastAsia="zh-CN"/>
        </w:rPr>
        <w:t>的</w:t>
      </w:r>
      <w:r>
        <w:rPr>
          <w:rStyle w:val="29"/>
          <w:rFonts w:hint="eastAsia" w:asciiTheme="minorEastAsia" w:hAnsiTheme="minorEastAsia" w:eastAsiaTheme="minorEastAsia" w:cstheme="minorEastAsia"/>
          <w:sz w:val="21"/>
          <w:szCs w:val="21"/>
        </w:rPr>
        <w:t>。</w:t>
      </w:r>
    </w:p>
    <w:p w14:paraId="08A920B1">
      <w:pPr>
        <w:pStyle w:val="28"/>
        <w:keepNext w:val="0"/>
        <w:keepLines w:val="0"/>
        <w:pageBreakBefore w:val="0"/>
        <w:kinsoku/>
        <w:wordWrap w:val="0"/>
        <w:overflowPunct/>
        <w:topLinePunct w:val="0"/>
        <w:autoSpaceDE/>
        <w:autoSpaceDN/>
        <w:bidi w:val="0"/>
        <w:adjustRightInd w:val="0"/>
        <w:snapToGrid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sz w:val="21"/>
          <w:szCs w:val="21"/>
        </w:rPr>
      </w:pPr>
      <w:r>
        <w:rPr>
          <w:rStyle w:val="29"/>
          <w:rFonts w:hint="eastAsia" w:asciiTheme="minorEastAsia" w:hAnsiTheme="minorEastAsia" w:eastAsiaTheme="minorEastAsia" w:cstheme="minorEastAsia"/>
          <w:sz w:val="21"/>
          <w:szCs w:val="21"/>
        </w:rPr>
        <w:t>2.</w:t>
      </w:r>
      <w:r>
        <w:rPr>
          <w:rStyle w:val="29"/>
          <w:rFonts w:hint="eastAsia" w:asciiTheme="minorEastAsia" w:hAnsiTheme="minorEastAsia" w:eastAsiaTheme="minorEastAsia" w:cstheme="minorEastAsia"/>
          <w:sz w:val="21"/>
          <w:szCs w:val="21"/>
          <w:lang w:eastAsia="zh-CN"/>
        </w:rPr>
        <w:t>乙方</w:t>
      </w:r>
      <w:r>
        <w:rPr>
          <w:rStyle w:val="29"/>
          <w:rFonts w:hint="eastAsia" w:asciiTheme="minorEastAsia" w:hAnsiTheme="minorEastAsia" w:eastAsiaTheme="minorEastAsia" w:cstheme="minorEastAsia"/>
          <w:sz w:val="21"/>
          <w:szCs w:val="21"/>
        </w:rPr>
        <w:t>不可转包或分包项目内容，不能转移</w:t>
      </w:r>
      <w:r>
        <w:rPr>
          <w:rStyle w:val="29"/>
          <w:rFonts w:hint="eastAsia" w:asciiTheme="minorEastAsia" w:hAnsiTheme="minorEastAsia" w:eastAsiaTheme="minorEastAsia" w:cstheme="minorEastAsia"/>
          <w:sz w:val="21"/>
          <w:szCs w:val="21"/>
          <w:lang w:eastAsia="zh-CN"/>
        </w:rPr>
        <w:t>乙方</w:t>
      </w:r>
      <w:r>
        <w:rPr>
          <w:rStyle w:val="29"/>
          <w:rFonts w:hint="eastAsia" w:asciiTheme="minorEastAsia" w:hAnsiTheme="minorEastAsia" w:eastAsiaTheme="minorEastAsia" w:cstheme="minorEastAsia"/>
          <w:sz w:val="21"/>
          <w:szCs w:val="21"/>
        </w:rPr>
        <w:t>的承包责任。</w:t>
      </w:r>
    </w:p>
    <w:p w14:paraId="469BF818">
      <w:pPr>
        <w:pStyle w:val="28"/>
        <w:keepNext w:val="0"/>
        <w:keepLines w:val="0"/>
        <w:pageBreakBefore w:val="0"/>
        <w:kinsoku/>
        <w:wordWrap w:val="0"/>
        <w:overflowPunct/>
        <w:topLinePunct w:val="0"/>
        <w:autoSpaceDE/>
        <w:autoSpaceDN/>
        <w:bidi w:val="0"/>
        <w:adjustRightInd w:val="0"/>
        <w:snapToGrid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sz w:val="21"/>
          <w:szCs w:val="21"/>
        </w:rPr>
      </w:pPr>
      <w:r>
        <w:rPr>
          <w:rStyle w:val="29"/>
          <w:rFonts w:hint="eastAsia" w:asciiTheme="minorEastAsia" w:hAnsiTheme="minorEastAsia" w:eastAsiaTheme="minorEastAsia" w:cstheme="minorEastAsia"/>
          <w:sz w:val="21"/>
          <w:szCs w:val="21"/>
        </w:rPr>
        <w:t>3.</w:t>
      </w:r>
      <w:r>
        <w:rPr>
          <w:rStyle w:val="29"/>
          <w:rFonts w:hint="eastAsia" w:asciiTheme="minorEastAsia" w:hAnsiTheme="minorEastAsia" w:eastAsiaTheme="minorEastAsia" w:cstheme="minorEastAsia"/>
          <w:sz w:val="21"/>
          <w:szCs w:val="21"/>
          <w:lang w:eastAsia="zh-CN"/>
        </w:rPr>
        <w:t>乙方</w:t>
      </w:r>
      <w:r>
        <w:rPr>
          <w:rStyle w:val="29"/>
          <w:rFonts w:hint="eastAsia" w:asciiTheme="minorEastAsia" w:hAnsiTheme="minorEastAsia" w:eastAsiaTheme="minorEastAsia" w:cstheme="minorEastAsia"/>
          <w:sz w:val="21"/>
          <w:szCs w:val="21"/>
        </w:rPr>
        <w:t>对</w:t>
      </w:r>
      <w:r>
        <w:rPr>
          <w:rStyle w:val="29"/>
          <w:rFonts w:hint="eastAsia" w:asciiTheme="minorEastAsia" w:hAnsiTheme="minorEastAsia" w:eastAsiaTheme="minorEastAsia" w:cstheme="minorEastAsia"/>
          <w:sz w:val="21"/>
          <w:szCs w:val="21"/>
          <w:lang w:val="en-US" w:eastAsia="zh-CN"/>
        </w:rPr>
        <w:t>派驻的保安</w:t>
      </w:r>
      <w:r>
        <w:rPr>
          <w:rStyle w:val="29"/>
          <w:rFonts w:hint="eastAsia" w:asciiTheme="minorEastAsia" w:hAnsiTheme="minorEastAsia" w:eastAsiaTheme="minorEastAsia" w:cstheme="minorEastAsia"/>
          <w:sz w:val="21"/>
          <w:szCs w:val="21"/>
        </w:rPr>
        <w:t>人员承担全部聘用责任，</w:t>
      </w:r>
      <w:r>
        <w:rPr>
          <w:rStyle w:val="29"/>
          <w:rFonts w:hint="eastAsia" w:asciiTheme="minorEastAsia" w:hAnsiTheme="minorEastAsia" w:eastAsiaTheme="minorEastAsia" w:cstheme="minorEastAsia"/>
          <w:sz w:val="21"/>
          <w:szCs w:val="21"/>
          <w:lang w:eastAsia="zh-CN"/>
        </w:rPr>
        <w:t>甲方</w:t>
      </w:r>
      <w:r>
        <w:rPr>
          <w:rStyle w:val="29"/>
          <w:rFonts w:hint="eastAsia" w:asciiTheme="minorEastAsia" w:hAnsiTheme="minorEastAsia" w:eastAsiaTheme="minorEastAsia" w:cstheme="minorEastAsia"/>
          <w:sz w:val="21"/>
          <w:szCs w:val="21"/>
        </w:rPr>
        <w:t>与</w:t>
      </w:r>
      <w:r>
        <w:rPr>
          <w:rStyle w:val="29"/>
          <w:rFonts w:hint="eastAsia" w:asciiTheme="minorEastAsia" w:hAnsiTheme="minorEastAsia" w:eastAsiaTheme="minorEastAsia" w:cstheme="minorEastAsia"/>
          <w:sz w:val="21"/>
          <w:szCs w:val="21"/>
          <w:lang w:val="en-US" w:eastAsia="zh-CN"/>
        </w:rPr>
        <w:t>派驻的保安</w:t>
      </w:r>
      <w:r>
        <w:rPr>
          <w:rStyle w:val="29"/>
          <w:rFonts w:hint="eastAsia" w:asciiTheme="minorEastAsia" w:hAnsiTheme="minorEastAsia" w:eastAsiaTheme="minorEastAsia" w:cstheme="minorEastAsia"/>
          <w:sz w:val="21"/>
          <w:szCs w:val="21"/>
        </w:rPr>
        <w:t>人员没有任何</w:t>
      </w:r>
      <w:r>
        <w:rPr>
          <w:rStyle w:val="29"/>
          <w:rFonts w:hint="eastAsia" w:asciiTheme="minorEastAsia" w:hAnsiTheme="minorEastAsia" w:eastAsiaTheme="minorEastAsia" w:cstheme="minorEastAsia"/>
          <w:sz w:val="21"/>
          <w:szCs w:val="21"/>
          <w:lang w:val="en-US" w:eastAsia="zh-CN"/>
        </w:rPr>
        <w:t>劳动</w:t>
      </w:r>
      <w:r>
        <w:rPr>
          <w:rStyle w:val="29"/>
          <w:rFonts w:hint="eastAsia" w:asciiTheme="minorEastAsia" w:hAnsiTheme="minorEastAsia" w:eastAsiaTheme="minorEastAsia" w:cstheme="minorEastAsia"/>
          <w:sz w:val="21"/>
          <w:szCs w:val="21"/>
        </w:rPr>
        <w:t>关系</w:t>
      </w:r>
      <w:r>
        <w:rPr>
          <w:rStyle w:val="29"/>
          <w:rFonts w:hint="eastAsia" w:asciiTheme="minorEastAsia" w:hAnsiTheme="minorEastAsia" w:eastAsiaTheme="minorEastAsia" w:cstheme="minorEastAsia"/>
          <w:sz w:val="21"/>
          <w:szCs w:val="21"/>
          <w:lang w:val="en-US" w:eastAsia="zh-CN"/>
        </w:rPr>
        <w:t>或劳务关系</w:t>
      </w:r>
      <w:r>
        <w:rPr>
          <w:rStyle w:val="29"/>
          <w:rFonts w:hint="eastAsia" w:asciiTheme="minorEastAsia" w:hAnsiTheme="minorEastAsia" w:eastAsiaTheme="minorEastAsia" w:cstheme="minorEastAsia"/>
          <w:sz w:val="21"/>
          <w:szCs w:val="21"/>
        </w:rPr>
        <w:t>。乙方必须依据《劳动合同法》与保安</w:t>
      </w:r>
      <w:r>
        <w:rPr>
          <w:rStyle w:val="29"/>
          <w:rFonts w:hint="eastAsia" w:asciiTheme="minorEastAsia" w:hAnsiTheme="minorEastAsia" w:eastAsiaTheme="minorEastAsia" w:cstheme="minorEastAsia"/>
          <w:sz w:val="21"/>
          <w:szCs w:val="21"/>
          <w:lang w:val="en-US" w:eastAsia="zh-CN"/>
        </w:rPr>
        <w:t>人</w:t>
      </w:r>
      <w:r>
        <w:rPr>
          <w:rStyle w:val="29"/>
          <w:rFonts w:hint="eastAsia" w:asciiTheme="minorEastAsia" w:hAnsiTheme="minorEastAsia" w:eastAsiaTheme="minorEastAsia" w:cstheme="minorEastAsia"/>
          <w:sz w:val="21"/>
          <w:szCs w:val="21"/>
        </w:rPr>
        <w:t>员签订劳动合同，切实保障保安</w:t>
      </w:r>
      <w:r>
        <w:rPr>
          <w:rStyle w:val="29"/>
          <w:rFonts w:hint="eastAsia" w:asciiTheme="minorEastAsia" w:hAnsiTheme="minorEastAsia" w:eastAsiaTheme="minorEastAsia" w:cstheme="minorEastAsia"/>
          <w:sz w:val="21"/>
          <w:szCs w:val="21"/>
          <w:lang w:val="en-US" w:eastAsia="zh-CN"/>
        </w:rPr>
        <w:t>人</w:t>
      </w:r>
      <w:r>
        <w:rPr>
          <w:rStyle w:val="29"/>
          <w:rFonts w:hint="eastAsia" w:asciiTheme="minorEastAsia" w:hAnsiTheme="minorEastAsia" w:eastAsiaTheme="minorEastAsia" w:cstheme="minorEastAsia"/>
          <w:sz w:val="21"/>
          <w:szCs w:val="21"/>
        </w:rPr>
        <w:t>员的合法权益；并按照相关规定，按时支付给保安员相关的薪酬和福利、购买社会保险</w:t>
      </w:r>
      <w:r>
        <w:rPr>
          <w:rStyle w:val="29"/>
          <w:rFonts w:hint="eastAsia" w:asciiTheme="minorEastAsia" w:hAnsiTheme="minorEastAsia" w:eastAsiaTheme="minorEastAsia" w:cstheme="minorEastAsia"/>
          <w:sz w:val="21"/>
          <w:szCs w:val="21"/>
          <w:lang w:val="en-US" w:eastAsia="zh-CN"/>
        </w:rPr>
        <w:t>等</w:t>
      </w:r>
      <w:r>
        <w:rPr>
          <w:rStyle w:val="29"/>
          <w:rFonts w:hint="eastAsia" w:asciiTheme="minorEastAsia" w:hAnsiTheme="minorEastAsia" w:eastAsiaTheme="minorEastAsia" w:cstheme="minorEastAsia"/>
          <w:sz w:val="21"/>
          <w:szCs w:val="21"/>
        </w:rPr>
        <w:t>。如因乙方违反国家有关规定引起劳动争议或经济纠纷，一切均由乙方负责解决，甲方概不</w:t>
      </w:r>
      <w:r>
        <w:rPr>
          <w:rStyle w:val="29"/>
          <w:rFonts w:hint="eastAsia" w:asciiTheme="minorEastAsia" w:hAnsiTheme="minorEastAsia" w:eastAsiaTheme="minorEastAsia" w:cstheme="minorEastAsia"/>
          <w:sz w:val="21"/>
          <w:szCs w:val="21"/>
          <w:lang w:val="en-US" w:eastAsia="zh-CN"/>
        </w:rPr>
        <w:t>承担</w:t>
      </w:r>
      <w:r>
        <w:rPr>
          <w:rStyle w:val="29"/>
          <w:rFonts w:hint="eastAsia" w:asciiTheme="minorEastAsia" w:hAnsiTheme="minorEastAsia" w:eastAsiaTheme="minorEastAsia" w:cstheme="minorEastAsia"/>
          <w:sz w:val="21"/>
          <w:szCs w:val="21"/>
        </w:rPr>
        <w:t>任何责任。如甲方由此承担责任的，有权向乙方追偿。</w:t>
      </w:r>
    </w:p>
    <w:p w14:paraId="3499A65E">
      <w:pPr>
        <w:pStyle w:val="28"/>
        <w:keepNext w:val="0"/>
        <w:keepLines w:val="0"/>
        <w:pageBreakBefore w:val="0"/>
        <w:kinsoku/>
        <w:wordWrap w:val="0"/>
        <w:overflowPunct/>
        <w:topLinePunct w:val="0"/>
        <w:autoSpaceDE/>
        <w:autoSpaceDN/>
        <w:bidi w:val="0"/>
        <w:adjustRightInd w:val="0"/>
        <w:snapToGrid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sz w:val="21"/>
          <w:szCs w:val="21"/>
        </w:rPr>
      </w:pPr>
      <w:r>
        <w:rPr>
          <w:rStyle w:val="29"/>
          <w:rFonts w:hint="eastAsia" w:asciiTheme="minorEastAsia" w:hAnsiTheme="minorEastAsia" w:eastAsiaTheme="minorEastAsia" w:cstheme="minorEastAsia"/>
          <w:sz w:val="21"/>
          <w:szCs w:val="21"/>
        </w:rPr>
        <w:t>4.</w:t>
      </w:r>
      <w:r>
        <w:rPr>
          <w:rStyle w:val="29"/>
          <w:rFonts w:hint="eastAsia" w:asciiTheme="minorEastAsia" w:hAnsiTheme="minorEastAsia" w:eastAsiaTheme="minorEastAsia" w:cstheme="minorEastAsia"/>
          <w:sz w:val="21"/>
          <w:szCs w:val="21"/>
          <w:lang w:val="en-US" w:eastAsia="zh-CN"/>
        </w:rPr>
        <w:t>派驻的保安</w:t>
      </w:r>
      <w:r>
        <w:rPr>
          <w:rStyle w:val="29"/>
          <w:rFonts w:hint="eastAsia" w:asciiTheme="minorEastAsia" w:hAnsiTheme="minorEastAsia" w:eastAsiaTheme="minorEastAsia" w:cstheme="minorEastAsia"/>
          <w:sz w:val="21"/>
          <w:szCs w:val="21"/>
        </w:rPr>
        <w:t>人员如发生任何工伤或非工伤等事故，均由</w:t>
      </w:r>
      <w:r>
        <w:rPr>
          <w:rStyle w:val="29"/>
          <w:rFonts w:hint="eastAsia" w:asciiTheme="minorEastAsia" w:hAnsiTheme="minorEastAsia" w:eastAsiaTheme="minorEastAsia" w:cstheme="minorEastAsia"/>
          <w:sz w:val="21"/>
          <w:szCs w:val="21"/>
          <w:lang w:eastAsia="zh-CN"/>
        </w:rPr>
        <w:t>乙方</w:t>
      </w:r>
      <w:r>
        <w:rPr>
          <w:rStyle w:val="29"/>
          <w:rFonts w:hint="eastAsia" w:asciiTheme="minorEastAsia" w:hAnsiTheme="minorEastAsia" w:eastAsiaTheme="minorEastAsia" w:cstheme="minorEastAsia"/>
          <w:sz w:val="21"/>
          <w:szCs w:val="21"/>
        </w:rPr>
        <w:t>承担所有法律赔偿责任，与</w:t>
      </w:r>
      <w:r>
        <w:rPr>
          <w:rStyle w:val="29"/>
          <w:rFonts w:hint="eastAsia" w:asciiTheme="minorEastAsia" w:hAnsiTheme="minorEastAsia" w:eastAsiaTheme="minorEastAsia" w:cstheme="minorEastAsia"/>
          <w:sz w:val="21"/>
          <w:szCs w:val="21"/>
          <w:lang w:eastAsia="zh-CN"/>
        </w:rPr>
        <w:t>甲方</w:t>
      </w:r>
      <w:r>
        <w:rPr>
          <w:rStyle w:val="29"/>
          <w:rFonts w:hint="eastAsia" w:asciiTheme="minorEastAsia" w:hAnsiTheme="minorEastAsia" w:eastAsiaTheme="minorEastAsia" w:cstheme="minorEastAsia"/>
          <w:sz w:val="21"/>
          <w:szCs w:val="21"/>
        </w:rPr>
        <w:t>无关。</w:t>
      </w:r>
    </w:p>
    <w:p w14:paraId="4CD0D58E">
      <w:pPr>
        <w:pStyle w:val="28"/>
        <w:keepNext w:val="0"/>
        <w:keepLines w:val="0"/>
        <w:pageBreakBefore w:val="0"/>
        <w:kinsoku/>
        <w:wordWrap w:val="0"/>
        <w:overflowPunct/>
        <w:topLinePunct w:val="0"/>
        <w:autoSpaceDE/>
        <w:autoSpaceDN/>
        <w:bidi w:val="0"/>
        <w:adjustRightInd w:val="0"/>
        <w:snapToGrid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sz w:val="21"/>
          <w:szCs w:val="21"/>
        </w:rPr>
      </w:pPr>
      <w:r>
        <w:rPr>
          <w:rStyle w:val="29"/>
          <w:rFonts w:hint="eastAsia" w:asciiTheme="minorEastAsia" w:hAnsiTheme="minorEastAsia" w:eastAsiaTheme="minorEastAsia" w:cstheme="minorEastAsia"/>
          <w:sz w:val="21"/>
          <w:szCs w:val="21"/>
        </w:rPr>
        <w:t>5.</w:t>
      </w:r>
      <w:r>
        <w:rPr>
          <w:rStyle w:val="29"/>
          <w:rFonts w:hint="eastAsia" w:asciiTheme="minorEastAsia" w:hAnsiTheme="minorEastAsia" w:eastAsiaTheme="minorEastAsia" w:cstheme="minorEastAsia"/>
          <w:sz w:val="21"/>
          <w:szCs w:val="21"/>
          <w:lang w:val="en-US" w:eastAsia="zh-CN"/>
        </w:rPr>
        <w:t>派驻的保安</w:t>
      </w:r>
      <w:r>
        <w:rPr>
          <w:rStyle w:val="29"/>
          <w:rFonts w:hint="eastAsia" w:asciiTheme="minorEastAsia" w:hAnsiTheme="minorEastAsia" w:eastAsiaTheme="minorEastAsia" w:cstheme="minorEastAsia"/>
          <w:sz w:val="21"/>
          <w:szCs w:val="21"/>
        </w:rPr>
        <w:t>人员在安保服务中造成他人身伤亡、财产损失的，由</w:t>
      </w:r>
      <w:r>
        <w:rPr>
          <w:rStyle w:val="29"/>
          <w:rFonts w:hint="eastAsia" w:asciiTheme="minorEastAsia" w:hAnsiTheme="minorEastAsia" w:eastAsiaTheme="minorEastAsia" w:cstheme="minorEastAsia"/>
          <w:sz w:val="21"/>
          <w:szCs w:val="21"/>
          <w:lang w:eastAsia="zh-CN"/>
        </w:rPr>
        <w:t>乙方</w:t>
      </w:r>
      <w:r>
        <w:rPr>
          <w:rStyle w:val="29"/>
          <w:rFonts w:hint="eastAsia" w:asciiTheme="minorEastAsia" w:hAnsiTheme="minorEastAsia" w:eastAsiaTheme="minorEastAsia" w:cstheme="minorEastAsia"/>
          <w:sz w:val="21"/>
          <w:szCs w:val="21"/>
        </w:rPr>
        <w:t>承担赔偿责任。因</w:t>
      </w:r>
      <w:r>
        <w:rPr>
          <w:rStyle w:val="29"/>
          <w:rFonts w:hint="eastAsia" w:asciiTheme="minorEastAsia" w:hAnsiTheme="minorEastAsia" w:eastAsiaTheme="minorEastAsia" w:cstheme="minorEastAsia"/>
          <w:sz w:val="21"/>
          <w:szCs w:val="21"/>
          <w:lang w:val="en-US" w:eastAsia="zh-CN"/>
        </w:rPr>
        <w:t>保安</w:t>
      </w:r>
      <w:r>
        <w:rPr>
          <w:rStyle w:val="29"/>
          <w:rFonts w:hint="eastAsia" w:asciiTheme="minorEastAsia" w:hAnsiTheme="minorEastAsia" w:eastAsiaTheme="minorEastAsia" w:cstheme="minorEastAsia"/>
          <w:sz w:val="21"/>
          <w:szCs w:val="21"/>
        </w:rPr>
        <w:t>人员的失职、渎职致使</w:t>
      </w:r>
      <w:r>
        <w:rPr>
          <w:rStyle w:val="29"/>
          <w:rFonts w:hint="eastAsia" w:asciiTheme="minorEastAsia" w:hAnsiTheme="minorEastAsia" w:eastAsiaTheme="minorEastAsia" w:cstheme="minorEastAsia"/>
          <w:sz w:val="21"/>
          <w:szCs w:val="21"/>
          <w:lang w:eastAsia="zh-CN"/>
        </w:rPr>
        <w:t>甲方</w:t>
      </w:r>
      <w:r>
        <w:rPr>
          <w:rStyle w:val="29"/>
          <w:rFonts w:hint="eastAsia" w:asciiTheme="minorEastAsia" w:hAnsiTheme="minorEastAsia" w:eastAsiaTheme="minorEastAsia" w:cstheme="minorEastAsia"/>
          <w:sz w:val="21"/>
          <w:szCs w:val="21"/>
        </w:rPr>
        <w:t>承担赔偿责任的，</w:t>
      </w:r>
      <w:r>
        <w:rPr>
          <w:rStyle w:val="29"/>
          <w:rFonts w:hint="eastAsia" w:asciiTheme="minorEastAsia" w:hAnsiTheme="minorEastAsia" w:eastAsiaTheme="minorEastAsia" w:cstheme="minorEastAsia"/>
          <w:sz w:val="21"/>
          <w:szCs w:val="21"/>
          <w:lang w:eastAsia="zh-CN"/>
        </w:rPr>
        <w:t>甲方</w:t>
      </w:r>
      <w:r>
        <w:rPr>
          <w:rStyle w:val="29"/>
          <w:rFonts w:hint="eastAsia" w:asciiTheme="minorEastAsia" w:hAnsiTheme="minorEastAsia" w:eastAsiaTheme="minorEastAsia" w:cstheme="minorEastAsia"/>
          <w:sz w:val="21"/>
          <w:szCs w:val="21"/>
        </w:rPr>
        <w:t>有权向</w:t>
      </w:r>
      <w:r>
        <w:rPr>
          <w:rStyle w:val="29"/>
          <w:rFonts w:hint="eastAsia" w:asciiTheme="minorEastAsia" w:hAnsiTheme="minorEastAsia" w:eastAsiaTheme="minorEastAsia" w:cstheme="minorEastAsia"/>
          <w:sz w:val="21"/>
          <w:szCs w:val="21"/>
          <w:lang w:eastAsia="zh-CN"/>
        </w:rPr>
        <w:t>乙方</w:t>
      </w:r>
      <w:r>
        <w:rPr>
          <w:rStyle w:val="29"/>
          <w:rFonts w:hint="eastAsia" w:asciiTheme="minorEastAsia" w:hAnsiTheme="minorEastAsia" w:eastAsiaTheme="minorEastAsia" w:cstheme="minorEastAsia"/>
          <w:sz w:val="21"/>
          <w:szCs w:val="21"/>
        </w:rPr>
        <w:t>追偿所有经济损失，并终止合同。</w:t>
      </w:r>
    </w:p>
    <w:p w14:paraId="6E66FF98">
      <w:pPr>
        <w:pStyle w:val="28"/>
        <w:keepNext w:val="0"/>
        <w:keepLines w:val="0"/>
        <w:pageBreakBefore w:val="0"/>
        <w:kinsoku/>
        <w:wordWrap w:val="0"/>
        <w:overflowPunct/>
        <w:topLinePunct w:val="0"/>
        <w:autoSpaceDE/>
        <w:autoSpaceDN/>
        <w:bidi w:val="0"/>
        <w:adjustRightInd w:val="0"/>
        <w:snapToGrid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sz w:val="21"/>
          <w:szCs w:val="21"/>
        </w:rPr>
      </w:pPr>
      <w:r>
        <w:rPr>
          <w:rStyle w:val="29"/>
          <w:rFonts w:hint="eastAsia" w:asciiTheme="minorEastAsia" w:hAnsiTheme="minorEastAsia" w:eastAsiaTheme="minorEastAsia" w:cstheme="minorEastAsia"/>
          <w:sz w:val="21"/>
          <w:szCs w:val="21"/>
          <w:lang w:val="en-US" w:eastAsia="zh-CN"/>
        </w:rPr>
        <w:t>6.</w:t>
      </w:r>
      <w:r>
        <w:rPr>
          <w:rStyle w:val="29"/>
          <w:rFonts w:hint="eastAsia" w:asciiTheme="minorEastAsia" w:hAnsiTheme="minorEastAsia" w:eastAsiaTheme="minorEastAsia" w:cstheme="minorEastAsia"/>
          <w:sz w:val="21"/>
          <w:szCs w:val="21"/>
        </w:rPr>
        <w:t>在服务期内，如出现</w:t>
      </w:r>
      <w:r>
        <w:rPr>
          <w:rStyle w:val="29"/>
          <w:rFonts w:hint="eastAsia" w:asciiTheme="minorEastAsia" w:hAnsiTheme="minorEastAsia" w:eastAsiaTheme="minorEastAsia" w:cstheme="minorEastAsia"/>
          <w:sz w:val="21"/>
          <w:szCs w:val="21"/>
          <w:lang w:val="en-US" w:eastAsia="zh-CN"/>
        </w:rPr>
        <w:t>派驻的保安</w:t>
      </w:r>
      <w:r>
        <w:rPr>
          <w:rStyle w:val="29"/>
          <w:rFonts w:hint="eastAsia" w:asciiTheme="minorEastAsia" w:hAnsiTheme="minorEastAsia" w:eastAsiaTheme="minorEastAsia" w:cstheme="minorEastAsia"/>
          <w:sz w:val="21"/>
          <w:szCs w:val="21"/>
        </w:rPr>
        <w:t>人员人数增加或减少的，按</w:t>
      </w:r>
      <w:r>
        <w:rPr>
          <w:rStyle w:val="29"/>
          <w:rFonts w:hint="eastAsia" w:asciiTheme="minorEastAsia" w:hAnsiTheme="minorEastAsia" w:eastAsiaTheme="minorEastAsia" w:cstheme="minorEastAsia"/>
          <w:sz w:val="21"/>
          <w:szCs w:val="21"/>
          <w:lang w:eastAsia="zh-CN"/>
        </w:rPr>
        <w:t>乙方</w:t>
      </w:r>
      <w:r>
        <w:rPr>
          <w:rStyle w:val="29"/>
          <w:rFonts w:hint="eastAsia" w:asciiTheme="minorEastAsia" w:hAnsiTheme="minorEastAsia" w:eastAsiaTheme="minorEastAsia" w:cstheme="minorEastAsia"/>
          <w:sz w:val="21"/>
          <w:szCs w:val="21"/>
        </w:rPr>
        <w:t>中标明细价计算人员工资。增加</w:t>
      </w:r>
      <w:r>
        <w:rPr>
          <w:rStyle w:val="29"/>
          <w:rFonts w:hint="eastAsia" w:asciiTheme="minorEastAsia" w:hAnsiTheme="minorEastAsia" w:eastAsiaTheme="minorEastAsia" w:cstheme="minorEastAsia"/>
          <w:sz w:val="21"/>
          <w:szCs w:val="21"/>
          <w:lang w:val="en-US" w:eastAsia="zh-CN"/>
        </w:rPr>
        <w:t>保安</w:t>
      </w:r>
      <w:r>
        <w:rPr>
          <w:rStyle w:val="29"/>
          <w:rFonts w:hint="eastAsia" w:asciiTheme="minorEastAsia" w:hAnsiTheme="minorEastAsia" w:eastAsiaTheme="minorEastAsia" w:cstheme="minorEastAsia"/>
          <w:sz w:val="21"/>
          <w:szCs w:val="21"/>
        </w:rPr>
        <w:t>人员时的服务费用：从确认到岗之日起算，按每人每日服务费标准和实际上岗时间计算。减少</w:t>
      </w:r>
      <w:r>
        <w:rPr>
          <w:rStyle w:val="29"/>
          <w:rFonts w:hint="eastAsia" w:asciiTheme="minorEastAsia" w:hAnsiTheme="minorEastAsia" w:eastAsiaTheme="minorEastAsia" w:cstheme="minorEastAsia"/>
          <w:sz w:val="21"/>
          <w:szCs w:val="21"/>
          <w:lang w:val="en-US" w:eastAsia="zh-CN"/>
        </w:rPr>
        <w:t>保安</w:t>
      </w:r>
      <w:r>
        <w:rPr>
          <w:rStyle w:val="29"/>
          <w:rFonts w:hint="eastAsia" w:asciiTheme="minorEastAsia" w:hAnsiTheme="minorEastAsia" w:eastAsiaTheme="minorEastAsia" w:cstheme="minorEastAsia"/>
          <w:sz w:val="21"/>
          <w:szCs w:val="21"/>
        </w:rPr>
        <w:t>人员时的服务费用：从确认离岗之日起算，按每人每日服务费标准和实际离岗时间计算，从当次的服务费中扣减。</w:t>
      </w:r>
    </w:p>
    <w:p w14:paraId="6ABBDCDA">
      <w:pPr>
        <w:pStyle w:val="28"/>
        <w:keepNext w:val="0"/>
        <w:keepLines w:val="0"/>
        <w:pageBreakBefore w:val="0"/>
        <w:kinsoku/>
        <w:wordWrap w:val="0"/>
        <w:overflowPunct/>
        <w:topLinePunct w:val="0"/>
        <w:autoSpaceDE/>
        <w:autoSpaceDN/>
        <w:bidi w:val="0"/>
        <w:adjustRightInd w:val="0"/>
        <w:snapToGrid w:val="0"/>
        <w:spacing w:before="0" w:beforeAutospacing="0" w:after="0" w:afterAutospacing="0" w:line="600" w:lineRule="exact"/>
        <w:ind w:firstLine="422" w:firstLineChars="200"/>
        <w:textAlignment w:val="auto"/>
        <w:rPr>
          <w:rStyle w:val="29"/>
          <w:rFonts w:hint="eastAsia" w:asciiTheme="minorEastAsia" w:hAnsiTheme="minorEastAsia" w:eastAsiaTheme="minorEastAsia" w:cstheme="minorEastAsia"/>
          <w:b/>
          <w:bCs/>
          <w:sz w:val="21"/>
          <w:szCs w:val="21"/>
          <w:lang w:val="en-US" w:eastAsia="zh-CN"/>
        </w:rPr>
      </w:pPr>
      <w:r>
        <w:rPr>
          <w:rStyle w:val="29"/>
          <w:rFonts w:hint="eastAsia" w:asciiTheme="minorEastAsia" w:hAnsiTheme="minorEastAsia" w:eastAsiaTheme="minorEastAsia" w:cstheme="minorEastAsia"/>
          <w:b/>
          <w:bCs/>
          <w:sz w:val="21"/>
          <w:szCs w:val="21"/>
          <w:lang w:val="en-US" w:eastAsia="zh-CN"/>
        </w:rPr>
        <w:t>第八条  违约责任</w:t>
      </w:r>
    </w:p>
    <w:p w14:paraId="6F2D66AA">
      <w:pPr>
        <w:pStyle w:val="28"/>
        <w:keepNext w:val="0"/>
        <w:keepLines w:val="0"/>
        <w:pageBreakBefore w:val="0"/>
        <w:kinsoku/>
        <w:wordWrap w:val="0"/>
        <w:overflowPunct/>
        <w:topLinePunct w:val="0"/>
        <w:autoSpaceDE/>
        <w:autoSpaceDN/>
        <w:bidi w:val="0"/>
        <w:adjustRightInd w:val="0"/>
        <w:snapToGrid w:val="0"/>
        <w:spacing w:before="0" w:beforeAutospacing="0" w:after="0" w:afterAutospacing="0" w:line="600" w:lineRule="exact"/>
        <w:ind w:firstLine="420" w:firstLineChars="200"/>
        <w:textAlignment w:val="auto"/>
        <w:rPr>
          <w:rFonts w:hint="eastAsia" w:asciiTheme="minorEastAsia" w:hAnsiTheme="minorEastAsia" w:eastAsiaTheme="minorEastAsia" w:cstheme="minorEastAsia"/>
          <w:b w:val="0"/>
          <w:bCs w:val="0"/>
          <w:kern w:val="2"/>
          <w:sz w:val="21"/>
          <w:szCs w:val="21"/>
          <w:highlight w:val="none"/>
        </w:rPr>
      </w:pPr>
      <w:r>
        <w:rPr>
          <w:rFonts w:hint="eastAsia" w:asciiTheme="minorEastAsia" w:hAnsiTheme="minorEastAsia" w:eastAsiaTheme="minorEastAsia" w:cstheme="minorEastAsia"/>
          <w:b w:val="0"/>
          <w:bCs w:val="0"/>
          <w:kern w:val="2"/>
          <w:sz w:val="21"/>
          <w:szCs w:val="21"/>
          <w:highlight w:val="none"/>
        </w:rPr>
        <w:t>1.除法定解除或本合同约定可解除合同的情形外，在合同有效期内</w:t>
      </w:r>
      <w:r>
        <w:rPr>
          <w:rFonts w:hint="eastAsia" w:asciiTheme="minorEastAsia" w:hAnsiTheme="minorEastAsia" w:eastAsiaTheme="minorEastAsia" w:cstheme="minorEastAsia"/>
          <w:b w:val="0"/>
          <w:bCs w:val="0"/>
          <w:kern w:val="2"/>
          <w:sz w:val="21"/>
          <w:szCs w:val="21"/>
          <w:highlight w:val="none"/>
          <w:lang w:val="en-US" w:eastAsia="zh-CN"/>
        </w:rPr>
        <w:t>任</w:t>
      </w:r>
      <w:r>
        <w:rPr>
          <w:rFonts w:hint="eastAsia" w:asciiTheme="minorEastAsia" w:hAnsiTheme="minorEastAsia" w:eastAsiaTheme="minorEastAsia" w:cstheme="minorEastAsia"/>
          <w:b w:val="0"/>
          <w:bCs w:val="0"/>
          <w:kern w:val="2"/>
          <w:sz w:val="21"/>
          <w:szCs w:val="21"/>
          <w:highlight w:val="none"/>
        </w:rPr>
        <w:t>一方无故单方终止本合同的，须向对方支付</w:t>
      </w:r>
      <w:r>
        <w:rPr>
          <w:rFonts w:hint="eastAsia" w:asciiTheme="minorEastAsia" w:hAnsiTheme="minorEastAsia" w:eastAsiaTheme="minorEastAsia" w:cstheme="minorEastAsia"/>
          <w:b w:val="0"/>
          <w:bCs w:val="0"/>
          <w:color w:val="auto"/>
          <w:kern w:val="2"/>
          <w:sz w:val="21"/>
          <w:szCs w:val="21"/>
          <w:highlight w:val="none"/>
          <w:u w:val="single"/>
          <w:lang w:eastAsia="zh-CN"/>
        </w:rPr>
        <w:t xml:space="preserve"> </w:t>
      </w:r>
      <w:r>
        <w:rPr>
          <w:rFonts w:hint="eastAsia" w:asciiTheme="minorEastAsia" w:hAnsiTheme="minorEastAsia" w:eastAsiaTheme="minorEastAsia" w:cstheme="minorEastAsia"/>
          <w:b w:val="0"/>
          <w:bCs w:val="0"/>
          <w:color w:val="auto"/>
          <w:kern w:val="2"/>
          <w:sz w:val="21"/>
          <w:szCs w:val="21"/>
          <w:highlight w:val="none"/>
          <w:u w:val="single"/>
          <w:lang w:val="en-US" w:eastAsia="zh-CN"/>
        </w:rPr>
        <w:t xml:space="preserve">6 </w:t>
      </w:r>
      <w:r>
        <w:rPr>
          <w:rFonts w:hint="eastAsia" w:asciiTheme="minorEastAsia" w:hAnsiTheme="minorEastAsia" w:eastAsiaTheme="minorEastAsia" w:cstheme="minorEastAsia"/>
          <w:b w:val="0"/>
          <w:bCs w:val="0"/>
          <w:color w:val="auto"/>
          <w:kern w:val="2"/>
          <w:sz w:val="21"/>
          <w:szCs w:val="21"/>
          <w:highlight w:val="none"/>
        </w:rPr>
        <w:t>个月</w:t>
      </w:r>
      <w:r>
        <w:rPr>
          <w:rFonts w:hint="eastAsia" w:asciiTheme="minorEastAsia" w:hAnsiTheme="minorEastAsia" w:eastAsiaTheme="minorEastAsia" w:cstheme="minorEastAsia"/>
          <w:b w:val="0"/>
          <w:bCs w:val="0"/>
          <w:kern w:val="2"/>
          <w:sz w:val="21"/>
          <w:szCs w:val="21"/>
          <w:highlight w:val="none"/>
        </w:rPr>
        <w:t>的服务费用作为违约金。</w:t>
      </w:r>
    </w:p>
    <w:p w14:paraId="5B08C0BA">
      <w:pPr>
        <w:pStyle w:val="28"/>
        <w:keepNext w:val="0"/>
        <w:keepLines w:val="0"/>
        <w:pageBreakBefore w:val="0"/>
        <w:kinsoku/>
        <w:wordWrap w:val="0"/>
        <w:overflowPunct/>
        <w:topLinePunct w:val="0"/>
        <w:autoSpaceDE/>
        <w:autoSpaceDN/>
        <w:bidi w:val="0"/>
        <w:adjustRightInd w:val="0"/>
        <w:snapToGrid w:val="0"/>
        <w:spacing w:before="0" w:beforeAutospacing="0" w:after="0" w:afterAutospacing="0" w:line="600" w:lineRule="exact"/>
        <w:ind w:firstLine="420" w:firstLineChars="200"/>
        <w:textAlignment w:val="auto"/>
        <w:rPr>
          <w:rFonts w:hint="eastAsia" w:asciiTheme="minorEastAsia" w:hAnsiTheme="minorEastAsia" w:eastAsiaTheme="minorEastAsia" w:cstheme="minorEastAsia"/>
          <w:b w:val="0"/>
          <w:bCs w:val="0"/>
          <w:kern w:val="2"/>
          <w:sz w:val="21"/>
          <w:szCs w:val="21"/>
          <w:highlight w:val="none"/>
        </w:rPr>
      </w:pPr>
      <w:r>
        <w:rPr>
          <w:rFonts w:hint="eastAsia" w:asciiTheme="minorEastAsia" w:hAnsiTheme="minorEastAsia" w:eastAsiaTheme="minorEastAsia" w:cstheme="minorEastAsia"/>
          <w:b w:val="0"/>
          <w:bCs w:val="0"/>
          <w:kern w:val="2"/>
          <w:sz w:val="21"/>
          <w:szCs w:val="21"/>
          <w:highlight w:val="none"/>
        </w:rPr>
        <w:t>2.乙方保安</w:t>
      </w:r>
      <w:r>
        <w:rPr>
          <w:rFonts w:hint="eastAsia" w:asciiTheme="minorEastAsia" w:hAnsiTheme="minorEastAsia" w:eastAsiaTheme="minorEastAsia" w:cstheme="minorEastAsia"/>
          <w:b w:val="0"/>
          <w:bCs w:val="0"/>
          <w:kern w:val="2"/>
          <w:sz w:val="21"/>
          <w:szCs w:val="21"/>
          <w:highlight w:val="none"/>
          <w:lang w:val="en-US" w:eastAsia="zh-CN"/>
        </w:rPr>
        <w:t>人</w:t>
      </w:r>
      <w:r>
        <w:rPr>
          <w:rFonts w:hint="eastAsia" w:asciiTheme="minorEastAsia" w:hAnsiTheme="minorEastAsia" w:eastAsiaTheme="minorEastAsia" w:cstheme="minorEastAsia"/>
          <w:b w:val="0"/>
          <w:bCs w:val="0"/>
          <w:kern w:val="2"/>
          <w:sz w:val="21"/>
          <w:szCs w:val="21"/>
          <w:highlight w:val="none"/>
        </w:rPr>
        <w:t>员如有离职或超过一个月的伤病员，乙方最迟一周内补充离职人员的空缺，否则甲方扣除乙方当月服务费的</w:t>
      </w:r>
    </w:p>
    <w:p w14:paraId="400ADFE1">
      <w:pPr>
        <w:pStyle w:val="28"/>
        <w:keepNext w:val="0"/>
        <w:keepLines w:val="0"/>
        <w:pageBreakBefore w:val="0"/>
        <w:kinsoku/>
        <w:wordWrap w:val="0"/>
        <w:overflowPunct/>
        <w:topLinePunct w:val="0"/>
        <w:autoSpaceDE/>
        <w:autoSpaceDN/>
        <w:bidi w:val="0"/>
        <w:adjustRightInd w:val="0"/>
        <w:snapToGrid w:val="0"/>
        <w:spacing w:before="0" w:beforeAutospacing="0" w:after="0" w:afterAutospacing="0" w:line="600" w:lineRule="exact"/>
        <w:ind w:firstLine="0" w:firstLineChars="0"/>
        <w:textAlignment w:val="auto"/>
        <w:rPr>
          <w:rFonts w:hint="eastAsia" w:asciiTheme="minorEastAsia" w:hAnsiTheme="minorEastAsia" w:eastAsiaTheme="minorEastAsia" w:cstheme="minorEastAsia"/>
          <w:b w:val="0"/>
          <w:bCs w:val="0"/>
          <w:kern w:val="2"/>
          <w:sz w:val="21"/>
          <w:szCs w:val="21"/>
          <w:highlight w:val="none"/>
          <w:lang w:val="en-US" w:eastAsia="zh-CN"/>
        </w:rPr>
      </w:pPr>
      <w:r>
        <w:rPr>
          <w:rFonts w:hint="eastAsia" w:asciiTheme="minorEastAsia" w:hAnsiTheme="minorEastAsia" w:eastAsiaTheme="minorEastAsia" w:cstheme="minorEastAsia"/>
          <w:b w:val="0"/>
          <w:bCs w:val="0"/>
          <w:color w:val="auto"/>
          <w:kern w:val="2"/>
          <w:sz w:val="21"/>
          <w:szCs w:val="21"/>
          <w:highlight w:val="none"/>
          <w:u w:val="single"/>
          <w:lang w:val="en-US" w:eastAsia="zh-CN"/>
        </w:rPr>
        <w:t xml:space="preserve"> 20 </w:t>
      </w:r>
      <w:r>
        <w:rPr>
          <w:rFonts w:hint="eastAsia" w:asciiTheme="minorEastAsia" w:hAnsiTheme="minorEastAsia" w:eastAsiaTheme="minorEastAsia" w:cstheme="minorEastAsia"/>
          <w:b w:val="0"/>
          <w:bCs w:val="0"/>
          <w:color w:val="auto"/>
          <w:kern w:val="2"/>
          <w:sz w:val="21"/>
          <w:szCs w:val="21"/>
          <w:highlight w:val="none"/>
        </w:rPr>
        <w:t>%</w:t>
      </w:r>
      <w:r>
        <w:rPr>
          <w:rFonts w:hint="eastAsia" w:asciiTheme="minorEastAsia" w:hAnsiTheme="minorEastAsia" w:eastAsiaTheme="minorEastAsia" w:cstheme="minorEastAsia"/>
          <w:b w:val="0"/>
          <w:bCs w:val="0"/>
          <w:kern w:val="2"/>
          <w:sz w:val="21"/>
          <w:szCs w:val="21"/>
          <w:highlight w:val="none"/>
          <w:lang w:val="en-US" w:eastAsia="zh-CN"/>
        </w:rPr>
        <w:t>作为违约金</w:t>
      </w:r>
      <w:r>
        <w:rPr>
          <w:rFonts w:hint="eastAsia" w:asciiTheme="minorEastAsia" w:hAnsiTheme="minorEastAsia" w:eastAsiaTheme="minorEastAsia" w:cstheme="minorEastAsia"/>
          <w:b w:val="0"/>
          <w:bCs w:val="0"/>
          <w:kern w:val="2"/>
          <w:sz w:val="21"/>
          <w:szCs w:val="21"/>
          <w:highlight w:val="none"/>
        </w:rPr>
        <w:t>，如乙方在</w:t>
      </w:r>
      <w:r>
        <w:rPr>
          <w:rFonts w:hint="eastAsia" w:asciiTheme="minorEastAsia" w:hAnsiTheme="minorEastAsia" w:eastAsiaTheme="minorEastAsia" w:cstheme="minorEastAsia"/>
          <w:b w:val="0"/>
          <w:bCs w:val="0"/>
          <w:kern w:val="2"/>
          <w:sz w:val="21"/>
          <w:szCs w:val="21"/>
          <w:highlight w:val="none"/>
          <w:lang w:val="en-US" w:eastAsia="zh-CN"/>
        </w:rPr>
        <w:t>15</w:t>
      </w:r>
      <w:r>
        <w:rPr>
          <w:rFonts w:hint="eastAsia" w:asciiTheme="minorEastAsia" w:hAnsiTheme="minorEastAsia" w:eastAsiaTheme="minorEastAsia" w:cstheme="minorEastAsia"/>
          <w:b w:val="0"/>
          <w:bCs w:val="0"/>
          <w:kern w:val="2"/>
          <w:sz w:val="21"/>
          <w:szCs w:val="21"/>
          <w:highlight w:val="none"/>
        </w:rPr>
        <w:t>日内无法按甲方要求补充缺岗员工，甲方将扣除乙方当月服务费的</w:t>
      </w:r>
      <w:r>
        <w:rPr>
          <w:rFonts w:hint="eastAsia" w:asciiTheme="minorEastAsia" w:hAnsiTheme="minorEastAsia" w:eastAsiaTheme="minorEastAsia" w:cstheme="minorEastAsia"/>
          <w:b w:val="0"/>
          <w:bCs w:val="0"/>
          <w:color w:val="auto"/>
          <w:kern w:val="2"/>
          <w:sz w:val="21"/>
          <w:szCs w:val="21"/>
          <w:highlight w:val="none"/>
          <w:u w:val="single"/>
          <w:lang w:val="en-US" w:eastAsia="zh-CN"/>
        </w:rPr>
        <w:t xml:space="preserve"> 50 </w:t>
      </w:r>
      <w:r>
        <w:rPr>
          <w:rFonts w:hint="eastAsia" w:asciiTheme="minorEastAsia" w:hAnsiTheme="minorEastAsia" w:eastAsiaTheme="minorEastAsia" w:cstheme="minorEastAsia"/>
          <w:b w:val="0"/>
          <w:bCs w:val="0"/>
          <w:color w:val="auto"/>
          <w:kern w:val="2"/>
          <w:sz w:val="21"/>
          <w:szCs w:val="21"/>
          <w:highlight w:val="none"/>
        </w:rPr>
        <w:t>%</w:t>
      </w:r>
      <w:r>
        <w:rPr>
          <w:rFonts w:hint="eastAsia" w:asciiTheme="minorEastAsia" w:hAnsiTheme="minorEastAsia" w:eastAsiaTheme="minorEastAsia" w:cstheme="minorEastAsia"/>
          <w:b w:val="0"/>
          <w:bCs w:val="0"/>
          <w:kern w:val="2"/>
          <w:sz w:val="21"/>
          <w:szCs w:val="21"/>
          <w:highlight w:val="none"/>
          <w:lang w:val="en-US" w:eastAsia="zh-CN"/>
        </w:rPr>
        <w:t>作为违约金</w:t>
      </w:r>
      <w:r>
        <w:rPr>
          <w:rFonts w:hint="eastAsia" w:asciiTheme="minorEastAsia" w:hAnsiTheme="minorEastAsia" w:eastAsiaTheme="minorEastAsia" w:cstheme="minorEastAsia"/>
          <w:b w:val="0"/>
          <w:bCs w:val="0"/>
          <w:kern w:val="2"/>
          <w:sz w:val="21"/>
          <w:szCs w:val="21"/>
          <w:highlight w:val="none"/>
        </w:rPr>
        <w:t>。</w:t>
      </w:r>
      <w:r>
        <w:rPr>
          <w:rFonts w:hint="eastAsia" w:asciiTheme="minorEastAsia" w:hAnsiTheme="minorEastAsia" w:eastAsiaTheme="minorEastAsia" w:cstheme="minorEastAsia"/>
          <w:b w:val="0"/>
          <w:bCs w:val="0"/>
          <w:kern w:val="2"/>
          <w:sz w:val="21"/>
          <w:szCs w:val="21"/>
          <w:highlight w:val="none"/>
          <w:lang w:val="en-US" w:eastAsia="zh-CN"/>
        </w:rPr>
        <w:t>超过30日的，甲方有权解除合同。</w:t>
      </w:r>
    </w:p>
    <w:p w14:paraId="6EC9E9D3">
      <w:pPr>
        <w:pStyle w:val="28"/>
        <w:keepNext w:val="0"/>
        <w:keepLines w:val="0"/>
        <w:pageBreakBefore w:val="0"/>
        <w:kinsoku/>
        <w:wordWrap w:val="0"/>
        <w:overflowPunct/>
        <w:topLinePunct w:val="0"/>
        <w:autoSpaceDE/>
        <w:autoSpaceDN/>
        <w:bidi w:val="0"/>
        <w:adjustRightInd w:val="0"/>
        <w:snapToGrid w:val="0"/>
        <w:spacing w:before="0" w:beforeAutospacing="0" w:after="0" w:afterAutospacing="0" w:line="600" w:lineRule="exact"/>
        <w:ind w:firstLine="420" w:firstLineChars="200"/>
        <w:textAlignment w:val="auto"/>
        <w:rPr>
          <w:rFonts w:hint="eastAsia" w:asciiTheme="minorEastAsia" w:hAnsiTheme="minorEastAsia" w:eastAsiaTheme="minorEastAsia" w:cstheme="minorEastAsia"/>
          <w:b w:val="0"/>
          <w:bCs w:val="0"/>
          <w:kern w:val="2"/>
          <w:sz w:val="21"/>
          <w:szCs w:val="21"/>
          <w:highlight w:val="none"/>
        </w:rPr>
      </w:pPr>
      <w:r>
        <w:rPr>
          <w:rFonts w:hint="eastAsia" w:asciiTheme="minorEastAsia" w:hAnsiTheme="minorEastAsia" w:eastAsiaTheme="minorEastAsia" w:cstheme="minorEastAsia"/>
          <w:b w:val="0"/>
          <w:bCs w:val="0"/>
          <w:kern w:val="2"/>
          <w:sz w:val="21"/>
          <w:szCs w:val="21"/>
          <w:highlight w:val="none"/>
        </w:rPr>
        <w:t>3</w:t>
      </w:r>
      <w:r>
        <w:rPr>
          <w:rFonts w:hint="eastAsia" w:asciiTheme="minorEastAsia" w:hAnsiTheme="minorEastAsia" w:eastAsiaTheme="minorEastAsia" w:cstheme="minorEastAsia"/>
          <w:b w:val="0"/>
          <w:bCs w:val="0"/>
          <w:kern w:val="2"/>
          <w:sz w:val="21"/>
          <w:szCs w:val="21"/>
          <w:highlight w:val="none"/>
          <w:lang w:eastAsia="zh-CN"/>
        </w:rPr>
        <w:t>.</w:t>
      </w:r>
      <w:r>
        <w:rPr>
          <w:rFonts w:hint="eastAsia" w:asciiTheme="minorEastAsia" w:hAnsiTheme="minorEastAsia" w:eastAsiaTheme="minorEastAsia" w:cstheme="minorEastAsia"/>
          <w:b w:val="0"/>
          <w:bCs w:val="0"/>
          <w:kern w:val="2"/>
          <w:sz w:val="21"/>
          <w:szCs w:val="21"/>
          <w:highlight w:val="none"/>
        </w:rPr>
        <w:t>甲方有权对乙方保安</w:t>
      </w:r>
      <w:r>
        <w:rPr>
          <w:rFonts w:hint="eastAsia" w:asciiTheme="minorEastAsia" w:hAnsiTheme="minorEastAsia" w:eastAsiaTheme="minorEastAsia" w:cstheme="minorEastAsia"/>
          <w:b w:val="0"/>
          <w:bCs w:val="0"/>
          <w:kern w:val="2"/>
          <w:sz w:val="21"/>
          <w:szCs w:val="21"/>
          <w:highlight w:val="none"/>
          <w:lang w:val="en-US" w:eastAsia="zh-CN"/>
        </w:rPr>
        <w:t>人</w:t>
      </w:r>
      <w:r>
        <w:rPr>
          <w:rFonts w:hint="eastAsia" w:asciiTheme="minorEastAsia" w:hAnsiTheme="minorEastAsia" w:eastAsiaTheme="minorEastAsia" w:cstheme="minorEastAsia"/>
          <w:b w:val="0"/>
          <w:bCs w:val="0"/>
          <w:kern w:val="2"/>
          <w:sz w:val="21"/>
          <w:szCs w:val="21"/>
          <w:highlight w:val="none"/>
        </w:rPr>
        <w:t>员的服务质量进行考核，提出改进的要求，对不符合甲方考核标准的乙方保安</w:t>
      </w:r>
      <w:r>
        <w:rPr>
          <w:rFonts w:hint="eastAsia" w:asciiTheme="minorEastAsia" w:hAnsiTheme="minorEastAsia" w:eastAsiaTheme="minorEastAsia" w:cstheme="minorEastAsia"/>
          <w:b w:val="0"/>
          <w:bCs w:val="0"/>
          <w:kern w:val="2"/>
          <w:sz w:val="21"/>
          <w:szCs w:val="21"/>
          <w:highlight w:val="none"/>
          <w:lang w:val="en-US" w:eastAsia="zh-CN"/>
        </w:rPr>
        <w:t>人</w:t>
      </w:r>
      <w:r>
        <w:rPr>
          <w:rFonts w:hint="eastAsia" w:asciiTheme="minorEastAsia" w:hAnsiTheme="minorEastAsia" w:eastAsiaTheme="minorEastAsia" w:cstheme="minorEastAsia"/>
          <w:b w:val="0"/>
          <w:bCs w:val="0"/>
          <w:kern w:val="2"/>
          <w:sz w:val="21"/>
          <w:szCs w:val="21"/>
          <w:highlight w:val="none"/>
        </w:rPr>
        <w:t>员，甲方有权退回乙方。乙方应在3个工作日内予以撤换并重新安排人员到岗。</w:t>
      </w:r>
    </w:p>
    <w:p w14:paraId="31006026">
      <w:pPr>
        <w:pStyle w:val="28"/>
        <w:keepNext w:val="0"/>
        <w:keepLines w:val="0"/>
        <w:pageBreakBefore w:val="0"/>
        <w:kinsoku/>
        <w:wordWrap w:val="0"/>
        <w:overflowPunct/>
        <w:topLinePunct w:val="0"/>
        <w:autoSpaceDE/>
        <w:autoSpaceDN/>
        <w:bidi w:val="0"/>
        <w:adjustRightInd w:val="0"/>
        <w:snapToGrid w:val="0"/>
        <w:spacing w:before="0" w:beforeAutospacing="0" w:after="0" w:afterAutospacing="0" w:line="600" w:lineRule="exact"/>
        <w:ind w:firstLine="420" w:firstLineChars="200"/>
        <w:textAlignment w:val="auto"/>
        <w:rPr>
          <w:rFonts w:hint="eastAsia" w:asciiTheme="minorEastAsia" w:hAnsiTheme="minorEastAsia" w:eastAsiaTheme="minorEastAsia" w:cstheme="minorEastAsia"/>
          <w:b w:val="0"/>
          <w:bCs w:val="0"/>
          <w:kern w:val="2"/>
          <w:sz w:val="21"/>
          <w:szCs w:val="21"/>
          <w:highlight w:val="none"/>
        </w:rPr>
      </w:pPr>
      <w:r>
        <w:rPr>
          <w:rFonts w:hint="eastAsia" w:asciiTheme="minorEastAsia" w:hAnsiTheme="minorEastAsia" w:eastAsiaTheme="minorEastAsia" w:cstheme="minorEastAsia"/>
          <w:b w:val="0"/>
          <w:bCs w:val="0"/>
          <w:kern w:val="2"/>
          <w:sz w:val="21"/>
          <w:szCs w:val="21"/>
          <w:highlight w:val="none"/>
          <w:lang w:val="en-US" w:eastAsia="zh-CN"/>
        </w:rPr>
        <w:t>4</w:t>
      </w:r>
      <w:r>
        <w:rPr>
          <w:rFonts w:hint="eastAsia" w:asciiTheme="minorEastAsia" w:hAnsiTheme="minorEastAsia" w:eastAsiaTheme="minorEastAsia" w:cstheme="minorEastAsia"/>
          <w:b w:val="0"/>
          <w:bCs w:val="0"/>
          <w:kern w:val="2"/>
          <w:sz w:val="21"/>
          <w:szCs w:val="21"/>
          <w:highlight w:val="none"/>
        </w:rPr>
        <w:t>.乙方保证在本合同履行期间，始终具有相应资质，具有有效法人资格，按期通过相关年检，否则甲方有权即时终止合同，要求乙方承担相关法律责任并赔偿甲方损失。</w:t>
      </w:r>
    </w:p>
    <w:p w14:paraId="527BF05C">
      <w:pPr>
        <w:pStyle w:val="28"/>
        <w:keepNext w:val="0"/>
        <w:keepLines w:val="0"/>
        <w:pageBreakBefore w:val="0"/>
        <w:kinsoku/>
        <w:wordWrap w:val="0"/>
        <w:overflowPunct/>
        <w:topLinePunct w:val="0"/>
        <w:autoSpaceDE/>
        <w:autoSpaceDN/>
        <w:bidi w:val="0"/>
        <w:adjustRightInd w:val="0"/>
        <w:snapToGrid w:val="0"/>
        <w:spacing w:before="0" w:beforeAutospacing="0" w:after="0" w:afterAutospacing="0" w:line="600" w:lineRule="exact"/>
        <w:ind w:firstLine="420" w:firstLineChars="200"/>
        <w:textAlignment w:val="auto"/>
        <w:rPr>
          <w:rStyle w:val="25"/>
          <w:rFonts w:hint="eastAsia" w:asciiTheme="minorEastAsia" w:hAnsiTheme="minorEastAsia" w:eastAsiaTheme="minorEastAsia" w:cstheme="minorEastAsia"/>
          <w:bCs w:val="0"/>
          <w:kern w:val="2"/>
          <w:sz w:val="21"/>
          <w:szCs w:val="21"/>
          <w:highlight w:val="none"/>
          <w:lang w:val="en-US" w:eastAsia="zh-CN"/>
        </w:rPr>
      </w:pPr>
      <w:r>
        <w:rPr>
          <w:rFonts w:hint="eastAsia" w:asciiTheme="minorEastAsia" w:hAnsiTheme="minorEastAsia" w:eastAsiaTheme="minorEastAsia" w:cstheme="minorEastAsia"/>
          <w:b w:val="0"/>
          <w:bCs w:val="0"/>
          <w:kern w:val="2"/>
          <w:sz w:val="21"/>
          <w:szCs w:val="21"/>
          <w:highlight w:val="none"/>
          <w:lang w:val="en-US" w:eastAsia="zh-CN"/>
        </w:rPr>
        <w:t>5</w:t>
      </w:r>
      <w:r>
        <w:rPr>
          <w:rFonts w:hint="eastAsia" w:asciiTheme="minorEastAsia" w:hAnsiTheme="minorEastAsia" w:eastAsiaTheme="minorEastAsia" w:cstheme="minorEastAsia"/>
          <w:b w:val="0"/>
          <w:bCs w:val="0"/>
          <w:kern w:val="2"/>
          <w:sz w:val="21"/>
          <w:szCs w:val="21"/>
          <w:highlight w:val="none"/>
        </w:rPr>
        <w:t>.</w:t>
      </w:r>
      <w:r>
        <w:rPr>
          <w:rFonts w:hint="eastAsia" w:asciiTheme="minorEastAsia" w:hAnsiTheme="minorEastAsia" w:eastAsiaTheme="minorEastAsia" w:cstheme="minorEastAsia"/>
          <w:b w:val="0"/>
          <w:bCs w:val="0"/>
          <w:kern w:val="2"/>
          <w:sz w:val="21"/>
          <w:szCs w:val="21"/>
          <w:highlight w:val="none"/>
          <w:lang w:val="en-US" w:eastAsia="zh-CN"/>
        </w:rPr>
        <w:t>任</w:t>
      </w:r>
      <w:r>
        <w:rPr>
          <w:rFonts w:hint="eastAsia" w:asciiTheme="minorEastAsia" w:hAnsiTheme="minorEastAsia" w:eastAsiaTheme="minorEastAsia" w:cstheme="minorEastAsia"/>
          <w:b w:val="0"/>
          <w:bCs w:val="0"/>
          <w:kern w:val="2"/>
          <w:sz w:val="21"/>
          <w:szCs w:val="21"/>
          <w:highlight w:val="none"/>
        </w:rPr>
        <w:t>一方违约的，除应按本合同的约定承担违约责任外，违约方还应赔偿守约方为纠正该等违约而采取法律行动时所支出的合理费用，包括但不限于诉讼费、律师费、鉴定费、公证费、差旅费等。</w:t>
      </w:r>
    </w:p>
    <w:p w14:paraId="22BF8465">
      <w:pPr>
        <w:keepNext w:val="0"/>
        <w:keepLines w:val="0"/>
        <w:pageBreakBefore w:val="0"/>
        <w:widowControl w:val="0"/>
        <w:kinsoku/>
        <w:wordWrap w:val="0"/>
        <w:overflowPunct/>
        <w:topLinePunct w:val="0"/>
        <w:autoSpaceDE/>
        <w:autoSpaceDN/>
        <w:bidi w:val="0"/>
        <w:adjustRightInd w:val="0"/>
        <w:snapToGrid w:val="0"/>
        <w:spacing w:line="600" w:lineRule="exact"/>
        <w:ind w:firstLine="422" w:firstLineChars="200"/>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第九条  知识产权与商业秘密</w:t>
      </w:r>
    </w:p>
    <w:p w14:paraId="5E168592">
      <w:pPr>
        <w:keepNext w:val="0"/>
        <w:keepLines w:val="0"/>
        <w:pageBreakBefore w:val="0"/>
        <w:widowControl w:val="0"/>
        <w:kinsoku/>
        <w:wordWrap w:val="0"/>
        <w:overflowPunct/>
        <w:topLinePunct w:val="0"/>
        <w:autoSpaceDE/>
        <w:autoSpaceDN/>
        <w:bidi w:val="0"/>
        <w:adjustRightInd w:val="0"/>
        <w:snapToGrid w:val="0"/>
        <w:spacing w:line="600" w:lineRule="exact"/>
        <w:ind w:firstLine="420" w:firstLineChars="200"/>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1.</w:t>
      </w:r>
      <w:r>
        <w:rPr>
          <w:rFonts w:hint="eastAsia" w:asciiTheme="minorEastAsia" w:hAnsiTheme="minorEastAsia" w:eastAsiaTheme="minorEastAsia" w:cstheme="minorEastAsia"/>
          <w:bCs w:val="0"/>
          <w:sz w:val="21"/>
          <w:szCs w:val="21"/>
          <w:highlight w:val="none"/>
        </w:rPr>
        <w:t>甲方提供的</w:t>
      </w:r>
      <w:r>
        <w:rPr>
          <w:rFonts w:hint="eastAsia" w:asciiTheme="minorEastAsia" w:hAnsiTheme="minorEastAsia" w:eastAsiaTheme="minorEastAsia" w:cstheme="minorEastAsia"/>
          <w:bCs w:val="0"/>
          <w:sz w:val="21"/>
          <w:szCs w:val="21"/>
          <w:highlight w:val="none"/>
          <w:lang w:eastAsia="zh-CN"/>
        </w:rPr>
        <w:t>任何与本项目相关的图文材料</w:t>
      </w:r>
      <w:r>
        <w:rPr>
          <w:rFonts w:hint="eastAsia" w:asciiTheme="minorEastAsia" w:hAnsiTheme="minorEastAsia" w:eastAsiaTheme="minorEastAsia" w:cstheme="minorEastAsia"/>
          <w:bCs w:val="0"/>
          <w:sz w:val="21"/>
          <w:szCs w:val="21"/>
          <w:highlight w:val="none"/>
        </w:rPr>
        <w:t>归甲方所有，乙方不得将其用于合同项目以外的其他目的或在向第三方提供</w:t>
      </w:r>
      <w:r>
        <w:rPr>
          <w:rFonts w:hint="eastAsia" w:asciiTheme="minorEastAsia" w:hAnsiTheme="minorEastAsia" w:eastAsiaTheme="minorEastAsia" w:cstheme="minorEastAsia"/>
          <w:bCs w:val="0"/>
          <w:sz w:val="21"/>
          <w:szCs w:val="21"/>
          <w:highlight w:val="none"/>
          <w:lang w:eastAsia="zh-CN"/>
        </w:rPr>
        <w:t>上述材料</w:t>
      </w:r>
      <w:r>
        <w:rPr>
          <w:rFonts w:hint="eastAsia" w:asciiTheme="minorEastAsia" w:hAnsiTheme="minorEastAsia" w:eastAsiaTheme="minorEastAsia" w:cstheme="minorEastAsia"/>
          <w:bCs w:val="0"/>
          <w:sz w:val="21"/>
          <w:szCs w:val="21"/>
          <w:highlight w:val="none"/>
        </w:rPr>
        <w:t>，否则乙方应另行承担侵权责任。</w:t>
      </w:r>
    </w:p>
    <w:p w14:paraId="553438AA">
      <w:pPr>
        <w:keepNext w:val="0"/>
        <w:keepLines w:val="0"/>
        <w:pageBreakBefore w:val="0"/>
        <w:widowControl w:val="0"/>
        <w:kinsoku/>
        <w:wordWrap w:val="0"/>
        <w:overflowPunct/>
        <w:topLinePunct w:val="0"/>
        <w:autoSpaceDE/>
        <w:autoSpaceDN/>
        <w:bidi w:val="0"/>
        <w:adjustRightInd w:val="0"/>
        <w:snapToGrid w:val="0"/>
        <w:spacing w:line="600" w:lineRule="exact"/>
        <w:ind w:firstLine="420" w:firstLineChars="200"/>
        <w:textAlignment w:val="auto"/>
        <w:rPr>
          <w:rFonts w:hint="eastAsia" w:asciiTheme="minorEastAsia" w:hAnsiTheme="minorEastAsia" w:eastAsiaTheme="minorEastAsia" w:cstheme="minorEastAsia"/>
          <w:b w:val="0"/>
          <w:bCs w:val="0"/>
          <w:sz w:val="21"/>
          <w:szCs w:val="21"/>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2.乙方在签订和履行本合同中知悉的</w:t>
      </w:r>
      <w:r>
        <w:rPr>
          <w:rFonts w:hint="eastAsia" w:asciiTheme="minorEastAsia" w:hAnsiTheme="minorEastAsia" w:eastAsiaTheme="minorEastAsia" w:cstheme="minorEastAsia"/>
          <w:bCs w:val="0"/>
          <w:sz w:val="21"/>
          <w:szCs w:val="21"/>
          <w:highlight w:val="none"/>
        </w:rPr>
        <w:t>甲方</w:t>
      </w:r>
      <w:r>
        <w:rPr>
          <w:rFonts w:hint="eastAsia" w:asciiTheme="minorEastAsia" w:hAnsiTheme="minorEastAsia" w:eastAsiaTheme="minorEastAsia" w:cstheme="minorEastAsia"/>
          <w:b w:val="0"/>
          <w:bCs w:val="0"/>
          <w:sz w:val="21"/>
          <w:szCs w:val="21"/>
          <w:highlight w:val="none"/>
          <w:lang w:val="en-US" w:eastAsia="zh-CN"/>
        </w:rPr>
        <w:t>的全部信息（包括技术信息和经营信息等）均为</w:t>
      </w:r>
      <w:r>
        <w:rPr>
          <w:rFonts w:hint="eastAsia" w:asciiTheme="minorEastAsia" w:hAnsiTheme="minorEastAsia" w:eastAsiaTheme="minorEastAsia" w:cstheme="minorEastAsia"/>
          <w:bCs w:val="0"/>
          <w:sz w:val="21"/>
          <w:szCs w:val="21"/>
          <w:highlight w:val="none"/>
        </w:rPr>
        <w:t>甲方</w:t>
      </w:r>
      <w:r>
        <w:rPr>
          <w:rFonts w:hint="eastAsia" w:asciiTheme="minorEastAsia" w:hAnsiTheme="minorEastAsia" w:eastAsiaTheme="minorEastAsia" w:cstheme="minorEastAsia"/>
          <w:b w:val="0"/>
          <w:bCs w:val="0"/>
          <w:sz w:val="21"/>
          <w:szCs w:val="21"/>
          <w:highlight w:val="none"/>
          <w:lang w:val="en-US" w:eastAsia="zh-CN"/>
        </w:rPr>
        <w:t>的商业秘密。除本合同规定之工作所需外，未经</w:t>
      </w:r>
      <w:r>
        <w:rPr>
          <w:rFonts w:hint="eastAsia" w:asciiTheme="minorEastAsia" w:hAnsiTheme="minorEastAsia" w:eastAsiaTheme="minorEastAsia" w:cstheme="minorEastAsia"/>
          <w:bCs w:val="0"/>
          <w:sz w:val="21"/>
          <w:szCs w:val="21"/>
          <w:highlight w:val="none"/>
        </w:rPr>
        <w:t>甲方</w:t>
      </w:r>
      <w:r>
        <w:rPr>
          <w:rFonts w:hint="eastAsia" w:asciiTheme="minorEastAsia" w:hAnsiTheme="minorEastAsia" w:eastAsiaTheme="minorEastAsia" w:cstheme="minorEastAsia"/>
          <w:b w:val="0"/>
          <w:bCs w:val="0"/>
          <w:sz w:val="21"/>
          <w:szCs w:val="21"/>
          <w:highlight w:val="none"/>
          <w:lang w:val="en-US" w:eastAsia="zh-CN"/>
        </w:rPr>
        <w:t>事先书面同意，乙方不得使用、披露甲方的商业秘密，不得擅自使用、复制甲方的商标、标志、商业信息、技术及其他资料，否则乙方应承担相应的侵权责任。</w:t>
      </w:r>
    </w:p>
    <w:p w14:paraId="2700D8E6">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600" w:lineRule="exact"/>
        <w:ind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val="0"/>
          <w:bCs w:val="0"/>
          <w:sz w:val="21"/>
          <w:szCs w:val="21"/>
          <w:highlight w:val="none"/>
          <w:lang w:val="en-US" w:eastAsia="zh-CN"/>
        </w:rPr>
        <w:t>3.</w:t>
      </w:r>
      <w:r>
        <w:rPr>
          <w:rFonts w:hint="eastAsia" w:asciiTheme="minorEastAsia" w:hAnsiTheme="minorEastAsia" w:eastAsiaTheme="minorEastAsia" w:cstheme="minorEastAsia"/>
          <w:color w:val="000000"/>
          <w:sz w:val="21"/>
          <w:szCs w:val="21"/>
        </w:rPr>
        <w:t>本</w:t>
      </w:r>
      <w:r>
        <w:rPr>
          <w:rFonts w:hint="eastAsia" w:asciiTheme="minorEastAsia" w:hAnsiTheme="minorEastAsia" w:eastAsiaTheme="minorEastAsia" w:cstheme="minorEastAsia"/>
          <w:color w:val="000000"/>
          <w:sz w:val="21"/>
          <w:szCs w:val="21"/>
          <w:lang w:eastAsia="zh-CN"/>
        </w:rPr>
        <w:t>合同</w:t>
      </w:r>
      <w:r>
        <w:rPr>
          <w:rFonts w:hint="eastAsia" w:asciiTheme="minorEastAsia" w:hAnsiTheme="minorEastAsia" w:eastAsiaTheme="minorEastAsia" w:cstheme="minorEastAsia"/>
          <w:color w:val="000000"/>
          <w:sz w:val="21"/>
          <w:szCs w:val="21"/>
        </w:rPr>
        <w:t>有效期内及终止后，本条款</w:t>
      </w:r>
      <w:r>
        <w:rPr>
          <w:rFonts w:hint="eastAsia" w:asciiTheme="minorEastAsia" w:hAnsiTheme="minorEastAsia" w:eastAsiaTheme="minorEastAsia" w:cstheme="minorEastAsia"/>
          <w:color w:val="000000"/>
          <w:sz w:val="21"/>
          <w:szCs w:val="21"/>
          <w:lang w:val="en-US" w:eastAsia="zh-CN"/>
        </w:rPr>
        <w:t>对乙方</w:t>
      </w:r>
      <w:r>
        <w:rPr>
          <w:rFonts w:hint="eastAsia" w:asciiTheme="minorEastAsia" w:hAnsiTheme="minorEastAsia" w:eastAsiaTheme="minorEastAsia" w:cstheme="minorEastAsia"/>
          <w:color w:val="000000"/>
          <w:sz w:val="21"/>
          <w:szCs w:val="21"/>
        </w:rPr>
        <w:t>仍具有法律效力。</w:t>
      </w:r>
    </w:p>
    <w:p w14:paraId="5F8B524D">
      <w:pPr>
        <w:keepNext w:val="0"/>
        <w:keepLines w:val="0"/>
        <w:pageBreakBefore w:val="0"/>
        <w:widowControl w:val="0"/>
        <w:kinsoku/>
        <w:wordWrap/>
        <w:overflowPunct/>
        <w:topLinePunct w:val="0"/>
        <w:autoSpaceDE/>
        <w:autoSpaceDN/>
        <w:bidi w:val="0"/>
        <w:adjustRightInd w:val="0"/>
        <w:snapToGrid w:val="0"/>
        <w:spacing w:line="600" w:lineRule="exact"/>
        <w:ind w:firstLine="422" w:firstLineChars="200"/>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第十条  不可抗力及免责</w:t>
      </w:r>
    </w:p>
    <w:p w14:paraId="1530AB67">
      <w:pPr>
        <w:keepNext w:val="0"/>
        <w:keepLines w:val="0"/>
        <w:pageBreakBefore w:val="0"/>
        <w:kinsoku/>
        <w:wordWrap w:val="0"/>
        <w:overflowPunct/>
        <w:topLinePunct w:val="0"/>
        <w:autoSpaceDE/>
        <w:autoSpaceDN/>
        <w:bidi w:val="0"/>
        <w:adjustRightInd w:val="0"/>
        <w:snapToGrid w:val="0"/>
        <w:spacing w:line="600" w:lineRule="exact"/>
        <w:ind w:firstLine="420" w:firstLineChars="200"/>
        <w:textAlignment w:val="auto"/>
        <w:rPr>
          <w:rFonts w:hint="eastAsia" w:asciiTheme="minorEastAsia" w:hAnsiTheme="minorEastAsia" w:eastAsiaTheme="minorEastAsia" w:cstheme="minorEastAsia"/>
          <w:bCs w:val="0"/>
          <w:sz w:val="21"/>
          <w:szCs w:val="21"/>
          <w:highlight w:val="none"/>
          <w:lang w:eastAsia="zh-CN"/>
        </w:rPr>
      </w:pPr>
      <w:r>
        <w:rPr>
          <w:rFonts w:hint="eastAsia" w:asciiTheme="minorEastAsia" w:hAnsiTheme="minorEastAsia" w:eastAsiaTheme="minorEastAsia" w:cstheme="minorEastAsia"/>
          <w:bCs w:val="0"/>
          <w:sz w:val="21"/>
          <w:szCs w:val="21"/>
          <w:highlight w:val="none"/>
          <w:lang w:val="en-US" w:eastAsia="zh-CN"/>
        </w:rPr>
        <w:t>1.</w:t>
      </w:r>
      <w:r>
        <w:rPr>
          <w:rFonts w:hint="eastAsia" w:asciiTheme="minorEastAsia" w:hAnsiTheme="minorEastAsia" w:eastAsiaTheme="minorEastAsia" w:cstheme="minorEastAsia"/>
          <w:bCs w:val="0"/>
          <w:sz w:val="21"/>
          <w:szCs w:val="21"/>
          <w:highlight w:val="none"/>
          <w:lang w:eastAsia="zh-CN"/>
        </w:rPr>
        <w:t>“不可抗力”是指本合同双方不能合理控制、不可预见或即使预见亦无法避免的事件，该事件妨碍、影响或延误任何一方根据本合同履行其全部或部分义务。不可抗力包括但不限于：自然原因的不可抗力，例如：地震、火灾、洪水、严重的传染性疾病等；国家机关原因的不可抗力：例如：法律、政策、行政指令、政府行为和国家政策发生根本性改变；其它不可抗力：战争、武装冲突、动乱等其他突发事件等。</w:t>
      </w:r>
    </w:p>
    <w:p w14:paraId="2AA3A91E">
      <w:pPr>
        <w:keepNext w:val="0"/>
        <w:keepLines w:val="0"/>
        <w:pageBreakBefore w:val="0"/>
        <w:kinsoku/>
        <w:wordWrap w:val="0"/>
        <w:overflowPunct/>
        <w:topLinePunct w:val="0"/>
        <w:autoSpaceDE/>
        <w:autoSpaceDN/>
        <w:bidi w:val="0"/>
        <w:adjustRightInd w:val="0"/>
        <w:snapToGrid w:val="0"/>
        <w:spacing w:line="600" w:lineRule="exact"/>
        <w:ind w:firstLine="420" w:firstLineChars="200"/>
        <w:textAlignment w:val="auto"/>
        <w:rPr>
          <w:rFonts w:hint="eastAsia" w:asciiTheme="minorEastAsia" w:hAnsiTheme="minorEastAsia" w:eastAsiaTheme="minorEastAsia" w:cstheme="minorEastAsia"/>
          <w:bCs w:val="0"/>
          <w:sz w:val="21"/>
          <w:szCs w:val="21"/>
          <w:highlight w:val="none"/>
          <w:lang w:eastAsia="zh-CN"/>
        </w:rPr>
      </w:pPr>
      <w:r>
        <w:rPr>
          <w:rFonts w:hint="eastAsia" w:asciiTheme="minorEastAsia" w:hAnsiTheme="minorEastAsia" w:eastAsiaTheme="minorEastAsia" w:cstheme="minorEastAsia"/>
          <w:bCs w:val="0"/>
          <w:sz w:val="21"/>
          <w:szCs w:val="21"/>
          <w:highlight w:val="none"/>
          <w:lang w:val="en-US" w:eastAsia="zh-CN"/>
        </w:rPr>
        <w:t>2.</w:t>
      </w:r>
      <w:r>
        <w:rPr>
          <w:rFonts w:hint="eastAsia" w:asciiTheme="minorEastAsia" w:hAnsiTheme="minorEastAsia" w:eastAsiaTheme="minorEastAsia" w:cstheme="minorEastAsia"/>
          <w:bCs w:val="0"/>
          <w:sz w:val="21"/>
          <w:szCs w:val="21"/>
          <w:highlight w:val="none"/>
          <w:lang w:eastAsia="zh-CN"/>
        </w:rPr>
        <w:t>任何一方由于不可抗力原因不能履行合同时，应在不可抗力事件结束后十五日内向对方通报，以减轻可能给对方造成的损失。在取得有关机构的不可抗力证明或双方谅解确认后，双方可根据不可抗力事件对履行合同影响的程度协商决定延期履行、变更合同或解除合同，并免于承担违约责任。</w:t>
      </w:r>
    </w:p>
    <w:p w14:paraId="0F1D2C89">
      <w:pPr>
        <w:keepNext w:val="0"/>
        <w:keepLines w:val="0"/>
        <w:pageBreakBefore w:val="0"/>
        <w:kinsoku/>
        <w:wordWrap w:val="0"/>
        <w:overflowPunct/>
        <w:topLinePunct w:val="0"/>
        <w:autoSpaceDE/>
        <w:autoSpaceDN/>
        <w:bidi w:val="0"/>
        <w:adjustRightInd w:val="0"/>
        <w:snapToGrid w:val="0"/>
        <w:spacing w:line="600" w:lineRule="exact"/>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Cs w:val="0"/>
          <w:sz w:val="21"/>
          <w:szCs w:val="21"/>
          <w:highlight w:val="none"/>
          <w:lang w:val="en-US" w:eastAsia="zh-CN"/>
        </w:rPr>
        <w:t>3.</w:t>
      </w:r>
      <w:r>
        <w:rPr>
          <w:rFonts w:hint="eastAsia" w:asciiTheme="minorEastAsia" w:hAnsiTheme="minorEastAsia" w:eastAsiaTheme="minorEastAsia" w:cstheme="minorEastAsia"/>
          <w:bCs w:val="0"/>
          <w:sz w:val="21"/>
          <w:szCs w:val="21"/>
          <w:highlight w:val="none"/>
        </w:rPr>
        <w:t>遭受不可抗力的一方未履行上述义务或不可抗力发生在一方违约前或违约后的，不能免除其违约责任。</w:t>
      </w:r>
    </w:p>
    <w:p w14:paraId="0099294D">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0" w:firstLine="422" w:firstLineChars="200"/>
        <w:textAlignment w:val="auto"/>
        <w:rPr>
          <w:rFonts w:hint="eastAsia" w:asciiTheme="minorEastAsia" w:hAnsiTheme="minorEastAsia" w:eastAsiaTheme="minorEastAsia" w:cstheme="minorEastAsia"/>
          <w:b/>
          <w:bCs/>
          <w:sz w:val="21"/>
          <w:szCs w:val="21"/>
          <w:highlight w:val="none"/>
          <w:lang w:val="en-US" w:eastAsia="zh-CN"/>
        </w:rPr>
      </w:pPr>
      <w:r>
        <w:rPr>
          <w:rStyle w:val="29"/>
          <w:rFonts w:hint="eastAsia" w:asciiTheme="minorEastAsia" w:hAnsiTheme="minorEastAsia" w:eastAsiaTheme="minorEastAsia" w:cstheme="minorEastAsia"/>
          <w:b/>
          <w:sz w:val="21"/>
          <w:szCs w:val="21"/>
          <w:lang w:eastAsia="zh-CN"/>
        </w:rPr>
        <w:t>第</w:t>
      </w:r>
      <w:r>
        <w:rPr>
          <w:rStyle w:val="29"/>
          <w:rFonts w:hint="eastAsia" w:asciiTheme="minorEastAsia" w:hAnsiTheme="minorEastAsia" w:eastAsiaTheme="minorEastAsia" w:cstheme="minorEastAsia"/>
          <w:b/>
          <w:sz w:val="21"/>
          <w:szCs w:val="21"/>
        </w:rPr>
        <w:t>十</w:t>
      </w:r>
      <w:r>
        <w:rPr>
          <w:rStyle w:val="29"/>
          <w:rFonts w:hint="eastAsia" w:asciiTheme="minorEastAsia" w:hAnsiTheme="minorEastAsia" w:eastAsiaTheme="minorEastAsia" w:cstheme="minorEastAsia"/>
          <w:b/>
          <w:sz w:val="21"/>
          <w:szCs w:val="21"/>
          <w:lang w:val="en-US" w:eastAsia="zh-CN"/>
        </w:rPr>
        <w:t>一</w:t>
      </w:r>
      <w:r>
        <w:rPr>
          <w:rStyle w:val="29"/>
          <w:rFonts w:hint="eastAsia" w:asciiTheme="minorEastAsia" w:hAnsiTheme="minorEastAsia" w:eastAsiaTheme="minorEastAsia" w:cstheme="minorEastAsia"/>
          <w:b/>
          <w:sz w:val="21"/>
          <w:szCs w:val="21"/>
          <w:lang w:eastAsia="zh-CN"/>
        </w:rPr>
        <w:t>条</w:t>
      </w:r>
      <w:r>
        <w:rPr>
          <w:rStyle w:val="29"/>
          <w:rFonts w:hint="eastAsia" w:asciiTheme="minorEastAsia" w:hAnsiTheme="minorEastAsia" w:eastAsiaTheme="minorEastAsia" w:cstheme="minorEastAsia"/>
          <w:b/>
          <w:sz w:val="21"/>
          <w:szCs w:val="21"/>
          <w:lang w:val="en-US" w:eastAsia="zh-CN"/>
        </w:rPr>
        <w:t xml:space="preserve">  </w:t>
      </w:r>
      <w:r>
        <w:rPr>
          <w:rFonts w:hint="eastAsia" w:asciiTheme="minorEastAsia" w:hAnsiTheme="minorEastAsia" w:eastAsiaTheme="minorEastAsia" w:cstheme="minorEastAsia"/>
          <w:b/>
          <w:bCs/>
          <w:sz w:val="21"/>
          <w:szCs w:val="21"/>
          <w:highlight w:val="none"/>
          <w:lang w:val="en-US" w:eastAsia="zh-CN"/>
        </w:rPr>
        <w:t>法律适用及争议解决</w:t>
      </w:r>
    </w:p>
    <w:p w14:paraId="04BF910E">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420" w:firstLineChars="200"/>
        <w:textAlignment w:val="auto"/>
        <w:rPr>
          <w:rStyle w:val="29"/>
          <w:rFonts w:hint="eastAsia" w:asciiTheme="minorEastAsia" w:hAnsiTheme="minorEastAsia" w:eastAsiaTheme="minorEastAsia" w:cstheme="minorEastAsia"/>
          <w:kern w:val="0"/>
          <w:sz w:val="21"/>
          <w:szCs w:val="21"/>
          <w:lang w:val="en-US" w:eastAsia="zh-CN" w:bidi="ar-SA"/>
        </w:rPr>
      </w:pPr>
      <w:r>
        <w:rPr>
          <w:rStyle w:val="29"/>
          <w:rFonts w:hint="eastAsia" w:asciiTheme="minorEastAsia" w:hAnsiTheme="minorEastAsia" w:eastAsiaTheme="minorEastAsia" w:cstheme="minorEastAsia"/>
          <w:kern w:val="0"/>
          <w:sz w:val="21"/>
          <w:szCs w:val="21"/>
          <w:lang w:val="en-US" w:eastAsia="zh-CN" w:bidi="ar-SA"/>
        </w:rPr>
        <w:t>1.本合同适用中华人民共和国法律，并不考虑法律冲突。</w:t>
      </w:r>
    </w:p>
    <w:p w14:paraId="703C97B5">
      <w:pPr>
        <w:pStyle w:val="31"/>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420" w:firstLineChars="200"/>
        <w:textAlignment w:val="auto"/>
        <w:rPr>
          <w:rStyle w:val="29"/>
          <w:rFonts w:hint="eastAsia" w:asciiTheme="minorEastAsia" w:hAnsiTheme="minorEastAsia" w:eastAsiaTheme="minorEastAsia" w:cstheme="minorEastAsia"/>
          <w:kern w:val="0"/>
          <w:sz w:val="21"/>
          <w:szCs w:val="21"/>
          <w:lang w:val="en-US" w:eastAsia="zh-CN" w:bidi="ar-SA"/>
        </w:rPr>
      </w:pPr>
      <w:r>
        <w:rPr>
          <w:rStyle w:val="29"/>
          <w:rFonts w:hint="eastAsia" w:asciiTheme="minorEastAsia" w:hAnsiTheme="minorEastAsia" w:eastAsiaTheme="minorEastAsia" w:cstheme="minorEastAsia"/>
          <w:kern w:val="0"/>
          <w:sz w:val="21"/>
          <w:szCs w:val="21"/>
          <w:lang w:val="en-US" w:eastAsia="zh-CN" w:bidi="ar-SA"/>
        </w:rPr>
        <w:t>2.双方约定，合同签订地为广州市越秀区。有关本合同的任何争议应由双方秉承善意友好协商解决。</w:t>
      </w:r>
      <w:r>
        <w:rPr>
          <w:rFonts w:hint="eastAsia" w:asciiTheme="minorEastAsia" w:hAnsiTheme="minorEastAsia" w:eastAsiaTheme="minorEastAsia" w:cstheme="minorEastAsia"/>
          <w:b w:val="0"/>
          <w:bCs w:val="0"/>
          <w:sz w:val="21"/>
          <w:szCs w:val="21"/>
        </w:rPr>
        <w:t>若</w:t>
      </w:r>
      <w:r>
        <w:rPr>
          <w:rFonts w:hint="eastAsia" w:asciiTheme="minorEastAsia" w:hAnsiTheme="minorEastAsia" w:eastAsiaTheme="minorEastAsia" w:cstheme="minorEastAsia"/>
          <w:b w:val="0"/>
          <w:bCs w:val="0"/>
          <w:sz w:val="21"/>
          <w:szCs w:val="21"/>
          <w:lang w:eastAsia="zh-CN"/>
        </w:rPr>
        <w:t>双方</w:t>
      </w:r>
      <w:r>
        <w:rPr>
          <w:rFonts w:hint="eastAsia" w:asciiTheme="minorEastAsia" w:hAnsiTheme="minorEastAsia" w:eastAsiaTheme="minorEastAsia" w:cstheme="minorEastAsia"/>
          <w:b w:val="0"/>
          <w:bCs w:val="0"/>
          <w:sz w:val="21"/>
          <w:szCs w:val="21"/>
        </w:rPr>
        <w:t>协商不成，</w:t>
      </w:r>
      <w:r>
        <w:rPr>
          <w:rFonts w:hint="eastAsia" w:asciiTheme="minorEastAsia" w:hAnsiTheme="minorEastAsia" w:eastAsiaTheme="minorEastAsia" w:cstheme="minorEastAsia"/>
          <w:b w:val="0"/>
          <w:bCs w:val="0"/>
          <w:sz w:val="21"/>
          <w:szCs w:val="21"/>
          <w:lang w:eastAsia="zh-CN"/>
        </w:rPr>
        <w:t>一方可</w:t>
      </w:r>
      <w:r>
        <w:rPr>
          <w:rStyle w:val="29"/>
          <w:rFonts w:hint="eastAsia" w:asciiTheme="minorEastAsia" w:hAnsiTheme="minorEastAsia" w:eastAsiaTheme="minorEastAsia" w:cstheme="minorEastAsia"/>
          <w:kern w:val="0"/>
          <w:sz w:val="21"/>
          <w:szCs w:val="21"/>
          <w:lang w:val="en-US" w:eastAsia="zh-CN" w:bidi="ar-SA"/>
        </w:rPr>
        <w:t>将争议提交合同签订地有管辖权的法院诉讼解决。</w:t>
      </w:r>
    </w:p>
    <w:p w14:paraId="5EF05580">
      <w:pPr>
        <w:keepNext w:val="0"/>
        <w:keepLines w:val="0"/>
        <w:pageBreakBefore w:val="0"/>
        <w:kinsoku/>
        <w:wordWrap/>
        <w:overflowPunct/>
        <w:topLinePunct w:val="0"/>
        <w:autoSpaceDE/>
        <w:autoSpaceDN/>
        <w:bidi w:val="0"/>
        <w:adjustRightInd/>
        <w:snapToGrid w:val="0"/>
        <w:spacing w:line="600" w:lineRule="exact"/>
        <w:ind w:firstLine="422" w:firstLineChars="200"/>
        <w:textAlignment w:val="auto"/>
        <w:rPr>
          <w:rFonts w:hint="eastAsia" w:asciiTheme="minorEastAsia" w:hAnsiTheme="minorEastAsia" w:eastAsiaTheme="minorEastAsia" w:cstheme="minorEastAsia"/>
          <w:b/>
          <w:sz w:val="21"/>
          <w:szCs w:val="21"/>
          <w:highlight w:val="none"/>
          <w:lang w:val="en-US" w:eastAsia="zh-CN"/>
        </w:rPr>
      </w:pPr>
      <w:r>
        <w:rPr>
          <w:rFonts w:hint="eastAsia" w:asciiTheme="minorEastAsia" w:hAnsiTheme="minorEastAsia" w:eastAsiaTheme="minorEastAsia" w:cstheme="minorEastAsia"/>
          <w:b/>
          <w:sz w:val="21"/>
          <w:szCs w:val="21"/>
          <w:highlight w:val="none"/>
          <w:lang w:val="en-US" w:eastAsia="zh-CN"/>
        </w:rPr>
        <w:t>第十二条  通知与送达</w:t>
      </w:r>
    </w:p>
    <w:p w14:paraId="19C823AC">
      <w:pPr>
        <w:pStyle w:val="31"/>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420" w:firstLineChars="200"/>
        <w:textAlignment w:val="auto"/>
        <w:rPr>
          <w:rStyle w:val="29"/>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Cs/>
          <w:sz w:val="21"/>
          <w:szCs w:val="21"/>
          <w:lang w:val="en-US" w:eastAsia="zh-CN"/>
        </w:rPr>
        <w:t>与本合同有关的通知、文件等均须采用书面形式发出，并由中国邮政特快专递（EMS）或专人送至本合同首页载明的通讯地址。EMS寄出第三日（无论对方签收与否）与对方签收日中较早的日期视为已送达日期。一方的地址如发生变更，应于变更后七天内通知对方，未通知或延迟通知的，由其承担法律后果。</w:t>
      </w:r>
    </w:p>
    <w:p w14:paraId="10AEA39F">
      <w:pPr>
        <w:pStyle w:val="28"/>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422" w:firstLineChars="200"/>
        <w:textAlignment w:val="auto"/>
        <w:rPr>
          <w:rStyle w:val="29"/>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highlight w:val="none"/>
          <w:lang w:val="en-US" w:eastAsia="zh-CN"/>
        </w:rPr>
        <w:t xml:space="preserve">第十三条  </w:t>
      </w:r>
      <w:r>
        <w:rPr>
          <w:rStyle w:val="29"/>
          <w:rFonts w:hint="eastAsia" w:asciiTheme="minorEastAsia" w:hAnsiTheme="minorEastAsia" w:eastAsiaTheme="minorEastAsia" w:cstheme="minorEastAsia"/>
          <w:b/>
          <w:sz w:val="21"/>
          <w:szCs w:val="21"/>
        </w:rPr>
        <w:t>其他</w:t>
      </w:r>
    </w:p>
    <w:p w14:paraId="77CAF3A4">
      <w:pPr>
        <w:pStyle w:val="28"/>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sz w:val="21"/>
          <w:szCs w:val="21"/>
        </w:rPr>
      </w:pPr>
      <w:r>
        <w:rPr>
          <w:rStyle w:val="29"/>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本合同经双方</w:t>
      </w:r>
      <w:r>
        <w:rPr>
          <w:rFonts w:hint="eastAsia" w:asciiTheme="minorEastAsia" w:hAnsiTheme="minorEastAsia" w:eastAsiaTheme="minorEastAsia" w:cstheme="minorEastAsia"/>
          <w:sz w:val="21"/>
          <w:szCs w:val="21"/>
          <w:lang w:val="en-US" w:eastAsia="zh-CN"/>
        </w:rPr>
        <w:t>法定代表人或授权代理人</w:t>
      </w:r>
      <w:r>
        <w:rPr>
          <w:rFonts w:hint="eastAsia" w:asciiTheme="minorEastAsia" w:hAnsiTheme="minorEastAsia" w:eastAsiaTheme="minorEastAsia" w:cstheme="minorEastAsia"/>
          <w:sz w:val="21"/>
          <w:szCs w:val="21"/>
          <w:lang w:eastAsia="zh-CN"/>
        </w:rPr>
        <w:t>签字并盖章之日起生效</w:t>
      </w:r>
      <w:r>
        <w:rPr>
          <w:rStyle w:val="29"/>
          <w:rFonts w:hint="eastAsia" w:asciiTheme="minorEastAsia" w:hAnsiTheme="minorEastAsia" w:eastAsiaTheme="minorEastAsia" w:cstheme="minorEastAsia"/>
          <w:sz w:val="21"/>
          <w:szCs w:val="21"/>
        </w:rPr>
        <w:t>。</w:t>
      </w:r>
    </w:p>
    <w:p w14:paraId="236EB254">
      <w:pPr>
        <w:pStyle w:val="28"/>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sz w:val="21"/>
          <w:szCs w:val="21"/>
        </w:rPr>
      </w:pPr>
      <w:r>
        <w:rPr>
          <w:rStyle w:val="29"/>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本合同共</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肆</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lang w:eastAsia="zh-CN"/>
        </w:rPr>
        <w:t>份,其中甲方执</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贰</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lang w:eastAsia="zh-CN"/>
        </w:rPr>
        <w:t>份，乙方执</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贰</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lang w:eastAsia="zh-CN"/>
        </w:rPr>
        <w:t>份，具有同等法律效力</w:t>
      </w:r>
      <w:r>
        <w:rPr>
          <w:rStyle w:val="29"/>
          <w:rFonts w:hint="eastAsia" w:asciiTheme="minorEastAsia" w:hAnsiTheme="minorEastAsia" w:eastAsiaTheme="minorEastAsia" w:cstheme="minorEastAsia"/>
          <w:sz w:val="21"/>
          <w:szCs w:val="21"/>
        </w:rPr>
        <w:t>。</w:t>
      </w:r>
    </w:p>
    <w:p w14:paraId="25913012">
      <w:pPr>
        <w:pStyle w:val="28"/>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sz w:val="21"/>
          <w:szCs w:val="21"/>
        </w:rPr>
      </w:pPr>
      <w:r>
        <w:rPr>
          <w:rStyle w:val="29"/>
          <w:rFonts w:hint="eastAsia" w:asciiTheme="minorEastAsia" w:hAnsiTheme="minorEastAsia" w:eastAsiaTheme="minorEastAsia" w:cstheme="minorEastAsia"/>
          <w:sz w:val="21"/>
          <w:szCs w:val="21"/>
          <w:lang w:val="en-US" w:eastAsia="zh-CN"/>
        </w:rPr>
        <w:t>3.</w:t>
      </w:r>
      <w:r>
        <w:rPr>
          <w:rStyle w:val="29"/>
          <w:rFonts w:hint="eastAsia" w:asciiTheme="minorEastAsia" w:hAnsiTheme="minorEastAsia" w:eastAsiaTheme="minorEastAsia" w:cstheme="minorEastAsia"/>
          <w:sz w:val="21"/>
          <w:szCs w:val="21"/>
          <w:lang w:eastAsia="zh-CN"/>
        </w:rPr>
        <w:t>在执行本合同的过程中，所有经双方签署确认的文件（包括会议纪要、补充协议、往来信函）即成为本合同的有效组成部分。本合同未尽事宜或任何一方就本合同的任何条款要求修改，须由双方签订书面补充协议。补充协议是本合同的组成部分，与本合同具有同等法律效力，不一致之处以补充协议为准。</w:t>
      </w:r>
    </w:p>
    <w:p w14:paraId="64356CB2">
      <w:pPr>
        <w:pStyle w:val="28"/>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sz w:val="21"/>
          <w:szCs w:val="21"/>
          <w:lang w:eastAsia="zh-CN"/>
        </w:rPr>
      </w:pPr>
      <w:r>
        <w:rPr>
          <w:rStyle w:val="29"/>
          <w:rFonts w:hint="eastAsia" w:asciiTheme="minorEastAsia" w:hAnsiTheme="minorEastAsia" w:eastAsiaTheme="minorEastAsia" w:cstheme="minorEastAsia"/>
          <w:sz w:val="21"/>
          <w:szCs w:val="21"/>
          <w:lang w:val="en-US" w:eastAsia="zh-CN"/>
        </w:rPr>
        <w:t>4.</w:t>
      </w:r>
      <w:r>
        <w:rPr>
          <w:rStyle w:val="29"/>
          <w:rFonts w:hint="eastAsia" w:asciiTheme="minorEastAsia" w:hAnsiTheme="minorEastAsia" w:eastAsiaTheme="minorEastAsia" w:cstheme="minorEastAsia"/>
          <w:sz w:val="21"/>
          <w:szCs w:val="21"/>
        </w:rPr>
        <w:t>以下附件均为本合同组成部分，与本合同具有同等法律效力。</w:t>
      </w:r>
      <w:r>
        <w:rPr>
          <w:rStyle w:val="29"/>
          <w:rFonts w:hint="eastAsia" w:asciiTheme="minorEastAsia" w:hAnsiTheme="minorEastAsia" w:eastAsiaTheme="minorEastAsia" w:cstheme="minorEastAsia"/>
          <w:sz w:val="21"/>
          <w:szCs w:val="21"/>
          <w:lang w:eastAsia="zh-CN"/>
        </w:rPr>
        <w:t>附件有：</w:t>
      </w:r>
    </w:p>
    <w:p w14:paraId="3FF82F14">
      <w:pPr>
        <w:pStyle w:val="28"/>
        <w:keepNext w:val="0"/>
        <w:keepLines w:val="0"/>
        <w:pageBreakBefore w:val="0"/>
        <w:kinsoku/>
        <w:overflowPunct/>
        <w:topLinePunct w:val="0"/>
        <w:autoSpaceDE/>
        <w:autoSpaceDN/>
        <w:bidi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color w:val="auto"/>
          <w:sz w:val="21"/>
          <w:szCs w:val="21"/>
          <w:lang w:val="en-US" w:eastAsia="zh-CN"/>
        </w:rPr>
      </w:pPr>
      <w:r>
        <w:rPr>
          <w:rStyle w:val="29"/>
          <w:rFonts w:hint="eastAsia" w:asciiTheme="minorEastAsia" w:hAnsiTheme="minorEastAsia" w:eastAsiaTheme="minorEastAsia" w:cstheme="minorEastAsia"/>
          <w:color w:val="auto"/>
          <w:sz w:val="21"/>
          <w:szCs w:val="21"/>
          <w:lang w:val="en-US" w:eastAsia="zh-CN"/>
        </w:rPr>
        <w:t>4.1 招标</w:t>
      </w:r>
      <w:r>
        <w:rPr>
          <w:rStyle w:val="29"/>
          <w:rFonts w:hint="eastAsia" w:asciiTheme="minorEastAsia" w:hAnsiTheme="minorEastAsia" w:eastAsiaTheme="minorEastAsia" w:cstheme="minorEastAsia"/>
          <w:color w:val="auto"/>
          <w:sz w:val="21"/>
          <w:szCs w:val="21"/>
        </w:rPr>
        <w:t>公告</w:t>
      </w:r>
      <w:r>
        <w:rPr>
          <w:rStyle w:val="29"/>
          <w:rFonts w:hint="eastAsia" w:asciiTheme="minorEastAsia" w:hAnsiTheme="minorEastAsia" w:eastAsiaTheme="minorEastAsia" w:cstheme="minorEastAsia"/>
          <w:color w:val="auto"/>
          <w:sz w:val="21"/>
          <w:szCs w:val="21"/>
          <w:lang w:val="en-US" w:eastAsia="zh-CN"/>
        </w:rPr>
        <w:t>；</w:t>
      </w:r>
    </w:p>
    <w:p w14:paraId="3CD3279C">
      <w:pPr>
        <w:pStyle w:val="28"/>
        <w:keepNext w:val="0"/>
        <w:keepLines w:val="0"/>
        <w:pageBreakBefore w:val="0"/>
        <w:kinsoku/>
        <w:overflowPunct/>
        <w:topLinePunct w:val="0"/>
        <w:autoSpaceDE/>
        <w:autoSpaceDN/>
        <w:bidi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color w:val="auto"/>
          <w:sz w:val="21"/>
          <w:szCs w:val="21"/>
          <w:lang w:val="en-US" w:eastAsia="zh-CN"/>
        </w:rPr>
      </w:pPr>
      <w:r>
        <w:rPr>
          <w:rStyle w:val="29"/>
          <w:rFonts w:hint="eastAsia" w:asciiTheme="minorEastAsia" w:hAnsiTheme="minorEastAsia" w:eastAsiaTheme="minorEastAsia" w:cstheme="minorEastAsia"/>
          <w:color w:val="auto"/>
          <w:sz w:val="21"/>
          <w:szCs w:val="21"/>
          <w:lang w:val="en-US" w:eastAsia="zh-CN"/>
        </w:rPr>
        <w:t>4.2 集团2025至2026年度安保服务项目需求说明；</w:t>
      </w:r>
    </w:p>
    <w:p w14:paraId="645E1DF7">
      <w:pPr>
        <w:pStyle w:val="28"/>
        <w:keepNext w:val="0"/>
        <w:keepLines w:val="0"/>
        <w:pageBreakBefore w:val="0"/>
        <w:kinsoku/>
        <w:overflowPunct/>
        <w:topLinePunct w:val="0"/>
        <w:autoSpaceDE/>
        <w:autoSpaceDN/>
        <w:bidi w:val="0"/>
        <w:spacing w:before="0" w:beforeAutospacing="0" w:after="0" w:afterAutospacing="0" w:line="600" w:lineRule="exact"/>
        <w:ind w:firstLine="420" w:firstLineChars="200"/>
        <w:textAlignment w:val="auto"/>
        <w:rPr>
          <w:rStyle w:val="29"/>
          <w:rFonts w:hint="eastAsia" w:asciiTheme="minorEastAsia" w:hAnsiTheme="minorEastAsia" w:eastAsiaTheme="minorEastAsia" w:cstheme="minorEastAsia"/>
          <w:color w:val="auto"/>
          <w:sz w:val="21"/>
          <w:szCs w:val="21"/>
          <w:lang w:val="en-US" w:eastAsia="zh-CN"/>
        </w:rPr>
      </w:pPr>
      <w:r>
        <w:rPr>
          <w:rStyle w:val="29"/>
          <w:rFonts w:hint="eastAsia" w:asciiTheme="minorEastAsia" w:hAnsiTheme="minorEastAsia" w:eastAsiaTheme="minorEastAsia" w:cstheme="minorEastAsia"/>
          <w:color w:val="auto"/>
          <w:sz w:val="21"/>
          <w:szCs w:val="21"/>
          <w:lang w:val="en-US" w:eastAsia="zh-CN"/>
        </w:rPr>
        <w:t>4.3 乙方投标文件。</w:t>
      </w:r>
    </w:p>
    <w:p w14:paraId="2FDE8BB8">
      <w:pPr>
        <w:pStyle w:val="28"/>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600" w:lineRule="exact"/>
        <w:textAlignment w:val="auto"/>
        <w:rPr>
          <w:rFonts w:hint="eastAsia" w:asciiTheme="minorEastAsia" w:hAnsiTheme="minorEastAsia" w:eastAsiaTheme="minorEastAsia" w:cstheme="minorEastAsia"/>
          <w:kern w:val="0"/>
          <w:sz w:val="21"/>
          <w:szCs w:val="21"/>
          <w:highlight w:val="none"/>
          <w:lang w:val="en-US" w:eastAsia="zh-CN"/>
        </w:rPr>
      </w:pPr>
    </w:p>
    <w:p w14:paraId="4308F8D7">
      <w:pPr>
        <w:rPr>
          <w:rFonts w:hint="eastAsia"/>
          <w:lang w:val="en-US" w:eastAsia="zh-CN"/>
        </w:rPr>
      </w:pPr>
      <w:r>
        <w:rPr>
          <w:rFonts w:hint="eastAsia"/>
          <w:lang w:val="en-US" w:eastAsia="zh-CN"/>
        </w:rPr>
        <w:br w:type="page"/>
      </w:r>
    </w:p>
    <w:p w14:paraId="448EA914">
      <w:pPr>
        <w:keepNext w:val="0"/>
        <w:keepLines w:val="0"/>
        <w:pageBreakBefore w:val="0"/>
        <w:widowControl w:val="0"/>
        <w:kinsoku/>
        <w:wordWrap/>
        <w:overflowPunct/>
        <w:topLinePunct w:val="0"/>
        <w:autoSpaceDE/>
        <w:autoSpaceDN/>
        <w:bidi w:val="0"/>
        <w:adjustRightInd/>
        <w:snapToGrid/>
        <w:spacing w:line="600" w:lineRule="exact"/>
        <w:ind w:right="152"/>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甲方：</w:t>
      </w:r>
      <w:r>
        <w:rPr>
          <w:rFonts w:hint="eastAsia" w:asciiTheme="minorEastAsia" w:hAnsiTheme="minorEastAsia" w:eastAsiaTheme="minorEastAsia" w:cstheme="minorEastAsia"/>
          <w:b w:val="0"/>
          <w:bCs w:val="0"/>
          <w:color w:val="auto"/>
          <w:sz w:val="21"/>
          <w:szCs w:val="21"/>
          <w:lang w:val="en-US" w:eastAsia="zh-CN"/>
        </w:rPr>
        <w:t xml:space="preserve">                    </w:t>
      </w:r>
      <w:r>
        <w:rPr>
          <w:rFonts w:hint="eastAsia" w:asciiTheme="minorEastAsia" w:hAnsiTheme="minorEastAsia" w:eastAsiaTheme="minorEastAsia" w:cstheme="minorEastAsia"/>
          <w:b w:val="0"/>
          <w:bCs w:val="0"/>
          <w:color w:val="auto"/>
          <w:sz w:val="21"/>
          <w:szCs w:val="21"/>
          <w:highlight w:val="none"/>
        </w:rPr>
        <w:t xml:space="preserve">  </w:t>
      </w:r>
      <w:r>
        <w:rPr>
          <w:rFonts w:hint="eastAsia" w:asciiTheme="minorEastAsia" w:hAnsiTheme="minorEastAsia" w:eastAsiaTheme="minorEastAsia" w:cstheme="minorEastAsia"/>
          <w:b w:val="0"/>
          <w:bCs w:val="0"/>
          <w:color w:val="auto"/>
          <w:sz w:val="21"/>
          <w:szCs w:val="21"/>
          <w:highlight w:val="none"/>
          <w:lang w:val="en-US" w:eastAsia="zh-CN"/>
        </w:rPr>
        <w:t xml:space="preserve">   </w:t>
      </w:r>
      <w:r>
        <w:rPr>
          <w:rFonts w:hint="eastAsia" w:asciiTheme="minorEastAsia" w:hAnsiTheme="minorEastAsia" w:eastAsiaTheme="minorEastAsia" w:cstheme="minorEastAsia"/>
          <w:b w:val="0"/>
          <w:bCs w:val="0"/>
          <w:color w:val="auto"/>
          <w:sz w:val="21"/>
          <w:szCs w:val="21"/>
          <w:highlight w:val="none"/>
        </w:rPr>
        <w:t xml:space="preserve">  </w:t>
      </w:r>
      <w:r>
        <w:rPr>
          <w:rFonts w:hint="eastAsia" w:asciiTheme="minorEastAsia" w:hAnsiTheme="minorEastAsia" w:eastAsiaTheme="minorEastAsia" w:cstheme="minorEastAsia"/>
          <w:b w:val="0"/>
          <w:bCs w:val="0"/>
          <w:color w:val="auto"/>
          <w:sz w:val="21"/>
          <w:szCs w:val="21"/>
          <w:highlight w:val="none"/>
          <w:lang w:val="en-US" w:eastAsia="zh-CN"/>
        </w:rPr>
        <w:t xml:space="preserve"> </w:t>
      </w:r>
      <w:r>
        <w:rPr>
          <w:rFonts w:hint="eastAsia" w:asciiTheme="minorEastAsia" w:hAnsiTheme="minorEastAsia" w:eastAsiaTheme="minorEastAsia" w:cstheme="minorEastAsia"/>
          <w:b w:val="0"/>
          <w:bCs w:val="0"/>
          <w:color w:val="auto"/>
          <w:sz w:val="21"/>
          <w:szCs w:val="21"/>
          <w:highlight w:val="none"/>
        </w:rPr>
        <w:t>乙方：</w:t>
      </w:r>
    </w:p>
    <w:p w14:paraId="6AF4340A">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Style w:val="29"/>
          <w:rFonts w:hint="eastAsia" w:asciiTheme="minorEastAsia" w:hAnsiTheme="minorEastAsia" w:eastAsiaTheme="minorEastAsia" w:cstheme="minorEastAsia"/>
          <w:b w:val="0"/>
          <w:bCs w:val="0"/>
          <w:sz w:val="21"/>
          <w:szCs w:val="21"/>
          <w:u w:val="none"/>
          <w:lang w:val="en-US" w:eastAsia="zh-CN"/>
        </w:rPr>
      </w:pPr>
      <w:r>
        <w:rPr>
          <w:rFonts w:hint="eastAsia" w:asciiTheme="minorEastAsia" w:hAnsiTheme="minorEastAsia" w:eastAsiaTheme="minorEastAsia" w:cstheme="minorEastAsia"/>
          <w:b w:val="0"/>
          <w:bCs w:val="0"/>
          <w:sz w:val="21"/>
          <w:szCs w:val="21"/>
          <w:shd w:val="clear" w:color="auto" w:fill="FFFFFF"/>
          <w:lang w:val="en-US" w:eastAsia="zh-CN"/>
        </w:rPr>
        <w:t xml:space="preserve"> </w:t>
      </w:r>
      <w:r>
        <w:rPr>
          <w:rStyle w:val="29"/>
          <w:rFonts w:hint="eastAsia" w:asciiTheme="minorEastAsia" w:hAnsiTheme="minorEastAsia" w:eastAsiaTheme="minorEastAsia" w:cstheme="minorEastAsia"/>
          <w:b w:val="0"/>
          <w:bCs w:val="0"/>
          <w:sz w:val="21"/>
          <w:szCs w:val="21"/>
          <w:u w:val="none"/>
          <w:lang w:val="en-US" w:eastAsia="zh-CN"/>
        </w:rPr>
        <w:t xml:space="preserve">                       </w:t>
      </w:r>
    </w:p>
    <w:p w14:paraId="2F401BE6">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Theme="minorEastAsia" w:hAnsiTheme="minorEastAsia" w:eastAsiaTheme="minorEastAsia" w:cstheme="minorEastAsia"/>
          <w:sz w:val="21"/>
          <w:szCs w:val="21"/>
          <w:lang w:val="en-US" w:eastAsia="zh-CN"/>
        </w:rPr>
      </w:pPr>
    </w:p>
    <w:p w14:paraId="608CB889">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法定代表人                        法定代表人</w:t>
      </w:r>
    </w:p>
    <w:p w14:paraId="12E82570">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lang w:val="en-US" w:eastAsia="zh-CN"/>
        </w:rPr>
        <w:t>或授权代理人</w:t>
      </w:r>
      <w:r>
        <w:rPr>
          <w:rFonts w:hint="eastAsia" w:asciiTheme="minorEastAsia" w:hAnsiTheme="minorEastAsia" w:eastAsiaTheme="minorEastAsia" w:cstheme="minorEastAsia"/>
          <w:sz w:val="21"/>
          <w:szCs w:val="21"/>
          <w:shd w:val="clear" w:color="auto" w:fill="FFFFFF"/>
        </w:rPr>
        <w:t>：</w:t>
      </w:r>
      <w:r>
        <w:rPr>
          <w:rFonts w:hint="eastAsia" w:asciiTheme="minorEastAsia" w:hAnsiTheme="minorEastAsia" w:eastAsiaTheme="minorEastAsia" w:cstheme="minorEastAsia"/>
          <w:sz w:val="21"/>
          <w:szCs w:val="21"/>
          <w:shd w:val="clear" w:color="auto" w:fill="FFFFFF"/>
          <w:lang w:val="en-US" w:eastAsia="zh-CN"/>
        </w:rPr>
        <w:t xml:space="preserve">                    </w:t>
      </w:r>
      <w:r>
        <w:rPr>
          <w:rFonts w:hint="eastAsia" w:asciiTheme="minorEastAsia" w:hAnsiTheme="minorEastAsia" w:eastAsiaTheme="minorEastAsia" w:cstheme="minorEastAsia"/>
          <w:sz w:val="21"/>
          <w:szCs w:val="21"/>
          <w:lang w:val="en-US" w:eastAsia="zh-CN"/>
        </w:rPr>
        <w:t>或授权代理人</w:t>
      </w:r>
      <w:r>
        <w:rPr>
          <w:rFonts w:hint="eastAsia" w:asciiTheme="minorEastAsia" w:hAnsiTheme="minorEastAsia" w:eastAsiaTheme="minorEastAsia" w:cstheme="minorEastAsia"/>
          <w:sz w:val="21"/>
          <w:szCs w:val="21"/>
          <w:shd w:val="clear" w:color="auto" w:fill="FFFFFF"/>
        </w:rPr>
        <w:t xml:space="preserve">：     </w:t>
      </w:r>
    </w:p>
    <w:p w14:paraId="56D90D0C">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Theme="minorEastAsia" w:hAnsiTheme="minorEastAsia" w:eastAsiaTheme="minorEastAsia" w:cstheme="minorEastAsia"/>
          <w:sz w:val="21"/>
          <w:szCs w:val="21"/>
          <w:shd w:val="clear" w:color="auto" w:fill="FFFFFF"/>
        </w:rPr>
      </w:pPr>
      <w:r>
        <w:rPr>
          <w:rFonts w:hint="eastAsia" w:asciiTheme="minorEastAsia" w:hAnsiTheme="minorEastAsia" w:eastAsiaTheme="minorEastAsia" w:cstheme="minorEastAsia"/>
          <w:sz w:val="21"/>
          <w:szCs w:val="21"/>
          <w:shd w:val="clear" w:color="auto" w:fill="FFFFFF"/>
        </w:rPr>
        <w:t xml:space="preserve"> </w:t>
      </w:r>
    </w:p>
    <w:p w14:paraId="414AA7C8">
      <w:pPr>
        <w:pStyle w:val="2"/>
        <w:pageBreakBefore w:val="0"/>
        <w:kinsoku/>
        <w:overflowPunct/>
        <w:topLinePunct w:val="0"/>
        <w:autoSpaceDE/>
        <w:autoSpaceDN/>
        <w:bidi w:val="0"/>
        <w:spacing w:line="600" w:lineRule="exact"/>
        <w:textAlignment w:val="auto"/>
        <w:rPr>
          <w:rFonts w:hint="eastAsia" w:asciiTheme="minorEastAsia" w:hAnsiTheme="minorEastAsia" w:eastAsiaTheme="minorEastAsia" w:cstheme="minorEastAsia"/>
          <w:sz w:val="21"/>
          <w:szCs w:val="21"/>
        </w:rPr>
      </w:pPr>
    </w:p>
    <w:p w14:paraId="2621B007">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shd w:val="clear" w:color="auto" w:fill="FFFFFF"/>
        </w:rPr>
        <w:t>日期：</w:t>
      </w:r>
      <w:r>
        <w:rPr>
          <w:rFonts w:hint="eastAsia" w:asciiTheme="minorEastAsia" w:hAnsiTheme="minorEastAsia" w:eastAsiaTheme="minorEastAsia" w:cstheme="minorEastAsia"/>
          <w:sz w:val="21"/>
          <w:szCs w:val="21"/>
          <w:shd w:val="clear" w:color="auto" w:fill="FFFFFF"/>
          <w:lang w:val="en-US" w:eastAsia="zh-CN"/>
        </w:rPr>
        <w:t xml:space="preserve">  </w:t>
      </w:r>
      <w:r>
        <w:rPr>
          <w:rFonts w:hint="eastAsia" w:asciiTheme="minorEastAsia" w:hAnsiTheme="minorEastAsia" w:eastAsiaTheme="minorEastAsia" w:cstheme="minorEastAsia"/>
          <w:sz w:val="21"/>
          <w:szCs w:val="21"/>
          <w:shd w:val="clear" w:color="auto" w:fill="FFFFFF"/>
        </w:rPr>
        <w:t>年</w:t>
      </w:r>
      <w:r>
        <w:rPr>
          <w:rFonts w:hint="eastAsia" w:asciiTheme="minorEastAsia" w:hAnsiTheme="minorEastAsia" w:eastAsiaTheme="minorEastAsia" w:cstheme="minorEastAsia"/>
          <w:sz w:val="21"/>
          <w:szCs w:val="21"/>
          <w:shd w:val="clear" w:color="auto" w:fill="FFFFFF"/>
          <w:lang w:val="en-US" w:eastAsia="zh-CN"/>
        </w:rPr>
        <w:t xml:space="preserve">  </w:t>
      </w:r>
      <w:r>
        <w:rPr>
          <w:rFonts w:hint="eastAsia" w:asciiTheme="minorEastAsia" w:hAnsiTheme="minorEastAsia" w:eastAsiaTheme="minorEastAsia" w:cstheme="minorEastAsia"/>
          <w:sz w:val="21"/>
          <w:szCs w:val="21"/>
          <w:shd w:val="clear" w:color="auto" w:fill="FFFFFF"/>
        </w:rPr>
        <w:t>月</w:t>
      </w:r>
      <w:r>
        <w:rPr>
          <w:rFonts w:hint="eastAsia" w:asciiTheme="minorEastAsia" w:hAnsiTheme="minorEastAsia" w:eastAsiaTheme="minorEastAsia" w:cstheme="minorEastAsia"/>
          <w:sz w:val="21"/>
          <w:szCs w:val="21"/>
          <w:shd w:val="clear" w:color="auto" w:fill="FFFFFF"/>
          <w:lang w:val="en-US" w:eastAsia="zh-CN"/>
        </w:rPr>
        <w:t xml:space="preserve">  </w:t>
      </w:r>
      <w:r>
        <w:rPr>
          <w:rFonts w:hint="eastAsia" w:asciiTheme="minorEastAsia" w:hAnsiTheme="minorEastAsia" w:eastAsiaTheme="minorEastAsia" w:cstheme="minorEastAsia"/>
          <w:sz w:val="21"/>
          <w:szCs w:val="21"/>
          <w:shd w:val="clear" w:color="auto" w:fill="FFFFFF"/>
        </w:rPr>
        <w:t>日</w:t>
      </w:r>
      <w:r>
        <w:rPr>
          <w:rFonts w:hint="eastAsia" w:asciiTheme="minorEastAsia" w:hAnsiTheme="minorEastAsia" w:eastAsiaTheme="minorEastAsia" w:cstheme="minorEastAsia"/>
          <w:sz w:val="21"/>
          <w:szCs w:val="21"/>
          <w:shd w:val="clear" w:color="auto" w:fill="FFFFFF"/>
          <w:lang w:val="en-US" w:eastAsia="zh-CN"/>
        </w:rPr>
        <w:t xml:space="preserve">                </w:t>
      </w:r>
      <w:r>
        <w:rPr>
          <w:rFonts w:hint="eastAsia" w:asciiTheme="minorEastAsia" w:hAnsiTheme="minorEastAsia" w:eastAsiaTheme="minorEastAsia" w:cstheme="minorEastAsia"/>
          <w:sz w:val="21"/>
          <w:szCs w:val="21"/>
          <w:shd w:val="clear" w:color="auto" w:fill="FFFFFF"/>
        </w:rPr>
        <w:t>日期：</w:t>
      </w:r>
      <w:r>
        <w:rPr>
          <w:rFonts w:hint="eastAsia" w:asciiTheme="minorEastAsia" w:hAnsiTheme="minorEastAsia" w:eastAsiaTheme="minorEastAsia" w:cstheme="minorEastAsia"/>
          <w:sz w:val="21"/>
          <w:szCs w:val="21"/>
          <w:shd w:val="clear" w:color="auto" w:fill="FFFFFF"/>
          <w:lang w:val="en-US" w:eastAsia="zh-CN"/>
        </w:rPr>
        <w:t xml:space="preserve">   </w:t>
      </w:r>
      <w:r>
        <w:rPr>
          <w:rFonts w:hint="eastAsia" w:asciiTheme="minorEastAsia" w:hAnsiTheme="minorEastAsia" w:eastAsiaTheme="minorEastAsia" w:cstheme="minorEastAsia"/>
          <w:sz w:val="21"/>
          <w:szCs w:val="21"/>
          <w:shd w:val="clear" w:color="auto" w:fill="FFFFFF"/>
        </w:rPr>
        <w:t>年</w:t>
      </w:r>
      <w:r>
        <w:rPr>
          <w:rFonts w:hint="eastAsia" w:asciiTheme="minorEastAsia" w:hAnsiTheme="minorEastAsia" w:eastAsiaTheme="minorEastAsia" w:cstheme="minorEastAsia"/>
          <w:sz w:val="21"/>
          <w:szCs w:val="21"/>
          <w:shd w:val="clear" w:color="auto" w:fill="FFFFFF"/>
          <w:lang w:val="en-US" w:eastAsia="zh-CN"/>
        </w:rPr>
        <w:t xml:space="preserve">  </w:t>
      </w:r>
      <w:r>
        <w:rPr>
          <w:rFonts w:hint="eastAsia" w:asciiTheme="minorEastAsia" w:hAnsiTheme="minorEastAsia" w:eastAsiaTheme="minorEastAsia" w:cstheme="minorEastAsia"/>
          <w:sz w:val="21"/>
          <w:szCs w:val="21"/>
          <w:shd w:val="clear" w:color="auto" w:fill="FFFFFF"/>
        </w:rPr>
        <w:t>月</w:t>
      </w:r>
      <w:r>
        <w:rPr>
          <w:rFonts w:hint="eastAsia" w:asciiTheme="minorEastAsia" w:hAnsiTheme="minorEastAsia" w:eastAsiaTheme="minorEastAsia" w:cstheme="minorEastAsia"/>
          <w:sz w:val="21"/>
          <w:szCs w:val="21"/>
          <w:shd w:val="clear" w:color="auto" w:fill="FFFFFF"/>
          <w:lang w:val="en-US" w:eastAsia="zh-CN"/>
        </w:rPr>
        <w:t xml:space="preserve">  </w:t>
      </w:r>
      <w:r>
        <w:rPr>
          <w:rFonts w:hint="eastAsia" w:asciiTheme="minorEastAsia" w:hAnsiTheme="minorEastAsia" w:eastAsiaTheme="minorEastAsia" w:cstheme="minorEastAsia"/>
          <w:sz w:val="21"/>
          <w:szCs w:val="21"/>
          <w:shd w:val="clear" w:color="auto" w:fill="FFFFFF"/>
        </w:rPr>
        <w:t>日</w:t>
      </w:r>
    </w:p>
    <w:p w14:paraId="4483673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napToGrid w:val="0"/>
          <w:color w:val="000000"/>
          <w:kern w:val="0"/>
          <w:sz w:val="44"/>
          <w:szCs w:val="44"/>
          <w:highlight w:val="none"/>
          <w:lang w:bidi="ar"/>
        </w:rPr>
      </w:pPr>
      <w:r>
        <w:rPr>
          <w:rFonts w:hint="eastAsia" w:ascii="宋体" w:hAnsi="宋体" w:eastAsia="宋体" w:cs="宋体"/>
          <w:b w:val="0"/>
          <w:bCs w:val="0"/>
          <w:snapToGrid w:val="0"/>
          <w:color w:val="000000"/>
          <w:kern w:val="0"/>
          <w:sz w:val="44"/>
          <w:szCs w:val="44"/>
          <w:highlight w:val="none"/>
          <w:lang w:bidi="ar"/>
        </w:rPr>
        <w:br w:type="page"/>
      </w:r>
    </w:p>
    <w:p w14:paraId="0607484A">
      <w:pPr>
        <w:pStyle w:val="2"/>
        <w:rPr>
          <w:rFonts w:hint="eastAsia" w:ascii="宋体" w:hAnsi="宋体" w:eastAsia="宋体" w:cs="宋体"/>
          <w:sz w:val="21"/>
          <w:szCs w:val="21"/>
        </w:rPr>
      </w:pPr>
    </w:p>
    <w:bookmarkEnd w:id="75"/>
    <w:bookmarkEnd w:id="76"/>
    <w:p w14:paraId="3D6BCEA6">
      <w:pPr>
        <w:rPr>
          <w:rFonts w:hint="eastAsia"/>
        </w:rPr>
      </w:pPr>
      <w:bookmarkStart w:id="78" w:name="_Toc203530308"/>
      <w:bookmarkStart w:id="79" w:name="_Toc203530304"/>
    </w:p>
    <w:p w14:paraId="7A6DAE8B">
      <w:pPr>
        <w:pStyle w:val="5"/>
        <w:numPr>
          <w:ilvl w:val="0"/>
          <w:numId w:val="0"/>
        </w:numPr>
        <w:tabs>
          <w:tab w:val="clear" w:pos="842"/>
        </w:tabs>
        <w:ind w:left="992" w:firstLine="0"/>
        <w:rPr>
          <w:rFonts w:hint="eastAsia" w:ascii="宋体" w:hAnsi="宋体" w:cs="宋体"/>
          <w:b w:val="0"/>
          <w:color w:val="auto"/>
          <w:sz w:val="36"/>
          <w:highlight w:val="none"/>
        </w:rPr>
      </w:pPr>
    </w:p>
    <w:p w14:paraId="21AA102E">
      <w:pPr>
        <w:pStyle w:val="5"/>
        <w:numPr>
          <w:ilvl w:val="0"/>
          <w:numId w:val="0"/>
        </w:numPr>
        <w:tabs>
          <w:tab w:val="clear" w:pos="842"/>
        </w:tabs>
        <w:ind w:left="992" w:firstLine="0"/>
        <w:rPr>
          <w:rFonts w:hint="eastAsia" w:ascii="宋体" w:hAnsi="宋体" w:cs="宋体"/>
          <w:b w:val="0"/>
          <w:color w:val="auto"/>
          <w:sz w:val="36"/>
          <w:highlight w:val="none"/>
        </w:rPr>
      </w:pPr>
    </w:p>
    <w:p w14:paraId="4B4FE550">
      <w:pPr>
        <w:pStyle w:val="5"/>
        <w:numPr>
          <w:ilvl w:val="0"/>
          <w:numId w:val="0"/>
        </w:numPr>
        <w:tabs>
          <w:tab w:val="clear" w:pos="842"/>
        </w:tabs>
        <w:ind w:left="992" w:firstLine="0"/>
        <w:rPr>
          <w:rFonts w:hint="eastAsia" w:ascii="宋体" w:hAnsi="宋体" w:cs="宋体"/>
          <w:b w:val="0"/>
          <w:color w:val="auto"/>
          <w:sz w:val="36"/>
          <w:highlight w:val="none"/>
        </w:rPr>
      </w:pPr>
    </w:p>
    <w:p w14:paraId="67DF799C">
      <w:pPr>
        <w:pStyle w:val="5"/>
        <w:numPr>
          <w:ilvl w:val="0"/>
          <w:numId w:val="0"/>
        </w:numPr>
        <w:tabs>
          <w:tab w:val="clear" w:pos="842"/>
        </w:tabs>
        <w:ind w:left="992" w:firstLine="0"/>
        <w:rPr>
          <w:rFonts w:hint="eastAsia" w:ascii="宋体" w:hAnsi="宋体" w:cs="宋体"/>
          <w:b w:val="0"/>
          <w:color w:val="auto"/>
          <w:sz w:val="36"/>
          <w:highlight w:val="none"/>
        </w:rPr>
      </w:pPr>
    </w:p>
    <w:bookmarkEnd w:id="78"/>
    <w:bookmarkEnd w:id="79"/>
    <w:p w14:paraId="1346B260">
      <w:pPr>
        <w:adjustRightInd w:val="0"/>
        <w:snapToGrid w:val="0"/>
        <w:spacing w:line="360" w:lineRule="auto"/>
        <w:ind w:left="851" w:hanging="851"/>
        <w:jc w:val="center"/>
        <w:rPr>
          <w:rFonts w:hint="eastAsia" w:ascii="宋体" w:hAnsi="宋体" w:cs="宋体"/>
          <w:b/>
          <w:color w:val="auto"/>
          <w:sz w:val="44"/>
          <w:highlight w:val="none"/>
        </w:rPr>
      </w:pPr>
    </w:p>
    <w:p w14:paraId="71403D89">
      <w:pPr>
        <w:adjustRightInd w:val="0"/>
        <w:snapToGrid w:val="0"/>
        <w:spacing w:line="360" w:lineRule="auto"/>
        <w:ind w:left="851" w:hanging="851"/>
        <w:jc w:val="center"/>
        <w:rPr>
          <w:rFonts w:hint="eastAsia" w:ascii="宋体" w:hAnsi="宋体" w:cs="宋体"/>
          <w:b/>
          <w:color w:val="auto"/>
          <w:sz w:val="44"/>
          <w:highlight w:val="none"/>
        </w:rPr>
      </w:pPr>
    </w:p>
    <w:p w14:paraId="443B9915">
      <w:pPr>
        <w:jc w:val="center"/>
        <w:outlineLvl w:val="0"/>
        <w:rPr>
          <w:rFonts w:hint="eastAsia" w:ascii="宋体" w:hAnsi="宋体" w:cs="宋体"/>
          <w:b/>
          <w:color w:val="auto"/>
          <w:sz w:val="44"/>
          <w:szCs w:val="44"/>
          <w:highlight w:val="none"/>
        </w:rPr>
      </w:pPr>
      <w:bookmarkStart w:id="80" w:name="_Toc31761"/>
      <w:r>
        <w:rPr>
          <w:rFonts w:hint="eastAsia" w:ascii="宋体" w:hAnsi="宋体" w:cs="宋体"/>
          <w:b/>
          <w:color w:val="auto"/>
          <w:sz w:val="44"/>
          <w:szCs w:val="44"/>
          <w:highlight w:val="none"/>
        </w:rPr>
        <w:t>第五章</w:t>
      </w:r>
      <w:bookmarkStart w:id="81" w:name="_Toc477186327"/>
      <w:bookmarkStart w:id="82" w:name="_Toc477185966"/>
      <w:r>
        <w:rPr>
          <w:rFonts w:hint="eastAsia" w:ascii="宋体" w:hAnsi="宋体" w:cs="宋体"/>
          <w:b/>
          <w:color w:val="auto"/>
          <w:sz w:val="44"/>
          <w:szCs w:val="44"/>
          <w:highlight w:val="none"/>
        </w:rPr>
        <w:t xml:space="preserve">  投标文件格式</w:t>
      </w:r>
      <w:bookmarkEnd w:id="80"/>
      <w:bookmarkEnd w:id="81"/>
      <w:bookmarkEnd w:id="82"/>
    </w:p>
    <w:p w14:paraId="14349CB0">
      <w:pPr>
        <w:pStyle w:val="22"/>
        <w:ind w:firstLine="210"/>
        <w:rPr>
          <w:rFonts w:hint="eastAsia" w:ascii="宋体" w:hAnsi="宋体" w:cs="宋体"/>
          <w:color w:val="auto"/>
          <w:szCs w:val="21"/>
          <w:highlight w:val="none"/>
        </w:rPr>
      </w:pPr>
      <w:r>
        <w:rPr>
          <w:rFonts w:hint="eastAsia" w:ascii="宋体" w:hAnsi="宋体" w:cs="宋体"/>
          <w:color w:val="auto"/>
          <w:highlight w:val="none"/>
        </w:rPr>
        <w:br w:type="page"/>
      </w:r>
      <w:r>
        <w:rPr>
          <w:rFonts w:hint="eastAsia" w:ascii="宋体" w:hAnsi="宋体" w:cs="宋体"/>
          <w:b/>
          <w:color w:val="auto"/>
          <w:sz w:val="28"/>
          <w:szCs w:val="28"/>
          <w:highlight w:val="none"/>
        </w:rPr>
        <w:t>一、投标文件封面格式</w:t>
      </w:r>
    </w:p>
    <w:p w14:paraId="3D604F89">
      <w:pPr>
        <w:pStyle w:val="22"/>
        <w:ind w:firstLine="210"/>
        <w:rPr>
          <w:rFonts w:hint="eastAsia" w:ascii="宋体" w:hAnsi="宋体" w:cs="宋体"/>
          <w:color w:val="auto"/>
          <w:szCs w:val="21"/>
          <w:highlight w:val="none"/>
        </w:rPr>
      </w:pPr>
    </w:p>
    <w:p w14:paraId="1B0A74E2">
      <w:pPr>
        <w:pStyle w:val="22"/>
        <w:ind w:firstLine="210"/>
        <w:rPr>
          <w:rFonts w:hint="eastAsia" w:ascii="宋体" w:hAnsi="宋体" w:cs="宋体"/>
          <w:color w:val="auto"/>
          <w:szCs w:val="21"/>
          <w:highlight w:val="none"/>
        </w:rPr>
      </w:pPr>
    </w:p>
    <w:p w14:paraId="4806ED6A">
      <w:pPr>
        <w:pStyle w:val="22"/>
        <w:ind w:firstLine="210"/>
        <w:rPr>
          <w:rFonts w:hint="eastAsia" w:ascii="宋体" w:hAnsi="宋体" w:cs="宋体"/>
          <w:color w:val="auto"/>
          <w:szCs w:val="21"/>
          <w:highlight w:val="none"/>
        </w:rPr>
      </w:pPr>
    </w:p>
    <w:p w14:paraId="52C8578F">
      <w:pPr>
        <w:pStyle w:val="9"/>
        <w:spacing w:before="20" w:after="20" w:line="360" w:lineRule="auto"/>
        <w:ind w:firstLine="560"/>
        <w:jc w:val="center"/>
        <w:rPr>
          <w:rFonts w:hint="eastAsia" w:ascii="宋体" w:hAnsi="宋体" w:cs="宋体"/>
          <w:color w:val="auto"/>
          <w:sz w:val="28"/>
          <w:szCs w:val="28"/>
          <w:highlight w:val="none"/>
        </w:rPr>
      </w:pPr>
    </w:p>
    <w:p w14:paraId="60790DFC">
      <w:pPr>
        <w:pStyle w:val="14"/>
        <w:adjustRightInd w:val="0"/>
        <w:spacing w:before="48" w:beforeLines="20" w:after="48" w:afterLines="20"/>
        <w:ind w:firstLine="2100" w:firstLineChars="1000"/>
        <w:rPr>
          <w:rFonts w:hint="eastAsia" w:ascii="宋体" w:hAnsi="宋体" w:cs="宋体"/>
          <w:color w:val="auto"/>
          <w:highlight w:val="none"/>
        </w:rPr>
      </w:pPr>
    </w:p>
    <w:p w14:paraId="22DD0B15">
      <w:pPr>
        <w:pStyle w:val="14"/>
        <w:adjustRightInd w:val="0"/>
        <w:spacing w:before="48" w:beforeLines="20" w:after="48" w:afterLines="20"/>
        <w:ind w:firstLine="2100" w:firstLineChars="1000"/>
        <w:rPr>
          <w:rFonts w:hint="eastAsia" w:ascii="宋体" w:hAnsi="宋体" w:cs="宋体"/>
          <w:color w:val="auto"/>
          <w:highlight w:val="none"/>
        </w:rPr>
      </w:pPr>
    </w:p>
    <w:p w14:paraId="13B212E8">
      <w:pPr>
        <w:adjustRightInd w:val="0"/>
        <w:snapToGrid w:val="0"/>
        <w:spacing w:before="48" w:beforeLines="20" w:after="48" w:afterLines="20" w:line="360" w:lineRule="auto"/>
        <w:rPr>
          <w:rFonts w:hint="eastAsia" w:ascii="宋体" w:hAnsi="宋体" w:cs="宋体"/>
          <w:color w:val="auto"/>
          <w:highlight w:val="none"/>
          <w:u w:val="single"/>
        </w:rPr>
      </w:pPr>
    </w:p>
    <w:p w14:paraId="11643E5A">
      <w:pPr>
        <w:pStyle w:val="2"/>
        <w:adjustRightInd w:val="0"/>
        <w:snapToGrid w:val="0"/>
        <w:spacing w:before="48" w:beforeLines="20" w:after="48" w:afterLines="20" w:line="360" w:lineRule="auto"/>
        <w:jc w:val="center"/>
        <w:rPr>
          <w:rFonts w:hint="eastAsia" w:ascii="宋体" w:hAnsi="宋体" w:cs="宋体"/>
          <w:color w:val="auto"/>
          <w:sz w:val="84"/>
          <w:highlight w:val="none"/>
        </w:rPr>
      </w:pPr>
      <w:r>
        <w:rPr>
          <w:rFonts w:hint="eastAsia" w:ascii="宋体" w:hAnsi="宋体" w:cs="宋体"/>
          <w:color w:val="auto"/>
          <w:sz w:val="84"/>
          <w:highlight w:val="none"/>
        </w:rPr>
        <w:t>投  标  文  件</w:t>
      </w:r>
    </w:p>
    <w:p w14:paraId="610224B2">
      <w:pPr>
        <w:pStyle w:val="2"/>
        <w:adjustRightInd w:val="0"/>
        <w:snapToGrid w:val="0"/>
        <w:spacing w:before="48" w:beforeLines="20" w:after="48" w:afterLines="20" w:line="360" w:lineRule="auto"/>
        <w:jc w:val="center"/>
        <w:rPr>
          <w:rFonts w:hint="eastAsia" w:ascii="宋体" w:hAnsi="宋体" w:cs="宋体"/>
          <w:color w:val="auto"/>
          <w:sz w:val="30"/>
          <w:szCs w:val="30"/>
          <w:highlight w:val="none"/>
          <w:u w:val="single"/>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w:t>
      </w:r>
    </w:p>
    <w:p w14:paraId="23D85FEC">
      <w:pPr>
        <w:adjustRightInd w:val="0"/>
        <w:snapToGrid w:val="0"/>
        <w:spacing w:before="48" w:beforeLines="20" w:after="48" w:afterLines="20" w:line="360" w:lineRule="auto"/>
        <w:jc w:val="center"/>
        <w:rPr>
          <w:rFonts w:hint="eastAsia" w:ascii="宋体" w:hAnsi="宋体" w:cs="宋体"/>
          <w:b/>
          <w:color w:val="auto"/>
          <w:highlight w:val="none"/>
        </w:rPr>
      </w:pPr>
    </w:p>
    <w:p w14:paraId="74874739">
      <w:pPr>
        <w:adjustRightInd w:val="0"/>
        <w:snapToGrid w:val="0"/>
        <w:spacing w:before="48" w:beforeLines="20" w:after="48" w:afterLines="20" w:line="360" w:lineRule="auto"/>
        <w:jc w:val="center"/>
        <w:rPr>
          <w:rFonts w:hint="eastAsia" w:ascii="宋体" w:hAnsi="宋体" w:cs="宋体"/>
          <w:b/>
          <w:color w:val="auto"/>
          <w:highlight w:val="none"/>
        </w:rPr>
      </w:pPr>
    </w:p>
    <w:p w14:paraId="715C47BE">
      <w:pPr>
        <w:adjustRightInd w:val="0"/>
        <w:snapToGrid w:val="0"/>
        <w:spacing w:before="48" w:beforeLines="20" w:after="48" w:afterLines="20" w:line="360" w:lineRule="auto"/>
        <w:jc w:val="center"/>
        <w:rPr>
          <w:rFonts w:hint="eastAsia" w:ascii="宋体" w:hAnsi="宋体" w:cs="宋体"/>
          <w:b/>
          <w:color w:val="auto"/>
          <w:highlight w:val="none"/>
        </w:rPr>
      </w:pPr>
    </w:p>
    <w:p w14:paraId="4836FCF6">
      <w:pPr>
        <w:pStyle w:val="32"/>
        <w:suppressLineNumbers w:val="0"/>
        <w:adjustRightInd w:val="0"/>
        <w:snapToGrid w:val="0"/>
        <w:spacing w:before="48" w:beforeLines="20" w:after="48" w:afterLines="20" w:line="360" w:lineRule="auto"/>
        <w:rPr>
          <w:rFonts w:hint="eastAsia" w:ascii="宋体" w:hAnsi="宋体" w:cs="宋体"/>
          <w:bCs w:val="0"/>
          <w:color w:val="auto"/>
          <w:highlight w:val="none"/>
        </w:rPr>
      </w:pPr>
    </w:p>
    <w:p w14:paraId="35BB34D3">
      <w:pPr>
        <w:pStyle w:val="15"/>
        <w:adjustRightInd w:val="0"/>
        <w:snapToGrid w:val="0"/>
        <w:spacing w:before="48" w:beforeLines="20" w:after="48" w:afterLines="20" w:line="360" w:lineRule="auto"/>
        <w:ind w:left="130" w:leftChars="62" w:firstLine="711" w:firstLineChars="253"/>
        <w:rPr>
          <w:rFonts w:hint="eastAsia" w:ascii="宋体" w:hAnsi="宋体" w:cs="宋体"/>
          <w:b/>
          <w:bCs/>
          <w:color w:val="auto"/>
          <w:sz w:val="28"/>
          <w:szCs w:val="28"/>
          <w:highlight w:val="none"/>
          <w:u w:val="single"/>
        </w:rPr>
      </w:pPr>
      <w:r>
        <w:rPr>
          <w:rFonts w:hint="eastAsia" w:ascii="宋体" w:hAnsi="宋体" w:cs="宋体"/>
          <w:b/>
          <w:bCs/>
          <w:color w:val="auto"/>
          <w:sz w:val="28"/>
          <w:szCs w:val="28"/>
          <w:highlight w:val="none"/>
        </w:rPr>
        <w:t>项目名称：</w:t>
      </w:r>
      <w:r>
        <w:rPr>
          <w:rFonts w:hint="eastAsia" w:ascii="宋体" w:hAnsi="宋体" w:cs="宋体"/>
          <w:bCs/>
          <w:color w:val="auto"/>
          <w:sz w:val="28"/>
          <w:szCs w:val="28"/>
          <w:highlight w:val="none"/>
          <w:u w:val="single"/>
        </w:rPr>
        <w:t xml:space="preserve">                </w:t>
      </w:r>
      <w:r>
        <w:rPr>
          <w:rFonts w:hint="eastAsia" w:ascii="宋体" w:hAnsi="宋体" w:cs="宋体"/>
          <w:b/>
          <w:bCs/>
          <w:color w:val="auto"/>
          <w:sz w:val="28"/>
          <w:szCs w:val="28"/>
          <w:highlight w:val="none"/>
          <w:u w:val="single"/>
        </w:rPr>
        <w:t xml:space="preserve">                     </w:t>
      </w:r>
    </w:p>
    <w:p w14:paraId="60F752FA">
      <w:pPr>
        <w:pStyle w:val="15"/>
        <w:adjustRightInd w:val="0"/>
        <w:snapToGrid w:val="0"/>
        <w:spacing w:before="48" w:beforeLines="20" w:after="48" w:afterLines="20" w:line="360" w:lineRule="auto"/>
        <w:ind w:left="130" w:leftChars="62" w:firstLine="711" w:firstLineChars="253"/>
        <w:rPr>
          <w:rFonts w:hint="eastAsia" w:ascii="宋体" w:hAnsi="宋体" w:cs="宋体"/>
          <w:color w:val="auto"/>
          <w:highlight w:val="none"/>
        </w:rPr>
      </w:pPr>
      <w:r>
        <w:rPr>
          <w:rFonts w:hint="eastAsia" w:ascii="宋体" w:hAnsi="宋体" w:cs="宋体"/>
          <w:b/>
          <w:bCs/>
          <w:color w:val="auto"/>
          <w:sz w:val="28"/>
          <w:szCs w:val="28"/>
          <w:highlight w:val="none"/>
        </w:rPr>
        <w:t>投 标 人：</w:t>
      </w:r>
      <w:r>
        <w:rPr>
          <w:rFonts w:hint="eastAsia" w:ascii="宋体" w:hAnsi="宋体" w:cs="宋体"/>
          <w:bCs/>
          <w:color w:val="auto"/>
          <w:sz w:val="28"/>
          <w:szCs w:val="28"/>
          <w:highlight w:val="none"/>
          <w:u w:val="single"/>
        </w:rPr>
        <w:t xml:space="preserve">              </w:t>
      </w:r>
      <w:r>
        <w:rPr>
          <w:rFonts w:hint="eastAsia" w:ascii="宋体" w:hAnsi="宋体" w:cs="宋体"/>
          <w:b/>
          <w:bCs/>
          <w:color w:val="auto"/>
          <w:sz w:val="28"/>
          <w:szCs w:val="28"/>
          <w:highlight w:val="none"/>
          <w:u w:val="single"/>
        </w:rPr>
        <w:t xml:space="preserve">                       </w:t>
      </w:r>
    </w:p>
    <w:p w14:paraId="58C231AE">
      <w:pPr>
        <w:rPr>
          <w:rFonts w:hint="eastAsia" w:ascii="宋体" w:hAnsi="宋体" w:cs="宋体"/>
          <w:color w:val="auto"/>
          <w:highlight w:val="none"/>
        </w:rPr>
      </w:pPr>
    </w:p>
    <w:p w14:paraId="0447E137">
      <w:pPr>
        <w:rPr>
          <w:rFonts w:hint="eastAsia" w:ascii="宋体" w:hAnsi="宋体" w:cs="宋体"/>
          <w:color w:val="auto"/>
          <w:highlight w:val="none"/>
        </w:rPr>
      </w:pPr>
    </w:p>
    <w:p w14:paraId="649C0778">
      <w:pPr>
        <w:rPr>
          <w:rFonts w:hint="eastAsia" w:ascii="宋体" w:hAnsi="宋体" w:cs="宋体"/>
          <w:color w:val="auto"/>
          <w:highlight w:val="none"/>
        </w:rPr>
      </w:pPr>
    </w:p>
    <w:p w14:paraId="17E6FD7F">
      <w:pPr>
        <w:rPr>
          <w:rFonts w:hint="eastAsia" w:ascii="宋体" w:hAnsi="宋体" w:cs="宋体"/>
          <w:color w:val="auto"/>
          <w:highlight w:val="none"/>
        </w:rPr>
      </w:pPr>
    </w:p>
    <w:p w14:paraId="0C2B5BF4">
      <w:pPr>
        <w:rPr>
          <w:rFonts w:hint="eastAsia" w:ascii="宋体" w:hAnsi="宋体" w:cs="宋体"/>
          <w:color w:val="auto"/>
          <w:highlight w:val="none"/>
        </w:rPr>
      </w:pPr>
    </w:p>
    <w:p w14:paraId="430B7F5D">
      <w:pPr>
        <w:rPr>
          <w:rFonts w:hint="eastAsia" w:ascii="宋体" w:hAnsi="宋体" w:cs="宋体"/>
          <w:color w:val="auto"/>
          <w:highlight w:val="none"/>
        </w:rPr>
      </w:pPr>
    </w:p>
    <w:p w14:paraId="65728A7C">
      <w:pPr>
        <w:rPr>
          <w:rFonts w:hint="eastAsia" w:ascii="宋体" w:hAnsi="宋体" w:cs="宋体"/>
          <w:color w:val="auto"/>
          <w:highlight w:val="none"/>
        </w:rPr>
      </w:pPr>
    </w:p>
    <w:p w14:paraId="2FA2525C">
      <w:pPr>
        <w:rPr>
          <w:rFonts w:hint="eastAsia" w:ascii="宋体" w:hAnsi="宋体" w:cs="宋体"/>
          <w:color w:val="auto"/>
          <w:highlight w:val="none"/>
        </w:rPr>
      </w:pPr>
    </w:p>
    <w:p w14:paraId="660038CC">
      <w:pPr>
        <w:rPr>
          <w:rFonts w:hint="eastAsia" w:ascii="宋体" w:hAnsi="宋体" w:cs="宋体"/>
          <w:color w:val="auto"/>
          <w:highlight w:val="none"/>
        </w:rPr>
      </w:pPr>
    </w:p>
    <w:p w14:paraId="5832BD6E">
      <w:pPr>
        <w:rPr>
          <w:rFonts w:hint="eastAsia" w:ascii="宋体" w:hAnsi="宋体" w:cs="宋体"/>
          <w:color w:val="auto"/>
          <w:highlight w:val="none"/>
        </w:rPr>
      </w:pPr>
    </w:p>
    <w:p w14:paraId="5352688B">
      <w:pPr>
        <w:rPr>
          <w:rFonts w:hint="eastAsia" w:ascii="宋体" w:hAnsi="宋体" w:cs="宋体"/>
          <w:color w:val="auto"/>
          <w:highlight w:val="none"/>
        </w:rPr>
      </w:pPr>
    </w:p>
    <w:p w14:paraId="1F1E9F87">
      <w:pPr>
        <w:rPr>
          <w:rFonts w:hint="eastAsia" w:ascii="宋体" w:hAnsi="宋体" w:cs="宋体"/>
          <w:color w:val="auto"/>
          <w:highlight w:val="none"/>
        </w:rPr>
      </w:pPr>
    </w:p>
    <w:p w14:paraId="5FADCE57">
      <w:pPr>
        <w:rPr>
          <w:rFonts w:hint="eastAsia" w:ascii="宋体" w:hAnsi="宋体" w:cs="宋体"/>
          <w:color w:val="auto"/>
          <w:highlight w:val="none"/>
        </w:rPr>
      </w:pPr>
    </w:p>
    <w:p w14:paraId="50BFDA29">
      <w:pPr>
        <w:rPr>
          <w:rFonts w:hint="eastAsia" w:ascii="宋体" w:hAnsi="宋体" w:cs="宋体"/>
          <w:color w:val="auto"/>
          <w:highlight w:val="none"/>
        </w:rPr>
      </w:pPr>
    </w:p>
    <w:p w14:paraId="49D78C0D">
      <w:pPr>
        <w:rPr>
          <w:rFonts w:hint="eastAsia" w:ascii="宋体" w:hAnsi="宋体" w:cs="宋体"/>
          <w:color w:val="auto"/>
          <w:highlight w:val="none"/>
        </w:rPr>
      </w:pPr>
    </w:p>
    <w:p w14:paraId="7271BD32">
      <w:pPr>
        <w:rPr>
          <w:rFonts w:hint="eastAsia" w:ascii="宋体" w:hAnsi="宋体" w:cs="宋体"/>
          <w:color w:val="auto"/>
          <w:highlight w:val="none"/>
        </w:rPr>
      </w:pPr>
    </w:p>
    <w:p w14:paraId="7F576960">
      <w:pPr>
        <w:rPr>
          <w:rFonts w:hint="eastAsia" w:ascii="宋体" w:hAnsi="宋体" w:cs="宋体"/>
          <w:color w:val="auto"/>
          <w:highlight w:val="none"/>
        </w:rPr>
      </w:pPr>
    </w:p>
    <w:p w14:paraId="04C3810F">
      <w:pPr>
        <w:rPr>
          <w:rFonts w:hint="eastAsia" w:ascii="宋体" w:hAnsi="宋体" w:cs="宋体"/>
          <w:color w:val="auto"/>
          <w:highlight w:val="none"/>
        </w:rPr>
      </w:pPr>
    </w:p>
    <w:p w14:paraId="114AC4B0">
      <w:pPr>
        <w:rPr>
          <w:rFonts w:hint="eastAsia" w:ascii="宋体" w:hAnsi="宋体" w:cs="宋体"/>
          <w:color w:val="auto"/>
          <w:highlight w:val="none"/>
        </w:rPr>
      </w:pPr>
    </w:p>
    <w:p w14:paraId="6D085D52">
      <w:pPr>
        <w:rPr>
          <w:rFonts w:hint="eastAsia" w:ascii="宋体" w:hAnsi="宋体" w:cs="宋体"/>
          <w:b/>
          <w:color w:val="auto"/>
          <w:sz w:val="28"/>
          <w:szCs w:val="28"/>
          <w:highlight w:val="none"/>
        </w:rPr>
      </w:pPr>
      <w:bookmarkStart w:id="83" w:name="_Hlt493478646"/>
      <w:bookmarkEnd w:id="83"/>
      <w:r>
        <w:rPr>
          <w:rFonts w:hint="eastAsia" w:ascii="宋体" w:hAnsi="宋体" w:cs="宋体"/>
          <w:b/>
          <w:color w:val="auto"/>
          <w:sz w:val="28"/>
          <w:szCs w:val="28"/>
          <w:highlight w:val="none"/>
        </w:rPr>
        <w:t>二、自查表</w:t>
      </w:r>
    </w:p>
    <w:p w14:paraId="10C8644D">
      <w:pPr>
        <w:pStyle w:val="16"/>
        <w:rPr>
          <w:rFonts w:hint="eastAsia" w:hAnsi="宋体" w:cs="宋体"/>
          <w:color w:val="auto"/>
          <w:highlight w:val="none"/>
        </w:rPr>
      </w:pPr>
    </w:p>
    <w:p w14:paraId="7A0AC315">
      <w:pPr>
        <w:pStyle w:val="16"/>
        <w:rPr>
          <w:rFonts w:hint="eastAsia" w:hAnsi="宋体" w:cs="宋体"/>
          <w:color w:val="auto"/>
          <w:highlight w:val="none"/>
        </w:rPr>
      </w:pPr>
    </w:p>
    <w:p w14:paraId="19372E08">
      <w:pPr>
        <w:jc w:val="center"/>
        <w:rPr>
          <w:rFonts w:hint="eastAsia" w:ascii="宋体" w:hAnsi="宋体"/>
          <w:b/>
          <w:bCs/>
          <w:color w:val="auto"/>
          <w:sz w:val="28"/>
          <w:highlight w:val="none"/>
        </w:rPr>
      </w:pPr>
      <w:r>
        <w:rPr>
          <w:rFonts w:hint="eastAsia" w:ascii="宋体" w:hAnsi="宋体"/>
          <w:b/>
          <w:color w:val="auto"/>
          <w:sz w:val="28"/>
          <w:szCs w:val="28"/>
          <w:highlight w:val="none"/>
        </w:rPr>
        <w:t>符合性审查表（阶段一）</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5049"/>
        <w:gridCol w:w="2544"/>
      </w:tblGrid>
      <w:tr w14:paraId="54AE1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3A33A37C">
            <w:pPr>
              <w:spacing w:line="240" w:lineRule="atLeas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5049" w:type="dxa"/>
            <w:noWrap w:val="0"/>
            <w:vAlign w:val="center"/>
          </w:tcPr>
          <w:p w14:paraId="2F331C68">
            <w:pPr>
              <w:spacing w:line="240" w:lineRule="atLeast"/>
              <w:jc w:val="center"/>
              <w:rPr>
                <w:rFonts w:hint="eastAsia" w:ascii="宋体" w:hAnsi="宋体"/>
                <w:b/>
                <w:color w:val="auto"/>
                <w:szCs w:val="21"/>
                <w:highlight w:val="none"/>
              </w:rPr>
            </w:pPr>
            <w:r>
              <w:rPr>
                <w:rFonts w:hint="eastAsia" w:ascii="宋体" w:hAnsi="宋体"/>
                <w:b/>
                <w:color w:val="auto"/>
                <w:szCs w:val="21"/>
                <w:highlight w:val="none"/>
              </w:rPr>
              <w:t>审查内容</w:t>
            </w:r>
          </w:p>
        </w:tc>
        <w:tc>
          <w:tcPr>
            <w:tcW w:w="2544" w:type="dxa"/>
            <w:noWrap w:val="0"/>
            <w:vAlign w:val="center"/>
          </w:tcPr>
          <w:p w14:paraId="415A6872">
            <w:pPr>
              <w:spacing w:line="240" w:lineRule="atLeast"/>
              <w:jc w:val="center"/>
              <w:rPr>
                <w:rFonts w:hint="eastAsia" w:ascii="宋体" w:hAnsi="宋体"/>
                <w:b/>
                <w:color w:val="auto"/>
                <w:szCs w:val="21"/>
                <w:highlight w:val="none"/>
              </w:rPr>
            </w:pPr>
            <w:r>
              <w:rPr>
                <w:rFonts w:hint="eastAsia" w:ascii="宋体" w:hAnsi="宋体"/>
                <w:b/>
                <w:color w:val="auto"/>
                <w:szCs w:val="21"/>
                <w:highlight w:val="none"/>
              </w:rPr>
              <w:t>证明文件（如有）</w:t>
            </w:r>
          </w:p>
        </w:tc>
      </w:tr>
      <w:tr w14:paraId="312A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34442BB8">
            <w:pPr>
              <w:spacing w:line="24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5049" w:type="dxa"/>
            <w:noWrap w:val="0"/>
            <w:vAlign w:val="center"/>
          </w:tcPr>
          <w:p w14:paraId="188541CF">
            <w:pPr>
              <w:rPr>
                <w:rFonts w:hint="eastAsia" w:ascii="宋体" w:hAnsi="宋体"/>
                <w:color w:val="auto"/>
                <w:szCs w:val="21"/>
                <w:highlight w:val="none"/>
              </w:rPr>
            </w:pPr>
            <w:r>
              <w:rPr>
                <w:rFonts w:hint="eastAsia" w:ascii="宋体" w:hAnsi="宋体" w:cs="宋体"/>
                <w:color w:val="auto"/>
                <w:szCs w:val="21"/>
                <w:highlight w:val="none"/>
              </w:rPr>
              <w:t>符合合格投标人资格条件；</w:t>
            </w:r>
          </w:p>
        </w:tc>
        <w:tc>
          <w:tcPr>
            <w:tcW w:w="2544" w:type="dxa"/>
            <w:noWrap w:val="0"/>
            <w:vAlign w:val="center"/>
          </w:tcPr>
          <w:p w14:paraId="6E802F1E">
            <w:pPr>
              <w:spacing w:line="240" w:lineRule="exact"/>
              <w:rPr>
                <w:rFonts w:hint="eastAsia" w:ascii="宋体" w:hAnsi="宋体"/>
                <w:color w:val="auto"/>
                <w:szCs w:val="21"/>
                <w:highlight w:val="none"/>
              </w:rPr>
            </w:pPr>
            <w:r>
              <w:rPr>
                <w:rFonts w:hint="eastAsia" w:ascii="宋体" w:hAnsi="宋体"/>
                <w:color w:val="auto"/>
                <w:szCs w:val="21"/>
                <w:highlight w:val="none"/>
              </w:rPr>
              <w:t>见投标文件（）页</w:t>
            </w:r>
          </w:p>
        </w:tc>
      </w:tr>
      <w:tr w14:paraId="149F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57F57138">
            <w:pPr>
              <w:spacing w:line="24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5049" w:type="dxa"/>
            <w:noWrap w:val="0"/>
            <w:vAlign w:val="center"/>
          </w:tcPr>
          <w:p w14:paraId="1E20C347">
            <w:pPr>
              <w:rPr>
                <w:rFonts w:hint="eastAsia" w:ascii="宋体" w:hAnsi="宋体"/>
                <w:color w:val="auto"/>
                <w:szCs w:val="21"/>
                <w:highlight w:val="none"/>
              </w:rPr>
            </w:pPr>
            <w:r>
              <w:rPr>
                <w:rFonts w:hint="eastAsia" w:ascii="宋体" w:hAnsi="宋体" w:cs="宋体"/>
                <w:color w:val="auto"/>
                <w:szCs w:val="21"/>
                <w:highlight w:val="none"/>
              </w:rPr>
              <w:t>投标文件按招标文件规定要求签署及盖章，由授权代表签署时有法定代表人出具的授权委托书；</w:t>
            </w:r>
          </w:p>
        </w:tc>
        <w:tc>
          <w:tcPr>
            <w:tcW w:w="2544" w:type="dxa"/>
            <w:noWrap w:val="0"/>
            <w:vAlign w:val="center"/>
          </w:tcPr>
          <w:p w14:paraId="7F6FCF3B">
            <w:pPr>
              <w:spacing w:line="240" w:lineRule="exact"/>
              <w:rPr>
                <w:rFonts w:ascii="宋体" w:hAnsi="宋体"/>
                <w:color w:val="auto"/>
                <w:szCs w:val="21"/>
                <w:highlight w:val="none"/>
              </w:rPr>
            </w:pPr>
            <w:r>
              <w:rPr>
                <w:rFonts w:hint="eastAsia" w:ascii="宋体" w:hAnsi="宋体"/>
                <w:color w:val="auto"/>
                <w:szCs w:val="21"/>
                <w:highlight w:val="none"/>
              </w:rPr>
              <w:t>见投标文件（）页</w:t>
            </w:r>
          </w:p>
        </w:tc>
      </w:tr>
      <w:tr w14:paraId="6C6A3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234B463C">
            <w:pPr>
              <w:spacing w:line="24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5049" w:type="dxa"/>
            <w:noWrap w:val="0"/>
            <w:vAlign w:val="center"/>
          </w:tcPr>
          <w:p w14:paraId="1C4BFB3E">
            <w:pPr>
              <w:rPr>
                <w:rFonts w:hint="eastAsia" w:ascii="宋体" w:hAnsi="宋体"/>
                <w:color w:val="auto"/>
                <w:szCs w:val="21"/>
                <w:highlight w:val="none"/>
              </w:rPr>
            </w:pPr>
            <w:r>
              <w:rPr>
                <w:rFonts w:hint="eastAsia" w:ascii="宋体" w:hAnsi="宋体" w:cs="宋体"/>
                <w:color w:val="auto"/>
                <w:szCs w:val="21"/>
                <w:highlight w:val="none"/>
              </w:rPr>
              <w:t>投标有效期满足招标文件要求；</w:t>
            </w:r>
          </w:p>
        </w:tc>
        <w:tc>
          <w:tcPr>
            <w:tcW w:w="2544" w:type="dxa"/>
            <w:noWrap w:val="0"/>
            <w:vAlign w:val="center"/>
          </w:tcPr>
          <w:p w14:paraId="1BD4044B">
            <w:pPr>
              <w:spacing w:line="240" w:lineRule="exact"/>
              <w:rPr>
                <w:rFonts w:hint="eastAsia" w:ascii="宋体" w:hAnsi="宋体"/>
                <w:color w:val="auto"/>
                <w:szCs w:val="21"/>
                <w:highlight w:val="none"/>
              </w:rPr>
            </w:pPr>
            <w:r>
              <w:rPr>
                <w:rFonts w:hint="eastAsia" w:ascii="宋体" w:hAnsi="宋体"/>
                <w:color w:val="auto"/>
                <w:szCs w:val="21"/>
                <w:highlight w:val="none"/>
              </w:rPr>
              <w:t>见投标文件（）页</w:t>
            </w:r>
          </w:p>
        </w:tc>
      </w:tr>
      <w:tr w14:paraId="11984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49D31664">
            <w:pPr>
              <w:spacing w:line="24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5049" w:type="dxa"/>
            <w:noWrap w:val="0"/>
            <w:vAlign w:val="center"/>
          </w:tcPr>
          <w:p w14:paraId="589B38E3">
            <w:pPr>
              <w:rPr>
                <w:rFonts w:hint="eastAsia" w:ascii="宋体" w:hAnsi="宋体"/>
                <w:color w:val="auto"/>
                <w:szCs w:val="21"/>
                <w:highlight w:val="none"/>
              </w:rPr>
            </w:pPr>
            <w:r>
              <w:rPr>
                <w:rFonts w:hint="eastAsia" w:ascii="宋体" w:hAnsi="宋体" w:cs="宋体"/>
                <w:color w:val="auto"/>
                <w:szCs w:val="21"/>
                <w:highlight w:val="none"/>
              </w:rPr>
              <w:t>按招标文件要求提交投标保证金；</w:t>
            </w:r>
          </w:p>
        </w:tc>
        <w:tc>
          <w:tcPr>
            <w:tcW w:w="2544" w:type="dxa"/>
            <w:noWrap w:val="0"/>
            <w:vAlign w:val="center"/>
          </w:tcPr>
          <w:p w14:paraId="7F9BE04C">
            <w:pPr>
              <w:spacing w:line="240" w:lineRule="exact"/>
              <w:rPr>
                <w:rFonts w:hint="eastAsia" w:ascii="宋体" w:hAnsi="宋体"/>
                <w:color w:val="auto"/>
                <w:szCs w:val="21"/>
                <w:highlight w:val="none"/>
              </w:rPr>
            </w:pPr>
            <w:r>
              <w:rPr>
                <w:rFonts w:hint="eastAsia" w:ascii="宋体" w:hAnsi="宋体"/>
                <w:color w:val="auto"/>
                <w:szCs w:val="21"/>
                <w:highlight w:val="none"/>
              </w:rPr>
              <w:t>见投标文件（）页</w:t>
            </w:r>
          </w:p>
        </w:tc>
      </w:tr>
      <w:tr w14:paraId="57C63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5E3936F5">
            <w:pPr>
              <w:spacing w:line="240" w:lineRule="exact"/>
              <w:jc w:val="center"/>
              <w:rPr>
                <w:rFonts w:hint="eastAsia" w:ascii="宋体" w:hAnsi="宋体"/>
                <w:color w:val="auto"/>
                <w:szCs w:val="21"/>
                <w:highlight w:val="none"/>
              </w:rPr>
            </w:pPr>
            <w:r>
              <w:rPr>
                <w:rFonts w:hint="eastAsia" w:ascii="宋体" w:hAnsi="宋体"/>
                <w:color w:val="auto"/>
                <w:szCs w:val="21"/>
                <w:highlight w:val="none"/>
              </w:rPr>
              <w:t>5</w:t>
            </w:r>
          </w:p>
        </w:tc>
        <w:tc>
          <w:tcPr>
            <w:tcW w:w="5049" w:type="dxa"/>
            <w:noWrap w:val="0"/>
            <w:vAlign w:val="center"/>
          </w:tcPr>
          <w:p w14:paraId="0C980233">
            <w:pPr>
              <w:rPr>
                <w:rFonts w:hint="eastAsia" w:ascii="宋体" w:hAnsi="宋体"/>
                <w:color w:val="auto"/>
                <w:szCs w:val="21"/>
                <w:highlight w:val="none"/>
              </w:rPr>
            </w:pPr>
            <w:r>
              <w:rPr>
                <w:rFonts w:hint="eastAsia" w:ascii="宋体" w:hAnsi="宋体" w:cs="宋体"/>
                <w:color w:val="auto"/>
                <w:szCs w:val="21"/>
                <w:highlight w:val="none"/>
              </w:rPr>
              <w:t>招标文件</w:t>
            </w:r>
            <w:r>
              <w:rPr>
                <w:rFonts w:hint="eastAsia" w:ascii="宋体" w:hAnsi="宋体" w:cs="宋体"/>
                <w:b/>
                <w:color w:val="auto"/>
                <w:szCs w:val="21"/>
                <w:highlight w:val="none"/>
              </w:rPr>
              <w:t>★</w:t>
            </w:r>
            <w:r>
              <w:rPr>
                <w:rFonts w:hint="eastAsia" w:ascii="宋体" w:hAnsi="宋体" w:cs="宋体"/>
                <w:color w:val="auto"/>
                <w:szCs w:val="21"/>
                <w:highlight w:val="none"/>
              </w:rPr>
              <w:t>号条款要求必须满足，投标文件的内容实质性满足招标文件无重大偏离或保留，否则按废标处理，没有出现违反法律、法规规定的情形；</w:t>
            </w:r>
          </w:p>
        </w:tc>
        <w:tc>
          <w:tcPr>
            <w:tcW w:w="2544" w:type="dxa"/>
            <w:noWrap w:val="0"/>
            <w:vAlign w:val="center"/>
          </w:tcPr>
          <w:p w14:paraId="620B2C93">
            <w:pPr>
              <w:spacing w:line="240" w:lineRule="exact"/>
              <w:rPr>
                <w:rFonts w:hint="eastAsia" w:ascii="宋体" w:hAnsi="宋体"/>
                <w:color w:val="auto"/>
                <w:szCs w:val="21"/>
                <w:highlight w:val="none"/>
              </w:rPr>
            </w:pPr>
            <w:r>
              <w:rPr>
                <w:rFonts w:hint="eastAsia" w:ascii="宋体" w:hAnsi="宋体"/>
                <w:color w:val="auto"/>
                <w:szCs w:val="21"/>
                <w:highlight w:val="none"/>
              </w:rPr>
              <w:t>见投标文件（）页</w:t>
            </w:r>
          </w:p>
        </w:tc>
      </w:tr>
      <w:tr w14:paraId="7195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39E8026E">
            <w:pPr>
              <w:spacing w:line="240" w:lineRule="exact"/>
              <w:jc w:val="center"/>
              <w:rPr>
                <w:rFonts w:hint="eastAsia" w:ascii="宋体" w:hAnsi="宋体"/>
                <w:color w:val="auto"/>
                <w:szCs w:val="21"/>
                <w:highlight w:val="none"/>
              </w:rPr>
            </w:pPr>
            <w:r>
              <w:rPr>
                <w:rFonts w:hint="eastAsia" w:ascii="宋体" w:hAnsi="宋体"/>
                <w:color w:val="auto"/>
                <w:szCs w:val="21"/>
                <w:highlight w:val="none"/>
              </w:rPr>
              <w:t>6</w:t>
            </w:r>
          </w:p>
        </w:tc>
        <w:tc>
          <w:tcPr>
            <w:tcW w:w="5049" w:type="dxa"/>
            <w:noWrap w:val="0"/>
            <w:vAlign w:val="center"/>
          </w:tcPr>
          <w:p w14:paraId="4437D597">
            <w:pPr>
              <w:rPr>
                <w:rFonts w:hint="eastAsia" w:ascii="宋体" w:hAnsi="宋体"/>
                <w:color w:val="auto"/>
                <w:szCs w:val="21"/>
                <w:highlight w:val="none"/>
              </w:rPr>
            </w:pPr>
            <w:r>
              <w:rPr>
                <w:rFonts w:hint="eastAsia" w:ascii="宋体" w:hAnsi="宋体" w:cs="宋体"/>
                <w:color w:val="auto"/>
                <w:szCs w:val="21"/>
                <w:highlight w:val="none"/>
              </w:rPr>
              <w:t>投标文件未附有招标人不能接受的条件的。</w:t>
            </w:r>
          </w:p>
        </w:tc>
        <w:tc>
          <w:tcPr>
            <w:tcW w:w="2544" w:type="dxa"/>
            <w:noWrap w:val="0"/>
            <w:vAlign w:val="center"/>
          </w:tcPr>
          <w:p w14:paraId="70A2967E">
            <w:pPr>
              <w:spacing w:line="240" w:lineRule="exact"/>
              <w:rPr>
                <w:rFonts w:hint="eastAsia" w:ascii="宋体" w:hAnsi="宋体"/>
                <w:color w:val="auto"/>
                <w:szCs w:val="21"/>
                <w:highlight w:val="none"/>
              </w:rPr>
            </w:pPr>
            <w:r>
              <w:rPr>
                <w:rFonts w:hint="eastAsia" w:ascii="宋体" w:hAnsi="宋体"/>
                <w:color w:val="auto"/>
                <w:szCs w:val="21"/>
                <w:highlight w:val="none"/>
              </w:rPr>
              <w:t>见投标文件（）页</w:t>
            </w:r>
          </w:p>
        </w:tc>
      </w:tr>
    </w:tbl>
    <w:p w14:paraId="556A19D1">
      <w:pPr>
        <w:jc w:val="left"/>
        <w:rPr>
          <w:rFonts w:hint="eastAsia" w:ascii="宋体" w:hAnsi="宋体"/>
          <w:color w:val="auto"/>
          <w:szCs w:val="21"/>
          <w:highlight w:val="none"/>
        </w:rPr>
      </w:pPr>
    </w:p>
    <w:p w14:paraId="09B770A2">
      <w:pPr>
        <w:jc w:val="center"/>
        <w:rPr>
          <w:rFonts w:hint="eastAsia" w:ascii="宋体" w:hAnsi="宋体"/>
          <w:b/>
          <w:bCs/>
          <w:color w:val="auto"/>
          <w:sz w:val="28"/>
          <w:highlight w:val="none"/>
        </w:rPr>
      </w:pPr>
      <w:r>
        <w:rPr>
          <w:rFonts w:hint="eastAsia" w:ascii="宋体" w:hAnsi="宋体"/>
          <w:b/>
          <w:color w:val="auto"/>
          <w:sz w:val="28"/>
          <w:szCs w:val="28"/>
          <w:highlight w:val="none"/>
        </w:rPr>
        <w:t>符合性审查表（阶段二）</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5049"/>
        <w:gridCol w:w="2544"/>
      </w:tblGrid>
      <w:tr w14:paraId="4ABE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0A1F1576">
            <w:pPr>
              <w:spacing w:line="240" w:lineRule="atLeast"/>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5049" w:type="dxa"/>
            <w:noWrap w:val="0"/>
            <w:vAlign w:val="center"/>
          </w:tcPr>
          <w:p w14:paraId="044D7F22">
            <w:pPr>
              <w:spacing w:line="240" w:lineRule="atLeast"/>
              <w:jc w:val="center"/>
              <w:rPr>
                <w:rFonts w:hint="eastAsia" w:ascii="宋体" w:hAnsi="宋体"/>
                <w:b/>
                <w:color w:val="auto"/>
                <w:szCs w:val="21"/>
                <w:highlight w:val="none"/>
              </w:rPr>
            </w:pPr>
            <w:r>
              <w:rPr>
                <w:rFonts w:hint="eastAsia" w:ascii="宋体" w:hAnsi="宋体"/>
                <w:b/>
                <w:color w:val="auto"/>
                <w:szCs w:val="21"/>
                <w:highlight w:val="none"/>
              </w:rPr>
              <w:t>审查内容</w:t>
            </w:r>
          </w:p>
        </w:tc>
        <w:tc>
          <w:tcPr>
            <w:tcW w:w="2544" w:type="dxa"/>
            <w:noWrap w:val="0"/>
            <w:vAlign w:val="center"/>
          </w:tcPr>
          <w:p w14:paraId="442F2C42">
            <w:pPr>
              <w:spacing w:line="240" w:lineRule="atLeast"/>
              <w:jc w:val="center"/>
              <w:rPr>
                <w:rFonts w:hint="eastAsia" w:ascii="宋体" w:hAnsi="宋体"/>
                <w:b/>
                <w:color w:val="auto"/>
                <w:szCs w:val="21"/>
                <w:highlight w:val="none"/>
              </w:rPr>
            </w:pPr>
            <w:r>
              <w:rPr>
                <w:rFonts w:hint="eastAsia" w:ascii="宋体" w:hAnsi="宋体"/>
                <w:b/>
                <w:color w:val="auto"/>
                <w:szCs w:val="21"/>
                <w:highlight w:val="none"/>
              </w:rPr>
              <w:t>证明文件（如有）</w:t>
            </w:r>
          </w:p>
        </w:tc>
      </w:tr>
      <w:tr w14:paraId="545EF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3689272E">
            <w:pPr>
              <w:spacing w:line="24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5049" w:type="dxa"/>
            <w:noWrap w:val="0"/>
            <w:vAlign w:val="center"/>
          </w:tcPr>
          <w:p w14:paraId="10023965">
            <w:pPr>
              <w:rPr>
                <w:rFonts w:hint="eastAsia" w:ascii="宋体" w:hAnsi="宋体"/>
                <w:color w:val="auto"/>
                <w:szCs w:val="21"/>
                <w:highlight w:val="none"/>
              </w:rPr>
            </w:pPr>
            <w:r>
              <w:rPr>
                <w:rFonts w:hint="eastAsia" w:ascii="宋体" w:hAnsi="宋体" w:cs="宋体"/>
                <w:color w:val="auto"/>
                <w:szCs w:val="21"/>
                <w:highlight w:val="none"/>
              </w:rPr>
              <w:t>投标人的商务评分未低于招标文件规定的商务得分比例</w:t>
            </w:r>
            <w:r>
              <w:rPr>
                <w:rFonts w:hint="eastAsia" w:ascii="宋体" w:hAnsi="宋体" w:cs="宋体"/>
                <w:color w:val="auto"/>
                <w:kern w:val="0"/>
                <w:szCs w:val="21"/>
                <w:highlight w:val="none"/>
                <w:lang w:bidi="ar"/>
              </w:rPr>
              <w:t>；</w:t>
            </w:r>
          </w:p>
        </w:tc>
        <w:tc>
          <w:tcPr>
            <w:tcW w:w="2544" w:type="dxa"/>
            <w:noWrap w:val="0"/>
            <w:vAlign w:val="center"/>
          </w:tcPr>
          <w:p w14:paraId="6789C659">
            <w:pPr>
              <w:spacing w:line="240" w:lineRule="exact"/>
              <w:rPr>
                <w:rFonts w:hint="eastAsia" w:ascii="宋体" w:hAnsi="宋体"/>
                <w:color w:val="auto"/>
                <w:szCs w:val="21"/>
                <w:highlight w:val="none"/>
              </w:rPr>
            </w:pPr>
            <w:r>
              <w:rPr>
                <w:rFonts w:hint="eastAsia" w:ascii="宋体" w:hAnsi="宋体"/>
                <w:color w:val="auto"/>
                <w:szCs w:val="21"/>
                <w:highlight w:val="none"/>
              </w:rPr>
              <w:t>见投标文件（）页</w:t>
            </w:r>
          </w:p>
        </w:tc>
      </w:tr>
      <w:tr w14:paraId="0CE8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1C0E221D">
            <w:pPr>
              <w:spacing w:line="24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5049" w:type="dxa"/>
            <w:noWrap w:val="0"/>
            <w:vAlign w:val="center"/>
          </w:tcPr>
          <w:p w14:paraId="7103E788">
            <w:pPr>
              <w:rPr>
                <w:rFonts w:hint="eastAsia" w:ascii="宋体" w:hAnsi="宋体"/>
                <w:color w:val="auto"/>
                <w:szCs w:val="21"/>
                <w:highlight w:val="none"/>
              </w:rPr>
            </w:pPr>
            <w:r>
              <w:rPr>
                <w:rFonts w:hint="eastAsia" w:ascii="宋体" w:hAnsi="宋体" w:cs="宋体"/>
                <w:color w:val="auto"/>
                <w:szCs w:val="21"/>
                <w:highlight w:val="none"/>
              </w:rPr>
              <w:t>投标人的投标报价没有超过本项目的最高限价；</w:t>
            </w:r>
          </w:p>
        </w:tc>
        <w:tc>
          <w:tcPr>
            <w:tcW w:w="2544" w:type="dxa"/>
            <w:noWrap w:val="0"/>
            <w:vAlign w:val="center"/>
          </w:tcPr>
          <w:p w14:paraId="251A6521">
            <w:pPr>
              <w:spacing w:line="240" w:lineRule="exact"/>
              <w:rPr>
                <w:rFonts w:ascii="宋体" w:hAnsi="宋体"/>
                <w:color w:val="auto"/>
                <w:szCs w:val="21"/>
                <w:highlight w:val="none"/>
              </w:rPr>
            </w:pPr>
            <w:r>
              <w:rPr>
                <w:rFonts w:hint="eastAsia" w:ascii="宋体" w:hAnsi="宋体"/>
                <w:color w:val="auto"/>
                <w:szCs w:val="21"/>
                <w:highlight w:val="none"/>
              </w:rPr>
              <w:t>见投标文件（）页</w:t>
            </w:r>
          </w:p>
        </w:tc>
      </w:tr>
      <w:tr w14:paraId="231D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505B0167">
            <w:pPr>
              <w:spacing w:line="240" w:lineRule="exact"/>
              <w:jc w:val="center"/>
              <w:rPr>
                <w:rFonts w:hint="eastAsia" w:ascii="宋体" w:hAnsi="宋体"/>
                <w:color w:val="auto"/>
                <w:szCs w:val="21"/>
                <w:highlight w:val="none"/>
              </w:rPr>
            </w:pPr>
            <w:r>
              <w:rPr>
                <w:rFonts w:hint="eastAsia" w:ascii="宋体" w:hAnsi="宋体"/>
                <w:color w:val="auto"/>
                <w:szCs w:val="21"/>
                <w:highlight w:val="none"/>
              </w:rPr>
              <w:t>3</w:t>
            </w:r>
          </w:p>
        </w:tc>
        <w:tc>
          <w:tcPr>
            <w:tcW w:w="5049" w:type="dxa"/>
            <w:noWrap w:val="0"/>
            <w:vAlign w:val="center"/>
          </w:tcPr>
          <w:p w14:paraId="01074AD2">
            <w:pPr>
              <w:rPr>
                <w:rFonts w:hint="eastAsia" w:ascii="宋体" w:hAnsi="宋体"/>
                <w:color w:val="auto"/>
                <w:szCs w:val="21"/>
                <w:highlight w:val="none"/>
              </w:rPr>
            </w:pPr>
            <w:r>
              <w:rPr>
                <w:rFonts w:hint="eastAsia" w:ascii="宋体" w:hAnsi="宋体" w:cs="宋体"/>
                <w:color w:val="auto"/>
                <w:szCs w:val="21"/>
                <w:highlight w:val="none"/>
              </w:rPr>
              <w:t>投标人不得递交两份或多份内容不同的投标文件，在一份投标文件中对同一招标</w:t>
            </w:r>
            <w:r>
              <w:rPr>
                <w:rFonts w:hint="eastAsia" w:ascii="宋体" w:hAnsi="宋体" w:cs="宋体"/>
                <w:color w:val="auto"/>
                <w:szCs w:val="21"/>
                <w:highlight w:val="none"/>
                <w:lang w:val="en-US" w:eastAsia="zh-CN"/>
              </w:rPr>
              <w:t>内容</w:t>
            </w:r>
            <w:r>
              <w:rPr>
                <w:rFonts w:hint="eastAsia" w:ascii="宋体" w:hAnsi="宋体" w:cs="宋体"/>
                <w:color w:val="auto"/>
                <w:szCs w:val="21"/>
                <w:highlight w:val="none"/>
              </w:rPr>
              <w:t>报有两个或多个报价时必须声明哪一个为最终报价；</w:t>
            </w:r>
          </w:p>
        </w:tc>
        <w:tc>
          <w:tcPr>
            <w:tcW w:w="2544" w:type="dxa"/>
            <w:noWrap w:val="0"/>
            <w:vAlign w:val="center"/>
          </w:tcPr>
          <w:p w14:paraId="65C8ADE5">
            <w:pPr>
              <w:spacing w:line="240" w:lineRule="exact"/>
              <w:rPr>
                <w:rFonts w:hint="eastAsia" w:ascii="宋体" w:hAnsi="宋体"/>
                <w:color w:val="auto"/>
                <w:szCs w:val="21"/>
                <w:highlight w:val="none"/>
              </w:rPr>
            </w:pPr>
            <w:r>
              <w:rPr>
                <w:rFonts w:hint="eastAsia" w:ascii="宋体" w:hAnsi="宋体"/>
                <w:color w:val="auto"/>
                <w:szCs w:val="21"/>
                <w:highlight w:val="none"/>
              </w:rPr>
              <w:t>见投标文件（）页</w:t>
            </w:r>
          </w:p>
        </w:tc>
      </w:tr>
      <w:tr w14:paraId="59AD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5" w:type="dxa"/>
            <w:noWrap w:val="0"/>
            <w:vAlign w:val="center"/>
          </w:tcPr>
          <w:p w14:paraId="4C69B1B6">
            <w:pPr>
              <w:spacing w:line="240" w:lineRule="exact"/>
              <w:jc w:val="center"/>
              <w:rPr>
                <w:rFonts w:hint="eastAsia" w:ascii="宋体" w:hAnsi="宋体"/>
                <w:color w:val="auto"/>
                <w:szCs w:val="21"/>
                <w:highlight w:val="none"/>
              </w:rPr>
            </w:pPr>
            <w:r>
              <w:rPr>
                <w:rFonts w:hint="eastAsia" w:ascii="宋体" w:hAnsi="宋体"/>
                <w:color w:val="auto"/>
                <w:szCs w:val="21"/>
                <w:highlight w:val="none"/>
              </w:rPr>
              <w:t>4</w:t>
            </w:r>
          </w:p>
        </w:tc>
        <w:tc>
          <w:tcPr>
            <w:tcW w:w="5049" w:type="dxa"/>
            <w:noWrap w:val="0"/>
            <w:vAlign w:val="center"/>
          </w:tcPr>
          <w:p w14:paraId="3D424890">
            <w:pPr>
              <w:rPr>
                <w:rFonts w:hint="eastAsia" w:ascii="宋体" w:hAnsi="宋体"/>
                <w:color w:val="auto"/>
                <w:szCs w:val="21"/>
                <w:highlight w:val="none"/>
              </w:rPr>
            </w:pPr>
            <w:r>
              <w:rPr>
                <w:rFonts w:hint="eastAsia" w:ascii="宋体" w:hAnsi="宋体" w:cs="宋体"/>
                <w:color w:val="auto"/>
                <w:kern w:val="0"/>
                <w:szCs w:val="21"/>
                <w:highlight w:val="none"/>
                <w:lang w:bidi="ar"/>
              </w:rPr>
              <w:t>无招标文件中规定的其他无效投标的内容。</w:t>
            </w:r>
          </w:p>
        </w:tc>
        <w:tc>
          <w:tcPr>
            <w:tcW w:w="2544" w:type="dxa"/>
            <w:noWrap w:val="0"/>
            <w:vAlign w:val="center"/>
          </w:tcPr>
          <w:p w14:paraId="6C8DEC57">
            <w:pPr>
              <w:spacing w:line="240" w:lineRule="exact"/>
              <w:rPr>
                <w:rFonts w:hint="eastAsia" w:ascii="宋体" w:hAnsi="宋体"/>
                <w:color w:val="auto"/>
                <w:szCs w:val="21"/>
                <w:highlight w:val="none"/>
              </w:rPr>
            </w:pPr>
            <w:r>
              <w:rPr>
                <w:rFonts w:hint="eastAsia" w:ascii="宋体" w:hAnsi="宋体"/>
                <w:color w:val="auto"/>
                <w:szCs w:val="21"/>
                <w:highlight w:val="none"/>
              </w:rPr>
              <w:t>见投标文件（）页</w:t>
            </w:r>
          </w:p>
        </w:tc>
      </w:tr>
    </w:tbl>
    <w:p w14:paraId="6E733C1C">
      <w:pPr>
        <w:jc w:val="left"/>
        <w:rPr>
          <w:rFonts w:hint="eastAsia" w:ascii="宋体" w:hAnsi="宋体" w:cs="宋体"/>
          <w:b/>
          <w:bCs/>
          <w:color w:val="auto"/>
          <w:sz w:val="28"/>
          <w:highlight w:val="none"/>
        </w:rPr>
      </w:pPr>
      <w:r>
        <w:rPr>
          <w:rFonts w:hint="eastAsia" w:ascii="宋体" w:hAnsi="宋体"/>
          <w:color w:val="auto"/>
          <w:szCs w:val="21"/>
          <w:highlight w:val="none"/>
        </w:rPr>
        <w:t>注：以上（阶段一、阶段二）的材料将作为投标人符合性审查的重要内容，投标人必须严格按照其内容及序列要求在投标文件中对应如实提供，对符合性证明文件的任何缺漏和不符合项将会直接导致无效投标</w:t>
      </w:r>
      <w:r>
        <w:rPr>
          <w:rFonts w:hint="eastAsia" w:ascii="宋体" w:hAnsi="宋体" w:cs="宋体"/>
          <w:color w:val="auto"/>
          <w:szCs w:val="21"/>
          <w:highlight w:val="none"/>
        </w:rPr>
        <w:t>！</w:t>
      </w:r>
    </w:p>
    <w:p w14:paraId="11A60FAA">
      <w:pPr>
        <w:jc w:val="center"/>
        <w:rPr>
          <w:rFonts w:hint="eastAsia" w:ascii="宋体" w:hAnsi="宋体" w:cs="宋体"/>
          <w:b/>
          <w:bCs/>
          <w:color w:val="auto"/>
          <w:sz w:val="28"/>
          <w:highlight w:val="none"/>
        </w:rPr>
      </w:pPr>
    </w:p>
    <w:p w14:paraId="157F4B95">
      <w:pPr>
        <w:jc w:val="center"/>
        <w:rPr>
          <w:rFonts w:hint="eastAsia" w:ascii="宋体" w:hAnsi="宋体" w:cs="宋体"/>
          <w:b/>
          <w:bCs/>
          <w:color w:val="auto"/>
          <w:sz w:val="30"/>
          <w:highlight w:val="none"/>
        </w:rPr>
      </w:pPr>
      <w:r>
        <w:rPr>
          <w:rFonts w:hint="eastAsia" w:ascii="宋体" w:hAnsi="宋体" w:cs="宋体"/>
          <w:b/>
          <w:bCs/>
          <w:color w:val="auto"/>
          <w:sz w:val="28"/>
          <w:highlight w:val="none"/>
        </w:rPr>
        <w:t>技术评审自查表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5036"/>
        <w:gridCol w:w="2558"/>
      </w:tblGrid>
      <w:tr w14:paraId="6E79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 w:type="dxa"/>
            <w:noWrap w:val="0"/>
            <w:vAlign w:val="center"/>
          </w:tcPr>
          <w:p w14:paraId="796D5EEC">
            <w:pPr>
              <w:spacing w:line="24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5036" w:type="dxa"/>
            <w:noWrap w:val="0"/>
            <w:vAlign w:val="center"/>
          </w:tcPr>
          <w:p w14:paraId="02468C5D">
            <w:pPr>
              <w:spacing w:line="24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评审内容</w:t>
            </w:r>
          </w:p>
        </w:tc>
        <w:tc>
          <w:tcPr>
            <w:tcW w:w="2558" w:type="dxa"/>
            <w:noWrap w:val="0"/>
            <w:vAlign w:val="center"/>
          </w:tcPr>
          <w:p w14:paraId="639140AB">
            <w:pPr>
              <w:spacing w:line="240" w:lineRule="atLeast"/>
              <w:jc w:val="center"/>
              <w:rPr>
                <w:rFonts w:hint="eastAsia" w:ascii="宋体" w:hAnsi="宋体" w:cs="宋体"/>
                <w:b/>
                <w:color w:val="auto"/>
                <w:szCs w:val="21"/>
                <w:highlight w:val="none"/>
              </w:rPr>
            </w:pPr>
            <w:r>
              <w:rPr>
                <w:rFonts w:hint="eastAsia" w:ascii="宋体" w:hAnsi="宋体" w:cs="宋体"/>
                <w:b/>
                <w:color w:val="auto"/>
                <w:szCs w:val="21"/>
                <w:highlight w:val="none"/>
              </w:rPr>
              <w:t>证明文件（如有）</w:t>
            </w:r>
          </w:p>
        </w:tc>
      </w:tr>
      <w:tr w14:paraId="5DEB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 w:type="dxa"/>
            <w:noWrap w:val="0"/>
            <w:vAlign w:val="center"/>
          </w:tcPr>
          <w:p w14:paraId="6B79D10F">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5036" w:type="dxa"/>
            <w:noWrap w:val="0"/>
            <w:vAlign w:val="center"/>
          </w:tcPr>
          <w:p w14:paraId="73AC1A6B">
            <w:pPr>
              <w:pStyle w:val="34"/>
              <w:spacing w:line="360" w:lineRule="auto"/>
              <w:jc w:val="left"/>
              <w:rPr>
                <w:rFonts w:hint="eastAsia" w:ascii="宋体" w:hAnsi="宋体" w:cs="宋体"/>
                <w:color w:val="auto"/>
                <w:szCs w:val="21"/>
                <w:highlight w:val="none"/>
              </w:rPr>
            </w:pPr>
          </w:p>
        </w:tc>
        <w:tc>
          <w:tcPr>
            <w:tcW w:w="2558" w:type="dxa"/>
            <w:noWrap w:val="0"/>
            <w:vAlign w:val="center"/>
          </w:tcPr>
          <w:p w14:paraId="75EC8404">
            <w:pPr>
              <w:spacing w:line="240" w:lineRule="exact"/>
              <w:rPr>
                <w:rFonts w:hint="eastAsia" w:ascii="宋体" w:hAnsi="宋体" w:cs="宋体"/>
                <w:color w:val="auto"/>
                <w:szCs w:val="21"/>
                <w:highlight w:val="none"/>
              </w:rPr>
            </w:pPr>
            <w:r>
              <w:rPr>
                <w:rFonts w:hint="eastAsia" w:ascii="宋体" w:hAnsi="宋体" w:cs="宋体"/>
                <w:color w:val="auto"/>
                <w:szCs w:val="21"/>
                <w:highlight w:val="none"/>
              </w:rPr>
              <w:t>见投标文件（）页</w:t>
            </w:r>
          </w:p>
        </w:tc>
      </w:tr>
      <w:tr w14:paraId="28373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 w:type="dxa"/>
            <w:noWrap w:val="0"/>
            <w:vAlign w:val="center"/>
          </w:tcPr>
          <w:p w14:paraId="56AF3B9C">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5036" w:type="dxa"/>
            <w:noWrap w:val="0"/>
            <w:vAlign w:val="center"/>
          </w:tcPr>
          <w:p w14:paraId="564CC1CC">
            <w:pPr>
              <w:pStyle w:val="34"/>
              <w:spacing w:line="360" w:lineRule="auto"/>
              <w:jc w:val="left"/>
              <w:rPr>
                <w:rFonts w:hint="eastAsia" w:ascii="宋体" w:hAnsi="宋体" w:cs="宋体"/>
                <w:color w:val="auto"/>
                <w:szCs w:val="21"/>
                <w:highlight w:val="none"/>
              </w:rPr>
            </w:pPr>
          </w:p>
        </w:tc>
        <w:tc>
          <w:tcPr>
            <w:tcW w:w="2558" w:type="dxa"/>
            <w:noWrap w:val="0"/>
            <w:vAlign w:val="center"/>
          </w:tcPr>
          <w:p w14:paraId="7159C29C">
            <w:pPr>
              <w:spacing w:line="240" w:lineRule="exact"/>
              <w:rPr>
                <w:rFonts w:hint="eastAsia" w:ascii="宋体" w:hAnsi="宋体" w:cs="宋体"/>
                <w:color w:val="auto"/>
                <w:szCs w:val="21"/>
                <w:highlight w:val="none"/>
              </w:rPr>
            </w:pPr>
            <w:r>
              <w:rPr>
                <w:rFonts w:hint="eastAsia" w:ascii="宋体" w:hAnsi="宋体" w:cs="宋体"/>
                <w:color w:val="auto"/>
                <w:szCs w:val="21"/>
                <w:highlight w:val="none"/>
              </w:rPr>
              <w:t>见投标文件（）页</w:t>
            </w:r>
          </w:p>
        </w:tc>
      </w:tr>
      <w:tr w14:paraId="5D1B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 w:type="dxa"/>
            <w:noWrap w:val="0"/>
            <w:vAlign w:val="center"/>
          </w:tcPr>
          <w:p w14:paraId="5F42A295">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5036" w:type="dxa"/>
            <w:noWrap w:val="0"/>
            <w:vAlign w:val="center"/>
          </w:tcPr>
          <w:p w14:paraId="1FC69883">
            <w:pPr>
              <w:spacing w:line="360" w:lineRule="auto"/>
              <w:jc w:val="left"/>
              <w:rPr>
                <w:rFonts w:hint="eastAsia" w:ascii="宋体" w:hAnsi="宋体" w:cs="宋体"/>
                <w:color w:val="auto"/>
                <w:szCs w:val="21"/>
                <w:highlight w:val="none"/>
              </w:rPr>
            </w:pPr>
          </w:p>
        </w:tc>
        <w:tc>
          <w:tcPr>
            <w:tcW w:w="2558" w:type="dxa"/>
            <w:noWrap w:val="0"/>
            <w:vAlign w:val="center"/>
          </w:tcPr>
          <w:p w14:paraId="53C08E36">
            <w:pPr>
              <w:spacing w:line="240" w:lineRule="exact"/>
              <w:rPr>
                <w:rFonts w:hint="eastAsia" w:ascii="宋体" w:hAnsi="宋体" w:cs="宋体"/>
                <w:color w:val="auto"/>
                <w:szCs w:val="21"/>
                <w:highlight w:val="none"/>
              </w:rPr>
            </w:pPr>
            <w:r>
              <w:rPr>
                <w:rFonts w:hint="eastAsia" w:ascii="宋体" w:hAnsi="宋体" w:cs="宋体"/>
                <w:color w:val="auto"/>
                <w:szCs w:val="21"/>
                <w:highlight w:val="none"/>
              </w:rPr>
              <w:t>见投标文件（）页</w:t>
            </w:r>
          </w:p>
        </w:tc>
      </w:tr>
      <w:tr w14:paraId="4743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 w:type="dxa"/>
            <w:noWrap w:val="0"/>
            <w:vAlign w:val="center"/>
          </w:tcPr>
          <w:p w14:paraId="751445DF">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5036" w:type="dxa"/>
            <w:noWrap w:val="0"/>
            <w:vAlign w:val="center"/>
          </w:tcPr>
          <w:p w14:paraId="6CAAA950">
            <w:pPr>
              <w:adjustRightInd w:val="0"/>
              <w:snapToGrid w:val="0"/>
              <w:jc w:val="left"/>
              <w:rPr>
                <w:rFonts w:hint="eastAsia" w:ascii="宋体" w:hAnsi="宋体" w:cs="宋体"/>
                <w:color w:val="auto"/>
                <w:szCs w:val="21"/>
                <w:highlight w:val="none"/>
              </w:rPr>
            </w:pPr>
          </w:p>
        </w:tc>
        <w:tc>
          <w:tcPr>
            <w:tcW w:w="2558" w:type="dxa"/>
            <w:noWrap w:val="0"/>
            <w:vAlign w:val="center"/>
          </w:tcPr>
          <w:p w14:paraId="3366CD61">
            <w:pPr>
              <w:spacing w:line="240" w:lineRule="exact"/>
              <w:rPr>
                <w:rFonts w:hint="eastAsia" w:ascii="宋体" w:hAnsi="宋体" w:cs="宋体"/>
                <w:color w:val="auto"/>
                <w:szCs w:val="21"/>
                <w:highlight w:val="none"/>
              </w:rPr>
            </w:pPr>
            <w:r>
              <w:rPr>
                <w:rFonts w:hint="eastAsia" w:ascii="宋体" w:hAnsi="宋体" w:cs="宋体"/>
                <w:color w:val="auto"/>
                <w:szCs w:val="21"/>
                <w:highlight w:val="none"/>
              </w:rPr>
              <w:t>见投标文件（）页</w:t>
            </w:r>
          </w:p>
        </w:tc>
      </w:tr>
      <w:tr w14:paraId="48D4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4" w:type="dxa"/>
            <w:noWrap w:val="0"/>
            <w:vAlign w:val="center"/>
          </w:tcPr>
          <w:p w14:paraId="68AA1350">
            <w:pPr>
              <w:spacing w:line="240" w:lineRule="exact"/>
              <w:jc w:val="center"/>
              <w:rPr>
                <w:rFonts w:hint="eastAsia" w:ascii="宋体" w:hAnsi="宋体" w:cs="宋体"/>
                <w:color w:val="auto"/>
                <w:szCs w:val="21"/>
                <w:highlight w:val="none"/>
              </w:rPr>
            </w:pPr>
          </w:p>
        </w:tc>
        <w:tc>
          <w:tcPr>
            <w:tcW w:w="5036" w:type="dxa"/>
            <w:noWrap w:val="0"/>
            <w:vAlign w:val="center"/>
          </w:tcPr>
          <w:p w14:paraId="1193E6E4">
            <w:pPr>
              <w:adjustRightInd w:val="0"/>
              <w:snapToGrid w:val="0"/>
              <w:jc w:val="left"/>
              <w:rPr>
                <w:rFonts w:hint="eastAsia" w:ascii="宋体" w:hAnsi="宋体" w:cs="宋体"/>
                <w:color w:val="auto"/>
                <w:highlight w:val="none"/>
              </w:rPr>
            </w:pPr>
            <w:r>
              <w:rPr>
                <w:rFonts w:hint="eastAsia" w:ascii="宋体" w:hAnsi="宋体" w:cs="宋体"/>
                <w:color w:val="auto"/>
                <w:highlight w:val="none"/>
              </w:rPr>
              <w:t>...</w:t>
            </w:r>
          </w:p>
        </w:tc>
        <w:tc>
          <w:tcPr>
            <w:tcW w:w="2558" w:type="dxa"/>
            <w:noWrap w:val="0"/>
            <w:vAlign w:val="center"/>
          </w:tcPr>
          <w:p w14:paraId="0D5E8CFA">
            <w:pPr>
              <w:spacing w:line="240" w:lineRule="exact"/>
              <w:rPr>
                <w:rFonts w:hint="eastAsia" w:ascii="宋体" w:hAnsi="宋体" w:cs="宋体"/>
                <w:color w:val="auto"/>
                <w:szCs w:val="21"/>
                <w:highlight w:val="none"/>
              </w:rPr>
            </w:pPr>
          </w:p>
        </w:tc>
      </w:tr>
    </w:tbl>
    <w:p w14:paraId="2FD06FA1">
      <w:pPr>
        <w:pStyle w:val="13"/>
        <w:spacing w:after="0"/>
        <w:ind w:left="424" w:hanging="424" w:hangingChars="202"/>
        <w:rPr>
          <w:rFonts w:hint="eastAsia" w:ascii="宋体" w:hAnsi="宋体" w:cs="宋体"/>
          <w:color w:val="auto"/>
          <w:sz w:val="21"/>
          <w:szCs w:val="21"/>
          <w:highlight w:val="none"/>
          <w:lang w:val="en-GB"/>
        </w:rPr>
      </w:pPr>
    </w:p>
    <w:p w14:paraId="1FE9B126">
      <w:pPr>
        <w:pStyle w:val="13"/>
        <w:spacing w:after="0"/>
        <w:rPr>
          <w:rFonts w:hint="eastAsia" w:ascii="宋体" w:hAnsi="宋体" w:cs="宋体"/>
          <w:color w:val="auto"/>
          <w:sz w:val="21"/>
          <w:szCs w:val="21"/>
          <w:highlight w:val="none"/>
        </w:rPr>
      </w:pPr>
    </w:p>
    <w:p w14:paraId="279E76DB">
      <w:pPr>
        <w:jc w:val="center"/>
        <w:rPr>
          <w:rFonts w:hint="eastAsia" w:ascii="宋体" w:hAnsi="宋体" w:cs="宋体"/>
          <w:b/>
          <w:bCs/>
          <w:color w:val="auto"/>
          <w:sz w:val="28"/>
          <w:highlight w:val="none"/>
        </w:rPr>
      </w:pPr>
      <w:r>
        <w:rPr>
          <w:rFonts w:hint="eastAsia" w:ascii="宋体" w:hAnsi="宋体" w:cs="宋体"/>
          <w:b/>
          <w:bCs/>
          <w:color w:val="auto"/>
          <w:sz w:val="28"/>
          <w:highlight w:val="none"/>
        </w:rPr>
        <w:t>商务评审自查表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5050"/>
        <w:gridCol w:w="2562"/>
      </w:tblGrid>
      <w:tr w14:paraId="3262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noWrap w:val="0"/>
            <w:vAlign w:val="center"/>
          </w:tcPr>
          <w:p w14:paraId="7D291EB1">
            <w:pPr>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5050" w:type="dxa"/>
            <w:noWrap w:val="0"/>
            <w:vAlign w:val="center"/>
          </w:tcPr>
          <w:p w14:paraId="0373A20D">
            <w:pPr>
              <w:jc w:val="center"/>
              <w:rPr>
                <w:rFonts w:hint="eastAsia" w:ascii="宋体" w:hAnsi="宋体" w:cs="宋体"/>
                <w:b/>
                <w:color w:val="auto"/>
                <w:szCs w:val="21"/>
                <w:highlight w:val="none"/>
              </w:rPr>
            </w:pPr>
            <w:r>
              <w:rPr>
                <w:rFonts w:hint="eastAsia" w:ascii="宋体" w:hAnsi="宋体" w:cs="宋体"/>
                <w:b/>
                <w:color w:val="auto"/>
                <w:szCs w:val="21"/>
                <w:highlight w:val="none"/>
              </w:rPr>
              <w:t>评审内容</w:t>
            </w:r>
          </w:p>
        </w:tc>
        <w:tc>
          <w:tcPr>
            <w:tcW w:w="2562" w:type="dxa"/>
            <w:noWrap w:val="0"/>
            <w:vAlign w:val="center"/>
          </w:tcPr>
          <w:p w14:paraId="01CA47AC">
            <w:pPr>
              <w:jc w:val="center"/>
              <w:rPr>
                <w:rFonts w:hint="eastAsia" w:ascii="宋体" w:hAnsi="宋体" w:cs="宋体"/>
                <w:b/>
                <w:color w:val="auto"/>
                <w:szCs w:val="21"/>
                <w:highlight w:val="none"/>
              </w:rPr>
            </w:pPr>
            <w:r>
              <w:rPr>
                <w:rFonts w:hint="eastAsia" w:ascii="宋体" w:hAnsi="宋体" w:cs="宋体"/>
                <w:b/>
                <w:color w:val="auto"/>
                <w:szCs w:val="21"/>
                <w:highlight w:val="none"/>
              </w:rPr>
              <w:t>证明文件（如有）</w:t>
            </w:r>
          </w:p>
        </w:tc>
      </w:tr>
      <w:tr w14:paraId="08766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noWrap w:val="0"/>
            <w:vAlign w:val="center"/>
          </w:tcPr>
          <w:p w14:paraId="703A9CF3">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5050" w:type="dxa"/>
            <w:noWrap w:val="0"/>
            <w:vAlign w:val="center"/>
          </w:tcPr>
          <w:p w14:paraId="0447223F">
            <w:pPr>
              <w:jc w:val="left"/>
              <w:rPr>
                <w:rFonts w:hint="eastAsia" w:ascii="宋体" w:hAnsi="宋体" w:cs="宋体"/>
                <w:color w:val="auto"/>
                <w:szCs w:val="18"/>
                <w:highlight w:val="none"/>
              </w:rPr>
            </w:pPr>
          </w:p>
        </w:tc>
        <w:tc>
          <w:tcPr>
            <w:tcW w:w="2562" w:type="dxa"/>
            <w:noWrap w:val="0"/>
            <w:vAlign w:val="center"/>
          </w:tcPr>
          <w:p w14:paraId="0021C547">
            <w:pPr>
              <w:rPr>
                <w:rFonts w:hint="eastAsia" w:ascii="宋体" w:hAnsi="宋体" w:cs="宋体"/>
                <w:color w:val="auto"/>
                <w:szCs w:val="21"/>
                <w:highlight w:val="none"/>
              </w:rPr>
            </w:pPr>
            <w:r>
              <w:rPr>
                <w:rFonts w:hint="eastAsia" w:ascii="宋体" w:hAnsi="宋体" w:cs="宋体"/>
                <w:color w:val="auto"/>
                <w:szCs w:val="21"/>
                <w:highlight w:val="none"/>
              </w:rPr>
              <w:t>见投标文件（）页</w:t>
            </w:r>
          </w:p>
        </w:tc>
      </w:tr>
      <w:tr w14:paraId="3E19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noWrap w:val="0"/>
            <w:vAlign w:val="center"/>
          </w:tcPr>
          <w:p w14:paraId="153424A6">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5050" w:type="dxa"/>
            <w:noWrap w:val="0"/>
            <w:vAlign w:val="center"/>
          </w:tcPr>
          <w:p w14:paraId="7632D005">
            <w:pPr>
              <w:jc w:val="left"/>
              <w:rPr>
                <w:rFonts w:hint="eastAsia" w:ascii="宋体" w:hAnsi="宋体" w:cs="宋体"/>
                <w:color w:val="auto"/>
                <w:szCs w:val="18"/>
                <w:highlight w:val="none"/>
              </w:rPr>
            </w:pPr>
          </w:p>
        </w:tc>
        <w:tc>
          <w:tcPr>
            <w:tcW w:w="2562" w:type="dxa"/>
            <w:noWrap w:val="0"/>
            <w:vAlign w:val="center"/>
          </w:tcPr>
          <w:p w14:paraId="2C045C16">
            <w:pPr>
              <w:rPr>
                <w:rFonts w:hint="eastAsia" w:ascii="宋体" w:hAnsi="宋体" w:cs="宋体"/>
                <w:color w:val="auto"/>
                <w:szCs w:val="21"/>
                <w:highlight w:val="none"/>
              </w:rPr>
            </w:pPr>
            <w:r>
              <w:rPr>
                <w:rFonts w:hint="eastAsia" w:ascii="宋体" w:hAnsi="宋体" w:cs="宋体"/>
                <w:color w:val="auto"/>
                <w:szCs w:val="21"/>
                <w:highlight w:val="none"/>
              </w:rPr>
              <w:t>见投标文件（）页</w:t>
            </w:r>
          </w:p>
        </w:tc>
      </w:tr>
      <w:tr w14:paraId="09E75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noWrap w:val="0"/>
            <w:vAlign w:val="center"/>
          </w:tcPr>
          <w:p w14:paraId="15C5BD58">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5050" w:type="dxa"/>
            <w:noWrap w:val="0"/>
            <w:vAlign w:val="center"/>
          </w:tcPr>
          <w:p w14:paraId="37F82B78">
            <w:pPr>
              <w:adjustRightInd w:val="0"/>
              <w:snapToGrid w:val="0"/>
              <w:jc w:val="left"/>
              <w:rPr>
                <w:rFonts w:hint="eastAsia" w:ascii="宋体" w:hAnsi="宋体" w:cs="宋体"/>
                <w:color w:val="auto"/>
                <w:szCs w:val="18"/>
                <w:highlight w:val="none"/>
              </w:rPr>
            </w:pPr>
          </w:p>
        </w:tc>
        <w:tc>
          <w:tcPr>
            <w:tcW w:w="2562" w:type="dxa"/>
            <w:noWrap w:val="0"/>
            <w:vAlign w:val="center"/>
          </w:tcPr>
          <w:p w14:paraId="3FF4D33C">
            <w:pPr>
              <w:rPr>
                <w:rFonts w:hint="eastAsia" w:ascii="宋体" w:hAnsi="宋体" w:cs="宋体"/>
                <w:color w:val="auto"/>
                <w:szCs w:val="21"/>
                <w:highlight w:val="none"/>
              </w:rPr>
            </w:pPr>
            <w:r>
              <w:rPr>
                <w:rFonts w:hint="eastAsia" w:ascii="宋体" w:hAnsi="宋体" w:cs="宋体"/>
                <w:color w:val="auto"/>
                <w:szCs w:val="21"/>
                <w:highlight w:val="none"/>
              </w:rPr>
              <w:t>见投标文件（）页</w:t>
            </w:r>
          </w:p>
        </w:tc>
      </w:tr>
      <w:tr w14:paraId="6DF91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noWrap w:val="0"/>
            <w:vAlign w:val="center"/>
          </w:tcPr>
          <w:p w14:paraId="70CBD7CB">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5050" w:type="dxa"/>
            <w:noWrap w:val="0"/>
            <w:vAlign w:val="center"/>
          </w:tcPr>
          <w:p w14:paraId="7DC140F2">
            <w:pPr>
              <w:adjustRightInd w:val="0"/>
              <w:snapToGrid w:val="0"/>
              <w:jc w:val="left"/>
              <w:rPr>
                <w:rFonts w:hint="eastAsia" w:ascii="宋体" w:hAnsi="宋体" w:cs="宋体"/>
                <w:color w:val="auto"/>
                <w:szCs w:val="18"/>
                <w:highlight w:val="none"/>
              </w:rPr>
            </w:pPr>
          </w:p>
        </w:tc>
        <w:tc>
          <w:tcPr>
            <w:tcW w:w="2562" w:type="dxa"/>
            <w:noWrap w:val="0"/>
            <w:vAlign w:val="center"/>
          </w:tcPr>
          <w:p w14:paraId="2CA97EEB">
            <w:pPr>
              <w:rPr>
                <w:rFonts w:hint="eastAsia" w:ascii="宋体" w:hAnsi="宋体" w:cs="宋体"/>
                <w:color w:val="auto"/>
                <w:szCs w:val="21"/>
                <w:highlight w:val="none"/>
              </w:rPr>
            </w:pPr>
            <w:r>
              <w:rPr>
                <w:rFonts w:hint="eastAsia" w:ascii="宋体" w:hAnsi="宋体" w:cs="宋体"/>
                <w:color w:val="auto"/>
                <w:szCs w:val="21"/>
                <w:highlight w:val="none"/>
              </w:rPr>
              <w:t>见投标文件（）页</w:t>
            </w:r>
          </w:p>
        </w:tc>
      </w:tr>
      <w:tr w14:paraId="312C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6" w:type="dxa"/>
            <w:noWrap w:val="0"/>
            <w:vAlign w:val="center"/>
          </w:tcPr>
          <w:p w14:paraId="121B6CB9">
            <w:pPr>
              <w:jc w:val="center"/>
              <w:rPr>
                <w:rFonts w:hint="eastAsia" w:ascii="宋体" w:hAnsi="宋体" w:cs="宋体"/>
                <w:color w:val="auto"/>
                <w:szCs w:val="21"/>
                <w:highlight w:val="none"/>
              </w:rPr>
            </w:pPr>
          </w:p>
        </w:tc>
        <w:tc>
          <w:tcPr>
            <w:tcW w:w="5050" w:type="dxa"/>
            <w:noWrap w:val="0"/>
            <w:vAlign w:val="center"/>
          </w:tcPr>
          <w:p w14:paraId="4B18F23D">
            <w:pPr>
              <w:adjustRightInd w:val="0"/>
              <w:snapToGrid w:val="0"/>
              <w:jc w:val="left"/>
              <w:rPr>
                <w:rFonts w:hint="eastAsia" w:ascii="宋体" w:hAnsi="宋体" w:cs="宋体"/>
                <w:color w:val="auto"/>
                <w:highlight w:val="none"/>
              </w:rPr>
            </w:pPr>
            <w:r>
              <w:rPr>
                <w:rFonts w:hint="eastAsia" w:ascii="宋体" w:hAnsi="宋体" w:cs="宋体"/>
                <w:color w:val="auto"/>
                <w:highlight w:val="none"/>
              </w:rPr>
              <w:t>...</w:t>
            </w:r>
          </w:p>
        </w:tc>
        <w:tc>
          <w:tcPr>
            <w:tcW w:w="2562" w:type="dxa"/>
            <w:noWrap w:val="0"/>
            <w:vAlign w:val="center"/>
          </w:tcPr>
          <w:p w14:paraId="7C0F0157">
            <w:pPr>
              <w:rPr>
                <w:rFonts w:hint="eastAsia" w:ascii="宋体" w:hAnsi="宋体" w:cs="宋体"/>
                <w:color w:val="auto"/>
                <w:szCs w:val="21"/>
                <w:highlight w:val="none"/>
              </w:rPr>
            </w:pPr>
          </w:p>
        </w:tc>
      </w:tr>
    </w:tbl>
    <w:p w14:paraId="1C85013B">
      <w:pPr>
        <w:adjustRightInd w:val="0"/>
        <w:snapToGrid w:val="0"/>
        <w:rPr>
          <w:rFonts w:hint="eastAsia" w:ascii="宋体" w:hAnsi="宋体" w:cs="宋体"/>
          <w:color w:val="auto"/>
          <w:szCs w:val="21"/>
          <w:highlight w:val="none"/>
          <w:lang w:val="en-GB"/>
        </w:rPr>
      </w:pPr>
    </w:p>
    <w:p w14:paraId="50E2931C">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lang w:val="en-GB"/>
        </w:rPr>
        <w:t>注：</w:t>
      </w:r>
      <w:r>
        <w:rPr>
          <w:rFonts w:hint="eastAsia" w:ascii="宋体" w:hAnsi="宋体" w:cs="宋体"/>
          <w:color w:val="auto"/>
          <w:szCs w:val="21"/>
          <w:highlight w:val="none"/>
        </w:rPr>
        <w:t>投标人应根据《技术评审表》《商务评审表》的各项内容填写此表，并附于投标文件中</w:t>
      </w:r>
      <w:r>
        <w:rPr>
          <w:rFonts w:hint="eastAsia" w:ascii="宋体" w:hAnsi="宋体" w:cs="宋体"/>
          <w:color w:val="auto"/>
          <w:szCs w:val="21"/>
          <w:highlight w:val="none"/>
          <w:lang w:val="en-GB"/>
        </w:rPr>
        <w:t>。</w:t>
      </w:r>
    </w:p>
    <w:p w14:paraId="14D8F40A">
      <w:pPr>
        <w:pStyle w:val="13"/>
        <w:spacing w:after="0"/>
        <w:rPr>
          <w:rFonts w:hint="eastAsia" w:ascii="宋体" w:hAnsi="宋体" w:cs="宋体"/>
          <w:color w:val="auto"/>
          <w:sz w:val="21"/>
          <w:szCs w:val="21"/>
          <w:highlight w:val="none"/>
        </w:rPr>
      </w:pPr>
    </w:p>
    <w:p w14:paraId="10AFE1D0">
      <w:pPr>
        <w:pStyle w:val="13"/>
        <w:spacing w:after="0"/>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p>
    <w:p w14:paraId="7655F90B">
      <w:pPr>
        <w:pStyle w:val="5"/>
        <w:numPr>
          <w:ilvl w:val="0"/>
          <w:numId w:val="0"/>
        </w:numPr>
        <w:ind w:left="422"/>
        <w:rPr>
          <w:rFonts w:hint="eastAsia" w:hAnsi="宋体" w:cs="宋体"/>
          <w:color w:val="auto"/>
          <w:highlight w:val="none"/>
        </w:rPr>
      </w:pPr>
      <w:bookmarkStart w:id="84" w:name="_Toc477185967"/>
      <w:bookmarkStart w:id="85" w:name="_Toc476177427"/>
      <w:bookmarkStart w:id="86" w:name="_Toc477186328"/>
      <w:bookmarkStart w:id="87" w:name="_Toc118018363"/>
      <w:bookmarkStart w:id="88" w:name="_Toc455417781"/>
      <w:bookmarkStart w:id="89" w:name="_Toc476177986"/>
      <w:r>
        <w:rPr>
          <w:rFonts w:hint="eastAsia" w:hAnsi="宋体" w:cs="宋体"/>
          <w:color w:val="auto"/>
          <w:highlight w:val="none"/>
        </w:rPr>
        <w:t>三、投标报价表格式</w:t>
      </w:r>
      <w:bookmarkEnd w:id="84"/>
      <w:bookmarkEnd w:id="85"/>
      <w:bookmarkEnd w:id="86"/>
      <w:bookmarkEnd w:id="87"/>
      <w:bookmarkEnd w:id="88"/>
      <w:bookmarkEnd w:id="89"/>
    </w:p>
    <w:p w14:paraId="61F2C720">
      <w:pPr>
        <w:pStyle w:val="16"/>
        <w:spacing w:line="360" w:lineRule="auto"/>
        <w:ind w:firstLine="359" w:firstLineChars="171"/>
        <w:rPr>
          <w:rFonts w:hint="eastAsia" w:hAnsi="宋体" w:cs="宋体"/>
          <w:color w:val="auto"/>
          <w:szCs w:val="21"/>
          <w:highlight w:val="none"/>
        </w:rPr>
      </w:pPr>
      <w:r>
        <w:rPr>
          <w:rFonts w:hint="eastAsia" w:hAnsi="宋体" w:cs="宋体"/>
          <w:color w:val="auto"/>
          <w:highlight w:val="none"/>
        </w:rPr>
        <w:t>投标人应按附表1.1～1.2的格式提交投标报价表。</w:t>
      </w:r>
      <w:r>
        <w:rPr>
          <w:rFonts w:hint="eastAsia" w:hAnsi="宋体" w:cs="宋体"/>
          <w:color w:val="auto"/>
          <w:szCs w:val="21"/>
          <w:highlight w:val="none"/>
        </w:rPr>
        <w:tab/>
      </w:r>
    </w:p>
    <w:p w14:paraId="680F894C">
      <w:pPr>
        <w:pStyle w:val="16"/>
        <w:spacing w:line="360" w:lineRule="auto"/>
        <w:ind w:firstLine="359" w:firstLineChars="171"/>
        <w:rPr>
          <w:rFonts w:hint="eastAsia" w:hAnsi="宋体" w:cs="宋体"/>
          <w:color w:val="auto"/>
          <w:szCs w:val="21"/>
          <w:highlight w:val="none"/>
        </w:rPr>
      </w:pPr>
      <w:r>
        <w:rPr>
          <w:rFonts w:hint="eastAsia" w:hAnsi="宋体" w:cs="宋体"/>
          <w:color w:val="auto"/>
          <w:szCs w:val="21"/>
          <w:highlight w:val="none"/>
        </w:rPr>
        <w:t>附表1.1开标一览表</w:t>
      </w:r>
    </w:p>
    <w:p w14:paraId="669BC588">
      <w:pPr>
        <w:pStyle w:val="16"/>
        <w:spacing w:line="360" w:lineRule="auto"/>
        <w:ind w:firstLine="359" w:firstLineChars="171"/>
        <w:jc w:val="right"/>
        <w:rPr>
          <w:rFonts w:hint="eastAsia" w:hAnsi="宋体" w:cs="宋体"/>
          <w:color w:val="auto"/>
          <w:szCs w:val="21"/>
          <w:highlight w:val="none"/>
        </w:rPr>
      </w:pPr>
      <w:r>
        <w:rPr>
          <w:rFonts w:hint="eastAsia" w:hAnsi="宋体" w:cs="宋体"/>
          <w:color w:val="auto"/>
          <w:szCs w:val="21"/>
          <w:highlight w:val="none"/>
        </w:rPr>
        <w:t>金额单位：元（人民币）</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9"/>
        <w:gridCol w:w="3194"/>
        <w:gridCol w:w="1371"/>
        <w:gridCol w:w="1192"/>
        <w:gridCol w:w="1192"/>
      </w:tblGrid>
      <w:tr w14:paraId="4AE55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769" w:type="dxa"/>
            <w:noWrap w:val="0"/>
            <w:vAlign w:val="center"/>
          </w:tcPr>
          <w:p w14:paraId="2EFAA227">
            <w:pPr>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项目名称</w:t>
            </w:r>
          </w:p>
        </w:tc>
        <w:tc>
          <w:tcPr>
            <w:tcW w:w="3194" w:type="dxa"/>
            <w:noWrap w:val="0"/>
            <w:vAlign w:val="center"/>
          </w:tcPr>
          <w:p w14:paraId="2DF51141">
            <w:pPr>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投标报价</w:t>
            </w:r>
          </w:p>
        </w:tc>
        <w:tc>
          <w:tcPr>
            <w:tcW w:w="1371" w:type="dxa"/>
            <w:noWrap w:val="0"/>
            <w:vAlign w:val="center"/>
          </w:tcPr>
          <w:p w14:paraId="030D4698">
            <w:pPr>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税率</w:t>
            </w:r>
          </w:p>
        </w:tc>
        <w:tc>
          <w:tcPr>
            <w:tcW w:w="1192" w:type="dxa"/>
            <w:noWrap w:val="0"/>
            <w:vAlign w:val="center"/>
          </w:tcPr>
          <w:p w14:paraId="281AFF26">
            <w:pPr>
              <w:spacing w:line="360" w:lineRule="auto"/>
              <w:jc w:val="center"/>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lang w:val="en-US" w:eastAsia="zh-CN"/>
              </w:rPr>
              <w:t>服务期</w:t>
            </w:r>
          </w:p>
        </w:tc>
        <w:tc>
          <w:tcPr>
            <w:tcW w:w="1192" w:type="dxa"/>
            <w:noWrap w:val="0"/>
            <w:vAlign w:val="center"/>
          </w:tcPr>
          <w:p w14:paraId="18EA5264">
            <w:pPr>
              <w:spacing w:line="360" w:lineRule="auto"/>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备注</w:t>
            </w:r>
          </w:p>
        </w:tc>
      </w:tr>
      <w:tr w14:paraId="4B09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jc w:val="center"/>
        </w:trPr>
        <w:tc>
          <w:tcPr>
            <w:tcW w:w="1769" w:type="dxa"/>
            <w:noWrap w:val="0"/>
            <w:vAlign w:val="center"/>
          </w:tcPr>
          <w:p w14:paraId="5A0A2E1C">
            <w:pPr>
              <w:spacing w:line="360" w:lineRule="auto"/>
              <w:jc w:val="center"/>
              <w:rPr>
                <w:rFonts w:hint="eastAsia" w:ascii="宋体" w:hAnsi="宋体" w:eastAsia="宋体" w:cs="宋体"/>
                <w:color w:val="auto"/>
                <w:kern w:val="0"/>
                <w:szCs w:val="21"/>
                <w:highlight w:val="none"/>
                <w:lang w:eastAsia="zh-CN"/>
              </w:rPr>
            </w:pPr>
            <w:r>
              <w:rPr>
                <w:rFonts w:hint="eastAsia" w:ascii="宋体" w:hAnsi="宋体" w:cs="宋体"/>
                <w:b/>
                <w:bCs/>
                <w:color w:val="auto"/>
                <w:szCs w:val="21"/>
                <w:highlight w:val="none"/>
                <w:lang w:eastAsia="zh-CN"/>
              </w:rPr>
              <w:t>南方报业传媒集团2025至2026年度安保服务</w:t>
            </w:r>
          </w:p>
        </w:tc>
        <w:tc>
          <w:tcPr>
            <w:tcW w:w="3194" w:type="dxa"/>
            <w:noWrap w:val="0"/>
            <w:vAlign w:val="center"/>
          </w:tcPr>
          <w:p w14:paraId="6ADBEB69">
            <w:pPr>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投标报价（含</w:t>
            </w:r>
            <w:r>
              <w:rPr>
                <w:rFonts w:hint="eastAsia" w:ascii="宋体" w:hAnsi="宋体" w:cs="宋体"/>
                <w:b/>
                <w:bCs/>
                <w:color w:val="auto"/>
                <w:kern w:val="0"/>
                <w:szCs w:val="21"/>
                <w:highlight w:val="none"/>
                <w:lang w:val="en-US" w:eastAsia="zh-CN"/>
              </w:rPr>
              <w:t>差额</w:t>
            </w:r>
            <w:r>
              <w:rPr>
                <w:rFonts w:hint="eastAsia" w:ascii="宋体" w:hAnsi="宋体" w:cs="宋体"/>
                <w:b/>
                <w:bCs/>
                <w:color w:val="auto"/>
                <w:kern w:val="0"/>
                <w:szCs w:val="21"/>
                <w:highlight w:val="none"/>
              </w:rPr>
              <w:t>增值税）（元 人民币）：</w:t>
            </w:r>
          </w:p>
          <w:p w14:paraId="6D360ED1">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大写：人民币</w:t>
            </w:r>
            <w:r>
              <w:rPr>
                <w:rFonts w:hint="eastAsia" w:ascii="宋体" w:hAnsi="宋体" w:cs="宋体"/>
                <w:bCs/>
                <w:color w:val="auto"/>
                <w:kern w:val="0"/>
                <w:szCs w:val="21"/>
                <w:highlight w:val="none"/>
                <w:u w:val="single"/>
              </w:rPr>
              <w:t xml:space="preserve">                          </w:t>
            </w:r>
          </w:p>
          <w:p w14:paraId="06039558">
            <w:pPr>
              <w:spacing w:line="360" w:lineRule="auto"/>
              <w:rPr>
                <w:rFonts w:hint="eastAsia" w:ascii="宋体" w:hAnsi="宋体" w:cs="宋体"/>
                <w:b/>
                <w:bCs/>
                <w:color w:val="auto"/>
                <w:kern w:val="0"/>
                <w:szCs w:val="21"/>
                <w:highlight w:val="none"/>
              </w:rPr>
            </w:pPr>
            <w:r>
              <w:rPr>
                <w:rFonts w:hint="eastAsia" w:ascii="宋体" w:hAnsi="宋体" w:cs="宋体"/>
                <w:bCs/>
                <w:color w:val="auto"/>
                <w:kern w:val="0"/>
                <w:szCs w:val="21"/>
                <w:highlight w:val="none"/>
              </w:rPr>
              <w:t>小写：¥</w:t>
            </w:r>
            <w:r>
              <w:rPr>
                <w:rFonts w:hint="eastAsia" w:ascii="宋体" w:hAnsi="宋体" w:cs="宋体"/>
                <w:bCs/>
                <w:color w:val="auto"/>
                <w:kern w:val="0"/>
                <w:szCs w:val="21"/>
                <w:highlight w:val="none"/>
                <w:u w:val="single"/>
              </w:rPr>
              <w:t xml:space="preserve">                                </w:t>
            </w:r>
          </w:p>
        </w:tc>
        <w:tc>
          <w:tcPr>
            <w:tcW w:w="1371" w:type="dxa"/>
            <w:noWrap w:val="0"/>
            <w:vAlign w:val="center"/>
          </w:tcPr>
          <w:p w14:paraId="5A590CF6">
            <w:pPr>
              <w:spacing w:line="360" w:lineRule="auto"/>
              <w:ind w:firstLine="1050" w:firstLineChars="5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192" w:type="dxa"/>
            <w:noWrap w:val="0"/>
            <w:vAlign w:val="center"/>
          </w:tcPr>
          <w:p w14:paraId="3C3CC761">
            <w:pPr>
              <w:spacing w:line="360" w:lineRule="auto"/>
              <w:rPr>
                <w:rFonts w:hint="eastAsia" w:ascii="宋体" w:hAnsi="宋体" w:cs="宋体"/>
                <w:color w:val="auto"/>
                <w:kern w:val="0"/>
                <w:szCs w:val="21"/>
                <w:highlight w:val="none"/>
              </w:rPr>
            </w:pPr>
          </w:p>
        </w:tc>
        <w:tc>
          <w:tcPr>
            <w:tcW w:w="1192" w:type="dxa"/>
            <w:noWrap w:val="0"/>
            <w:vAlign w:val="center"/>
          </w:tcPr>
          <w:p w14:paraId="0FEC0798">
            <w:pPr>
              <w:spacing w:line="360" w:lineRule="auto"/>
              <w:rPr>
                <w:rFonts w:hint="eastAsia" w:ascii="宋体" w:hAnsi="宋体" w:cs="宋体"/>
                <w:color w:val="auto"/>
                <w:kern w:val="0"/>
                <w:szCs w:val="21"/>
                <w:highlight w:val="none"/>
              </w:rPr>
            </w:pPr>
          </w:p>
        </w:tc>
      </w:tr>
    </w:tbl>
    <w:p w14:paraId="5EFED2B7">
      <w:pPr>
        <w:pStyle w:val="16"/>
        <w:snapToGrid w:val="0"/>
        <w:ind w:right="120" w:rightChars="57"/>
        <w:jc w:val="left"/>
        <w:rPr>
          <w:rFonts w:hint="eastAsia" w:hAnsi="宋体" w:cs="宋体"/>
          <w:color w:val="auto"/>
          <w:highlight w:val="none"/>
        </w:rPr>
      </w:pPr>
    </w:p>
    <w:p w14:paraId="2B398DCB">
      <w:pPr>
        <w:pStyle w:val="16"/>
        <w:snapToGrid w:val="0"/>
        <w:ind w:right="120" w:rightChars="57"/>
        <w:jc w:val="left"/>
        <w:rPr>
          <w:rFonts w:hint="eastAsia" w:hAnsi="宋体" w:cs="宋体"/>
          <w:b/>
          <w:color w:val="auto"/>
          <w:highlight w:val="none"/>
        </w:rPr>
      </w:pPr>
      <w:r>
        <w:rPr>
          <w:rFonts w:hint="eastAsia" w:hAnsi="宋体" w:cs="宋体"/>
          <w:b/>
          <w:color w:val="auto"/>
          <w:highlight w:val="none"/>
        </w:rPr>
        <w:t>注：</w:t>
      </w:r>
    </w:p>
    <w:p w14:paraId="7B0BD95F">
      <w:pPr>
        <w:pStyle w:val="16"/>
        <w:numPr>
          <w:ilvl w:val="0"/>
          <w:numId w:val="5"/>
        </w:numPr>
        <w:snapToGrid w:val="0"/>
        <w:ind w:right="120" w:rightChars="57"/>
        <w:jc w:val="left"/>
        <w:rPr>
          <w:rFonts w:hint="eastAsia" w:hAnsi="宋体" w:cs="宋体"/>
          <w:b/>
          <w:color w:val="auto"/>
          <w:highlight w:val="none"/>
        </w:rPr>
      </w:pPr>
      <w:r>
        <w:rPr>
          <w:rFonts w:hint="eastAsia" w:hAnsi="宋体" w:cs="宋体"/>
          <w:b/>
          <w:color w:val="auto"/>
          <w:highlight w:val="none"/>
          <w:lang w:val="en-US" w:eastAsia="zh-CN"/>
        </w:rPr>
        <w:t>差额</w:t>
      </w:r>
      <w:r>
        <w:rPr>
          <w:rFonts w:hint="eastAsia" w:hAnsi="宋体" w:cs="宋体"/>
          <w:b/>
          <w:color w:val="auto"/>
          <w:highlight w:val="none"/>
        </w:rPr>
        <w:t>增值税税率必须按照国家标准填写，如投标人的税率与国家标准不一致，招标人有权调整其税率。</w:t>
      </w:r>
    </w:p>
    <w:p w14:paraId="65C3E846">
      <w:pPr>
        <w:pStyle w:val="16"/>
        <w:numPr>
          <w:ilvl w:val="0"/>
          <w:numId w:val="5"/>
        </w:numPr>
        <w:snapToGrid w:val="0"/>
        <w:ind w:right="120" w:rightChars="57"/>
        <w:jc w:val="left"/>
        <w:rPr>
          <w:rFonts w:hint="eastAsia" w:hAnsi="宋体" w:cs="宋体"/>
          <w:b/>
          <w:color w:val="auto"/>
          <w:highlight w:val="none"/>
        </w:rPr>
      </w:pPr>
      <w:r>
        <w:rPr>
          <w:rFonts w:hint="eastAsia" w:hAnsi="宋体" w:cs="宋体"/>
          <w:b/>
          <w:color w:val="auto"/>
          <w:highlight w:val="none"/>
        </w:rPr>
        <w:t>投标报价超过最高限价的属于无效投标。</w:t>
      </w:r>
    </w:p>
    <w:p w14:paraId="79AB649D">
      <w:pPr>
        <w:pStyle w:val="16"/>
        <w:numPr>
          <w:ilvl w:val="0"/>
          <w:numId w:val="5"/>
        </w:numPr>
        <w:snapToGrid w:val="0"/>
        <w:ind w:right="120" w:rightChars="57"/>
        <w:jc w:val="left"/>
        <w:rPr>
          <w:rFonts w:hint="eastAsia" w:ascii="宋体" w:hAnsi="宋体" w:eastAsia="宋体" w:cs="宋体"/>
          <w:b/>
          <w:color w:val="auto"/>
          <w:highlight w:val="none"/>
          <w:lang w:val="en-US" w:eastAsia="zh-CN"/>
        </w:rPr>
      </w:pPr>
      <w:r>
        <w:rPr>
          <w:rFonts w:hint="eastAsia" w:ascii="宋体" w:hAnsi="宋体" w:eastAsia="宋体" w:cs="宋体"/>
          <w:b/>
          <w:color w:val="auto"/>
          <w:highlight w:val="none"/>
          <w:lang w:val="en-US" w:eastAsia="zh-CN"/>
        </w:rPr>
        <w:t>所有报价保留两位小数。</w:t>
      </w:r>
    </w:p>
    <w:p w14:paraId="2B7CD448">
      <w:pPr>
        <w:pStyle w:val="16"/>
        <w:spacing w:line="360" w:lineRule="auto"/>
        <w:ind w:left="735" w:hanging="735"/>
        <w:rPr>
          <w:rFonts w:hint="eastAsia" w:hAnsi="宋体" w:cs="宋体"/>
          <w:b/>
          <w:bCs/>
          <w:color w:val="auto"/>
          <w:highlight w:val="none"/>
        </w:rPr>
      </w:pPr>
      <w:r>
        <w:rPr>
          <w:rFonts w:hint="eastAsia" w:hAnsi="宋体" w:cs="宋体"/>
          <w:color w:val="auto"/>
          <w:highlight w:val="none"/>
        </w:rPr>
        <w:t xml:space="preserve">  </w:t>
      </w:r>
    </w:p>
    <w:p w14:paraId="08C3B4BC">
      <w:pPr>
        <w:pStyle w:val="16"/>
        <w:spacing w:line="360" w:lineRule="auto"/>
        <w:rPr>
          <w:rFonts w:hint="eastAsia" w:hAnsi="宋体" w:cs="宋体"/>
          <w:bCs/>
          <w:color w:val="auto"/>
          <w:highlight w:val="none"/>
        </w:rPr>
      </w:pPr>
      <w:r>
        <w:rPr>
          <w:rFonts w:hint="eastAsia" w:hAnsi="宋体" w:cs="宋体"/>
          <w:color w:val="auto"/>
          <w:highlight w:val="none"/>
        </w:rPr>
        <w:t xml:space="preserve">   </w:t>
      </w:r>
    </w:p>
    <w:p w14:paraId="29AD817B">
      <w:pPr>
        <w:pStyle w:val="16"/>
        <w:jc w:val="left"/>
        <w:rPr>
          <w:rFonts w:hint="eastAsia" w:hAnsi="宋体" w:cs="宋体"/>
          <w:color w:val="auto"/>
          <w:highlight w:val="none"/>
        </w:rPr>
      </w:pPr>
      <w:r>
        <w:rPr>
          <w:rFonts w:hint="eastAsia" w:hAnsi="宋体" w:cs="宋体"/>
          <w:color w:val="auto"/>
          <w:highlight w:val="none"/>
        </w:rPr>
        <w:t>投标人名称:（盖章）</w:t>
      </w:r>
    </w:p>
    <w:p w14:paraId="04B6E0F9">
      <w:pPr>
        <w:pStyle w:val="16"/>
        <w:jc w:val="left"/>
        <w:rPr>
          <w:rFonts w:hint="eastAsia" w:hAnsi="宋体" w:cs="宋体"/>
          <w:color w:val="auto"/>
          <w:highlight w:val="none"/>
        </w:rPr>
        <w:sectPr>
          <w:headerReference r:id="rId8" w:type="default"/>
          <w:footerReference r:id="rId9" w:type="default"/>
          <w:pgSz w:w="11907" w:h="16840"/>
          <w:pgMar w:top="1418" w:right="1701" w:bottom="1418" w:left="1701" w:header="737" w:footer="737" w:gutter="0"/>
          <w:cols w:space="720" w:num="1"/>
          <w:docGrid w:linePitch="285" w:charSpace="0"/>
        </w:sectPr>
      </w:pPr>
      <w:r>
        <w:rPr>
          <w:rFonts w:hint="eastAsia" w:hAnsi="宋体" w:cs="宋体"/>
          <w:color w:val="auto"/>
          <w:highlight w:val="none"/>
        </w:rPr>
        <w:t>日期：    年   月   日</w:t>
      </w:r>
    </w:p>
    <w:p w14:paraId="006836F3">
      <w:pPr>
        <w:pStyle w:val="16"/>
        <w:spacing w:line="480" w:lineRule="auto"/>
        <w:rPr>
          <w:rFonts w:hint="eastAsia" w:hAnsi="宋体" w:cs="宋体"/>
          <w:color w:val="auto"/>
          <w:highlight w:val="none"/>
        </w:rPr>
      </w:pPr>
      <w:bookmarkStart w:id="90" w:name="_Toc476177431"/>
      <w:bookmarkStart w:id="91" w:name="_Toc476177990"/>
      <w:bookmarkStart w:id="92" w:name="_Toc118018364"/>
      <w:bookmarkStart w:id="93" w:name="_Toc455417782"/>
      <w:bookmarkStart w:id="94" w:name="_Toc496161872"/>
      <w:r>
        <w:rPr>
          <w:rFonts w:hint="eastAsia" w:hAnsi="宋体" w:cs="宋体"/>
          <w:color w:val="auto"/>
          <w:highlight w:val="none"/>
        </w:rPr>
        <w:t>附表1.2</w:t>
      </w:r>
    </w:p>
    <w:p w14:paraId="044EE1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4"/>
          <w:szCs w:val="24"/>
          <w:lang w:val="en-US" w:eastAsia="zh-CN"/>
        </w:rPr>
      </w:pPr>
      <w:r>
        <w:rPr>
          <w:rFonts w:hint="eastAsia"/>
          <w:b/>
          <w:bCs/>
          <w:sz w:val="24"/>
          <w:szCs w:val="24"/>
          <w:lang w:val="en-US" w:eastAsia="zh-CN"/>
        </w:rPr>
        <w:t>南方报业传媒集团2025至2026年度安保服务分项报价表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2"/>
        <w:gridCol w:w="1365"/>
        <w:gridCol w:w="1995"/>
        <w:gridCol w:w="2010"/>
        <w:gridCol w:w="2119"/>
      </w:tblGrid>
      <w:tr w14:paraId="339B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572" w:type="dxa"/>
            <w:tcBorders>
              <w:top w:val="single" w:color="auto" w:sz="4" w:space="0"/>
            </w:tcBorders>
            <w:vAlign w:val="center"/>
          </w:tcPr>
          <w:p w14:paraId="7645972D">
            <w:pPr>
              <w:pStyle w:val="3"/>
              <w:keepNext/>
              <w:keepLines/>
              <w:pageBreakBefore w:val="0"/>
              <w:widowControl w:val="0"/>
              <w:kinsoku/>
              <w:wordWrap/>
              <w:overflowPunct/>
              <w:topLinePunct w:val="0"/>
              <w:autoSpaceDE/>
              <w:autoSpaceDN/>
              <w:bidi w:val="0"/>
              <w:adjustRightInd/>
              <w:snapToGrid/>
              <w:spacing w:before="0" w:after="0" w:line="240" w:lineRule="auto"/>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人员类别</w:t>
            </w:r>
          </w:p>
        </w:tc>
        <w:tc>
          <w:tcPr>
            <w:tcW w:w="1365" w:type="dxa"/>
            <w:tcBorders>
              <w:top w:val="single" w:color="auto" w:sz="4" w:space="0"/>
            </w:tcBorders>
            <w:vAlign w:val="center"/>
          </w:tcPr>
          <w:p w14:paraId="59F09249">
            <w:pPr>
              <w:pStyle w:val="3"/>
              <w:keepNext/>
              <w:keepLines/>
              <w:pageBreakBefore w:val="0"/>
              <w:widowControl w:val="0"/>
              <w:kinsoku/>
              <w:wordWrap/>
              <w:overflowPunct/>
              <w:topLinePunct w:val="0"/>
              <w:autoSpaceDE/>
              <w:autoSpaceDN/>
              <w:bidi w:val="0"/>
              <w:adjustRightInd/>
              <w:snapToGrid/>
              <w:spacing w:before="0" w:after="0" w:line="240" w:lineRule="auto"/>
              <w:ind w:left="0" w:firstLine="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聘请数量</w:t>
            </w:r>
            <w:r>
              <w:rPr>
                <w:rFonts w:hint="eastAsia" w:ascii="宋体" w:hAnsi="宋体" w:eastAsia="宋体" w:cs="宋体"/>
                <w:b/>
                <w:bCs/>
                <w:sz w:val="21"/>
                <w:szCs w:val="21"/>
                <w:vertAlign w:val="baseline"/>
                <w:lang w:val="en-US" w:eastAsia="zh-CN"/>
              </w:rPr>
              <w:t>（人)</w:t>
            </w:r>
          </w:p>
        </w:tc>
        <w:tc>
          <w:tcPr>
            <w:tcW w:w="1995" w:type="dxa"/>
            <w:tcBorders>
              <w:top w:val="single" w:color="auto" w:sz="4" w:space="0"/>
            </w:tcBorders>
            <w:vAlign w:val="center"/>
          </w:tcPr>
          <w:p w14:paraId="44B33D33">
            <w:pPr>
              <w:pStyle w:val="3"/>
              <w:keepNext/>
              <w:keepLines/>
              <w:pageBreakBefore w:val="0"/>
              <w:widowControl w:val="0"/>
              <w:kinsoku/>
              <w:wordWrap/>
              <w:overflowPunct/>
              <w:topLinePunct w:val="0"/>
              <w:autoSpaceDE/>
              <w:autoSpaceDN/>
              <w:bidi w:val="0"/>
              <w:adjustRightInd/>
              <w:snapToGrid/>
              <w:spacing w:before="0" w:after="0" w:line="240" w:lineRule="auto"/>
              <w:ind w:left="0" w:firstLine="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每人每月服务费金额（元）</w:t>
            </w:r>
          </w:p>
        </w:tc>
        <w:tc>
          <w:tcPr>
            <w:tcW w:w="2010" w:type="dxa"/>
            <w:tcBorders>
              <w:top w:val="single" w:color="auto" w:sz="4" w:space="0"/>
            </w:tcBorders>
            <w:vAlign w:val="center"/>
          </w:tcPr>
          <w:p w14:paraId="76079724">
            <w:pPr>
              <w:pStyle w:val="3"/>
              <w:keepNext/>
              <w:keepLines/>
              <w:pageBreakBefore w:val="0"/>
              <w:widowControl w:val="0"/>
              <w:kinsoku/>
              <w:wordWrap/>
              <w:overflowPunct/>
              <w:topLinePunct w:val="0"/>
              <w:autoSpaceDE/>
              <w:autoSpaceDN/>
              <w:bidi w:val="0"/>
              <w:adjustRightInd/>
              <w:snapToGrid/>
              <w:spacing w:before="0" w:after="0" w:line="240" w:lineRule="auto"/>
              <w:ind w:left="0"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每月服务费小计金额</w:t>
            </w:r>
            <w:r>
              <w:rPr>
                <w:rFonts w:hint="eastAsia" w:ascii="宋体" w:hAnsi="宋体" w:eastAsia="宋体" w:cs="宋体"/>
                <w:sz w:val="21"/>
                <w:szCs w:val="21"/>
                <w:vertAlign w:val="baseline"/>
                <w:lang w:val="en-US" w:eastAsia="zh-CN"/>
              </w:rPr>
              <w:t>（元）</w:t>
            </w:r>
          </w:p>
        </w:tc>
        <w:tc>
          <w:tcPr>
            <w:tcW w:w="2119" w:type="dxa"/>
            <w:tcBorders>
              <w:top w:val="single" w:color="auto" w:sz="4" w:space="0"/>
            </w:tcBorders>
            <w:vAlign w:val="center"/>
          </w:tcPr>
          <w:p w14:paraId="1AA640B9">
            <w:pPr>
              <w:pStyle w:val="3"/>
              <w:keepNext/>
              <w:keepLines/>
              <w:pageBreakBefore w:val="0"/>
              <w:widowControl w:val="0"/>
              <w:kinsoku/>
              <w:wordWrap/>
              <w:overflowPunct/>
              <w:topLinePunct w:val="0"/>
              <w:autoSpaceDE/>
              <w:autoSpaceDN/>
              <w:bidi w:val="0"/>
              <w:adjustRightInd/>
              <w:snapToGrid/>
              <w:spacing w:before="0" w:after="0" w:line="240" w:lineRule="auto"/>
              <w:ind w:left="0" w:firstLine="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年度服务费合计金额</w:t>
            </w:r>
            <w:r>
              <w:rPr>
                <w:rFonts w:hint="eastAsia" w:ascii="宋体" w:hAnsi="宋体" w:eastAsia="宋体" w:cs="宋体"/>
                <w:sz w:val="21"/>
                <w:szCs w:val="21"/>
                <w:vertAlign w:val="baseline"/>
                <w:lang w:val="en-US" w:eastAsia="zh-CN"/>
              </w:rPr>
              <w:t>（元）</w:t>
            </w:r>
          </w:p>
        </w:tc>
      </w:tr>
      <w:tr w14:paraId="77B74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72" w:type="dxa"/>
            <w:vAlign w:val="center"/>
          </w:tcPr>
          <w:p w14:paraId="0D3D5928">
            <w:pPr>
              <w:pStyle w:val="3"/>
              <w:keepNext/>
              <w:keepLines/>
              <w:pageBreakBefore w:val="0"/>
              <w:widowControl w:val="0"/>
              <w:kinsoku/>
              <w:wordWrap/>
              <w:overflowPunct/>
              <w:topLinePunct w:val="0"/>
              <w:autoSpaceDE/>
              <w:autoSpaceDN/>
              <w:bidi w:val="0"/>
              <w:adjustRightInd/>
              <w:snapToGrid/>
              <w:spacing w:before="0" w:after="0" w:line="240" w:lineRule="auto"/>
              <w:ind w:left="0" w:firstLine="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保安主管</w:t>
            </w:r>
          </w:p>
        </w:tc>
        <w:tc>
          <w:tcPr>
            <w:tcW w:w="1365" w:type="dxa"/>
            <w:vAlign w:val="center"/>
          </w:tcPr>
          <w:p w14:paraId="14D3BAAB">
            <w:pPr>
              <w:pStyle w:val="3"/>
              <w:keepNext/>
              <w:keepLines/>
              <w:pageBreakBefore w:val="0"/>
              <w:widowControl w:val="0"/>
              <w:kinsoku/>
              <w:wordWrap/>
              <w:overflowPunct/>
              <w:topLinePunct w:val="0"/>
              <w:autoSpaceDE/>
              <w:autoSpaceDN/>
              <w:bidi w:val="0"/>
              <w:adjustRightInd/>
              <w:snapToGrid/>
              <w:spacing w:before="0" w:after="0" w:line="240" w:lineRule="auto"/>
              <w:ind w:left="0" w:firstLine="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1995" w:type="dxa"/>
            <w:vAlign w:val="center"/>
          </w:tcPr>
          <w:p w14:paraId="3826FE13">
            <w:pPr>
              <w:pStyle w:val="3"/>
              <w:keepNext/>
              <w:keepLines/>
              <w:pageBreakBefore w:val="0"/>
              <w:widowControl w:val="0"/>
              <w:kinsoku/>
              <w:wordWrap/>
              <w:overflowPunct/>
              <w:topLinePunct w:val="0"/>
              <w:autoSpaceDE/>
              <w:autoSpaceDN/>
              <w:bidi w:val="0"/>
              <w:adjustRightInd/>
              <w:snapToGrid/>
              <w:spacing w:before="0" w:after="0" w:line="240" w:lineRule="auto"/>
              <w:ind w:left="0" w:firstLine="0"/>
              <w:jc w:val="center"/>
              <w:textAlignment w:val="auto"/>
              <w:rPr>
                <w:rFonts w:hint="eastAsia" w:ascii="宋体" w:hAnsi="宋体" w:eastAsia="宋体" w:cs="宋体"/>
                <w:b w:val="0"/>
                <w:bCs w:val="0"/>
                <w:sz w:val="21"/>
                <w:szCs w:val="21"/>
                <w:vertAlign w:val="baseline"/>
                <w:lang w:val="en-US" w:eastAsia="zh-CN"/>
              </w:rPr>
            </w:pPr>
          </w:p>
        </w:tc>
        <w:tc>
          <w:tcPr>
            <w:tcW w:w="2010" w:type="dxa"/>
            <w:vAlign w:val="center"/>
          </w:tcPr>
          <w:p w14:paraId="32880518">
            <w:pPr>
              <w:pStyle w:val="3"/>
              <w:keepNext/>
              <w:keepLines/>
              <w:pageBreakBefore w:val="0"/>
              <w:widowControl w:val="0"/>
              <w:kinsoku/>
              <w:wordWrap/>
              <w:overflowPunct/>
              <w:topLinePunct w:val="0"/>
              <w:autoSpaceDE/>
              <w:autoSpaceDN/>
              <w:bidi w:val="0"/>
              <w:adjustRightInd/>
              <w:snapToGrid/>
              <w:spacing w:before="0" w:after="0" w:line="240" w:lineRule="auto"/>
              <w:ind w:left="0" w:firstLine="0"/>
              <w:jc w:val="center"/>
              <w:textAlignment w:val="auto"/>
              <w:rPr>
                <w:rFonts w:hint="eastAsia" w:ascii="宋体" w:hAnsi="宋体" w:eastAsia="宋体" w:cs="宋体"/>
                <w:b w:val="0"/>
                <w:bCs w:val="0"/>
                <w:sz w:val="21"/>
                <w:szCs w:val="21"/>
                <w:vertAlign w:val="baseline"/>
                <w:lang w:val="en-US" w:eastAsia="zh-CN"/>
              </w:rPr>
            </w:pPr>
          </w:p>
        </w:tc>
        <w:tc>
          <w:tcPr>
            <w:tcW w:w="2119" w:type="dxa"/>
            <w:vAlign w:val="center"/>
          </w:tcPr>
          <w:p w14:paraId="27AD9EEE">
            <w:pPr>
              <w:pStyle w:val="3"/>
              <w:keepNext/>
              <w:keepLines/>
              <w:pageBreakBefore w:val="0"/>
              <w:widowControl w:val="0"/>
              <w:kinsoku/>
              <w:wordWrap/>
              <w:overflowPunct/>
              <w:topLinePunct w:val="0"/>
              <w:autoSpaceDE/>
              <w:autoSpaceDN/>
              <w:bidi w:val="0"/>
              <w:adjustRightInd/>
              <w:snapToGrid/>
              <w:spacing w:before="0" w:after="0" w:line="240" w:lineRule="auto"/>
              <w:ind w:left="0" w:firstLine="0"/>
              <w:jc w:val="center"/>
              <w:textAlignment w:val="auto"/>
              <w:rPr>
                <w:rFonts w:hint="eastAsia" w:ascii="宋体" w:hAnsi="宋体" w:eastAsia="宋体" w:cs="宋体"/>
                <w:b w:val="0"/>
                <w:bCs w:val="0"/>
                <w:sz w:val="21"/>
                <w:szCs w:val="21"/>
                <w:vertAlign w:val="baseline"/>
                <w:lang w:val="en-US" w:eastAsia="zh-CN"/>
              </w:rPr>
            </w:pPr>
          </w:p>
        </w:tc>
      </w:tr>
      <w:tr w14:paraId="0DE16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72" w:type="dxa"/>
            <w:vAlign w:val="center"/>
          </w:tcPr>
          <w:p w14:paraId="24CBE82A">
            <w:pPr>
              <w:pStyle w:val="3"/>
              <w:keepNext/>
              <w:keepLines/>
              <w:pageBreakBefore w:val="0"/>
              <w:widowControl w:val="0"/>
              <w:kinsoku/>
              <w:wordWrap/>
              <w:overflowPunct/>
              <w:topLinePunct w:val="0"/>
              <w:autoSpaceDE/>
              <w:autoSpaceDN/>
              <w:bidi w:val="0"/>
              <w:adjustRightInd/>
              <w:snapToGrid/>
              <w:spacing w:before="0" w:after="0" w:line="240" w:lineRule="auto"/>
              <w:ind w:left="0" w:firstLine="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保安员</w:t>
            </w:r>
          </w:p>
        </w:tc>
        <w:tc>
          <w:tcPr>
            <w:tcW w:w="1365" w:type="dxa"/>
            <w:vAlign w:val="center"/>
          </w:tcPr>
          <w:p w14:paraId="7E89FF83">
            <w:pPr>
              <w:pStyle w:val="3"/>
              <w:keepNext/>
              <w:keepLines/>
              <w:pageBreakBefore w:val="0"/>
              <w:widowControl w:val="0"/>
              <w:kinsoku/>
              <w:wordWrap/>
              <w:overflowPunct/>
              <w:topLinePunct w:val="0"/>
              <w:autoSpaceDE/>
              <w:autoSpaceDN/>
              <w:bidi w:val="0"/>
              <w:adjustRightInd/>
              <w:snapToGrid/>
              <w:spacing w:before="0" w:after="0" w:line="240" w:lineRule="auto"/>
              <w:ind w:left="0" w:firstLine="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19</w:t>
            </w:r>
          </w:p>
        </w:tc>
        <w:tc>
          <w:tcPr>
            <w:tcW w:w="1995" w:type="dxa"/>
            <w:vAlign w:val="center"/>
          </w:tcPr>
          <w:p w14:paraId="4FD4FED3">
            <w:pPr>
              <w:pStyle w:val="3"/>
              <w:keepNext/>
              <w:keepLines/>
              <w:pageBreakBefore w:val="0"/>
              <w:widowControl w:val="0"/>
              <w:kinsoku/>
              <w:wordWrap/>
              <w:overflowPunct/>
              <w:topLinePunct w:val="0"/>
              <w:autoSpaceDE/>
              <w:autoSpaceDN/>
              <w:bidi w:val="0"/>
              <w:adjustRightInd/>
              <w:snapToGrid/>
              <w:spacing w:before="0" w:after="0" w:line="240" w:lineRule="auto"/>
              <w:ind w:left="0" w:firstLine="0"/>
              <w:jc w:val="center"/>
              <w:textAlignment w:val="auto"/>
              <w:rPr>
                <w:rFonts w:hint="eastAsia" w:ascii="宋体" w:hAnsi="宋体" w:eastAsia="宋体" w:cs="宋体"/>
                <w:b w:val="0"/>
                <w:bCs w:val="0"/>
                <w:sz w:val="21"/>
                <w:szCs w:val="21"/>
                <w:vertAlign w:val="baseline"/>
                <w:lang w:val="en-US" w:eastAsia="zh-CN"/>
              </w:rPr>
            </w:pPr>
          </w:p>
        </w:tc>
        <w:tc>
          <w:tcPr>
            <w:tcW w:w="2010" w:type="dxa"/>
            <w:vAlign w:val="center"/>
          </w:tcPr>
          <w:p w14:paraId="75C1B9AA">
            <w:pPr>
              <w:pStyle w:val="3"/>
              <w:keepNext/>
              <w:keepLines/>
              <w:pageBreakBefore w:val="0"/>
              <w:widowControl w:val="0"/>
              <w:kinsoku/>
              <w:wordWrap/>
              <w:overflowPunct/>
              <w:topLinePunct w:val="0"/>
              <w:autoSpaceDE/>
              <w:autoSpaceDN/>
              <w:bidi w:val="0"/>
              <w:adjustRightInd/>
              <w:snapToGrid/>
              <w:spacing w:before="0" w:after="0" w:line="240" w:lineRule="auto"/>
              <w:ind w:left="0" w:firstLine="0"/>
              <w:jc w:val="center"/>
              <w:textAlignment w:val="auto"/>
              <w:rPr>
                <w:rFonts w:hint="eastAsia" w:ascii="宋体" w:hAnsi="宋体" w:eastAsia="宋体" w:cs="宋体"/>
                <w:b w:val="0"/>
                <w:bCs w:val="0"/>
                <w:sz w:val="21"/>
                <w:szCs w:val="21"/>
                <w:vertAlign w:val="baseline"/>
                <w:lang w:val="en-US" w:eastAsia="zh-CN"/>
              </w:rPr>
            </w:pPr>
          </w:p>
        </w:tc>
        <w:tc>
          <w:tcPr>
            <w:tcW w:w="2119" w:type="dxa"/>
            <w:vAlign w:val="center"/>
          </w:tcPr>
          <w:p w14:paraId="3D899E97">
            <w:pPr>
              <w:pStyle w:val="3"/>
              <w:keepNext/>
              <w:keepLines/>
              <w:pageBreakBefore w:val="0"/>
              <w:widowControl w:val="0"/>
              <w:kinsoku/>
              <w:wordWrap/>
              <w:overflowPunct/>
              <w:topLinePunct w:val="0"/>
              <w:autoSpaceDE/>
              <w:autoSpaceDN/>
              <w:bidi w:val="0"/>
              <w:adjustRightInd/>
              <w:snapToGrid/>
              <w:spacing w:before="0" w:after="0" w:line="240" w:lineRule="auto"/>
              <w:ind w:left="0" w:firstLine="0"/>
              <w:jc w:val="center"/>
              <w:textAlignment w:val="auto"/>
              <w:rPr>
                <w:rFonts w:hint="eastAsia" w:ascii="宋体" w:hAnsi="宋体" w:eastAsia="宋体" w:cs="宋体"/>
                <w:b w:val="0"/>
                <w:bCs w:val="0"/>
                <w:sz w:val="21"/>
                <w:szCs w:val="21"/>
                <w:vertAlign w:val="baseline"/>
                <w:lang w:val="en-US" w:eastAsia="zh-CN"/>
              </w:rPr>
            </w:pPr>
          </w:p>
        </w:tc>
      </w:tr>
      <w:tr w14:paraId="2186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7" w:type="dxa"/>
            <w:gridSpan w:val="2"/>
            <w:vAlign w:val="center"/>
          </w:tcPr>
          <w:p w14:paraId="5ED55DEC">
            <w:pPr>
              <w:pStyle w:val="3"/>
              <w:keepNext/>
              <w:keepLines/>
              <w:pageBreakBefore w:val="0"/>
              <w:widowControl w:val="0"/>
              <w:kinsoku/>
              <w:wordWrap/>
              <w:overflowPunct/>
              <w:topLinePunct w:val="0"/>
              <w:autoSpaceDE/>
              <w:autoSpaceDN/>
              <w:bidi w:val="0"/>
              <w:adjustRightInd/>
              <w:snapToGrid/>
              <w:spacing w:before="0" w:after="0" w:line="240" w:lineRule="auto"/>
              <w:ind w:left="0" w:firstLine="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年度服务费总计金额</w:t>
            </w:r>
          </w:p>
          <w:p w14:paraId="1320B900">
            <w:pPr>
              <w:pStyle w:val="3"/>
              <w:keepNext/>
              <w:keepLines/>
              <w:pageBreakBefore w:val="0"/>
              <w:widowControl w:val="0"/>
              <w:kinsoku/>
              <w:wordWrap/>
              <w:overflowPunct/>
              <w:topLinePunct w:val="0"/>
              <w:autoSpaceDE/>
              <w:autoSpaceDN/>
              <w:bidi w:val="0"/>
              <w:adjustRightInd/>
              <w:snapToGrid/>
              <w:spacing w:before="0" w:after="0" w:line="240" w:lineRule="auto"/>
              <w:ind w:left="0" w:firstLine="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（人民币元）（含税）</w:t>
            </w:r>
          </w:p>
        </w:tc>
        <w:tc>
          <w:tcPr>
            <w:tcW w:w="6124" w:type="dxa"/>
            <w:gridSpan w:val="3"/>
            <w:vAlign w:val="center"/>
          </w:tcPr>
          <w:p w14:paraId="52F56327">
            <w:pPr>
              <w:pStyle w:val="3"/>
              <w:keepNext/>
              <w:keepLines/>
              <w:pageBreakBefore w:val="0"/>
              <w:widowControl w:val="0"/>
              <w:kinsoku/>
              <w:wordWrap/>
              <w:overflowPunct/>
              <w:topLinePunct w:val="0"/>
              <w:autoSpaceDE/>
              <w:autoSpaceDN/>
              <w:bidi w:val="0"/>
              <w:adjustRightInd/>
              <w:snapToGrid/>
              <w:spacing w:before="0" w:after="0" w:line="240" w:lineRule="auto"/>
              <w:ind w:left="0" w:firstLine="0"/>
              <w:jc w:val="center"/>
              <w:textAlignment w:val="auto"/>
              <w:rPr>
                <w:rFonts w:hint="eastAsia" w:ascii="宋体" w:hAnsi="宋体" w:eastAsia="宋体" w:cs="宋体"/>
                <w:b/>
                <w:bCs/>
                <w:sz w:val="21"/>
                <w:szCs w:val="21"/>
                <w:vertAlign w:val="baseline"/>
                <w:lang w:val="en-US" w:eastAsia="zh-CN"/>
              </w:rPr>
            </w:pPr>
          </w:p>
        </w:tc>
      </w:tr>
      <w:tr w14:paraId="320F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37" w:type="dxa"/>
            <w:gridSpan w:val="2"/>
            <w:vAlign w:val="center"/>
          </w:tcPr>
          <w:p w14:paraId="12F08452">
            <w:pPr>
              <w:pStyle w:val="3"/>
              <w:keepNext/>
              <w:keepLines/>
              <w:pageBreakBefore w:val="0"/>
              <w:widowControl w:val="0"/>
              <w:kinsoku/>
              <w:wordWrap/>
              <w:overflowPunct/>
              <w:topLinePunct w:val="0"/>
              <w:autoSpaceDE/>
              <w:autoSpaceDN/>
              <w:bidi w:val="0"/>
              <w:adjustRightInd/>
              <w:snapToGrid/>
              <w:spacing w:before="0" w:after="0" w:line="240" w:lineRule="auto"/>
              <w:ind w:left="0" w:firstLine="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2年服务费总计金额</w:t>
            </w:r>
          </w:p>
          <w:p w14:paraId="2E66A09C">
            <w:pPr>
              <w:pStyle w:val="3"/>
              <w:keepNext/>
              <w:keepLines/>
              <w:pageBreakBefore w:val="0"/>
              <w:widowControl w:val="0"/>
              <w:kinsoku/>
              <w:wordWrap/>
              <w:overflowPunct/>
              <w:topLinePunct w:val="0"/>
              <w:autoSpaceDE/>
              <w:autoSpaceDN/>
              <w:bidi w:val="0"/>
              <w:adjustRightInd/>
              <w:snapToGrid/>
              <w:spacing w:before="0" w:after="0" w:line="240" w:lineRule="auto"/>
              <w:ind w:left="0" w:firstLine="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（人民币元）（含税）</w:t>
            </w:r>
          </w:p>
        </w:tc>
        <w:tc>
          <w:tcPr>
            <w:tcW w:w="6124" w:type="dxa"/>
            <w:gridSpan w:val="3"/>
            <w:vAlign w:val="center"/>
          </w:tcPr>
          <w:p w14:paraId="3182E5F8">
            <w:pPr>
              <w:pStyle w:val="3"/>
              <w:keepNext/>
              <w:keepLines/>
              <w:pageBreakBefore w:val="0"/>
              <w:widowControl w:val="0"/>
              <w:kinsoku/>
              <w:wordWrap/>
              <w:overflowPunct/>
              <w:topLinePunct w:val="0"/>
              <w:autoSpaceDE/>
              <w:autoSpaceDN/>
              <w:bidi w:val="0"/>
              <w:adjustRightInd/>
              <w:snapToGrid/>
              <w:spacing w:before="0" w:after="0" w:line="240" w:lineRule="auto"/>
              <w:ind w:left="0" w:firstLine="0"/>
              <w:jc w:val="center"/>
              <w:textAlignment w:val="auto"/>
              <w:rPr>
                <w:rFonts w:hint="eastAsia" w:ascii="宋体" w:hAnsi="宋体" w:eastAsia="宋体" w:cs="宋体"/>
                <w:b/>
                <w:bCs/>
                <w:sz w:val="21"/>
                <w:szCs w:val="21"/>
                <w:vertAlign w:val="baseline"/>
                <w:lang w:val="en-US" w:eastAsia="zh-CN"/>
              </w:rPr>
            </w:pPr>
          </w:p>
        </w:tc>
      </w:tr>
    </w:tbl>
    <w:p w14:paraId="47B212E0">
      <w:pPr>
        <w:keepNext w:val="0"/>
        <w:keepLines w:val="0"/>
        <w:pageBreakBefore w:val="0"/>
        <w:widowControl w:val="0"/>
        <w:kinsoku/>
        <w:wordWrap/>
        <w:overflowPunct/>
        <w:topLinePunct w:val="0"/>
        <w:autoSpaceDE/>
        <w:autoSpaceDN/>
        <w:bidi w:val="0"/>
        <w:adjustRightInd/>
        <w:spacing w:line="360" w:lineRule="auto"/>
        <w:textAlignment w:val="auto"/>
        <w:rPr>
          <w:rFonts w:hint="eastAsia"/>
          <w:lang w:val="en-US" w:eastAsia="zh-CN"/>
        </w:rPr>
      </w:pPr>
    </w:p>
    <w:p w14:paraId="3CC8A19B">
      <w:pPr>
        <w:keepNext w:val="0"/>
        <w:keepLines w:val="0"/>
        <w:pageBreakBefore w:val="0"/>
        <w:widowControl w:val="0"/>
        <w:kinsoku/>
        <w:wordWrap/>
        <w:overflowPunct/>
        <w:topLinePunct w:val="0"/>
        <w:autoSpaceDE/>
        <w:autoSpaceDN/>
        <w:bidi w:val="0"/>
        <w:adjustRightInd/>
        <w:spacing w:line="360" w:lineRule="auto"/>
        <w:textAlignment w:val="auto"/>
        <w:rPr>
          <w:rFonts w:hint="eastAsia"/>
          <w:lang w:val="en-US" w:eastAsia="zh-CN"/>
        </w:rPr>
      </w:pPr>
      <w:r>
        <w:rPr>
          <w:rFonts w:hint="eastAsia"/>
          <w:lang w:val="en-US" w:eastAsia="zh-CN"/>
        </w:rPr>
        <w:t>报价说明：</w:t>
      </w:r>
    </w:p>
    <w:p w14:paraId="3281754F">
      <w:pPr>
        <w:keepNext w:val="0"/>
        <w:keepLines w:val="0"/>
        <w:pageBreakBefore w:val="0"/>
        <w:widowControl w:val="0"/>
        <w:kinsoku/>
        <w:wordWrap/>
        <w:overflowPunct/>
        <w:topLinePunct w:val="0"/>
        <w:autoSpaceDE/>
        <w:autoSpaceDN/>
        <w:bidi w:val="0"/>
        <w:adjustRightInd/>
        <w:spacing w:line="360" w:lineRule="auto"/>
        <w:textAlignment w:val="auto"/>
        <w:rPr>
          <w:rFonts w:hint="eastAsia"/>
          <w:lang w:val="en-US" w:eastAsia="zh-CN"/>
        </w:rPr>
      </w:pPr>
      <w:r>
        <w:rPr>
          <w:rFonts w:hint="eastAsia"/>
          <w:lang w:val="en-US" w:eastAsia="zh-CN"/>
        </w:rPr>
        <w:t>1、上述报价包含且不限于投标人应支付派驻保安人员的工资（五险一金等）、每周不超过4小时的加班费、假期待遇（含法定节假日值班费、年休假、探亲假等）、劳保费、高温补贴、</w:t>
      </w:r>
      <w:r>
        <w:rPr>
          <w:rFonts w:hint="eastAsia"/>
        </w:rPr>
        <w:t>工作期间意外伤亡保险费</w:t>
      </w:r>
      <w:r>
        <w:rPr>
          <w:rFonts w:hint="eastAsia"/>
          <w:lang w:eastAsia="zh-CN"/>
        </w:rPr>
        <w:t>、</w:t>
      </w:r>
      <w:r>
        <w:rPr>
          <w:rFonts w:hint="eastAsia"/>
          <w:lang w:val="en-US" w:eastAsia="zh-CN"/>
        </w:rPr>
        <w:t>因投标人原因造成招标人损失（或伤害）相关责任保险费用或赔偿费用、运营</w:t>
      </w:r>
      <w:r>
        <w:rPr>
          <w:rFonts w:hint="eastAsia"/>
        </w:rPr>
        <w:t>开支成本（税费及管理费等）</w:t>
      </w:r>
      <w:r>
        <w:rPr>
          <w:rFonts w:hint="eastAsia"/>
          <w:lang w:eastAsia="zh-CN"/>
        </w:rPr>
        <w:t>、</w:t>
      </w:r>
      <w:r>
        <w:rPr>
          <w:rFonts w:hint="eastAsia"/>
          <w:lang w:val="en-US" w:eastAsia="zh-CN"/>
        </w:rPr>
        <w:t>利润等相关费用。</w:t>
      </w:r>
    </w:p>
    <w:p w14:paraId="4B121BEF">
      <w:pPr>
        <w:pStyle w:val="16"/>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right="0" w:rightChars="0"/>
        <w:jc w:val="left"/>
        <w:textAlignment w:val="auto"/>
        <w:rPr>
          <w:rFonts w:hint="eastAsia" w:ascii="宋体" w:hAnsi="宋体" w:eastAsia="宋体" w:cs="宋体"/>
          <w:b w:val="0"/>
          <w:bCs/>
          <w:color w:val="auto"/>
          <w:highlight w:val="none"/>
          <w:lang w:val="en-US" w:eastAsia="zh-CN"/>
        </w:rPr>
      </w:pPr>
      <w:r>
        <w:rPr>
          <w:rFonts w:hint="eastAsia" w:hAnsi="宋体" w:cs="宋体"/>
          <w:b w:val="0"/>
          <w:bCs/>
          <w:color w:val="auto"/>
          <w:highlight w:val="none"/>
          <w:lang w:val="en-US" w:eastAsia="zh-CN"/>
        </w:rPr>
        <w:t>2、</w:t>
      </w:r>
      <w:r>
        <w:rPr>
          <w:rFonts w:hint="eastAsia" w:ascii="宋体" w:hAnsi="宋体" w:eastAsia="宋体" w:cs="宋体"/>
          <w:b w:val="0"/>
          <w:bCs/>
          <w:color w:val="auto"/>
          <w:highlight w:val="none"/>
          <w:lang w:val="en-US" w:eastAsia="zh-CN"/>
        </w:rPr>
        <w:t>所有报价保留两位小数。</w:t>
      </w:r>
    </w:p>
    <w:p w14:paraId="194622C2">
      <w:pPr>
        <w:pStyle w:val="16"/>
        <w:numPr>
          <w:ilvl w:val="0"/>
          <w:numId w:val="0"/>
        </w:numPr>
        <w:snapToGrid w:val="0"/>
        <w:spacing w:line="360" w:lineRule="auto"/>
        <w:ind w:left="0" w:right="0" w:rightChars="0" w:firstLine="0"/>
        <w:rPr>
          <w:rFonts w:hint="eastAsia" w:hAnsi="宋体" w:cs="宋体"/>
          <w:b/>
          <w:bCs/>
          <w:color w:val="auto"/>
          <w:highlight w:val="none"/>
        </w:rPr>
      </w:pPr>
    </w:p>
    <w:p w14:paraId="48C9EA0B">
      <w:pPr>
        <w:pStyle w:val="16"/>
        <w:numPr>
          <w:ilvl w:val="0"/>
          <w:numId w:val="0"/>
        </w:numPr>
        <w:snapToGrid w:val="0"/>
        <w:spacing w:line="360" w:lineRule="auto"/>
        <w:ind w:left="0" w:right="0" w:rightChars="0" w:firstLine="0"/>
        <w:rPr>
          <w:rFonts w:hint="eastAsia" w:hAnsi="宋体" w:cs="宋体"/>
          <w:color w:val="auto"/>
          <w:highlight w:val="none"/>
        </w:rPr>
      </w:pPr>
      <w:r>
        <w:rPr>
          <w:rFonts w:hint="eastAsia" w:hAnsi="宋体" w:cs="宋体"/>
          <w:color w:val="auto"/>
          <w:highlight w:val="none"/>
        </w:rPr>
        <w:t>投标人名称:（盖章）</w:t>
      </w:r>
    </w:p>
    <w:p w14:paraId="3CB1D9CB">
      <w:pPr>
        <w:pStyle w:val="16"/>
        <w:spacing w:line="360" w:lineRule="auto"/>
        <w:jc w:val="left"/>
        <w:rPr>
          <w:rFonts w:hint="eastAsia" w:hAnsi="宋体" w:cs="宋体"/>
          <w:color w:val="auto"/>
          <w:highlight w:val="none"/>
        </w:rPr>
      </w:pPr>
      <w:r>
        <w:rPr>
          <w:rFonts w:hint="eastAsia" w:hAnsi="宋体" w:cs="宋体"/>
          <w:color w:val="auto"/>
          <w:highlight w:val="none"/>
        </w:rPr>
        <w:t>日期：    年   月   日</w:t>
      </w:r>
    </w:p>
    <w:p w14:paraId="44C1A39F">
      <w:pPr>
        <w:pStyle w:val="16"/>
        <w:snapToGrid w:val="0"/>
        <w:ind w:left="360" w:right="120" w:rightChars="57"/>
        <w:jc w:val="left"/>
        <w:rPr>
          <w:rFonts w:hint="eastAsia" w:hAnsi="宋体" w:cs="宋体"/>
          <w:color w:val="auto"/>
          <w:highlight w:val="none"/>
        </w:rPr>
      </w:pPr>
    </w:p>
    <w:p w14:paraId="3521DA12">
      <w:pPr>
        <w:pStyle w:val="16"/>
        <w:snapToGrid w:val="0"/>
        <w:ind w:left="360" w:right="120" w:rightChars="57"/>
        <w:jc w:val="left"/>
        <w:rPr>
          <w:rFonts w:hint="eastAsia" w:hAnsi="宋体" w:cs="宋体"/>
          <w:color w:val="auto"/>
          <w:highlight w:val="none"/>
        </w:rPr>
      </w:pPr>
      <w:r>
        <w:rPr>
          <w:rFonts w:hint="eastAsia" w:hAnsi="宋体" w:cs="宋体"/>
          <w:color w:val="auto"/>
          <w:szCs w:val="21"/>
          <w:highlight w:val="none"/>
        </w:rPr>
        <w:br w:type="page"/>
      </w:r>
    </w:p>
    <w:bookmarkEnd w:id="90"/>
    <w:bookmarkEnd w:id="91"/>
    <w:bookmarkEnd w:id="92"/>
    <w:bookmarkEnd w:id="93"/>
    <w:bookmarkEnd w:id="94"/>
    <w:p w14:paraId="5D26BD4D">
      <w:pPr>
        <w:pStyle w:val="5"/>
        <w:numPr>
          <w:ilvl w:val="0"/>
          <w:numId w:val="0"/>
        </w:numPr>
        <w:ind w:left="422"/>
        <w:rPr>
          <w:rFonts w:hint="eastAsia" w:hAnsi="宋体" w:cs="宋体"/>
          <w:color w:val="auto"/>
          <w:highlight w:val="none"/>
        </w:rPr>
      </w:pPr>
      <w:r>
        <w:rPr>
          <w:rFonts w:hint="eastAsia" w:hAnsi="宋体" w:cs="宋体"/>
          <w:color w:val="auto"/>
          <w:highlight w:val="none"/>
        </w:rPr>
        <w:t>四、资格证明材料</w:t>
      </w:r>
    </w:p>
    <w:p w14:paraId="160A0478">
      <w:pPr>
        <w:pStyle w:val="5"/>
        <w:numPr>
          <w:ilvl w:val="0"/>
          <w:numId w:val="0"/>
        </w:numPr>
        <w:ind w:left="422"/>
        <w:rPr>
          <w:rFonts w:hint="eastAsia" w:hAnsi="宋体" w:cs="宋体"/>
          <w:b w:val="0"/>
          <w:color w:val="auto"/>
          <w:highlight w:val="none"/>
        </w:rPr>
      </w:pPr>
      <w:r>
        <w:rPr>
          <w:rFonts w:hint="eastAsia" w:hAnsi="宋体" w:cs="宋体"/>
          <w:b w:val="0"/>
          <w:color w:val="auto"/>
          <w:highlight w:val="none"/>
        </w:rPr>
        <w:t>（1）投标函</w:t>
      </w:r>
    </w:p>
    <w:p w14:paraId="57896050">
      <w:pPr>
        <w:jc w:val="center"/>
        <w:rPr>
          <w:rFonts w:hint="eastAsia" w:ascii="宋体" w:hAnsi="宋体" w:cs="宋体"/>
          <w:b/>
          <w:color w:val="auto"/>
          <w:sz w:val="28"/>
          <w:highlight w:val="none"/>
        </w:rPr>
      </w:pPr>
      <w:r>
        <w:rPr>
          <w:rFonts w:hint="eastAsia" w:ascii="宋体" w:hAnsi="宋体" w:cs="宋体"/>
          <w:b/>
          <w:color w:val="auto"/>
          <w:sz w:val="28"/>
          <w:highlight w:val="none"/>
        </w:rPr>
        <w:t>投 标 函</w:t>
      </w:r>
    </w:p>
    <w:p w14:paraId="3489A22B">
      <w:pPr>
        <w:spacing w:line="360" w:lineRule="auto"/>
        <w:rPr>
          <w:rFonts w:hint="eastAsia" w:ascii="宋体" w:hAnsi="宋体" w:cs="宋体"/>
          <w:color w:val="auto"/>
          <w:highlight w:val="none"/>
        </w:rPr>
      </w:pPr>
    </w:p>
    <w:p w14:paraId="407F7C9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致:（招标人名称）</w:t>
      </w:r>
    </w:p>
    <w:p w14:paraId="7DA94737">
      <w:pPr>
        <w:spacing w:line="360" w:lineRule="auto"/>
        <w:rPr>
          <w:rFonts w:hint="eastAsia" w:ascii="宋体" w:hAnsi="宋体" w:cs="宋体"/>
          <w:color w:val="auto"/>
          <w:highlight w:val="none"/>
        </w:rPr>
      </w:pPr>
    </w:p>
    <w:p w14:paraId="2F5487C9">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 xml:space="preserve">  我方确认收到贵方提供的（</w:t>
      </w:r>
      <w:r>
        <w:rPr>
          <w:rFonts w:hint="eastAsia" w:ascii="宋体" w:hAnsi="宋体" w:cs="宋体"/>
          <w:color w:val="auto"/>
          <w:kern w:val="28"/>
          <w:highlight w:val="none"/>
          <w:u w:val="single"/>
        </w:rPr>
        <w:t>招标项目名称）</w:t>
      </w:r>
      <w:r>
        <w:rPr>
          <w:rFonts w:hint="eastAsia" w:ascii="宋体" w:hAnsi="宋体" w:cs="宋体"/>
          <w:color w:val="auto"/>
          <w:highlight w:val="none"/>
        </w:rPr>
        <w:t>的招标文件的全部内容，我方：</w:t>
      </w:r>
      <w:r>
        <w:rPr>
          <w:rFonts w:hint="eastAsia" w:ascii="宋体" w:hAnsi="宋体" w:cs="宋体"/>
          <w:color w:val="auto"/>
          <w:highlight w:val="none"/>
          <w:u w:val="single"/>
        </w:rPr>
        <w:t xml:space="preserve">                                   （投标人名称）</w:t>
      </w:r>
      <w:r>
        <w:rPr>
          <w:rFonts w:hint="eastAsia" w:ascii="宋体" w:hAnsi="宋体" w:cs="宋体"/>
          <w:color w:val="auto"/>
          <w:highlight w:val="none"/>
        </w:rPr>
        <w:t>作为投标者正式授权</w:t>
      </w:r>
      <w:r>
        <w:rPr>
          <w:rFonts w:hint="eastAsia" w:ascii="宋体" w:hAnsi="宋体" w:cs="宋体"/>
          <w:color w:val="auto"/>
          <w:highlight w:val="none"/>
          <w:u w:val="single"/>
        </w:rPr>
        <w:t>（授权代表全名, 职务）</w:t>
      </w:r>
      <w:r>
        <w:rPr>
          <w:rFonts w:hint="eastAsia" w:ascii="宋体" w:hAnsi="宋体" w:cs="宋体"/>
          <w:color w:val="auto"/>
          <w:highlight w:val="none"/>
        </w:rPr>
        <w:t>代表我方进行有关本投标的一切事宜。</w:t>
      </w:r>
    </w:p>
    <w:p w14:paraId="0E6FD0DB">
      <w:pPr>
        <w:spacing w:line="360" w:lineRule="auto"/>
        <w:ind w:firstLine="516" w:firstLineChars="246"/>
        <w:rPr>
          <w:rFonts w:hint="eastAsia" w:ascii="宋体" w:hAnsi="宋体" w:cs="宋体"/>
          <w:color w:val="auto"/>
          <w:highlight w:val="none"/>
        </w:rPr>
      </w:pPr>
      <w:r>
        <w:rPr>
          <w:rFonts w:hint="eastAsia" w:ascii="宋体" w:hAnsi="宋体" w:cs="宋体"/>
          <w:color w:val="auto"/>
          <w:highlight w:val="none"/>
        </w:rPr>
        <w:t>在此提交的投标文件, 正本一份, 副本</w:t>
      </w:r>
      <w:r>
        <w:rPr>
          <w:rFonts w:hint="eastAsia" w:ascii="宋体" w:hAnsi="宋体" w:cs="宋体"/>
          <w:color w:val="auto"/>
          <w:highlight w:val="none"/>
          <w:u w:val="single"/>
        </w:rPr>
        <w:t xml:space="preserve">     </w:t>
      </w:r>
      <w:r>
        <w:rPr>
          <w:rFonts w:hint="eastAsia" w:ascii="宋体" w:hAnsi="宋体" w:cs="宋体"/>
          <w:color w:val="auto"/>
          <w:highlight w:val="none"/>
        </w:rPr>
        <w:t>份，包括如下等内容：</w:t>
      </w:r>
    </w:p>
    <w:p w14:paraId="0892300B">
      <w:pPr>
        <w:numPr>
          <w:ilvl w:val="0"/>
          <w:numId w:val="6"/>
        </w:numPr>
        <w:tabs>
          <w:tab w:val="left" w:pos="0"/>
          <w:tab w:val="clear" w:pos="851"/>
        </w:tabs>
        <w:autoSpaceDE w:val="0"/>
        <w:autoSpaceDN w:val="0"/>
        <w:adjustRightInd w:val="0"/>
        <w:spacing w:line="360" w:lineRule="auto"/>
        <w:ind w:left="-2" w:leftChars="-1" w:firstLine="516" w:firstLineChars="246"/>
        <w:rPr>
          <w:rFonts w:hint="eastAsia" w:ascii="宋体" w:hAnsi="宋体" w:cs="宋体"/>
          <w:color w:val="auto"/>
          <w:highlight w:val="none"/>
        </w:rPr>
      </w:pPr>
      <w:r>
        <w:rPr>
          <w:rFonts w:hint="eastAsia" w:ascii="宋体" w:hAnsi="宋体" w:cs="宋体"/>
          <w:color w:val="auto"/>
          <w:highlight w:val="none"/>
        </w:rPr>
        <w:t>报价表；</w:t>
      </w:r>
    </w:p>
    <w:p w14:paraId="7EE21388">
      <w:pPr>
        <w:numPr>
          <w:ilvl w:val="0"/>
          <w:numId w:val="6"/>
        </w:numPr>
        <w:tabs>
          <w:tab w:val="left" w:pos="0"/>
          <w:tab w:val="clear" w:pos="851"/>
        </w:tabs>
        <w:autoSpaceDE w:val="0"/>
        <w:autoSpaceDN w:val="0"/>
        <w:adjustRightInd w:val="0"/>
        <w:spacing w:line="360" w:lineRule="auto"/>
        <w:ind w:left="-2" w:leftChars="-1" w:firstLine="516" w:firstLineChars="246"/>
        <w:rPr>
          <w:rFonts w:hint="eastAsia" w:ascii="宋体" w:hAnsi="宋体" w:cs="宋体"/>
          <w:color w:val="auto"/>
          <w:highlight w:val="none"/>
        </w:rPr>
      </w:pPr>
      <w:r>
        <w:rPr>
          <w:rFonts w:hint="eastAsia" w:ascii="宋体" w:hAnsi="宋体" w:cs="宋体"/>
          <w:color w:val="auto"/>
          <w:highlight w:val="none"/>
        </w:rPr>
        <w:t>投标函；</w:t>
      </w:r>
    </w:p>
    <w:p w14:paraId="0AA0692D">
      <w:pPr>
        <w:numPr>
          <w:ilvl w:val="0"/>
          <w:numId w:val="6"/>
        </w:numPr>
        <w:tabs>
          <w:tab w:val="left" w:pos="0"/>
          <w:tab w:val="clear" w:pos="851"/>
        </w:tabs>
        <w:autoSpaceDE w:val="0"/>
        <w:autoSpaceDN w:val="0"/>
        <w:adjustRightInd w:val="0"/>
        <w:spacing w:line="360" w:lineRule="auto"/>
        <w:ind w:left="-2" w:leftChars="-1" w:firstLine="516" w:firstLineChars="246"/>
        <w:rPr>
          <w:rFonts w:hint="eastAsia" w:ascii="宋体" w:hAnsi="宋体" w:cs="宋体"/>
          <w:color w:val="auto"/>
          <w:highlight w:val="none"/>
        </w:rPr>
      </w:pPr>
      <w:r>
        <w:rPr>
          <w:rFonts w:hint="eastAsia" w:ascii="宋体" w:hAnsi="宋体" w:cs="宋体"/>
          <w:color w:val="auto"/>
          <w:highlight w:val="none"/>
        </w:rPr>
        <w:t>法定代表人证明书及法人授权书；</w:t>
      </w:r>
    </w:p>
    <w:p w14:paraId="298ADF23">
      <w:pPr>
        <w:numPr>
          <w:ilvl w:val="0"/>
          <w:numId w:val="6"/>
        </w:numPr>
        <w:tabs>
          <w:tab w:val="left" w:pos="0"/>
          <w:tab w:val="clear" w:pos="851"/>
        </w:tabs>
        <w:autoSpaceDE w:val="0"/>
        <w:autoSpaceDN w:val="0"/>
        <w:adjustRightInd w:val="0"/>
        <w:spacing w:line="360" w:lineRule="auto"/>
        <w:ind w:left="-2" w:leftChars="-1" w:firstLine="516" w:firstLineChars="246"/>
        <w:rPr>
          <w:rFonts w:hint="eastAsia" w:ascii="宋体" w:hAnsi="宋体" w:cs="宋体"/>
          <w:color w:val="auto"/>
          <w:highlight w:val="none"/>
        </w:rPr>
      </w:pPr>
      <w:r>
        <w:rPr>
          <w:rFonts w:hint="eastAsia" w:ascii="宋体" w:hAnsi="宋体" w:cs="宋体"/>
          <w:color w:val="auto"/>
          <w:highlight w:val="none"/>
        </w:rPr>
        <w:t>投标保证金支付证明复印件；</w:t>
      </w:r>
    </w:p>
    <w:p w14:paraId="376B0D9E">
      <w:pPr>
        <w:numPr>
          <w:ilvl w:val="0"/>
          <w:numId w:val="6"/>
        </w:numPr>
        <w:tabs>
          <w:tab w:val="left" w:pos="0"/>
          <w:tab w:val="clear" w:pos="851"/>
        </w:tabs>
        <w:autoSpaceDE w:val="0"/>
        <w:autoSpaceDN w:val="0"/>
        <w:adjustRightInd w:val="0"/>
        <w:spacing w:line="360" w:lineRule="auto"/>
        <w:ind w:left="-2" w:leftChars="-1" w:firstLine="516" w:firstLineChars="246"/>
        <w:rPr>
          <w:rFonts w:hint="eastAsia" w:ascii="宋体" w:hAnsi="宋体" w:cs="宋体"/>
          <w:color w:val="auto"/>
          <w:szCs w:val="21"/>
          <w:highlight w:val="none"/>
        </w:rPr>
      </w:pPr>
      <w:r>
        <w:rPr>
          <w:rFonts w:hint="eastAsia" w:ascii="宋体" w:hAnsi="宋体" w:cs="宋体"/>
          <w:color w:val="auto"/>
          <w:highlight w:val="none"/>
        </w:rPr>
        <w:t>有关确立投标人法律地位的原始文件副本复印件（如营业执照、组织代码证、税务登记证等）；</w:t>
      </w:r>
    </w:p>
    <w:p w14:paraId="730D5931">
      <w:pPr>
        <w:numPr>
          <w:ilvl w:val="0"/>
          <w:numId w:val="6"/>
        </w:numPr>
        <w:tabs>
          <w:tab w:val="left" w:pos="0"/>
          <w:tab w:val="clear" w:pos="851"/>
        </w:tabs>
        <w:autoSpaceDE w:val="0"/>
        <w:autoSpaceDN w:val="0"/>
        <w:adjustRightInd w:val="0"/>
        <w:spacing w:line="360" w:lineRule="auto"/>
        <w:ind w:left="-2" w:leftChars="-1" w:firstLine="516" w:firstLineChars="246"/>
        <w:rPr>
          <w:rFonts w:hint="eastAsia" w:ascii="宋体" w:hAnsi="宋体" w:cs="宋体"/>
          <w:color w:val="auto"/>
          <w:szCs w:val="21"/>
          <w:highlight w:val="none"/>
        </w:rPr>
      </w:pPr>
      <w:r>
        <w:rPr>
          <w:rFonts w:hint="eastAsia" w:ascii="宋体" w:hAnsi="宋体" w:cs="宋体"/>
          <w:color w:val="auto"/>
          <w:highlight w:val="none"/>
        </w:rPr>
        <w:t>资格及能力证明文件；</w:t>
      </w:r>
    </w:p>
    <w:p w14:paraId="6A307E32">
      <w:pPr>
        <w:numPr>
          <w:ilvl w:val="0"/>
          <w:numId w:val="6"/>
        </w:numPr>
        <w:tabs>
          <w:tab w:val="left" w:pos="0"/>
          <w:tab w:val="clear" w:pos="851"/>
        </w:tabs>
        <w:autoSpaceDE w:val="0"/>
        <w:autoSpaceDN w:val="0"/>
        <w:adjustRightInd w:val="0"/>
        <w:spacing w:line="360" w:lineRule="auto"/>
        <w:ind w:left="-2" w:leftChars="-1" w:firstLine="516" w:firstLineChars="246"/>
        <w:rPr>
          <w:rFonts w:hint="eastAsia" w:ascii="宋体" w:hAnsi="宋体" w:cs="宋体"/>
          <w:color w:val="auto"/>
          <w:szCs w:val="21"/>
          <w:highlight w:val="none"/>
        </w:rPr>
      </w:pPr>
      <w:r>
        <w:rPr>
          <w:rFonts w:hint="eastAsia" w:ascii="宋体" w:hAnsi="宋体" w:cs="宋体"/>
          <w:color w:val="auto"/>
          <w:highlight w:val="none"/>
        </w:rPr>
        <w:t>商务响应文件；</w:t>
      </w:r>
    </w:p>
    <w:p w14:paraId="50157EDB">
      <w:pPr>
        <w:numPr>
          <w:ilvl w:val="0"/>
          <w:numId w:val="6"/>
        </w:numPr>
        <w:tabs>
          <w:tab w:val="left" w:pos="0"/>
          <w:tab w:val="clear" w:pos="851"/>
        </w:tabs>
        <w:autoSpaceDE w:val="0"/>
        <w:autoSpaceDN w:val="0"/>
        <w:adjustRightInd w:val="0"/>
        <w:spacing w:line="360" w:lineRule="auto"/>
        <w:ind w:left="-2" w:leftChars="-1" w:firstLine="516" w:firstLineChars="246"/>
        <w:rPr>
          <w:rFonts w:hint="eastAsia" w:ascii="宋体" w:hAnsi="宋体" w:cs="宋体"/>
          <w:color w:val="auto"/>
          <w:highlight w:val="none"/>
        </w:rPr>
      </w:pPr>
      <w:r>
        <w:rPr>
          <w:rFonts w:hint="eastAsia" w:ascii="宋体" w:hAnsi="宋体" w:cs="宋体"/>
          <w:color w:val="auto"/>
          <w:highlight w:val="none"/>
        </w:rPr>
        <w:t>技术响应文件；</w:t>
      </w:r>
    </w:p>
    <w:p w14:paraId="3DB328DC">
      <w:pPr>
        <w:numPr>
          <w:ilvl w:val="0"/>
          <w:numId w:val="6"/>
        </w:numPr>
        <w:tabs>
          <w:tab w:val="left" w:pos="0"/>
          <w:tab w:val="clear" w:pos="851"/>
        </w:tabs>
        <w:autoSpaceDE w:val="0"/>
        <w:autoSpaceDN w:val="0"/>
        <w:adjustRightInd w:val="0"/>
        <w:spacing w:line="360" w:lineRule="auto"/>
        <w:ind w:left="-2" w:leftChars="-1" w:firstLine="516" w:firstLineChars="246"/>
        <w:rPr>
          <w:rFonts w:hint="eastAsia" w:ascii="宋体" w:hAnsi="宋体" w:cs="宋体"/>
          <w:color w:val="auto"/>
          <w:highlight w:val="none"/>
        </w:rPr>
      </w:pPr>
      <w:r>
        <w:rPr>
          <w:rFonts w:hint="eastAsia" w:ascii="宋体" w:hAnsi="宋体" w:cs="宋体"/>
          <w:color w:val="auto"/>
          <w:highlight w:val="none"/>
        </w:rPr>
        <w:t>应招标文件的要求提供的其他有关文件</w:t>
      </w:r>
    </w:p>
    <w:p w14:paraId="61C39AE6">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我方已完全明白招标文件的所有条款要求，并重申以下几点：</w:t>
      </w:r>
    </w:p>
    <w:p w14:paraId="1C63E235">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（一）我方决定参加：项目名称为</w:t>
      </w:r>
      <w:r>
        <w:rPr>
          <w:rFonts w:hint="eastAsia" w:ascii="宋体" w:hAnsi="宋体" w:cs="宋体"/>
          <w:color w:val="auto"/>
          <w:highlight w:val="none"/>
          <w:u w:val="single"/>
        </w:rPr>
        <w:t xml:space="preserve">            </w:t>
      </w:r>
      <w:r>
        <w:rPr>
          <w:rFonts w:hint="eastAsia" w:ascii="宋体" w:hAnsi="宋体" w:cs="宋体"/>
          <w:color w:val="auto"/>
          <w:highlight w:val="none"/>
        </w:rPr>
        <w:t>的投标。</w:t>
      </w:r>
    </w:p>
    <w:p w14:paraId="290B11D0">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（二）有关服务的投标总价详见投标报价表。</w:t>
      </w:r>
    </w:p>
    <w:p w14:paraId="4EF594C5">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（三）本投标文件的有效期投标截止日后</w:t>
      </w:r>
      <w:r>
        <w:rPr>
          <w:rFonts w:hint="eastAsia" w:ascii="宋体" w:hAnsi="宋体" w:cs="宋体"/>
          <w:b/>
          <w:color w:val="auto"/>
          <w:highlight w:val="none"/>
        </w:rPr>
        <w:t>90日</w:t>
      </w:r>
      <w:r>
        <w:rPr>
          <w:rFonts w:hint="eastAsia" w:ascii="宋体" w:hAnsi="宋体" w:cs="宋体"/>
          <w:color w:val="auto"/>
          <w:highlight w:val="none"/>
        </w:rPr>
        <w:t>有效，如中标，有效期将延至合同终止日为止。</w:t>
      </w:r>
    </w:p>
    <w:p w14:paraId="7291589B">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（四）我方已详细研究了招标文件的所有内容包括修正文（如果有）和所有已提供的参考资料以及有关附件并完全明白, 我方放弃在此方面提出含糊意见或误解的一切权力。</w:t>
      </w:r>
    </w:p>
    <w:p w14:paraId="1BA4791D">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（五）我方明白并愿意在规定的开标时间和日期之后,投标有效期之内撤回投标, 则投标保证金将被贵方没收。</w:t>
      </w:r>
    </w:p>
    <w:p w14:paraId="7FF6D9C1">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（六）我方同意按照贵方可能提出的要求而提供与投标有关的任何其它数据或信息。</w:t>
      </w:r>
    </w:p>
    <w:p w14:paraId="01C10CB6">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（七）我方理解贵方不一定接受最低标价或任何贵方可能收到的投标。</w:t>
      </w:r>
    </w:p>
    <w:p w14:paraId="2C11701C">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（八）我方如果中标，将保证履行招标文件以及招标文件修改书（如果有的话）中的全部责任和义务，按质、按量、按期完成《合同书》中的全部任务。</w:t>
      </w:r>
    </w:p>
    <w:p w14:paraId="389FBAFC">
      <w:pPr>
        <w:spacing w:line="360" w:lineRule="auto"/>
        <w:ind w:firstLine="411" w:firstLineChars="196"/>
        <w:rPr>
          <w:rFonts w:hint="eastAsia" w:ascii="宋体" w:hAnsi="宋体" w:cs="宋体"/>
          <w:color w:val="auto"/>
          <w:szCs w:val="21"/>
          <w:highlight w:val="none"/>
        </w:rPr>
      </w:pPr>
      <w:r>
        <w:rPr>
          <w:rFonts w:hint="eastAsia" w:ascii="宋体" w:hAnsi="宋体" w:cs="宋体"/>
          <w:color w:val="auto"/>
          <w:highlight w:val="none"/>
        </w:rPr>
        <w:t>（九）如我方被授予合同，我方就本次招标支付有关的招标服务费。</w:t>
      </w:r>
    </w:p>
    <w:p w14:paraId="18287C6A">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（十）所有与本招标有关的函件请发往下列地址:</w:t>
      </w:r>
    </w:p>
    <w:p w14:paraId="7E893DE6">
      <w:pPr>
        <w:spacing w:line="360" w:lineRule="auto"/>
        <w:ind w:left="721"/>
        <w:rPr>
          <w:rFonts w:hint="eastAsia" w:ascii="宋体" w:hAnsi="宋体" w:cs="宋体"/>
          <w:color w:val="auto"/>
          <w:highlight w:val="none"/>
          <w:u w:val="single"/>
        </w:rPr>
      </w:pPr>
      <w:r>
        <w:rPr>
          <w:rFonts w:hint="eastAsia" w:ascii="宋体" w:hAnsi="宋体" w:cs="宋体"/>
          <w:color w:val="auto"/>
          <w:highlight w:val="none"/>
        </w:rPr>
        <w:t xml:space="preserve"> 地    址：</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邮政编码：</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7A909B18">
      <w:pPr>
        <w:spacing w:line="360" w:lineRule="auto"/>
        <w:ind w:left="721"/>
        <w:rPr>
          <w:rFonts w:hint="eastAsia" w:ascii="宋体" w:hAnsi="宋体" w:cs="宋体"/>
          <w:color w:val="auto"/>
          <w:highlight w:val="none"/>
          <w:u w:val="single"/>
        </w:rPr>
      </w:pPr>
      <w:r>
        <w:rPr>
          <w:rFonts w:hint="eastAsia" w:ascii="宋体" w:hAnsi="宋体" w:cs="宋体"/>
          <w:color w:val="auto"/>
          <w:highlight w:val="none"/>
        </w:rPr>
        <w:t xml:space="preserve"> 电    话：</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传    真：</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35896F3D">
      <w:pPr>
        <w:spacing w:line="360" w:lineRule="auto"/>
        <w:ind w:left="721"/>
        <w:rPr>
          <w:rFonts w:hint="eastAsia" w:ascii="宋体" w:hAnsi="宋体" w:cs="宋体"/>
          <w:color w:val="auto"/>
          <w:highlight w:val="none"/>
          <w:u w:val="single"/>
        </w:rPr>
      </w:pPr>
      <w:r>
        <w:rPr>
          <w:rFonts w:hint="eastAsia" w:ascii="宋体" w:hAnsi="宋体" w:cs="宋体"/>
          <w:color w:val="auto"/>
          <w:highlight w:val="none"/>
        </w:rPr>
        <w:t xml:space="preserve"> 代表姓名：</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职    务：</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4AB9FA36">
      <w:pPr>
        <w:spacing w:line="360" w:lineRule="auto"/>
        <w:rPr>
          <w:rFonts w:hint="eastAsia" w:ascii="宋体" w:hAnsi="宋体" w:cs="宋体"/>
          <w:color w:val="auto"/>
          <w:highlight w:val="none"/>
          <w:u w:val="single"/>
        </w:rPr>
      </w:pPr>
    </w:p>
    <w:p w14:paraId="6412CDA5">
      <w:pPr>
        <w:spacing w:line="360" w:lineRule="auto"/>
        <w:ind w:left="630" w:hanging="630"/>
        <w:rPr>
          <w:rFonts w:hint="eastAsia" w:ascii="宋体" w:hAnsi="宋体" w:cs="宋体"/>
          <w:color w:val="auto"/>
          <w:highlight w:val="none"/>
        </w:rPr>
      </w:pPr>
    </w:p>
    <w:p w14:paraId="0A8326ED">
      <w:pPr>
        <w:spacing w:line="360" w:lineRule="auto"/>
        <w:rPr>
          <w:rFonts w:hint="eastAsia" w:ascii="宋体" w:hAnsi="宋体" w:cs="宋体"/>
          <w:color w:val="auto"/>
          <w:highlight w:val="none"/>
          <w:u w:val="single"/>
        </w:rPr>
      </w:pPr>
    </w:p>
    <w:p w14:paraId="32752EA8">
      <w:pPr>
        <w:pStyle w:val="16"/>
        <w:ind w:left="4700" w:leftChars="2238"/>
        <w:jc w:val="left"/>
        <w:rPr>
          <w:rFonts w:hint="eastAsia" w:hAnsi="宋体" w:cs="宋体"/>
          <w:color w:val="auto"/>
          <w:highlight w:val="none"/>
        </w:rPr>
      </w:pPr>
      <w:r>
        <w:rPr>
          <w:rFonts w:hint="eastAsia" w:hAnsi="宋体" w:cs="宋体"/>
          <w:color w:val="auto"/>
          <w:highlight w:val="none"/>
        </w:rPr>
        <w:t>投标人名称:（盖章）</w:t>
      </w:r>
    </w:p>
    <w:p w14:paraId="2AA2EEC5">
      <w:pPr>
        <w:pStyle w:val="16"/>
        <w:ind w:left="4700" w:leftChars="2238"/>
        <w:jc w:val="left"/>
        <w:rPr>
          <w:rFonts w:hint="eastAsia" w:hAnsi="宋体" w:cs="宋体"/>
          <w:color w:val="auto"/>
          <w:highlight w:val="none"/>
        </w:rPr>
      </w:pPr>
      <w:r>
        <w:rPr>
          <w:rFonts w:hint="eastAsia" w:hAnsi="宋体" w:cs="宋体"/>
          <w:color w:val="auto"/>
          <w:highlight w:val="none"/>
        </w:rPr>
        <w:t>投标人法定代表人或其授权代表（签名或盖章）：</w:t>
      </w:r>
    </w:p>
    <w:p w14:paraId="3A0F9B81">
      <w:pPr>
        <w:pStyle w:val="16"/>
        <w:ind w:left="4700" w:leftChars="2238"/>
        <w:jc w:val="left"/>
        <w:rPr>
          <w:rFonts w:hint="eastAsia" w:hAnsi="宋体" w:cs="宋体"/>
          <w:color w:val="auto"/>
          <w:szCs w:val="21"/>
          <w:highlight w:val="none"/>
        </w:rPr>
      </w:pPr>
      <w:r>
        <w:rPr>
          <w:rFonts w:hint="eastAsia" w:hAnsi="宋体" w:cs="宋体"/>
          <w:color w:val="auto"/>
          <w:highlight w:val="none"/>
        </w:rPr>
        <w:t>日期：    年   月   日</w:t>
      </w:r>
    </w:p>
    <w:p w14:paraId="21CE8381">
      <w:pPr>
        <w:spacing w:line="360" w:lineRule="auto"/>
        <w:ind w:left="721"/>
        <w:rPr>
          <w:rFonts w:hint="eastAsia" w:ascii="宋体" w:hAnsi="宋体" w:cs="宋体"/>
          <w:color w:val="auto"/>
          <w:highlight w:val="none"/>
          <w:u w:val="single"/>
        </w:rPr>
      </w:pPr>
    </w:p>
    <w:p w14:paraId="20ECF406">
      <w:pPr>
        <w:tabs>
          <w:tab w:val="left" w:pos="4320"/>
        </w:tabs>
        <w:rPr>
          <w:rFonts w:hint="eastAsia" w:ascii="宋体" w:hAnsi="宋体" w:cs="宋体"/>
          <w:color w:val="auto"/>
          <w:highlight w:val="none"/>
        </w:rPr>
      </w:pPr>
    </w:p>
    <w:p w14:paraId="044E70BB">
      <w:pPr>
        <w:tabs>
          <w:tab w:val="left" w:pos="4320"/>
        </w:tabs>
        <w:rPr>
          <w:rFonts w:hint="eastAsia" w:ascii="宋体" w:hAnsi="宋体" w:cs="宋体"/>
          <w:color w:val="auto"/>
          <w:highlight w:val="none"/>
        </w:rPr>
      </w:pPr>
    </w:p>
    <w:p w14:paraId="20F489C4">
      <w:pPr>
        <w:tabs>
          <w:tab w:val="left" w:pos="4320"/>
        </w:tabs>
        <w:rPr>
          <w:rFonts w:hint="eastAsia" w:ascii="宋体" w:hAnsi="宋体" w:cs="宋体"/>
          <w:color w:val="auto"/>
          <w:highlight w:val="none"/>
        </w:rPr>
      </w:pPr>
    </w:p>
    <w:p w14:paraId="49DB84E9">
      <w:pPr>
        <w:tabs>
          <w:tab w:val="left" w:pos="4320"/>
        </w:tabs>
        <w:rPr>
          <w:rFonts w:hint="eastAsia" w:ascii="宋体" w:hAnsi="宋体" w:cs="宋体"/>
          <w:color w:val="auto"/>
          <w:highlight w:val="none"/>
        </w:rPr>
      </w:pPr>
    </w:p>
    <w:p w14:paraId="46292A8E">
      <w:pPr>
        <w:tabs>
          <w:tab w:val="left" w:pos="4320"/>
        </w:tabs>
        <w:rPr>
          <w:rFonts w:hint="eastAsia" w:ascii="宋体" w:hAnsi="宋体" w:cs="宋体"/>
          <w:color w:val="auto"/>
          <w:highlight w:val="none"/>
        </w:rPr>
      </w:pPr>
    </w:p>
    <w:p w14:paraId="5BCEED73">
      <w:pPr>
        <w:tabs>
          <w:tab w:val="left" w:pos="4320"/>
        </w:tabs>
        <w:rPr>
          <w:rFonts w:hint="eastAsia" w:ascii="宋体" w:hAnsi="宋体" w:cs="宋体"/>
          <w:color w:val="auto"/>
          <w:highlight w:val="none"/>
        </w:rPr>
      </w:pPr>
    </w:p>
    <w:p w14:paraId="5DF76CEF">
      <w:pPr>
        <w:tabs>
          <w:tab w:val="left" w:pos="4320"/>
        </w:tabs>
        <w:rPr>
          <w:rFonts w:hint="eastAsia" w:ascii="宋体" w:hAnsi="宋体" w:cs="宋体"/>
          <w:color w:val="auto"/>
          <w:highlight w:val="none"/>
        </w:rPr>
      </w:pPr>
    </w:p>
    <w:p w14:paraId="1153B6E3">
      <w:pPr>
        <w:tabs>
          <w:tab w:val="left" w:pos="4320"/>
        </w:tabs>
        <w:rPr>
          <w:rFonts w:hint="eastAsia" w:ascii="宋体" w:hAnsi="宋体" w:cs="宋体"/>
          <w:color w:val="auto"/>
          <w:highlight w:val="none"/>
        </w:rPr>
      </w:pPr>
    </w:p>
    <w:p w14:paraId="27E9ADF7">
      <w:pPr>
        <w:tabs>
          <w:tab w:val="left" w:pos="4320"/>
        </w:tabs>
        <w:rPr>
          <w:rFonts w:hint="eastAsia" w:ascii="宋体" w:hAnsi="宋体" w:cs="宋体"/>
          <w:color w:val="auto"/>
          <w:highlight w:val="none"/>
        </w:rPr>
      </w:pPr>
    </w:p>
    <w:p w14:paraId="0E1F8C5D">
      <w:pPr>
        <w:tabs>
          <w:tab w:val="left" w:pos="4320"/>
        </w:tabs>
        <w:rPr>
          <w:rFonts w:hint="eastAsia" w:ascii="宋体" w:hAnsi="宋体" w:cs="宋体"/>
          <w:color w:val="auto"/>
          <w:highlight w:val="none"/>
        </w:rPr>
      </w:pPr>
    </w:p>
    <w:p w14:paraId="2BA3F365">
      <w:pPr>
        <w:tabs>
          <w:tab w:val="left" w:pos="4320"/>
        </w:tabs>
        <w:rPr>
          <w:rFonts w:hint="eastAsia" w:ascii="宋体" w:hAnsi="宋体" w:cs="宋体"/>
          <w:color w:val="auto"/>
          <w:highlight w:val="none"/>
        </w:rPr>
      </w:pPr>
    </w:p>
    <w:p w14:paraId="5333A03D">
      <w:pPr>
        <w:tabs>
          <w:tab w:val="left" w:pos="4320"/>
        </w:tabs>
        <w:rPr>
          <w:rFonts w:hint="eastAsia" w:ascii="宋体" w:hAnsi="宋体" w:cs="宋体"/>
          <w:color w:val="auto"/>
          <w:highlight w:val="none"/>
        </w:rPr>
      </w:pPr>
    </w:p>
    <w:p w14:paraId="202495DC">
      <w:pPr>
        <w:rPr>
          <w:rFonts w:hint="eastAsia" w:ascii="宋体" w:hAnsi="宋体" w:cs="宋体"/>
          <w:color w:val="auto"/>
          <w:highlight w:val="none"/>
        </w:rPr>
      </w:pPr>
      <w:bookmarkStart w:id="95" w:name="_Toc496161873"/>
      <w:bookmarkStart w:id="96" w:name="_Toc118018365"/>
      <w:r>
        <w:rPr>
          <w:rFonts w:hint="eastAsia" w:ascii="宋体" w:hAnsi="宋体" w:cs="宋体"/>
          <w:color w:val="auto"/>
          <w:highlight w:val="none"/>
        </w:rPr>
        <w:br w:type="page"/>
      </w:r>
      <w:bookmarkStart w:id="97" w:name="_Toc455417783"/>
      <w:bookmarkStart w:id="98" w:name="_Toc476177991"/>
      <w:bookmarkStart w:id="99" w:name="_Toc476177432"/>
    </w:p>
    <w:p w14:paraId="58A12323">
      <w:pPr>
        <w:pStyle w:val="5"/>
        <w:numPr>
          <w:ilvl w:val="0"/>
          <w:numId w:val="0"/>
        </w:numPr>
        <w:ind w:left="422"/>
        <w:rPr>
          <w:rFonts w:hint="eastAsia" w:hAnsi="宋体" w:cs="宋体"/>
          <w:b w:val="0"/>
          <w:bCs/>
          <w:color w:val="auto"/>
          <w:highlight w:val="none"/>
        </w:rPr>
      </w:pPr>
      <w:bookmarkStart w:id="100" w:name="_Toc477185969"/>
      <w:bookmarkStart w:id="101" w:name="_Toc477186330"/>
      <w:r>
        <w:rPr>
          <w:rFonts w:hint="eastAsia" w:hAnsi="宋体" w:cs="宋体"/>
          <w:b w:val="0"/>
          <w:bCs/>
          <w:color w:val="auto"/>
          <w:highlight w:val="none"/>
        </w:rPr>
        <w:t>（2）法定代表人证明书</w:t>
      </w:r>
      <w:bookmarkEnd w:id="95"/>
      <w:r>
        <w:rPr>
          <w:rFonts w:hint="eastAsia" w:hAnsi="宋体" w:cs="宋体"/>
          <w:b w:val="0"/>
          <w:bCs/>
          <w:color w:val="auto"/>
          <w:highlight w:val="none"/>
        </w:rPr>
        <w:t>及法定代表人授权书</w:t>
      </w:r>
      <w:bookmarkEnd w:id="96"/>
      <w:bookmarkEnd w:id="97"/>
      <w:bookmarkEnd w:id="98"/>
      <w:bookmarkEnd w:id="99"/>
      <w:bookmarkEnd w:id="100"/>
      <w:bookmarkEnd w:id="101"/>
    </w:p>
    <w:p w14:paraId="54B68688">
      <w:pPr>
        <w:widowControl/>
        <w:jc w:val="left"/>
        <w:rPr>
          <w:rFonts w:hint="eastAsia" w:ascii="宋体" w:hAnsi="宋体" w:cs="宋体"/>
          <w:color w:val="auto"/>
          <w:highlight w:val="none"/>
        </w:rPr>
      </w:pPr>
    </w:p>
    <w:p w14:paraId="4406C252">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（投标人可使用下述格式，也可使用广东省工商行政管理局统一印制的法定代表人证明书格式）</w:t>
      </w:r>
    </w:p>
    <w:p w14:paraId="22A62856">
      <w:pPr>
        <w:spacing w:line="360" w:lineRule="auto"/>
        <w:jc w:val="center"/>
        <w:rPr>
          <w:rFonts w:hint="eastAsia" w:ascii="宋体" w:hAnsi="宋体" w:cs="宋体"/>
          <w:b/>
          <w:color w:val="auto"/>
          <w:sz w:val="24"/>
          <w:highlight w:val="none"/>
        </w:rPr>
      </w:pPr>
    </w:p>
    <w:p w14:paraId="6F452CA1">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法定代表人证明书</w:t>
      </w:r>
    </w:p>
    <w:p w14:paraId="2B50F948">
      <w:pPr>
        <w:spacing w:line="360" w:lineRule="auto"/>
        <w:rPr>
          <w:rFonts w:hint="eastAsia" w:ascii="宋体" w:hAnsi="宋体" w:cs="宋体"/>
          <w:bCs/>
          <w:color w:val="auto"/>
          <w:szCs w:val="21"/>
          <w:highlight w:val="none"/>
          <w:u w:val="single"/>
        </w:rPr>
      </w:pPr>
    </w:p>
    <w:p w14:paraId="41F10323">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u w:val="single"/>
        </w:rPr>
        <w:t>（姓名）</w:t>
      </w:r>
      <w:r>
        <w:rPr>
          <w:rFonts w:hint="eastAsia" w:ascii="宋体" w:hAnsi="宋体" w:cs="宋体"/>
          <w:bCs/>
          <w:color w:val="auto"/>
          <w:szCs w:val="21"/>
          <w:highlight w:val="none"/>
        </w:rPr>
        <w:t>现任我单位</w:t>
      </w:r>
      <w:r>
        <w:rPr>
          <w:rFonts w:hint="eastAsia" w:ascii="宋体" w:hAnsi="宋体" w:cs="宋体"/>
          <w:bCs/>
          <w:color w:val="auto"/>
          <w:szCs w:val="21"/>
          <w:highlight w:val="none"/>
          <w:u w:val="single"/>
        </w:rPr>
        <w:t>（职务）</w:t>
      </w:r>
      <w:r>
        <w:rPr>
          <w:rFonts w:hint="eastAsia" w:ascii="宋体" w:hAnsi="宋体" w:cs="宋体"/>
          <w:bCs/>
          <w:color w:val="auto"/>
          <w:szCs w:val="21"/>
          <w:highlight w:val="none"/>
        </w:rPr>
        <w:t>，为我司</w:t>
      </w:r>
      <w:r>
        <w:rPr>
          <w:rFonts w:hint="eastAsia" w:ascii="宋体" w:hAnsi="宋体" w:cs="宋体"/>
          <w:bCs/>
          <w:color w:val="auto"/>
          <w:szCs w:val="21"/>
          <w:highlight w:val="none"/>
          <w:u w:val="single"/>
        </w:rPr>
        <w:t>（单位名称）</w:t>
      </w:r>
      <w:r>
        <w:rPr>
          <w:rFonts w:hint="eastAsia" w:ascii="宋体" w:hAnsi="宋体" w:cs="宋体"/>
          <w:bCs/>
          <w:color w:val="auto"/>
          <w:szCs w:val="21"/>
          <w:highlight w:val="none"/>
        </w:rPr>
        <w:t>法定代表人，特此证明。</w:t>
      </w:r>
    </w:p>
    <w:p w14:paraId="061C56DA">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有效期限：</w:t>
      </w:r>
    </w:p>
    <w:p w14:paraId="3AF8F707">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附：代表人性别：年龄：身份证号码：___________________________</w:t>
      </w:r>
    </w:p>
    <w:p w14:paraId="5AD13A84">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 xml:space="preserve">企业注册号码：企业类型：_____________________________________ </w:t>
      </w:r>
    </w:p>
    <w:p w14:paraId="4F2ED903">
      <w:pPr>
        <w:spacing w:line="360" w:lineRule="auto"/>
        <w:jc w:val="left"/>
        <w:rPr>
          <w:rFonts w:hint="eastAsia" w:ascii="宋体" w:hAnsi="宋体" w:cs="宋体"/>
          <w:bCs/>
          <w:color w:val="auto"/>
          <w:szCs w:val="21"/>
          <w:highlight w:val="none"/>
        </w:rPr>
      </w:pPr>
      <w:r>
        <w:rPr>
          <w:rFonts w:hint="eastAsia" w:ascii="宋体" w:hAnsi="宋体" w:cs="宋体"/>
          <w:bCs/>
          <w:color w:val="auto"/>
          <w:szCs w:val="21"/>
          <w:highlight w:val="none"/>
        </w:rPr>
        <w:t>经营范围：</w:t>
      </w:r>
    </w:p>
    <w:p w14:paraId="09E3D1EC">
      <w:pPr>
        <w:spacing w:line="360" w:lineRule="auto"/>
        <w:jc w:val="left"/>
        <w:rPr>
          <w:rFonts w:hint="eastAsia" w:ascii="宋体" w:hAnsi="宋体" w:cs="宋体"/>
          <w:b/>
          <w:color w:val="auto"/>
          <w:szCs w:val="21"/>
          <w:highlight w:val="none"/>
          <w:u w:val="single"/>
        </w:rPr>
      </w:pPr>
      <w:r>
        <w:rPr>
          <w:rFonts w:hint="eastAsia" w:ascii="宋体" w:hAnsi="宋体" w:cs="宋体"/>
          <w:bCs/>
          <w:color w:val="auto"/>
          <w:szCs w:val="21"/>
          <w:highlight w:val="none"/>
        </w:rPr>
        <w:t>______________________________________________________。</w:t>
      </w:r>
    </w:p>
    <w:p w14:paraId="4C686853">
      <w:pPr>
        <w:spacing w:line="360" w:lineRule="auto"/>
        <w:rPr>
          <w:rFonts w:hint="eastAsia" w:ascii="宋体" w:hAnsi="宋体" w:cs="宋体"/>
          <w:b/>
          <w:color w:val="auto"/>
          <w:szCs w:val="21"/>
          <w:highlight w:val="none"/>
        </w:rPr>
      </w:pPr>
    </w:p>
    <w:p w14:paraId="129C3D4F">
      <w:pPr>
        <w:pStyle w:val="16"/>
        <w:ind w:left="4700" w:leftChars="2238"/>
        <w:jc w:val="left"/>
        <w:rPr>
          <w:rFonts w:hint="eastAsia" w:hAnsi="宋体" w:cs="宋体"/>
          <w:color w:val="auto"/>
          <w:highlight w:val="none"/>
        </w:rPr>
      </w:pPr>
      <w:r>
        <w:rPr>
          <w:rFonts w:hint="eastAsia" w:hAnsi="宋体" w:cs="宋体"/>
          <w:color w:val="auto"/>
          <w:highlight w:val="none"/>
        </w:rPr>
        <w:t>投标人名称:（盖章）</w:t>
      </w:r>
    </w:p>
    <w:p w14:paraId="7F28D201">
      <w:pPr>
        <w:pStyle w:val="16"/>
        <w:ind w:left="4700" w:leftChars="2238"/>
        <w:jc w:val="left"/>
        <w:rPr>
          <w:rFonts w:hint="eastAsia" w:hAnsi="宋体" w:cs="宋体"/>
          <w:color w:val="auto"/>
          <w:szCs w:val="21"/>
          <w:highlight w:val="none"/>
        </w:rPr>
      </w:pPr>
      <w:r>
        <w:rPr>
          <w:rFonts w:hint="eastAsia" w:hAnsi="宋体" w:cs="宋体"/>
          <w:color w:val="auto"/>
          <w:highlight w:val="none"/>
        </w:rPr>
        <w:t>日期：    年   月   日</w:t>
      </w:r>
    </w:p>
    <w:p w14:paraId="580065AA">
      <w:pPr>
        <w:rPr>
          <w:rFonts w:hint="eastAsia" w:ascii="宋体" w:hAnsi="宋体" w:cs="宋体"/>
          <w:color w:val="auto"/>
          <w:sz w:val="28"/>
          <w:szCs w:val="28"/>
          <w:highlight w:val="non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8"/>
      </w:tblGrid>
      <w:tr w14:paraId="00FA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8338" w:type="dxa"/>
            <w:noWrap w:val="0"/>
            <w:vAlign w:val="center"/>
          </w:tcPr>
          <w:p w14:paraId="7129E620">
            <w:pPr>
              <w:jc w:val="center"/>
              <w:rPr>
                <w:rFonts w:hint="eastAsia" w:ascii="宋体" w:hAnsi="宋体" w:cs="宋体"/>
                <w:color w:val="auto"/>
                <w:sz w:val="28"/>
                <w:szCs w:val="28"/>
                <w:highlight w:val="none"/>
                <w:u w:val="single"/>
              </w:rPr>
            </w:pPr>
            <w:r>
              <w:rPr>
                <w:rFonts w:hint="eastAsia" w:ascii="宋体" w:hAnsi="宋体" w:cs="宋体"/>
                <w:color w:val="auto"/>
                <w:sz w:val="28"/>
                <w:szCs w:val="28"/>
                <w:highlight w:val="none"/>
                <w:u w:val="single"/>
              </w:rPr>
              <w:t>粘贴法定代表人身份证复印件</w:t>
            </w:r>
          </w:p>
        </w:tc>
      </w:tr>
    </w:tbl>
    <w:p w14:paraId="49D4C527">
      <w:pPr>
        <w:spacing w:line="360" w:lineRule="auto"/>
        <w:rPr>
          <w:rFonts w:hint="eastAsia" w:ascii="宋体" w:hAnsi="宋体" w:cs="宋体"/>
          <w:color w:val="auto"/>
          <w:highlight w:val="none"/>
        </w:rPr>
      </w:pPr>
      <w:r>
        <w:rPr>
          <w:rFonts w:hint="eastAsia" w:ascii="宋体" w:hAnsi="宋体" w:cs="宋体"/>
          <w:color w:val="auto"/>
          <w:highlight w:val="none"/>
        </w:rPr>
        <w:br w:type="page"/>
      </w:r>
    </w:p>
    <w:p w14:paraId="02B280F2">
      <w:pPr>
        <w:spacing w:line="360" w:lineRule="auto"/>
        <w:jc w:val="center"/>
        <w:rPr>
          <w:rFonts w:hint="eastAsia" w:ascii="宋体" w:hAnsi="宋体" w:cs="宋体"/>
          <w:b/>
          <w:bCs/>
          <w:color w:val="auto"/>
          <w:sz w:val="30"/>
          <w:highlight w:val="none"/>
        </w:rPr>
      </w:pPr>
      <w:r>
        <w:rPr>
          <w:rFonts w:hint="eastAsia" w:ascii="宋体" w:hAnsi="宋体" w:cs="宋体"/>
          <w:b/>
          <w:bCs/>
          <w:color w:val="auto"/>
          <w:sz w:val="30"/>
          <w:highlight w:val="none"/>
        </w:rPr>
        <w:t>法定代表人授权书</w:t>
      </w:r>
    </w:p>
    <w:p w14:paraId="180C3454">
      <w:pPr>
        <w:spacing w:line="360" w:lineRule="auto"/>
        <w:rPr>
          <w:rFonts w:hint="eastAsia"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szCs w:val="21"/>
          <w:highlight w:val="none"/>
        </w:rPr>
        <w:t>广东省机电设备招标有限公司</w:t>
      </w:r>
    </w:p>
    <w:p w14:paraId="01F329C8">
      <w:pPr>
        <w:spacing w:line="360" w:lineRule="auto"/>
        <w:ind w:firstLine="630" w:firstLineChars="300"/>
        <w:rPr>
          <w:rFonts w:hint="eastAsia" w:ascii="宋体" w:hAnsi="宋体" w:cs="宋体"/>
          <w:color w:val="auto"/>
          <w:highlight w:val="none"/>
        </w:rPr>
      </w:pPr>
      <w:r>
        <w:rPr>
          <w:rFonts w:hint="eastAsia" w:ascii="宋体" w:hAnsi="宋体" w:cs="宋体"/>
          <w:color w:val="auto"/>
          <w:highlight w:val="none"/>
        </w:rPr>
        <w:t>本授权书声明：注册于</w:t>
      </w:r>
      <w:r>
        <w:rPr>
          <w:rFonts w:hint="eastAsia" w:ascii="宋体" w:hAnsi="宋体" w:cs="宋体"/>
          <w:color w:val="auto"/>
          <w:highlight w:val="none"/>
          <w:u w:val="single"/>
        </w:rPr>
        <w:t>（国家或地区）</w:t>
      </w:r>
      <w:r>
        <w:rPr>
          <w:rFonts w:hint="eastAsia" w:ascii="宋体" w:hAnsi="宋体" w:cs="宋体"/>
          <w:color w:val="auto"/>
          <w:highlight w:val="none"/>
        </w:rPr>
        <w:t>的</w:t>
      </w:r>
      <w:r>
        <w:rPr>
          <w:rFonts w:hint="eastAsia" w:ascii="宋体" w:hAnsi="宋体" w:cs="宋体"/>
          <w:color w:val="auto"/>
          <w:highlight w:val="none"/>
          <w:u w:val="single"/>
        </w:rPr>
        <w:t>（投标人名称）</w:t>
      </w:r>
      <w:r>
        <w:rPr>
          <w:rFonts w:hint="eastAsia" w:ascii="宋体" w:hAnsi="宋体" w:cs="宋体"/>
          <w:color w:val="auto"/>
          <w:highlight w:val="none"/>
        </w:rPr>
        <w:t>的在下面签字的</w:t>
      </w:r>
      <w:r>
        <w:rPr>
          <w:rFonts w:hint="eastAsia" w:ascii="宋体" w:hAnsi="宋体" w:cs="宋体"/>
          <w:color w:val="auto"/>
          <w:highlight w:val="none"/>
          <w:u w:val="single"/>
        </w:rPr>
        <w:t>（法定代表人的姓名、职务）</w:t>
      </w:r>
      <w:r>
        <w:rPr>
          <w:rFonts w:hint="eastAsia" w:ascii="宋体" w:hAnsi="宋体" w:cs="宋体"/>
          <w:color w:val="auto"/>
          <w:highlight w:val="none"/>
        </w:rPr>
        <w:t>代表本公司授权在下面签字的</w:t>
      </w:r>
      <w:r>
        <w:rPr>
          <w:rFonts w:hint="eastAsia" w:ascii="宋体" w:hAnsi="宋体" w:cs="宋体"/>
          <w:color w:val="auto"/>
          <w:highlight w:val="none"/>
          <w:u w:val="single"/>
        </w:rPr>
        <w:t>（被授权人的姓名、职务）</w:t>
      </w:r>
      <w:r>
        <w:rPr>
          <w:rFonts w:hint="eastAsia" w:ascii="宋体" w:hAnsi="宋体" w:cs="宋体"/>
          <w:color w:val="auto"/>
          <w:highlight w:val="none"/>
        </w:rPr>
        <w:t>为本公司的合法代表人，就“项目名称：</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【项目编号：</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highlight w:val="none"/>
        </w:rPr>
        <w:t>招标的投标和合同执行，以我方的名义处理一切与之有关的事宜。</w:t>
      </w:r>
    </w:p>
    <w:p w14:paraId="3C906C68">
      <w:pPr>
        <w:spacing w:line="276" w:lineRule="auto"/>
        <w:rPr>
          <w:rFonts w:hint="eastAsia" w:ascii="宋体" w:hAnsi="宋体" w:cs="宋体"/>
          <w:color w:val="auto"/>
          <w:highlight w:val="none"/>
        </w:rPr>
      </w:pPr>
    </w:p>
    <w:p w14:paraId="76B64423">
      <w:pPr>
        <w:spacing w:line="360" w:lineRule="auto"/>
        <w:rPr>
          <w:rFonts w:hint="eastAsia" w:ascii="宋体" w:hAnsi="宋体" w:cs="宋体"/>
          <w:color w:val="auto"/>
          <w:highlight w:val="none"/>
        </w:rPr>
      </w:pPr>
      <w:r>
        <w:rPr>
          <w:rFonts w:hint="eastAsia" w:ascii="宋体" w:hAnsi="宋体" w:cs="宋体"/>
          <w:color w:val="auto"/>
          <w:highlight w:val="none"/>
        </w:rPr>
        <w:t>本授权书于 年 月 日签字生效，特此证明。</w:t>
      </w:r>
    </w:p>
    <w:p w14:paraId="0457E086">
      <w:pPr>
        <w:spacing w:line="480" w:lineRule="auto"/>
        <w:ind w:firstLine="4740"/>
        <w:rPr>
          <w:rFonts w:hint="eastAsia" w:ascii="宋体" w:hAnsi="宋体" w:cs="宋体"/>
          <w:color w:val="auto"/>
          <w:highlight w:val="none"/>
        </w:rPr>
      </w:pPr>
      <w:r>
        <w:rPr>
          <w:rFonts w:hint="eastAsia" w:ascii="宋体" w:hAnsi="宋体" w:cs="宋体"/>
          <w:color w:val="auto"/>
          <w:highlight w:val="none"/>
        </w:rPr>
        <w:t>投标人名称:（盖章）：</w:t>
      </w:r>
    </w:p>
    <w:p w14:paraId="15FDE095">
      <w:pPr>
        <w:spacing w:line="480" w:lineRule="auto"/>
        <w:ind w:firstLine="4740"/>
        <w:rPr>
          <w:rFonts w:hint="eastAsia" w:ascii="宋体" w:hAnsi="宋体" w:cs="宋体"/>
          <w:color w:val="auto"/>
          <w:highlight w:val="none"/>
        </w:rPr>
      </w:pPr>
      <w:r>
        <w:rPr>
          <w:rFonts w:hint="eastAsia" w:ascii="宋体" w:hAnsi="宋体" w:cs="宋体"/>
          <w:color w:val="auto"/>
          <w:highlight w:val="none"/>
        </w:rPr>
        <w:t>法定代表人（签字或盖章）：</w:t>
      </w:r>
    </w:p>
    <w:p w14:paraId="5F2125C0">
      <w:pPr>
        <w:spacing w:line="480" w:lineRule="auto"/>
        <w:ind w:firstLine="4740"/>
        <w:rPr>
          <w:rFonts w:hint="eastAsia" w:ascii="宋体" w:hAnsi="宋体" w:cs="宋体"/>
          <w:color w:val="auto"/>
          <w:highlight w:val="none"/>
        </w:rPr>
      </w:pPr>
      <w:r>
        <w:rPr>
          <w:rFonts w:hint="eastAsia" w:ascii="宋体" w:hAnsi="宋体" w:cs="宋体"/>
          <w:color w:val="auto"/>
          <w:highlight w:val="none"/>
        </w:rPr>
        <w:t>职务：</w:t>
      </w:r>
    </w:p>
    <w:p w14:paraId="4DA851DF">
      <w:pPr>
        <w:spacing w:line="480" w:lineRule="auto"/>
        <w:ind w:firstLine="4740"/>
        <w:rPr>
          <w:rFonts w:hint="eastAsia" w:ascii="宋体" w:hAnsi="宋体" w:cs="宋体"/>
          <w:color w:val="auto"/>
          <w:highlight w:val="none"/>
        </w:rPr>
      </w:pPr>
    </w:p>
    <w:p w14:paraId="32A41711">
      <w:pPr>
        <w:spacing w:line="480" w:lineRule="auto"/>
        <w:ind w:firstLine="4740"/>
        <w:rPr>
          <w:rFonts w:hint="eastAsia" w:ascii="宋体" w:hAnsi="宋体" w:cs="宋体"/>
          <w:color w:val="auto"/>
          <w:highlight w:val="none"/>
        </w:rPr>
      </w:pPr>
      <w:r>
        <w:rPr>
          <w:rFonts w:hint="eastAsia" w:ascii="宋体" w:hAnsi="宋体" w:cs="宋体"/>
          <w:color w:val="auto"/>
          <w:highlight w:val="none"/>
        </w:rPr>
        <w:t>被授权人（签字或盖章）：</w:t>
      </w:r>
    </w:p>
    <w:p w14:paraId="7F4BD7C9">
      <w:pPr>
        <w:spacing w:line="480" w:lineRule="auto"/>
        <w:ind w:firstLine="4740"/>
        <w:rPr>
          <w:rFonts w:hint="eastAsia" w:ascii="宋体" w:hAnsi="宋体" w:cs="宋体"/>
          <w:color w:val="auto"/>
          <w:highlight w:val="none"/>
        </w:rPr>
      </w:pPr>
      <w:r>
        <w:rPr>
          <w:rFonts w:hint="eastAsia" w:ascii="宋体" w:hAnsi="宋体" w:cs="宋体"/>
          <w:color w:val="auto"/>
          <w:highlight w:val="none"/>
        </w:rPr>
        <w:t>被授权人身份证号码：</w:t>
      </w:r>
    </w:p>
    <w:p w14:paraId="0B20ACF4">
      <w:pPr>
        <w:spacing w:line="480" w:lineRule="auto"/>
        <w:ind w:firstLine="4740"/>
        <w:rPr>
          <w:rFonts w:hint="eastAsia" w:ascii="宋体" w:hAnsi="宋体" w:cs="宋体"/>
          <w:color w:val="auto"/>
          <w:highlight w:val="none"/>
        </w:rPr>
      </w:pPr>
      <w:r>
        <w:rPr>
          <w:rFonts w:hint="eastAsia" w:ascii="宋体" w:hAnsi="宋体" w:cs="宋体"/>
          <w:color w:val="auto"/>
          <w:highlight w:val="none"/>
        </w:rPr>
        <w:t>职务：</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6"/>
      </w:tblGrid>
      <w:tr w14:paraId="50F99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8696" w:type="dxa"/>
            <w:noWrap w:val="0"/>
            <w:vAlign w:val="center"/>
          </w:tcPr>
          <w:p w14:paraId="62729D0F">
            <w:pPr>
              <w:spacing w:line="360" w:lineRule="auto"/>
              <w:jc w:val="center"/>
              <w:rPr>
                <w:rFonts w:hint="eastAsia" w:ascii="宋体" w:hAnsi="宋体" w:cs="宋体"/>
                <w:color w:val="auto"/>
                <w:sz w:val="28"/>
                <w:szCs w:val="28"/>
                <w:highlight w:val="none"/>
                <w:u w:val="single"/>
              </w:rPr>
            </w:pPr>
            <w:r>
              <w:rPr>
                <w:rFonts w:hint="eastAsia" w:ascii="宋体" w:hAnsi="宋体" w:cs="宋体"/>
                <w:color w:val="auto"/>
                <w:sz w:val="28"/>
                <w:szCs w:val="28"/>
                <w:highlight w:val="none"/>
                <w:u w:val="single"/>
              </w:rPr>
              <w:t>粘贴被授权人身份证复印件</w:t>
            </w:r>
          </w:p>
        </w:tc>
      </w:tr>
    </w:tbl>
    <w:p w14:paraId="66785DC3">
      <w:pPr>
        <w:widowControl/>
        <w:jc w:val="left"/>
        <w:rPr>
          <w:rFonts w:hint="eastAsia" w:ascii="宋体" w:hAnsi="宋体" w:cs="宋体"/>
          <w:bCs/>
          <w:color w:val="auto"/>
          <w:sz w:val="28"/>
          <w:szCs w:val="28"/>
          <w:highlight w:val="none"/>
        </w:rPr>
      </w:pPr>
      <w:r>
        <w:rPr>
          <w:rFonts w:hint="eastAsia" w:ascii="宋体" w:hAnsi="宋体" w:cs="宋体"/>
          <w:color w:val="auto"/>
          <w:highlight w:val="none"/>
        </w:rPr>
        <w:br w:type="page"/>
      </w:r>
    </w:p>
    <w:p w14:paraId="65E4A3C6">
      <w:pPr>
        <w:spacing w:line="480" w:lineRule="auto"/>
        <w:rPr>
          <w:rFonts w:hint="eastAsia" w:ascii="宋体" w:hAnsi="宋体" w:cs="宋体"/>
          <w:bCs/>
          <w:color w:val="auto"/>
          <w:sz w:val="28"/>
          <w:szCs w:val="28"/>
          <w:highlight w:val="none"/>
        </w:rPr>
      </w:pPr>
      <w:r>
        <w:rPr>
          <w:rFonts w:hint="eastAsia" w:ascii="宋体" w:hAnsi="宋体" w:cs="宋体"/>
          <w:bCs/>
          <w:color w:val="auto"/>
          <w:sz w:val="28"/>
          <w:szCs w:val="28"/>
          <w:highlight w:val="none"/>
        </w:rPr>
        <w:t>（3）资格声明格式</w:t>
      </w:r>
    </w:p>
    <w:p w14:paraId="3247A2B4">
      <w:pPr>
        <w:spacing w:before="120"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资格声明</w:t>
      </w:r>
    </w:p>
    <w:p w14:paraId="6B3402EF">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广东省机电设备招标有限公司：</w:t>
      </w:r>
    </w:p>
    <w:p w14:paraId="7184EBF3">
      <w:pPr>
        <w:spacing w:line="360" w:lineRule="auto"/>
        <w:ind w:firstLine="540"/>
        <w:rPr>
          <w:rFonts w:hint="eastAsia" w:ascii="宋体" w:hAnsi="宋体" w:cs="宋体"/>
          <w:color w:val="auto"/>
          <w:szCs w:val="21"/>
          <w:highlight w:val="none"/>
        </w:rPr>
      </w:pPr>
      <w:r>
        <w:rPr>
          <w:rFonts w:hint="eastAsia" w:ascii="宋体" w:hAnsi="宋体" w:cs="宋体"/>
          <w:color w:val="auto"/>
          <w:szCs w:val="21"/>
          <w:highlight w:val="none"/>
        </w:rPr>
        <w:t>下述投标人愿响应你方</w:t>
      </w:r>
      <w:r>
        <w:rPr>
          <w:rFonts w:hint="eastAsia" w:ascii="宋体" w:hAnsi="宋体" w:cs="宋体"/>
          <w:color w:val="auto"/>
          <w:szCs w:val="21"/>
          <w:highlight w:val="none"/>
          <w:u w:val="single"/>
        </w:rPr>
        <w:t>（项目编号）</w:t>
      </w:r>
      <w:r>
        <w:rPr>
          <w:rFonts w:hint="eastAsia" w:ascii="宋体" w:hAnsi="宋体" w:cs="宋体"/>
          <w:color w:val="auto"/>
          <w:szCs w:val="21"/>
          <w:highlight w:val="none"/>
        </w:rPr>
        <w:t>投标邀请，参与投标，并按招标文件要求提交所附资格文件且声明和保证如下：</w:t>
      </w:r>
    </w:p>
    <w:p w14:paraId="249062C7">
      <w:pPr>
        <w:numPr>
          <w:ilvl w:val="0"/>
          <w:numId w:val="7"/>
        </w:numPr>
        <w:tabs>
          <w:tab w:val="left" w:pos="515"/>
        </w:tabs>
        <w:spacing w:line="360" w:lineRule="auto"/>
        <w:ind w:left="0" w:firstLine="515"/>
        <w:rPr>
          <w:rFonts w:hint="eastAsia" w:ascii="宋体" w:hAnsi="宋体" w:cs="宋体"/>
          <w:color w:val="auto"/>
          <w:szCs w:val="21"/>
          <w:highlight w:val="none"/>
        </w:rPr>
      </w:pPr>
      <w:r>
        <w:rPr>
          <w:rFonts w:hint="eastAsia" w:ascii="宋体" w:hAnsi="宋体" w:cs="宋体"/>
          <w:color w:val="auto"/>
          <w:szCs w:val="21"/>
          <w:highlight w:val="none"/>
        </w:rPr>
        <w:t>我方为本次投标所提交的所有证明其合格和资格的文件是真实的和正确的，并愿为其真实性和正确性承担法律责任；</w:t>
      </w:r>
    </w:p>
    <w:p w14:paraId="6173AD22">
      <w:pPr>
        <w:numPr>
          <w:ilvl w:val="0"/>
          <w:numId w:val="7"/>
        </w:numPr>
        <w:tabs>
          <w:tab w:val="left" w:pos="515"/>
        </w:tabs>
        <w:spacing w:line="360" w:lineRule="auto"/>
        <w:ind w:left="0" w:firstLine="515"/>
        <w:rPr>
          <w:rFonts w:hint="eastAsia" w:ascii="宋体" w:hAnsi="宋体" w:cs="宋体"/>
          <w:color w:val="auto"/>
          <w:szCs w:val="21"/>
          <w:highlight w:val="none"/>
        </w:rPr>
      </w:pPr>
      <w:r>
        <w:rPr>
          <w:rFonts w:hint="eastAsia" w:ascii="宋体" w:hAnsi="宋体" w:cs="宋体"/>
          <w:color w:val="auto"/>
          <w:szCs w:val="21"/>
          <w:highlight w:val="none"/>
        </w:rPr>
        <w:t>我方是依法注册的法人，在法律上、财务上和运作上完全独立于</w:t>
      </w:r>
      <w:r>
        <w:rPr>
          <w:rFonts w:hint="eastAsia" w:ascii="宋体" w:hAnsi="宋体" w:cs="宋体"/>
          <w:color w:val="auto"/>
          <w:szCs w:val="21"/>
          <w:highlight w:val="none"/>
          <w:u w:val="single"/>
        </w:rPr>
        <w:t>（招标人名称）</w:t>
      </w:r>
      <w:r>
        <w:rPr>
          <w:rFonts w:hint="eastAsia" w:ascii="宋体" w:hAnsi="宋体" w:cs="宋体"/>
          <w:color w:val="auto"/>
          <w:szCs w:val="21"/>
          <w:highlight w:val="none"/>
        </w:rPr>
        <w:t>及广东省机电设备招标有限公司（招标代理机构）；</w:t>
      </w:r>
    </w:p>
    <w:p w14:paraId="031DBEC1">
      <w:pPr>
        <w:numPr>
          <w:ilvl w:val="0"/>
          <w:numId w:val="7"/>
        </w:numPr>
        <w:tabs>
          <w:tab w:val="left" w:pos="515"/>
        </w:tabs>
        <w:spacing w:line="360" w:lineRule="auto"/>
        <w:ind w:left="0" w:firstLine="515"/>
        <w:rPr>
          <w:rFonts w:hint="eastAsia" w:ascii="宋体" w:hAnsi="宋体" w:cs="宋体"/>
          <w:color w:val="auto"/>
          <w:szCs w:val="21"/>
          <w:highlight w:val="none"/>
        </w:rPr>
      </w:pPr>
      <w:r>
        <w:rPr>
          <w:rFonts w:hint="eastAsia" w:ascii="宋体" w:hAnsi="宋体" w:cs="宋体"/>
          <w:color w:val="auto"/>
          <w:szCs w:val="21"/>
          <w:highlight w:val="none"/>
        </w:rPr>
        <w:t>我方在参加本次投标前3年内，经营中没有重大违法</w:t>
      </w:r>
      <w:r>
        <w:rPr>
          <w:rFonts w:hint="eastAsia" w:ascii="宋体" w:hAnsi="宋体" w:cs="宋体"/>
          <w:color w:val="auto"/>
          <w:szCs w:val="21"/>
          <w:highlight w:val="none"/>
          <w:lang w:val="en-US" w:eastAsia="zh-CN"/>
        </w:rPr>
        <w:t>记录</w:t>
      </w:r>
      <w:r>
        <w:rPr>
          <w:rFonts w:hint="eastAsia" w:ascii="宋体" w:hAnsi="宋体" w:eastAsia="宋体" w:cs="宋体"/>
          <w:bCs/>
          <w:color w:val="auto"/>
          <w:kern w:val="28"/>
          <w:szCs w:val="22"/>
          <w:highlight w:val="none"/>
          <w:lang w:eastAsia="zh-CN"/>
        </w:rPr>
        <w:t>，</w:t>
      </w:r>
      <w:r>
        <w:rPr>
          <w:rFonts w:hint="eastAsia" w:ascii="宋体" w:hAnsi="宋体" w:eastAsia="宋体" w:cs="宋体"/>
          <w:bCs/>
          <w:color w:val="auto"/>
          <w:kern w:val="28"/>
          <w:szCs w:val="22"/>
          <w:highlight w:val="none"/>
        </w:rPr>
        <w:t>不曾在与本集团（包括其下属企业）合作过程中存在违约或者骗取中标等不诚信行为</w:t>
      </w:r>
      <w:r>
        <w:rPr>
          <w:rFonts w:hint="eastAsia" w:ascii="宋体" w:hAnsi="宋体" w:cs="宋体"/>
          <w:color w:val="auto"/>
          <w:szCs w:val="21"/>
          <w:highlight w:val="none"/>
        </w:rPr>
        <w:t>。</w:t>
      </w:r>
    </w:p>
    <w:p w14:paraId="0C28D31F">
      <w:pPr>
        <w:numPr>
          <w:ilvl w:val="0"/>
          <w:numId w:val="7"/>
        </w:numPr>
        <w:tabs>
          <w:tab w:val="left" w:pos="515"/>
        </w:tabs>
        <w:spacing w:line="360" w:lineRule="auto"/>
        <w:ind w:left="0" w:firstLine="515"/>
        <w:rPr>
          <w:rFonts w:hint="eastAsia" w:ascii="宋体" w:hAnsi="宋体" w:cs="宋体"/>
          <w:color w:val="auto"/>
          <w:szCs w:val="21"/>
          <w:highlight w:val="none"/>
        </w:rPr>
      </w:pPr>
      <w:r>
        <w:rPr>
          <w:rFonts w:hint="eastAsia" w:ascii="宋体" w:hAnsi="宋体" w:cs="宋体"/>
          <w:color w:val="auto"/>
          <w:szCs w:val="21"/>
          <w:highlight w:val="none"/>
        </w:rPr>
        <w:t>我方所属的单位负责人为同一人或者存在控股、管理等关联关系的不同供应商，未参加同一合同项下的采购活动。</w:t>
      </w:r>
    </w:p>
    <w:p w14:paraId="1FFDA009">
      <w:pPr>
        <w:numPr>
          <w:ilvl w:val="0"/>
          <w:numId w:val="7"/>
        </w:numPr>
        <w:tabs>
          <w:tab w:val="left" w:pos="515"/>
        </w:tabs>
        <w:spacing w:line="360" w:lineRule="auto"/>
        <w:ind w:left="0" w:firstLine="515"/>
        <w:rPr>
          <w:rFonts w:hint="eastAsia" w:ascii="宋体" w:hAnsi="宋体" w:cs="宋体"/>
          <w:color w:val="auto"/>
          <w:szCs w:val="21"/>
          <w:highlight w:val="none"/>
        </w:rPr>
      </w:pPr>
      <w:r>
        <w:rPr>
          <w:rFonts w:hint="eastAsia" w:ascii="宋体" w:hAnsi="宋体" w:cs="宋体"/>
          <w:color w:val="auto"/>
          <w:szCs w:val="21"/>
          <w:highlight w:val="none"/>
        </w:rPr>
        <w:t>单位地址为同一地址的不同投标人，未参与同一合同项下的采购活动。</w:t>
      </w:r>
    </w:p>
    <w:p w14:paraId="0BFFA236">
      <w:pPr>
        <w:pStyle w:val="7"/>
        <w:rPr>
          <w:rFonts w:hint="eastAsia" w:ascii="宋体" w:hAnsi="宋体" w:cs="宋体"/>
          <w:color w:val="auto"/>
          <w:highlight w:val="none"/>
        </w:rPr>
      </w:pPr>
    </w:p>
    <w:p w14:paraId="7FCE368A">
      <w:pPr>
        <w:spacing w:line="360" w:lineRule="auto"/>
        <w:ind w:left="540"/>
        <w:rPr>
          <w:rFonts w:hint="eastAsia" w:ascii="宋体" w:hAnsi="宋体" w:cs="宋体"/>
          <w:strike/>
          <w:color w:val="auto"/>
          <w:szCs w:val="21"/>
          <w:highlight w:val="none"/>
        </w:rPr>
      </w:pPr>
    </w:p>
    <w:p w14:paraId="48DF3F39">
      <w:pPr>
        <w:spacing w:line="360" w:lineRule="auto"/>
        <w:ind w:firstLine="3990" w:firstLineChars="1900"/>
        <w:rPr>
          <w:rFonts w:hint="eastAsia" w:ascii="宋体" w:hAnsi="宋体" w:cs="宋体"/>
          <w:color w:val="auto"/>
          <w:highlight w:val="none"/>
        </w:rPr>
      </w:pPr>
      <w:r>
        <w:rPr>
          <w:rFonts w:hint="eastAsia" w:ascii="宋体" w:hAnsi="宋体" w:cs="宋体"/>
          <w:color w:val="auto"/>
          <w:highlight w:val="none"/>
        </w:rPr>
        <w:t>投标人名称:（盖章）</w:t>
      </w:r>
    </w:p>
    <w:p w14:paraId="485353DD">
      <w:pPr>
        <w:spacing w:line="360" w:lineRule="auto"/>
        <w:ind w:firstLine="3990" w:firstLineChars="1900"/>
        <w:rPr>
          <w:rFonts w:hint="eastAsia" w:ascii="宋体" w:hAnsi="宋体" w:cs="宋体"/>
          <w:color w:val="auto"/>
          <w:highlight w:val="none"/>
        </w:rPr>
      </w:pPr>
      <w:r>
        <w:rPr>
          <w:rFonts w:hint="eastAsia" w:ascii="宋体" w:hAnsi="宋体" w:cs="宋体"/>
          <w:color w:val="auto"/>
          <w:highlight w:val="none"/>
        </w:rPr>
        <w:t>日期：    年   月   日</w:t>
      </w:r>
    </w:p>
    <w:p w14:paraId="05B836E1">
      <w:pPr>
        <w:spacing w:line="480" w:lineRule="auto"/>
        <w:ind w:firstLine="3990" w:firstLineChars="1900"/>
        <w:rPr>
          <w:rFonts w:hint="eastAsia" w:ascii="宋体" w:hAnsi="宋体" w:cs="宋体"/>
          <w:color w:val="auto"/>
          <w:highlight w:val="none"/>
          <w:u w:val="single"/>
        </w:rPr>
      </w:pPr>
    </w:p>
    <w:p w14:paraId="27EA4BC0">
      <w:pPr>
        <w:pStyle w:val="6"/>
        <w:spacing w:before="0" w:after="0" w:line="360" w:lineRule="auto"/>
        <w:ind w:left="0" w:firstLine="0"/>
        <w:rPr>
          <w:rFonts w:hint="eastAsia" w:ascii="宋体" w:hAnsi="宋体" w:cs="宋体"/>
          <w:b w:val="0"/>
          <w:bCs/>
          <w:color w:val="auto"/>
          <w:szCs w:val="21"/>
          <w:highlight w:val="none"/>
        </w:rPr>
      </w:pPr>
      <w:r>
        <w:rPr>
          <w:rFonts w:hint="eastAsia" w:ascii="宋体" w:hAnsi="宋体" w:cs="宋体"/>
          <w:color w:val="auto"/>
          <w:highlight w:val="none"/>
        </w:rPr>
        <w:br w:type="page"/>
      </w:r>
      <w:r>
        <w:rPr>
          <w:rFonts w:hint="eastAsia" w:ascii="宋体" w:hAnsi="宋体" w:cs="宋体"/>
          <w:b w:val="0"/>
          <w:bCs/>
          <w:color w:val="auto"/>
          <w:szCs w:val="28"/>
          <w:highlight w:val="none"/>
        </w:rPr>
        <w:t>（4）其他资格证明材料</w:t>
      </w:r>
    </w:p>
    <w:p w14:paraId="2C4EEA52">
      <w:pPr>
        <w:spacing w:line="480" w:lineRule="auto"/>
        <w:rPr>
          <w:rFonts w:hint="eastAsia" w:ascii="宋体" w:hAnsi="宋体" w:cs="宋体"/>
          <w:color w:val="auto"/>
          <w:highlight w:val="none"/>
        </w:rPr>
      </w:pPr>
      <w:r>
        <w:rPr>
          <w:rFonts w:hint="eastAsia" w:ascii="宋体" w:hAnsi="宋体" w:cs="宋体"/>
          <w:color w:val="auto"/>
          <w:highlight w:val="none"/>
        </w:rPr>
        <w:t>根据合格投标人资格条件提供证明材料</w:t>
      </w:r>
    </w:p>
    <w:p w14:paraId="506DD4AC">
      <w:pPr>
        <w:spacing w:line="360" w:lineRule="auto"/>
        <w:ind w:left="-359" w:leftChars="-171" w:firstLine="462" w:firstLineChars="220"/>
        <w:rPr>
          <w:rFonts w:hint="eastAsia" w:ascii="宋体" w:hAnsi="宋体" w:cs="宋体"/>
          <w:bCs/>
          <w:color w:val="auto"/>
          <w:kern w:val="28"/>
          <w:szCs w:val="22"/>
          <w:highlight w:val="none"/>
        </w:rPr>
      </w:pPr>
      <w:r>
        <w:rPr>
          <w:rFonts w:hint="eastAsia" w:ascii="宋体" w:hAnsi="宋体" w:cs="宋体"/>
          <w:bCs/>
          <w:color w:val="auto"/>
          <w:kern w:val="28"/>
          <w:szCs w:val="22"/>
          <w:highlight w:val="none"/>
        </w:rPr>
        <w:t>1</w:t>
      </w:r>
      <w:r>
        <w:rPr>
          <w:rFonts w:hint="eastAsia" w:ascii="宋体" w:hAnsi="宋体" w:cs="宋体"/>
          <w:bCs/>
          <w:color w:val="auto"/>
          <w:kern w:val="28"/>
          <w:szCs w:val="22"/>
          <w:highlight w:val="none"/>
          <w:lang w:val="en-US" w:eastAsia="zh-CN"/>
        </w:rPr>
        <w:t>.</w:t>
      </w:r>
      <w:r>
        <w:rPr>
          <w:rFonts w:hint="eastAsia" w:ascii="宋体" w:hAnsi="宋体" w:cs="宋体"/>
          <w:bCs/>
          <w:color w:val="auto"/>
          <w:kern w:val="28"/>
          <w:szCs w:val="22"/>
          <w:highlight w:val="none"/>
        </w:rPr>
        <w:t>投标人必须是在中华人民共和国范围内注册的独立法人，持有工商行政管理部门核发的有效的营业执照(若持有“一照一码”版本营业执照，则无需提交组织机构代码证及税务登记证）。</w:t>
      </w:r>
    </w:p>
    <w:p w14:paraId="294621CE">
      <w:pPr>
        <w:spacing w:line="360" w:lineRule="auto"/>
        <w:ind w:left="-359" w:leftChars="-171" w:firstLine="462" w:firstLineChars="220"/>
        <w:rPr>
          <w:rFonts w:hint="eastAsia" w:ascii="宋体" w:hAnsi="宋体" w:eastAsia="宋体" w:cs="宋体"/>
          <w:bCs/>
          <w:color w:val="auto"/>
          <w:kern w:val="28"/>
          <w:szCs w:val="22"/>
          <w:highlight w:val="none"/>
          <w:lang w:val="en-US" w:eastAsia="zh-CN"/>
        </w:rPr>
      </w:pPr>
      <w:r>
        <w:rPr>
          <w:rFonts w:hint="eastAsia" w:ascii="宋体" w:hAnsi="宋体" w:cs="宋体"/>
          <w:bCs/>
          <w:color w:val="auto"/>
          <w:kern w:val="28"/>
          <w:szCs w:val="22"/>
          <w:highlight w:val="none"/>
        </w:rPr>
        <w:t>2</w:t>
      </w:r>
      <w:r>
        <w:rPr>
          <w:rFonts w:hint="eastAsia" w:ascii="宋体" w:hAnsi="宋体" w:cs="宋体"/>
          <w:bCs/>
          <w:color w:val="auto"/>
          <w:kern w:val="28"/>
          <w:szCs w:val="22"/>
          <w:highlight w:val="none"/>
          <w:lang w:val="en-US" w:eastAsia="zh-CN"/>
        </w:rPr>
        <w:t>.投标人</w:t>
      </w:r>
      <w:r>
        <w:rPr>
          <w:rFonts w:hint="eastAsia" w:ascii="宋体" w:hAnsi="宋体" w:cs="宋体"/>
          <w:bCs/>
          <w:color w:val="auto"/>
          <w:kern w:val="28"/>
          <w:szCs w:val="22"/>
          <w:highlight w:val="none"/>
        </w:rPr>
        <w:t>具有有效的</w:t>
      </w:r>
      <w:r>
        <w:rPr>
          <w:rFonts w:hint="eastAsia" w:ascii="宋体" w:hAnsi="宋体" w:cs="宋体"/>
          <w:bCs/>
          <w:color w:val="auto"/>
          <w:kern w:val="28"/>
          <w:szCs w:val="22"/>
          <w:highlight w:val="none"/>
          <w:lang w:eastAsia="zh-CN"/>
        </w:rPr>
        <w:t>《</w:t>
      </w:r>
      <w:r>
        <w:rPr>
          <w:rFonts w:hint="eastAsia" w:ascii="宋体" w:hAnsi="宋体" w:cs="宋体"/>
          <w:bCs/>
          <w:color w:val="auto"/>
          <w:kern w:val="28"/>
          <w:szCs w:val="22"/>
          <w:highlight w:val="none"/>
        </w:rPr>
        <w:t>保安服务许可证</w:t>
      </w:r>
      <w:r>
        <w:rPr>
          <w:rFonts w:hint="eastAsia" w:ascii="宋体" w:hAnsi="宋体" w:cs="宋体"/>
          <w:bCs/>
          <w:color w:val="auto"/>
          <w:kern w:val="28"/>
          <w:szCs w:val="22"/>
          <w:highlight w:val="none"/>
          <w:lang w:eastAsia="zh-CN"/>
        </w:rPr>
        <w:t>》</w:t>
      </w:r>
      <w:r>
        <w:rPr>
          <w:rFonts w:hint="eastAsia" w:ascii="宋体" w:hAnsi="宋体" w:cs="宋体"/>
          <w:bCs/>
          <w:kern w:val="28"/>
          <w:szCs w:val="22"/>
          <w:highlight w:val="none"/>
        </w:rPr>
        <w:t>；如国家另有规定，则从其规定</w:t>
      </w:r>
      <w:r>
        <w:rPr>
          <w:rFonts w:hint="eastAsia" w:ascii="宋体" w:hAnsi="宋体" w:cs="宋体"/>
          <w:bCs/>
          <w:color w:val="auto"/>
          <w:kern w:val="28"/>
          <w:szCs w:val="22"/>
          <w:highlight w:val="none"/>
        </w:rPr>
        <w:t>。</w:t>
      </w:r>
      <w:r>
        <w:rPr>
          <w:rFonts w:hint="eastAsia" w:ascii="宋体" w:hAnsi="宋体" w:cs="宋体"/>
          <w:bCs/>
          <w:color w:val="auto"/>
          <w:kern w:val="28"/>
          <w:szCs w:val="22"/>
          <w:highlight w:val="none"/>
          <w:lang w:eastAsia="zh-CN"/>
        </w:rPr>
        <w:t>（</w:t>
      </w:r>
      <w:r>
        <w:rPr>
          <w:rFonts w:hint="eastAsia" w:ascii="宋体" w:hAnsi="宋体" w:cs="宋体"/>
          <w:bCs/>
          <w:color w:val="auto"/>
          <w:kern w:val="28"/>
          <w:szCs w:val="22"/>
          <w:highlight w:val="none"/>
          <w:lang w:val="en-US" w:eastAsia="zh-CN"/>
        </w:rPr>
        <w:t>须提供有效的证书复印件</w:t>
      </w:r>
      <w:r>
        <w:rPr>
          <w:rFonts w:hint="eastAsia" w:ascii="宋体" w:hAnsi="宋体" w:cs="宋体"/>
          <w:bCs/>
          <w:color w:val="auto"/>
          <w:kern w:val="28"/>
          <w:szCs w:val="22"/>
          <w:highlight w:val="none"/>
          <w:lang w:eastAsia="zh-CN"/>
        </w:rPr>
        <w:t>）</w:t>
      </w:r>
    </w:p>
    <w:p w14:paraId="7C0936AF">
      <w:pPr>
        <w:spacing w:line="360" w:lineRule="auto"/>
        <w:ind w:left="-359" w:leftChars="-171" w:firstLine="462" w:firstLineChars="220"/>
        <w:rPr>
          <w:rFonts w:hint="eastAsia" w:ascii="宋体" w:hAnsi="宋体" w:cs="宋体"/>
          <w:bCs/>
          <w:color w:val="auto"/>
          <w:kern w:val="28"/>
          <w:szCs w:val="22"/>
          <w:highlight w:val="none"/>
        </w:rPr>
      </w:pPr>
      <w:r>
        <w:rPr>
          <w:rFonts w:hint="eastAsia" w:ascii="宋体" w:hAnsi="宋体" w:cs="宋体"/>
          <w:bCs/>
          <w:color w:val="auto"/>
          <w:kern w:val="28"/>
          <w:szCs w:val="22"/>
          <w:highlight w:val="none"/>
          <w:lang w:val="en-US" w:eastAsia="zh-CN"/>
        </w:rPr>
        <w:t>3.</w:t>
      </w:r>
      <w:r>
        <w:rPr>
          <w:rFonts w:hint="eastAsia" w:ascii="宋体" w:hAnsi="宋体" w:cs="宋体"/>
          <w:bCs/>
          <w:color w:val="auto"/>
          <w:kern w:val="28"/>
          <w:szCs w:val="22"/>
          <w:highlight w:val="none"/>
        </w:rPr>
        <w:t>投标人所属的单位负责人为同一人或者存在控股、管理等关联关系的不同供应商，不得参加同一合同项下的采购活动</w:t>
      </w:r>
      <w:r>
        <w:rPr>
          <w:rFonts w:hint="eastAsia" w:ascii="宋体" w:hAnsi="宋体" w:cs="宋体"/>
          <w:bCs/>
          <w:color w:val="auto"/>
          <w:kern w:val="28"/>
          <w:szCs w:val="22"/>
          <w:highlight w:val="none"/>
          <w:lang w:eastAsia="zh-CN"/>
        </w:rPr>
        <w:t>。</w:t>
      </w:r>
      <w:r>
        <w:rPr>
          <w:rFonts w:hint="eastAsia" w:ascii="宋体" w:hAnsi="宋体" w:cs="宋体"/>
          <w:bCs/>
          <w:color w:val="auto"/>
          <w:kern w:val="28"/>
          <w:szCs w:val="22"/>
          <w:highlight w:val="none"/>
        </w:rPr>
        <w:t>投标人应提交书面声明（格式自拟，须加盖公章）。</w:t>
      </w:r>
    </w:p>
    <w:p w14:paraId="6D2109BE">
      <w:pPr>
        <w:spacing w:line="360" w:lineRule="auto"/>
        <w:ind w:left="-359" w:leftChars="-171" w:firstLine="462" w:firstLineChars="220"/>
        <w:rPr>
          <w:rFonts w:hint="eastAsia" w:ascii="宋体" w:hAnsi="宋体" w:cs="宋体"/>
          <w:bCs/>
          <w:color w:val="auto"/>
          <w:kern w:val="28"/>
          <w:szCs w:val="22"/>
          <w:highlight w:val="none"/>
        </w:rPr>
      </w:pPr>
      <w:r>
        <w:rPr>
          <w:rFonts w:hint="eastAsia" w:ascii="宋体" w:hAnsi="宋体" w:cs="宋体"/>
          <w:bCs/>
          <w:color w:val="auto"/>
          <w:kern w:val="28"/>
          <w:szCs w:val="22"/>
          <w:highlight w:val="none"/>
          <w:lang w:val="en-US" w:eastAsia="zh-CN"/>
        </w:rPr>
        <w:t>4.</w:t>
      </w:r>
      <w:r>
        <w:rPr>
          <w:rFonts w:hint="eastAsia" w:ascii="宋体" w:hAnsi="宋体" w:cs="宋体"/>
          <w:bCs/>
          <w:color w:val="auto"/>
          <w:kern w:val="28"/>
          <w:szCs w:val="22"/>
          <w:highlight w:val="none"/>
        </w:rPr>
        <w:t>参加</w:t>
      </w:r>
      <w:r>
        <w:rPr>
          <w:rFonts w:hint="eastAsia" w:ascii="宋体" w:hAnsi="宋体" w:cs="宋体"/>
          <w:bCs/>
          <w:color w:val="auto"/>
          <w:kern w:val="28"/>
          <w:szCs w:val="22"/>
          <w:highlight w:val="none"/>
          <w:lang w:val="en-US" w:eastAsia="zh-CN"/>
        </w:rPr>
        <w:t>本投标</w:t>
      </w:r>
      <w:r>
        <w:rPr>
          <w:rFonts w:hint="eastAsia" w:ascii="宋体" w:hAnsi="宋体" w:cs="宋体"/>
          <w:bCs/>
          <w:color w:val="auto"/>
          <w:kern w:val="28"/>
          <w:szCs w:val="22"/>
          <w:highlight w:val="none"/>
        </w:rPr>
        <w:t>活动前3年内，经营中没有重大违法记录</w:t>
      </w:r>
      <w:r>
        <w:rPr>
          <w:rFonts w:hint="eastAsia" w:ascii="宋体" w:hAnsi="宋体" w:cs="宋体"/>
          <w:bCs/>
          <w:color w:val="auto"/>
          <w:kern w:val="28"/>
          <w:szCs w:val="22"/>
          <w:highlight w:val="none"/>
          <w:lang w:eastAsia="zh-CN"/>
        </w:rPr>
        <w:t>（</w:t>
      </w:r>
      <w:r>
        <w:rPr>
          <w:rFonts w:hint="eastAsia" w:ascii="宋体" w:hAnsi="宋体" w:cs="宋体"/>
          <w:bCs/>
          <w:color w:val="auto"/>
          <w:kern w:val="28"/>
          <w:szCs w:val="22"/>
          <w:highlight w:val="none"/>
        </w:rPr>
        <w:t>重大违法记录是指：</w:t>
      </w:r>
      <w:r>
        <w:rPr>
          <w:rFonts w:hint="eastAsia" w:ascii="宋体" w:hAnsi="宋体" w:cs="宋体"/>
          <w:bCs/>
          <w:color w:val="auto"/>
          <w:kern w:val="28"/>
          <w:szCs w:val="22"/>
          <w:highlight w:val="none"/>
          <w:lang w:val="en-US" w:eastAsia="zh-CN"/>
        </w:rPr>
        <w:t>投标人</w:t>
      </w:r>
      <w:r>
        <w:rPr>
          <w:rFonts w:hint="eastAsia" w:ascii="宋体" w:hAnsi="宋体" w:cs="宋体"/>
          <w:bCs/>
          <w:color w:val="auto"/>
          <w:kern w:val="28"/>
          <w:szCs w:val="22"/>
          <w:highlight w:val="none"/>
        </w:rPr>
        <w:t>因违法经营受到刑事处罚或者责令停产停业、吊销许可证或者执照、较大数额罚款等行政处罚）</w:t>
      </w:r>
      <w:r>
        <w:rPr>
          <w:rFonts w:hint="eastAsia" w:ascii="宋体" w:hAnsi="宋体" w:cs="宋体"/>
          <w:bCs/>
          <w:color w:val="auto"/>
          <w:kern w:val="28"/>
          <w:szCs w:val="22"/>
          <w:highlight w:val="none"/>
          <w:lang w:eastAsia="zh-CN"/>
        </w:rPr>
        <w:t>，</w:t>
      </w:r>
      <w:r>
        <w:rPr>
          <w:rFonts w:hint="eastAsia" w:ascii="宋体" w:hAnsi="宋体" w:cs="宋体"/>
          <w:bCs/>
          <w:color w:val="auto"/>
          <w:kern w:val="28"/>
          <w:szCs w:val="22"/>
          <w:highlight w:val="none"/>
        </w:rPr>
        <w:t>不曾在与本集团（包括其下属企业）合作过程中存在违约或者骗取中标等不诚信行为</w:t>
      </w:r>
      <w:r>
        <w:rPr>
          <w:rFonts w:hint="eastAsia" w:ascii="宋体" w:hAnsi="宋体" w:cs="宋体"/>
          <w:bCs/>
          <w:color w:val="auto"/>
          <w:kern w:val="28"/>
          <w:szCs w:val="22"/>
          <w:highlight w:val="none"/>
          <w:lang w:eastAsia="zh-CN"/>
        </w:rPr>
        <w:t>。</w:t>
      </w:r>
      <w:r>
        <w:rPr>
          <w:rFonts w:hint="eastAsia" w:ascii="宋体" w:hAnsi="宋体" w:cs="宋体"/>
          <w:bCs/>
          <w:color w:val="auto"/>
          <w:kern w:val="28"/>
          <w:szCs w:val="22"/>
          <w:highlight w:val="none"/>
        </w:rPr>
        <w:t>（格式自拟，须加盖公章）</w:t>
      </w:r>
    </w:p>
    <w:p w14:paraId="2E49172A">
      <w:pPr>
        <w:spacing w:line="360" w:lineRule="auto"/>
        <w:ind w:left="-359" w:leftChars="-171" w:firstLine="462" w:firstLineChars="220"/>
        <w:rPr>
          <w:rFonts w:hint="eastAsia" w:ascii="宋体" w:hAnsi="宋体" w:cs="宋体"/>
          <w:bCs/>
          <w:color w:val="auto"/>
          <w:kern w:val="28"/>
          <w:szCs w:val="22"/>
          <w:highlight w:val="none"/>
          <w:lang w:eastAsia="zh-CN"/>
        </w:rPr>
      </w:pPr>
      <w:r>
        <w:rPr>
          <w:rFonts w:hint="eastAsia" w:ascii="宋体" w:hAnsi="宋体" w:cs="宋体"/>
          <w:bCs/>
          <w:color w:val="auto"/>
          <w:kern w:val="28"/>
          <w:szCs w:val="22"/>
          <w:highlight w:val="none"/>
          <w:lang w:val="en-US" w:eastAsia="zh-CN"/>
        </w:rPr>
        <w:t>5.</w:t>
      </w:r>
      <w:r>
        <w:rPr>
          <w:rFonts w:hint="eastAsia" w:ascii="宋体" w:hAnsi="宋体" w:cs="宋体"/>
          <w:bCs/>
          <w:color w:val="auto"/>
          <w:kern w:val="28"/>
          <w:szCs w:val="22"/>
          <w:highlight w:val="none"/>
        </w:rPr>
        <w:t>投标人未被列入“信用中国”网站(www.creditchina.gov.cn)“记录失信被执行人或政府采购严重违法失信行为记录名单或重大税收违法失信主体”记录名单；不处于中国政府采购网(www.ccgp.gov.cn)“政府采购严重违法失信行为信息记录”中的禁止参加政府采购活动期间。（以招标代理机构在本项目招标公告发布之日至提交投标文件截止之日期间在“信用中国”网站（www.creditchina.gov.cn）及中国政府采购网（http://www.ccgp.gov.cn/）查询结果为准；处罚期限届满的除外。如“信用中国”网站查询结果显示“没有找到您搜索的企业”或“没有找到您搜索数据”，视为没有上述不良信用记录）。投标人存在不良信用记录的，其投标将被作为无效投标</w:t>
      </w:r>
      <w:r>
        <w:rPr>
          <w:rFonts w:hint="eastAsia" w:ascii="宋体" w:hAnsi="宋体" w:cs="宋体"/>
          <w:bCs/>
          <w:color w:val="auto"/>
          <w:kern w:val="28"/>
          <w:szCs w:val="22"/>
          <w:highlight w:val="none"/>
          <w:lang w:eastAsia="zh-CN"/>
        </w:rPr>
        <w:t>。</w:t>
      </w:r>
    </w:p>
    <w:p w14:paraId="4ACFDCD3">
      <w:pPr>
        <w:spacing w:line="360" w:lineRule="auto"/>
        <w:ind w:left="-359" w:leftChars="-171" w:firstLine="462" w:firstLineChars="220"/>
        <w:rPr>
          <w:rFonts w:hint="eastAsia" w:ascii="宋体" w:hAnsi="宋体" w:cs="宋体"/>
          <w:bCs/>
          <w:color w:val="auto"/>
          <w:kern w:val="28"/>
          <w:szCs w:val="22"/>
          <w:highlight w:val="none"/>
          <w:lang w:val="en-US" w:eastAsia="zh-CN"/>
        </w:rPr>
      </w:pPr>
      <w:r>
        <w:rPr>
          <w:rFonts w:hint="eastAsia" w:ascii="宋体" w:hAnsi="宋体" w:cs="宋体"/>
          <w:bCs/>
          <w:color w:val="auto"/>
          <w:kern w:val="28"/>
          <w:szCs w:val="22"/>
          <w:highlight w:val="none"/>
          <w:lang w:val="en-US" w:eastAsia="zh-CN"/>
        </w:rPr>
        <w:t>6.本次招标不接受联合体投标，不接受备选方案，不允许违法分包或转包。</w:t>
      </w:r>
    </w:p>
    <w:p w14:paraId="60308BBB">
      <w:pPr>
        <w:spacing w:line="360" w:lineRule="auto"/>
        <w:ind w:left="-359" w:leftChars="-171" w:firstLine="462" w:firstLineChars="220"/>
        <w:rPr>
          <w:rFonts w:hint="eastAsia" w:ascii="宋体" w:hAnsi="宋体" w:eastAsia="宋体" w:cs="宋体"/>
          <w:bCs/>
          <w:color w:val="auto"/>
          <w:szCs w:val="21"/>
          <w:highlight w:val="none"/>
        </w:rPr>
      </w:pPr>
      <w:r>
        <w:rPr>
          <w:rFonts w:hint="eastAsia" w:ascii="宋体" w:hAnsi="宋体" w:cs="宋体"/>
          <w:bCs/>
          <w:color w:val="auto"/>
          <w:kern w:val="28"/>
          <w:szCs w:val="22"/>
          <w:highlight w:val="none"/>
          <w:lang w:val="en-US" w:eastAsia="zh-CN"/>
        </w:rPr>
        <w:t>7...</w:t>
      </w:r>
      <w:r>
        <w:rPr>
          <w:rFonts w:hint="eastAsia" w:ascii="宋体" w:hAnsi="宋体" w:eastAsia="宋体" w:cs="宋体"/>
          <w:b w:val="0"/>
          <w:color w:val="auto"/>
          <w:highlight w:val="none"/>
        </w:rPr>
        <w:br w:type="page"/>
      </w:r>
      <w:r>
        <w:rPr>
          <w:rFonts w:hint="eastAsia" w:ascii="宋体" w:hAnsi="宋体" w:cs="宋体"/>
          <w:bCs/>
          <w:color w:val="auto"/>
          <w:sz w:val="28"/>
          <w:szCs w:val="28"/>
          <w:highlight w:val="none"/>
        </w:rPr>
        <w:t>五、商务文件格式</w:t>
      </w:r>
    </w:p>
    <w:p w14:paraId="5EC8C218">
      <w:pPr>
        <w:pStyle w:val="3"/>
        <w:spacing w:before="0" w:after="0"/>
        <w:ind w:left="0" w:firstLine="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（一）企业状况</w:t>
      </w:r>
    </w:p>
    <w:p w14:paraId="11FDC658">
      <w:pPr>
        <w:pStyle w:val="6"/>
        <w:spacing w:before="0" w:after="0" w:line="360" w:lineRule="auto"/>
        <w:ind w:left="0" w:firstLine="0"/>
        <w:rPr>
          <w:rFonts w:hint="eastAsia" w:ascii="宋体" w:hAnsi="宋体" w:cs="宋体"/>
          <w:color w:val="auto"/>
          <w:sz w:val="21"/>
          <w:szCs w:val="21"/>
          <w:highlight w:val="none"/>
        </w:rPr>
      </w:pPr>
      <w:r>
        <w:rPr>
          <w:rFonts w:hint="eastAsia" w:ascii="宋体" w:hAnsi="宋体" w:cs="宋体"/>
          <w:color w:val="auto"/>
          <w:sz w:val="21"/>
          <w:szCs w:val="21"/>
          <w:highlight w:val="none"/>
        </w:rPr>
        <w:t>（1）企业基本情况介绍</w:t>
      </w:r>
    </w:p>
    <w:tbl>
      <w:tblPr>
        <w:tblStyle w:val="23"/>
        <w:tblW w:w="0" w:type="auto"/>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035"/>
        <w:gridCol w:w="1125"/>
        <w:gridCol w:w="840"/>
        <w:gridCol w:w="420"/>
        <w:gridCol w:w="311"/>
        <w:gridCol w:w="1078"/>
        <w:gridCol w:w="490"/>
        <w:gridCol w:w="860"/>
        <w:gridCol w:w="1532"/>
      </w:tblGrid>
      <w:tr w14:paraId="53017E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4E2F2874">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7691" w:type="dxa"/>
            <w:gridSpan w:val="9"/>
            <w:tcBorders>
              <w:top w:val="single" w:color="auto" w:sz="4" w:space="0"/>
              <w:left w:val="single" w:color="auto" w:sz="4" w:space="0"/>
              <w:bottom w:val="single" w:color="auto" w:sz="4" w:space="0"/>
              <w:right w:val="single" w:color="auto" w:sz="4" w:space="0"/>
            </w:tcBorders>
            <w:noWrap w:val="0"/>
            <w:vAlign w:val="center"/>
          </w:tcPr>
          <w:p w14:paraId="072E4917">
            <w:pPr>
              <w:topLinePunct/>
              <w:snapToGrid w:val="0"/>
              <w:spacing w:line="360" w:lineRule="auto"/>
              <w:jc w:val="center"/>
              <w:rPr>
                <w:rFonts w:hint="eastAsia" w:ascii="宋体" w:hAnsi="宋体" w:cs="宋体"/>
                <w:color w:val="auto"/>
                <w:szCs w:val="21"/>
                <w:highlight w:val="none"/>
              </w:rPr>
            </w:pPr>
          </w:p>
        </w:tc>
      </w:tr>
      <w:tr w14:paraId="15DD3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304227AF">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注册地址（以营业执照上的住所填写）</w:t>
            </w:r>
          </w:p>
        </w:tc>
        <w:tc>
          <w:tcPr>
            <w:tcW w:w="3731" w:type="dxa"/>
            <w:gridSpan w:val="5"/>
            <w:tcBorders>
              <w:top w:val="single" w:color="auto" w:sz="4" w:space="0"/>
              <w:left w:val="single" w:color="auto" w:sz="4" w:space="0"/>
              <w:bottom w:val="single" w:color="auto" w:sz="4" w:space="0"/>
              <w:right w:val="single" w:color="auto" w:sz="4" w:space="0"/>
            </w:tcBorders>
            <w:noWrap w:val="0"/>
            <w:vAlign w:val="center"/>
          </w:tcPr>
          <w:p w14:paraId="7635FA2B">
            <w:pPr>
              <w:topLinePunct/>
              <w:snapToGrid w:val="0"/>
              <w:spacing w:line="360" w:lineRule="auto"/>
              <w:jc w:val="center"/>
              <w:rPr>
                <w:rFonts w:hint="eastAsia" w:ascii="宋体" w:hAnsi="宋体" w:cs="宋体"/>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41B8F1BE">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邮政编码</w:t>
            </w:r>
          </w:p>
        </w:tc>
        <w:tc>
          <w:tcPr>
            <w:tcW w:w="2882" w:type="dxa"/>
            <w:gridSpan w:val="3"/>
            <w:tcBorders>
              <w:top w:val="single" w:color="auto" w:sz="4" w:space="0"/>
              <w:left w:val="single" w:color="auto" w:sz="4" w:space="0"/>
              <w:bottom w:val="single" w:color="auto" w:sz="4" w:space="0"/>
              <w:right w:val="single" w:color="auto" w:sz="4" w:space="0"/>
            </w:tcBorders>
            <w:noWrap w:val="0"/>
            <w:vAlign w:val="center"/>
          </w:tcPr>
          <w:p w14:paraId="21B79C7C">
            <w:pPr>
              <w:topLinePunct/>
              <w:snapToGrid w:val="0"/>
              <w:spacing w:line="360" w:lineRule="auto"/>
              <w:jc w:val="center"/>
              <w:rPr>
                <w:rFonts w:hint="eastAsia" w:ascii="宋体" w:hAnsi="宋体" w:cs="宋体"/>
                <w:color w:val="auto"/>
                <w:szCs w:val="21"/>
                <w:highlight w:val="none"/>
              </w:rPr>
            </w:pPr>
          </w:p>
        </w:tc>
      </w:tr>
      <w:tr w14:paraId="6BE3D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908" w:type="dxa"/>
            <w:vMerge w:val="restart"/>
            <w:tcBorders>
              <w:top w:val="single" w:color="auto" w:sz="4" w:space="0"/>
              <w:left w:val="single" w:color="auto" w:sz="4" w:space="0"/>
              <w:bottom w:val="single" w:color="auto" w:sz="4" w:space="0"/>
              <w:right w:val="single" w:color="auto" w:sz="4" w:space="0"/>
            </w:tcBorders>
            <w:noWrap w:val="0"/>
            <w:vAlign w:val="center"/>
          </w:tcPr>
          <w:p w14:paraId="686D1B69">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联系方式</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A1745E1">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联系人</w:t>
            </w:r>
          </w:p>
        </w:tc>
        <w:tc>
          <w:tcPr>
            <w:tcW w:w="2696" w:type="dxa"/>
            <w:gridSpan w:val="4"/>
            <w:tcBorders>
              <w:top w:val="single" w:color="auto" w:sz="4" w:space="0"/>
              <w:left w:val="single" w:color="auto" w:sz="4" w:space="0"/>
              <w:bottom w:val="single" w:color="auto" w:sz="4" w:space="0"/>
              <w:right w:val="single" w:color="auto" w:sz="4" w:space="0"/>
            </w:tcBorders>
            <w:noWrap w:val="0"/>
            <w:vAlign w:val="center"/>
          </w:tcPr>
          <w:p w14:paraId="35F86325">
            <w:pPr>
              <w:topLinePunct/>
              <w:snapToGrid w:val="0"/>
              <w:spacing w:line="360" w:lineRule="auto"/>
              <w:jc w:val="center"/>
              <w:rPr>
                <w:rFonts w:hint="eastAsia" w:ascii="宋体" w:hAnsi="宋体" w:cs="宋体"/>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1A37D474">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电 话</w:t>
            </w:r>
          </w:p>
        </w:tc>
        <w:tc>
          <w:tcPr>
            <w:tcW w:w="2882" w:type="dxa"/>
            <w:gridSpan w:val="3"/>
            <w:tcBorders>
              <w:top w:val="single" w:color="auto" w:sz="4" w:space="0"/>
              <w:left w:val="single" w:color="auto" w:sz="4" w:space="0"/>
              <w:bottom w:val="single" w:color="auto" w:sz="4" w:space="0"/>
              <w:right w:val="single" w:color="auto" w:sz="4" w:space="0"/>
            </w:tcBorders>
            <w:noWrap w:val="0"/>
            <w:vAlign w:val="center"/>
          </w:tcPr>
          <w:p w14:paraId="2D85A073">
            <w:pPr>
              <w:topLinePunct/>
              <w:snapToGrid w:val="0"/>
              <w:spacing w:line="360" w:lineRule="auto"/>
              <w:jc w:val="center"/>
              <w:rPr>
                <w:rFonts w:hint="eastAsia" w:ascii="宋体" w:hAnsi="宋体" w:cs="宋体"/>
                <w:color w:val="auto"/>
                <w:szCs w:val="21"/>
                <w:highlight w:val="none"/>
              </w:rPr>
            </w:pPr>
          </w:p>
        </w:tc>
      </w:tr>
      <w:tr w14:paraId="157B2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908" w:type="dxa"/>
            <w:vMerge w:val="continue"/>
            <w:tcBorders>
              <w:top w:val="single" w:color="auto" w:sz="4" w:space="0"/>
              <w:left w:val="single" w:color="auto" w:sz="4" w:space="0"/>
              <w:bottom w:val="single" w:color="auto" w:sz="4" w:space="0"/>
              <w:right w:val="single" w:color="auto" w:sz="4" w:space="0"/>
            </w:tcBorders>
            <w:noWrap w:val="0"/>
            <w:vAlign w:val="center"/>
          </w:tcPr>
          <w:p w14:paraId="25F40612">
            <w:pPr>
              <w:topLinePunct/>
              <w:snapToGrid w:val="0"/>
              <w:spacing w:line="360" w:lineRule="auto"/>
              <w:jc w:val="center"/>
              <w:rPr>
                <w:rFonts w:hint="eastAsia" w:ascii="宋体" w:hAnsi="宋体" w:cs="宋体"/>
                <w:color w:val="auto"/>
                <w:szCs w:val="21"/>
                <w:highlight w:val="none"/>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09E8421">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传  真</w:t>
            </w:r>
          </w:p>
        </w:tc>
        <w:tc>
          <w:tcPr>
            <w:tcW w:w="2696" w:type="dxa"/>
            <w:gridSpan w:val="4"/>
            <w:tcBorders>
              <w:top w:val="single" w:color="auto" w:sz="4" w:space="0"/>
              <w:left w:val="single" w:color="auto" w:sz="4" w:space="0"/>
              <w:bottom w:val="single" w:color="auto" w:sz="4" w:space="0"/>
              <w:right w:val="single" w:color="auto" w:sz="4" w:space="0"/>
            </w:tcBorders>
            <w:noWrap w:val="0"/>
            <w:vAlign w:val="center"/>
          </w:tcPr>
          <w:p w14:paraId="05A36A3A">
            <w:pPr>
              <w:topLinePunct/>
              <w:snapToGrid w:val="0"/>
              <w:spacing w:line="360" w:lineRule="auto"/>
              <w:jc w:val="center"/>
              <w:rPr>
                <w:rFonts w:hint="eastAsia" w:ascii="宋体" w:hAnsi="宋体" w:cs="宋体"/>
                <w:color w:val="auto"/>
                <w:szCs w:val="21"/>
                <w:highlight w:val="none"/>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14:paraId="07165A02">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网 址</w:t>
            </w:r>
          </w:p>
        </w:tc>
        <w:tc>
          <w:tcPr>
            <w:tcW w:w="2882" w:type="dxa"/>
            <w:gridSpan w:val="3"/>
            <w:tcBorders>
              <w:top w:val="single" w:color="auto" w:sz="4" w:space="0"/>
              <w:left w:val="single" w:color="auto" w:sz="4" w:space="0"/>
              <w:bottom w:val="single" w:color="auto" w:sz="4" w:space="0"/>
              <w:right w:val="single" w:color="auto" w:sz="4" w:space="0"/>
            </w:tcBorders>
            <w:noWrap w:val="0"/>
            <w:vAlign w:val="center"/>
          </w:tcPr>
          <w:p w14:paraId="393913C0">
            <w:pPr>
              <w:topLinePunct/>
              <w:snapToGrid w:val="0"/>
              <w:spacing w:line="360" w:lineRule="auto"/>
              <w:jc w:val="center"/>
              <w:rPr>
                <w:rFonts w:hint="eastAsia" w:ascii="宋体" w:hAnsi="宋体" w:cs="宋体"/>
                <w:color w:val="auto"/>
                <w:szCs w:val="21"/>
                <w:highlight w:val="none"/>
              </w:rPr>
            </w:pPr>
          </w:p>
        </w:tc>
      </w:tr>
      <w:tr w14:paraId="27A82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4BE7A6BD">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法定代表人</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E0D648F">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B5F8F0F">
            <w:pPr>
              <w:topLinePunct/>
              <w:snapToGrid w:val="0"/>
              <w:spacing w:line="360" w:lineRule="auto"/>
              <w:jc w:val="center"/>
              <w:rPr>
                <w:rFonts w:hint="eastAsia" w:ascii="宋体" w:hAnsi="宋体" w:cs="宋体"/>
                <w:color w:val="auto"/>
                <w:szCs w:val="21"/>
                <w:highlight w:val="none"/>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77FBE2EE">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14:paraId="2B860FB2">
            <w:pPr>
              <w:topLinePunct/>
              <w:snapToGrid w:val="0"/>
              <w:spacing w:line="360" w:lineRule="auto"/>
              <w:jc w:val="center"/>
              <w:rPr>
                <w:rFonts w:hint="eastAsia" w:ascii="宋体" w:hAnsi="宋体" w:cs="宋体"/>
                <w:color w:val="auto"/>
                <w:szCs w:val="21"/>
                <w:highlight w:val="none"/>
              </w:rPr>
            </w:pPr>
          </w:p>
        </w:tc>
        <w:tc>
          <w:tcPr>
            <w:tcW w:w="860" w:type="dxa"/>
            <w:tcBorders>
              <w:top w:val="single" w:color="auto" w:sz="4" w:space="0"/>
              <w:left w:val="single" w:color="auto" w:sz="4" w:space="0"/>
              <w:bottom w:val="single" w:color="auto" w:sz="4" w:space="0"/>
              <w:right w:val="single" w:color="auto" w:sz="4" w:space="0"/>
            </w:tcBorders>
            <w:noWrap w:val="0"/>
            <w:vAlign w:val="center"/>
          </w:tcPr>
          <w:p w14:paraId="0C057569">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1532" w:type="dxa"/>
            <w:tcBorders>
              <w:top w:val="single" w:color="auto" w:sz="4" w:space="0"/>
              <w:left w:val="single" w:color="auto" w:sz="4" w:space="0"/>
              <w:bottom w:val="single" w:color="auto" w:sz="4" w:space="0"/>
              <w:right w:val="single" w:color="auto" w:sz="4" w:space="0"/>
            </w:tcBorders>
            <w:noWrap w:val="0"/>
            <w:vAlign w:val="center"/>
          </w:tcPr>
          <w:p w14:paraId="6088215E">
            <w:pPr>
              <w:topLinePunct/>
              <w:snapToGrid w:val="0"/>
              <w:spacing w:line="360" w:lineRule="auto"/>
              <w:jc w:val="center"/>
              <w:rPr>
                <w:rFonts w:hint="eastAsia" w:ascii="宋体" w:hAnsi="宋体" w:cs="宋体"/>
                <w:color w:val="auto"/>
                <w:szCs w:val="21"/>
                <w:highlight w:val="none"/>
              </w:rPr>
            </w:pPr>
          </w:p>
        </w:tc>
      </w:tr>
      <w:tr w14:paraId="7AFB0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772820B2">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成立时间</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56F71BF3">
            <w:pPr>
              <w:topLinePunct/>
              <w:snapToGrid w:val="0"/>
              <w:spacing w:line="360" w:lineRule="auto"/>
              <w:jc w:val="center"/>
              <w:rPr>
                <w:rFonts w:hint="eastAsia" w:ascii="宋体" w:hAnsi="宋体" w:cs="宋体"/>
                <w:color w:val="auto"/>
                <w:szCs w:val="21"/>
                <w:highlight w:val="none"/>
              </w:rPr>
            </w:pPr>
          </w:p>
        </w:tc>
        <w:tc>
          <w:tcPr>
            <w:tcW w:w="5531" w:type="dxa"/>
            <w:gridSpan w:val="7"/>
            <w:tcBorders>
              <w:top w:val="single" w:color="auto" w:sz="4" w:space="0"/>
              <w:left w:val="single" w:color="auto" w:sz="4" w:space="0"/>
              <w:bottom w:val="single" w:color="auto" w:sz="4" w:space="0"/>
              <w:right w:val="single" w:color="auto" w:sz="4" w:space="0"/>
            </w:tcBorders>
            <w:noWrap w:val="0"/>
            <w:vAlign w:val="center"/>
          </w:tcPr>
          <w:p w14:paraId="260DAC6A">
            <w:pPr>
              <w:topLinePunct/>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员工总人数：</w:t>
            </w:r>
          </w:p>
        </w:tc>
      </w:tr>
      <w:tr w14:paraId="21084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6E2F3DB8">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企业资质等级</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621EEF67">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（如有）</w:t>
            </w: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13482B58">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1C316AE8">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1、各类注册人员</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2D17BCCD">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（如有）</w:t>
            </w:r>
          </w:p>
        </w:tc>
      </w:tr>
      <w:tr w14:paraId="10BB6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20509AD9">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营业执照号</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0012FF2C">
            <w:pPr>
              <w:topLinePunct/>
              <w:snapToGrid w:val="0"/>
              <w:spacing w:line="360" w:lineRule="auto"/>
              <w:jc w:val="center"/>
              <w:rPr>
                <w:rFonts w:hint="eastAsia" w:ascii="宋体" w:hAnsi="宋体" w:cs="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3A30A983">
            <w:pPr>
              <w:topLinePunct/>
              <w:snapToGrid w:val="0"/>
              <w:spacing w:line="360" w:lineRule="auto"/>
              <w:jc w:val="center"/>
              <w:rPr>
                <w:rFonts w:hint="eastAsia" w:ascii="宋体" w:hAnsi="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7BA2D281">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2、高级职称人员</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0A781560">
            <w:pPr>
              <w:topLinePunct/>
              <w:snapToGrid w:val="0"/>
              <w:spacing w:line="360" w:lineRule="auto"/>
              <w:jc w:val="center"/>
              <w:rPr>
                <w:rFonts w:hint="eastAsia" w:ascii="宋体" w:hAnsi="宋体" w:cs="宋体"/>
                <w:color w:val="auto"/>
                <w:szCs w:val="21"/>
                <w:highlight w:val="none"/>
              </w:rPr>
            </w:pPr>
          </w:p>
        </w:tc>
      </w:tr>
      <w:tr w14:paraId="757105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4808CAF9">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注册资金（资本）</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00BED370">
            <w:pPr>
              <w:topLinePunct/>
              <w:snapToGrid w:val="0"/>
              <w:spacing w:line="360" w:lineRule="auto"/>
              <w:jc w:val="center"/>
              <w:rPr>
                <w:rFonts w:hint="eastAsia" w:ascii="宋体" w:hAnsi="宋体" w:cs="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487C4986">
            <w:pPr>
              <w:topLinePunct/>
              <w:snapToGrid w:val="0"/>
              <w:spacing w:line="360" w:lineRule="auto"/>
              <w:jc w:val="center"/>
              <w:rPr>
                <w:rFonts w:hint="eastAsia" w:ascii="宋体" w:hAnsi="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6BB7D5E6">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3、中级职称人员</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2A9718B1">
            <w:pPr>
              <w:topLinePunct/>
              <w:snapToGrid w:val="0"/>
              <w:spacing w:line="360" w:lineRule="auto"/>
              <w:jc w:val="center"/>
              <w:rPr>
                <w:rFonts w:hint="eastAsia" w:ascii="宋体" w:hAnsi="宋体" w:cs="宋体"/>
                <w:color w:val="auto"/>
                <w:szCs w:val="21"/>
                <w:highlight w:val="none"/>
              </w:rPr>
            </w:pPr>
          </w:p>
        </w:tc>
      </w:tr>
      <w:tr w14:paraId="28DF9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2E0C966A">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实缴资金（资本）</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591704D2">
            <w:pPr>
              <w:topLinePunct/>
              <w:snapToGrid w:val="0"/>
              <w:spacing w:line="360" w:lineRule="auto"/>
              <w:jc w:val="center"/>
              <w:rPr>
                <w:rFonts w:hint="eastAsia" w:ascii="宋体" w:hAnsi="宋体" w:cs="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71ABA2AE">
            <w:pPr>
              <w:topLinePunct/>
              <w:snapToGrid w:val="0"/>
              <w:spacing w:line="360" w:lineRule="auto"/>
              <w:jc w:val="center"/>
              <w:rPr>
                <w:rFonts w:hint="eastAsia" w:ascii="宋体" w:hAnsi="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3FA9FC0B">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4、初级职称人员</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11DF5899">
            <w:pPr>
              <w:topLinePunct/>
              <w:snapToGrid w:val="0"/>
              <w:spacing w:line="360" w:lineRule="auto"/>
              <w:jc w:val="center"/>
              <w:rPr>
                <w:rFonts w:hint="eastAsia" w:ascii="宋体" w:hAnsi="宋体" w:cs="宋体"/>
                <w:color w:val="auto"/>
                <w:szCs w:val="21"/>
                <w:highlight w:val="none"/>
              </w:rPr>
            </w:pPr>
          </w:p>
        </w:tc>
      </w:tr>
      <w:tr w14:paraId="07E6B7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6F4DB70F">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基本存款账户开户银行</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190ABFC5">
            <w:pPr>
              <w:topLinePunct/>
              <w:snapToGrid w:val="0"/>
              <w:spacing w:line="360" w:lineRule="auto"/>
              <w:jc w:val="center"/>
              <w:rPr>
                <w:rFonts w:hint="eastAsia" w:ascii="宋体" w:hAnsi="宋体" w:cs="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164E07FA">
            <w:pPr>
              <w:topLinePunct/>
              <w:snapToGrid w:val="0"/>
              <w:spacing w:line="360" w:lineRule="auto"/>
              <w:jc w:val="center"/>
              <w:rPr>
                <w:rFonts w:hint="eastAsia" w:ascii="宋体" w:hAnsi="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107CB145">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1-4人员合计</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040F2FF8">
            <w:pPr>
              <w:topLinePunct/>
              <w:snapToGrid w:val="0"/>
              <w:spacing w:line="360" w:lineRule="auto"/>
              <w:jc w:val="center"/>
              <w:rPr>
                <w:rFonts w:hint="eastAsia" w:ascii="宋体" w:hAnsi="宋体" w:cs="宋体"/>
                <w:color w:val="auto"/>
                <w:szCs w:val="21"/>
                <w:highlight w:val="none"/>
              </w:rPr>
            </w:pPr>
          </w:p>
        </w:tc>
      </w:tr>
      <w:tr w14:paraId="6A91FA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7"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534B148A">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账号</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1FC7997A">
            <w:pPr>
              <w:topLinePunct/>
              <w:snapToGrid w:val="0"/>
              <w:spacing w:line="360" w:lineRule="auto"/>
              <w:jc w:val="center"/>
              <w:rPr>
                <w:rFonts w:hint="eastAsia" w:ascii="宋体" w:hAnsi="宋体" w:cs="宋体"/>
                <w:color w:val="auto"/>
                <w:szCs w:val="21"/>
                <w:highlight w:val="none"/>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3DF07562">
            <w:pPr>
              <w:topLinePunct/>
              <w:snapToGrid w:val="0"/>
              <w:spacing w:line="360" w:lineRule="auto"/>
              <w:jc w:val="center"/>
              <w:rPr>
                <w:rFonts w:hint="eastAsia" w:ascii="宋体" w:hAnsi="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019BBF9E">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其他人员</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18E16B59">
            <w:pPr>
              <w:topLinePunct/>
              <w:snapToGrid w:val="0"/>
              <w:spacing w:line="360" w:lineRule="auto"/>
              <w:jc w:val="center"/>
              <w:rPr>
                <w:rFonts w:hint="eastAsia" w:ascii="宋体" w:hAnsi="宋体" w:cs="宋体"/>
                <w:color w:val="auto"/>
                <w:szCs w:val="21"/>
                <w:highlight w:val="none"/>
              </w:rPr>
            </w:pPr>
          </w:p>
        </w:tc>
      </w:tr>
      <w:tr w14:paraId="4470C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13AF560E">
            <w:pPr>
              <w:tabs>
                <w:tab w:val="left" w:pos="900"/>
                <w:tab w:val="left" w:pos="108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委托代理人姓名</w:t>
            </w:r>
          </w:p>
        </w:tc>
        <w:tc>
          <w:tcPr>
            <w:tcW w:w="3000" w:type="dxa"/>
            <w:gridSpan w:val="3"/>
            <w:tcBorders>
              <w:top w:val="single" w:color="auto" w:sz="4" w:space="0"/>
              <w:left w:val="single" w:color="auto" w:sz="4" w:space="0"/>
              <w:bottom w:val="single" w:color="auto" w:sz="4" w:space="0"/>
              <w:right w:val="single" w:color="auto" w:sz="4" w:space="0"/>
            </w:tcBorders>
            <w:noWrap w:val="0"/>
            <w:vAlign w:val="center"/>
          </w:tcPr>
          <w:p w14:paraId="5E04CF00">
            <w:pPr>
              <w:tabs>
                <w:tab w:val="left" w:pos="900"/>
                <w:tab w:val="left" w:pos="1080"/>
              </w:tabs>
              <w:snapToGrid w:val="0"/>
              <w:spacing w:line="360" w:lineRule="auto"/>
              <w:rPr>
                <w:rFonts w:hint="eastAsia" w:ascii="宋体" w:hAnsi="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696907C6">
            <w:pPr>
              <w:tabs>
                <w:tab w:val="left" w:pos="900"/>
                <w:tab w:val="left" w:pos="1080"/>
              </w:tabs>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职   务</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126188A9">
            <w:pPr>
              <w:tabs>
                <w:tab w:val="left" w:pos="900"/>
                <w:tab w:val="left" w:pos="1080"/>
              </w:tabs>
              <w:snapToGrid w:val="0"/>
              <w:spacing w:line="360" w:lineRule="auto"/>
              <w:rPr>
                <w:rFonts w:hint="eastAsia" w:ascii="宋体" w:hAnsi="宋体" w:cs="宋体"/>
                <w:color w:val="auto"/>
                <w:szCs w:val="21"/>
                <w:highlight w:val="none"/>
              </w:rPr>
            </w:pPr>
          </w:p>
        </w:tc>
      </w:tr>
      <w:tr w14:paraId="57D387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6F4B154F">
            <w:pPr>
              <w:tabs>
                <w:tab w:val="left" w:pos="900"/>
                <w:tab w:val="left" w:pos="108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固定电话</w:t>
            </w:r>
          </w:p>
        </w:tc>
        <w:tc>
          <w:tcPr>
            <w:tcW w:w="3000" w:type="dxa"/>
            <w:gridSpan w:val="3"/>
            <w:tcBorders>
              <w:top w:val="single" w:color="auto" w:sz="4" w:space="0"/>
              <w:left w:val="single" w:color="auto" w:sz="4" w:space="0"/>
              <w:bottom w:val="single" w:color="auto" w:sz="4" w:space="0"/>
              <w:right w:val="single" w:color="auto" w:sz="4" w:space="0"/>
            </w:tcBorders>
            <w:noWrap w:val="0"/>
            <w:vAlign w:val="center"/>
          </w:tcPr>
          <w:p w14:paraId="1E29DA0C">
            <w:pPr>
              <w:tabs>
                <w:tab w:val="left" w:pos="900"/>
                <w:tab w:val="left" w:pos="1080"/>
              </w:tabs>
              <w:snapToGrid w:val="0"/>
              <w:spacing w:line="360" w:lineRule="auto"/>
              <w:rPr>
                <w:rFonts w:hint="eastAsia" w:ascii="宋体" w:hAnsi="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33E0DC1E">
            <w:pPr>
              <w:tabs>
                <w:tab w:val="left" w:pos="900"/>
                <w:tab w:val="left" w:pos="1080"/>
              </w:tabs>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手   机</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56520472">
            <w:pPr>
              <w:tabs>
                <w:tab w:val="left" w:pos="900"/>
                <w:tab w:val="left" w:pos="1080"/>
              </w:tabs>
              <w:snapToGrid w:val="0"/>
              <w:spacing w:line="360" w:lineRule="auto"/>
              <w:rPr>
                <w:rFonts w:hint="eastAsia" w:ascii="宋体" w:hAnsi="宋体" w:cs="宋体"/>
                <w:color w:val="auto"/>
                <w:szCs w:val="21"/>
                <w:highlight w:val="none"/>
              </w:rPr>
            </w:pPr>
          </w:p>
        </w:tc>
      </w:tr>
      <w:tr w14:paraId="0948D1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33F70240">
            <w:pPr>
              <w:tabs>
                <w:tab w:val="left" w:pos="900"/>
                <w:tab w:val="left" w:pos="1080"/>
              </w:tabs>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传    真</w:t>
            </w:r>
          </w:p>
        </w:tc>
        <w:tc>
          <w:tcPr>
            <w:tcW w:w="3000" w:type="dxa"/>
            <w:gridSpan w:val="3"/>
            <w:tcBorders>
              <w:top w:val="single" w:color="auto" w:sz="4" w:space="0"/>
              <w:left w:val="single" w:color="auto" w:sz="4" w:space="0"/>
              <w:bottom w:val="single" w:color="auto" w:sz="4" w:space="0"/>
              <w:right w:val="single" w:color="auto" w:sz="4" w:space="0"/>
            </w:tcBorders>
            <w:noWrap w:val="0"/>
            <w:vAlign w:val="center"/>
          </w:tcPr>
          <w:p w14:paraId="42DFE8E1">
            <w:pPr>
              <w:tabs>
                <w:tab w:val="left" w:pos="900"/>
                <w:tab w:val="left" w:pos="1080"/>
              </w:tabs>
              <w:snapToGrid w:val="0"/>
              <w:spacing w:line="360" w:lineRule="auto"/>
              <w:rPr>
                <w:rFonts w:hint="eastAsia" w:ascii="宋体" w:hAnsi="宋体" w:cs="宋体"/>
                <w:color w:val="auto"/>
                <w:szCs w:val="21"/>
                <w:highlight w:val="none"/>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14:paraId="352A1CC9">
            <w:pPr>
              <w:tabs>
                <w:tab w:val="left" w:pos="900"/>
                <w:tab w:val="left" w:pos="1080"/>
              </w:tabs>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   箱</w:t>
            </w:r>
          </w:p>
        </w:tc>
        <w:tc>
          <w:tcPr>
            <w:tcW w:w="2392" w:type="dxa"/>
            <w:gridSpan w:val="2"/>
            <w:tcBorders>
              <w:top w:val="single" w:color="auto" w:sz="4" w:space="0"/>
              <w:left w:val="single" w:color="auto" w:sz="4" w:space="0"/>
              <w:bottom w:val="single" w:color="auto" w:sz="4" w:space="0"/>
              <w:right w:val="single" w:color="auto" w:sz="4" w:space="0"/>
            </w:tcBorders>
            <w:noWrap w:val="0"/>
            <w:vAlign w:val="center"/>
          </w:tcPr>
          <w:p w14:paraId="5A59F97F">
            <w:pPr>
              <w:tabs>
                <w:tab w:val="left" w:pos="900"/>
                <w:tab w:val="left" w:pos="1080"/>
              </w:tabs>
              <w:snapToGrid w:val="0"/>
              <w:spacing w:line="360" w:lineRule="auto"/>
              <w:rPr>
                <w:rFonts w:hint="eastAsia" w:ascii="宋体" w:hAnsi="宋体" w:cs="宋体"/>
                <w:color w:val="auto"/>
                <w:szCs w:val="21"/>
                <w:highlight w:val="none"/>
              </w:rPr>
            </w:pPr>
          </w:p>
        </w:tc>
      </w:tr>
      <w:tr w14:paraId="42D77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1908" w:type="dxa"/>
            <w:tcBorders>
              <w:top w:val="single" w:color="auto" w:sz="4" w:space="0"/>
              <w:left w:val="single" w:color="auto" w:sz="4" w:space="0"/>
              <w:right w:val="single" w:color="auto" w:sz="4" w:space="0"/>
            </w:tcBorders>
            <w:noWrap w:val="0"/>
            <w:vAlign w:val="center"/>
          </w:tcPr>
          <w:p w14:paraId="6BC257F1">
            <w:pPr>
              <w:topLinePunct/>
              <w:snapToGrid w:val="0"/>
              <w:spacing w:line="360" w:lineRule="auto"/>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rPr>
              <w:t>后附证明文件</w:t>
            </w:r>
          </w:p>
        </w:tc>
        <w:tc>
          <w:tcPr>
            <w:tcW w:w="7691" w:type="dxa"/>
            <w:gridSpan w:val="9"/>
            <w:tcBorders>
              <w:top w:val="single" w:color="auto" w:sz="4" w:space="0"/>
              <w:left w:val="single" w:color="auto" w:sz="4" w:space="0"/>
              <w:right w:val="single" w:color="auto" w:sz="4" w:space="0"/>
            </w:tcBorders>
            <w:noWrap w:val="0"/>
            <w:vAlign w:val="center"/>
          </w:tcPr>
          <w:p w14:paraId="1716A12F">
            <w:pPr>
              <w:tabs>
                <w:tab w:val="left" w:pos="900"/>
                <w:tab w:val="left" w:pos="1080"/>
              </w:tabs>
              <w:snapToGrid w:val="0"/>
              <w:spacing w:line="360" w:lineRule="auto"/>
              <w:rPr>
                <w:rFonts w:hint="eastAsia" w:ascii="宋体" w:hAnsi="宋体" w:cs="宋体"/>
                <w:color w:val="auto"/>
                <w:highlight w:val="none"/>
              </w:rPr>
            </w:pPr>
            <w:r>
              <w:rPr>
                <w:rFonts w:hint="eastAsia" w:ascii="宋体" w:hAnsi="宋体" w:cs="宋体"/>
                <w:color w:val="auto"/>
                <w:highlight w:val="none"/>
              </w:rPr>
              <w:t>1、投标人介绍；</w:t>
            </w:r>
          </w:p>
        </w:tc>
      </w:tr>
      <w:tr w14:paraId="6AE55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14:paraId="50C95A41">
            <w:pPr>
              <w:topLinePunct/>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c>
          <w:tcPr>
            <w:tcW w:w="7691" w:type="dxa"/>
            <w:gridSpan w:val="9"/>
            <w:tcBorders>
              <w:top w:val="single" w:color="auto" w:sz="4" w:space="0"/>
              <w:left w:val="single" w:color="auto" w:sz="4" w:space="0"/>
              <w:bottom w:val="single" w:color="auto" w:sz="4" w:space="0"/>
              <w:right w:val="single" w:color="auto" w:sz="4" w:space="0"/>
            </w:tcBorders>
            <w:noWrap w:val="0"/>
            <w:vAlign w:val="center"/>
          </w:tcPr>
          <w:p w14:paraId="578AC223">
            <w:pPr>
              <w:topLinePunct/>
              <w:snapToGrid w:val="0"/>
              <w:spacing w:line="360" w:lineRule="auto"/>
              <w:jc w:val="center"/>
              <w:rPr>
                <w:rFonts w:hint="eastAsia" w:ascii="宋体" w:hAnsi="宋体" w:cs="宋体"/>
                <w:color w:val="auto"/>
                <w:szCs w:val="21"/>
                <w:highlight w:val="none"/>
              </w:rPr>
            </w:pPr>
          </w:p>
        </w:tc>
      </w:tr>
    </w:tbl>
    <w:p w14:paraId="778CAE2E">
      <w:pPr>
        <w:pStyle w:val="6"/>
        <w:spacing w:line="360" w:lineRule="auto"/>
        <w:ind w:left="0" w:firstLine="0"/>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r>
        <w:rPr>
          <w:rFonts w:hint="eastAsia" w:ascii="宋体" w:hAnsi="宋体" w:cs="宋体"/>
          <w:color w:val="auto"/>
          <w:sz w:val="21"/>
          <w:szCs w:val="21"/>
          <w:highlight w:val="none"/>
        </w:rPr>
        <w:t>（2）企业类似项目业绩证明材料</w:t>
      </w:r>
    </w:p>
    <w:p w14:paraId="389041A9">
      <w:pPr>
        <w:spacing w:line="360" w:lineRule="auto"/>
        <w:jc w:val="center"/>
        <w:rPr>
          <w:rFonts w:hint="eastAsia" w:ascii="宋体" w:hAnsi="宋体" w:cs="宋体"/>
          <w:b/>
          <w:bCs/>
          <w:color w:val="auto"/>
          <w:spacing w:val="20"/>
          <w:sz w:val="30"/>
          <w:szCs w:val="30"/>
          <w:highlight w:val="none"/>
        </w:rPr>
      </w:pPr>
      <w:r>
        <w:rPr>
          <w:rFonts w:hint="eastAsia" w:ascii="宋体" w:hAnsi="宋体" w:cs="宋体"/>
          <w:b/>
          <w:bCs/>
          <w:color w:val="auto"/>
          <w:spacing w:val="20"/>
          <w:sz w:val="30"/>
          <w:szCs w:val="30"/>
          <w:highlight w:val="none"/>
        </w:rPr>
        <w:t>业绩表</w:t>
      </w:r>
    </w:p>
    <w:p w14:paraId="6556C74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712"/>
        <w:gridCol w:w="1742"/>
        <w:gridCol w:w="1740"/>
        <w:gridCol w:w="1419"/>
        <w:gridCol w:w="2062"/>
      </w:tblGrid>
      <w:tr w14:paraId="3B01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noWrap w:val="0"/>
            <w:vAlign w:val="center"/>
          </w:tcPr>
          <w:p w14:paraId="3331CD1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712" w:type="dxa"/>
            <w:noWrap w:val="0"/>
            <w:vAlign w:val="center"/>
          </w:tcPr>
          <w:p w14:paraId="36CC2B9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742" w:type="dxa"/>
            <w:noWrap w:val="0"/>
            <w:vAlign w:val="center"/>
          </w:tcPr>
          <w:p w14:paraId="152BD14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合同金额（万元）</w:t>
            </w:r>
          </w:p>
        </w:tc>
        <w:tc>
          <w:tcPr>
            <w:tcW w:w="1740" w:type="dxa"/>
            <w:noWrap w:val="0"/>
            <w:vAlign w:val="center"/>
          </w:tcPr>
          <w:p w14:paraId="6E61C62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合同签订时间</w:t>
            </w:r>
          </w:p>
        </w:tc>
        <w:tc>
          <w:tcPr>
            <w:tcW w:w="1419" w:type="dxa"/>
            <w:noWrap w:val="0"/>
            <w:vAlign w:val="center"/>
          </w:tcPr>
          <w:p w14:paraId="62DBD57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招标人</w:t>
            </w:r>
          </w:p>
        </w:tc>
        <w:tc>
          <w:tcPr>
            <w:tcW w:w="2062" w:type="dxa"/>
            <w:noWrap w:val="0"/>
            <w:vAlign w:val="center"/>
          </w:tcPr>
          <w:p w14:paraId="60B5A66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联系人及联系方式</w:t>
            </w:r>
          </w:p>
        </w:tc>
      </w:tr>
      <w:tr w14:paraId="2A49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noWrap w:val="0"/>
            <w:vAlign w:val="top"/>
          </w:tcPr>
          <w:p w14:paraId="7F4A928D">
            <w:pPr>
              <w:spacing w:line="360" w:lineRule="auto"/>
              <w:rPr>
                <w:rFonts w:hint="eastAsia" w:ascii="宋体" w:hAnsi="宋体" w:cs="宋体"/>
                <w:color w:val="auto"/>
                <w:szCs w:val="21"/>
                <w:highlight w:val="none"/>
              </w:rPr>
            </w:pPr>
          </w:p>
        </w:tc>
        <w:tc>
          <w:tcPr>
            <w:tcW w:w="1712" w:type="dxa"/>
            <w:noWrap w:val="0"/>
            <w:vAlign w:val="top"/>
          </w:tcPr>
          <w:p w14:paraId="043EE584">
            <w:pPr>
              <w:spacing w:line="360" w:lineRule="auto"/>
              <w:rPr>
                <w:rFonts w:hint="eastAsia" w:ascii="宋体" w:hAnsi="宋体" w:cs="宋体"/>
                <w:color w:val="auto"/>
                <w:szCs w:val="21"/>
                <w:highlight w:val="none"/>
              </w:rPr>
            </w:pPr>
          </w:p>
        </w:tc>
        <w:tc>
          <w:tcPr>
            <w:tcW w:w="1742" w:type="dxa"/>
            <w:noWrap w:val="0"/>
            <w:vAlign w:val="top"/>
          </w:tcPr>
          <w:p w14:paraId="080C1160">
            <w:pPr>
              <w:spacing w:line="360" w:lineRule="auto"/>
              <w:rPr>
                <w:rFonts w:hint="eastAsia" w:ascii="宋体" w:hAnsi="宋体" w:cs="宋体"/>
                <w:color w:val="auto"/>
                <w:szCs w:val="21"/>
                <w:highlight w:val="none"/>
              </w:rPr>
            </w:pPr>
          </w:p>
        </w:tc>
        <w:tc>
          <w:tcPr>
            <w:tcW w:w="1740" w:type="dxa"/>
            <w:noWrap w:val="0"/>
            <w:vAlign w:val="top"/>
          </w:tcPr>
          <w:p w14:paraId="565621FA">
            <w:pPr>
              <w:spacing w:line="360" w:lineRule="auto"/>
              <w:rPr>
                <w:rFonts w:hint="eastAsia" w:ascii="宋体" w:hAnsi="宋体" w:cs="宋体"/>
                <w:color w:val="auto"/>
                <w:szCs w:val="21"/>
                <w:highlight w:val="none"/>
              </w:rPr>
            </w:pPr>
          </w:p>
        </w:tc>
        <w:tc>
          <w:tcPr>
            <w:tcW w:w="1419" w:type="dxa"/>
            <w:noWrap w:val="0"/>
            <w:vAlign w:val="top"/>
          </w:tcPr>
          <w:p w14:paraId="145B1998">
            <w:pPr>
              <w:spacing w:line="360" w:lineRule="auto"/>
              <w:rPr>
                <w:rFonts w:hint="eastAsia" w:ascii="宋体" w:hAnsi="宋体" w:cs="宋体"/>
                <w:color w:val="auto"/>
                <w:szCs w:val="21"/>
                <w:highlight w:val="none"/>
              </w:rPr>
            </w:pPr>
          </w:p>
        </w:tc>
        <w:tc>
          <w:tcPr>
            <w:tcW w:w="2062" w:type="dxa"/>
            <w:noWrap w:val="0"/>
            <w:vAlign w:val="top"/>
          </w:tcPr>
          <w:p w14:paraId="157526F2">
            <w:pPr>
              <w:spacing w:line="360" w:lineRule="auto"/>
              <w:rPr>
                <w:rFonts w:hint="eastAsia" w:ascii="宋体" w:hAnsi="宋体" w:cs="宋体"/>
                <w:color w:val="auto"/>
                <w:szCs w:val="21"/>
                <w:highlight w:val="none"/>
              </w:rPr>
            </w:pPr>
          </w:p>
        </w:tc>
      </w:tr>
      <w:tr w14:paraId="24405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noWrap w:val="0"/>
            <w:vAlign w:val="top"/>
          </w:tcPr>
          <w:p w14:paraId="343C5C1F">
            <w:pPr>
              <w:spacing w:line="360" w:lineRule="auto"/>
              <w:rPr>
                <w:rFonts w:hint="eastAsia" w:ascii="宋体" w:hAnsi="宋体" w:cs="宋体"/>
                <w:color w:val="auto"/>
                <w:szCs w:val="21"/>
                <w:highlight w:val="none"/>
              </w:rPr>
            </w:pPr>
          </w:p>
        </w:tc>
        <w:tc>
          <w:tcPr>
            <w:tcW w:w="1712" w:type="dxa"/>
            <w:noWrap w:val="0"/>
            <w:vAlign w:val="top"/>
          </w:tcPr>
          <w:p w14:paraId="68F16B0A">
            <w:pPr>
              <w:spacing w:line="360" w:lineRule="auto"/>
              <w:rPr>
                <w:rFonts w:hint="eastAsia" w:ascii="宋体" w:hAnsi="宋体" w:cs="宋体"/>
                <w:color w:val="auto"/>
                <w:szCs w:val="21"/>
                <w:highlight w:val="none"/>
              </w:rPr>
            </w:pPr>
          </w:p>
        </w:tc>
        <w:tc>
          <w:tcPr>
            <w:tcW w:w="1742" w:type="dxa"/>
            <w:noWrap w:val="0"/>
            <w:vAlign w:val="top"/>
          </w:tcPr>
          <w:p w14:paraId="69F6A2FD">
            <w:pPr>
              <w:spacing w:line="360" w:lineRule="auto"/>
              <w:rPr>
                <w:rFonts w:hint="eastAsia" w:ascii="宋体" w:hAnsi="宋体" w:cs="宋体"/>
                <w:color w:val="auto"/>
                <w:szCs w:val="21"/>
                <w:highlight w:val="none"/>
              </w:rPr>
            </w:pPr>
          </w:p>
        </w:tc>
        <w:tc>
          <w:tcPr>
            <w:tcW w:w="1740" w:type="dxa"/>
            <w:noWrap w:val="0"/>
            <w:vAlign w:val="top"/>
          </w:tcPr>
          <w:p w14:paraId="7609E412">
            <w:pPr>
              <w:spacing w:line="360" w:lineRule="auto"/>
              <w:rPr>
                <w:rFonts w:hint="eastAsia" w:ascii="宋体" w:hAnsi="宋体" w:cs="宋体"/>
                <w:color w:val="auto"/>
                <w:szCs w:val="21"/>
                <w:highlight w:val="none"/>
              </w:rPr>
            </w:pPr>
          </w:p>
        </w:tc>
        <w:tc>
          <w:tcPr>
            <w:tcW w:w="1419" w:type="dxa"/>
            <w:noWrap w:val="0"/>
            <w:vAlign w:val="top"/>
          </w:tcPr>
          <w:p w14:paraId="75C1A954">
            <w:pPr>
              <w:spacing w:line="360" w:lineRule="auto"/>
              <w:rPr>
                <w:rFonts w:hint="eastAsia" w:ascii="宋体" w:hAnsi="宋体" w:cs="宋体"/>
                <w:color w:val="auto"/>
                <w:szCs w:val="21"/>
                <w:highlight w:val="none"/>
              </w:rPr>
            </w:pPr>
          </w:p>
        </w:tc>
        <w:tc>
          <w:tcPr>
            <w:tcW w:w="2062" w:type="dxa"/>
            <w:noWrap w:val="0"/>
            <w:vAlign w:val="top"/>
          </w:tcPr>
          <w:p w14:paraId="22592BA1">
            <w:pPr>
              <w:spacing w:line="360" w:lineRule="auto"/>
              <w:rPr>
                <w:rFonts w:hint="eastAsia" w:ascii="宋体" w:hAnsi="宋体" w:cs="宋体"/>
                <w:color w:val="auto"/>
                <w:szCs w:val="21"/>
                <w:highlight w:val="none"/>
              </w:rPr>
            </w:pPr>
          </w:p>
        </w:tc>
      </w:tr>
      <w:tr w14:paraId="123A4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noWrap w:val="0"/>
            <w:vAlign w:val="top"/>
          </w:tcPr>
          <w:p w14:paraId="0E99CCAA">
            <w:pPr>
              <w:spacing w:line="360" w:lineRule="auto"/>
              <w:rPr>
                <w:rFonts w:hint="eastAsia" w:ascii="宋体" w:hAnsi="宋体" w:cs="宋体"/>
                <w:color w:val="auto"/>
                <w:szCs w:val="21"/>
                <w:highlight w:val="none"/>
              </w:rPr>
            </w:pPr>
          </w:p>
        </w:tc>
        <w:tc>
          <w:tcPr>
            <w:tcW w:w="1712" w:type="dxa"/>
            <w:noWrap w:val="0"/>
            <w:vAlign w:val="top"/>
          </w:tcPr>
          <w:p w14:paraId="4D426244">
            <w:pPr>
              <w:spacing w:line="360" w:lineRule="auto"/>
              <w:rPr>
                <w:rFonts w:hint="eastAsia" w:ascii="宋体" w:hAnsi="宋体" w:cs="宋体"/>
                <w:color w:val="auto"/>
                <w:szCs w:val="21"/>
                <w:highlight w:val="none"/>
              </w:rPr>
            </w:pPr>
          </w:p>
        </w:tc>
        <w:tc>
          <w:tcPr>
            <w:tcW w:w="1742" w:type="dxa"/>
            <w:noWrap w:val="0"/>
            <w:vAlign w:val="top"/>
          </w:tcPr>
          <w:p w14:paraId="64B3A644">
            <w:pPr>
              <w:spacing w:line="360" w:lineRule="auto"/>
              <w:rPr>
                <w:rFonts w:hint="eastAsia" w:ascii="宋体" w:hAnsi="宋体" w:cs="宋体"/>
                <w:color w:val="auto"/>
                <w:szCs w:val="21"/>
                <w:highlight w:val="none"/>
              </w:rPr>
            </w:pPr>
          </w:p>
        </w:tc>
        <w:tc>
          <w:tcPr>
            <w:tcW w:w="1740" w:type="dxa"/>
            <w:noWrap w:val="0"/>
            <w:vAlign w:val="top"/>
          </w:tcPr>
          <w:p w14:paraId="1C187C82">
            <w:pPr>
              <w:spacing w:line="360" w:lineRule="auto"/>
              <w:rPr>
                <w:rFonts w:hint="eastAsia" w:ascii="宋体" w:hAnsi="宋体" w:cs="宋体"/>
                <w:color w:val="auto"/>
                <w:szCs w:val="21"/>
                <w:highlight w:val="none"/>
              </w:rPr>
            </w:pPr>
          </w:p>
        </w:tc>
        <w:tc>
          <w:tcPr>
            <w:tcW w:w="1419" w:type="dxa"/>
            <w:noWrap w:val="0"/>
            <w:vAlign w:val="top"/>
          </w:tcPr>
          <w:p w14:paraId="5D27287B">
            <w:pPr>
              <w:spacing w:line="360" w:lineRule="auto"/>
              <w:rPr>
                <w:rFonts w:hint="eastAsia" w:ascii="宋体" w:hAnsi="宋体" w:cs="宋体"/>
                <w:color w:val="auto"/>
                <w:szCs w:val="21"/>
                <w:highlight w:val="none"/>
              </w:rPr>
            </w:pPr>
          </w:p>
        </w:tc>
        <w:tc>
          <w:tcPr>
            <w:tcW w:w="2062" w:type="dxa"/>
            <w:noWrap w:val="0"/>
            <w:vAlign w:val="top"/>
          </w:tcPr>
          <w:p w14:paraId="713C31FB">
            <w:pPr>
              <w:spacing w:line="360" w:lineRule="auto"/>
              <w:rPr>
                <w:rFonts w:hint="eastAsia" w:ascii="宋体" w:hAnsi="宋体" w:cs="宋体"/>
                <w:color w:val="auto"/>
                <w:szCs w:val="21"/>
                <w:highlight w:val="none"/>
              </w:rPr>
            </w:pPr>
          </w:p>
        </w:tc>
      </w:tr>
      <w:tr w14:paraId="2C5F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noWrap w:val="0"/>
            <w:vAlign w:val="top"/>
          </w:tcPr>
          <w:p w14:paraId="21E7B4A3">
            <w:pPr>
              <w:spacing w:line="360" w:lineRule="auto"/>
              <w:rPr>
                <w:rFonts w:hint="eastAsia" w:ascii="宋体" w:hAnsi="宋体" w:cs="宋体"/>
                <w:color w:val="auto"/>
                <w:szCs w:val="21"/>
                <w:highlight w:val="none"/>
              </w:rPr>
            </w:pPr>
          </w:p>
        </w:tc>
        <w:tc>
          <w:tcPr>
            <w:tcW w:w="1712" w:type="dxa"/>
            <w:noWrap w:val="0"/>
            <w:vAlign w:val="top"/>
          </w:tcPr>
          <w:p w14:paraId="398008D7">
            <w:pPr>
              <w:spacing w:line="360" w:lineRule="auto"/>
              <w:rPr>
                <w:rFonts w:hint="eastAsia" w:ascii="宋体" w:hAnsi="宋体" w:cs="宋体"/>
                <w:color w:val="auto"/>
                <w:szCs w:val="21"/>
                <w:highlight w:val="none"/>
              </w:rPr>
            </w:pPr>
          </w:p>
        </w:tc>
        <w:tc>
          <w:tcPr>
            <w:tcW w:w="1742" w:type="dxa"/>
            <w:noWrap w:val="0"/>
            <w:vAlign w:val="top"/>
          </w:tcPr>
          <w:p w14:paraId="7F26BDF6">
            <w:pPr>
              <w:spacing w:line="360" w:lineRule="auto"/>
              <w:rPr>
                <w:rFonts w:hint="eastAsia" w:ascii="宋体" w:hAnsi="宋体" w:cs="宋体"/>
                <w:color w:val="auto"/>
                <w:szCs w:val="21"/>
                <w:highlight w:val="none"/>
              </w:rPr>
            </w:pPr>
          </w:p>
        </w:tc>
        <w:tc>
          <w:tcPr>
            <w:tcW w:w="1740" w:type="dxa"/>
            <w:noWrap w:val="0"/>
            <w:vAlign w:val="top"/>
          </w:tcPr>
          <w:p w14:paraId="28F3B8B4">
            <w:pPr>
              <w:spacing w:line="360" w:lineRule="auto"/>
              <w:rPr>
                <w:rFonts w:hint="eastAsia" w:ascii="宋体" w:hAnsi="宋体" w:cs="宋体"/>
                <w:color w:val="auto"/>
                <w:szCs w:val="21"/>
                <w:highlight w:val="none"/>
              </w:rPr>
            </w:pPr>
          </w:p>
        </w:tc>
        <w:tc>
          <w:tcPr>
            <w:tcW w:w="1419" w:type="dxa"/>
            <w:noWrap w:val="0"/>
            <w:vAlign w:val="top"/>
          </w:tcPr>
          <w:p w14:paraId="09210FAE">
            <w:pPr>
              <w:spacing w:line="360" w:lineRule="auto"/>
              <w:rPr>
                <w:rFonts w:hint="eastAsia" w:ascii="宋体" w:hAnsi="宋体" w:cs="宋体"/>
                <w:color w:val="auto"/>
                <w:szCs w:val="21"/>
                <w:highlight w:val="none"/>
              </w:rPr>
            </w:pPr>
          </w:p>
        </w:tc>
        <w:tc>
          <w:tcPr>
            <w:tcW w:w="2062" w:type="dxa"/>
            <w:noWrap w:val="0"/>
            <w:vAlign w:val="top"/>
          </w:tcPr>
          <w:p w14:paraId="3AAFCEA8">
            <w:pPr>
              <w:spacing w:line="360" w:lineRule="auto"/>
              <w:rPr>
                <w:rFonts w:hint="eastAsia" w:ascii="宋体" w:hAnsi="宋体" w:cs="宋体"/>
                <w:color w:val="auto"/>
                <w:szCs w:val="21"/>
                <w:highlight w:val="none"/>
              </w:rPr>
            </w:pPr>
          </w:p>
        </w:tc>
      </w:tr>
      <w:tr w14:paraId="4C7AF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noWrap w:val="0"/>
            <w:vAlign w:val="top"/>
          </w:tcPr>
          <w:p w14:paraId="141D2AE2">
            <w:pPr>
              <w:spacing w:line="360" w:lineRule="auto"/>
              <w:rPr>
                <w:rFonts w:hint="eastAsia" w:ascii="宋体" w:hAnsi="宋体" w:cs="宋体"/>
                <w:color w:val="auto"/>
                <w:szCs w:val="21"/>
                <w:highlight w:val="none"/>
              </w:rPr>
            </w:pPr>
          </w:p>
        </w:tc>
        <w:tc>
          <w:tcPr>
            <w:tcW w:w="1712" w:type="dxa"/>
            <w:noWrap w:val="0"/>
            <w:vAlign w:val="top"/>
          </w:tcPr>
          <w:p w14:paraId="6D5277E3">
            <w:pPr>
              <w:spacing w:line="360" w:lineRule="auto"/>
              <w:rPr>
                <w:rFonts w:hint="eastAsia" w:ascii="宋体" w:hAnsi="宋体" w:cs="宋体"/>
                <w:color w:val="auto"/>
                <w:szCs w:val="21"/>
                <w:highlight w:val="none"/>
              </w:rPr>
            </w:pPr>
          </w:p>
        </w:tc>
        <w:tc>
          <w:tcPr>
            <w:tcW w:w="1742" w:type="dxa"/>
            <w:noWrap w:val="0"/>
            <w:vAlign w:val="top"/>
          </w:tcPr>
          <w:p w14:paraId="4DCE78A6">
            <w:pPr>
              <w:spacing w:line="360" w:lineRule="auto"/>
              <w:rPr>
                <w:rFonts w:hint="eastAsia" w:ascii="宋体" w:hAnsi="宋体" w:cs="宋体"/>
                <w:color w:val="auto"/>
                <w:szCs w:val="21"/>
                <w:highlight w:val="none"/>
              </w:rPr>
            </w:pPr>
          </w:p>
        </w:tc>
        <w:tc>
          <w:tcPr>
            <w:tcW w:w="1740" w:type="dxa"/>
            <w:noWrap w:val="0"/>
            <w:vAlign w:val="top"/>
          </w:tcPr>
          <w:p w14:paraId="70B66129">
            <w:pPr>
              <w:spacing w:line="360" w:lineRule="auto"/>
              <w:rPr>
                <w:rFonts w:hint="eastAsia" w:ascii="宋体" w:hAnsi="宋体" w:cs="宋体"/>
                <w:color w:val="auto"/>
                <w:szCs w:val="21"/>
                <w:highlight w:val="none"/>
              </w:rPr>
            </w:pPr>
          </w:p>
        </w:tc>
        <w:tc>
          <w:tcPr>
            <w:tcW w:w="1419" w:type="dxa"/>
            <w:noWrap w:val="0"/>
            <w:vAlign w:val="top"/>
          </w:tcPr>
          <w:p w14:paraId="3DDC79A1">
            <w:pPr>
              <w:spacing w:line="360" w:lineRule="auto"/>
              <w:rPr>
                <w:rFonts w:hint="eastAsia" w:ascii="宋体" w:hAnsi="宋体" w:cs="宋体"/>
                <w:color w:val="auto"/>
                <w:szCs w:val="21"/>
                <w:highlight w:val="none"/>
              </w:rPr>
            </w:pPr>
          </w:p>
        </w:tc>
        <w:tc>
          <w:tcPr>
            <w:tcW w:w="2062" w:type="dxa"/>
            <w:noWrap w:val="0"/>
            <w:vAlign w:val="top"/>
          </w:tcPr>
          <w:p w14:paraId="0C3A0675">
            <w:pPr>
              <w:spacing w:line="360" w:lineRule="auto"/>
              <w:rPr>
                <w:rFonts w:hint="eastAsia" w:ascii="宋体" w:hAnsi="宋体" w:cs="宋体"/>
                <w:color w:val="auto"/>
                <w:szCs w:val="21"/>
                <w:highlight w:val="none"/>
              </w:rPr>
            </w:pPr>
          </w:p>
        </w:tc>
      </w:tr>
      <w:tr w14:paraId="6808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noWrap w:val="0"/>
            <w:vAlign w:val="top"/>
          </w:tcPr>
          <w:p w14:paraId="0FA02FB2">
            <w:pPr>
              <w:spacing w:line="360" w:lineRule="auto"/>
              <w:rPr>
                <w:rFonts w:hint="eastAsia" w:ascii="宋体" w:hAnsi="宋体" w:cs="宋体"/>
                <w:color w:val="auto"/>
                <w:szCs w:val="21"/>
                <w:highlight w:val="none"/>
              </w:rPr>
            </w:pPr>
          </w:p>
        </w:tc>
        <w:tc>
          <w:tcPr>
            <w:tcW w:w="1712" w:type="dxa"/>
            <w:noWrap w:val="0"/>
            <w:vAlign w:val="top"/>
          </w:tcPr>
          <w:p w14:paraId="70BB8D85">
            <w:pPr>
              <w:spacing w:line="360" w:lineRule="auto"/>
              <w:rPr>
                <w:rFonts w:hint="eastAsia" w:ascii="宋体" w:hAnsi="宋体" w:cs="宋体"/>
                <w:color w:val="auto"/>
                <w:szCs w:val="21"/>
                <w:highlight w:val="none"/>
              </w:rPr>
            </w:pPr>
          </w:p>
        </w:tc>
        <w:tc>
          <w:tcPr>
            <w:tcW w:w="1742" w:type="dxa"/>
            <w:noWrap w:val="0"/>
            <w:vAlign w:val="top"/>
          </w:tcPr>
          <w:p w14:paraId="1C9974D0">
            <w:pPr>
              <w:spacing w:line="360" w:lineRule="auto"/>
              <w:rPr>
                <w:rFonts w:hint="eastAsia" w:ascii="宋体" w:hAnsi="宋体" w:cs="宋体"/>
                <w:color w:val="auto"/>
                <w:szCs w:val="21"/>
                <w:highlight w:val="none"/>
              </w:rPr>
            </w:pPr>
          </w:p>
        </w:tc>
        <w:tc>
          <w:tcPr>
            <w:tcW w:w="1740" w:type="dxa"/>
            <w:noWrap w:val="0"/>
            <w:vAlign w:val="top"/>
          </w:tcPr>
          <w:p w14:paraId="4528969D">
            <w:pPr>
              <w:spacing w:line="360" w:lineRule="auto"/>
              <w:rPr>
                <w:rFonts w:hint="eastAsia" w:ascii="宋体" w:hAnsi="宋体" w:cs="宋体"/>
                <w:color w:val="auto"/>
                <w:szCs w:val="21"/>
                <w:highlight w:val="none"/>
              </w:rPr>
            </w:pPr>
          </w:p>
        </w:tc>
        <w:tc>
          <w:tcPr>
            <w:tcW w:w="1419" w:type="dxa"/>
            <w:noWrap w:val="0"/>
            <w:vAlign w:val="top"/>
          </w:tcPr>
          <w:p w14:paraId="5E923270">
            <w:pPr>
              <w:spacing w:line="360" w:lineRule="auto"/>
              <w:rPr>
                <w:rFonts w:hint="eastAsia" w:ascii="宋体" w:hAnsi="宋体" w:cs="宋体"/>
                <w:color w:val="auto"/>
                <w:szCs w:val="21"/>
                <w:highlight w:val="none"/>
              </w:rPr>
            </w:pPr>
          </w:p>
        </w:tc>
        <w:tc>
          <w:tcPr>
            <w:tcW w:w="2062" w:type="dxa"/>
            <w:noWrap w:val="0"/>
            <w:vAlign w:val="top"/>
          </w:tcPr>
          <w:p w14:paraId="590B6765">
            <w:pPr>
              <w:spacing w:line="360" w:lineRule="auto"/>
              <w:rPr>
                <w:rFonts w:hint="eastAsia" w:ascii="宋体" w:hAnsi="宋体" w:cs="宋体"/>
                <w:color w:val="auto"/>
                <w:szCs w:val="21"/>
                <w:highlight w:val="none"/>
              </w:rPr>
            </w:pPr>
          </w:p>
        </w:tc>
      </w:tr>
    </w:tbl>
    <w:p w14:paraId="15AF7287">
      <w:pPr>
        <w:tabs>
          <w:tab w:val="left" w:pos="900"/>
          <w:tab w:val="left" w:pos="1080"/>
        </w:tabs>
        <w:spacing w:line="360" w:lineRule="auto"/>
        <w:rPr>
          <w:rFonts w:hint="eastAsia" w:ascii="宋体" w:hAnsi="宋体" w:cs="宋体"/>
          <w:b/>
          <w:color w:val="auto"/>
          <w:szCs w:val="21"/>
          <w:highlight w:val="none"/>
        </w:rPr>
      </w:pPr>
    </w:p>
    <w:p w14:paraId="155F74DC">
      <w:pPr>
        <w:tabs>
          <w:tab w:val="left" w:pos="900"/>
          <w:tab w:val="left" w:pos="1080"/>
        </w:tabs>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注：业绩表后应附</w:t>
      </w:r>
      <w:r>
        <w:rPr>
          <w:rFonts w:hint="eastAsia" w:ascii="宋体" w:hAnsi="宋体" w:cs="宋体"/>
          <w:b/>
          <w:color w:val="auto"/>
          <w:szCs w:val="21"/>
          <w:highlight w:val="none"/>
          <w:lang w:val="en-US" w:eastAsia="zh-CN"/>
        </w:rPr>
        <w:t>相应证明材料</w:t>
      </w:r>
      <w:r>
        <w:rPr>
          <w:rFonts w:hint="eastAsia" w:ascii="宋体" w:hAnsi="宋体" w:cs="宋体"/>
          <w:b/>
          <w:color w:val="auto"/>
          <w:szCs w:val="21"/>
          <w:highlight w:val="none"/>
        </w:rPr>
        <w:t>。</w:t>
      </w:r>
    </w:p>
    <w:p w14:paraId="4D55EACA">
      <w:pPr>
        <w:spacing w:line="360" w:lineRule="auto"/>
        <w:jc w:val="center"/>
        <w:rPr>
          <w:rFonts w:hint="eastAsia" w:ascii="宋体" w:hAnsi="宋体" w:cs="宋体"/>
          <w:b/>
          <w:color w:val="auto"/>
          <w:szCs w:val="21"/>
          <w:highlight w:val="none"/>
        </w:rPr>
      </w:pPr>
    </w:p>
    <w:p w14:paraId="694EF96B">
      <w:pPr>
        <w:spacing w:line="360" w:lineRule="auto"/>
        <w:ind w:firstLine="3990" w:firstLineChars="1900"/>
        <w:rPr>
          <w:rFonts w:hint="eastAsia" w:ascii="宋体" w:hAnsi="宋体" w:cs="宋体"/>
          <w:color w:val="auto"/>
          <w:highlight w:val="none"/>
        </w:rPr>
      </w:pPr>
      <w:r>
        <w:rPr>
          <w:rFonts w:hint="eastAsia" w:ascii="宋体" w:hAnsi="宋体" w:cs="宋体"/>
          <w:color w:val="auto"/>
          <w:highlight w:val="none"/>
        </w:rPr>
        <w:t>投标人名称:（盖章）</w:t>
      </w:r>
    </w:p>
    <w:p w14:paraId="12AB9109">
      <w:pPr>
        <w:spacing w:line="360" w:lineRule="auto"/>
        <w:ind w:firstLine="3990" w:firstLineChars="1900"/>
        <w:rPr>
          <w:rFonts w:hint="eastAsia" w:ascii="宋体" w:hAnsi="宋体" w:cs="宋体"/>
          <w:color w:val="auto"/>
          <w:highlight w:val="none"/>
        </w:rPr>
      </w:pPr>
      <w:r>
        <w:rPr>
          <w:rFonts w:hint="eastAsia" w:ascii="宋体" w:hAnsi="宋体" w:cs="宋体"/>
          <w:color w:val="auto"/>
          <w:highlight w:val="none"/>
        </w:rPr>
        <w:t>日期：    年   月   日</w:t>
      </w:r>
    </w:p>
    <w:p w14:paraId="68852ADF">
      <w:pPr>
        <w:spacing w:line="360" w:lineRule="auto"/>
        <w:jc w:val="center"/>
        <w:rPr>
          <w:rFonts w:hint="eastAsia" w:ascii="宋体" w:hAnsi="宋体" w:cs="宋体"/>
          <w:b/>
          <w:color w:val="auto"/>
          <w:szCs w:val="21"/>
          <w:highlight w:val="none"/>
        </w:rPr>
      </w:pPr>
    </w:p>
    <w:p w14:paraId="759AA2BE">
      <w:pPr>
        <w:spacing w:line="360" w:lineRule="auto"/>
        <w:jc w:val="center"/>
        <w:rPr>
          <w:rFonts w:hint="eastAsia" w:ascii="宋体" w:hAnsi="宋体" w:cs="宋体"/>
          <w:b/>
          <w:color w:val="auto"/>
          <w:szCs w:val="21"/>
          <w:highlight w:val="none"/>
        </w:rPr>
      </w:pPr>
    </w:p>
    <w:p w14:paraId="0FCCEE1A">
      <w:pPr>
        <w:spacing w:line="360" w:lineRule="auto"/>
        <w:jc w:val="center"/>
        <w:rPr>
          <w:rFonts w:hint="eastAsia" w:ascii="宋体" w:hAnsi="宋体" w:cs="宋体"/>
          <w:b/>
          <w:color w:val="auto"/>
          <w:szCs w:val="21"/>
          <w:highlight w:val="none"/>
        </w:rPr>
        <w:sectPr>
          <w:footnotePr>
            <w:pos w:val="beneathText"/>
          </w:footnotePr>
          <w:pgSz w:w="11906" w:h="16838"/>
          <w:pgMar w:top="1418" w:right="1418" w:bottom="1418" w:left="1418" w:header="850" w:footer="992" w:gutter="0"/>
          <w:cols w:space="720" w:num="1"/>
          <w:docGrid w:linePitch="333" w:charSpace="0"/>
        </w:sectPr>
      </w:pPr>
    </w:p>
    <w:p w14:paraId="2B492137">
      <w:pPr>
        <w:pStyle w:val="6"/>
        <w:spacing w:line="360" w:lineRule="auto"/>
        <w:ind w:left="0" w:firstLine="0"/>
        <w:rPr>
          <w:rFonts w:hint="eastAsia" w:ascii="宋体" w:hAnsi="宋体" w:cs="宋体"/>
          <w:color w:val="auto"/>
          <w:sz w:val="21"/>
          <w:szCs w:val="21"/>
          <w:highlight w:val="none"/>
        </w:rPr>
      </w:pPr>
      <w:r>
        <w:rPr>
          <w:rFonts w:hint="eastAsia" w:ascii="宋体" w:hAnsi="宋体" w:cs="宋体"/>
          <w:color w:val="auto"/>
          <w:sz w:val="21"/>
          <w:szCs w:val="21"/>
          <w:highlight w:val="none"/>
        </w:rPr>
        <w:t>（3）企业财务状况</w:t>
      </w:r>
    </w:p>
    <w:p w14:paraId="0EC112BD">
      <w:pPr>
        <w:tabs>
          <w:tab w:val="left" w:pos="4158"/>
        </w:tabs>
        <w:adjustRightInd w:val="0"/>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近三年财务状况表（按年度提供）</w:t>
      </w:r>
    </w:p>
    <w:p w14:paraId="40BD85B7">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按招标文件要求提供经</w:t>
      </w:r>
      <w:r>
        <w:rPr>
          <w:rFonts w:hint="eastAsia" w:ascii="宋体" w:hAnsi="宋体" w:cs="宋体"/>
          <w:b/>
          <w:color w:val="auto"/>
          <w:szCs w:val="21"/>
          <w:highlight w:val="none"/>
          <w:lang w:val="en-US" w:eastAsia="zh-CN"/>
        </w:rPr>
        <w:t>财务</w:t>
      </w:r>
      <w:r>
        <w:rPr>
          <w:rFonts w:hint="eastAsia" w:ascii="宋体" w:hAnsi="宋体" w:cs="宋体"/>
          <w:b/>
          <w:color w:val="auto"/>
          <w:szCs w:val="21"/>
          <w:highlight w:val="none"/>
        </w:rPr>
        <w:t>报告，并根据报告内容填写以下表格：</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2"/>
        <w:gridCol w:w="1322"/>
        <w:gridCol w:w="1704"/>
        <w:gridCol w:w="1706"/>
        <w:gridCol w:w="2113"/>
      </w:tblGrid>
      <w:tr w14:paraId="33FB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5741DACF">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项目或指标</w:t>
            </w:r>
          </w:p>
        </w:tc>
        <w:tc>
          <w:tcPr>
            <w:tcW w:w="1322" w:type="dxa"/>
            <w:noWrap w:val="0"/>
            <w:vAlign w:val="center"/>
          </w:tcPr>
          <w:p w14:paraId="52299C11">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单位</w:t>
            </w:r>
          </w:p>
        </w:tc>
        <w:tc>
          <w:tcPr>
            <w:tcW w:w="1704" w:type="dxa"/>
            <w:noWrap w:val="0"/>
            <w:vAlign w:val="center"/>
          </w:tcPr>
          <w:p w14:paraId="3AE3E8C6">
            <w:pPr>
              <w:snapToGrid w:val="0"/>
              <w:spacing w:line="360" w:lineRule="auto"/>
              <w:jc w:val="center"/>
              <w:rPr>
                <w:rFonts w:hint="eastAsia" w:ascii="宋体" w:hAnsi="宋体" w:cs="宋体"/>
                <w:color w:val="auto"/>
                <w:szCs w:val="21"/>
                <w:highlight w:val="none"/>
              </w:rPr>
            </w:pPr>
          </w:p>
        </w:tc>
        <w:tc>
          <w:tcPr>
            <w:tcW w:w="1706" w:type="dxa"/>
            <w:noWrap w:val="0"/>
            <w:vAlign w:val="center"/>
          </w:tcPr>
          <w:p w14:paraId="36069FF4">
            <w:pPr>
              <w:snapToGrid w:val="0"/>
              <w:spacing w:line="360" w:lineRule="auto"/>
              <w:jc w:val="center"/>
              <w:rPr>
                <w:rFonts w:hint="eastAsia" w:ascii="宋体" w:hAnsi="宋体" w:cs="宋体"/>
                <w:color w:val="auto"/>
                <w:szCs w:val="21"/>
                <w:highlight w:val="none"/>
              </w:rPr>
            </w:pPr>
          </w:p>
        </w:tc>
        <w:tc>
          <w:tcPr>
            <w:tcW w:w="2113" w:type="dxa"/>
            <w:noWrap w:val="0"/>
            <w:vAlign w:val="center"/>
          </w:tcPr>
          <w:p w14:paraId="5D851FE2">
            <w:pPr>
              <w:snapToGrid w:val="0"/>
              <w:spacing w:line="360" w:lineRule="auto"/>
              <w:jc w:val="center"/>
              <w:rPr>
                <w:rFonts w:hint="eastAsia" w:ascii="宋体" w:hAnsi="宋体" w:cs="宋体"/>
                <w:color w:val="auto"/>
                <w:szCs w:val="21"/>
                <w:highlight w:val="none"/>
              </w:rPr>
            </w:pPr>
          </w:p>
        </w:tc>
      </w:tr>
      <w:tr w14:paraId="06AF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210803C0">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一、注册资金</w:t>
            </w:r>
          </w:p>
        </w:tc>
        <w:tc>
          <w:tcPr>
            <w:tcW w:w="1322" w:type="dxa"/>
            <w:noWrap w:val="0"/>
            <w:vAlign w:val="center"/>
          </w:tcPr>
          <w:p w14:paraId="420915EA">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万元</w:t>
            </w:r>
          </w:p>
        </w:tc>
        <w:tc>
          <w:tcPr>
            <w:tcW w:w="1704" w:type="dxa"/>
            <w:noWrap w:val="0"/>
            <w:vAlign w:val="center"/>
          </w:tcPr>
          <w:p w14:paraId="290CC061">
            <w:pPr>
              <w:snapToGrid w:val="0"/>
              <w:spacing w:line="360" w:lineRule="auto"/>
              <w:jc w:val="center"/>
              <w:rPr>
                <w:rFonts w:hint="eastAsia" w:ascii="宋体" w:hAnsi="宋体" w:cs="宋体"/>
                <w:bCs/>
                <w:color w:val="auto"/>
                <w:szCs w:val="21"/>
                <w:highlight w:val="none"/>
              </w:rPr>
            </w:pPr>
          </w:p>
        </w:tc>
        <w:tc>
          <w:tcPr>
            <w:tcW w:w="1706" w:type="dxa"/>
            <w:noWrap w:val="0"/>
            <w:vAlign w:val="center"/>
          </w:tcPr>
          <w:p w14:paraId="0DB25F21">
            <w:pPr>
              <w:snapToGrid w:val="0"/>
              <w:spacing w:line="360" w:lineRule="auto"/>
              <w:jc w:val="center"/>
              <w:rPr>
                <w:rFonts w:hint="eastAsia" w:ascii="宋体" w:hAnsi="宋体" w:cs="宋体"/>
                <w:bCs/>
                <w:color w:val="auto"/>
                <w:szCs w:val="21"/>
                <w:highlight w:val="none"/>
              </w:rPr>
            </w:pPr>
          </w:p>
        </w:tc>
        <w:tc>
          <w:tcPr>
            <w:tcW w:w="2113" w:type="dxa"/>
            <w:noWrap w:val="0"/>
            <w:vAlign w:val="center"/>
          </w:tcPr>
          <w:p w14:paraId="41B69332">
            <w:pPr>
              <w:snapToGrid w:val="0"/>
              <w:spacing w:line="360" w:lineRule="auto"/>
              <w:jc w:val="center"/>
              <w:rPr>
                <w:rFonts w:hint="eastAsia" w:ascii="宋体" w:hAnsi="宋体" w:cs="宋体"/>
                <w:bCs/>
                <w:color w:val="auto"/>
                <w:szCs w:val="21"/>
                <w:highlight w:val="none"/>
              </w:rPr>
            </w:pPr>
          </w:p>
        </w:tc>
      </w:tr>
      <w:tr w14:paraId="62F4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1C3B7516">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二、净资产</w:t>
            </w:r>
          </w:p>
        </w:tc>
        <w:tc>
          <w:tcPr>
            <w:tcW w:w="1322" w:type="dxa"/>
            <w:noWrap w:val="0"/>
            <w:vAlign w:val="center"/>
          </w:tcPr>
          <w:p w14:paraId="5F62EB58">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万元</w:t>
            </w:r>
          </w:p>
        </w:tc>
        <w:tc>
          <w:tcPr>
            <w:tcW w:w="1704" w:type="dxa"/>
            <w:noWrap w:val="0"/>
            <w:vAlign w:val="center"/>
          </w:tcPr>
          <w:p w14:paraId="08F17211">
            <w:pPr>
              <w:snapToGrid w:val="0"/>
              <w:spacing w:line="360" w:lineRule="auto"/>
              <w:jc w:val="center"/>
              <w:rPr>
                <w:rFonts w:hint="eastAsia" w:ascii="宋体" w:hAnsi="宋体" w:cs="宋体"/>
                <w:bCs/>
                <w:color w:val="auto"/>
                <w:szCs w:val="21"/>
                <w:highlight w:val="none"/>
              </w:rPr>
            </w:pPr>
          </w:p>
        </w:tc>
        <w:tc>
          <w:tcPr>
            <w:tcW w:w="1706" w:type="dxa"/>
            <w:noWrap w:val="0"/>
            <w:vAlign w:val="center"/>
          </w:tcPr>
          <w:p w14:paraId="6E70CFDC">
            <w:pPr>
              <w:snapToGrid w:val="0"/>
              <w:spacing w:line="360" w:lineRule="auto"/>
              <w:jc w:val="center"/>
              <w:rPr>
                <w:rFonts w:hint="eastAsia" w:ascii="宋体" w:hAnsi="宋体" w:cs="宋体"/>
                <w:bCs/>
                <w:color w:val="auto"/>
                <w:szCs w:val="21"/>
                <w:highlight w:val="none"/>
              </w:rPr>
            </w:pPr>
          </w:p>
        </w:tc>
        <w:tc>
          <w:tcPr>
            <w:tcW w:w="2113" w:type="dxa"/>
            <w:noWrap w:val="0"/>
            <w:vAlign w:val="center"/>
          </w:tcPr>
          <w:p w14:paraId="6B847029">
            <w:pPr>
              <w:snapToGrid w:val="0"/>
              <w:spacing w:line="360" w:lineRule="auto"/>
              <w:jc w:val="center"/>
              <w:rPr>
                <w:rFonts w:hint="eastAsia" w:ascii="宋体" w:hAnsi="宋体" w:cs="宋体"/>
                <w:bCs/>
                <w:color w:val="auto"/>
                <w:szCs w:val="21"/>
                <w:highlight w:val="none"/>
              </w:rPr>
            </w:pPr>
          </w:p>
        </w:tc>
      </w:tr>
      <w:tr w14:paraId="71603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772CF76D">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三、总资产</w:t>
            </w:r>
          </w:p>
        </w:tc>
        <w:tc>
          <w:tcPr>
            <w:tcW w:w="1322" w:type="dxa"/>
            <w:noWrap w:val="0"/>
            <w:vAlign w:val="center"/>
          </w:tcPr>
          <w:p w14:paraId="7B8C2901">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万元</w:t>
            </w:r>
          </w:p>
        </w:tc>
        <w:tc>
          <w:tcPr>
            <w:tcW w:w="1704" w:type="dxa"/>
            <w:noWrap w:val="0"/>
            <w:vAlign w:val="center"/>
          </w:tcPr>
          <w:p w14:paraId="469303A1">
            <w:pPr>
              <w:snapToGrid w:val="0"/>
              <w:spacing w:line="360" w:lineRule="auto"/>
              <w:jc w:val="center"/>
              <w:rPr>
                <w:rFonts w:hint="eastAsia" w:ascii="宋体" w:hAnsi="宋体" w:cs="宋体"/>
                <w:bCs/>
                <w:color w:val="auto"/>
                <w:szCs w:val="21"/>
                <w:highlight w:val="none"/>
              </w:rPr>
            </w:pPr>
          </w:p>
        </w:tc>
        <w:tc>
          <w:tcPr>
            <w:tcW w:w="1706" w:type="dxa"/>
            <w:noWrap w:val="0"/>
            <w:vAlign w:val="center"/>
          </w:tcPr>
          <w:p w14:paraId="3E745F06">
            <w:pPr>
              <w:snapToGrid w:val="0"/>
              <w:spacing w:line="360" w:lineRule="auto"/>
              <w:jc w:val="center"/>
              <w:rPr>
                <w:rFonts w:hint="eastAsia" w:ascii="宋体" w:hAnsi="宋体" w:cs="宋体"/>
                <w:bCs/>
                <w:color w:val="auto"/>
                <w:szCs w:val="21"/>
                <w:highlight w:val="none"/>
              </w:rPr>
            </w:pPr>
          </w:p>
        </w:tc>
        <w:tc>
          <w:tcPr>
            <w:tcW w:w="2113" w:type="dxa"/>
            <w:noWrap w:val="0"/>
            <w:vAlign w:val="center"/>
          </w:tcPr>
          <w:p w14:paraId="23C79749">
            <w:pPr>
              <w:snapToGrid w:val="0"/>
              <w:spacing w:line="360" w:lineRule="auto"/>
              <w:jc w:val="center"/>
              <w:rPr>
                <w:rFonts w:hint="eastAsia" w:ascii="宋体" w:hAnsi="宋体" w:cs="宋体"/>
                <w:bCs/>
                <w:color w:val="auto"/>
                <w:szCs w:val="21"/>
                <w:highlight w:val="none"/>
              </w:rPr>
            </w:pPr>
          </w:p>
        </w:tc>
      </w:tr>
      <w:tr w14:paraId="7BDD8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51018A24">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四、固定资产</w:t>
            </w:r>
          </w:p>
        </w:tc>
        <w:tc>
          <w:tcPr>
            <w:tcW w:w="1322" w:type="dxa"/>
            <w:noWrap w:val="0"/>
            <w:vAlign w:val="center"/>
          </w:tcPr>
          <w:p w14:paraId="57491834">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万元</w:t>
            </w:r>
          </w:p>
        </w:tc>
        <w:tc>
          <w:tcPr>
            <w:tcW w:w="1704" w:type="dxa"/>
            <w:noWrap w:val="0"/>
            <w:vAlign w:val="center"/>
          </w:tcPr>
          <w:p w14:paraId="502D63FD">
            <w:pPr>
              <w:snapToGrid w:val="0"/>
              <w:spacing w:line="360" w:lineRule="auto"/>
              <w:jc w:val="center"/>
              <w:rPr>
                <w:rFonts w:hint="eastAsia" w:ascii="宋体" w:hAnsi="宋体" w:cs="宋体"/>
                <w:bCs/>
                <w:color w:val="auto"/>
                <w:szCs w:val="21"/>
                <w:highlight w:val="none"/>
              </w:rPr>
            </w:pPr>
          </w:p>
        </w:tc>
        <w:tc>
          <w:tcPr>
            <w:tcW w:w="1706" w:type="dxa"/>
            <w:noWrap w:val="0"/>
            <w:vAlign w:val="center"/>
          </w:tcPr>
          <w:p w14:paraId="0C305181">
            <w:pPr>
              <w:snapToGrid w:val="0"/>
              <w:spacing w:line="360" w:lineRule="auto"/>
              <w:jc w:val="center"/>
              <w:rPr>
                <w:rFonts w:hint="eastAsia" w:ascii="宋体" w:hAnsi="宋体" w:cs="宋体"/>
                <w:bCs/>
                <w:color w:val="auto"/>
                <w:szCs w:val="21"/>
                <w:highlight w:val="none"/>
              </w:rPr>
            </w:pPr>
          </w:p>
        </w:tc>
        <w:tc>
          <w:tcPr>
            <w:tcW w:w="2113" w:type="dxa"/>
            <w:noWrap w:val="0"/>
            <w:vAlign w:val="center"/>
          </w:tcPr>
          <w:p w14:paraId="1085571B">
            <w:pPr>
              <w:snapToGrid w:val="0"/>
              <w:spacing w:line="360" w:lineRule="auto"/>
              <w:jc w:val="center"/>
              <w:rPr>
                <w:rFonts w:hint="eastAsia" w:ascii="宋体" w:hAnsi="宋体" w:cs="宋体"/>
                <w:bCs/>
                <w:color w:val="auto"/>
                <w:szCs w:val="21"/>
                <w:highlight w:val="none"/>
              </w:rPr>
            </w:pPr>
          </w:p>
        </w:tc>
      </w:tr>
      <w:tr w14:paraId="5971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7E6256CE">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五、流动资产</w:t>
            </w:r>
          </w:p>
        </w:tc>
        <w:tc>
          <w:tcPr>
            <w:tcW w:w="1322" w:type="dxa"/>
            <w:noWrap w:val="0"/>
            <w:vAlign w:val="center"/>
          </w:tcPr>
          <w:p w14:paraId="19DA951E">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万元</w:t>
            </w:r>
          </w:p>
        </w:tc>
        <w:tc>
          <w:tcPr>
            <w:tcW w:w="1704" w:type="dxa"/>
            <w:noWrap w:val="0"/>
            <w:vAlign w:val="center"/>
          </w:tcPr>
          <w:p w14:paraId="5671657F">
            <w:pPr>
              <w:snapToGrid w:val="0"/>
              <w:spacing w:line="360" w:lineRule="auto"/>
              <w:jc w:val="center"/>
              <w:rPr>
                <w:rFonts w:hint="eastAsia" w:ascii="宋体" w:hAnsi="宋体" w:cs="宋体"/>
                <w:bCs/>
                <w:color w:val="auto"/>
                <w:szCs w:val="21"/>
                <w:highlight w:val="none"/>
              </w:rPr>
            </w:pPr>
          </w:p>
        </w:tc>
        <w:tc>
          <w:tcPr>
            <w:tcW w:w="1706" w:type="dxa"/>
            <w:noWrap w:val="0"/>
            <w:vAlign w:val="center"/>
          </w:tcPr>
          <w:p w14:paraId="40111072">
            <w:pPr>
              <w:snapToGrid w:val="0"/>
              <w:spacing w:line="360" w:lineRule="auto"/>
              <w:jc w:val="center"/>
              <w:rPr>
                <w:rFonts w:hint="eastAsia" w:ascii="宋体" w:hAnsi="宋体" w:cs="宋体"/>
                <w:bCs/>
                <w:color w:val="auto"/>
                <w:szCs w:val="21"/>
                <w:highlight w:val="none"/>
              </w:rPr>
            </w:pPr>
          </w:p>
        </w:tc>
        <w:tc>
          <w:tcPr>
            <w:tcW w:w="2113" w:type="dxa"/>
            <w:noWrap w:val="0"/>
            <w:vAlign w:val="center"/>
          </w:tcPr>
          <w:p w14:paraId="6A790C8D">
            <w:pPr>
              <w:snapToGrid w:val="0"/>
              <w:spacing w:line="360" w:lineRule="auto"/>
              <w:jc w:val="center"/>
              <w:rPr>
                <w:rFonts w:hint="eastAsia" w:ascii="宋体" w:hAnsi="宋体" w:cs="宋体"/>
                <w:bCs/>
                <w:color w:val="auto"/>
                <w:szCs w:val="21"/>
                <w:highlight w:val="none"/>
              </w:rPr>
            </w:pPr>
          </w:p>
        </w:tc>
      </w:tr>
      <w:tr w14:paraId="63E04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4723FE31">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六、流动负债</w:t>
            </w:r>
          </w:p>
        </w:tc>
        <w:tc>
          <w:tcPr>
            <w:tcW w:w="1322" w:type="dxa"/>
            <w:noWrap w:val="0"/>
            <w:vAlign w:val="center"/>
          </w:tcPr>
          <w:p w14:paraId="53C6B5C2">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万元</w:t>
            </w:r>
          </w:p>
        </w:tc>
        <w:tc>
          <w:tcPr>
            <w:tcW w:w="1704" w:type="dxa"/>
            <w:noWrap w:val="0"/>
            <w:vAlign w:val="center"/>
          </w:tcPr>
          <w:p w14:paraId="5171A2BC">
            <w:pPr>
              <w:snapToGrid w:val="0"/>
              <w:spacing w:line="360" w:lineRule="auto"/>
              <w:jc w:val="center"/>
              <w:rPr>
                <w:rFonts w:hint="eastAsia" w:ascii="宋体" w:hAnsi="宋体" w:cs="宋体"/>
                <w:bCs/>
                <w:color w:val="auto"/>
                <w:szCs w:val="21"/>
                <w:highlight w:val="none"/>
              </w:rPr>
            </w:pPr>
          </w:p>
        </w:tc>
        <w:tc>
          <w:tcPr>
            <w:tcW w:w="1706" w:type="dxa"/>
            <w:noWrap w:val="0"/>
            <w:vAlign w:val="center"/>
          </w:tcPr>
          <w:p w14:paraId="18078E3F">
            <w:pPr>
              <w:snapToGrid w:val="0"/>
              <w:spacing w:line="360" w:lineRule="auto"/>
              <w:jc w:val="center"/>
              <w:rPr>
                <w:rFonts w:hint="eastAsia" w:ascii="宋体" w:hAnsi="宋体" w:cs="宋体"/>
                <w:bCs/>
                <w:color w:val="auto"/>
                <w:szCs w:val="21"/>
                <w:highlight w:val="none"/>
              </w:rPr>
            </w:pPr>
          </w:p>
        </w:tc>
        <w:tc>
          <w:tcPr>
            <w:tcW w:w="2113" w:type="dxa"/>
            <w:noWrap w:val="0"/>
            <w:vAlign w:val="center"/>
          </w:tcPr>
          <w:p w14:paraId="68B3AEF6">
            <w:pPr>
              <w:snapToGrid w:val="0"/>
              <w:spacing w:line="360" w:lineRule="auto"/>
              <w:jc w:val="center"/>
              <w:rPr>
                <w:rFonts w:hint="eastAsia" w:ascii="宋体" w:hAnsi="宋体" w:cs="宋体"/>
                <w:bCs/>
                <w:color w:val="auto"/>
                <w:szCs w:val="21"/>
                <w:highlight w:val="none"/>
              </w:rPr>
            </w:pPr>
          </w:p>
        </w:tc>
      </w:tr>
      <w:tr w14:paraId="3705B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457103D3">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七、负债合计</w:t>
            </w:r>
          </w:p>
        </w:tc>
        <w:tc>
          <w:tcPr>
            <w:tcW w:w="1322" w:type="dxa"/>
            <w:noWrap w:val="0"/>
            <w:vAlign w:val="center"/>
          </w:tcPr>
          <w:p w14:paraId="284A27EA">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万元</w:t>
            </w:r>
          </w:p>
        </w:tc>
        <w:tc>
          <w:tcPr>
            <w:tcW w:w="1704" w:type="dxa"/>
            <w:noWrap w:val="0"/>
            <w:vAlign w:val="center"/>
          </w:tcPr>
          <w:p w14:paraId="11E5EFBA">
            <w:pPr>
              <w:snapToGrid w:val="0"/>
              <w:spacing w:line="360" w:lineRule="auto"/>
              <w:jc w:val="center"/>
              <w:rPr>
                <w:rFonts w:hint="eastAsia" w:ascii="宋体" w:hAnsi="宋体" w:cs="宋体"/>
                <w:bCs/>
                <w:color w:val="auto"/>
                <w:szCs w:val="21"/>
                <w:highlight w:val="none"/>
              </w:rPr>
            </w:pPr>
          </w:p>
        </w:tc>
        <w:tc>
          <w:tcPr>
            <w:tcW w:w="1706" w:type="dxa"/>
            <w:noWrap w:val="0"/>
            <w:vAlign w:val="center"/>
          </w:tcPr>
          <w:p w14:paraId="5AE105CA">
            <w:pPr>
              <w:snapToGrid w:val="0"/>
              <w:spacing w:line="360" w:lineRule="auto"/>
              <w:jc w:val="center"/>
              <w:rPr>
                <w:rFonts w:hint="eastAsia" w:ascii="宋体" w:hAnsi="宋体" w:cs="宋体"/>
                <w:bCs/>
                <w:color w:val="auto"/>
                <w:szCs w:val="21"/>
                <w:highlight w:val="none"/>
              </w:rPr>
            </w:pPr>
          </w:p>
        </w:tc>
        <w:tc>
          <w:tcPr>
            <w:tcW w:w="2113" w:type="dxa"/>
            <w:noWrap w:val="0"/>
            <w:vAlign w:val="center"/>
          </w:tcPr>
          <w:p w14:paraId="21E32859">
            <w:pPr>
              <w:snapToGrid w:val="0"/>
              <w:spacing w:line="360" w:lineRule="auto"/>
              <w:jc w:val="center"/>
              <w:rPr>
                <w:rFonts w:hint="eastAsia" w:ascii="宋体" w:hAnsi="宋体" w:cs="宋体"/>
                <w:bCs/>
                <w:color w:val="auto"/>
                <w:szCs w:val="21"/>
                <w:highlight w:val="none"/>
              </w:rPr>
            </w:pPr>
          </w:p>
        </w:tc>
      </w:tr>
      <w:tr w14:paraId="5B7A9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23D7EDE0">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八、营业收入</w:t>
            </w:r>
          </w:p>
        </w:tc>
        <w:tc>
          <w:tcPr>
            <w:tcW w:w="1322" w:type="dxa"/>
            <w:noWrap w:val="0"/>
            <w:vAlign w:val="center"/>
          </w:tcPr>
          <w:p w14:paraId="2337CBA8">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万元</w:t>
            </w:r>
          </w:p>
        </w:tc>
        <w:tc>
          <w:tcPr>
            <w:tcW w:w="1704" w:type="dxa"/>
            <w:noWrap w:val="0"/>
            <w:vAlign w:val="center"/>
          </w:tcPr>
          <w:p w14:paraId="029BC71E">
            <w:pPr>
              <w:snapToGrid w:val="0"/>
              <w:spacing w:line="360" w:lineRule="auto"/>
              <w:jc w:val="center"/>
              <w:rPr>
                <w:rFonts w:hint="eastAsia" w:ascii="宋体" w:hAnsi="宋体" w:cs="宋体"/>
                <w:bCs/>
                <w:color w:val="auto"/>
                <w:szCs w:val="21"/>
                <w:highlight w:val="none"/>
              </w:rPr>
            </w:pPr>
          </w:p>
        </w:tc>
        <w:tc>
          <w:tcPr>
            <w:tcW w:w="1706" w:type="dxa"/>
            <w:noWrap w:val="0"/>
            <w:vAlign w:val="center"/>
          </w:tcPr>
          <w:p w14:paraId="03988332">
            <w:pPr>
              <w:snapToGrid w:val="0"/>
              <w:spacing w:line="360" w:lineRule="auto"/>
              <w:jc w:val="center"/>
              <w:rPr>
                <w:rFonts w:hint="eastAsia" w:ascii="宋体" w:hAnsi="宋体" w:cs="宋体"/>
                <w:bCs/>
                <w:color w:val="auto"/>
                <w:szCs w:val="21"/>
                <w:highlight w:val="none"/>
              </w:rPr>
            </w:pPr>
          </w:p>
        </w:tc>
        <w:tc>
          <w:tcPr>
            <w:tcW w:w="2113" w:type="dxa"/>
            <w:noWrap w:val="0"/>
            <w:vAlign w:val="center"/>
          </w:tcPr>
          <w:p w14:paraId="3E4F4D30">
            <w:pPr>
              <w:snapToGrid w:val="0"/>
              <w:spacing w:line="360" w:lineRule="auto"/>
              <w:jc w:val="center"/>
              <w:rPr>
                <w:rFonts w:hint="eastAsia" w:ascii="宋体" w:hAnsi="宋体" w:cs="宋体"/>
                <w:bCs/>
                <w:color w:val="auto"/>
                <w:szCs w:val="21"/>
                <w:highlight w:val="none"/>
              </w:rPr>
            </w:pPr>
          </w:p>
        </w:tc>
      </w:tr>
      <w:tr w14:paraId="0A764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20348F60">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九、净利润</w:t>
            </w:r>
          </w:p>
        </w:tc>
        <w:tc>
          <w:tcPr>
            <w:tcW w:w="1322" w:type="dxa"/>
            <w:noWrap w:val="0"/>
            <w:vAlign w:val="center"/>
          </w:tcPr>
          <w:p w14:paraId="63BE5336">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万元</w:t>
            </w:r>
          </w:p>
        </w:tc>
        <w:tc>
          <w:tcPr>
            <w:tcW w:w="1704" w:type="dxa"/>
            <w:noWrap w:val="0"/>
            <w:vAlign w:val="center"/>
          </w:tcPr>
          <w:p w14:paraId="0A82CF7D">
            <w:pPr>
              <w:snapToGrid w:val="0"/>
              <w:spacing w:line="360" w:lineRule="auto"/>
              <w:jc w:val="center"/>
              <w:rPr>
                <w:rFonts w:hint="eastAsia" w:ascii="宋体" w:hAnsi="宋体" w:cs="宋体"/>
                <w:bCs/>
                <w:color w:val="auto"/>
                <w:szCs w:val="21"/>
                <w:highlight w:val="none"/>
              </w:rPr>
            </w:pPr>
          </w:p>
        </w:tc>
        <w:tc>
          <w:tcPr>
            <w:tcW w:w="1706" w:type="dxa"/>
            <w:noWrap w:val="0"/>
            <w:vAlign w:val="center"/>
          </w:tcPr>
          <w:p w14:paraId="387EC277">
            <w:pPr>
              <w:snapToGrid w:val="0"/>
              <w:spacing w:line="360" w:lineRule="auto"/>
              <w:jc w:val="center"/>
              <w:rPr>
                <w:rFonts w:hint="eastAsia" w:ascii="宋体" w:hAnsi="宋体" w:cs="宋体"/>
                <w:bCs/>
                <w:color w:val="auto"/>
                <w:szCs w:val="21"/>
                <w:highlight w:val="none"/>
              </w:rPr>
            </w:pPr>
          </w:p>
        </w:tc>
        <w:tc>
          <w:tcPr>
            <w:tcW w:w="2113" w:type="dxa"/>
            <w:noWrap w:val="0"/>
            <w:vAlign w:val="center"/>
          </w:tcPr>
          <w:p w14:paraId="0065FCF5">
            <w:pPr>
              <w:snapToGrid w:val="0"/>
              <w:spacing w:line="360" w:lineRule="auto"/>
              <w:jc w:val="center"/>
              <w:rPr>
                <w:rFonts w:hint="eastAsia" w:ascii="宋体" w:hAnsi="宋体" w:cs="宋体"/>
                <w:bCs/>
                <w:color w:val="auto"/>
                <w:szCs w:val="21"/>
                <w:highlight w:val="none"/>
              </w:rPr>
            </w:pPr>
          </w:p>
        </w:tc>
      </w:tr>
      <w:tr w14:paraId="7F0E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5E667376">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十、净现金流量总额</w:t>
            </w:r>
          </w:p>
        </w:tc>
        <w:tc>
          <w:tcPr>
            <w:tcW w:w="1322" w:type="dxa"/>
            <w:noWrap w:val="0"/>
            <w:vAlign w:val="center"/>
          </w:tcPr>
          <w:p w14:paraId="3A62E0AF">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万元</w:t>
            </w:r>
          </w:p>
        </w:tc>
        <w:tc>
          <w:tcPr>
            <w:tcW w:w="1704" w:type="dxa"/>
            <w:noWrap w:val="0"/>
            <w:vAlign w:val="center"/>
          </w:tcPr>
          <w:p w14:paraId="0ACDF71C">
            <w:pPr>
              <w:snapToGrid w:val="0"/>
              <w:spacing w:line="360" w:lineRule="auto"/>
              <w:jc w:val="center"/>
              <w:rPr>
                <w:rFonts w:hint="eastAsia" w:ascii="宋体" w:hAnsi="宋体" w:cs="宋体"/>
                <w:bCs/>
                <w:color w:val="auto"/>
                <w:szCs w:val="21"/>
                <w:highlight w:val="none"/>
              </w:rPr>
            </w:pPr>
          </w:p>
        </w:tc>
        <w:tc>
          <w:tcPr>
            <w:tcW w:w="1706" w:type="dxa"/>
            <w:noWrap w:val="0"/>
            <w:vAlign w:val="center"/>
          </w:tcPr>
          <w:p w14:paraId="25A649D4">
            <w:pPr>
              <w:snapToGrid w:val="0"/>
              <w:spacing w:line="360" w:lineRule="auto"/>
              <w:jc w:val="center"/>
              <w:rPr>
                <w:rFonts w:hint="eastAsia" w:ascii="宋体" w:hAnsi="宋体" w:cs="宋体"/>
                <w:bCs/>
                <w:color w:val="auto"/>
                <w:szCs w:val="21"/>
                <w:highlight w:val="none"/>
              </w:rPr>
            </w:pPr>
          </w:p>
        </w:tc>
        <w:tc>
          <w:tcPr>
            <w:tcW w:w="2113" w:type="dxa"/>
            <w:noWrap w:val="0"/>
            <w:vAlign w:val="center"/>
          </w:tcPr>
          <w:p w14:paraId="1E6CE05F">
            <w:pPr>
              <w:snapToGrid w:val="0"/>
              <w:spacing w:line="360" w:lineRule="auto"/>
              <w:jc w:val="center"/>
              <w:rPr>
                <w:rFonts w:hint="eastAsia" w:ascii="宋体" w:hAnsi="宋体" w:cs="宋体"/>
                <w:bCs/>
                <w:color w:val="auto"/>
                <w:szCs w:val="21"/>
                <w:highlight w:val="none"/>
              </w:rPr>
            </w:pPr>
          </w:p>
        </w:tc>
      </w:tr>
      <w:tr w14:paraId="79036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5391121E">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十一、主要财务指标</w:t>
            </w:r>
          </w:p>
        </w:tc>
        <w:tc>
          <w:tcPr>
            <w:tcW w:w="1322" w:type="dxa"/>
            <w:noWrap w:val="0"/>
            <w:vAlign w:val="center"/>
          </w:tcPr>
          <w:p w14:paraId="6AFFB44E">
            <w:pPr>
              <w:snapToGrid w:val="0"/>
              <w:spacing w:line="360" w:lineRule="auto"/>
              <w:jc w:val="center"/>
              <w:rPr>
                <w:rFonts w:hint="eastAsia" w:ascii="宋体" w:hAnsi="宋体" w:cs="宋体"/>
                <w:bCs/>
                <w:color w:val="auto"/>
                <w:szCs w:val="21"/>
                <w:highlight w:val="none"/>
              </w:rPr>
            </w:pPr>
          </w:p>
        </w:tc>
        <w:tc>
          <w:tcPr>
            <w:tcW w:w="1704" w:type="dxa"/>
            <w:noWrap w:val="0"/>
            <w:vAlign w:val="center"/>
          </w:tcPr>
          <w:p w14:paraId="43880763">
            <w:pPr>
              <w:snapToGrid w:val="0"/>
              <w:spacing w:line="360" w:lineRule="auto"/>
              <w:jc w:val="center"/>
              <w:rPr>
                <w:rFonts w:hint="eastAsia" w:ascii="宋体" w:hAnsi="宋体" w:cs="宋体"/>
                <w:bCs/>
                <w:color w:val="auto"/>
                <w:szCs w:val="21"/>
                <w:highlight w:val="none"/>
              </w:rPr>
            </w:pPr>
          </w:p>
        </w:tc>
        <w:tc>
          <w:tcPr>
            <w:tcW w:w="1706" w:type="dxa"/>
            <w:noWrap w:val="0"/>
            <w:vAlign w:val="center"/>
          </w:tcPr>
          <w:p w14:paraId="31A065BC">
            <w:pPr>
              <w:snapToGrid w:val="0"/>
              <w:spacing w:line="360" w:lineRule="auto"/>
              <w:jc w:val="center"/>
              <w:rPr>
                <w:rFonts w:hint="eastAsia" w:ascii="宋体" w:hAnsi="宋体" w:cs="宋体"/>
                <w:bCs/>
                <w:color w:val="auto"/>
                <w:szCs w:val="21"/>
                <w:highlight w:val="none"/>
              </w:rPr>
            </w:pPr>
          </w:p>
        </w:tc>
        <w:tc>
          <w:tcPr>
            <w:tcW w:w="2113" w:type="dxa"/>
            <w:noWrap w:val="0"/>
            <w:vAlign w:val="center"/>
          </w:tcPr>
          <w:p w14:paraId="23DD3848">
            <w:pPr>
              <w:snapToGrid w:val="0"/>
              <w:spacing w:line="360" w:lineRule="auto"/>
              <w:jc w:val="center"/>
              <w:rPr>
                <w:rFonts w:hint="eastAsia" w:ascii="宋体" w:hAnsi="宋体" w:cs="宋体"/>
                <w:bCs/>
                <w:color w:val="auto"/>
                <w:szCs w:val="21"/>
                <w:highlight w:val="none"/>
              </w:rPr>
            </w:pPr>
          </w:p>
        </w:tc>
      </w:tr>
      <w:tr w14:paraId="4ADA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45DD2D4B">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1、净资产收益率</w:t>
            </w:r>
          </w:p>
        </w:tc>
        <w:tc>
          <w:tcPr>
            <w:tcW w:w="1322" w:type="dxa"/>
            <w:noWrap w:val="0"/>
            <w:vAlign w:val="center"/>
          </w:tcPr>
          <w:p w14:paraId="0276E49C">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p>
        </w:tc>
        <w:tc>
          <w:tcPr>
            <w:tcW w:w="1704" w:type="dxa"/>
            <w:noWrap w:val="0"/>
            <w:vAlign w:val="center"/>
          </w:tcPr>
          <w:p w14:paraId="57F2BD9B">
            <w:pPr>
              <w:snapToGrid w:val="0"/>
              <w:spacing w:line="360" w:lineRule="auto"/>
              <w:jc w:val="center"/>
              <w:rPr>
                <w:rFonts w:hint="eastAsia" w:ascii="宋体" w:hAnsi="宋体" w:cs="宋体"/>
                <w:bCs/>
                <w:color w:val="auto"/>
                <w:szCs w:val="21"/>
                <w:highlight w:val="none"/>
              </w:rPr>
            </w:pPr>
          </w:p>
        </w:tc>
        <w:tc>
          <w:tcPr>
            <w:tcW w:w="1706" w:type="dxa"/>
            <w:noWrap w:val="0"/>
            <w:vAlign w:val="center"/>
          </w:tcPr>
          <w:p w14:paraId="40A6609B">
            <w:pPr>
              <w:snapToGrid w:val="0"/>
              <w:spacing w:line="360" w:lineRule="auto"/>
              <w:jc w:val="center"/>
              <w:rPr>
                <w:rFonts w:hint="eastAsia" w:ascii="宋体" w:hAnsi="宋体" w:cs="宋体"/>
                <w:bCs/>
                <w:color w:val="auto"/>
                <w:szCs w:val="21"/>
                <w:highlight w:val="none"/>
              </w:rPr>
            </w:pPr>
          </w:p>
        </w:tc>
        <w:tc>
          <w:tcPr>
            <w:tcW w:w="2113" w:type="dxa"/>
            <w:noWrap w:val="0"/>
            <w:vAlign w:val="center"/>
          </w:tcPr>
          <w:p w14:paraId="7FD8DD35">
            <w:pPr>
              <w:snapToGrid w:val="0"/>
              <w:spacing w:line="360" w:lineRule="auto"/>
              <w:jc w:val="center"/>
              <w:rPr>
                <w:rFonts w:hint="eastAsia" w:ascii="宋体" w:hAnsi="宋体" w:cs="宋体"/>
                <w:bCs/>
                <w:color w:val="auto"/>
                <w:szCs w:val="21"/>
                <w:highlight w:val="none"/>
              </w:rPr>
            </w:pPr>
          </w:p>
        </w:tc>
      </w:tr>
      <w:tr w14:paraId="53B5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380BD2E1">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2、总资产报酬率</w:t>
            </w:r>
          </w:p>
        </w:tc>
        <w:tc>
          <w:tcPr>
            <w:tcW w:w="1322" w:type="dxa"/>
            <w:noWrap w:val="0"/>
            <w:vAlign w:val="center"/>
          </w:tcPr>
          <w:p w14:paraId="5418C23F">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p>
        </w:tc>
        <w:tc>
          <w:tcPr>
            <w:tcW w:w="1704" w:type="dxa"/>
            <w:noWrap w:val="0"/>
            <w:vAlign w:val="center"/>
          </w:tcPr>
          <w:p w14:paraId="1CD534F5">
            <w:pPr>
              <w:snapToGrid w:val="0"/>
              <w:spacing w:line="360" w:lineRule="auto"/>
              <w:jc w:val="center"/>
              <w:rPr>
                <w:rFonts w:hint="eastAsia" w:ascii="宋体" w:hAnsi="宋体" w:cs="宋体"/>
                <w:bCs/>
                <w:color w:val="auto"/>
                <w:szCs w:val="21"/>
                <w:highlight w:val="none"/>
              </w:rPr>
            </w:pPr>
          </w:p>
        </w:tc>
        <w:tc>
          <w:tcPr>
            <w:tcW w:w="1706" w:type="dxa"/>
            <w:noWrap w:val="0"/>
            <w:vAlign w:val="center"/>
          </w:tcPr>
          <w:p w14:paraId="00310672">
            <w:pPr>
              <w:snapToGrid w:val="0"/>
              <w:spacing w:line="360" w:lineRule="auto"/>
              <w:jc w:val="center"/>
              <w:rPr>
                <w:rFonts w:hint="eastAsia" w:ascii="宋体" w:hAnsi="宋体" w:cs="宋体"/>
                <w:bCs/>
                <w:color w:val="auto"/>
                <w:szCs w:val="21"/>
                <w:highlight w:val="none"/>
              </w:rPr>
            </w:pPr>
          </w:p>
        </w:tc>
        <w:tc>
          <w:tcPr>
            <w:tcW w:w="2113" w:type="dxa"/>
            <w:noWrap w:val="0"/>
            <w:vAlign w:val="center"/>
          </w:tcPr>
          <w:p w14:paraId="768EF599">
            <w:pPr>
              <w:snapToGrid w:val="0"/>
              <w:spacing w:line="360" w:lineRule="auto"/>
              <w:jc w:val="center"/>
              <w:rPr>
                <w:rFonts w:hint="eastAsia" w:ascii="宋体" w:hAnsi="宋体" w:cs="宋体"/>
                <w:bCs/>
                <w:color w:val="auto"/>
                <w:szCs w:val="21"/>
                <w:highlight w:val="none"/>
              </w:rPr>
            </w:pPr>
          </w:p>
        </w:tc>
      </w:tr>
      <w:tr w14:paraId="4DA5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17203F95">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3、主营业务利润率</w:t>
            </w:r>
          </w:p>
        </w:tc>
        <w:tc>
          <w:tcPr>
            <w:tcW w:w="1322" w:type="dxa"/>
            <w:noWrap w:val="0"/>
            <w:vAlign w:val="center"/>
          </w:tcPr>
          <w:p w14:paraId="3E81290D">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p>
        </w:tc>
        <w:tc>
          <w:tcPr>
            <w:tcW w:w="1704" w:type="dxa"/>
            <w:noWrap w:val="0"/>
            <w:vAlign w:val="center"/>
          </w:tcPr>
          <w:p w14:paraId="712909C3">
            <w:pPr>
              <w:snapToGrid w:val="0"/>
              <w:spacing w:line="360" w:lineRule="auto"/>
              <w:jc w:val="center"/>
              <w:rPr>
                <w:rFonts w:hint="eastAsia" w:ascii="宋体" w:hAnsi="宋体" w:cs="宋体"/>
                <w:bCs/>
                <w:color w:val="auto"/>
                <w:szCs w:val="21"/>
                <w:highlight w:val="none"/>
              </w:rPr>
            </w:pPr>
          </w:p>
        </w:tc>
        <w:tc>
          <w:tcPr>
            <w:tcW w:w="1706" w:type="dxa"/>
            <w:noWrap w:val="0"/>
            <w:vAlign w:val="center"/>
          </w:tcPr>
          <w:p w14:paraId="2935E20B">
            <w:pPr>
              <w:snapToGrid w:val="0"/>
              <w:spacing w:line="360" w:lineRule="auto"/>
              <w:jc w:val="center"/>
              <w:rPr>
                <w:rFonts w:hint="eastAsia" w:ascii="宋体" w:hAnsi="宋体" w:cs="宋体"/>
                <w:bCs/>
                <w:color w:val="auto"/>
                <w:szCs w:val="21"/>
                <w:highlight w:val="none"/>
              </w:rPr>
            </w:pPr>
          </w:p>
        </w:tc>
        <w:tc>
          <w:tcPr>
            <w:tcW w:w="2113" w:type="dxa"/>
            <w:noWrap w:val="0"/>
            <w:vAlign w:val="center"/>
          </w:tcPr>
          <w:p w14:paraId="05D2EDE8">
            <w:pPr>
              <w:snapToGrid w:val="0"/>
              <w:spacing w:line="360" w:lineRule="auto"/>
              <w:jc w:val="center"/>
              <w:rPr>
                <w:rFonts w:hint="eastAsia" w:ascii="宋体" w:hAnsi="宋体" w:cs="宋体"/>
                <w:bCs/>
                <w:color w:val="auto"/>
                <w:szCs w:val="21"/>
                <w:highlight w:val="none"/>
              </w:rPr>
            </w:pPr>
          </w:p>
        </w:tc>
      </w:tr>
      <w:tr w14:paraId="340D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755BC11A">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4、资产负债率</w:t>
            </w:r>
          </w:p>
        </w:tc>
        <w:tc>
          <w:tcPr>
            <w:tcW w:w="1322" w:type="dxa"/>
            <w:noWrap w:val="0"/>
            <w:vAlign w:val="center"/>
          </w:tcPr>
          <w:p w14:paraId="50740A06">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p>
        </w:tc>
        <w:tc>
          <w:tcPr>
            <w:tcW w:w="1704" w:type="dxa"/>
            <w:noWrap w:val="0"/>
            <w:vAlign w:val="center"/>
          </w:tcPr>
          <w:p w14:paraId="792255AB">
            <w:pPr>
              <w:snapToGrid w:val="0"/>
              <w:spacing w:line="360" w:lineRule="auto"/>
              <w:jc w:val="center"/>
              <w:rPr>
                <w:rFonts w:hint="eastAsia" w:ascii="宋体" w:hAnsi="宋体" w:cs="宋体"/>
                <w:bCs/>
                <w:color w:val="auto"/>
                <w:szCs w:val="21"/>
                <w:highlight w:val="none"/>
              </w:rPr>
            </w:pPr>
          </w:p>
        </w:tc>
        <w:tc>
          <w:tcPr>
            <w:tcW w:w="1706" w:type="dxa"/>
            <w:noWrap w:val="0"/>
            <w:vAlign w:val="center"/>
          </w:tcPr>
          <w:p w14:paraId="078B18B2">
            <w:pPr>
              <w:snapToGrid w:val="0"/>
              <w:spacing w:line="360" w:lineRule="auto"/>
              <w:jc w:val="center"/>
              <w:rPr>
                <w:rFonts w:hint="eastAsia" w:ascii="宋体" w:hAnsi="宋体" w:cs="宋体"/>
                <w:bCs/>
                <w:color w:val="auto"/>
                <w:szCs w:val="21"/>
                <w:highlight w:val="none"/>
              </w:rPr>
            </w:pPr>
          </w:p>
        </w:tc>
        <w:tc>
          <w:tcPr>
            <w:tcW w:w="2113" w:type="dxa"/>
            <w:noWrap w:val="0"/>
            <w:vAlign w:val="center"/>
          </w:tcPr>
          <w:p w14:paraId="4D150D97">
            <w:pPr>
              <w:snapToGrid w:val="0"/>
              <w:spacing w:line="360" w:lineRule="auto"/>
              <w:jc w:val="center"/>
              <w:rPr>
                <w:rFonts w:hint="eastAsia" w:ascii="宋体" w:hAnsi="宋体" w:cs="宋体"/>
                <w:bCs/>
                <w:color w:val="auto"/>
                <w:szCs w:val="21"/>
                <w:highlight w:val="none"/>
              </w:rPr>
            </w:pPr>
          </w:p>
        </w:tc>
      </w:tr>
      <w:tr w14:paraId="2A58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2DC9E885">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5、流动比率</w:t>
            </w:r>
          </w:p>
        </w:tc>
        <w:tc>
          <w:tcPr>
            <w:tcW w:w="1322" w:type="dxa"/>
            <w:noWrap w:val="0"/>
            <w:vAlign w:val="center"/>
          </w:tcPr>
          <w:p w14:paraId="55F9B3ED">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p>
        </w:tc>
        <w:tc>
          <w:tcPr>
            <w:tcW w:w="1704" w:type="dxa"/>
            <w:noWrap w:val="0"/>
            <w:vAlign w:val="center"/>
          </w:tcPr>
          <w:p w14:paraId="6510F4F3">
            <w:pPr>
              <w:snapToGrid w:val="0"/>
              <w:spacing w:line="360" w:lineRule="auto"/>
              <w:jc w:val="center"/>
              <w:rPr>
                <w:rFonts w:hint="eastAsia" w:ascii="宋体" w:hAnsi="宋体" w:cs="宋体"/>
                <w:bCs/>
                <w:color w:val="auto"/>
                <w:szCs w:val="21"/>
                <w:highlight w:val="none"/>
              </w:rPr>
            </w:pPr>
          </w:p>
        </w:tc>
        <w:tc>
          <w:tcPr>
            <w:tcW w:w="1706" w:type="dxa"/>
            <w:noWrap w:val="0"/>
            <w:vAlign w:val="center"/>
          </w:tcPr>
          <w:p w14:paraId="331AB757">
            <w:pPr>
              <w:snapToGrid w:val="0"/>
              <w:spacing w:line="360" w:lineRule="auto"/>
              <w:jc w:val="center"/>
              <w:rPr>
                <w:rFonts w:hint="eastAsia" w:ascii="宋体" w:hAnsi="宋体" w:cs="宋体"/>
                <w:bCs/>
                <w:color w:val="auto"/>
                <w:szCs w:val="21"/>
                <w:highlight w:val="none"/>
              </w:rPr>
            </w:pPr>
          </w:p>
        </w:tc>
        <w:tc>
          <w:tcPr>
            <w:tcW w:w="2113" w:type="dxa"/>
            <w:noWrap w:val="0"/>
            <w:vAlign w:val="center"/>
          </w:tcPr>
          <w:p w14:paraId="24C723BB">
            <w:pPr>
              <w:snapToGrid w:val="0"/>
              <w:spacing w:line="360" w:lineRule="auto"/>
              <w:jc w:val="center"/>
              <w:rPr>
                <w:rFonts w:hint="eastAsia" w:ascii="宋体" w:hAnsi="宋体" w:cs="宋体"/>
                <w:bCs/>
                <w:color w:val="auto"/>
                <w:szCs w:val="21"/>
                <w:highlight w:val="none"/>
              </w:rPr>
            </w:pPr>
          </w:p>
        </w:tc>
      </w:tr>
      <w:tr w14:paraId="3F54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42" w:type="dxa"/>
            <w:noWrap w:val="0"/>
            <w:vAlign w:val="center"/>
          </w:tcPr>
          <w:p w14:paraId="24E57B86">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6、速动比率</w:t>
            </w:r>
          </w:p>
        </w:tc>
        <w:tc>
          <w:tcPr>
            <w:tcW w:w="1322" w:type="dxa"/>
            <w:noWrap w:val="0"/>
            <w:vAlign w:val="center"/>
          </w:tcPr>
          <w:p w14:paraId="2D7A99CB">
            <w:pPr>
              <w:snapToGrid w:val="0"/>
              <w:spacing w:line="360" w:lineRule="auto"/>
              <w:jc w:val="center"/>
              <w:rPr>
                <w:rFonts w:hint="eastAsia" w:ascii="宋体" w:hAnsi="宋体" w:cs="宋体"/>
                <w:bCs/>
                <w:color w:val="auto"/>
                <w:szCs w:val="21"/>
                <w:highlight w:val="none"/>
              </w:rPr>
            </w:pPr>
            <w:r>
              <w:rPr>
                <w:rFonts w:hint="eastAsia" w:ascii="宋体" w:hAnsi="宋体" w:cs="宋体"/>
                <w:bCs/>
                <w:color w:val="auto"/>
                <w:szCs w:val="21"/>
                <w:highlight w:val="none"/>
              </w:rPr>
              <w:t xml:space="preserve">  %</w:t>
            </w:r>
          </w:p>
        </w:tc>
        <w:tc>
          <w:tcPr>
            <w:tcW w:w="1704" w:type="dxa"/>
            <w:noWrap w:val="0"/>
            <w:vAlign w:val="center"/>
          </w:tcPr>
          <w:p w14:paraId="705A06FB">
            <w:pPr>
              <w:snapToGrid w:val="0"/>
              <w:spacing w:line="360" w:lineRule="auto"/>
              <w:jc w:val="center"/>
              <w:rPr>
                <w:rFonts w:hint="eastAsia" w:ascii="宋体" w:hAnsi="宋体" w:cs="宋体"/>
                <w:bCs/>
                <w:color w:val="auto"/>
                <w:szCs w:val="21"/>
                <w:highlight w:val="none"/>
              </w:rPr>
            </w:pPr>
          </w:p>
        </w:tc>
        <w:tc>
          <w:tcPr>
            <w:tcW w:w="1706" w:type="dxa"/>
            <w:noWrap w:val="0"/>
            <w:vAlign w:val="center"/>
          </w:tcPr>
          <w:p w14:paraId="68F83B9B">
            <w:pPr>
              <w:snapToGrid w:val="0"/>
              <w:spacing w:line="360" w:lineRule="auto"/>
              <w:jc w:val="center"/>
              <w:rPr>
                <w:rFonts w:hint="eastAsia" w:ascii="宋体" w:hAnsi="宋体" w:cs="宋体"/>
                <w:bCs/>
                <w:color w:val="auto"/>
                <w:szCs w:val="21"/>
                <w:highlight w:val="none"/>
              </w:rPr>
            </w:pPr>
          </w:p>
        </w:tc>
        <w:tc>
          <w:tcPr>
            <w:tcW w:w="2113" w:type="dxa"/>
            <w:noWrap w:val="0"/>
            <w:vAlign w:val="center"/>
          </w:tcPr>
          <w:p w14:paraId="3DA0A9BF">
            <w:pPr>
              <w:snapToGrid w:val="0"/>
              <w:spacing w:line="360" w:lineRule="auto"/>
              <w:jc w:val="center"/>
              <w:rPr>
                <w:rFonts w:hint="eastAsia" w:ascii="宋体" w:hAnsi="宋体" w:cs="宋体"/>
                <w:bCs/>
                <w:color w:val="auto"/>
                <w:szCs w:val="21"/>
                <w:highlight w:val="none"/>
              </w:rPr>
            </w:pPr>
          </w:p>
        </w:tc>
      </w:tr>
    </w:tbl>
    <w:p w14:paraId="730C86D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w:t>
      </w:r>
    </w:p>
    <w:p w14:paraId="18D5E56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1、投标人应附财务报告的资产负债表、利润表、现金流量表。</w:t>
      </w:r>
    </w:p>
    <w:p w14:paraId="52CCF7F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2、请投标人根据表格内容填写关键数据。</w:t>
      </w:r>
    </w:p>
    <w:p w14:paraId="350FC11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3、若缺少上述内容将可能影响评标委员会对投标人的评审。</w:t>
      </w:r>
    </w:p>
    <w:p w14:paraId="6484726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附件：</w:t>
      </w:r>
    </w:p>
    <w:p w14:paraId="62F89DA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4、按招标文件要求提供对应时间的资产负债表、利润表、现金流量表</w:t>
      </w:r>
    </w:p>
    <w:p w14:paraId="0683EBED">
      <w:pPr>
        <w:spacing w:line="480" w:lineRule="auto"/>
        <w:jc w:val="left"/>
        <w:rPr>
          <w:rFonts w:hint="eastAsia" w:ascii="宋体" w:hAnsi="宋体" w:cs="宋体"/>
          <w:b/>
          <w:color w:val="auto"/>
          <w:sz w:val="24"/>
          <w:highlight w:val="none"/>
        </w:rPr>
      </w:pPr>
    </w:p>
    <w:p w14:paraId="00DE51A6">
      <w:pPr>
        <w:spacing w:line="480" w:lineRule="auto"/>
        <w:jc w:val="left"/>
        <w:rPr>
          <w:rFonts w:hint="eastAsia" w:ascii="宋体" w:hAnsi="宋体" w:cs="宋体"/>
          <w:color w:val="auto"/>
          <w:highlight w:val="none"/>
        </w:rPr>
      </w:pPr>
      <w:r>
        <w:rPr>
          <w:rFonts w:hint="eastAsia" w:ascii="宋体" w:hAnsi="宋体" w:cs="宋体"/>
          <w:b/>
          <w:color w:val="auto"/>
          <w:sz w:val="24"/>
          <w:highlight w:val="none"/>
        </w:rPr>
        <w:t>（4）服务团队情况</w:t>
      </w:r>
    </w:p>
    <w:p w14:paraId="659C2361">
      <w:pPr>
        <w:overflowPunct w:val="0"/>
        <w:autoSpaceDE w:val="0"/>
        <w:autoSpaceDN w:val="0"/>
        <w:adjustRightInd w:val="0"/>
        <w:snapToGrid w:val="0"/>
        <w:spacing w:before="120" w:beforeLines="50" w:after="120" w:afterLines="50"/>
        <w:jc w:val="center"/>
        <w:rPr>
          <w:rFonts w:hint="eastAsia" w:ascii="宋体" w:hAnsi="宋体" w:cs="宋体"/>
          <w:b/>
          <w:bCs/>
          <w:color w:val="auto"/>
          <w:szCs w:val="21"/>
          <w:highlight w:val="none"/>
        </w:rPr>
      </w:pPr>
      <w:r>
        <w:rPr>
          <w:rFonts w:hint="eastAsia" w:ascii="宋体" w:hAnsi="宋体" w:cs="宋体"/>
          <w:b/>
          <w:bCs/>
          <w:snapToGrid w:val="0"/>
          <w:color w:val="auto"/>
          <w:kern w:val="0"/>
          <w:szCs w:val="21"/>
          <w:highlight w:val="none"/>
        </w:rPr>
        <w:t>拟投入服务团队成员情况一览表</w:t>
      </w:r>
    </w:p>
    <w:tbl>
      <w:tblPr>
        <w:tblStyle w:val="2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1491"/>
        <w:gridCol w:w="560"/>
        <w:gridCol w:w="560"/>
        <w:gridCol w:w="560"/>
        <w:gridCol w:w="560"/>
        <w:gridCol w:w="1929"/>
        <w:gridCol w:w="826"/>
        <w:gridCol w:w="2241"/>
      </w:tblGrid>
      <w:tr w14:paraId="32551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3" w:hRule="exact"/>
          <w:jc w:val="center"/>
        </w:trPr>
        <w:tc>
          <w:tcPr>
            <w:tcW w:w="559" w:type="dxa"/>
            <w:tcBorders>
              <w:top w:val="single" w:color="auto" w:sz="4" w:space="0"/>
              <w:left w:val="single" w:color="auto" w:sz="4" w:space="0"/>
              <w:bottom w:val="nil"/>
              <w:right w:val="single" w:color="auto" w:sz="4" w:space="0"/>
            </w:tcBorders>
            <w:shd w:val="clear" w:color="auto" w:fill="FFFFFF"/>
            <w:noWrap w:val="0"/>
            <w:vAlign w:val="center"/>
          </w:tcPr>
          <w:p w14:paraId="5389E9DC">
            <w:pPr>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491" w:type="dxa"/>
            <w:tcBorders>
              <w:top w:val="single" w:color="auto" w:sz="4" w:space="0"/>
              <w:left w:val="single" w:color="auto" w:sz="4" w:space="0"/>
              <w:bottom w:val="nil"/>
              <w:right w:val="single" w:color="auto" w:sz="4" w:space="0"/>
            </w:tcBorders>
            <w:shd w:val="clear" w:color="auto" w:fill="FFFFFF"/>
            <w:noWrap w:val="0"/>
            <w:vAlign w:val="center"/>
          </w:tcPr>
          <w:p w14:paraId="00213E22">
            <w:pPr>
              <w:jc w:val="center"/>
              <w:rPr>
                <w:rFonts w:hint="eastAsia" w:ascii="宋体" w:hAnsi="宋体" w:cs="宋体"/>
                <w:b/>
                <w:color w:val="auto"/>
                <w:szCs w:val="21"/>
                <w:highlight w:val="none"/>
              </w:rPr>
            </w:pPr>
            <w:r>
              <w:rPr>
                <w:rFonts w:hint="eastAsia" w:ascii="宋体" w:hAnsi="宋体" w:cs="宋体"/>
                <w:b/>
                <w:color w:val="auto"/>
                <w:szCs w:val="21"/>
                <w:highlight w:val="none"/>
              </w:rPr>
              <w:t>拟担任本项目的角色</w:t>
            </w:r>
          </w:p>
        </w:tc>
        <w:tc>
          <w:tcPr>
            <w:tcW w:w="560" w:type="dxa"/>
            <w:tcBorders>
              <w:top w:val="single" w:color="auto" w:sz="4" w:space="0"/>
              <w:left w:val="single" w:color="auto" w:sz="4" w:space="0"/>
              <w:bottom w:val="nil"/>
              <w:right w:val="single" w:color="auto" w:sz="4" w:space="0"/>
            </w:tcBorders>
            <w:shd w:val="clear" w:color="auto" w:fill="FFFFFF"/>
            <w:noWrap w:val="0"/>
            <w:vAlign w:val="center"/>
          </w:tcPr>
          <w:p w14:paraId="02DB33C3">
            <w:pPr>
              <w:jc w:val="center"/>
              <w:rPr>
                <w:rFonts w:hint="eastAsia" w:ascii="宋体" w:hAnsi="宋体" w:cs="宋体"/>
                <w:b/>
                <w:color w:val="auto"/>
                <w:szCs w:val="21"/>
                <w:highlight w:val="none"/>
              </w:rPr>
            </w:pPr>
            <w:r>
              <w:rPr>
                <w:rFonts w:hint="eastAsia" w:ascii="宋体" w:hAnsi="宋体" w:cs="宋体"/>
                <w:b/>
                <w:color w:val="auto"/>
                <w:szCs w:val="21"/>
                <w:highlight w:val="none"/>
              </w:rPr>
              <w:t>姓名</w:t>
            </w:r>
          </w:p>
        </w:tc>
        <w:tc>
          <w:tcPr>
            <w:tcW w:w="560" w:type="dxa"/>
            <w:tcBorders>
              <w:top w:val="single" w:color="auto" w:sz="4" w:space="0"/>
              <w:left w:val="single" w:color="auto" w:sz="4" w:space="0"/>
              <w:bottom w:val="nil"/>
            </w:tcBorders>
            <w:shd w:val="clear" w:color="auto" w:fill="FFFFFF"/>
            <w:noWrap w:val="0"/>
            <w:vAlign w:val="center"/>
          </w:tcPr>
          <w:p w14:paraId="31560921">
            <w:pPr>
              <w:jc w:val="center"/>
              <w:rPr>
                <w:rFonts w:hint="eastAsia" w:ascii="宋体" w:hAnsi="宋体" w:cs="宋体"/>
                <w:b/>
                <w:color w:val="auto"/>
                <w:szCs w:val="21"/>
                <w:highlight w:val="none"/>
              </w:rPr>
            </w:pPr>
            <w:r>
              <w:rPr>
                <w:rFonts w:hint="eastAsia" w:ascii="宋体" w:hAnsi="宋体" w:cs="宋体"/>
                <w:b/>
                <w:color w:val="auto"/>
                <w:szCs w:val="21"/>
                <w:highlight w:val="none"/>
              </w:rPr>
              <w:t>年龄</w:t>
            </w:r>
          </w:p>
        </w:tc>
        <w:tc>
          <w:tcPr>
            <w:tcW w:w="560" w:type="dxa"/>
            <w:tcBorders>
              <w:top w:val="single" w:color="auto" w:sz="4" w:space="0"/>
              <w:left w:val="single" w:color="auto" w:sz="4" w:space="0"/>
              <w:bottom w:val="nil"/>
            </w:tcBorders>
            <w:shd w:val="clear" w:color="auto" w:fill="FFFFFF"/>
            <w:noWrap w:val="0"/>
            <w:vAlign w:val="center"/>
          </w:tcPr>
          <w:p w14:paraId="2CE02940">
            <w:pPr>
              <w:jc w:val="center"/>
              <w:rPr>
                <w:rFonts w:hint="eastAsia" w:ascii="宋体" w:hAnsi="宋体" w:cs="宋体"/>
                <w:b/>
                <w:color w:val="auto"/>
                <w:szCs w:val="21"/>
                <w:highlight w:val="none"/>
              </w:rPr>
            </w:pPr>
            <w:r>
              <w:rPr>
                <w:rFonts w:hint="eastAsia" w:ascii="宋体" w:hAnsi="宋体" w:cs="宋体"/>
                <w:b/>
                <w:color w:val="auto"/>
                <w:szCs w:val="21"/>
                <w:highlight w:val="none"/>
              </w:rPr>
              <w:t>学历</w:t>
            </w:r>
          </w:p>
        </w:tc>
        <w:tc>
          <w:tcPr>
            <w:tcW w:w="560" w:type="dxa"/>
            <w:tcBorders>
              <w:top w:val="single" w:color="auto" w:sz="4" w:space="0"/>
              <w:bottom w:val="nil"/>
            </w:tcBorders>
            <w:shd w:val="clear" w:color="auto" w:fill="FFFFFF"/>
            <w:noWrap w:val="0"/>
            <w:vAlign w:val="center"/>
          </w:tcPr>
          <w:p w14:paraId="26845D99">
            <w:pPr>
              <w:jc w:val="center"/>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身高</w:t>
            </w:r>
          </w:p>
        </w:tc>
        <w:tc>
          <w:tcPr>
            <w:tcW w:w="1929" w:type="dxa"/>
            <w:tcBorders>
              <w:top w:val="single" w:color="auto" w:sz="4" w:space="0"/>
              <w:bottom w:val="nil"/>
            </w:tcBorders>
            <w:shd w:val="clear" w:color="auto" w:fill="FFFFFF"/>
            <w:noWrap w:val="0"/>
            <w:vAlign w:val="center"/>
          </w:tcPr>
          <w:p w14:paraId="67B6B9AF">
            <w:pPr>
              <w:jc w:val="center"/>
              <w:rPr>
                <w:rFonts w:hint="eastAsia" w:ascii="宋体" w:hAnsi="宋体" w:cs="宋体"/>
                <w:b/>
                <w:color w:val="auto"/>
                <w:szCs w:val="21"/>
                <w:highlight w:val="none"/>
              </w:rPr>
            </w:pPr>
            <w:r>
              <w:rPr>
                <w:rFonts w:hint="eastAsia" w:ascii="宋体" w:hAnsi="宋体" w:cs="宋体"/>
                <w:b/>
                <w:color w:val="auto"/>
                <w:szCs w:val="21"/>
                <w:highlight w:val="none"/>
              </w:rPr>
              <w:t>具有相关证书(含职称证)等</w:t>
            </w:r>
          </w:p>
        </w:tc>
        <w:tc>
          <w:tcPr>
            <w:tcW w:w="826" w:type="dxa"/>
            <w:tcBorders>
              <w:top w:val="single" w:color="auto" w:sz="4" w:space="0"/>
              <w:bottom w:val="nil"/>
            </w:tcBorders>
            <w:shd w:val="clear" w:color="auto" w:fill="FFFFFF"/>
            <w:noWrap w:val="0"/>
            <w:vAlign w:val="center"/>
          </w:tcPr>
          <w:p w14:paraId="77BA0499">
            <w:pPr>
              <w:jc w:val="center"/>
              <w:rPr>
                <w:rFonts w:hint="eastAsia" w:ascii="宋体" w:hAnsi="宋体" w:cs="宋体"/>
                <w:b/>
                <w:color w:val="auto"/>
                <w:szCs w:val="21"/>
                <w:highlight w:val="none"/>
              </w:rPr>
            </w:pPr>
            <w:r>
              <w:rPr>
                <w:rFonts w:hint="eastAsia" w:ascii="宋体" w:hAnsi="宋体" w:cs="宋体"/>
                <w:b/>
                <w:color w:val="auto"/>
                <w:szCs w:val="21"/>
                <w:highlight w:val="none"/>
              </w:rPr>
              <w:t>工作年限</w:t>
            </w:r>
          </w:p>
        </w:tc>
        <w:tc>
          <w:tcPr>
            <w:tcW w:w="2241" w:type="dxa"/>
            <w:tcBorders>
              <w:top w:val="single" w:color="auto" w:sz="4" w:space="0"/>
              <w:bottom w:val="nil"/>
              <w:right w:val="single" w:color="auto" w:sz="4" w:space="0"/>
            </w:tcBorders>
            <w:shd w:val="clear" w:color="auto" w:fill="FFFFFF"/>
            <w:noWrap w:val="0"/>
            <w:vAlign w:val="center"/>
          </w:tcPr>
          <w:p w14:paraId="503207DE">
            <w:pPr>
              <w:ind w:firstLine="12"/>
              <w:jc w:val="center"/>
              <w:rPr>
                <w:rFonts w:hint="eastAsia" w:ascii="宋体" w:hAnsi="宋体" w:cs="宋体"/>
                <w:b/>
                <w:color w:val="auto"/>
                <w:szCs w:val="21"/>
                <w:highlight w:val="none"/>
              </w:rPr>
            </w:pPr>
            <w:r>
              <w:rPr>
                <w:rFonts w:hint="eastAsia" w:ascii="宋体" w:hAnsi="宋体" w:cs="宋体"/>
                <w:b/>
                <w:bCs/>
                <w:color w:val="auto"/>
                <w:szCs w:val="21"/>
                <w:highlight w:val="none"/>
              </w:rPr>
              <w:t>主要资历、经验及承担过的项目</w:t>
            </w:r>
          </w:p>
        </w:tc>
      </w:tr>
      <w:tr w14:paraId="321BB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top w:val="single" w:color="auto" w:sz="4" w:space="0"/>
              <w:left w:val="single" w:color="auto" w:sz="4" w:space="0"/>
              <w:bottom w:val="nil"/>
              <w:right w:val="single" w:color="auto" w:sz="4" w:space="0"/>
            </w:tcBorders>
            <w:noWrap w:val="0"/>
            <w:vAlign w:val="center"/>
          </w:tcPr>
          <w:p w14:paraId="3DEA366F">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491" w:type="dxa"/>
            <w:tcBorders>
              <w:top w:val="single" w:color="auto" w:sz="4" w:space="0"/>
              <w:left w:val="single" w:color="auto" w:sz="4" w:space="0"/>
              <w:bottom w:val="nil"/>
              <w:right w:val="single" w:color="auto" w:sz="4" w:space="0"/>
            </w:tcBorders>
            <w:noWrap w:val="0"/>
            <w:vAlign w:val="center"/>
          </w:tcPr>
          <w:p w14:paraId="5E988118">
            <w:pPr>
              <w:jc w:val="center"/>
              <w:rPr>
                <w:rFonts w:hint="eastAsia" w:ascii="宋体" w:hAnsi="宋体" w:cs="宋体"/>
                <w:color w:val="auto"/>
                <w:szCs w:val="21"/>
                <w:highlight w:val="none"/>
              </w:rPr>
            </w:pPr>
          </w:p>
        </w:tc>
        <w:tc>
          <w:tcPr>
            <w:tcW w:w="560" w:type="dxa"/>
            <w:tcBorders>
              <w:top w:val="single" w:color="auto" w:sz="4" w:space="0"/>
              <w:left w:val="single" w:color="auto" w:sz="4" w:space="0"/>
              <w:bottom w:val="nil"/>
              <w:right w:val="single" w:color="auto" w:sz="4" w:space="0"/>
            </w:tcBorders>
            <w:noWrap w:val="0"/>
            <w:vAlign w:val="center"/>
          </w:tcPr>
          <w:p w14:paraId="6ED0530B">
            <w:pPr>
              <w:jc w:val="center"/>
              <w:rPr>
                <w:rFonts w:hint="eastAsia" w:ascii="宋体" w:hAnsi="宋体" w:cs="宋体"/>
                <w:color w:val="auto"/>
                <w:szCs w:val="21"/>
                <w:highlight w:val="none"/>
              </w:rPr>
            </w:pPr>
          </w:p>
        </w:tc>
        <w:tc>
          <w:tcPr>
            <w:tcW w:w="560" w:type="dxa"/>
            <w:tcBorders>
              <w:top w:val="single" w:color="auto" w:sz="4" w:space="0"/>
              <w:left w:val="single" w:color="auto" w:sz="4" w:space="0"/>
              <w:bottom w:val="nil"/>
            </w:tcBorders>
            <w:noWrap w:val="0"/>
            <w:vAlign w:val="center"/>
          </w:tcPr>
          <w:p w14:paraId="21B820E9">
            <w:pPr>
              <w:jc w:val="center"/>
              <w:rPr>
                <w:rFonts w:hint="eastAsia" w:ascii="宋体" w:hAnsi="宋体" w:cs="宋体"/>
                <w:color w:val="auto"/>
                <w:szCs w:val="21"/>
                <w:highlight w:val="none"/>
              </w:rPr>
            </w:pPr>
          </w:p>
        </w:tc>
        <w:tc>
          <w:tcPr>
            <w:tcW w:w="560" w:type="dxa"/>
            <w:tcBorders>
              <w:top w:val="single" w:color="auto" w:sz="4" w:space="0"/>
              <w:left w:val="single" w:color="auto" w:sz="4" w:space="0"/>
              <w:bottom w:val="nil"/>
            </w:tcBorders>
            <w:noWrap w:val="0"/>
            <w:vAlign w:val="center"/>
          </w:tcPr>
          <w:p w14:paraId="2FB09982">
            <w:pPr>
              <w:jc w:val="center"/>
              <w:rPr>
                <w:rFonts w:hint="eastAsia" w:ascii="宋体" w:hAnsi="宋体" w:cs="宋体"/>
                <w:color w:val="auto"/>
                <w:szCs w:val="21"/>
                <w:highlight w:val="none"/>
              </w:rPr>
            </w:pPr>
          </w:p>
        </w:tc>
        <w:tc>
          <w:tcPr>
            <w:tcW w:w="560" w:type="dxa"/>
            <w:tcBorders>
              <w:top w:val="single" w:color="auto" w:sz="4" w:space="0"/>
              <w:bottom w:val="nil"/>
            </w:tcBorders>
            <w:noWrap w:val="0"/>
            <w:vAlign w:val="center"/>
          </w:tcPr>
          <w:p w14:paraId="55D18C97">
            <w:pPr>
              <w:jc w:val="center"/>
              <w:rPr>
                <w:rFonts w:hint="eastAsia" w:ascii="宋体" w:hAnsi="宋体" w:cs="宋体"/>
                <w:color w:val="auto"/>
                <w:szCs w:val="21"/>
                <w:highlight w:val="none"/>
              </w:rPr>
            </w:pPr>
          </w:p>
        </w:tc>
        <w:tc>
          <w:tcPr>
            <w:tcW w:w="1929" w:type="dxa"/>
            <w:tcBorders>
              <w:top w:val="single" w:color="auto" w:sz="4" w:space="0"/>
              <w:bottom w:val="nil"/>
            </w:tcBorders>
            <w:noWrap w:val="0"/>
            <w:vAlign w:val="center"/>
          </w:tcPr>
          <w:p w14:paraId="778B9893">
            <w:pPr>
              <w:jc w:val="center"/>
              <w:rPr>
                <w:rFonts w:hint="eastAsia" w:ascii="宋体" w:hAnsi="宋体" w:cs="宋体"/>
                <w:color w:val="auto"/>
                <w:szCs w:val="21"/>
                <w:highlight w:val="none"/>
              </w:rPr>
            </w:pPr>
          </w:p>
        </w:tc>
        <w:tc>
          <w:tcPr>
            <w:tcW w:w="826" w:type="dxa"/>
            <w:tcBorders>
              <w:top w:val="single" w:color="auto" w:sz="4" w:space="0"/>
              <w:bottom w:val="nil"/>
            </w:tcBorders>
            <w:noWrap w:val="0"/>
            <w:vAlign w:val="center"/>
          </w:tcPr>
          <w:p w14:paraId="726B0146">
            <w:pPr>
              <w:ind w:firstLine="12"/>
              <w:jc w:val="center"/>
              <w:rPr>
                <w:rFonts w:hint="eastAsia" w:ascii="宋体" w:hAnsi="宋体" w:cs="宋体"/>
                <w:color w:val="auto"/>
                <w:szCs w:val="21"/>
                <w:highlight w:val="none"/>
              </w:rPr>
            </w:pPr>
          </w:p>
        </w:tc>
        <w:tc>
          <w:tcPr>
            <w:tcW w:w="2241" w:type="dxa"/>
            <w:tcBorders>
              <w:top w:val="single" w:color="auto" w:sz="4" w:space="0"/>
              <w:bottom w:val="nil"/>
              <w:right w:val="single" w:color="auto" w:sz="4" w:space="0"/>
            </w:tcBorders>
            <w:noWrap w:val="0"/>
            <w:vAlign w:val="center"/>
          </w:tcPr>
          <w:p w14:paraId="4491463D">
            <w:pPr>
              <w:ind w:firstLine="12"/>
              <w:jc w:val="center"/>
              <w:rPr>
                <w:rFonts w:hint="eastAsia" w:ascii="宋体" w:hAnsi="宋体" w:cs="宋体"/>
                <w:color w:val="auto"/>
                <w:szCs w:val="21"/>
                <w:highlight w:val="none"/>
              </w:rPr>
            </w:pPr>
          </w:p>
        </w:tc>
      </w:tr>
      <w:tr w14:paraId="28A1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left w:val="single" w:color="auto" w:sz="4" w:space="0"/>
              <w:right w:val="single" w:color="auto" w:sz="4" w:space="0"/>
            </w:tcBorders>
            <w:noWrap w:val="0"/>
            <w:vAlign w:val="center"/>
          </w:tcPr>
          <w:p w14:paraId="3D03585E">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491" w:type="dxa"/>
            <w:tcBorders>
              <w:left w:val="single" w:color="auto" w:sz="4" w:space="0"/>
              <w:right w:val="single" w:color="auto" w:sz="4" w:space="0"/>
            </w:tcBorders>
            <w:noWrap w:val="0"/>
            <w:vAlign w:val="center"/>
          </w:tcPr>
          <w:p w14:paraId="63001D1C">
            <w:pPr>
              <w:jc w:val="center"/>
              <w:rPr>
                <w:rFonts w:hint="eastAsia" w:ascii="宋体" w:hAnsi="宋体" w:cs="宋体"/>
                <w:color w:val="auto"/>
                <w:szCs w:val="21"/>
                <w:highlight w:val="none"/>
              </w:rPr>
            </w:pPr>
          </w:p>
        </w:tc>
        <w:tc>
          <w:tcPr>
            <w:tcW w:w="560" w:type="dxa"/>
            <w:tcBorders>
              <w:left w:val="single" w:color="auto" w:sz="4" w:space="0"/>
              <w:right w:val="single" w:color="auto" w:sz="4" w:space="0"/>
            </w:tcBorders>
            <w:noWrap w:val="0"/>
            <w:vAlign w:val="center"/>
          </w:tcPr>
          <w:p w14:paraId="185DBB2A">
            <w:pPr>
              <w:jc w:val="center"/>
              <w:rPr>
                <w:rFonts w:hint="eastAsia" w:ascii="宋体" w:hAnsi="宋体" w:cs="宋体"/>
                <w:color w:val="auto"/>
                <w:szCs w:val="21"/>
                <w:highlight w:val="none"/>
              </w:rPr>
            </w:pPr>
          </w:p>
        </w:tc>
        <w:tc>
          <w:tcPr>
            <w:tcW w:w="560" w:type="dxa"/>
            <w:tcBorders>
              <w:left w:val="single" w:color="auto" w:sz="4" w:space="0"/>
            </w:tcBorders>
            <w:noWrap w:val="0"/>
            <w:vAlign w:val="center"/>
          </w:tcPr>
          <w:p w14:paraId="1EFFA802">
            <w:pPr>
              <w:jc w:val="center"/>
              <w:rPr>
                <w:rFonts w:hint="eastAsia" w:ascii="宋体" w:hAnsi="宋体" w:cs="宋体"/>
                <w:color w:val="auto"/>
                <w:szCs w:val="21"/>
                <w:highlight w:val="none"/>
              </w:rPr>
            </w:pPr>
          </w:p>
        </w:tc>
        <w:tc>
          <w:tcPr>
            <w:tcW w:w="560" w:type="dxa"/>
            <w:tcBorders>
              <w:left w:val="single" w:color="auto" w:sz="4" w:space="0"/>
            </w:tcBorders>
            <w:noWrap w:val="0"/>
            <w:vAlign w:val="center"/>
          </w:tcPr>
          <w:p w14:paraId="06E13042">
            <w:pPr>
              <w:jc w:val="center"/>
              <w:rPr>
                <w:rFonts w:hint="eastAsia" w:ascii="宋体" w:hAnsi="宋体" w:cs="宋体"/>
                <w:color w:val="auto"/>
                <w:szCs w:val="21"/>
                <w:highlight w:val="none"/>
              </w:rPr>
            </w:pPr>
          </w:p>
        </w:tc>
        <w:tc>
          <w:tcPr>
            <w:tcW w:w="560" w:type="dxa"/>
            <w:noWrap w:val="0"/>
            <w:vAlign w:val="center"/>
          </w:tcPr>
          <w:p w14:paraId="48711EC3">
            <w:pPr>
              <w:jc w:val="center"/>
              <w:rPr>
                <w:rFonts w:hint="eastAsia" w:ascii="宋体" w:hAnsi="宋体" w:cs="宋体"/>
                <w:color w:val="auto"/>
                <w:szCs w:val="21"/>
                <w:highlight w:val="none"/>
              </w:rPr>
            </w:pPr>
          </w:p>
        </w:tc>
        <w:tc>
          <w:tcPr>
            <w:tcW w:w="1929" w:type="dxa"/>
            <w:noWrap w:val="0"/>
            <w:vAlign w:val="center"/>
          </w:tcPr>
          <w:p w14:paraId="4B19A6A6">
            <w:pPr>
              <w:jc w:val="center"/>
              <w:rPr>
                <w:rFonts w:hint="eastAsia" w:ascii="宋体" w:hAnsi="宋体" w:cs="宋体"/>
                <w:color w:val="auto"/>
                <w:szCs w:val="21"/>
                <w:highlight w:val="none"/>
              </w:rPr>
            </w:pPr>
          </w:p>
        </w:tc>
        <w:tc>
          <w:tcPr>
            <w:tcW w:w="826" w:type="dxa"/>
            <w:noWrap w:val="0"/>
            <w:vAlign w:val="center"/>
          </w:tcPr>
          <w:p w14:paraId="6FED50F3">
            <w:pPr>
              <w:jc w:val="center"/>
              <w:rPr>
                <w:rFonts w:hint="eastAsia" w:ascii="宋体" w:hAnsi="宋体" w:cs="宋体"/>
                <w:color w:val="auto"/>
                <w:szCs w:val="21"/>
                <w:highlight w:val="none"/>
              </w:rPr>
            </w:pPr>
          </w:p>
        </w:tc>
        <w:tc>
          <w:tcPr>
            <w:tcW w:w="2241" w:type="dxa"/>
            <w:tcBorders>
              <w:right w:val="single" w:color="auto" w:sz="4" w:space="0"/>
            </w:tcBorders>
            <w:noWrap w:val="0"/>
            <w:vAlign w:val="center"/>
          </w:tcPr>
          <w:p w14:paraId="23ADE037">
            <w:pPr>
              <w:jc w:val="center"/>
              <w:rPr>
                <w:rFonts w:hint="eastAsia" w:ascii="宋体" w:hAnsi="宋体" w:cs="宋体"/>
                <w:color w:val="auto"/>
                <w:szCs w:val="21"/>
                <w:highlight w:val="none"/>
              </w:rPr>
            </w:pPr>
          </w:p>
        </w:tc>
      </w:tr>
      <w:tr w14:paraId="3B96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left w:val="single" w:color="auto" w:sz="4" w:space="0"/>
              <w:right w:val="single" w:color="auto" w:sz="4" w:space="0"/>
            </w:tcBorders>
            <w:noWrap w:val="0"/>
            <w:vAlign w:val="center"/>
          </w:tcPr>
          <w:p w14:paraId="0E43198F">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491" w:type="dxa"/>
            <w:tcBorders>
              <w:left w:val="single" w:color="auto" w:sz="4" w:space="0"/>
              <w:right w:val="single" w:color="auto" w:sz="4" w:space="0"/>
            </w:tcBorders>
            <w:noWrap w:val="0"/>
            <w:vAlign w:val="center"/>
          </w:tcPr>
          <w:p w14:paraId="0DA6B1F7">
            <w:pPr>
              <w:jc w:val="center"/>
              <w:rPr>
                <w:rFonts w:hint="eastAsia" w:ascii="宋体" w:hAnsi="宋体" w:cs="宋体"/>
                <w:color w:val="auto"/>
                <w:szCs w:val="21"/>
                <w:highlight w:val="none"/>
              </w:rPr>
            </w:pPr>
          </w:p>
        </w:tc>
        <w:tc>
          <w:tcPr>
            <w:tcW w:w="560" w:type="dxa"/>
            <w:tcBorders>
              <w:left w:val="single" w:color="auto" w:sz="4" w:space="0"/>
              <w:right w:val="single" w:color="auto" w:sz="4" w:space="0"/>
            </w:tcBorders>
            <w:noWrap w:val="0"/>
            <w:vAlign w:val="center"/>
          </w:tcPr>
          <w:p w14:paraId="38022E09">
            <w:pPr>
              <w:jc w:val="center"/>
              <w:rPr>
                <w:rFonts w:hint="eastAsia" w:ascii="宋体" w:hAnsi="宋体" w:cs="宋体"/>
                <w:color w:val="auto"/>
                <w:szCs w:val="21"/>
                <w:highlight w:val="none"/>
              </w:rPr>
            </w:pPr>
          </w:p>
        </w:tc>
        <w:tc>
          <w:tcPr>
            <w:tcW w:w="560" w:type="dxa"/>
            <w:tcBorders>
              <w:left w:val="single" w:color="auto" w:sz="4" w:space="0"/>
            </w:tcBorders>
            <w:noWrap w:val="0"/>
            <w:vAlign w:val="center"/>
          </w:tcPr>
          <w:p w14:paraId="464A316C">
            <w:pPr>
              <w:jc w:val="center"/>
              <w:rPr>
                <w:rFonts w:hint="eastAsia" w:ascii="宋体" w:hAnsi="宋体" w:cs="宋体"/>
                <w:color w:val="auto"/>
                <w:szCs w:val="21"/>
                <w:highlight w:val="none"/>
              </w:rPr>
            </w:pPr>
          </w:p>
        </w:tc>
        <w:tc>
          <w:tcPr>
            <w:tcW w:w="560" w:type="dxa"/>
            <w:tcBorders>
              <w:left w:val="single" w:color="auto" w:sz="4" w:space="0"/>
            </w:tcBorders>
            <w:noWrap w:val="0"/>
            <w:vAlign w:val="center"/>
          </w:tcPr>
          <w:p w14:paraId="7F6C96BD">
            <w:pPr>
              <w:jc w:val="center"/>
              <w:rPr>
                <w:rFonts w:hint="eastAsia" w:ascii="宋体" w:hAnsi="宋体" w:cs="宋体"/>
                <w:color w:val="auto"/>
                <w:szCs w:val="21"/>
                <w:highlight w:val="none"/>
              </w:rPr>
            </w:pPr>
          </w:p>
        </w:tc>
        <w:tc>
          <w:tcPr>
            <w:tcW w:w="560" w:type="dxa"/>
            <w:noWrap w:val="0"/>
            <w:vAlign w:val="center"/>
          </w:tcPr>
          <w:p w14:paraId="113024E3">
            <w:pPr>
              <w:jc w:val="center"/>
              <w:rPr>
                <w:rFonts w:hint="eastAsia" w:ascii="宋体" w:hAnsi="宋体" w:cs="宋体"/>
                <w:color w:val="auto"/>
                <w:szCs w:val="21"/>
                <w:highlight w:val="none"/>
              </w:rPr>
            </w:pPr>
          </w:p>
        </w:tc>
        <w:tc>
          <w:tcPr>
            <w:tcW w:w="1929" w:type="dxa"/>
            <w:noWrap w:val="0"/>
            <w:vAlign w:val="center"/>
          </w:tcPr>
          <w:p w14:paraId="446E08A2">
            <w:pPr>
              <w:jc w:val="center"/>
              <w:rPr>
                <w:rFonts w:hint="eastAsia" w:ascii="宋体" w:hAnsi="宋体" w:cs="宋体"/>
                <w:color w:val="auto"/>
                <w:szCs w:val="21"/>
                <w:highlight w:val="none"/>
              </w:rPr>
            </w:pPr>
          </w:p>
        </w:tc>
        <w:tc>
          <w:tcPr>
            <w:tcW w:w="826" w:type="dxa"/>
            <w:noWrap w:val="0"/>
            <w:vAlign w:val="center"/>
          </w:tcPr>
          <w:p w14:paraId="53D98862">
            <w:pPr>
              <w:jc w:val="center"/>
              <w:rPr>
                <w:rFonts w:hint="eastAsia" w:ascii="宋体" w:hAnsi="宋体" w:cs="宋体"/>
                <w:color w:val="auto"/>
                <w:szCs w:val="21"/>
                <w:highlight w:val="none"/>
              </w:rPr>
            </w:pPr>
          </w:p>
        </w:tc>
        <w:tc>
          <w:tcPr>
            <w:tcW w:w="2241" w:type="dxa"/>
            <w:tcBorders>
              <w:right w:val="single" w:color="auto" w:sz="4" w:space="0"/>
            </w:tcBorders>
            <w:noWrap w:val="0"/>
            <w:vAlign w:val="center"/>
          </w:tcPr>
          <w:p w14:paraId="68CD7E84">
            <w:pPr>
              <w:jc w:val="center"/>
              <w:rPr>
                <w:rFonts w:hint="eastAsia" w:ascii="宋体" w:hAnsi="宋体" w:cs="宋体"/>
                <w:color w:val="auto"/>
                <w:szCs w:val="21"/>
                <w:highlight w:val="none"/>
              </w:rPr>
            </w:pPr>
          </w:p>
        </w:tc>
      </w:tr>
      <w:tr w14:paraId="6E7B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left w:val="single" w:color="auto" w:sz="4" w:space="0"/>
              <w:right w:val="single" w:color="auto" w:sz="4" w:space="0"/>
            </w:tcBorders>
            <w:noWrap w:val="0"/>
            <w:vAlign w:val="center"/>
          </w:tcPr>
          <w:p w14:paraId="1796C2B8">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491" w:type="dxa"/>
            <w:tcBorders>
              <w:left w:val="single" w:color="auto" w:sz="4" w:space="0"/>
              <w:right w:val="single" w:color="auto" w:sz="4" w:space="0"/>
            </w:tcBorders>
            <w:noWrap w:val="0"/>
            <w:vAlign w:val="center"/>
          </w:tcPr>
          <w:p w14:paraId="1F9FBBD5">
            <w:pPr>
              <w:jc w:val="center"/>
              <w:rPr>
                <w:rFonts w:hint="eastAsia" w:ascii="宋体" w:hAnsi="宋体" w:cs="宋体"/>
                <w:color w:val="auto"/>
                <w:szCs w:val="21"/>
                <w:highlight w:val="none"/>
              </w:rPr>
            </w:pPr>
          </w:p>
        </w:tc>
        <w:tc>
          <w:tcPr>
            <w:tcW w:w="560" w:type="dxa"/>
            <w:tcBorders>
              <w:left w:val="single" w:color="auto" w:sz="4" w:space="0"/>
              <w:right w:val="single" w:color="auto" w:sz="4" w:space="0"/>
            </w:tcBorders>
            <w:noWrap w:val="0"/>
            <w:vAlign w:val="center"/>
          </w:tcPr>
          <w:p w14:paraId="24139181">
            <w:pPr>
              <w:jc w:val="center"/>
              <w:rPr>
                <w:rFonts w:hint="eastAsia" w:ascii="宋体" w:hAnsi="宋体" w:cs="宋体"/>
                <w:color w:val="auto"/>
                <w:szCs w:val="21"/>
                <w:highlight w:val="none"/>
              </w:rPr>
            </w:pPr>
          </w:p>
        </w:tc>
        <w:tc>
          <w:tcPr>
            <w:tcW w:w="560" w:type="dxa"/>
            <w:tcBorders>
              <w:left w:val="single" w:color="auto" w:sz="4" w:space="0"/>
            </w:tcBorders>
            <w:noWrap w:val="0"/>
            <w:vAlign w:val="center"/>
          </w:tcPr>
          <w:p w14:paraId="50E26671">
            <w:pPr>
              <w:jc w:val="center"/>
              <w:rPr>
                <w:rFonts w:hint="eastAsia" w:ascii="宋体" w:hAnsi="宋体" w:cs="宋体"/>
                <w:color w:val="auto"/>
                <w:szCs w:val="21"/>
                <w:highlight w:val="none"/>
              </w:rPr>
            </w:pPr>
          </w:p>
        </w:tc>
        <w:tc>
          <w:tcPr>
            <w:tcW w:w="560" w:type="dxa"/>
            <w:tcBorders>
              <w:left w:val="single" w:color="auto" w:sz="4" w:space="0"/>
            </w:tcBorders>
            <w:noWrap w:val="0"/>
            <w:vAlign w:val="center"/>
          </w:tcPr>
          <w:p w14:paraId="3AE6D3C1">
            <w:pPr>
              <w:jc w:val="center"/>
              <w:rPr>
                <w:rFonts w:hint="eastAsia" w:ascii="宋体" w:hAnsi="宋体" w:cs="宋体"/>
                <w:color w:val="auto"/>
                <w:szCs w:val="21"/>
                <w:highlight w:val="none"/>
              </w:rPr>
            </w:pPr>
          </w:p>
        </w:tc>
        <w:tc>
          <w:tcPr>
            <w:tcW w:w="560" w:type="dxa"/>
            <w:noWrap w:val="0"/>
            <w:vAlign w:val="center"/>
          </w:tcPr>
          <w:p w14:paraId="0377F18A">
            <w:pPr>
              <w:jc w:val="center"/>
              <w:rPr>
                <w:rFonts w:hint="eastAsia" w:ascii="宋体" w:hAnsi="宋体" w:cs="宋体"/>
                <w:color w:val="auto"/>
                <w:szCs w:val="21"/>
                <w:highlight w:val="none"/>
              </w:rPr>
            </w:pPr>
          </w:p>
        </w:tc>
        <w:tc>
          <w:tcPr>
            <w:tcW w:w="1929" w:type="dxa"/>
            <w:noWrap w:val="0"/>
            <w:vAlign w:val="center"/>
          </w:tcPr>
          <w:p w14:paraId="5E2453E0">
            <w:pPr>
              <w:jc w:val="center"/>
              <w:rPr>
                <w:rFonts w:hint="eastAsia" w:ascii="宋体" w:hAnsi="宋体" w:cs="宋体"/>
                <w:color w:val="auto"/>
                <w:szCs w:val="21"/>
                <w:highlight w:val="none"/>
              </w:rPr>
            </w:pPr>
          </w:p>
        </w:tc>
        <w:tc>
          <w:tcPr>
            <w:tcW w:w="826" w:type="dxa"/>
            <w:noWrap w:val="0"/>
            <w:vAlign w:val="center"/>
          </w:tcPr>
          <w:p w14:paraId="32C34BD9">
            <w:pPr>
              <w:jc w:val="center"/>
              <w:rPr>
                <w:rFonts w:hint="eastAsia" w:ascii="宋体" w:hAnsi="宋体" w:cs="宋体"/>
                <w:color w:val="auto"/>
                <w:szCs w:val="21"/>
                <w:highlight w:val="none"/>
              </w:rPr>
            </w:pPr>
          </w:p>
        </w:tc>
        <w:tc>
          <w:tcPr>
            <w:tcW w:w="2241" w:type="dxa"/>
            <w:tcBorders>
              <w:right w:val="single" w:color="auto" w:sz="4" w:space="0"/>
            </w:tcBorders>
            <w:noWrap w:val="0"/>
            <w:vAlign w:val="center"/>
          </w:tcPr>
          <w:p w14:paraId="7AE710AB">
            <w:pPr>
              <w:jc w:val="center"/>
              <w:rPr>
                <w:rFonts w:hint="eastAsia" w:ascii="宋体" w:hAnsi="宋体" w:cs="宋体"/>
                <w:color w:val="auto"/>
                <w:szCs w:val="21"/>
                <w:highlight w:val="none"/>
              </w:rPr>
            </w:pPr>
          </w:p>
        </w:tc>
      </w:tr>
      <w:tr w14:paraId="4EBDB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left w:val="single" w:color="auto" w:sz="4" w:space="0"/>
              <w:right w:val="single" w:color="auto" w:sz="4" w:space="0"/>
            </w:tcBorders>
            <w:noWrap w:val="0"/>
            <w:vAlign w:val="center"/>
          </w:tcPr>
          <w:p w14:paraId="13323FDB">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491" w:type="dxa"/>
            <w:tcBorders>
              <w:left w:val="single" w:color="auto" w:sz="4" w:space="0"/>
              <w:right w:val="single" w:color="auto" w:sz="4" w:space="0"/>
            </w:tcBorders>
            <w:noWrap w:val="0"/>
            <w:vAlign w:val="center"/>
          </w:tcPr>
          <w:p w14:paraId="185C0A87">
            <w:pPr>
              <w:jc w:val="center"/>
              <w:rPr>
                <w:rFonts w:hint="eastAsia" w:ascii="宋体" w:hAnsi="宋体" w:cs="宋体"/>
                <w:color w:val="auto"/>
                <w:szCs w:val="21"/>
                <w:highlight w:val="none"/>
              </w:rPr>
            </w:pPr>
          </w:p>
        </w:tc>
        <w:tc>
          <w:tcPr>
            <w:tcW w:w="560" w:type="dxa"/>
            <w:tcBorders>
              <w:left w:val="single" w:color="auto" w:sz="4" w:space="0"/>
              <w:right w:val="single" w:color="auto" w:sz="4" w:space="0"/>
            </w:tcBorders>
            <w:noWrap w:val="0"/>
            <w:vAlign w:val="center"/>
          </w:tcPr>
          <w:p w14:paraId="56F0F272">
            <w:pPr>
              <w:jc w:val="center"/>
              <w:rPr>
                <w:rFonts w:hint="eastAsia" w:ascii="宋体" w:hAnsi="宋体" w:cs="宋体"/>
                <w:color w:val="auto"/>
                <w:szCs w:val="21"/>
                <w:highlight w:val="none"/>
              </w:rPr>
            </w:pPr>
          </w:p>
        </w:tc>
        <w:tc>
          <w:tcPr>
            <w:tcW w:w="560" w:type="dxa"/>
            <w:tcBorders>
              <w:left w:val="single" w:color="auto" w:sz="4" w:space="0"/>
            </w:tcBorders>
            <w:noWrap w:val="0"/>
            <w:vAlign w:val="center"/>
          </w:tcPr>
          <w:p w14:paraId="3FE16DFC">
            <w:pPr>
              <w:jc w:val="center"/>
              <w:rPr>
                <w:rFonts w:hint="eastAsia" w:ascii="宋体" w:hAnsi="宋体" w:cs="宋体"/>
                <w:color w:val="auto"/>
                <w:szCs w:val="21"/>
                <w:highlight w:val="none"/>
              </w:rPr>
            </w:pPr>
          </w:p>
        </w:tc>
        <w:tc>
          <w:tcPr>
            <w:tcW w:w="560" w:type="dxa"/>
            <w:tcBorders>
              <w:left w:val="single" w:color="auto" w:sz="4" w:space="0"/>
            </w:tcBorders>
            <w:noWrap w:val="0"/>
            <w:vAlign w:val="center"/>
          </w:tcPr>
          <w:p w14:paraId="30EFA910">
            <w:pPr>
              <w:jc w:val="center"/>
              <w:rPr>
                <w:rFonts w:hint="eastAsia" w:ascii="宋体" w:hAnsi="宋体" w:cs="宋体"/>
                <w:color w:val="auto"/>
                <w:szCs w:val="21"/>
                <w:highlight w:val="none"/>
              </w:rPr>
            </w:pPr>
          </w:p>
        </w:tc>
        <w:tc>
          <w:tcPr>
            <w:tcW w:w="560" w:type="dxa"/>
            <w:noWrap w:val="0"/>
            <w:vAlign w:val="center"/>
          </w:tcPr>
          <w:p w14:paraId="4D5AE3BB">
            <w:pPr>
              <w:jc w:val="center"/>
              <w:rPr>
                <w:rFonts w:hint="eastAsia" w:ascii="宋体" w:hAnsi="宋体" w:cs="宋体"/>
                <w:color w:val="auto"/>
                <w:szCs w:val="21"/>
                <w:highlight w:val="none"/>
              </w:rPr>
            </w:pPr>
          </w:p>
        </w:tc>
        <w:tc>
          <w:tcPr>
            <w:tcW w:w="1929" w:type="dxa"/>
            <w:noWrap w:val="0"/>
            <w:vAlign w:val="center"/>
          </w:tcPr>
          <w:p w14:paraId="2C1BD718">
            <w:pPr>
              <w:jc w:val="center"/>
              <w:rPr>
                <w:rFonts w:hint="eastAsia" w:ascii="宋体" w:hAnsi="宋体" w:cs="宋体"/>
                <w:color w:val="auto"/>
                <w:szCs w:val="21"/>
                <w:highlight w:val="none"/>
              </w:rPr>
            </w:pPr>
          </w:p>
        </w:tc>
        <w:tc>
          <w:tcPr>
            <w:tcW w:w="826" w:type="dxa"/>
            <w:noWrap w:val="0"/>
            <w:vAlign w:val="center"/>
          </w:tcPr>
          <w:p w14:paraId="20DA3BD7">
            <w:pPr>
              <w:jc w:val="center"/>
              <w:rPr>
                <w:rFonts w:hint="eastAsia" w:ascii="宋体" w:hAnsi="宋体" w:cs="宋体"/>
                <w:color w:val="auto"/>
                <w:szCs w:val="21"/>
                <w:highlight w:val="none"/>
              </w:rPr>
            </w:pPr>
          </w:p>
        </w:tc>
        <w:tc>
          <w:tcPr>
            <w:tcW w:w="2241" w:type="dxa"/>
            <w:tcBorders>
              <w:right w:val="single" w:color="auto" w:sz="4" w:space="0"/>
            </w:tcBorders>
            <w:noWrap w:val="0"/>
            <w:vAlign w:val="center"/>
          </w:tcPr>
          <w:p w14:paraId="0D0D7BE0">
            <w:pPr>
              <w:jc w:val="center"/>
              <w:rPr>
                <w:rFonts w:hint="eastAsia" w:ascii="宋体" w:hAnsi="宋体" w:cs="宋体"/>
                <w:color w:val="auto"/>
                <w:szCs w:val="21"/>
                <w:highlight w:val="none"/>
              </w:rPr>
            </w:pPr>
          </w:p>
        </w:tc>
      </w:tr>
      <w:tr w14:paraId="02CEC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left w:val="single" w:color="auto" w:sz="4" w:space="0"/>
              <w:right w:val="single" w:color="auto" w:sz="4" w:space="0"/>
            </w:tcBorders>
            <w:noWrap w:val="0"/>
            <w:vAlign w:val="center"/>
          </w:tcPr>
          <w:p w14:paraId="14CB417A">
            <w:pPr>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491" w:type="dxa"/>
            <w:tcBorders>
              <w:left w:val="single" w:color="auto" w:sz="4" w:space="0"/>
              <w:right w:val="single" w:color="auto" w:sz="4" w:space="0"/>
            </w:tcBorders>
            <w:noWrap w:val="0"/>
            <w:vAlign w:val="center"/>
          </w:tcPr>
          <w:p w14:paraId="30EEB213">
            <w:pPr>
              <w:jc w:val="center"/>
              <w:rPr>
                <w:rFonts w:hint="eastAsia" w:ascii="宋体" w:hAnsi="宋体" w:cs="宋体"/>
                <w:color w:val="auto"/>
                <w:szCs w:val="21"/>
                <w:highlight w:val="none"/>
              </w:rPr>
            </w:pPr>
          </w:p>
        </w:tc>
        <w:tc>
          <w:tcPr>
            <w:tcW w:w="560" w:type="dxa"/>
            <w:tcBorders>
              <w:left w:val="single" w:color="auto" w:sz="4" w:space="0"/>
              <w:right w:val="single" w:color="auto" w:sz="4" w:space="0"/>
            </w:tcBorders>
            <w:noWrap w:val="0"/>
            <w:vAlign w:val="center"/>
          </w:tcPr>
          <w:p w14:paraId="774A7378">
            <w:pPr>
              <w:jc w:val="center"/>
              <w:rPr>
                <w:rFonts w:hint="eastAsia" w:ascii="宋体" w:hAnsi="宋体" w:cs="宋体"/>
                <w:color w:val="auto"/>
                <w:szCs w:val="21"/>
                <w:highlight w:val="none"/>
              </w:rPr>
            </w:pPr>
          </w:p>
        </w:tc>
        <w:tc>
          <w:tcPr>
            <w:tcW w:w="560" w:type="dxa"/>
            <w:tcBorders>
              <w:left w:val="single" w:color="auto" w:sz="4" w:space="0"/>
            </w:tcBorders>
            <w:noWrap w:val="0"/>
            <w:vAlign w:val="center"/>
          </w:tcPr>
          <w:p w14:paraId="0C2A4B79">
            <w:pPr>
              <w:jc w:val="center"/>
              <w:rPr>
                <w:rFonts w:hint="eastAsia" w:ascii="宋体" w:hAnsi="宋体" w:cs="宋体"/>
                <w:color w:val="auto"/>
                <w:szCs w:val="21"/>
                <w:highlight w:val="none"/>
              </w:rPr>
            </w:pPr>
          </w:p>
        </w:tc>
        <w:tc>
          <w:tcPr>
            <w:tcW w:w="560" w:type="dxa"/>
            <w:tcBorders>
              <w:left w:val="single" w:color="auto" w:sz="4" w:space="0"/>
            </w:tcBorders>
            <w:noWrap w:val="0"/>
            <w:vAlign w:val="center"/>
          </w:tcPr>
          <w:p w14:paraId="6545E999">
            <w:pPr>
              <w:jc w:val="center"/>
              <w:rPr>
                <w:rFonts w:hint="eastAsia" w:ascii="宋体" w:hAnsi="宋体" w:cs="宋体"/>
                <w:color w:val="auto"/>
                <w:szCs w:val="21"/>
                <w:highlight w:val="none"/>
              </w:rPr>
            </w:pPr>
          </w:p>
        </w:tc>
        <w:tc>
          <w:tcPr>
            <w:tcW w:w="560" w:type="dxa"/>
            <w:noWrap w:val="0"/>
            <w:vAlign w:val="center"/>
          </w:tcPr>
          <w:p w14:paraId="75335D67">
            <w:pPr>
              <w:jc w:val="center"/>
              <w:rPr>
                <w:rFonts w:hint="eastAsia" w:ascii="宋体" w:hAnsi="宋体" w:cs="宋体"/>
                <w:color w:val="auto"/>
                <w:szCs w:val="21"/>
                <w:highlight w:val="none"/>
              </w:rPr>
            </w:pPr>
          </w:p>
        </w:tc>
        <w:tc>
          <w:tcPr>
            <w:tcW w:w="1929" w:type="dxa"/>
            <w:noWrap w:val="0"/>
            <w:vAlign w:val="center"/>
          </w:tcPr>
          <w:p w14:paraId="785B5586">
            <w:pPr>
              <w:jc w:val="center"/>
              <w:rPr>
                <w:rFonts w:hint="eastAsia" w:ascii="宋体" w:hAnsi="宋体" w:cs="宋体"/>
                <w:color w:val="auto"/>
                <w:szCs w:val="21"/>
                <w:highlight w:val="none"/>
              </w:rPr>
            </w:pPr>
          </w:p>
        </w:tc>
        <w:tc>
          <w:tcPr>
            <w:tcW w:w="826" w:type="dxa"/>
            <w:noWrap w:val="0"/>
            <w:vAlign w:val="center"/>
          </w:tcPr>
          <w:p w14:paraId="665A5F65">
            <w:pPr>
              <w:jc w:val="center"/>
              <w:rPr>
                <w:rFonts w:hint="eastAsia" w:ascii="宋体" w:hAnsi="宋体" w:cs="宋体"/>
                <w:color w:val="auto"/>
                <w:szCs w:val="21"/>
                <w:highlight w:val="none"/>
              </w:rPr>
            </w:pPr>
          </w:p>
        </w:tc>
        <w:tc>
          <w:tcPr>
            <w:tcW w:w="2241" w:type="dxa"/>
            <w:tcBorders>
              <w:right w:val="single" w:color="auto" w:sz="4" w:space="0"/>
            </w:tcBorders>
            <w:noWrap w:val="0"/>
            <w:vAlign w:val="center"/>
          </w:tcPr>
          <w:p w14:paraId="6632A58D">
            <w:pPr>
              <w:jc w:val="center"/>
              <w:rPr>
                <w:rFonts w:hint="eastAsia" w:ascii="宋体" w:hAnsi="宋体" w:cs="宋体"/>
                <w:color w:val="auto"/>
                <w:szCs w:val="21"/>
                <w:highlight w:val="none"/>
              </w:rPr>
            </w:pPr>
          </w:p>
        </w:tc>
      </w:tr>
      <w:tr w14:paraId="19CC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59" w:type="dxa"/>
            <w:tcBorders>
              <w:left w:val="single" w:color="auto" w:sz="4" w:space="0"/>
              <w:right w:val="single" w:color="auto" w:sz="4" w:space="0"/>
            </w:tcBorders>
            <w:noWrap w:val="0"/>
            <w:vAlign w:val="center"/>
          </w:tcPr>
          <w:p w14:paraId="0E835BD8">
            <w:pPr>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491" w:type="dxa"/>
            <w:tcBorders>
              <w:left w:val="single" w:color="auto" w:sz="4" w:space="0"/>
              <w:right w:val="single" w:color="auto" w:sz="4" w:space="0"/>
            </w:tcBorders>
            <w:noWrap w:val="0"/>
            <w:vAlign w:val="center"/>
          </w:tcPr>
          <w:p w14:paraId="594996EF">
            <w:pPr>
              <w:jc w:val="center"/>
              <w:rPr>
                <w:rFonts w:hint="eastAsia" w:ascii="宋体" w:hAnsi="宋体" w:cs="宋体"/>
                <w:color w:val="auto"/>
                <w:szCs w:val="21"/>
                <w:highlight w:val="none"/>
              </w:rPr>
            </w:pPr>
          </w:p>
        </w:tc>
        <w:tc>
          <w:tcPr>
            <w:tcW w:w="560" w:type="dxa"/>
            <w:tcBorders>
              <w:left w:val="single" w:color="auto" w:sz="4" w:space="0"/>
              <w:right w:val="single" w:color="auto" w:sz="4" w:space="0"/>
            </w:tcBorders>
            <w:noWrap w:val="0"/>
            <w:vAlign w:val="center"/>
          </w:tcPr>
          <w:p w14:paraId="20A709D0">
            <w:pPr>
              <w:jc w:val="center"/>
              <w:rPr>
                <w:rFonts w:hint="eastAsia" w:ascii="宋体" w:hAnsi="宋体" w:cs="宋体"/>
                <w:color w:val="auto"/>
                <w:szCs w:val="21"/>
                <w:highlight w:val="none"/>
              </w:rPr>
            </w:pPr>
          </w:p>
        </w:tc>
        <w:tc>
          <w:tcPr>
            <w:tcW w:w="560" w:type="dxa"/>
            <w:tcBorders>
              <w:left w:val="single" w:color="auto" w:sz="4" w:space="0"/>
            </w:tcBorders>
            <w:noWrap w:val="0"/>
            <w:vAlign w:val="center"/>
          </w:tcPr>
          <w:p w14:paraId="2D966FF2">
            <w:pPr>
              <w:jc w:val="center"/>
              <w:rPr>
                <w:rFonts w:hint="eastAsia" w:ascii="宋体" w:hAnsi="宋体" w:cs="宋体"/>
                <w:color w:val="auto"/>
                <w:szCs w:val="21"/>
                <w:highlight w:val="none"/>
              </w:rPr>
            </w:pPr>
          </w:p>
        </w:tc>
        <w:tc>
          <w:tcPr>
            <w:tcW w:w="560" w:type="dxa"/>
            <w:tcBorders>
              <w:left w:val="single" w:color="auto" w:sz="4" w:space="0"/>
            </w:tcBorders>
            <w:noWrap w:val="0"/>
            <w:vAlign w:val="center"/>
          </w:tcPr>
          <w:p w14:paraId="569D3DCB">
            <w:pPr>
              <w:jc w:val="center"/>
              <w:rPr>
                <w:rFonts w:hint="eastAsia" w:ascii="宋体" w:hAnsi="宋体" w:cs="宋体"/>
                <w:color w:val="auto"/>
                <w:szCs w:val="21"/>
                <w:highlight w:val="none"/>
              </w:rPr>
            </w:pPr>
          </w:p>
        </w:tc>
        <w:tc>
          <w:tcPr>
            <w:tcW w:w="560" w:type="dxa"/>
            <w:noWrap w:val="0"/>
            <w:vAlign w:val="center"/>
          </w:tcPr>
          <w:p w14:paraId="61B3F63C">
            <w:pPr>
              <w:jc w:val="center"/>
              <w:rPr>
                <w:rFonts w:hint="eastAsia" w:ascii="宋体" w:hAnsi="宋体" w:cs="宋体"/>
                <w:color w:val="auto"/>
                <w:szCs w:val="21"/>
                <w:highlight w:val="none"/>
              </w:rPr>
            </w:pPr>
          </w:p>
        </w:tc>
        <w:tc>
          <w:tcPr>
            <w:tcW w:w="1929" w:type="dxa"/>
            <w:noWrap w:val="0"/>
            <w:vAlign w:val="center"/>
          </w:tcPr>
          <w:p w14:paraId="60FEC7E9">
            <w:pPr>
              <w:jc w:val="center"/>
              <w:rPr>
                <w:rFonts w:hint="eastAsia" w:ascii="宋体" w:hAnsi="宋体" w:cs="宋体"/>
                <w:color w:val="auto"/>
                <w:szCs w:val="21"/>
                <w:highlight w:val="none"/>
              </w:rPr>
            </w:pPr>
          </w:p>
        </w:tc>
        <w:tc>
          <w:tcPr>
            <w:tcW w:w="826" w:type="dxa"/>
            <w:noWrap w:val="0"/>
            <w:vAlign w:val="center"/>
          </w:tcPr>
          <w:p w14:paraId="42D46E0B">
            <w:pPr>
              <w:jc w:val="center"/>
              <w:rPr>
                <w:rFonts w:hint="eastAsia" w:ascii="宋体" w:hAnsi="宋体" w:cs="宋体"/>
                <w:color w:val="auto"/>
                <w:szCs w:val="21"/>
                <w:highlight w:val="none"/>
              </w:rPr>
            </w:pPr>
          </w:p>
        </w:tc>
        <w:tc>
          <w:tcPr>
            <w:tcW w:w="2241" w:type="dxa"/>
            <w:tcBorders>
              <w:right w:val="single" w:color="auto" w:sz="4" w:space="0"/>
            </w:tcBorders>
            <w:noWrap w:val="0"/>
            <w:vAlign w:val="center"/>
          </w:tcPr>
          <w:p w14:paraId="34447EB5">
            <w:pPr>
              <w:jc w:val="center"/>
              <w:rPr>
                <w:rFonts w:hint="eastAsia" w:ascii="宋体" w:hAnsi="宋体" w:cs="宋体"/>
                <w:color w:val="auto"/>
                <w:szCs w:val="21"/>
                <w:highlight w:val="none"/>
              </w:rPr>
            </w:pPr>
          </w:p>
        </w:tc>
      </w:tr>
    </w:tbl>
    <w:p w14:paraId="1D4FAFBB">
      <w:pPr>
        <w:spacing w:before="120" w:beforeLines="50" w:line="360" w:lineRule="auto"/>
        <w:rPr>
          <w:rFonts w:hint="eastAsia" w:ascii="宋体" w:hAnsi="宋体" w:cs="宋体"/>
          <w:color w:val="auto"/>
          <w:szCs w:val="21"/>
          <w:highlight w:val="none"/>
          <w:lang w:val="en-GB"/>
        </w:rPr>
      </w:pPr>
      <w:r>
        <w:rPr>
          <w:rFonts w:hint="eastAsia" w:ascii="宋体" w:hAnsi="宋体" w:cs="宋体"/>
          <w:color w:val="auto"/>
          <w:szCs w:val="21"/>
          <w:highlight w:val="none"/>
          <w:lang w:val="en-GB"/>
        </w:rPr>
        <w:t>注：需按招标文件要求提供上述团队成员职称证书复印件。</w:t>
      </w:r>
    </w:p>
    <w:p w14:paraId="459235CB">
      <w:pPr>
        <w:pStyle w:val="6"/>
        <w:spacing w:line="360" w:lineRule="auto"/>
        <w:ind w:left="0" w:firstLine="0"/>
        <w:rPr>
          <w:rFonts w:hint="eastAsia" w:ascii="宋体" w:hAnsi="宋体" w:cs="宋体"/>
          <w:color w:val="auto"/>
          <w:sz w:val="21"/>
          <w:szCs w:val="21"/>
          <w:highlight w:val="none"/>
        </w:rPr>
      </w:pPr>
      <w:r>
        <w:rPr>
          <w:rFonts w:hint="eastAsia" w:ascii="宋体" w:hAnsi="宋体" w:cs="宋体"/>
          <w:color w:val="auto"/>
          <w:sz w:val="21"/>
          <w:szCs w:val="21"/>
          <w:highlight w:val="none"/>
        </w:rPr>
        <w:t>（5）企业资信状况（如需，格式自拟）；</w:t>
      </w:r>
    </w:p>
    <w:p w14:paraId="77C4F9F2">
      <w:pPr>
        <w:pStyle w:val="6"/>
        <w:spacing w:line="360" w:lineRule="auto"/>
        <w:ind w:left="0" w:firstLine="0"/>
        <w:rPr>
          <w:rFonts w:hint="eastAsia" w:ascii="宋体" w:hAnsi="宋体" w:cs="宋体"/>
          <w:color w:val="auto"/>
          <w:sz w:val="21"/>
          <w:szCs w:val="21"/>
          <w:highlight w:val="none"/>
        </w:rPr>
      </w:pPr>
      <w:r>
        <w:rPr>
          <w:rFonts w:hint="eastAsia" w:ascii="宋体" w:hAnsi="宋体" w:cs="宋体"/>
          <w:color w:val="auto"/>
          <w:sz w:val="21"/>
          <w:szCs w:val="21"/>
          <w:highlight w:val="none"/>
        </w:rPr>
        <w:t>（6）企业综合实力（如需，格式自拟）；</w:t>
      </w:r>
    </w:p>
    <w:p w14:paraId="2D534F23">
      <w:pPr>
        <w:pStyle w:val="6"/>
        <w:spacing w:line="360" w:lineRule="auto"/>
        <w:ind w:left="0" w:firstLine="0"/>
        <w:rPr>
          <w:rFonts w:hint="eastAsia" w:ascii="宋体" w:hAnsi="宋体" w:cs="宋体"/>
          <w:color w:val="auto"/>
          <w:sz w:val="21"/>
          <w:szCs w:val="21"/>
          <w:highlight w:val="none"/>
        </w:rPr>
      </w:pPr>
      <w:r>
        <w:rPr>
          <w:rFonts w:hint="eastAsia" w:ascii="宋体" w:hAnsi="宋体" w:cs="宋体"/>
          <w:color w:val="auto"/>
          <w:sz w:val="21"/>
          <w:szCs w:val="21"/>
          <w:highlight w:val="none"/>
        </w:rPr>
        <w:t>（7）企业履约信用、荣誉（如需，格式自拟）；</w:t>
      </w:r>
    </w:p>
    <w:p w14:paraId="2B5FEC40">
      <w:pPr>
        <w:pStyle w:val="6"/>
        <w:spacing w:line="360" w:lineRule="auto"/>
        <w:ind w:left="0" w:firstLine="0"/>
        <w:rPr>
          <w:rFonts w:hint="eastAsia" w:ascii="宋体" w:hAnsi="宋体" w:cs="宋体"/>
          <w:color w:val="auto"/>
          <w:sz w:val="21"/>
          <w:szCs w:val="21"/>
          <w:highlight w:val="none"/>
        </w:rPr>
      </w:pPr>
      <w:r>
        <w:rPr>
          <w:rFonts w:hint="eastAsia" w:ascii="宋体" w:hAnsi="宋体" w:cs="宋体"/>
          <w:color w:val="auto"/>
          <w:sz w:val="21"/>
          <w:szCs w:val="21"/>
          <w:highlight w:val="none"/>
        </w:rPr>
        <w:t>（8）其他商务证明材料（投标人根据商务评分表内容及认为需要补充的说明提供相关材料）。</w:t>
      </w:r>
    </w:p>
    <w:p w14:paraId="74EC1891">
      <w:pPr>
        <w:spacing w:line="360" w:lineRule="auto"/>
        <w:rPr>
          <w:rFonts w:hint="eastAsia" w:ascii="宋体" w:hAnsi="宋体" w:cs="宋体"/>
          <w:color w:val="auto"/>
          <w:szCs w:val="21"/>
          <w:highlight w:val="none"/>
        </w:rPr>
      </w:pPr>
    </w:p>
    <w:p w14:paraId="002C82C1">
      <w:pPr>
        <w:spacing w:line="360" w:lineRule="auto"/>
        <w:rPr>
          <w:rFonts w:hint="eastAsia" w:ascii="宋体" w:hAnsi="宋体" w:cs="宋体"/>
          <w:color w:val="auto"/>
          <w:szCs w:val="21"/>
          <w:highlight w:val="none"/>
        </w:rPr>
        <w:sectPr>
          <w:footnotePr>
            <w:pos w:val="beneathText"/>
          </w:footnotePr>
          <w:pgSz w:w="11906" w:h="16838"/>
          <w:pgMar w:top="1418" w:right="1418" w:bottom="1418" w:left="1418" w:header="850" w:footer="992" w:gutter="0"/>
          <w:cols w:space="720" w:num="1"/>
          <w:docGrid w:linePitch="333" w:charSpace="0"/>
        </w:sectPr>
      </w:pPr>
    </w:p>
    <w:p w14:paraId="68ABCAC6">
      <w:pPr>
        <w:spacing w:line="480" w:lineRule="auto"/>
        <w:rPr>
          <w:rFonts w:hint="eastAsia" w:ascii="宋体" w:hAnsi="宋体" w:cs="宋体"/>
          <w:b/>
          <w:bCs/>
          <w:color w:val="auto"/>
          <w:highlight w:val="none"/>
        </w:rPr>
      </w:pPr>
      <w:r>
        <w:rPr>
          <w:rFonts w:hint="eastAsia" w:ascii="宋体" w:hAnsi="宋体" w:cs="宋体"/>
          <w:b/>
          <w:bCs/>
          <w:color w:val="auto"/>
          <w:highlight w:val="none"/>
        </w:rPr>
        <w:t>（二）主要商务条件响应表</w:t>
      </w:r>
    </w:p>
    <w:p w14:paraId="1F772985">
      <w:pPr>
        <w:spacing w:line="360" w:lineRule="auto"/>
        <w:jc w:val="center"/>
        <w:rPr>
          <w:rFonts w:hint="eastAsia" w:ascii="宋体" w:hAnsi="宋体" w:cs="宋体"/>
          <w:b/>
          <w:color w:val="auto"/>
          <w:sz w:val="28"/>
          <w:highlight w:val="none"/>
        </w:rPr>
      </w:pPr>
      <w:r>
        <w:rPr>
          <w:rFonts w:hint="eastAsia" w:ascii="宋体" w:hAnsi="宋体" w:cs="宋体"/>
          <w:b/>
          <w:color w:val="auto"/>
          <w:sz w:val="28"/>
          <w:highlight w:val="none"/>
        </w:rPr>
        <w:t>主要商务条款响应表</w:t>
      </w:r>
    </w:p>
    <w:p w14:paraId="25E01C40">
      <w:pPr>
        <w:spacing w:line="360" w:lineRule="auto"/>
        <w:ind w:left="618" w:hanging="618"/>
        <w:rPr>
          <w:rFonts w:hint="eastAsia" w:ascii="宋体" w:hAnsi="宋体" w:cs="宋体"/>
          <w:color w:val="auto"/>
          <w:highlight w:val="none"/>
        </w:rPr>
      </w:pPr>
      <w:r>
        <w:rPr>
          <w:rFonts w:hint="eastAsia" w:ascii="宋体" w:hAnsi="宋体" w:cs="宋体"/>
          <w:color w:val="auto"/>
          <w:highlight w:val="none"/>
        </w:rPr>
        <w:t>[说明]投标人应对招标文件第四部分合同所有条款的内容（而非题目）作全面响应，并在“响应”栏中打“√”，有差异的请在“备注”栏中注明具体偏离情况。</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2961"/>
        <w:gridCol w:w="2756"/>
        <w:gridCol w:w="1020"/>
        <w:gridCol w:w="1020"/>
      </w:tblGrid>
      <w:tr w14:paraId="0CA5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1" w:type="dxa"/>
            <w:noWrap w:val="0"/>
            <w:vAlign w:val="center"/>
          </w:tcPr>
          <w:p w14:paraId="5123348D">
            <w:pPr>
              <w:spacing w:line="200" w:lineRule="atLeast"/>
              <w:jc w:val="center"/>
              <w:rPr>
                <w:rFonts w:hint="eastAsia" w:ascii="宋体" w:hAnsi="宋体" w:cs="宋体"/>
                <w:color w:val="auto"/>
                <w:highlight w:val="none"/>
              </w:rPr>
            </w:pPr>
            <w:r>
              <w:rPr>
                <w:rFonts w:hint="eastAsia" w:ascii="宋体" w:hAnsi="宋体" w:cs="宋体"/>
                <w:color w:val="auto"/>
                <w:highlight w:val="none"/>
              </w:rPr>
              <w:t>序号</w:t>
            </w:r>
          </w:p>
        </w:tc>
        <w:tc>
          <w:tcPr>
            <w:tcW w:w="2961" w:type="dxa"/>
            <w:noWrap w:val="0"/>
            <w:vAlign w:val="center"/>
          </w:tcPr>
          <w:p w14:paraId="3A603BC6">
            <w:pPr>
              <w:spacing w:line="200" w:lineRule="atLeast"/>
              <w:jc w:val="center"/>
              <w:rPr>
                <w:rFonts w:hint="eastAsia" w:ascii="宋体" w:hAnsi="宋体" w:cs="宋体"/>
                <w:color w:val="auto"/>
                <w:highlight w:val="none"/>
              </w:rPr>
            </w:pPr>
            <w:r>
              <w:rPr>
                <w:rFonts w:hint="eastAsia" w:ascii="宋体" w:hAnsi="宋体" w:cs="宋体"/>
                <w:color w:val="auto"/>
                <w:highlight w:val="none"/>
              </w:rPr>
              <w:t>商务条款</w:t>
            </w:r>
          </w:p>
        </w:tc>
        <w:tc>
          <w:tcPr>
            <w:tcW w:w="2756" w:type="dxa"/>
            <w:noWrap w:val="0"/>
            <w:vAlign w:val="center"/>
          </w:tcPr>
          <w:p w14:paraId="6901F695">
            <w:pPr>
              <w:spacing w:line="200" w:lineRule="atLeast"/>
              <w:jc w:val="center"/>
              <w:rPr>
                <w:rFonts w:hint="eastAsia" w:ascii="宋体" w:hAnsi="宋体" w:cs="宋体"/>
                <w:color w:val="auto"/>
                <w:highlight w:val="none"/>
              </w:rPr>
            </w:pPr>
            <w:r>
              <w:rPr>
                <w:rFonts w:hint="eastAsia" w:ascii="宋体" w:hAnsi="宋体" w:cs="宋体"/>
                <w:color w:val="auto"/>
                <w:highlight w:val="none"/>
              </w:rPr>
              <w:t>条款内容</w:t>
            </w:r>
          </w:p>
        </w:tc>
        <w:tc>
          <w:tcPr>
            <w:tcW w:w="1020" w:type="dxa"/>
            <w:noWrap w:val="0"/>
            <w:vAlign w:val="center"/>
          </w:tcPr>
          <w:p w14:paraId="0808558A">
            <w:pPr>
              <w:spacing w:line="200" w:lineRule="atLeast"/>
              <w:jc w:val="center"/>
              <w:rPr>
                <w:rFonts w:hint="eastAsia" w:ascii="宋体" w:hAnsi="宋体" w:cs="宋体"/>
                <w:color w:val="auto"/>
                <w:highlight w:val="none"/>
              </w:rPr>
            </w:pPr>
            <w:r>
              <w:rPr>
                <w:rFonts w:hint="eastAsia" w:ascii="宋体" w:hAnsi="宋体" w:cs="宋体"/>
                <w:color w:val="auto"/>
                <w:highlight w:val="none"/>
              </w:rPr>
              <w:t>响应</w:t>
            </w:r>
          </w:p>
        </w:tc>
        <w:tc>
          <w:tcPr>
            <w:tcW w:w="1020" w:type="dxa"/>
            <w:noWrap w:val="0"/>
            <w:vAlign w:val="center"/>
          </w:tcPr>
          <w:p w14:paraId="152590B7">
            <w:pPr>
              <w:spacing w:line="200" w:lineRule="atLeast"/>
              <w:jc w:val="center"/>
              <w:rPr>
                <w:rFonts w:hint="eastAsia" w:ascii="宋体" w:hAnsi="宋体" w:cs="宋体"/>
                <w:color w:val="auto"/>
                <w:highlight w:val="none"/>
              </w:rPr>
            </w:pPr>
            <w:r>
              <w:rPr>
                <w:rFonts w:hint="eastAsia" w:ascii="宋体" w:hAnsi="宋体" w:cs="宋体"/>
                <w:color w:val="auto"/>
                <w:highlight w:val="none"/>
              </w:rPr>
              <w:t>备注</w:t>
            </w:r>
          </w:p>
        </w:tc>
      </w:tr>
      <w:tr w14:paraId="471C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1" w:type="dxa"/>
            <w:noWrap w:val="0"/>
            <w:vAlign w:val="center"/>
          </w:tcPr>
          <w:p w14:paraId="6F2DE57A">
            <w:pPr>
              <w:spacing w:line="200" w:lineRule="atLeast"/>
              <w:jc w:val="center"/>
              <w:rPr>
                <w:rFonts w:hint="eastAsia" w:ascii="宋体" w:hAnsi="宋体" w:cs="宋体"/>
                <w:color w:val="auto"/>
                <w:highlight w:val="none"/>
              </w:rPr>
            </w:pPr>
            <w:r>
              <w:rPr>
                <w:rFonts w:hint="eastAsia" w:ascii="宋体" w:hAnsi="宋体" w:cs="宋体"/>
                <w:color w:val="auto"/>
                <w:highlight w:val="none"/>
              </w:rPr>
              <w:t>1</w:t>
            </w:r>
          </w:p>
        </w:tc>
        <w:tc>
          <w:tcPr>
            <w:tcW w:w="2961" w:type="dxa"/>
            <w:noWrap w:val="0"/>
            <w:vAlign w:val="center"/>
          </w:tcPr>
          <w:p w14:paraId="12C8A637">
            <w:pPr>
              <w:jc w:val="center"/>
              <w:rPr>
                <w:rFonts w:hint="eastAsia" w:ascii="宋体" w:hAnsi="宋体" w:cs="宋体"/>
                <w:color w:val="auto"/>
                <w:szCs w:val="21"/>
                <w:highlight w:val="none"/>
              </w:rPr>
            </w:pPr>
          </w:p>
        </w:tc>
        <w:tc>
          <w:tcPr>
            <w:tcW w:w="2756" w:type="dxa"/>
            <w:noWrap w:val="0"/>
            <w:vAlign w:val="center"/>
          </w:tcPr>
          <w:p w14:paraId="2932E3F7">
            <w:pPr>
              <w:pStyle w:val="21"/>
              <w:rPr>
                <w:rFonts w:hint="eastAsia" w:cs="宋体"/>
                <w:color w:val="auto"/>
                <w:highlight w:val="none"/>
              </w:rPr>
            </w:pPr>
          </w:p>
        </w:tc>
        <w:tc>
          <w:tcPr>
            <w:tcW w:w="1020" w:type="dxa"/>
            <w:noWrap w:val="0"/>
            <w:vAlign w:val="center"/>
          </w:tcPr>
          <w:p w14:paraId="7596B19A">
            <w:pPr>
              <w:spacing w:line="200" w:lineRule="atLeast"/>
              <w:jc w:val="center"/>
              <w:rPr>
                <w:rFonts w:hint="eastAsia" w:ascii="宋体" w:hAnsi="宋体" w:cs="宋体"/>
                <w:color w:val="auto"/>
                <w:highlight w:val="none"/>
              </w:rPr>
            </w:pPr>
          </w:p>
        </w:tc>
        <w:tc>
          <w:tcPr>
            <w:tcW w:w="1020" w:type="dxa"/>
            <w:noWrap w:val="0"/>
            <w:vAlign w:val="center"/>
          </w:tcPr>
          <w:p w14:paraId="66CE1489">
            <w:pPr>
              <w:spacing w:line="200" w:lineRule="atLeast"/>
              <w:jc w:val="center"/>
              <w:rPr>
                <w:rFonts w:hint="eastAsia" w:ascii="宋体" w:hAnsi="宋体" w:cs="宋体"/>
                <w:color w:val="auto"/>
                <w:highlight w:val="none"/>
              </w:rPr>
            </w:pPr>
          </w:p>
        </w:tc>
      </w:tr>
      <w:tr w14:paraId="53FE2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1" w:type="dxa"/>
            <w:noWrap w:val="0"/>
            <w:vAlign w:val="center"/>
          </w:tcPr>
          <w:p w14:paraId="5C6E9C39">
            <w:pPr>
              <w:spacing w:line="200" w:lineRule="atLeast"/>
              <w:jc w:val="center"/>
              <w:rPr>
                <w:rFonts w:hint="eastAsia" w:ascii="宋体" w:hAnsi="宋体" w:cs="宋体"/>
                <w:color w:val="auto"/>
                <w:highlight w:val="none"/>
              </w:rPr>
            </w:pPr>
            <w:r>
              <w:rPr>
                <w:rFonts w:hint="eastAsia" w:ascii="宋体" w:hAnsi="宋体" w:cs="宋体"/>
                <w:color w:val="auto"/>
                <w:highlight w:val="none"/>
              </w:rPr>
              <w:t>2</w:t>
            </w:r>
          </w:p>
        </w:tc>
        <w:tc>
          <w:tcPr>
            <w:tcW w:w="2961" w:type="dxa"/>
            <w:noWrap w:val="0"/>
            <w:vAlign w:val="center"/>
          </w:tcPr>
          <w:p w14:paraId="303F26F7">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2756" w:type="dxa"/>
            <w:noWrap w:val="0"/>
            <w:vAlign w:val="center"/>
          </w:tcPr>
          <w:p w14:paraId="419CCF11">
            <w:pPr>
              <w:pStyle w:val="21"/>
              <w:rPr>
                <w:rFonts w:hint="eastAsia" w:cs="宋体"/>
                <w:color w:val="auto"/>
                <w:highlight w:val="none"/>
              </w:rPr>
            </w:pPr>
          </w:p>
        </w:tc>
        <w:tc>
          <w:tcPr>
            <w:tcW w:w="1020" w:type="dxa"/>
            <w:noWrap w:val="0"/>
            <w:vAlign w:val="center"/>
          </w:tcPr>
          <w:p w14:paraId="205749B7">
            <w:pPr>
              <w:spacing w:line="200" w:lineRule="atLeast"/>
              <w:jc w:val="center"/>
              <w:rPr>
                <w:rFonts w:hint="eastAsia" w:ascii="宋体" w:hAnsi="宋体" w:cs="宋体"/>
                <w:color w:val="auto"/>
                <w:highlight w:val="none"/>
              </w:rPr>
            </w:pPr>
          </w:p>
        </w:tc>
        <w:tc>
          <w:tcPr>
            <w:tcW w:w="1020" w:type="dxa"/>
            <w:noWrap w:val="0"/>
            <w:vAlign w:val="center"/>
          </w:tcPr>
          <w:p w14:paraId="101AEAFD">
            <w:pPr>
              <w:spacing w:line="200" w:lineRule="atLeast"/>
              <w:jc w:val="center"/>
              <w:rPr>
                <w:rFonts w:hint="eastAsia" w:ascii="宋体" w:hAnsi="宋体" w:cs="宋体"/>
                <w:color w:val="auto"/>
                <w:highlight w:val="none"/>
              </w:rPr>
            </w:pPr>
          </w:p>
        </w:tc>
      </w:tr>
      <w:tr w14:paraId="2E011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1" w:type="dxa"/>
            <w:noWrap w:val="0"/>
            <w:vAlign w:val="center"/>
          </w:tcPr>
          <w:p w14:paraId="18C1728C">
            <w:pPr>
              <w:spacing w:line="200" w:lineRule="atLeast"/>
              <w:jc w:val="center"/>
              <w:rPr>
                <w:rFonts w:hint="eastAsia" w:ascii="宋体" w:hAnsi="宋体" w:cs="宋体"/>
                <w:color w:val="auto"/>
                <w:highlight w:val="none"/>
              </w:rPr>
            </w:pPr>
          </w:p>
        </w:tc>
        <w:tc>
          <w:tcPr>
            <w:tcW w:w="2961" w:type="dxa"/>
            <w:noWrap w:val="0"/>
            <w:vAlign w:val="center"/>
          </w:tcPr>
          <w:p w14:paraId="4846D41C">
            <w:pPr>
              <w:rPr>
                <w:rFonts w:hint="eastAsia" w:ascii="宋体" w:hAnsi="宋体" w:cs="宋体"/>
                <w:color w:val="auto"/>
                <w:szCs w:val="21"/>
                <w:highlight w:val="none"/>
              </w:rPr>
            </w:pPr>
          </w:p>
        </w:tc>
        <w:tc>
          <w:tcPr>
            <w:tcW w:w="2756" w:type="dxa"/>
            <w:noWrap w:val="0"/>
            <w:vAlign w:val="center"/>
          </w:tcPr>
          <w:p w14:paraId="44734812">
            <w:pPr>
              <w:pStyle w:val="21"/>
              <w:rPr>
                <w:rFonts w:hint="eastAsia" w:cs="宋体"/>
                <w:color w:val="auto"/>
                <w:highlight w:val="none"/>
              </w:rPr>
            </w:pPr>
          </w:p>
        </w:tc>
        <w:tc>
          <w:tcPr>
            <w:tcW w:w="1020" w:type="dxa"/>
            <w:noWrap w:val="0"/>
            <w:vAlign w:val="center"/>
          </w:tcPr>
          <w:p w14:paraId="5AA6C780">
            <w:pPr>
              <w:spacing w:line="200" w:lineRule="atLeast"/>
              <w:jc w:val="center"/>
              <w:rPr>
                <w:rFonts w:hint="eastAsia" w:ascii="宋体" w:hAnsi="宋体" w:cs="宋体"/>
                <w:color w:val="auto"/>
                <w:highlight w:val="none"/>
              </w:rPr>
            </w:pPr>
          </w:p>
        </w:tc>
        <w:tc>
          <w:tcPr>
            <w:tcW w:w="1020" w:type="dxa"/>
            <w:noWrap w:val="0"/>
            <w:vAlign w:val="center"/>
          </w:tcPr>
          <w:p w14:paraId="3ABB7051">
            <w:pPr>
              <w:spacing w:line="200" w:lineRule="atLeast"/>
              <w:jc w:val="center"/>
              <w:rPr>
                <w:rFonts w:hint="eastAsia" w:ascii="宋体" w:hAnsi="宋体" w:cs="宋体"/>
                <w:color w:val="auto"/>
                <w:highlight w:val="none"/>
              </w:rPr>
            </w:pPr>
          </w:p>
        </w:tc>
      </w:tr>
      <w:tr w14:paraId="51380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1" w:type="dxa"/>
            <w:noWrap w:val="0"/>
            <w:vAlign w:val="center"/>
          </w:tcPr>
          <w:p w14:paraId="4F86D023">
            <w:pPr>
              <w:spacing w:line="200" w:lineRule="atLeast"/>
              <w:jc w:val="center"/>
              <w:rPr>
                <w:rFonts w:hint="eastAsia" w:ascii="宋体" w:hAnsi="宋体" w:cs="宋体"/>
                <w:color w:val="auto"/>
                <w:highlight w:val="none"/>
              </w:rPr>
            </w:pPr>
          </w:p>
        </w:tc>
        <w:tc>
          <w:tcPr>
            <w:tcW w:w="2961" w:type="dxa"/>
            <w:noWrap w:val="0"/>
            <w:vAlign w:val="center"/>
          </w:tcPr>
          <w:p w14:paraId="16202E75">
            <w:pPr>
              <w:rPr>
                <w:rFonts w:hint="eastAsia" w:ascii="宋体" w:hAnsi="宋体" w:cs="宋体"/>
                <w:color w:val="auto"/>
                <w:szCs w:val="21"/>
                <w:highlight w:val="none"/>
              </w:rPr>
            </w:pPr>
          </w:p>
        </w:tc>
        <w:tc>
          <w:tcPr>
            <w:tcW w:w="2756" w:type="dxa"/>
            <w:noWrap w:val="0"/>
            <w:vAlign w:val="center"/>
          </w:tcPr>
          <w:p w14:paraId="0FCA3DCE">
            <w:pPr>
              <w:pStyle w:val="21"/>
              <w:rPr>
                <w:rFonts w:hint="eastAsia" w:cs="宋体"/>
                <w:color w:val="auto"/>
                <w:highlight w:val="none"/>
              </w:rPr>
            </w:pPr>
          </w:p>
        </w:tc>
        <w:tc>
          <w:tcPr>
            <w:tcW w:w="1020" w:type="dxa"/>
            <w:noWrap w:val="0"/>
            <w:vAlign w:val="center"/>
          </w:tcPr>
          <w:p w14:paraId="585F86C2">
            <w:pPr>
              <w:spacing w:line="200" w:lineRule="atLeast"/>
              <w:jc w:val="center"/>
              <w:rPr>
                <w:rFonts w:hint="eastAsia" w:ascii="宋体" w:hAnsi="宋体" w:cs="宋体"/>
                <w:color w:val="auto"/>
                <w:highlight w:val="none"/>
              </w:rPr>
            </w:pPr>
          </w:p>
        </w:tc>
        <w:tc>
          <w:tcPr>
            <w:tcW w:w="1020" w:type="dxa"/>
            <w:noWrap w:val="0"/>
            <w:vAlign w:val="center"/>
          </w:tcPr>
          <w:p w14:paraId="063282DB">
            <w:pPr>
              <w:spacing w:line="200" w:lineRule="atLeast"/>
              <w:jc w:val="center"/>
              <w:rPr>
                <w:rFonts w:hint="eastAsia" w:ascii="宋体" w:hAnsi="宋体" w:cs="宋体"/>
                <w:color w:val="auto"/>
                <w:highlight w:val="none"/>
              </w:rPr>
            </w:pPr>
          </w:p>
        </w:tc>
      </w:tr>
      <w:tr w14:paraId="7C70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11" w:type="dxa"/>
            <w:noWrap w:val="0"/>
            <w:vAlign w:val="center"/>
          </w:tcPr>
          <w:p w14:paraId="2A3D39D3">
            <w:pPr>
              <w:spacing w:line="200" w:lineRule="atLeast"/>
              <w:jc w:val="center"/>
              <w:rPr>
                <w:rFonts w:hint="eastAsia" w:ascii="宋体" w:hAnsi="宋体" w:cs="宋体"/>
                <w:color w:val="auto"/>
                <w:highlight w:val="none"/>
              </w:rPr>
            </w:pPr>
          </w:p>
        </w:tc>
        <w:tc>
          <w:tcPr>
            <w:tcW w:w="2961" w:type="dxa"/>
            <w:noWrap w:val="0"/>
            <w:vAlign w:val="center"/>
          </w:tcPr>
          <w:p w14:paraId="1B166C39">
            <w:pPr>
              <w:rPr>
                <w:rFonts w:hint="eastAsia" w:ascii="宋体" w:hAnsi="宋体" w:cs="宋体"/>
                <w:color w:val="auto"/>
                <w:szCs w:val="21"/>
                <w:highlight w:val="none"/>
              </w:rPr>
            </w:pPr>
          </w:p>
        </w:tc>
        <w:tc>
          <w:tcPr>
            <w:tcW w:w="2756" w:type="dxa"/>
            <w:noWrap w:val="0"/>
            <w:vAlign w:val="center"/>
          </w:tcPr>
          <w:p w14:paraId="4DDBFD18">
            <w:pPr>
              <w:pStyle w:val="21"/>
              <w:rPr>
                <w:rFonts w:hint="eastAsia" w:cs="宋体"/>
                <w:color w:val="auto"/>
                <w:highlight w:val="none"/>
              </w:rPr>
            </w:pPr>
          </w:p>
        </w:tc>
        <w:tc>
          <w:tcPr>
            <w:tcW w:w="1020" w:type="dxa"/>
            <w:noWrap w:val="0"/>
            <w:vAlign w:val="center"/>
          </w:tcPr>
          <w:p w14:paraId="6F91A576">
            <w:pPr>
              <w:spacing w:line="200" w:lineRule="atLeast"/>
              <w:jc w:val="center"/>
              <w:rPr>
                <w:rFonts w:hint="eastAsia" w:ascii="宋体" w:hAnsi="宋体" w:cs="宋体"/>
                <w:color w:val="auto"/>
                <w:highlight w:val="none"/>
              </w:rPr>
            </w:pPr>
          </w:p>
        </w:tc>
        <w:tc>
          <w:tcPr>
            <w:tcW w:w="1020" w:type="dxa"/>
            <w:noWrap w:val="0"/>
            <w:vAlign w:val="center"/>
          </w:tcPr>
          <w:p w14:paraId="2542A42A">
            <w:pPr>
              <w:spacing w:line="200" w:lineRule="atLeast"/>
              <w:jc w:val="center"/>
              <w:rPr>
                <w:rFonts w:hint="eastAsia" w:ascii="宋体" w:hAnsi="宋体" w:cs="宋体"/>
                <w:color w:val="auto"/>
                <w:highlight w:val="none"/>
              </w:rPr>
            </w:pPr>
          </w:p>
        </w:tc>
      </w:tr>
    </w:tbl>
    <w:p w14:paraId="67EC2593">
      <w:pPr>
        <w:spacing w:line="360" w:lineRule="auto"/>
        <w:rPr>
          <w:rFonts w:hint="eastAsia" w:ascii="宋体" w:hAnsi="宋体" w:cs="宋体"/>
          <w:color w:val="auto"/>
          <w:highlight w:val="none"/>
        </w:rPr>
      </w:pPr>
    </w:p>
    <w:p w14:paraId="33071818">
      <w:pPr>
        <w:spacing w:line="360" w:lineRule="auto"/>
        <w:rPr>
          <w:rFonts w:hint="eastAsia" w:ascii="宋体" w:hAnsi="宋体" w:cs="宋体"/>
          <w:color w:val="auto"/>
          <w:highlight w:val="none"/>
        </w:rPr>
      </w:pPr>
      <w:r>
        <w:rPr>
          <w:rFonts w:hint="eastAsia" w:ascii="宋体" w:hAnsi="宋体" w:cs="宋体"/>
          <w:color w:val="auto"/>
          <w:highlight w:val="none"/>
        </w:rPr>
        <w:t>说明：</w:t>
      </w:r>
    </w:p>
    <w:p w14:paraId="57753DF3">
      <w:pPr>
        <w:spacing w:line="300" w:lineRule="auto"/>
        <w:rPr>
          <w:rFonts w:hint="eastAsia" w:ascii="宋体" w:hAnsi="宋体" w:cs="宋体"/>
          <w:bCs/>
          <w:color w:val="auto"/>
          <w:szCs w:val="21"/>
          <w:highlight w:val="none"/>
        </w:rPr>
      </w:pPr>
      <w:r>
        <w:rPr>
          <w:rFonts w:hint="eastAsia" w:ascii="宋体" w:hAnsi="宋体" w:cs="宋体"/>
          <w:bCs/>
          <w:color w:val="auto"/>
          <w:szCs w:val="21"/>
          <w:highlight w:val="none"/>
        </w:rPr>
        <w:t>如投标人对招标文件</w:t>
      </w:r>
      <w:r>
        <w:rPr>
          <w:rFonts w:hint="eastAsia" w:ascii="宋体" w:hAnsi="宋体" w:cs="宋体"/>
          <w:color w:val="auto"/>
          <w:highlight w:val="none"/>
        </w:rPr>
        <w:t>合同</w:t>
      </w:r>
      <w:r>
        <w:rPr>
          <w:rFonts w:hint="eastAsia" w:ascii="宋体" w:hAnsi="宋体" w:cs="宋体"/>
          <w:bCs/>
          <w:color w:val="auto"/>
          <w:szCs w:val="21"/>
          <w:highlight w:val="none"/>
        </w:rPr>
        <w:t>条款有偏离的必须填写上表，否则视为完全响应招标文件要求。</w:t>
      </w:r>
    </w:p>
    <w:p w14:paraId="7862FB82">
      <w:pPr>
        <w:spacing w:line="480" w:lineRule="auto"/>
        <w:rPr>
          <w:rFonts w:hint="eastAsia" w:ascii="宋体" w:hAnsi="宋体" w:cs="宋体"/>
          <w:color w:val="auto"/>
          <w:szCs w:val="22"/>
          <w:highlight w:val="none"/>
        </w:rPr>
      </w:pPr>
    </w:p>
    <w:p w14:paraId="389DCEC8">
      <w:pPr>
        <w:spacing w:line="360" w:lineRule="auto"/>
        <w:ind w:firstLine="3990" w:firstLineChars="1900"/>
        <w:rPr>
          <w:rFonts w:hint="eastAsia" w:ascii="宋体" w:hAnsi="宋体" w:cs="宋体"/>
          <w:color w:val="auto"/>
          <w:highlight w:val="none"/>
        </w:rPr>
      </w:pPr>
      <w:r>
        <w:rPr>
          <w:rFonts w:hint="eastAsia" w:ascii="宋体" w:hAnsi="宋体" w:cs="宋体"/>
          <w:color w:val="auto"/>
          <w:highlight w:val="none"/>
        </w:rPr>
        <w:t>投标人名称:（盖章）</w:t>
      </w:r>
    </w:p>
    <w:p w14:paraId="3E971B64">
      <w:pPr>
        <w:spacing w:line="360" w:lineRule="auto"/>
        <w:ind w:firstLine="3990" w:firstLineChars="1900"/>
        <w:rPr>
          <w:rFonts w:hint="eastAsia" w:ascii="宋体" w:hAnsi="宋体" w:cs="宋体"/>
          <w:color w:val="auto"/>
          <w:highlight w:val="none"/>
        </w:rPr>
      </w:pPr>
      <w:r>
        <w:rPr>
          <w:rFonts w:hint="eastAsia" w:ascii="宋体" w:hAnsi="宋体" w:cs="宋体"/>
          <w:color w:val="auto"/>
          <w:highlight w:val="none"/>
        </w:rPr>
        <w:t>日期：    年   月   日</w:t>
      </w:r>
    </w:p>
    <w:p w14:paraId="1BED5897">
      <w:pPr>
        <w:rPr>
          <w:rFonts w:hint="eastAsia" w:ascii="宋体" w:hAnsi="宋体" w:cs="宋体"/>
          <w:color w:val="auto"/>
          <w:highlight w:val="none"/>
        </w:rPr>
      </w:pPr>
      <w:r>
        <w:rPr>
          <w:rFonts w:hint="eastAsia" w:ascii="宋体" w:hAnsi="宋体" w:cs="宋体"/>
          <w:color w:val="auto"/>
          <w:highlight w:val="none"/>
        </w:rPr>
        <w:br w:type="page"/>
      </w:r>
      <w:bookmarkStart w:id="102" w:name="_Toc118018369"/>
      <w:bookmarkStart w:id="103" w:name="_Toc455417787"/>
      <w:bookmarkStart w:id="104" w:name="_Toc476177436"/>
      <w:bookmarkStart w:id="105" w:name="_Toc476177995"/>
      <w:r>
        <w:rPr>
          <w:rFonts w:hint="eastAsia" w:ascii="宋体" w:hAnsi="宋体" w:cs="宋体"/>
          <w:b/>
          <w:bCs/>
          <w:color w:val="auto"/>
          <w:sz w:val="28"/>
          <w:szCs w:val="21"/>
          <w:highlight w:val="none"/>
        </w:rPr>
        <w:t>六、技术响应文件格式</w:t>
      </w:r>
      <w:bookmarkEnd w:id="102"/>
      <w:bookmarkEnd w:id="103"/>
      <w:bookmarkEnd w:id="104"/>
      <w:bookmarkEnd w:id="105"/>
    </w:p>
    <w:p w14:paraId="2CAE05B1">
      <w:pPr>
        <w:spacing w:before="240" w:line="360" w:lineRule="auto"/>
        <w:ind w:left="902" w:hanging="902"/>
        <w:rPr>
          <w:rFonts w:hint="eastAsia" w:ascii="宋体" w:hAnsi="宋体" w:cs="宋体"/>
          <w:color w:val="auto"/>
          <w:highlight w:val="none"/>
        </w:rPr>
      </w:pPr>
      <w:r>
        <w:rPr>
          <w:rFonts w:hint="eastAsia" w:ascii="宋体" w:hAnsi="宋体" w:cs="宋体"/>
          <w:b/>
          <w:color w:val="auto"/>
          <w:highlight w:val="none"/>
        </w:rPr>
        <w:t xml:space="preserve">[说明]  </w:t>
      </w:r>
      <w:r>
        <w:rPr>
          <w:rFonts w:hint="eastAsia" w:ascii="宋体" w:hAnsi="宋体" w:cs="宋体"/>
          <w:color w:val="auto"/>
          <w:highlight w:val="none"/>
        </w:rPr>
        <w:t>投标人应按照招标文件的要求，根据《用户需求书》要求内容做出全面响应。其内容应包括但不限于本格式内各项要求。对必须响应的内容，必须完全响应，不允许有任何差异，对响应有差异的内容，提出说明和优化建议。</w:t>
      </w:r>
    </w:p>
    <w:p w14:paraId="2994F577">
      <w:pPr>
        <w:shd w:val="clear"/>
        <w:spacing w:line="360" w:lineRule="auto"/>
        <w:rPr>
          <w:rFonts w:hint="eastAsia" w:ascii="宋体" w:hAnsi="宋体" w:cs="宋体"/>
          <w:color w:val="auto"/>
          <w:highlight w:val="none"/>
        </w:rPr>
      </w:pPr>
      <w:r>
        <w:rPr>
          <w:rFonts w:hint="eastAsia" w:ascii="宋体" w:hAnsi="宋体" w:cs="宋体"/>
          <w:color w:val="auto"/>
          <w:szCs w:val="22"/>
          <w:highlight w:val="none"/>
        </w:rPr>
        <w:t xml:space="preserve">格式6.1   </w:t>
      </w:r>
      <w:r>
        <w:rPr>
          <w:rFonts w:hint="eastAsia" w:ascii="宋体" w:hAnsi="宋体" w:cs="宋体"/>
          <w:color w:val="auto"/>
          <w:highlight w:val="none"/>
        </w:rPr>
        <w:t>用户需求书中要求投标人自行填写的表格内容</w:t>
      </w:r>
    </w:p>
    <w:p w14:paraId="565C88F6">
      <w:pPr>
        <w:shd w:val="clear"/>
        <w:spacing w:line="360" w:lineRule="auto"/>
        <w:rPr>
          <w:rFonts w:hint="default" w:ascii="宋体" w:hAnsi="宋体" w:eastAsia="宋体" w:cs="宋体"/>
          <w:color w:val="auto"/>
          <w:highlight w:val="none"/>
          <w:lang w:val="en-US" w:eastAsia="zh-CN"/>
        </w:rPr>
      </w:pPr>
      <w:r>
        <w:rPr>
          <w:rFonts w:hint="eastAsia" w:ascii="宋体" w:hAnsi="宋体" w:cs="宋体"/>
          <w:color w:val="auto"/>
          <w:highlight w:val="none"/>
        </w:rPr>
        <w:t>格式</w:t>
      </w:r>
      <w:r>
        <w:rPr>
          <w:rFonts w:hint="eastAsia" w:ascii="宋体" w:hAnsi="宋体" w:cs="宋体"/>
          <w:color w:val="auto"/>
          <w:szCs w:val="22"/>
          <w:highlight w:val="none"/>
        </w:rPr>
        <w:t>6</w:t>
      </w:r>
      <w:r>
        <w:rPr>
          <w:rFonts w:hint="eastAsia" w:ascii="宋体" w:hAnsi="宋体" w:cs="宋体"/>
          <w:color w:val="auto"/>
          <w:highlight w:val="none"/>
        </w:rPr>
        <w:t xml:space="preserve">.2   </w:t>
      </w:r>
      <w:r>
        <w:rPr>
          <w:rFonts w:hint="eastAsia" w:ascii="宋体" w:hAnsi="宋体" w:cs="宋体"/>
          <w:color w:val="auto"/>
          <w:highlight w:val="none"/>
          <w:lang w:val="en-US" w:eastAsia="zh-CN"/>
        </w:rPr>
        <w:t>人员配备方案</w:t>
      </w:r>
    </w:p>
    <w:p w14:paraId="4B0EA73D">
      <w:pPr>
        <w:shd w:val="clear"/>
        <w:spacing w:line="360" w:lineRule="auto"/>
        <w:rPr>
          <w:rFonts w:hint="eastAsia" w:ascii="宋体" w:hAnsi="宋体" w:cs="宋体"/>
          <w:color w:val="auto"/>
          <w:highlight w:val="none"/>
        </w:rPr>
      </w:pPr>
      <w:r>
        <w:rPr>
          <w:rFonts w:hint="eastAsia" w:ascii="宋体" w:hAnsi="宋体" w:cs="宋体"/>
          <w:color w:val="auto"/>
          <w:highlight w:val="none"/>
        </w:rPr>
        <w:t>格式</w:t>
      </w:r>
      <w:r>
        <w:rPr>
          <w:rFonts w:hint="eastAsia" w:ascii="宋体" w:hAnsi="宋体" w:cs="宋体"/>
          <w:color w:val="auto"/>
          <w:szCs w:val="22"/>
          <w:highlight w:val="none"/>
        </w:rPr>
        <w:t>6</w:t>
      </w:r>
      <w:r>
        <w:rPr>
          <w:rFonts w:hint="eastAsia" w:ascii="宋体" w:hAnsi="宋体" w:cs="宋体"/>
          <w:color w:val="auto"/>
          <w:highlight w:val="none"/>
        </w:rPr>
        <w:t xml:space="preserve">.3   </w:t>
      </w:r>
      <w:r>
        <w:rPr>
          <w:rFonts w:hint="eastAsia" w:ascii="宋体" w:hAnsi="宋体" w:cs="宋体"/>
          <w:color w:val="auto"/>
          <w:szCs w:val="21"/>
          <w:highlight w:val="none"/>
          <w:lang w:val="en-US" w:eastAsia="zh-CN"/>
        </w:rPr>
        <w:t>总体服务方案</w:t>
      </w:r>
    </w:p>
    <w:p w14:paraId="6B19CC82">
      <w:pPr>
        <w:shd w:val="clear"/>
        <w:spacing w:line="360" w:lineRule="auto"/>
        <w:rPr>
          <w:rFonts w:hint="eastAsia" w:ascii="宋体" w:hAnsi="宋体" w:cs="宋体"/>
          <w:color w:val="auto"/>
          <w:highlight w:val="none"/>
        </w:rPr>
      </w:pPr>
      <w:r>
        <w:rPr>
          <w:rFonts w:hint="eastAsia" w:ascii="宋体" w:hAnsi="宋体" w:cs="宋体"/>
          <w:color w:val="auto"/>
          <w:highlight w:val="none"/>
        </w:rPr>
        <w:t>格式</w:t>
      </w:r>
      <w:r>
        <w:rPr>
          <w:rFonts w:hint="eastAsia" w:ascii="宋体" w:hAnsi="宋体" w:cs="宋体"/>
          <w:color w:val="auto"/>
          <w:szCs w:val="22"/>
          <w:highlight w:val="none"/>
        </w:rPr>
        <w:t>6</w:t>
      </w:r>
      <w:r>
        <w:rPr>
          <w:rFonts w:hint="eastAsia" w:ascii="宋体" w:hAnsi="宋体" w:cs="宋体"/>
          <w:color w:val="auto"/>
          <w:highlight w:val="none"/>
        </w:rPr>
        <w:t>.</w:t>
      </w:r>
      <w:r>
        <w:rPr>
          <w:rFonts w:hint="eastAsia" w:ascii="宋体" w:hAnsi="宋体" w:cs="宋体"/>
          <w:color w:val="auto"/>
          <w:highlight w:val="none"/>
          <w:lang w:val="en-US" w:eastAsia="zh-CN"/>
        </w:rPr>
        <w:t>4</w:t>
      </w:r>
      <w:r>
        <w:rPr>
          <w:rFonts w:hint="eastAsia" w:ascii="宋体" w:hAnsi="宋体" w:cs="宋体"/>
          <w:color w:val="auto"/>
          <w:highlight w:val="none"/>
        </w:rPr>
        <w:t xml:space="preserve">   </w:t>
      </w:r>
      <w:r>
        <w:rPr>
          <w:highlight w:val="none"/>
        </w:rPr>
        <w:t>人员培训方案</w:t>
      </w:r>
    </w:p>
    <w:p w14:paraId="673B8496">
      <w:pPr>
        <w:shd w:val="clear"/>
        <w:spacing w:line="360" w:lineRule="auto"/>
        <w:rPr>
          <w:rFonts w:hint="eastAsia" w:ascii="宋体" w:hAnsi="宋体" w:cs="宋体"/>
          <w:color w:val="auto"/>
          <w:highlight w:val="none"/>
        </w:rPr>
      </w:pPr>
      <w:r>
        <w:rPr>
          <w:rFonts w:hint="eastAsia" w:ascii="宋体" w:hAnsi="宋体" w:cs="宋体"/>
          <w:color w:val="auto"/>
          <w:highlight w:val="none"/>
        </w:rPr>
        <w:t>格式</w:t>
      </w:r>
      <w:r>
        <w:rPr>
          <w:rFonts w:hint="eastAsia" w:ascii="宋体" w:hAnsi="宋体" w:cs="宋体"/>
          <w:color w:val="auto"/>
          <w:szCs w:val="22"/>
          <w:highlight w:val="none"/>
        </w:rPr>
        <w:t>6</w:t>
      </w:r>
      <w:r>
        <w:rPr>
          <w:rFonts w:hint="eastAsia" w:ascii="宋体" w:hAnsi="宋体" w:cs="宋体"/>
          <w:color w:val="auto"/>
          <w:highlight w:val="none"/>
        </w:rPr>
        <w:t>.</w:t>
      </w:r>
      <w:r>
        <w:rPr>
          <w:rFonts w:hint="eastAsia" w:ascii="宋体" w:hAnsi="宋体" w:cs="宋体"/>
          <w:color w:val="auto"/>
          <w:highlight w:val="none"/>
          <w:lang w:val="en-US" w:eastAsia="zh-CN"/>
        </w:rPr>
        <w:t>5</w:t>
      </w:r>
      <w:r>
        <w:rPr>
          <w:rFonts w:hint="eastAsia" w:ascii="宋体" w:hAnsi="宋体" w:cs="宋体"/>
          <w:color w:val="auto"/>
          <w:highlight w:val="none"/>
        </w:rPr>
        <w:t xml:space="preserve">   </w:t>
      </w:r>
      <w:r>
        <w:rPr>
          <w:rFonts w:hint="eastAsia" w:ascii="宋体" w:hAnsi="宋体" w:eastAsia="宋体" w:cs="宋体"/>
          <w:color w:val="auto"/>
          <w:szCs w:val="21"/>
          <w:highlight w:val="none"/>
        </w:rPr>
        <w:t>管理规章制度</w:t>
      </w:r>
    </w:p>
    <w:p w14:paraId="437A1AB5">
      <w:pPr>
        <w:shd w:val="clear"/>
        <w:spacing w:line="360" w:lineRule="auto"/>
        <w:rPr>
          <w:rFonts w:hint="eastAsia" w:ascii="宋体" w:hAnsi="宋体" w:cs="宋体"/>
          <w:color w:val="auto"/>
          <w:highlight w:val="none"/>
        </w:rPr>
      </w:pPr>
      <w:r>
        <w:rPr>
          <w:rFonts w:hint="eastAsia" w:ascii="宋体" w:hAnsi="宋体" w:cs="宋体"/>
          <w:color w:val="auto"/>
          <w:highlight w:val="none"/>
        </w:rPr>
        <w:t>格式</w:t>
      </w:r>
      <w:r>
        <w:rPr>
          <w:rFonts w:hint="eastAsia" w:ascii="宋体" w:hAnsi="宋体" w:cs="宋体"/>
          <w:color w:val="auto"/>
          <w:szCs w:val="22"/>
          <w:highlight w:val="none"/>
        </w:rPr>
        <w:t>6</w:t>
      </w:r>
      <w:r>
        <w:rPr>
          <w:rFonts w:hint="eastAsia" w:ascii="宋体" w:hAnsi="宋体" w:cs="宋体"/>
          <w:color w:val="auto"/>
          <w:highlight w:val="none"/>
        </w:rPr>
        <w:t>.</w:t>
      </w:r>
      <w:r>
        <w:rPr>
          <w:rFonts w:hint="eastAsia" w:ascii="宋体" w:hAnsi="宋体" w:cs="宋体"/>
          <w:color w:val="auto"/>
          <w:highlight w:val="none"/>
          <w:lang w:val="en-US" w:eastAsia="zh-CN"/>
        </w:rPr>
        <w:t>6</w:t>
      </w:r>
      <w:r>
        <w:rPr>
          <w:rFonts w:hint="eastAsia" w:ascii="宋体" w:hAnsi="宋体" w:cs="宋体"/>
          <w:color w:val="auto"/>
          <w:highlight w:val="none"/>
        </w:rPr>
        <w:t xml:space="preserve">   </w:t>
      </w:r>
      <w:r>
        <w:rPr>
          <w:highlight w:val="none"/>
        </w:rPr>
        <w:t>应急服务方案</w:t>
      </w:r>
    </w:p>
    <w:p w14:paraId="53739508">
      <w:pPr>
        <w:shd w:val="clear"/>
        <w:spacing w:line="360" w:lineRule="auto"/>
        <w:rPr>
          <w:rFonts w:hint="eastAsia" w:ascii="宋体" w:hAnsi="宋体" w:cs="宋体"/>
          <w:color w:val="auto"/>
          <w:highlight w:val="none"/>
        </w:rPr>
      </w:pPr>
      <w:r>
        <w:rPr>
          <w:rFonts w:hint="eastAsia" w:ascii="宋体" w:hAnsi="宋体" w:cs="宋体"/>
          <w:color w:val="auto"/>
          <w:highlight w:val="none"/>
        </w:rPr>
        <w:t>格式</w:t>
      </w:r>
      <w:r>
        <w:rPr>
          <w:rFonts w:hint="eastAsia" w:ascii="宋体" w:hAnsi="宋体" w:cs="宋体"/>
          <w:color w:val="auto"/>
          <w:szCs w:val="22"/>
          <w:highlight w:val="none"/>
        </w:rPr>
        <w:t>6</w:t>
      </w:r>
      <w:r>
        <w:rPr>
          <w:rFonts w:hint="eastAsia" w:ascii="宋体" w:hAnsi="宋体" w:cs="宋体"/>
          <w:color w:val="auto"/>
          <w:highlight w:val="none"/>
        </w:rPr>
        <w:t>.</w:t>
      </w:r>
      <w:r>
        <w:rPr>
          <w:rFonts w:hint="eastAsia" w:ascii="宋体" w:hAnsi="宋体" w:cs="宋体"/>
          <w:color w:val="auto"/>
          <w:highlight w:val="none"/>
          <w:lang w:val="en-US" w:eastAsia="zh-CN"/>
        </w:rPr>
        <w:t>7</w:t>
      </w:r>
      <w:r>
        <w:rPr>
          <w:rFonts w:hint="eastAsia" w:ascii="宋体" w:hAnsi="宋体" w:cs="宋体"/>
          <w:color w:val="auto"/>
          <w:highlight w:val="none"/>
        </w:rPr>
        <w:t xml:space="preserve">   技术标评分细则需要提供的资料</w:t>
      </w:r>
    </w:p>
    <w:p w14:paraId="1EC00605">
      <w:pPr>
        <w:shd w:val="clear"/>
        <w:spacing w:line="360" w:lineRule="auto"/>
        <w:rPr>
          <w:rFonts w:hint="eastAsia" w:ascii="宋体" w:hAnsi="宋体" w:cs="宋体"/>
          <w:color w:val="auto"/>
          <w:highlight w:val="none"/>
        </w:rPr>
      </w:pPr>
      <w:r>
        <w:rPr>
          <w:rFonts w:hint="eastAsia" w:ascii="宋体" w:hAnsi="宋体" w:cs="宋体"/>
          <w:color w:val="auto"/>
          <w:highlight w:val="none"/>
        </w:rPr>
        <w:t>格式</w:t>
      </w:r>
      <w:r>
        <w:rPr>
          <w:rFonts w:hint="eastAsia" w:ascii="宋体" w:hAnsi="宋体" w:cs="宋体"/>
          <w:color w:val="auto"/>
          <w:szCs w:val="22"/>
          <w:highlight w:val="none"/>
        </w:rPr>
        <w:t>6</w:t>
      </w:r>
      <w:r>
        <w:rPr>
          <w:rFonts w:hint="eastAsia" w:ascii="宋体" w:hAnsi="宋体" w:cs="宋体"/>
          <w:color w:val="auto"/>
          <w:highlight w:val="none"/>
        </w:rPr>
        <w:t>.</w:t>
      </w:r>
      <w:r>
        <w:rPr>
          <w:rFonts w:hint="eastAsia" w:ascii="宋体" w:hAnsi="宋体" w:cs="宋体"/>
          <w:color w:val="auto"/>
          <w:highlight w:val="none"/>
          <w:lang w:val="en-US" w:eastAsia="zh-CN"/>
        </w:rPr>
        <w:t>8</w:t>
      </w:r>
      <w:r>
        <w:rPr>
          <w:rFonts w:hint="eastAsia" w:ascii="宋体" w:hAnsi="宋体" w:cs="宋体"/>
          <w:color w:val="auto"/>
          <w:highlight w:val="none"/>
        </w:rPr>
        <w:t xml:space="preserve">   招标人配合内容（如有）</w:t>
      </w:r>
    </w:p>
    <w:p w14:paraId="14897071">
      <w:pPr>
        <w:shd w:val="clear"/>
        <w:spacing w:line="360" w:lineRule="auto"/>
        <w:rPr>
          <w:rFonts w:hint="eastAsia" w:ascii="宋体" w:hAnsi="宋体" w:cs="宋体"/>
          <w:color w:val="auto"/>
          <w:highlight w:val="none"/>
        </w:rPr>
      </w:pPr>
      <w:r>
        <w:rPr>
          <w:rFonts w:hint="eastAsia" w:ascii="宋体" w:hAnsi="宋体" w:cs="宋体"/>
          <w:color w:val="auto"/>
          <w:highlight w:val="none"/>
        </w:rPr>
        <w:t>格式</w:t>
      </w:r>
      <w:r>
        <w:rPr>
          <w:rFonts w:hint="eastAsia" w:ascii="宋体" w:hAnsi="宋体" w:cs="宋体"/>
          <w:color w:val="auto"/>
          <w:szCs w:val="22"/>
          <w:highlight w:val="none"/>
        </w:rPr>
        <w:t>6</w:t>
      </w:r>
      <w:r>
        <w:rPr>
          <w:rFonts w:hint="eastAsia" w:ascii="宋体" w:hAnsi="宋体" w:cs="宋体"/>
          <w:color w:val="auto"/>
          <w:highlight w:val="none"/>
        </w:rPr>
        <w:t>.</w:t>
      </w:r>
      <w:r>
        <w:rPr>
          <w:rFonts w:hint="eastAsia" w:ascii="宋体" w:hAnsi="宋体" w:cs="宋体"/>
          <w:color w:val="auto"/>
          <w:highlight w:val="none"/>
          <w:lang w:val="en-US" w:eastAsia="zh-CN"/>
        </w:rPr>
        <w:t>9</w:t>
      </w:r>
      <w:r>
        <w:rPr>
          <w:rFonts w:hint="eastAsia" w:ascii="宋体" w:hAnsi="宋体" w:cs="宋体"/>
          <w:color w:val="auto"/>
          <w:highlight w:val="none"/>
        </w:rPr>
        <w:t xml:space="preserve">   投标人认为有必要提供的其他文件（如有）</w:t>
      </w:r>
    </w:p>
    <w:p w14:paraId="324344A6">
      <w:pPr>
        <w:spacing w:line="360" w:lineRule="auto"/>
        <w:rPr>
          <w:rFonts w:hint="eastAsia" w:ascii="宋体" w:hAnsi="宋体" w:cs="宋体"/>
          <w:color w:val="auto"/>
          <w:sz w:val="30"/>
          <w:szCs w:val="30"/>
          <w:highlight w:val="none"/>
        </w:rPr>
      </w:pPr>
      <w:bookmarkStart w:id="106" w:name="_Hlt42956379"/>
      <w:bookmarkEnd w:id="106"/>
      <w:r>
        <w:rPr>
          <w:rFonts w:hint="eastAsia" w:ascii="宋体" w:hAnsi="宋体" w:cs="宋体"/>
          <w:b/>
          <w:color w:val="auto"/>
          <w:sz w:val="24"/>
          <w:highlight w:val="none"/>
        </w:rPr>
        <w:br w:type="page"/>
      </w:r>
      <w:r>
        <w:rPr>
          <w:rFonts w:hint="eastAsia" w:ascii="宋体" w:hAnsi="宋体" w:cs="宋体"/>
          <w:b/>
          <w:color w:val="auto"/>
          <w:sz w:val="24"/>
          <w:highlight w:val="none"/>
        </w:rPr>
        <w:t>格式6.1</w:t>
      </w:r>
      <w:bookmarkStart w:id="107" w:name="_Toc4471859"/>
      <w:bookmarkStart w:id="108" w:name="_Toc208723428"/>
      <w:bookmarkStart w:id="109" w:name="_Toc42956284"/>
      <w:bookmarkStart w:id="110" w:name="_Toc118018370"/>
      <w:bookmarkStart w:id="111" w:name="_Toc118015391"/>
      <w:r>
        <w:rPr>
          <w:rFonts w:hint="eastAsia" w:ascii="宋体" w:hAnsi="宋体" w:cs="宋体"/>
          <w:b/>
          <w:color w:val="auto"/>
          <w:sz w:val="24"/>
          <w:highlight w:val="none"/>
        </w:rPr>
        <w:t xml:space="preserve">.1  </w:t>
      </w:r>
      <w:bookmarkEnd w:id="107"/>
      <w:bookmarkEnd w:id="108"/>
      <w:bookmarkEnd w:id="109"/>
      <w:bookmarkEnd w:id="110"/>
      <w:bookmarkEnd w:id="111"/>
      <w:bookmarkStart w:id="112" w:name="_Hlt10564367"/>
      <w:bookmarkEnd w:id="112"/>
      <w:r>
        <w:rPr>
          <w:rFonts w:hint="eastAsia" w:ascii="宋体" w:hAnsi="宋体" w:cs="宋体"/>
          <w:b/>
          <w:color w:val="auto"/>
          <w:sz w:val="24"/>
          <w:highlight w:val="none"/>
        </w:rPr>
        <w:t xml:space="preserve"> </w:t>
      </w:r>
    </w:p>
    <w:p w14:paraId="6A05C590">
      <w:pPr>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技术响应表</w:t>
      </w:r>
    </w:p>
    <w:p w14:paraId="5BEDC179">
      <w:pPr>
        <w:rPr>
          <w:rFonts w:hint="eastAsia" w:ascii="宋体" w:hAnsi="宋体" w:cs="宋体"/>
          <w:color w:val="auto"/>
          <w:highlight w:val="none"/>
        </w:rPr>
      </w:pPr>
    </w:p>
    <w:tbl>
      <w:tblPr>
        <w:tblStyle w:val="23"/>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260"/>
        <w:gridCol w:w="3045"/>
        <w:gridCol w:w="1453"/>
        <w:gridCol w:w="2777"/>
      </w:tblGrid>
      <w:tr w14:paraId="0A892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noWrap w:val="0"/>
            <w:vAlign w:val="center"/>
          </w:tcPr>
          <w:p w14:paraId="7096D569">
            <w:pPr>
              <w:autoSpaceDE w:val="0"/>
              <w:autoSpaceDN w:val="0"/>
              <w:adjustRightInd w:val="0"/>
              <w:jc w:val="center"/>
              <w:rPr>
                <w:rFonts w:hint="eastAsia" w:ascii="宋体" w:hAnsi="宋体" w:cs="宋体"/>
                <w:color w:val="auto"/>
                <w:highlight w:val="none"/>
              </w:rPr>
            </w:pPr>
            <w:r>
              <w:rPr>
                <w:rFonts w:hint="eastAsia" w:ascii="宋体" w:hAnsi="宋体" w:cs="宋体"/>
                <w:color w:val="auto"/>
                <w:highlight w:val="none"/>
              </w:rPr>
              <w:t>用户需求书相应序号</w:t>
            </w:r>
          </w:p>
        </w:tc>
        <w:tc>
          <w:tcPr>
            <w:tcW w:w="3045" w:type="dxa"/>
            <w:noWrap w:val="0"/>
            <w:vAlign w:val="center"/>
          </w:tcPr>
          <w:p w14:paraId="42F4C695">
            <w:pPr>
              <w:autoSpaceDE w:val="0"/>
              <w:autoSpaceDN w:val="0"/>
              <w:adjustRightInd w:val="0"/>
              <w:jc w:val="center"/>
              <w:rPr>
                <w:rFonts w:hint="eastAsia" w:ascii="宋体" w:hAnsi="宋体" w:cs="宋体"/>
                <w:color w:val="auto"/>
                <w:highlight w:val="none"/>
              </w:rPr>
            </w:pPr>
            <w:r>
              <w:rPr>
                <w:rFonts w:hint="eastAsia" w:ascii="宋体" w:hAnsi="宋体" w:cs="宋体"/>
                <w:color w:val="auto"/>
                <w:highlight w:val="none"/>
              </w:rPr>
              <w:t>用户需求书相关内容</w:t>
            </w:r>
          </w:p>
        </w:tc>
        <w:tc>
          <w:tcPr>
            <w:tcW w:w="1453" w:type="dxa"/>
            <w:noWrap w:val="0"/>
            <w:vAlign w:val="center"/>
          </w:tcPr>
          <w:p w14:paraId="1AB6777E">
            <w:pPr>
              <w:autoSpaceDE w:val="0"/>
              <w:autoSpaceDN w:val="0"/>
              <w:adjustRightInd w:val="0"/>
              <w:jc w:val="center"/>
              <w:rPr>
                <w:rFonts w:hint="eastAsia" w:ascii="宋体" w:hAnsi="宋体" w:cs="宋体"/>
                <w:color w:val="auto"/>
                <w:highlight w:val="none"/>
              </w:rPr>
            </w:pPr>
            <w:r>
              <w:rPr>
                <w:rFonts w:hint="eastAsia" w:ascii="宋体" w:hAnsi="宋体" w:cs="宋体"/>
                <w:color w:val="auto"/>
                <w:highlight w:val="none"/>
              </w:rPr>
              <w:t>响应内容描述</w:t>
            </w:r>
          </w:p>
        </w:tc>
        <w:tc>
          <w:tcPr>
            <w:tcW w:w="2777" w:type="dxa"/>
            <w:noWrap w:val="0"/>
            <w:vAlign w:val="center"/>
          </w:tcPr>
          <w:p w14:paraId="7605EFB7">
            <w:pPr>
              <w:autoSpaceDE w:val="0"/>
              <w:autoSpaceDN w:val="0"/>
              <w:adjustRightInd w:val="0"/>
              <w:jc w:val="center"/>
              <w:rPr>
                <w:rFonts w:hint="eastAsia" w:ascii="宋体" w:hAnsi="宋体" w:cs="宋体"/>
                <w:color w:val="auto"/>
                <w:highlight w:val="none"/>
              </w:rPr>
            </w:pPr>
            <w:r>
              <w:rPr>
                <w:rFonts w:hint="eastAsia" w:ascii="宋体" w:hAnsi="宋体" w:cs="宋体"/>
                <w:color w:val="auto"/>
                <w:highlight w:val="none"/>
              </w:rPr>
              <w:t>差异描述</w:t>
            </w:r>
          </w:p>
        </w:tc>
      </w:tr>
      <w:tr w14:paraId="41B9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noWrap w:val="0"/>
            <w:vAlign w:val="center"/>
          </w:tcPr>
          <w:p w14:paraId="4C1A41A7">
            <w:pPr>
              <w:autoSpaceDE w:val="0"/>
              <w:autoSpaceDN w:val="0"/>
              <w:adjustRightInd w:val="0"/>
              <w:jc w:val="center"/>
              <w:rPr>
                <w:rFonts w:hint="eastAsia" w:ascii="宋体" w:hAnsi="宋体" w:cs="宋体"/>
                <w:color w:val="auto"/>
                <w:highlight w:val="none"/>
              </w:rPr>
            </w:pPr>
          </w:p>
        </w:tc>
        <w:tc>
          <w:tcPr>
            <w:tcW w:w="3045" w:type="dxa"/>
            <w:noWrap w:val="0"/>
            <w:vAlign w:val="center"/>
          </w:tcPr>
          <w:p w14:paraId="3A6AD4D5">
            <w:pPr>
              <w:autoSpaceDE w:val="0"/>
              <w:autoSpaceDN w:val="0"/>
              <w:adjustRightInd w:val="0"/>
              <w:jc w:val="center"/>
              <w:rPr>
                <w:rFonts w:hint="eastAsia" w:ascii="宋体" w:hAnsi="宋体" w:cs="宋体"/>
                <w:color w:val="auto"/>
                <w:highlight w:val="none"/>
              </w:rPr>
            </w:pPr>
          </w:p>
        </w:tc>
        <w:tc>
          <w:tcPr>
            <w:tcW w:w="1453" w:type="dxa"/>
            <w:noWrap w:val="0"/>
            <w:vAlign w:val="center"/>
          </w:tcPr>
          <w:p w14:paraId="164CBF7E">
            <w:pPr>
              <w:autoSpaceDE w:val="0"/>
              <w:autoSpaceDN w:val="0"/>
              <w:adjustRightInd w:val="0"/>
              <w:jc w:val="center"/>
              <w:rPr>
                <w:rFonts w:hint="eastAsia" w:ascii="宋体" w:hAnsi="宋体" w:cs="宋体"/>
                <w:color w:val="auto"/>
                <w:highlight w:val="none"/>
              </w:rPr>
            </w:pPr>
          </w:p>
        </w:tc>
        <w:tc>
          <w:tcPr>
            <w:tcW w:w="2777" w:type="dxa"/>
            <w:noWrap w:val="0"/>
            <w:vAlign w:val="center"/>
          </w:tcPr>
          <w:p w14:paraId="2F6C35F7">
            <w:pPr>
              <w:autoSpaceDE w:val="0"/>
              <w:autoSpaceDN w:val="0"/>
              <w:adjustRightInd w:val="0"/>
              <w:jc w:val="center"/>
              <w:rPr>
                <w:rFonts w:hint="eastAsia" w:ascii="宋体" w:hAnsi="宋体" w:cs="宋体"/>
                <w:color w:val="auto"/>
                <w:w w:val="80"/>
                <w:highlight w:val="none"/>
              </w:rPr>
            </w:pPr>
          </w:p>
        </w:tc>
      </w:tr>
      <w:tr w14:paraId="1F18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noWrap w:val="0"/>
            <w:vAlign w:val="center"/>
          </w:tcPr>
          <w:p w14:paraId="5C92F63C">
            <w:pPr>
              <w:autoSpaceDE w:val="0"/>
              <w:autoSpaceDN w:val="0"/>
              <w:adjustRightInd w:val="0"/>
              <w:jc w:val="center"/>
              <w:rPr>
                <w:rFonts w:hint="eastAsia" w:ascii="宋体" w:hAnsi="宋体" w:cs="宋体"/>
                <w:color w:val="auto"/>
                <w:highlight w:val="none"/>
              </w:rPr>
            </w:pPr>
          </w:p>
        </w:tc>
        <w:tc>
          <w:tcPr>
            <w:tcW w:w="3045" w:type="dxa"/>
            <w:noWrap w:val="0"/>
            <w:vAlign w:val="center"/>
          </w:tcPr>
          <w:p w14:paraId="7C2FC3AA">
            <w:pPr>
              <w:autoSpaceDE w:val="0"/>
              <w:autoSpaceDN w:val="0"/>
              <w:adjustRightInd w:val="0"/>
              <w:jc w:val="center"/>
              <w:rPr>
                <w:rFonts w:hint="eastAsia" w:ascii="宋体" w:hAnsi="宋体" w:cs="宋体"/>
                <w:color w:val="auto"/>
                <w:highlight w:val="none"/>
              </w:rPr>
            </w:pPr>
          </w:p>
        </w:tc>
        <w:tc>
          <w:tcPr>
            <w:tcW w:w="1453" w:type="dxa"/>
            <w:noWrap w:val="0"/>
            <w:vAlign w:val="center"/>
          </w:tcPr>
          <w:p w14:paraId="4016E121">
            <w:pPr>
              <w:autoSpaceDE w:val="0"/>
              <w:autoSpaceDN w:val="0"/>
              <w:adjustRightInd w:val="0"/>
              <w:jc w:val="center"/>
              <w:rPr>
                <w:rFonts w:hint="eastAsia" w:ascii="宋体" w:hAnsi="宋体" w:cs="宋体"/>
                <w:color w:val="auto"/>
                <w:highlight w:val="none"/>
              </w:rPr>
            </w:pPr>
          </w:p>
        </w:tc>
        <w:tc>
          <w:tcPr>
            <w:tcW w:w="2777" w:type="dxa"/>
            <w:noWrap w:val="0"/>
            <w:vAlign w:val="center"/>
          </w:tcPr>
          <w:p w14:paraId="142D5C39">
            <w:pPr>
              <w:autoSpaceDE w:val="0"/>
              <w:autoSpaceDN w:val="0"/>
              <w:adjustRightInd w:val="0"/>
              <w:jc w:val="center"/>
              <w:rPr>
                <w:rFonts w:hint="eastAsia" w:ascii="宋体" w:hAnsi="宋体" w:cs="宋体"/>
                <w:color w:val="auto"/>
                <w:w w:val="80"/>
                <w:highlight w:val="none"/>
              </w:rPr>
            </w:pPr>
          </w:p>
        </w:tc>
      </w:tr>
      <w:tr w14:paraId="3FEBD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noWrap w:val="0"/>
            <w:vAlign w:val="center"/>
          </w:tcPr>
          <w:p w14:paraId="74D5E075">
            <w:pPr>
              <w:autoSpaceDE w:val="0"/>
              <w:autoSpaceDN w:val="0"/>
              <w:adjustRightInd w:val="0"/>
              <w:jc w:val="center"/>
              <w:rPr>
                <w:rFonts w:hint="eastAsia" w:ascii="宋体" w:hAnsi="宋体" w:cs="宋体"/>
                <w:color w:val="auto"/>
                <w:highlight w:val="none"/>
              </w:rPr>
            </w:pPr>
          </w:p>
        </w:tc>
        <w:tc>
          <w:tcPr>
            <w:tcW w:w="3045" w:type="dxa"/>
            <w:noWrap w:val="0"/>
            <w:vAlign w:val="center"/>
          </w:tcPr>
          <w:p w14:paraId="65B1204A">
            <w:pPr>
              <w:autoSpaceDE w:val="0"/>
              <w:autoSpaceDN w:val="0"/>
              <w:adjustRightInd w:val="0"/>
              <w:jc w:val="center"/>
              <w:rPr>
                <w:rFonts w:hint="eastAsia" w:ascii="宋体" w:hAnsi="宋体" w:cs="宋体"/>
                <w:color w:val="auto"/>
                <w:highlight w:val="none"/>
              </w:rPr>
            </w:pPr>
          </w:p>
        </w:tc>
        <w:tc>
          <w:tcPr>
            <w:tcW w:w="1453" w:type="dxa"/>
            <w:noWrap w:val="0"/>
            <w:vAlign w:val="center"/>
          </w:tcPr>
          <w:p w14:paraId="03F3CA28">
            <w:pPr>
              <w:autoSpaceDE w:val="0"/>
              <w:autoSpaceDN w:val="0"/>
              <w:adjustRightInd w:val="0"/>
              <w:jc w:val="center"/>
              <w:rPr>
                <w:rFonts w:hint="eastAsia" w:ascii="宋体" w:hAnsi="宋体" w:cs="宋体"/>
                <w:color w:val="auto"/>
                <w:highlight w:val="none"/>
              </w:rPr>
            </w:pPr>
          </w:p>
        </w:tc>
        <w:tc>
          <w:tcPr>
            <w:tcW w:w="2777" w:type="dxa"/>
            <w:noWrap w:val="0"/>
            <w:vAlign w:val="center"/>
          </w:tcPr>
          <w:p w14:paraId="6794B890">
            <w:pPr>
              <w:autoSpaceDE w:val="0"/>
              <w:autoSpaceDN w:val="0"/>
              <w:adjustRightInd w:val="0"/>
              <w:jc w:val="center"/>
              <w:rPr>
                <w:rFonts w:hint="eastAsia" w:ascii="宋体" w:hAnsi="宋体" w:cs="宋体"/>
                <w:color w:val="auto"/>
                <w:w w:val="80"/>
                <w:highlight w:val="none"/>
              </w:rPr>
            </w:pPr>
          </w:p>
        </w:tc>
      </w:tr>
      <w:tr w14:paraId="4BD0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noWrap w:val="0"/>
            <w:vAlign w:val="center"/>
          </w:tcPr>
          <w:p w14:paraId="1F0ADA5F">
            <w:pPr>
              <w:autoSpaceDE w:val="0"/>
              <w:autoSpaceDN w:val="0"/>
              <w:adjustRightInd w:val="0"/>
              <w:jc w:val="center"/>
              <w:rPr>
                <w:rFonts w:hint="eastAsia" w:ascii="宋体" w:hAnsi="宋体" w:cs="宋体"/>
                <w:color w:val="auto"/>
                <w:highlight w:val="none"/>
              </w:rPr>
            </w:pPr>
          </w:p>
        </w:tc>
        <w:tc>
          <w:tcPr>
            <w:tcW w:w="3045" w:type="dxa"/>
            <w:noWrap w:val="0"/>
            <w:vAlign w:val="center"/>
          </w:tcPr>
          <w:p w14:paraId="7A46CC6D">
            <w:pPr>
              <w:autoSpaceDE w:val="0"/>
              <w:autoSpaceDN w:val="0"/>
              <w:adjustRightInd w:val="0"/>
              <w:jc w:val="center"/>
              <w:rPr>
                <w:rFonts w:hint="eastAsia" w:ascii="宋体" w:hAnsi="宋体" w:cs="宋体"/>
                <w:color w:val="auto"/>
                <w:highlight w:val="none"/>
              </w:rPr>
            </w:pPr>
          </w:p>
        </w:tc>
        <w:tc>
          <w:tcPr>
            <w:tcW w:w="1453" w:type="dxa"/>
            <w:noWrap w:val="0"/>
            <w:vAlign w:val="center"/>
          </w:tcPr>
          <w:p w14:paraId="34B5C19A">
            <w:pPr>
              <w:autoSpaceDE w:val="0"/>
              <w:autoSpaceDN w:val="0"/>
              <w:adjustRightInd w:val="0"/>
              <w:jc w:val="center"/>
              <w:rPr>
                <w:rFonts w:hint="eastAsia" w:ascii="宋体" w:hAnsi="宋体" w:cs="宋体"/>
                <w:color w:val="auto"/>
                <w:highlight w:val="none"/>
              </w:rPr>
            </w:pPr>
          </w:p>
        </w:tc>
        <w:tc>
          <w:tcPr>
            <w:tcW w:w="2777" w:type="dxa"/>
            <w:noWrap w:val="0"/>
            <w:vAlign w:val="center"/>
          </w:tcPr>
          <w:p w14:paraId="6DF6B706">
            <w:pPr>
              <w:autoSpaceDE w:val="0"/>
              <w:autoSpaceDN w:val="0"/>
              <w:adjustRightInd w:val="0"/>
              <w:jc w:val="center"/>
              <w:rPr>
                <w:rFonts w:hint="eastAsia" w:ascii="宋体" w:hAnsi="宋体" w:cs="宋体"/>
                <w:color w:val="auto"/>
                <w:w w:val="80"/>
                <w:highlight w:val="none"/>
              </w:rPr>
            </w:pPr>
          </w:p>
        </w:tc>
      </w:tr>
      <w:tr w14:paraId="021F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noWrap w:val="0"/>
            <w:vAlign w:val="center"/>
          </w:tcPr>
          <w:p w14:paraId="1C79B8D7">
            <w:pPr>
              <w:autoSpaceDE w:val="0"/>
              <w:autoSpaceDN w:val="0"/>
              <w:adjustRightInd w:val="0"/>
              <w:jc w:val="center"/>
              <w:rPr>
                <w:rFonts w:hint="eastAsia" w:ascii="宋体" w:hAnsi="宋体" w:cs="宋体"/>
                <w:color w:val="auto"/>
                <w:highlight w:val="none"/>
              </w:rPr>
            </w:pPr>
          </w:p>
        </w:tc>
        <w:tc>
          <w:tcPr>
            <w:tcW w:w="3045" w:type="dxa"/>
            <w:noWrap w:val="0"/>
            <w:vAlign w:val="center"/>
          </w:tcPr>
          <w:p w14:paraId="0CFFB9DD">
            <w:pPr>
              <w:autoSpaceDE w:val="0"/>
              <w:autoSpaceDN w:val="0"/>
              <w:adjustRightInd w:val="0"/>
              <w:jc w:val="center"/>
              <w:rPr>
                <w:rFonts w:hint="eastAsia" w:ascii="宋体" w:hAnsi="宋体" w:cs="宋体"/>
                <w:color w:val="auto"/>
                <w:highlight w:val="none"/>
              </w:rPr>
            </w:pPr>
          </w:p>
        </w:tc>
        <w:tc>
          <w:tcPr>
            <w:tcW w:w="1453" w:type="dxa"/>
            <w:noWrap w:val="0"/>
            <w:vAlign w:val="center"/>
          </w:tcPr>
          <w:p w14:paraId="5A9BEB4E">
            <w:pPr>
              <w:autoSpaceDE w:val="0"/>
              <w:autoSpaceDN w:val="0"/>
              <w:adjustRightInd w:val="0"/>
              <w:jc w:val="center"/>
              <w:rPr>
                <w:rFonts w:hint="eastAsia" w:ascii="宋体" w:hAnsi="宋体" w:cs="宋体"/>
                <w:color w:val="auto"/>
                <w:highlight w:val="none"/>
              </w:rPr>
            </w:pPr>
          </w:p>
        </w:tc>
        <w:tc>
          <w:tcPr>
            <w:tcW w:w="2777" w:type="dxa"/>
            <w:noWrap w:val="0"/>
            <w:vAlign w:val="center"/>
          </w:tcPr>
          <w:p w14:paraId="654C18F1">
            <w:pPr>
              <w:autoSpaceDE w:val="0"/>
              <w:autoSpaceDN w:val="0"/>
              <w:adjustRightInd w:val="0"/>
              <w:jc w:val="center"/>
              <w:rPr>
                <w:rFonts w:hint="eastAsia" w:ascii="宋体" w:hAnsi="宋体" w:cs="宋体"/>
                <w:color w:val="auto"/>
                <w:w w:val="80"/>
                <w:highlight w:val="none"/>
              </w:rPr>
            </w:pPr>
          </w:p>
        </w:tc>
      </w:tr>
      <w:tr w14:paraId="6224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260" w:type="dxa"/>
            <w:noWrap w:val="0"/>
            <w:vAlign w:val="center"/>
          </w:tcPr>
          <w:p w14:paraId="6CB023BC">
            <w:pPr>
              <w:autoSpaceDE w:val="0"/>
              <w:autoSpaceDN w:val="0"/>
              <w:adjustRightInd w:val="0"/>
              <w:jc w:val="center"/>
              <w:rPr>
                <w:rFonts w:hint="eastAsia" w:ascii="宋体" w:hAnsi="宋体" w:cs="宋体"/>
                <w:color w:val="auto"/>
                <w:highlight w:val="none"/>
              </w:rPr>
            </w:pPr>
          </w:p>
        </w:tc>
        <w:tc>
          <w:tcPr>
            <w:tcW w:w="3045" w:type="dxa"/>
            <w:noWrap w:val="0"/>
            <w:vAlign w:val="center"/>
          </w:tcPr>
          <w:p w14:paraId="5A8D4BB0">
            <w:pPr>
              <w:autoSpaceDE w:val="0"/>
              <w:autoSpaceDN w:val="0"/>
              <w:adjustRightInd w:val="0"/>
              <w:jc w:val="center"/>
              <w:rPr>
                <w:rFonts w:hint="eastAsia" w:ascii="宋体" w:hAnsi="宋体" w:cs="宋体"/>
                <w:color w:val="auto"/>
                <w:highlight w:val="none"/>
              </w:rPr>
            </w:pPr>
          </w:p>
        </w:tc>
        <w:tc>
          <w:tcPr>
            <w:tcW w:w="1453" w:type="dxa"/>
            <w:noWrap w:val="0"/>
            <w:vAlign w:val="center"/>
          </w:tcPr>
          <w:p w14:paraId="11F2A88E">
            <w:pPr>
              <w:autoSpaceDE w:val="0"/>
              <w:autoSpaceDN w:val="0"/>
              <w:adjustRightInd w:val="0"/>
              <w:jc w:val="center"/>
              <w:rPr>
                <w:rFonts w:hint="eastAsia" w:ascii="宋体" w:hAnsi="宋体" w:cs="宋体"/>
                <w:color w:val="auto"/>
                <w:highlight w:val="none"/>
              </w:rPr>
            </w:pPr>
          </w:p>
        </w:tc>
        <w:tc>
          <w:tcPr>
            <w:tcW w:w="2777" w:type="dxa"/>
            <w:noWrap w:val="0"/>
            <w:vAlign w:val="center"/>
          </w:tcPr>
          <w:p w14:paraId="6548A443">
            <w:pPr>
              <w:autoSpaceDE w:val="0"/>
              <w:autoSpaceDN w:val="0"/>
              <w:adjustRightInd w:val="0"/>
              <w:jc w:val="center"/>
              <w:rPr>
                <w:rFonts w:hint="eastAsia" w:ascii="宋体" w:hAnsi="宋体" w:cs="宋体"/>
                <w:color w:val="auto"/>
                <w:w w:val="80"/>
                <w:highlight w:val="none"/>
              </w:rPr>
            </w:pPr>
          </w:p>
        </w:tc>
      </w:tr>
    </w:tbl>
    <w:p w14:paraId="09DC6735">
      <w:pPr>
        <w:spacing w:line="360" w:lineRule="auto"/>
        <w:rPr>
          <w:rFonts w:hint="eastAsia" w:ascii="宋体" w:hAnsi="宋体" w:cs="宋体"/>
          <w:color w:val="auto"/>
          <w:highlight w:val="none"/>
        </w:rPr>
      </w:pPr>
    </w:p>
    <w:p w14:paraId="443B2A98">
      <w:pPr>
        <w:rPr>
          <w:rFonts w:hint="eastAsia" w:ascii="宋体" w:hAnsi="宋体" w:cs="宋体"/>
          <w:color w:val="auto"/>
          <w:highlight w:val="none"/>
        </w:rPr>
      </w:pPr>
      <w:r>
        <w:rPr>
          <w:rFonts w:hint="eastAsia" w:ascii="宋体" w:hAnsi="宋体" w:cs="宋体"/>
          <w:b/>
          <w:color w:val="auto"/>
          <w:highlight w:val="none"/>
        </w:rPr>
        <w:t>[说明]</w:t>
      </w:r>
      <w:r>
        <w:rPr>
          <w:rFonts w:hint="eastAsia" w:ascii="宋体" w:hAnsi="宋体" w:cs="宋体"/>
          <w:color w:val="auto"/>
          <w:highlight w:val="none"/>
        </w:rPr>
        <w:t xml:space="preserve"> 投标人应按照招标文件要求和“用户需求书”作出响应，如有差异的在“差异描述”栏中详细描述差异情况。</w:t>
      </w:r>
    </w:p>
    <w:p w14:paraId="4A578989">
      <w:pPr>
        <w:rPr>
          <w:rFonts w:hint="eastAsia" w:ascii="宋体" w:hAnsi="宋体" w:cs="宋体"/>
          <w:color w:val="auto"/>
          <w:highlight w:val="none"/>
        </w:rPr>
      </w:pPr>
      <w:r>
        <w:rPr>
          <w:rFonts w:hint="eastAsia" w:ascii="宋体" w:hAnsi="宋体" w:cs="宋体"/>
          <w:color w:val="auto"/>
          <w:highlight w:val="none"/>
        </w:rPr>
        <w:t>若以上表格如为空白，则表示无偏离，即完全满足招标文件的用户需求书条款。</w:t>
      </w:r>
    </w:p>
    <w:p w14:paraId="0769177B">
      <w:pPr>
        <w:rPr>
          <w:rFonts w:hint="eastAsia" w:ascii="宋体" w:hAnsi="宋体" w:cs="宋体"/>
          <w:color w:val="auto"/>
          <w:highlight w:val="none"/>
        </w:rPr>
      </w:pPr>
    </w:p>
    <w:p w14:paraId="3BCA162F">
      <w:pPr>
        <w:tabs>
          <w:tab w:val="left" w:pos="676"/>
          <w:tab w:val="left" w:pos="2330"/>
          <w:tab w:val="left" w:pos="9230"/>
        </w:tabs>
        <w:autoSpaceDE w:val="0"/>
        <w:autoSpaceDN w:val="0"/>
        <w:adjustRightInd w:val="0"/>
        <w:spacing w:line="360" w:lineRule="auto"/>
        <w:ind w:left="4700" w:leftChars="2238"/>
        <w:rPr>
          <w:rFonts w:hint="eastAsia" w:ascii="宋体" w:hAnsi="宋体" w:cs="宋体"/>
          <w:color w:val="auto"/>
          <w:highlight w:val="none"/>
        </w:rPr>
      </w:pPr>
    </w:p>
    <w:p w14:paraId="49731EC2">
      <w:pPr>
        <w:tabs>
          <w:tab w:val="left" w:pos="676"/>
          <w:tab w:val="left" w:pos="2330"/>
          <w:tab w:val="left" w:pos="9230"/>
        </w:tabs>
        <w:autoSpaceDE w:val="0"/>
        <w:autoSpaceDN w:val="0"/>
        <w:adjustRightInd w:val="0"/>
        <w:spacing w:line="360" w:lineRule="auto"/>
        <w:ind w:left="4700" w:leftChars="2238"/>
        <w:rPr>
          <w:rFonts w:hint="eastAsia" w:ascii="宋体" w:hAnsi="宋体" w:cs="宋体"/>
          <w:color w:val="auto"/>
          <w:highlight w:val="none"/>
        </w:rPr>
      </w:pPr>
    </w:p>
    <w:p w14:paraId="45F77936">
      <w:pPr>
        <w:spacing w:line="480" w:lineRule="auto"/>
        <w:ind w:firstLine="3990" w:firstLineChars="1900"/>
        <w:rPr>
          <w:rFonts w:hint="eastAsia" w:ascii="宋体" w:hAnsi="宋体" w:cs="宋体"/>
          <w:color w:val="auto"/>
          <w:szCs w:val="22"/>
          <w:highlight w:val="none"/>
        </w:rPr>
      </w:pPr>
      <w:r>
        <w:rPr>
          <w:rFonts w:hint="eastAsia" w:ascii="宋体" w:hAnsi="宋体" w:cs="宋体"/>
          <w:color w:val="auto"/>
          <w:szCs w:val="22"/>
          <w:highlight w:val="none"/>
        </w:rPr>
        <w:t>投标人名称:（盖章）</w:t>
      </w:r>
    </w:p>
    <w:p w14:paraId="75CD32BC">
      <w:pPr>
        <w:spacing w:line="480" w:lineRule="auto"/>
        <w:ind w:firstLine="3990" w:firstLineChars="1900"/>
        <w:rPr>
          <w:rFonts w:hint="eastAsia" w:ascii="宋体" w:hAnsi="宋体" w:cs="宋体"/>
          <w:color w:val="auto"/>
          <w:szCs w:val="22"/>
          <w:highlight w:val="none"/>
        </w:rPr>
      </w:pPr>
      <w:r>
        <w:rPr>
          <w:rFonts w:hint="eastAsia" w:ascii="宋体" w:hAnsi="宋体" w:cs="宋体"/>
          <w:color w:val="auto"/>
          <w:szCs w:val="22"/>
          <w:highlight w:val="none"/>
        </w:rPr>
        <w:t>日期：    年   月   日</w:t>
      </w:r>
    </w:p>
    <w:p w14:paraId="59628E9F">
      <w:pPr>
        <w:tabs>
          <w:tab w:val="left" w:pos="676"/>
          <w:tab w:val="left" w:pos="2330"/>
          <w:tab w:val="left" w:pos="9230"/>
        </w:tabs>
        <w:autoSpaceDE w:val="0"/>
        <w:autoSpaceDN w:val="0"/>
        <w:adjustRightInd w:val="0"/>
        <w:jc w:val="center"/>
        <w:rPr>
          <w:rFonts w:hint="eastAsia" w:ascii="宋体" w:hAnsi="宋体" w:cs="宋体"/>
          <w:color w:val="auto"/>
          <w:highlight w:val="none"/>
        </w:rPr>
      </w:pPr>
    </w:p>
    <w:p w14:paraId="6B4C858B">
      <w:pPr>
        <w:tabs>
          <w:tab w:val="left" w:pos="7200"/>
        </w:tabs>
        <w:autoSpaceDE w:val="0"/>
        <w:autoSpaceDN w:val="0"/>
        <w:adjustRightInd w:val="0"/>
        <w:spacing w:line="300" w:lineRule="auto"/>
        <w:jc w:val="left"/>
        <w:rPr>
          <w:rFonts w:hint="eastAsia" w:ascii="宋体" w:hAnsi="宋体" w:cs="宋体"/>
          <w:color w:val="auto"/>
          <w:sz w:val="24"/>
          <w:highlight w:val="none"/>
        </w:rPr>
      </w:pPr>
      <w:r>
        <w:rPr>
          <w:rFonts w:hint="eastAsia" w:ascii="宋体" w:hAnsi="宋体" w:cs="宋体"/>
          <w:color w:val="auto"/>
          <w:highlight w:val="none"/>
        </w:rPr>
        <w:br w:type="page"/>
      </w:r>
      <w:r>
        <w:rPr>
          <w:rFonts w:hint="eastAsia" w:ascii="宋体" w:hAnsi="宋体" w:cs="宋体"/>
          <w:b/>
          <w:color w:val="auto"/>
          <w:sz w:val="24"/>
          <w:highlight w:val="none"/>
        </w:rPr>
        <w:t>格式6.1.2</w:t>
      </w:r>
    </w:p>
    <w:p w14:paraId="1D9FEAB0">
      <w:pPr>
        <w:spacing w:line="360" w:lineRule="auto"/>
        <w:jc w:val="center"/>
        <w:rPr>
          <w:rFonts w:hint="eastAsia" w:ascii="宋体" w:hAnsi="宋体" w:cs="宋体"/>
          <w:b/>
          <w:color w:val="auto"/>
          <w:sz w:val="32"/>
          <w:szCs w:val="36"/>
          <w:highlight w:val="none"/>
        </w:rPr>
      </w:pPr>
      <w:r>
        <w:rPr>
          <w:rFonts w:hint="eastAsia" w:ascii="宋体" w:hAnsi="宋体" w:cs="宋体"/>
          <w:b/>
          <w:color w:val="auto"/>
          <w:sz w:val="28"/>
          <w:szCs w:val="28"/>
          <w:highlight w:val="none"/>
        </w:rPr>
        <w:t>关键条款响应表</w:t>
      </w:r>
    </w:p>
    <w:p w14:paraId="7E02D7C4">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1194"/>
        <w:gridCol w:w="2616"/>
        <w:gridCol w:w="1216"/>
        <w:gridCol w:w="1216"/>
        <w:gridCol w:w="2318"/>
      </w:tblGrid>
      <w:tr w14:paraId="2D20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194" w:type="dxa"/>
            <w:noWrap w:val="0"/>
            <w:vAlign w:val="center"/>
          </w:tcPr>
          <w:p w14:paraId="10272B99">
            <w:pPr>
              <w:autoSpaceDE w:val="0"/>
              <w:autoSpaceDN w:val="0"/>
              <w:adjustRightInd w:val="0"/>
              <w:jc w:val="center"/>
              <w:rPr>
                <w:rFonts w:hint="eastAsia" w:ascii="宋体" w:hAnsi="宋体" w:cs="宋体"/>
                <w:color w:val="auto"/>
                <w:highlight w:val="none"/>
              </w:rPr>
            </w:pPr>
            <w:r>
              <w:rPr>
                <w:rFonts w:hint="eastAsia" w:ascii="宋体" w:hAnsi="宋体" w:cs="宋体"/>
                <w:color w:val="auto"/>
                <w:highlight w:val="none"/>
              </w:rPr>
              <w:t>用户需求书相应序号</w:t>
            </w:r>
          </w:p>
        </w:tc>
        <w:tc>
          <w:tcPr>
            <w:tcW w:w="2616" w:type="dxa"/>
            <w:noWrap w:val="0"/>
            <w:vAlign w:val="center"/>
          </w:tcPr>
          <w:p w14:paraId="6FB8B532">
            <w:pPr>
              <w:autoSpaceDE w:val="0"/>
              <w:autoSpaceDN w:val="0"/>
              <w:adjustRightInd w:val="0"/>
              <w:jc w:val="center"/>
              <w:rPr>
                <w:rFonts w:hint="eastAsia" w:ascii="宋体" w:hAnsi="宋体" w:cs="宋体"/>
                <w:color w:val="auto"/>
                <w:highlight w:val="none"/>
              </w:rPr>
            </w:pPr>
            <w:r>
              <w:rPr>
                <w:rFonts w:hint="eastAsia" w:ascii="宋体" w:hAnsi="宋体" w:cs="宋体"/>
                <w:color w:val="auto"/>
                <w:highlight w:val="none"/>
              </w:rPr>
              <w:t>关键条款（★条款）相关内容</w:t>
            </w:r>
          </w:p>
        </w:tc>
        <w:tc>
          <w:tcPr>
            <w:tcW w:w="1216" w:type="dxa"/>
            <w:noWrap w:val="0"/>
            <w:vAlign w:val="center"/>
          </w:tcPr>
          <w:p w14:paraId="789C7D4F">
            <w:pPr>
              <w:autoSpaceDE w:val="0"/>
              <w:autoSpaceDN w:val="0"/>
              <w:adjustRightInd w:val="0"/>
              <w:jc w:val="center"/>
              <w:rPr>
                <w:rFonts w:hint="eastAsia" w:ascii="宋体" w:hAnsi="宋体" w:cs="宋体"/>
                <w:color w:val="auto"/>
                <w:highlight w:val="none"/>
              </w:rPr>
            </w:pPr>
            <w:r>
              <w:rPr>
                <w:rFonts w:hint="eastAsia" w:ascii="宋体" w:hAnsi="宋体" w:cs="宋体"/>
                <w:color w:val="auto"/>
                <w:kern w:val="1"/>
                <w:highlight w:val="none"/>
              </w:rPr>
              <w:t>偏离情况</w:t>
            </w:r>
          </w:p>
        </w:tc>
        <w:tc>
          <w:tcPr>
            <w:tcW w:w="1216" w:type="dxa"/>
            <w:noWrap w:val="0"/>
            <w:vAlign w:val="center"/>
          </w:tcPr>
          <w:p w14:paraId="110199CC">
            <w:pPr>
              <w:autoSpaceDE w:val="0"/>
              <w:autoSpaceDN w:val="0"/>
              <w:adjustRightInd w:val="0"/>
              <w:jc w:val="center"/>
              <w:rPr>
                <w:rFonts w:hint="eastAsia" w:ascii="宋体" w:hAnsi="宋体" w:cs="宋体"/>
                <w:color w:val="auto"/>
                <w:highlight w:val="none"/>
              </w:rPr>
            </w:pPr>
            <w:r>
              <w:rPr>
                <w:rFonts w:hint="eastAsia" w:ascii="宋体" w:hAnsi="宋体" w:cs="宋体"/>
                <w:color w:val="auto"/>
                <w:highlight w:val="none"/>
              </w:rPr>
              <w:t>响应内容描述</w:t>
            </w:r>
          </w:p>
        </w:tc>
        <w:tc>
          <w:tcPr>
            <w:tcW w:w="2318" w:type="dxa"/>
            <w:noWrap w:val="0"/>
            <w:vAlign w:val="center"/>
          </w:tcPr>
          <w:p w14:paraId="518E7CF2">
            <w:pPr>
              <w:autoSpaceDE w:val="0"/>
              <w:autoSpaceDN w:val="0"/>
              <w:adjustRightInd w:val="0"/>
              <w:jc w:val="center"/>
              <w:rPr>
                <w:rFonts w:hint="eastAsia" w:ascii="宋体" w:hAnsi="宋体" w:cs="宋体"/>
                <w:color w:val="auto"/>
                <w:highlight w:val="none"/>
              </w:rPr>
            </w:pPr>
            <w:r>
              <w:rPr>
                <w:rFonts w:hint="eastAsia" w:ascii="宋体" w:hAnsi="宋体" w:cs="宋体"/>
                <w:color w:val="auto"/>
                <w:highlight w:val="none"/>
              </w:rPr>
              <w:t>差异描述</w:t>
            </w:r>
          </w:p>
        </w:tc>
      </w:tr>
      <w:tr w14:paraId="62B3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194" w:type="dxa"/>
            <w:noWrap w:val="0"/>
            <w:vAlign w:val="center"/>
          </w:tcPr>
          <w:p w14:paraId="0A30DD3C">
            <w:pPr>
              <w:autoSpaceDE w:val="0"/>
              <w:autoSpaceDN w:val="0"/>
              <w:adjustRightInd w:val="0"/>
              <w:jc w:val="center"/>
              <w:rPr>
                <w:rFonts w:hint="eastAsia" w:ascii="宋体" w:hAnsi="宋体" w:cs="宋体"/>
                <w:color w:val="auto"/>
                <w:highlight w:val="none"/>
              </w:rPr>
            </w:pPr>
          </w:p>
        </w:tc>
        <w:tc>
          <w:tcPr>
            <w:tcW w:w="2616" w:type="dxa"/>
            <w:noWrap w:val="0"/>
            <w:vAlign w:val="center"/>
          </w:tcPr>
          <w:p w14:paraId="20C39A08">
            <w:pPr>
              <w:autoSpaceDE w:val="0"/>
              <w:autoSpaceDN w:val="0"/>
              <w:adjustRightInd w:val="0"/>
              <w:jc w:val="center"/>
              <w:rPr>
                <w:rFonts w:hint="eastAsia" w:ascii="宋体" w:hAnsi="宋体" w:cs="宋体"/>
                <w:color w:val="auto"/>
                <w:sz w:val="22"/>
                <w:szCs w:val="22"/>
                <w:highlight w:val="none"/>
                <w:lang w:bidi="ar"/>
              </w:rPr>
            </w:pPr>
          </w:p>
        </w:tc>
        <w:tc>
          <w:tcPr>
            <w:tcW w:w="1216" w:type="dxa"/>
            <w:noWrap w:val="0"/>
            <w:vAlign w:val="center"/>
          </w:tcPr>
          <w:p w14:paraId="5E123BB6">
            <w:pPr>
              <w:autoSpaceDE w:val="0"/>
              <w:autoSpaceDN w:val="0"/>
              <w:adjustRightInd w:val="0"/>
              <w:jc w:val="center"/>
              <w:rPr>
                <w:rFonts w:hint="eastAsia" w:ascii="宋体" w:hAnsi="宋体" w:cs="宋体"/>
                <w:color w:val="auto"/>
                <w:highlight w:val="none"/>
              </w:rPr>
            </w:pPr>
          </w:p>
        </w:tc>
        <w:tc>
          <w:tcPr>
            <w:tcW w:w="1216" w:type="dxa"/>
            <w:noWrap w:val="0"/>
            <w:vAlign w:val="center"/>
          </w:tcPr>
          <w:p w14:paraId="67AD680B">
            <w:pPr>
              <w:autoSpaceDE w:val="0"/>
              <w:autoSpaceDN w:val="0"/>
              <w:adjustRightInd w:val="0"/>
              <w:jc w:val="center"/>
              <w:rPr>
                <w:rFonts w:hint="eastAsia" w:ascii="宋体" w:hAnsi="宋体" w:cs="宋体"/>
                <w:color w:val="auto"/>
                <w:highlight w:val="none"/>
              </w:rPr>
            </w:pPr>
          </w:p>
        </w:tc>
        <w:tc>
          <w:tcPr>
            <w:tcW w:w="2318" w:type="dxa"/>
            <w:noWrap w:val="0"/>
            <w:vAlign w:val="center"/>
          </w:tcPr>
          <w:p w14:paraId="44F93777">
            <w:pPr>
              <w:autoSpaceDE w:val="0"/>
              <w:autoSpaceDN w:val="0"/>
              <w:adjustRightInd w:val="0"/>
              <w:jc w:val="center"/>
              <w:rPr>
                <w:rFonts w:hint="eastAsia" w:ascii="宋体" w:hAnsi="宋体" w:cs="宋体"/>
                <w:color w:val="auto"/>
                <w:w w:val="80"/>
                <w:highlight w:val="none"/>
              </w:rPr>
            </w:pPr>
          </w:p>
        </w:tc>
      </w:tr>
      <w:tr w14:paraId="63968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194" w:type="dxa"/>
            <w:noWrap w:val="0"/>
            <w:vAlign w:val="center"/>
          </w:tcPr>
          <w:p w14:paraId="243D10E1">
            <w:pPr>
              <w:autoSpaceDE w:val="0"/>
              <w:autoSpaceDN w:val="0"/>
              <w:adjustRightInd w:val="0"/>
              <w:jc w:val="center"/>
              <w:rPr>
                <w:rFonts w:hint="eastAsia" w:ascii="宋体" w:hAnsi="宋体" w:cs="宋体"/>
                <w:color w:val="auto"/>
                <w:highlight w:val="none"/>
              </w:rPr>
            </w:pPr>
          </w:p>
        </w:tc>
        <w:tc>
          <w:tcPr>
            <w:tcW w:w="2616" w:type="dxa"/>
            <w:noWrap w:val="0"/>
            <w:vAlign w:val="center"/>
          </w:tcPr>
          <w:p w14:paraId="7D4B27D7">
            <w:pPr>
              <w:autoSpaceDE w:val="0"/>
              <w:autoSpaceDN w:val="0"/>
              <w:adjustRightInd w:val="0"/>
              <w:jc w:val="center"/>
              <w:rPr>
                <w:rFonts w:hint="eastAsia" w:ascii="宋体" w:hAnsi="宋体" w:cs="宋体"/>
                <w:color w:val="auto"/>
                <w:highlight w:val="none"/>
              </w:rPr>
            </w:pPr>
          </w:p>
        </w:tc>
        <w:tc>
          <w:tcPr>
            <w:tcW w:w="1216" w:type="dxa"/>
            <w:noWrap w:val="0"/>
            <w:vAlign w:val="center"/>
          </w:tcPr>
          <w:p w14:paraId="72493BE7">
            <w:pPr>
              <w:autoSpaceDE w:val="0"/>
              <w:autoSpaceDN w:val="0"/>
              <w:adjustRightInd w:val="0"/>
              <w:jc w:val="center"/>
              <w:rPr>
                <w:rFonts w:hint="eastAsia" w:ascii="宋体" w:hAnsi="宋体" w:cs="宋体"/>
                <w:color w:val="auto"/>
                <w:highlight w:val="none"/>
              </w:rPr>
            </w:pPr>
          </w:p>
        </w:tc>
        <w:tc>
          <w:tcPr>
            <w:tcW w:w="1216" w:type="dxa"/>
            <w:noWrap w:val="0"/>
            <w:vAlign w:val="center"/>
          </w:tcPr>
          <w:p w14:paraId="366D840F">
            <w:pPr>
              <w:autoSpaceDE w:val="0"/>
              <w:autoSpaceDN w:val="0"/>
              <w:adjustRightInd w:val="0"/>
              <w:jc w:val="center"/>
              <w:rPr>
                <w:rFonts w:hint="eastAsia" w:ascii="宋体" w:hAnsi="宋体" w:cs="宋体"/>
                <w:color w:val="auto"/>
                <w:highlight w:val="none"/>
              </w:rPr>
            </w:pPr>
          </w:p>
        </w:tc>
        <w:tc>
          <w:tcPr>
            <w:tcW w:w="2318" w:type="dxa"/>
            <w:noWrap w:val="0"/>
            <w:vAlign w:val="center"/>
          </w:tcPr>
          <w:p w14:paraId="327B7BB6">
            <w:pPr>
              <w:autoSpaceDE w:val="0"/>
              <w:autoSpaceDN w:val="0"/>
              <w:adjustRightInd w:val="0"/>
              <w:jc w:val="center"/>
              <w:rPr>
                <w:rFonts w:hint="eastAsia" w:ascii="宋体" w:hAnsi="宋体" w:cs="宋体"/>
                <w:color w:val="auto"/>
                <w:w w:val="80"/>
                <w:highlight w:val="none"/>
              </w:rPr>
            </w:pPr>
          </w:p>
        </w:tc>
      </w:tr>
      <w:tr w14:paraId="07B4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194" w:type="dxa"/>
            <w:noWrap w:val="0"/>
            <w:vAlign w:val="center"/>
          </w:tcPr>
          <w:p w14:paraId="523152EC">
            <w:pPr>
              <w:autoSpaceDE w:val="0"/>
              <w:autoSpaceDN w:val="0"/>
              <w:adjustRightInd w:val="0"/>
              <w:jc w:val="center"/>
              <w:rPr>
                <w:rFonts w:hint="eastAsia" w:ascii="宋体" w:hAnsi="宋体" w:cs="宋体"/>
                <w:color w:val="auto"/>
                <w:highlight w:val="none"/>
              </w:rPr>
            </w:pPr>
          </w:p>
        </w:tc>
        <w:tc>
          <w:tcPr>
            <w:tcW w:w="2616" w:type="dxa"/>
            <w:noWrap w:val="0"/>
            <w:vAlign w:val="center"/>
          </w:tcPr>
          <w:p w14:paraId="36E1F37C">
            <w:pPr>
              <w:autoSpaceDE w:val="0"/>
              <w:autoSpaceDN w:val="0"/>
              <w:adjustRightInd w:val="0"/>
              <w:jc w:val="center"/>
              <w:rPr>
                <w:rFonts w:hint="eastAsia" w:ascii="宋体" w:hAnsi="宋体" w:cs="宋体"/>
                <w:color w:val="auto"/>
                <w:highlight w:val="none"/>
              </w:rPr>
            </w:pPr>
          </w:p>
        </w:tc>
        <w:tc>
          <w:tcPr>
            <w:tcW w:w="1216" w:type="dxa"/>
            <w:noWrap w:val="0"/>
            <w:vAlign w:val="center"/>
          </w:tcPr>
          <w:p w14:paraId="62CD37D4">
            <w:pPr>
              <w:autoSpaceDE w:val="0"/>
              <w:autoSpaceDN w:val="0"/>
              <w:adjustRightInd w:val="0"/>
              <w:jc w:val="center"/>
              <w:rPr>
                <w:rFonts w:hint="eastAsia" w:ascii="宋体" w:hAnsi="宋体" w:cs="宋体"/>
                <w:color w:val="auto"/>
                <w:highlight w:val="none"/>
              </w:rPr>
            </w:pPr>
          </w:p>
        </w:tc>
        <w:tc>
          <w:tcPr>
            <w:tcW w:w="1216" w:type="dxa"/>
            <w:noWrap w:val="0"/>
            <w:vAlign w:val="center"/>
          </w:tcPr>
          <w:p w14:paraId="0B32BA40">
            <w:pPr>
              <w:autoSpaceDE w:val="0"/>
              <w:autoSpaceDN w:val="0"/>
              <w:adjustRightInd w:val="0"/>
              <w:jc w:val="center"/>
              <w:rPr>
                <w:rFonts w:hint="eastAsia" w:ascii="宋体" w:hAnsi="宋体" w:cs="宋体"/>
                <w:color w:val="auto"/>
                <w:highlight w:val="none"/>
              </w:rPr>
            </w:pPr>
          </w:p>
        </w:tc>
        <w:tc>
          <w:tcPr>
            <w:tcW w:w="2318" w:type="dxa"/>
            <w:noWrap w:val="0"/>
            <w:vAlign w:val="center"/>
          </w:tcPr>
          <w:p w14:paraId="48DF8CEB">
            <w:pPr>
              <w:autoSpaceDE w:val="0"/>
              <w:autoSpaceDN w:val="0"/>
              <w:adjustRightInd w:val="0"/>
              <w:jc w:val="center"/>
              <w:rPr>
                <w:rFonts w:hint="eastAsia" w:ascii="宋体" w:hAnsi="宋体" w:cs="宋体"/>
                <w:color w:val="auto"/>
                <w:w w:val="80"/>
                <w:highlight w:val="none"/>
              </w:rPr>
            </w:pPr>
          </w:p>
        </w:tc>
      </w:tr>
      <w:tr w14:paraId="7E28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194" w:type="dxa"/>
            <w:noWrap w:val="0"/>
            <w:vAlign w:val="center"/>
          </w:tcPr>
          <w:p w14:paraId="32EA0952">
            <w:pPr>
              <w:autoSpaceDE w:val="0"/>
              <w:autoSpaceDN w:val="0"/>
              <w:adjustRightInd w:val="0"/>
              <w:jc w:val="center"/>
              <w:rPr>
                <w:rFonts w:hint="eastAsia" w:ascii="宋体" w:hAnsi="宋体" w:cs="宋体"/>
                <w:color w:val="auto"/>
                <w:highlight w:val="none"/>
              </w:rPr>
            </w:pPr>
          </w:p>
        </w:tc>
        <w:tc>
          <w:tcPr>
            <w:tcW w:w="2616" w:type="dxa"/>
            <w:noWrap w:val="0"/>
            <w:vAlign w:val="center"/>
          </w:tcPr>
          <w:p w14:paraId="0B4623F8">
            <w:pPr>
              <w:autoSpaceDE w:val="0"/>
              <w:autoSpaceDN w:val="0"/>
              <w:adjustRightInd w:val="0"/>
              <w:jc w:val="center"/>
              <w:rPr>
                <w:rFonts w:hint="eastAsia" w:ascii="宋体" w:hAnsi="宋体" w:cs="宋体"/>
                <w:color w:val="auto"/>
                <w:highlight w:val="none"/>
              </w:rPr>
            </w:pPr>
          </w:p>
        </w:tc>
        <w:tc>
          <w:tcPr>
            <w:tcW w:w="1216" w:type="dxa"/>
            <w:noWrap w:val="0"/>
            <w:vAlign w:val="center"/>
          </w:tcPr>
          <w:p w14:paraId="63E7220D">
            <w:pPr>
              <w:autoSpaceDE w:val="0"/>
              <w:autoSpaceDN w:val="0"/>
              <w:adjustRightInd w:val="0"/>
              <w:jc w:val="center"/>
              <w:rPr>
                <w:rFonts w:hint="eastAsia" w:ascii="宋体" w:hAnsi="宋体" w:cs="宋体"/>
                <w:color w:val="auto"/>
                <w:highlight w:val="none"/>
              </w:rPr>
            </w:pPr>
          </w:p>
        </w:tc>
        <w:tc>
          <w:tcPr>
            <w:tcW w:w="1216" w:type="dxa"/>
            <w:noWrap w:val="0"/>
            <w:vAlign w:val="center"/>
          </w:tcPr>
          <w:p w14:paraId="320C9C6A">
            <w:pPr>
              <w:autoSpaceDE w:val="0"/>
              <w:autoSpaceDN w:val="0"/>
              <w:adjustRightInd w:val="0"/>
              <w:jc w:val="center"/>
              <w:rPr>
                <w:rFonts w:hint="eastAsia" w:ascii="宋体" w:hAnsi="宋体" w:cs="宋体"/>
                <w:color w:val="auto"/>
                <w:highlight w:val="none"/>
              </w:rPr>
            </w:pPr>
          </w:p>
        </w:tc>
        <w:tc>
          <w:tcPr>
            <w:tcW w:w="2318" w:type="dxa"/>
            <w:noWrap w:val="0"/>
            <w:vAlign w:val="center"/>
          </w:tcPr>
          <w:p w14:paraId="313FB86F">
            <w:pPr>
              <w:autoSpaceDE w:val="0"/>
              <w:autoSpaceDN w:val="0"/>
              <w:adjustRightInd w:val="0"/>
              <w:jc w:val="center"/>
              <w:rPr>
                <w:rFonts w:hint="eastAsia" w:ascii="宋体" w:hAnsi="宋体" w:cs="宋体"/>
                <w:color w:val="auto"/>
                <w:w w:val="80"/>
                <w:highlight w:val="none"/>
              </w:rPr>
            </w:pPr>
          </w:p>
        </w:tc>
      </w:tr>
      <w:tr w14:paraId="6A369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72" w:hRule="atLeast"/>
        </w:trPr>
        <w:tc>
          <w:tcPr>
            <w:tcW w:w="1194" w:type="dxa"/>
            <w:noWrap w:val="0"/>
            <w:vAlign w:val="center"/>
          </w:tcPr>
          <w:p w14:paraId="6F13D2A3">
            <w:pPr>
              <w:autoSpaceDE w:val="0"/>
              <w:autoSpaceDN w:val="0"/>
              <w:adjustRightInd w:val="0"/>
              <w:jc w:val="center"/>
              <w:rPr>
                <w:rFonts w:hint="eastAsia" w:ascii="宋体" w:hAnsi="宋体" w:cs="宋体"/>
                <w:color w:val="auto"/>
                <w:highlight w:val="none"/>
              </w:rPr>
            </w:pPr>
          </w:p>
        </w:tc>
        <w:tc>
          <w:tcPr>
            <w:tcW w:w="2616" w:type="dxa"/>
            <w:noWrap w:val="0"/>
            <w:vAlign w:val="center"/>
          </w:tcPr>
          <w:p w14:paraId="278CC4AC">
            <w:pPr>
              <w:autoSpaceDE w:val="0"/>
              <w:autoSpaceDN w:val="0"/>
              <w:adjustRightInd w:val="0"/>
              <w:jc w:val="center"/>
              <w:rPr>
                <w:rFonts w:hint="eastAsia" w:ascii="宋体" w:hAnsi="宋体" w:cs="宋体"/>
                <w:color w:val="auto"/>
                <w:highlight w:val="none"/>
              </w:rPr>
            </w:pPr>
          </w:p>
        </w:tc>
        <w:tc>
          <w:tcPr>
            <w:tcW w:w="1216" w:type="dxa"/>
            <w:noWrap w:val="0"/>
            <w:vAlign w:val="center"/>
          </w:tcPr>
          <w:p w14:paraId="63715F03">
            <w:pPr>
              <w:autoSpaceDE w:val="0"/>
              <w:autoSpaceDN w:val="0"/>
              <w:adjustRightInd w:val="0"/>
              <w:jc w:val="center"/>
              <w:rPr>
                <w:rFonts w:hint="eastAsia" w:ascii="宋体" w:hAnsi="宋体" w:cs="宋体"/>
                <w:color w:val="auto"/>
                <w:highlight w:val="none"/>
              </w:rPr>
            </w:pPr>
          </w:p>
        </w:tc>
        <w:tc>
          <w:tcPr>
            <w:tcW w:w="1216" w:type="dxa"/>
            <w:noWrap w:val="0"/>
            <w:vAlign w:val="center"/>
          </w:tcPr>
          <w:p w14:paraId="73708A94">
            <w:pPr>
              <w:autoSpaceDE w:val="0"/>
              <w:autoSpaceDN w:val="0"/>
              <w:adjustRightInd w:val="0"/>
              <w:jc w:val="center"/>
              <w:rPr>
                <w:rFonts w:hint="eastAsia" w:ascii="宋体" w:hAnsi="宋体" w:cs="宋体"/>
                <w:color w:val="auto"/>
                <w:highlight w:val="none"/>
              </w:rPr>
            </w:pPr>
          </w:p>
        </w:tc>
        <w:tc>
          <w:tcPr>
            <w:tcW w:w="2318" w:type="dxa"/>
            <w:noWrap w:val="0"/>
            <w:vAlign w:val="center"/>
          </w:tcPr>
          <w:p w14:paraId="39AA7642">
            <w:pPr>
              <w:autoSpaceDE w:val="0"/>
              <w:autoSpaceDN w:val="0"/>
              <w:adjustRightInd w:val="0"/>
              <w:jc w:val="center"/>
              <w:rPr>
                <w:rFonts w:hint="eastAsia" w:ascii="宋体" w:hAnsi="宋体" w:cs="宋体"/>
                <w:color w:val="auto"/>
                <w:w w:val="80"/>
                <w:highlight w:val="none"/>
              </w:rPr>
            </w:pPr>
          </w:p>
        </w:tc>
      </w:tr>
    </w:tbl>
    <w:p w14:paraId="2E5878C6">
      <w:pPr>
        <w:spacing w:line="360" w:lineRule="auto"/>
        <w:rPr>
          <w:rFonts w:hint="eastAsia" w:ascii="宋体" w:hAnsi="宋体" w:cs="宋体"/>
          <w:color w:val="auto"/>
          <w:sz w:val="24"/>
          <w:highlight w:val="none"/>
        </w:rPr>
      </w:pPr>
    </w:p>
    <w:p w14:paraId="20DA5AB9">
      <w:pPr>
        <w:autoSpaceDE w:val="0"/>
        <w:autoSpaceDN w:val="0"/>
        <w:adjustRightInd w:val="0"/>
        <w:jc w:val="left"/>
        <w:rPr>
          <w:rFonts w:hint="eastAsia" w:ascii="宋体" w:hAnsi="宋体" w:cs="宋体"/>
          <w:color w:val="auto"/>
          <w:highlight w:val="none"/>
        </w:rPr>
      </w:pPr>
      <w:r>
        <w:rPr>
          <w:rFonts w:hint="eastAsia" w:ascii="宋体" w:hAnsi="宋体" w:cs="宋体"/>
          <w:b/>
          <w:color w:val="auto"/>
          <w:highlight w:val="none"/>
        </w:rPr>
        <w:t>[说明]</w:t>
      </w:r>
      <w:r>
        <w:rPr>
          <w:rFonts w:hint="eastAsia" w:ascii="宋体" w:hAnsi="宋体" w:cs="宋体"/>
          <w:color w:val="auto"/>
          <w:highlight w:val="none"/>
        </w:rPr>
        <w:t xml:space="preserve"> 投标人需按各自标段中★技术条款逐一对应响应表填写（如有）</w:t>
      </w:r>
    </w:p>
    <w:p w14:paraId="4B827ADC">
      <w:pPr>
        <w:autoSpaceDE w:val="0"/>
        <w:autoSpaceDN w:val="0"/>
        <w:adjustRightInd w:val="0"/>
        <w:jc w:val="left"/>
        <w:rPr>
          <w:rFonts w:hint="eastAsia" w:ascii="宋体" w:hAnsi="宋体" w:cs="宋体"/>
          <w:color w:val="auto"/>
          <w:highlight w:val="none"/>
        </w:rPr>
      </w:pPr>
      <w:r>
        <w:rPr>
          <w:rFonts w:hint="eastAsia" w:ascii="宋体" w:hAnsi="宋体" w:cs="宋体"/>
          <w:color w:val="auto"/>
          <w:highlight w:val="none"/>
        </w:rPr>
        <w:t>投标人必须逐项对★技术条款的偏离情况如实填写</w:t>
      </w:r>
      <w:r>
        <w:rPr>
          <w:rFonts w:hint="eastAsia" w:ascii="宋体" w:hAnsi="宋体" w:cs="宋体"/>
          <w:color w:val="auto"/>
          <w:kern w:val="1"/>
          <w:highlight w:val="none"/>
        </w:rPr>
        <w:t>，并在本表的“偏离情况”栏中注明“正偏离”或“负偏离”或“无偏离”。</w:t>
      </w:r>
      <w:r>
        <w:rPr>
          <w:rFonts w:hint="eastAsia" w:ascii="宋体" w:hAnsi="宋体" w:cs="宋体"/>
          <w:color w:val="auto"/>
          <w:highlight w:val="none"/>
        </w:rPr>
        <w:t>如有差异的在“差异描述”栏中详细描述差异情况。</w:t>
      </w:r>
    </w:p>
    <w:p w14:paraId="633DCB71">
      <w:pPr>
        <w:autoSpaceDE w:val="0"/>
        <w:autoSpaceDN w:val="0"/>
        <w:adjustRightInd w:val="0"/>
        <w:jc w:val="left"/>
        <w:rPr>
          <w:rFonts w:hint="eastAsia" w:ascii="宋体" w:hAnsi="宋体" w:cs="宋体"/>
          <w:color w:val="auto"/>
          <w:highlight w:val="none"/>
        </w:rPr>
      </w:pPr>
    </w:p>
    <w:p w14:paraId="42E2C003">
      <w:pPr>
        <w:spacing w:line="360" w:lineRule="auto"/>
        <w:jc w:val="left"/>
        <w:rPr>
          <w:rFonts w:hint="eastAsia" w:ascii="宋体" w:hAnsi="宋体" w:cs="宋体"/>
          <w:color w:val="auto"/>
          <w:sz w:val="24"/>
          <w:highlight w:val="none"/>
        </w:rPr>
      </w:pPr>
    </w:p>
    <w:p w14:paraId="57F3BE9F">
      <w:pPr>
        <w:spacing w:line="480" w:lineRule="auto"/>
        <w:ind w:firstLine="3990" w:firstLineChars="1900"/>
        <w:rPr>
          <w:rFonts w:hint="eastAsia" w:ascii="宋体" w:hAnsi="宋体" w:cs="宋体"/>
          <w:color w:val="auto"/>
          <w:szCs w:val="22"/>
          <w:highlight w:val="none"/>
        </w:rPr>
      </w:pPr>
      <w:r>
        <w:rPr>
          <w:rFonts w:hint="eastAsia" w:ascii="宋体" w:hAnsi="宋体" w:cs="宋体"/>
          <w:color w:val="auto"/>
          <w:szCs w:val="22"/>
          <w:highlight w:val="none"/>
        </w:rPr>
        <w:t>投标人名称:（盖章）</w:t>
      </w:r>
    </w:p>
    <w:p w14:paraId="135FCF41">
      <w:pPr>
        <w:spacing w:line="480" w:lineRule="auto"/>
        <w:ind w:firstLine="3990" w:firstLineChars="1900"/>
        <w:rPr>
          <w:rFonts w:hint="eastAsia" w:ascii="宋体" w:hAnsi="宋体" w:cs="宋体"/>
          <w:color w:val="auto"/>
          <w:szCs w:val="22"/>
          <w:highlight w:val="none"/>
        </w:rPr>
      </w:pPr>
      <w:r>
        <w:rPr>
          <w:rFonts w:hint="eastAsia" w:ascii="宋体" w:hAnsi="宋体" w:cs="宋体"/>
          <w:color w:val="auto"/>
          <w:szCs w:val="22"/>
          <w:highlight w:val="none"/>
        </w:rPr>
        <w:t>日期：    年   月   日</w:t>
      </w:r>
    </w:p>
    <w:p w14:paraId="3FA1AB1F">
      <w:pPr>
        <w:tabs>
          <w:tab w:val="left" w:pos="676"/>
          <w:tab w:val="left" w:pos="2330"/>
          <w:tab w:val="left" w:pos="9230"/>
        </w:tabs>
        <w:autoSpaceDE w:val="0"/>
        <w:autoSpaceDN w:val="0"/>
        <w:adjustRightInd w:val="0"/>
        <w:jc w:val="center"/>
        <w:rPr>
          <w:rFonts w:hint="eastAsia" w:ascii="宋体" w:hAnsi="宋体" w:cs="宋体"/>
          <w:color w:val="auto"/>
          <w:highlight w:val="none"/>
        </w:rPr>
      </w:pPr>
    </w:p>
    <w:p w14:paraId="1167E223">
      <w:pPr>
        <w:tabs>
          <w:tab w:val="left" w:pos="676"/>
          <w:tab w:val="left" w:pos="2330"/>
          <w:tab w:val="left" w:pos="9230"/>
        </w:tabs>
        <w:autoSpaceDE w:val="0"/>
        <w:autoSpaceDN w:val="0"/>
        <w:adjustRightInd w:val="0"/>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格式6.2</w:t>
      </w:r>
    </w:p>
    <w:p w14:paraId="3105E3F5">
      <w:pPr>
        <w:spacing w:line="360" w:lineRule="auto"/>
        <w:ind w:firstLine="425"/>
        <w:jc w:val="center"/>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人员配备方案</w:t>
      </w:r>
    </w:p>
    <w:p w14:paraId="11567357">
      <w:pPr>
        <w:spacing w:line="360" w:lineRule="auto"/>
        <w:ind w:firstLine="425"/>
        <w:rPr>
          <w:rFonts w:hint="eastAsia" w:ascii="宋体" w:hAnsi="宋体" w:cs="宋体"/>
          <w:color w:val="auto"/>
          <w:highlight w:val="none"/>
        </w:rPr>
      </w:pPr>
      <w:r>
        <w:rPr>
          <w:rFonts w:hint="eastAsia" w:ascii="宋体" w:hAnsi="宋体" w:cs="宋体"/>
          <w:color w:val="auto"/>
          <w:highlight w:val="none"/>
        </w:rPr>
        <w:t>投标人应根据招标文件《用户需求书》及评审内容填写。</w:t>
      </w:r>
    </w:p>
    <w:p w14:paraId="1BE9887F">
      <w:pPr>
        <w:spacing w:line="360" w:lineRule="auto"/>
        <w:ind w:firstLine="425"/>
        <w:jc w:val="center"/>
        <w:rPr>
          <w:rFonts w:hint="eastAsia" w:ascii="宋体" w:hAnsi="宋体" w:cs="宋体"/>
          <w:b/>
          <w:color w:val="auto"/>
          <w:sz w:val="28"/>
          <w:szCs w:val="28"/>
          <w:highlight w:val="none"/>
          <w:lang w:val="en-US" w:eastAsia="zh-CN"/>
        </w:rPr>
      </w:pPr>
    </w:p>
    <w:p w14:paraId="6959D79D">
      <w:pPr>
        <w:pStyle w:val="2"/>
        <w:rPr>
          <w:rFonts w:hint="eastAsia"/>
          <w:lang w:val="en-US" w:eastAsia="zh-CN"/>
        </w:rPr>
      </w:pPr>
    </w:p>
    <w:p w14:paraId="5CAF7643">
      <w:pPr>
        <w:bidi w:val="0"/>
        <w:rPr>
          <w:rFonts w:hint="eastAsia"/>
          <w:lang w:val="en-US" w:eastAsia="zh-CN"/>
        </w:rPr>
      </w:pPr>
    </w:p>
    <w:p w14:paraId="1529887A">
      <w:pPr>
        <w:tabs>
          <w:tab w:val="left" w:pos="676"/>
          <w:tab w:val="left" w:pos="2330"/>
          <w:tab w:val="left" w:pos="9230"/>
        </w:tabs>
        <w:autoSpaceDE w:val="0"/>
        <w:autoSpaceDN w:val="0"/>
        <w:adjustRightInd w:val="0"/>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格式6.</w:t>
      </w:r>
      <w:r>
        <w:rPr>
          <w:rFonts w:hint="eastAsia" w:ascii="宋体" w:hAnsi="宋体" w:cs="宋体"/>
          <w:b/>
          <w:color w:val="auto"/>
          <w:sz w:val="24"/>
          <w:highlight w:val="none"/>
          <w:lang w:val="en-US" w:eastAsia="zh-CN"/>
        </w:rPr>
        <w:t>3</w:t>
      </w:r>
    </w:p>
    <w:p w14:paraId="22A90BAA">
      <w:pPr>
        <w:pStyle w:val="2"/>
        <w:rPr>
          <w:rFonts w:hint="eastAsia"/>
          <w:lang w:val="en-US" w:eastAsia="zh-CN"/>
        </w:rPr>
      </w:pPr>
    </w:p>
    <w:p w14:paraId="27296926">
      <w:pPr>
        <w:spacing w:line="360" w:lineRule="auto"/>
        <w:ind w:firstLine="425"/>
        <w:jc w:val="center"/>
        <w:rPr>
          <w:rFonts w:hint="eastAsia" w:ascii="宋体" w:hAnsi="宋体" w:cs="宋体"/>
          <w:color w:val="auto"/>
          <w:highlight w:val="none"/>
        </w:rPr>
      </w:pPr>
      <w:r>
        <w:rPr>
          <w:rFonts w:hint="eastAsia" w:ascii="宋体" w:hAnsi="宋体" w:cs="宋体"/>
          <w:b/>
          <w:color w:val="auto"/>
          <w:sz w:val="28"/>
          <w:szCs w:val="28"/>
          <w:highlight w:val="none"/>
        </w:rPr>
        <w:t>总体服务方案</w:t>
      </w:r>
    </w:p>
    <w:p w14:paraId="35637071">
      <w:pPr>
        <w:spacing w:line="360" w:lineRule="auto"/>
        <w:ind w:firstLine="425"/>
        <w:rPr>
          <w:rFonts w:hint="eastAsia" w:ascii="宋体" w:hAnsi="宋体" w:cs="宋体"/>
          <w:color w:val="auto"/>
          <w:highlight w:val="none"/>
        </w:rPr>
      </w:pPr>
      <w:r>
        <w:rPr>
          <w:rFonts w:hint="eastAsia" w:ascii="宋体" w:hAnsi="宋体" w:cs="宋体"/>
          <w:color w:val="auto"/>
          <w:highlight w:val="none"/>
        </w:rPr>
        <w:t>投标人应根据招标文件《用户需求书》及评审内容填写。</w:t>
      </w:r>
    </w:p>
    <w:p w14:paraId="57AAD856">
      <w:pPr>
        <w:adjustRightInd w:val="0"/>
        <w:snapToGrid w:val="0"/>
        <w:spacing w:line="360" w:lineRule="auto"/>
        <w:ind w:left="420" w:leftChars="200"/>
        <w:rPr>
          <w:rFonts w:hint="eastAsia" w:ascii="宋体" w:hAnsi="宋体" w:cs="宋体"/>
          <w:color w:val="auto"/>
          <w:highlight w:val="none"/>
        </w:rPr>
      </w:pPr>
    </w:p>
    <w:p w14:paraId="0583F5A9">
      <w:pPr>
        <w:spacing w:line="360" w:lineRule="auto"/>
        <w:jc w:val="center"/>
        <w:rPr>
          <w:rFonts w:hint="eastAsia" w:ascii="宋体" w:hAnsi="宋体" w:cs="宋体"/>
          <w:b/>
          <w:color w:val="auto"/>
          <w:sz w:val="28"/>
          <w:szCs w:val="28"/>
          <w:highlight w:val="none"/>
        </w:rPr>
      </w:pPr>
    </w:p>
    <w:p w14:paraId="178EA47E">
      <w:pPr>
        <w:ind w:firstLine="420"/>
        <w:rPr>
          <w:rFonts w:hint="eastAsia" w:ascii="宋体" w:hAnsi="宋体" w:cs="宋体"/>
          <w:color w:val="auto"/>
          <w:highlight w:val="none"/>
        </w:rPr>
      </w:pPr>
    </w:p>
    <w:p w14:paraId="37D99E84">
      <w:pPr>
        <w:tabs>
          <w:tab w:val="left" w:pos="676"/>
          <w:tab w:val="left" w:pos="2330"/>
          <w:tab w:val="left" w:pos="9230"/>
        </w:tabs>
        <w:autoSpaceDE w:val="0"/>
        <w:autoSpaceDN w:val="0"/>
        <w:adjustRightInd w:val="0"/>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格式6.</w:t>
      </w:r>
      <w:r>
        <w:rPr>
          <w:rFonts w:hint="eastAsia" w:ascii="宋体" w:hAnsi="宋体" w:cs="宋体"/>
          <w:b/>
          <w:color w:val="auto"/>
          <w:sz w:val="24"/>
          <w:highlight w:val="none"/>
          <w:lang w:val="en-US" w:eastAsia="zh-CN"/>
        </w:rPr>
        <w:t>4</w:t>
      </w:r>
    </w:p>
    <w:p w14:paraId="017009B3">
      <w:pPr>
        <w:spacing w:line="360" w:lineRule="auto"/>
        <w:ind w:firstLine="425"/>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人员培训方案</w:t>
      </w:r>
    </w:p>
    <w:p w14:paraId="1361C813">
      <w:pPr>
        <w:spacing w:line="360" w:lineRule="auto"/>
        <w:ind w:left="315" w:hanging="315" w:hangingChars="150"/>
        <w:rPr>
          <w:rFonts w:hint="eastAsia" w:ascii="宋体" w:hAnsi="宋体" w:cs="宋体"/>
          <w:color w:val="auto"/>
          <w:highlight w:val="none"/>
        </w:rPr>
      </w:pPr>
      <w:r>
        <w:rPr>
          <w:rFonts w:hint="eastAsia" w:ascii="宋体" w:hAnsi="宋体" w:cs="宋体"/>
          <w:color w:val="auto"/>
          <w:highlight w:val="none"/>
        </w:rPr>
        <w:t xml:space="preserve">    </w:t>
      </w:r>
    </w:p>
    <w:p w14:paraId="69BB91D5">
      <w:pPr>
        <w:spacing w:line="360" w:lineRule="auto"/>
        <w:ind w:firstLine="425"/>
        <w:rPr>
          <w:rFonts w:hint="eastAsia" w:ascii="宋体" w:hAnsi="宋体" w:cs="宋体"/>
          <w:color w:val="auto"/>
          <w:highlight w:val="none"/>
        </w:rPr>
      </w:pPr>
      <w:r>
        <w:rPr>
          <w:rFonts w:hint="eastAsia" w:ascii="宋体" w:hAnsi="宋体" w:cs="宋体"/>
          <w:color w:val="auto"/>
          <w:highlight w:val="none"/>
        </w:rPr>
        <w:t>投标人应根据招标文件《用户需求书》及评审内容填写。</w:t>
      </w:r>
    </w:p>
    <w:p w14:paraId="473DE8A3">
      <w:pPr>
        <w:spacing w:line="360" w:lineRule="auto"/>
        <w:rPr>
          <w:rFonts w:hint="eastAsia" w:ascii="宋体" w:hAnsi="宋体" w:cs="宋体"/>
          <w:b/>
          <w:color w:val="auto"/>
          <w:sz w:val="24"/>
          <w:highlight w:val="none"/>
        </w:rPr>
      </w:pPr>
    </w:p>
    <w:p w14:paraId="7C7769D7">
      <w:pPr>
        <w:pStyle w:val="2"/>
        <w:rPr>
          <w:rFonts w:hint="eastAsia"/>
        </w:rPr>
      </w:pPr>
    </w:p>
    <w:p w14:paraId="3AAD4904">
      <w:pPr>
        <w:spacing w:line="360" w:lineRule="auto"/>
        <w:jc w:val="left"/>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格式6.</w:t>
      </w:r>
      <w:r>
        <w:rPr>
          <w:rFonts w:hint="eastAsia" w:ascii="宋体" w:hAnsi="宋体" w:cs="宋体"/>
          <w:b/>
          <w:color w:val="auto"/>
          <w:sz w:val="24"/>
          <w:highlight w:val="none"/>
          <w:lang w:val="en-US" w:eastAsia="zh-CN"/>
        </w:rPr>
        <w:t>5</w:t>
      </w:r>
    </w:p>
    <w:p w14:paraId="15579420">
      <w:pPr>
        <w:spacing w:line="360" w:lineRule="auto"/>
        <w:ind w:firstLine="425"/>
        <w:jc w:val="center"/>
        <w:rPr>
          <w:rFonts w:hint="eastAsia" w:ascii="宋体" w:hAnsi="宋体" w:cs="宋体"/>
          <w:b/>
          <w:color w:val="auto"/>
          <w:sz w:val="28"/>
          <w:szCs w:val="28"/>
          <w:highlight w:val="none"/>
        </w:rPr>
      </w:pPr>
    </w:p>
    <w:p w14:paraId="70A80032">
      <w:pPr>
        <w:spacing w:line="360" w:lineRule="auto"/>
        <w:ind w:firstLine="425"/>
        <w:jc w:val="center"/>
        <w:rPr>
          <w:rFonts w:hint="eastAsia" w:ascii="宋体" w:hAnsi="宋体" w:cs="宋体"/>
          <w:b/>
          <w:color w:val="auto"/>
          <w:sz w:val="28"/>
          <w:szCs w:val="28"/>
          <w:highlight w:val="none"/>
          <w:lang w:eastAsia="zh-CN"/>
        </w:rPr>
      </w:pPr>
      <w:r>
        <w:rPr>
          <w:rFonts w:hint="eastAsia" w:ascii="宋体" w:hAnsi="宋体" w:cs="宋体"/>
          <w:b/>
          <w:color w:val="auto"/>
          <w:sz w:val="28"/>
          <w:szCs w:val="28"/>
          <w:highlight w:val="none"/>
          <w:lang w:eastAsia="zh-CN"/>
        </w:rPr>
        <w:t>管理规章制度</w:t>
      </w:r>
    </w:p>
    <w:p w14:paraId="6AD1624C">
      <w:pPr>
        <w:spacing w:line="360" w:lineRule="auto"/>
        <w:ind w:firstLine="425"/>
        <w:rPr>
          <w:rFonts w:hint="eastAsia" w:ascii="宋体" w:hAnsi="宋体" w:cs="宋体"/>
          <w:color w:val="auto"/>
          <w:highlight w:val="none"/>
        </w:rPr>
      </w:pPr>
      <w:r>
        <w:rPr>
          <w:rFonts w:hint="eastAsia" w:ascii="宋体" w:hAnsi="宋体" w:cs="宋体"/>
          <w:color w:val="auto"/>
          <w:highlight w:val="none"/>
        </w:rPr>
        <w:t>投标人应根据招标文件《用户需求书》及评审内容填写。</w:t>
      </w:r>
    </w:p>
    <w:p w14:paraId="61892573">
      <w:pPr>
        <w:spacing w:line="360" w:lineRule="auto"/>
        <w:jc w:val="center"/>
        <w:rPr>
          <w:rFonts w:hint="eastAsia" w:ascii="宋体" w:hAnsi="宋体" w:cs="宋体"/>
          <w:b/>
          <w:color w:val="auto"/>
          <w:sz w:val="28"/>
          <w:highlight w:val="none"/>
        </w:rPr>
      </w:pPr>
    </w:p>
    <w:p w14:paraId="0AD9A56B">
      <w:pPr>
        <w:pStyle w:val="2"/>
        <w:rPr>
          <w:rFonts w:hint="eastAsia"/>
        </w:rPr>
      </w:pPr>
    </w:p>
    <w:p w14:paraId="46819500">
      <w:pPr>
        <w:spacing w:line="360" w:lineRule="auto"/>
        <w:jc w:val="left"/>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格式6.</w:t>
      </w:r>
      <w:r>
        <w:rPr>
          <w:rFonts w:hint="eastAsia" w:ascii="宋体" w:hAnsi="宋体" w:cs="宋体"/>
          <w:b/>
          <w:color w:val="auto"/>
          <w:sz w:val="24"/>
          <w:highlight w:val="none"/>
          <w:lang w:val="en-US" w:eastAsia="zh-CN"/>
        </w:rPr>
        <w:t>6</w:t>
      </w:r>
    </w:p>
    <w:p w14:paraId="40A7380D">
      <w:pPr>
        <w:spacing w:line="360" w:lineRule="auto"/>
        <w:jc w:val="center"/>
        <w:rPr>
          <w:rFonts w:hint="eastAsia" w:ascii="宋体" w:hAnsi="宋体" w:cs="宋体"/>
          <w:b/>
          <w:color w:val="auto"/>
          <w:sz w:val="28"/>
          <w:highlight w:val="none"/>
        </w:rPr>
      </w:pPr>
    </w:p>
    <w:p w14:paraId="03153F98">
      <w:pPr>
        <w:spacing w:line="360" w:lineRule="auto"/>
        <w:ind w:firstLine="425"/>
        <w:jc w:val="center"/>
        <w:rPr>
          <w:rFonts w:hint="eastAsia" w:ascii="宋体" w:hAnsi="宋体" w:cs="宋体"/>
          <w:b/>
          <w:color w:val="auto"/>
          <w:sz w:val="28"/>
          <w:szCs w:val="28"/>
          <w:highlight w:val="none"/>
          <w:lang w:eastAsia="zh-CN"/>
        </w:rPr>
      </w:pPr>
      <w:r>
        <w:rPr>
          <w:rFonts w:hint="eastAsia" w:ascii="宋体" w:hAnsi="宋体" w:cs="宋体"/>
          <w:b/>
          <w:color w:val="auto"/>
          <w:sz w:val="28"/>
          <w:szCs w:val="28"/>
          <w:highlight w:val="none"/>
          <w:lang w:eastAsia="zh-CN"/>
        </w:rPr>
        <w:t>应急服务方案</w:t>
      </w:r>
    </w:p>
    <w:p w14:paraId="1CE8C98F">
      <w:pPr>
        <w:spacing w:line="360" w:lineRule="auto"/>
        <w:jc w:val="center"/>
        <w:rPr>
          <w:rFonts w:hint="eastAsia" w:ascii="宋体" w:hAnsi="宋体" w:cs="宋体"/>
          <w:color w:val="auto"/>
          <w:highlight w:val="none"/>
        </w:rPr>
      </w:pPr>
      <w:r>
        <w:rPr>
          <w:rFonts w:hint="eastAsia" w:ascii="宋体" w:hAnsi="宋体" w:cs="宋体"/>
          <w:color w:val="auto"/>
          <w:highlight w:val="none"/>
        </w:rPr>
        <w:t>投标人应根据招标文件《用户需求书》及评审内容填写。</w:t>
      </w:r>
    </w:p>
    <w:p w14:paraId="20C82BEE">
      <w:pPr>
        <w:spacing w:line="360" w:lineRule="auto"/>
        <w:jc w:val="left"/>
        <w:rPr>
          <w:rFonts w:hint="eastAsia" w:ascii="宋体" w:hAnsi="宋体" w:eastAsia="宋体" w:cs="宋体"/>
          <w:b/>
          <w:color w:val="auto"/>
          <w:sz w:val="24"/>
          <w:highlight w:val="none"/>
          <w:lang w:eastAsia="zh-CN"/>
        </w:rPr>
      </w:pPr>
      <w:r>
        <w:rPr>
          <w:rFonts w:hint="eastAsia" w:ascii="宋体" w:hAnsi="宋体" w:cs="宋体"/>
          <w:color w:val="auto"/>
          <w:highlight w:val="none"/>
        </w:rPr>
        <w:br w:type="page"/>
      </w:r>
      <w:r>
        <w:rPr>
          <w:rFonts w:hint="eastAsia" w:ascii="宋体" w:hAnsi="宋体" w:cs="宋体"/>
          <w:b/>
          <w:color w:val="auto"/>
          <w:sz w:val="24"/>
          <w:highlight w:val="none"/>
        </w:rPr>
        <w:t>格式6.</w:t>
      </w:r>
      <w:r>
        <w:rPr>
          <w:rFonts w:hint="eastAsia" w:ascii="宋体" w:hAnsi="宋体" w:cs="宋体"/>
          <w:b/>
          <w:color w:val="auto"/>
          <w:sz w:val="24"/>
          <w:highlight w:val="none"/>
          <w:lang w:val="en-US" w:eastAsia="zh-CN"/>
        </w:rPr>
        <w:t>7</w:t>
      </w:r>
    </w:p>
    <w:p w14:paraId="3FEE9CFF">
      <w:pPr>
        <w:pStyle w:val="2"/>
        <w:rPr>
          <w:rFonts w:hint="eastAsia" w:ascii="宋体" w:hAnsi="宋体" w:cs="宋体"/>
          <w:color w:val="auto"/>
          <w:highlight w:val="none"/>
        </w:rPr>
      </w:pPr>
    </w:p>
    <w:p w14:paraId="0ED00337">
      <w:pPr>
        <w:spacing w:line="360" w:lineRule="auto"/>
        <w:jc w:val="center"/>
        <w:rPr>
          <w:rFonts w:hint="eastAsia" w:ascii="宋体" w:hAnsi="宋体" w:cs="宋体"/>
          <w:b/>
          <w:color w:val="auto"/>
          <w:sz w:val="28"/>
          <w:highlight w:val="none"/>
        </w:rPr>
      </w:pPr>
      <w:r>
        <w:rPr>
          <w:rFonts w:hint="eastAsia" w:ascii="宋体" w:hAnsi="宋体" w:cs="宋体"/>
          <w:b/>
          <w:color w:val="auto"/>
          <w:sz w:val="28"/>
          <w:highlight w:val="none"/>
        </w:rPr>
        <w:t>技术标评分细则需要提供的资料（如有）</w:t>
      </w:r>
    </w:p>
    <w:p w14:paraId="199B5C60">
      <w:pPr>
        <w:spacing w:line="360" w:lineRule="auto"/>
        <w:jc w:val="center"/>
        <w:rPr>
          <w:rFonts w:hint="eastAsia" w:ascii="宋体" w:hAnsi="宋体" w:cs="宋体"/>
          <w:b/>
          <w:color w:val="auto"/>
          <w:sz w:val="28"/>
          <w:highlight w:val="none"/>
        </w:rPr>
      </w:pPr>
    </w:p>
    <w:p w14:paraId="5A09CEFD">
      <w:pPr>
        <w:spacing w:line="360" w:lineRule="auto"/>
        <w:jc w:val="left"/>
        <w:rPr>
          <w:rFonts w:hint="eastAsia" w:ascii="宋体" w:hAnsi="宋体" w:cs="宋体"/>
          <w:b/>
          <w:color w:val="auto"/>
          <w:sz w:val="24"/>
          <w:highlight w:val="none"/>
        </w:rPr>
      </w:pPr>
    </w:p>
    <w:p w14:paraId="54F46E27">
      <w:pPr>
        <w:spacing w:line="360" w:lineRule="auto"/>
        <w:jc w:val="left"/>
        <w:rPr>
          <w:rFonts w:hint="eastAsia" w:ascii="宋体" w:hAnsi="宋体" w:cs="宋体"/>
          <w:b/>
          <w:color w:val="auto"/>
          <w:sz w:val="24"/>
          <w:highlight w:val="none"/>
        </w:rPr>
      </w:pPr>
    </w:p>
    <w:p w14:paraId="1EC2C44B">
      <w:pPr>
        <w:spacing w:line="360" w:lineRule="auto"/>
        <w:jc w:val="left"/>
        <w:rPr>
          <w:rFonts w:hint="eastAsia" w:ascii="宋体" w:hAnsi="宋体" w:eastAsia="宋体" w:cs="宋体"/>
          <w:b/>
          <w:color w:val="auto"/>
          <w:sz w:val="28"/>
          <w:highlight w:val="none"/>
          <w:lang w:eastAsia="zh-CN"/>
        </w:rPr>
      </w:pPr>
      <w:r>
        <w:rPr>
          <w:rFonts w:hint="eastAsia" w:ascii="宋体" w:hAnsi="宋体" w:cs="宋体"/>
          <w:b/>
          <w:color w:val="auto"/>
          <w:sz w:val="24"/>
          <w:highlight w:val="none"/>
        </w:rPr>
        <w:t>格式6.</w:t>
      </w:r>
      <w:r>
        <w:rPr>
          <w:rFonts w:hint="eastAsia" w:ascii="宋体" w:hAnsi="宋体" w:cs="宋体"/>
          <w:b/>
          <w:color w:val="auto"/>
          <w:sz w:val="24"/>
          <w:highlight w:val="none"/>
          <w:lang w:val="en-US" w:eastAsia="zh-CN"/>
        </w:rPr>
        <w:t>8</w:t>
      </w:r>
    </w:p>
    <w:p w14:paraId="49402483">
      <w:pPr>
        <w:spacing w:line="360" w:lineRule="auto"/>
        <w:jc w:val="center"/>
        <w:rPr>
          <w:rFonts w:hint="eastAsia" w:ascii="宋体" w:hAnsi="宋体" w:cs="宋体"/>
          <w:b/>
          <w:color w:val="auto"/>
          <w:sz w:val="28"/>
          <w:highlight w:val="none"/>
        </w:rPr>
      </w:pPr>
      <w:r>
        <w:rPr>
          <w:rFonts w:hint="eastAsia" w:ascii="宋体" w:hAnsi="宋体" w:cs="宋体"/>
          <w:b/>
          <w:color w:val="auto"/>
          <w:sz w:val="28"/>
          <w:highlight w:val="none"/>
        </w:rPr>
        <w:t>招标人配合内容（如有）</w:t>
      </w:r>
    </w:p>
    <w:p w14:paraId="2A9C6870">
      <w:pPr>
        <w:jc w:val="center"/>
        <w:rPr>
          <w:rFonts w:hint="eastAsia" w:ascii="宋体" w:hAnsi="宋体" w:cs="宋体"/>
          <w:color w:val="auto"/>
          <w:highlight w:val="none"/>
        </w:rPr>
      </w:pPr>
    </w:p>
    <w:p w14:paraId="7D43EDF2">
      <w:pPr>
        <w:spacing w:line="360" w:lineRule="auto"/>
        <w:rPr>
          <w:rFonts w:hint="eastAsia" w:ascii="宋体" w:hAnsi="宋体" w:cs="宋体"/>
          <w:color w:val="auto"/>
          <w:highlight w:val="none"/>
        </w:rPr>
      </w:pPr>
      <w:r>
        <w:rPr>
          <w:rFonts w:hint="eastAsia" w:ascii="宋体" w:hAnsi="宋体" w:cs="宋体"/>
          <w:color w:val="auto"/>
          <w:highlight w:val="none"/>
        </w:rPr>
        <w:t xml:space="preserve">  请投标人详细描述中标合同执行阶段需招标人配合的工作内容。</w:t>
      </w:r>
    </w:p>
    <w:p w14:paraId="47B096E9">
      <w:pPr>
        <w:spacing w:line="360" w:lineRule="auto"/>
        <w:rPr>
          <w:rFonts w:hint="eastAsia" w:ascii="宋体" w:hAnsi="宋体" w:cs="宋体"/>
          <w:color w:val="auto"/>
          <w:highlight w:val="none"/>
        </w:rPr>
      </w:pPr>
    </w:p>
    <w:p w14:paraId="44B0E169">
      <w:pPr>
        <w:spacing w:line="360" w:lineRule="auto"/>
        <w:rPr>
          <w:rFonts w:hint="eastAsia" w:ascii="宋体" w:hAnsi="宋体" w:cs="宋体"/>
          <w:b/>
          <w:color w:val="auto"/>
          <w:sz w:val="24"/>
          <w:highlight w:val="none"/>
        </w:rPr>
      </w:pPr>
    </w:p>
    <w:p w14:paraId="352208E1">
      <w:pPr>
        <w:spacing w:line="360" w:lineRule="auto"/>
        <w:rPr>
          <w:rFonts w:hint="eastAsia" w:ascii="宋体" w:hAnsi="宋体" w:cs="宋体"/>
          <w:b/>
          <w:color w:val="auto"/>
          <w:sz w:val="24"/>
          <w:highlight w:val="none"/>
        </w:rPr>
      </w:pPr>
    </w:p>
    <w:p w14:paraId="112CCF31">
      <w:pPr>
        <w:spacing w:line="360" w:lineRule="auto"/>
        <w:rPr>
          <w:rFonts w:hint="eastAsia" w:ascii="宋体" w:hAnsi="宋体" w:cs="宋体"/>
          <w:b/>
          <w:color w:val="auto"/>
          <w:sz w:val="24"/>
          <w:highlight w:val="none"/>
        </w:rPr>
      </w:pPr>
    </w:p>
    <w:p w14:paraId="465B6FCD">
      <w:pPr>
        <w:spacing w:line="360" w:lineRule="auto"/>
        <w:rPr>
          <w:rFonts w:hint="eastAsia" w:ascii="宋体" w:hAnsi="宋体" w:cs="宋体"/>
          <w:b/>
          <w:color w:val="auto"/>
          <w:sz w:val="24"/>
          <w:highlight w:val="none"/>
        </w:rPr>
      </w:pPr>
    </w:p>
    <w:p w14:paraId="082CD9B0">
      <w:pPr>
        <w:spacing w:line="360" w:lineRule="auto"/>
        <w:rPr>
          <w:rFonts w:hint="eastAsia" w:ascii="宋体" w:hAnsi="宋体" w:eastAsia="宋体" w:cs="宋体"/>
          <w:color w:val="auto"/>
          <w:highlight w:val="none"/>
          <w:lang w:eastAsia="zh-CN"/>
        </w:rPr>
      </w:pPr>
      <w:r>
        <w:rPr>
          <w:rFonts w:hint="eastAsia" w:ascii="宋体" w:hAnsi="宋体" w:cs="宋体"/>
          <w:b/>
          <w:color w:val="auto"/>
          <w:sz w:val="24"/>
          <w:highlight w:val="none"/>
        </w:rPr>
        <w:t>格式6.</w:t>
      </w:r>
      <w:r>
        <w:rPr>
          <w:rFonts w:hint="eastAsia" w:ascii="宋体" w:hAnsi="宋体" w:cs="宋体"/>
          <w:b/>
          <w:color w:val="auto"/>
          <w:sz w:val="24"/>
          <w:highlight w:val="none"/>
          <w:lang w:val="en-US" w:eastAsia="zh-CN"/>
        </w:rPr>
        <w:t>9</w:t>
      </w:r>
    </w:p>
    <w:p w14:paraId="359DA705">
      <w:pPr>
        <w:spacing w:line="360" w:lineRule="auto"/>
        <w:jc w:val="center"/>
        <w:rPr>
          <w:rFonts w:hint="eastAsia" w:ascii="宋体" w:hAnsi="宋体" w:cs="宋体"/>
          <w:b/>
          <w:color w:val="auto"/>
          <w:sz w:val="28"/>
          <w:highlight w:val="none"/>
        </w:rPr>
      </w:pPr>
      <w:r>
        <w:rPr>
          <w:rFonts w:hint="eastAsia" w:ascii="宋体" w:hAnsi="宋体" w:cs="宋体"/>
          <w:b/>
          <w:color w:val="auto"/>
          <w:sz w:val="28"/>
          <w:highlight w:val="none"/>
        </w:rPr>
        <w:t>投标人认为有必要提供的其他文件（如有）</w:t>
      </w:r>
    </w:p>
    <w:p w14:paraId="39AFED96">
      <w:pPr>
        <w:pStyle w:val="16"/>
        <w:rPr>
          <w:rFonts w:hint="eastAsia" w:hAnsi="宋体" w:cs="宋体"/>
          <w:color w:val="auto"/>
          <w:highlight w:val="none"/>
        </w:rPr>
      </w:pPr>
    </w:p>
    <w:p w14:paraId="302F8E62">
      <w:pPr>
        <w:spacing w:line="360" w:lineRule="auto"/>
        <w:rPr>
          <w:rFonts w:hint="eastAsia" w:ascii="宋体" w:hAnsi="宋体" w:cs="宋体"/>
          <w:color w:val="auto"/>
          <w:highlight w:val="none"/>
        </w:rPr>
      </w:pPr>
    </w:p>
    <w:p w14:paraId="4EE2860B">
      <w:pPr>
        <w:tabs>
          <w:tab w:val="left" w:pos="2600"/>
        </w:tabs>
        <w:spacing w:line="300" w:lineRule="exact"/>
        <w:rPr>
          <w:rFonts w:hint="eastAsia" w:ascii="宋体" w:hAnsi="宋体" w:cs="宋体"/>
          <w:b/>
          <w:color w:val="auto"/>
          <w:sz w:val="24"/>
          <w:highlight w:val="none"/>
        </w:rPr>
      </w:pPr>
    </w:p>
    <w:p w14:paraId="745A4361">
      <w:pPr>
        <w:pStyle w:val="16"/>
        <w:spacing w:line="360" w:lineRule="auto"/>
        <w:ind w:left="4700" w:leftChars="2238"/>
        <w:rPr>
          <w:rFonts w:hint="eastAsia" w:hAnsi="宋体" w:cs="宋体"/>
          <w:color w:val="auto"/>
          <w:highlight w:val="none"/>
        </w:rPr>
      </w:pPr>
    </w:p>
    <w:p w14:paraId="15F44959">
      <w:pPr>
        <w:pStyle w:val="9"/>
        <w:rPr>
          <w:rFonts w:hint="eastAsia" w:ascii="宋体" w:hAnsi="宋体" w:cs="宋体"/>
          <w:color w:val="auto"/>
          <w:highlight w:val="none"/>
        </w:rPr>
        <w:sectPr>
          <w:headerReference r:id="rId10" w:type="default"/>
          <w:footerReference r:id="rId11" w:type="default"/>
          <w:pgSz w:w="11907" w:h="16840"/>
          <w:pgMar w:top="1418" w:right="1701" w:bottom="1418" w:left="1701" w:header="851" w:footer="851" w:gutter="0"/>
          <w:cols w:space="720" w:num="1"/>
          <w:docGrid w:linePitch="285" w:charSpace="0"/>
        </w:sectPr>
      </w:pPr>
    </w:p>
    <w:p w14:paraId="486139AD">
      <w:pPr>
        <w:spacing w:line="360" w:lineRule="auto"/>
        <w:rPr>
          <w:rFonts w:hint="eastAsia" w:ascii="宋体" w:hAnsi="宋体" w:cs="宋体"/>
          <w:b/>
          <w:color w:val="auto"/>
          <w:sz w:val="30"/>
          <w:highlight w:val="none"/>
        </w:rPr>
      </w:pPr>
    </w:p>
    <w:p w14:paraId="6FB149FE">
      <w:pPr>
        <w:pStyle w:val="5"/>
        <w:numPr>
          <w:ilvl w:val="0"/>
          <w:numId w:val="0"/>
        </w:numPr>
        <w:ind w:left="422"/>
        <w:rPr>
          <w:rFonts w:hint="eastAsia" w:hAnsi="宋体" w:cs="宋体"/>
          <w:color w:val="auto"/>
          <w:highlight w:val="none"/>
        </w:rPr>
      </w:pPr>
      <w:bookmarkStart w:id="113" w:name="_Toc476177435"/>
      <w:bookmarkStart w:id="114" w:name="_Toc455417786"/>
      <w:bookmarkStart w:id="115" w:name="_Toc118018368"/>
      <w:bookmarkStart w:id="116" w:name="_Toc477185972"/>
      <w:bookmarkStart w:id="117" w:name="_Toc476177994"/>
      <w:bookmarkStart w:id="118" w:name="_Toc477186333"/>
      <w:bookmarkStart w:id="119" w:name="_Toc496161878"/>
      <w:r>
        <w:rPr>
          <w:rFonts w:hint="eastAsia" w:hAnsi="宋体" w:cs="宋体"/>
          <w:color w:val="auto"/>
          <w:highlight w:val="none"/>
        </w:rPr>
        <w:t>七、其他资料格式</w:t>
      </w:r>
      <w:bookmarkEnd w:id="113"/>
      <w:bookmarkEnd w:id="114"/>
      <w:bookmarkEnd w:id="115"/>
      <w:bookmarkEnd w:id="116"/>
      <w:bookmarkEnd w:id="117"/>
      <w:bookmarkEnd w:id="118"/>
      <w:bookmarkEnd w:id="119"/>
    </w:p>
    <w:p w14:paraId="62B08970">
      <w:pPr>
        <w:tabs>
          <w:tab w:val="left" w:pos="824"/>
        </w:tabs>
        <w:spacing w:line="360" w:lineRule="auto"/>
        <w:ind w:firstLine="210" w:firstLineChars="100"/>
        <w:rPr>
          <w:rFonts w:hint="eastAsia" w:ascii="宋体" w:hAnsi="宋体" w:cs="宋体"/>
          <w:color w:val="auto"/>
          <w:highlight w:val="none"/>
        </w:rPr>
      </w:pPr>
      <w:r>
        <w:rPr>
          <w:rFonts w:hint="eastAsia" w:ascii="宋体" w:hAnsi="宋体" w:cs="宋体"/>
          <w:color w:val="auto"/>
          <w:highlight w:val="none"/>
        </w:rPr>
        <w:t>7.1  招标服务费承诺书</w:t>
      </w:r>
    </w:p>
    <w:p w14:paraId="4E1758BC">
      <w:pPr>
        <w:tabs>
          <w:tab w:val="left" w:pos="824"/>
        </w:tabs>
        <w:spacing w:line="360" w:lineRule="auto"/>
        <w:ind w:firstLine="210" w:firstLineChars="100"/>
        <w:rPr>
          <w:rFonts w:hint="eastAsia" w:ascii="宋体" w:hAnsi="宋体" w:cs="宋体"/>
          <w:color w:val="auto"/>
          <w:highlight w:val="none"/>
        </w:rPr>
      </w:pPr>
      <w:r>
        <w:rPr>
          <w:rFonts w:hint="eastAsia" w:ascii="宋体" w:hAnsi="宋体" w:cs="宋体"/>
          <w:color w:val="auto"/>
          <w:highlight w:val="none"/>
        </w:rPr>
        <w:t>7.2  退保证金说明</w:t>
      </w:r>
    </w:p>
    <w:p w14:paraId="63C0696D">
      <w:pPr>
        <w:tabs>
          <w:tab w:val="left" w:pos="824"/>
        </w:tabs>
        <w:spacing w:line="360" w:lineRule="auto"/>
        <w:ind w:firstLine="210" w:firstLineChars="100"/>
        <w:rPr>
          <w:rFonts w:hint="eastAsia" w:ascii="宋体" w:hAnsi="宋体" w:cs="宋体"/>
          <w:color w:val="auto"/>
          <w:highlight w:val="none"/>
        </w:rPr>
      </w:pPr>
    </w:p>
    <w:p w14:paraId="0E2F4FC1">
      <w:pPr>
        <w:rPr>
          <w:rFonts w:hint="eastAsia" w:ascii="宋体" w:hAnsi="宋体" w:cs="宋体"/>
          <w:b/>
          <w:color w:val="auto"/>
          <w:sz w:val="24"/>
          <w:highlight w:val="none"/>
        </w:rPr>
      </w:pPr>
      <w:r>
        <w:rPr>
          <w:rFonts w:hint="eastAsia" w:ascii="宋体" w:hAnsi="宋体" w:cs="宋体"/>
          <w:color w:val="auto"/>
          <w:highlight w:val="none"/>
        </w:rPr>
        <w:br w:type="page"/>
      </w:r>
      <w:r>
        <w:rPr>
          <w:rFonts w:hint="eastAsia" w:ascii="宋体" w:hAnsi="宋体" w:cs="宋体"/>
          <w:b/>
          <w:color w:val="auto"/>
          <w:sz w:val="24"/>
          <w:highlight w:val="none"/>
        </w:rPr>
        <w:t>7.1招标服务费承诺书</w:t>
      </w:r>
    </w:p>
    <w:p w14:paraId="158DF4F7">
      <w:pPr>
        <w:spacing w:line="360" w:lineRule="auto"/>
        <w:jc w:val="center"/>
        <w:rPr>
          <w:rFonts w:hint="eastAsia" w:ascii="宋体" w:hAnsi="宋体" w:cs="宋体"/>
          <w:b/>
          <w:color w:val="auto"/>
          <w:sz w:val="28"/>
          <w:highlight w:val="none"/>
        </w:rPr>
      </w:pPr>
      <w:r>
        <w:rPr>
          <w:rFonts w:hint="eastAsia" w:ascii="宋体" w:hAnsi="宋体" w:cs="宋体"/>
          <w:b/>
          <w:color w:val="auto"/>
          <w:sz w:val="28"/>
          <w:highlight w:val="none"/>
        </w:rPr>
        <w:t>招标服务费承诺书</w:t>
      </w:r>
    </w:p>
    <w:p w14:paraId="32C307D0">
      <w:pPr>
        <w:spacing w:line="360" w:lineRule="auto"/>
        <w:rPr>
          <w:rFonts w:hint="eastAsia" w:ascii="宋体" w:hAnsi="宋体" w:cs="宋体"/>
          <w:color w:val="auto"/>
          <w:sz w:val="24"/>
          <w:highlight w:val="none"/>
        </w:rPr>
      </w:pPr>
    </w:p>
    <w:p w14:paraId="0C24D8E3">
      <w:pPr>
        <w:spacing w:line="360" w:lineRule="auto"/>
        <w:rPr>
          <w:rFonts w:hint="eastAsia" w:ascii="宋体" w:hAnsi="宋体" w:cs="宋体"/>
          <w:color w:val="auto"/>
          <w:highlight w:val="none"/>
        </w:rPr>
      </w:pPr>
      <w:r>
        <w:rPr>
          <w:rFonts w:hint="eastAsia" w:ascii="宋体" w:hAnsi="宋体" w:cs="宋体"/>
          <w:color w:val="auto"/>
          <w:highlight w:val="none"/>
        </w:rPr>
        <w:t xml:space="preserve">                                                            </w:t>
      </w:r>
    </w:p>
    <w:p w14:paraId="4E0242B3">
      <w:pPr>
        <w:spacing w:line="360" w:lineRule="auto"/>
        <w:rPr>
          <w:rFonts w:hint="eastAsia" w:ascii="宋体" w:hAnsi="宋体" w:cs="宋体"/>
          <w:b/>
          <w:color w:val="auto"/>
          <w:sz w:val="24"/>
          <w:highlight w:val="none"/>
        </w:rPr>
      </w:pPr>
      <w:r>
        <w:rPr>
          <w:rFonts w:hint="eastAsia" w:ascii="宋体" w:hAnsi="宋体" w:cs="宋体"/>
          <w:color w:val="auto"/>
          <w:highlight w:val="none"/>
        </w:rPr>
        <w:t>致</w:t>
      </w:r>
      <w:r>
        <w:rPr>
          <w:rFonts w:hint="eastAsia" w:ascii="宋体" w:hAnsi="宋体" w:cs="宋体"/>
          <w:color w:val="auto"/>
          <w:sz w:val="24"/>
          <w:highlight w:val="none"/>
        </w:rPr>
        <w:t>：</w:t>
      </w:r>
      <w:r>
        <w:rPr>
          <w:rFonts w:hint="eastAsia" w:ascii="宋体" w:hAnsi="宋体" w:cs="宋体"/>
          <w:b/>
          <w:color w:val="auto"/>
          <w:sz w:val="24"/>
          <w:highlight w:val="none"/>
        </w:rPr>
        <w:t>广东省机电设备招标有限公司</w:t>
      </w:r>
    </w:p>
    <w:p w14:paraId="2F0D3839">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2D39D919">
      <w:pPr>
        <w:spacing w:line="360" w:lineRule="auto"/>
        <w:ind w:left="210" w:hanging="210" w:hangingChars="100"/>
        <w:jc w:val="left"/>
        <w:rPr>
          <w:rFonts w:hint="eastAsia" w:ascii="宋体" w:hAnsi="宋体" w:cs="宋体"/>
          <w:color w:val="auto"/>
          <w:highlight w:val="none"/>
        </w:rPr>
      </w:pPr>
      <w:r>
        <w:rPr>
          <w:rFonts w:hint="eastAsia" w:ascii="宋体" w:hAnsi="宋体" w:cs="宋体"/>
          <w:color w:val="auto"/>
          <w:highlight w:val="none"/>
        </w:rPr>
        <w:t xml:space="preserve">       如果我方</w:t>
      </w:r>
      <w:r>
        <w:rPr>
          <w:rFonts w:hint="eastAsia" w:ascii="宋体" w:hAnsi="宋体" w:cs="宋体"/>
          <w:color w:val="auto"/>
          <w:highlight w:val="none"/>
          <w:u w:val="single"/>
        </w:rPr>
        <w:t>（投标人名称）</w:t>
      </w:r>
      <w:r>
        <w:rPr>
          <w:rFonts w:hint="eastAsia" w:ascii="宋体" w:hAnsi="宋体" w:cs="宋体"/>
          <w:color w:val="auto"/>
          <w:highlight w:val="none"/>
        </w:rPr>
        <w:t>在贵单位组织的（</w:t>
      </w:r>
      <w:r>
        <w:rPr>
          <w:rFonts w:hint="eastAsia" w:ascii="宋体" w:hAnsi="宋体" w:cs="宋体"/>
          <w:color w:val="auto"/>
          <w:highlight w:val="none"/>
          <w:u w:val="single"/>
        </w:rPr>
        <w:t>招标项目名称</w:t>
      </w:r>
      <w:r>
        <w:rPr>
          <w:rFonts w:hint="eastAsia" w:ascii="宋体" w:hAnsi="宋体" w:cs="宋体"/>
          <w:color w:val="auto"/>
          <w:highlight w:val="none"/>
        </w:rPr>
        <w:t>）项目编号为</w:t>
      </w:r>
      <w:r>
        <w:rPr>
          <w:rFonts w:hint="eastAsia" w:ascii="宋体" w:hAnsi="宋体" w:cs="宋体"/>
          <w:color w:val="auto"/>
          <w:highlight w:val="none"/>
          <w:u w:val="single"/>
        </w:rPr>
        <w:t xml:space="preserve">                           </w:t>
      </w:r>
      <w:r>
        <w:rPr>
          <w:rFonts w:hint="eastAsia" w:ascii="宋体" w:hAnsi="宋体" w:cs="宋体"/>
          <w:color w:val="auto"/>
          <w:highlight w:val="none"/>
        </w:rPr>
        <w:t>的相关服务的招标中获中标，我方</w:t>
      </w:r>
      <w:r>
        <w:rPr>
          <w:rFonts w:hint="eastAsia" w:ascii="宋体" w:hAnsi="宋体" w:cs="宋体"/>
          <w:color w:val="auto"/>
          <w:spacing w:val="-6"/>
          <w:highlight w:val="none"/>
        </w:rPr>
        <w:t>保证在收到《中标通知书》的当日，按招标文件要求，向贵单位</w:t>
      </w:r>
      <w:r>
        <w:rPr>
          <w:rFonts w:hint="eastAsia" w:ascii="宋体" w:hAnsi="宋体" w:cs="宋体"/>
          <w:color w:val="auto"/>
          <w:highlight w:val="none"/>
        </w:rPr>
        <w:t>交纳招标服务费（按投标人须知执行）。</w:t>
      </w:r>
    </w:p>
    <w:p w14:paraId="163B0DFC">
      <w:pPr>
        <w:spacing w:line="360" w:lineRule="auto"/>
        <w:jc w:val="left"/>
        <w:rPr>
          <w:rFonts w:hint="eastAsia" w:ascii="宋体" w:hAnsi="宋体" w:cs="宋体"/>
          <w:color w:val="auto"/>
          <w:highlight w:val="none"/>
        </w:rPr>
      </w:pPr>
    </w:p>
    <w:p w14:paraId="42B93302">
      <w:pPr>
        <w:spacing w:line="360" w:lineRule="auto"/>
        <w:jc w:val="left"/>
        <w:rPr>
          <w:rFonts w:hint="eastAsia" w:ascii="宋体" w:hAnsi="宋体" w:cs="宋体"/>
          <w:color w:val="auto"/>
          <w:highlight w:val="none"/>
        </w:rPr>
      </w:pPr>
      <w:r>
        <w:rPr>
          <w:rFonts w:hint="eastAsia" w:ascii="宋体" w:hAnsi="宋体" w:cs="宋体"/>
          <w:color w:val="auto"/>
          <w:highlight w:val="none"/>
        </w:rPr>
        <w:t xml:space="preserve">       我方如违约，愿凭贵单位开出的违约通知，按上述承诺金额的200％在我方提交的投标保证金中扣付。</w:t>
      </w:r>
    </w:p>
    <w:p w14:paraId="3C90FA89">
      <w:pPr>
        <w:spacing w:line="360" w:lineRule="auto"/>
        <w:rPr>
          <w:rFonts w:hint="eastAsia" w:ascii="宋体" w:hAnsi="宋体" w:cs="宋体"/>
          <w:color w:val="auto"/>
          <w:highlight w:val="none"/>
        </w:rPr>
      </w:pPr>
    </w:p>
    <w:p w14:paraId="733D591B">
      <w:pPr>
        <w:spacing w:line="360" w:lineRule="auto"/>
        <w:rPr>
          <w:rFonts w:hint="eastAsia" w:ascii="宋体" w:hAnsi="宋体" w:cs="宋体"/>
          <w:color w:val="auto"/>
          <w:highlight w:val="none"/>
        </w:rPr>
      </w:pPr>
      <w:r>
        <w:rPr>
          <w:rFonts w:hint="eastAsia" w:ascii="宋体" w:hAnsi="宋体" w:cs="宋体"/>
          <w:color w:val="auto"/>
          <w:highlight w:val="none"/>
        </w:rPr>
        <w:t xml:space="preserve">    特此承诺！</w:t>
      </w:r>
    </w:p>
    <w:p w14:paraId="29C2A1A5">
      <w:pPr>
        <w:spacing w:line="480" w:lineRule="auto"/>
        <w:rPr>
          <w:rFonts w:hint="eastAsia" w:ascii="宋体" w:hAnsi="宋体" w:cs="宋体"/>
          <w:color w:val="auto"/>
          <w:szCs w:val="22"/>
          <w:highlight w:val="none"/>
        </w:rPr>
      </w:pPr>
    </w:p>
    <w:p w14:paraId="7E45683B">
      <w:pPr>
        <w:spacing w:line="360" w:lineRule="auto"/>
        <w:ind w:firstLine="3990" w:firstLineChars="1900"/>
        <w:rPr>
          <w:rFonts w:hint="eastAsia" w:ascii="宋体" w:hAnsi="宋体" w:cs="宋体"/>
          <w:color w:val="auto"/>
          <w:highlight w:val="none"/>
        </w:rPr>
      </w:pPr>
      <w:r>
        <w:rPr>
          <w:rFonts w:hint="eastAsia" w:ascii="宋体" w:hAnsi="宋体" w:cs="宋体"/>
          <w:color w:val="auto"/>
          <w:highlight w:val="none"/>
        </w:rPr>
        <w:t>投标人名称:（盖章）</w:t>
      </w:r>
    </w:p>
    <w:p w14:paraId="76CCC5C2">
      <w:pPr>
        <w:spacing w:line="360" w:lineRule="auto"/>
        <w:ind w:firstLine="3990" w:firstLineChars="1900"/>
        <w:rPr>
          <w:rFonts w:hint="eastAsia" w:ascii="宋体" w:hAnsi="宋体" w:cs="宋体"/>
          <w:color w:val="auto"/>
          <w:highlight w:val="none"/>
        </w:rPr>
      </w:pPr>
      <w:r>
        <w:rPr>
          <w:rFonts w:hint="eastAsia" w:ascii="宋体" w:hAnsi="宋体" w:cs="宋体"/>
          <w:color w:val="auto"/>
          <w:highlight w:val="none"/>
        </w:rPr>
        <w:t>日期：    年   月   日</w:t>
      </w:r>
    </w:p>
    <w:p w14:paraId="5BA25601">
      <w:pPr>
        <w:spacing w:line="480" w:lineRule="auto"/>
        <w:rPr>
          <w:rFonts w:hint="eastAsia" w:ascii="宋体" w:hAnsi="宋体" w:cs="宋体"/>
          <w:color w:val="auto"/>
          <w:highlight w:val="none"/>
        </w:rPr>
      </w:pPr>
    </w:p>
    <w:p w14:paraId="663DDE43">
      <w:pPr>
        <w:spacing w:line="300" w:lineRule="auto"/>
        <w:rPr>
          <w:rFonts w:hint="eastAsia" w:ascii="宋体" w:hAnsi="宋体" w:cs="宋体"/>
          <w:b/>
          <w:color w:val="auto"/>
          <w:sz w:val="24"/>
          <w:highlight w:val="none"/>
        </w:rPr>
      </w:pPr>
      <w:r>
        <w:rPr>
          <w:rFonts w:hint="eastAsia" w:ascii="宋体" w:hAnsi="宋体" w:cs="宋体"/>
          <w:color w:val="auto"/>
          <w:highlight w:val="none"/>
        </w:rPr>
        <w:br w:type="page"/>
      </w:r>
      <w:bookmarkStart w:id="120" w:name="_Toc496161880"/>
      <w:r>
        <w:rPr>
          <w:rFonts w:hint="eastAsia" w:ascii="宋体" w:hAnsi="宋体" w:cs="宋体"/>
          <w:b/>
          <w:color w:val="auto"/>
          <w:sz w:val="24"/>
          <w:highlight w:val="none"/>
        </w:rPr>
        <w:t>7.2投标保证金退还格式</w:t>
      </w:r>
      <w:bookmarkStart w:id="121" w:name="_Hlt523221392"/>
      <w:bookmarkEnd w:id="121"/>
      <w:r>
        <w:rPr>
          <w:rFonts w:hint="eastAsia" w:ascii="宋体" w:hAnsi="宋体" w:cs="宋体"/>
          <w:b/>
          <w:color w:val="auto"/>
          <w:sz w:val="24"/>
          <w:highlight w:val="none"/>
        </w:rPr>
        <w:t>（样本）</w:t>
      </w:r>
    </w:p>
    <w:p w14:paraId="17824DB8">
      <w:pPr>
        <w:snapToGrid w:val="0"/>
        <w:jc w:val="center"/>
        <w:rPr>
          <w:rStyle w:val="35"/>
          <w:rFonts w:hint="eastAsia" w:ascii="宋体" w:hAnsi="宋体" w:eastAsia="宋体" w:cs="宋体"/>
          <w:b/>
          <w:color w:val="auto"/>
          <w:spacing w:val="10"/>
          <w:sz w:val="21"/>
          <w:szCs w:val="21"/>
          <w:highlight w:val="none"/>
          <w:lang w:val="zh-CN"/>
        </w:rPr>
      </w:pPr>
      <w:r>
        <w:rPr>
          <w:rStyle w:val="35"/>
          <w:rFonts w:hint="eastAsia" w:ascii="宋体" w:hAnsi="宋体" w:eastAsia="宋体" w:cs="宋体"/>
          <w:b/>
          <w:color w:val="auto"/>
          <w:spacing w:val="10"/>
          <w:sz w:val="21"/>
          <w:szCs w:val="21"/>
          <w:highlight w:val="none"/>
          <w:lang w:val="zh-CN"/>
        </w:rPr>
        <w:t>退保证金说明</w:t>
      </w:r>
    </w:p>
    <w:p w14:paraId="40874A2C">
      <w:pPr>
        <w:ind w:left="420" w:hanging="420" w:hangingChars="200"/>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p>
    <w:p w14:paraId="6B7038A0">
      <w:pPr>
        <w:spacing w:line="360" w:lineRule="auto"/>
        <w:ind w:leftChars="-250" w:hanging="525" w:hangingChars="250"/>
        <w:rPr>
          <w:rFonts w:hint="eastAsia" w:ascii="宋体" w:hAnsi="宋体" w:cs="宋体"/>
          <w:color w:val="auto"/>
          <w:szCs w:val="21"/>
          <w:highlight w:val="none"/>
        </w:rPr>
      </w:pPr>
      <w:r>
        <w:rPr>
          <w:rFonts w:hint="eastAsia" w:ascii="宋体" w:hAnsi="宋体" w:cs="宋体"/>
          <w:color w:val="auto"/>
          <w:szCs w:val="21"/>
          <w:highlight w:val="none"/>
        </w:rPr>
        <w:t xml:space="preserve">         我方为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项目的投标，项目编号为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所提交的保证金</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元，请贵单位退还时划到以下账户：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976"/>
        <w:gridCol w:w="1980"/>
        <w:gridCol w:w="1620"/>
        <w:gridCol w:w="2294"/>
      </w:tblGrid>
      <w:tr w14:paraId="153B0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52" w:type="dxa"/>
            <w:vMerge w:val="restart"/>
            <w:noWrap w:val="0"/>
            <w:vAlign w:val="center"/>
          </w:tcPr>
          <w:p w14:paraId="72713044">
            <w:pPr>
              <w:spacing w:line="360" w:lineRule="auto"/>
              <w:ind w:right="206" w:rightChars="98"/>
              <w:jc w:val="center"/>
              <w:rPr>
                <w:rStyle w:val="35"/>
                <w:rFonts w:hint="eastAsia" w:ascii="宋体" w:hAnsi="宋体" w:eastAsia="宋体" w:cs="宋体"/>
                <w:color w:val="auto"/>
                <w:spacing w:val="10"/>
                <w:sz w:val="21"/>
                <w:szCs w:val="21"/>
                <w:highlight w:val="none"/>
                <w:lang w:val="zh-CN"/>
              </w:rPr>
            </w:pPr>
            <w:r>
              <w:rPr>
                <w:rStyle w:val="35"/>
                <w:rFonts w:hint="eastAsia" w:ascii="宋体" w:hAnsi="宋体" w:eastAsia="宋体" w:cs="宋体"/>
                <w:color w:val="auto"/>
                <w:spacing w:val="10"/>
                <w:sz w:val="21"/>
                <w:szCs w:val="21"/>
                <w:highlight w:val="none"/>
                <w:lang w:val="zh-CN"/>
              </w:rPr>
              <w:t>收款单位</w:t>
            </w:r>
          </w:p>
        </w:tc>
        <w:tc>
          <w:tcPr>
            <w:tcW w:w="1976" w:type="dxa"/>
            <w:noWrap w:val="0"/>
            <w:vAlign w:val="top"/>
          </w:tcPr>
          <w:p w14:paraId="1D5058C3">
            <w:pPr>
              <w:spacing w:line="360" w:lineRule="auto"/>
              <w:ind w:right="206" w:rightChars="98"/>
              <w:rPr>
                <w:rStyle w:val="35"/>
                <w:rFonts w:hint="eastAsia" w:ascii="宋体" w:hAnsi="宋体" w:eastAsia="宋体" w:cs="宋体"/>
                <w:color w:val="auto"/>
                <w:spacing w:val="10"/>
                <w:sz w:val="21"/>
                <w:szCs w:val="21"/>
                <w:highlight w:val="none"/>
                <w:lang w:val="zh-CN"/>
              </w:rPr>
            </w:pPr>
            <w:r>
              <w:rPr>
                <w:rStyle w:val="35"/>
                <w:rFonts w:hint="eastAsia" w:ascii="宋体" w:hAnsi="宋体" w:eastAsia="宋体" w:cs="宋体"/>
                <w:color w:val="auto"/>
                <w:spacing w:val="10"/>
                <w:sz w:val="21"/>
                <w:szCs w:val="21"/>
                <w:highlight w:val="none"/>
                <w:lang w:val="zh-CN"/>
              </w:rPr>
              <w:t xml:space="preserve"> 收款单位名称</w:t>
            </w:r>
          </w:p>
        </w:tc>
        <w:tc>
          <w:tcPr>
            <w:tcW w:w="5894" w:type="dxa"/>
            <w:gridSpan w:val="3"/>
            <w:noWrap w:val="0"/>
            <w:vAlign w:val="top"/>
          </w:tcPr>
          <w:p w14:paraId="59559802">
            <w:pPr>
              <w:spacing w:line="360" w:lineRule="auto"/>
              <w:ind w:right="206" w:rightChars="98"/>
              <w:rPr>
                <w:rStyle w:val="35"/>
                <w:rFonts w:hint="eastAsia" w:ascii="宋体" w:hAnsi="宋体" w:eastAsia="宋体" w:cs="宋体"/>
                <w:color w:val="auto"/>
                <w:spacing w:val="10"/>
                <w:sz w:val="21"/>
                <w:szCs w:val="21"/>
                <w:highlight w:val="none"/>
                <w:lang w:val="zh-CN"/>
              </w:rPr>
            </w:pPr>
          </w:p>
        </w:tc>
      </w:tr>
      <w:tr w14:paraId="02AB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52" w:type="dxa"/>
            <w:vMerge w:val="continue"/>
            <w:noWrap w:val="0"/>
            <w:vAlign w:val="top"/>
          </w:tcPr>
          <w:p w14:paraId="6145EA1E">
            <w:pPr>
              <w:spacing w:line="360" w:lineRule="auto"/>
              <w:ind w:right="206" w:rightChars="98"/>
              <w:rPr>
                <w:rStyle w:val="35"/>
                <w:rFonts w:hint="eastAsia" w:ascii="宋体" w:hAnsi="宋体" w:eastAsia="宋体" w:cs="宋体"/>
                <w:color w:val="auto"/>
                <w:spacing w:val="10"/>
                <w:sz w:val="21"/>
                <w:szCs w:val="21"/>
                <w:highlight w:val="none"/>
                <w:lang w:val="zh-CN"/>
              </w:rPr>
            </w:pPr>
          </w:p>
        </w:tc>
        <w:tc>
          <w:tcPr>
            <w:tcW w:w="1976" w:type="dxa"/>
            <w:noWrap w:val="0"/>
            <w:vAlign w:val="top"/>
          </w:tcPr>
          <w:p w14:paraId="7954C7A5">
            <w:pPr>
              <w:spacing w:line="360" w:lineRule="auto"/>
              <w:ind w:right="206" w:rightChars="98"/>
              <w:rPr>
                <w:rStyle w:val="35"/>
                <w:rFonts w:hint="eastAsia" w:ascii="宋体" w:hAnsi="宋体" w:eastAsia="宋体" w:cs="宋体"/>
                <w:color w:val="auto"/>
                <w:spacing w:val="10"/>
                <w:sz w:val="21"/>
                <w:szCs w:val="21"/>
                <w:highlight w:val="none"/>
                <w:lang w:val="zh-CN"/>
              </w:rPr>
            </w:pPr>
            <w:r>
              <w:rPr>
                <w:rStyle w:val="35"/>
                <w:rFonts w:hint="eastAsia" w:ascii="宋体" w:hAnsi="宋体" w:eastAsia="宋体" w:cs="宋体"/>
                <w:color w:val="auto"/>
                <w:spacing w:val="10"/>
                <w:sz w:val="21"/>
                <w:szCs w:val="21"/>
                <w:highlight w:val="none"/>
                <w:lang w:val="zh-CN"/>
              </w:rPr>
              <w:t xml:space="preserve"> 收款单位地址</w:t>
            </w:r>
          </w:p>
        </w:tc>
        <w:tc>
          <w:tcPr>
            <w:tcW w:w="5894" w:type="dxa"/>
            <w:gridSpan w:val="3"/>
            <w:noWrap w:val="0"/>
            <w:vAlign w:val="top"/>
          </w:tcPr>
          <w:p w14:paraId="22BDB987">
            <w:pPr>
              <w:spacing w:line="360" w:lineRule="auto"/>
              <w:ind w:right="206" w:rightChars="98"/>
              <w:rPr>
                <w:rStyle w:val="35"/>
                <w:rFonts w:hint="eastAsia" w:ascii="宋体" w:hAnsi="宋体" w:eastAsia="宋体" w:cs="宋体"/>
                <w:color w:val="auto"/>
                <w:spacing w:val="10"/>
                <w:sz w:val="21"/>
                <w:szCs w:val="21"/>
                <w:highlight w:val="none"/>
                <w:lang w:val="zh-CN"/>
              </w:rPr>
            </w:pPr>
          </w:p>
        </w:tc>
      </w:tr>
      <w:tr w14:paraId="74B32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52" w:type="dxa"/>
            <w:vMerge w:val="continue"/>
            <w:noWrap w:val="0"/>
            <w:vAlign w:val="top"/>
          </w:tcPr>
          <w:p w14:paraId="42439453">
            <w:pPr>
              <w:spacing w:line="360" w:lineRule="auto"/>
              <w:ind w:right="206" w:rightChars="98"/>
              <w:rPr>
                <w:rStyle w:val="35"/>
                <w:rFonts w:hint="eastAsia" w:ascii="宋体" w:hAnsi="宋体" w:eastAsia="宋体" w:cs="宋体"/>
                <w:color w:val="auto"/>
                <w:spacing w:val="10"/>
                <w:sz w:val="21"/>
                <w:szCs w:val="21"/>
                <w:highlight w:val="none"/>
                <w:lang w:val="zh-CN"/>
              </w:rPr>
            </w:pPr>
          </w:p>
        </w:tc>
        <w:tc>
          <w:tcPr>
            <w:tcW w:w="1976" w:type="dxa"/>
            <w:noWrap w:val="0"/>
            <w:vAlign w:val="top"/>
          </w:tcPr>
          <w:p w14:paraId="2D82CB0F">
            <w:pPr>
              <w:ind w:right="206" w:rightChars="98"/>
              <w:rPr>
                <w:rStyle w:val="35"/>
                <w:rFonts w:hint="eastAsia" w:ascii="宋体" w:hAnsi="宋体" w:eastAsia="宋体" w:cs="宋体"/>
                <w:color w:val="auto"/>
                <w:spacing w:val="10"/>
                <w:sz w:val="21"/>
                <w:szCs w:val="21"/>
                <w:highlight w:val="none"/>
                <w:lang w:val="zh-CN"/>
              </w:rPr>
            </w:pPr>
            <w:r>
              <w:rPr>
                <w:rStyle w:val="35"/>
                <w:rFonts w:hint="eastAsia" w:ascii="宋体" w:hAnsi="宋体" w:eastAsia="宋体" w:cs="宋体"/>
                <w:color w:val="auto"/>
                <w:spacing w:val="10"/>
                <w:sz w:val="21"/>
                <w:szCs w:val="21"/>
                <w:highlight w:val="none"/>
                <w:lang w:val="zh-CN"/>
              </w:rPr>
              <w:t xml:space="preserve">   开户银行</w:t>
            </w:r>
          </w:p>
          <w:p w14:paraId="4A5274F5">
            <w:pPr>
              <w:ind w:right="206" w:rightChars="98"/>
              <w:rPr>
                <w:rStyle w:val="35"/>
                <w:rFonts w:hint="eastAsia" w:ascii="宋体" w:hAnsi="宋体" w:eastAsia="宋体" w:cs="宋体"/>
                <w:color w:val="auto"/>
                <w:spacing w:val="10"/>
                <w:sz w:val="21"/>
                <w:szCs w:val="21"/>
                <w:highlight w:val="none"/>
                <w:lang w:val="zh-CN"/>
              </w:rPr>
            </w:pPr>
            <w:r>
              <w:rPr>
                <w:rStyle w:val="35"/>
                <w:rFonts w:hint="eastAsia" w:ascii="宋体" w:hAnsi="宋体" w:eastAsia="宋体" w:cs="宋体"/>
                <w:color w:val="auto"/>
                <w:spacing w:val="10"/>
                <w:sz w:val="21"/>
                <w:szCs w:val="21"/>
                <w:highlight w:val="none"/>
                <w:lang w:val="zh-CN"/>
              </w:rPr>
              <w:t>（含汇入地点）</w:t>
            </w:r>
          </w:p>
        </w:tc>
        <w:tc>
          <w:tcPr>
            <w:tcW w:w="5894" w:type="dxa"/>
            <w:gridSpan w:val="3"/>
            <w:noWrap w:val="0"/>
            <w:vAlign w:val="center"/>
          </w:tcPr>
          <w:p w14:paraId="1BD801A5">
            <w:pPr>
              <w:spacing w:line="360" w:lineRule="auto"/>
              <w:ind w:right="206" w:rightChars="98" w:firstLine="460" w:firstLineChars="200"/>
              <w:rPr>
                <w:rStyle w:val="35"/>
                <w:rFonts w:hint="eastAsia" w:ascii="宋体" w:hAnsi="宋体" w:eastAsia="宋体" w:cs="宋体"/>
                <w:color w:val="auto"/>
                <w:spacing w:val="10"/>
                <w:sz w:val="21"/>
                <w:szCs w:val="21"/>
                <w:highlight w:val="none"/>
                <w:lang w:val="zh-CN"/>
              </w:rPr>
            </w:pPr>
            <w:r>
              <w:rPr>
                <w:rStyle w:val="35"/>
                <w:rFonts w:hint="eastAsia" w:ascii="宋体" w:hAnsi="宋体" w:eastAsia="宋体" w:cs="宋体"/>
                <w:color w:val="auto"/>
                <w:spacing w:val="10"/>
                <w:sz w:val="21"/>
                <w:szCs w:val="21"/>
                <w:highlight w:val="none"/>
                <w:lang w:val="zh-CN"/>
              </w:rPr>
              <w:t xml:space="preserve">省    市（县）      银行       支行（分理处）       </w:t>
            </w:r>
          </w:p>
        </w:tc>
      </w:tr>
      <w:tr w14:paraId="2B03C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52" w:type="dxa"/>
            <w:vMerge w:val="continue"/>
            <w:noWrap w:val="0"/>
            <w:vAlign w:val="top"/>
          </w:tcPr>
          <w:p w14:paraId="38701C48">
            <w:pPr>
              <w:spacing w:line="360" w:lineRule="auto"/>
              <w:ind w:right="206" w:rightChars="98"/>
              <w:rPr>
                <w:rStyle w:val="35"/>
                <w:rFonts w:hint="eastAsia" w:ascii="宋体" w:hAnsi="宋体" w:eastAsia="宋体" w:cs="宋体"/>
                <w:color w:val="auto"/>
                <w:spacing w:val="10"/>
                <w:sz w:val="21"/>
                <w:szCs w:val="21"/>
                <w:highlight w:val="none"/>
                <w:lang w:val="zh-CN"/>
              </w:rPr>
            </w:pPr>
          </w:p>
        </w:tc>
        <w:tc>
          <w:tcPr>
            <w:tcW w:w="1976" w:type="dxa"/>
            <w:noWrap w:val="0"/>
            <w:vAlign w:val="top"/>
          </w:tcPr>
          <w:p w14:paraId="0D623155">
            <w:pPr>
              <w:spacing w:line="360" w:lineRule="auto"/>
              <w:ind w:right="206" w:rightChars="98"/>
              <w:jc w:val="center"/>
              <w:rPr>
                <w:rStyle w:val="35"/>
                <w:rFonts w:hint="eastAsia" w:ascii="宋体" w:hAnsi="宋体" w:eastAsia="宋体" w:cs="宋体"/>
                <w:color w:val="auto"/>
                <w:spacing w:val="10"/>
                <w:sz w:val="21"/>
                <w:szCs w:val="21"/>
                <w:highlight w:val="none"/>
                <w:lang w:val="zh-CN"/>
              </w:rPr>
            </w:pPr>
            <w:r>
              <w:rPr>
                <w:rStyle w:val="35"/>
                <w:rFonts w:hint="eastAsia" w:ascii="宋体" w:hAnsi="宋体" w:eastAsia="宋体" w:cs="宋体"/>
                <w:color w:val="auto"/>
                <w:spacing w:val="10"/>
                <w:sz w:val="21"/>
                <w:szCs w:val="21"/>
                <w:highlight w:val="none"/>
                <w:lang w:val="zh-CN"/>
              </w:rPr>
              <w:t>账  号</w:t>
            </w:r>
          </w:p>
        </w:tc>
        <w:tc>
          <w:tcPr>
            <w:tcW w:w="5894" w:type="dxa"/>
            <w:gridSpan w:val="3"/>
            <w:noWrap w:val="0"/>
            <w:vAlign w:val="top"/>
          </w:tcPr>
          <w:p w14:paraId="45950B9F">
            <w:pPr>
              <w:spacing w:line="360" w:lineRule="auto"/>
              <w:ind w:right="206" w:rightChars="98"/>
              <w:rPr>
                <w:rStyle w:val="35"/>
                <w:rFonts w:hint="eastAsia" w:ascii="宋体" w:hAnsi="宋体" w:eastAsia="宋体" w:cs="宋体"/>
                <w:color w:val="auto"/>
                <w:spacing w:val="10"/>
                <w:sz w:val="21"/>
                <w:szCs w:val="21"/>
                <w:highlight w:val="none"/>
                <w:lang w:val="zh-CN"/>
              </w:rPr>
            </w:pPr>
          </w:p>
        </w:tc>
      </w:tr>
      <w:tr w14:paraId="02DC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52" w:type="dxa"/>
            <w:vMerge w:val="continue"/>
            <w:noWrap w:val="0"/>
            <w:vAlign w:val="top"/>
          </w:tcPr>
          <w:p w14:paraId="327D061A">
            <w:pPr>
              <w:spacing w:line="360" w:lineRule="auto"/>
              <w:ind w:right="206" w:rightChars="98"/>
              <w:rPr>
                <w:rStyle w:val="35"/>
                <w:rFonts w:hint="eastAsia" w:ascii="宋体" w:hAnsi="宋体" w:eastAsia="宋体" w:cs="宋体"/>
                <w:color w:val="auto"/>
                <w:spacing w:val="10"/>
                <w:sz w:val="21"/>
                <w:szCs w:val="21"/>
                <w:highlight w:val="none"/>
                <w:lang w:val="zh-CN"/>
              </w:rPr>
            </w:pPr>
          </w:p>
        </w:tc>
        <w:tc>
          <w:tcPr>
            <w:tcW w:w="1976" w:type="dxa"/>
            <w:noWrap w:val="0"/>
            <w:vAlign w:val="top"/>
          </w:tcPr>
          <w:p w14:paraId="17C1E561">
            <w:pPr>
              <w:spacing w:line="360" w:lineRule="auto"/>
              <w:ind w:right="206" w:rightChars="98" w:firstLine="460" w:firstLineChars="200"/>
              <w:rPr>
                <w:rStyle w:val="35"/>
                <w:rFonts w:hint="eastAsia" w:ascii="宋体" w:hAnsi="宋体" w:eastAsia="宋体" w:cs="宋体"/>
                <w:color w:val="auto"/>
                <w:spacing w:val="10"/>
                <w:sz w:val="21"/>
                <w:szCs w:val="21"/>
                <w:highlight w:val="none"/>
                <w:lang w:val="zh-CN"/>
              </w:rPr>
            </w:pPr>
            <w:r>
              <w:rPr>
                <w:rStyle w:val="35"/>
                <w:rFonts w:hint="eastAsia" w:ascii="宋体" w:hAnsi="宋体" w:eastAsia="宋体" w:cs="宋体"/>
                <w:color w:val="auto"/>
                <w:spacing w:val="10"/>
                <w:sz w:val="21"/>
                <w:szCs w:val="21"/>
                <w:highlight w:val="none"/>
                <w:lang w:val="zh-CN"/>
              </w:rPr>
              <w:t>联系人</w:t>
            </w:r>
          </w:p>
        </w:tc>
        <w:tc>
          <w:tcPr>
            <w:tcW w:w="1980" w:type="dxa"/>
            <w:noWrap w:val="0"/>
            <w:vAlign w:val="top"/>
          </w:tcPr>
          <w:p w14:paraId="199CF0E4">
            <w:pPr>
              <w:spacing w:line="360" w:lineRule="auto"/>
              <w:ind w:right="206" w:rightChars="98"/>
              <w:rPr>
                <w:rStyle w:val="35"/>
                <w:rFonts w:hint="eastAsia" w:ascii="宋体" w:hAnsi="宋体" w:eastAsia="宋体" w:cs="宋体"/>
                <w:color w:val="auto"/>
                <w:spacing w:val="10"/>
                <w:sz w:val="21"/>
                <w:szCs w:val="21"/>
                <w:highlight w:val="none"/>
                <w:lang w:val="zh-CN"/>
              </w:rPr>
            </w:pPr>
          </w:p>
        </w:tc>
        <w:tc>
          <w:tcPr>
            <w:tcW w:w="1620" w:type="dxa"/>
            <w:noWrap w:val="0"/>
            <w:vAlign w:val="top"/>
          </w:tcPr>
          <w:p w14:paraId="39C7111F">
            <w:pPr>
              <w:spacing w:line="360" w:lineRule="auto"/>
              <w:ind w:right="206" w:rightChars="98" w:firstLine="230" w:firstLineChars="100"/>
              <w:rPr>
                <w:rStyle w:val="35"/>
                <w:rFonts w:hint="eastAsia" w:ascii="宋体" w:hAnsi="宋体" w:eastAsia="宋体" w:cs="宋体"/>
                <w:color w:val="auto"/>
                <w:spacing w:val="10"/>
                <w:sz w:val="21"/>
                <w:szCs w:val="21"/>
                <w:highlight w:val="none"/>
                <w:lang w:val="zh-CN"/>
              </w:rPr>
            </w:pPr>
            <w:r>
              <w:rPr>
                <w:rStyle w:val="35"/>
                <w:rFonts w:hint="eastAsia" w:ascii="宋体" w:hAnsi="宋体" w:eastAsia="宋体" w:cs="宋体"/>
                <w:color w:val="auto"/>
                <w:spacing w:val="10"/>
                <w:sz w:val="21"/>
                <w:szCs w:val="21"/>
                <w:highlight w:val="none"/>
                <w:lang w:val="zh-CN"/>
              </w:rPr>
              <w:t>手机号码</w:t>
            </w:r>
          </w:p>
        </w:tc>
        <w:tc>
          <w:tcPr>
            <w:tcW w:w="2294" w:type="dxa"/>
            <w:noWrap w:val="0"/>
            <w:vAlign w:val="top"/>
          </w:tcPr>
          <w:p w14:paraId="4D83FB87">
            <w:pPr>
              <w:spacing w:line="360" w:lineRule="auto"/>
              <w:ind w:right="206" w:rightChars="98"/>
              <w:rPr>
                <w:rStyle w:val="35"/>
                <w:rFonts w:hint="eastAsia" w:ascii="宋体" w:hAnsi="宋体" w:eastAsia="宋体" w:cs="宋体"/>
                <w:color w:val="auto"/>
                <w:spacing w:val="10"/>
                <w:sz w:val="21"/>
                <w:szCs w:val="21"/>
                <w:highlight w:val="none"/>
                <w:lang w:val="zh-CN"/>
              </w:rPr>
            </w:pPr>
          </w:p>
        </w:tc>
      </w:tr>
    </w:tbl>
    <w:p w14:paraId="7554A194">
      <w:pPr>
        <w:rPr>
          <w:rFonts w:hint="eastAsia" w:ascii="宋体" w:hAnsi="宋体" w:cs="宋体"/>
          <w:color w:val="auto"/>
          <w:szCs w:val="21"/>
          <w:highlight w:val="none"/>
        </w:rPr>
      </w:pPr>
    </w:p>
    <w:p w14:paraId="7A44ADCF">
      <w:pPr>
        <w:rPr>
          <w:rFonts w:hint="eastAsia" w:ascii="宋体" w:hAnsi="宋体" w:cs="宋体"/>
          <w:b/>
          <w:bCs/>
          <w:color w:val="auto"/>
          <w:szCs w:val="21"/>
          <w:highlight w:val="none"/>
        </w:rPr>
      </w:pPr>
    </w:p>
    <w:p w14:paraId="16F0833C">
      <w:pPr>
        <w:rPr>
          <w:rFonts w:hint="eastAsia" w:ascii="宋体" w:hAnsi="宋体" w:cs="宋体"/>
          <w:b/>
          <w:bCs/>
          <w:color w:val="auto"/>
          <w:szCs w:val="21"/>
          <w:highlight w:val="none"/>
        </w:rPr>
      </w:pPr>
      <w:r>
        <w:rPr>
          <w:rFonts w:hint="eastAsia" w:ascii="宋体" w:hAnsi="宋体" w:cs="宋体"/>
          <w:b/>
          <w:bCs/>
          <w:color w:val="auto"/>
          <w:szCs w:val="21"/>
          <w:highlight w:val="none"/>
        </w:rPr>
        <w:t xml:space="preserve">投标人(公章)：                                  </w:t>
      </w:r>
    </w:p>
    <w:p w14:paraId="0E513EB1">
      <w:pPr>
        <w:rPr>
          <w:rFonts w:hint="eastAsia" w:ascii="宋体" w:hAnsi="宋体" w:cs="宋体"/>
          <w:b/>
          <w:color w:val="auto"/>
          <w:szCs w:val="21"/>
          <w:highlight w:val="none"/>
        </w:rPr>
      </w:pPr>
      <w:r>
        <w:rPr>
          <w:rFonts w:hint="eastAsia" w:ascii="宋体" w:hAnsi="宋体" w:cs="宋体"/>
          <w:b/>
          <w:bCs/>
          <w:color w:val="auto"/>
          <w:szCs w:val="21"/>
          <w:highlight w:val="none"/>
        </w:rPr>
        <w:t xml:space="preserve">日        期：  </w:t>
      </w:r>
      <w:r>
        <w:rPr>
          <w:rFonts w:hint="eastAsia" w:ascii="宋体" w:hAnsi="宋体" w:cs="宋体"/>
          <w:b/>
          <w:color w:val="auto"/>
          <w:szCs w:val="21"/>
          <w:highlight w:val="none"/>
        </w:rPr>
        <w:t xml:space="preserve">                                </w:t>
      </w:r>
    </w:p>
    <w:p w14:paraId="538038E4">
      <w:pPr>
        <w:spacing w:line="360" w:lineRule="auto"/>
        <w:ind w:left="692" w:leftChars="220" w:right="206" w:rightChars="98" w:hanging="230" w:hangingChars="100"/>
        <w:rPr>
          <w:rStyle w:val="35"/>
          <w:rFonts w:hint="eastAsia" w:ascii="宋体" w:hAnsi="宋体" w:eastAsia="宋体" w:cs="宋体"/>
          <w:color w:val="auto"/>
          <w:spacing w:val="10"/>
          <w:sz w:val="21"/>
          <w:szCs w:val="21"/>
          <w:highlight w:val="none"/>
          <w:lang w:val="zh-CN"/>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9"/>
      </w:tblGrid>
      <w:tr w14:paraId="38D4F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1" w:hRule="atLeast"/>
        </w:trPr>
        <w:tc>
          <w:tcPr>
            <w:tcW w:w="8219" w:type="dxa"/>
            <w:noWrap w:val="0"/>
            <w:vAlign w:val="center"/>
          </w:tcPr>
          <w:p w14:paraId="416FCD82">
            <w:pPr>
              <w:spacing w:line="360" w:lineRule="auto"/>
              <w:ind w:right="206" w:rightChars="98"/>
              <w:jc w:val="center"/>
              <w:rPr>
                <w:rStyle w:val="35"/>
                <w:rFonts w:hint="eastAsia" w:ascii="宋体" w:hAnsi="宋体" w:eastAsia="宋体" w:cs="宋体"/>
                <w:color w:val="auto"/>
                <w:spacing w:val="10"/>
                <w:sz w:val="21"/>
                <w:szCs w:val="21"/>
                <w:highlight w:val="none"/>
                <w:lang w:val="zh-CN"/>
              </w:rPr>
            </w:pPr>
          </w:p>
          <w:p w14:paraId="13441E5A">
            <w:pPr>
              <w:ind w:right="206" w:rightChars="98"/>
              <w:jc w:val="center"/>
              <w:rPr>
                <w:rStyle w:val="35"/>
                <w:rFonts w:hint="eastAsia" w:ascii="宋体" w:hAnsi="宋体" w:eastAsia="宋体" w:cs="宋体"/>
                <w:color w:val="auto"/>
                <w:spacing w:val="10"/>
                <w:sz w:val="21"/>
                <w:szCs w:val="21"/>
                <w:highlight w:val="none"/>
                <w:lang w:val="zh-CN"/>
              </w:rPr>
            </w:pPr>
          </w:p>
          <w:p w14:paraId="35D15DC2">
            <w:pPr>
              <w:ind w:right="206" w:rightChars="98"/>
              <w:jc w:val="center"/>
              <w:rPr>
                <w:rStyle w:val="35"/>
                <w:rFonts w:hint="eastAsia" w:ascii="宋体" w:hAnsi="宋体" w:eastAsia="宋体" w:cs="宋体"/>
                <w:color w:val="auto"/>
                <w:spacing w:val="10"/>
                <w:sz w:val="21"/>
                <w:szCs w:val="21"/>
                <w:highlight w:val="none"/>
                <w:lang w:val="zh-CN"/>
              </w:rPr>
            </w:pPr>
            <w:r>
              <w:rPr>
                <w:rStyle w:val="35"/>
                <w:rFonts w:hint="eastAsia" w:ascii="宋体" w:hAnsi="宋体" w:eastAsia="宋体" w:cs="宋体"/>
                <w:color w:val="auto"/>
                <w:spacing w:val="10"/>
                <w:sz w:val="21"/>
                <w:szCs w:val="21"/>
                <w:highlight w:val="none"/>
                <w:lang w:val="zh-CN"/>
              </w:rPr>
              <w:t>汇款凭证粘贴处</w:t>
            </w:r>
          </w:p>
          <w:p w14:paraId="1E15B767">
            <w:pPr>
              <w:spacing w:line="360" w:lineRule="auto"/>
              <w:ind w:right="206" w:rightChars="98"/>
              <w:jc w:val="center"/>
              <w:rPr>
                <w:rStyle w:val="35"/>
                <w:rFonts w:hint="eastAsia" w:ascii="宋体" w:hAnsi="宋体" w:eastAsia="宋体" w:cs="宋体"/>
                <w:color w:val="auto"/>
                <w:spacing w:val="10"/>
                <w:sz w:val="21"/>
                <w:szCs w:val="21"/>
                <w:highlight w:val="none"/>
                <w:lang w:val="zh-CN"/>
              </w:rPr>
            </w:pPr>
          </w:p>
          <w:p w14:paraId="32CBF6DA">
            <w:pPr>
              <w:spacing w:line="360" w:lineRule="auto"/>
              <w:ind w:right="206" w:rightChars="98"/>
              <w:jc w:val="center"/>
              <w:rPr>
                <w:rStyle w:val="35"/>
                <w:rFonts w:hint="eastAsia" w:ascii="宋体" w:hAnsi="宋体" w:eastAsia="宋体" w:cs="宋体"/>
                <w:color w:val="auto"/>
                <w:spacing w:val="10"/>
                <w:sz w:val="21"/>
                <w:szCs w:val="21"/>
                <w:highlight w:val="none"/>
                <w:lang w:val="zh-CN"/>
              </w:rPr>
            </w:pPr>
          </w:p>
          <w:p w14:paraId="411CAC23">
            <w:pPr>
              <w:spacing w:line="360" w:lineRule="auto"/>
              <w:ind w:right="206" w:rightChars="98"/>
              <w:jc w:val="center"/>
              <w:rPr>
                <w:rStyle w:val="35"/>
                <w:rFonts w:hint="eastAsia" w:ascii="宋体" w:hAnsi="宋体" w:eastAsia="宋体" w:cs="宋体"/>
                <w:color w:val="auto"/>
                <w:spacing w:val="10"/>
                <w:sz w:val="21"/>
                <w:szCs w:val="21"/>
                <w:highlight w:val="none"/>
                <w:lang w:val="zh-CN"/>
              </w:rPr>
            </w:pPr>
          </w:p>
        </w:tc>
      </w:tr>
    </w:tbl>
    <w:p w14:paraId="488DFF9E">
      <w:pPr>
        <w:spacing w:line="360" w:lineRule="auto"/>
        <w:jc w:val="center"/>
        <w:rPr>
          <w:rStyle w:val="35"/>
          <w:rFonts w:hint="eastAsia" w:ascii="宋体" w:hAnsi="宋体" w:eastAsia="宋体" w:cs="宋体"/>
          <w:color w:val="auto"/>
          <w:spacing w:val="10"/>
          <w:szCs w:val="21"/>
          <w:highlight w:val="none"/>
          <w:lang w:val="zh-CN"/>
        </w:rPr>
      </w:pPr>
      <w:r>
        <w:rPr>
          <w:rStyle w:val="35"/>
          <w:rFonts w:hint="eastAsia" w:ascii="宋体" w:hAnsi="宋体" w:eastAsia="宋体" w:cs="宋体"/>
          <w:color w:val="auto"/>
          <w:spacing w:val="10"/>
          <w:szCs w:val="21"/>
          <w:highlight w:val="none"/>
          <w:lang w:val="zh-CN"/>
        </w:rPr>
        <w:br w:type="page"/>
      </w:r>
    </w:p>
    <w:bookmarkEnd w:id="120"/>
    <w:p w14:paraId="77EC860F">
      <w:pPr>
        <w:tabs>
          <w:tab w:val="left" w:pos="720"/>
        </w:tabs>
        <w:spacing w:line="300" w:lineRule="auto"/>
        <w:ind w:left="1021" w:hanging="1021"/>
        <w:jc w:val="center"/>
        <w:rPr>
          <w:rFonts w:hint="eastAsia" w:ascii="宋体" w:hAnsi="宋体" w:cs="宋体"/>
          <w:b/>
          <w:color w:val="auto"/>
          <w:sz w:val="28"/>
          <w:szCs w:val="28"/>
          <w:highlight w:val="none"/>
        </w:rPr>
      </w:pPr>
    </w:p>
    <w:p w14:paraId="3ED5404E">
      <w:pPr>
        <w:tabs>
          <w:tab w:val="left" w:pos="720"/>
        </w:tabs>
        <w:spacing w:line="300" w:lineRule="auto"/>
        <w:ind w:left="1021" w:hanging="1021"/>
        <w:jc w:val="center"/>
        <w:rPr>
          <w:rFonts w:hint="eastAsia" w:ascii="宋体" w:hAnsi="宋体" w:cs="宋体"/>
          <w:b/>
          <w:color w:val="auto"/>
          <w:sz w:val="28"/>
          <w:szCs w:val="28"/>
          <w:highlight w:val="none"/>
        </w:rPr>
      </w:pPr>
    </w:p>
    <w:p w14:paraId="331E8D2E">
      <w:pPr>
        <w:tabs>
          <w:tab w:val="left" w:pos="720"/>
          <w:tab w:val="left" w:pos="7679"/>
        </w:tabs>
        <w:spacing w:line="300" w:lineRule="auto"/>
        <w:ind w:left="1021" w:hanging="1021"/>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tab/>
      </w:r>
      <w:r>
        <w:rPr>
          <w:rFonts w:hint="eastAsia" w:ascii="宋体" w:hAnsi="宋体" w:cs="宋体"/>
          <w:b/>
          <w:color w:val="auto"/>
          <w:sz w:val="28"/>
          <w:szCs w:val="28"/>
          <w:highlight w:val="none"/>
        </w:rPr>
        <w:tab/>
      </w:r>
    </w:p>
    <w:p w14:paraId="7F6C0265">
      <w:pPr>
        <w:tabs>
          <w:tab w:val="left" w:pos="720"/>
        </w:tabs>
        <w:spacing w:line="300" w:lineRule="auto"/>
        <w:ind w:left="1021" w:hanging="1021"/>
        <w:jc w:val="center"/>
        <w:rPr>
          <w:rFonts w:hint="eastAsia" w:ascii="宋体" w:hAnsi="宋体" w:cs="宋体"/>
          <w:b/>
          <w:color w:val="auto"/>
          <w:sz w:val="28"/>
          <w:szCs w:val="28"/>
          <w:highlight w:val="none"/>
        </w:rPr>
      </w:pPr>
    </w:p>
    <w:p w14:paraId="318B0457">
      <w:pPr>
        <w:tabs>
          <w:tab w:val="left" w:pos="720"/>
        </w:tabs>
        <w:spacing w:line="300" w:lineRule="auto"/>
        <w:ind w:left="1021" w:hanging="1021"/>
        <w:jc w:val="center"/>
        <w:rPr>
          <w:rFonts w:hint="eastAsia" w:ascii="宋体" w:hAnsi="宋体" w:cs="宋体"/>
          <w:b/>
          <w:color w:val="auto"/>
          <w:sz w:val="28"/>
          <w:szCs w:val="28"/>
          <w:highlight w:val="none"/>
        </w:rPr>
      </w:pPr>
    </w:p>
    <w:p w14:paraId="72F4FE31">
      <w:pPr>
        <w:tabs>
          <w:tab w:val="left" w:pos="720"/>
        </w:tabs>
        <w:spacing w:line="300" w:lineRule="auto"/>
        <w:ind w:left="1021" w:hanging="1021"/>
        <w:jc w:val="center"/>
        <w:rPr>
          <w:rFonts w:hint="eastAsia" w:ascii="宋体" w:hAnsi="宋体" w:cs="宋体"/>
          <w:b/>
          <w:color w:val="auto"/>
          <w:sz w:val="28"/>
          <w:szCs w:val="28"/>
          <w:highlight w:val="none"/>
        </w:rPr>
      </w:pPr>
    </w:p>
    <w:p w14:paraId="043BE2A3">
      <w:pPr>
        <w:spacing w:line="360" w:lineRule="auto"/>
        <w:jc w:val="center"/>
        <w:rPr>
          <w:rFonts w:hint="eastAsia" w:ascii="宋体" w:hAnsi="宋体" w:cs="宋体"/>
          <w:b/>
          <w:color w:val="auto"/>
          <w:sz w:val="44"/>
          <w:highlight w:val="none"/>
        </w:rPr>
      </w:pPr>
    </w:p>
    <w:p w14:paraId="0FDE1286">
      <w:pPr>
        <w:jc w:val="center"/>
        <w:outlineLvl w:val="0"/>
        <w:rPr>
          <w:rFonts w:hint="eastAsia" w:ascii="宋体" w:hAnsi="宋体" w:cs="宋体"/>
          <w:b/>
          <w:color w:val="auto"/>
          <w:sz w:val="44"/>
          <w:szCs w:val="44"/>
          <w:highlight w:val="none"/>
        </w:rPr>
      </w:pPr>
      <w:bookmarkStart w:id="122" w:name="_Toc5715"/>
      <w:r>
        <w:rPr>
          <w:rFonts w:hint="eastAsia" w:ascii="宋体" w:hAnsi="宋体" w:cs="宋体"/>
          <w:b/>
          <w:color w:val="auto"/>
          <w:sz w:val="44"/>
          <w:szCs w:val="44"/>
          <w:highlight w:val="none"/>
        </w:rPr>
        <w:t>第六章</w:t>
      </w:r>
      <w:bookmarkStart w:id="123" w:name="_Toc477186335"/>
      <w:r>
        <w:rPr>
          <w:rFonts w:hint="eastAsia" w:ascii="宋体" w:hAnsi="宋体" w:cs="宋体"/>
          <w:b/>
          <w:color w:val="auto"/>
          <w:sz w:val="44"/>
          <w:szCs w:val="44"/>
          <w:highlight w:val="none"/>
        </w:rPr>
        <w:t xml:space="preserve">  评标办法</w:t>
      </w:r>
      <w:bookmarkEnd w:id="122"/>
      <w:bookmarkEnd w:id="123"/>
    </w:p>
    <w:p w14:paraId="753855C7">
      <w:pPr>
        <w:tabs>
          <w:tab w:val="left" w:pos="720"/>
        </w:tabs>
        <w:spacing w:line="300" w:lineRule="auto"/>
        <w:ind w:left="1021" w:hanging="1021"/>
        <w:jc w:val="center"/>
        <w:rPr>
          <w:rFonts w:hint="eastAsia" w:ascii="宋体" w:hAnsi="宋体" w:cs="宋体"/>
          <w:b/>
          <w:color w:val="auto"/>
          <w:sz w:val="28"/>
          <w:szCs w:val="28"/>
          <w:highlight w:val="none"/>
        </w:rPr>
      </w:pPr>
    </w:p>
    <w:p w14:paraId="78A84910">
      <w:pPr>
        <w:tabs>
          <w:tab w:val="left" w:pos="720"/>
        </w:tabs>
        <w:spacing w:line="300" w:lineRule="auto"/>
        <w:ind w:left="1021" w:hanging="1021"/>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 xml:space="preserve"> </w:t>
      </w:r>
    </w:p>
    <w:p w14:paraId="0804828A">
      <w:pPr>
        <w:tabs>
          <w:tab w:val="left" w:pos="720"/>
        </w:tabs>
        <w:spacing w:line="300" w:lineRule="auto"/>
        <w:ind w:left="1021" w:hanging="1021"/>
        <w:jc w:val="center"/>
        <w:rPr>
          <w:rFonts w:hint="eastAsia" w:ascii="宋体" w:hAnsi="宋体" w:cs="宋体"/>
          <w:b/>
          <w:color w:val="auto"/>
          <w:spacing w:val="10"/>
          <w:sz w:val="28"/>
          <w:szCs w:val="28"/>
          <w:highlight w:val="none"/>
        </w:rPr>
      </w:pPr>
      <w:bookmarkStart w:id="124" w:name="_Toc9981_WPSOffice_Level1"/>
      <w:bookmarkStart w:id="125" w:name="_Toc10591_WPSOffice_Level1"/>
      <w:bookmarkStart w:id="126" w:name="_Toc31126_WPSOffice_Level1"/>
      <w:r>
        <w:rPr>
          <w:rFonts w:hint="eastAsia" w:ascii="宋体" w:hAnsi="宋体" w:cs="宋体"/>
          <w:b/>
          <w:color w:val="auto"/>
          <w:sz w:val="28"/>
          <w:szCs w:val="28"/>
          <w:highlight w:val="none"/>
        </w:rPr>
        <w:t>评  标  办  法</w:t>
      </w:r>
      <w:bookmarkEnd w:id="124"/>
      <w:bookmarkEnd w:id="125"/>
      <w:bookmarkEnd w:id="126"/>
    </w:p>
    <w:p w14:paraId="4C8B78CE">
      <w:pPr>
        <w:pStyle w:val="4"/>
        <w:numPr>
          <w:ilvl w:val="0"/>
          <w:numId w:val="8"/>
        </w:numPr>
        <w:spacing w:before="120" w:after="120" w:line="360" w:lineRule="auto"/>
        <w:rPr>
          <w:rFonts w:hint="eastAsia" w:ascii="宋体" w:hAnsi="宋体" w:cs="宋体"/>
          <w:color w:val="auto"/>
          <w:sz w:val="28"/>
          <w:szCs w:val="28"/>
          <w:highlight w:val="none"/>
        </w:rPr>
      </w:pPr>
      <w:bookmarkStart w:id="127" w:name="_Toc11635_WPSOffice_Level1"/>
      <w:bookmarkStart w:id="128" w:name="_Toc2177_WPSOffice_Level1"/>
      <w:bookmarkStart w:id="129" w:name="_Toc4692_WPSOffice_Level1"/>
      <w:bookmarkStart w:id="130" w:name="_Toc95306153"/>
      <w:bookmarkStart w:id="131" w:name="_Toc477185975"/>
      <w:bookmarkStart w:id="132" w:name="_Toc477186336"/>
      <w:bookmarkStart w:id="133" w:name="_Toc95306013"/>
      <w:bookmarkStart w:id="134" w:name="_Toc95305931"/>
      <w:bookmarkStart w:id="135" w:name="_Toc476177998"/>
      <w:bookmarkStart w:id="136" w:name="_Toc476177438"/>
      <w:bookmarkStart w:id="137" w:name="_Toc8854"/>
      <w:bookmarkStart w:id="138" w:name="_Toc95298716"/>
      <w:bookmarkStart w:id="139" w:name="_Toc95306105"/>
      <w:bookmarkStart w:id="140" w:name="_Toc99012603"/>
      <w:r>
        <w:rPr>
          <w:rFonts w:hint="eastAsia" w:ascii="宋体" w:hAnsi="宋体" w:cs="宋体"/>
          <w:color w:val="auto"/>
          <w:sz w:val="28"/>
          <w:szCs w:val="28"/>
          <w:highlight w:val="none"/>
        </w:rPr>
        <w:t>说明</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42BED9F1">
      <w:pPr>
        <w:tabs>
          <w:tab w:val="left" w:pos="840"/>
          <w:tab w:val="left" w:pos="1680"/>
          <w:tab w:val="left" w:pos="1890"/>
        </w:tabs>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根据《中华人民共和国招标投标法》、《中华人民共和国招标投标法实施条例》、《评标委员会和评标方法暂行规定》和国家及地方有关文件精神，在保证本项目招标公开、公平、公正的基础上，结合本项目的需求，制定本评标办法。内容包括本次评标的评审过程和方法。</w:t>
      </w:r>
    </w:p>
    <w:p w14:paraId="7F23FF25">
      <w:pPr>
        <w:tabs>
          <w:tab w:val="left" w:pos="840"/>
        </w:tabs>
        <w:spacing w:line="360" w:lineRule="auto"/>
        <w:rPr>
          <w:rFonts w:hint="eastAsia" w:ascii="宋体" w:hAnsi="宋体" w:cs="宋体"/>
          <w:b/>
          <w:color w:val="auto"/>
          <w:spacing w:val="10"/>
          <w:sz w:val="24"/>
          <w:highlight w:val="none"/>
        </w:rPr>
      </w:pPr>
    </w:p>
    <w:p w14:paraId="4C83EC23">
      <w:pPr>
        <w:pStyle w:val="4"/>
        <w:numPr>
          <w:ilvl w:val="0"/>
          <w:numId w:val="8"/>
        </w:numPr>
        <w:spacing w:before="120" w:after="120" w:line="360" w:lineRule="auto"/>
        <w:rPr>
          <w:rFonts w:hint="eastAsia" w:ascii="宋体" w:hAnsi="宋体" w:cs="宋体"/>
          <w:color w:val="auto"/>
          <w:sz w:val="28"/>
          <w:szCs w:val="28"/>
          <w:highlight w:val="none"/>
        </w:rPr>
      </w:pPr>
      <w:bookmarkStart w:id="141" w:name="_Toc25791_WPSOffice_Level1"/>
      <w:bookmarkStart w:id="142" w:name="_Toc477186337"/>
      <w:bookmarkStart w:id="143" w:name="_Toc476177439"/>
      <w:bookmarkStart w:id="144" w:name="_Toc477185976"/>
      <w:bookmarkStart w:id="145" w:name="_Toc21029_WPSOffice_Level1"/>
      <w:bookmarkStart w:id="146" w:name="_Toc4898_WPSOffice_Level1"/>
      <w:bookmarkStart w:id="147" w:name="_Toc99012604"/>
      <w:bookmarkStart w:id="148" w:name="_Toc15972"/>
      <w:bookmarkStart w:id="149" w:name="_Toc476177999"/>
      <w:r>
        <w:rPr>
          <w:rFonts w:hint="eastAsia" w:ascii="宋体" w:hAnsi="宋体" w:cs="宋体"/>
          <w:color w:val="auto"/>
          <w:sz w:val="28"/>
          <w:szCs w:val="28"/>
          <w:highlight w:val="none"/>
        </w:rPr>
        <w:t>评标须知</w:t>
      </w:r>
      <w:bookmarkEnd w:id="141"/>
      <w:bookmarkEnd w:id="142"/>
      <w:bookmarkEnd w:id="143"/>
      <w:bookmarkEnd w:id="144"/>
      <w:bookmarkEnd w:id="145"/>
      <w:bookmarkEnd w:id="146"/>
      <w:bookmarkEnd w:id="147"/>
      <w:bookmarkEnd w:id="148"/>
      <w:bookmarkEnd w:id="149"/>
    </w:p>
    <w:p w14:paraId="6F2C184C">
      <w:pPr>
        <w:numPr>
          <w:ilvl w:val="1"/>
          <w:numId w:val="8"/>
        </w:numPr>
        <w:tabs>
          <w:tab w:val="left" w:pos="0"/>
          <w:tab w:val="left" w:pos="840"/>
          <w:tab w:val="clear" w:pos="567"/>
        </w:tabs>
        <w:spacing w:line="360" w:lineRule="auto"/>
        <w:ind w:left="0" w:firstLine="420"/>
        <w:rPr>
          <w:rFonts w:hint="eastAsia" w:ascii="宋体" w:hAnsi="宋体" w:cs="宋体"/>
          <w:color w:val="auto"/>
          <w:highlight w:val="none"/>
        </w:rPr>
      </w:pPr>
      <w:r>
        <w:rPr>
          <w:rFonts w:hint="eastAsia" w:ascii="宋体" w:hAnsi="宋体" w:cs="宋体"/>
          <w:color w:val="auto"/>
          <w:highlight w:val="none"/>
        </w:rPr>
        <w:t>关于评标方案</w:t>
      </w:r>
    </w:p>
    <w:p w14:paraId="55A6C651">
      <w:pPr>
        <w:tabs>
          <w:tab w:val="left" w:pos="0"/>
        </w:tabs>
        <w:spacing w:line="360" w:lineRule="auto"/>
        <w:ind w:left="420"/>
        <w:rPr>
          <w:rFonts w:hint="eastAsia" w:ascii="宋体" w:hAnsi="宋体" w:cs="宋体"/>
          <w:color w:val="auto"/>
          <w:highlight w:val="none"/>
        </w:rPr>
      </w:pPr>
      <w:r>
        <w:rPr>
          <w:rFonts w:hint="eastAsia" w:ascii="宋体" w:hAnsi="宋体" w:cs="宋体"/>
          <w:color w:val="auto"/>
          <w:highlight w:val="none"/>
        </w:rPr>
        <w:t>2.1.2评标委员会的每位成员（简称评委）应认真地阅读并确认已经正确理解了评标方案。</w:t>
      </w:r>
    </w:p>
    <w:p w14:paraId="3AD403F1">
      <w:pPr>
        <w:numPr>
          <w:ilvl w:val="1"/>
          <w:numId w:val="8"/>
        </w:numPr>
        <w:tabs>
          <w:tab w:val="left" w:pos="0"/>
          <w:tab w:val="left" w:pos="840"/>
          <w:tab w:val="clear" w:pos="567"/>
        </w:tabs>
        <w:spacing w:line="360" w:lineRule="auto"/>
        <w:ind w:left="0" w:firstLine="420"/>
        <w:rPr>
          <w:rFonts w:hint="eastAsia" w:ascii="宋体" w:hAnsi="宋体" w:cs="宋体"/>
          <w:color w:val="auto"/>
          <w:highlight w:val="none"/>
        </w:rPr>
      </w:pPr>
      <w:r>
        <w:rPr>
          <w:rFonts w:hint="eastAsia" w:ascii="宋体" w:hAnsi="宋体" w:cs="宋体"/>
          <w:color w:val="auto"/>
          <w:highlight w:val="none"/>
        </w:rPr>
        <w:t>关于评标纪律</w:t>
      </w:r>
    </w:p>
    <w:p w14:paraId="3AEB3545">
      <w:pPr>
        <w:tabs>
          <w:tab w:val="left" w:pos="0"/>
        </w:tabs>
        <w:spacing w:line="360" w:lineRule="auto"/>
        <w:ind w:left="420"/>
        <w:rPr>
          <w:rFonts w:hint="eastAsia" w:ascii="宋体" w:hAnsi="宋体" w:cs="宋体"/>
          <w:color w:val="auto"/>
          <w:szCs w:val="22"/>
          <w:highlight w:val="none"/>
        </w:rPr>
      </w:pPr>
      <w:r>
        <w:rPr>
          <w:rFonts w:hint="eastAsia" w:ascii="宋体" w:hAnsi="宋体" w:cs="宋体"/>
          <w:color w:val="auto"/>
          <w:szCs w:val="22"/>
          <w:highlight w:val="none"/>
        </w:rPr>
        <w:t>2.2.1评标委员会成员不得与任何投标人或者与招标结果有利害关系的人进行私下接触，不得收受投标人、中介人、其他利害关系人的财物或者其他好处；</w:t>
      </w:r>
    </w:p>
    <w:p w14:paraId="1259ADA8">
      <w:pPr>
        <w:tabs>
          <w:tab w:val="left" w:pos="0"/>
        </w:tabs>
        <w:spacing w:line="360" w:lineRule="auto"/>
        <w:ind w:left="420"/>
        <w:rPr>
          <w:rFonts w:hint="eastAsia" w:ascii="宋体" w:hAnsi="宋体" w:cs="宋体"/>
          <w:color w:val="auto"/>
          <w:szCs w:val="22"/>
          <w:highlight w:val="none"/>
        </w:rPr>
      </w:pPr>
      <w:r>
        <w:rPr>
          <w:rFonts w:hint="eastAsia" w:ascii="宋体" w:hAnsi="宋体" w:cs="宋体"/>
          <w:color w:val="auto"/>
          <w:szCs w:val="22"/>
          <w:highlight w:val="none"/>
        </w:rPr>
        <w:t>2.2.2评委应本着客观、公正的原则独立给出评价意见；</w:t>
      </w:r>
    </w:p>
    <w:p w14:paraId="137EA632">
      <w:pPr>
        <w:tabs>
          <w:tab w:val="left" w:pos="0"/>
        </w:tabs>
        <w:spacing w:line="360" w:lineRule="auto"/>
        <w:ind w:left="420"/>
        <w:rPr>
          <w:rFonts w:hint="eastAsia" w:ascii="宋体" w:hAnsi="宋体" w:cs="宋体"/>
          <w:color w:val="auto"/>
          <w:szCs w:val="22"/>
          <w:highlight w:val="none"/>
        </w:rPr>
      </w:pPr>
      <w:r>
        <w:rPr>
          <w:rFonts w:hint="eastAsia" w:ascii="宋体" w:hAnsi="宋体" w:cs="宋体"/>
          <w:color w:val="auto"/>
          <w:szCs w:val="22"/>
          <w:highlight w:val="none"/>
        </w:rPr>
        <w:t>2.2.3评委之间不得相互串通进行评分；</w:t>
      </w:r>
    </w:p>
    <w:p w14:paraId="0518A9A0">
      <w:pPr>
        <w:tabs>
          <w:tab w:val="left" w:pos="0"/>
        </w:tabs>
        <w:spacing w:line="360" w:lineRule="auto"/>
        <w:ind w:left="420"/>
        <w:rPr>
          <w:rFonts w:hint="eastAsia" w:ascii="宋体" w:hAnsi="宋体" w:cs="宋体"/>
          <w:color w:val="auto"/>
          <w:szCs w:val="22"/>
          <w:highlight w:val="none"/>
        </w:rPr>
      </w:pPr>
      <w:r>
        <w:rPr>
          <w:rFonts w:hint="eastAsia" w:ascii="宋体" w:hAnsi="宋体" w:cs="宋体"/>
          <w:color w:val="auto"/>
          <w:szCs w:val="22"/>
          <w:highlight w:val="none"/>
        </w:rPr>
        <w:t>2.2.4评委不得试图影响其他评委的评价意见。</w:t>
      </w:r>
    </w:p>
    <w:p w14:paraId="78F24D18">
      <w:pPr>
        <w:numPr>
          <w:ilvl w:val="1"/>
          <w:numId w:val="8"/>
        </w:numPr>
        <w:tabs>
          <w:tab w:val="left" w:pos="0"/>
          <w:tab w:val="left" w:pos="840"/>
          <w:tab w:val="clear" w:pos="567"/>
        </w:tabs>
        <w:spacing w:line="360" w:lineRule="auto"/>
        <w:ind w:left="0" w:firstLine="420"/>
        <w:rPr>
          <w:rFonts w:hint="eastAsia" w:ascii="宋体" w:hAnsi="宋体" w:cs="宋体"/>
          <w:color w:val="auto"/>
          <w:highlight w:val="none"/>
        </w:rPr>
      </w:pPr>
      <w:r>
        <w:rPr>
          <w:rFonts w:hint="eastAsia" w:ascii="宋体" w:hAnsi="宋体" w:cs="宋体"/>
          <w:color w:val="auto"/>
          <w:highlight w:val="none"/>
        </w:rPr>
        <w:t>关于评标责任</w:t>
      </w:r>
    </w:p>
    <w:p w14:paraId="4C60F9EC">
      <w:pPr>
        <w:tabs>
          <w:tab w:val="left" w:pos="0"/>
        </w:tabs>
        <w:spacing w:line="360" w:lineRule="auto"/>
        <w:ind w:left="420"/>
        <w:rPr>
          <w:rFonts w:hint="eastAsia" w:ascii="宋体" w:hAnsi="宋体" w:cs="宋体"/>
          <w:color w:val="auto"/>
          <w:szCs w:val="22"/>
          <w:highlight w:val="none"/>
        </w:rPr>
      </w:pPr>
      <w:r>
        <w:rPr>
          <w:rFonts w:hint="eastAsia" w:ascii="宋体" w:hAnsi="宋体" w:cs="宋体"/>
          <w:color w:val="auto"/>
          <w:szCs w:val="22"/>
          <w:highlight w:val="none"/>
        </w:rPr>
        <w:t>2.3.1评委应在其书面评审意见上签字确认；</w:t>
      </w:r>
    </w:p>
    <w:p w14:paraId="597F54E7">
      <w:pPr>
        <w:tabs>
          <w:tab w:val="left" w:pos="0"/>
        </w:tabs>
        <w:spacing w:line="360" w:lineRule="auto"/>
        <w:ind w:left="420"/>
        <w:rPr>
          <w:rFonts w:hint="eastAsia" w:ascii="宋体" w:hAnsi="宋体" w:cs="宋体"/>
          <w:color w:val="auto"/>
          <w:szCs w:val="22"/>
          <w:highlight w:val="none"/>
        </w:rPr>
      </w:pPr>
      <w:r>
        <w:rPr>
          <w:rFonts w:hint="eastAsia" w:ascii="宋体" w:hAnsi="宋体" w:cs="宋体"/>
          <w:color w:val="auto"/>
          <w:szCs w:val="22"/>
          <w:highlight w:val="none"/>
        </w:rPr>
        <w:t>2.3.2评委对其所提出的评审意见承担个人责任。</w:t>
      </w:r>
    </w:p>
    <w:p w14:paraId="5358E4F5">
      <w:pPr>
        <w:numPr>
          <w:ilvl w:val="1"/>
          <w:numId w:val="8"/>
        </w:numPr>
        <w:tabs>
          <w:tab w:val="left" w:pos="0"/>
          <w:tab w:val="left" w:pos="945"/>
          <w:tab w:val="left" w:pos="1680"/>
          <w:tab w:val="clear" w:pos="567"/>
        </w:tabs>
        <w:spacing w:line="360" w:lineRule="auto"/>
        <w:ind w:left="0" w:firstLine="420"/>
        <w:rPr>
          <w:rFonts w:hint="eastAsia" w:ascii="宋体" w:hAnsi="宋体" w:cs="宋体"/>
          <w:color w:val="auto"/>
          <w:highlight w:val="none"/>
        </w:rPr>
      </w:pPr>
      <w:r>
        <w:rPr>
          <w:rFonts w:hint="eastAsia" w:ascii="宋体" w:hAnsi="宋体" w:cs="宋体"/>
          <w:color w:val="auto"/>
          <w:highlight w:val="none"/>
        </w:rPr>
        <w:t>关于回避</w:t>
      </w:r>
    </w:p>
    <w:p w14:paraId="7B81AB5A">
      <w:pPr>
        <w:tabs>
          <w:tab w:val="left" w:pos="0"/>
        </w:tabs>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有下列情形之一的，不得担任评标委员会成员，如事先不知情的，应在宣读投标人名单及评标纪律后主动提出回避：</w:t>
      </w:r>
    </w:p>
    <w:p w14:paraId="10A3B1E6">
      <w:pPr>
        <w:tabs>
          <w:tab w:val="left" w:pos="0"/>
        </w:tabs>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（1）是投标人或者投标人主要负责人的近亲属；</w:t>
      </w:r>
    </w:p>
    <w:p w14:paraId="4CDE205D">
      <w:pPr>
        <w:tabs>
          <w:tab w:val="left" w:pos="0"/>
        </w:tabs>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（2）是该投标人的项目主管部门或是该投标人的行政监督部门的人员；</w:t>
      </w:r>
    </w:p>
    <w:p w14:paraId="2E6E34AA">
      <w:pPr>
        <w:tabs>
          <w:tab w:val="left" w:pos="0"/>
        </w:tabs>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（3）与投标人有经济利益关系，可能影响对投标公正评审的；</w:t>
      </w:r>
    </w:p>
    <w:p w14:paraId="7B8E0F13">
      <w:pPr>
        <w:numPr>
          <w:ilvl w:val="1"/>
          <w:numId w:val="8"/>
        </w:numPr>
        <w:tabs>
          <w:tab w:val="left" w:pos="0"/>
          <w:tab w:val="left" w:pos="840"/>
          <w:tab w:val="left" w:pos="1260"/>
          <w:tab w:val="left" w:pos="1470"/>
          <w:tab w:val="clear" w:pos="567"/>
        </w:tabs>
        <w:spacing w:line="360" w:lineRule="auto"/>
        <w:ind w:left="0" w:firstLine="420"/>
        <w:rPr>
          <w:rFonts w:hint="eastAsia" w:ascii="宋体" w:hAnsi="宋体" w:cs="宋体"/>
          <w:color w:val="auto"/>
          <w:highlight w:val="none"/>
        </w:rPr>
      </w:pPr>
      <w:r>
        <w:rPr>
          <w:rFonts w:hint="eastAsia" w:ascii="宋体" w:hAnsi="宋体" w:cs="宋体"/>
          <w:color w:val="auto"/>
          <w:highlight w:val="none"/>
        </w:rPr>
        <w:t>关于保密</w:t>
      </w:r>
    </w:p>
    <w:p w14:paraId="7F5A6815">
      <w:pPr>
        <w:numPr>
          <w:ilvl w:val="0"/>
          <w:numId w:val="9"/>
        </w:numPr>
        <w:tabs>
          <w:tab w:val="left" w:pos="0"/>
        </w:tabs>
        <w:spacing w:line="360" w:lineRule="auto"/>
        <w:ind w:left="0" w:firstLine="420"/>
        <w:rPr>
          <w:rFonts w:hint="eastAsia" w:ascii="宋体" w:hAnsi="宋体" w:cs="宋体"/>
          <w:color w:val="auto"/>
          <w:highlight w:val="none"/>
        </w:rPr>
      </w:pPr>
      <w:r>
        <w:rPr>
          <w:rFonts w:hint="eastAsia" w:ascii="宋体" w:hAnsi="宋体" w:cs="宋体"/>
          <w:color w:val="auto"/>
          <w:highlight w:val="none"/>
        </w:rPr>
        <w:t>评标委员会成员和与评标活动有关的工作人员不得透露对投标文件的评审和比较、中标候选人的推荐情况以及评标有关的其他情况。</w:t>
      </w:r>
    </w:p>
    <w:p w14:paraId="774EDC88">
      <w:pPr>
        <w:numPr>
          <w:ilvl w:val="0"/>
          <w:numId w:val="9"/>
        </w:numPr>
        <w:tabs>
          <w:tab w:val="left" w:pos="0"/>
        </w:tabs>
        <w:spacing w:line="360" w:lineRule="auto"/>
        <w:ind w:left="0" w:firstLine="420"/>
        <w:rPr>
          <w:rFonts w:hint="eastAsia" w:ascii="宋体" w:hAnsi="宋体" w:cs="宋体"/>
          <w:color w:val="auto"/>
          <w:highlight w:val="none"/>
        </w:rPr>
      </w:pPr>
      <w:r>
        <w:rPr>
          <w:rFonts w:hint="eastAsia" w:ascii="宋体" w:hAnsi="宋体" w:cs="宋体"/>
          <w:color w:val="auto"/>
          <w:highlight w:val="none"/>
        </w:rPr>
        <w:t>前款所称与评标活动有关的工作人员，是指评标委员会成员以外的因参与评标监督工作或者事务性工作而知悉有关评标情况的所有人员。</w:t>
      </w:r>
    </w:p>
    <w:p w14:paraId="3BED9745">
      <w:pPr>
        <w:numPr>
          <w:ilvl w:val="1"/>
          <w:numId w:val="8"/>
        </w:numPr>
        <w:tabs>
          <w:tab w:val="left" w:pos="630"/>
          <w:tab w:val="left" w:pos="840"/>
          <w:tab w:val="clear" w:pos="567"/>
        </w:tabs>
        <w:spacing w:line="360" w:lineRule="auto"/>
        <w:ind w:left="105" w:firstLine="315"/>
        <w:rPr>
          <w:rFonts w:hint="eastAsia" w:ascii="宋体" w:hAnsi="宋体" w:cs="宋体"/>
          <w:color w:val="auto"/>
          <w:highlight w:val="none"/>
        </w:rPr>
      </w:pPr>
      <w:r>
        <w:rPr>
          <w:rFonts w:hint="eastAsia" w:ascii="宋体" w:hAnsi="宋体" w:cs="宋体"/>
          <w:color w:val="auto"/>
          <w:highlight w:val="none"/>
        </w:rPr>
        <w:t>罚则</w:t>
      </w:r>
    </w:p>
    <w:p w14:paraId="3FC92F19">
      <w:pPr>
        <w:tabs>
          <w:tab w:val="left" w:pos="0"/>
        </w:tabs>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（1）评标委员会成员在评标过程中擅离职守，影响评标程序正常进行，或者在评标过程中不能客观公正地履行职责的，一经核实，取消担任评标委员会成员的资格，并报有关部门经予法律追究和查处。</w:t>
      </w:r>
    </w:p>
    <w:p w14:paraId="1B41AA53">
      <w:pPr>
        <w:tabs>
          <w:tab w:val="left" w:pos="0"/>
        </w:tabs>
        <w:spacing w:line="360" w:lineRule="auto"/>
        <w:ind w:firstLine="420" w:firstLineChars="200"/>
        <w:rPr>
          <w:rFonts w:hint="eastAsia" w:ascii="宋体" w:hAnsi="宋体" w:cs="宋体"/>
          <w:color w:val="auto"/>
          <w:szCs w:val="22"/>
          <w:highlight w:val="none"/>
        </w:rPr>
      </w:pPr>
      <w:r>
        <w:rPr>
          <w:rFonts w:hint="eastAsia" w:ascii="宋体" w:hAnsi="宋体" w:cs="宋体"/>
          <w:color w:val="auto"/>
          <w:szCs w:val="22"/>
          <w:highlight w:val="none"/>
        </w:rPr>
        <w:t>（2）评标委员会成员收受投标人、其他利害关系人的财物或者其他好处的，评标委员会成员或者与评标活动有关的工作人员向他人透露对投标文件的评审和比较、中标候选人的推荐以及与评标有关的其他情况的，一经核实，报有关部门经予法律追究和查处。</w:t>
      </w:r>
    </w:p>
    <w:p w14:paraId="734ED854">
      <w:pPr>
        <w:tabs>
          <w:tab w:val="left" w:pos="0"/>
        </w:tabs>
        <w:spacing w:line="360" w:lineRule="auto"/>
        <w:ind w:firstLine="420" w:firstLineChars="200"/>
        <w:rPr>
          <w:rFonts w:hint="eastAsia" w:ascii="宋体" w:hAnsi="宋体" w:cs="宋体"/>
          <w:color w:val="auto"/>
          <w:szCs w:val="22"/>
          <w:highlight w:val="none"/>
        </w:rPr>
      </w:pPr>
    </w:p>
    <w:p w14:paraId="31C5CC26">
      <w:pPr>
        <w:pStyle w:val="4"/>
        <w:numPr>
          <w:ilvl w:val="0"/>
          <w:numId w:val="8"/>
        </w:numPr>
        <w:spacing w:before="120" w:after="120" w:line="360" w:lineRule="auto"/>
        <w:rPr>
          <w:rFonts w:hint="eastAsia" w:ascii="宋体" w:hAnsi="宋体" w:cs="宋体"/>
          <w:color w:val="auto"/>
          <w:sz w:val="28"/>
          <w:szCs w:val="28"/>
          <w:highlight w:val="none"/>
        </w:rPr>
      </w:pPr>
      <w:bookmarkStart w:id="150" w:name="_Toc29737"/>
      <w:bookmarkStart w:id="151" w:name="_Toc476177440"/>
      <w:bookmarkStart w:id="152" w:name="_Toc16705_WPSOffice_Level1"/>
      <w:bookmarkStart w:id="153" w:name="_Toc476178000"/>
      <w:bookmarkStart w:id="154" w:name="_Toc22791_WPSOffice_Level1"/>
      <w:bookmarkStart w:id="155" w:name="_Toc477185977"/>
      <w:bookmarkStart w:id="156" w:name="_Toc4691_WPSOffice_Level1"/>
      <w:bookmarkStart w:id="157" w:name="_Toc477186338"/>
      <w:r>
        <w:rPr>
          <w:rFonts w:hint="eastAsia" w:ascii="宋体" w:hAnsi="宋体" w:cs="宋体"/>
          <w:color w:val="auto"/>
          <w:sz w:val="28"/>
          <w:szCs w:val="28"/>
          <w:highlight w:val="none"/>
        </w:rPr>
        <w:t>评标委员会</w:t>
      </w:r>
      <w:bookmarkEnd w:id="150"/>
      <w:bookmarkEnd w:id="151"/>
      <w:bookmarkEnd w:id="152"/>
      <w:bookmarkEnd w:id="153"/>
      <w:bookmarkEnd w:id="154"/>
      <w:bookmarkEnd w:id="155"/>
      <w:bookmarkEnd w:id="156"/>
      <w:bookmarkEnd w:id="157"/>
    </w:p>
    <w:p w14:paraId="09257EA0">
      <w:pPr>
        <w:numPr>
          <w:ilvl w:val="1"/>
          <w:numId w:val="8"/>
        </w:numPr>
        <w:tabs>
          <w:tab w:val="left" w:pos="0"/>
          <w:tab w:val="left" w:pos="840"/>
          <w:tab w:val="clear" w:pos="567"/>
        </w:tabs>
        <w:spacing w:line="360" w:lineRule="auto"/>
        <w:ind w:left="0" w:firstLine="420"/>
        <w:rPr>
          <w:rFonts w:hint="eastAsia" w:ascii="宋体" w:hAnsi="宋体" w:cs="宋体"/>
          <w:color w:val="auto"/>
          <w:highlight w:val="none"/>
        </w:rPr>
      </w:pPr>
      <w:r>
        <w:rPr>
          <w:rFonts w:hint="eastAsia" w:ascii="宋体" w:hAnsi="宋体" w:cs="宋体"/>
          <w:color w:val="auto"/>
          <w:highlight w:val="none"/>
        </w:rPr>
        <w:t>招标人和招标代理依照《中华人民共和国招投标法》、《中华人民共和国招标投标法实施条例》组建本项目评标委员会。评标委员会成员由技术、经济等方面的专家共5人组成。评标委员会成员享有同等的表决权。</w:t>
      </w:r>
    </w:p>
    <w:p w14:paraId="5A110483">
      <w:pPr>
        <w:numPr>
          <w:ilvl w:val="1"/>
          <w:numId w:val="8"/>
        </w:numPr>
        <w:tabs>
          <w:tab w:val="left" w:pos="0"/>
          <w:tab w:val="left" w:pos="840"/>
          <w:tab w:val="clear" w:pos="567"/>
        </w:tabs>
        <w:spacing w:line="360" w:lineRule="auto"/>
        <w:ind w:left="0" w:firstLine="420"/>
        <w:rPr>
          <w:rFonts w:hint="eastAsia" w:ascii="宋体" w:hAnsi="宋体" w:cs="宋体"/>
          <w:color w:val="auto"/>
          <w:highlight w:val="none"/>
        </w:rPr>
      </w:pPr>
      <w:r>
        <w:rPr>
          <w:rFonts w:hint="eastAsia" w:ascii="宋体" w:hAnsi="宋体" w:cs="宋体"/>
          <w:color w:val="auto"/>
          <w:highlight w:val="none"/>
        </w:rPr>
        <w:t>评标委员会依据招标文件的规定对各投标文件进行评审，得出评标结果，提交评标报告。</w:t>
      </w:r>
    </w:p>
    <w:p w14:paraId="1DE85DDC">
      <w:pPr>
        <w:numPr>
          <w:ilvl w:val="1"/>
          <w:numId w:val="8"/>
        </w:numPr>
        <w:tabs>
          <w:tab w:val="left" w:pos="0"/>
          <w:tab w:val="left" w:pos="840"/>
          <w:tab w:val="clear" w:pos="567"/>
        </w:tabs>
        <w:spacing w:line="360" w:lineRule="auto"/>
        <w:ind w:left="0" w:firstLine="420"/>
        <w:rPr>
          <w:rFonts w:hint="eastAsia" w:ascii="宋体" w:hAnsi="宋体" w:cs="宋体"/>
          <w:color w:val="auto"/>
          <w:highlight w:val="none"/>
        </w:rPr>
      </w:pPr>
      <w:r>
        <w:rPr>
          <w:rFonts w:hint="eastAsia" w:ascii="宋体" w:hAnsi="宋体" w:cs="宋体"/>
          <w:color w:val="auto"/>
          <w:highlight w:val="none"/>
        </w:rPr>
        <w:t>评标委员会经评审，认为所有投标都不符合招标文件要求的，可以否决所有投标。</w:t>
      </w:r>
    </w:p>
    <w:p w14:paraId="6C28D840">
      <w:pPr>
        <w:spacing w:line="360" w:lineRule="auto"/>
        <w:rPr>
          <w:rFonts w:hint="eastAsia" w:ascii="宋体" w:hAnsi="宋体" w:cs="宋体"/>
          <w:color w:val="auto"/>
          <w:highlight w:val="none"/>
        </w:rPr>
      </w:pPr>
    </w:p>
    <w:p w14:paraId="799D0CAE">
      <w:pPr>
        <w:pStyle w:val="4"/>
        <w:numPr>
          <w:ilvl w:val="0"/>
          <w:numId w:val="8"/>
        </w:numPr>
        <w:spacing w:before="120" w:after="120" w:line="360" w:lineRule="auto"/>
        <w:rPr>
          <w:rFonts w:hint="eastAsia" w:ascii="宋体" w:hAnsi="宋体" w:cs="宋体"/>
          <w:color w:val="auto"/>
          <w:sz w:val="28"/>
          <w:szCs w:val="28"/>
          <w:highlight w:val="none"/>
        </w:rPr>
      </w:pPr>
      <w:bookmarkStart w:id="158" w:name="_Toc477185978"/>
      <w:bookmarkStart w:id="159" w:name="_Toc29107_WPSOffice_Level1"/>
      <w:bookmarkStart w:id="160" w:name="_Toc477186339"/>
      <w:bookmarkStart w:id="161" w:name="_Toc16947_WPSOffice_Level1"/>
      <w:bookmarkStart w:id="162" w:name="_Toc16217_WPSOffice_Level1"/>
      <w:bookmarkStart w:id="163" w:name="_Toc476178001"/>
      <w:bookmarkStart w:id="164" w:name="_Toc5758"/>
      <w:bookmarkStart w:id="165" w:name="_Toc99012606"/>
      <w:bookmarkStart w:id="166" w:name="_Toc476177441"/>
      <w:r>
        <w:rPr>
          <w:rFonts w:hint="eastAsia" w:ascii="宋体" w:hAnsi="宋体" w:cs="宋体"/>
          <w:color w:val="auto"/>
          <w:sz w:val="28"/>
          <w:szCs w:val="28"/>
          <w:highlight w:val="none"/>
        </w:rPr>
        <w:t>投标文件的澄清</w:t>
      </w:r>
      <w:bookmarkEnd w:id="158"/>
      <w:bookmarkEnd w:id="159"/>
      <w:bookmarkEnd w:id="160"/>
      <w:bookmarkEnd w:id="161"/>
      <w:bookmarkEnd w:id="162"/>
      <w:bookmarkEnd w:id="163"/>
      <w:bookmarkEnd w:id="164"/>
      <w:bookmarkEnd w:id="165"/>
      <w:bookmarkEnd w:id="166"/>
    </w:p>
    <w:p w14:paraId="4A8BED03">
      <w:pPr>
        <w:numPr>
          <w:ilvl w:val="1"/>
          <w:numId w:val="8"/>
        </w:numPr>
        <w:tabs>
          <w:tab w:val="left" w:pos="0"/>
          <w:tab w:val="left" w:pos="420"/>
          <w:tab w:val="left" w:pos="630"/>
          <w:tab w:val="left" w:pos="840"/>
          <w:tab w:val="clear" w:pos="567"/>
        </w:tabs>
        <w:spacing w:line="360" w:lineRule="auto"/>
        <w:ind w:left="0" w:firstLine="420"/>
        <w:rPr>
          <w:rFonts w:hint="eastAsia" w:ascii="宋体" w:hAnsi="宋体" w:cs="宋体"/>
          <w:color w:val="auto"/>
          <w:highlight w:val="none"/>
        </w:rPr>
      </w:pPr>
      <w:r>
        <w:rPr>
          <w:rFonts w:hint="eastAsia" w:ascii="宋体" w:hAnsi="宋体" w:cs="宋体"/>
          <w:color w:val="auto"/>
          <w:highlight w:val="none"/>
        </w:rPr>
        <w:t>除评标委员会主动要求澄清外，从开标后至授予合同期间，任何投标人均不得就与其投标相关的任何问题与评标委员会联系。</w:t>
      </w:r>
    </w:p>
    <w:p w14:paraId="5FE6402D">
      <w:pPr>
        <w:numPr>
          <w:ilvl w:val="1"/>
          <w:numId w:val="8"/>
        </w:numPr>
        <w:tabs>
          <w:tab w:val="left" w:pos="0"/>
          <w:tab w:val="left" w:pos="420"/>
          <w:tab w:val="left" w:pos="630"/>
          <w:tab w:val="left" w:pos="840"/>
          <w:tab w:val="clear" w:pos="567"/>
        </w:tabs>
        <w:spacing w:line="360" w:lineRule="auto"/>
        <w:ind w:left="0" w:firstLine="420"/>
        <w:rPr>
          <w:rFonts w:hint="eastAsia" w:ascii="宋体" w:hAnsi="宋体" w:cs="宋体"/>
          <w:color w:val="auto"/>
          <w:highlight w:val="none"/>
        </w:rPr>
      </w:pPr>
      <w:r>
        <w:rPr>
          <w:rFonts w:hint="eastAsia" w:ascii="宋体" w:hAnsi="宋体" w:cs="宋体"/>
          <w:color w:val="auto"/>
          <w:highlight w:val="none"/>
        </w:rPr>
        <w:t>为有利评标，在开标后，可随时请投标人就投标文件中某点加以澄清，澄清的内容不得对投标文件作实质性修改。以书面形式表达并加盖公章的答复经评标委员会认可后，可作为投标文件的一部分参与评标。</w:t>
      </w:r>
    </w:p>
    <w:p w14:paraId="7445BC22">
      <w:pPr>
        <w:spacing w:line="360" w:lineRule="auto"/>
        <w:rPr>
          <w:rFonts w:hint="eastAsia" w:ascii="宋体" w:hAnsi="宋体" w:cs="宋体"/>
          <w:color w:val="auto"/>
          <w:highlight w:val="none"/>
        </w:rPr>
      </w:pPr>
    </w:p>
    <w:p w14:paraId="076EFA57">
      <w:pPr>
        <w:pStyle w:val="4"/>
        <w:numPr>
          <w:ilvl w:val="0"/>
          <w:numId w:val="8"/>
        </w:numPr>
        <w:spacing w:before="120" w:after="120" w:line="360" w:lineRule="auto"/>
        <w:rPr>
          <w:rFonts w:hint="eastAsia" w:ascii="宋体" w:hAnsi="宋体" w:cs="宋体"/>
          <w:color w:val="auto"/>
          <w:sz w:val="28"/>
          <w:szCs w:val="28"/>
          <w:highlight w:val="none"/>
        </w:rPr>
      </w:pPr>
      <w:bookmarkStart w:id="167" w:name="_Toc476177442"/>
      <w:bookmarkStart w:id="168" w:name="_Toc99012607"/>
      <w:bookmarkStart w:id="169" w:name="_Toc477186340"/>
      <w:bookmarkStart w:id="170" w:name="_Toc477185979"/>
      <w:bookmarkStart w:id="171" w:name="_Toc26707_WPSOffice_Level1"/>
      <w:bookmarkStart w:id="172" w:name="_Toc13231_WPSOffice_Level1"/>
      <w:bookmarkStart w:id="173" w:name="_Toc1790"/>
      <w:bookmarkStart w:id="174" w:name="_Toc1722_WPSOffice_Level1"/>
      <w:bookmarkStart w:id="175" w:name="_Toc476178002"/>
      <w:r>
        <w:rPr>
          <w:rFonts w:hint="eastAsia" w:ascii="宋体" w:hAnsi="宋体" w:cs="宋体"/>
          <w:color w:val="auto"/>
          <w:sz w:val="28"/>
          <w:szCs w:val="28"/>
          <w:highlight w:val="none"/>
        </w:rPr>
        <w:t>评标原则和评标办法</w:t>
      </w:r>
      <w:bookmarkEnd w:id="167"/>
      <w:bookmarkEnd w:id="168"/>
      <w:bookmarkEnd w:id="169"/>
      <w:bookmarkEnd w:id="170"/>
      <w:bookmarkEnd w:id="171"/>
      <w:bookmarkEnd w:id="172"/>
      <w:bookmarkEnd w:id="173"/>
      <w:bookmarkEnd w:id="174"/>
      <w:bookmarkEnd w:id="175"/>
    </w:p>
    <w:p w14:paraId="71A76197">
      <w:pPr>
        <w:numPr>
          <w:ilvl w:val="1"/>
          <w:numId w:val="8"/>
        </w:numPr>
        <w:tabs>
          <w:tab w:val="left" w:pos="0"/>
          <w:tab w:val="left" w:pos="420"/>
          <w:tab w:val="left" w:pos="630"/>
          <w:tab w:val="left" w:pos="840"/>
          <w:tab w:val="clear" w:pos="567"/>
        </w:tabs>
        <w:spacing w:line="360" w:lineRule="auto"/>
        <w:ind w:left="0" w:firstLine="420"/>
        <w:rPr>
          <w:rFonts w:ascii="宋体" w:hAnsi="宋体"/>
          <w:color w:val="auto"/>
          <w:highlight w:val="none"/>
        </w:rPr>
      </w:pPr>
      <w:bookmarkStart w:id="176" w:name="_Toc173262603"/>
      <w:bookmarkStart w:id="177" w:name="_Toc173256012"/>
      <w:bookmarkStart w:id="178" w:name="_Toc173140973"/>
      <w:r>
        <w:rPr>
          <w:rFonts w:ascii="宋体" w:hAnsi="宋体"/>
          <w:color w:val="auto"/>
          <w:highlight w:val="none"/>
        </w:rPr>
        <w:t>评标工作应依据《中华人民共和国招标投标法》</w:t>
      </w:r>
      <w:r>
        <w:rPr>
          <w:rFonts w:hint="eastAsia" w:ascii="宋体" w:hAnsi="宋体"/>
          <w:color w:val="auto"/>
          <w:highlight w:val="none"/>
        </w:rPr>
        <w:t>《中华人民共和国招标投标法实施条例》</w:t>
      </w:r>
      <w:r>
        <w:rPr>
          <w:rFonts w:ascii="宋体" w:hAnsi="宋体"/>
          <w:color w:val="auto"/>
          <w:highlight w:val="none"/>
        </w:rPr>
        <w:t>以及《评标委员会和评标方法暂行规定》以及国家和地方政府有关招标投标法规、实施办法的有关规定，遵循“公平、公正、科学、择优”的原则进行评标。</w:t>
      </w:r>
    </w:p>
    <w:p w14:paraId="1F98BA00">
      <w:pPr>
        <w:numPr>
          <w:ilvl w:val="1"/>
          <w:numId w:val="8"/>
        </w:numPr>
        <w:tabs>
          <w:tab w:val="left" w:pos="0"/>
          <w:tab w:val="left" w:pos="420"/>
          <w:tab w:val="left" w:pos="630"/>
          <w:tab w:val="left" w:pos="840"/>
          <w:tab w:val="clear" w:pos="567"/>
        </w:tabs>
        <w:spacing w:line="360" w:lineRule="auto"/>
        <w:ind w:left="0" w:firstLine="420"/>
        <w:rPr>
          <w:rFonts w:ascii="宋体" w:hAnsi="宋体"/>
          <w:color w:val="auto"/>
          <w:highlight w:val="none"/>
        </w:rPr>
      </w:pPr>
      <w:r>
        <w:rPr>
          <w:rFonts w:ascii="宋体" w:hAnsi="宋体"/>
          <w:color w:val="auto"/>
          <w:highlight w:val="none"/>
        </w:rPr>
        <w:t>本次招标采用综合评分法，即评标委员会对各投标进行综合评价，根据评标细则的规定分别进行打分，统计得出评标结果，将评标结果写出评标报告。所有的评审资料及评分结果统计均须经评标委员会核实并签名确认。</w:t>
      </w:r>
    </w:p>
    <w:p w14:paraId="738CA16D">
      <w:pPr>
        <w:numPr>
          <w:ilvl w:val="1"/>
          <w:numId w:val="8"/>
        </w:numPr>
        <w:tabs>
          <w:tab w:val="left" w:pos="945"/>
        </w:tabs>
        <w:spacing w:line="360" w:lineRule="auto"/>
        <w:ind w:left="0" w:firstLine="525" w:firstLineChars="250"/>
        <w:rPr>
          <w:rFonts w:ascii="宋体" w:hAnsi="宋体"/>
          <w:color w:val="auto"/>
          <w:highlight w:val="none"/>
        </w:rPr>
      </w:pPr>
      <w:r>
        <w:rPr>
          <w:rFonts w:ascii="宋体" w:hAnsi="宋体"/>
          <w:color w:val="auto"/>
          <w:highlight w:val="none"/>
        </w:rPr>
        <w:t>评标委员会将按照规定只对通过初步评审的投标文件进行评价和比较。评标委员会有权根据有关规定否决所有投标。评标委员会不直接向落标方解释落标原因，不退回投标文件。</w:t>
      </w:r>
    </w:p>
    <w:p w14:paraId="7F4657A4">
      <w:pPr>
        <w:numPr>
          <w:ilvl w:val="1"/>
          <w:numId w:val="8"/>
        </w:numPr>
        <w:tabs>
          <w:tab w:val="left" w:pos="945"/>
        </w:tabs>
        <w:spacing w:line="360" w:lineRule="auto"/>
        <w:ind w:left="0" w:firstLine="525" w:firstLineChars="250"/>
        <w:rPr>
          <w:rFonts w:ascii="宋体" w:hAnsi="宋体"/>
          <w:color w:val="auto"/>
          <w:highlight w:val="none"/>
        </w:rPr>
      </w:pPr>
      <w:r>
        <w:rPr>
          <w:rFonts w:ascii="宋体" w:hAnsi="宋体"/>
          <w:color w:val="auto"/>
          <w:highlight w:val="none"/>
        </w:rPr>
        <w:t>评标方法</w:t>
      </w:r>
    </w:p>
    <w:p w14:paraId="416CA419">
      <w:pPr>
        <w:tabs>
          <w:tab w:val="left" w:pos="945"/>
        </w:tabs>
        <w:spacing w:line="360" w:lineRule="auto"/>
        <w:ind w:firstLine="525" w:firstLineChars="250"/>
        <w:rPr>
          <w:rFonts w:ascii="宋体" w:hAnsi="宋体"/>
          <w:b/>
          <w:color w:val="auto"/>
          <w:highlight w:val="none"/>
        </w:rPr>
      </w:pPr>
      <w:r>
        <w:rPr>
          <w:rFonts w:ascii="宋体" w:hAnsi="宋体"/>
          <w:color w:val="auto"/>
          <w:highlight w:val="none"/>
        </w:rPr>
        <w:t>5.4.1  本评标办法采用综合评分法。</w:t>
      </w:r>
    </w:p>
    <w:p w14:paraId="69EE7560">
      <w:pPr>
        <w:tabs>
          <w:tab w:val="left" w:pos="945"/>
        </w:tabs>
        <w:spacing w:line="360" w:lineRule="auto"/>
        <w:ind w:left="-23" w:leftChars="-11" w:firstLine="527" w:firstLineChars="250"/>
        <w:rPr>
          <w:rFonts w:hint="eastAsia" w:ascii="宋体" w:hAnsi="宋体"/>
          <w:color w:val="auto"/>
          <w:highlight w:val="none"/>
        </w:rPr>
      </w:pPr>
      <w:r>
        <w:rPr>
          <w:rFonts w:ascii="宋体" w:hAnsi="宋体"/>
          <w:b/>
          <w:bCs/>
          <w:color w:val="auto"/>
          <w:highlight w:val="none"/>
        </w:rPr>
        <w:t>5.4.2  评标步骤：先进行</w:t>
      </w:r>
      <w:r>
        <w:rPr>
          <w:rFonts w:hint="eastAsia" w:ascii="宋体" w:hAnsi="宋体"/>
          <w:b/>
          <w:bCs/>
          <w:color w:val="auto"/>
          <w:highlight w:val="none"/>
        </w:rPr>
        <w:t>资格审查及商务技术符合性审查（阶段一）</w:t>
      </w:r>
      <w:r>
        <w:rPr>
          <w:rFonts w:ascii="宋体" w:hAnsi="宋体"/>
          <w:b/>
          <w:bCs/>
          <w:color w:val="auto"/>
          <w:highlight w:val="none"/>
        </w:rPr>
        <w:t>评审(见附表1)，再进行技术商务的详细评审。只有通过</w:t>
      </w:r>
      <w:r>
        <w:rPr>
          <w:rFonts w:hint="eastAsia" w:ascii="宋体" w:hAnsi="宋体"/>
          <w:b/>
          <w:bCs/>
          <w:color w:val="auto"/>
          <w:highlight w:val="none"/>
        </w:rPr>
        <w:t>资格审查及商务技术符合性审查</w:t>
      </w:r>
      <w:r>
        <w:rPr>
          <w:rFonts w:ascii="宋体" w:hAnsi="宋体"/>
          <w:b/>
          <w:bCs/>
          <w:color w:val="auto"/>
          <w:highlight w:val="none"/>
        </w:rPr>
        <w:t>的投标才能进入</w:t>
      </w:r>
      <w:r>
        <w:rPr>
          <w:rFonts w:hint="eastAsia" w:ascii="宋体" w:hAnsi="宋体"/>
          <w:b/>
          <w:bCs/>
          <w:color w:val="auto"/>
          <w:highlight w:val="none"/>
        </w:rPr>
        <w:t>商务和技术的</w:t>
      </w:r>
      <w:r>
        <w:rPr>
          <w:rFonts w:ascii="宋体" w:hAnsi="宋体"/>
          <w:b/>
          <w:bCs/>
          <w:color w:val="auto"/>
          <w:highlight w:val="none"/>
        </w:rPr>
        <w:t>详细评审。</w:t>
      </w:r>
    </w:p>
    <w:p w14:paraId="52488FE4">
      <w:pPr>
        <w:tabs>
          <w:tab w:val="left" w:pos="945"/>
        </w:tabs>
        <w:spacing w:line="360" w:lineRule="auto"/>
        <w:ind w:left="-23" w:leftChars="-11" w:firstLine="527" w:firstLineChars="250"/>
        <w:rPr>
          <w:rFonts w:ascii="宋体" w:hAnsi="宋体"/>
          <w:color w:val="auto"/>
          <w:highlight w:val="none"/>
        </w:rPr>
      </w:pPr>
      <w:r>
        <w:rPr>
          <w:rFonts w:ascii="宋体" w:hAnsi="宋体"/>
          <w:b/>
          <w:bCs/>
          <w:color w:val="auto"/>
          <w:highlight w:val="none"/>
        </w:rPr>
        <w:t xml:space="preserve">5.4.3  </w:t>
      </w:r>
      <w:r>
        <w:rPr>
          <w:rFonts w:hint="eastAsia" w:ascii="宋体" w:hAnsi="宋体"/>
          <w:b/>
          <w:bCs/>
          <w:color w:val="auto"/>
          <w:highlight w:val="none"/>
        </w:rPr>
        <w:t>若通过资格审查及商务技术符合性审查（阶段一）的投标人不足三家，则本项目招标失败。</w:t>
      </w:r>
    </w:p>
    <w:p w14:paraId="45A252C6">
      <w:pPr>
        <w:tabs>
          <w:tab w:val="left" w:pos="945"/>
        </w:tabs>
        <w:spacing w:line="360" w:lineRule="auto"/>
        <w:ind w:left="-23" w:leftChars="-11" w:firstLine="525" w:firstLineChars="250"/>
        <w:rPr>
          <w:rFonts w:hint="eastAsia" w:ascii="宋体" w:hAnsi="宋体"/>
          <w:color w:val="auto"/>
          <w:highlight w:val="none"/>
        </w:rPr>
      </w:pPr>
      <w:r>
        <w:rPr>
          <w:rFonts w:hint="eastAsia" w:ascii="宋体" w:hAnsi="宋体"/>
          <w:color w:val="auto"/>
          <w:highlight w:val="none"/>
        </w:rPr>
        <w:t>5.4.4  商务和技术的</w:t>
      </w:r>
      <w:r>
        <w:rPr>
          <w:rFonts w:ascii="宋体" w:hAnsi="宋体"/>
          <w:color w:val="auto"/>
          <w:highlight w:val="none"/>
        </w:rPr>
        <w:t>评分及其统计：按照评标程序、评分标准以及权重分配的规定，评标委员会各成员分别首先就各个投标人的技术</w:t>
      </w:r>
      <w:r>
        <w:rPr>
          <w:rFonts w:hint="eastAsia" w:ascii="宋体" w:hAnsi="宋体"/>
          <w:color w:val="auto"/>
          <w:highlight w:val="none"/>
        </w:rPr>
        <w:t>、</w:t>
      </w:r>
      <w:r>
        <w:rPr>
          <w:rFonts w:ascii="宋体" w:hAnsi="宋体"/>
          <w:color w:val="auto"/>
          <w:highlight w:val="none"/>
        </w:rPr>
        <w:t>商务状况及其对招标文件要求的响应情况进行评议和比较，评出其技术评分和商务评分</w:t>
      </w:r>
      <w:r>
        <w:rPr>
          <w:rFonts w:hint="eastAsia" w:ascii="宋体" w:hAnsi="宋体"/>
          <w:color w:val="auto"/>
          <w:highlight w:val="none"/>
        </w:rPr>
        <w:t>。</w:t>
      </w:r>
    </w:p>
    <w:p w14:paraId="4ABA8506">
      <w:pPr>
        <w:tabs>
          <w:tab w:val="left" w:pos="945"/>
        </w:tabs>
        <w:spacing w:line="360" w:lineRule="auto"/>
        <w:ind w:left="-23" w:leftChars="-11" w:firstLine="525" w:firstLineChars="250"/>
        <w:rPr>
          <w:rFonts w:hint="eastAsia" w:ascii="宋体" w:hAnsi="宋体"/>
          <w:color w:val="auto"/>
          <w:highlight w:val="none"/>
        </w:rPr>
      </w:pPr>
      <w:r>
        <w:rPr>
          <w:rFonts w:ascii="宋体" w:hAnsi="宋体"/>
          <w:color w:val="auto"/>
          <w:highlight w:val="none"/>
        </w:rPr>
        <w:t>5.4.</w:t>
      </w:r>
      <w:r>
        <w:rPr>
          <w:rFonts w:hint="eastAsia" w:ascii="宋体" w:hAnsi="宋体"/>
          <w:color w:val="auto"/>
          <w:highlight w:val="none"/>
        </w:rPr>
        <w:t>5</w:t>
      </w:r>
      <w:r>
        <w:rPr>
          <w:rFonts w:ascii="宋体" w:hAnsi="宋体"/>
          <w:color w:val="auto"/>
          <w:highlight w:val="none"/>
        </w:rPr>
        <w:t xml:space="preserve">  技术评分</w:t>
      </w:r>
      <w:r>
        <w:rPr>
          <w:rFonts w:hint="eastAsia" w:ascii="宋体" w:hAnsi="宋体"/>
          <w:color w:val="auto"/>
          <w:highlight w:val="none"/>
        </w:rPr>
        <w:t>：</w:t>
      </w:r>
      <w:r>
        <w:rPr>
          <w:rFonts w:ascii="宋体" w:hAnsi="宋体"/>
          <w:color w:val="auto"/>
          <w:highlight w:val="none"/>
        </w:rPr>
        <w:t>汇集每一位评委的评分，进行算术平均，得出该投标人的</w:t>
      </w:r>
      <w:r>
        <w:rPr>
          <w:rFonts w:hint="eastAsia" w:ascii="宋体" w:hAnsi="宋体"/>
          <w:color w:val="auto"/>
          <w:highlight w:val="none"/>
        </w:rPr>
        <w:t>技术</w:t>
      </w:r>
      <w:r>
        <w:rPr>
          <w:rFonts w:ascii="宋体" w:hAnsi="宋体"/>
          <w:color w:val="auto"/>
          <w:highlight w:val="none"/>
        </w:rPr>
        <w:t>得分</w:t>
      </w:r>
      <w:r>
        <w:rPr>
          <w:rFonts w:hint="eastAsia" w:ascii="宋体" w:hAnsi="宋体"/>
          <w:color w:val="auto"/>
          <w:highlight w:val="none"/>
        </w:rPr>
        <w:t>（四舍五入，取小数点后两位）。</w:t>
      </w:r>
    </w:p>
    <w:p w14:paraId="35358D09">
      <w:pPr>
        <w:tabs>
          <w:tab w:val="left" w:pos="945"/>
        </w:tabs>
        <w:spacing w:line="360" w:lineRule="auto"/>
        <w:ind w:left="-23" w:leftChars="-11" w:firstLine="525" w:firstLineChars="250"/>
        <w:rPr>
          <w:rFonts w:hint="eastAsia" w:ascii="宋体" w:hAnsi="宋体"/>
          <w:color w:val="auto"/>
          <w:highlight w:val="none"/>
        </w:rPr>
      </w:pPr>
      <w:r>
        <w:rPr>
          <w:rFonts w:ascii="宋体" w:hAnsi="宋体"/>
          <w:color w:val="auto"/>
          <w:highlight w:val="none"/>
        </w:rPr>
        <w:t>5.4.</w:t>
      </w:r>
      <w:r>
        <w:rPr>
          <w:rFonts w:hint="eastAsia" w:ascii="宋体" w:hAnsi="宋体"/>
          <w:color w:val="auto"/>
          <w:highlight w:val="none"/>
        </w:rPr>
        <w:t>6</w:t>
      </w:r>
      <w:r>
        <w:rPr>
          <w:rFonts w:ascii="宋体" w:hAnsi="宋体"/>
          <w:color w:val="auto"/>
          <w:highlight w:val="none"/>
        </w:rPr>
        <w:t xml:space="preserve">  商务评分</w:t>
      </w:r>
      <w:r>
        <w:rPr>
          <w:rFonts w:hint="eastAsia" w:ascii="宋体" w:hAnsi="宋体"/>
          <w:color w:val="auto"/>
          <w:highlight w:val="none"/>
        </w:rPr>
        <w:t>：</w:t>
      </w:r>
      <w:r>
        <w:rPr>
          <w:rFonts w:ascii="宋体" w:hAnsi="宋体"/>
          <w:color w:val="auto"/>
          <w:highlight w:val="none"/>
        </w:rPr>
        <w:t>汇集每一位评委的评分，进行算术平均，得出该投标人的</w:t>
      </w:r>
      <w:r>
        <w:rPr>
          <w:rFonts w:hint="eastAsia" w:ascii="宋体" w:hAnsi="宋体"/>
          <w:color w:val="auto"/>
          <w:highlight w:val="none"/>
        </w:rPr>
        <w:t>商务</w:t>
      </w:r>
      <w:r>
        <w:rPr>
          <w:rFonts w:ascii="宋体" w:hAnsi="宋体"/>
          <w:color w:val="auto"/>
          <w:highlight w:val="none"/>
        </w:rPr>
        <w:t>得分</w:t>
      </w:r>
      <w:r>
        <w:rPr>
          <w:rFonts w:hint="eastAsia" w:ascii="宋体" w:hAnsi="宋体"/>
          <w:color w:val="auto"/>
          <w:highlight w:val="none"/>
        </w:rPr>
        <w:t>（四舍五入，取小数点后两位）</w:t>
      </w:r>
    </w:p>
    <w:p w14:paraId="7F56D745">
      <w:pPr>
        <w:tabs>
          <w:tab w:val="left" w:pos="945"/>
        </w:tabs>
        <w:spacing w:line="360" w:lineRule="auto"/>
        <w:ind w:left="-23" w:leftChars="-11" w:firstLine="527" w:firstLineChars="250"/>
        <w:rPr>
          <w:rFonts w:hint="eastAsia" w:ascii="宋体" w:hAnsi="宋体"/>
          <w:b/>
          <w:bCs/>
          <w:color w:val="auto"/>
          <w:highlight w:val="none"/>
        </w:rPr>
      </w:pPr>
      <w:r>
        <w:rPr>
          <w:rFonts w:ascii="宋体" w:hAnsi="宋体"/>
          <w:b/>
          <w:bCs/>
          <w:color w:val="auto"/>
          <w:highlight w:val="none"/>
        </w:rPr>
        <w:t>5.4.</w:t>
      </w:r>
      <w:r>
        <w:rPr>
          <w:rFonts w:hint="eastAsia" w:ascii="宋体" w:hAnsi="宋体"/>
          <w:b/>
          <w:bCs/>
          <w:color w:val="auto"/>
          <w:highlight w:val="none"/>
        </w:rPr>
        <w:t>7</w:t>
      </w:r>
      <w:r>
        <w:rPr>
          <w:rFonts w:ascii="宋体" w:hAnsi="宋体"/>
          <w:b/>
          <w:bCs/>
          <w:color w:val="auto"/>
          <w:highlight w:val="none"/>
        </w:rPr>
        <w:t xml:space="preserve">  </w:t>
      </w:r>
      <w:r>
        <w:rPr>
          <w:rFonts w:hint="eastAsia" w:ascii="宋体" w:hAnsi="宋体"/>
          <w:b/>
          <w:bCs/>
          <w:color w:val="auto"/>
          <w:highlight w:val="none"/>
        </w:rPr>
        <w:t>评标委员会汇总整理所有投标人的商务得分及技术得分后，然后对投标人进行价格符合性审查（阶段二）</w:t>
      </w:r>
      <w:r>
        <w:rPr>
          <w:rFonts w:ascii="宋体" w:hAnsi="宋体"/>
          <w:b/>
          <w:bCs/>
          <w:color w:val="auto"/>
          <w:highlight w:val="none"/>
        </w:rPr>
        <w:t>(见附表</w:t>
      </w:r>
      <w:r>
        <w:rPr>
          <w:rFonts w:hint="eastAsia" w:ascii="宋体" w:hAnsi="宋体"/>
          <w:b/>
          <w:bCs/>
          <w:color w:val="auto"/>
          <w:highlight w:val="none"/>
        </w:rPr>
        <w:t>4），</w:t>
      </w:r>
      <w:r>
        <w:rPr>
          <w:rFonts w:ascii="宋体" w:hAnsi="宋体"/>
          <w:b/>
          <w:bCs/>
          <w:color w:val="auto"/>
          <w:highlight w:val="none"/>
        </w:rPr>
        <w:t>再进行</w:t>
      </w:r>
      <w:r>
        <w:rPr>
          <w:rFonts w:hint="eastAsia" w:ascii="宋体" w:hAnsi="宋体"/>
          <w:b/>
          <w:bCs/>
          <w:color w:val="auto"/>
          <w:highlight w:val="none"/>
        </w:rPr>
        <w:t>价格</w:t>
      </w:r>
      <w:r>
        <w:rPr>
          <w:rFonts w:ascii="宋体" w:hAnsi="宋体"/>
          <w:b/>
          <w:bCs/>
          <w:color w:val="auto"/>
          <w:highlight w:val="none"/>
        </w:rPr>
        <w:t>的详细评审。只有通过</w:t>
      </w:r>
      <w:r>
        <w:rPr>
          <w:rFonts w:hint="eastAsia" w:ascii="宋体" w:hAnsi="宋体"/>
          <w:b/>
          <w:bCs/>
          <w:color w:val="auto"/>
          <w:highlight w:val="none"/>
        </w:rPr>
        <w:t>价格符合性审查</w:t>
      </w:r>
      <w:r>
        <w:rPr>
          <w:rFonts w:ascii="宋体" w:hAnsi="宋体"/>
          <w:b/>
          <w:bCs/>
          <w:color w:val="auto"/>
          <w:highlight w:val="none"/>
        </w:rPr>
        <w:t>的投标才能进入</w:t>
      </w:r>
      <w:r>
        <w:rPr>
          <w:rFonts w:hint="eastAsia" w:ascii="宋体" w:hAnsi="宋体"/>
          <w:b/>
          <w:bCs/>
          <w:color w:val="auto"/>
          <w:highlight w:val="none"/>
        </w:rPr>
        <w:t>价格的</w:t>
      </w:r>
      <w:r>
        <w:rPr>
          <w:rFonts w:ascii="宋体" w:hAnsi="宋体"/>
          <w:b/>
          <w:bCs/>
          <w:color w:val="auto"/>
          <w:highlight w:val="none"/>
        </w:rPr>
        <w:t>详细评审</w:t>
      </w:r>
      <w:r>
        <w:rPr>
          <w:rFonts w:hint="eastAsia" w:ascii="宋体" w:hAnsi="宋体"/>
          <w:b/>
          <w:bCs/>
          <w:color w:val="auto"/>
          <w:highlight w:val="none"/>
        </w:rPr>
        <w:t>。</w:t>
      </w:r>
    </w:p>
    <w:p w14:paraId="3A6DC66C">
      <w:pPr>
        <w:tabs>
          <w:tab w:val="left" w:pos="945"/>
        </w:tabs>
        <w:spacing w:line="360" w:lineRule="auto"/>
        <w:ind w:left="-23" w:leftChars="-11" w:firstLine="527" w:firstLineChars="250"/>
        <w:rPr>
          <w:rFonts w:ascii="宋体" w:hAnsi="宋体"/>
          <w:b/>
          <w:bCs/>
          <w:color w:val="auto"/>
          <w:highlight w:val="none"/>
        </w:rPr>
      </w:pPr>
      <w:r>
        <w:rPr>
          <w:rFonts w:hint="eastAsia" w:ascii="宋体" w:hAnsi="宋体"/>
          <w:b/>
          <w:bCs/>
          <w:color w:val="auto"/>
          <w:highlight w:val="none"/>
        </w:rPr>
        <w:t>5.4.8  若投标人出现商务</w:t>
      </w:r>
      <w:r>
        <w:rPr>
          <w:rFonts w:hint="eastAsia" w:ascii="宋体" w:hAnsi="宋体"/>
          <w:b/>
          <w:bCs/>
          <w:color w:val="auto"/>
          <w:highlight w:val="none"/>
          <w:lang w:val="en-US" w:eastAsia="zh-CN"/>
        </w:rPr>
        <w:t>得分</w:t>
      </w:r>
      <w:r>
        <w:rPr>
          <w:rFonts w:hint="eastAsia" w:ascii="宋体" w:hAnsi="宋体"/>
          <w:b/>
          <w:bCs/>
          <w:color w:val="auto"/>
          <w:highlight w:val="none"/>
        </w:rPr>
        <w:t>低于商务</w:t>
      </w:r>
      <w:r>
        <w:rPr>
          <w:rFonts w:hint="eastAsia" w:ascii="宋体" w:hAnsi="宋体"/>
          <w:b/>
          <w:bCs/>
          <w:color w:val="auto"/>
          <w:highlight w:val="none"/>
          <w:lang w:val="en-US" w:eastAsia="zh-CN"/>
        </w:rPr>
        <w:t>分值</w:t>
      </w:r>
      <w:r>
        <w:rPr>
          <w:rFonts w:hint="eastAsia" w:ascii="宋体" w:hAnsi="宋体"/>
          <w:b/>
          <w:bCs/>
          <w:color w:val="auto"/>
          <w:highlight w:val="none"/>
        </w:rPr>
        <w:t>的60%，评标委员会将否决该投标人的所有投标文件，该投标人也不再进入价格详细评审环节。</w:t>
      </w:r>
    </w:p>
    <w:p w14:paraId="04337256">
      <w:pPr>
        <w:tabs>
          <w:tab w:val="left" w:pos="945"/>
        </w:tabs>
        <w:spacing w:line="360" w:lineRule="auto"/>
        <w:ind w:left="-23" w:leftChars="-11" w:firstLine="527" w:firstLineChars="250"/>
        <w:rPr>
          <w:rFonts w:ascii="宋体" w:hAnsi="宋体"/>
          <w:color w:val="auto"/>
          <w:highlight w:val="none"/>
        </w:rPr>
      </w:pPr>
      <w:r>
        <w:rPr>
          <w:rFonts w:hint="eastAsia" w:ascii="宋体" w:hAnsi="宋体"/>
          <w:b/>
          <w:bCs/>
          <w:color w:val="auto"/>
          <w:highlight w:val="none"/>
        </w:rPr>
        <w:t>5.4.9  若通过价格符合性审查（阶段二）的投标人不足三家，则本项目招标失败。</w:t>
      </w:r>
    </w:p>
    <w:p w14:paraId="501F7D70">
      <w:pPr>
        <w:tabs>
          <w:tab w:val="left" w:pos="945"/>
        </w:tabs>
        <w:spacing w:line="360" w:lineRule="auto"/>
        <w:ind w:left="-23" w:leftChars="-11" w:firstLine="525" w:firstLineChars="250"/>
        <w:rPr>
          <w:rFonts w:hint="eastAsia" w:ascii="宋体" w:hAnsi="宋体"/>
          <w:color w:val="auto"/>
          <w:highlight w:val="none"/>
        </w:rPr>
      </w:pPr>
      <w:r>
        <w:rPr>
          <w:rFonts w:hint="eastAsia" w:ascii="宋体" w:hAnsi="宋体"/>
          <w:color w:val="auto"/>
          <w:highlight w:val="none"/>
        </w:rPr>
        <w:t>5.4.10  价格</w:t>
      </w:r>
      <w:r>
        <w:rPr>
          <w:rFonts w:ascii="宋体" w:hAnsi="宋体"/>
          <w:color w:val="auto"/>
          <w:highlight w:val="none"/>
        </w:rPr>
        <w:t>评分</w:t>
      </w:r>
      <w:r>
        <w:rPr>
          <w:rFonts w:hint="eastAsia" w:ascii="宋体" w:hAnsi="宋体"/>
          <w:color w:val="auto"/>
          <w:highlight w:val="none"/>
        </w:rPr>
        <w:t>的评分及统计：</w:t>
      </w:r>
      <w:r>
        <w:rPr>
          <w:rFonts w:ascii="宋体" w:hAnsi="宋体"/>
          <w:color w:val="auto"/>
          <w:highlight w:val="none"/>
        </w:rPr>
        <w:t>按照评标程序、评分标准以及权重分配的规定，评标委员就各个投标人的</w:t>
      </w:r>
      <w:r>
        <w:rPr>
          <w:rFonts w:hint="eastAsia" w:ascii="宋体" w:hAnsi="宋体"/>
          <w:color w:val="auto"/>
          <w:highlight w:val="none"/>
        </w:rPr>
        <w:t>价格</w:t>
      </w:r>
      <w:r>
        <w:rPr>
          <w:rFonts w:ascii="宋体" w:hAnsi="宋体"/>
          <w:color w:val="auto"/>
          <w:highlight w:val="none"/>
        </w:rPr>
        <w:t>状况及其对招标文件要求的响应情况进行评议和比较，评出其</w:t>
      </w:r>
      <w:r>
        <w:rPr>
          <w:rFonts w:hint="eastAsia" w:ascii="宋体" w:hAnsi="宋体"/>
          <w:color w:val="auto"/>
          <w:highlight w:val="none"/>
        </w:rPr>
        <w:t>价格</w:t>
      </w:r>
      <w:r>
        <w:rPr>
          <w:rFonts w:ascii="宋体" w:hAnsi="宋体"/>
          <w:color w:val="auto"/>
          <w:highlight w:val="none"/>
        </w:rPr>
        <w:t>评分</w:t>
      </w:r>
      <w:r>
        <w:rPr>
          <w:rFonts w:hint="eastAsia" w:ascii="宋体" w:hAnsi="宋体"/>
          <w:bCs/>
          <w:color w:val="auto"/>
          <w:highlight w:val="none"/>
        </w:rPr>
        <w:t>。</w:t>
      </w:r>
    </w:p>
    <w:p w14:paraId="3EFE87A0">
      <w:pPr>
        <w:tabs>
          <w:tab w:val="left" w:pos="945"/>
        </w:tabs>
        <w:spacing w:line="360" w:lineRule="auto"/>
        <w:ind w:left="-23" w:leftChars="-11" w:firstLine="525" w:firstLineChars="250"/>
        <w:rPr>
          <w:rFonts w:ascii="宋体" w:hAnsi="宋体"/>
          <w:color w:val="auto"/>
          <w:highlight w:val="none"/>
        </w:rPr>
      </w:pPr>
      <w:r>
        <w:rPr>
          <w:rFonts w:ascii="宋体" w:hAnsi="宋体"/>
          <w:color w:val="auto"/>
          <w:highlight w:val="none"/>
        </w:rPr>
        <w:t>5.4.</w:t>
      </w:r>
      <w:r>
        <w:rPr>
          <w:rFonts w:hint="eastAsia" w:ascii="宋体" w:hAnsi="宋体"/>
          <w:color w:val="auto"/>
          <w:highlight w:val="none"/>
        </w:rPr>
        <w:t>11</w:t>
      </w:r>
      <w:r>
        <w:rPr>
          <w:rFonts w:ascii="宋体" w:hAnsi="宋体"/>
          <w:color w:val="auto"/>
          <w:highlight w:val="none"/>
        </w:rPr>
        <w:t xml:space="preserve">  </w:t>
      </w:r>
      <w:r>
        <w:rPr>
          <w:rFonts w:hint="eastAsia" w:ascii="宋体" w:hAnsi="宋体"/>
          <w:color w:val="auto"/>
          <w:highlight w:val="none"/>
        </w:rPr>
        <w:t>评标委员会</w:t>
      </w:r>
      <w:r>
        <w:rPr>
          <w:rFonts w:ascii="宋体" w:hAnsi="宋体"/>
          <w:color w:val="auto"/>
          <w:highlight w:val="none"/>
        </w:rPr>
        <w:t>将各投标人的技术评分</w:t>
      </w:r>
      <w:r>
        <w:rPr>
          <w:rFonts w:hint="eastAsia" w:ascii="宋体" w:hAnsi="宋体"/>
          <w:color w:val="auto"/>
          <w:highlight w:val="none"/>
        </w:rPr>
        <w:t>、</w:t>
      </w:r>
      <w:r>
        <w:rPr>
          <w:rFonts w:ascii="宋体" w:hAnsi="宋体"/>
          <w:color w:val="auto"/>
          <w:highlight w:val="none"/>
        </w:rPr>
        <w:t>商务评分和价格评分相加得出其综合得分。将各综合得分由高到低顺序排列，</w:t>
      </w:r>
      <w:r>
        <w:rPr>
          <w:rFonts w:hint="eastAsia" w:ascii="宋体" w:hAnsi="宋体"/>
          <w:color w:val="auto"/>
          <w:highlight w:val="none"/>
        </w:rPr>
        <w:t>推荐中标候选人</w:t>
      </w:r>
      <w:r>
        <w:rPr>
          <w:rFonts w:ascii="宋体" w:hAnsi="宋体"/>
          <w:color w:val="auto"/>
          <w:highlight w:val="none"/>
        </w:rPr>
        <w:t>。</w:t>
      </w:r>
    </w:p>
    <w:p w14:paraId="375C71A8">
      <w:pPr>
        <w:tabs>
          <w:tab w:val="left" w:pos="945"/>
        </w:tabs>
        <w:spacing w:before="124" w:beforeLines="40" w:after="124" w:afterLines="40" w:line="360" w:lineRule="auto"/>
        <w:ind w:firstLine="525" w:firstLineChars="250"/>
        <w:rPr>
          <w:rFonts w:ascii="宋体" w:hAnsi="宋体"/>
          <w:color w:val="auto"/>
          <w:highlight w:val="none"/>
        </w:rPr>
      </w:pPr>
      <w:r>
        <w:rPr>
          <w:rFonts w:ascii="宋体" w:hAnsi="宋体"/>
          <w:color w:val="auto"/>
          <w:highlight w:val="none"/>
        </w:rPr>
        <w:t>5.5.</w:t>
      </w:r>
      <w:bookmarkStart w:id="179" w:name="_Toc99012608"/>
      <w:r>
        <w:rPr>
          <w:rFonts w:ascii="宋体" w:hAnsi="宋体"/>
          <w:color w:val="auto"/>
          <w:szCs w:val="28"/>
          <w:highlight w:val="none"/>
        </w:rPr>
        <w:t xml:space="preserve"> 评标流程</w:t>
      </w:r>
      <w:bookmarkEnd w:id="179"/>
    </w:p>
    <w:p w14:paraId="14FBC324">
      <w:pPr>
        <w:tabs>
          <w:tab w:val="left" w:pos="945"/>
        </w:tabs>
        <w:spacing w:before="120" w:after="120" w:line="360" w:lineRule="auto"/>
        <w:ind w:firstLine="525" w:firstLineChars="250"/>
        <w:rPr>
          <w:rFonts w:ascii="宋体" w:hAnsi="宋体"/>
          <w:color w:val="auto"/>
          <w:highlight w:val="none"/>
        </w:rPr>
      </w:pPr>
      <w:bookmarkStart w:id="180" w:name="_Toc3202_WPSOffice_Level1"/>
      <w:bookmarkStart w:id="181" w:name="_Toc10564_WPSOffice_Level1"/>
      <w:bookmarkStart w:id="182" w:name="_Toc10388_WPSOffice_Level1"/>
      <w:r>
        <w:rPr>
          <w:rFonts w:ascii="宋体" w:hAnsi="宋体"/>
          <w:color w:val="auto"/>
          <w:highlight w:val="none"/>
        </w:rPr>
        <w:t>5.5.1初步评审</w:t>
      </w:r>
      <w:bookmarkEnd w:id="180"/>
      <w:bookmarkEnd w:id="181"/>
      <w:bookmarkEnd w:id="182"/>
    </w:p>
    <w:p w14:paraId="173908AF">
      <w:pPr>
        <w:tabs>
          <w:tab w:val="left" w:pos="945"/>
        </w:tabs>
        <w:spacing w:line="360" w:lineRule="auto"/>
        <w:ind w:left="-23" w:leftChars="-11" w:firstLine="527" w:firstLineChars="250"/>
        <w:rPr>
          <w:rFonts w:ascii="宋体" w:hAnsi="宋体"/>
          <w:b/>
          <w:bCs/>
          <w:color w:val="auto"/>
          <w:highlight w:val="none"/>
        </w:rPr>
      </w:pPr>
      <w:r>
        <w:rPr>
          <w:rFonts w:ascii="宋体" w:hAnsi="宋体"/>
          <w:b/>
          <w:bCs/>
          <w:color w:val="auto"/>
          <w:highlight w:val="none"/>
        </w:rPr>
        <w:t>a.评标委员会按照</w:t>
      </w:r>
      <w:r>
        <w:rPr>
          <w:rFonts w:hint="eastAsia" w:ascii="宋体" w:hAnsi="宋体"/>
          <w:b/>
          <w:bCs/>
          <w:color w:val="auto"/>
          <w:highlight w:val="none"/>
        </w:rPr>
        <w:t>资格审查及商务技术符合性审查（阶段一）及价格符合性审查（阶段二）的</w:t>
      </w:r>
      <w:r>
        <w:rPr>
          <w:rFonts w:ascii="宋体" w:hAnsi="宋体"/>
          <w:b/>
          <w:bCs/>
          <w:color w:val="auto"/>
          <w:highlight w:val="none"/>
        </w:rPr>
        <w:t>内容</w:t>
      </w:r>
      <w:r>
        <w:rPr>
          <w:rFonts w:hint="eastAsia" w:ascii="宋体" w:hAnsi="宋体"/>
          <w:b/>
          <w:bCs/>
          <w:color w:val="auto"/>
          <w:highlight w:val="none"/>
        </w:rPr>
        <w:t>按评标方法</w:t>
      </w:r>
      <w:r>
        <w:rPr>
          <w:rFonts w:ascii="宋体" w:hAnsi="宋体"/>
          <w:b/>
          <w:bCs/>
          <w:color w:val="auto"/>
          <w:highlight w:val="none"/>
        </w:rPr>
        <w:t>对投标文件进行检查，</w:t>
      </w:r>
      <w:r>
        <w:rPr>
          <w:rFonts w:hint="eastAsia" w:ascii="宋体" w:hAnsi="宋体"/>
          <w:b/>
          <w:bCs/>
          <w:color w:val="auto"/>
          <w:highlight w:val="none"/>
        </w:rPr>
        <w:t>通过资格审查及商务技术符合性审查（阶段一）</w:t>
      </w:r>
      <w:r>
        <w:rPr>
          <w:rFonts w:ascii="宋体" w:hAnsi="宋体"/>
          <w:b/>
          <w:bCs/>
          <w:color w:val="auto"/>
          <w:highlight w:val="none"/>
        </w:rPr>
        <w:t>所列各项作出实质性响应的投标文件才能</w:t>
      </w:r>
      <w:r>
        <w:rPr>
          <w:rFonts w:hint="eastAsia" w:ascii="宋体" w:hAnsi="宋体"/>
          <w:b/>
          <w:bCs/>
          <w:color w:val="auto"/>
          <w:highlight w:val="none"/>
        </w:rPr>
        <w:t>进入到商务、技术的详细评审当中；通过价格符合性审查（阶段二）</w:t>
      </w:r>
      <w:r>
        <w:rPr>
          <w:rFonts w:ascii="宋体" w:hAnsi="宋体"/>
          <w:b/>
          <w:bCs/>
          <w:color w:val="auto"/>
          <w:highlight w:val="none"/>
        </w:rPr>
        <w:t>所列各项作出实质性响应的投标文件才能</w:t>
      </w:r>
      <w:r>
        <w:rPr>
          <w:rFonts w:hint="eastAsia" w:ascii="宋体" w:hAnsi="宋体"/>
          <w:b/>
          <w:bCs/>
          <w:color w:val="auto"/>
          <w:highlight w:val="none"/>
        </w:rPr>
        <w:t>进入到价格的详细评审当中</w:t>
      </w:r>
      <w:r>
        <w:rPr>
          <w:rFonts w:ascii="宋体" w:hAnsi="宋体"/>
          <w:b/>
          <w:bCs/>
          <w:color w:val="auto"/>
          <w:highlight w:val="none"/>
        </w:rPr>
        <w:t>。</w:t>
      </w:r>
    </w:p>
    <w:p w14:paraId="344671DA">
      <w:pPr>
        <w:tabs>
          <w:tab w:val="left" w:pos="945"/>
        </w:tabs>
        <w:spacing w:line="360" w:lineRule="auto"/>
        <w:ind w:left="-23" w:leftChars="-11" w:firstLine="525" w:firstLineChars="250"/>
        <w:rPr>
          <w:color w:val="auto"/>
          <w:highlight w:val="none"/>
        </w:rPr>
      </w:pPr>
      <w:r>
        <w:rPr>
          <w:rFonts w:ascii="宋体" w:hAnsi="宋体"/>
          <w:color w:val="auto"/>
          <w:highlight w:val="none"/>
        </w:rPr>
        <w:t>注：如出现无效投标的争议时，各评委</w:t>
      </w:r>
      <w:r>
        <w:rPr>
          <w:rFonts w:hint="eastAsia" w:ascii="宋体" w:hAnsi="宋体"/>
          <w:color w:val="auto"/>
          <w:highlight w:val="none"/>
        </w:rPr>
        <w:t>按规定</w:t>
      </w:r>
      <w:r>
        <w:rPr>
          <w:rFonts w:ascii="宋体" w:hAnsi="宋体"/>
          <w:color w:val="auto"/>
          <w:highlight w:val="none"/>
        </w:rPr>
        <w:t>以少数服从多数的原则通过记名投票书面确认是否为无效投标。</w:t>
      </w:r>
    </w:p>
    <w:p w14:paraId="0249B411">
      <w:pPr>
        <w:tabs>
          <w:tab w:val="left" w:pos="945"/>
        </w:tabs>
        <w:spacing w:line="360" w:lineRule="auto"/>
        <w:ind w:firstLine="525" w:firstLineChars="250"/>
        <w:rPr>
          <w:rFonts w:ascii="宋体" w:hAnsi="宋体"/>
          <w:color w:val="auto"/>
          <w:highlight w:val="none"/>
        </w:rPr>
      </w:pPr>
      <w:r>
        <w:rPr>
          <w:rFonts w:ascii="宋体" w:hAnsi="宋体"/>
          <w:color w:val="auto"/>
          <w:highlight w:val="none"/>
        </w:rPr>
        <w:t>b.评标委员会将审查投标文件是否完整、有关资格证明文件是否有效、是否提交投标保证金、文件签署是否合格、投标有效期是否满足要求、投标文件的总体编排是否基本有序等。</w:t>
      </w:r>
    </w:p>
    <w:p w14:paraId="2AD0E0FD">
      <w:pPr>
        <w:tabs>
          <w:tab w:val="left" w:pos="945"/>
        </w:tabs>
        <w:spacing w:line="360" w:lineRule="auto"/>
        <w:ind w:firstLine="525" w:firstLineChars="250"/>
        <w:rPr>
          <w:rFonts w:ascii="宋体" w:hAnsi="宋体"/>
          <w:color w:val="auto"/>
          <w:highlight w:val="none"/>
        </w:rPr>
      </w:pPr>
      <w:r>
        <w:rPr>
          <w:rFonts w:ascii="宋体" w:hAnsi="宋体"/>
          <w:color w:val="auto"/>
          <w:highlight w:val="none"/>
        </w:rPr>
        <w:t>c.在详细评审之前，评标委员会要审查每份投标文件是否实质上响应了招标文件的要求。实质上响应的投标应该是与招标文件要求的全部条款、条件和规格相符合，没有重大偏离或保留的投标。所谓重大偏离或保留是指实质上影响合同</w:t>
      </w:r>
      <w:r>
        <w:rPr>
          <w:rFonts w:hint="eastAsia"/>
          <w:lang w:val="en-US" w:eastAsia="zh-CN"/>
        </w:rPr>
        <w:t>的服务要求事项、服务质量</w:t>
      </w:r>
      <w:r>
        <w:rPr>
          <w:rFonts w:ascii="宋体" w:hAnsi="宋体"/>
          <w:color w:val="auto"/>
          <w:highlight w:val="none"/>
        </w:rPr>
        <w:t>；或者实质上与招标文件不一致，而且限制了合同中招标人的权利或投标人的义务；纠正这些偏离或保留将会对其它实质上响应要求的投标人的竞争地位产生不公正的影响。评标委员会决定投标文件的响应性只根据投标文件本身的内容，而不寻找外部的证据。</w:t>
      </w:r>
    </w:p>
    <w:p w14:paraId="68F181CA">
      <w:pPr>
        <w:tabs>
          <w:tab w:val="left" w:pos="945"/>
        </w:tabs>
        <w:spacing w:line="360" w:lineRule="auto"/>
        <w:ind w:firstLine="525" w:firstLineChars="250"/>
        <w:rPr>
          <w:rFonts w:ascii="宋体" w:hAnsi="宋体"/>
          <w:color w:val="auto"/>
          <w:highlight w:val="none"/>
        </w:rPr>
      </w:pPr>
      <w:r>
        <w:rPr>
          <w:rFonts w:ascii="宋体" w:hAnsi="宋体"/>
          <w:color w:val="auto"/>
          <w:highlight w:val="none"/>
        </w:rPr>
        <w:t>d.无效投标的认定</w:t>
      </w:r>
    </w:p>
    <w:p w14:paraId="39BEB7AC">
      <w:pPr>
        <w:tabs>
          <w:tab w:val="left" w:pos="1030"/>
        </w:tabs>
        <w:spacing w:line="360" w:lineRule="auto"/>
        <w:ind w:firstLine="527" w:firstLineChars="250"/>
        <w:rPr>
          <w:rFonts w:ascii="宋体" w:hAnsi="宋体"/>
          <w:b/>
          <w:bCs/>
          <w:color w:val="auto"/>
          <w:highlight w:val="none"/>
        </w:rPr>
      </w:pPr>
      <w:r>
        <w:rPr>
          <w:rFonts w:ascii="宋体" w:hAnsi="宋体"/>
          <w:b/>
          <w:bCs/>
          <w:color w:val="auto"/>
          <w:highlight w:val="none"/>
        </w:rPr>
        <w:t>按</w:t>
      </w:r>
      <w:r>
        <w:rPr>
          <w:rFonts w:hint="eastAsia" w:ascii="宋体" w:hAnsi="宋体"/>
          <w:b/>
          <w:bCs/>
          <w:color w:val="auto"/>
          <w:highlight w:val="none"/>
        </w:rPr>
        <w:t>资格审查及商务技术符合性审查（阶段一）及价格符合性审查（阶段二）</w:t>
      </w:r>
      <w:r>
        <w:rPr>
          <w:rFonts w:ascii="宋体" w:hAnsi="宋体"/>
          <w:b/>
          <w:bCs/>
          <w:color w:val="auto"/>
          <w:highlight w:val="none"/>
        </w:rPr>
        <w:t>（见附表1</w:t>
      </w:r>
      <w:r>
        <w:rPr>
          <w:rFonts w:hint="eastAsia" w:ascii="宋体" w:hAnsi="宋体"/>
          <w:b/>
          <w:bCs/>
          <w:color w:val="auto"/>
          <w:highlight w:val="none"/>
        </w:rPr>
        <w:t>、见附表4</w:t>
      </w:r>
      <w:r>
        <w:rPr>
          <w:rFonts w:ascii="宋体" w:hAnsi="宋体"/>
          <w:b/>
          <w:bCs/>
          <w:color w:val="auto"/>
          <w:highlight w:val="none"/>
        </w:rPr>
        <w:t>）所列各项，评标委员会认为投标文件不满足招标文件要求的，将被认定为无效投标。</w:t>
      </w:r>
    </w:p>
    <w:p w14:paraId="17520E44">
      <w:pPr>
        <w:spacing w:before="120" w:after="120" w:line="360" w:lineRule="auto"/>
        <w:ind w:firstLine="525" w:firstLineChars="250"/>
        <w:rPr>
          <w:rFonts w:ascii="宋体" w:hAnsi="宋体"/>
          <w:bCs/>
          <w:color w:val="auto"/>
          <w:highlight w:val="none"/>
        </w:rPr>
      </w:pPr>
      <w:bookmarkStart w:id="183" w:name="_Toc18377_WPSOffice_Level1"/>
      <w:bookmarkStart w:id="184" w:name="_Toc962_WPSOffice_Level1"/>
      <w:bookmarkStart w:id="185" w:name="_Toc17602_WPSOffice_Level1"/>
      <w:r>
        <w:rPr>
          <w:rFonts w:ascii="宋体" w:hAnsi="宋体"/>
          <w:bCs/>
          <w:color w:val="auto"/>
          <w:highlight w:val="none"/>
        </w:rPr>
        <w:t>5.5.2详细评审</w:t>
      </w:r>
      <w:bookmarkEnd w:id="183"/>
      <w:bookmarkEnd w:id="184"/>
      <w:bookmarkEnd w:id="185"/>
    </w:p>
    <w:p w14:paraId="1793A066">
      <w:pPr>
        <w:tabs>
          <w:tab w:val="left" w:pos="945"/>
        </w:tabs>
        <w:spacing w:line="360" w:lineRule="auto"/>
        <w:ind w:firstLine="525" w:firstLineChars="250"/>
        <w:rPr>
          <w:rFonts w:ascii="宋体" w:hAnsi="宋体"/>
          <w:color w:val="auto"/>
          <w:highlight w:val="none"/>
        </w:rPr>
      </w:pPr>
      <w:r>
        <w:rPr>
          <w:rFonts w:ascii="宋体" w:hAnsi="宋体"/>
          <w:color w:val="auto"/>
          <w:highlight w:val="none"/>
        </w:rPr>
        <w:t>a.详细评审是对通过</w:t>
      </w:r>
      <w:r>
        <w:rPr>
          <w:rFonts w:hint="eastAsia" w:ascii="宋体" w:hAnsi="宋体"/>
          <w:color w:val="auto"/>
          <w:highlight w:val="none"/>
        </w:rPr>
        <w:t>资格审查及商务技术符合性审查（阶段一）</w:t>
      </w:r>
      <w:r>
        <w:rPr>
          <w:rFonts w:ascii="宋体" w:hAnsi="宋体"/>
          <w:color w:val="auto"/>
          <w:highlight w:val="none"/>
        </w:rPr>
        <w:t>的投标进行技术</w:t>
      </w:r>
      <w:r>
        <w:rPr>
          <w:rFonts w:hint="eastAsia" w:ascii="宋体" w:hAnsi="宋体"/>
          <w:color w:val="auto"/>
          <w:highlight w:val="none"/>
        </w:rPr>
        <w:t>评审、</w:t>
      </w:r>
      <w:r>
        <w:rPr>
          <w:rFonts w:ascii="宋体" w:hAnsi="宋体"/>
          <w:color w:val="auto"/>
          <w:highlight w:val="none"/>
        </w:rPr>
        <w:t>商务</w:t>
      </w:r>
      <w:r>
        <w:rPr>
          <w:rFonts w:hint="eastAsia" w:ascii="宋体" w:hAnsi="宋体"/>
          <w:color w:val="auto"/>
          <w:highlight w:val="none"/>
        </w:rPr>
        <w:t>评审以及对通过价格符合性审查（阶段二）</w:t>
      </w:r>
      <w:r>
        <w:rPr>
          <w:rFonts w:ascii="宋体" w:hAnsi="宋体"/>
          <w:color w:val="auto"/>
          <w:highlight w:val="none"/>
        </w:rPr>
        <w:t>的投标进行价格评审。</w:t>
      </w:r>
    </w:p>
    <w:p w14:paraId="1CD140B4">
      <w:pPr>
        <w:tabs>
          <w:tab w:val="left" w:pos="945"/>
        </w:tabs>
        <w:spacing w:line="360" w:lineRule="auto"/>
        <w:ind w:firstLine="525" w:firstLineChars="250"/>
        <w:rPr>
          <w:rFonts w:ascii="宋体" w:hAnsi="宋体"/>
          <w:color w:val="auto"/>
          <w:highlight w:val="none"/>
        </w:rPr>
      </w:pPr>
      <w:r>
        <w:rPr>
          <w:rFonts w:ascii="宋体" w:hAnsi="宋体"/>
          <w:color w:val="auto"/>
          <w:highlight w:val="none"/>
        </w:rPr>
        <w:t>b.技术、商务评分：评标委员会就</w:t>
      </w:r>
      <w:r>
        <w:rPr>
          <w:rFonts w:hint="eastAsia" w:ascii="宋体" w:hAnsi="宋体"/>
          <w:color w:val="auto"/>
          <w:highlight w:val="none"/>
        </w:rPr>
        <w:t>技术评分表、商务评分表的评审</w:t>
      </w:r>
      <w:r>
        <w:rPr>
          <w:rFonts w:ascii="宋体" w:hAnsi="宋体"/>
          <w:color w:val="auto"/>
          <w:highlight w:val="none"/>
        </w:rPr>
        <w:t>因素进行评分，各因素所占权重比例见《技术</w:t>
      </w:r>
      <w:r>
        <w:rPr>
          <w:rFonts w:hint="eastAsia" w:ascii="宋体" w:hAnsi="宋体"/>
          <w:color w:val="auto"/>
          <w:highlight w:val="none"/>
        </w:rPr>
        <w:t>评分</w:t>
      </w:r>
      <w:r>
        <w:rPr>
          <w:rFonts w:ascii="宋体" w:hAnsi="宋体"/>
          <w:color w:val="auto"/>
          <w:highlight w:val="none"/>
        </w:rPr>
        <w:t>表》（附表2）及《商务评</w:t>
      </w:r>
      <w:r>
        <w:rPr>
          <w:rFonts w:hint="eastAsia" w:ascii="宋体" w:hAnsi="宋体"/>
          <w:color w:val="auto"/>
          <w:highlight w:val="none"/>
        </w:rPr>
        <w:t>分</w:t>
      </w:r>
      <w:r>
        <w:rPr>
          <w:rFonts w:ascii="宋体" w:hAnsi="宋体"/>
          <w:color w:val="auto"/>
          <w:highlight w:val="none"/>
        </w:rPr>
        <w:t>表》（附表3），评分统计按本评标方法</w:t>
      </w:r>
      <w:r>
        <w:rPr>
          <w:rFonts w:hint="eastAsia" w:ascii="宋体" w:hAnsi="宋体"/>
          <w:color w:val="auto"/>
          <w:highlight w:val="none"/>
        </w:rPr>
        <w:t>的</w:t>
      </w:r>
      <w:r>
        <w:rPr>
          <w:rFonts w:ascii="宋体" w:hAnsi="宋体"/>
          <w:color w:val="auto"/>
          <w:highlight w:val="none"/>
        </w:rPr>
        <w:t>规定进行。</w:t>
      </w:r>
    </w:p>
    <w:p w14:paraId="24AC06CE">
      <w:pPr>
        <w:tabs>
          <w:tab w:val="left" w:pos="945"/>
        </w:tabs>
        <w:spacing w:line="360" w:lineRule="auto"/>
        <w:ind w:firstLine="525" w:firstLineChars="250"/>
        <w:rPr>
          <w:rFonts w:ascii="宋体" w:hAnsi="宋体"/>
          <w:color w:val="auto"/>
          <w:highlight w:val="none"/>
        </w:rPr>
      </w:pPr>
      <w:r>
        <w:rPr>
          <w:rFonts w:ascii="宋体" w:hAnsi="宋体"/>
          <w:color w:val="auto"/>
          <w:highlight w:val="none"/>
        </w:rPr>
        <w:t>c.价格的核准和评分</w:t>
      </w:r>
    </w:p>
    <w:p w14:paraId="78B60108">
      <w:pPr>
        <w:tabs>
          <w:tab w:val="left" w:pos="0"/>
        </w:tabs>
        <w:spacing w:line="360" w:lineRule="auto"/>
        <w:ind w:firstLine="420" w:firstLineChars="200"/>
        <w:rPr>
          <w:rFonts w:ascii="宋体" w:hAnsi="宋体"/>
          <w:color w:val="auto"/>
          <w:highlight w:val="none"/>
        </w:rPr>
      </w:pPr>
      <w:r>
        <w:rPr>
          <w:rFonts w:ascii="宋体" w:hAnsi="宋体"/>
          <w:color w:val="auto"/>
          <w:highlight w:val="none"/>
        </w:rPr>
        <w:t>a)评标委员会详细分析、核准价格表，看其是否有计算上或累加上的算术错误，修正错误的原则如下：</w:t>
      </w:r>
    </w:p>
    <w:p w14:paraId="02EFD503">
      <w:pPr>
        <w:spacing w:line="360" w:lineRule="auto"/>
        <w:ind w:firstLine="420" w:firstLineChars="200"/>
        <w:rPr>
          <w:rFonts w:ascii="宋体" w:hAnsi="宋体"/>
          <w:color w:val="auto"/>
          <w:highlight w:val="none"/>
        </w:rPr>
      </w:pPr>
      <w:r>
        <w:rPr>
          <w:rFonts w:ascii="宋体" w:hAnsi="宋体"/>
          <w:color w:val="auto"/>
          <w:highlight w:val="none"/>
        </w:rPr>
        <w:t>（1）如果用大写表示的金额和用小写表示的金额不一致，应以大写表示的金额为准；</w:t>
      </w:r>
    </w:p>
    <w:p w14:paraId="5971A293">
      <w:pPr>
        <w:spacing w:line="360" w:lineRule="auto"/>
        <w:ind w:firstLine="420" w:firstLineChars="200"/>
        <w:rPr>
          <w:rFonts w:ascii="宋体" w:hAnsi="宋体"/>
          <w:color w:val="auto"/>
          <w:highlight w:val="none"/>
        </w:rPr>
      </w:pPr>
      <w:r>
        <w:rPr>
          <w:rFonts w:ascii="宋体" w:hAnsi="宋体"/>
          <w:color w:val="auto"/>
          <w:highlight w:val="none"/>
        </w:rPr>
        <w:t>（2）当单价和数量的乘积与总价金额不一致时，以单价为准（除单价金额小数点明显错误的除外），并修正总价；</w:t>
      </w:r>
    </w:p>
    <w:p w14:paraId="30985D65">
      <w:pPr>
        <w:tabs>
          <w:tab w:val="left" w:pos="0"/>
        </w:tabs>
        <w:spacing w:line="360" w:lineRule="auto"/>
        <w:ind w:firstLine="420" w:firstLineChars="200"/>
        <w:rPr>
          <w:rFonts w:hint="eastAsia" w:ascii="宋体" w:hAnsi="宋体"/>
          <w:color w:val="auto"/>
          <w:highlight w:val="none"/>
        </w:rPr>
      </w:pPr>
      <w:r>
        <w:rPr>
          <w:rFonts w:ascii="宋体" w:hAnsi="宋体"/>
          <w:color w:val="auto"/>
          <w:highlight w:val="none"/>
        </w:rPr>
        <w:t>（3）漏项的调整方式：</w:t>
      </w:r>
      <w:r>
        <w:rPr>
          <w:rFonts w:hint="eastAsia" w:ascii="宋体" w:hAnsi="宋体"/>
          <w:color w:val="auto"/>
          <w:highlight w:val="none"/>
        </w:rPr>
        <w:t>如评标委员会认为投标人报价存在重大缺漏项或标准不符事项，评标委员会有权按本次招标其它投标人相应项目的最高报价或最新相同或类似项目合同价格或估价折算,调整评标价格（仅在评标时进行调整，</w:t>
      </w:r>
      <w:r>
        <w:rPr>
          <w:rFonts w:ascii="宋体" w:hAnsi="宋体"/>
          <w:bCs/>
          <w:color w:val="auto"/>
          <w:highlight w:val="none"/>
        </w:rPr>
        <w:t>如该投标人中标，</w:t>
      </w:r>
      <w:r>
        <w:rPr>
          <w:rFonts w:hint="eastAsia" w:ascii="宋体" w:hAnsi="宋体"/>
          <w:bCs/>
          <w:color w:val="auto"/>
          <w:highlight w:val="none"/>
        </w:rPr>
        <w:t>所有漏项应包含在供货范围内，且</w:t>
      </w:r>
      <w:r>
        <w:rPr>
          <w:rFonts w:ascii="宋体" w:hAnsi="宋体"/>
          <w:bCs/>
          <w:color w:val="auto"/>
          <w:highlight w:val="none"/>
        </w:rPr>
        <w:t>中标价仍按其投标报价计</w:t>
      </w:r>
      <w:r>
        <w:rPr>
          <w:rFonts w:hint="eastAsia" w:ascii="宋体" w:hAnsi="宋体"/>
          <w:color w:val="auto"/>
          <w:highlight w:val="none"/>
        </w:rPr>
        <w:t>）</w:t>
      </w:r>
      <w:r>
        <w:rPr>
          <w:rFonts w:ascii="宋体" w:hAnsi="宋体"/>
          <w:color w:val="auto"/>
          <w:highlight w:val="none"/>
        </w:rPr>
        <w:t>。</w:t>
      </w:r>
    </w:p>
    <w:p w14:paraId="1B4C7CEF">
      <w:pPr>
        <w:tabs>
          <w:tab w:val="left" w:pos="-618"/>
          <w:tab w:val="left" w:pos="-412"/>
        </w:tabs>
        <w:spacing w:line="360" w:lineRule="auto"/>
        <w:ind w:firstLine="420" w:firstLineChars="200"/>
        <w:rPr>
          <w:rFonts w:hint="eastAsia" w:ascii="宋体" w:hAnsi="宋体"/>
          <w:color w:val="auto"/>
          <w:highlight w:val="none"/>
        </w:rPr>
      </w:pPr>
      <w:r>
        <w:rPr>
          <w:rFonts w:hint="eastAsia" w:ascii="宋体" w:hAnsi="宋体"/>
          <w:color w:val="auto"/>
          <w:highlight w:val="none"/>
        </w:rPr>
        <w:t>（4）因投标人的投标报价增值税税率报错导致合同含税金额或不含税金额出现错误，经评标委员会复核得出正确税率并计算出评标价计算投标人的价格得分。若评标委员会复核后的评标价高于投标人的错误报价，招标人有权在投标人获得中标后取两者中相对低的价格作为合同价格。</w:t>
      </w:r>
    </w:p>
    <w:p w14:paraId="58F28D33">
      <w:pPr>
        <w:tabs>
          <w:tab w:val="left" w:pos="-618"/>
          <w:tab w:val="left" w:pos="-412"/>
        </w:tabs>
        <w:spacing w:line="360" w:lineRule="auto"/>
        <w:ind w:firstLine="420" w:firstLineChars="200"/>
        <w:rPr>
          <w:rFonts w:ascii="宋体" w:hAnsi="宋体"/>
          <w:color w:val="auto"/>
          <w:highlight w:val="none"/>
        </w:rPr>
      </w:pPr>
      <w:r>
        <w:rPr>
          <w:rFonts w:hint="eastAsia" w:ascii="宋体" w:hAnsi="宋体"/>
          <w:color w:val="auto"/>
          <w:highlight w:val="none"/>
        </w:rPr>
        <w:t>（5）</w:t>
      </w:r>
      <w:r>
        <w:rPr>
          <w:rFonts w:ascii="宋体" w:hAnsi="宋体"/>
          <w:color w:val="auto"/>
          <w:highlight w:val="none"/>
        </w:rPr>
        <w:t>需要投标人提供的</w:t>
      </w:r>
      <w:r>
        <w:rPr>
          <w:rFonts w:hint="eastAsia" w:ascii="宋体" w:hAnsi="宋体"/>
          <w:color w:val="auto"/>
          <w:highlight w:val="none"/>
          <w:lang w:val="en-US" w:eastAsia="zh-CN"/>
        </w:rPr>
        <w:t>额外</w:t>
      </w:r>
      <w:r>
        <w:rPr>
          <w:rFonts w:ascii="宋体" w:hAnsi="宋体"/>
          <w:color w:val="auto"/>
          <w:highlight w:val="none"/>
        </w:rPr>
        <w:t>相关服务所需的费用，如果是另外单独报价的话，评分时应计入投标报价。</w:t>
      </w:r>
    </w:p>
    <w:p w14:paraId="3B7D37A2">
      <w:pPr>
        <w:tabs>
          <w:tab w:val="left" w:pos="0"/>
        </w:tabs>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6</w:t>
      </w:r>
      <w:r>
        <w:rPr>
          <w:rFonts w:ascii="宋体" w:hAnsi="宋体"/>
          <w:color w:val="auto"/>
          <w:highlight w:val="none"/>
        </w:rPr>
        <w:t>）评标委员会依据招标文件认为应该调整的价格。</w:t>
      </w:r>
    </w:p>
    <w:p w14:paraId="59FECFA9">
      <w:pPr>
        <w:tabs>
          <w:tab w:val="left" w:pos="0"/>
        </w:tabs>
        <w:spacing w:line="360" w:lineRule="auto"/>
        <w:ind w:firstLine="420" w:firstLineChars="200"/>
        <w:rPr>
          <w:rFonts w:ascii="宋体" w:hAnsi="宋体"/>
          <w:color w:val="auto"/>
          <w:highlight w:val="none"/>
        </w:rPr>
      </w:pPr>
      <w:r>
        <w:rPr>
          <w:rFonts w:ascii="宋体" w:hAnsi="宋体"/>
          <w:color w:val="auto"/>
          <w:highlight w:val="none"/>
        </w:rPr>
        <w:t>b)评标委员会将按上述修正错误的方法调整投标文件中的投标报价，调整后的价格对投标人具有约束力。如果投标人不接受修正后的价格，则其投标将被拒绝。</w:t>
      </w:r>
    </w:p>
    <w:p w14:paraId="5D32269C">
      <w:pPr>
        <w:tabs>
          <w:tab w:val="left" w:pos="945"/>
        </w:tabs>
        <w:spacing w:line="360" w:lineRule="auto"/>
        <w:ind w:left="-23" w:leftChars="-11" w:firstLine="525" w:firstLineChars="250"/>
        <w:jc w:val="left"/>
        <w:rPr>
          <w:rFonts w:hint="eastAsia" w:ascii="宋体" w:hAnsi="宋体"/>
          <w:color w:val="auto"/>
          <w:highlight w:val="none"/>
        </w:rPr>
      </w:pPr>
      <w:r>
        <w:rPr>
          <w:rFonts w:ascii="宋体" w:hAnsi="宋体"/>
          <w:color w:val="auto"/>
          <w:highlight w:val="none"/>
        </w:rPr>
        <w:t>c)</w:t>
      </w:r>
      <w:r>
        <w:rPr>
          <w:rFonts w:hint="eastAsia" w:ascii="宋体" w:hAnsi="宋体"/>
          <w:color w:val="auto"/>
          <w:highlight w:val="none"/>
        </w:rPr>
        <w:t xml:space="preserve"> 价格评分：</w:t>
      </w:r>
    </w:p>
    <w:p w14:paraId="2F862585">
      <w:pPr>
        <w:spacing w:line="360" w:lineRule="auto"/>
        <w:ind w:left="420" w:leftChars="200" w:firstLine="426"/>
        <w:rPr>
          <w:rFonts w:hint="eastAsia" w:ascii="宋体" w:hAnsi="宋体" w:cs="宋体"/>
          <w:color w:val="auto"/>
          <w:szCs w:val="21"/>
          <w:highlight w:val="none"/>
        </w:rPr>
      </w:pPr>
      <w:r>
        <w:rPr>
          <w:rFonts w:hint="eastAsia" w:ascii="宋体" w:hAnsi="宋体"/>
          <w:color w:val="auto"/>
          <w:szCs w:val="21"/>
          <w:highlight w:val="none"/>
        </w:rPr>
        <w:t>各有效投标</w:t>
      </w:r>
      <w:r>
        <w:rPr>
          <w:rFonts w:hint="eastAsia" w:ascii="宋体" w:hAnsi="宋体"/>
          <w:color w:val="auto"/>
          <w:szCs w:val="21"/>
          <w:highlight w:val="none"/>
          <w:lang w:val="en-US" w:eastAsia="zh-CN"/>
        </w:rPr>
        <w:t>人</w:t>
      </w:r>
      <w:r>
        <w:rPr>
          <w:rFonts w:hint="eastAsia" w:ascii="宋体" w:hAnsi="宋体"/>
          <w:color w:val="auto"/>
          <w:szCs w:val="21"/>
          <w:highlight w:val="none"/>
        </w:rPr>
        <w:t>的价格评分统一按照下列公式计算</w:t>
      </w:r>
      <w:r>
        <w:rPr>
          <w:rFonts w:hint="eastAsia" w:ascii="宋体" w:hAnsi="宋体" w:cs="宋体"/>
          <w:color w:val="auto"/>
          <w:szCs w:val="21"/>
          <w:highlight w:val="none"/>
        </w:rPr>
        <w:t>：</w:t>
      </w:r>
    </w:p>
    <w:p w14:paraId="69BFC68C">
      <w:pPr>
        <w:numPr>
          <w:ilvl w:val="0"/>
          <w:numId w:val="10"/>
        </w:numPr>
        <w:spacing w:line="360" w:lineRule="auto"/>
        <w:ind w:left="420" w:leftChars="200" w:firstLine="495" w:firstLineChars="236"/>
        <w:rPr>
          <w:rFonts w:hint="eastAsia" w:ascii="宋体" w:hAnsi="宋体" w:cs="宋体"/>
          <w:color w:val="auto"/>
          <w:szCs w:val="21"/>
          <w:highlight w:val="none"/>
        </w:rPr>
      </w:pPr>
      <w:r>
        <w:rPr>
          <w:rFonts w:hint="eastAsia" w:ascii="宋体" w:hAnsi="宋体" w:cs="宋体"/>
          <w:color w:val="auto"/>
          <w:szCs w:val="21"/>
          <w:highlight w:val="none"/>
        </w:rPr>
        <w:t>价格不能超过预算，否则就视为自动放弃本次投标权利</w:t>
      </w:r>
    </w:p>
    <w:p w14:paraId="29677C7B">
      <w:pPr>
        <w:numPr>
          <w:ilvl w:val="0"/>
          <w:numId w:val="10"/>
        </w:numPr>
        <w:snapToGrid w:val="0"/>
        <w:spacing w:line="360" w:lineRule="auto"/>
        <w:ind w:left="420" w:leftChars="200" w:firstLine="495" w:firstLineChars="236"/>
        <w:rPr>
          <w:rFonts w:hint="eastAsia" w:ascii="宋体" w:hAnsi="宋体" w:cs="宋体"/>
          <w:color w:val="auto"/>
          <w:szCs w:val="21"/>
          <w:highlight w:val="none"/>
        </w:rPr>
      </w:pPr>
      <w:r>
        <w:rPr>
          <w:rFonts w:hint="eastAsia" w:ascii="宋体" w:hAnsi="宋体" w:cs="宋体"/>
          <w:color w:val="auto"/>
          <w:szCs w:val="21"/>
          <w:highlight w:val="none"/>
        </w:rPr>
        <w:t>投标人评标价及评标基准价的确认：</w:t>
      </w:r>
    </w:p>
    <w:bookmarkEnd w:id="176"/>
    <w:bookmarkEnd w:id="177"/>
    <w:bookmarkEnd w:id="178"/>
    <w:p w14:paraId="5053889F">
      <w:pPr>
        <w:snapToGrid w:val="0"/>
        <w:spacing w:line="360" w:lineRule="auto"/>
        <w:ind w:left="420" w:firstLine="420" w:firstLineChars="200"/>
        <w:rPr>
          <w:rFonts w:hint="eastAsia" w:ascii="宋体" w:hAnsi="宋体"/>
          <w:color w:val="auto"/>
          <w:szCs w:val="21"/>
          <w:highlight w:val="none"/>
        </w:rPr>
      </w:pPr>
      <w:r>
        <w:rPr>
          <w:rFonts w:hint="eastAsia" w:ascii="宋体" w:hAnsi="宋体"/>
          <w:color w:val="auto"/>
          <w:szCs w:val="21"/>
          <w:highlight w:val="none"/>
        </w:rPr>
        <w:t>通过</w:t>
      </w:r>
      <w:r>
        <w:rPr>
          <w:rFonts w:hint="eastAsia" w:ascii="宋体" w:hAnsi="宋体"/>
          <w:color w:val="auto"/>
          <w:szCs w:val="21"/>
          <w:highlight w:val="none"/>
          <w:lang w:val="en-US" w:eastAsia="zh-CN"/>
        </w:rPr>
        <w:t>符合性审查</w:t>
      </w:r>
      <w:r>
        <w:rPr>
          <w:rFonts w:hint="eastAsia" w:ascii="宋体" w:hAnsi="宋体"/>
          <w:color w:val="auto"/>
          <w:szCs w:val="21"/>
          <w:highlight w:val="none"/>
        </w:rPr>
        <w:t>的有效投标人进入价格评分。评标委员会对通过</w:t>
      </w:r>
      <w:r>
        <w:rPr>
          <w:rFonts w:hint="eastAsia" w:ascii="宋体" w:hAnsi="宋体"/>
          <w:color w:val="auto"/>
          <w:szCs w:val="21"/>
          <w:highlight w:val="none"/>
          <w:lang w:val="en-US" w:eastAsia="zh-CN"/>
        </w:rPr>
        <w:t>符合性审查</w:t>
      </w:r>
      <w:r>
        <w:rPr>
          <w:rFonts w:hint="eastAsia" w:ascii="宋体" w:hAnsi="宋体"/>
          <w:color w:val="auto"/>
          <w:szCs w:val="21"/>
          <w:highlight w:val="none"/>
        </w:rPr>
        <w:t>的投标文件的投标报价进行复核及算术修正，修正后的价格为投标人的评标价。</w:t>
      </w:r>
    </w:p>
    <w:p w14:paraId="24701C2A">
      <w:pPr>
        <w:snapToGrid w:val="0"/>
        <w:spacing w:line="360" w:lineRule="auto"/>
        <w:ind w:left="420" w:firstLine="420" w:firstLineChars="200"/>
        <w:rPr>
          <w:rFonts w:hint="eastAsia" w:ascii="宋体" w:hAnsi="宋体"/>
          <w:color w:val="auto"/>
          <w:szCs w:val="21"/>
          <w:highlight w:val="none"/>
        </w:rPr>
      </w:pPr>
      <w:r>
        <w:rPr>
          <w:rFonts w:hint="eastAsia" w:ascii="宋体" w:hAnsi="宋体"/>
          <w:color w:val="auto"/>
          <w:szCs w:val="21"/>
          <w:highlight w:val="none"/>
        </w:rPr>
        <w:t>1）评标基准价的计算</w:t>
      </w:r>
    </w:p>
    <w:p w14:paraId="6B43C554">
      <w:pPr>
        <w:snapToGrid w:val="0"/>
        <w:spacing w:line="360" w:lineRule="auto"/>
        <w:ind w:left="420" w:firstLine="420" w:firstLineChars="200"/>
        <w:rPr>
          <w:rFonts w:hint="eastAsia" w:ascii="宋体" w:hAnsi="宋体"/>
          <w:color w:val="auto"/>
          <w:szCs w:val="21"/>
          <w:highlight w:val="none"/>
        </w:rPr>
      </w:pPr>
      <w:r>
        <w:rPr>
          <w:rFonts w:hint="eastAsia" w:ascii="宋体" w:hAnsi="宋体"/>
          <w:color w:val="auto"/>
          <w:szCs w:val="21"/>
          <w:highlight w:val="none"/>
        </w:rPr>
        <w:t>满足招标文件要求的</w:t>
      </w:r>
      <w:r>
        <w:rPr>
          <w:rFonts w:hint="eastAsia" w:ascii="宋体" w:hAnsi="宋体"/>
          <w:color w:val="auto"/>
          <w:szCs w:val="21"/>
          <w:highlight w:val="none"/>
          <w:lang w:val="en-US" w:eastAsia="zh-CN"/>
        </w:rPr>
        <w:t>投标人</w:t>
      </w:r>
      <w:r>
        <w:rPr>
          <w:rFonts w:hint="eastAsia" w:ascii="宋体" w:hAnsi="宋体"/>
          <w:color w:val="auto"/>
          <w:szCs w:val="21"/>
          <w:highlight w:val="none"/>
        </w:rPr>
        <w:t>投标报价求平均值为评标基准价</w:t>
      </w:r>
    </w:p>
    <w:p w14:paraId="5DE8A9C7">
      <w:pPr>
        <w:snapToGrid w:val="0"/>
        <w:spacing w:line="360" w:lineRule="auto"/>
        <w:ind w:left="420" w:firstLine="420" w:firstLineChars="200"/>
        <w:rPr>
          <w:rFonts w:hint="eastAsia" w:ascii="宋体" w:hAnsi="宋体"/>
          <w:color w:val="auto"/>
          <w:szCs w:val="21"/>
          <w:highlight w:val="none"/>
        </w:rPr>
      </w:pPr>
      <w:r>
        <w:rPr>
          <w:rFonts w:hint="eastAsia" w:ascii="宋体" w:hAnsi="宋体"/>
          <w:color w:val="auto"/>
          <w:szCs w:val="21"/>
          <w:highlight w:val="none"/>
        </w:rPr>
        <w:t>2）价格评分</w:t>
      </w:r>
    </w:p>
    <w:p w14:paraId="2990F2F6">
      <w:pPr>
        <w:snapToGrid w:val="0"/>
        <w:spacing w:line="360" w:lineRule="auto"/>
        <w:ind w:left="420" w:firstLine="420" w:firstLineChars="200"/>
        <w:rPr>
          <w:rFonts w:hint="eastAsia" w:ascii="宋体" w:hAnsi="宋体"/>
          <w:color w:val="auto"/>
          <w:szCs w:val="21"/>
          <w:highlight w:val="none"/>
        </w:rPr>
      </w:pPr>
      <w:r>
        <w:rPr>
          <w:rFonts w:hint="eastAsia" w:ascii="宋体" w:hAnsi="宋体"/>
          <w:color w:val="auto"/>
          <w:szCs w:val="21"/>
          <w:highlight w:val="none"/>
        </w:rPr>
        <w:t>a) 当评标总价等于评标基准价，投标人的价格评分为</w:t>
      </w:r>
      <w:r>
        <w:rPr>
          <w:rFonts w:hint="eastAsia" w:ascii="宋体" w:hAnsi="宋体"/>
          <w:color w:val="auto"/>
          <w:szCs w:val="21"/>
          <w:highlight w:val="none"/>
          <w:lang w:val="en-US" w:eastAsia="zh-CN"/>
        </w:rPr>
        <w:t>20</w:t>
      </w:r>
      <w:r>
        <w:rPr>
          <w:rFonts w:hint="eastAsia" w:ascii="宋体" w:hAnsi="宋体"/>
          <w:color w:val="auto"/>
          <w:szCs w:val="21"/>
          <w:highlight w:val="none"/>
        </w:rPr>
        <w:t>分；</w:t>
      </w:r>
    </w:p>
    <w:p w14:paraId="7062AAD4">
      <w:pPr>
        <w:snapToGrid w:val="0"/>
        <w:spacing w:line="360" w:lineRule="auto"/>
        <w:ind w:left="420" w:firstLine="420" w:firstLineChars="200"/>
        <w:rPr>
          <w:rFonts w:hint="eastAsia" w:ascii="宋体" w:hAnsi="宋体"/>
          <w:color w:val="auto"/>
          <w:szCs w:val="21"/>
          <w:highlight w:val="none"/>
        </w:rPr>
      </w:pPr>
      <w:r>
        <w:rPr>
          <w:rFonts w:hint="eastAsia" w:ascii="宋体" w:hAnsi="宋体"/>
          <w:color w:val="auto"/>
          <w:szCs w:val="21"/>
          <w:highlight w:val="none"/>
        </w:rPr>
        <w:t>b) 当评标总价高于评标基准价，投标人的价格评分按下式计算（每高1％，扣0.3分，扣完为止）：</w:t>
      </w:r>
    </w:p>
    <w:p w14:paraId="1D7604A5">
      <w:pPr>
        <w:snapToGrid w:val="0"/>
        <w:spacing w:line="360" w:lineRule="auto"/>
        <w:ind w:left="420" w:firstLine="420" w:firstLineChars="200"/>
        <w:rPr>
          <w:rFonts w:hint="eastAsia" w:ascii="宋体" w:hAnsi="宋体"/>
          <w:color w:val="auto"/>
          <w:szCs w:val="21"/>
          <w:highlight w:val="none"/>
        </w:rPr>
      </w:pPr>
      <w:r>
        <w:rPr>
          <w:rFonts w:hint="eastAsia" w:ascii="宋体" w:hAnsi="宋体"/>
          <w:color w:val="auto"/>
          <w:szCs w:val="21"/>
          <w:highlight w:val="none"/>
        </w:rPr>
        <w:t>投标人的价格评分=</w:t>
      </w:r>
      <w:r>
        <w:rPr>
          <w:rFonts w:hint="eastAsia" w:ascii="宋体" w:hAnsi="宋体"/>
          <w:color w:val="auto"/>
          <w:szCs w:val="21"/>
          <w:highlight w:val="none"/>
          <w:lang w:val="en-US" w:eastAsia="zh-CN"/>
        </w:rPr>
        <w:t>20</w:t>
      </w:r>
      <w:r>
        <w:rPr>
          <w:rFonts w:hint="eastAsia" w:ascii="宋体" w:hAnsi="宋体"/>
          <w:color w:val="auto"/>
          <w:szCs w:val="21"/>
          <w:highlight w:val="none"/>
        </w:rPr>
        <w:t>-（投标人的评标总价-评标基准价）/评标基准价×100×0.3（四舍五入，小数点后保留两位有效数字）</w:t>
      </w:r>
    </w:p>
    <w:p w14:paraId="477116B5">
      <w:pPr>
        <w:snapToGrid w:val="0"/>
        <w:spacing w:line="360" w:lineRule="auto"/>
        <w:ind w:left="420" w:firstLine="420" w:firstLineChars="200"/>
        <w:rPr>
          <w:rFonts w:hint="eastAsia" w:ascii="宋体" w:hAnsi="宋体"/>
          <w:color w:val="auto"/>
          <w:szCs w:val="21"/>
          <w:highlight w:val="none"/>
        </w:rPr>
      </w:pPr>
      <w:r>
        <w:rPr>
          <w:rFonts w:hint="eastAsia" w:ascii="宋体" w:hAnsi="宋体"/>
          <w:color w:val="auto"/>
          <w:szCs w:val="21"/>
          <w:highlight w:val="none"/>
        </w:rPr>
        <w:t>c) 当评标总价低于评标基准价，投标人的价格评分按下式计算（每低1％，扣0.2分，扣完为止）：</w:t>
      </w:r>
    </w:p>
    <w:p w14:paraId="56644729">
      <w:pPr>
        <w:snapToGrid w:val="0"/>
        <w:spacing w:line="360" w:lineRule="auto"/>
        <w:ind w:left="420" w:firstLine="420" w:firstLineChars="200"/>
        <w:rPr>
          <w:rFonts w:hint="eastAsia" w:ascii="宋体" w:hAnsi="宋体" w:cs="宋体"/>
          <w:color w:val="auto"/>
          <w:szCs w:val="21"/>
          <w:highlight w:val="none"/>
        </w:rPr>
      </w:pPr>
      <w:r>
        <w:rPr>
          <w:rFonts w:hint="eastAsia" w:ascii="宋体" w:hAnsi="宋体"/>
          <w:color w:val="auto"/>
          <w:szCs w:val="21"/>
          <w:highlight w:val="none"/>
        </w:rPr>
        <w:t>投标人的价格评分=</w:t>
      </w:r>
      <w:r>
        <w:rPr>
          <w:rFonts w:hint="eastAsia" w:ascii="宋体" w:hAnsi="宋体"/>
          <w:color w:val="auto"/>
          <w:szCs w:val="21"/>
          <w:highlight w:val="none"/>
          <w:lang w:val="en-US" w:eastAsia="zh-CN"/>
        </w:rPr>
        <w:t>20</w:t>
      </w:r>
      <w:r>
        <w:rPr>
          <w:rFonts w:hint="eastAsia" w:ascii="宋体" w:hAnsi="宋体"/>
          <w:color w:val="auto"/>
          <w:szCs w:val="21"/>
          <w:highlight w:val="none"/>
        </w:rPr>
        <w:t>-（评标基准价-投标人的评标总价）/评标基准价×100×0.2（四舍五入，小数点后保留两位有效数字）</w:t>
      </w:r>
    </w:p>
    <w:p w14:paraId="69B23D39">
      <w:pPr>
        <w:tabs>
          <w:tab w:val="left" w:pos="0"/>
        </w:tabs>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d）技术、商务及价格权重分配：</w:t>
      </w:r>
    </w:p>
    <w:tbl>
      <w:tblPr>
        <w:tblStyle w:val="2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9"/>
        <w:gridCol w:w="1920"/>
        <w:gridCol w:w="1860"/>
        <w:gridCol w:w="1755"/>
        <w:gridCol w:w="1820"/>
      </w:tblGrid>
      <w:tr w14:paraId="0BF36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09" w:type="dxa"/>
            <w:noWrap w:val="0"/>
            <w:vAlign w:val="center"/>
          </w:tcPr>
          <w:p w14:paraId="3AAC3844">
            <w:pPr>
              <w:jc w:val="center"/>
              <w:rPr>
                <w:rFonts w:hint="eastAsia" w:ascii="宋体" w:hAnsi="宋体" w:cs="宋体"/>
                <w:color w:val="auto"/>
                <w:highlight w:val="none"/>
              </w:rPr>
            </w:pPr>
            <w:r>
              <w:rPr>
                <w:rFonts w:hint="eastAsia" w:ascii="宋体" w:hAnsi="宋体" w:cs="宋体"/>
                <w:color w:val="auto"/>
                <w:highlight w:val="none"/>
              </w:rPr>
              <w:t>评分项目</w:t>
            </w:r>
          </w:p>
        </w:tc>
        <w:tc>
          <w:tcPr>
            <w:tcW w:w="1920" w:type="dxa"/>
            <w:noWrap w:val="0"/>
            <w:vAlign w:val="center"/>
          </w:tcPr>
          <w:p w14:paraId="01BE4255">
            <w:pPr>
              <w:jc w:val="center"/>
              <w:rPr>
                <w:rFonts w:hint="eastAsia" w:ascii="宋体" w:hAnsi="宋体" w:cs="宋体"/>
                <w:color w:val="auto"/>
                <w:highlight w:val="none"/>
              </w:rPr>
            </w:pPr>
            <w:r>
              <w:rPr>
                <w:rFonts w:hint="eastAsia" w:ascii="宋体" w:hAnsi="宋体" w:cs="宋体"/>
                <w:color w:val="auto"/>
                <w:highlight w:val="none"/>
              </w:rPr>
              <w:t>技术评分</w:t>
            </w:r>
          </w:p>
        </w:tc>
        <w:tc>
          <w:tcPr>
            <w:tcW w:w="1860" w:type="dxa"/>
            <w:noWrap w:val="0"/>
            <w:vAlign w:val="center"/>
          </w:tcPr>
          <w:p w14:paraId="2317BF89">
            <w:pPr>
              <w:jc w:val="center"/>
              <w:rPr>
                <w:rFonts w:hint="eastAsia" w:ascii="宋体" w:hAnsi="宋体" w:cs="宋体"/>
                <w:color w:val="auto"/>
                <w:highlight w:val="none"/>
              </w:rPr>
            </w:pPr>
            <w:r>
              <w:rPr>
                <w:rFonts w:hint="eastAsia" w:ascii="宋体" w:hAnsi="宋体" w:cs="宋体"/>
                <w:color w:val="auto"/>
                <w:highlight w:val="none"/>
              </w:rPr>
              <w:t>商务评分</w:t>
            </w:r>
          </w:p>
        </w:tc>
        <w:tc>
          <w:tcPr>
            <w:tcW w:w="1755" w:type="dxa"/>
            <w:noWrap w:val="0"/>
            <w:vAlign w:val="center"/>
          </w:tcPr>
          <w:p w14:paraId="389CE1C2">
            <w:pPr>
              <w:jc w:val="center"/>
              <w:rPr>
                <w:rFonts w:hint="eastAsia" w:ascii="宋体" w:hAnsi="宋体" w:cs="宋体"/>
                <w:color w:val="auto"/>
                <w:highlight w:val="none"/>
              </w:rPr>
            </w:pPr>
            <w:r>
              <w:rPr>
                <w:rFonts w:hint="eastAsia" w:ascii="宋体" w:hAnsi="宋体" w:cs="宋体"/>
                <w:color w:val="auto"/>
                <w:highlight w:val="none"/>
              </w:rPr>
              <w:t>价格评分</w:t>
            </w:r>
          </w:p>
        </w:tc>
        <w:tc>
          <w:tcPr>
            <w:tcW w:w="1820" w:type="dxa"/>
            <w:noWrap w:val="0"/>
            <w:vAlign w:val="center"/>
          </w:tcPr>
          <w:p w14:paraId="2025DE3B">
            <w:pPr>
              <w:jc w:val="center"/>
              <w:rPr>
                <w:rFonts w:hint="eastAsia" w:ascii="宋体" w:hAnsi="宋体" w:cs="宋体"/>
                <w:color w:val="auto"/>
                <w:highlight w:val="none"/>
              </w:rPr>
            </w:pPr>
            <w:r>
              <w:rPr>
                <w:rFonts w:hint="eastAsia" w:ascii="宋体" w:hAnsi="宋体" w:cs="宋体"/>
                <w:color w:val="auto"/>
                <w:highlight w:val="none"/>
              </w:rPr>
              <w:t>总分</w:t>
            </w:r>
          </w:p>
        </w:tc>
      </w:tr>
      <w:tr w14:paraId="08432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709" w:type="dxa"/>
            <w:noWrap w:val="0"/>
            <w:vAlign w:val="center"/>
          </w:tcPr>
          <w:p w14:paraId="2A58E4BE">
            <w:pPr>
              <w:jc w:val="center"/>
              <w:rPr>
                <w:rFonts w:hint="eastAsia" w:ascii="宋体" w:hAnsi="宋体" w:cs="宋体"/>
                <w:color w:val="auto"/>
                <w:highlight w:val="none"/>
              </w:rPr>
            </w:pPr>
            <w:r>
              <w:rPr>
                <w:rFonts w:hint="eastAsia" w:ascii="宋体" w:hAnsi="宋体" w:cs="宋体"/>
                <w:color w:val="auto"/>
                <w:highlight w:val="none"/>
              </w:rPr>
              <w:t>分值</w:t>
            </w:r>
          </w:p>
        </w:tc>
        <w:tc>
          <w:tcPr>
            <w:tcW w:w="1920" w:type="dxa"/>
            <w:noWrap w:val="0"/>
            <w:vAlign w:val="center"/>
          </w:tcPr>
          <w:p w14:paraId="63E27E1C">
            <w:pPr>
              <w:jc w:val="center"/>
              <w:rPr>
                <w:rFonts w:hint="eastAsia" w:ascii="宋体" w:hAnsi="宋体" w:cs="宋体"/>
                <w:color w:val="auto"/>
                <w:highlight w:val="none"/>
              </w:rPr>
            </w:pPr>
            <w:r>
              <w:rPr>
                <w:rFonts w:hint="eastAsia" w:ascii="宋体" w:hAnsi="宋体" w:cs="宋体"/>
                <w:color w:val="auto"/>
                <w:highlight w:val="none"/>
              </w:rPr>
              <w:t>50</w:t>
            </w:r>
          </w:p>
        </w:tc>
        <w:tc>
          <w:tcPr>
            <w:tcW w:w="1860" w:type="dxa"/>
            <w:noWrap w:val="0"/>
            <w:vAlign w:val="center"/>
          </w:tcPr>
          <w:p w14:paraId="31552E1D">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30</w:t>
            </w:r>
          </w:p>
        </w:tc>
        <w:tc>
          <w:tcPr>
            <w:tcW w:w="1755" w:type="dxa"/>
            <w:noWrap w:val="0"/>
            <w:vAlign w:val="center"/>
          </w:tcPr>
          <w:p w14:paraId="28C7BD1C">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20</w:t>
            </w:r>
          </w:p>
        </w:tc>
        <w:tc>
          <w:tcPr>
            <w:tcW w:w="1820" w:type="dxa"/>
            <w:noWrap w:val="0"/>
            <w:vAlign w:val="center"/>
          </w:tcPr>
          <w:p w14:paraId="06D96AC3">
            <w:pPr>
              <w:jc w:val="center"/>
              <w:rPr>
                <w:rFonts w:hint="eastAsia" w:ascii="宋体" w:hAnsi="宋体" w:cs="宋体"/>
                <w:color w:val="auto"/>
                <w:highlight w:val="none"/>
              </w:rPr>
            </w:pPr>
            <w:r>
              <w:rPr>
                <w:rFonts w:hint="eastAsia" w:ascii="宋体" w:hAnsi="宋体" w:cs="宋体"/>
                <w:color w:val="auto"/>
                <w:highlight w:val="none"/>
              </w:rPr>
              <w:t>100</w:t>
            </w:r>
          </w:p>
        </w:tc>
      </w:tr>
    </w:tbl>
    <w:p w14:paraId="242FE8F9">
      <w:pPr>
        <w:spacing w:line="360" w:lineRule="auto"/>
        <w:ind w:firstLine="420" w:firstLineChars="200"/>
        <w:rPr>
          <w:rFonts w:ascii="宋体" w:hAnsi="宋体"/>
          <w:color w:val="auto"/>
          <w:highlight w:val="none"/>
        </w:rPr>
      </w:pPr>
      <w:bookmarkStart w:id="186" w:name="_Toc32432_WPSOffice_Level1"/>
      <w:bookmarkStart w:id="187" w:name="_Toc12541_WPSOffice_Level1"/>
      <w:bookmarkStart w:id="188" w:name="_Toc32248_WPSOffice_Level1"/>
      <w:r>
        <w:rPr>
          <w:rFonts w:hint="eastAsia" w:ascii="宋体" w:hAnsi="宋体"/>
          <w:color w:val="auto"/>
          <w:highlight w:val="none"/>
        </w:rPr>
        <w:t>e）</w:t>
      </w:r>
      <w:r>
        <w:rPr>
          <w:rFonts w:ascii="宋体" w:hAnsi="宋体"/>
          <w:color w:val="auto"/>
          <w:highlight w:val="none"/>
        </w:rPr>
        <w:t>根据上述技术、商务及价格的综合评分及其权重分配，代入下列公式计算各投标人的总得分。得分统计保留小数点后两位，第三位四舍五入。进入详细评审的各投标人的综合得分，按得分从高到低排名。</w:t>
      </w:r>
    </w:p>
    <w:p w14:paraId="2BA99F6E">
      <w:pPr>
        <w:spacing w:line="360" w:lineRule="auto"/>
        <w:ind w:firstLine="420" w:firstLineChars="200"/>
        <w:rPr>
          <w:rFonts w:ascii="宋体" w:hAnsi="宋体"/>
          <w:color w:val="auto"/>
          <w:highlight w:val="none"/>
        </w:rPr>
      </w:pPr>
      <w:r>
        <w:rPr>
          <w:rFonts w:ascii="宋体" w:hAnsi="宋体"/>
          <w:color w:val="auto"/>
          <w:highlight w:val="none"/>
        </w:rPr>
        <w:t>评标总得分=F1+ F2 +F3</w:t>
      </w:r>
    </w:p>
    <w:p w14:paraId="557ECB46">
      <w:pPr>
        <w:spacing w:line="360" w:lineRule="auto"/>
        <w:ind w:firstLine="420" w:firstLineChars="200"/>
        <w:rPr>
          <w:rFonts w:ascii="宋体" w:hAnsi="宋体"/>
          <w:color w:val="auto"/>
          <w:highlight w:val="none"/>
        </w:rPr>
      </w:pPr>
      <w:r>
        <w:rPr>
          <w:rFonts w:ascii="宋体" w:hAnsi="宋体"/>
          <w:color w:val="auto"/>
          <w:highlight w:val="none"/>
        </w:rPr>
        <w:t>其中，F1、F2、F3别为技术、商务及价格评分的汇总得分。</w:t>
      </w:r>
    </w:p>
    <w:p w14:paraId="3628837C">
      <w:pPr>
        <w:spacing w:line="360" w:lineRule="auto"/>
        <w:ind w:firstLine="420" w:firstLineChars="200"/>
        <w:rPr>
          <w:rFonts w:ascii="宋体" w:hAnsi="宋体"/>
          <w:color w:val="auto"/>
          <w:highlight w:val="none"/>
        </w:rPr>
      </w:pPr>
      <w:r>
        <w:rPr>
          <w:rFonts w:hint="eastAsia" w:ascii="宋体" w:hAnsi="宋体"/>
          <w:color w:val="auto"/>
          <w:highlight w:val="none"/>
        </w:rPr>
        <w:t>f）</w:t>
      </w:r>
      <w:r>
        <w:rPr>
          <w:rFonts w:ascii="宋体" w:hAnsi="宋体"/>
          <w:color w:val="auto"/>
          <w:highlight w:val="none"/>
        </w:rPr>
        <w:t>评分统计验算：评分统计的结果数据须经评标委员会验算并确认。</w:t>
      </w:r>
    </w:p>
    <w:p w14:paraId="65F62AF4">
      <w:pPr>
        <w:spacing w:before="120" w:after="120" w:line="360" w:lineRule="auto"/>
        <w:ind w:firstLine="525" w:firstLineChars="250"/>
        <w:rPr>
          <w:rFonts w:ascii="宋体" w:hAnsi="宋体"/>
          <w:bCs/>
          <w:color w:val="auto"/>
          <w:highlight w:val="none"/>
        </w:rPr>
      </w:pPr>
      <w:bookmarkStart w:id="189" w:name="_Toc13353_WPSOffice_Level1"/>
      <w:bookmarkStart w:id="190" w:name="_Toc9514_WPSOffice_Level1"/>
      <w:bookmarkStart w:id="191" w:name="_Toc27012_WPSOffice_Level1"/>
      <w:r>
        <w:rPr>
          <w:rFonts w:ascii="宋体" w:hAnsi="宋体"/>
          <w:bCs/>
          <w:color w:val="auto"/>
          <w:highlight w:val="none"/>
        </w:rPr>
        <w:t>5.5.3中标候选人</w:t>
      </w:r>
      <w:bookmarkEnd w:id="189"/>
      <w:bookmarkEnd w:id="190"/>
      <w:bookmarkEnd w:id="191"/>
    </w:p>
    <w:p w14:paraId="07779846">
      <w:pPr>
        <w:spacing w:line="360" w:lineRule="auto"/>
        <w:ind w:left="300" w:leftChars="143" w:firstLine="210" w:firstLineChars="100"/>
        <w:rPr>
          <w:rFonts w:ascii="宋体" w:hAnsi="宋体"/>
          <w:color w:val="auto"/>
          <w:highlight w:val="none"/>
        </w:rPr>
      </w:pPr>
      <w:r>
        <w:rPr>
          <w:rFonts w:ascii="宋体" w:hAnsi="宋体"/>
          <w:color w:val="auto"/>
          <w:highlight w:val="none"/>
        </w:rPr>
        <w:t>评标委员会按对各投标人的评标总得分由高到低顺序排列，推荐前3名为中标候选人。排名第一的投标人为第一中标候选人，排名第二的投标人为第二中标候选人，排名第三的投标人为第三中标候选人。评标总得分相同的，名次按技术分较高者排名靠前；评标总得分相同</w:t>
      </w:r>
      <w:r>
        <w:rPr>
          <w:rFonts w:hint="eastAsia" w:ascii="宋体" w:hAnsi="宋体"/>
          <w:color w:val="auto"/>
          <w:highlight w:val="none"/>
        </w:rPr>
        <w:t>，</w:t>
      </w:r>
      <w:r>
        <w:rPr>
          <w:rFonts w:ascii="宋体" w:hAnsi="宋体"/>
          <w:color w:val="auto"/>
          <w:highlight w:val="none"/>
        </w:rPr>
        <w:t>且</w:t>
      </w:r>
      <w:r>
        <w:rPr>
          <w:rFonts w:hint="eastAsia" w:ascii="宋体" w:hAnsi="宋体"/>
          <w:color w:val="auto"/>
          <w:highlight w:val="none"/>
        </w:rPr>
        <w:t>技术得分</w:t>
      </w:r>
      <w:r>
        <w:rPr>
          <w:rFonts w:ascii="宋体" w:hAnsi="宋体"/>
          <w:color w:val="auto"/>
          <w:highlight w:val="none"/>
        </w:rPr>
        <w:t>相同的，名次按</w:t>
      </w:r>
      <w:r>
        <w:rPr>
          <w:rFonts w:hint="eastAsia" w:ascii="宋体" w:hAnsi="宋体"/>
          <w:color w:val="auto"/>
          <w:highlight w:val="none"/>
        </w:rPr>
        <w:t>商务</w:t>
      </w:r>
      <w:r>
        <w:rPr>
          <w:rFonts w:ascii="宋体" w:hAnsi="宋体"/>
          <w:color w:val="auto"/>
          <w:highlight w:val="none"/>
        </w:rPr>
        <w:t>分较高者排名靠前；评标总得分相同、</w:t>
      </w:r>
      <w:r>
        <w:rPr>
          <w:rFonts w:hint="eastAsia" w:ascii="宋体" w:hAnsi="宋体"/>
          <w:color w:val="auto"/>
          <w:highlight w:val="none"/>
        </w:rPr>
        <w:t>商务评分</w:t>
      </w:r>
      <w:r>
        <w:rPr>
          <w:rFonts w:ascii="宋体" w:hAnsi="宋体"/>
          <w:color w:val="auto"/>
          <w:highlight w:val="none"/>
        </w:rPr>
        <w:t>和技术评分均相同的，名次由评标委员会投票决定；最后，评标委员会写出评标报告，将推荐的中标候选人报招标人核准。</w:t>
      </w:r>
    </w:p>
    <w:p w14:paraId="5D2A2568">
      <w:pPr>
        <w:spacing w:line="360" w:lineRule="auto"/>
        <w:rPr>
          <w:rFonts w:ascii="宋体" w:hAnsi="宋体"/>
          <w:color w:val="auto"/>
          <w:szCs w:val="21"/>
          <w:highlight w:val="none"/>
        </w:rPr>
      </w:pPr>
      <w:r>
        <w:rPr>
          <w:rFonts w:ascii="宋体" w:hAnsi="宋体"/>
          <w:color w:val="auto"/>
          <w:szCs w:val="21"/>
          <w:highlight w:val="none"/>
        </w:rPr>
        <w:t xml:space="preserve"> </w:t>
      </w:r>
    </w:p>
    <w:p w14:paraId="784AC0B6">
      <w:pPr>
        <w:tabs>
          <w:tab w:val="left" w:pos="824"/>
        </w:tabs>
        <w:spacing w:line="360" w:lineRule="auto"/>
        <w:ind w:firstLine="525" w:firstLineChars="250"/>
        <w:rPr>
          <w:rFonts w:ascii="宋体" w:hAnsi="宋体"/>
          <w:color w:val="auto"/>
          <w:highlight w:val="none"/>
        </w:rPr>
      </w:pPr>
      <w:r>
        <w:rPr>
          <w:rFonts w:ascii="宋体" w:hAnsi="宋体"/>
          <w:color w:val="auto"/>
          <w:highlight w:val="none"/>
        </w:rPr>
        <w:t xml:space="preserve">附表1    </w:t>
      </w:r>
      <w:r>
        <w:rPr>
          <w:rFonts w:hint="eastAsia" w:ascii="宋体" w:hAnsi="宋体"/>
          <w:color w:val="auto"/>
          <w:highlight w:val="none"/>
        </w:rPr>
        <w:t>符合性审查表（阶段一）</w:t>
      </w:r>
    </w:p>
    <w:p w14:paraId="417348A7">
      <w:pPr>
        <w:tabs>
          <w:tab w:val="left" w:pos="824"/>
        </w:tabs>
        <w:spacing w:line="360" w:lineRule="auto"/>
        <w:ind w:firstLine="525" w:firstLineChars="250"/>
        <w:rPr>
          <w:rFonts w:hint="eastAsia" w:ascii="宋体" w:hAnsi="宋体"/>
          <w:color w:val="auto"/>
          <w:highlight w:val="none"/>
        </w:rPr>
      </w:pPr>
      <w:r>
        <w:rPr>
          <w:rFonts w:ascii="宋体" w:hAnsi="宋体"/>
          <w:color w:val="auto"/>
          <w:highlight w:val="none"/>
        </w:rPr>
        <w:t xml:space="preserve">附表2    </w:t>
      </w:r>
      <w:r>
        <w:rPr>
          <w:rFonts w:hint="eastAsia" w:ascii="宋体" w:hAnsi="宋体"/>
          <w:color w:val="auto"/>
          <w:highlight w:val="none"/>
        </w:rPr>
        <w:t>技术评分表</w:t>
      </w:r>
    </w:p>
    <w:p w14:paraId="538E9248">
      <w:pPr>
        <w:tabs>
          <w:tab w:val="left" w:pos="824"/>
        </w:tabs>
        <w:spacing w:line="360" w:lineRule="auto"/>
        <w:ind w:firstLine="525" w:firstLineChars="250"/>
        <w:rPr>
          <w:rFonts w:ascii="宋体" w:hAnsi="宋体"/>
          <w:color w:val="auto"/>
          <w:highlight w:val="none"/>
        </w:rPr>
      </w:pPr>
      <w:r>
        <w:rPr>
          <w:rFonts w:ascii="宋体" w:hAnsi="宋体"/>
          <w:color w:val="auto"/>
          <w:highlight w:val="none"/>
        </w:rPr>
        <w:t>附表3    商务</w:t>
      </w:r>
      <w:r>
        <w:rPr>
          <w:rFonts w:hint="eastAsia" w:ascii="宋体" w:hAnsi="宋体"/>
          <w:color w:val="auto"/>
          <w:highlight w:val="none"/>
        </w:rPr>
        <w:t>评分表</w:t>
      </w:r>
    </w:p>
    <w:p w14:paraId="4C439975">
      <w:pPr>
        <w:tabs>
          <w:tab w:val="left" w:pos="824"/>
        </w:tabs>
        <w:spacing w:line="360" w:lineRule="auto"/>
        <w:ind w:firstLine="525" w:firstLineChars="250"/>
        <w:rPr>
          <w:rFonts w:hint="eastAsia" w:ascii="宋体" w:hAnsi="宋体" w:cs="宋体"/>
          <w:color w:val="auto"/>
          <w:highlight w:val="none"/>
        </w:rPr>
      </w:pPr>
      <w:r>
        <w:rPr>
          <w:rFonts w:ascii="宋体" w:hAnsi="宋体"/>
          <w:color w:val="auto"/>
          <w:highlight w:val="none"/>
        </w:rPr>
        <w:t>附表</w:t>
      </w:r>
      <w:r>
        <w:rPr>
          <w:rFonts w:hint="eastAsia" w:ascii="宋体" w:hAnsi="宋体"/>
          <w:color w:val="auto"/>
          <w:highlight w:val="none"/>
        </w:rPr>
        <w:t>4</w:t>
      </w:r>
      <w:r>
        <w:rPr>
          <w:rFonts w:ascii="宋体" w:hAnsi="宋体"/>
          <w:color w:val="auto"/>
          <w:highlight w:val="none"/>
        </w:rPr>
        <w:t xml:space="preserve">    </w:t>
      </w:r>
      <w:r>
        <w:rPr>
          <w:rFonts w:hint="eastAsia" w:ascii="宋体" w:hAnsi="宋体"/>
          <w:color w:val="auto"/>
          <w:highlight w:val="none"/>
        </w:rPr>
        <w:t>符合性审查表（阶段二）</w:t>
      </w:r>
    </w:p>
    <w:bookmarkEnd w:id="186"/>
    <w:bookmarkEnd w:id="187"/>
    <w:bookmarkEnd w:id="188"/>
    <w:p w14:paraId="13006EE5">
      <w:pPr>
        <w:rPr>
          <w:rFonts w:hint="eastAsia" w:ascii="宋体" w:hAnsi="宋体" w:cs="宋体"/>
          <w:color w:val="auto"/>
          <w:highlight w:val="none"/>
        </w:rPr>
      </w:pPr>
    </w:p>
    <w:p w14:paraId="5DE5CEE8">
      <w:pPr>
        <w:rPr>
          <w:rFonts w:hint="eastAsia" w:ascii="宋体" w:hAnsi="宋体" w:cs="宋体"/>
          <w:color w:val="auto"/>
          <w:highlight w:val="none"/>
        </w:rPr>
      </w:pPr>
    </w:p>
    <w:p w14:paraId="0CB4FE3D">
      <w:pPr>
        <w:rPr>
          <w:rFonts w:hint="eastAsia" w:ascii="宋体" w:hAnsi="宋体" w:cs="宋体"/>
          <w:color w:val="auto"/>
          <w:highlight w:val="none"/>
        </w:rPr>
      </w:pPr>
      <w:r>
        <w:rPr>
          <w:rFonts w:hint="eastAsia" w:ascii="宋体" w:hAnsi="宋体" w:cs="宋体"/>
          <w:color w:val="auto"/>
          <w:highlight w:val="none"/>
        </w:rPr>
        <w:br w:type="page"/>
      </w:r>
    </w:p>
    <w:p w14:paraId="03A58710">
      <w:pPr>
        <w:rPr>
          <w:rFonts w:hint="eastAsia" w:ascii="宋体" w:hAnsi="宋体" w:cs="宋体"/>
          <w:color w:val="auto"/>
          <w:highlight w:val="none"/>
        </w:rPr>
      </w:pPr>
    </w:p>
    <w:p w14:paraId="7AAE81D3">
      <w:pPr>
        <w:rPr>
          <w:rFonts w:hint="eastAsia" w:ascii="宋体" w:hAnsi="宋体" w:cs="宋体"/>
          <w:color w:val="auto"/>
          <w:highlight w:val="none"/>
        </w:rPr>
      </w:pPr>
    </w:p>
    <w:p w14:paraId="455F07D3">
      <w:pPr>
        <w:spacing w:line="360" w:lineRule="auto"/>
        <w:rPr>
          <w:rFonts w:hint="eastAsia" w:ascii="宋体" w:hAnsi="宋体" w:cs="宋体"/>
          <w:b/>
          <w:color w:val="auto"/>
          <w:szCs w:val="24"/>
          <w:highlight w:val="none"/>
        </w:rPr>
      </w:pPr>
      <w:r>
        <w:rPr>
          <w:rFonts w:hint="eastAsia" w:ascii="宋体" w:hAnsi="宋体" w:cs="宋体"/>
          <w:b/>
          <w:color w:val="auto"/>
          <w:szCs w:val="24"/>
          <w:highlight w:val="none"/>
        </w:rPr>
        <w:t>附表1：</w:t>
      </w:r>
      <w:r>
        <w:rPr>
          <w:rFonts w:hint="eastAsia" w:ascii="宋体" w:hAnsi="宋体"/>
          <w:b/>
          <w:color w:val="auto"/>
          <w:szCs w:val="24"/>
          <w:highlight w:val="none"/>
        </w:rPr>
        <w:t>符合性审查表（阶段一）</w:t>
      </w:r>
    </w:p>
    <w:p w14:paraId="7D2637FF">
      <w:pPr>
        <w:jc w:val="center"/>
        <w:rPr>
          <w:rFonts w:hint="eastAsia" w:ascii="宋体" w:hAnsi="宋体"/>
          <w:b/>
          <w:color w:val="auto"/>
          <w:sz w:val="28"/>
          <w:szCs w:val="28"/>
          <w:highlight w:val="none"/>
        </w:rPr>
      </w:pPr>
      <w:bookmarkStart w:id="192" w:name="_Toc18088_WPSOffice_Level1"/>
      <w:bookmarkStart w:id="193" w:name="_Toc23841_WPSOffice_Level1"/>
      <w:bookmarkStart w:id="194" w:name="_Toc2981_WPSOffice_Level1"/>
      <w:r>
        <w:rPr>
          <w:rFonts w:hint="eastAsia" w:ascii="宋体" w:hAnsi="宋体"/>
          <w:b/>
          <w:color w:val="auto"/>
          <w:sz w:val="28"/>
          <w:szCs w:val="28"/>
          <w:highlight w:val="none"/>
        </w:rPr>
        <w:t>符合性审查表（阶段一）</w:t>
      </w:r>
    </w:p>
    <w:tbl>
      <w:tblPr>
        <w:tblStyle w:val="23"/>
        <w:tblW w:w="0" w:type="auto"/>
        <w:tblInd w:w="0" w:type="dxa"/>
        <w:tblLayout w:type="fixed"/>
        <w:tblCellMar>
          <w:top w:w="0" w:type="dxa"/>
          <w:left w:w="0" w:type="dxa"/>
          <w:bottom w:w="0" w:type="dxa"/>
          <w:right w:w="0" w:type="dxa"/>
        </w:tblCellMar>
      </w:tblPr>
      <w:tblGrid>
        <w:gridCol w:w="559"/>
        <w:gridCol w:w="4225"/>
        <w:gridCol w:w="746"/>
        <w:gridCol w:w="744"/>
        <w:gridCol w:w="744"/>
        <w:gridCol w:w="744"/>
        <w:gridCol w:w="744"/>
        <w:gridCol w:w="766"/>
      </w:tblGrid>
      <w:tr w14:paraId="48494653">
        <w:tblPrEx>
          <w:tblCellMar>
            <w:top w:w="0" w:type="dxa"/>
            <w:left w:w="0" w:type="dxa"/>
            <w:bottom w:w="0" w:type="dxa"/>
            <w:right w:w="0" w:type="dxa"/>
          </w:tblCellMar>
        </w:tblPrEx>
        <w:trPr>
          <w:trHeight w:val="90" w:hRule="atLeast"/>
        </w:trPr>
        <w:tc>
          <w:tcPr>
            <w:tcW w:w="559"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00460E48">
            <w:pPr>
              <w:jc w:val="center"/>
              <w:rPr>
                <w:rFonts w:hint="eastAsia" w:ascii="宋体" w:hAnsi="宋体" w:cs="宋体"/>
                <w:color w:val="auto"/>
                <w:szCs w:val="21"/>
                <w:highlight w:val="none"/>
              </w:rPr>
            </w:pPr>
            <w:bookmarkStart w:id="195" w:name="OLE_LINK2"/>
            <w:r>
              <w:rPr>
                <w:rFonts w:hint="eastAsia" w:ascii="宋体" w:hAnsi="宋体" w:cs="宋体"/>
                <w:color w:val="auto"/>
                <w:szCs w:val="21"/>
                <w:highlight w:val="none"/>
              </w:rPr>
              <w:t>序号</w:t>
            </w:r>
          </w:p>
        </w:tc>
        <w:tc>
          <w:tcPr>
            <w:tcW w:w="4225" w:type="dxa"/>
            <w:vMerge w:val="restart"/>
            <w:tcBorders>
              <w:top w:val="single" w:color="auto" w:sz="4" w:space="0"/>
              <w:left w:val="nil"/>
              <w:right w:val="single" w:color="auto" w:sz="4" w:space="0"/>
            </w:tcBorders>
            <w:noWrap w:val="0"/>
            <w:tcMar>
              <w:top w:w="15" w:type="dxa"/>
              <w:left w:w="15" w:type="dxa"/>
              <w:bottom w:w="0" w:type="dxa"/>
              <w:right w:w="15" w:type="dxa"/>
            </w:tcMar>
            <w:vAlign w:val="center"/>
          </w:tcPr>
          <w:p w14:paraId="3D108BE1">
            <w:pPr>
              <w:jc w:val="center"/>
              <w:rPr>
                <w:rFonts w:hint="eastAsia" w:ascii="宋体" w:hAnsi="宋体" w:cs="宋体"/>
                <w:color w:val="auto"/>
                <w:szCs w:val="21"/>
                <w:highlight w:val="none"/>
              </w:rPr>
            </w:pPr>
            <w:r>
              <w:rPr>
                <w:rFonts w:hint="eastAsia" w:ascii="宋体" w:hAnsi="宋体" w:cs="宋体"/>
                <w:color w:val="auto"/>
                <w:szCs w:val="21"/>
                <w:highlight w:val="none"/>
              </w:rPr>
              <w:t>审查项目</w:t>
            </w:r>
          </w:p>
        </w:tc>
        <w:tc>
          <w:tcPr>
            <w:tcW w:w="4488" w:type="dxa"/>
            <w:gridSpan w:val="6"/>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4CD9872">
            <w:pPr>
              <w:jc w:val="center"/>
              <w:rPr>
                <w:rFonts w:hint="eastAsia" w:ascii="宋体" w:hAnsi="宋体" w:cs="宋体"/>
                <w:color w:val="auto"/>
                <w:szCs w:val="21"/>
                <w:highlight w:val="none"/>
              </w:rPr>
            </w:pPr>
            <w:r>
              <w:rPr>
                <w:rFonts w:hint="eastAsia" w:ascii="宋体" w:hAnsi="宋体" w:cs="宋体"/>
                <w:color w:val="auto"/>
                <w:szCs w:val="21"/>
                <w:highlight w:val="none"/>
              </w:rPr>
              <w:t>投标人</w:t>
            </w:r>
          </w:p>
        </w:tc>
      </w:tr>
      <w:tr w14:paraId="65F965CA">
        <w:tblPrEx>
          <w:tblCellMar>
            <w:top w:w="0" w:type="dxa"/>
            <w:left w:w="0" w:type="dxa"/>
            <w:bottom w:w="0" w:type="dxa"/>
            <w:right w:w="0" w:type="dxa"/>
          </w:tblCellMar>
        </w:tblPrEx>
        <w:trPr>
          <w:trHeight w:val="211" w:hRule="atLeast"/>
        </w:trPr>
        <w:tc>
          <w:tcPr>
            <w:tcW w:w="559"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258D18B">
            <w:pPr>
              <w:jc w:val="center"/>
              <w:rPr>
                <w:rFonts w:hint="eastAsia" w:ascii="宋体" w:hAnsi="宋体" w:cs="宋体"/>
                <w:color w:val="auto"/>
                <w:szCs w:val="21"/>
                <w:highlight w:val="none"/>
              </w:rPr>
            </w:pPr>
          </w:p>
        </w:tc>
        <w:tc>
          <w:tcPr>
            <w:tcW w:w="4225" w:type="dxa"/>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14:paraId="73DA0A77">
            <w:pPr>
              <w:jc w:val="center"/>
              <w:rPr>
                <w:rFonts w:hint="eastAsia" w:ascii="宋体" w:hAnsi="宋体" w:cs="宋体"/>
                <w:color w:val="auto"/>
                <w:szCs w:val="21"/>
                <w:highlight w:val="none"/>
              </w:rPr>
            </w:pPr>
          </w:p>
        </w:tc>
        <w:tc>
          <w:tcPr>
            <w:tcW w:w="74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611950C">
            <w:pPr>
              <w:jc w:val="center"/>
              <w:rPr>
                <w:rFonts w:hint="eastAsia" w:ascii="宋体" w:hAnsi="宋体" w:cs="宋体"/>
                <w:color w:val="auto"/>
                <w:szCs w:val="21"/>
                <w:highlight w:val="none"/>
              </w:rPr>
            </w:pPr>
            <w:r>
              <w:rPr>
                <w:rFonts w:hint="eastAsia" w:ascii="宋体" w:hAnsi="宋体" w:cs="宋体"/>
                <w:color w:val="auto"/>
                <w:szCs w:val="21"/>
                <w:highlight w:val="none"/>
              </w:rPr>
              <w:t>A</w:t>
            </w: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B02FA23">
            <w:pPr>
              <w:jc w:val="center"/>
              <w:rPr>
                <w:rFonts w:hint="eastAsia" w:ascii="宋体" w:hAnsi="宋体" w:cs="宋体"/>
                <w:color w:val="auto"/>
                <w:szCs w:val="21"/>
                <w:highlight w:val="none"/>
              </w:rPr>
            </w:pPr>
            <w:r>
              <w:rPr>
                <w:rFonts w:hint="eastAsia" w:ascii="宋体" w:hAnsi="宋体" w:cs="宋体"/>
                <w:color w:val="auto"/>
                <w:szCs w:val="21"/>
                <w:highlight w:val="none"/>
              </w:rPr>
              <w:t>B</w:t>
            </w: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925931F">
            <w:pPr>
              <w:jc w:val="center"/>
              <w:rPr>
                <w:rFonts w:hint="eastAsia" w:ascii="宋体" w:hAnsi="宋体" w:cs="宋体"/>
                <w:color w:val="auto"/>
                <w:szCs w:val="21"/>
                <w:highlight w:val="none"/>
              </w:rPr>
            </w:pPr>
            <w:r>
              <w:rPr>
                <w:rFonts w:hint="eastAsia" w:ascii="宋体" w:hAnsi="宋体" w:cs="宋体"/>
                <w:color w:val="auto"/>
                <w:szCs w:val="21"/>
                <w:highlight w:val="none"/>
              </w:rPr>
              <w:t>C</w:t>
            </w: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9F8F6F4">
            <w:pPr>
              <w:jc w:val="center"/>
              <w:rPr>
                <w:rFonts w:hint="eastAsia" w:ascii="宋体" w:hAnsi="宋体" w:cs="宋体"/>
                <w:color w:val="auto"/>
                <w:szCs w:val="21"/>
                <w:highlight w:val="none"/>
              </w:rPr>
            </w:pPr>
            <w:r>
              <w:rPr>
                <w:rFonts w:hint="eastAsia" w:ascii="宋体" w:hAnsi="宋体" w:cs="宋体"/>
                <w:color w:val="auto"/>
                <w:szCs w:val="21"/>
                <w:highlight w:val="none"/>
              </w:rPr>
              <w:t>D</w:t>
            </w:r>
          </w:p>
        </w:tc>
        <w:tc>
          <w:tcPr>
            <w:tcW w:w="744" w:type="dxa"/>
            <w:tcBorders>
              <w:top w:val="single" w:color="auto" w:sz="4" w:space="0"/>
              <w:left w:val="nil"/>
              <w:bottom w:val="single" w:color="auto" w:sz="4" w:space="0"/>
              <w:right w:val="single" w:color="auto" w:sz="4" w:space="0"/>
            </w:tcBorders>
            <w:noWrap w:val="0"/>
            <w:vAlign w:val="center"/>
          </w:tcPr>
          <w:p w14:paraId="453776F9">
            <w:pPr>
              <w:jc w:val="center"/>
              <w:rPr>
                <w:rFonts w:hint="eastAsia" w:ascii="宋体" w:hAnsi="宋体" w:cs="宋体"/>
                <w:color w:val="auto"/>
                <w:szCs w:val="21"/>
                <w:highlight w:val="none"/>
              </w:rPr>
            </w:pPr>
            <w:r>
              <w:rPr>
                <w:rFonts w:hint="eastAsia" w:ascii="宋体" w:hAnsi="宋体" w:cs="宋体"/>
                <w:color w:val="auto"/>
                <w:szCs w:val="21"/>
                <w:highlight w:val="none"/>
              </w:rPr>
              <w:t>E</w:t>
            </w:r>
          </w:p>
        </w:tc>
        <w:tc>
          <w:tcPr>
            <w:tcW w:w="766" w:type="dxa"/>
            <w:tcBorders>
              <w:top w:val="single" w:color="auto" w:sz="4" w:space="0"/>
              <w:left w:val="nil"/>
              <w:bottom w:val="single" w:color="auto" w:sz="4" w:space="0"/>
              <w:right w:val="single" w:color="auto" w:sz="4" w:space="0"/>
            </w:tcBorders>
            <w:noWrap w:val="0"/>
            <w:vAlign w:val="center"/>
          </w:tcPr>
          <w:p w14:paraId="6C5C8FDF">
            <w:pPr>
              <w:jc w:val="center"/>
              <w:rPr>
                <w:rFonts w:hint="eastAsia" w:ascii="宋体" w:hAnsi="宋体" w:cs="宋体"/>
                <w:color w:val="auto"/>
                <w:szCs w:val="21"/>
                <w:highlight w:val="none"/>
              </w:rPr>
            </w:pPr>
            <w:r>
              <w:rPr>
                <w:rFonts w:hint="eastAsia" w:ascii="宋体" w:hAnsi="宋体" w:cs="宋体"/>
                <w:bCs/>
                <w:color w:val="auto"/>
                <w:kern w:val="0"/>
                <w:szCs w:val="21"/>
                <w:highlight w:val="none"/>
              </w:rPr>
              <w:t>...</w:t>
            </w:r>
          </w:p>
        </w:tc>
      </w:tr>
      <w:tr w14:paraId="7924F247">
        <w:tblPrEx>
          <w:tblCellMar>
            <w:top w:w="0" w:type="dxa"/>
            <w:left w:w="0" w:type="dxa"/>
            <w:bottom w:w="0" w:type="dxa"/>
            <w:right w:w="0" w:type="dxa"/>
          </w:tblCellMar>
        </w:tblPrEx>
        <w:trPr>
          <w:trHeight w:val="609" w:hRule="atLeast"/>
        </w:trPr>
        <w:tc>
          <w:tcPr>
            <w:tcW w:w="5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87DB1F">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22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3EE5C11">
            <w:pPr>
              <w:rPr>
                <w:rFonts w:hint="eastAsia" w:ascii="宋体" w:hAnsi="宋体" w:cs="宋体"/>
                <w:color w:val="auto"/>
                <w:szCs w:val="21"/>
                <w:highlight w:val="none"/>
              </w:rPr>
            </w:pPr>
            <w:r>
              <w:rPr>
                <w:rFonts w:hint="eastAsia" w:ascii="宋体" w:hAnsi="宋体" w:cs="宋体"/>
                <w:color w:val="auto"/>
                <w:szCs w:val="21"/>
                <w:highlight w:val="none"/>
              </w:rPr>
              <w:t>符合合格投标人资格条件；</w:t>
            </w:r>
          </w:p>
        </w:tc>
        <w:tc>
          <w:tcPr>
            <w:tcW w:w="74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AAA6A8C">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F4D3308">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5B99F7E">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03D4F6F">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vAlign w:val="center"/>
          </w:tcPr>
          <w:p w14:paraId="6A90554E">
            <w:pPr>
              <w:jc w:val="center"/>
              <w:rPr>
                <w:rFonts w:hint="eastAsia" w:ascii="宋体" w:hAnsi="宋体" w:cs="宋体"/>
                <w:color w:val="auto"/>
                <w:szCs w:val="21"/>
                <w:highlight w:val="none"/>
              </w:rPr>
            </w:pPr>
          </w:p>
        </w:tc>
        <w:tc>
          <w:tcPr>
            <w:tcW w:w="766" w:type="dxa"/>
            <w:tcBorders>
              <w:top w:val="nil"/>
              <w:left w:val="nil"/>
              <w:bottom w:val="single" w:color="auto" w:sz="4" w:space="0"/>
              <w:right w:val="single" w:color="auto" w:sz="4" w:space="0"/>
            </w:tcBorders>
            <w:noWrap w:val="0"/>
            <w:vAlign w:val="center"/>
          </w:tcPr>
          <w:p w14:paraId="230460FD">
            <w:pPr>
              <w:jc w:val="center"/>
              <w:rPr>
                <w:rFonts w:hint="eastAsia" w:ascii="宋体" w:hAnsi="宋体" w:cs="宋体"/>
                <w:color w:val="auto"/>
                <w:szCs w:val="21"/>
                <w:highlight w:val="none"/>
              </w:rPr>
            </w:pPr>
          </w:p>
        </w:tc>
      </w:tr>
      <w:tr w14:paraId="7CE1117F">
        <w:tblPrEx>
          <w:tblCellMar>
            <w:top w:w="0" w:type="dxa"/>
            <w:left w:w="0" w:type="dxa"/>
            <w:bottom w:w="0" w:type="dxa"/>
            <w:right w:w="0" w:type="dxa"/>
          </w:tblCellMar>
        </w:tblPrEx>
        <w:trPr>
          <w:trHeight w:val="609" w:hRule="atLeast"/>
        </w:trPr>
        <w:tc>
          <w:tcPr>
            <w:tcW w:w="55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45008E5">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422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BC47807">
            <w:pPr>
              <w:rPr>
                <w:rFonts w:hint="eastAsia" w:ascii="宋体" w:hAnsi="宋体" w:cs="宋体"/>
                <w:color w:val="auto"/>
                <w:szCs w:val="21"/>
                <w:highlight w:val="none"/>
              </w:rPr>
            </w:pPr>
            <w:r>
              <w:rPr>
                <w:rFonts w:hint="eastAsia" w:ascii="宋体" w:hAnsi="宋体" w:cs="宋体"/>
                <w:color w:val="auto"/>
                <w:szCs w:val="21"/>
                <w:highlight w:val="none"/>
              </w:rPr>
              <w:t>投标文件按招标文件规定要求签署及盖章，由授权代表签署时有法定代表人出具的授权委托书；</w:t>
            </w:r>
          </w:p>
        </w:tc>
        <w:tc>
          <w:tcPr>
            <w:tcW w:w="74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8D295E6">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0DEBF13">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0BAE271">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188C8D1">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vAlign w:val="center"/>
          </w:tcPr>
          <w:p w14:paraId="38756FD8">
            <w:pPr>
              <w:jc w:val="center"/>
              <w:rPr>
                <w:rFonts w:hint="eastAsia" w:ascii="宋体" w:hAnsi="宋体" w:cs="宋体"/>
                <w:color w:val="auto"/>
                <w:szCs w:val="21"/>
                <w:highlight w:val="none"/>
              </w:rPr>
            </w:pPr>
          </w:p>
        </w:tc>
        <w:tc>
          <w:tcPr>
            <w:tcW w:w="766" w:type="dxa"/>
            <w:tcBorders>
              <w:top w:val="nil"/>
              <w:left w:val="nil"/>
              <w:bottom w:val="single" w:color="auto" w:sz="4" w:space="0"/>
              <w:right w:val="single" w:color="auto" w:sz="4" w:space="0"/>
            </w:tcBorders>
            <w:noWrap w:val="0"/>
            <w:vAlign w:val="center"/>
          </w:tcPr>
          <w:p w14:paraId="3A10EE93">
            <w:pPr>
              <w:jc w:val="center"/>
              <w:rPr>
                <w:rFonts w:hint="eastAsia" w:ascii="宋体" w:hAnsi="宋体" w:cs="宋体"/>
                <w:color w:val="auto"/>
                <w:szCs w:val="21"/>
                <w:highlight w:val="none"/>
              </w:rPr>
            </w:pPr>
          </w:p>
        </w:tc>
      </w:tr>
      <w:tr w14:paraId="43D3F801">
        <w:tblPrEx>
          <w:tblCellMar>
            <w:top w:w="0" w:type="dxa"/>
            <w:left w:w="0" w:type="dxa"/>
            <w:bottom w:w="0" w:type="dxa"/>
            <w:right w:w="0" w:type="dxa"/>
          </w:tblCellMar>
        </w:tblPrEx>
        <w:trPr>
          <w:trHeight w:val="403" w:hRule="atLeast"/>
        </w:trPr>
        <w:tc>
          <w:tcPr>
            <w:tcW w:w="55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93716C2">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422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2C60C5E">
            <w:pPr>
              <w:rPr>
                <w:rFonts w:hint="eastAsia" w:ascii="宋体" w:hAnsi="宋体" w:cs="宋体"/>
                <w:color w:val="auto"/>
                <w:szCs w:val="21"/>
                <w:highlight w:val="none"/>
              </w:rPr>
            </w:pPr>
            <w:r>
              <w:rPr>
                <w:rFonts w:hint="eastAsia" w:ascii="宋体" w:hAnsi="宋体" w:cs="宋体"/>
                <w:color w:val="auto"/>
                <w:szCs w:val="21"/>
                <w:highlight w:val="none"/>
              </w:rPr>
              <w:t>投标有效期满足招标文件要求；</w:t>
            </w:r>
          </w:p>
        </w:tc>
        <w:tc>
          <w:tcPr>
            <w:tcW w:w="74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7C24480">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84D3E4F">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549C71C">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C9BFE06">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vAlign w:val="center"/>
          </w:tcPr>
          <w:p w14:paraId="6682815B">
            <w:pPr>
              <w:jc w:val="center"/>
              <w:rPr>
                <w:rFonts w:hint="eastAsia" w:ascii="宋体" w:hAnsi="宋体" w:cs="宋体"/>
                <w:color w:val="auto"/>
                <w:szCs w:val="21"/>
                <w:highlight w:val="none"/>
              </w:rPr>
            </w:pPr>
          </w:p>
        </w:tc>
        <w:tc>
          <w:tcPr>
            <w:tcW w:w="766" w:type="dxa"/>
            <w:tcBorders>
              <w:top w:val="nil"/>
              <w:left w:val="nil"/>
              <w:bottom w:val="single" w:color="auto" w:sz="4" w:space="0"/>
              <w:right w:val="single" w:color="auto" w:sz="4" w:space="0"/>
            </w:tcBorders>
            <w:noWrap w:val="0"/>
            <w:vAlign w:val="center"/>
          </w:tcPr>
          <w:p w14:paraId="5F1DF42F">
            <w:pPr>
              <w:jc w:val="center"/>
              <w:rPr>
                <w:rFonts w:hint="eastAsia" w:ascii="宋体" w:hAnsi="宋体" w:cs="宋体"/>
                <w:color w:val="auto"/>
                <w:szCs w:val="21"/>
                <w:highlight w:val="none"/>
              </w:rPr>
            </w:pPr>
          </w:p>
        </w:tc>
      </w:tr>
      <w:tr w14:paraId="6E15150E">
        <w:tblPrEx>
          <w:tblCellMar>
            <w:top w:w="0" w:type="dxa"/>
            <w:left w:w="0" w:type="dxa"/>
            <w:bottom w:w="0" w:type="dxa"/>
            <w:right w:w="0" w:type="dxa"/>
          </w:tblCellMar>
        </w:tblPrEx>
        <w:trPr>
          <w:trHeight w:val="403" w:hRule="atLeast"/>
        </w:trPr>
        <w:tc>
          <w:tcPr>
            <w:tcW w:w="55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035B225">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422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E756F28">
            <w:pPr>
              <w:rPr>
                <w:rFonts w:hint="eastAsia" w:ascii="宋体" w:hAnsi="宋体" w:cs="宋体"/>
                <w:color w:val="auto"/>
                <w:szCs w:val="21"/>
                <w:highlight w:val="none"/>
              </w:rPr>
            </w:pPr>
            <w:r>
              <w:rPr>
                <w:rFonts w:hint="eastAsia" w:ascii="宋体" w:hAnsi="宋体" w:cs="宋体"/>
                <w:color w:val="auto"/>
                <w:szCs w:val="21"/>
                <w:highlight w:val="none"/>
              </w:rPr>
              <w:t>按招标文件要求提交投标保证金；</w:t>
            </w:r>
          </w:p>
        </w:tc>
        <w:tc>
          <w:tcPr>
            <w:tcW w:w="74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FD096A0">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8DAD5ED">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11A96DD">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3042C07">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vAlign w:val="center"/>
          </w:tcPr>
          <w:p w14:paraId="0238E596">
            <w:pPr>
              <w:jc w:val="center"/>
              <w:rPr>
                <w:rFonts w:hint="eastAsia" w:ascii="宋体" w:hAnsi="宋体" w:cs="宋体"/>
                <w:color w:val="auto"/>
                <w:szCs w:val="21"/>
                <w:highlight w:val="none"/>
              </w:rPr>
            </w:pPr>
          </w:p>
        </w:tc>
        <w:tc>
          <w:tcPr>
            <w:tcW w:w="766" w:type="dxa"/>
            <w:tcBorders>
              <w:top w:val="nil"/>
              <w:left w:val="nil"/>
              <w:bottom w:val="single" w:color="auto" w:sz="4" w:space="0"/>
              <w:right w:val="single" w:color="auto" w:sz="4" w:space="0"/>
            </w:tcBorders>
            <w:noWrap w:val="0"/>
            <w:vAlign w:val="center"/>
          </w:tcPr>
          <w:p w14:paraId="2D6823FF">
            <w:pPr>
              <w:jc w:val="center"/>
              <w:rPr>
                <w:rFonts w:hint="eastAsia" w:ascii="宋体" w:hAnsi="宋体" w:cs="宋体"/>
                <w:color w:val="auto"/>
                <w:szCs w:val="21"/>
                <w:highlight w:val="none"/>
              </w:rPr>
            </w:pPr>
          </w:p>
        </w:tc>
      </w:tr>
      <w:tr w14:paraId="6E5962C5">
        <w:tblPrEx>
          <w:tblCellMar>
            <w:top w:w="0" w:type="dxa"/>
            <w:left w:w="0" w:type="dxa"/>
            <w:bottom w:w="0" w:type="dxa"/>
            <w:right w:w="0" w:type="dxa"/>
          </w:tblCellMar>
        </w:tblPrEx>
        <w:trPr>
          <w:trHeight w:val="609" w:hRule="atLeast"/>
        </w:trPr>
        <w:tc>
          <w:tcPr>
            <w:tcW w:w="55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94516D">
            <w:pPr>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422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46B36F4">
            <w:pPr>
              <w:rPr>
                <w:rFonts w:hint="eastAsia" w:ascii="宋体" w:hAnsi="宋体" w:cs="宋体"/>
                <w:color w:val="auto"/>
                <w:szCs w:val="21"/>
                <w:highlight w:val="none"/>
              </w:rPr>
            </w:pPr>
            <w:r>
              <w:rPr>
                <w:rFonts w:hint="eastAsia" w:ascii="宋体" w:hAnsi="宋体" w:cs="宋体"/>
                <w:color w:val="auto"/>
                <w:szCs w:val="21"/>
                <w:highlight w:val="none"/>
              </w:rPr>
              <w:t>招标文件</w:t>
            </w:r>
            <w:r>
              <w:rPr>
                <w:rFonts w:hint="eastAsia" w:ascii="宋体" w:hAnsi="宋体" w:cs="宋体"/>
                <w:b/>
                <w:color w:val="auto"/>
                <w:szCs w:val="21"/>
                <w:highlight w:val="none"/>
              </w:rPr>
              <w:t>★</w:t>
            </w:r>
            <w:r>
              <w:rPr>
                <w:rFonts w:hint="eastAsia" w:ascii="宋体" w:hAnsi="宋体" w:cs="宋体"/>
                <w:color w:val="auto"/>
                <w:szCs w:val="21"/>
                <w:highlight w:val="none"/>
              </w:rPr>
              <w:t>号条款要求必须满足，投标文件的内容实质性满足招标文件无重大偏离或保留，否则按废标处理，没有出现违反法律、法规规定的情形；</w:t>
            </w:r>
          </w:p>
        </w:tc>
        <w:tc>
          <w:tcPr>
            <w:tcW w:w="74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F4F261B">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4F9742A">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4CC0705">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F7F22AE">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vAlign w:val="center"/>
          </w:tcPr>
          <w:p w14:paraId="037AA933">
            <w:pPr>
              <w:jc w:val="center"/>
              <w:rPr>
                <w:rFonts w:hint="eastAsia" w:ascii="宋体" w:hAnsi="宋体" w:cs="宋体"/>
                <w:color w:val="auto"/>
                <w:szCs w:val="21"/>
                <w:highlight w:val="none"/>
              </w:rPr>
            </w:pPr>
          </w:p>
        </w:tc>
        <w:tc>
          <w:tcPr>
            <w:tcW w:w="766" w:type="dxa"/>
            <w:tcBorders>
              <w:top w:val="nil"/>
              <w:left w:val="nil"/>
              <w:bottom w:val="single" w:color="auto" w:sz="4" w:space="0"/>
              <w:right w:val="single" w:color="auto" w:sz="4" w:space="0"/>
            </w:tcBorders>
            <w:noWrap w:val="0"/>
            <w:vAlign w:val="center"/>
          </w:tcPr>
          <w:p w14:paraId="292287FD">
            <w:pPr>
              <w:jc w:val="center"/>
              <w:rPr>
                <w:rFonts w:hint="eastAsia" w:ascii="宋体" w:hAnsi="宋体" w:cs="宋体"/>
                <w:color w:val="auto"/>
                <w:szCs w:val="21"/>
                <w:highlight w:val="none"/>
              </w:rPr>
            </w:pPr>
          </w:p>
        </w:tc>
      </w:tr>
      <w:tr w14:paraId="2632DF16">
        <w:tblPrEx>
          <w:tblCellMar>
            <w:top w:w="0" w:type="dxa"/>
            <w:left w:w="0" w:type="dxa"/>
            <w:bottom w:w="0" w:type="dxa"/>
            <w:right w:w="0" w:type="dxa"/>
          </w:tblCellMar>
        </w:tblPrEx>
        <w:trPr>
          <w:trHeight w:val="609" w:hRule="atLeast"/>
        </w:trPr>
        <w:tc>
          <w:tcPr>
            <w:tcW w:w="559"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6D502D5">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422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F6BF99F">
            <w:pPr>
              <w:rPr>
                <w:rFonts w:hint="eastAsia" w:ascii="宋体" w:hAnsi="宋体" w:cs="宋体"/>
                <w:color w:val="auto"/>
                <w:szCs w:val="21"/>
                <w:highlight w:val="none"/>
              </w:rPr>
            </w:pPr>
            <w:r>
              <w:rPr>
                <w:rFonts w:hint="eastAsia" w:ascii="宋体" w:hAnsi="宋体" w:cs="宋体"/>
                <w:color w:val="auto"/>
                <w:szCs w:val="21"/>
                <w:highlight w:val="none"/>
              </w:rPr>
              <w:t>投标文件未附有招标人不能接受的条件的。</w:t>
            </w:r>
          </w:p>
        </w:tc>
        <w:tc>
          <w:tcPr>
            <w:tcW w:w="74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32BB7C8">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B213E80">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D5B9934">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3111D43">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vAlign w:val="center"/>
          </w:tcPr>
          <w:p w14:paraId="67419561">
            <w:pPr>
              <w:jc w:val="center"/>
              <w:rPr>
                <w:rFonts w:hint="eastAsia" w:ascii="宋体" w:hAnsi="宋体" w:cs="宋体"/>
                <w:color w:val="auto"/>
                <w:szCs w:val="21"/>
                <w:highlight w:val="none"/>
              </w:rPr>
            </w:pPr>
          </w:p>
        </w:tc>
        <w:tc>
          <w:tcPr>
            <w:tcW w:w="766" w:type="dxa"/>
            <w:tcBorders>
              <w:top w:val="nil"/>
              <w:left w:val="nil"/>
              <w:bottom w:val="single" w:color="auto" w:sz="4" w:space="0"/>
              <w:right w:val="single" w:color="auto" w:sz="4" w:space="0"/>
            </w:tcBorders>
            <w:noWrap w:val="0"/>
            <w:vAlign w:val="center"/>
          </w:tcPr>
          <w:p w14:paraId="611F8437">
            <w:pPr>
              <w:jc w:val="center"/>
              <w:rPr>
                <w:rFonts w:hint="eastAsia" w:ascii="宋体" w:hAnsi="宋体" w:cs="宋体"/>
                <w:color w:val="auto"/>
                <w:szCs w:val="21"/>
                <w:highlight w:val="none"/>
              </w:rPr>
            </w:pPr>
          </w:p>
        </w:tc>
      </w:tr>
      <w:tr w14:paraId="10568C74">
        <w:tblPrEx>
          <w:tblCellMar>
            <w:top w:w="0" w:type="dxa"/>
            <w:left w:w="0" w:type="dxa"/>
            <w:bottom w:w="0" w:type="dxa"/>
            <w:right w:w="0" w:type="dxa"/>
          </w:tblCellMar>
        </w:tblPrEx>
        <w:trPr>
          <w:trHeight w:val="356" w:hRule="atLeast"/>
        </w:trPr>
        <w:tc>
          <w:tcPr>
            <w:tcW w:w="478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A8D764">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结      论</w:t>
            </w:r>
          </w:p>
        </w:tc>
        <w:tc>
          <w:tcPr>
            <w:tcW w:w="74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B479052">
            <w:pPr>
              <w:jc w:val="center"/>
              <w:rPr>
                <w:rFonts w:hint="eastAsia" w:ascii="宋体" w:hAnsi="宋体" w:cs="宋体"/>
                <w:b/>
                <w:bCs/>
                <w:color w:val="auto"/>
                <w:szCs w:val="21"/>
                <w:highlight w:val="none"/>
              </w:rPr>
            </w:pP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D8A3B45">
            <w:pPr>
              <w:jc w:val="center"/>
              <w:rPr>
                <w:rFonts w:hint="eastAsia" w:ascii="宋体" w:hAnsi="宋体" w:cs="宋体"/>
                <w:b/>
                <w:bCs/>
                <w:color w:val="auto"/>
                <w:szCs w:val="21"/>
                <w:highlight w:val="none"/>
              </w:rPr>
            </w:pP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0DD8BAB">
            <w:pPr>
              <w:jc w:val="center"/>
              <w:rPr>
                <w:rFonts w:hint="eastAsia" w:ascii="宋体" w:hAnsi="宋体" w:cs="宋体"/>
                <w:color w:val="auto"/>
                <w:szCs w:val="21"/>
                <w:highlight w:val="none"/>
              </w:rPr>
            </w:pP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183D5D4">
            <w:pPr>
              <w:jc w:val="center"/>
              <w:rPr>
                <w:rFonts w:hint="eastAsia" w:ascii="宋体" w:hAnsi="宋体" w:cs="宋体"/>
                <w:b/>
                <w:bCs/>
                <w:color w:val="auto"/>
                <w:szCs w:val="21"/>
                <w:highlight w:val="none"/>
              </w:rPr>
            </w:pPr>
          </w:p>
        </w:tc>
        <w:tc>
          <w:tcPr>
            <w:tcW w:w="744" w:type="dxa"/>
            <w:tcBorders>
              <w:top w:val="single" w:color="auto" w:sz="4" w:space="0"/>
              <w:left w:val="nil"/>
              <w:bottom w:val="single" w:color="auto" w:sz="4" w:space="0"/>
              <w:right w:val="single" w:color="auto" w:sz="4" w:space="0"/>
            </w:tcBorders>
            <w:noWrap w:val="0"/>
            <w:vAlign w:val="center"/>
          </w:tcPr>
          <w:p w14:paraId="074CA88D">
            <w:pPr>
              <w:jc w:val="center"/>
              <w:rPr>
                <w:rFonts w:hint="eastAsia" w:ascii="宋体" w:hAnsi="宋体" w:cs="宋体"/>
                <w:b/>
                <w:bCs/>
                <w:color w:val="auto"/>
                <w:szCs w:val="21"/>
                <w:highlight w:val="none"/>
              </w:rPr>
            </w:pPr>
          </w:p>
        </w:tc>
        <w:tc>
          <w:tcPr>
            <w:tcW w:w="766" w:type="dxa"/>
            <w:tcBorders>
              <w:top w:val="single" w:color="auto" w:sz="4" w:space="0"/>
              <w:left w:val="nil"/>
              <w:bottom w:val="single" w:color="auto" w:sz="4" w:space="0"/>
              <w:right w:val="single" w:color="auto" w:sz="4" w:space="0"/>
            </w:tcBorders>
            <w:noWrap w:val="0"/>
            <w:vAlign w:val="center"/>
          </w:tcPr>
          <w:p w14:paraId="25C2F460">
            <w:pPr>
              <w:jc w:val="center"/>
              <w:rPr>
                <w:rFonts w:hint="eastAsia" w:ascii="宋体" w:hAnsi="宋体" w:cs="宋体"/>
                <w:b/>
                <w:bCs/>
                <w:color w:val="auto"/>
                <w:szCs w:val="21"/>
                <w:highlight w:val="none"/>
              </w:rPr>
            </w:pPr>
          </w:p>
        </w:tc>
      </w:tr>
      <w:bookmarkEnd w:id="195"/>
    </w:tbl>
    <w:p w14:paraId="291F1EC9">
      <w:pPr>
        <w:spacing w:line="360" w:lineRule="auto"/>
        <w:rPr>
          <w:rFonts w:hint="eastAsia" w:ascii="宋体" w:hAnsi="宋体"/>
          <w:color w:val="auto"/>
          <w:highlight w:val="none"/>
        </w:rPr>
      </w:pPr>
    </w:p>
    <w:p w14:paraId="27E996F3">
      <w:pPr>
        <w:spacing w:line="360" w:lineRule="auto"/>
        <w:rPr>
          <w:rFonts w:hint="eastAsia" w:ascii="宋体" w:hAnsi="宋体"/>
          <w:b/>
          <w:bCs/>
          <w:color w:val="auto"/>
          <w:highlight w:val="none"/>
        </w:rPr>
      </w:pPr>
      <w:r>
        <w:rPr>
          <w:rFonts w:hint="eastAsia" w:ascii="宋体" w:hAnsi="宋体"/>
          <w:b/>
          <w:bCs/>
          <w:color w:val="auto"/>
          <w:highlight w:val="none"/>
        </w:rPr>
        <w:t>备注：</w:t>
      </w:r>
      <w:r>
        <w:rPr>
          <w:rFonts w:ascii="宋体" w:hAnsi="宋体"/>
          <w:b/>
          <w:bCs/>
          <w:color w:val="auto"/>
          <w:highlight w:val="none"/>
        </w:rPr>
        <w:t>1</w:t>
      </w:r>
      <w:r>
        <w:rPr>
          <w:rFonts w:hint="eastAsia" w:ascii="宋体" w:hAnsi="宋体"/>
          <w:b/>
          <w:bCs/>
          <w:color w:val="auto"/>
          <w:highlight w:val="none"/>
        </w:rPr>
        <w:t>、每一项目符合的打“○”，不符合的打“×”；出现一个“×”的结论为不通过。</w:t>
      </w:r>
    </w:p>
    <w:p w14:paraId="74756374">
      <w:pPr>
        <w:spacing w:line="360" w:lineRule="auto"/>
        <w:ind w:firstLine="630"/>
        <w:rPr>
          <w:rFonts w:hint="eastAsia" w:ascii="宋体" w:hAnsi="宋体" w:cs="宋体"/>
          <w:b/>
          <w:bCs/>
          <w:color w:val="auto"/>
          <w:highlight w:val="none"/>
        </w:rPr>
      </w:pPr>
      <w:r>
        <w:rPr>
          <w:rFonts w:ascii="宋体" w:hAnsi="宋体"/>
          <w:b/>
          <w:bCs/>
          <w:color w:val="auto"/>
          <w:highlight w:val="none"/>
        </w:rPr>
        <w:t>2</w:t>
      </w:r>
      <w:r>
        <w:rPr>
          <w:rFonts w:hint="eastAsia" w:ascii="宋体" w:hAnsi="宋体"/>
          <w:b/>
          <w:bCs/>
          <w:color w:val="auto"/>
          <w:highlight w:val="none"/>
        </w:rPr>
        <w:t>、表中全部条件满足的结论为通过</w:t>
      </w:r>
      <w:r>
        <w:rPr>
          <w:rFonts w:ascii="宋体" w:hAnsi="宋体"/>
          <w:b/>
          <w:bCs/>
          <w:color w:val="auto"/>
          <w:highlight w:val="none"/>
        </w:rPr>
        <w:t xml:space="preserve">， </w:t>
      </w:r>
      <w:r>
        <w:rPr>
          <w:rFonts w:hint="eastAsia" w:ascii="宋体" w:hAnsi="宋体"/>
          <w:b/>
          <w:bCs/>
          <w:color w:val="auto"/>
          <w:highlight w:val="none"/>
        </w:rPr>
        <w:t>同意进入下一阶段评议</w:t>
      </w:r>
      <w:r>
        <w:rPr>
          <w:rFonts w:hint="eastAsia" w:ascii="宋体" w:hAnsi="宋体" w:cs="宋体"/>
          <w:b/>
          <w:bCs/>
          <w:color w:val="auto"/>
          <w:highlight w:val="none"/>
        </w:rPr>
        <w:t>。</w:t>
      </w:r>
      <w:bookmarkEnd w:id="192"/>
      <w:bookmarkEnd w:id="193"/>
      <w:bookmarkEnd w:id="194"/>
    </w:p>
    <w:p w14:paraId="14EEBD79">
      <w:pPr>
        <w:jc w:val="left"/>
        <w:rPr>
          <w:rFonts w:hint="eastAsia" w:ascii="宋体" w:hAnsi="宋体" w:cs="宋体"/>
          <w:color w:val="auto"/>
          <w:highlight w:val="none"/>
        </w:rPr>
      </w:pPr>
    </w:p>
    <w:p w14:paraId="34E7A3DE">
      <w:pPr>
        <w:pStyle w:val="2"/>
        <w:rPr>
          <w:rFonts w:hint="eastAsia" w:ascii="宋体" w:hAnsi="宋体" w:cs="宋体"/>
          <w:color w:val="auto"/>
          <w:highlight w:val="none"/>
        </w:rPr>
      </w:pPr>
    </w:p>
    <w:p w14:paraId="2AD0DC64">
      <w:pPr>
        <w:pStyle w:val="16"/>
        <w:rPr>
          <w:rFonts w:hint="eastAsia" w:hAnsi="宋体" w:cs="宋体"/>
          <w:color w:val="auto"/>
          <w:highlight w:val="none"/>
        </w:rPr>
      </w:pPr>
    </w:p>
    <w:p w14:paraId="7CEC2DB8">
      <w:pPr>
        <w:pStyle w:val="16"/>
        <w:rPr>
          <w:rFonts w:hint="eastAsia" w:hAnsi="宋体" w:cs="宋体"/>
          <w:color w:val="auto"/>
          <w:sz w:val="36"/>
          <w:szCs w:val="36"/>
          <w:highlight w:val="none"/>
        </w:rPr>
      </w:pPr>
      <w:r>
        <w:rPr>
          <w:rFonts w:hint="eastAsia" w:hAnsi="宋体" w:cs="宋体"/>
          <w:color w:val="auto"/>
          <w:highlight w:val="none"/>
        </w:rPr>
        <w:br w:type="page"/>
      </w:r>
      <w:bookmarkStart w:id="196" w:name="_Toc30424_WPSOffice_Level1"/>
      <w:bookmarkStart w:id="197" w:name="_Toc1778_WPSOffice_Level1"/>
      <w:bookmarkStart w:id="198" w:name="_Toc16973_WPSOffice_Level1"/>
      <w:r>
        <w:rPr>
          <w:rFonts w:hint="eastAsia" w:hAnsi="宋体" w:cs="宋体"/>
          <w:b/>
          <w:color w:val="auto"/>
          <w:highlight w:val="none"/>
        </w:rPr>
        <w:t>附表2：</w:t>
      </w:r>
      <w:bookmarkEnd w:id="196"/>
      <w:bookmarkEnd w:id="197"/>
      <w:bookmarkEnd w:id="198"/>
      <w:r>
        <w:rPr>
          <w:rFonts w:hint="eastAsia" w:hAnsi="宋体" w:cs="宋体"/>
          <w:b/>
          <w:color w:val="auto"/>
          <w:highlight w:val="none"/>
        </w:rPr>
        <w:t>技术评分表</w:t>
      </w:r>
    </w:p>
    <w:p w14:paraId="3F971490">
      <w:pPr>
        <w:jc w:val="center"/>
        <w:rPr>
          <w:rFonts w:hint="eastAsia" w:ascii="宋体" w:hAnsi="宋体" w:cs="宋体"/>
          <w:b/>
          <w:color w:val="auto"/>
          <w:sz w:val="28"/>
          <w:szCs w:val="28"/>
          <w:highlight w:val="none"/>
        </w:rPr>
      </w:pPr>
      <w:bookmarkStart w:id="199" w:name="_Toc15598_WPSOffice_Level1"/>
      <w:bookmarkStart w:id="200" w:name="_Toc13899_WPSOffice_Level1"/>
      <w:bookmarkStart w:id="201" w:name="_Toc23766_WPSOffice_Level1"/>
      <w:r>
        <w:rPr>
          <w:rFonts w:hint="eastAsia" w:ascii="宋体" w:hAnsi="宋体" w:cs="宋体"/>
          <w:b/>
          <w:color w:val="auto"/>
          <w:sz w:val="28"/>
          <w:szCs w:val="28"/>
          <w:highlight w:val="none"/>
        </w:rPr>
        <w:t>技术评分表</w:t>
      </w:r>
    </w:p>
    <w:tbl>
      <w:tblPr>
        <w:tblStyle w:val="23"/>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04"/>
        <w:gridCol w:w="1449"/>
        <w:gridCol w:w="6873"/>
        <w:gridCol w:w="713"/>
      </w:tblGrid>
      <w:tr w14:paraId="32EE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4" w:hRule="atLeast"/>
        </w:trPr>
        <w:tc>
          <w:tcPr>
            <w:tcW w:w="604" w:type="dxa"/>
            <w:noWrap w:val="0"/>
            <w:vAlign w:val="center"/>
          </w:tcPr>
          <w:p w14:paraId="5E32BC7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449" w:type="dxa"/>
            <w:noWrap w:val="0"/>
            <w:vAlign w:val="center"/>
          </w:tcPr>
          <w:p w14:paraId="54B3592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评审项目</w:t>
            </w:r>
          </w:p>
        </w:tc>
        <w:tc>
          <w:tcPr>
            <w:tcW w:w="6873" w:type="dxa"/>
            <w:tcBorders>
              <w:bottom w:val="single" w:color="auto" w:sz="4" w:space="0"/>
            </w:tcBorders>
            <w:noWrap w:val="0"/>
            <w:vAlign w:val="center"/>
          </w:tcPr>
          <w:p w14:paraId="3D931E9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评分细则</w:t>
            </w:r>
          </w:p>
        </w:tc>
        <w:tc>
          <w:tcPr>
            <w:tcW w:w="713" w:type="dxa"/>
            <w:noWrap w:val="0"/>
            <w:vAlign w:val="center"/>
          </w:tcPr>
          <w:p w14:paraId="4A97499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单项分数</w:t>
            </w:r>
          </w:p>
        </w:tc>
      </w:tr>
      <w:tr w14:paraId="79AF7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trPr>
        <w:tc>
          <w:tcPr>
            <w:tcW w:w="604" w:type="dxa"/>
            <w:noWrap w:val="0"/>
            <w:vAlign w:val="center"/>
          </w:tcPr>
          <w:p w14:paraId="470B4BFE">
            <w:pPr>
              <w:widowControl/>
              <w:adjustRightInd w:val="0"/>
              <w:snapToGrid w:val="0"/>
              <w:spacing w:after="120"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1449" w:type="dxa"/>
            <w:noWrap w:val="0"/>
            <w:vAlign w:val="center"/>
          </w:tcPr>
          <w:p w14:paraId="2262241B">
            <w:pPr>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人员配备方案</w:t>
            </w:r>
          </w:p>
        </w:tc>
        <w:tc>
          <w:tcPr>
            <w:tcW w:w="6873" w:type="dxa"/>
            <w:noWrap w:val="0"/>
            <w:vAlign w:val="center"/>
          </w:tcPr>
          <w:p w14:paraId="0F061BAE">
            <w:pPr>
              <w:pStyle w:val="2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textAlignment w:val="auto"/>
            </w:pPr>
            <w:r>
              <w:t>根据</w:t>
            </w:r>
            <w:r>
              <w:rPr>
                <w:rFonts w:hint="eastAsia"/>
                <w:lang w:val="en-US" w:eastAsia="zh-CN"/>
              </w:rPr>
              <w:t>招标文件第三章用户需求书</w:t>
            </w:r>
            <w:r>
              <w:t>的“</w:t>
            </w:r>
            <w:r>
              <w:rPr>
                <w:rFonts w:hint="eastAsia"/>
                <w:lang w:val="en-US" w:eastAsia="zh-CN"/>
              </w:rPr>
              <w:t>安保人员要求</w:t>
            </w:r>
            <w:r>
              <w:t>”，对投标人提供的人员</w:t>
            </w:r>
            <w:r>
              <w:rPr>
                <w:rFonts w:hint="eastAsia"/>
                <w:lang w:val="en-US" w:eastAsia="zh-CN"/>
              </w:rPr>
              <w:t>配备方案</w:t>
            </w:r>
            <w:r>
              <w:t>进行</w:t>
            </w:r>
            <w:r>
              <w:rPr>
                <w:rFonts w:hint="eastAsia"/>
                <w:lang w:val="en-US" w:eastAsia="zh-CN"/>
              </w:rPr>
              <w:t>综合</w:t>
            </w:r>
            <w:r>
              <w:t>评审：</w:t>
            </w:r>
          </w:p>
          <w:p w14:paraId="7DDD0727">
            <w:pPr>
              <w:pStyle w:val="2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textAlignment w:val="auto"/>
            </w:pPr>
            <w:r>
              <w:rPr>
                <w:rFonts w:hint="eastAsia"/>
                <w:lang w:eastAsia="zh-CN"/>
              </w:rPr>
              <w:t>（</w:t>
            </w:r>
            <w:r>
              <w:rPr>
                <w:rFonts w:hint="eastAsia"/>
                <w:lang w:val="en-US" w:eastAsia="zh-CN"/>
              </w:rPr>
              <w:t>1</w:t>
            </w:r>
            <w:r>
              <w:rPr>
                <w:rFonts w:hint="eastAsia"/>
                <w:lang w:eastAsia="zh-CN"/>
              </w:rPr>
              <w:t>）</w:t>
            </w:r>
            <w:r>
              <w:t>人员配备方案详细、合理，拟派驻本项目的人员</w:t>
            </w:r>
            <w:r>
              <w:rPr>
                <w:rFonts w:hint="eastAsia"/>
                <w:lang w:val="en-US" w:eastAsia="zh-CN"/>
              </w:rPr>
              <w:t>数量及年龄完全符合要求，人员专业素质高，持有与本项目相关专业资格证书人数多，经验丰富，得5分；</w:t>
            </w:r>
          </w:p>
          <w:p w14:paraId="7AA34916">
            <w:pPr>
              <w:pStyle w:val="2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textAlignment w:val="auto"/>
              <w:rPr>
                <w:rFonts w:hint="eastAsia" w:ascii="Times New Roman" w:hAnsi="Times New Roman" w:eastAsia="宋体" w:cs="Times New Roman"/>
                <w:kern w:val="2"/>
                <w:sz w:val="21"/>
                <w:szCs w:val="20"/>
                <w:lang w:val="en-US" w:eastAsia="zh-CN"/>
              </w:rPr>
            </w:pPr>
            <w:r>
              <w:rPr>
                <w:rFonts w:hint="eastAsia"/>
                <w:lang w:eastAsia="zh-CN"/>
              </w:rPr>
              <w:t>（</w:t>
            </w:r>
            <w:r>
              <w:rPr>
                <w:rFonts w:hint="eastAsia"/>
                <w:lang w:val="en-US" w:eastAsia="zh-CN"/>
              </w:rPr>
              <w:t>2</w:t>
            </w:r>
            <w:r>
              <w:rPr>
                <w:rFonts w:hint="eastAsia"/>
                <w:lang w:eastAsia="zh-CN"/>
              </w:rPr>
              <w:t>）</w:t>
            </w:r>
            <w:r>
              <w:t>人员配备方案</w:t>
            </w:r>
            <w:r>
              <w:rPr>
                <w:rFonts w:hint="eastAsia"/>
                <w:lang w:val="en-US" w:eastAsia="zh-CN"/>
              </w:rPr>
              <w:t>较</w:t>
            </w:r>
            <w:r>
              <w:t>详细、合理，拟派驻本项目的人员</w:t>
            </w:r>
            <w:r>
              <w:rPr>
                <w:rFonts w:hint="eastAsia"/>
                <w:lang w:val="en-US" w:eastAsia="zh-CN"/>
              </w:rPr>
              <w:t>数量及年龄符合要求，人员专业素质较高，持有与本项目相关专业资格证书人数较多，经验较丰富，得3分；</w:t>
            </w:r>
          </w:p>
          <w:p w14:paraId="0DF5601D">
            <w:pPr>
              <w:pStyle w:val="2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textAlignment w:val="auto"/>
              <w:rPr>
                <w:rFonts w:hint="eastAsia" w:ascii="Times New Roman" w:hAnsi="Times New Roman" w:eastAsia="宋体" w:cs="Times New Roman"/>
                <w:kern w:val="2"/>
                <w:sz w:val="21"/>
                <w:szCs w:val="20"/>
                <w:lang w:val="en-US" w:eastAsia="zh-CN"/>
              </w:rPr>
            </w:pPr>
            <w:r>
              <w:rPr>
                <w:rFonts w:hint="eastAsia"/>
                <w:lang w:eastAsia="zh-CN"/>
              </w:rPr>
              <w:t>（</w:t>
            </w:r>
            <w:r>
              <w:rPr>
                <w:rFonts w:hint="eastAsia"/>
                <w:lang w:val="en-US" w:eastAsia="zh-CN"/>
              </w:rPr>
              <w:t>3</w:t>
            </w:r>
            <w:r>
              <w:rPr>
                <w:rFonts w:hint="eastAsia"/>
                <w:lang w:eastAsia="zh-CN"/>
              </w:rPr>
              <w:t>）</w:t>
            </w:r>
            <w:r>
              <w:t>人员设备方案</w:t>
            </w:r>
            <w:r>
              <w:rPr>
                <w:rFonts w:hint="eastAsia"/>
                <w:lang w:val="en-US" w:eastAsia="zh-CN"/>
              </w:rPr>
              <w:t>基本合理</w:t>
            </w:r>
            <w:r>
              <w:t>，拟派驻本项目的人员</w:t>
            </w:r>
            <w:r>
              <w:rPr>
                <w:rFonts w:hint="eastAsia"/>
                <w:lang w:val="en-US" w:eastAsia="zh-CN"/>
              </w:rPr>
              <w:t>数量及年龄基本符合要求，人员专业素质和经验一般，得1分；</w:t>
            </w:r>
          </w:p>
          <w:p w14:paraId="147BF479">
            <w:pPr>
              <w:pStyle w:val="2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textAlignment w:val="auto"/>
              <w:rPr>
                <w:rFonts w:hint="eastAsia" w:ascii="Times New Roman" w:hAnsi="Times New Roman" w:eastAsia="宋体" w:cs="Times New Roman"/>
                <w:kern w:val="2"/>
                <w:sz w:val="21"/>
                <w:szCs w:val="20"/>
                <w:lang w:val="en-US" w:eastAsia="zh-CN"/>
              </w:rPr>
            </w:pPr>
            <w:r>
              <w:rPr>
                <w:rFonts w:hint="eastAsia"/>
                <w:lang w:eastAsia="zh-CN"/>
              </w:rPr>
              <w:t>（</w:t>
            </w:r>
            <w:r>
              <w:rPr>
                <w:rFonts w:hint="eastAsia"/>
                <w:lang w:val="en-US" w:eastAsia="zh-CN"/>
              </w:rPr>
              <w:t>4</w:t>
            </w:r>
            <w:r>
              <w:rPr>
                <w:rFonts w:hint="eastAsia"/>
                <w:lang w:eastAsia="zh-CN"/>
              </w:rPr>
              <w:t>）</w:t>
            </w:r>
            <w:r>
              <w:rPr>
                <w:rFonts w:hint="eastAsia"/>
                <w:lang w:val="en-US" w:eastAsia="zh-CN"/>
              </w:rPr>
              <w:t>方案差或</w:t>
            </w:r>
            <w:r>
              <w:t>未提供对应方案不得分。</w:t>
            </w:r>
          </w:p>
        </w:tc>
        <w:tc>
          <w:tcPr>
            <w:tcW w:w="713" w:type="dxa"/>
            <w:noWrap w:val="0"/>
            <w:vAlign w:val="center"/>
          </w:tcPr>
          <w:p w14:paraId="03465429">
            <w:pPr>
              <w:widowControl/>
              <w:snapToGrid w:val="0"/>
              <w:spacing w:line="36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5</w:t>
            </w:r>
          </w:p>
        </w:tc>
      </w:tr>
      <w:tr w14:paraId="2C8E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trPr>
        <w:tc>
          <w:tcPr>
            <w:tcW w:w="604" w:type="dxa"/>
            <w:noWrap w:val="0"/>
            <w:vAlign w:val="center"/>
          </w:tcPr>
          <w:p w14:paraId="7BE39EA8">
            <w:pPr>
              <w:widowControl/>
              <w:adjustRightInd w:val="0"/>
              <w:snapToGrid w:val="0"/>
              <w:spacing w:after="120"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p>
        </w:tc>
        <w:tc>
          <w:tcPr>
            <w:tcW w:w="1449" w:type="dxa"/>
            <w:noWrap w:val="0"/>
            <w:vAlign w:val="center"/>
          </w:tcPr>
          <w:p w14:paraId="0DC1C6D7">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总体服务方案</w:t>
            </w:r>
          </w:p>
        </w:tc>
        <w:tc>
          <w:tcPr>
            <w:tcW w:w="6873" w:type="dxa"/>
            <w:noWrap w:val="0"/>
            <w:vAlign w:val="center"/>
          </w:tcPr>
          <w:p w14:paraId="5F2E4A98">
            <w:pPr>
              <w:pStyle w:val="22"/>
              <w:keepNext w:val="0"/>
              <w:keepLines w:val="0"/>
              <w:pageBreakBefore w:val="0"/>
              <w:widowControl w:val="0"/>
              <w:kinsoku/>
              <w:wordWrap/>
              <w:overflowPunct/>
              <w:topLinePunct w:val="0"/>
              <w:autoSpaceDE/>
              <w:autoSpaceDN/>
              <w:bidi w:val="0"/>
              <w:adjustRightInd/>
              <w:snapToGrid/>
              <w:spacing w:after="0" w:line="360" w:lineRule="auto"/>
              <w:ind w:left="0" w:right="0" w:firstLine="0" w:firstLineChars="0"/>
              <w:textAlignment w:val="auto"/>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eastAsia="zh-CN" w:bidi="ar"/>
              </w:rPr>
              <w:t>根据投标人制定的总体服务方案（包含但不限于项目理解、重点、难点分析及解决方案、总体思路、服务承诺、岗位职责安排等）进行综合评审：</w:t>
            </w:r>
          </w:p>
          <w:p w14:paraId="5718014A">
            <w:pPr>
              <w:pStyle w:val="22"/>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0" w:right="0" w:firstLine="0" w:firstLineChars="0"/>
              <w:textAlignment w:val="auto"/>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eastAsia="zh-CN" w:bidi="ar"/>
              </w:rPr>
              <w:t>对项目理解深入，重点、难点分析及解决方案详细，服务方案完整合理、可行性强，</w:t>
            </w:r>
            <w:r>
              <w:rPr>
                <w:rFonts w:hint="eastAsia" w:ascii="宋体" w:hAnsi="宋体" w:cs="宋体"/>
                <w:color w:val="auto"/>
                <w:kern w:val="0"/>
                <w:szCs w:val="21"/>
                <w:highlight w:val="none"/>
                <w:lang w:val="en-US" w:eastAsia="zh-CN" w:bidi="ar"/>
              </w:rPr>
              <w:t>能满足</w:t>
            </w:r>
            <w:r>
              <w:rPr>
                <w:rFonts w:hint="eastAsia" w:ascii="宋体" w:hAnsi="宋体" w:eastAsia="宋体" w:cs="宋体"/>
                <w:color w:val="auto"/>
                <w:kern w:val="0"/>
                <w:szCs w:val="21"/>
                <w:highlight w:val="none"/>
                <w:lang w:eastAsia="zh-CN" w:bidi="ar"/>
              </w:rPr>
              <w:t>服务要求的，</w:t>
            </w:r>
            <w:r>
              <w:rPr>
                <w:rFonts w:hint="eastAsia" w:ascii="宋体" w:hAnsi="宋体" w:cs="宋体"/>
                <w:color w:val="auto"/>
                <w:kern w:val="0"/>
                <w:szCs w:val="21"/>
                <w:highlight w:val="none"/>
                <w:lang w:val="en-US" w:eastAsia="zh-CN" w:bidi="ar"/>
              </w:rPr>
              <w:t>与属地公安部门有良好联动机制的，</w:t>
            </w:r>
            <w:r>
              <w:rPr>
                <w:rFonts w:hint="eastAsia" w:ascii="宋体" w:hAnsi="宋体" w:eastAsia="宋体" w:cs="宋体"/>
                <w:color w:val="auto"/>
                <w:kern w:val="0"/>
                <w:szCs w:val="21"/>
                <w:highlight w:val="none"/>
                <w:lang w:eastAsia="zh-CN" w:bidi="ar"/>
              </w:rPr>
              <w:t>得1</w:t>
            </w:r>
            <w:r>
              <w:rPr>
                <w:rFonts w:hint="eastAsia" w:ascii="宋体" w:hAnsi="宋体" w:cs="宋体"/>
                <w:color w:val="auto"/>
                <w:kern w:val="0"/>
                <w:szCs w:val="21"/>
                <w:highlight w:val="none"/>
                <w:lang w:val="en-US" w:eastAsia="zh-CN" w:bidi="ar"/>
              </w:rPr>
              <w:t>5</w:t>
            </w:r>
            <w:r>
              <w:rPr>
                <w:rFonts w:hint="eastAsia" w:ascii="宋体" w:hAnsi="宋体" w:eastAsia="宋体" w:cs="宋体"/>
                <w:color w:val="auto"/>
                <w:kern w:val="0"/>
                <w:szCs w:val="21"/>
                <w:highlight w:val="none"/>
                <w:lang w:eastAsia="zh-CN" w:bidi="ar"/>
              </w:rPr>
              <w:t>分；</w:t>
            </w:r>
          </w:p>
          <w:p w14:paraId="51286986">
            <w:pPr>
              <w:pStyle w:val="22"/>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0" w:leftChars="0" w:right="0" w:rightChars="0" w:firstLine="0" w:firstLineChars="0"/>
              <w:textAlignment w:val="auto"/>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eastAsia="zh-CN" w:bidi="ar"/>
              </w:rPr>
              <w:t>对项目理解较深入，重点、难点分析及解决方案较详细，服务方案</w:t>
            </w:r>
            <w:r>
              <w:rPr>
                <w:rFonts w:hint="eastAsia" w:ascii="宋体" w:hAnsi="宋体" w:cs="宋体"/>
                <w:color w:val="auto"/>
                <w:kern w:val="0"/>
                <w:szCs w:val="21"/>
                <w:highlight w:val="none"/>
                <w:lang w:val="en-US" w:eastAsia="zh-CN" w:bidi="ar"/>
              </w:rPr>
              <w:t>较</w:t>
            </w:r>
            <w:r>
              <w:rPr>
                <w:rFonts w:hint="eastAsia" w:ascii="宋体" w:hAnsi="宋体" w:eastAsia="宋体" w:cs="宋体"/>
                <w:color w:val="auto"/>
                <w:kern w:val="0"/>
                <w:szCs w:val="21"/>
                <w:highlight w:val="none"/>
                <w:lang w:eastAsia="zh-CN" w:bidi="ar"/>
              </w:rPr>
              <w:t>完整，可行性较强，能</w:t>
            </w:r>
            <w:r>
              <w:rPr>
                <w:rFonts w:hint="eastAsia" w:ascii="宋体" w:hAnsi="宋体" w:cs="宋体"/>
                <w:color w:val="auto"/>
                <w:kern w:val="0"/>
                <w:szCs w:val="21"/>
                <w:highlight w:val="none"/>
                <w:lang w:val="en-US" w:eastAsia="zh-CN" w:bidi="ar"/>
              </w:rPr>
              <w:t>较好满足</w:t>
            </w:r>
            <w:r>
              <w:rPr>
                <w:rFonts w:hint="eastAsia" w:ascii="宋体" w:hAnsi="宋体" w:eastAsia="宋体" w:cs="宋体"/>
                <w:color w:val="auto"/>
                <w:kern w:val="0"/>
                <w:szCs w:val="21"/>
                <w:highlight w:val="none"/>
                <w:lang w:eastAsia="zh-CN" w:bidi="ar"/>
              </w:rPr>
              <w:t>服务要求的，得</w:t>
            </w:r>
            <w:r>
              <w:rPr>
                <w:rFonts w:hint="eastAsia" w:ascii="宋体" w:hAnsi="宋体" w:cs="宋体"/>
                <w:color w:val="auto"/>
                <w:kern w:val="0"/>
                <w:szCs w:val="21"/>
                <w:highlight w:val="none"/>
                <w:lang w:val="en-US" w:eastAsia="zh-CN" w:bidi="ar"/>
              </w:rPr>
              <w:t>10</w:t>
            </w:r>
            <w:r>
              <w:rPr>
                <w:rFonts w:hint="eastAsia" w:ascii="宋体" w:hAnsi="宋体" w:eastAsia="宋体" w:cs="宋体"/>
                <w:color w:val="auto"/>
                <w:kern w:val="0"/>
                <w:szCs w:val="21"/>
                <w:highlight w:val="none"/>
                <w:lang w:eastAsia="zh-CN" w:bidi="ar"/>
              </w:rPr>
              <w:t>分；</w:t>
            </w:r>
          </w:p>
          <w:p w14:paraId="68D8D746">
            <w:pPr>
              <w:pStyle w:val="22"/>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0" w:leftChars="0" w:right="0" w:rightChars="0" w:firstLine="0" w:firstLineChars="0"/>
              <w:textAlignment w:val="auto"/>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eastAsia="zh-CN" w:bidi="ar"/>
              </w:rPr>
              <w:t>对项目理解</w:t>
            </w:r>
            <w:r>
              <w:rPr>
                <w:rFonts w:hint="eastAsia" w:ascii="宋体" w:hAnsi="宋体" w:cs="宋体"/>
                <w:color w:val="auto"/>
                <w:kern w:val="0"/>
                <w:szCs w:val="21"/>
                <w:highlight w:val="none"/>
                <w:lang w:val="en-US" w:eastAsia="zh-CN" w:bidi="ar"/>
              </w:rPr>
              <w:t>不透彻</w:t>
            </w:r>
            <w:r>
              <w:rPr>
                <w:rFonts w:hint="eastAsia" w:ascii="宋体" w:hAnsi="宋体" w:eastAsia="宋体" w:cs="宋体"/>
                <w:color w:val="auto"/>
                <w:kern w:val="0"/>
                <w:szCs w:val="21"/>
                <w:highlight w:val="none"/>
                <w:lang w:eastAsia="zh-CN" w:bidi="ar"/>
              </w:rPr>
              <w:t>，重点、难点分析及解决方案一般，服务方案</w:t>
            </w:r>
            <w:r>
              <w:rPr>
                <w:rFonts w:hint="eastAsia" w:ascii="宋体" w:hAnsi="宋体" w:cs="宋体"/>
                <w:color w:val="auto"/>
                <w:kern w:val="0"/>
                <w:szCs w:val="21"/>
                <w:highlight w:val="none"/>
                <w:lang w:val="en-US" w:eastAsia="zh-CN" w:bidi="ar"/>
              </w:rPr>
              <w:t>基本完整</w:t>
            </w:r>
            <w:r>
              <w:rPr>
                <w:rFonts w:hint="eastAsia" w:ascii="宋体" w:hAnsi="宋体" w:eastAsia="宋体" w:cs="宋体"/>
                <w:color w:val="auto"/>
                <w:kern w:val="0"/>
                <w:szCs w:val="21"/>
                <w:highlight w:val="none"/>
                <w:lang w:eastAsia="zh-CN" w:bidi="ar"/>
              </w:rPr>
              <w:t>，可行性一般的，</w:t>
            </w:r>
            <w:r>
              <w:rPr>
                <w:rFonts w:hint="eastAsia" w:ascii="宋体" w:hAnsi="宋体" w:cs="宋体"/>
                <w:color w:val="auto"/>
                <w:kern w:val="0"/>
                <w:szCs w:val="21"/>
                <w:highlight w:val="none"/>
                <w:lang w:val="en-US" w:eastAsia="zh-CN" w:bidi="ar"/>
              </w:rPr>
              <w:t>基本满足服务要求</w:t>
            </w:r>
            <w:r>
              <w:rPr>
                <w:rFonts w:hint="eastAsia" w:ascii="宋体" w:hAnsi="宋体" w:eastAsia="宋体" w:cs="宋体"/>
                <w:color w:val="auto"/>
                <w:kern w:val="0"/>
                <w:szCs w:val="21"/>
                <w:highlight w:val="none"/>
                <w:lang w:eastAsia="zh-CN" w:bidi="ar"/>
              </w:rPr>
              <w:t>得</w:t>
            </w:r>
            <w:r>
              <w:rPr>
                <w:rFonts w:hint="eastAsia" w:ascii="宋体" w:hAnsi="宋体" w:cs="宋体"/>
                <w:color w:val="auto"/>
                <w:kern w:val="0"/>
                <w:szCs w:val="21"/>
                <w:highlight w:val="none"/>
                <w:lang w:val="en-US" w:eastAsia="zh-CN" w:bidi="ar"/>
              </w:rPr>
              <w:t>5</w:t>
            </w:r>
            <w:r>
              <w:rPr>
                <w:rFonts w:hint="eastAsia" w:ascii="宋体" w:hAnsi="宋体" w:eastAsia="宋体" w:cs="宋体"/>
                <w:color w:val="auto"/>
                <w:kern w:val="0"/>
                <w:szCs w:val="21"/>
                <w:highlight w:val="none"/>
                <w:lang w:eastAsia="zh-CN" w:bidi="ar"/>
              </w:rPr>
              <w:t>分；</w:t>
            </w:r>
          </w:p>
          <w:p w14:paraId="1A09FE57">
            <w:pPr>
              <w:pStyle w:val="22"/>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0" w:leftChars="0" w:right="0" w:rightChars="0" w:firstLine="0" w:firstLineChars="0"/>
              <w:textAlignment w:val="auto"/>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eastAsia="zh-CN" w:bidi="ar"/>
              </w:rPr>
              <w:t>服务方案差，</w:t>
            </w:r>
            <w:r>
              <w:rPr>
                <w:rFonts w:hint="eastAsia" w:ascii="宋体" w:hAnsi="宋体" w:cs="宋体"/>
                <w:color w:val="auto"/>
                <w:kern w:val="0"/>
                <w:szCs w:val="21"/>
                <w:highlight w:val="none"/>
                <w:lang w:val="en-US" w:eastAsia="zh-CN" w:bidi="ar"/>
              </w:rPr>
              <w:t>不能满足服务</w:t>
            </w:r>
            <w:r>
              <w:rPr>
                <w:rFonts w:hint="eastAsia" w:ascii="宋体" w:hAnsi="宋体" w:eastAsia="宋体" w:cs="宋体"/>
                <w:color w:val="auto"/>
                <w:kern w:val="0"/>
                <w:szCs w:val="21"/>
                <w:highlight w:val="none"/>
                <w:lang w:eastAsia="zh-CN" w:bidi="ar"/>
              </w:rPr>
              <w:t>要求的，得1分；</w:t>
            </w:r>
          </w:p>
          <w:p w14:paraId="313D2AF6">
            <w:pPr>
              <w:pStyle w:val="2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right="0" w:rightChars="0"/>
              <w:textAlignment w:val="auto"/>
              <w:rPr>
                <w:rFonts w:hint="eastAsia" w:ascii="宋体" w:hAnsi="宋体" w:eastAsia="宋体" w:cs="宋体"/>
                <w:color w:val="auto"/>
                <w:kern w:val="0"/>
                <w:szCs w:val="21"/>
                <w:highlight w:val="none"/>
                <w:lang w:eastAsia="zh-CN" w:bidi="ar"/>
              </w:rPr>
            </w:pPr>
            <w:r>
              <w:rPr>
                <w:rFonts w:hint="eastAsia" w:ascii="宋体" w:hAnsi="宋体" w:eastAsia="宋体" w:cs="宋体"/>
                <w:color w:val="auto"/>
                <w:kern w:val="0"/>
                <w:szCs w:val="21"/>
                <w:highlight w:val="none"/>
                <w:lang w:eastAsia="zh-CN" w:bidi="ar"/>
              </w:rPr>
              <w:t>（5）未提供对应方案不得分。</w:t>
            </w:r>
          </w:p>
        </w:tc>
        <w:tc>
          <w:tcPr>
            <w:tcW w:w="713" w:type="dxa"/>
            <w:noWrap w:val="0"/>
            <w:vAlign w:val="center"/>
          </w:tcPr>
          <w:p w14:paraId="47E4DAF2">
            <w:pPr>
              <w:widowControl/>
              <w:snapToGrid w:val="0"/>
              <w:spacing w:line="36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15</w:t>
            </w:r>
          </w:p>
        </w:tc>
      </w:tr>
      <w:tr w14:paraId="42CA4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42" w:hRule="atLeast"/>
        </w:trPr>
        <w:tc>
          <w:tcPr>
            <w:tcW w:w="604" w:type="dxa"/>
            <w:noWrap w:val="0"/>
            <w:vAlign w:val="center"/>
          </w:tcPr>
          <w:p w14:paraId="11467700">
            <w:pPr>
              <w:widowControl/>
              <w:adjustRightInd w:val="0"/>
              <w:snapToGrid w:val="0"/>
              <w:spacing w:after="120"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1449" w:type="dxa"/>
            <w:noWrap w:val="0"/>
            <w:vAlign w:val="center"/>
          </w:tcPr>
          <w:p w14:paraId="40A02A78">
            <w:pPr>
              <w:spacing w:line="360" w:lineRule="auto"/>
              <w:jc w:val="center"/>
              <w:rPr>
                <w:rFonts w:hint="eastAsia" w:ascii="宋体" w:hAnsi="宋体" w:eastAsia="宋体" w:cs="宋体"/>
                <w:color w:val="auto"/>
                <w:szCs w:val="21"/>
                <w:highlight w:val="none"/>
              </w:rPr>
            </w:pPr>
            <w:r>
              <w:t>人员培训方案</w:t>
            </w:r>
          </w:p>
        </w:tc>
        <w:tc>
          <w:tcPr>
            <w:tcW w:w="6873" w:type="dxa"/>
            <w:noWrap w:val="0"/>
            <w:vAlign w:val="top"/>
          </w:tcPr>
          <w:p w14:paraId="57C512B2">
            <w:pPr>
              <w:spacing w:line="360" w:lineRule="auto"/>
              <w:jc w:val="left"/>
            </w:pPr>
            <w:r>
              <w:t>根据投标人对本项目人员培训方案（包括但不限于完善培训及考评体系、各阶段的培训计划、方式、内容和目标等）进行综合评审：</w:t>
            </w:r>
          </w:p>
          <w:p w14:paraId="36EA0706">
            <w:pPr>
              <w:numPr>
                <w:ilvl w:val="0"/>
                <w:numId w:val="12"/>
              </w:numPr>
              <w:spacing w:line="360" w:lineRule="auto"/>
              <w:jc w:val="left"/>
            </w:pPr>
            <w:r>
              <w:t xml:space="preserve">有清晰、完善的培训方案，可行性强，有利于项目实施的，得10分； （2）培训方案较为完善，基本可行，对项目实施有较强的促进作用的，得7分； </w:t>
            </w:r>
          </w:p>
          <w:p w14:paraId="29815739">
            <w:pPr>
              <w:numPr>
                <w:ilvl w:val="0"/>
                <w:numId w:val="0"/>
              </w:numPr>
              <w:spacing w:line="360" w:lineRule="auto"/>
              <w:ind w:leftChars="0"/>
              <w:jc w:val="left"/>
            </w:pPr>
            <w:r>
              <w:rPr>
                <w:rFonts w:hint="eastAsia"/>
                <w:lang w:eastAsia="zh-CN"/>
              </w:rPr>
              <w:t>（</w:t>
            </w:r>
            <w:r>
              <w:rPr>
                <w:rFonts w:hint="eastAsia"/>
                <w:lang w:val="en-US" w:eastAsia="zh-CN"/>
              </w:rPr>
              <w:t>3</w:t>
            </w:r>
            <w:r>
              <w:rPr>
                <w:rFonts w:hint="eastAsia"/>
                <w:lang w:eastAsia="zh-CN"/>
              </w:rPr>
              <w:t>）</w:t>
            </w:r>
            <w:r>
              <w:t>培训方案</w:t>
            </w:r>
            <w:r>
              <w:rPr>
                <w:rFonts w:hint="eastAsia"/>
                <w:lang w:val="en-US" w:eastAsia="zh-CN"/>
              </w:rPr>
              <w:t>基本</w:t>
            </w:r>
            <w:r>
              <w:t>完善，可行性一般的，对项目实施有一定的促进作用的，得4分 ；</w:t>
            </w:r>
          </w:p>
          <w:p w14:paraId="3EE88B8A">
            <w:pPr>
              <w:numPr>
                <w:ilvl w:val="0"/>
                <w:numId w:val="0"/>
              </w:numPr>
              <w:spacing w:line="360" w:lineRule="auto"/>
              <w:ind w:leftChars="0"/>
              <w:jc w:val="left"/>
            </w:pPr>
            <w:r>
              <w:t>（4）培训方案存在缺漏，可行性较差，对项目实施无帮助的，得1分；</w:t>
            </w:r>
          </w:p>
          <w:p w14:paraId="39FD8690">
            <w:pPr>
              <w:numPr>
                <w:ilvl w:val="0"/>
                <w:numId w:val="0"/>
              </w:numPr>
              <w:spacing w:line="360" w:lineRule="auto"/>
              <w:ind w:leftChars="0"/>
              <w:jc w:val="left"/>
              <w:rPr>
                <w:rFonts w:hint="eastAsia" w:ascii="宋体" w:hAnsi="宋体" w:eastAsia="宋体" w:cs="宋体"/>
                <w:color w:val="auto"/>
                <w:kern w:val="0"/>
                <w:szCs w:val="21"/>
                <w:highlight w:val="none"/>
                <w:lang w:bidi="ar"/>
              </w:rPr>
            </w:pPr>
            <w:r>
              <w:t>（5）未提供对应方案不得分。</w:t>
            </w:r>
          </w:p>
        </w:tc>
        <w:tc>
          <w:tcPr>
            <w:tcW w:w="713" w:type="dxa"/>
            <w:noWrap w:val="0"/>
            <w:vAlign w:val="center"/>
          </w:tcPr>
          <w:p w14:paraId="7BEF6CDC">
            <w:pPr>
              <w:widowControl/>
              <w:snapToGrid w:val="0"/>
              <w:spacing w:line="36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w:t>
            </w:r>
          </w:p>
        </w:tc>
      </w:tr>
      <w:tr w14:paraId="31FF6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trPr>
        <w:tc>
          <w:tcPr>
            <w:tcW w:w="604" w:type="dxa"/>
            <w:noWrap w:val="0"/>
            <w:vAlign w:val="center"/>
          </w:tcPr>
          <w:p w14:paraId="37E80E27">
            <w:pPr>
              <w:widowControl/>
              <w:adjustRightInd w:val="0"/>
              <w:snapToGrid w:val="0"/>
              <w:spacing w:after="120" w:line="360" w:lineRule="auto"/>
              <w:jc w:val="center"/>
              <w:rPr>
                <w:rFonts w:hint="eastAsia" w:ascii="宋体" w:hAnsi="宋体" w:eastAsia="宋体" w:cs="宋体"/>
                <w:color w:val="auto"/>
                <w:kern w:val="0"/>
                <w:highlight w:val="none"/>
                <w:lang w:eastAsia="zh-CN" w:bidi="ar"/>
              </w:rPr>
            </w:pPr>
            <w:r>
              <w:rPr>
                <w:rFonts w:hint="eastAsia" w:ascii="宋体" w:hAnsi="宋体" w:cs="宋体"/>
                <w:color w:val="auto"/>
                <w:kern w:val="0"/>
                <w:highlight w:val="none"/>
                <w:lang w:val="en-US" w:eastAsia="zh-CN" w:bidi="ar"/>
              </w:rPr>
              <w:t>4</w:t>
            </w:r>
          </w:p>
        </w:tc>
        <w:tc>
          <w:tcPr>
            <w:tcW w:w="1449" w:type="dxa"/>
            <w:noWrap w:val="0"/>
            <w:vAlign w:val="center"/>
          </w:tcPr>
          <w:p w14:paraId="36D1300F">
            <w:pPr>
              <w:pStyle w:val="37"/>
              <w:wordWrap w:val="0"/>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管理规章制度</w:t>
            </w:r>
          </w:p>
        </w:tc>
        <w:tc>
          <w:tcPr>
            <w:tcW w:w="6873" w:type="dxa"/>
            <w:noWrap w:val="0"/>
            <w:vAlign w:val="center"/>
          </w:tcPr>
          <w:p w14:paraId="28F7472B">
            <w:pPr>
              <w:pStyle w:val="22"/>
              <w:spacing w:line="360" w:lineRule="auto"/>
              <w:ind w:firstLine="0" w:firstLineChars="0"/>
            </w:pPr>
            <w:r>
              <w:t>根据投标人提供的管理规章制度（人员管理制度、车辆管理制度、值班巡逻制度、放行制度、交接班制度、奖惩制度）的规范性、合理性、奖罚制度进行综合评审：</w:t>
            </w:r>
          </w:p>
          <w:p w14:paraId="193D7982">
            <w:pPr>
              <w:pStyle w:val="22"/>
              <w:numPr>
                <w:ilvl w:val="0"/>
                <w:numId w:val="13"/>
              </w:numPr>
              <w:spacing w:line="360" w:lineRule="auto"/>
              <w:ind w:firstLine="0" w:firstLineChars="0"/>
            </w:pPr>
            <w:r>
              <w:t>管理规章制度合理完善、阐述详细、全面、清晰，奖罚制度科学合理、有可行性，非常有利于服务的实施的，得10分；</w:t>
            </w:r>
          </w:p>
          <w:p w14:paraId="44A4ACA4">
            <w:pPr>
              <w:pStyle w:val="22"/>
              <w:numPr>
                <w:ilvl w:val="0"/>
                <w:numId w:val="13"/>
              </w:numPr>
              <w:spacing w:line="360" w:lineRule="auto"/>
              <w:ind w:left="0" w:leftChars="0" w:firstLine="0" w:firstLineChars="0"/>
            </w:pPr>
            <w:r>
              <w:t>管理规章制度完善、全面的，奖罚制度合理、有可行性的，有利于服务的实施的，得7分；</w:t>
            </w:r>
          </w:p>
          <w:p w14:paraId="51D5EB5E">
            <w:pPr>
              <w:pStyle w:val="22"/>
              <w:numPr>
                <w:ilvl w:val="0"/>
                <w:numId w:val="13"/>
              </w:numPr>
              <w:spacing w:line="360" w:lineRule="auto"/>
              <w:ind w:left="0" w:leftChars="0" w:firstLine="0" w:firstLineChars="0"/>
            </w:pPr>
            <w:r>
              <w:t>管理规章制度完善的，奖罚制度有可行性的，可以满足服务的实施的，得4分；</w:t>
            </w:r>
          </w:p>
          <w:p w14:paraId="533CF862">
            <w:pPr>
              <w:pStyle w:val="22"/>
              <w:numPr>
                <w:ilvl w:val="0"/>
                <w:numId w:val="13"/>
              </w:numPr>
              <w:spacing w:line="360" w:lineRule="auto"/>
              <w:ind w:left="0" w:leftChars="0" w:firstLine="0" w:firstLineChars="0"/>
            </w:pPr>
            <w:r>
              <w:t>管理规章制度不完善的，奖罚制度无可行性，不利于服务的实施的，得1分；</w:t>
            </w:r>
          </w:p>
          <w:p w14:paraId="17244DAE">
            <w:pPr>
              <w:pStyle w:val="22"/>
              <w:numPr>
                <w:ilvl w:val="0"/>
                <w:numId w:val="0"/>
              </w:numPr>
              <w:spacing w:line="360" w:lineRule="auto"/>
              <w:ind w:leftChars="0"/>
              <w:rPr>
                <w:rFonts w:hint="eastAsia" w:ascii="宋体" w:hAnsi="宋体" w:eastAsia="宋体" w:cs="宋体"/>
                <w:color w:val="auto"/>
                <w:kern w:val="0"/>
                <w:szCs w:val="21"/>
                <w:highlight w:val="none"/>
                <w:lang w:bidi="ar"/>
              </w:rPr>
            </w:pPr>
            <w:r>
              <w:t>（5）未提供对应方案不得分。</w:t>
            </w:r>
          </w:p>
        </w:tc>
        <w:tc>
          <w:tcPr>
            <w:tcW w:w="713" w:type="dxa"/>
            <w:noWrap w:val="0"/>
            <w:vAlign w:val="center"/>
          </w:tcPr>
          <w:p w14:paraId="617A2769">
            <w:pPr>
              <w:widowControl/>
              <w:snapToGrid w:val="0"/>
              <w:spacing w:line="360" w:lineRule="auto"/>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w:t>
            </w:r>
          </w:p>
        </w:tc>
      </w:tr>
      <w:tr w14:paraId="2042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trPr>
        <w:tc>
          <w:tcPr>
            <w:tcW w:w="604" w:type="dxa"/>
            <w:noWrap w:val="0"/>
            <w:vAlign w:val="center"/>
          </w:tcPr>
          <w:p w14:paraId="4400EF0C">
            <w:pPr>
              <w:widowControl/>
              <w:adjustRightInd w:val="0"/>
              <w:snapToGrid w:val="0"/>
              <w:spacing w:after="120"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449" w:type="dxa"/>
            <w:noWrap w:val="0"/>
            <w:vAlign w:val="center"/>
          </w:tcPr>
          <w:p w14:paraId="1E443185">
            <w:pPr>
              <w:spacing w:line="360" w:lineRule="auto"/>
              <w:jc w:val="center"/>
              <w:rPr>
                <w:rFonts w:hint="default" w:ascii="宋体" w:hAnsi="宋体" w:eastAsia="宋体" w:cs="宋体"/>
                <w:color w:val="auto"/>
                <w:szCs w:val="21"/>
                <w:highlight w:val="none"/>
                <w:lang w:val="en-US" w:eastAsia="zh-CN"/>
              </w:rPr>
            </w:pPr>
            <w:r>
              <w:t>应急服务方案</w:t>
            </w:r>
          </w:p>
        </w:tc>
        <w:tc>
          <w:tcPr>
            <w:tcW w:w="6873" w:type="dxa"/>
            <w:noWrap w:val="0"/>
            <w:vAlign w:val="top"/>
          </w:tcPr>
          <w:p w14:paraId="27C54E69">
            <w:pPr>
              <w:spacing w:line="360" w:lineRule="auto"/>
              <w:jc w:val="left"/>
            </w:pPr>
            <w:r>
              <w:t>根据投标人为本项目提供的“应急服务方案”进行评审，</w:t>
            </w:r>
            <w:r>
              <w:rPr>
                <w:rFonts w:hint="eastAsia"/>
              </w:rPr>
              <w:t>包括：</w:t>
            </w:r>
            <w:r>
              <w:t>安全保障制度及管理方案；应对处理反恐、突发事件应急预案（处理事前、事中及善后处理）</w:t>
            </w:r>
            <w:r>
              <w:rPr>
                <w:rFonts w:hint="eastAsia"/>
              </w:rPr>
              <w:t>。</w:t>
            </w:r>
          </w:p>
          <w:p w14:paraId="17F07F51">
            <w:pPr>
              <w:numPr>
                <w:ilvl w:val="0"/>
                <w:numId w:val="14"/>
              </w:numPr>
              <w:spacing w:line="360" w:lineRule="auto"/>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应急方案完整详细，对突发特殊情况的应急处理方案合理性强、可操作性强，传达机制完善，有足够的人员和设备调配，责任分工方案明确清晰的，得10分；</w:t>
            </w:r>
          </w:p>
          <w:p w14:paraId="3D314304">
            <w:pPr>
              <w:numPr>
                <w:ilvl w:val="0"/>
                <w:numId w:val="14"/>
              </w:numPr>
              <w:spacing w:line="360" w:lineRule="auto"/>
              <w:ind w:left="0" w:leftChars="0" w:firstLine="0" w:firstLineChars="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应急方案</w:t>
            </w:r>
            <w:r>
              <w:rPr>
                <w:rFonts w:hint="eastAsia" w:ascii="宋体" w:hAnsi="宋体" w:cs="宋体"/>
                <w:color w:val="auto"/>
                <w:kern w:val="0"/>
                <w:szCs w:val="21"/>
                <w:highlight w:val="none"/>
                <w:lang w:val="en-US" w:eastAsia="zh-CN" w:bidi="ar"/>
              </w:rPr>
              <w:t>较完整</w:t>
            </w:r>
            <w:r>
              <w:rPr>
                <w:rFonts w:hint="eastAsia" w:ascii="宋体" w:hAnsi="宋体" w:eastAsia="宋体" w:cs="宋体"/>
                <w:color w:val="auto"/>
                <w:kern w:val="0"/>
                <w:szCs w:val="21"/>
                <w:highlight w:val="none"/>
                <w:lang w:bidi="ar"/>
              </w:rPr>
              <w:t>，对突发特殊情况的应急处理方案具备合理性、可操作性，传达机制较为完善，具有</w:t>
            </w:r>
            <w:r>
              <w:rPr>
                <w:rFonts w:hint="eastAsia" w:ascii="宋体" w:hAnsi="宋体" w:cs="宋体"/>
                <w:color w:val="auto"/>
                <w:kern w:val="0"/>
                <w:szCs w:val="21"/>
                <w:highlight w:val="none"/>
                <w:lang w:val="en-US" w:eastAsia="zh-CN" w:bidi="ar"/>
              </w:rPr>
              <w:t>较充足</w:t>
            </w:r>
            <w:r>
              <w:rPr>
                <w:rFonts w:hint="eastAsia" w:ascii="宋体" w:hAnsi="宋体" w:eastAsia="宋体" w:cs="宋体"/>
                <w:color w:val="auto"/>
                <w:kern w:val="0"/>
                <w:szCs w:val="21"/>
                <w:highlight w:val="none"/>
                <w:lang w:bidi="ar"/>
              </w:rPr>
              <w:t>的人员和设备调配，责任分工</w:t>
            </w:r>
            <w:r>
              <w:rPr>
                <w:rFonts w:hint="eastAsia" w:ascii="宋体" w:hAnsi="宋体" w:cs="宋体"/>
                <w:color w:val="auto"/>
                <w:kern w:val="0"/>
                <w:szCs w:val="21"/>
                <w:highlight w:val="none"/>
                <w:lang w:val="en-US" w:eastAsia="zh-CN" w:bidi="ar"/>
              </w:rPr>
              <w:t>较</w:t>
            </w:r>
            <w:r>
              <w:rPr>
                <w:rFonts w:hint="eastAsia" w:ascii="宋体" w:hAnsi="宋体" w:eastAsia="宋体" w:cs="宋体"/>
                <w:color w:val="auto"/>
                <w:kern w:val="0"/>
                <w:szCs w:val="21"/>
                <w:highlight w:val="none"/>
                <w:lang w:bidi="ar"/>
              </w:rPr>
              <w:t>明确的，得7分；</w:t>
            </w:r>
          </w:p>
          <w:p w14:paraId="38C0DA75">
            <w:pPr>
              <w:numPr>
                <w:ilvl w:val="0"/>
                <w:numId w:val="14"/>
              </w:numPr>
              <w:spacing w:line="360" w:lineRule="auto"/>
              <w:ind w:left="0" w:leftChars="0" w:firstLine="0" w:firstLineChars="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应急方案</w:t>
            </w:r>
            <w:r>
              <w:rPr>
                <w:rFonts w:hint="eastAsia" w:ascii="宋体" w:hAnsi="宋体" w:cs="宋体"/>
                <w:color w:val="auto"/>
                <w:kern w:val="0"/>
                <w:szCs w:val="21"/>
                <w:highlight w:val="none"/>
                <w:lang w:val="en-US" w:eastAsia="zh-CN" w:bidi="ar"/>
              </w:rPr>
              <w:t>基本</w:t>
            </w:r>
            <w:r>
              <w:rPr>
                <w:rFonts w:hint="eastAsia" w:ascii="宋体" w:hAnsi="宋体" w:eastAsia="宋体" w:cs="宋体"/>
                <w:color w:val="auto"/>
                <w:kern w:val="0"/>
                <w:szCs w:val="21"/>
                <w:highlight w:val="none"/>
                <w:lang w:bidi="ar"/>
              </w:rPr>
              <w:t xml:space="preserve">完整，对突发特殊情况应急处理方案具备一定的合理性、可操作性，但传达机制不完善，缺少足够的人员和设备调配，责任分工方案不够明确的，得4分； </w:t>
            </w:r>
          </w:p>
          <w:p w14:paraId="14EA2320">
            <w:pPr>
              <w:numPr>
                <w:ilvl w:val="0"/>
                <w:numId w:val="14"/>
              </w:numPr>
              <w:spacing w:line="360" w:lineRule="auto"/>
              <w:ind w:left="0" w:leftChars="0" w:firstLine="0" w:firstLineChars="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方案</w:t>
            </w:r>
            <w:r>
              <w:rPr>
                <w:rFonts w:hint="eastAsia" w:ascii="宋体" w:hAnsi="宋体" w:cs="宋体"/>
                <w:color w:val="auto"/>
                <w:kern w:val="0"/>
                <w:szCs w:val="21"/>
                <w:highlight w:val="none"/>
                <w:lang w:val="en-US" w:eastAsia="zh-CN" w:bidi="ar"/>
              </w:rPr>
              <w:t>简单，</w:t>
            </w:r>
            <w:r>
              <w:rPr>
                <w:rFonts w:hint="eastAsia" w:ascii="宋体" w:hAnsi="宋体" w:eastAsia="宋体" w:cs="宋体"/>
                <w:color w:val="auto"/>
                <w:kern w:val="0"/>
                <w:szCs w:val="21"/>
                <w:highlight w:val="none"/>
                <w:lang w:bidi="ar"/>
              </w:rPr>
              <w:t>可行性较差，</w:t>
            </w:r>
            <w:r>
              <w:rPr>
                <w:rFonts w:hint="eastAsia" w:ascii="宋体" w:hAnsi="宋体" w:cs="宋体"/>
                <w:color w:val="auto"/>
                <w:kern w:val="0"/>
                <w:szCs w:val="21"/>
                <w:highlight w:val="none"/>
                <w:lang w:val="en-US" w:eastAsia="zh-CN" w:bidi="ar"/>
              </w:rPr>
              <w:t>对</w:t>
            </w:r>
            <w:r>
              <w:rPr>
                <w:rFonts w:hint="eastAsia" w:ascii="宋体" w:hAnsi="宋体" w:eastAsia="宋体" w:cs="宋体"/>
                <w:color w:val="auto"/>
                <w:kern w:val="0"/>
                <w:szCs w:val="21"/>
                <w:highlight w:val="none"/>
                <w:lang w:bidi="ar"/>
              </w:rPr>
              <w:t>项目实施无帮助的，得1分；</w:t>
            </w:r>
          </w:p>
          <w:p w14:paraId="419F9D71">
            <w:pPr>
              <w:numPr>
                <w:ilvl w:val="0"/>
                <w:numId w:val="0"/>
              </w:numPr>
              <w:spacing w:line="360" w:lineRule="auto"/>
              <w:ind w:leftChars="0"/>
              <w:jc w:val="left"/>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（5）未提供对应方案不得分。</w:t>
            </w:r>
          </w:p>
        </w:tc>
        <w:tc>
          <w:tcPr>
            <w:tcW w:w="713" w:type="dxa"/>
            <w:noWrap w:val="0"/>
            <w:vAlign w:val="center"/>
          </w:tcPr>
          <w:p w14:paraId="78E2CCD2">
            <w:pPr>
              <w:spacing w:line="360" w:lineRule="auto"/>
              <w:jc w:val="center"/>
              <w:rPr>
                <w:rFonts w:hint="default" w:ascii="宋体" w:hAnsi="宋体" w:eastAsia="宋体" w:cs="宋体"/>
                <w:color w:val="auto"/>
                <w:highlight w:val="none"/>
                <w:lang w:val="en-US" w:eastAsia="zh-CN"/>
              </w:rPr>
            </w:pPr>
            <w:r>
              <w:rPr>
                <w:rFonts w:hint="eastAsia"/>
                <w:lang w:val="en-US" w:eastAsia="zh-CN"/>
              </w:rPr>
              <w:t>10</w:t>
            </w:r>
          </w:p>
        </w:tc>
      </w:tr>
      <w:tr w14:paraId="3DBD3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36" w:hRule="atLeast"/>
        </w:trPr>
        <w:tc>
          <w:tcPr>
            <w:tcW w:w="8926" w:type="dxa"/>
            <w:gridSpan w:val="3"/>
            <w:noWrap w:val="0"/>
            <w:vAlign w:val="center"/>
          </w:tcPr>
          <w:p w14:paraId="2FA9EA2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合计</w:t>
            </w:r>
          </w:p>
        </w:tc>
        <w:tc>
          <w:tcPr>
            <w:tcW w:w="713" w:type="dxa"/>
            <w:noWrap w:val="0"/>
            <w:vAlign w:val="center"/>
          </w:tcPr>
          <w:p w14:paraId="10151D4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50分</w:t>
            </w:r>
          </w:p>
        </w:tc>
      </w:tr>
    </w:tbl>
    <w:p w14:paraId="623ACE8D">
      <w:pPr>
        <w:pStyle w:val="7"/>
        <w:rPr>
          <w:rFonts w:hint="eastAsia" w:ascii="宋体" w:hAnsi="宋体" w:cs="宋体"/>
          <w:color w:val="auto"/>
          <w:highlight w:val="none"/>
        </w:rPr>
      </w:pPr>
    </w:p>
    <w:p w14:paraId="7A306ED5">
      <w:pPr>
        <w:tabs>
          <w:tab w:val="left" w:pos="10035"/>
        </w:tabs>
        <w:snapToGrid w:val="0"/>
        <w:spacing w:line="360" w:lineRule="auto"/>
        <w:rPr>
          <w:rFonts w:hint="eastAsia" w:ascii="宋体" w:hAnsi="宋体" w:cs="宋体"/>
          <w:b/>
          <w:bCs/>
          <w:color w:val="auto"/>
          <w:highlight w:val="none"/>
        </w:rPr>
      </w:pPr>
      <w:r>
        <w:rPr>
          <w:rFonts w:hint="eastAsia" w:ascii="宋体" w:hAnsi="宋体" w:cs="宋体"/>
          <w:b/>
          <w:bCs/>
          <w:color w:val="auto"/>
          <w:highlight w:val="none"/>
        </w:rPr>
        <w:t>注：评委对各投标文件进行评审，分数精确至小数点后2位。</w:t>
      </w:r>
    </w:p>
    <w:p w14:paraId="784A6F91">
      <w:pPr>
        <w:tabs>
          <w:tab w:val="left" w:pos="10035"/>
        </w:tabs>
        <w:snapToGrid w:val="0"/>
        <w:spacing w:line="360" w:lineRule="auto"/>
        <w:rPr>
          <w:rFonts w:hint="eastAsia" w:ascii="宋体" w:hAnsi="宋体" w:cs="宋体"/>
          <w:color w:val="auto"/>
          <w:highlight w:val="none"/>
        </w:rPr>
        <w:sectPr>
          <w:pgSz w:w="11907" w:h="16840"/>
          <w:pgMar w:top="1418" w:right="1304" w:bottom="1361" w:left="1361" w:header="851" w:footer="992" w:gutter="0"/>
          <w:cols w:space="720" w:num="1"/>
          <w:docGrid w:type="lines" w:linePitch="312" w:charSpace="0"/>
        </w:sectPr>
      </w:pPr>
    </w:p>
    <w:p w14:paraId="7FF5DC9C">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商务评分表</w:t>
      </w:r>
      <w:bookmarkEnd w:id="199"/>
      <w:bookmarkEnd w:id="200"/>
      <w:bookmarkEnd w:id="201"/>
    </w:p>
    <w:tbl>
      <w:tblPr>
        <w:tblStyle w:val="23"/>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274"/>
        <w:gridCol w:w="7088"/>
        <w:gridCol w:w="758"/>
      </w:tblGrid>
      <w:tr w14:paraId="1DED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1" w:type="dxa"/>
            <w:noWrap w:val="0"/>
            <w:vAlign w:val="center"/>
          </w:tcPr>
          <w:p w14:paraId="760B7EEF">
            <w:pPr>
              <w:spacing w:after="12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274" w:type="dxa"/>
            <w:noWrap w:val="0"/>
            <w:vAlign w:val="center"/>
          </w:tcPr>
          <w:p w14:paraId="02D67C08">
            <w:pPr>
              <w:spacing w:after="12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评审项目</w:t>
            </w:r>
          </w:p>
        </w:tc>
        <w:tc>
          <w:tcPr>
            <w:tcW w:w="7088" w:type="dxa"/>
            <w:tcBorders>
              <w:bottom w:val="single" w:color="auto" w:sz="4" w:space="0"/>
            </w:tcBorders>
            <w:noWrap w:val="0"/>
            <w:vAlign w:val="center"/>
          </w:tcPr>
          <w:p w14:paraId="64C12DC0">
            <w:pPr>
              <w:spacing w:after="12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评分细则</w:t>
            </w:r>
          </w:p>
        </w:tc>
        <w:tc>
          <w:tcPr>
            <w:tcW w:w="758" w:type="dxa"/>
            <w:noWrap w:val="0"/>
            <w:vAlign w:val="center"/>
          </w:tcPr>
          <w:p w14:paraId="026DD65C">
            <w:pPr>
              <w:spacing w:after="12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单项分数</w:t>
            </w:r>
          </w:p>
        </w:tc>
      </w:tr>
      <w:tr w14:paraId="547D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21" w:type="dxa"/>
            <w:noWrap w:val="0"/>
            <w:vAlign w:val="center"/>
          </w:tcPr>
          <w:p w14:paraId="0D97BC23">
            <w:pPr>
              <w:adjustRightInd w:val="0"/>
              <w:spacing w:after="12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74" w:type="dxa"/>
            <w:noWrap w:val="0"/>
            <w:vAlign w:val="center"/>
          </w:tcPr>
          <w:p w14:paraId="38DE2DBC">
            <w:pPr>
              <w:spacing w:line="360" w:lineRule="auto"/>
              <w:jc w:val="center"/>
            </w:pPr>
            <w:r>
              <w:t>同类项目</w:t>
            </w:r>
          </w:p>
          <w:p w14:paraId="12A82CA9">
            <w:pPr>
              <w:spacing w:line="360" w:lineRule="auto"/>
              <w:jc w:val="center"/>
              <w:rPr>
                <w:rFonts w:hint="eastAsia" w:ascii="宋体" w:hAnsi="宋体" w:cs="宋体"/>
                <w:color w:val="auto"/>
                <w:szCs w:val="21"/>
                <w:highlight w:val="none"/>
              </w:rPr>
            </w:pPr>
            <w:r>
              <w:t>经验</w:t>
            </w:r>
          </w:p>
        </w:tc>
        <w:tc>
          <w:tcPr>
            <w:tcW w:w="7088" w:type="dxa"/>
            <w:tcBorders>
              <w:bottom w:val="single" w:color="auto" w:sz="4" w:space="0"/>
            </w:tcBorders>
            <w:noWrap w:val="0"/>
            <w:vAlign w:val="top"/>
          </w:tcPr>
          <w:p w14:paraId="07E9FB87">
            <w:pPr>
              <w:spacing w:line="360" w:lineRule="auto"/>
              <w:jc w:val="left"/>
            </w:pPr>
            <w:r>
              <w:t>投标人2020年1月1日以来承接的保安服务业绩，每提供一个服务经验得</w:t>
            </w:r>
            <w:r>
              <w:rPr>
                <w:rFonts w:hint="eastAsia"/>
                <w:lang w:val="en-US" w:eastAsia="zh-CN"/>
              </w:rPr>
              <w:t>2</w:t>
            </w:r>
            <w:r>
              <w:t>分，最高得</w:t>
            </w:r>
            <w:r>
              <w:rPr>
                <w:rFonts w:hint="eastAsia"/>
                <w:lang w:val="en-US" w:eastAsia="zh-CN"/>
              </w:rPr>
              <w:t>10</w:t>
            </w:r>
            <w:r>
              <w:t>分。</w:t>
            </w:r>
          </w:p>
          <w:p w14:paraId="681E1D68">
            <w:pPr>
              <w:spacing w:line="360" w:lineRule="auto"/>
              <w:jc w:val="left"/>
              <w:rPr>
                <w:rFonts w:hint="eastAsia" w:ascii="宋体" w:hAnsi="宋体" w:cs="宋体"/>
                <w:color w:val="auto"/>
                <w:kern w:val="0"/>
                <w:highlight w:val="none"/>
                <w:lang w:bidi="ar"/>
              </w:rPr>
            </w:pPr>
            <w:r>
              <w:t>注：需提供合同关键页（含签订合同双方的单位名称、合同项目名称、签订合同双方的落款盖章）</w:t>
            </w:r>
            <w:r>
              <w:rPr>
                <w:rFonts w:hint="eastAsia"/>
                <w:lang w:val="en-US" w:eastAsia="zh-CN"/>
              </w:rPr>
              <w:t>复印</w:t>
            </w:r>
            <w:r>
              <w:t>件。</w:t>
            </w:r>
          </w:p>
        </w:tc>
        <w:tc>
          <w:tcPr>
            <w:tcW w:w="758" w:type="dxa"/>
            <w:noWrap w:val="0"/>
            <w:vAlign w:val="center"/>
          </w:tcPr>
          <w:p w14:paraId="7EC7370B">
            <w:pPr>
              <w:spacing w:line="360" w:lineRule="auto"/>
              <w:jc w:val="center"/>
              <w:rPr>
                <w:rFonts w:hint="default" w:ascii="宋体" w:hAnsi="宋体" w:eastAsia="宋体" w:cs="宋体"/>
                <w:color w:val="auto"/>
                <w:kern w:val="0"/>
                <w:szCs w:val="21"/>
                <w:highlight w:val="none"/>
                <w:lang w:val="en-US" w:eastAsia="zh-CN"/>
              </w:rPr>
            </w:pPr>
            <w:r>
              <w:rPr>
                <w:rFonts w:hint="eastAsia"/>
                <w:lang w:val="en-US" w:eastAsia="zh-CN"/>
              </w:rPr>
              <w:t>10</w:t>
            </w:r>
          </w:p>
        </w:tc>
      </w:tr>
      <w:tr w14:paraId="55CD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21" w:type="dxa"/>
            <w:noWrap w:val="0"/>
            <w:vAlign w:val="center"/>
          </w:tcPr>
          <w:p w14:paraId="2FDC447D">
            <w:pPr>
              <w:adjustRightInd w:val="0"/>
              <w:spacing w:after="120"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274" w:type="dxa"/>
            <w:noWrap w:val="0"/>
            <w:vAlign w:val="center"/>
          </w:tcPr>
          <w:p w14:paraId="257CA590">
            <w:pPr>
              <w:spacing w:line="360" w:lineRule="auto"/>
              <w:jc w:val="center"/>
              <w:rPr>
                <w:rFonts w:hint="default"/>
                <w:lang w:val="en-US" w:eastAsia="zh-CN"/>
              </w:rPr>
            </w:pPr>
            <w:r>
              <w:rPr>
                <w:rFonts w:hint="eastAsia"/>
                <w:lang w:val="en-US" w:eastAsia="zh-CN"/>
              </w:rPr>
              <w:t>客户评价</w:t>
            </w:r>
          </w:p>
        </w:tc>
        <w:tc>
          <w:tcPr>
            <w:tcW w:w="7088" w:type="dxa"/>
            <w:tcBorders>
              <w:bottom w:val="single" w:color="auto" w:sz="4" w:space="0"/>
            </w:tcBorders>
            <w:noWrap w:val="0"/>
            <w:vAlign w:val="top"/>
          </w:tcPr>
          <w:p w14:paraId="1072FC62">
            <w:pPr>
              <w:pStyle w:val="39"/>
              <w:spacing w:line="400" w:lineRule="exact"/>
              <w:jc w:val="both"/>
              <w:rPr>
                <w:bCs/>
                <w:sz w:val="21"/>
                <w:szCs w:val="21"/>
              </w:rPr>
            </w:pPr>
            <w:r>
              <w:rPr>
                <w:rFonts w:hint="eastAsia"/>
                <w:bCs/>
                <w:sz w:val="21"/>
                <w:szCs w:val="21"/>
              </w:rPr>
              <w:t>每有一项同类项目（依据《同类项目经验》）获得类似优的评价（如优秀、很好等）得1分，最高得</w:t>
            </w:r>
            <w:r>
              <w:rPr>
                <w:rFonts w:hint="eastAsia"/>
                <w:bCs/>
                <w:sz w:val="21"/>
                <w:szCs w:val="21"/>
                <w:lang w:val="en-US" w:eastAsia="zh-CN"/>
              </w:rPr>
              <w:t>4</w:t>
            </w:r>
            <w:r>
              <w:rPr>
                <w:rFonts w:hint="eastAsia"/>
                <w:bCs/>
                <w:sz w:val="21"/>
                <w:szCs w:val="21"/>
              </w:rPr>
              <w:t>分。</w:t>
            </w:r>
          </w:p>
          <w:p w14:paraId="36CA7C5C">
            <w:pPr>
              <w:numPr>
                <w:ilvl w:val="-1"/>
                <w:numId w:val="0"/>
              </w:numPr>
              <w:spacing w:line="360" w:lineRule="auto"/>
              <w:jc w:val="left"/>
              <w:rPr>
                <w:highlight w:val="none"/>
              </w:rPr>
            </w:pPr>
            <w:r>
              <w:rPr>
                <w:rFonts w:hint="eastAsia"/>
                <w:bCs/>
                <w:sz w:val="21"/>
                <w:szCs w:val="21"/>
              </w:rPr>
              <w:t>注</w:t>
            </w:r>
            <w:r>
              <w:rPr>
                <w:rFonts w:hint="eastAsia"/>
                <w:bCs/>
                <w:sz w:val="21"/>
                <w:szCs w:val="21"/>
                <w:highlight w:val="none"/>
              </w:rPr>
              <w:t>：需提供</w:t>
            </w:r>
            <w:r>
              <w:rPr>
                <w:rFonts w:hint="eastAsia"/>
                <w:bCs/>
                <w:sz w:val="21"/>
                <w:szCs w:val="21"/>
                <w:highlight w:val="none"/>
                <w:lang w:val="en-US" w:eastAsia="zh-CN"/>
              </w:rPr>
              <w:t>经</w:t>
            </w:r>
            <w:r>
              <w:rPr>
                <w:rFonts w:hint="eastAsia"/>
                <w:bCs/>
                <w:sz w:val="21"/>
                <w:szCs w:val="21"/>
                <w:highlight w:val="none"/>
              </w:rPr>
              <w:t>业主</w:t>
            </w:r>
            <w:r>
              <w:rPr>
                <w:rFonts w:hint="eastAsia"/>
                <w:bCs/>
                <w:sz w:val="21"/>
                <w:szCs w:val="21"/>
                <w:highlight w:val="none"/>
                <w:lang w:val="en-US" w:eastAsia="zh-CN"/>
              </w:rPr>
              <w:t>盖</w:t>
            </w:r>
            <w:r>
              <w:rPr>
                <w:rFonts w:hint="eastAsia"/>
                <w:bCs/>
                <w:sz w:val="21"/>
                <w:szCs w:val="21"/>
                <w:highlight w:val="none"/>
              </w:rPr>
              <w:t>公章</w:t>
            </w:r>
            <w:r>
              <w:rPr>
                <w:rFonts w:hint="eastAsia"/>
                <w:bCs/>
                <w:sz w:val="21"/>
                <w:szCs w:val="21"/>
                <w:highlight w:val="none"/>
                <w:lang w:val="en-US"/>
              </w:rPr>
              <w:t>的</w:t>
            </w:r>
            <w:r>
              <w:rPr>
                <w:rFonts w:hint="eastAsia"/>
                <w:bCs/>
                <w:sz w:val="21"/>
                <w:szCs w:val="21"/>
                <w:highlight w:val="none"/>
              </w:rPr>
              <w:t>业主评价</w:t>
            </w:r>
            <w:r>
              <w:rPr>
                <w:rFonts w:hint="eastAsia"/>
                <w:bCs/>
                <w:sz w:val="21"/>
                <w:szCs w:val="21"/>
                <w:highlight w:val="none"/>
                <w:lang w:val="en-US" w:eastAsia="zh-CN"/>
              </w:rPr>
              <w:t>作为证明材料，未按要求提供不得分</w:t>
            </w:r>
            <w:r>
              <w:rPr>
                <w:rFonts w:hint="eastAsia"/>
                <w:bCs/>
                <w:sz w:val="21"/>
                <w:szCs w:val="21"/>
                <w:highlight w:val="none"/>
              </w:rPr>
              <w:t>。</w:t>
            </w:r>
          </w:p>
        </w:tc>
        <w:tc>
          <w:tcPr>
            <w:tcW w:w="758" w:type="dxa"/>
            <w:noWrap w:val="0"/>
            <w:vAlign w:val="center"/>
          </w:tcPr>
          <w:p w14:paraId="351149BF">
            <w:pPr>
              <w:spacing w:line="360" w:lineRule="auto"/>
              <w:jc w:val="center"/>
              <w:rPr>
                <w:rFonts w:hint="default"/>
                <w:lang w:val="en-US" w:eastAsia="zh-CN"/>
              </w:rPr>
            </w:pPr>
            <w:r>
              <w:rPr>
                <w:rFonts w:hint="eastAsia"/>
                <w:lang w:val="en-US" w:eastAsia="zh-CN"/>
              </w:rPr>
              <w:t>4</w:t>
            </w:r>
          </w:p>
        </w:tc>
      </w:tr>
      <w:tr w14:paraId="4099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621" w:type="dxa"/>
            <w:noWrap w:val="0"/>
            <w:vAlign w:val="center"/>
          </w:tcPr>
          <w:p w14:paraId="4AFFA810">
            <w:pPr>
              <w:adjustRightInd w:val="0"/>
              <w:spacing w:after="120"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274" w:type="dxa"/>
            <w:noWrap w:val="0"/>
            <w:vAlign w:val="center"/>
          </w:tcPr>
          <w:p w14:paraId="68EF24DF">
            <w:pPr>
              <w:spacing w:line="360" w:lineRule="auto"/>
              <w:jc w:val="center"/>
              <w:rPr>
                <w:rFonts w:hint="eastAsia"/>
                <w:lang w:val="en-US" w:eastAsia="zh-CN"/>
              </w:rPr>
            </w:pPr>
            <w:r>
              <w:rPr>
                <w:rFonts w:hint="eastAsia"/>
                <w:lang w:val="en-US" w:eastAsia="zh-CN"/>
              </w:rPr>
              <w:t>企业管理</w:t>
            </w:r>
          </w:p>
          <w:p w14:paraId="4EFCBAB6">
            <w:pPr>
              <w:spacing w:line="360" w:lineRule="auto"/>
              <w:jc w:val="center"/>
              <w:rPr>
                <w:rFonts w:hint="default"/>
                <w:lang w:val="en-US" w:eastAsia="zh-CN"/>
              </w:rPr>
            </w:pPr>
            <w:r>
              <w:rPr>
                <w:rFonts w:hint="eastAsia"/>
                <w:lang w:val="en-US" w:eastAsia="zh-CN"/>
              </w:rPr>
              <w:t>认证</w:t>
            </w:r>
          </w:p>
        </w:tc>
        <w:tc>
          <w:tcPr>
            <w:tcW w:w="7088" w:type="dxa"/>
            <w:tcBorders>
              <w:bottom w:val="single" w:color="auto" w:sz="4" w:space="0"/>
            </w:tcBorders>
            <w:noWrap w:val="0"/>
            <w:vAlign w:val="top"/>
          </w:tcPr>
          <w:p w14:paraId="273B39BD">
            <w:pPr>
              <w:pStyle w:val="39"/>
              <w:spacing w:line="400" w:lineRule="exact"/>
              <w:jc w:val="both"/>
              <w:rPr>
                <w:bCs/>
                <w:sz w:val="21"/>
                <w:szCs w:val="21"/>
              </w:rPr>
            </w:pPr>
            <w:r>
              <w:rPr>
                <w:rFonts w:hint="eastAsia"/>
                <w:bCs/>
                <w:sz w:val="21"/>
                <w:szCs w:val="21"/>
                <w:lang w:val="en-US" w:eastAsia="zh-CN"/>
              </w:rPr>
              <w:t>投标人</w:t>
            </w:r>
            <w:r>
              <w:rPr>
                <w:rFonts w:hint="eastAsia"/>
                <w:bCs/>
                <w:sz w:val="21"/>
                <w:szCs w:val="21"/>
              </w:rPr>
              <w:t>具有有效的：</w:t>
            </w:r>
          </w:p>
          <w:p w14:paraId="5008BFA7">
            <w:pPr>
              <w:pStyle w:val="39"/>
              <w:spacing w:line="400" w:lineRule="exact"/>
              <w:jc w:val="both"/>
              <w:rPr>
                <w:bCs/>
                <w:sz w:val="21"/>
                <w:szCs w:val="21"/>
              </w:rPr>
            </w:pPr>
            <w:r>
              <w:rPr>
                <w:rFonts w:hint="eastAsia"/>
                <w:bCs/>
                <w:sz w:val="21"/>
                <w:szCs w:val="21"/>
              </w:rPr>
              <w:t>1、质量管理体系认证证书，得2分；</w:t>
            </w:r>
          </w:p>
          <w:p w14:paraId="366B6CA1">
            <w:pPr>
              <w:pStyle w:val="39"/>
              <w:spacing w:line="400" w:lineRule="exact"/>
              <w:jc w:val="both"/>
              <w:rPr>
                <w:bCs/>
                <w:sz w:val="21"/>
                <w:szCs w:val="21"/>
              </w:rPr>
            </w:pPr>
            <w:r>
              <w:rPr>
                <w:rFonts w:hint="eastAsia"/>
                <w:bCs/>
                <w:sz w:val="21"/>
                <w:szCs w:val="21"/>
              </w:rPr>
              <w:t>2、环境管理体系认证证书，得2分；</w:t>
            </w:r>
          </w:p>
          <w:p w14:paraId="0C29430A">
            <w:pPr>
              <w:pStyle w:val="39"/>
              <w:spacing w:line="400" w:lineRule="exact"/>
              <w:jc w:val="both"/>
              <w:rPr>
                <w:bCs/>
                <w:sz w:val="21"/>
                <w:szCs w:val="21"/>
              </w:rPr>
            </w:pPr>
            <w:r>
              <w:rPr>
                <w:rFonts w:hint="eastAsia"/>
                <w:bCs/>
                <w:sz w:val="21"/>
                <w:szCs w:val="21"/>
              </w:rPr>
              <w:t>3、职业健康安全管理体系认证证书，得2分；</w:t>
            </w:r>
          </w:p>
          <w:p w14:paraId="37C3774F">
            <w:pPr>
              <w:pStyle w:val="39"/>
              <w:spacing w:line="400" w:lineRule="exact"/>
              <w:jc w:val="both"/>
              <w:rPr>
                <w:bCs/>
                <w:sz w:val="21"/>
                <w:szCs w:val="21"/>
              </w:rPr>
            </w:pPr>
            <w:r>
              <w:rPr>
                <w:rFonts w:hint="eastAsia"/>
                <w:bCs/>
                <w:sz w:val="21"/>
                <w:szCs w:val="21"/>
              </w:rPr>
              <w:t>4、保安服务管理体系认证证书，得2分；</w:t>
            </w:r>
          </w:p>
          <w:p w14:paraId="3F3CDE2D">
            <w:pPr>
              <w:pStyle w:val="39"/>
              <w:spacing w:line="400" w:lineRule="exact"/>
              <w:jc w:val="both"/>
              <w:rPr>
                <w:bCs/>
                <w:sz w:val="21"/>
                <w:szCs w:val="21"/>
              </w:rPr>
            </w:pPr>
            <w:r>
              <w:rPr>
                <w:rFonts w:hint="eastAsia"/>
                <w:bCs/>
                <w:sz w:val="21"/>
                <w:szCs w:val="21"/>
              </w:rPr>
              <w:t>本项最高得8分。</w:t>
            </w:r>
          </w:p>
          <w:p w14:paraId="1C772411">
            <w:pPr>
              <w:numPr>
                <w:ilvl w:val="-1"/>
                <w:numId w:val="0"/>
              </w:numPr>
              <w:spacing w:line="360" w:lineRule="auto"/>
              <w:jc w:val="left"/>
              <w:rPr>
                <w:highlight w:val="none"/>
              </w:rPr>
            </w:pPr>
            <w:r>
              <w:rPr>
                <w:rFonts w:hint="eastAsia"/>
                <w:bCs/>
                <w:sz w:val="21"/>
                <w:szCs w:val="21"/>
              </w:rPr>
              <w:t>注：须提供认证证书复印件作为评审依据，已失效或撤销的不得分。</w:t>
            </w:r>
          </w:p>
        </w:tc>
        <w:tc>
          <w:tcPr>
            <w:tcW w:w="758" w:type="dxa"/>
            <w:noWrap w:val="0"/>
            <w:vAlign w:val="center"/>
          </w:tcPr>
          <w:p w14:paraId="1B23373C">
            <w:pPr>
              <w:spacing w:line="360" w:lineRule="auto"/>
              <w:jc w:val="center"/>
              <w:rPr>
                <w:rFonts w:hint="default"/>
                <w:lang w:val="en-US" w:eastAsia="zh-CN"/>
              </w:rPr>
            </w:pPr>
            <w:r>
              <w:rPr>
                <w:rFonts w:hint="eastAsia"/>
                <w:lang w:val="en-US" w:eastAsia="zh-CN"/>
              </w:rPr>
              <w:t>8</w:t>
            </w:r>
          </w:p>
        </w:tc>
      </w:tr>
      <w:tr w14:paraId="44A6A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21" w:type="dxa"/>
            <w:noWrap w:val="0"/>
            <w:vAlign w:val="center"/>
          </w:tcPr>
          <w:p w14:paraId="6A98962B">
            <w:pPr>
              <w:adjustRightInd w:val="0"/>
              <w:spacing w:after="120"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1274" w:type="dxa"/>
            <w:noWrap w:val="0"/>
            <w:vAlign w:val="center"/>
          </w:tcPr>
          <w:p w14:paraId="11D12E9D">
            <w:pPr>
              <w:spacing w:line="360" w:lineRule="auto"/>
              <w:jc w:val="center"/>
              <w:rPr>
                <w:rFonts w:hint="eastAsia"/>
                <w:lang w:val="en-US" w:eastAsia="zh-CN"/>
              </w:rPr>
            </w:pPr>
            <w:r>
              <w:rPr>
                <w:rFonts w:hint="eastAsia"/>
                <w:lang w:val="en-US" w:eastAsia="zh-CN"/>
              </w:rPr>
              <w:t>保安主管</w:t>
            </w:r>
          </w:p>
          <w:p w14:paraId="70663CD0">
            <w:pPr>
              <w:spacing w:line="360" w:lineRule="auto"/>
              <w:jc w:val="center"/>
              <w:rPr>
                <w:rFonts w:hint="default" w:ascii="宋体" w:hAnsi="宋体" w:eastAsia="宋体" w:cs="宋体"/>
                <w:color w:val="auto"/>
                <w:szCs w:val="21"/>
                <w:highlight w:val="none"/>
                <w:lang w:val="en-US" w:eastAsia="zh-CN"/>
              </w:rPr>
            </w:pPr>
            <w:r>
              <w:t>资质</w:t>
            </w:r>
          </w:p>
        </w:tc>
        <w:tc>
          <w:tcPr>
            <w:tcW w:w="7088" w:type="dxa"/>
            <w:tcBorders>
              <w:bottom w:val="single" w:color="auto" w:sz="4" w:space="0"/>
            </w:tcBorders>
            <w:noWrap w:val="0"/>
            <w:vAlign w:val="top"/>
          </w:tcPr>
          <w:p w14:paraId="58B16D94">
            <w:pPr>
              <w:spacing w:line="360" w:lineRule="auto"/>
              <w:jc w:val="left"/>
              <w:rPr>
                <w:highlight w:val="none"/>
              </w:rPr>
            </w:pPr>
            <w:r>
              <w:rPr>
                <w:highlight w:val="none"/>
              </w:rPr>
              <w:t>拟派驻本项目</w:t>
            </w:r>
            <w:r>
              <w:rPr>
                <w:rFonts w:hint="eastAsia"/>
                <w:highlight w:val="none"/>
                <w:lang w:val="en-US" w:eastAsia="zh-CN"/>
              </w:rPr>
              <w:t>保安主管</w:t>
            </w:r>
            <w:r>
              <w:rPr>
                <w:highlight w:val="none"/>
              </w:rPr>
              <w:t>（1人）资质：</w:t>
            </w:r>
          </w:p>
          <w:p w14:paraId="0691D3B1">
            <w:pPr>
              <w:spacing w:line="360" w:lineRule="auto"/>
              <w:jc w:val="left"/>
              <w:rPr>
                <w:highlight w:val="none"/>
              </w:rPr>
            </w:pPr>
            <w:r>
              <w:rPr>
                <w:highlight w:val="none"/>
              </w:rPr>
              <w:t>（1）</w:t>
            </w:r>
            <w:r>
              <w:rPr>
                <w:rFonts w:hint="eastAsia"/>
                <w:highlight w:val="none"/>
              </w:rPr>
              <w:t>大专</w:t>
            </w:r>
            <w:r>
              <w:rPr>
                <w:highlight w:val="none"/>
              </w:rPr>
              <w:t>或以上学历得</w:t>
            </w:r>
            <w:r>
              <w:rPr>
                <w:rFonts w:hint="eastAsia"/>
                <w:highlight w:val="none"/>
              </w:rPr>
              <w:t>1</w:t>
            </w:r>
            <w:r>
              <w:rPr>
                <w:highlight w:val="none"/>
              </w:rPr>
              <w:t>分；</w:t>
            </w:r>
          </w:p>
          <w:p w14:paraId="4D96A78F">
            <w:pPr>
              <w:spacing w:line="360" w:lineRule="auto"/>
              <w:jc w:val="left"/>
              <w:rPr>
                <w:highlight w:val="none"/>
              </w:rPr>
            </w:pPr>
            <w:r>
              <w:rPr>
                <w:highlight w:val="none"/>
              </w:rPr>
              <w:t>（2）具有人社部门颁发的保安员二级/技师（原保安师）或以上职业资格证书得</w:t>
            </w:r>
            <w:r>
              <w:rPr>
                <w:rFonts w:hint="eastAsia"/>
                <w:highlight w:val="none"/>
                <w:lang w:val="en-US" w:eastAsia="zh-CN"/>
              </w:rPr>
              <w:t>1</w:t>
            </w:r>
            <w:r>
              <w:rPr>
                <w:highlight w:val="none"/>
              </w:rPr>
              <w:t>分；</w:t>
            </w:r>
          </w:p>
          <w:p w14:paraId="477159E2">
            <w:pPr>
              <w:spacing w:line="360" w:lineRule="auto"/>
              <w:jc w:val="left"/>
              <w:rPr>
                <w:highlight w:val="none"/>
              </w:rPr>
            </w:pPr>
            <w:r>
              <w:rPr>
                <w:highlight w:val="none"/>
              </w:rPr>
              <w:t>（3）</w:t>
            </w:r>
            <w:r>
              <w:rPr>
                <w:rFonts w:hint="eastAsia"/>
                <w:highlight w:val="none"/>
                <w:lang w:val="en-US" w:eastAsia="zh-CN"/>
              </w:rPr>
              <w:t>具有应急救援员五级或以上证书，</w:t>
            </w:r>
            <w:r>
              <w:rPr>
                <w:highlight w:val="none"/>
              </w:rPr>
              <w:t>得</w:t>
            </w:r>
            <w:r>
              <w:rPr>
                <w:rFonts w:hint="eastAsia"/>
                <w:highlight w:val="none"/>
                <w:lang w:val="en-US" w:eastAsia="zh-CN"/>
              </w:rPr>
              <w:t>1</w:t>
            </w:r>
            <w:r>
              <w:rPr>
                <w:highlight w:val="none"/>
              </w:rPr>
              <w:t>分；</w:t>
            </w:r>
          </w:p>
          <w:p w14:paraId="2FA64C19">
            <w:pPr>
              <w:spacing w:line="360" w:lineRule="auto"/>
              <w:jc w:val="left"/>
              <w:rPr>
                <w:highlight w:val="none"/>
              </w:rPr>
            </w:pPr>
            <w:r>
              <w:rPr>
                <w:highlight w:val="none"/>
              </w:rPr>
              <w:t>（4）具有退伍军人证得</w:t>
            </w:r>
            <w:r>
              <w:rPr>
                <w:rFonts w:hint="eastAsia"/>
                <w:highlight w:val="none"/>
                <w:lang w:val="en-US" w:eastAsia="zh-CN"/>
              </w:rPr>
              <w:t>1</w:t>
            </w:r>
            <w:r>
              <w:rPr>
                <w:highlight w:val="none"/>
              </w:rPr>
              <w:t>分；</w:t>
            </w:r>
          </w:p>
          <w:p w14:paraId="7CDC4BE7">
            <w:pPr>
              <w:spacing w:line="360" w:lineRule="auto"/>
              <w:jc w:val="left"/>
              <w:rPr>
                <w:highlight w:val="none"/>
              </w:rPr>
            </w:pPr>
            <w:r>
              <w:rPr>
                <w:rFonts w:hint="eastAsia"/>
                <w:highlight w:val="none"/>
              </w:rPr>
              <w:t>本项</w:t>
            </w:r>
            <w:r>
              <w:rPr>
                <w:highlight w:val="none"/>
              </w:rPr>
              <w:t>最高得</w:t>
            </w:r>
            <w:r>
              <w:rPr>
                <w:rFonts w:hint="eastAsia"/>
                <w:highlight w:val="none"/>
                <w:lang w:val="en-US" w:eastAsia="zh-CN"/>
              </w:rPr>
              <w:t>4</w:t>
            </w:r>
            <w:r>
              <w:rPr>
                <w:highlight w:val="none"/>
              </w:rPr>
              <w:t>分。</w:t>
            </w:r>
          </w:p>
          <w:p w14:paraId="0EC47293">
            <w:pPr>
              <w:spacing w:line="360" w:lineRule="auto"/>
              <w:jc w:val="left"/>
              <w:rPr>
                <w:highlight w:val="none"/>
              </w:rPr>
            </w:pPr>
            <w:r>
              <w:rPr>
                <w:highlight w:val="none"/>
              </w:rPr>
              <w:t>注：1）提供以上证书复印件；</w:t>
            </w:r>
          </w:p>
          <w:p w14:paraId="30CE99D4">
            <w:pPr>
              <w:numPr>
                <w:ilvl w:val="0"/>
                <w:numId w:val="15"/>
              </w:numPr>
              <w:spacing w:line="360" w:lineRule="auto"/>
              <w:jc w:val="left"/>
              <w:rPr>
                <w:highlight w:val="none"/>
              </w:rPr>
            </w:pPr>
            <w:r>
              <w:rPr>
                <w:highlight w:val="none"/>
              </w:rPr>
              <w:t>提供以上人员投标截止日前半年内任意1个月《投保单》或《社会保险参保人员证明》或单位代缴个人所得税税单等。未按要求提供不得分。</w:t>
            </w:r>
          </w:p>
          <w:p w14:paraId="0145F512">
            <w:pPr>
              <w:numPr>
                <w:ilvl w:val="0"/>
                <w:numId w:val="15"/>
              </w:numPr>
              <w:spacing w:line="360" w:lineRule="auto"/>
              <w:jc w:val="left"/>
              <w:rPr>
                <w:rFonts w:hint="eastAsia"/>
                <w:highlight w:val="none"/>
                <w:lang w:val="en-US" w:eastAsia="zh-CN"/>
              </w:rPr>
            </w:pPr>
            <w:r>
              <w:rPr>
                <w:highlight w:val="none"/>
              </w:rPr>
              <w:t>未按要求提供不得分。</w:t>
            </w:r>
          </w:p>
        </w:tc>
        <w:tc>
          <w:tcPr>
            <w:tcW w:w="758" w:type="dxa"/>
            <w:noWrap w:val="0"/>
            <w:vAlign w:val="center"/>
          </w:tcPr>
          <w:p w14:paraId="1A63AEF0">
            <w:pPr>
              <w:spacing w:line="360" w:lineRule="auto"/>
              <w:jc w:val="center"/>
              <w:rPr>
                <w:rFonts w:hint="eastAsia" w:ascii="宋体" w:hAnsi="宋体" w:eastAsia="宋体" w:cs="宋体"/>
                <w:color w:val="auto"/>
                <w:kern w:val="0"/>
                <w:szCs w:val="21"/>
                <w:highlight w:val="none"/>
                <w:lang w:val="en-US" w:eastAsia="zh-CN"/>
              </w:rPr>
            </w:pPr>
            <w:r>
              <w:rPr>
                <w:rFonts w:hint="eastAsia"/>
                <w:lang w:val="en-US" w:eastAsia="zh-CN"/>
              </w:rPr>
              <w:t>4</w:t>
            </w:r>
          </w:p>
        </w:tc>
      </w:tr>
      <w:tr w14:paraId="38F0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21" w:type="dxa"/>
            <w:noWrap w:val="0"/>
            <w:vAlign w:val="center"/>
          </w:tcPr>
          <w:p w14:paraId="280B6EA4">
            <w:pPr>
              <w:adjustRightInd w:val="0"/>
              <w:spacing w:after="120"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274" w:type="dxa"/>
            <w:noWrap w:val="0"/>
            <w:vAlign w:val="center"/>
          </w:tcPr>
          <w:p w14:paraId="2F0E5BEF">
            <w:pPr>
              <w:spacing w:line="360" w:lineRule="auto"/>
              <w:jc w:val="center"/>
              <w:rPr>
                <w:rFonts w:hint="eastAsia" w:ascii="宋体" w:hAnsi="宋体" w:eastAsia="宋体" w:cs="宋体"/>
                <w:color w:val="auto"/>
                <w:szCs w:val="21"/>
                <w:highlight w:val="none"/>
                <w:lang w:val="en-US" w:eastAsia="zh-CN"/>
              </w:rPr>
            </w:pPr>
            <w:r>
              <w:rPr>
                <w:rFonts w:hint="eastAsia"/>
                <w:lang w:val="en-US" w:eastAsia="zh-CN"/>
              </w:rPr>
              <w:t>保安</w:t>
            </w:r>
            <w:r>
              <w:t>员资质</w:t>
            </w:r>
          </w:p>
        </w:tc>
        <w:tc>
          <w:tcPr>
            <w:tcW w:w="7088" w:type="dxa"/>
            <w:tcBorders>
              <w:bottom w:val="single" w:color="auto" w:sz="4" w:space="0"/>
            </w:tcBorders>
            <w:noWrap w:val="0"/>
            <w:vAlign w:val="top"/>
          </w:tcPr>
          <w:p w14:paraId="7026C546">
            <w:pPr>
              <w:spacing w:line="360" w:lineRule="auto"/>
              <w:jc w:val="left"/>
              <w:rPr>
                <w:highlight w:val="none"/>
              </w:rPr>
            </w:pPr>
            <w:r>
              <w:rPr>
                <w:highlight w:val="none"/>
              </w:rPr>
              <w:t>拟派驻本项目</w:t>
            </w:r>
            <w:r>
              <w:rPr>
                <w:rFonts w:hint="eastAsia"/>
                <w:highlight w:val="none"/>
                <w:lang w:val="en-US" w:eastAsia="zh-CN"/>
              </w:rPr>
              <w:t>保安</w:t>
            </w:r>
            <w:r>
              <w:rPr>
                <w:highlight w:val="none"/>
              </w:rPr>
              <w:t>员</w:t>
            </w:r>
            <w:r>
              <w:rPr>
                <w:rFonts w:hint="eastAsia"/>
                <w:highlight w:val="none"/>
                <w:lang w:eastAsia="zh-CN"/>
              </w:rPr>
              <w:t>（</w:t>
            </w:r>
            <w:r>
              <w:rPr>
                <w:rFonts w:hint="eastAsia"/>
                <w:highlight w:val="none"/>
                <w:lang w:val="en-US" w:eastAsia="zh-CN"/>
              </w:rPr>
              <w:t>19人）</w:t>
            </w:r>
            <w:r>
              <w:rPr>
                <w:highlight w:val="none"/>
              </w:rPr>
              <w:t>资质：</w:t>
            </w:r>
          </w:p>
          <w:p w14:paraId="5F9301B8">
            <w:pPr>
              <w:spacing w:line="360" w:lineRule="auto"/>
              <w:jc w:val="left"/>
              <w:rPr>
                <w:highlight w:val="none"/>
              </w:rPr>
            </w:pPr>
            <w:r>
              <w:rPr>
                <w:highlight w:val="none"/>
              </w:rPr>
              <w:t>（1）具有</w:t>
            </w:r>
            <w:r>
              <w:rPr>
                <w:rFonts w:hint="eastAsia"/>
                <w:highlight w:val="none"/>
                <w:lang w:val="en-US" w:eastAsia="zh-CN"/>
              </w:rPr>
              <w:t>保安员上岗证，每提供1个得0.5分，本小项最高得2分</w:t>
            </w:r>
            <w:r>
              <w:rPr>
                <w:highlight w:val="none"/>
              </w:rPr>
              <w:t>；</w:t>
            </w:r>
          </w:p>
          <w:p w14:paraId="7336DC48">
            <w:pPr>
              <w:spacing w:line="360" w:lineRule="auto"/>
              <w:jc w:val="left"/>
              <w:rPr>
                <w:highlight w:val="none"/>
              </w:rPr>
            </w:pPr>
            <w:r>
              <w:rPr>
                <w:highlight w:val="none"/>
              </w:rPr>
              <w:t>（2）</w:t>
            </w:r>
            <w:r>
              <w:rPr>
                <w:rFonts w:hint="eastAsia"/>
                <w:highlight w:val="none"/>
                <w:lang w:val="en-US" w:eastAsia="zh-CN"/>
              </w:rPr>
              <w:t>具有</w:t>
            </w:r>
            <w:r>
              <w:rPr>
                <w:rFonts w:hint="default"/>
                <w:highlight w:val="none"/>
                <w:lang w:val="en-US" w:eastAsia="zh-CN"/>
              </w:rPr>
              <w:t>消防设施操作员证</w:t>
            </w:r>
            <w:r>
              <w:rPr>
                <w:rFonts w:hint="default"/>
                <w:highlight w:val="none"/>
                <w:lang w:val="en-US"/>
              </w:rPr>
              <w:t>书</w:t>
            </w:r>
            <w:r>
              <w:rPr>
                <w:rFonts w:hint="default"/>
                <w:highlight w:val="none"/>
                <w:lang w:val="en-US" w:eastAsia="zh-CN"/>
              </w:rPr>
              <w:t>或建（构）筑物消防员</w:t>
            </w:r>
            <w:r>
              <w:rPr>
                <w:rFonts w:hint="eastAsia"/>
                <w:highlight w:val="none"/>
                <w:lang w:val="en-US" w:eastAsia="zh-CN"/>
              </w:rPr>
              <w:t>证书，每提供1人得0.5分，本小项最高得2分</w:t>
            </w:r>
            <w:r>
              <w:rPr>
                <w:highlight w:val="none"/>
              </w:rPr>
              <w:t>；</w:t>
            </w:r>
          </w:p>
          <w:p w14:paraId="7E4164DA">
            <w:pPr>
              <w:spacing w:line="360" w:lineRule="auto"/>
              <w:jc w:val="left"/>
              <w:rPr>
                <w:highlight w:val="none"/>
              </w:rPr>
            </w:pPr>
            <w:r>
              <w:rPr>
                <w:highlight w:val="none"/>
              </w:rPr>
              <w:t>注：1）提供以上证书复印件；</w:t>
            </w:r>
          </w:p>
          <w:p w14:paraId="4E558446">
            <w:pPr>
              <w:numPr>
                <w:ilvl w:val="0"/>
                <w:numId w:val="16"/>
              </w:numPr>
              <w:spacing w:line="360" w:lineRule="auto"/>
              <w:jc w:val="left"/>
              <w:rPr>
                <w:color w:val="auto"/>
                <w:highlight w:val="none"/>
              </w:rPr>
            </w:pPr>
            <w:r>
              <w:rPr>
                <w:highlight w:val="none"/>
              </w:rPr>
              <w:t>提供以上人员投标截止日前半年内任意1个月《投保单》或《社会保险参保</w:t>
            </w:r>
            <w:r>
              <w:rPr>
                <w:color w:val="auto"/>
                <w:highlight w:val="none"/>
              </w:rPr>
              <w:t>人员证明》或单位代缴个人所得税税单等。</w:t>
            </w:r>
          </w:p>
          <w:p w14:paraId="3A2BEE65">
            <w:pPr>
              <w:numPr>
                <w:ilvl w:val="0"/>
                <w:numId w:val="16"/>
              </w:numPr>
              <w:spacing w:line="360" w:lineRule="auto"/>
              <w:jc w:val="left"/>
              <w:rPr>
                <w:rFonts w:hint="eastAsia"/>
                <w:color w:val="auto"/>
                <w:highlight w:val="none"/>
              </w:rPr>
            </w:pPr>
            <w:r>
              <w:rPr>
                <w:rFonts w:hint="eastAsia"/>
                <w:color w:val="auto"/>
                <w:highlight w:val="none"/>
                <w:lang w:val="en-US" w:eastAsia="zh-CN"/>
              </w:rPr>
              <w:t>同一人员具有多个证书不可重复得分。</w:t>
            </w:r>
          </w:p>
          <w:p w14:paraId="27A46464">
            <w:pPr>
              <w:numPr>
                <w:ilvl w:val="0"/>
                <w:numId w:val="16"/>
              </w:numPr>
              <w:spacing w:line="360" w:lineRule="auto"/>
              <w:jc w:val="left"/>
              <w:rPr>
                <w:rFonts w:hint="eastAsia"/>
                <w:highlight w:val="none"/>
              </w:rPr>
            </w:pPr>
            <w:r>
              <w:rPr>
                <w:color w:val="auto"/>
                <w:highlight w:val="none"/>
              </w:rPr>
              <w:t>未按要求提供不得分。</w:t>
            </w:r>
          </w:p>
        </w:tc>
        <w:tc>
          <w:tcPr>
            <w:tcW w:w="758" w:type="dxa"/>
            <w:noWrap w:val="0"/>
            <w:vAlign w:val="center"/>
          </w:tcPr>
          <w:p w14:paraId="52D04294">
            <w:pPr>
              <w:widowControl/>
              <w:spacing w:line="360" w:lineRule="auto"/>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p>
        </w:tc>
      </w:tr>
      <w:tr w14:paraId="6CEC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983" w:type="dxa"/>
            <w:gridSpan w:val="3"/>
            <w:noWrap w:val="0"/>
            <w:vAlign w:val="center"/>
          </w:tcPr>
          <w:p w14:paraId="32ED3980">
            <w:pPr>
              <w:spacing w:after="12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合计</w:t>
            </w:r>
          </w:p>
        </w:tc>
        <w:tc>
          <w:tcPr>
            <w:tcW w:w="758" w:type="dxa"/>
            <w:noWrap w:val="0"/>
            <w:vAlign w:val="center"/>
          </w:tcPr>
          <w:p w14:paraId="20DB80FC">
            <w:pPr>
              <w:widowControl/>
              <w:adjustRightInd w:val="0"/>
              <w:spacing w:after="120" w:line="36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w:t>
            </w:r>
          </w:p>
        </w:tc>
      </w:tr>
    </w:tbl>
    <w:p w14:paraId="01E112CA">
      <w:pPr>
        <w:pStyle w:val="16"/>
        <w:rPr>
          <w:rFonts w:hint="eastAsia" w:hAnsi="宋体"/>
          <w:b/>
          <w:bCs/>
          <w:color w:val="auto"/>
          <w:highlight w:val="none"/>
        </w:rPr>
      </w:pPr>
      <w:r>
        <w:rPr>
          <w:rFonts w:hint="eastAsia" w:hAnsi="宋体"/>
          <w:b/>
          <w:bCs/>
          <w:color w:val="auto"/>
          <w:highlight w:val="none"/>
        </w:rPr>
        <w:t>注：1、评委对各投标文件进行评审，分数精确至小数点后2位。</w:t>
      </w:r>
    </w:p>
    <w:p w14:paraId="1AD47084">
      <w:pPr>
        <w:pStyle w:val="16"/>
        <w:rPr>
          <w:rFonts w:hint="eastAsia" w:hAnsi="宋体" w:cs="宋体"/>
          <w:b/>
          <w:bCs/>
          <w:color w:val="auto"/>
          <w:highlight w:val="none"/>
        </w:rPr>
      </w:pPr>
      <w:r>
        <w:rPr>
          <w:rFonts w:hint="eastAsia" w:hAnsi="宋体"/>
          <w:b/>
          <w:bCs/>
          <w:color w:val="auto"/>
          <w:highlight w:val="none"/>
        </w:rPr>
        <w:t>2、若投标人出现商务评分低于商务得分的60%，评标委员会将否决该投标人的所有投标文件，该投标人也不再进入价格详细评审环节</w:t>
      </w:r>
      <w:r>
        <w:rPr>
          <w:rFonts w:hint="eastAsia" w:hAnsi="宋体" w:cs="宋体"/>
          <w:b/>
          <w:bCs/>
          <w:color w:val="auto"/>
          <w:highlight w:val="none"/>
        </w:rPr>
        <w:t>。</w:t>
      </w:r>
    </w:p>
    <w:p w14:paraId="5C2223BA">
      <w:pPr>
        <w:pStyle w:val="2"/>
        <w:rPr>
          <w:rFonts w:hint="eastAsia" w:ascii="宋体" w:hAnsi="宋体"/>
          <w:b/>
          <w:color w:val="auto"/>
          <w:highlight w:val="none"/>
        </w:rPr>
      </w:pPr>
      <w:r>
        <w:rPr>
          <w:rFonts w:hint="eastAsia" w:ascii="宋体" w:hAnsi="宋体" w:cs="宋体"/>
          <w:b/>
          <w:bCs/>
          <w:color w:val="auto"/>
          <w:highlight w:val="none"/>
        </w:rPr>
        <w:br w:type="page"/>
      </w:r>
      <w:r>
        <w:rPr>
          <w:rFonts w:hint="eastAsia" w:ascii="宋体" w:hAnsi="宋体"/>
          <w:b/>
          <w:color w:val="auto"/>
          <w:highlight w:val="none"/>
        </w:rPr>
        <w:t>附表4：符合性审查表（阶段二）</w:t>
      </w:r>
    </w:p>
    <w:p w14:paraId="55AAC3ED">
      <w:pPr>
        <w:jc w:val="center"/>
        <w:rPr>
          <w:rFonts w:hint="eastAsia" w:ascii="宋体" w:hAnsi="宋体"/>
          <w:b/>
          <w:color w:val="auto"/>
          <w:sz w:val="28"/>
          <w:szCs w:val="28"/>
          <w:highlight w:val="none"/>
        </w:rPr>
      </w:pPr>
      <w:r>
        <w:rPr>
          <w:rFonts w:hint="eastAsia" w:ascii="宋体" w:hAnsi="宋体"/>
          <w:b/>
          <w:color w:val="auto"/>
          <w:sz w:val="28"/>
          <w:szCs w:val="28"/>
          <w:highlight w:val="none"/>
        </w:rPr>
        <w:t>符合性审查表（阶段二）</w:t>
      </w:r>
    </w:p>
    <w:tbl>
      <w:tblPr>
        <w:tblStyle w:val="23"/>
        <w:tblW w:w="0" w:type="auto"/>
        <w:tblInd w:w="0" w:type="dxa"/>
        <w:tblLayout w:type="fixed"/>
        <w:tblCellMar>
          <w:top w:w="0" w:type="dxa"/>
          <w:left w:w="0" w:type="dxa"/>
          <w:bottom w:w="0" w:type="dxa"/>
          <w:right w:w="0" w:type="dxa"/>
        </w:tblCellMar>
      </w:tblPr>
      <w:tblGrid>
        <w:gridCol w:w="561"/>
        <w:gridCol w:w="4225"/>
        <w:gridCol w:w="746"/>
        <w:gridCol w:w="744"/>
        <w:gridCol w:w="744"/>
        <w:gridCol w:w="744"/>
        <w:gridCol w:w="744"/>
        <w:gridCol w:w="764"/>
      </w:tblGrid>
      <w:tr w14:paraId="57C3D9EE">
        <w:tblPrEx>
          <w:tblCellMar>
            <w:top w:w="0" w:type="dxa"/>
            <w:left w:w="0" w:type="dxa"/>
            <w:bottom w:w="0" w:type="dxa"/>
            <w:right w:w="0" w:type="dxa"/>
          </w:tblCellMar>
        </w:tblPrEx>
        <w:trPr>
          <w:trHeight w:val="90" w:hRule="atLeast"/>
        </w:trPr>
        <w:tc>
          <w:tcPr>
            <w:tcW w:w="561"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A8A100A">
            <w:pPr>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4225" w:type="dxa"/>
            <w:vMerge w:val="restart"/>
            <w:tcBorders>
              <w:top w:val="single" w:color="auto" w:sz="4" w:space="0"/>
              <w:left w:val="nil"/>
              <w:right w:val="single" w:color="auto" w:sz="4" w:space="0"/>
            </w:tcBorders>
            <w:noWrap w:val="0"/>
            <w:tcMar>
              <w:top w:w="15" w:type="dxa"/>
              <w:left w:w="15" w:type="dxa"/>
              <w:bottom w:w="0" w:type="dxa"/>
              <w:right w:w="15" w:type="dxa"/>
            </w:tcMar>
            <w:vAlign w:val="center"/>
          </w:tcPr>
          <w:p w14:paraId="7FCA813D">
            <w:pPr>
              <w:jc w:val="center"/>
              <w:rPr>
                <w:rFonts w:hint="eastAsia" w:ascii="宋体" w:hAnsi="宋体" w:cs="宋体"/>
                <w:color w:val="auto"/>
                <w:szCs w:val="21"/>
                <w:highlight w:val="none"/>
              </w:rPr>
            </w:pPr>
            <w:r>
              <w:rPr>
                <w:rFonts w:hint="eastAsia" w:ascii="宋体" w:hAnsi="宋体" w:cs="宋体"/>
                <w:color w:val="auto"/>
                <w:szCs w:val="21"/>
                <w:highlight w:val="none"/>
              </w:rPr>
              <w:t>审查项目</w:t>
            </w:r>
          </w:p>
        </w:tc>
        <w:tc>
          <w:tcPr>
            <w:tcW w:w="4486" w:type="dxa"/>
            <w:gridSpan w:val="6"/>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60C34A6">
            <w:pPr>
              <w:jc w:val="center"/>
              <w:rPr>
                <w:rFonts w:hint="eastAsia" w:ascii="宋体" w:hAnsi="宋体" w:cs="宋体"/>
                <w:color w:val="auto"/>
                <w:szCs w:val="21"/>
                <w:highlight w:val="none"/>
              </w:rPr>
            </w:pPr>
            <w:r>
              <w:rPr>
                <w:rFonts w:hint="eastAsia" w:ascii="宋体" w:hAnsi="宋体" w:cs="宋体"/>
                <w:color w:val="auto"/>
                <w:szCs w:val="21"/>
                <w:highlight w:val="none"/>
              </w:rPr>
              <w:t>投标人</w:t>
            </w:r>
          </w:p>
        </w:tc>
      </w:tr>
      <w:tr w14:paraId="1C55B472">
        <w:tblPrEx>
          <w:tblCellMar>
            <w:top w:w="0" w:type="dxa"/>
            <w:left w:w="0" w:type="dxa"/>
            <w:bottom w:w="0" w:type="dxa"/>
            <w:right w:w="0" w:type="dxa"/>
          </w:tblCellMar>
        </w:tblPrEx>
        <w:trPr>
          <w:trHeight w:val="211" w:hRule="atLeast"/>
        </w:trPr>
        <w:tc>
          <w:tcPr>
            <w:tcW w:w="561"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17FA624">
            <w:pPr>
              <w:jc w:val="center"/>
              <w:rPr>
                <w:rFonts w:hint="eastAsia" w:ascii="宋体" w:hAnsi="宋体" w:cs="宋体"/>
                <w:color w:val="auto"/>
                <w:szCs w:val="21"/>
                <w:highlight w:val="none"/>
              </w:rPr>
            </w:pPr>
          </w:p>
        </w:tc>
        <w:tc>
          <w:tcPr>
            <w:tcW w:w="4225" w:type="dxa"/>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14:paraId="50E221C3">
            <w:pPr>
              <w:jc w:val="center"/>
              <w:rPr>
                <w:rFonts w:hint="eastAsia" w:ascii="宋体" w:hAnsi="宋体" w:cs="宋体"/>
                <w:color w:val="auto"/>
                <w:szCs w:val="21"/>
                <w:highlight w:val="none"/>
              </w:rPr>
            </w:pPr>
          </w:p>
        </w:tc>
        <w:tc>
          <w:tcPr>
            <w:tcW w:w="74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0EE79B5">
            <w:pPr>
              <w:jc w:val="center"/>
              <w:rPr>
                <w:rFonts w:hint="eastAsia" w:ascii="宋体" w:hAnsi="宋体" w:cs="宋体"/>
                <w:color w:val="auto"/>
                <w:szCs w:val="21"/>
                <w:highlight w:val="none"/>
              </w:rPr>
            </w:pPr>
            <w:r>
              <w:rPr>
                <w:rFonts w:hint="eastAsia" w:ascii="宋体" w:hAnsi="宋体" w:cs="宋体"/>
                <w:color w:val="auto"/>
                <w:szCs w:val="21"/>
                <w:highlight w:val="none"/>
              </w:rPr>
              <w:t>A</w:t>
            </w: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48F7C8B">
            <w:pPr>
              <w:jc w:val="center"/>
              <w:rPr>
                <w:rFonts w:hint="eastAsia" w:ascii="宋体" w:hAnsi="宋体" w:cs="宋体"/>
                <w:color w:val="auto"/>
                <w:szCs w:val="21"/>
                <w:highlight w:val="none"/>
              </w:rPr>
            </w:pPr>
            <w:r>
              <w:rPr>
                <w:rFonts w:hint="eastAsia" w:ascii="宋体" w:hAnsi="宋体" w:cs="宋体"/>
                <w:color w:val="auto"/>
                <w:szCs w:val="21"/>
                <w:highlight w:val="none"/>
              </w:rPr>
              <w:t>B</w:t>
            </w: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8ECE050">
            <w:pPr>
              <w:jc w:val="center"/>
              <w:rPr>
                <w:rFonts w:hint="eastAsia" w:ascii="宋体" w:hAnsi="宋体" w:cs="宋体"/>
                <w:color w:val="auto"/>
                <w:szCs w:val="21"/>
                <w:highlight w:val="none"/>
              </w:rPr>
            </w:pPr>
            <w:r>
              <w:rPr>
                <w:rFonts w:hint="eastAsia" w:ascii="宋体" w:hAnsi="宋体" w:cs="宋体"/>
                <w:color w:val="auto"/>
                <w:szCs w:val="21"/>
                <w:highlight w:val="none"/>
              </w:rPr>
              <w:t>C</w:t>
            </w: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1E0A03C">
            <w:pPr>
              <w:jc w:val="center"/>
              <w:rPr>
                <w:rFonts w:hint="eastAsia" w:ascii="宋体" w:hAnsi="宋体" w:cs="宋体"/>
                <w:color w:val="auto"/>
                <w:szCs w:val="21"/>
                <w:highlight w:val="none"/>
              </w:rPr>
            </w:pPr>
            <w:r>
              <w:rPr>
                <w:rFonts w:hint="eastAsia" w:ascii="宋体" w:hAnsi="宋体" w:cs="宋体"/>
                <w:color w:val="auto"/>
                <w:szCs w:val="21"/>
                <w:highlight w:val="none"/>
              </w:rPr>
              <w:t>D</w:t>
            </w:r>
          </w:p>
        </w:tc>
        <w:tc>
          <w:tcPr>
            <w:tcW w:w="744" w:type="dxa"/>
            <w:tcBorders>
              <w:top w:val="single" w:color="auto" w:sz="4" w:space="0"/>
              <w:left w:val="nil"/>
              <w:bottom w:val="single" w:color="auto" w:sz="4" w:space="0"/>
              <w:right w:val="single" w:color="auto" w:sz="4" w:space="0"/>
            </w:tcBorders>
            <w:noWrap w:val="0"/>
            <w:vAlign w:val="center"/>
          </w:tcPr>
          <w:p w14:paraId="3544BE12">
            <w:pPr>
              <w:jc w:val="center"/>
              <w:rPr>
                <w:rFonts w:hint="eastAsia" w:ascii="宋体" w:hAnsi="宋体" w:cs="宋体"/>
                <w:color w:val="auto"/>
                <w:szCs w:val="21"/>
                <w:highlight w:val="none"/>
              </w:rPr>
            </w:pPr>
            <w:r>
              <w:rPr>
                <w:rFonts w:hint="eastAsia" w:ascii="宋体" w:hAnsi="宋体" w:cs="宋体"/>
                <w:color w:val="auto"/>
                <w:szCs w:val="21"/>
                <w:highlight w:val="none"/>
              </w:rPr>
              <w:t>E</w:t>
            </w:r>
          </w:p>
        </w:tc>
        <w:tc>
          <w:tcPr>
            <w:tcW w:w="764" w:type="dxa"/>
            <w:tcBorders>
              <w:top w:val="single" w:color="auto" w:sz="4" w:space="0"/>
              <w:left w:val="nil"/>
              <w:bottom w:val="single" w:color="auto" w:sz="4" w:space="0"/>
              <w:right w:val="single" w:color="auto" w:sz="4" w:space="0"/>
            </w:tcBorders>
            <w:noWrap w:val="0"/>
            <w:vAlign w:val="center"/>
          </w:tcPr>
          <w:p w14:paraId="1D82222E">
            <w:pPr>
              <w:jc w:val="center"/>
              <w:rPr>
                <w:rFonts w:hint="eastAsia" w:ascii="宋体" w:hAnsi="宋体" w:cs="宋体"/>
                <w:color w:val="auto"/>
                <w:szCs w:val="21"/>
                <w:highlight w:val="none"/>
              </w:rPr>
            </w:pPr>
            <w:r>
              <w:rPr>
                <w:rFonts w:hint="eastAsia" w:ascii="宋体" w:hAnsi="宋体" w:cs="宋体"/>
                <w:bCs/>
                <w:color w:val="auto"/>
                <w:kern w:val="0"/>
                <w:szCs w:val="21"/>
                <w:highlight w:val="none"/>
              </w:rPr>
              <w:t>...</w:t>
            </w:r>
          </w:p>
        </w:tc>
      </w:tr>
      <w:tr w14:paraId="4D9AECCA">
        <w:tblPrEx>
          <w:tblCellMar>
            <w:top w:w="0" w:type="dxa"/>
            <w:left w:w="0" w:type="dxa"/>
            <w:bottom w:w="0" w:type="dxa"/>
            <w:right w:w="0" w:type="dxa"/>
          </w:tblCellMar>
        </w:tblPrEx>
        <w:trPr>
          <w:trHeight w:val="609" w:hRule="atLeast"/>
        </w:trPr>
        <w:tc>
          <w:tcPr>
            <w:tcW w:w="56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72F0D9">
            <w:pPr>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22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5D9C52A">
            <w:pPr>
              <w:rPr>
                <w:rFonts w:hint="eastAsia" w:ascii="宋体" w:hAnsi="宋体" w:cs="宋体"/>
                <w:color w:val="auto"/>
                <w:szCs w:val="21"/>
                <w:highlight w:val="none"/>
              </w:rPr>
            </w:pPr>
            <w:r>
              <w:rPr>
                <w:rFonts w:hint="eastAsia" w:ascii="宋体" w:hAnsi="宋体" w:cs="宋体"/>
                <w:color w:val="auto"/>
                <w:szCs w:val="21"/>
                <w:highlight w:val="none"/>
              </w:rPr>
              <w:t>投标人的商务评分未低于招标文件规定的商务得分比例</w:t>
            </w:r>
            <w:r>
              <w:rPr>
                <w:rFonts w:hint="eastAsia" w:ascii="宋体" w:hAnsi="宋体" w:cs="宋体"/>
                <w:color w:val="auto"/>
                <w:kern w:val="0"/>
                <w:szCs w:val="21"/>
                <w:highlight w:val="none"/>
                <w:lang w:bidi="ar"/>
              </w:rPr>
              <w:t>；</w:t>
            </w:r>
          </w:p>
        </w:tc>
        <w:tc>
          <w:tcPr>
            <w:tcW w:w="74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03EAB9E">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9115F11">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0841F9D">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9A162B3">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vAlign w:val="center"/>
          </w:tcPr>
          <w:p w14:paraId="4C040A51">
            <w:pPr>
              <w:jc w:val="center"/>
              <w:rPr>
                <w:rFonts w:hint="eastAsia" w:ascii="宋体" w:hAnsi="宋体" w:cs="宋体"/>
                <w:color w:val="auto"/>
                <w:szCs w:val="21"/>
                <w:highlight w:val="none"/>
              </w:rPr>
            </w:pPr>
          </w:p>
        </w:tc>
        <w:tc>
          <w:tcPr>
            <w:tcW w:w="764" w:type="dxa"/>
            <w:tcBorders>
              <w:top w:val="nil"/>
              <w:left w:val="nil"/>
              <w:bottom w:val="single" w:color="auto" w:sz="4" w:space="0"/>
              <w:right w:val="single" w:color="auto" w:sz="4" w:space="0"/>
            </w:tcBorders>
            <w:noWrap w:val="0"/>
            <w:vAlign w:val="center"/>
          </w:tcPr>
          <w:p w14:paraId="19F2FAE9">
            <w:pPr>
              <w:jc w:val="center"/>
              <w:rPr>
                <w:rFonts w:hint="eastAsia" w:ascii="宋体" w:hAnsi="宋体" w:cs="宋体"/>
                <w:color w:val="auto"/>
                <w:szCs w:val="21"/>
                <w:highlight w:val="none"/>
              </w:rPr>
            </w:pPr>
          </w:p>
        </w:tc>
      </w:tr>
      <w:tr w14:paraId="559EF5D3">
        <w:tblPrEx>
          <w:tblCellMar>
            <w:top w:w="0" w:type="dxa"/>
            <w:left w:w="0" w:type="dxa"/>
            <w:bottom w:w="0" w:type="dxa"/>
            <w:right w:w="0" w:type="dxa"/>
          </w:tblCellMar>
        </w:tblPrEx>
        <w:trPr>
          <w:trHeight w:val="609" w:hRule="atLeast"/>
        </w:trPr>
        <w:tc>
          <w:tcPr>
            <w:tcW w:w="56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7214561">
            <w:pPr>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422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1C41C32">
            <w:pPr>
              <w:rPr>
                <w:rFonts w:hint="eastAsia" w:ascii="宋体" w:hAnsi="宋体" w:cs="宋体"/>
                <w:color w:val="auto"/>
                <w:szCs w:val="21"/>
                <w:highlight w:val="none"/>
              </w:rPr>
            </w:pPr>
            <w:r>
              <w:rPr>
                <w:rFonts w:hint="eastAsia" w:ascii="宋体" w:hAnsi="宋体" w:cs="宋体"/>
                <w:color w:val="auto"/>
                <w:szCs w:val="21"/>
                <w:highlight w:val="none"/>
              </w:rPr>
              <w:t>投标人的投标报价没有超过本项目的最高限价；</w:t>
            </w:r>
          </w:p>
        </w:tc>
        <w:tc>
          <w:tcPr>
            <w:tcW w:w="74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6E6A743">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359A62A">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FE65756">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645D12E">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vAlign w:val="center"/>
          </w:tcPr>
          <w:p w14:paraId="1C6E2D62">
            <w:pPr>
              <w:jc w:val="center"/>
              <w:rPr>
                <w:rFonts w:hint="eastAsia" w:ascii="宋体" w:hAnsi="宋体" w:cs="宋体"/>
                <w:color w:val="auto"/>
                <w:szCs w:val="21"/>
                <w:highlight w:val="none"/>
              </w:rPr>
            </w:pPr>
          </w:p>
        </w:tc>
        <w:tc>
          <w:tcPr>
            <w:tcW w:w="764" w:type="dxa"/>
            <w:tcBorders>
              <w:top w:val="nil"/>
              <w:left w:val="nil"/>
              <w:bottom w:val="single" w:color="auto" w:sz="4" w:space="0"/>
              <w:right w:val="single" w:color="auto" w:sz="4" w:space="0"/>
            </w:tcBorders>
            <w:noWrap w:val="0"/>
            <w:vAlign w:val="center"/>
          </w:tcPr>
          <w:p w14:paraId="5812DBF0">
            <w:pPr>
              <w:jc w:val="center"/>
              <w:rPr>
                <w:rFonts w:hint="eastAsia" w:ascii="宋体" w:hAnsi="宋体" w:cs="宋体"/>
                <w:color w:val="auto"/>
                <w:szCs w:val="21"/>
                <w:highlight w:val="none"/>
              </w:rPr>
            </w:pPr>
          </w:p>
        </w:tc>
      </w:tr>
      <w:tr w14:paraId="497184EC">
        <w:tblPrEx>
          <w:tblCellMar>
            <w:top w:w="0" w:type="dxa"/>
            <w:left w:w="0" w:type="dxa"/>
            <w:bottom w:w="0" w:type="dxa"/>
            <w:right w:w="0" w:type="dxa"/>
          </w:tblCellMar>
        </w:tblPrEx>
        <w:trPr>
          <w:trHeight w:val="609" w:hRule="atLeast"/>
        </w:trPr>
        <w:tc>
          <w:tcPr>
            <w:tcW w:w="56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4F73C45">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422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8A3D3E7">
            <w:pPr>
              <w:rPr>
                <w:rFonts w:hint="eastAsia" w:ascii="宋体" w:hAnsi="宋体" w:cs="宋体"/>
                <w:color w:val="auto"/>
                <w:szCs w:val="21"/>
                <w:highlight w:val="none"/>
              </w:rPr>
            </w:pPr>
            <w:r>
              <w:rPr>
                <w:rFonts w:hint="eastAsia" w:ascii="宋体" w:hAnsi="宋体" w:cs="宋体"/>
                <w:color w:val="auto"/>
                <w:szCs w:val="21"/>
                <w:highlight w:val="none"/>
              </w:rPr>
              <w:t>投标人不得递交两份或多份内容不同的投标文件，在一份投标文件中对同一招标</w:t>
            </w:r>
            <w:r>
              <w:rPr>
                <w:rFonts w:hint="eastAsia" w:ascii="宋体" w:hAnsi="宋体" w:cs="宋体"/>
                <w:color w:val="auto"/>
                <w:szCs w:val="21"/>
                <w:highlight w:val="none"/>
                <w:lang w:val="en-US" w:eastAsia="zh-CN"/>
              </w:rPr>
              <w:t>内容</w:t>
            </w:r>
            <w:r>
              <w:rPr>
                <w:rFonts w:hint="eastAsia" w:ascii="宋体" w:hAnsi="宋体" w:cs="宋体"/>
                <w:color w:val="auto"/>
                <w:szCs w:val="21"/>
                <w:highlight w:val="none"/>
              </w:rPr>
              <w:t>报有两个或多个报价时必须声明哪一个为最终报价；</w:t>
            </w:r>
          </w:p>
        </w:tc>
        <w:tc>
          <w:tcPr>
            <w:tcW w:w="74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2929E6A">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9421F24">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8A7E268">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F400204">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vAlign w:val="center"/>
          </w:tcPr>
          <w:p w14:paraId="66C9F7C3">
            <w:pPr>
              <w:jc w:val="center"/>
              <w:rPr>
                <w:rFonts w:hint="eastAsia" w:ascii="宋体" w:hAnsi="宋体" w:cs="宋体"/>
                <w:color w:val="auto"/>
                <w:szCs w:val="21"/>
                <w:highlight w:val="none"/>
              </w:rPr>
            </w:pPr>
          </w:p>
        </w:tc>
        <w:tc>
          <w:tcPr>
            <w:tcW w:w="764" w:type="dxa"/>
            <w:tcBorders>
              <w:top w:val="nil"/>
              <w:left w:val="nil"/>
              <w:bottom w:val="single" w:color="auto" w:sz="4" w:space="0"/>
              <w:right w:val="single" w:color="auto" w:sz="4" w:space="0"/>
            </w:tcBorders>
            <w:noWrap w:val="0"/>
            <w:vAlign w:val="center"/>
          </w:tcPr>
          <w:p w14:paraId="57D77FAC">
            <w:pPr>
              <w:jc w:val="center"/>
              <w:rPr>
                <w:rFonts w:hint="eastAsia" w:ascii="宋体" w:hAnsi="宋体" w:cs="宋体"/>
                <w:color w:val="auto"/>
                <w:szCs w:val="21"/>
                <w:highlight w:val="none"/>
              </w:rPr>
            </w:pPr>
          </w:p>
        </w:tc>
      </w:tr>
      <w:tr w14:paraId="4B7B2F19">
        <w:tblPrEx>
          <w:tblCellMar>
            <w:top w:w="0" w:type="dxa"/>
            <w:left w:w="0" w:type="dxa"/>
            <w:bottom w:w="0" w:type="dxa"/>
            <w:right w:w="0" w:type="dxa"/>
          </w:tblCellMar>
        </w:tblPrEx>
        <w:trPr>
          <w:trHeight w:val="609" w:hRule="atLeast"/>
        </w:trPr>
        <w:tc>
          <w:tcPr>
            <w:tcW w:w="561"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FCACBAB">
            <w:pPr>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422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2A9E5EF">
            <w:pPr>
              <w:rPr>
                <w:rFonts w:hint="eastAsia" w:ascii="宋体" w:hAnsi="宋体" w:cs="宋体"/>
                <w:color w:val="auto"/>
                <w:szCs w:val="21"/>
                <w:highlight w:val="none"/>
              </w:rPr>
            </w:pPr>
            <w:r>
              <w:rPr>
                <w:rFonts w:hint="eastAsia" w:ascii="宋体" w:hAnsi="宋体" w:cs="宋体"/>
                <w:color w:val="auto"/>
                <w:kern w:val="0"/>
                <w:szCs w:val="21"/>
                <w:highlight w:val="none"/>
                <w:lang w:bidi="ar"/>
              </w:rPr>
              <w:t>无招标文件中规定的其他无效投标的内容。</w:t>
            </w:r>
          </w:p>
        </w:tc>
        <w:tc>
          <w:tcPr>
            <w:tcW w:w="74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CCA20ED">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A1F3FDE">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53DD08A">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9C33B75">
            <w:pPr>
              <w:jc w:val="center"/>
              <w:rPr>
                <w:rFonts w:hint="eastAsia" w:ascii="宋体" w:hAnsi="宋体" w:cs="宋体"/>
                <w:color w:val="auto"/>
                <w:szCs w:val="21"/>
                <w:highlight w:val="none"/>
              </w:rPr>
            </w:pPr>
          </w:p>
        </w:tc>
        <w:tc>
          <w:tcPr>
            <w:tcW w:w="744" w:type="dxa"/>
            <w:tcBorders>
              <w:top w:val="nil"/>
              <w:left w:val="nil"/>
              <w:bottom w:val="single" w:color="auto" w:sz="4" w:space="0"/>
              <w:right w:val="single" w:color="auto" w:sz="4" w:space="0"/>
            </w:tcBorders>
            <w:noWrap w:val="0"/>
            <w:vAlign w:val="center"/>
          </w:tcPr>
          <w:p w14:paraId="1792A12C">
            <w:pPr>
              <w:jc w:val="center"/>
              <w:rPr>
                <w:rFonts w:hint="eastAsia" w:ascii="宋体" w:hAnsi="宋体" w:cs="宋体"/>
                <w:color w:val="auto"/>
                <w:szCs w:val="21"/>
                <w:highlight w:val="none"/>
              </w:rPr>
            </w:pPr>
          </w:p>
        </w:tc>
        <w:tc>
          <w:tcPr>
            <w:tcW w:w="764" w:type="dxa"/>
            <w:tcBorders>
              <w:top w:val="nil"/>
              <w:left w:val="nil"/>
              <w:bottom w:val="single" w:color="auto" w:sz="4" w:space="0"/>
              <w:right w:val="single" w:color="auto" w:sz="4" w:space="0"/>
            </w:tcBorders>
            <w:noWrap w:val="0"/>
            <w:vAlign w:val="center"/>
          </w:tcPr>
          <w:p w14:paraId="24599B79">
            <w:pPr>
              <w:jc w:val="center"/>
              <w:rPr>
                <w:rFonts w:hint="eastAsia" w:ascii="宋体" w:hAnsi="宋体" w:cs="宋体"/>
                <w:color w:val="auto"/>
                <w:szCs w:val="21"/>
                <w:highlight w:val="none"/>
              </w:rPr>
            </w:pPr>
          </w:p>
        </w:tc>
      </w:tr>
      <w:tr w14:paraId="7741EAF0">
        <w:tblPrEx>
          <w:tblCellMar>
            <w:top w:w="0" w:type="dxa"/>
            <w:left w:w="0" w:type="dxa"/>
            <w:bottom w:w="0" w:type="dxa"/>
            <w:right w:w="0" w:type="dxa"/>
          </w:tblCellMar>
        </w:tblPrEx>
        <w:trPr>
          <w:trHeight w:val="356" w:hRule="atLeast"/>
        </w:trPr>
        <w:tc>
          <w:tcPr>
            <w:tcW w:w="478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423B13C">
            <w:pPr>
              <w:jc w:val="center"/>
              <w:rPr>
                <w:rFonts w:hint="eastAsia" w:ascii="宋体" w:hAnsi="宋体" w:cs="宋体"/>
                <w:b/>
                <w:bCs/>
                <w:color w:val="auto"/>
                <w:szCs w:val="21"/>
                <w:highlight w:val="none"/>
              </w:rPr>
            </w:pPr>
            <w:r>
              <w:rPr>
                <w:rFonts w:hint="eastAsia" w:ascii="宋体" w:hAnsi="宋体" w:cs="宋体"/>
                <w:b/>
                <w:bCs/>
                <w:color w:val="auto"/>
                <w:szCs w:val="21"/>
                <w:highlight w:val="none"/>
              </w:rPr>
              <w:t>结      论</w:t>
            </w:r>
          </w:p>
        </w:tc>
        <w:tc>
          <w:tcPr>
            <w:tcW w:w="74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B1FA8F2">
            <w:pPr>
              <w:jc w:val="center"/>
              <w:rPr>
                <w:rFonts w:hint="eastAsia" w:ascii="宋体" w:hAnsi="宋体" w:cs="宋体"/>
                <w:b/>
                <w:bCs/>
                <w:color w:val="auto"/>
                <w:szCs w:val="21"/>
                <w:highlight w:val="none"/>
              </w:rPr>
            </w:pP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D30C73A">
            <w:pPr>
              <w:jc w:val="center"/>
              <w:rPr>
                <w:rFonts w:hint="eastAsia" w:ascii="宋体" w:hAnsi="宋体" w:cs="宋体"/>
                <w:b/>
                <w:bCs/>
                <w:color w:val="auto"/>
                <w:szCs w:val="21"/>
                <w:highlight w:val="none"/>
              </w:rPr>
            </w:pP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7959F98">
            <w:pPr>
              <w:jc w:val="center"/>
              <w:rPr>
                <w:rFonts w:hint="eastAsia" w:ascii="宋体" w:hAnsi="宋体" w:cs="宋体"/>
                <w:color w:val="auto"/>
                <w:szCs w:val="21"/>
                <w:highlight w:val="none"/>
              </w:rPr>
            </w:pPr>
          </w:p>
        </w:tc>
        <w:tc>
          <w:tcPr>
            <w:tcW w:w="744"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AAA834F">
            <w:pPr>
              <w:jc w:val="center"/>
              <w:rPr>
                <w:rFonts w:hint="eastAsia" w:ascii="宋体" w:hAnsi="宋体" w:cs="宋体"/>
                <w:b/>
                <w:bCs/>
                <w:color w:val="auto"/>
                <w:szCs w:val="21"/>
                <w:highlight w:val="none"/>
              </w:rPr>
            </w:pPr>
          </w:p>
        </w:tc>
        <w:tc>
          <w:tcPr>
            <w:tcW w:w="744" w:type="dxa"/>
            <w:tcBorders>
              <w:top w:val="single" w:color="auto" w:sz="4" w:space="0"/>
              <w:left w:val="nil"/>
              <w:bottom w:val="single" w:color="auto" w:sz="4" w:space="0"/>
              <w:right w:val="single" w:color="auto" w:sz="4" w:space="0"/>
            </w:tcBorders>
            <w:noWrap w:val="0"/>
            <w:vAlign w:val="center"/>
          </w:tcPr>
          <w:p w14:paraId="6B2D39B5">
            <w:pPr>
              <w:jc w:val="center"/>
              <w:rPr>
                <w:rFonts w:hint="eastAsia" w:ascii="宋体" w:hAnsi="宋体" w:cs="宋体"/>
                <w:b/>
                <w:bCs/>
                <w:color w:val="auto"/>
                <w:szCs w:val="21"/>
                <w:highlight w:val="none"/>
              </w:rPr>
            </w:pPr>
          </w:p>
        </w:tc>
        <w:tc>
          <w:tcPr>
            <w:tcW w:w="764" w:type="dxa"/>
            <w:tcBorders>
              <w:top w:val="single" w:color="auto" w:sz="4" w:space="0"/>
              <w:left w:val="nil"/>
              <w:bottom w:val="single" w:color="auto" w:sz="4" w:space="0"/>
              <w:right w:val="single" w:color="auto" w:sz="4" w:space="0"/>
            </w:tcBorders>
            <w:noWrap w:val="0"/>
            <w:vAlign w:val="center"/>
          </w:tcPr>
          <w:p w14:paraId="2211E1C1">
            <w:pPr>
              <w:jc w:val="center"/>
              <w:rPr>
                <w:rFonts w:hint="eastAsia" w:ascii="宋体" w:hAnsi="宋体" w:cs="宋体"/>
                <w:b/>
                <w:bCs/>
                <w:color w:val="auto"/>
                <w:szCs w:val="21"/>
                <w:highlight w:val="none"/>
              </w:rPr>
            </w:pPr>
          </w:p>
        </w:tc>
      </w:tr>
    </w:tbl>
    <w:p w14:paraId="05352D0E">
      <w:pPr>
        <w:spacing w:line="360" w:lineRule="auto"/>
        <w:rPr>
          <w:rFonts w:hint="eastAsia" w:ascii="宋体" w:hAnsi="宋体"/>
          <w:color w:val="auto"/>
          <w:highlight w:val="none"/>
        </w:rPr>
      </w:pPr>
    </w:p>
    <w:p w14:paraId="4D2198F4">
      <w:pPr>
        <w:spacing w:line="360" w:lineRule="auto"/>
        <w:rPr>
          <w:rFonts w:hint="eastAsia" w:ascii="宋体" w:hAnsi="宋体"/>
          <w:b/>
          <w:bCs/>
          <w:color w:val="auto"/>
          <w:highlight w:val="none"/>
        </w:rPr>
      </w:pPr>
      <w:r>
        <w:rPr>
          <w:rFonts w:hint="eastAsia" w:ascii="宋体" w:hAnsi="宋体"/>
          <w:b/>
          <w:bCs/>
          <w:color w:val="auto"/>
          <w:highlight w:val="none"/>
        </w:rPr>
        <w:t>备注：</w:t>
      </w:r>
      <w:r>
        <w:rPr>
          <w:rFonts w:ascii="宋体" w:hAnsi="宋体"/>
          <w:b/>
          <w:bCs/>
          <w:color w:val="auto"/>
          <w:highlight w:val="none"/>
        </w:rPr>
        <w:t>1</w:t>
      </w:r>
      <w:r>
        <w:rPr>
          <w:rFonts w:hint="eastAsia" w:ascii="宋体" w:hAnsi="宋体"/>
          <w:b/>
          <w:bCs/>
          <w:color w:val="auto"/>
          <w:highlight w:val="none"/>
        </w:rPr>
        <w:t>、每一项目符合的打“○”，不符合的打“×”；出现一个“×”的结论为不通过。</w:t>
      </w:r>
    </w:p>
    <w:p w14:paraId="07E14563">
      <w:pPr>
        <w:spacing w:line="360" w:lineRule="auto"/>
        <w:rPr>
          <w:rFonts w:hint="eastAsia"/>
          <w:color w:val="auto"/>
          <w:highlight w:val="none"/>
        </w:rPr>
      </w:pPr>
      <w:r>
        <w:rPr>
          <w:rFonts w:ascii="宋体" w:hAnsi="宋体"/>
          <w:b/>
          <w:bCs/>
          <w:color w:val="auto"/>
          <w:highlight w:val="none"/>
        </w:rPr>
        <w:t>2</w:t>
      </w:r>
      <w:r>
        <w:rPr>
          <w:rFonts w:hint="eastAsia" w:ascii="宋体" w:hAnsi="宋体"/>
          <w:b/>
          <w:bCs/>
          <w:color w:val="auto"/>
          <w:highlight w:val="none"/>
        </w:rPr>
        <w:t>、表中全部条件满足的结论为通过</w:t>
      </w:r>
      <w:r>
        <w:rPr>
          <w:rFonts w:ascii="宋体" w:hAnsi="宋体"/>
          <w:b/>
          <w:bCs/>
          <w:color w:val="auto"/>
          <w:highlight w:val="none"/>
        </w:rPr>
        <w:t xml:space="preserve">， </w:t>
      </w:r>
      <w:r>
        <w:rPr>
          <w:rFonts w:hint="eastAsia" w:ascii="宋体" w:hAnsi="宋体"/>
          <w:b/>
          <w:bCs/>
          <w:color w:val="auto"/>
          <w:highlight w:val="none"/>
        </w:rPr>
        <w:t>同意进入下一阶段评议</w:t>
      </w:r>
    </w:p>
    <w:p w14:paraId="478B9AC9"/>
    <w:sectPr>
      <w:pgSz w:w="11907" w:h="16840"/>
      <w:pgMar w:top="1418" w:right="1304"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B1986">
    <w:pPr>
      <w:pStyle w:val="18"/>
      <w:jc w:val="center"/>
    </w:pPr>
  </w:p>
  <w:p w14:paraId="718788F8">
    <w:pPr>
      <w:pStyle w:val="18"/>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5603E">
    <w:pPr>
      <w:pStyle w:val="18"/>
      <w:jc w:val="center"/>
    </w:pPr>
  </w:p>
  <w:p w14:paraId="0B7A4E28">
    <w:pPr>
      <w:pStyle w:val="18"/>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43EBF">
    <w:pPr>
      <w:pStyle w:val="18"/>
      <w:jc w:val="center"/>
    </w:pPr>
  </w:p>
  <w:p w14:paraId="2667C086">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754BC">
    <w:pPr>
      <w:pStyle w:val="1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0287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28700" cy="1828800"/>
                      </a:xfrm>
                      <a:prstGeom prst="rect">
                        <a:avLst/>
                      </a:prstGeom>
                      <a:noFill/>
                      <a:ln w="15875">
                        <a:noFill/>
                      </a:ln>
                    </wps:spPr>
                    <wps:txbx>
                      <w:txbxContent>
                        <w:p w14:paraId="16B70FDC">
                          <w:pPr>
                            <w:pStyle w:val="18"/>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w:t>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81pt;mso-position-horizontal:center;mso-position-horizontal-relative:margin;z-index:251661312;mso-width-relative:page;mso-height-relative:page;" filled="f" stroked="f" coordsize="21600,21600" o:gfxdata="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NLxYh1AAAAAUBAAAPAAAAAAAAAAEAIAAAACIAAABkcnMv&#10;ZG93bnJldi54bWxQSwECFAAUAAAACACHTuJAiV4e9c4BAACXAwAADgAAAAAAAAABACAAAAAjAQAA&#10;ZHJzL2Uyb0RvYy54bWxQSwUGAAAAAAYABgBZAQAAYwUAAAAA&#10;">
              <v:fill on="f" focussize="0,0"/>
              <v:stroke on="f" weight="1.25pt"/>
              <v:imagedata o:title=""/>
              <o:lock v:ext="edit" aspectratio="f"/>
              <v:textbox inset="0mm,0mm,0mm,0mm" style="mso-fit-shape-to-text:t;">
                <w:txbxContent>
                  <w:p w14:paraId="16B70FDC">
                    <w:pPr>
                      <w:pStyle w:val="18"/>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w:t>
                    </w:r>
                  </w:p>
                </w:txbxContent>
              </v:textbox>
            </v:shape>
          </w:pict>
        </mc:Fallback>
      </mc:AlternateContent>
    </w:r>
  </w:p>
  <w:p w14:paraId="6E832D37">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61F24">
    <w:pPr>
      <w:pStyle w:val="1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09B00A6">
                          <w:pPr>
                            <w:pStyle w:val="18"/>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209B00A6">
                    <w:pPr>
                      <w:pStyle w:val="18"/>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r>
                      <w:rPr>
                        <w:rFonts w:hint="eastAsia"/>
                      </w:rPr>
                      <w:t xml:space="preserve"> 页</w:t>
                    </w:r>
                  </w:p>
                </w:txbxContent>
              </v:textbox>
            </v:shape>
          </w:pict>
        </mc:Fallback>
      </mc:AlternateContent>
    </w:r>
  </w:p>
  <w:p w14:paraId="28DE68ED">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3E41C">
    <w:pPr>
      <w:pStyle w:val="1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75FAA5D">
                          <w:pPr>
                            <w:pStyle w:val="18"/>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80</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775FAA5D">
                    <w:pPr>
                      <w:pStyle w:val="18"/>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80</w:t>
                    </w:r>
                    <w:r>
                      <w:rPr>
                        <w:rFonts w:hint="eastAsia"/>
                      </w:rPr>
                      <w:fldChar w:fldCharType="end"/>
                    </w:r>
                    <w:r>
                      <w:rPr>
                        <w:rFonts w:hint="eastAsia"/>
                      </w:rPr>
                      <w:t xml:space="preserve"> 页</w:t>
                    </w:r>
                  </w:p>
                </w:txbxContent>
              </v:textbox>
            </v:shape>
          </w:pict>
        </mc:Fallback>
      </mc:AlternateContent>
    </w:r>
  </w:p>
  <w:p w14:paraId="4100CA6E">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CE05D">
    <w:pPr>
      <w:pStyle w:val="19"/>
      <w:tabs>
        <w:tab w:val="left" w:pos="910"/>
        <w:tab w:val="left" w:pos="1974"/>
        <w:tab w:val="left" w:pos="2702"/>
        <w:tab w:val="left" w:pos="2880"/>
        <w:tab w:val="left" w:pos="3206"/>
        <w:tab w:val="left" w:pos="3600"/>
        <w:tab w:val="left" w:pos="4088"/>
        <w:tab w:val="left" w:pos="4320"/>
        <w:tab w:val="left" w:pos="8820"/>
        <w:tab w:val="left" w:pos="9180"/>
        <w:tab w:val="clear" w:pos="4153"/>
      </w:tabs>
      <w:ind w:right="-420" w:rightChars="-200"/>
      <w:jc w:val="left"/>
      <w:rPr>
        <w:rFonts w:hint="eastAsia"/>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1441D">
    <w:pPr>
      <w:pStyle w:val="19"/>
      <w:tabs>
        <w:tab w:val="left" w:pos="910"/>
        <w:tab w:val="left" w:pos="1974"/>
        <w:tab w:val="left" w:pos="2702"/>
        <w:tab w:val="left" w:pos="2880"/>
        <w:tab w:val="left" w:pos="3206"/>
        <w:tab w:val="left" w:pos="3600"/>
        <w:tab w:val="left" w:pos="4088"/>
        <w:tab w:val="left" w:pos="4320"/>
        <w:tab w:val="left" w:pos="8820"/>
        <w:tab w:val="left" w:pos="9180"/>
        <w:tab w:val="clear" w:pos="4153"/>
      </w:tabs>
      <w:ind w:right="-420" w:rightChars="-20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1A2F2">
    <w:pPr>
      <w:pStyle w:val="19"/>
      <w:tabs>
        <w:tab w:val="left" w:pos="910"/>
        <w:tab w:val="left" w:pos="1974"/>
        <w:tab w:val="left" w:pos="2702"/>
        <w:tab w:val="left" w:pos="2880"/>
        <w:tab w:val="left" w:pos="3206"/>
        <w:tab w:val="left" w:pos="3600"/>
        <w:tab w:val="left" w:pos="4088"/>
        <w:tab w:val="left" w:pos="4320"/>
        <w:tab w:val="left" w:pos="8820"/>
        <w:tab w:val="left" w:pos="9180"/>
        <w:tab w:val="clear" w:pos="4153"/>
      </w:tabs>
      <w:ind w:right="-420" w:rightChars="-200"/>
      <w:jc w:val="left"/>
      <w:rPr>
        <w:rFonts w:hint="eastAsia"/>
      </w:rPr>
    </w:pPr>
    <w:r>
      <w:rPr>
        <w:rFonts w:hint="eastAsia"/>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6596CB"/>
    <w:multiLevelType w:val="singleLevel"/>
    <w:tmpl w:val="B66596CB"/>
    <w:lvl w:ilvl="0" w:tentative="0">
      <w:start w:val="1"/>
      <w:numFmt w:val="decimal"/>
      <w:suff w:val="nothing"/>
      <w:lvlText w:val="（%1）"/>
      <w:lvlJc w:val="left"/>
    </w:lvl>
  </w:abstractNum>
  <w:abstractNum w:abstractNumId="1">
    <w:nsid w:val="E53F3229"/>
    <w:multiLevelType w:val="singleLevel"/>
    <w:tmpl w:val="E53F3229"/>
    <w:lvl w:ilvl="0" w:tentative="0">
      <w:start w:val="2"/>
      <w:numFmt w:val="decimal"/>
      <w:suff w:val="nothing"/>
      <w:lvlText w:val="%1）"/>
      <w:lvlJc w:val="left"/>
    </w:lvl>
  </w:abstractNum>
  <w:abstractNum w:abstractNumId="2">
    <w:nsid w:val="E95AFCF3"/>
    <w:multiLevelType w:val="singleLevel"/>
    <w:tmpl w:val="E95AFCF3"/>
    <w:lvl w:ilvl="0" w:tentative="0">
      <w:start w:val="3"/>
      <w:numFmt w:val="chineseCounting"/>
      <w:suff w:val="space"/>
      <w:lvlText w:val="第%1章"/>
      <w:lvlJc w:val="left"/>
      <w:rPr>
        <w:rFonts w:hint="eastAsia"/>
      </w:rPr>
    </w:lvl>
  </w:abstractNum>
  <w:abstractNum w:abstractNumId="3">
    <w:nsid w:val="F75554F6"/>
    <w:multiLevelType w:val="singleLevel"/>
    <w:tmpl w:val="F75554F6"/>
    <w:lvl w:ilvl="0" w:tentative="0">
      <w:start w:val="1"/>
      <w:numFmt w:val="ideographTraditional"/>
      <w:suff w:val="nothing"/>
      <w:lvlText w:val="%1、"/>
      <w:lvlJc w:val="left"/>
      <w:rPr>
        <w:rFonts w:hint="eastAsia"/>
      </w:rPr>
    </w:lvl>
  </w:abstractNum>
  <w:abstractNum w:abstractNumId="4">
    <w:nsid w:val="00000005"/>
    <w:multiLevelType w:val="multilevel"/>
    <w:tmpl w:val="00000005"/>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0000000A"/>
    <w:multiLevelType w:val="multilevel"/>
    <w:tmpl w:val="0000000A"/>
    <w:lvl w:ilvl="0" w:tentative="0">
      <w:start w:val="1"/>
      <w:numFmt w:val="japaneseCounting"/>
      <w:pStyle w:val="5"/>
      <w:lvlText w:val="%1、"/>
      <w:lvlJc w:val="left"/>
      <w:pPr>
        <w:tabs>
          <w:tab w:val="left" w:pos="842"/>
        </w:tabs>
        <w:ind w:left="1412" w:hanging="420"/>
      </w:pPr>
      <w:rPr>
        <w:rFonts w:hint="default"/>
      </w:rPr>
    </w:lvl>
    <w:lvl w:ilvl="1" w:tentative="0">
      <w:start w:val="1"/>
      <w:numFmt w:val="decimal"/>
      <w:lvlText w:val="（%2）"/>
      <w:lvlJc w:val="left"/>
      <w:pPr>
        <w:tabs>
          <w:tab w:val="left" w:pos="1787"/>
        </w:tabs>
        <w:ind w:left="1787" w:hanging="945"/>
      </w:pPr>
      <w:rPr>
        <w:rFonts w:hint="eastAsia" w:cs="Times New Roman"/>
      </w:rPr>
    </w:lvl>
    <w:lvl w:ilvl="2" w:tentative="0">
      <w:start w:val="1"/>
      <w:numFmt w:val="decimal"/>
      <w:lvlText w:val="%3、"/>
      <w:lvlJc w:val="left"/>
      <w:pPr>
        <w:tabs>
          <w:tab w:val="left" w:pos="1622"/>
        </w:tabs>
        <w:ind w:left="1622" w:hanging="360"/>
      </w:pPr>
      <w:rPr>
        <w:rFonts w:hint="eastAsia"/>
      </w:r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6">
    <w:nsid w:val="0000000C"/>
    <w:multiLevelType w:val="multilevel"/>
    <w:tmpl w:val="0000000C"/>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7">
    <w:nsid w:val="0000000F"/>
    <w:multiLevelType w:val="multilevel"/>
    <w:tmpl w:val="0000000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FD20AFE"/>
    <w:multiLevelType w:val="singleLevel"/>
    <w:tmpl w:val="0FD20AFE"/>
    <w:lvl w:ilvl="0" w:tentative="0">
      <w:start w:val="1"/>
      <w:numFmt w:val="decimal"/>
      <w:suff w:val="space"/>
      <w:lvlText w:val="（%1）"/>
      <w:lvlJc w:val="left"/>
    </w:lvl>
  </w:abstractNum>
  <w:abstractNum w:abstractNumId="9">
    <w:nsid w:val="24B01E19"/>
    <w:multiLevelType w:val="multilevel"/>
    <w:tmpl w:val="24B01E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551C48B"/>
    <w:multiLevelType w:val="singleLevel"/>
    <w:tmpl w:val="2551C48B"/>
    <w:lvl w:ilvl="0" w:tentative="0">
      <w:start w:val="2"/>
      <w:numFmt w:val="decimal"/>
      <w:suff w:val="nothing"/>
      <w:lvlText w:val="%1）"/>
      <w:lvlJc w:val="left"/>
    </w:lvl>
  </w:abstractNum>
  <w:abstractNum w:abstractNumId="11">
    <w:nsid w:val="442A40B8"/>
    <w:multiLevelType w:val="singleLevel"/>
    <w:tmpl w:val="442A40B8"/>
    <w:lvl w:ilvl="0" w:tentative="0">
      <w:start w:val="1"/>
      <w:numFmt w:val="decimal"/>
      <w:suff w:val="nothing"/>
      <w:lvlText w:val="（%1）"/>
      <w:lvlJc w:val="left"/>
    </w:lvl>
  </w:abstractNum>
  <w:abstractNum w:abstractNumId="12">
    <w:nsid w:val="4A098344"/>
    <w:multiLevelType w:val="singleLevel"/>
    <w:tmpl w:val="4A098344"/>
    <w:lvl w:ilvl="0" w:tentative="0">
      <w:start w:val="1"/>
      <w:numFmt w:val="decimal"/>
      <w:suff w:val="nothing"/>
      <w:lvlText w:val="（%1）"/>
      <w:lvlJc w:val="left"/>
    </w:lvl>
  </w:abstractNum>
  <w:abstractNum w:abstractNumId="13">
    <w:nsid w:val="4AE613DF"/>
    <w:multiLevelType w:val="multilevel"/>
    <w:tmpl w:val="4AE613DF"/>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C5B4C1D"/>
    <w:multiLevelType w:val="multilevel"/>
    <w:tmpl w:val="5C5B4C1D"/>
    <w:lvl w:ilvl="0" w:tentative="0">
      <w:start w:val="1"/>
      <w:numFmt w:val="decimal"/>
      <w:lvlText w:val="（%1）"/>
      <w:lvlJc w:val="left"/>
      <w:pPr>
        <w:tabs>
          <w:tab w:val="left" w:pos="1365"/>
        </w:tabs>
        <w:ind w:left="1365" w:hanging="720"/>
      </w:pPr>
      <w:rPr>
        <w:rFonts w:hint="eastAsia"/>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5">
    <w:nsid w:val="671FD969"/>
    <w:multiLevelType w:val="singleLevel"/>
    <w:tmpl w:val="671FD969"/>
    <w:lvl w:ilvl="0" w:tentative="0">
      <w:start w:val="1"/>
      <w:numFmt w:val="decimal"/>
      <w:suff w:val="nothing"/>
      <w:lvlText w:val="（%1）"/>
      <w:lvlJc w:val="left"/>
    </w:lvl>
  </w:abstractNum>
  <w:num w:numId="1">
    <w:abstractNumId w:val="5"/>
  </w:num>
  <w:num w:numId="2">
    <w:abstractNumId w:val="14"/>
  </w:num>
  <w:num w:numId="3">
    <w:abstractNumId w:val="2"/>
  </w:num>
  <w:num w:numId="4">
    <w:abstractNumId w:val="3"/>
  </w:num>
  <w:num w:numId="5">
    <w:abstractNumId w:val="9"/>
  </w:num>
  <w:num w:numId="6">
    <w:abstractNumId w:val="4"/>
  </w:num>
  <w:num w:numId="7">
    <w:abstractNumId w:val="13"/>
  </w:num>
  <w:num w:numId="8">
    <w:abstractNumId w:val="6"/>
  </w:num>
  <w:num w:numId="9">
    <w:abstractNumId w:val="7"/>
  </w:num>
  <w:num w:numId="10">
    <w:abstractNumId w:val="8"/>
  </w:num>
  <w:num w:numId="11">
    <w:abstractNumId w:val="0"/>
  </w:num>
  <w:num w:numId="12">
    <w:abstractNumId w:val="15"/>
  </w:num>
  <w:num w:numId="13">
    <w:abstractNumId w:val="11"/>
  </w:num>
  <w:num w:numId="14">
    <w:abstractNumId w:val="12"/>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ZjMyZmY4MDZlNmMyZjI0ZWFiN2YwZjNlYmQ4YTgifQ=="/>
  </w:docVars>
  <w:rsids>
    <w:rsidRoot w:val="778F58CA"/>
    <w:rsid w:val="014E7D2C"/>
    <w:rsid w:val="03AE0B18"/>
    <w:rsid w:val="03DA21C8"/>
    <w:rsid w:val="048A44A4"/>
    <w:rsid w:val="056132C7"/>
    <w:rsid w:val="05877F27"/>
    <w:rsid w:val="099557CE"/>
    <w:rsid w:val="09A60578"/>
    <w:rsid w:val="0A5071C3"/>
    <w:rsid w:val="0B7E470D"/>
    <w:rsid w:val="0C803B53"/>
    <w:rsid w:val="0E156526"/>
    <w:rsid w:val="0EA227C1"/>
    <w:rsid w:val="11BB443A"/>
    <w:rsid w:val="11E9219A"/>
    <w:rsid w:val="12086AC4"/>
    <w:rsid w:val="12617F82"/>
    <w:rsid w:val="14006431"/>
    <w:rsid w:val="15CB1311"/>
    <w:rsid w:val="1A310042"/>
    <w:rsid w:val="1B236D56"/>
    <w:rsid w:val="1B537BF0"/>
    <w:rsid w:val="1B9C202B"/>
    <w:rsid w:val="1E1F39CC"/>
    <w:rsid w:val="1F2D1F08"/>
    <w:rsid w:val="22F1744A"/>
    <w:rsid w:val="23A654D1"/>
    <w:rsid w:val="23F61C2B"/>
    <w:rsid w:val="252C586D"/>
    <w:rsid w:val="25421646"/>
    <w:rsid w:val="26CA6C37"/>
    <w:rsid w:val="284B1061"/>
    <w:rsid w:val="286A0D1D"/>
    <w:rsid w:val="28E53263"/>
    <w:rsid w:val="29674797"/>
    <w:rsid w:val="2A954815"/>
    <w:rsid w:val="2A994305"/>
    <w:rsid w:val="2C371CA4"/>
    <w:rsid w:val="2C8C6E09"/>
    <w:rsid w:val="2D83221A"/>
    <w:rsid w:val="2DBF3619"/>
    <w:rsid w:val="2E7C7DAA"/>
    <w:rsid w:val="30700374"/>
    <w:rsid w:val="313F7193"/>
    <w:rsid w:val="325839DA"/>
    <w:rsid w:val="33726C38"/>
    <w:rsid w:val="34F76B17"/>
    <w:rsid w:val="35C733B4"/>
    <w:rsid w:val="37DC3A83"/>
    <w:rsid w:val="37F9418D"/>
    <w:rsid w:val="3934707A"/>
    <w:rsid w:val="39680FE3"/>
    <w:rsid w:val="3A1E1155"/>
    <w:rsid w:val="3AA63234"/>
    <w:rsid w:val="3B297DB3"/>
    <w:rsid w:val="3C395948"/>
    <w:rsid w:val="3CC268F0"/>
    <w:rsid w:val="3D5C5741"/>
    <w:rsid w:val="3E7C1E93"/>
    <w:rsid w:val="3EBD697E"/>
    <w:rsid w:val="3EE726CF"/>
    <w:rsid w:val="3FF738EF"/>
    <w:rsid w:val="42F6354A"/>
    <w:rsid w:val="44C24C07"/>
    <w:rsid w:val="45617CBE"/>
    <w:rsid w:val="472473B6"/>
    <w:rsid w:val="484C0BE3"/>
    <w:rsid w:val="48AE216E"/>
    <w:rsid w:val="4A1C2405"/>
    <w:rsid w:val="4A3F4FB3"/>
    <w:rsid w:val="4CCE6A8F"/>
    <w:rsid w:val="4E2E44B5"/>
    <w:rsid w:val="50A3118B"/>
    <w:rsid w:val="50EE0EE5"/>
    <w:rsid w:val="54723052"/>
    <w:rsid w:val="54934045"/>
    <w:rsid w:val="55CC1183"/>
    <w:rsid w:val="567F0CAF"/>
    <w:rsid w:val="593F50F5"/>
    <w:rsid w:val="59E93904"/>
    <w:rsid w:val="5AA945FA"/>
    <w:rsid w:val="5DCC7E0F"/>
    <w:rsid w:val="5EDB3E95"/>
    <w:rsid w:val="5F100333"/>
    <w:rsid w:val="5F444CD0"/>
    <w:rsid w:val="60196D73"/>
    <w:rsid w:val="61277F0A"/>
    <w:rsid w:val="61AC36FA"/>
    <w:rsid w:val="645E744B"/>
    <w:rsid w:val="66030B7B"/>
    <w:rsid w:val="6BFD7676"/>
    <w:rsid w:val="6C31137D"/>
    <w:rsid w:val="6C554A5F"/>
    <w:rsid w:val="761405A3"/>
    <w:rsid w:val="778F58CA"/>
    <w:rsid w:val="77A86F03"/>
    <w:rsid w:val="7A854E78"/>
    <w:rsid w:val="7BA877FC"/>
    <w:rsid w:val="7BDE7530"/>
    <w:rsid w:val="7D7D498E"/>
    <w:rsid w:val="7E805998"/>
    <w:rsid w:val="7E8C6B49"/>
    <w:rsid w:val="7F412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iPriority="99"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99"/>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numPr>
        <w:ilvl w:val="0"/>
        <w:numId w:val="1"/>
      </w:numPr>
      <w:tabs>
        <w:tab w:val="left" w:pos="425"/>
      </w:tabs>
      <w:adjustRightInd w:val="0"/>
      <w:snapToGrid w:val="0"/>
      <w:spacing w:line="360" w:lineRule="auto"/>
      <w:outlineLvl w:val="1"/>
    </w:pPr>
    <w:rPr>
      <w:rFonts w:ascii="宋体" w:hAnsi="Arial"/>
      <w:b/>
      <w:sz w:val="28"/>
      <w:szCs w:val="28"/>
    </w:rPr>
  </w:style>
  <w:style w:type="paragraph" w:styleId="3">
    <w:name w:val="heading 4"/>
    <w:basedOn w:val="1"/>
    <w:next w:val="1"/>
    <w:qFormat/>
    <w:uiPriority w:val="0"/>
    <w:pPr>
      <w:keepNext/>
      <w:keepLines/>
      <w:widowControl/>
      <w:tabs>
        <w:tab w:val="left" w:pos="864"/>
        <w:tab w:val="left" w:pos="1680"/>
      </w:tabs>
      <w:spacing w:before="280" w:after="290" w:line="374" w:lineRule="auto"/>
      <w:ind w:left="1680" w:hanging="420"/>
      <w:jc w:val="left"/>
      <w:outlineLvl w:val="3"/>
    </w:pPr>
    <w:rPr>
      <w:rFonts w:ascii="Arial" w:hAnsi="Arial" w:eastAsia="黑体"/>
      <w:b/>
      <w:sz w:val="28"/>
      <w:szCs w:val="24"/>
    </w:rPr>
  </w:style>
  <w:style w:type="paragraph" w:styleId="6">
    <w:name w:val="heading 5"/>
    <w:basedOn w:val="1"/>
    <w:next w:val="1"/>
    <w:qFormat/>
    <w:uiPriority w:val="0"/>
    <w:pPr>
      <w:keepNext/>
      <w:keepLines/>
      <w:widowControl/>
      <w:tabs>
        <w:tab w:val="left" w:pos="1008"/>
        <w:tab w:val="left" w:pos="2100"/>
      </w:tabs>
      <w:spacing w:before="280" w:after="290" w:line="374" w:lineRule="auto"/>
      <w:ind w:left="2100" w:hanging="420"/>
      <w:jc w:val="left"/>
      <w:outlineLvl w:val="4"/>
    </w:pPr>
    <w:rPr>
      <w:b/>
      <w:sz w:val="28"/>
      <w:szCs w:val="24"/>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rPr>
      <w:szCs w:val="24"/>
    </w:rPr>
  </w:style>
  <w:style w:type="paragraph" w:styleId="7">
    <w:name w:val="table of authorities"/>
    <w:basedOn w:val="1"/>
    <w:next w:val="1"/>
    <w:unhideWhenUsed/>
    <w:qFormat/>
    <w:uiPriority w:val="99"/>
    <w:pPr>
      <w:ind w:left="420" w:leftChars="200"/>
    </w:pPr>
  </w:style>
  <w:style w:type="paragraph" w:styleId="8">
    <w:name w:val="index 8"/>
    <w:basedOn w:val="1"/>
    <w:next w:val="1"/>
    <w:qFormat/>
    <w:uiPriority w:val="0"/>
    <w:pPr>
      <w:widowControl w:val="0"/>
      <w:ind w:left="2940"/>
      <w:jc w:val="both"/>
    </w:pPr>
    <w:rPr>
      <w:rFonts w:ascii="Times New Roman" w:hAnsi="Times New Roman" w:eastAsia="宋体" w:cs="Times New Roman"/>
      <w:kern w:val="2"/>
      <w:sz w:val="21"/>
      <w:lang w:val="en-US" w:eastAsia="zh-CN" w:bidi="ar-SA"/>
    </w:rPr>
  </w:style>
  <w:style w:type="paragraph" w:styleId="9">
    <w:name w:val="Normal Indent"/>
    <w:basedOn w:val="1"/>
    <w:next w:val="10"/>
    <w:qFormat/>
    <w:uiPriority w:val="0"/>
    <w:pPr>
      <w:ind w:firstLine="420" w:firstLineChars="200"/>
    </w:pPr>
  </w:style>
  <w:style w:type="paragraph" w:customStyle="1" w:styleId="10">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11">
    <w:name w:val="toa heading"/>
    <w:basedOn w:val="1"/>
    <w:next w:val="1"/>
    <w:unhideWhenUsed/>
    <w:qFormat/>
    <w:uiPriority w:val="99"/>
    <w:pPr>
      <w:spacing w:before="120"/>
    </w:pPr>
    <w:rPr>
      <w:rFonts w:ascii="Cambria" w:hAnsi="Cambria" w:cs="Times New Roman"/>
      <w:sz w:val="24"/>
      <w:szCs w:val="24"/>
    </w:rPr>
  </w:style>
  <w:style w:type="paragraph" w:styleId="12">
    <w:name w:val="annotation text"/>
    <w:basedOn w:val="1"/>
    <w:unhideWhenUsed/>
    <w:qFormat/>
    <w:uiPriority w:val="99"/>
    <w:pPr>
      <w:jc w:val="left"/>
    </w:pPr>
    <w:rPr>
      <w:szCs w:val="24"/>
    </w:rPr>
  </w:style>
  <w:style w:type="paragraph" w:styleId="13">
    <w:name w:val="Body Text 3"/>
    <w:basedOn w:val="1"/>
    <w:qFormat/>
    <w:uiPriority w:val="99"/>
    <w:pPr>
      <w:spacing w:after="120"/>
    </w:pPr>
    <w:rPr>
      <w:sz w:val="16"/>
      <w:szCs w:val="16"/>
    </w:rPr>
  </w:style>
  <w:style w:type="paragraph" w:styleId="14">
    <w:name w:val="Body Text Indent"/>
    <w:basedOn w:val="1"/>
    <w:qFormat/>
    <w:uiPriority w:val="99"/>
    <w:pPr>
      <w:spacing w:after="120"/>
      <w:ind w:left="420" w:leftChars="200"/>
    </w:pPr>
    <w:rPr>
      <w:szCs w:val="24"/>
    </w:rPr>
  </w:style>
  <w:style w:type="paragraph" w:styleId="15">
    <w:name w:val="List 2"/>
    <w:basedOn w:val="1"/>
    <w:qFormat/>
    <w:uiPriority w:val="0"/>
    <w:pPr>
      <w:ind w:left="100" w:leftChars="200" w:hanging="200" w:hangingChars="200"/>
    </w:pPr>
  </w:style>
  <w:style w:type="paragraph" w:styleId="16">
    <w:name w:val="Plain Text"/>
    <w:basedOn w:val="1"/>
    <w:next w:val="8"/>
    <w:qFormat/>
    <w:uiPriority w:val="0"/>
    <w:rPr>
      <w:rFonts w:ascii="宋体" w:hAnsi="Courier New"/>
      <w:szCs w:val="24"/>
    </w:rPr>
  </w:style>
  <w:style w:type="paragraph" w:styleId="17">
    <w:name w:val="Body Text Indent 2"/>
    <w:basedOn w:val="1"/>
    <w:unhideWhenUsed/>
    <w:qFormat/>
    <w:uiPriority w:val="99"/>
    <w:pPr>
      <w:spacing w:after="120" w:line="480" w:lineRule="auto"/>
      <w:ind w:left="420" w:leftChars="200"/>
    </w:pPr>
    <w:rPr>
      <w:szCs w:val="24"/>
    </w:rPr>
  </w:style>
  <w:style w:type="paragraph" w:styleId="18">
    <w:name w:val="footer"/>
    <w:basedOn w:val="1"/>
    <w:unhideWhenUsed/>
    <w:qFormat/>
    <w:uiPriority w:val="99"/>
    <w:pPr>
      <w:tabs>
        <w:tab w:val="center" w:pos="4153"/>
        <w:tab w:val="right" w:pos="8306"/>
      </w:tabs>
      <w:snapToGrid w:val="0"/>
      <w:jc w:val="left"/>
    </w:pPr>
    <w:rPr>
      <w:sz w:val="18"/>
      <w:szCs w:val="24"/>
    </w:rPr>
  </w:style>
  <w:style w:type="paragraph" w:styleId="19">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Body Text Indent 3"/>
    <w:basedOn w:val="1"/>
    <w:unhideWhenUsed/>
    <w:qFormat/>
    <w:uiPriority w:val="0"/>
    <w:pPr>
      <w:spacing w:line="360" w:lineRule="auto"/>
      <w:ind w:firstLine="420"/>
    </w:pPr>
    <w:rPr>
      <w:rFonts w:ascii="宋体"/>
      <w:szCs w:val="24"/>
    </w:rPr>
  </w:style>
  <w:style w:type="paragraph" w:styleId="21">
    <w:name w:val="index 1"/>
    <w:basedOn w:val="1"/>
    <w:next w:val="1"/>
    <w:unhideWhenUsed/>
    <w:qFormat/>
    <w:uiPriority w:val="99"/>
    <w:pPr>
      <w:spacing w:line="200" w:lineRule="atLeast"/>
      <w:jc w:val="center"/>
    </w:pPr>
    <w:rPr>
      <w:rFonts w:ascii="宋体" w:hAnsi="宋体"/>
    </w:rPr>
  </w:style>
  <w:style w:type="paragraph" w:styleId="22">
    <w:name w:val="Body Text First Indent"/>
    <w:basedOn w:val="2"/>
    <w:qFormat/>
    <w:uiPriority w:val="0"/>
    <w:pPr>
      <w:ind w:firstLine="420" w:firstLineChars="100"/>
    </w:pPr>
  </w:style>
  <w:style w:type="table" w:styleId="24">
    <w:name w:val="Table Grid"/>
    <w:basedOn w:val="23"/>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表正文"/>
    <w:basedOn w:val="1"/>
    <w:next w:val="1"/>
    <w:qFormat/>
    <w:uiPriority w:val="0"/>
    <w:rPr>
      <w:rFonts w:ascii="宋体" w:hAnsi="Courier New"/>
    </w:rPr>
  </w:style>
  <w:style w:type="paragraph" w:customStyle="1" w:styleId="28">
    <w:name w:val="pa-1"/>
    <w:basedOn w:val="1"/>
    <w:qFormat/>
    <w:uiPriority w:val="0"/>
    <w:pPr>
      <w:widowControl/>
      <w:spacing w:before="100" w:beforeAutospacing="1" w:after="100" w:afterAutospacing="1"/>
      <w:jc w:val="left"/>
    </w:pPr>
    <w:rPr>
      <w:rFonts w:ascii="宋体" w:hAnsi="宋体"/>
      <w:kern w:val="0"/>
      <w:sz w:val="24"/>
    </w:rPr>
  </w:style>
  <w:style w:type="character" w:customStyle="1" w:styleId="29">
    <w:name w:val="ca-2"/>
    <w:basedOn w:val="25"/>
    <w:qFormat/>
    <w:uiPriority w:val="0"/>
  </w:style>
  <w:style w:type="character" w:customStyle="1" w:styleId="30">
    <w:name w:val="16"/>
    <w:basedOn w:val="25"/>
    <w:qFormat/>
    <w:uiPriority w:val="0"/>
    <w:rPr>
      <w:rFonts w:hint="default" w:ascii="Times New Roman" w:hAnsi="Times New Roman" w:cs="Times New Roman"/>
    </w:rPr>
  </w:style>
  <w:style w:type="paragraph" w:styleId="31">
    <w:name w:val="List Paragraph"/>
    <w:basedOn w:val="1"/>
    <w:qFormat/>
    <w:uiPriority w:val="34"/>
    <w:pPr>
      <w:ind w:firstLine="420" w:firstLineChars="200"/>
    </w:pPr>
  </w:style>
  <w:style w:type="paragraph" w:customStyle="1" w:styleId="32">
    <w:name w:val="Table Heading"/>
    <w:basedOn w:val="33"/>
    <w:qFormat/>
    <w:uiPriority w:val="0"/>
    <w:pPr>
      <w:jc w:val="center"/>
    </w:pPr>
    <w:rPr>
      <w:b/>
      <w:bCs/>
    </w:rPr>
  </w:style>
  <w:style w:type="paragraph" w:customStyle="1" w:styleId="33">
    <w:name w:val="Table Contents"/>
    <w:basedOn w:val="1"/>
    <w:qFormat/>
    <w:uiPriority w:val="0"/>
    <w:pPr>
      <w:suppressLineNumbers/>
    </w:pPr>
  </w:style>
  <w:style w:type="paragraph" w:customStyle="1" w:styleId="34">
    <w:name w:val="正文 New New New New New New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35">
    <w:name w:val="Font Style17"/>
    <w:qFormat/>
    <w:uiPriority w:val="0"/>
    <w:rPr>
      <w:rFonts w:ascii="黑体" w:eastAsia="黑体" w:cs="黑体"/>
      <w:sz w:val="28"/>
      <w:szCs w:val="28"/>
    </w:rPr>
  </w:style>
  <w:style w:type="paragraph" w:customStyle="1" w:styleId="36">
    <w:name w:val="Table Text"/>
    <w:basedOn w:val="1"/>
    <w:semiHidden/>
    <w:qFormat/>
    <w:uiPriority w:val="0"/>
    <w:rPr>
      <w:rFonts w:ascii="宋体" w:hAnsi="宋体" w:eastAsia="宋体" w:cs="宋体"/>
      <w:sz w:val="18"/>
      <w:szCs w:val="18"/>
      <w:lang w:val="en-US" w:eastAsia="en-US" w:bidi="ar-SA"/>
    </w:rPr>
  </w:style>
  <w:style w:type="paragraph" w:customStyle="1" w:styleId="37">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8">
    <w:name w:val="null3"/>
    <w:hidden/>
    <w:qFormat/>
    <w:uiPriority w:val="0"/>
    <w:rPr>
      <w:rFonts w:hint="eastAsia" w:asciiTheme="minorHAnsi" w:hAnsiTheme="minorHAnsi" w:eastAsiaTheme="minorEastAsia" w:cstheme="minorBidi"/>
      <w:lang w:val="en-US" w:eastAsia="zh-Hans"/>
    </w:rPr>
  </w:style>
  <w:style w:type="paragraph" w:customStyle="1" w:styleId="39">
    <w:name w:val="Table Paragraph"/>
    <w:basedOn w:val="1"/>
    <w:qFormat/>
    <w:uiPriority w:val="1"/>
    <w:pPr>
      <w:widowControl w:val="0"/>
      <w:autoSpaceDE w:val="0"/>
      <w:autoSpaceDN w:val="0"/>
    </w:pPr>
    <w:rPr>
      <w:rFonts w:ascii="宋体" w:hAnsi="宋体" w:cs="宋体"/>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32611</Words>
  <Characters>34338</Characters>
  <Lines>0</Lines>
  <Paragraphs>0</Paragraphs>
  <TotalTime>43</TotalTime>
  <ScaleCrop>false</ScaleCrop>
  <LinksUpToDate>false</LinksUpToDate>
  <CharactersWithSpaces>35899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2024-12-24T07:02:00Z</dcterms:created>
  <dc:creator>MEEFOND</dc:creator>
  <cp:lastModifiedBy>MEEFOND</cp:lastModifiedBy>
  <dcterms:modified xsi:type="dcterms:W3CDTF">2025-01-13T08:40:10Z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25666ECB6BDE48AFB747B97C2B6E75CF</vt:lpwstr>
  </property>
  <property fmtid="{D5CDD505-2E9C-101B-9397-08002B2CF9AE}" pid="4" name="KSOTemplateDocerSaveRecord">
    <vt:lpwstr>eyJoZGlkIjoiYTA4NmQ1MzI0MDBjODU0MWFjYzAwMDg5YzQ5YTYwMjYiLCJ1c2VySWQiOiI0OTUzODgyNzIifQ==</vt:lpwstr>
  </property>
</Properties>
</file>