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仿宋" w:hAnsi="仿宋" w:eastAsia="仿宋" w:cs="仿宋"/>
          <w:b/>
          <w:bCs/>
          <w:sz w:val="44"/>
          <w:szCs w:val="44"/>
          <w:highlight w:val="none"/>
          <w:shd w:val="clear" w:color="auto" w:fill="FFFFFF"/>
        </w:rPr>
      </w:pPr>
    </w:p>
    <w:p>
      <w:pPr>
        <w:spacing w:line="276" w:lineRule="auto"/>
        <w:jc w:val="center"/>
        <w:rPr>
          <w:rFonts w:hint="eastAsia" w:ascii="仿宋" w:hAnsi="仿宋" w:eastAsia="仿宋" w:cs="仿宋"/>
          <w:b/>
          <w:bCs/>
          <w:sz w:val="44"/>
          <w:szCs w:val="44"/>
          <w:highlight w:val="none"/>
          <w:shd w:val="clear" w:color="auto" w:fill="FFFFFF"/>
          <w:lang w:val="en-US" w:eastAsia="zh-CN"/>
        </w:rPr>
      </w:pPr>
      <w:r>
        <w:rPr>
          <w:rFonts w:hint="eastAsia" w:ascii="仿宋" w:hAnsi="仿宋" w:eastAsia="仿宋" w:cs="仿宋"/>
          <w:b/>
          <w:bCs/>
          <w:sz w:val="44"/>
          <w:szCs w:val="44"/>
          <w:highlight w:val="none"/>
          <w:shd w:val="clear" w:color="auto" w:fill="FFFFFF"/>
          <w:lang w:val="en-US" w:eastAsia="zh-CN"/>
        </w:rPr>
        <w:t>玉米种业及全产业链发展论坛服务项目</w:t>
      </w:r>
    </w:p>
    <w:p>
      <w:pPr>
        <w:spacing w:line="276" w:lineRule="auto"/>
        <w:jc w:val="center"/>
        <w:rPr>
          <w:rFonts w:hint="eastAsia" w:ascii="仿宋" w:hAnsi="仿宋" w:eastAsia="仿宋" w:cs="仿宋"/>
          <w:b/>
          <w:bCs/>
          <w:sz w:val="44"/>
          <w:szCs w:val="44"/>
          <w:highlight w:val="none"/>
          <w:shd w:val="clear" w:color="auto" w:fill="FFFFFF"/>
          <w:lang w:val="en-US" w:eastAsia="zh-CN"/>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pPr>
        <w:spacing w:line="400" w:lineRule="exact"/>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spacing w:line="480" w:lineRule="exact"/>
        <w:jc w:val="left"/>
        <w:rPr>
          <w:bCs/>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0" w:name="_Toc54357675"/>
      <w:bookmarkStart w:id="1" w:name="_Toc1651923"/>
    </w:p>
    <w:bookmarkEnd w:id="0"/>
    <w:bookmarkEnd w:id="1"/>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ascii="仿宋" w:hAnsi="仿宋" w:eastAsia="仿宋" w:cs="仿宋"/>
          <w:bCs/>
          <w:color w:val="000000"/>
          <w:kern w:val="0"/>
          <w:sz w:val="24"/>
          <w:szCs w:val="24"/>
          <w:highlight w:val="none"/>
        </w:rPr>
      </w:pPr>
      <w:r>
        <w:rPr>
          <w:rFonts w:hint="eastAsia" w:ascii="仿宋" w:hAnsi="仿宋" w:eastAsia="仿宋" w:cs="仿宋"/>
          <w:color w:val="000000"/>
          <w:sz w:val="28"/>
          <w:szCs w:val="28"/>
          <w:highlight w:val="none"/>
        </w:rPr>
        <w:t>经认真阅读“</w:t>
      </w:r>
      <w:r>
        <w:rPr>
          <w:rFonts w:hint="eastAsia" w:ascii="仿宋" w:hAnsi="仿宋" w:eastAsia="仿宋" w:cs="仿宋"/>
          <w:color w:val="000000"/>
          <w:sz w:val="28"/>
          <w:szCs w:val="28"/>
          <w:highlight w:val="none"/>
          <w:lang w:val="en-US" w:eastAsia="zh-CN"/>
        </w:rPr>
        <w:t>玉米种业及全产业链发展论坛服务项目</w:t>
      </w:r>
      <w:r>
        <w:rPr>
          <w:rFonts w:hint="eastAsia" w:ascii="仿宋" w:hAnsi="仿宋" w:eastAsia="仿宋" w:cs="仿宋"/>
          <w:color w:val="000000"/>
          <w:sz w:val="28"/>
          <w:szCs w:val="28"/>
          <w:highlight w:val="none"/>
        </w:rPr>
        <w:t>”采购公告，我司符合本项目的资格条件，已完全了解采购公告相关内容，承诺按照采购公告的要求提供产品和服务。分项明细报价与总报价（单位：人民币元）如下：</w:t>
      </w:r>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一、报价表</w:t>
      </w:r>
    </w:p>
    <w:tbl>
      <w:tblPr>
        <w:tblStyle w:val="12"/>
        <w:tblW w:w="104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3"/>
        <w:gridCol w:w="1027"/>
        <w:gridCol w:w="1312"/>
        <w:gridCol w:w="2388"/>
        <w:gridCol w:w="926"/>
        <w:gridCol w:w="931"/>
        <w:gridCol w:w="1549"/>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项目类别</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内容</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说明／规格／备注</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论坛推介</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手册设计、印刷</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8P彩色印刷，封面200g覆哑膜，内文200g。骑马钉，成品尺寸约180(宽)mm-260(高)mm</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座谈交流</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拜访京津冀主要种业企业，介绍北京种业发展政策，邀请来京投资，设立分支机构，参加大会，产生的交通、食宿等费用</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嘉宾费用</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国内院士专家的专家费</w:t>
            </w:r>
          </w:p>
        </w:tc>
        <w:tc>
          <w:tcPr>
            <w:tcW w:w="2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不高于1500元/人共计2人；8学时/人</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国内嘉宾的专家费（高级职称）</w:t>
            </w:r>
          </w:p>
        </w:tc>
        <w:tc>
          <w:tcPr>
            <w:tcW w:w="2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不高于1000元/人共计25人；2学时/人</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w:t>
            </w:r>
            <w:bookmarkStart w:id="5" w:name="_GoBack"/>
            <w:bookmarkEnd w:id="5"/>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国内嘉宾的往返机票费</w:t>
            </w:r>
          </w:p>
        </w:tc>
        <w:tc>
          <w:tcPr>
            <w:tcW w:w="2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程包括但不限于：青岛-北京往返、武汉-北京往返、广州-北京往返、西安-北京往返、上海-北京往返、深圳-北京往返、昆明-北京往返、哈尔滨-北京往返、三亚-北京往返、杭州-北京往返。以实际邀请嘉宾为准。</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嘉宾住宿</w:t>
            </w:r>
          </w:p>
        </w:tc>
        <w:tc>
          <w:tcPr>
            <w:tcW w:w="2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包含国内和国外嘉宾，三天，不高于480元/人次</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人次</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嘉宾交通费用</w:t>
            </w:r>
          </w:p>
        </w:tc>
        <w:tc>
          <w:tcPr>
            <w:tcW w:w="2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接送机、市内交通，提供一辆商务车，配司机，含油费和过路费，为期1天，每天每台次服务时间约8小时，超时另计</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台次</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嘉宾餐饮</w:t>
            </w:r>
          </w:p>
        </w:tc>
        <w:tc>
          <w:tcPr>
            <w:tcW w:w="2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不高于180元/人次</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人次</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后勤保障</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午餐自助餐</w:t>
            </w:r>
          </w:p>
        </w:tc>
        <w:tc>
          <w:tcPr>
            <w:tcW w:w="2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不高于100元/人次</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工作人员住宿</w:t>
            </w:r>
          </w:p>
        </w:tc>
        <w:tc>
          <w:tcPr>
            <w:tcW w:w="2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不高于350元/人次</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人次</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咨询费</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论坛咨询</w:t>
            </w:r>
          </w:p>
        </w:tc>
        <w:tc>
          <w:tcPr>
            <w:tcW w:w="2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不高于350元/人次</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人次</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劳务相关</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服务费</w:t>
            </w:r>
          </w:p>
        </w:tc>
        <w:tc>
          <w:tcPr>
            <w:tcW w:w="2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前期会议筹备、国内外嘉宾邀请对接、会议报告整理等</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20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  计（元）</w:t>
            </w:r>
          </w:p>
        </w:tc>
        <w:tc>
          <w:tcPr>
            <w:tcW w:w="31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bl>
    <w:p>
      <w:pPr>
        <w:pStyle w:val="7"/>
        <w:spacing w:line="570" w:lineRule="exact"/>
        <w:ind w:firstLine="562" w:firstLineChars="200"/>
        <w:jc w:val="left"/>
        <w:rPr>
          <w:rFonts w:hint="eastAsia" w:ascii="仿宋" w:hAnsi="仿宋" w:eastAsia="仿宋" w:cs="仿宋"/>
          <w:b/>
          <w:color w:val="000000"/>
          <w:kern w:val="0"/>
          <w:sz w:val="28"/>
          <w:szCs w:val="28"/>
          <w:highlight w:val="none"/>
        </w:rPr>
      </w:pPr>
    </w:p>
    <w:p>
      <w:pPr>
        <w:pStyle w:val="7"/>
        <w:keepNext w:val="0"/>
        <w:keepLines w:val="0"/>
        <w:pageBreakBefore w:val="0"/>
        <w:widowControl w:val="0"/>
        <w:kinsoku/>
        <w:wordWrap/>
        <w:overflowPunct/>
        <w:topLinePunct w:val="0"/>
        <w:autoSpaceDE/>
        <w:autoSpaceDN/>
        <w:bidi w:val="0"/>
        <w:adjustRightInd/>
        <w:spacing w:line="540" w:lineRule="exact"/>
        <w:ind w:firstLine="562" w:firstLineChars="200"/>
        <w:jc w:val="left"/>
        <w:textAlignment w:val="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pPr>
        <w:keepNext w:val="0"/>
        <w:keepLines w:val="0"/>
        <w:pageBreakBefore w:val="0"/>
        <w:widowControl w:val="0"/>
        <w:kinsoku/>
        <w:wordWrap/>
        <w:overflowPunct/>
        <w:topLinePunct w:val="0"/>
        <w:autoSpaceDE/>
        <w:autoSpaceDN/>
        <w:bidi w:val="0"/>
        <w:adjustRightInd/>
        <w:snapToGrid w:val="0"/>
        <w:spacing w:line="540" w:lineRule="exact"/>
        <w:ind w:firstLine="562" w:firstLineChars="200"/>
        <w:jc w:val="left"/>
        <w:textAlignment w:val="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pPr>
        <w:keepNext w:val="0"/>
        <w:keepLines w:val="0"/>
        <w:pageBreakBefore w:val="0"/>
        <w:widowControl w:val="0"/>
        <w:kinsoku/>
        <w:wordWrap/>
        <w:overflowPunct/>
        <w:topLinePunct w:val="0"/>
        <w:autoSpaceDE/>
        <w:autoSpaceDN/>
        <w:bidi w:val="0"/>
        <w:adjustRightInd/>
        <w:spacing w:line="540" w:lineRule="exact"/>
        <w:jc w:val="left"/>
        <w:textAlignment w:val="auto"/>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pPr>
        <w:keepNext w:val="0"/>
        <w:keepLines w:val="0"/>
        <w:pageBreakBefore w:val="0"/>
        <w:widowControl w:val="0"/>
        <w:kinsoku/>
        <w:wordWrap/>
        <w:overflowPunct/>
        <w:topLinePunct w:val="0"/>
        <w:autoSpaceDE/>
        <w:autoSpaceDN/>
        <w:bidi w:val="0"/>
        <w:adjustRightInd/>
        <w:spacing w:after="200" w:line="540" w:lineRule="exact"/>
        <w:jc w:val="center"/>
        <w:textAlignment w:val="auto"/>
        <w:rPr>
          <w:rFonts w:hint="eastAsia" w:ascii="仿宋" w:hAnsi="仿宋" w:eastAsia="仿宋" w:cs="仿宋"/>
          <w:b/>
          <w:color w:val="000000"/>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2" w:name="_Toc34146941"/>
      <w:bookmarkStart w:id="3" w:name="_Toc475472676"/>
      <w:bookmarkStart w:id="4" w:name="_Toc1651903"/>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3、参加采购活动前3年内，在经营活动中没有重大违法、失信记录：提供供应商未被列入“信用中国”（网址https://www.creditchina.gov.cn/xinyongfuwu/?navPage=4）-信用</w:t>
      </w:r>
      <w:r>
        <w:rPr>
          <w:rFonts w:hint="eastAsia" w:ascii="仿宋" w:hAnsi="仿宋" w:eastAsia="仿宋" w:cs="仿宋"/>
          <w:color w:val="000000"/>
          <w:sz w:val="28"/>
          <w:szCs w:val="28"/>
          <w:highlight w:val="none"/>
          <w:lang w:val="en-US" w:eastAsia="zh-CN"/>
        </w:rPr>
        <w:t>公示</w:t>
      </w:r>
      <w:r>
        <w:rPr>
          <w:rFonts w:hint="eastAsia" w:ascii="仿宋" w:hAnsi="仿宋" w:eastAsia="仿宋" w:cs="仿宋"/>
          <w:color w:val="000000"/>
          <w:sz w:val="28"/>
          <w:szCs w:val="28"/>
          <w:highlight w:val="none"/>
        </w:rPr>
        <w:t>中的“严重失信主体名单”“经营异常名录信息”“重大税收违法失信主体”查询截图并加盖公章。</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4、提供自2022年1月1日以来同类项目（</w:t>
      </w:r>
      <w:r>
        <w:rPr>
          <w:rFonts w:hint="eastAsia" w:ascii="仿宋" w:hAnsi="仿宋" w:eastAsia="仿宋" w:cs="仿宋"/>
          <w:color w:val="000000"/>
          <w:sz w:val="28"/>
          <w:szCs w:val="28"/>
          <w:highlight w:val="none"/>
          <w:lang w:val="en-US" w:eastAsia="zh-CN"/>
        </w:rPr>
        <w:t>会议</w:t>
      </w:r>
      <w:r>
        <w:rPr>
          <w:rFonts w:hint="eastAsia" w:ascii="仿宋" w:hAnsi="仿宋" w:eastAsia="仿宋" w:cs="仿宋"/>
          <w:color w:val="000000"/>
          <w:sz w:val="28"/>
          <w:szCs w:val="28"/>
          <w:highlight w:val="none"/>
        </w:rPr>
        <w:t>服务等）业绩</w:t>
      </w:r>
      <w:r>
        <w:rPr>
          <w:rFonts w:hint="eastAsia" w:ascii="仿宋" w:hAnsi="仿宋" w:eastAsia="仿宋" w:cs="仿宋"/>
          <w:color w:val="000000"/>
          <w:sz w:val="28"/>
          <w:szCs w:val="28"/>
          <w:highlight w:val="none"/>
          <w:lang w:val="en-US" w:eastAsia="zh-CN"/>
        </w:rPr>
        <w:t>两</w:t>
      </w:r>
      <w:r>
        <w:rPr>
          <w:rFonts w:hint="eastAsia" w:ascii="仿宋" w:hAnsi="仿宋" w:eastAsia="仿宋" w:cs="仿宋"/>
          <w:color w:val="000000"/>
          <w:sz w:val="28"/>
          <w:szCs w:val="28"/>
          <w:highlight w:val="none"/>
        </w:rPr>
        <w:t>项（附合同关键页）。</w:t>
      </w:r>
    </w:p>
    <w:p>
      <w:pPr>
        <w:pStyle w:val="3"/>
        <w:rPr>
          <w:rFonts w:ascii="仿宋" w:hAnsi="仿宋" w:eastAsia="仿宋" w:cs="仿宋"/>
          <w:kern w:val="0"/>
          <w:sz w:val="28"/>
          <w:szCs w:val="28"/>
          <w:highlight w:val="none"/>
        </w:rPr>
      </w:pPr>
    </w:p>
    <w:bookmarkEnd w:id="2"/>
    <w:bookmarkEnd w:id="3"/>
    <w:bookmarkEnd w:id="4"/>
    <w:p>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3.我方为中华人民共和国境内的合法经营主体，具有独立的民事行为能力；我方具备履行合同所必需的设备和专业技术能力；我方有依法缴纳税收和社会保障资金的良好记录。</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pPr>
        <w:pStyle w:val="9"/>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pPr>
        <w:spacing w:line="276" w:lineRule="auto"/>
        <w:jc w:val="center"/>
        <w:rPr>
          <w:rFonts w:ascii="宋体" w:hAnsi="宋体" w:cs="宋体"/>
          <w:b/>
          <w:sz w:val="24"/>
          <w:highlight w:val="none"/>
        </w:rPr>
      </w:pPr>
    </w:p>
    <w:p>
      <w:pPr>
        <w:tabs>
          <w:tab w:val="left" w:pos="8364"/>
        </w:tabs>
        <w:snapToGrid w:val="0"/>
        <w:spacing w:line="360" w:lineRule="auto"/>
        <w:ind w:right="-58"/>
        <w:rPr>
          <w:rFonts w:ascii="宋体" w:hAnsi="宋体" w:cs="宋体"/>
          <w:sz w:val="24"/>
          <w:highlight w:val="none"/>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pPr>
        <w:widowControl/>
        <w:spacing w:after="200" w:line="480" w:lineRule="exact"/>
        <w:ind w:firstLine="480" w:firstLineChars="200"/>
        <w:rPr>
          <w:rFonts w:ascii="宋体" w:hAnsi="宋体" w:cs="宋体"/>
          <w:bCs/>
          <w:kern w:val="0"/>
          <w:sz w:val="24"/>
          <w:highlight w:val="none"/>
        </w:rPr>
      </w:pP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 w:hAnsi="仿宋" w:eastAsia="仿宋" w:cs="仿宋"/>
          <w:color w:val="auto"/>
          <w:kern w:val="2"/>
          <w:sz w:val="30"/>
          <w:szCs w:val="30"/>
          <w:lang w:val="en-US" w:eastAsia="zh-CN" w:bidi="ar-SA"/>
        </w:rPr>
        <w:t>玉米种业及全产业链发展论坛服务项目</w:t>
      </w:r>
      <w:r>
        <w:rPr>
          <w:rFonts w:hint="eastAsia" w:ascii="仿宋" w:hAnsi="仿宋" w:eastAsia="仿宋" w:cs="仿宋"/>
          <w:bCs/>
          <w:color w:val="000000"/>
          <w:sz w:val="28"/>
          <w:szCs w:val="28"/>
          <w:highlight w:val="none"/>
        </w:rPr>
        <w:t>】的【洽谈、签约、项目服务联络等】事宜。</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pPr>
        <w:pStyle w:val="8"/>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8"/>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tabs>
          <w:tab w:val="left" w:pos="917"/>
        </w:tabs>
        <w:spacing w:after="200" w:line="276" w:lineRule="auto"/>
        <w:jc w:val="left"/>
        <w:rPr>
          <w:rFonts w:ascii="宋体" w:hAnsi="宋体" w:cs="宋体"/>
          <w:b/>
          <w:bCs/>
          <w:sz w:val="24"/>
          <w:highlight w:val="none"/>
        </w:rPr>
      </w:pPr>
      <w:r>
        <w:rPr>
          <w:rFonts w:hint="eastAsia" w:ascii="宋体" w:hAnsi="宋体" w:cs="宋体"/>
          <w:b/>
          <w:bCs/>
          <w:sz w:val="24"/>
          <w:highlight w:val="none"/>
        </w:rPr>
        <w:br w:type="page"/>
      </w:r>
    </w:p>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pPr>
        <w:pStyle w:val="4"/>
        <w:rPr>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bl>
    <w:p>
      <w:pPr>
        <w:pStyle w:val="10"/>
        <w:spacing w:after="200" w:line="276" w:lineRule="auto"/>
        <w:ind w:firstLine="0" w:firstLineChars="0"/>
        <w:jc w:val="left"/>
        <w:rPr>
          <w:rFonts w:ascii="仿宋" w:hAnsi="仿宋" w:eastAsia="仿宋" w:cs="仿宋"/>
          <w:b/>
          <w:kern w:val="0"/>
          <w:sz w:val="28"/>
          <w:szCs w:val="28"/>
          <w:highlight w:val="none"/>
        </w:rPr>
      </w:pPr>
    </w:p>
    <w:p>
      <w:pPr>
        <w:pStyle w:val="10"/>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【提供人员经社保局盖章的截止日前12个月内任意1个月的本单位缴纳社保的证明材料】</w:t>
      </w:r>
    </w:p>
    <w:p>
      <w:pPr>
        <w:rPr>
          <w:rFonts w:ascii="宋体" w:hAnsi="宋体" w:cs="宋体"/>
          <w:b/>
          <w:bCs/>
          <w:sz w:val="24"/>
          <w:highlight w:val="none"/>
        </w:rPr>
      </w:pPr>
      <w:r>
        <w:rPr>
          <w:rFonts w:hint="eastAsia" w:ascii="宋体" w:hAnsi="宋体" w:cs="宋体"/>
          <w:b/>
          <w:bCs/>
          <w:sz w:val="24"/>
          <w:highlight w:val="none"/>
        </w:rPr>
        <w:br w:type="page"/>
      </w:r>
    </w:p>
    <w:p>
      <w:pPr>
        <w:pStyle w:val="10"/>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pPr>
        <w:spacing w:after="200" w:line="340" w:lineRule="exact"/>
        <w:jc w:val="center"/>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（提供项目服务方案</w:t>
      </w:r>
      <w:r>
        <w:rPr>
          <w:rFonts w:hint="eastAsia" w:ascii="仿宋" w:hAnsi="仿宋" w:eastAsia="仿宋" w:cs="仿宋"/>
          <w:bCs/>
          <w:kern w:val="0"/>
          <w:sz w:val="28"/>
          <w:szCs w:val="28"/>
          <w:highlight w:val="none"/>
          <w:lang w:eastAsia="zh-CN"/>
        </w:rPr>
        <w:t>，</w:t>
      </w:r>
      <w:r>
        <w:rPr>
          <w:rFonts w:hint="eastAsia" w:ascii="仿宋" w:hAnsi="仿宋" w:eastAsia="仿宋" w:cs="仿宋"/>
          <w:bCs/>
          <w:kern w:val="0"/>
          <w:sz w:val="28"/>
          <w:szCs w:val="28"/>
          <w:highlight w:val="none"/>
          <w:lang w:val="en-US" w:eastAsia="zh-CN"/>
        </w:rPr>
        <w:t>格式自拟</w:t>
      </w:r>
      <w:r>
        <w:rPr>
          <w:rFonts w:hint="eastAsia" w:ascii="仿宋" w:hAnsi="仿宋" w:eastAsia="仿宋" w:cs="仿宋"/>
          <w:bCs/>
          <w:kern w:val="0"/>
          <w:sz w:val="28"/>
          <w:szCs w:val="28"/>
          <w:highlight w:val="none"/>
        </w:rPr>
        <w:t>）</w:t>
      </w:r>
    </w:p>
    <w:p>
      <w:pPr>
        <w:pStyle w:val="4"/>
        <w:rPr>
          <w:highlight w:val="none"/>
        </w:rPr>
      </w:pPr>
    </w:p>
    <w:p>
      <w:pPr>
        <w:rPr>
          <w:rFonts w:hint="eastAsia" w:ascii="仿宋" w:hAnsi="仿宋" w:eastAsia="仿宋" w:cs="仿宋"/>
          <w:b w:val="0"/>
          <w:bCs w:val="0"/>
          <w:sz w:val="28"/>
          <w:szCs w:val="28"/>
          <w:highlight w:val="none"/>
        </w:rPr>
      </w:pPr>
    </w:p>
    <w:p>
      <w:pPr>
        <w:rPr>
          <w:rFonts w:hint="eastAsia" w:ascii="仿宋" w:hAnsi="仿宋" w:eastAsia="仿宋" w:cs="仿宋"/>
          <w:b w:val="0"/>
          <w:bCs w:val="0"/>
          <w:sz w:val="28"/>
          <w:szCs w:val="28"/>
          <w:highlight w:val="none"/>
        </w:rPr>
      </w:pPr>
    </w:p>
    <w:p>
      <w:pPr>
        <w:rPr>
          <w:rFonts w:hint="eastAsia" w:ascii="仿宋" w:hAnsi="仿宋" w:eastAsia="仿宋" w:cs="仿宋"/>
          <w:bCs/>
          <w:color w:val="000000"/>
          <w:sz w:val="28"/>
          <w:szCs w:val="28"/>
          <w:highlight w:val="none"/>
        </w:rPr>
      </w:pPr>
      <w:r>
        <w:rPr>
          <w:rFonts w:hint="eastAsia" w:ascii="仿宋" w:hAnsi="仿宋" w:eastAsia="仿宋" w:cs="仿宋"/>
          <w:b w:val="0"/>
          <w:bCs w:val="0"/>
          <w:sz w:val="28"/>
          <w:szCs w:val="28"/>
          <w:highlight w:val="none"/>
        </w:rPr>
        <w:br w:type="page"/>
      </w:r>
    </w:p>
    <w:p>
      <w:pPr>
        <w:pStyle w:val="10"/>
        <w:numPr>
          <w:ilvl w:val="0"/>
          <w:numId w:val="1"/>
        </w:numPr>
        <w:spacing w:after="0"/>
        <w:ind w:firstLine="0" w:firstLine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报价人认为需要补充的其他资料</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1" w:fontKey="{102AD2FE-F3E4-4855-9FCA-4F382FBEB777}"/>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9B7F2477-1E36-4E88-9222-63DFB8BBDA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5497A0"/>
    <w:multiLevelType w:val="singleLevel"/>
    <w:tmpl w:val="EA5497A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MDFiM2JkNjdkMzFkNGE4NjBkMGYwOWYxZjU2NjgifQ=="/>
    <w:docVar w:name="KSO_WPS_MARK_KEY" w:val="bb9682b2-9e9a-4f79-8ae2-b36a7f3673af"/>
  </w:docVars>
  <w:rsids>
    <w:rsidRoot w:val="2F92180C"/>
    <w:rsid w:val="002D6BB0"/>
    <w:rsid w:val="0374660C"/>
    <w:rsid w:val="07CB78B3"/>
    <w:rsid w:val="08A43CA1"/>
    <w:rsid w:val="0EE45041"/>
    <w:rsid w:val="1494363A"/>
    <w:rsid w:val="16853C7F"/>
    <w:rsid w:val="18267088"/>
    <w:rsid w:val="1D863BD0"/>
    <w:rsid w:val="213052EE"/>
    <w:rsid w:val="21B407B3"/>
    <w:rsid w:val="268A5DF1"/>
    <w:rsid w:val="29E319C5"/>
    <w:rsid w:val="2A3A4CD1"/>
    <w:rsid w:val="2F92180C"/>
    <w:rsid w:val="325B2B58"/>
    <w:rsid w:val="3D381C9F"/>
    <w:rsid w:val="3D956E2D"/>
    <w:rsid w:val="403F72E8"/>
    <w:rsid w:val="40A2049E"/>
    <w:rsid w:val="42316C83"/>
    <w:rsid w:val="43711026"/>
    <w:rsid w:val="44092D33"/>
    <w:rsid w:val="44B76D71"/>
    <w:rsid w:val="45385CDD"/>
    <w:rsid w:val="46B6486B"/>
    <w:rsid w:val="4F387A7A"/>
    <w:rsid w:val="50DF4E13"/>
    <w:rsid w:val="559A5B48"/>
    <w:rsid w:val="561D0A03"/>
    <w:rsid w:val="5ADE62D7"/>
    <w:rsid w:val="5B5B3893"/>
    <w:rsid w:val="5DC81E08"/>
    <w:rsid w:val="605329A4"/>
    <w:rsid w:val="66787613"/>
    <w:rsid w:val="6BFF0F41"/>
    <w:rsid w:val="7255439B"/>
    <w:rsid w:val="739E16EF"/>
    <w:rsid w:val="752C5351"/>
    <w:rsid w:val="7C1D696A"/>
    <w:rsid w:val="7C846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 w:val="33"/>
      <w:szCs w:val="33"/>
    </w:rPr>
  </w:style>
  <w:style w:type="paragraph" w:styleId="4">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Body Text Indent"/>
    <w:basedOn w:val="1"/>
    <w:qFormat/>
    <w:uiPriority w:val="0"/>
    <w:pPr>
      <w:autoSpaceDE w:val="0"/>
      <w:autoSpaceDN w:val="0"/>
      <w:spacing w:line="360" w:lineRule="auto"/>
      <w:ind w:firstLine="420" w:firstLineChars="200"/>
    </w:pPr>
    <w:rPr>
      <w:rFonts w:ascii="宋体" w:hAnsi="宋体"/>
      <w:szCs w:val="21"/>
    </w:rPr>
  </w:style>
  <w:style w:type="paragraph" w:styleId="6">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0">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First Indent 2"/>
    <w:basedOn w:val="5"/>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NormalCharacter"/>
    <w:qFormat/>
    <w:uiPriority w:val="0"/>
  </w:style>
  <w:style w:type="character" w:customStyle="1" w:styleId="16">
    <w:name w:val="font41"/>
    <w:basedOn w:val="14"/>
    <w:qFormat/>
    <w:uiPriority w:val="0"/>
    <w:rPr>
      <w:rFonts w:hint="eastAsia" w:ascii="仿宋" w:hAnsi="仿宋" w:eastAsia="仿宋" w:cs="仿宋"/>
      <w:color w:val="000000"/>
      <w:sz w:val="20"/>
      <w:szCs w:val="20"/>
      <w:u w:val="none"/>
    </w:rPr>
  </w:style>
  <w:style w:type="character" w:customStyle="1" w:styleId="17">
    <w:name w:val="font51"/>
    <w:basedOn w:val="14"/>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1942</Words>
  <Characters>2065</Characters>
  <Lines>0</Lines>
  <Paragraphs>0</Paragraphs>
  <TotalTime>34</TotalTime>
  <ScaleCrop>false</ScaleCrop>
  <LinksUpToDate>false</LinksUpToDate>
  <CharactersWithSpaces>2274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2024-09-27T09:37:00Z</dcterms:created>
  <dc:creator>玉婷</dc:creator>
  <cp:lastModifiedBy>Rainnie</cp:lastModifiedBy>
  <dcterms:modified xsi:type="dcterms:W3CDTF">2025-09-03T06:48:39Z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D4736D101F114F42A9A191A515224809_13</vt:lpwstr>
  </property>
</Properties>
</file>