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新媒体展示中心内容升级及硬件维护服务项目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项目编号：ND25040028GZ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经认真阅读新媒体展示中心内容升级及硬件维护服务项目采购公告及附件（项目编号：</w:t>
      </w:r>
      <w:r>
        <w:rPr>
          <w:rFonts w:hint="eastAsia"/>
          <w:bCs/>
          <w:sz w:val="24"/>
          <w:u w:val="single"/>
        </w:rPr>
        <w:t>ND25040028GZ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2.服务地点：全国。</w:t>
            </w:r>
          </w:p>
          <w:p>
            <w:pPr>
              <w:ind w:firstLine="480" w:firstLineChars="200"/>
              <w:rPr>
                <w:rFonts w:ascii="宋体" w:hAnsi="宋体" w:cs="仿宋"/>
                <w:color w:val="FF0000"/>
                <w:sz w:val="24"/>
              </w:rPr>
            </w:pPr>
            <w:r>
              <w:rPr>
                <w:rFonts w:hint="eastAsia" w:ascii="宋体" w:hAnsi="宋体" w:cs="仿宋"/>
                <w:color w:val="FF0000"/>
                <w:sz w:val="24"/>
              </w:rPr>
              <w:t>3.付款方式：预留合同总额的</w:t>
            </w:r>
            <w:r>
              <w:rPr>
                <w:rFonts w:hint="eastAsia" w:ascii="宋体" w:hAnsi="宋体" w:cs="仿宋"/>
                <w:color w:val="FF0000"/>
                <w:sz w:val="24"/>
                <w:lang w:val="en-US" w:eastAsia="zh-CN"/>
              </w:rPr>
              <w:t>50</w:t>
            </w:r>
            <w:r>
              <w:rPr>
                <w:rFonts w:hint="eastAsia" w:ascii="宋体" w:hAnsi="宋体" w:cs="仿宋"/>
                <w:color w:val="FF0000"/>
                <w:sz w:val="24"/>
              </w:rPr>
              <w:t>%，在项目验收通过后支付。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经认真阅读新媒体展示中心内容升级及硬件维护服务项目采购公告及附件（项目编号：ND25040028GZ）我方已完全了解本项目的商务与技术要求，承诺按照采购文件的要求提供产品和服务，报价如下。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393"/>
        <w:gridCol w:w="1083"/>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393"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1083"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cs="宋体"/>
                <w:color w:val="000000"/>
                <w:kern w:val="0"/>
                <w:sz w:val="24"/>
                <w:lang w:bidi="ar"/>
              </w:rPr>
            </w:pPr>
            <w:r>
              <w:rPr>
                <w:rFonts w:hint="eastAsia" w:ascii="宋体" w:hAnsi="宋体" w:cs="宋体"/>
                <w:color w:val="000000"/>
                <w:kern w:val="0"/>
                <w:sz w:val="24"/>
                <w:u w:val="none"/>
                <w:lang w:bidi="ar"/>
              </w:rPr>
              <w:t>主屏幕</w:t>
            </w:r>
            <w:r>
              <w:rPr>
                <w:rFonts w:hint="eastAsia" w:ascii="宋体" w:hAnsi="宋体" w:eastAsia="宋体" w:cs="宋体"/>
                <w:i w:val="0"/>
                <w:iCs w:val="0"/>
                <w:color w:val="000000"/>
                <w:kern w:val="0"/>
                <w:sz w:val="24"/>
                <w:szCs w:val="24"/>
                <w:u w:val="none"/>
                <w:lang w:val="en-US" w:eastAsia="zh-CN" w:bidi="ar"/>
              </w:rPr>
              <w:t>UI界面设计及制作定制服务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color w:val="000000"/>
                <w:kern w:val="0"/>
                <w:sz w:val="24"/>
                <w:szCs w:val="24"/>
                <w:lang w:eastAsia="zh-Hans" w:bidi="ar"/>
              </w:rPr>
            </w:pPr>
            <w:r>
              <w:rPr>
                <w:rFonts w:hint="eastAsia" w:ascii="宋体" w:hAnsi="宋体" w:eastAsia="宋体" w:cs="宋体"/>
                <w:i w:val="0"/>
                <w:iCs w:val="0"/>
                <w:color w:val="000000"/>
                <w:kern w:val="0"/>
                <w:sz w:val="24"/>
                <w:szCs w:val="24"/>
                <w:u w:val="none"/>
                <w:lang w:val="en-US" w:eastAsia="zh-CN" w:bidi="ar"/>
              </w:rPr>
              <w:t>针对主屏幕进行服务：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1.根据系统需求和设计逻辑，整理资料，梳理逻辑并提取相关内容</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2.根据主题内容进行美术构思，设计相关美术元素，设计标题、导航菜单、功能面板、按钮等样式</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3.整体交互框架结构设计，定制UI多层级界面设计，友好可视化窗口，符合人机交互逻辑</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4.详细图文、视频等内容素材平面布局、排版设计</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5.在项目期间，至少满足2次UI调整，除首次全面调整外，其他调整比例在20%内。</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bookmarkStart w:id="3" w:name="OLE_LINK1"/>
            <w:r>
              <w:rPr>
                <w:rFonts w:hint="eastAsia" w:ascii="宋体" w:hAnsi="宋体" w:cs="宋体"/>
                <w:color w:val="000000"/>
                <w:kern w:val="0"/>
                <w:sz w:val="24"/>
                <w:lang w:val="en-US" w:eastAsia="zh-CN" w:bidi="ar"/>
              </w:rPr>
              <w:t>1项</w:t>
            </w:r>
            <w:bookmarkEnd w:id="3"/>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eastAsia="宋体" w:cs="宋体"/>
                <w:i w:val="0"/>
                <w:iCs w:val="0"/>
                <w:color w:val="000000"/>
                <w:kern w:val="0"/>
                <w:sz w:val="24"/>
                <w:szCs w:val="24"/>
                <w:u w:val="none"/>
                <w:lang w:val="en-US" w:eastAsia="zh-CN" w:bidi="ar"/>
              </w:rPr>
              <w:t>动效设计及制作定制服务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针对主屏幕及直播屏幕进行服务：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多媒体内容制作2套，包含但不限于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1.三维视效动态交互效果制作</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2.特效动画效果制作</w:t>
            </w:r>
            <w:r>
              <w:rPr>
                <w:rFonts w:hint="eastAsia" w:ascii="宋体" w:hAnsi="宋体" w:cs="宋体"/>
                <w:i w:val="0"/>
                <w:iCs w:val="0"/>
                <w:color w:val="000000"/>
                <w:kern w:val="0"/>
                <w:sz w:val="24"/>
                <w:szCs w:val="24"/>
                <w:u w:val="none"/>
                <w:lang w:val="en-US" w:eastAsia="zh-CN" w:bidi="ar"/>
              </w:rPr>
              <w:t>；</w:t>
            </w:r>
          </w:p>
          <w:p>
            <w:pPr>
              <w:widowControl/>
              <w:numPr>
                <w:ilvl w:val="0"/>
                <w:numId w:val="3"/>
              </w:numPr>
              <w:spacing w:line="240" w:lineRule="auto"/>
              <w:jc w:val="left"/>
              <w:textAlignment w:val="center"/>
              <w:rPr>
                <w:rFonts w:hint="eastAsia" w:ascii="宋体" w:hAnsi="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后期特效优化完善</w:t>
            </w:r>
            <w:r>
              <w:rPr>
                <w:rFonts w:hint="eastAsia" w:ascii="宋体" w:hAnsi="宋体" w:cs="宋体"/>
                <w:i w:val="0"/>
                <w:iCs w:val="0"/>
                <w:color w:val="000000"/>
                <w:kern w:val="0"/>
                <w:sz w:val="24"/>
                <w:szCs w:val="24"/>
                <w:u w:val="none"/>
                <w:lang w:val="en-US" w:eastAsia="zh-CN" w:bidi="ar"/>
              </w:rPr>
              <w:t>；</w:t>
            </w:r>
          </w:p>
          <w:p>
            <w:pPr>
              <w:widowControl/>
              <w:numPr>
                <w:ilvl w:val="-1"/>
                <w:numId w:val="0"/>
              </w:numPr>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4.显示视频，图片优化。</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cs="宋体"/>
                <w:color w:val="000000"/>
                <w:kern w:val="0"/>
                <w:sz w:val="24"/>
                <w:u w:val="none"/>
                <w:lang w:bidi="ar"/>
              </w:rPr>
              <w:t>主屏幕</w:t>
            </w:r>
            <w:r>
              <w:rPr>
                <w:rFonts w:hint="eastAsia" w:ascii="宋体" w:hAnsi="宋体" w:eastAsia="宋体" w:cs="宋体"/>
                <w:i w:val="0"/>
                <w:iCs w:val="0"/>
                <w:color w:val="000000"/>
                <w:kern w:val="0"/>
                <w:sz w:val="24"/>
                <w:szCs w:val="24"/>
                <w:u w:val="none"/>
                <w:lang w:val="en-US" w:eastAsia="zh-CN" w:bidi="ar"/>
              </w:rPr>
              <w:t>互动软件开发及制作定制服务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针对主屏幕进行服务：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1.优化升级互动软件功能，展示企业介绍功能，以图文及视频播放的形式展示</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2.案例魔法墙互动功能，以动态特效的形式，展示及播放新闻的图片及视频</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3.内嵌内容检索功能，语音识别及虚拟键盘手动输入</w:t>
            </w:r>
            <w:r>
              <w:rPr>
                <w:rFonts w:hint="eastAsia" w:ascii="宋体" w:hAnsi="宋体" w:cs="宋体"/>
                <w:i w:val="0"/>
                <w:iCs w:val="0"/>
                <w:color w:val="000000"/>
                <w:kern w:val="0"/>
                <w:sz w:val="24"/>
                <w:szCs w:val="24"/>
                <w:u w:val="none"/>
                <w:lang w:val="en-US" w:eastAsia="zh-CN" w:bidi="ar"/>
              </w:rPr>
              <w:t>。</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cs="宋体"/>
                <w:color w:val="000000"/>
                <w:kern w:val="0"/>
                <w:sz w:val="24"/>
                <w:u w:val="none"/>
                <w:lang w:bidi="ar"/>
              </w:rPr>
              <w:t>数据屏</w:t>
            </w:r>
            <w:r>
              <w:rPr>
                <w:rFonts w:hint="eastAsia" w:ascii="宋体" w:hAnsi="宋体" w:eastAsia="宋体" w:cs="宋体"/>
                <w:i w:val="0"/>
                <w:iCs w:val="0"/>
                <w:color w:val="000000"/>
                <w:kern w:val="0"/>
                <w:sz w:val="24"/>
                <w:szCs w:val="24"/>
                <w:u w:val="none"/>
                <w:lang w:val="en-US" w:eastAsia="zh-CN" w:bidi="ar"/>
              </w:rPr>
              <w:t>UI界面设计及制作定制服务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针对两数据屏进行服务：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1.根据系统需求和设计逻辑，整理资料，梳理逻辑并提取相关内容</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2.根据主题内容进行美术构思，设计相关美术元素，设计标题、导航菜单、功能面板、按钮等样式</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3.整体交互框架结构设计，定制UI多层级界面设计，友好可视化窗口，符合人机交互逻辑</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4.详细图文、视频等内容素材平面布局、排版设计</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5.在项目期间，至少满足2次UI调整，除首次全面调整外，其他调整比例在20%内。</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cs="宋体"/>
                <w:color w:val="000000"/>
                <w:kern w:val="0"/>
                <w:sz w:val="24"/>
                <w:u w:val="none"/>
                <w:lang w:bidi="ar"/>
              </w:rPr>
              <w:t>数据屏</w:t>
            </w:r>
            <w:r>
              <w:rPr>
                <w:rFonts w:hint="eastAsia" w:ascii="宋体" w:hAnsi="宋体" w:eastAsia="宋体" w:cs="宋体"/>
                <w:i w:val="0"/>
                <w:iCs w:val="0"/>
                <w:color w:val="000000"/>
                <w:kern w:val="0"/>
                <w:sz w:val="24"/>
                <w:szCs w:val="24"/>
                <w:u w:val="none"/>
                <w:lang w:val="en-US" w:eastAsia="zh-CN" w:bidi="ar"/>
              </w:rPr>
              <w:t>互动软件开发及制作定制服务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针对两数据屏进行服务：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1.数据可视化程序软件定制开发对接多平台后台融合于前端显示</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2.对接各个平台接口，调取显示内容及数据</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根据系统需求和设计逻辑，定制软件布局，主界面定制，二级或三级界面定制，其中有几个互动点，每个互动点向下有关于要查询的内容，每个内容有对应的互动点。最终形成整个布局的架构，形成最终的软件脉络</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4.根据前端显示需要，对接后台数据库通讯协议，进行信息筛选处理</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5.外网通讯方式链接管理。</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eastAsia="宋体" w:cs="宋体"/>
                <w:i w:val="0"/>
                <w:iCs w:val="0"/>
                <w:color w:val="000000"/>
                <w:kern w:val="0"/>
                <w:sz w:val="24"/>
                <w:szCs w:val="24"/>
                <w:u w:val="none"/>
                <w:lang w:val="en-US" w:eastAsia="zh-CN" w:bidi="ar"/>
              </w:rPr>
              <w:t>软硬件维护服务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设备定期维护，如设备出现损坏，</w:t>
            </w:r>
            <w:r>
              <w:rPr>
                <w:rFonts w:hint="eastAsia" w:ascii="宋体" w:hAnsi="宋体" w:cs="宋体"/>
                <w:i w:val="0"/>
                <w:iCs w:val="0"/>
                <w:color w:val="000000"/>
                <w:kern w:val="0"/>
                <w:sz w:val="24"/>
                <w:szCs w:val="24"/>
                <w:u w:val="none"/>
                <w:lang w:val="en-US" w:eastAsia="zh-CN" w:bidi="ar"/>
              </w:rPr>
              <w:t>供应商</w:t>
            </w:r>
            <w:r>
              <w:rPr>
                <w:rFonts w:hint="eastAsia" w:ascii="宋体" w:hAnsi="宋体" w:eastAsia="宋体" w:cs="宋体"/>
                <w:i w:val="0"/>
                <w:iCs w:val="0"/>
                <w:color w:val="000000"/>
                <w:kern w:val="0"/>
                <w:sz w:val="24"/>
                <w:szCs w:val="24"/>
                <w:u w:val="none"/>
                <w:lang w:val="en-US" w:eastAsia="zh-CN" w:bidi="ar"/>
              </w:rPr>
              <w:t>需要承担更换新设备的义务，维护期限1年：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1.10台55寸LCD液晶拼接屏及视频处理器维护，云屏-YP-550YU</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2.2台65一体机维护，云屏-YP-C65BYP</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3.高清会议摄像头维护</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4.拾音器维护，MaxHUb</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5.媒体服务器维护</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6.中控系统维护（其中中控系统需联动主屏模块功能），中云加</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7.灯控模块及灯控系统维护，中云加</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8.网络设备维护，tplink</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cs="宋体"/>
                <w:i w:val="0"/>
                <w:iCs w:val="0"/>
                <w:color w:val="000000"/>
                <w:kern w:val="0"/>
                <w:sz w:val="24"/>
                <w:szCs w:val="24"/>
                <w:u w:val="none"/>
                <w:lang w:val="en-US" w:eastAsia="zh-CN" w:bidi="ar"/>
              </w:rPr>
              <w:t>注：</w:t>
            </w:r>
            <w:r>
              <w:rPr>
                <w:rFonts w:hint="eastAsia" w:ascii="宋体" w:hAnsi="宋体" w:eastAsia="宋体" w:cs="宋体"/>
                <w:i w:val="0"/>
                <w:iCs w:val="0"/>
                <w:color w:val="000000"/>
                <w:kern w:val="0"/>
                <w:sz w:val="24"/>
                <w:szCs w:val="24"/>
                <w:u w:val="none"/>
                <w:lang w:val="en-US" w:eastAsia="zh-CN" w:bidi="ar"/>
              </w:rPr>
              <w:t>报价时需提供维护服务方案大纲。</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sz w:val="24"/>
                <w:lang w:eastAsia="zh-Hans"/>
              </w:rPr>
            </w:pPr>
            <w:r>
              <w:rPr>
                <w:rFonts w:hint="eastAsia" w:ascii="宋体" w:hAnsi="宋体" w:eastAsia="宋体" w:cs="宋体"/>
                <w:i w:val="0"/>
                <w:iCs w:val="0"/>
                <w:color w:val="000000"/>
                <w:kern w:val="0"/>
                <w:sz w:val="24"/>
                <w:szCs w:val="24"/>
                <w:u w:val="none"/>
                <w:lang w:val="en-US" w:eastAsia="zh-CN" w:bidi="ar"/>
              </w:rPr>
              <w:t>硬件升级与维护服务</w:t>
            </w:r>
          </w:p>
        </w:tc>
        <w:tc>
          <w:tcPr>
            <w:tcW w:w="33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sz w:val="24"/>
                <w:szCs w:val="24"/>
                <w:lang w:eastAsia="zh-Hans"/>
              </w:rPr>
            </w:pPr>
            <w:r>
              <w:rPr>
                <w:rFonts w:hint="eastAsia" w:ascii="宋体" w:hAnsi="宋体" w:eastAsia="宋体" w:cs="宋体"/>
                <w:i w:val="0"/>
                <w:iCs w:val="0"/>
                <w:color w:val="000000"/>
                <w:kern w:val="0"/>
                <w:sz w:val="24"/>
                <w:szCs w:val="24"/>
                <w:u w:val="none"/>
                <w:lang w:val="en-US" w:eastAsia="zh-CN" w:bidi="ar"/>
              </w:rPr>
              <w:t>多屏专用核心显卡迭代与维护，需满足以下要求：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屏幕组合：2行5列</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分辨率：9600*2160，60HZ</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显卡内存不能低于8G，画面拼接显示流畅不卡顿无拖影</w:t>
            </w:r>
            <w:r>
              <w:rPr>
                <w:rFonts w:hint="eastAsia" w:ascii="宋体" w:hAnsi="宋体" w:cs="宋体"/>
                <w:i w:val="0"/>
                <w:iCs w:val="0"/>
                <w:color w:val="000000"/>
                <w:kern w:val="0"/>
                <w:sz w:val="24"/>
                <w:szCs w:val="24"/>
                <w:u w:val="none"/>
                <w:lang w:val="en-US" w:eastAsia="zh-CN" w:bidi="ar"/>
              </w:rPr>
              <w:t>。</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9218"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000000"/>
                <w:kern w:val="0"/>
                <w:sz w:val="24"/>
                <w:u w:val="none"/>
                <w:lang w:bidi="ar"/>
              </w:rPr>
            </w:pPr>
            <w:r>
              <w:rPr>
                <w:rFonts w:hint="eastAsia" w:ascii="宋体" w:hAnsi="宋体" w:eastAsia="宋体" w:cs="宋体"/>
                <w:color w:val="000000"/>
                <w:kern w:val="0"/>
                <w:sz w:val="24"/>
                <w:szCs w:val="24"/>
                <w:u w:val="none"/>
                <w:lang w:val="en-US" w:eastAsia="zh-CN" w:bidi="ar"/>
              </w:rPr>
              <w:t>报价时需提供此类项目以往服务案例效果，案例效果包含但不</w:t>
            </w:r>
          </w:p>
          <w:p>
            <w:pPr>
              <w:keepNext w:val="0"/>
              <w:keepLines w:val="0"/>
              <w:widowControl/>
              <w:suppressLineNumbers w:val="0"/>
              <w:jc w:val="center"/>
              <w:textAlignment w:val="center"/>
              <w:rPr>
                <w:rFonts w:hint="eastAsia" w:ascii="宋体" w:hAnsi="宋体" w:cs="宋体"/>
                <w:color w:val="000000"/>
                <w:kern w:val="0"/>
                <w:sz w:val="24"/>
                <w:u w:val="none"/>
                <w:lang w:bidi="ar"/>
              </w:rPr>
            </w:pPr>
            <w:r>
              <w:rPr>
                <w:rFonts w:hint="eastAsia" w:ascii="宋体" w:hAnsi="宋体" w:eastAsia="宋体" w:cs="宋体"/>
                <w:color w:val="000000"/>
                <w:kern w:val="0"/>
                <w:sz w:val="24"/>
                <w:szCs w:val="24"/>
                <w:u w:val="none"/>
                <w:lang w:val="en-US" w:eastAsia="zh-CN" w:bidi="ar"/>
              </w:rPr>
              <w:t>限于 UI 界面呈现、互动模块呈现等，其中需包含至少 1 家知名</w:t>
            </w:r>
          </w:p>
          <w:p>
            <w:pPr>
              <w:widowControl/>
              <w:spacing w:line="240" w:lineRule="auto"/>
              <w:jc w:val="center"/>
              <w:textAlignment w:val="center"/>
              <w:rPr>
                <w:rFonts w:ascii="宋体" w:hAnsi="宋体" w:cs="宋体"/>
                <w:color w:val="000000"/>
                <w:kern w:val="0"/>
                <w:sz w:val="24"/>
                <w:lang w:eastAsia="zh-Hans" w:bidi="ar"/>
              </w:rPr>
            </w:pPr>
            <w:r>
              <w:rPr>
                <w:rFonts w:hint="eastAsia" w:ascii="宋体" w:hAnsi="宋体" w:eastAsia="宋体" w:cs="宋体"/>
                <w:color w:val="000000"/>
                <w:kern w:val="0"/>
                <w:sz w:val="24"/>
                <w:szCs w:val="24"/>
                <w:u w:val="none"/>
                <w:lang w:val="en-US" w:eastAsia="zh-CN" w:bidi="ar"/>
              </w:rPr>
              <w:t>企业或上市公司的服务案例。</w:t>
            </w: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bookmarkStart w:id="10" w:name="_GoBack"/>
      <w:bookmarkEnd w:id="10"/>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475472674"/>
      <w:bookmarkStart w:id="5" w:name="_Toc54357656"/>
      <w:bookmarkStart w:id="6"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64495099"/>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650653782"/>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344362128"/>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8835209"/>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676240132"/>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新媒体展示中心内容升级及硬件维护服务项目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：ND25040028GZ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34146941"/>
      <w:bookmarkStart w:id="8" w:name="_Toc475472676"/>
      <w:bookmarkStart w:id="9" w:name="_Toc1651903"/>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p/>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7417178"/>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新媒体展示中心内容升级及硬件维护服务项目（项目编号：ND25040028GZ）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532E966E"/>
    <w:multiLevelType w:val="singleLevel"/>
    <w:tmpl w:val="532E966E"/>
    <w:lvl w:ilvl="0" w:tentative="0">
      <w:start w:val="3"/>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C5E6FD3"/>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4F0AEF"/>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4008BC"/>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 w:val="FFF58D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12</Pages>
  <Words>501</Words>
  <Characters>2857</Characters>
  <Lines>23</Lines>
  <Paragraphs>6</Paragraphs>
  <TotalTime>24</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2021-01-24T22:22:00Z</dcterms:created>
  <dc:creator>MIIT</dc:creator>
  <cp:lastModifiedBy>yangyuqi</cp:lastModifiedBy>
  <cp:lastPrinted>2021-06-11T16:09:00Z</cp:lastPrinted>
  <dcterms:modified xsi:type="dcterms:W3CDTF">2025-04-28T06:35:28Z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A07834ACD76D46C1BAA0A96D70E4B22E</vt:lpwstr>
  </property>
</Properties>
</file>