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cs="Times New Roman"/>
          <w:spacing w:val="40"/>
          <w:sz w:val="52"/>
        </w:rPr>
        <w:t>品牌影响力</w:t>
      </w:r>
      <w:r>
        <w:rPr>
          <w:rFonts w:hint="eastAsia" w:ascii="黑体" w:hAnsi="黑体" w:eastAsia="黑体" w:cs="Times New Roman"/>
          <w:spacing w:val="40"/>
          <w:sz w:val="52"/>
          <w:lang w:val="en-US" w:eastAsia="zh-CN"/>
        </w:rPr>
        <w:t>执行项目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项目编号：ND2508007</w:t>
      </w:r>
      <w:r>
        <w:rPr>
          <w:rFonts w:hint="eastAsia" w:ascii="黑体" w:hAnsi="黑体" w:eastAsia="黑体"/>
          <w:spacing w:val="40"/>
          <w:sz w:val="44"/>
          <w:szCs w:val="44"/>
          <w:lang w:val="en-US" w:eastAsia="zh-CN"/>
        </w:rPr>
        <w:t>6</w:t>
      </w:r>
      <w:r>
        <w:rPr>
          <w:rFonts w:hint="eastAsia" w:ascii="黑体" w:hAnsi="黑体" w:eastAsia="黑体"/>
          <w:spacing w:val="40"/>
          <w:sz w:val="44"/>
          <w:szCs w:val="44"/>
        </w:rPr>
        <w:t>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w:t>
      </w:r>
      <w:r>
        <w:rPr>
          <w:rFonts w:hint="eastAsia" w:ascii="宋体" w:hAnsi="宋体" w:eastAsia="宋体" w:cs="Times New Roman"/>
          <w:bCs/>
          <w:sz w:val="24"/>
        </w:rPr>
        <w:t>读品牌影响力</w:t>
      </w:r>
      <w:r>
        <w:rPr>
          <w:rFonts w:hint="eastAsia" w:ascii="宋体" w:hAnsi="宋体" w:eastAsia="宋体" w:cs="Times New Roman"/>
          <w:bCs/>
          <w:sz w:val="24"/>
          <w:lang w:val="en-US" w:eastAsia="zh-CN"/>
        </w:rPr>
        <w:t>执行项目</w:t>
      </w:r>
      <w:r>
        <w:rPr>
          <w:rFonts w:hint="eastAsia" w:ascii="宋体" w:hAnsi="宋体" w:eastAsia="宋体" w:cs="Times New Roman"/>
          <w:bCs/>
          <w:sz w:val="24"/>
        </w:rPr>
        <w:t>采购公</w:t>
      </w:r>
      <w:r>
        <w:rPr>
          <w:rFonts w:hint="eastAsia"/>
          <w:bCs/>
          <w:sz w:val="24"/>
        </w:rPr>
        <w:t>告及附件（项目编号：</w:t>
      </w:r>
      <w:r>
        <w:rPr>
          <w:rFonts w:hint="eastAsia"/>
          <w:bCs/>
          <w:sz w:val="24"/>
          <w:u w:val="single"/>
        </w:rPr>
        <w:t>ND2508007</w:t>
      </w:r>
      <w:r>
        <w:rPr>
          <w:rFonts w:hint="eastAsia"/>
          <w:bCs/>
          <w:sz w:val="24"/>
          <w:u w:val="single"/>
          <w:lang w:val="en-US" w:eastAsia="zh-CN"/>
        </w:rPr>
        <w:t>6</w:t>
      </w:r>
      <w:r>
        <w:rPr>
          <w:rFonts w:hint="eastAsia"/>
          <w:bCs/>
          <w:sz w:val="24"/>
          <w:u w:val="single"/>
        </w:rPr>
        <w:t>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color w:val="FF0000"/>
                <w:sz w:val="24"/>
              </w:rPr>
            </w:pPr>
            <w:r>
              <w:rPr>
                <w:rFonts w:hint="eastAsia" w:ascii="宋体" w:hAnsi="宋体" w:cs="仿宋"/>
                <w:color w:val="FF0000"/>
                <w:sz w:val="24"/>
              </w:rPr>
              <w:t>2.服务地点：</w:t>
            </w:r>
            <w:r>
              <w:rPr>
                <w:rFonts w:hint="eastAsia" w:ascii="宋体" w:hAnsi="宋体" w:cs="仿宋"/>
                <w:color w:val="FF0000"/>
                <w:sz w:val="24"/>
                <w:lang w:val="en-US" w:eastAsia="zh-CN"/>
              </w:rPr>
              <w:t>广东省</w:t>
            </w:r>
            <w:r>
              <w:rPr>
                <w:rFonts w:hint="eastAsia" w:ascii="宋体" w:hAnsi="宋体" w:cs="仿宋"/>
                <w:color w:val="FF0000"/>
                <w:sz w:val="24"/>
              </w:rPr>
              <w:t>。</w:t>
            </w:r>
          </w:p>
          <w:p>
            <w:pPr>
              <w:ind w:firstLine="480" w:firstLineChars="200"/>
              <w:rPr>
                <w:rFonts w:ascii="宋体" w:hAnsi="宋体" w:cs="仿宋"/>
                <w:color w:val="FF0000"/>
                <w:sz w:val="24"/>
              </w:rPr>
            </w:pPr>
            <w:r>
              <w:rPr>
                <w:rFonts w:hint="eastAsia" w:ascii="宋体" w:hAnsi="宋体" w:cs="仿宋"/>
                <w:color w:val="FF0000"/>
                <w:sz w:val="24"/>
              </w:rPr>
              <w:t>3.付款方式：预留合同总额的</w:t>
            </w:r>
            <w:r>
              <w:rPr>
                <w:rFonts w:hint="eastAsia" w:ascii="宋体" w:hAnsi="宋体" w:cs="仿宋"/>
                <w:color w:val="FF0000"/>
                <w:sz w:val="24"/>
                <w:lang w:val="en-US" w:eastAsia="zh-CN"/>
              </w:rPr>
              <w:t>5</w:t>
            </w:r>
            <w:r>
              <w:rPr>
                <w:rFonts w:hint="eastAsia" w:ascii="宋体" w:hAnsi="宋体" w:cs="仿宋"/>
                <w:color w:val="FF0000"/>
                <w:sz w:val="24"/>
              </w:rPr>
              <w:t>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hint="eastAsia" w:ascii="宋体" w:hAnsi="宋体" w:eastAsia="宋体" w:cs="Times New Roman"/>
          <w:bCs/>
          <w:sz w:val="24"/>
        </w:rPr>
        <w:t>品牌影响力</w:t>
      </w:r>
      <w:r>
        <w:rPr>
          <w:rFonts w:hint="eastAsia" w:ascii="宋体" w:hAnsi="宋体" w:eastAsia="宋体" w:cs="Times New Roman"/>
          <w:bCs/>
          <w:sz w:val="24"/>
          <w:lang w:val="en-US" w:eastAsia="zh-CN"/>
        </w:rPr>
        <w:t>执行项目</w:t>
      </w:r>
      <w:r>
        <w:rPr>
          <w:rFonts w:hint="eastAsia" w:cs="宋体"/>
          <w:bCs/>
          <w:sz w:val="24"/>
        </w:rPr>
        <w:t>采购公告及附件（项目编号：ND2508007</w:t>
      </w:r>
      <w:r>
        <w:rPr>
          <w:rFonts w:hint="eastAsia" w:cs="宋体"/>
          <w:bCs/>
          <w:sz w:val="24"/>
          <w:lang w:val="en-US" w:eastAsia="zh-CN"/>
        </w:rPr>
        <w:t>6</w:t>
      </w:r>
      <w:r>
        <w:rPr>
          <w:rFonts w:hint="eastAsia" w:cs="宋体"/>
          <w:bCs/>
          <w:sz w:val="24"/>
        </w:rPr>
        <w:t>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val="0"/>
                <w:bCs w:val="0"/>
                <w:color w:val="000000"/>
                <w:sz w:val="28"/>
                <w:szCs w:val="28"/>
                <w:lang w:eastAsia="zh-Hans"/>
              </w:rPr>
            </w:pPr>
            <w:r>
              <w:rPr>
                <w:rFonts w:hint="eastAsia" w:ascii="仿宋" w:hAnsi="仿宋" w:eastAsia="仿宋" w:cs="仿宋"/>
                <w:b w:val="0"/>
                <w:bCs w:val="0"/>
                <w:i w:val="0"/>
                <w:iCs w:val="0"/>
                <w:color w:val="000000"/>
                <w:kern w:val="0"/>
                <w:sz w:val="28"/>
                <w:szCs w:val="28"/>
                <w:u w:val="none"/>
                <w:lang w:val="en-US" w:eastAsia="zh-CN" w:bidi="ar"/>
              </w:rPr>
              <w:t>场地租赁</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在广东省内著名地标、知名商圈、创意园区等相关场地至少120平方米并能支撑活动仪式场地，服务周期至少包含2天/处，含搭建、彩排、正式执行及撤场。费用包含但不限于场地租赁费用、管理费、安保费、垃圾费等。</w:t>
            </w:r>
          </w:p>
          <w:p>
            <w:pPr>
              <w:widowControl/>
              <w:jc w:val="left"/>
              <w:textAlignment w:val="center"/>
              <w:rPr>
                <w:rFonts w:hint="eastAsia" w:ascii="仿宋" w:hAnsi="仿宋" w:eastAsia="仿宋" w:cs="仿宋"/>
                <w:b w:val="0"/>
                <w:bCs w:val="0"/>
                <w:color w:val="000000"/>
                <w:kern w:val="0"/>
                <w:sz w:val="28"/>
                <w:szCs w:val="28"/>
                <w:lang w:bidi="ar"/>
              </w:rPr>
            </w:pPr>
            <w:r>
              <w:rPr>
                <w:rFonts w:hint="eastAsia" w:ascii="仿宋" w:hAnsi="仿宋" w:eastAsia="仿宋" w:cs="仿宋"/>
                <w:b w:val="0"/>
                <w:bCs w:val="0"/>
                <w:i w:val="0"/>
                <w:iCs w:val="0"/>
                <w:color w:val="000000"/>
                <w:kern w:val="0"/>
                <w:sz w:val="28"/>
                <w:szCs w:val="28"/>
                <w:u w:val="none"/>
                <w:lang w:val="en-US" w:eastAsia="zh-CN" w:bidi="ar"/>
              </w:rPr>
              <w:t>*报价需提供备选场地信息。</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3处</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val="0"/>
                <w:bCs w:val="0"/>
                <w:color w:val="000000"/>
                <w:kern w:val="0"/>
                <w:sz w:val="24"/>
                <w:szCs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val="0"/>
                <w:bCs w:val="0"/>
                <w:color w:val="000000"/>
                <w:kern w:val="0"/>
                <w:sz w:val="24"/>
                <w:szCs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2</w:t>
            </w:r>
          </w:p>
        </w:tc>
        <w:tc>
          <w:tcPr>
            <w:tcW w:w="167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val="0"/>
                <w:bCs w:val="0"/>
                <w:i w:val="0"/>
                <w:iCs w:val="0"/>
                <w:color w:val="000000"/>
                <w:kern w:val="0"/>
                <w:sz w:val="28"/>
                <w:szCs w:val="28"/>
                <w:u w:val="none"/>
                <w:lang w:val="en-US" w:eastAsia="zh-Hans" w:bidi="ar"/>
              </w:rPr>
            </w:pPr>
            <w:r>
              <w:rPr>
                <w:rFonts w:hint="eastAsia" w:ascii="仿宋" w:hAnsi="仿宋" w:eastAsia="仿宋" w:cs="仿宋"/>
                <w:b w:val="0"/>
                <w:bCs w:val="0"/>
                <w:i w:val="0"/>
                <w:iCs w:val="0"/>
                <w:color w:val="000000"/>
                <w:kern w:val="0"/>
                <w:sz w:val="28"/>
                <w:szCs w:val="28"/>
                <w:u w:val="none"/>
                <w:lang w:val="en-US" w:eastAsia="zh-CN" w:bidi="ar"/>
              </w:rPr>
              <w:t>场地搭建</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3场活动每场会场搭建，要求：</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（1）满足至少120平米面积的布置需求；</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（2）LED分辨率1920*1080，根据场地实际情况调整；</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（3）活动主舞台搭建：根据场地情况搭建；</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（4）观众席互动区：至少容纳50个人流动的空间；</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（5）YME YOGA-X YG-70线阵全频音箱2个、MPower Ti-115a 补音音箱（配套功放）1个、专业无线讲台麦2个、AMS 麦克风信号放大器1个，以上配备可选同档次器材；</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（6）配备专业屏控师、音控师、灯光师活动全程跟进，包括彩排日和执行日共2天；</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（7）电源箱：POWER 250A 及周边设备2个，根据场地实际情况调整；</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（8）1套专业PPT翻页笔。</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*具体要求可根据实际情况有所调整。</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3场</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3</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val="0"/>
                <w:bCs w:val="0"/>
                <w:i w:val="0"/>
                <w:iCs w:val="0"/>
                <w:color w:val="000000"/>
                <w:kern w:val="0"/>
                <w:sz w:val="28"/>
                <w:szCs w:val="28"/>
                <w:u w:val="none"/>
                <w:lang w:val="en-US" w:eastAsia="zh-Hans" w:bidi="ar"/>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2场活动每场物料制作搭建，要求：</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1）结合场地实际情况做氛围物料：1块背景板或签到处（1块黑底喷绘3.5x2.5m）、1个合影打卡区（长6m*高3m）及相关物料、1个品牌美陈摊位、3个指引装置：易拉宝指引牌（宽0.8m*高2m）或T型场地指引桁架（宽0.8m*高2m）、4个麦盒（长28cm*高7cm）、30张A5主持人手卡（300g哑粉纸）、10个嘉宾台卡（长20cm*10cm）、1副讲台包边、20个工作证等。具体要求可根据实际情况有所调整。</w:t>
            </w:r>
          </w:p>
          <w:p>
            <w:pPr>
              <w:widowControl/>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（2）奖励小礼品，为活动现场参与观众提供200份小礼物用于奖励。</w:t>
            </w:r>
          </w:p>
          <w:p>
            <w:pPr>
              <w:widowControl/>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（3）提供</w:t>
            </w:r>
            <w:r>
              <w:rPr>
                <w:rFonts w:hint="default" w:ascii="仿宋" w:hAnsi="仿宋" w:eastAsia="仿宋" w:cs="仿宋"/>
                <w:b w:val="0"/>
                <w:bCs w:val="0"/>
                <w:i w:val="0"/>
                <w:iCs w:val="0"/>
                <w:color w:val="000000"/>
                <w:kern w:val="0"/>
                <w:sz w:val="28"/>
                <w:szCs w:val="28"/>
                <w:u w:val="none"/>
                <w:lang w:val="en-US" w:eastAsia="zh-CN" w:bidi="ar"/>
              </w:rPr>
              <w:t>1</w:t>
            </w:r>
            <w:r>
              <w:rPr>
                <w:rFonts w:hint="eastAsia" w:ascii="仿宋" w:hAnsi="仿宋" w:eastAsia="仿宋" w:cs="仿宋"/>
                <w:b w:val="0"/>
                <w:bCs w:val="0"/>
                <w:i w:val="0"/>
                <w:iCs w:val="0"/>
                <w:color w:val="000000"/>
                <w:kern w:val="0"/>
                <w:sz w:val="28"/>
                <w:szCs w:val="28"/>
                <w:u w:val="none"/>
                <w:lang w:val="en-US" w:eastAsia="zh-CN" w:bidi="ar"/>
              </w:rPr>
              <w:t>0箱怡宝纯净水，每箱24瓶（550ml/瓶）。</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*具体要求可根据实际情况有所调整。</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2场</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4</w:t>
            </w:r>
          </w:p>
        </w:tc>
        <w:tc>
          <w:tcPr>
            <w:tcW w:w="1671"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val="0"/>
                <w:bCs w:val="0"/>
                <w:i w:val="0"/>
                <w:iCs w:val="0"/>
                <w:color w:val="000000"/>
                <w:kern w:val="0"/>
                <w:sz w:val="28"/>
                <w:szCs w:val="28"/>
                <w:u w:val="none"/>
                <w:lang w:val="en-US" w:eastAsia="zh-Hans" w:bidi="ar"/>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1场活动物料制作搭建，要求：</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1）结合场地实际情况做氛围物料：1块背景板或签到处（1块黑底喷绘3.5x2.5m，户外多配重）、1个合影打卡区（长6m*高3m）及相关物料、1个品牌美陈摊位、3个指引装置：易拉宝指引牌（宽0.8m*高2m）或T型场地指引桁架（宽0.8m*高2m）、20个工作证等。具体要求可根据实际情况调整。</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（2）奖励小礼品，为活动现场参与观众提供300份小礼物用于奖励。</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（3）互动游戏装置及物料，具体要求根据场地及活动内容设计制作。</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（4）提供10箱怡宝纯净水，每箱24瓶（550ml/瓶）。</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*具体要求可根据实际情况有所调整。</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1场</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5</w:t>
            </w:r>
          </w:p>
        </w:tc>
        <w:tc>
          <w:tcPr>
            <w:tcW w:w="167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val="0"/>
                <w:bCs w:val="0"/>
                <w:i w:val="0"/>
                <w:iCs w:val="0"/>
                <w:color w:val="000000"/>
                <w:kern w:val="0"/>
                <w:sz w:val="28"/>
                <w:szCs w:val="28"/>
                <w:u w:val="none"/>
                <w:lang w:val="en-US" w:eastAsia="zh-Hans" w:bidi="ar"/>
              </w:rPr>
            </w:pPr>
            <w:r>
              <w:rPr>
                <w:rFonts w:hint="eastAsia" w:ascii="仿宋" w:hAnsi="仿宋" w:eastAsia="仿宋" w:cs="仿宋"/>
                <w:b w:val="0"/>
                <w:bCs w:val="0"/>
                <w:i w:val="0"/>
                <w:iCs w:val="0"/>
                <w:color w:val="000000"/>
                <w:kern w:val="0"/>
                <w:sz w:val="28"/>
                <w:szCs w:val="28"/>
                <w:u w:val="none"/>
                <w:lang w:val="en-US" w:eastAsia="zh-CN" w:bidi="ar"/>
              </w:rPr>
              <w:t>人员外请</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2场活动每场聘请1位专业化妆师，负责主持人、嘉宾等化妆需求。</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2场</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6</w:t>
            </w:r>
          </w:p>
        </w:tc>
        <w:tc>
          <w:tcPr>
            <w:tcW w:w="1671" w:type="dxa"/>
            <w:vMerge w:val="continue"/>
            <w:tcBorders>
              <w:left w:val="single" w:color="auto" w:sz="4" w:space="0"/>
              <w:right w:val="single" w:color="auto" w:sz="4" w:space="0"/>
            </w:tcBorders>
            <w:vAlign w:val="center"/>
          </w:tcPr>
          <w:p>
            <w:pPr>
              <w:widowControl/>
              <w:jc w:val="center"/>
              <w:textAlignment w:val="center"/>
              <w:rPr>
                <w:rFonts w:hint="default" w:ascii="仿宋" w:hAnsi="仿宋" w:eastAsia="仿宋" w:cs="仿宋"/>
                <w:b w:val="0"/>
                <w:bCs w:val="0"/>
                <w:i w:val="0"/>
                <w:iCs w:val="0"/>
                <w:color w:val="000000"/>
                <w:kern w:val="0"/>
                <w:sz w:val="28"/>
                <w:szCs w:val="28"/>
                <w:u w:val="none"/>
                <w:lang w:val="en-US" w:eastAsia="zh-CN" w:bidi="ar"/>
              </w:rPr>
            </w:pPr>
          </w:p>
        </w:tc>
        <w:tc>
          <w:tcPr>
            <w:tcW w:w="3672" w:type="dxa"/>
            <w:tcBorders>
              <w:top w:val="single" w:color="auto" w:sz="4" w:space="0"/>
              <w:left w:val="single" w:color="auto" w:sz="4" w:space="0"/>
              <w:bottom w:val="single" w:color="auto" w:sz="4" w:space="0"/>
              <w:right w:val="single" w:color="auto" w:sz="4" w:space="0"/>
            </w:tcBorders>
            <w:vAlign w:val="top"/>
          </w:tcPr>
          <w:p>
            <w:pPr>
              <w:widowControl/>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2场活动每场聘请2位专业礼仪，女生，身高165-170cm，有大型活动经验，外形姣好，半天彩排，半天活动。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4人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7</w:t>
            </w:r>
          </w:p>
        </w:tc>
        <w:tc>
          <w:tcPr>
            <w:tcW w:w="1671" w:type="dxa"/>
            <w:vMerge w:val="continue"/>
            <w:tcBorders>
              <w:left w:val="single" w:color="auto" w:sz="4" w:space="0"/>
              <w:right w:val="single" w:color="auto" w:sz="4" w:space="0"/>
            </w:tcBorders>
            <w:vAlign w:val="center"/>
          </w:tcPr>
          <w:p>
            <w:pPr>
              <w:widowControl/>
              <w:jc w:val="center"/>
              <w:textAlignment w:val="center"/>
              <w:rPr>
                <w:rFonts w:hint="default" w:ascii="仿宋" w:hAnsi="仿宋" w:eastAsia="仿宋" w:cs="仿宋"/>
                <w:b w:val="0"/>
                <w:bCs w:val="0"/>
                <w:i w:val="0"/>
                <w:iCs w:val="0"/>
                <w:color w:val="000000"/>
                <w:kern w:val="0"/>
                <w:sz w:val="28"/>
                <w:szCs w:val="28"/>
                <w:u w:val="none"/>
                <w:lang w:val="en-US" w:eastAsia="zh-CN" w:bidi="ar"/>
              </w:rPr>
            </w:pPr>
          </w:p>
        </w:tc>
        <w:tc>
          <w:tcPr>
            <w:tcW w:w="3672" w:type="dxa"/>
            <w:tcBorders>
              <w:top w:val="single" w:color="auto" w:sz="4" w:space="0"/>
              <w:left w:val="single" w:color="auto" w:sz="4" w:space="0"/>
              <w:bottom w:val="single" w:color="auto" w:sz="4" w:space="0"/>
              <w:right w:val="single" w:color="auto" w:sz="4" w:space="0"/>
            </w:tcBorders>
            <w:vAlign w:val="top"/>
          </w:tcPr>
          <w:p>
            <w:pPr>
              <w:widowControl/>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2场活动每场聘请1位速记人员，持证上岗，活动结束后1小时内提供速记稿。</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8</w:t>
            </w:r>
          </w:p>
        </w:tc>
        <w:tc>
          <w:tcPr>
            <w:tcW w:w="1671" w:type="dxa"/>
            <w:vMerge w:val="continue"/>
            <w:tcBorders>
              <w:left w:val="single" w:color="auto" w:sz="4" w:space="0"/>
              <w:right w:val="single" w:color="auto" w:sz="4" w:space="0"/>
            </w:tcBorders>
            <w:vAlign w:val="center"/>
          </w:tcPr>
          <w:p>
            <w:pPr>
              <w:widowControl/>
              <w:jc w:val="center"/>
              <w:textAlignment w:val="center"/>
              <w:rPr>
                <w:rFonts w:hint="default" w:ascii="仿宋" w:hAnsi="仿宋" w:eastAsia="仿宋" w:cs="仿宋"/>
                <w:b w:val="0"/>
                <w:bCs w:val="0"/>
                <w:i w:val="0"/>
                <w:iCs w:val="0"/>
                <w:color w:val="000000"/>
                <w:kern w:val="0"/>
                <w:sz w:val="28"/>
                <w:szCs w:val="28"/>
                <w:u w:val="none"/>
                <w:lang w:val="en-US" w:eastAsia="zh-CN" w:bidi="ar"/>
              </w:rPr>
            </w:pPr>
          </w:p>
        </w:tc>
        <w:tc>
          <w:tcPr>
            <w:tcW w:w="3672" w:type="dxa"/>
            <w:tcBorders>
              <w:top w:val="single" w:color="auto" w:sz="4" w:space="0"/>
              <w:left w:val="single" w:color="auto" w:sz="4" w:space="0"/>
              <w:bottom w:val="single" w:color="auto" w:sz="4" w:space="0"/>
              <w:right w:val="single" w:color="auto" w:sz="4" w:space="0"/>
            </w:tcBorders>
            <w:vAlign w:val="top"/>
          </w:tcPr>
          <w:p>
            <w:pPr>
              <w:widowControl/>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3场活动每场聘请2位摄影师，对现场进行拍摄，并提供云相册活动直播服务，现场作即时精修并上传照片。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9</w:t>
            </w:r>
          </w:p>
        </w:tc>
        <w:tc>
          <w:tcPr>
            <w:tcW w:w="1671" w:type="dxa"/>
            <w:vMerge w:val="continue"/>
            <w:tcBorders>
              <w:left w:val="single" w:color="auto" w:sz="4" w:space="0"/>
              <w:right w:val="single" w:color="auto" w:sz="4" w:space="0"/>
            </w:tcBorders>
            <w:vAlign w:val="center"/>
          </w:tcPr>
          <w:p>
            <w:pPr>
              <w:widowControl/>
              <w:jc w:val="center"/>
              <w:textAlignment w:val="center"/>
              <w:rPr>
                <w:rFonts w:hint="default" w:ascii="仿宋" w:hAnsi="仿宋" w:eastAsia="仿宋" w:cs="仿宋"/>
                <w:b w:val="0"/>
                <w:bCs w:val="0"/>
                <w:i w:val="0"/>
                <w:iCs w:val="0"/>
                <w:color w:val="000000"/>
                <w:kern w:val="0"/>
                <w:sz w:val="28"/>
                <w:szCs w:val="28"/>
                <w:u w:val="none"/>
                <w:lang w:val="en-US" w:eastAsia="zh-CN" w:bidi="ar"/>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嘉宾邀请，2场活动每场邀请2人：</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各行业头部企业、新锐独立品牌的市场或创意总监以上级别，以及艺术、文化、科技、经济等领域的先锋人士，在职国内高校教授以上职级或营销类研究院/协会秘书长以上级别，围绕艺术研讨、兴趣沙龙、实践拓展等形式开展内容共创与创意活动。需配合活动落地时间、地点，担任活动致辞、主题演讲等环节嘉宾。</w:t>
            </w:r>
            <w:r>
              <w:rPr>
                <w:rFonts w:hint="eastAsia" w:ascii="仿宋" w:hAnsi="仿宋" w:eastAsia="仿宋" w:cs="仿宋"/>
                <w:b w:val="0"/>
                <w:bCs w:val="0"/>
                <w:i w:val="0"/>
                <w:iCs w:val="0"/>
                <w:color w:val="000000"/>
                <w:kern w:val="0"/>
                <w:sz w:val="28"/>
                <w:szCs w:val="28"/>
                <w:u w:val="none"/>
                <w:lang w:val="en-US" w:eastAsia="zh-CN" w:bidi="ar"/>
              </w:rPr>
              <w:br w:type="textWrapping"/>
            </w:r>
            <w:r>
              <w:rPr>
                <w:rFonts w:hint="eastAsia" w:ascii="仿宋" w:hAnsi="仿宋" w:eastAsia="仿宋" w:cs="仿宋"/>
                <w:b w:val="0"/>
                <w:bCs w:val="0"/>
                <w:i w:val="0"/>
                <w:iCs w:val="0"/>
                <w:color w:val="000000"/>
                <w:kern w:val="0"/>
                <w:sz w:val="28"/>
                <w:szCs w:val="28"/>
                <w:u w:val="none"/>
                <w:lang w:val="en-US" w:eastAsia="zh-CN" w:bidi="ar"/>
              </w:rPr>
              <w:t>（报价时需提供嘉宾名单、简介等信息，最终名单需甲方审定）</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4人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10</w:t>
            </w:r>
          </w:p>
        </w:tc>
        <w:tc>
          <w:tcPr>
            <w:tcW w:w="1671"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b w:val="0"/>
                <w:bCs w:val="0"/>
                <w:i w:val="0"/>
                <w:iCs w:val="0"/>
                <w:color w:val="000000"/>
                <w:kern w:val="0"/>
                <w:sz w:val="28"/>
                <w:szCs w:val="28"/>
                <w:u w:val="none"/>
                <w:lang w:val="en-US" w:eastAsia="zh-CN" w:bidi="ar"/>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2场活动每场邀请2位嘉宾的市内交通、餐饮费用。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4人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ascii="宋体" w:hAnsi="宋体" w:eastAsia="宋体" w:cs="Times New Roman"/>
            <w:b/>
            <w:sz w:val="24"/>
            <w:szCs w:val="24"/>
            <w:u w:val="single"/>
          </w:rPr>
          <w:id w:val="1617331647"/>
          <w:placeholder>
            <w:docPart w:val="{245689e8-5361-4a81-b5d0-76b881d68fa4}"/>
          </w:placeholder>
        </w:sdtPr>
        <w:sdtEndPr>
          <w:rPr>
            <w:rFonts w:hint="eastAsia" w:ascii="宋体" w:hAnsi="宋体" w:eastAsia="宋体" w:cs="Times New Roman"/>
            <w:b/>
            <w:sz w:val="24"/>
            <w:szCs w:val="24"/>
            <w:u w:val="single"/>
          </w:rPr>
        </w:sdtEndPr>
        <w:sdtContent>
          <w:sdt>
            <w:sdtPr>
              <w:rPr>
                <w:rFonts w:hint="eastAsia" w:ascii="宋体" w:hAnsi="宋体" w:eastAsia="宋体" w:cs="Times New Roman"/>
                <w:b/>
                <w:sz w:val="24"/>
                <w:szCs w:val="24"/>
                <w:u w:val="single"/>
              </w:rPr>
              <w:id w:val="-996184509"/>
              <w:placeholder>
                <w:docPart w:val="{ad9a8dcd-f673-4773-b4d4-1615365111f4}"/>
              </w:placeholder>
            </w:sdtPr>
            <w:sdtEndPr>
              <w:rPr>
                <w:rFonts w:hint="eastAsia" w:ascii="宋体" w:hAnsi="宋体" w:eastAsia="宋体" w:cs="Times New Roman"/>
                <w:b/>
                <w:sz w:val="24"/>
                <w:szCs w:val="24"/>
                <w:u w:val="single"/>
              </w:rPr>
            </w:sdtEndPr>
            <w:sdtContent>
              <w:sdt>
                <w:sdtPr>
                  <w:rPr>
                    <w:rFonts w:hint="eastAsia" w:ascii="宋体" w:hAnsi="宋体" w:eastAsia="宋体" w:cs="Times New Roman"/>
                    <w:b/>
                    <w:sz w:val="24"/>
                    <w:szCs w:val="24"/>
                    <w:u w:val="single"/>
                  </w:rPr>
                  <w:id w:val="354386547"/>
                  <w:placeholder>
                    <w:docPart w:val="{349632e7-bef6-45e2-a75d-ae49161ce43c}"/>
                  </w:placeholder>
                </w:sdtPr>
                <w:sdtEndPr>
                  <w:rPr>
                    <w:rFonts w:hint="default" w:ascii="宋体" w:hAnsi="宋体" w:eastAsia="宋体" w:cs="Times New Roman"/>
                    <w:b/>
                    <w:spacing w:val="40"/>
                    <w:sz w:val="24"/>
                    <w:szCs w:val="24"/>
                    <w:u w:val="single"/>
                  </w:rPr>
                </w:sdtEndPr>
                <w:sdtContent>
                  <w:sdt>
                    <w:sdtPr>
                      <w:rPr>
                        <w:rFonts w:hint="eastAsia" w:ascii="宋体" w:hAnsi="宋体" w:eastAsia="宋体" w:cs="Times New Roman"/>
                        <w:b/>
                        <w:sz w:val="24"/>
                        <w:szCs w:val="24"/>
                        <w:u w:val="single"/>
                      </w:rPr>
                      <w:id w:val="1806660619"/>
                      <w:placeholder>
                        <w:docPart w:val="{82c6c319-665d-4861-a79c-394c15da13fb}"/>
                      </w:placeholder>
                    </w:sdtPr>
                    <w:sdtEndPr>
                      <w:rPr>
                        <w:rFonts w:hint="default" w:ascii="宋体" w:hAnsi="宋体" w:eastAsia="宋体" w:cs="Times New Roman"/>
                        <w:b/>
                        <w:spacing w:val="40"/>
                        <w:sz w:val="24"/>
                        <w:szCs w:val="24"/>
                        <w:u w:val="single"/>
                      </w:rPr>
                    </w:sdtEndPr>
                    <w:sdtContent>
                      <w:r>
                        <w:rPr>
                          <w:rFonts w:hint="eastAsia" w:ascii="宋体" w:hAnsi="宋体" w:eastAsia="宋体" w:cs="Times New Roman"/>
                          <w:b/>
                          <w:sz w:val="24"/>
                          <w:szCs w:val="24"/>
                          <w:u w:val="single"/>
                        </w:rPr>
                        <w:t>品牌影响力</w:t>
                      </w:r>
                      <w:r>
                        <w:rPr>
                          <w:rFonts w:hint="eastAsia" w:ascii="宋体" w:hAnsi="宋体" w:eastAsia="宋体" w:cs="Times New Roman"/>
                          <w:b/>
                          <w:sz w:val="24"/>
                          <w:szCs w:val="24"/>
                          <w:u w:val="single"/>
                          <w:lang w:val="en-US" w:eastAsia="zh-CN"/>
                        </w:rPr>
                        <w:t>执行项目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：ND2508007</w:t>
          </w:r>
          <w:r>
            <w:rPr>
              <w:rFonts w:hint="eastAsia" w:hAnsi="宋体"/>
              <w:b/>
              <w:sz w:val="24"/>
              <w:szCs w:val="24"/>
              <w:u w:val="single"/>
              <w:lang w:val="en-US" w:eastAsia="zh-CN"/>
            </w:rPr>
            <w:t>6</w:t>
          </w:r>
          <w:bookmarkStart w:id="9" w:name="_GoBack"/>
          <w:bookmarkEnd w:id="9"/>
          <w:r>
            <w:rPr>
              <w:rFonts w:hint="eastAsia" w:hAnsi="宋体"/>
              <w:b/>
              <w:sz w:val="24"/>
              <w:szCs w:val="24"/>
              <w:u w:val="single"/>
            </w:rPr>
            <w:t>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34146941"/>
      <w:bookmarkStart w:id="7" w:name="_Toc1651903"/>
      <w:bookmarkStart w:id="8" w:name="_Toc475472676"/>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eastAsia="宋体" w:cs="宋体"/>
      </w:rPr>
      <w:t>品牌影响力</w:t>
    </w:r>
    <w:r>
      <w:rPr>
        <w:rFonts w:hint="eastAsia" w:ascii="宋体" w:hAnsi="宋体" w:eastAsia="宋体" w:cs="宋体"/>
        <w:lang w:val="en-US" w:eastAsia="zh-CN"/>
      </w:rPr>
      <w:t>执行项目</w:t>
    </w:r>
    <w:r>
      <w:rPr>
        <w:rFonts w:hint="eastAsia" w:ascii="宋体" w:hAnsi="宋体" w:cs="宋体"/>
      </w:rPr>
      <w:t>（项目编号：ND2508007</w:t>
    </w:r>
    <w:r>
      <w:rPr>
        <w:rFonts w:hint="eastAsia" w:ascii="宋体" w:hAnsi="宋体" w:cs="宋体"/>
        <w:lang w:val="en-US" w:eastAsia="zh-CN"/>
      </w:rPr>
      <w:t>6</w:t>
    </w:r>
    <w:r>
      <w:rPr>
        <w:rFonts w:hint="eastAsia" w:ascii="宋体" w:hAnsi="宋体" w:cs="宋体"/>
      </w:rPr>
      <w:t>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557695"/>
    <w:rsid w:val="07C17E77"/>
    <w:rsid w:val="07FE3355"/>
    <w:rsid w:val="08527B4E"/>
    <w:rsid w:val="08A93718"/>
    <w:rsid w:val="08AF6AF4"/>
    <w:rsid w:val="090302DE"/>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455CC3"/>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185055"/>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620FCF"/>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9834DA9"/>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AE6451"/>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B0644B"/>
    <w:rsid w:val="64FC117B"/>
    <w:rsid w:val="659870B5"/>
    <w:rsid w:val="65A75C0C"/>
    <w:rsid w:val="65DB7995"/>
    <w:rsid w:val="660A378F"/>
    <w:rsid w:val="66377EC1"/>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B833FE"/>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2333D1"/>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6</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chendzhi</cp:lastModifiedBy>
  <cp:lastPrinted>2021-06-11T08:09:00Z</cp:lastPrinted>
  <dcterms:modified xsi:type="dcterms:W3CDTF">2025-08-12T10:14:08Z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1AD383A48ECD4919816730A0C4A921FE</vt:lpwstr>
  </property>
</Properties>
</file>