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仿宋_GB2312" w:eastAsia="仿宋_GB2312"/>
          <w:color w:val="auto"/>
          <w:sz w:val="28"/>
          <w:szCs w:val="28"/>
          <w:highlight w:val="none"/>
        </w:rPr>
      </w:pPr>
    </w:p>
    <w:p>
      <w:pPr>
        <w:spacing w:line="360" w:lineRule="auto"/>
        <w:ind w:left="1418" w:leftChars="-67" w:hanging="1559" w:hangingChars="557"/>
        <w:rPr>
          <w:rFonts w:ascii="黑体" w:eastAsia="黑体"/>
          <w:color w:val="auto"/>
          <w:sz w:val="28"/>
          <w:szCs w:val="28"/>
          <w:highlight w:val="none"/>
        </w:rPr>
      </w:pPr>
      <w:r>
        <w:rPr>
          <w:rFonts w:hint="eastAsia" w:ascii="黑体" w:eastAsia="黑体"/>
          <w:color w:val="auto"/>
          <w:sz w:val="28"/>
          <w:szCs w:val="28"/>
          <w:highlight w:val="none"/>
        </w:rPr>
        <w:t xml:space="preserve"> 项目名称：</w:t>
      </w:r>
      <w:bookmarkStart w:id="0" w:name="OLE_LINK7"/>
      <w:r>
        <w:rPr>
          <w:rFonts w:hint="eastAsia" w:ascii="黑体" w:eastAsia="黑体"/>
          <w:color w:val="auto"/>
          <w:sz w:val="28"/>
          <w:szCs w:val="28"/>
          <w:highlight w:val="none"/>
          <w:u w:val="single"/>
        </w:rPr>
        <w:t>南方报业传媒集团大院2025-2026年保洁服务</w:t>
      </w:r>
    </w:p>
    <w:bookmarkEnd w:id="0"/>
    <w:p>
      <w:pPr>
        <w:spacing w:line="360" w:lineRule="auto"/>
        <w:rPr>
          <w:color w:val="auto"/>
          <w:sz w:val="28"/>
          <w:szCs w:val="28"/>
          <w:highlight w:val="none"/>
        </w:rPr>
      </w:pPr>
      <w:r>
        <w:rPr>
          <w:rFonts w:hint="eastAsia" w:ascii="黑体" w:eastAsia="黑体"/>
          <w:color w:val="auto"/>
          <w:sz w:val="28"/>
          <w:szCs w:val="28"/>
          <w:highlight w:val="none"/>
        </w:rPr>
        <w:t>项目编号：ZB202503</w:t>
      </w: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32"/>
          <w:szCs w:val="32"/>
          <w:highlight w:val="none"/>
        </w:rPr>
      </w:pPr>
    </w:p>
    <w:p>
      <w:pPr>
        <w:spacing w:line="360" w:lineRule="auto"/>
        <w:jc w:val="center"/>
        <w:rPr>
          <w:rFonts w:ascii="黑体" w:eastAsia="黑体"/>
          <w:color w:val="auto"/>
          <w:sz w:val="48"/>
          <w:szCs w:val="48"/>
          <w:highlight w:val="none"/>
        </w:rPr>
      </w:pPr>
      <w:r>
        <w:rPr>
          <w:rFonts w:hint="eastAsia" w:ascii="黑体" w:eastAsia="黑体"/>
          <w:color w:val="auto"/>
          <w:sz w:val="48"/>
          <w:szCs w:val="48"/>
          <w:highlight w:val="none"/>
        </w:rPr>
        <w:t>招标文件</w:t>
      </w: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r>
        <w:rPr>
          <w:color w:val="auto"/>
          <w:highlight w:val="none"/>
        </w:rPr>
        <w:t xml:space="preserve"> </w:t>
      </w: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招标人：</w:t>
      </w:r>
      <w:r>
        <w:rPr>
          <w:rFonts w:hint="eastAsia" w:ascii="黑体" w:eastAsia="黑体"/>
          <w:color w:val="auto"/>
          <w:sz w:val="28"/>
          <w:szCs w:val="28"/>
          <w:highlight w:val="none"/>
          <w:u w:val="single"/>
        </w:rPr>
        <w:t>广东南方报业传媒集团物业管理有限公司</w:t>
      </w: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u w:val="single"/>
        </w:rPr>
        <w:t>2025</w:t>
      </w:r>
      <w:r>
        <w:rPr>
          <w:rFonts w:hint="eastAsia" w:ascii="黑体" w:eastAsia="黑体"/>
          <w:color w:val="auto"/>
          <w:sz w:val="28"/>
          <w:szCs w:val="28"/>
          <w:highlight w:val="none"/>
        </w:rPr>
        <w:t>年</w:t>
      </w:r>
      <w:r>
        <w:rPr>
          <w:rFonts w:hint="eastAsia" w:ascii="黑体" w:eastAsia="黑体"/>
          <w:color w:val="auto"/>
          <w:sz w:val="28"/>
          <w:szCs w:val="28"/>
          <w:highlight w:val="none"/>
          <w:u w:val="single"/>
        </w:rPr>
        <w:t>5</w:t>
      </w:r>
      <w:r>
        <w:rPr>
          <w:rFonts w:hint="eastAsia" w:ascii="黑体" w:eastAsia="黑体"/>
          <w:color w:val="auto"/>
          <w:sz w:val="28"/>
          <w:szCs w:val="28"/>
          <w:highlight w:val="none"/>
        </w:rPr>
        <w:t>月</w:t>
      </w:r>
      <w:bookmarkStart w:id="1" w:name="_Toc152042286"/>
      <w:bookmarkStart w:id="2" w:name="_Toc144974478"/>
    </w:p>
    <w:bookmarkEnd w:id="1"/>
    <w:bookmarkEnd w:id="2"/>
    <w:p>
      <w:pPr>
        <w:rPr>
          <w:color w:val="auto"/>
          <w:highlight w:val="none"/>
        </w:rPr>
      </w:pPr>
      <w:bookmarkStart w:id="3" w:name="_Toc152045511"/>
      <w:bookmarkStart w:id="4" w:name="_Toc246996157"/>
      <w:bookmarkStart w:id="5" w:name="_Toc247085671"/>
      <w:bookmarkStart w:id="6" w:name="_Toc144974479"/>
      <w:bookmarkStart w:id="7" w:name="_Toc435178351"/>
      <w:bookmarkStart w:id="8" w:name="_Toc436215708"/>
      <w:bookmarkStart w:id="9" w:name="_Toc179632527"/>
      <w:bookmarkStart w:id="10" w:name="_Toc247096243"/>
      <w:bookmarkStart w:id="11" w:name="_Toc246996900"/>
      <w:bookmarkStart w:id="12" w:name="_Toc152042287"/>
      <w:bookmarkStart w:id="13" w:name="_Toc496601918"/>
    </w:p>
    <w:p>
      <w:pPr>
        <w:pStyle w:val="75"/>
        <w:jc w:val="center"/>
        <w:rPr>
          <w:rFonts w:hint="eastAsia" w:ascii="宋体" w:hAnsi="宋体" w:cs="宋体"/>
          <w:color w:val="auto"/>
          <w:highlight w:val="none"/>
          <w:lang w:val="zh-CN"/>
        </w:rPr>
      </w:pPr>
      <w:bookmarkStart w:id="14" w:name="_Toc13057"/>
      <w:bookmarkStart w:id="15" w:name="_Toc32496"/>
      <w:bookmarkStart w:id="16" w:name="_Toc21258"/>
      <w:bookmarkStart w:id="17" w:name="_Toc1919"/>
      <w:bookmarkStart w:id="18" w:name="_Toc26568"/>
      <w:bookmarkStart w:id="19" w:name="_Toc10561"/>
      <w:bookmarkStart w:id="20" w:name="_Toc1557"/>
      <w:bookmarkStart w:id="21" w:name="_Toc6205"/>
    </w:p>
    <w:bookmarkEnd w:id="14"/>
    <w:bookmarkEnd w:id="15"/>
    <w:bookmarkEnd w:id="16"/>
    <w:bookmarkEnd w:id="17"/>
    <w:bookmarkEnd w:id="18"/>
    <w:bookmarkEnd w:id="19"/>
    <w:bookmarkEnd w:id="20"/>
    <w:bookmarkEnd w:id="21"/>
    <w:sdt>
      <w:sdtPr>
        <w:rPr>
          <w:rFonts w:ascii="宋体" w:hAnsi="宋体"/>
          <w:color w:val="auto"/>
          <w:highlight w:val="none"/>
        </w:rPr>
        <w:id w:val="147451354"/>
        <w15:color w:val="DBDBDB"/>
        <w:docPartObj>
          <w:docPartGallery w:val="Table of Contents"/>
          <w:docPartUnique/>
        </w:docPartObj>
      </w:sdtPr>
      <w:sdtEndPr>
        <w:rPr>
          <w:rFonts w:ascii="Times New Roman" w:hAnsi="Times New Roman"/>
          <w:color w:val="auto"/>
          <w:highlight w:val="none"/>
        </w:rPr>
      </w:sdtEndPr>
      <w:sdtContent>
        <w:p>
          <w:pPr>
            <w:jc w:val="center"/>
            <w:rPr>
              <w:color w:val="auto"/>
              <w:highlight w:val="none"/>
            </w:rPr>
          </w:pPr>
          <w:r>
            <w:rPr>
              <w:rFonts w:ascii="宋体" w:hAnsi="宋体"/>
              <w:b/>
              <w:bCs/>
              <w:color w:val="auto"/>
              <w:highlight w:val="none"/>
            </w:rPr>
            <w:t>目录</w:t>
          </w:r>
        </w:p>
        <w:p>
          <w:pPr>
            <w:pStyle w:val="28"/>
            <w:tabs>
              <w:tab w:val="right" w:leader="dot" w:pos="8312"/>
            </w:tabs>
          </w:pPr>
          <w:r>
            <w:rPr>
              <w:color w:val="auto"/>
              <w:highlight w:val="none"/>
            </w:rPr>
            <w:fldChar w:fldCharType="begin"/>
          </w:r>
          <w:r>
            <w:rPr>
              <w:color w:val="auto"/>
              <w:highlight w:val="none"/>
            </w:rPr>
            <w:instrText xml:space="preserve">TOC \o "1-2" \h \u </w:instrText>
          </w:r>
          <w:r>
            <w:rPr>
              <w:color w:val="auto"/>
              <w:highlight w:val="none"/>
            </w:rPr>
            <w:fldChar w:fldCharType="separate"/>
          </w:r>
          <w:r>
            <w:rPr>
              <w:color w:val="auto"/>
              <w:highlight w:val="none"/>
            </w:rPr>
            <w:fldChar w:fldCharType="begin"/>
          </w:r>
          <w:r>
            <w:rPr>
              <w:highlight w:val="none"/>
            </w:rPr>
            <w:instrText xml:space="preserve"> HYPERLINK \l _Toc13773 </w:instrText>
          </w:r>
          <w:r>
            <w:rPr>
              <w:highlight w:val="none"/>
            </w:rPr>
            <w:fldChar w:fldCharType="separate"/>
          </w:r>
          <w:r>
            <w:rPr>
              <w:highlight w:val="none"/>
            </w:rPr>
            <w:t>第一章 招标公告</w:t>
          </w:r>
          <w:r>
            <w:tab/>
          </w:r>
          <w:r>
            <w:fldChar w:fldCharType="begin"/>
          </w:r>
          <w:r>
            <w:instrText xml:space="preserve"> PAGEREF _Toc13773 \h </w:instrText>
          </w:r>
          <w:r>
            <w:fldChar w:fldCharType="separate"/>
          </w:r>
          <w:r>
            <w:t>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_Toc25395 </w:instrText>
          </w:r>
          <w:r>
            <w:rPr>
              <w:highlight w:val="none"/>
            </w:rPr>
            <w:fldChar w:fldCharType="separate"/>
          </w:r>
          <w:r>
            <w:rPr>
              <w:highlight w:val="none"/>
            </w:rPr>
            <w:t>1. 招标条件</w:t>
          </w:r>
          <w:r>
            <w:tab/>
          </w:r>
          <w:r>
            <w:fldChar w:fldCharType="begin"/>
          </w:r>
          <w:r>
            <w:instrText xml:space="preserve"> PAGEREF _Toc25395 \h </w:instrText>
          </w:r>
          <w:r>
            <w:fldChar w:fldCharType="separate"/>
          </w:r>
          <w:r>
            <w:t>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_Toc10872 </w:instrText>
          </w:r>
          <w:r>
            <w:rPr>
              <w:highlight w:val="none"/>
            </w:rPr>
            <w:fldChar w:fldCharType="separate"/>
          </w:r>
          <w:r>
            <w:rPr>
              <w:highlight w:val="none"/>
            </w:rPr>
            <w:t xml:space="preserve">2. </w:t>
          </w:r>
          <w:r>
            <w:rPr>
              <w:rFonts w:hint="eastAsia"/>
              <w:highlight w:val="none"/>
            </w:rPr>
            <w:t>项目概况与招标范围</w:t>
          </w:r>
          <w:r>
            <w:tab/>
          </w:r>
          <w:r>
            <w:fldChar w:fldCharType="begin"/>
          </w:r>
          <w:r>
            <w:instrText xml:space="preserve"> PAGEREF _Toc10872 \h </w:instrText>
          </w:r>
          <w:r>
            <w:fldChar w:fldCharType="separate"/>
          </w:r>
          <w:r>
            <w:t>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_Toc7995 </w:instrText>
          </w:r>
          <w:r>
            <w:rPr>
              <w:highlight w:val="none"/>
            </w:rPr>
            <w:fldChar w:fldCharType="separate"/>
          </w:r>
          <w:r>
            <w:rPr>
              <w:rFonts w:hint="eastAsia"/>
              <w:highlight w:val="none"/>
            </w:rPr>
            <w:t>3</w:t>
          </w:r>
          <w:r>
            <w:rPr>
              <w:highlight w:val="none"/>
            </w:rPr>
            <w:t>.</w:t>
          </w:r>
          <w:r>
            <w:rPr>
              <w:rFonts w:hint="eastAsia"/>
              <w:highlight w:val="none"/>
            </w:rPr>
            <w:t xml:space="preserve"> </w:t>
          </w:r>
          <w:r>
            <w:rPr>
              <w:highlight w:val="none"/>
            </w:rPr>
            <w:t>投标人资格要求</w:t>
          </w:r>
          <w:r>
            <w:tab/>
          </w:r>
          <w:r>
            <w:fldChar w:fldCharType="begin"/>
          </w:r>
          <w:r>
            <w:instrText xml:space="preserve"> PAGEREF _Toc7995 \h </w:instrText>
          </w:r>
          <w:r>
            <w:fldChar w:fldCharType="separate"/>
          </w:r>
          <w:r>
            <w:t>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_Toc7213 </w:instrText>
          </w:r>
          <w:r>
            <w:rPr>
              <w:highlight w:val="none"/>
            </w:rPr>
            <w:fldChar w:fldCharType="separate"/>
          </w:r>
          <w:r>
            <w:rPr>
              <w:rFonts w:hint="eastAsia"/>
              <w:highlight w:val="none"/>
            </w:rPr>
            <w:t>4. 招标文件的获取</w:t>
          </w:r>
          <w:r>
            <w:tab/>
          </w:r>
          <w:r>
            <w:fldChar w:fldCharType="begin"/>
          </w:r>
          <w:r>
            <w:instrText xml:space="preserve"> PAGEREF _Toc7213 \h </w:instrText>
          </w:r>
          <w:r>
            <w:fldChar w:fldCharType="separate"/>
          </w:r>
          <w:r>
            <w:t>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_Toc8920 </w:instrText>
          </w:r>
          <w:r>
            <w:rPr>
              <w:highlight w:val="none"/>
            </w:rPr>
            <w:fldChar w:fldCharType="separate"/>
          </w:r>
          <w:r>
            <w:rPr>
              <w:rFonts w:hint="eastAsia"/>
              <w:highlight w:val="none"/>
            </w:rPr>
            <w:t>5</w:t>
          </w:r>
          <w:r>
            <w:rPr>
              <w:highlight w:val="none"/>
            </w:rPr>
            <w:t>.</w:t>
          </w:r>
          <w:r>
            <w:rPr>
              <w:rFonts w:hint="eastAsia"/>
              <w:highlight w:val="none"/>
            </w:rPr>
            <w:t>投标文件递交</w:t>
          </w:r>
          <w:r>
            <w:tab/>
          </w:r>
          <w:r>
            <w:fldChar w:fldCharType="begin"/>
          </w:r>
          <w:r>
            <w:instrText xml:space="preserve"> PAGEREF _Toc8920 \h </w:instrText>
          </w:r>
          <w:r>
            <w:fldChar w:fldCharType="separate"/>
          </w:r>
          <w:r>
            <w:t>5</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_Toc10434 </w:instrText>
          </w:r>
          <w:r>
            <w:rPr>
              <w:highlight w:val="none"/>
            </w:rPr>
            <w:fldChar w:fldCharType="separate"/>
          </w:r>
          <w:r>
            <w:rPr>
              <w:rFonts w:hint="eastAsia"/>
              <w:highlight w:val="none"/>
            </w:rPr>
            <w:t>6. 开标时间与地点</w:t>
          </w:r>
          <w:r>
            <w:tab/>
          </w:r>
          <w:r>
            <w:fldChar w:fldCharType="begin"/>
          </w:r>
          <w:r>
            <w:instrText xml:space="preserve"> PAGEREF _Toc10434 \h </w:instrText>
          </w:r>
          <w:r>
            <w:fldChar w:fldCharType="separate"/>
          </w:r>
          <w:r>
            <w:t>5</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_Toc20980 </w:instrText>
          </w:r>
          <w:r>
            <w:rPr>
              <w:highlight w:val="none"/>
            </w:rPr>
            <w:fldChar w:fldCharType="separate"/>
          </w:r>
          <w:r>
            <w:rPr>
              <w:rFonts w:hint="eastAsia"/>
              <w:highlight w:val="none"/>
            </w:rPr>
            <w:t>7. 发布公告的媒介</w:t>
          </w:r>
          <w:r>
            <w:tab/>
          </w:r>
          <w:r>
            <w:fldChar w:fldCharType="begin"/>
          </w:r>
          <w:r>
            <w:instrText xml:space="preserve"> PAGEREF _Toc20980 \h </w:instrText>
          </w:r>
          <w:r>
            <w:fldChar w:fldCharType="separate"/>
          </w:r>
          <w:r>
            <w:t>5</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_Toc19323 </w:instrText>
          </w:r>
          <w:r>
            <w:rPr>
              <w:highlight w:val="none"/>
            </w:rPr>
            <w:fldChar w:fldCharType="separate"/>
          </w:r>
          <w:r>
            <w:rPr>
              <w:rFonts w:hint="eastAsia"/>
              <w:highlight w:val="none"/>
            </w:rPr>
            <w:t>8</w:t>
          </w:r>
          <w:r>
            <w:rPr>
              <w:highlight w:val="none"/>
            </w:rPr>
            <w:t>. 联系方式</w:t>
          </w:r>
          <w:r>
            <w:tab/>
          </w:r>
          <w:r>
            <w:fldChar w:fldCharType="begin"/>
          </w:r>
          <w:r>
            <w:instrText xml:space="preserve"> PAGEREF _Toc19323 \h </w:instrText>
          </w:r>
          <w:r>
            <w:fldChar w:fldCharType="separate"/>
          </w:r>
          <w:r>
            <w:t>6</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_Toc19901 </w:instrText>
          </w:r>
          <w:r>
            <w:rPr>
              <w:highlight w:val="none"/>
            </w:rPr>
            <w:fldChar w:fldCharType="separate"/>
          </w:r>
          <w:r>
            <w:rPr>
              <w:rFonts w:hint="eastAsia"/>
              <w:highlight w:val="none"/>
            </w:rPr>
            <w:t>第二章 投标人须知</w:t>
          </w:r>
          <w:r>
            <w:tab/>
          </w:r>
          <w:r>
            <w:fldChar w:fldCharType="begin"/>
          </w:r>
          <w:r>
            <w:instrText xml:space="preserve"> PAGEREF _Toc19901 \h </w:instrText>
          </w:r>
          <w:r>
            <w:fldChar w:fldCharType="separate"/>
          </w:r>
          <w:r>
            <w:t>8</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_Toc20453 </w:instrText>
          </w:r>
          <w:r>
            <w:rPr>
              <w:highlight w:val="none"/>
            </w:rPr>
            <w:fldChar w:fldCharType="separate"/>
          </w:r>
          <w:r>
            <w:rPr>
              <w:rFonts w:hint="eastAsia"/>
              <w:highlight w:val="none"/>
            </w:rPr>
            <w:t>投标人须知前附表</w:t>
          </w:r>
          <w:r>
            <w:tab/>
          </w:r>
          <w:r>
            <w:fldChar w:fldCharType="begin"/>
          </w:r>
          <w:r>
            <w:instrText xml:space="preserve"> PAGEREF _Toc20453 \h </w:instrText>
          </w:r>
          <w:r>
            <w:fldChar w:fldCharType="separate"/>
          </w:r>
          <w:r>
            <w:t>8</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_Toc28246 </w:instrText>
          </w:r>
          <w:r>
            <w:rPr>
              <w:highlight w:val="none"/>
            </w:rPr>
            <w:fldChar w:fldCharType="separate"/>
          </w:r>
          <w:r>
            <w:rPr>
              <w:rFonts w:hint="eastAsia"/>
              <w:highlight w:val="none"/>
            </w:rPr>
            <w:t>1. 总则</w:t>
          </w:r>
          <w:r>
            <w:tab/>
          </w:r>
          <w:r>
            <w:fldChar w:fldCharType="begin"/>
          </w:r>
          <w:r>
            <w:instrText xml:space="preserve"> PAGEREF _Toc28246 \h </w:instrText>
          </w:r>
          <w:r>
            <w:fldChar w:fldCharType="separate"/>
          </w:r>
          <w:r>
            <w:t>11</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_Toc9522 </w:instrText>
          </w:r>
          <w:r>
            <w:rPr>
              <w:highlight w:val="none"/>
            </w:rPr>
            <w:fldChar w:fldCharType="separate"/>
          </w:r>
          <w:r>
            <w:rPr>
              <w:rFonts w:hint="eastAsia"/>
              <w:highlight w:val="none"/>
            </w:rPr>
            <w:t>2. 招标文件</w:t>
          </w:r>
          <w:r>
            <w:tab/>
          </w:r>
          <w:r>
            <w:fldChar w:fldCharType="begin"/>
          </w:r>
          <w:r>
            <w:instrText xml:space="preserve"> PAGEREF _Toc9522 \h </w:instrText>
          </w:r>
          <w:r>
            <w:fldChar w:fldCharType="separate"/>
          </w:r>
          <w:r>
            <w:t>12</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_Toc1863 </w:instrText>
          </w:r>
          <w:r>
            <w:rPr>
              <w:highlight w:val="none"/>
            </w:rPr>
            <w:fldChar w:fldCharType="separate"/>
          </w:r>
          <w:r>
            <w:rPr>
              <w:rFonts w:hint="eastAsia"/>
              <w:highlight w:val="none"/>
            </w:rPr>
            <w:t>3. 投标文件</w:t>
          </w:r>
          <w:r>
            <w:tab/>
          </w:r>
          <w:r>
            <w:fldChar w:fldCharType="begin"/>
          </w:r>
          <w:r>
            <w:instrText xml:space="preserve"> PAGEREF _Toc1863 \h </w:instrText>
          </w:r>
          <w:r>
            <w:fldChar w:fldCharType="separate"/>
          </w:r>
          <w:r>
            <w:t>14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_Toc21889 </w:instrText>
          </w:r>
          <w:r>
            <w:rPr>
              <w:highlight w:val="none"/>
            </w:rPr>
            <w:fldChar w:fldCharType="separate"/>
          </w:r>
          <w:r>
            <w:rPr>
              <w:rFonts w:hint="eastAsia"/>
              <w:highlight w:val="none"/>
            </w:rPr>
            <w:t>4. 投标</w:t>
          </w:r>
          <w:r>
            <w:tab/>
          </w:r>
          <w:r>
            <w:fldChar w:fldCharType="begin"/>
          </w:r>
          <w:r>
            <w:instrText xml:space="preserve"> PAGEREF _Toc21889 \h </w:instrText>
          </w:r>
          <w:r>
            <w:fldChar w:fldCharType="separate"/>
          </w:r>
          <w:r>
            <w:t>16</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_Toc13332 </w:instrText>
          </w:r>
          <w:r>
            <w:rPr>
              <w:highlight w:val="none"/>
            </w:rPr>
            <w:fldChar w:fldCharType="separate"/>
          </w:r>
          <w:r>
            <w:rPr>
              <w:rFonts w:hint="eastAsia"/>
              <w:highlight w:val="none"/>
            </w:rPr>
            <w:t>5. 开标</w:t>
          </w:r>
          <w:r>
            <w:tab/>
          </w:r>
          <w:r>
            <w:fldChar w:fldCharType="begin"/>
          </w:r>
          <w:r>
            <w:instrText xml:space="preserve"> PAGEREF _Toc13332 \h </w:instrText>
          </w:r>
          <w:r>
            <w:fldChar w:fldCharType="separate"/>
          </w:r>
          <w:r>
            <w:t>17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_Toc2182 </w:instrText>
          </w:r>
          <w:r>
            <w:rPr>
              <w:highlight w:val="none"/>
            </w:rPr>
            <w:fldChar w:fldCharType="separate"/>
          </w:r>
          <w:r>
            <w:rPr>
              <w:rFonts w:hint="eastAsia"/>
              <w:highlight w:val="none"/>
            </w:rPr>
            <w:t>6.评标</w:t>
          </w:r>
          <w:r>
            <w:tab/>
          </w:r>
          <w:r>
            <w:fldChar w:fldCharType="begin"/>
          </w:r>
          <w:r>
            <w:instrText xml:space="preserve"> PAGEREF _Toc2182 \h </w:instrText>
          </w:r>
          <w:r>
            <w:fldChar w:fldCharType="separate"/>
          </w:r>
          <w:r>
            <w:t>18</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_Toc5860 </w:instrText>
          </w:r>
          <w:r>
            <w:rPr>
              <w:highlight w:val="none"/>
            </w:rPr>
            <w:fldChar w:fldCharType="separate"/>
          </w:r>
          <w:r>
            <w:rPr>
              <w:rFonts w:hint="eastAsia"/>
              <w:highlight w:val="none"/>
            </w:rPr>
            <w:t>7. 合同授予</w:t>
          </w:r>
          <w:r>
            <w:tab/>
          </w:r>
          <w:r>
            <w:fldChar w:fldCharType="begin"/>
          </w:r>
          <w:r>
            <w:instrText xml:space="preserve"> PAGEREF _Toc5860 \h </w:instrText>
          </w:r>
          <w:r>
            <w:fldChar w:fldCharType="separate"/>
          </w:r>
          <w:r>
            <w:t>19</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_Toc29724 </w:instrText>
          </w:r>
          <w:r>
            <w:rPr>
              <w:highlight w:val="none"/>
            </w:rPr>
            <w:fldChar w:fldCharType="separate"/>
          </w:r>
          <w:r>
            <w:rPr>
              <w:rFonts w:hint="eastAsia"/>
              <w:highlight w:val="none"/>
            </w:rPr>
            <w:t>8. 纪律和监督</w:t>
          </w:r>
          <w:r>
            <w:tab/>
          </w:r>
          <w:r>
            <w:fldChar w:fldCharType="begin"/>
          </w:r>
          <w:r>
            <w:instrText xml:space="preserve"> PAGEREF _Toc29724 \h </w:instrText>
          </w:r>
          <w:r>
            <w:fldChar w:fldCharType="separate"/>
          </w:r>
          <w:r>
            <w:t>20</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_Toc299 </w:instrText>
          </w:r>
          <w:r>
            <w:rPr>
              <w:highlight w:val="none"/>
            </w:rPr>
            <w:fldChar w:fldCharType="separate"/>
          </w:r>
          <w:r>
            <w:rPr>
              <w:rFonts w:hint="eastAsia"/>
              <w:highlight w:val="none"/>
            </w:rPr>
            <w:t>附件一：开标记录表</w:t>
          </w:r>
          <w:r>
            <w:tab/>
          </w:r>
          <w:r>
            <w:fldChar w:fldCharType="begin"/>
          </w:r>
          <w:r>
            <w:instrText xml:space="preserve"> PAGEREF _Toc299 \h </w:instrText>
          </w:r>
          <w:r>
            <w:fldChar w:fldCharType="separate"/>
          </w:r>
          <w:r>
            <w:t>22</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_Toc29391 </w:instrText>
          </w:r>
          <w:r>
            <w:rPr>
              <w:highlight w:val="none"/>
            </w:rPr>
            <w:fldChar w:fldCharType="separate"/>
          </w:r>
          <w:r>
            <w:rPr>
              <w:rFonts w:hint="eastAsia"/>
              <w:highlight w:val="none"/>
            </w:rPr>
            <w:t>第三章 评标办法（综合评分法）</w:t>
          </w:r>
          <w:r>
            <w:tab/>
          </w:r>
          <w:r>
            <w:fldChar w:fldCharType="begin"/>
          </w:r>
          <w:r>
            <w:instrText xml:space="preserve"> PAGEREF _Toc29391 \h </w:instrText>
          </w:r>
          <w:r>
            <w:fldChar w:fldCharType="separate"/>
          </w:r>
          <w:r>
            <w:t>23</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_Toc32416 </w:instrText>
          </w:r>
          <w:r>
            <w:rPr>
              <w:highlight w:val="none"/>
            </w:rPr>
            <w:fldChar w:fldCharType="separate"/>
          </w:r>
          <w:r>
            <w:rPr>
              <w:rFonts w:hint="eastAsia" w:ascii="Arial" w:hAnsi="Arial" w:eastAsia="黑体"/>
              <w:bCs/>
              <w:szCs w:val="32"/>
              <w:highlight w:val="none"/>
            </w:rPr>
            <w:t>1. 评标方法</w:t>
          </w:r>
          <w:r>
            <w:tab/>
          </w:r>
          <w:r>
            <w:fldChar w:fldCharType="begin"/>
          </w:r>
          <w:r>
            <w:instrText xml:space="preserve"> PAGEREF _Toc32416 \h </w:instrText>
          </w:r>
          <w:r>
            <w:fldChar w:fldCharType="separate"/>
          </w:r>
          <w:r>
            <w:t>23</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_Toc30566 </w:instrText>
          </w:r>
          <w:r>
            <w:rPr>
              <w:highlight w:val="none"/>
            </w:rPr>
            <w:fldChar w:fldCharType="separate"/>
          </w:r>
          <w:r>
            <w:rPr>
              <w:rFonts w:ascii="Arial" w:hAnsi="Arial" w:eastAsia="黑体"/>
              <w:bCs/>
              <w:szCs w:val="32"/>
              <w:highlight w:val="none"/>
            </w:rPr>
            <w:t>2. 评审标准</w:t>
          </w:r>
          <w:r>
            <w:tab/>
          </w:r>
          <w:r>
            <w:fldChar w:fldCharType="begin"/>
          </w:r>
          <w:r>
            <w:instrText xml:space="preserve"> PAGEREF _Toc30566 \h </w:instrText>
          </w:r>
          <w:r>
            <w:fldChar w:fldCharType="separate"/>
          </w:r>
          <w:r>
            <w:t>23</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_Toc15639 </w:instrText>
          </w:r>
          <w:r>
            <w:rPr>
              <w:highlight w:val="none"/>
            </w:rPr>
            <w:fldChar w:fldCharType="separate"/>
          </w:r>
          <w:r>
            <w:rPr>
              <w:rFonts w:hint="eastAsia" w:ascii="Arial" w:hAnsi="Arial" w:eastAsia="黑体"/>
              <w:bCs/>
              <w:szCs w:val="32"/>
              <w:highlight w:val="none"/>
            </w:rPr>
            <w:t>3. 评标程序</w:t>
          </w:r>
          <w:r>
            <w:tab/>
          </w:r>
          <w:r>
            <w:fldChar w:fldCharType="begin"/>
          </w:r>
          <w:r>
            <w:instrText xml:space="preserve"> PAGEREF _Toc15639 \h </w:instrText>
          </w:r>
          <w:r>
            <w:fldChar w:fldCharType="separate"/>
          </w:r>
          <w:r>
            <w:t>23</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_Toc3561 </w:instrText>
          </w:r>
          <w:r>
            <w:rPr>
              <w:highlight w:val="none"/>
            </w:rPr>
            <w:fldChar w:fldCharType="separate"/>
          </w:r>
          <w:r>
            <w:rPr>
              <w:rFonts w:hint="eastAsia" w:ascii="宋体" w:hAnsi="宋体" w:eastAsia="宋体" w:cs="宋体"/>
              <w:highlight w:val="none"/>
            </w:rPr>
            <w:t>附表一：《资格性和有效性审查表》</w:t>
          </w:r>
          <w:r>
            <w:tab/>
          </w:r>
          <w:r>
            <w:fldChar w:fldCharType="begin"/>
          </w:r>
          <w:r>
            <w:instrText xml:space="preserve"> PAGEREF _Toc3561 \h </w:instrText>
          </w:r>
          <w:r>
            <w:fldChar w:fldCharType="separate"/>
          </w:r>
          <w:r>
            <w:t>25</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_Toc24563 </w:instrText>
          </w:r>
          <w:r>
            <w:rPr>
              <w:highlight w:val="none"/>
            </w:rPr>
            <w:fldChar w:fldCharType="separate"/>
          </w:r>
          <w:r>
            <w:rPr>
              <w:rFonts w:hint="eastAsia"/>
              <w:kern w:val="0"/>
              <w:highlight w:val="none"/>
            </w:rPr>
            <w:t>附表二</w:t>
          </w:r>
          <w:r>
            <w:rPr>
              <w:rFonts w:hint="eastAsia" w:eastAsia="宋体"/>
              <w:kern w:val="0"/>
              <w:highlight w:val="none"/>
            </w:rPr>
            <w:t>：</w:t>
          </w:r>
          <w:r>
            <w:rPr>
              <w:rFonts w:hint="eastAsia"/>
              <w:kern w:val="0"/>
              <w:highlight w:val="none"/>
            </w:rPr>
            <w:t>《分值构成及评分标准》</w:t>
          </w:r>
          <w:r>
            <w:tab/>
          </w:r>
          <w:r>
            <w:fldChar w:fldCharType="begin"/>
          </w:r>
          <w:r>
            <w:instrText xml:space="preserve"> PAGEREF _Toc24563 \h </w:instrText>
          </w:r>
          <w:r>
            <w:fldChar w:fldCharType="separate"/>
          </w:r>
          <w:r>
            <w:t>25</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_Toc24001 </w:instrText>
          </w:r>
          <w:r>
            <w:rPr>
              <w:highlight w:val="none"/>
            </w:rPr>
            <w:fldChar w:fldCharType="separate"/>
          </w:r>
          <w:r>
            <w:rPr>
              <w:rFonts w:hint="eastAsia" w:ascii="宋体" w:hAnsi="宋体" w:eastAsia="宋体" w:cs="宋体"/>
              <w:szCs w:val="44"/>
              <w:highlight w:val="none"/>
            </w:rPr>
            <w:t xml:space="preserve">第四章 </w:t>
          </w:r>
          <w:r>
            <w:rPr>
              <w:rFonts w:hint="eastAsia"/>
              <w:highlight w:val="none"/>
            </w:rPr>
            <w:t>合同主要条款</w:t>
          </w:r>
          <w:r>
            <w:tab/>
          </w:r>
          <w:r>
            <w:fldChar w:fldCharType="begin"/>
          </w:r>
          <w:r>
            <w:instrText xml:space="preserve"> PAGEREF _Toc24001 \h </w:instrText>
          </w:r>
          <w:r>
            <w:fldChar w:fldCharType="separate"/>
          </w:r>
          <w:r>
            <w:t>29</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_Toc1094 </w:instrText>
          </w:r>
          <w:r>
            <w:rPr>
              <w:highlight w:val="none"/>
            </w:rPr>
            <w:fldChar w:fldCharType="separate"/>
          </w:r>
          <w:r>
            <w:rPr>
              <w:rFonts w:hint="eastAsia"/>
              <w:highlight w:val="none"/>
            </w:rPr>
            <w:t>1. 投标报价格式</w:t>
          </w:r>
          <w:r>
            <w:tab/>
          </w:r>
          <w:r>
            <w:fldChar w:fldCharType="begin"/>
          </w:r>
          <w:r>
            <w:instrText xml:space="preserve"> PAGEREF _Toc1094 \h </w:instrText>
          </w:r>
          <w:r>
            <w:fldChar w:fldCharType="separate"/>
          </w:r>
          <w:r>
            <w:t>44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_Toc32219 </w:instrText>
          </w:r>
          <w:r>
            <w:rPr>
              <w:highlight w:val="none"/>
            </w:rPr>
            <w:fldChar w:fldCharType="separate"/>
          </w:r>
          <w:r>
            <w:rPr>
              <w:rFonts w:hint="eastAsia"/>
              <w:highlight w:val="none"/>
            </w:rPr>
            <w:t>2. 投标报价说明</w:t>
          </w:r>
          <w:r>
            <w:tab/>
          </w:r>
          <w:r>
            <w:fldChar w:fldCharType="begin"/>
          </w:r>
          <w:r>
            <w:instrText xml:space="preserve"> PAGEREF _Toc32219 \h </w:instrText>
          </w:r>
          <w:r>
            <w:fldChar w:fldCharType="separate"/>
          </w:r>
          <w:r>
            <w:t>46</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_Toc8925 </w:instrText>
          </w:r>
          <w:r>
            <w:rPr>
              <w:highlight w:val="none"/>
            </w:rPr>
            <w:fldChar w:fldCharType="separate"/>
          </w:r>
          <w:r>
            <w:rPr>
              <w:rFonts w:hint="eastAsia"/>
              <w:highlight w:val="none"/>
            </w:rPr>
            <w:t>第六章  项目要求</w:t>
          </w:r>
          <w:r>
            <w:tab/>
          </w:r>
          <w:r>
            <w:fldChar w:fldCharType="begin"/>
          </w:r>
          <w:r>
            <w:instrText xml:space="preserve"> PAGEREF _Toc8925 \h </w:instrText>
          </w:r>
          <w:r>
            <w:fldChar w:fldCharType="separate"/>
          </w:r>
          <w:r>
            <w:t>47</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_Toc13056 </w:instrText>
          </w:r>
          <w:r>
            <w:rPr>
              <w:highlight w:val="none"/>
            </w:rPr>
            <w:fldChar w:fldCharType="separate"/>
          </w:r>
          <w:r>
            <w:rPr>
              <w:rFonts w:hint="eastAsia"/>
              <w:highlight w:val="none"/>
            </w:rPr>
            <w:t>第七章  投标文件格式</w:t>
          </w:r>
          <w:r>
            <w:tab/>
          </w:r>
          <w:r>
            <w:fldChar w:fldCharType="begin"/>
          </w:r>
          <w:r>
            <w:instrText xml:space="preserve"> PAGEREF _Toc13056 \h </w:instrText>
          </w:r>
          <w:r>
            <w:fldChar w:fldCharType="separate"/>
          </w:r>
          <w:r>
            <w:t>49</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_Toc10189 </w:instrText>
          </w:r>
          <w:r>
            <w:rPr>
              <w:highlight w:val="none"/>
            </w:rPr>
            <w:fldChar w:fldCharType="separate"/>
          </w:r>
          <w:r>
            <w:rPr>
              <w:rFonts w:hint="eastAsia"/>
              <w:highlight w:val="none"/>
            </w:rPr>
            <w:t>投标文件目录</w:t>
          </w:r>
          <w:r>
            <w:tab/>
          </w:r>
          <w:r>
            <w:fldChar w:fldCharType="begin"/>
          </w:r>
          <w:r>
            <w:instrText xml:space="preserve"> PAGEREF _Toc10189 \h </w:instrText>
          </w:r>
          <w:r>
            <w:fldChar w:fldCharType="separate"/>
          </w:r>
          <w:r>
            <w:t>50</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_Toc12728 </w:instrText>
          </w:r>
          <w:r>
            <w:rPr>
              <w:highlight w:val="none"/>
            </w:rPr>
            <w:fldChar w:fldCharType="separate"/>
          </w:r>
          <w:r>
            <w:rPr>
              <w:rFonts w:hint="eastAsia"/>
              <w:highlight w:val="none"/>
            </w:rPr>
            <w:t>一、资格审查文件（须附在投标文件前段位置中）</w:t>
          </w:r>
          <w:r>
            <w:tab/>
          </w:r>
          <w:r>
            <w:fldChar w:fldCharType="begin"/>
          </w:r>
          <w:r>
            <w:instrText xml:space="preserve"> PAGEREF _Toc12728 \h </w:instrText>
          </w:r>
          <w:r>
            <w:fldChar w:fldCharType="separate"/>
          </w:r>
          <w:r>
            <w:t>50</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_Toc4917 </w:instrText>
          </w:r>
          <w:r>
            <w:rPr>
              <w:highlight w:val="none"/>
            </w:rPr>
            <w:fldChar w:fldCharType="separate"/>
          </w:r>
          <w:r>
            <w:rPr>
              <w:rFonts w:hint="eastAsia"/>
              <w:highlight w:val="none"/>
            </w:rPr>
            <w:t>二、投标书正文</w:t>
          </w:r>
          <w:r>
            <w:tab/>
          </w:r>
          <w:r>
            <w:fldChar w:fldCharType="begin"/>
          </w:r>
          <w:r>
            <w:instrText xml:space="preserve"> PAGEREF _Toc4917 \h </w:instrText>
          </w:r>
          <w:r>
            <w:fldChar w:fldCharType="separate"/>
          </w:r>
          <w:r>
            <w:t>50</w:t>
          </w:r>
          <w:r>
            <w:fldChar w:fldCharType="end"/>
          </w:r>
          <w:r>
            <w:rPr>
              <w:color w:val="auto"/>
              <w:highlight w:val="none"/>
            </w:rPr>
            <w:fldChar w:fldCharType="end"/>
          </w:r>
        </w:p>
        <w:p>
          <w:pPr>
            <w:pStyle w:val="28"/>
            <w:tabs>
              <w:tab w:val="right" w:leader="dot" w:pos="8312"/>
            </w:tabs>
          </w:pPr>
          <w:r>
            <w:rPr>
              <w:color w:val="auto"/>
              <w:highlight w:val="none"/>
            </w:rPr>
            <w:fldChar w:fldCharType="begin"/>
          </w:r>
          <w:r>
            <w:rPr>
              <w:highlight w:val="none"/>
            </w:rPr>
            <w:instrText xml:space="preserve"> HYPERLINK \l _Toc2159 </w:instrText>
          </w:r>
          <w:r>
            <w:rPr>
              <w:highlight w:val="none"/>
            </w:rPr>
            <w:fldChar w:fldCharType="separate"/>
          </w:r>
          <w:r>
            <w:rPr>
              <w:rFonts w:hint="eastAsia"/>
              <w:szCs w:val="36"/>
              <w:highlight w:val="none"/>
            </w:rPr>
            <w:t>模板样式：</w:t>
          </w:r>
          <w:r>
            <w:tab/>
          </w:r>
          <w:r>
            <w:fldChar w:fldCharType="begin"/>
          </w:r>
          <w:r>
            <w:instrText xml:space="preserve"> PAGEREF _Toc2159 \h </w:instrText>
          </w:r>
          <w:r>
            <w:fldChar w:fldCharType="separate"/>
          </w:r>
          <w:r>
            <w:t>52</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_Toc21850 </w:instrText>
          </w:r>
          <w:r>
            <w:rPr>
              <w:highlight w:val="none"/>
            </w:rPr>
            <w:fldChar w:fldCharType="separate"/>
          </w:r>
          <w:r>
            <w:rPr>
              <w:highlight w:val="none"/>
            </w:rPr>
            <w:t>一、法定代表人证明</w:t>
          </w:r>
          <w:r>
            <w:rPr>
              <w:rFonts w:hint="eastAsia"/>
              <w:highlight w:val="none"/>
            </w:rPr>
            <w:t>书</w:t>
          </w:r>
          <w:r>
            <w:tab/>
          </w:r>
          <w:r>
            <w:fldChar w:fldCharType="begin"/>
          </w:r>
          <w:r>
            <w:instrText xml:space="preserve"> PAGEREF _Toc21850 \h </w:instrText>
          </w:r>
          <w:r>
            <w:fldChar w:fldCharType="separate"/>
          </w:r>
          <w:r>
            <w:t>52</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_Toc15299 </w:instrText>
          </w:r>
          <w:r>
            <w:rPr>
              <w:highlight w:val="none"/>
            </w:rPr>
            <w:fldChar w:fldCharType="separate"/>
          </w:r>
          <w:r>
            <w:rPr>
              <w:rFonts w:hint="eastAsia"/>
              <w:highlight w:val="none"/>
            </w:rPr>
            <w:t>二</w:t>
          </w:r>
          <w:r>
            <w:rPr>
              <w:highlight w:val="none"/>
            </w:rPr>
            <w:t>、投标函</w:t>
          </w:r>
          <w:r>
            <w:tab/>
          </w:r>
          <w:r>
            <w:fldChar w:fldCharType="begin"/>
          </w:r>
          <w:r>
            <w:instrText xml:space="preserve"> PAGEREF _Toc15299 \h </w:instrText>
          </w:r>
          <w:r>
            <w:fldChar w:fldCharType="separate"/>
          </w:r>
          <w:r>
            <w:t>53</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_Toc26687 </w:instrText>
          </w:r>
          <w:r>
            <w:rPr>
              <w:highlight w:val="none"/>
            </w:rPr>
            <w:fldChar w:fldCharType="separate"/>
          </w:r>
          <w:r>
            <w:rPr>
              <w:rFonts w:hint="eastAsia"/>
              <w:highlight w:val="none"/>
            </w:rPr>
            <w:t>三</w:t>
          </w:r>
          <w:r>
            <w:rPr>
              <w:highlight w:val="none"/>
            </w:rPr>
            <w:t>、授权委托书</w:t>
          </w:r>
          <w:r>
            <w:tab/>
          </w:r>
          <w:r>
            <w:fldChar w:fldCharType="begin"/>
          </w:r>
          <w:r>
            <w:instrText xml:space="preserve"> PAGEREF _Toc26687 \h </w:instrText>
          </w:r>
          <w:r>
            <w:fldChar w:fldCharType="separate"/>
          </w:r>
          <w:r>
            <w:t>54</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_Toc11796 </w:instrText>
          </w:r>
          <w:r>
            <w:rPr>
              <w:highlight w:val="none"/>
            </w:rPr>
            <w:fldChar w:fldCharType="separate"/>
          </w:r>
          <w:r>
            <w:rPr>
              <w:rFonts w:hint="eastAsia"/>
              <w:highlight w:val="none"/>
            </w:rPr>
            <w:t>四、标书款及投标保证金缴纳凭证（银行转账凭证）</w:t>
          </w:r>
          <w:r>
            <w:tab/>
          </w:r>
          <w:r>
            <w:fldChar w:fldCharType="begin"/>
          </w:r>
          <w:r>
            <w:instrText xml:space="preserve"> PAGEREF _Toc11796 \h </w:instrText>
          </w:r>
          <w:r>
            <w:fldChar w:fldCharType="separate"/>
          </w:r>
          <w:r>
            <w:t>55</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_Toc31593 </w:instrText>
          </w:r>
          <w:r>
            <w:rPr>
              <w:highlight w:val="none"/>
            </w:rPr>
            <w:fldChar w:fldCharType="separate"/>
          </w:r>
          <w:r>
            <w:rPr>
              <w:rFonts w:hint="eastAsia"/>
              <w:highlight w:val="none"/>
            </w:rPr>
            <w:t>五</w:t>
          </w:r>
          <w:r>
            <w:rPr>
              <w:highlight w:val="none"/>
            </w:rPr>
            <w:t>、</w:t>
          </w:r>
          <w:r>
            <w:rPr>
              <w:rFonts w:hint="eastAsia"/>
              <w:highlight w:val="none"/>
            </w:rPr>
            <w:t>退</w:t>
          </w:r>
          <w:r>
            <w:rPr>
              <w:highlight w:val="none"/>
            </w:rPr>
            <w:t>投标保证金</w:t>
          </w:r>
          <w:r>
            <w:rPr>
              <w:rFonts w:hint="eastAsia"/>
              <w:highlight w:val="none"/>
            </w:rPr>
            <w:t>说明</w:t>
          </w:r>
          <w:r>
            <w:tab/>
          </w:r>
          <w:r>
            <w:fldChar w:fldCharType="begin"/>
          </w:r>
          <w:r>
            <w:instrText xml:space="preserve"> PAGEREF _Toc31593 \h </w:instrText>
          </w:r>
          <w:r>
            <w:fldChar w:fldCharType="separate"/>
          </w:r>
          <w:r>
            <w:t>55</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_Toc29910 </w:instrText>
          </w:r>
          <w:r>
            <w:rPr>
              <w:highlight w:val="none"/>
            </w:rPr>
            <w:fldChar w:fldCharType="separate"/>
          </w:r>
          <w:r>
            <w:rPr>
              <w:rFonts w:hint="eastAsia"/>
            </w:rPr>
            <w:t xml:space="preserve">六、 </w:t>
          </w:r>
          <w:r>
            <w:rPr>
              <w:rFonts w:hint="eastAsia"/>
              <w:highlight w:val="none"/>
            </w:rPr>
            <w:t>企业实力（投标人请根据评标标准提供相应材料）</w:t>
          </w:r>
          <w:r>
            <w:tab/>
          </w:r>
          <w:r>
            <w:fldChar w:fldCharType="begin"/>
          </w:r>
          <w:r>
            <w:instrText xml:space="preserve"> PAGEREF _Toc29910 \h </w:instrText>
          </w:r>
          <w:r>
            <w:fldChar w:fldCharType="separate"/>
          </w:r>
          <w:r>
            <w:t>56</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_Toc27260 </w:instrText>
          </w:r>
          <w:r>
            <w:rPr>
              <w:highlight w:val="none"/>
            </w:rPr>
            <w:fldChar w:fldCharType="separate"/>
          </w:r>
          <w:r>
            <w:rPr>
              <w:rFonts w:hint="eastAsia"/>
            </w:rPr>
            <w:t xml:space="preserve">七、 </w:t>
          </w:r>
          <w:r>
            <w:rPr>
              <w:rFonts w:hint="eastAsia"/>
              <w:highlight w:val="none"/>
            </w:rPr>
            <w:t>企业规范经营情况（提供网站“信用中国”网站（www.creditchina.gov.cn）相关截图）；</w:t>
          </w:r>
          <w:r>
            <w:tab/>
          </w:r>
          <w:r>
            <w:fldChar w:fldCharType="begin"/>
          </w:r>
          <w:r>
            <w:instrText xml:space="preserve"> PAGEREF _Toc27260 \h </w:instrText>
          </w:r>
          <w:r>
            <w:fldChar w:fldCharType="separate"/>
          </w:r>
          <w:r>
            <w:t>57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_Toc4405 </w:instrText>
          </w:r>
          <w:r>
            <w:rPr>
              <w:highlight w:val="none"/>
            </w:rPr>
            <w:fldChar w:fldCharType="separate"/>
          </w:r>
          <w:r>
            <w:rPr>
              <w:rFonts w:hint="eastAsia"/>
            </w:rPr>
            <w:t xml:space="preserve">八、 </w:t>
          </w:r>
          <w:r>
            <w:rPr>
              <w:rFonts w:hint="eastAsia"/>
              <w:highlight w:val="none"/>
            </w:rPr>
            <w:t>本地化服务（</w:t>
          </w:r>
          <w:r>
            <w:rPr>
              <w:rFonts w:hint="eastAsia" w:ascii="宋体" w:hAnsi="宋体"/>
              <w:szCs w:val="24"/>
              <w:highlight w:val="none"/>
            </w:rPr>
            <w:t>提供营业执照或房产证或房屋租赁合同或承诺函等证明材料</w:t>
          </w:r>
          <w:r>
            <w:rPr>
              <w:rFonts w:hint="eastAsia"/>
              <w:highlight w:val="none"/>
            </w:rPr>
            <w:t>）；</w:t>
          </w:r>
          <w:r>
            <w:tab/>
          </w:r>
          <w:r>
            <w:fldChar w:fldCharType="begin"/>
          </w:r>
          <w:r>
            <w:instrText xml:space="preserve"> PAGEREF _Toc4405 \h </w:instrText>
          </w:r>
          <w:r>
            <w:fldChar w:fldCharType="separate"/>
          </w:r>
          <w:r>
            <w:t>57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_Toc15803 </w:instrText>
          </w:r>
          <w:r>
            <w:rPr>
              <w:highlight w:val="none"/>
            </w:rPr>
            <w:fldChar w:fldCharType="separate"/>
          </w:r>
          <w:r>
            <w:rPr>
              <w:rFonts w:hint="eastAsia"/>
            </w:rPr>
            <w:t xml:space="preserve">九、 </w:t>
          </w:r>
          <w:r>
            <w:rPr>
              <w:rFonts w:hint="eastAsia"/>
              <w:highlight w:val="none"/>
            </w:rPr>
            <w:t>近三年类似服务业绩（格式附后）</w:t>
          </w:r>
          <w:r>
            <w:tab/>
          </w:r>
          <w:r>
            <w:fldChar w:fldCharType="begin"/>
          </w:r>
          <w:r>
            <w:instrText xml:space="preserve"> PAGEREF _Toc15803 \h </w:instrText>
          </w:r>
          <w:r>
            <w:fldChar w:fldCharType="separate"/>
          </w:r>
          <w:r>
            <w:t>57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_Toc28421 </w:instrText>
          </w:r>
          <w:r>
            <w:rPr>
              <w:highlight w:val="none"/>
            </w:rPr>
            <w:fldChar w:fldCharType="separate"/>
          </w:r>
          <w:r>
            <w:rPr>
              <w:rFonts w:hint="eastAsia"/>
              <w:highlight w:val="none"/>
            </w:rPr>
            <w:t>十、投标报价表（详见第五章投标报价要求）</w:t>
          </w:r>
          <w:r>
            <w:tab/>
          </w:r>
          <w:r>
            <w:fldChar w:fldCharType="begin"/>
          </w:r>
          <w:r>
            <w:instrText xml:space="preserve"> PAGEREF _Toc28421 \h </w:instrText>
          </w:r>
          <w:r>
            <w:fldChar w:fldCharType="separate"/>
          </w:r>
          <w:r>
            <w:t>57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_Toc11206 </w:instrText>
          </w:r>
          <w:r>
            <w:rPr>
              <w:highlight w:val="none"/>
            </w:rPr>
            <w:fldChar w:fldCharType="separate"/>
          </w:r>
          <w:r>
            <w:rPr>
              <w:rFonts w:hint="eastAsia"/>
              <w:highlight w:val="none"/>
            </w:rPr>
            <w:t>十一、拟投入本项目的保洁设备表</w:t>
          </w:r>
          <w:r>
            <w:tab/>
          </w:r>
          <w:r>
            <w:fldChar w:fldCharType="begin"/>
          </w:r>
          <w:r>
            <w:instrText xml:space="preserve"> PAGEREF _Toc11206 \h </w:instrText>
          </w:r>
          <w:r>
            <w:fldChar w:fldCharType="separate"/>
          </w:r>
          <w:r>
            <w:t>57</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_Toc3588 </w:instrText>
          </w:r>
          <w:r>
            <w:rPr>
              <w:highlight w:val="none"/>
            </w:rPr>
            <w:fldChar w:fldCharType="separate"/>
          </w:r>
          <w:r>
            <w:rPr>
              <w:rFonts w:hint="eastAsia"/>
              <w:highlight w:val="none"/>
            </w:rPr>
            <w:t>十二、拟投入本项目人员的专业素质</w:t>
          </w:r>
          <w:r>
            <w:tab/>
          </w:r>
          <w:r>
            <w:fldChar w:fldCharType="begin"/>
          </w:r>
          <w:r>
            <w:instrText xml:space="preserve"> PAGEREF _Toc3588 \h </w:instrText>
          </w:r>
          <w:r>
            <w:fldChar w:fldCharType="separate"/>
          </w:r>
          <w:r>
            <w:t>58</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_Toc31614 </w:instrText>
          </w:r>
          <w:r>
            <w:rPr>
              <w:highlight w:val="none"/>
            </w:rPr>
            <w:fldChar w:fldCharType="separate"/>
          </w:r>
          <w:r>
            <w:rPr>
              <w:rFonts w:hint="eastAsia"/>
              <w:highlight w:val="none"/>
            </w:rPr>
            <w:t>十三、组织、管理方案及服务承诺（方案格式自拟，服务承诺格式附后）</w:t>
          </w:r>
          <w:r>
            <w:tab/>
          </w:r>
          <w:r>
            <w:fldChar w:fldCharType="begin"/>
          </w:r>
          <w:r>
            <w:instrText xml:space="preserve"> PAGEREF _Toc31614 \h </w:instrText>
          </w:r>
          <w:r>
            <w:fldChar w:fldCharType="separate"/>
          </w:r>
          <w:r>
            <w:t>59</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_Toc1436 </w:instrText>
          </w:r>
          <w:r>
            <w:rPr>
              <w:highlight w:val="none"/>
            </w:rPr>
            <w:fldChar w:fldCharType="separate"/>
          </w:r>
          <w:r>
            <w:rPr>
              <w:rFonts w:hint="eastAsia"/>
              <w:highlight w:val="none"/>
            </w:rPr>
            <w:t>十四、项目负责人承诺函；</w:t>
          </w:r>
          <w:r>
            <w:tab/>
          </w:r>
          <w:r>
            <w:fldChar w:fldCharType="begin"/>
          </w:r>
          <w:r>
            <w:instrText xml:space="preserve"> PAGEREF _Toc1436 \h </w:instrText>
          </w:r>
          <w:r>
            <w:fldChar w:fldCharType="separate"/>
          </w:r>
          <w:r>
            <w:t>59</w:t>
          </w:r>
          <w:r>
            <w:fldChar w:fldCharType="end"/>
          </w:r>
          <w:r>
            <w:rPr>
              <w:color w:val="auto"/>
              <w:highlight w:val="none"/>
            </w:rPr>
            <w:fldChar w:fldCharType="end"/>
          </w:r>
        </w:p>
        <w:p>
          <w:pPr>
            <w:pStyle w:val="36"/>
            <w:tabs>
              <w:tab w:val="right" w:leader="dot" w:pos="8312"/>
            </w:tabs>
          </w:pPr>
          <w:r>
            <w:rPr>
              <w:color w:val="auto"/>
              <w:highlight w:val="none"/>
            </w:rPr>
            <w:fldChar w:fldCharType="begin"/>
          </w:r>
          <w:r>
            <w:rPr>
              <w:highlight w:val="none"/>
            </w:rPr>
            <w:instrText xml:space="preserve"> HYPERLINK \l _Toc29461 </w:instrText>
          </w:r>
          <w:r>
            <w:rPr>
              <w:highlight w:val="none"/>
            </w:rPr>
            <w:fldChar w:fldCharType="separate"/>
          </w:r>
          <w:r>
            <w:rPr>
              <w:rFonts w:hint="eastAsia"/>
              <w:highlight w:val="none"/>
            </w:rPr>
            <w:t>十五、其他材料由投标人自行补充</w:t>
          </w:r>
          <w:r>
            <w:tab/>
          </w:r>
          <w:r>
            <w:fldChar w:fldCharType="begin"/>
          </w:r>
          <w:r>
            <w:instrText xml:space="preserve"> PAGEREF _Toc29461 \h </w:instrText>
          </w:r>
          <w:r>
            <w:fldChar w:fldCharType="separate"/>
          </w:r>
          <w:r>
            <w:t>59</w:t>
          </w:r>
          <w:r>
            <w:fldChar w:fldCharType="end"/>
          </w:r>
          <w:r>
            <w:rPr>
              <w:color w:val="auto"/>
              <w:highlight w:val="none"/>
            </w:rPr>
            <w:fldChar w:fldCharType="end"/>
          </w:r>
        </w:p>
        <w:p>
          <w:pPr>
            <w:rPr>
              <w:color w:val="auto"/>
              <w:highlight w:val="none"/>
            </w:rPr>
          </w:pPr>
          <w:r>
            <w:rPr>
              <w:color w:val="auto"/>
              <w:highlight w:val="none"/>
            </w:rPr>
            <w:fldChar w:fldCharType="end"/>
          </w:r>
        </w:p>
      </w:sdtContent>
    </w:sdt>
    <w:p>
      <w:pPr>
        <w:jc w:val="center"/>
        <w:outlineLvl w:val="0"/>
        <w:rPr>
          <w:color w:val="auto"/>
          <w:highlight w:val="none"/>
        </w:rPr>
      </w:pPr>
      <w:bookmarkStart w:id="22" w:name="_Toc19028"/>
      <w:bookmarkStart w:id="23" w:name="_Toc24117"/>
      <w:bookmarkStart w:id="24" w:name="_Toc15588"/>
      <w:bookmarkStart w:id="25" w:name="_Toc5036"/>
      <w:bookmarkStart w:id="26" w:name="_Toc20064"/>
      <w:bookmarkStart w:id="27" w:name="_Toc24365"/>
      <w:bookmarkStart w:id="28" w:name="_Toc28545"/>
      <w:bookmarkStart w:id="29" w:name="_Toc19701"/>
      <w:bookmarkStart w:id="30" w:name="_Toc24989"/>
      <w:bookmarkStart w:id="31" w:name="_Toc1450"/>
      <w:bookmarkStart w:id="32" w:name="_Toc23714"/>
      <w:r>
        <w:rPr>
          <w:color w:val="auto"/>
          <w:highlight w:val="none"/>
        </w:rPr>
        <w:br w:type="page"/>
      </w:r>
      <w:bookmarkStart w:id="33" w:name="_Toc2679"/>
      <w:bookmarkStart w:id="34" w:name="_Toc2890"/>
      <w:bookmarkStart w:id="35" w:name="_Toc13773"/>
      <w:r>
        <w:rPr>
          <w:rStyle w:val="108"/>
          <w:color w:val="auto"/>
          <w:highlight w:val="none"/>
        </w:rPr>
        <w:t xml:space="preserve">第一章 </w:t>
      </w:r>
      <w:bookmarkEnd w:id="3"/>
      <w:bookmarkEnd w:id="4"/>
      <w:bookmarkEnd w:id="5"/>
      <w:bookmarkEnd w:id="6"/>
      <w:bookmarkEnd w:id="7"/>
      <w:bookmarkEnd w:id="8"/>
      <w:bookmarkEnd w:id="9"/>
      <w:bookmarkEnd w:id="10"/>
      <w:bookmarkEnd w:id="11"/>
      <w:bookmarkEnd w:id="12"/>
      <w:r>
        <w:rPr>
          <w:rStyle w:val="108"/>
          <w:color w:val="auto"/>
          <w:highlight w:val="none"/>
        </w:rPr>
        <w:t>招标公告</w:t>
      </w:r>
      <w:bookmarkEnd w:id="13"/>
      <w:bookmarkEnd w:id="22"/>
      <w:bookmarkEnd w:id="23"/>
      <w:bookmarkEnd w:id="24"/>
      <w:bookmarkEnd w:id="25"/>
      <w:bookmarkEnd w:id="26"/>
      <w:bookmarkEnd w:id="27"/>
      <w:bookmarkEnd w:id="28"/>
      <w:bookmarkEnd w:id="29"/>
      <w:bookmarkEnd w:id="30"/>
      <w:bookmarkEnd w:id="31"/>
      <w:bookmarkEnd w:id="32"/>
      <w:bookmarkEnd w:id="33"/>
      <w:bookmarkEnd w:id="34"/>
      <w:bookmarkEnd w:id="35"/>
    </w:p>
    <w:p>
      <w:pPr>
        <w:pStyle w:val="4"/>
        <w:spacing w:line="360" w:lineRule="auto"/>
        <w:rPr>
          <w:color w:val="auto"/>
          <w:highlight w:val="none"/>
        </w:rPr>
      </w:pPr>
      <w:bookmarkStart w:id="36" w:name="_Toc23383"/>
      <w:bookmarkStart w:id="37" w:name="_Toc7531"/>
      <w:bookmarkStart w:id="38" w:name="_Toc18163"/>
      <w:bookmarkStart w:id="39" w:name="_Toc12384"/>
      <w:bookmarkStart w:id="40" w:name="_Toc23192"/>
      <w:bookmarkStart w:id="41" w:name="_Toc436215709"/>
      <w:bookmarkStart w:id="42" w:name="_Toc11794"/>
      <w:bookmarkStart w:id="43" w:name="_Toc6466"/>
      <w:bookmarkStart w:id="44" w:name="_Toc12940"/>
      <w:bookmarkStart w:id="45" w:name="_Toc2489"/>
      <w:bookmarkStart w:id="46" w:name="_Toc8573"/>
      <w:bookmarkStart w:id="47" w:name="_Toc20271"/>
      <w:bookmarkStart w:id="48" w:name="_Toc7235"/>
      <w:bookmarkStart w:id="49" w:name="_Toc246996158"/>
      <w:bookmarkStart w:id="50" w:name="_Toc22775"/>
      <w:bookmarkStart w:id="51" w:name="_Toc247085672"/>
      <w:bookmarkStart w:id="52" w:name="_Toc23583"/>
      <w:bookmarkStart w:id="53" w:name="_Toc152042288"/>
      <w:bookmarkStart w:id="54" w:name="_Toc30095"/>
      <w:bookmarkStart w:id="55" w:name="_Toc152045512"/>
      <w:bookmarkStart w:id="56" w:name="_Toc435178352"/>
      <w:bookmarkStart w:id="57" w:name="_Toc496601919"/>
      <w:bookmarkStart w:id="58" w:name="_Toc31861"/>
      <w:bookmarkStart w:id="59" w:name="_Toc6302"/>
      <w:bookmarkStart w:id="60" w:name="_Toc14532"/>
      <w:bookmarkStart w:id="61" w:name="_Toc2712"/>
      <w:bookmarkStart w:id="62" w:name="_Toc29383"/>
      <w:bookmarkStart w:id="63" w:name="_Toc144974480"/>
      <w:bookmarkStart w:id="64" w:name="_Toc246996901"/>
      <w:bookmarkStart w:id="65" w:name="_Toc1641"/>
      <w:bookmarkStart w:id="66" w:name="_Toc18471"/>
      <w:bookmarkStart w:id="67" w:name="_Toc179632528"/>
      <w:bookmarkStart w:id="68" w:name="_Toc25395"/>
      <w:r>
        <w:rPr>
          <w:color w:val="auto"/>
          <w:highlight w:val="none"/>
        </w:rPr>
        <w:t>1. 招标条件</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pPr>
        <w:spacing w:line="360" w:lineRule="auto"/>
        <w:ind w:firstLine="420" w:firstLineChars="200"/>
        <w:rPr>
          <w:color w:val="auto"/>
          <w:szCs w:val="21"/>
          <w:highlight w:val="none"/>
          <w:u w:val="single"/>
        </w:rPr>
      </w:pPr>
      <w:r>
        <w:rPr>
          <w:color w:val="auto"/>
          <w:szCs w:val="21"/>
          <w:highlight w:val="none"/>
        </w:rPr>
        <w:t>本招标项目</w:t>
      </w:r>
      <w:r>
        <w:rPr>
          <w:rFonts w:hint="eastAsia"/>
          <w:color w:val="auto"/>
          <w:szCs w:val="21"/>
          <w:highlight w:val="none"/>
        </w:rPr>
        <w:t>（非依法必须招标项目）</w:t>
      </w:r>
      <w:r>
        <w:rPr>
          <w:rFonts w:hint="eastAsia"/>
          <w:color w:val="auto"/>
          <w:szCs w:val="21"/>
          <w:highlight w:val="none"/>
          <w:u w:val="single"/>
        </w:rPr>
        <w:t>南方报业传媒集团大院2025-2026年保洁服务</w:t>
      </w:r>
      <w:r>
        <w:rPr>
          <w:color w:val="auto"/>
          <w:szCs w:val="21"/>
          <w:highlight w:val="none"/>
        </w:rPr>
        <w:t>（</w:t>
      </w:r>
      <w:r>
        <w:rPr>
          <w:rFonts w:hint="eastAsia"/>
          <w:color w:val="auto"/>
          <w:szCs w:val="21"/>
          <w:highlight w:val="none"/>
        </w:rPr>
        <w:t>项目编号：ZB202503</w:t>
      </w:r>
      <w:r>
        <w:rPr>
          <w:color w:val="auto"/>
          <w:szCs w:val="21"/>
          <w:highlight w:val="none"/>
        </w:rPr>
        <w:t>）由</w:t>
      </w:r>
      <w:r>
        <w:rPr>
          <w:rFonts w:hint="eastAsia"/>
          <w:color w:val="auto"/>
          <w:szCs w:val="21"/>
          <w:highlight w:val="none"/>
          <w:u w:val="single"/>
        </w:rPr>
        <w:t>广东南方报业传媒集团物业管理有限公司</w:t>
      </w:r>
      <w:r>
        <w:rPr>
          <w:rFonts w:hint="eastAsia"/>
          <w:color w:val="auto"/>
          <w:szCs w:val="21"/>
          <w:highlight w:val="none"/>
        </w:rPr>
        <w:t>进行招标事宜。</w:t>
      </w:r>
      <w:r>
        <w:rPr>
          <w:rFonts w:hint="eastAsia"/>
          <w:color w:val="auto"/>
          <w:highlight w:val="none"/>
        </w:rPr>
        <w:t>项目已具备招标条件，现对该项目进行公开招标。</w:t>
      </w:r>
    </w:p>
    <w:p>
      <w:pPr>
        <w:pStyle w:val="4"/>
        <w:spacing w:line="360" w:lineRule="auto"/>
        <w:rPr>
          <w:color w:val="auto"/>
          <w:kern w:val="28"/>
          <w:highlight w:val="none"/>
        </w:rPr>
      </w:pPr>
      <w:bookmarkStart w:id="69" w:name="_Toc246996902"/>
      <w:bookmarkStart w:id="70" w:name="_Toc179632529"/>
      <w:bookmarkStart w:id="71" w:name="_Toc246996159"/>
      <w:bookmarkStart w:id="72" w:name="_Toc436215710"/>
      <w:bookmarkStart w:id="73" w:name="_Toc152045513"/>
      <w:bookmarkStart w:id="74" w:name="_Toc496601920"/>
      <w:bookmarkStart w:id="75" w:name="_Toc144974481"/>
      <w:bookmarkStart w:id="76" w:name="_Toc247085673"/>
      <w:bookmarkStart w:id="77" w:name="_Toc152042289"/>
      <w:bookmarkStart w:id="78" w:name="_Toc435178353"/>
      <w:bookmarkStart w:id="79" w:name="_Toc12148"/>
      <w:bookmarkStart w:id="80" w:name="_Toc23518"/>
      <w:bookmarkStart w:id="81" w:name="_Toc4060"/>
      <w:bookmarkStart w:id="82" w:name="_Toc18244"/>
      <w:bookmarkStart w:id="83" w:name="_Toc6018"/>
      <w:bookmarkStart w:id="84" w:name="_Toc1287"/>
      <w:bookmarkStart w:id="85" w:name="_Toc22102"/>
      <w:bookmarkStart w:id="86" w:name="_Toc28360"/>
      <w:bookmarkStart w:id="87" w:name="_Toc11815"/>
      <w:bookmarkStart w:id="88" w:name="_Toc22822"/>
      <w:bookmarkStart w:id="89" w:name="_Toc6559"/>
      <w:bookmarkStart w:id="90" w:name="_Toc14226"/>
      <w:bookmarkStart w:id="91" w:name="_Toc13732"/>
      <w:bookmarkStart w:id="92" w:name="_Toc28629"/>
      <w:bookmarkStart w:id="93" w:name="_Toc6363"/>
      <w:bookmarkStart w:id="94" w:name="_Toc23262"/>
      <w:bookmarkStart w:id="95" w:name="_Toc23873"/>
      <w:bookmarkStart w:id="96" w:name="_Toc18446"/>
      <w:bookmarkStart w:id="97" w:name="_Toc17678"/>
      <w:bookmarkStart w:id="98" w:name="_Toc26454"/>
      <w:bookmarkStart w:id="99" w:name="_Toc18639"/>
      <w:bookmarkStart w:id="100" w:name="_Toc10861"/>
      <w:bookmarkStart w:id="101" w:name="_Toc10872"/>
      <w:r>
        <w:rPr>
          <w:color w:val="auto"/>
          <w:highlight w:val="none"/>
        </w:rPr>
        <w:t xml:space="preserve">2. </w:t>
      </w:r>
      <w:bookmarkEnd w:id="69"/>
      <w:bookmarkEnd w:id="70"/>
      <w:bookmarkEnd w:id="71"/>
      <w:bookmarkEnd w:id="72"/>
      <w:bookmarkEnd w:id="73"/>
      <w:bookmarkEnd w:id="74"/>
      <w:bookmarkEnd w:id="75"/>
      <w:bookmarkEnd w:id="76"/>
      <w:bookmarkEnd w:id="77"/>
      <w:bookmarkEnd w:id="78"/>
      <w:bookmarkStart w:id="102" w:name="_Toc436215711"/>
      <w:bookmarkStart w:id="103" w:name="_Toc435178354"/>
      <w:r>
        <w:rPr>
          <w:rFonts w:hint="eastAsia"/>
          <w:color w:val="auto"/>
          <w:highlight w:val="none"/>
        </w:rPr>
        <w:t>项目概况与招标范围</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pPr>
        <w:spacing w:line="360" w:lineRule="auto"/>
        <w:ind w:firstLine="420" w:firstLineChars="200"/>
        <w:rPr>
          <w:color w:val="auto"/>
          <w:szCs w:val="21"/>
          <w:highlight w:val="none"/>
        </w:rPr>
      </w:pPr>
      <w:bookmarkStart w:id="104" w:name="_Toc496601921"/>
      <w:r>
        <w:rPr>
          <w:rFonts w:hint="eastAsia"/>
          <w:color w:val="auto"/>
          <w:szCs w:val="21"/>
          <w:highlight w:val="none"/>
        </w:rPr>
        <w:t>2.1本项目须为招标人提供保洁服务，保洁面积约65000平方米，服务地点位于广州市广州大道中2</w:t>
      </w:r>
      <w:r>
        <w:rPr>
          <w:color w:val="auto"/>
          <w:szCs w:val="21"/>
          <w:highlight w:val="none"/>
        </w:rPr>
        <w:t>8</w:t>
      </w:r>
      <w:r>
        <w:rPr>
          <w:rFonts w:hint="eastAsia"/>
          <w:color w:val="auto"/>
          <w:szCs w:val="21"/>
          <w:highlight w:val="none"/>
        </w:rPr>
        <w:t>9号南方报业传媒集团，具体需求详见招标文件。</w:t>
      </w:r>
    </w:p>
    <w:p>
      <w:pPr>
        <w:spacing w:line="360" w:lineRule="auto"/>
        <w:ind w:firstLine="420" w:firstLineChars="200"/>
        <w:rPr>
          <w:color w:val="auto"/>
          <w:szCs w:val="21"/>
          <w:highlight w:val="none"/>
        </w:rPr>
      </w:pPr>
      <w:r>
        <w:rPr>
          <w:rFonts w:hint="eastAsia"/>
          <w:color w:val="auto"/>
          <w:szCs w:val="21"/>
          <w:highlight w:val="none"/>
        </w:rPr>
        <w:t>2.2本项目</w:t>
      </w:r>
      <w:r>
        <w:rPr>
          <w:rFonts w:hint="eastAsia" w:ascii="宋体" w:hAnsi="宋体" w:cs="宋体"/>
          <w:color w:val="auto"/>
          <w:szCs w:val="21"/>
          <w:highlight w:val="none"/>
        </w:rPr>
        <w:t>合同签订采用1+1的模式，</w:t>
      </w:r>
      <w:r>
        <w:rPr>
          <w:rFonts w:hint="eastAsia"/>
          <w:color w:val="auto"/>
          <w:szCs w:val="21"/>
          <w:highlight w:val="none"/>
        </w:rPr>
        <w:t>合同期1年，若双方合作满意，可续签1年。</w:t>
      </w:r>
    </w:p>
    <w:p>
      <w:pPr>
        <w:spacing w:line="360" w:lineRule="auto"/>
        <w:ind w:firstLine="420" w:firstLineChars="200"/>
        <w:rPr>
          <w:color w:val="auto"/>
          <w:szCs w:val="21"/>
          <w:highlight w:val="none"/>
        </w:rPr>
      </w:pPr>
      <w:r>
        <w:rPr>
          <w:rFonts w:hint="eastAsia"/>
          <w:color w:val="auto"/>
          <w:szCs w:val="21"/>
          <w:highlight w:val="none"/>
        </w:rPr>
        <w:t>2.3.本项目最高投标限价为349万元/年。</w:t>
      </w:r>
    </w:p>
    <w:p>
      <w:pPr>
        <w:pStyle w:val="4"/>
        <w:spacing w:line="360" w:lineRule="auto"/>
        <w:rPr>
          <w:color w:val="auto"/>
          <w:highlight w:val="none"/>
        </w:rPr>
      </w:pPr>
      <w:bookmarkStart w:id="105" w:name="_Toc30964"/>
      <w:bookmarkStart w:id="106" w:name="_Toc11588"/>
      <w:bookmarkStart w:id="107" w:name="_Toc28923"/>
      <w:bookmarkStart w:id="108" w:name="_Toc23121"/>
      <w:bookmarkStart w:id="109" w:name="_Toc31362"/>
      <w:bookmarkStart w:id="110" w:name="_Toc32351"/>
      <w:bookmarkStart w:id="111" w:name="_Toc32710"/>
      <w:bookmarkStart w:id="112" w:name="_Toc2666"/>
      <w:bookmarkStart w:id="113" w:name="_Toc29695"/>
      <w:bookmarkStart w:id="114" w:name="_Toc19783"/>
      <w:bookmarkStart w:id="115" w:name="_Toc1651"/>
      <w:bookmarkStart w:id="116" w:name="_Toc23682"/>
      <w:bookmarkStart w:id="117" w:name="_Toc26925"/>
      <w:bookmarkStart w:id="118" w:name="_Toc17486"/>
      <w:bookmarkStart w:id="119" w:name="_Toc22691"/>
      <w:bookmarkStart w:id="120" w:name="_Toc26497"/>
      <w:bookmarkStart w:id="121" w:name="_Toc11486"/>
      <w:bookmarkStart w:id="122" w:name="_Toc8546"/>
      <w:bookmarkStart w:id="123" w:name="_Toc5851"/>
      <w:bookmarkStart w:id="124" w:name="_Toc9342"/>
      <w:bookmarkStart w:id="125" w:name="_Toc20017"/>
      <w:bookmarkStart w:id="126" w:name="_Toc16721"/>
      <w:bookmarkStart w:id="127" w:name="_Toc7995"/>
      <w:r>
        <w:rPr>
          <w:rFonts w:hint="eastAsia"/>
          <w:color w:val="auto"/>
          <w:highlight w:val="none"/>
        </w:rPr>
        <w:t>3</w:t>
      </w:r>
      <w:r>
        <w:rPr>
          <w:color w:val="auto"/>
          <w:highlight w:val="none"/>
        </w:rPr>
        <w:t>.</w:t>
      </w:r>
      <w:r>
        <w:rPr>
          <w:rFonts w:hint="eastAsia"/>
          <w:color w:val="auto"/>
          <w:highlight w:val="none"/>
        </w:rPr>
        <w:t xml:space="preserve"> </w:t>
      </w:r>
      <w:r>
        <w:rPr>
          <w:color w:val="auto"/>
          <w:highlight w:val="none"/>
        </w:rPr>
        <w:t>投标人资格要求</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spacing w:line="360" w:lineRule="auto"/>
        <w:ind w:firstLine="420" w:firstLineChars="200"/>
        <w:rPr>
          <w:color w:val="auto"/>
          <w:szCs w:val="21"/>
          <w:highlight w:val="none"/>
        </w:rPr>
      </w:pPr>
      <w:bookmarkStart w:id="128" w:name="_Toc436215712"/>
      <w:bookmarkStart w:id="129" w:name="_Toc435178355"/>
      <w:bookmarkStart w:id="130" w:name="_Toc179632530"/>
      <w:bookmarkStart w:id="131" w:name="_Toc144974482"/>
      <w:bookmarkStart w:id="132" w:name="_Toc152042290"/>
      <w:bookmarkStart w:id="133" w:name="_Toc246996903"/>
      <w:bookmarkStart w:id="134" w:name="_Toc246996160"/>
      <w:bookmarkStart w:id="135" w:name="_Toc152045514"/>
      <w:bookmarkStart w:id="136" w:name="_Toc247085674"/>
      <w:r>
        <w:rPr>
          <w:rFonts w:hint="eastAsia"/>
          <w:color w:val="auto"/>
          <w:szCs w:val="21"/>
          <w:highlight w:val="none"/>
        </w:rPr>
        <w:t>3.1在中华人民共和国境内注册的具有独立承担民事责任能力的法人或其他组织（分公司投标须总公司授权）；</w:t>
      </w:r>
    </w:p>
    <w:p>
      <w:pPr>
        <w:spacing w:line="360" w:lineRule="auto"/>
        <w:ind w:firstLine="420" w:firstLineChars="200"/>
        <w:rPr>
          <w:color w:val="auto"/>
          <w:szCs w:val="21"/>
          <w:highlight w:val="none"/>
        </w:rPr>
      </w:pPr>
      <w:r>
        <w:rPr>
          <w:rFonts w:hint="eastAsia"/>
          <w:color w:val="auto"/>
          <w:szCs w:val="21"/>
          <w:highlight w:val="none"/>
        </w:rPr>
        <w:t>3.2投标人须提供至少1个4万平米（含）以上甲级写字楼或5万平米（含）以上物业保洁项目案例（需提供有效合同复印件加盖公章）；</w:t>
      </w:r>
    </w:p>
    <w:p>
      <w:pPr>
        <w:spacing w:line="360" w:lineRule="auto"/>
        <w:ind w:firstLine="420" w:firstLineChars="200"/>
        <w:rPr>
          <w:color w:val="auto"/>
          <w:highlight w:val="none"/>
        </w:rPr>
      </w:pPr>
      <w:r>
        <w:rPr>
          <w:rFonts w:hint="eastAsia"/>
          <w:color w:val="auto"/>
          <w:szCs w:val="21"/>
          <w:highlight w:val="none"/>
        </w:rPr>
        <w:t>3.3投标人须具备以下资质证书（需提供有效复印件加盖公章）：</w:t>
      </w:r>
    </w:p>
    <w:p>
      <w:pPr>
        <w:spacing w:line="360" w:lineRule="auto"/>
        <w:ind w:firstLine="420" w:firstLineChars="200"/>
        <w:rPr>
          <w:color w:val="auto"/>
          <w:szCs w:val="21"/>
          <w:highlight w:val="none"/>
        </w:rPr>
      </w:pPr>
      <w:r>
        <w:rPr>
          <w:rFonts w:hint="eastAsia"/>
          <w:color w:val="auto"/>
          <w:szCs w:val="21"/>
          <w:highlight w:val="none"/>
        </w:rPr>
        <w:t>（1）环卫清洁服务企业资质证书或环卫行业经营服务企业资质等级证书；</w:t>
      </w:r>
    </w:p>
    <w:p>
      <w:pPr>
        <w:spacing w:line="360" w:lineRule="auto"/>
        <w:ind w:firstLine="420" w:firstLineChars="200"/>
        <w:rPr>
          <w:color w:val="auto"/>
          <w:szCs w:val="21"/>
          <w:highlight w:val="none"/>
        </w:rPr>
      </w:pPr>
      <w:r>
        <w:rPr>
          <w:rFonts w:hint="eastAsia"/>
          <w:color w:val="auto"/>
          <w:szCs w:val="21"/>
          <w:highlight w:val="none"/>
        </w:rPr>
        <w:t>（2）劳务派遣经营许可证；</w:t>
      </w:r>
    </w:p>
    <w:p>
      <w:pPr>
        <w:spacing w:line="360" w:lineRule="auto"/>
        <w:ind w:firstLine="420" w:firstLineChars="200"/>
        <w:rPr>
          <w:color w:val="auto"/>
          <w:szCs w:val="21"/>
          <w:highlight w:val="none"/>
        </w:rPr>
      </w:pPr>
      <w:r>
        <w:rPr>
          <w:rFonts w:hint="eastAsia"/>
          <w:color w:val="auto"/>
          <w:szCs w:val="21"/>
          <w:highlight w:val="none"/>
        </w:rPr>
        <w:t>3.4投标人须具备有效的《有害生物防制服务资质证书》；</w:t>
      </w:r>
    </w:p>
    <w:p>
      <w:pPr>
        <w:spacing w:line="360" w:lineRule="auto"/>
        <w:ind w:firstLine="420" w:firstLineChars="200"/>
        <w:rPr>
          <w:color w:val="auto"/>
          <w:highlight w:val="none"/>
        </w:rPr>
      </w:pPr>
      <w:r>
        <w:rPr>
          <w:rFonts w:hint="eastAsia"/>
          <w:color w:val="auto"/>
          <w:szCs w:val="21"/>
          <w:highlight w:val="none"/>
        </w:rPr>
        <w:t>3.5本项目不接受联合体投标，不允许转包和违法分包。</w:t>
      </w:r>
    </w:p>
    <w:bookmarkEnd w:id="128"/>
    <w:bookmarkEnd w:id="129"/>
    <w:p>
      <w:pPr>
        <w:pStyle w:val="4"/>
        <w:spacing w:line="360" w:lineRule="auto"/>
        <w:rPr>
          <w:color w:val="auto"/>
          <w:highlight w:val="none"/>
        </w:rPr>
      </w:pPr>
      <w:bookmarkStart w:id="137" w:name="_Toc435178357"/>
      <w:bookmarkStart w:id="138" w:name="_Toc436215714"/>
      <w:bookmarkStart w:id="139" w:name="_Toc496601923"/>
      <w:bookmarkStart w:id="140" w:name="_Toc4623"/>
      <w:bookmarkStart w:id="141" w:name="_Toc11754"/>
      <w:bookmarkStart w:id="142" w:name="_Toc1026"/>
      <w:bookmarkStart w:id="143" w:name="_Toc7430"/>
      <w:bookmarkStart w:id="144" w:name="_Toc23846"/>
      <w:bookmarkStart w:id="145" w:name="_Toc5323"/>
      <w:bookmarkStart w:id="146" w:name="_Toc16340"/>
      <w:bookmarkStart w:id="147" w:name="_Toc18534"/>
      <w:bookmarkStart w:id="148" w:name="_Toc20828"/>
      <w:bookmarkStart w:id="149" w:name="_Toc15822"/>
      <w:bookmarkStart w:id="150" w:name="_Toc31924"/>
      <w:bookmarkStart w:id="151" w:name="_Toc31228"/>
      <w:bookmarkStart w:id="152" w:name="_Toc3521"/>
      <w:bookmarkStart w:id="153" w:name="_Toc309"/>
      <w:bookmarkStart w:id="154" w:name="_Toc29001"/>
      <w:bookmarkStart w:id="155" w:name="_Toc10575"/>
      <w:bookmarkStart w:id="156" w:name="_Toc1977"/>
      <w:bookmarkStart w:id="157" w:name="_Toc10177"/>
      <w:bookmarkStart w:id="158" w:name="_Toc1259"/>
      <w:bookmarkStart w:id="159" w:name="_Toc11634"/>
      <w:bookmarkStart w:id="160" w:name="_Toc29231"/>
      <w:bookmarkStart w:id="161" w:name="_Toc17487"/>
      <w:bookmarkStart w:id="162" w:name="_Toc7213"/>
      <w:r>
        <w:rPr>
          <w:rFonts w:hint="eastAsia"/>
          <w:color w:val="auto"/>
          <w:highlight w:val="none"/>
        </w:rPr>
        <w:t xml:space="preserve">4. </w:t>
      </w:r>
      <w:bookmarkEnd w:id="137"/>
      <w:bookmarkEnd w:id="138"/>
      <w:bookmarkEnd w:id="139"/>
      <w:r>
        <w:rPr>
          <w:rFonts w:hint="eastAsia"/>
          <w:color w:val="auto"/>
          <w:highlight w:val="none"/>
        </w:rPr>
        <w:t>招标文件的获取</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pPr>
        <w:tabs>
          <w:tab w:val="left" w:pos="360"/>
        </w:tabs>
        <w:spacing w:line="360" w:lineRule="auto"/>
        <w:ind w:firstLine="420" w:firstLineChars="200"/>
        <w:rPr>
          <w:color w:val="auto"/>
          <w:szCs w:val="21"/>
          <w:highlight w:val="none"/>
        </w:rPr>
      </w:pPr>
      <w:r>
        <w:rPr>
          <w:rFonts w:hint="eastAsia"/>
          <w:color w:val="auto"/>
          <w:szCs w:val="21"/>
          <w:highlight w:val="none"/>
        </w:rPr>
        <w:t>符合资格的投标人可登录招标人网站</w:t>
      </w:r>
    </w:p>
    <w:p>
      <w:pPr>
        <w:tabs>
          <w:tab w:val="left" w:pos="360"/>
        </w:tabs>
        <w:spacing w:line="360" w:lineRule="auto"/>
        <w:ind w:firstLine="420" w:firstLineChars="200"/>
        <w:rPr>
          <w:color w:val="auto"/>
          <w:szCs w:val="21"/>
          <w:highlight w:val="none"/>
        </w:rPr>
      </w:pPr>
      <w:r>
        <w:rPr>
          <w:rFonts w:hint="eastAsia"/>
          <w:color w:val="auto"/>
          <w:szCs w:val="21"/>
          <w:highlight w:val="none"/>
        </w:rPr>
        <w:t>（http://zbtb.southcn.com/）下载电子招标文件。</w:t>
      </w:r>
    </w:p>
    <w:p>
      <w:pPr>
        <w:numPr>
          <w:ilvl w:val="0"/>
          <w:numId w:val="1"/>
        </w:numPr>
        <w:tabs>
          <w:tab w:val="left" w:pos="360"/>
        </w:tabs>
        <w:spacing w:line="360" w:lineRule="auto"/>
        <w:ind w:left="0" w:firstLine="426"/>
        <w:rPr>
          <w:b/>
          <w:color w:val="auto"/>
          <w:szCs w:val="21"/>
          <w:highlight w:val="none"/>
        </w:rPr>
      </w:pPr>
      <w:r>
        <w:rPr>
          <w:rFonts w:hint="eastAsia"/>
          <w:color w:val="auto"/>
          <w:szCs w:val="21"/>
          <w:highlight w:val="none"/>
        </w:rPr>
        <w:t>标书款缴纳：投标人应以自有对公账户将标书款（</w:t>
      </w:r>
      <w:r>
        <w:rPr>
          <w:color w:val="auto"/>
          <w:szCs w:val="21"/>
          <w:highlight w:val="none"/>
        </w:rPr>
        <w:t>招标文件每套售价</w:t>
      </w:r>
      <w:r>
        <w:rPr>
          <w:color w:val="auto"/>
          <w:szCs w:val="21"/>
          <w:highlight w:val="none"/>
          <w:u w:val="single"/>
        </w:rPr>
        <w:t xml:space="preserve"> </w:t>
      </w:r>
      <w:r>
        <w:rPr>
          <w:rFonts w:hint="eastAsia"/>
          <w:color w:val="auto"/>
          <w:szCs w:val="21"/>
          <w:highlight w:val="none"/>
          <w:u w:val="single"/>
        </w:rPr>
        <w:t xml:space="preserve">300 </w:t>
      </w:r>
      <w:r>
        <w:rPr>
          <w:color w:val="auto"/>
          <w:szCs w:val="21"/>
          <w:highlight w:val="none"/>
        </w:rPr>
        <w:t>元，售后不退。</w:t>
      </w:r>
      <w:r>
        <w:rPr>
          <w:rFonts w:hint="eastAsia"/>
          <w:color w:val="auto"/>
          <w:szCs w:val="21"/>
          <w:highlight w:val="none"/>
        </w:rPr>
        <w:t>）转账至以下招标人账户。汇款时，需在汇款单备注栏添加“ZB202503、纳税人识别号（或统一社会信用代码）”</w:t>
      </w:r>
      <w:r>
        <w:rPr>
          <w:rFonts w:hint="eastAsia"/>
          <w:b/>
          <w:color w:val="auto"/>
          <w:szCs w:val="21"/>
          <w:highlight w:val="none"/>
        </w:rPr>
        <w:t xml:space="preserve">（请确保备注内容填写完整，否则有可能对投标人的报名造成影响）。  </w:t>
      </w:r>
    </w:p>
    <w:p>
      <w:pPr>
        <w:tabs>
          <w:tab w:val="left" w:pos="360"/>
        </w:tabs>
        <w:spacing w:line="360" w:lineRule="auto"/>
        <w:ind w:firstLine="420"/>
        <w:rPr>
          <w:color w:val="auto"/>
          <w:szCs w:val="21"/>
          <w:highlight w:val="none"/>
        </w:rPr>
      </w:pPr>
      <w:r>
        <w:rPr>
          <w:rFonts w:hint="eastAsia"/>
          <w:color w:val="auto"/>
          <w:szCs w:val="21"/>
          <w:highlight w:val="none"/>
        </w:rPr>
        <w:t xml:space="preserve">招标人账户： </w:t>
      </w:r>
    </w:p>
    <w:p>
      <w:pPr>
        <w:tabs>
          <w:tab w:val="left" w:pos="360"/>
        </w:tabs>
        <w:spacing w:line="360" w:lineRule="auto"/>
        <w:ind w:firstLine="420"/>
        <w:rPr>
          <w:color w:val="auto"/>
          <w:szCs w:val="21"/>
          <w:highlight w:val="none"/>
        </w:rPr>
      </w:pPr>
      <w:r>
        <w:rPr>
          <w:rFonts w:hint="eastAsia"/>
          <w:color w:val="auto"/>
          <w:szCs w:val="21"/>
          <w:highlight w:val="none"/>
        </w:rPr>
        <w:t xml:space="preserve">单 位：广东南方报业传媒集团物业管理有限公司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行：中国建设银行股份有限公司广州五羊新城支行 </w:t>
      </w:r>
    </w:p>
    <w:p>
      <w:pPr>
        <w:tabs>
          <w:tab w:val="left" w:pos="360"/>
        </w:tabs>
        <w:spacing w:line="360" w:lineRule="auto"/>
        <w:ind w:firstLine="420"/>
        <w:rPr>
          <w:color w:val="auto"/>
          <w:szCs w:val="21"/>
          <w:highlight w:val="none"/>
        </w:rPr>
      </w:pPr>
      <w:r>
        <w:rPr>
          <w:rFonts w:hint="eastAsia"/>
          <w:color w:val="auto"/>
          <w:szCs w:val="21"/>
          <w:highlight w:val="none"/>
        </w:rPr>
        <w:t>账 号：44001400905050077801</w:t>
      </w:r>
    </w:p>
    <w:p>
      <w:pPr>
        <w:numPr>
          <w:ilvl w:val="255"/>
          <w:numId w:val="0"/>
        </w:numPr>
        <w:tabs>
          <w:tab w:val="left" w:pos="360"/>
        </w:tabs>
        <w:spacing w:line="360" w:lineRule="auto"/>
        <w:ind w:firstLine="420"/>
        <w:rPr>
          <w:color w:val="auto"/>
          <w:szCs w:val="21"/>
          <w:highlight w:val="none"/>
        </w:rPr>
      </w:pPr>
      <w:r>
        <w:rPr>
          <w:rFonts w:hint="eastAsia"/>
          <w:color w:val="auto"/>
          <w:szCs w:val="21"/>
          <w:highlight w:val="none"/>
        </w:rPr>
        <w:t>说明：投标登记表务必提供投标人公司名称、纳税人识别号（或统一社会信用代码）并发送至指定电子邮箱，招标人会开具电子发票并通过电子邮箱发送给投标人，否则电子发票无法开具和及时发送。</w:t>
      </w:r>
    </w:p>
    <w:p>
      <w:pPr>
        <w:numPr>
          <w:ilvl w:val="0"/>
          <w:numId w:val="1"/>
        </w:numPr>
        <w:tabs>
          <w:tab w:val="left" w:pos="360"/>
        </w:tabs>
        <w:spacing w:line="360" w:lineRule="auto"/>
        <w:ind w:left="0" w:firstLine="420"/>
        <w:rPr>
          <w:color w:val="auto"/>
          <w:szCs w:val="21"/>
          <w:highlight w:val="none"/>
        </w:rPr>
      </w:pPr>
      <w:r>
        <w:rPr>
          <w:rFonts w:hint="eastAsia"/>
          <w:color w:val="auto"/>
          <w:szCs w:val="21"/>
          <w:highlight w:val="none"/>
        </w:rPr>
        <w:t xml:space="preserve">报名预登记：填写投标申请表（格式见本招标文件第一章附表）并加盖法人公章，连同标书款汇款凭证，扫描成PDF格式文件发送至招标方邮箱。招标方邮箱： </w:t>
      </w:r>
      <w:r>
        <w:rPr>
          <w:rFonts w:hint="eastAsia"/>
          <w:color w:val="auto"/>
          <w:highlight w:val="none"/>
        </w:rPr>
        <w:t>wyzbcg@nfmedia.com。</w:t>
      </w:r>
    </w:p>
    <w:p>
      <w:pPr>
        <w:pStyle w:val="4"/>
        <w:spacing w:line="360" w:lineRule="auto"/>
        <w:rPr>
          <w:color w:val="auto"/>
          <w:highlight w:val="none"/>
        </w:rPr>
      </w:pPr>
      <w:bookmarkStart w:id="163" w:name="_Toc17012"/>
      <w:bookmarkStart w:id="164" w:name="_Toc7791"/>
      <w:bookmarkStart w:id="165" w:name="_Toc28164"/>
      <w:bookmarkStart w:id="166" w:name="_Toc496601925"/>
      <w:bookmarkStart w:id="167" w:name="_Toc5711"/>
      <w:bookmarkStart w:id="168" w:name="_Toc28791"/>
      <w:bookmarkStart w:id="169" w:name="_Toc32494"/>
      <w:bookmarkStart w:id="170" w:name="_Toc14845"/>
      <w:bookmarkStart w:id="171" w:name="_Toc19390"/>
      <w:bookmarkStart w:id="172" w:name="_Toc17686"/>
      <w:bookmarkStart w:id="173" w:name="_Toc17271"/>
      <w:bookmarkStart w:id="174" w:name="_Toc25486"/>
      <w:bookmarkStart w:id="175" w:name="_Toc435178359"/>
      <w:bookmarkStart w:id="176" w:name="_Toc1755"/>
      <w:bookmarkStart w:id="177" w:name="_Toc436215716"/>
      <w:bookmarkStart w:id="178" w:name="_Toc11824"/>
      <w:bookmarkStart w:id="179" w:name="_Toc22700"/>
      <w:bookmarkStart w:id="180" w:name="_Toc5111"/>
      <w:bookmarkStart w:id="181" w:name="_Toc25407"/>
      <w:bookmarkStart w:id="182" w:name="_Toc10695"/>
      <w:bookmarkStart w:id="183" w:name="_Toc9104"/>
      <w:bookmarkStart w:id="184" w:name="_Toc28219"/>
      <w:bookmarkStart w:id="185" w:name="_Toc6083"/>
      <w:bookmarkStart w:id="186" w:name="_Toc7580"/>
      <w:bookmarkStart w:id="187" w:name="_Toc12501"/>
      <w:bookmarkStart w:id="188" w:name="_Toc8920"/>
      <w:r>
        <w:rPr>
          <w:rFonts w:hint="eastAsia"/>
          <w:color w:val="auto"/>
          <w:highlight w:val="none"/>
        </w:rPr>
        <w:t>5</w:t>
      </w:r>
      <w:r>
        <w:rPr>
          <w:color w:val="auto"/>
          <w:highlight w:val="none"/>
        </w:rPr>
        <w:t>.</w:t>
      </w:r>
      <w:r>
        <w:rPr>
          <w:rFonts w:hint="eastAsia"/>
          <w:color w:val="auto"/>
          <w:highlight w:val="none"/>
        </w:rPr>
        <w:t>投标文件递交</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Start w:id="189" w:name="OLE_LINK8"/>
    </w:p>
    <w:p>
      <w:pPr>
        <w:numPr>
          <w:ilvl w:val="0"/>
          <w:numId w:val="2"/>
        </w:numPr>
        <w:autoSpaceDE w:val="0"/>
        <w:autoSpaceDN w:val="0"/>
        <w:adjustRightInd w:val="0"/>
        <w:spacing w:line="360" w:lineRule="auto"/>
        <w:ind w:left="0" w:firstLine="426"/>
        <w:jc w:val="left"/>
        <w:rPr>
          <w:rFonts w:hint="eastAsia" w:ascii="宋体" w:hAnsi="宋体" w:cs="宋体"/>
          <w:color w:val="auto"/>
          <w:kern w:val="0"/>
          <w:szCs w:val="21"/>
          <w:highlight w:val="none"/>
        </w:rPr>
      </w:pPr>
      <w:r>
        <w:rPr>
          <w:rFonts w:ascii="宋体" w:hAnsi="宋体" w:cs="宋体"/>
          <w:color w:val="auto"/>
          <w:kern w:val="0"/>
          <w:szCs w:val="21"/>
          <w:highlight w:val="none"/>
        </w:rPr>
        <w:t>投标文件递交</w:t>
      </w:r>
      <w:r>
        <w:rPr>
          <w:rFonts w:hint="eastAsia" w:ascii="宋体" w:hAnsi="宋体" w:cs="宋体"/>
          <w:color w:val="auto"/>
          <w:kern w:val="0"/>
          <w:szCs w:val="21"/>
          <w:highlight w:val="none"/>
        </w:rPr>
        <w:t>时间为</w:t>
      </w:r>
      <w:r>
        <w:rPr>
          <w:rFonts w:hint="eastAsia" w:ascii="宋体" w:hAnsi="宋体"/>
          <w:color w:val="auto"/>
          <w:szCs w:val="21"/>
          <w:highlight w:val="none"/>
          <w:u w:val="single"/>
        </w:rPr>
        <w:t>2025</w:t>
      </w:r>
      <w:r>
        <w:rPr>
          <w:rFonts w:hint="eastAsia"/>
          <w:color w:val="auto"/>
          <w:szCs w:val="21"/>
          <w:highlight w:val="none"/>
          <w:u w:val="single"/>
        </w:rPr>
        <w:t>年6月3日9时00分</w:t>
      </w:r>
      <w:r>
        <w:rPr>
          <w:rFonts w:hint="eastAsia"/>
          <w:color w:val="auto"/>
          <w:szCs w:val="21"/>
          <w:highlight w:val="none"/>
        </w:rPr>
        <w:t>至</w:t>
      </w:r>
      <w:r>
        <w:rPr>
          <w:rFonts w:hint="eastAsia"/>
          <w:color w:val="auto"/>
          <w:szCs w:val="21"/>
          <w:highlight w:val="none"/>
          <w:u w:val="single"/>
        </w:rPr>
        <w:t>2025年6月3日10时00分</w:t>
      </w:r>
      <w:r>
        <w:rPr>
          <w:rFonts w:hint="eastAsia"/>
          <w:color w:val="auto"/>
          <w:szCs w:val="21"/>
          <w:highlight w:val="none"/>
        </w:rPr>
        <w:t>。</w:t>
      </w:r>
    </w:p>
    <w:p>
      <w:pPr>
        <w:numPr>
          <w:ilvl w:val="0"/>
          <w:numId w:val="2"/>
        </w:numPr>
        <w:autoSpaceDE w:val="0"/>
        <w:autoSpaceDN w:val="0"/>
        <w:adjustRightInd w:val="0"/>
        <w:spacing w:line="360" w:lineRule="auto"/>
        <w:ind w:left="0" w:firstLine="426"/>
        <w:jc w:val="left"/>
        <w:rPr>
          <w:rFonts w:hint="eastAsia" w:ascii="宋体" w:hAnsi="宋体" w:cs="宋体"/>
          <w:color w:val="auto"/>
          <w:kern w:val="0"/>
          <w:szCs w:val="21"/>
          <w:highlight w:val="none"/>
        </w:rPr>
      </w:pPr>
      <w:r>
        <w:rPr>
          <w:rFonts w:ascii="宋体" w:hAnsi="宋体" w:cs="宋体"/>
          <w:color w:val="auto"/>
          <w:kern w:val="0"/>
          <w:szCs w:val="21"/>
          <w:highlight w:val="none"/>
        </w:rPr>
        <w:t>投标文件递交的截止时间（投标截止时间，下同）为</w:t>
      </w:r>
      <w:r>
        <w:rPr>
          <w:rFonts w:hint="eastAsia" w:ascii="宋体" w:hAnsi="宋体"/>
          <w:color w:val="auto"/>
          <w:szCs w:val="21"/>
          <w:highlight w:val="none"/>
          <w:u w:val="single"/>
        </w:rPr>
        <w:t>2025年6月3日10时00分</w:t>
      </w:r>
      <w:r>
        <w:rPr>
          <w:rFonts w:ascii="宋体" w:hAnsi="宋体" w:cs="宋体"/>
          <w:color w:val="auto"/>
          <w:kern w:val="0"/>
          <w:szCs w:val="21"/>
          <w:highlight w:val="none"/>
        </w:rPr>
        <w:t>，地点为</w:t>
      </w:r>
      <w:r>
        <w:rPr>
          <w:rFonts w:hint="eastAsia" w:ascii="宋体" w:hAnsi="宋体"/>
          <w:color w:val="auto"/>
          <w:szCs w:val="21"/>
          <w:highlight w:val="none"/>
          <w:u w:val="single"/>
        </w:rPr>
        <w:t>广州市广州大道中289号南方报业传媒集团正门备勤室</w:t>
      </w:r>
      <w:r>
        <w:rPr>
          <w:rFonts w:hint="eastAsia"/>
          <w:color w:val="auto"/>
          <w:szCs w:val="21"/>
          <w:highlight w:val="none"/>
        </w:rPr>
        <w:t>。</w:t>
      </w:r>
      <w:r>
        <w:rPr>
          <w:rFonts w:hint="eastAsia" w:ascii="宋体" w:hAnsi="宋体" w:cs="宋体"/>
          <w:color w:val="auto"/>
          <w:kern w:val="0"/>
          <w:szCs w:val="21"/>
          <w:highlight w:val="none"/>
        </w:rPr>
        <w:t xml:space="preserve"> </w:t>
      </w:r>
    </w:p>
    <w:p>
      <w:pPr>
        <w:numPr>
          <w:ilvl w:val="0"/>
          <w:numId w:val="2"/>
        </w:numPr>
        <w:autoSpaceDE w:val="0"/>
        <w:autoSpaceDN w:val="0"/>
        <w:adjustRightInd w:val="0"/>
        <w:spacing w:line="360" w:lineRule="auto"/>
        <w:ind w:left="0" w:firstLine="426"/>
        <w:jc w:val="left"/>
        <w:rPr>
          <w:rFonts w:hint="eastAsia" w:ascii="宋体" w:hAnsi="宋体" w:cs="宋体"/>
          <w:color w:val="auto"/>
          <w:kern w:val="0"/>
          <w:szCs w:val="21"/>
          <w:highlight w:val="none"/>
        </w:rPr>
      </w:pPr>
      <w:r>
        <w:rPr>
          <w:rFonts w:ascii="宋体" w:hAnsi="宋体" w:cs="宋体"/>
          <w:color w:val="auto"/>
          <w:kern w:val="0"/>
          <w:szCs w:val="21"/>
          <w:highlight w:val="none"/>
        </w:rPr>
        <w:t>逾期送达的、未送达指定地点的或者不按照招标文件要求密封的投标文件，招标人将予以拒收。</w:t>
      </w:r>
    </w:p>
    <w:p>
      <w:pPr>
        <w:numPr>
          <w:ilvl w:val="0"/>
          <w:numId w:val="2"/>
        </w:numPr>
        <w:autoSpaceDE w:val="0"/>
        <w:autoSpaceDN w:val="0"/>
        <w:adjustRightInd w:val="0"/>
        <w:spacing w:line="360" w:lineRule="auto"/>
        <w:ind w:left="0" w:firstLine="426"/>
        <w:jc w:val="left"/>
        <w:rPr>
          <w:rFonts w:hint="eastAsia" w:ascii="宋体" w:hAnsi="宋体" w:cs="宋体"/>
          <w:color w:val="auto"/>
          <w:kern w:val="0"/>
          <w:szCs w:val="21"/>
          <w:highlight w:val="none"/>
        </w:rPr>
      </w:pPr>
      <w:r>
        <w:rPr>
          <w:rFonts w:hint="eastAsia"/>
          <w:color w:val="auto"/>
          <w:szCs w:val="21"/>
          <w:highlight w:val="none"/>
        </w:rPr>
        <w:t>本项目不接受投标人以快递的形式递交投标文件。</w:t>
      </w:r>
    </w:p>
    <w:p>
      <w:pPr>
        <w:pStyle w:val="4"/>
        <w:spacing w:line="360" w:lineRule="auto"/>
        <w:rPr>
          <w:color w:val="auto"/>
          <w:highlight w:val="none"/>
        </w:rPr>
      </w:pPr>
      <w:bookmarkStart w:id="190" w:name="_Toc31504"/>
      <w:bookmarkStart w:id="191" w:name="_Toc2435"/>
      <w:bookmarkStart w:id="192" w:name="_Toc22932"/>
      <w:bookmarkStart w:id="193" w:name="_Toc28102"/>
      <w:bookmarkStart w:id="194" w:name="_Toc25026"/>
      <w:bookmarkStart w:id="195" w:name="_Toc27650"/>
      <w:bookmarkStart w:id="196" w:name="_Toc21392"/>
      <w:bookmarkStart w:id="197" w:name="_Toc4375"/>
      <w:bookmarkStart w:id="198" w:name="_Toc13023"/>
      <w:bookmarkStart w:id="199" w:name="_Toc2329"/>
      <w:bookmarkStart w:id="200" w:name="_Toc4771"/>
      <w:bookmarkStart w:id="201" w:name="_Toc2778"/>
      <w:bookmarkStart w:id="202" w:name="_Toc22609"/>
      <w:bookmarkStart w:id="203" w:name="_Toc31234"/>
      <w:bookmarkStart w:id="204" w:name="_Toc496601926"/>
      <w:bookmarkStart w:id="205" w:name="_Toc7529"/>
      <w:bookmarkStart w:id="206" w:name="_Toc7710"/>
      <w:bookmarkStart w:id="207" w:name="_Toc27837"/>
      <w:bookmarkStart w:id="208" w:name="_Toc22544"/>
      <w:bookmarkStart w:id="209" w:name="_Toc13917"/>
      <w:bookmarkStart w:id="210" w:name="_Toc2148"/>
      <w:bookmarkStart w:id="211" w:name="_Toc12948"/>
      <w:bookmarkStart w:id="212" w:name="_Toc21214"/>
      <w:bookmarkStart w:id="213" w:name="_Toc10434"/>
      <w:r>
        <w:rPr>
          <w:rFonts w:hint="eastAsia"/>
          <w:color w:val="auto"/>
          <w:highlight w:val="none"/>
        </w:rPr>
        <w:t>6. 开标时间与地点</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p>
    <w:p>
      <w:pPr>
        <w:numPr>
          <w:ilvl w:val="1"/>
          <w:numId w:val="3"/>
        </w:numPr>
        <w:autoSpaceDE w:val="0"/>
        <w:autoSpaceDN w:val="0"/>
        <w:adjustRightInd w:val="0"/>
        <w:spacing w:line="360" w:lineRule="auto"/>
        <w:rPr>
          <w:rFonts w:hint="eastAsia" w:ascii="宋体" w:hAnsi="宋体"/>
          <w:color w:val="auto"/>
          <w:szCs w:val="21"/>
          <w:highlight w:val="none"/>
        </w:rPr>
      </w:pPr>
      <w:r>
        <w:rPr>
          <w:rFonts w:hint="eastAsia" w:ascii="宋体" w:hAnsi="宋体" w:cs="宋体"/>
          <w:color w:val="auto"/>
          <w:kern w:val="0"/>
          <w:szCs w:val="21"/>
          <w:highlight w:val="none"/>
          <w:lang w:val="zh-CN"/>
        </w:rPr>
        <w:t>开标时间：</w:t>
      </w:r>
      <w:r>
        <w:rPr>
          <w:rFonts w:hint="eastAsia" w:ascii="宋体" w:hAnsi="宋体"/>
          <w:color w:val="auto"/>
          <w:szCs w:val="21"/>
          <w:highlight w:val="none"/>
          <w:u w:val="single"/>
          <w:lang w:val="zh-CN"/>
        </w:rPr>
        <w:t>20</w:t>
      </w:r>
      <w:r>
        <w:rPr>
          <w:rFonts w:hint="eastAsia" w:ascii="宋体" w:hAnsi="宋体"/>
          <w:color w:val="auto"/>
          <w:szCs w:val="21"/>
          <w:highlight w:val="none"/>
          <w:u w:val="single"/>
        </w:rPr>
        <w:t>25</w:t>
      </w:r>
      <w:r>
        <w:rPr>
          <w:rFonts w:hint="eastAsia" w:ascii="宋体" w:hAnsi="宋体"/>
          <w:color w:val="auto"/>
          <w:szCs w:val="21"/>
          <w:highlight w:val="none"/>
          <w:u w:val="single"/>
          <w:lang w:val="zh-CN"/>
        </w:rPr>
        <w:t>年</w:t>
      </w:r>
      <w:r>
        <w:rPr>
          <w:rFonts w:hint="eastAsia" w:ascii="宋体" w:hAnsi="宋体"/>
          <w:color w:val="auto"/>
          <w:szCs w:val="21"/>
          <w:highlight w:val="none"/>
          <w:u w:val="single"/>
        </w:rPr>
        <w:t>6</w:t>
      </w:r>
      <w:r>
        <w:rPr>
          <w:rFonts w:hint="eastAsia" w:ascii="宋体" w:hAnsi="宋体"/>
          <w:color w:val="auto"/>
          <w:szCs w:val="21"/>
          <w:highlight w:val="none"/>
          <w:u w:val="single"/>
          <w:lang w:val="zh-CN"/>
        </w:rPr>
        <w:t>月</w:t>
      </w:r>
      <w:r>
        <w:rPr>
          <w:rFonts w:hint="eastAsia" w:ascii="宋体" w:hAnsi="宋体"/>
          <w:color w:val="auto"/>
          <w:szCs w:val="21"/>
          <w:highlight w:val="none"/>
          <w:u w:val="single"/>
        </w:rPr>
        <w:t>3</w:t>
      </w:r>
      <w:r>
        <w:rPr>
          <w:rFonts w:hint="eastAsia" w:ascii="宋体" w:hAnsi="宋体"/>
          <w:color w:val="auto"/>
          <w:szCs w:val="21"/>
          <w:highlight w:val="none"/>
          <w:u w:val="single"/>
          <w:lang w:val="zh-CN"/>
        </w:rPr>
        <w:t>日</w:t>
      </w:r>
      <w:r>
        <w:rPr>
          <w:rFonts w:hint="eastAsia" w:ascii="宋体" w:hAnsi="宋体"/>
          <w:color w:val="auto"/>
          <w:szCs w:val="21"/>
          <w:highlight w:val="none"/>
          <w:u w:val="single"/>
        </w:rPr>
        <w:t>10</w:t>
      </w:r>
      <w:r>
        <w:rPr>
          <w:rFonts w:hint="eastAsia" w:ascii="宋体" w:hAnsi="宋体"/>
          <w:color w:val="auto"/>
          <w:szCs w:val="21"/>
          <w:highlight w:val="none"/>
          <w:u w:val="single"/>
          <w:lang w:val="zh-CN"/>
        </w:rPr>
        <w:t>时</w:t>
      </w:r>
      <w:r>
        <w:rPr>
          <w:rFonts w:hint="eastAsia" w:ascii="宋体" w:hAnsi="宋体"/>
          <w:color w:val="auto"/>
          <w:szCs w:val="21"/>
          <w:highlight w:val="none"/>
          <w:u w:val="single"/>
        </w:rPr>
        <w:t>0</w:t>
      </w:r>
      <w:r>
        <w:rPr>
          <w:rFonts w:hint="eastAsia" w:ascii="宋体" w:hAnsi="宋体"/>
          <w:color w:val="auto"/>
          <w:szCs w:val="21"/>
          <w:highlight w:val="none"/>
          <w:u w:val="single"/>
          <w:lang w:val="zh-CN"/>
        </w:rPr>
        <w:t>0分</w:t>
      </w:r>
      <w:r>
        <w:rPr>
          <w:rFonts w:hint="eastAsia" w:ascii="宋体" w:hAnsi="宋体" w:cs="宋体"/>
          <w:color w:val="auto"/>
          <w:kern w:val="0"/>
          <w:szCs w:val="21"/>
          <w:highlight w:val="none"/>
          <w:lang w:val="zh-CN"/>
        </w:rPr>
        <w:t>。</w:t>
      </w:r>
    </w:p>
    <w:p>
      <w:pPr>
        <w:numPr>
          <w:ilvl w:val="1"/>
          <w:numId w:val="3"/>
        </w:numPr>
        <w:autoSpaceDE w:val="0"/>
        <w:autoSpaceDN w:val="0"/>
        <w:adjustRightInd w:val="0"/>
        <w:spacing w:line="360" w:lineRule="auto"/>
        <w:rPr>
          <w:rFonts w:hint="eastAsia" w:ascii="宋体" w:hAnsi="宋体" w:cs="宋体"/>
          <w:color w:val="auto"/>
          <w:kern w:val="0"/>
          <w:szCs w:val="21"/>
          <w:highlight w:val="none"/>
          <w:lang w:val="zh-CN"/>
        </w:rPr>
      </w:pPr>
      <w:r>
        <w:rPr>
          <w:rFonts w:hint="eastAsia" w:ascii="宋体" w:hAnsi="宋体" w:cs="宋体"/>
          <w:color w:val="auto"/>
          <w:kern w:val="0"/>
          <w:szCs w:val="21"/>
          <w:highlight w:val="none"/>
          <w:lang w:val="zh-CN"/>
        </w:rPr>
        <w:t>开标地点：</w:t>
      </w:r>
      <w:r>
        <w:rPr>
          <w:rFonts w:hint="eastAsia" w:ascii="宋体" w:hAnsi="宋体"/>
          <w:color w:val="auto"/>
          <w:szCs w:val="21"/>
          <w:highlight w:val="none"/>
          <w:u w:val="single"/>
        </w:rPr>
        <w:t>广州市广州大道中289号南方报业传媒集团正门备勤室</w:t>
      </w:r>
      <w:r>
        <w:rPr>
          <w:rFonts w:ascii="宋体" w:hAnsi="宋体" w:cs="宋体"/>
          <w:color w:val="auto"/>
          <w:kern w:val="0"/>
          <w:szCs w:val="21"/>
          <w:highlight w:val="none"/>
          <w:lang w:val="zh-CN"/>
        </w:rPr>
        <w:t>。</w:t>
      </w:r>
      <w:r>
        <w:rPr>
          <w:rFonts w:hint="eastAsia" w:ascii="宋体" w:hAnsi="宋体" w:cs="宋体"/>
          <w:color w:val="auto"/>
          <w:kern w:val="0"/>
          <w:szCs w:val="21"/>
          <w:highlight w:val="none"/>
        </w:rPr>
        <w:t xml:space="preserve"> </w:t>
      </w:r>
    </w:p>
    <w:bookmarkEnd w:id="130"/>
    <w:bookmarkEnd w:id="131"/>
    <w:bookmarkEnd w:id="132"/>
    <w:bookmarkEnd w:id="133"/>
    <w:bookmarkEnd w:id="134"/>
    <w:bookmarkEnd w:id="135"/>
    <w:bookmarkEnd w:id="136"/>
    <w:bookmarkEnd w:id="189"/>
    <w:p>
      <w:pPr>
        <w:pStyle w:val="4"/>
        <w:spacing w:line="360" w:lineRule="auto"/>
        <w:rPr>
          <w:color w:val="auto"/>
          <w:highlight w:val="none"/>
        </w:rPr>
      </w:pPr>
      <w:bookmarkStart w:id="214" w:name="_Toc30026"/>
      <w:bookmarkStart w:id="215" w:name="_Toc26447"/>
      <w:bookmarkStart w:id="216" w:name="_Toc10260"/>
      <w:bookmarkStart w:id="217" w:name="_Toc32335"/>
      <w:bookmarkStart w:id="218" w:name="_Toc12162"/>
      <w:bookmarkStart w:id="219" w:name="_Toc496601927"/>
      <w:bookmarkStart w:id="220" w:name="_Toc22126"/>
      <w:bookmarkStart w:id="221" w:name="_Toc8439"/>
      <w:bookmarkStart w:id="222" w:name="_Toc21653"/>
      <w:bookmarkStart w:id="223" w:name="_Toc16615"/>
      <w:bookmarkStart w:id="224" w:name="_Toc436215717"/>
      <w:bookmarkStart w:id="225" w:name="_Toc179632533"/>
      <w:bookmarkStart w:id="226" w:name="_Toc13161"/>
      <w:bookmarkStart w:id="227" w:name="_Toc246996906"/>
      <w:bookmarkStart w:id="228" w:name="_Toc32718"/>
      <w:bookmarkStart w:id="229" w:name="_Toc11056"/>
      <w:bookmarkStart w:id="230" w:name="_Toc865"/>
      <w:bookmarkStart w:id="231" w:name="_Toc150"/>
      <w:bookmarkStart w:id="232" w:name="_Toc10764"/>
      <w:bookmarkStart w:id="233" w:name="_Toc15153"/>
      <w:bookmarkStart w:id="234" w:name="_Toc157499355"/>
      <w:bookmarkStart w:id="235" w:name="_Toc27587"/>
      <w:bookmarkStart w:id="236" w:name="_Toc12416"/>
      <w:bookmarkStart w:id="237" w:name="_Toc247085677"/>
      <w:bookmarkStart w:id="238" w:name="_Toc13598"/>
      <w:bookmarkStart w:id="239" w:name="_Toc31660"/>
      <w:bookmarkStart w:id="240" w:name="_Toc5710"/>
      <w:bookmarkStart w:id="241" w:name="_Toc30190"/>
      <w:bookmarkStart w:id="242" w:name="_Toc435178360"/>
      <w:bookmarkStart w:id="243" w:name="_Toc246996163"/>
      <w:bookmarkStart w:id="244" w:name="_Toc20980"/>
      <w:r>
        <w:rPr>
          <w:rFonts w:hint="eastAsia"/>
          <w:color w:val="auto"/>
          <w:highlight w:val="none"/>
        </w:rPr>
        <w:t>7. 发布公告的媒介</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pPr>
        <w:spacing w:line="360" w:lineRule="auto"/>
        <w:ind w:firstLine="420" w:firstLineChars="200"/>
        <w:rPr>
          <w:color w:val="auto"/>
          <w:highlight w:val="none"/>
        </w:rPr>
      </w:pPr>
      <w:r>
        <w:rPr>
          <w:rFonts w:hint="eastAsia"/>
          <w:color w:val="auto"/>
          <w:highlight w:val="none"/>
        </w:rPr>
        <w:t>本次招标公告同时在</w:t>
      </w:r>
      <w:r>
        <w:rPr>
          <w:rFonts w:hint="eastAsia"/>
          <w:color w:val="auto"/>
          <w:highlight w:val="none"/>
          <w:u w:val="single"/>
        </w:rPr>
        <w:t>南方日报、招标人网站（http://zbtb.southcn.com/）、中国招投标公共服务平台（http://www.cebpubservice.com）</w:t>
      </w:r>
      <w:r>
        <w:rPr>
          <w:rFonts w:hint="eastAsia"/>
          <w:color w:val="auto"/>
          <w:highlight w:val="none"/>
        </w:rPr>
        <w:t>上发布。</w:t>
      </w:r>
    </w:p>
    <w:p>
      <w:pPr>
        <w:pStyle w:val="4"/>
        <w:spacing w:line="360" w:lineRule="auto"/>
        <w:rPr>
          <w:color w:val="auto"/>
          <w:highlight w:val="none"/>
        </w:rPr>
      </w:pPr>
      <w:bookmarkStart w:id="245" w:name="_Toc6588"/>
      <w:bookmarkStart w:id="246" w:name="_Toc16593"/>
      <w:bookmarkStart w:id="247" w:name="_Toc14920"/>
      <w:bookmarkStart w:id="248" w:name="_Toc10361"/>
      <w:bookmarkStart w:id="249" w:name="_Toc436215718"/>
      <w:bookmarkStart w:id="250" w:name="_Toc247085678"/>
      <w:bookmarkStart w:id="251" w:name="_Toc496601928"/>
      <w:bookmarkStart w:id="252" w:name="_Toc21846"/>
      <w:bookmarkStart w:id="253" w:name="_Toc23825"/>
      <w:bookmarkStart w:id="254" w:name="_Toc144974485"/>
      <w:bookmarkStart w:id="255" w:name="_Toc22017"/>
      <w:bookmarkStart w:id="256" w:name="_Toc26514"/>
      <w:bookmarkStart w:id="257" w:name="_Toc152045517"/>
      <w:bookmarkStart w:id="258" w:name="_Toc21933"/>
      <w:bookmarkStart w:id="259" w:name="_Toc795"/>
      <w:bookmarkStart w:id="260" w:name="_Toc30551"/>
      <w:bookmarkStart w:id="261" w:name="_Toc25027"/>
      <w:bookmarkStart w:id="262" w:name="_Toc30272"/>
      <w:bookmarkStart w:id="263" w:name="_Toc246996164"/>
      <w:bookmarkStart w:id="264" w:name="_Toc15178"/>
      <w:bookmarkStart w:id="265" w:name="_Toc9969"/>
      <w:bookmarkStart w:id="266" w:name="_Toc1745"/>
      <w:bookmarkStart w:id="267" w:name="_Toc7823"/>
      <w:bookmarkStart w:id="268" w:name="_Toc23654"/>
      <w:bookmarkStart w:id="269" w:name="_Toc179632534"/>
      <w:bookmarkStart w:id="270" w:name="_Toc435178361"/>
      <w:bookmarkStart w:id="271" w:name="_Toc246996907"/>
      <w:bookmarkStart w:id="272" w:name="_Toc24333"/>
      <w:bookmarkStart w:id="273" w:name="_Toc22689"/>
      <w:bookmarkStart w:id="274" w:name="_Toc152042293"/>
      <w:bookmarkStart w:id="275" w:name="_Toc26377"/>
      <w:bookmarkStart w:id="276" w:name="_Toc6945"/>
      <w:bookmarkStart w:id="277" w:name="_Toc19323"/>
      <w:r>
        <w:rPr>
          <w:rFonts w:hint="eastAsia"/>
          <w:color w:val="auto"/>
          <w:highlight w:val="none"/>
        </w:rPr>
        <w:t>8</w:t>
      </w:r>
      <w:r>
        <w:rPr>
          <w:color w:val="auto"/>
          <w:highlight w:val="none"/>
        </w:rPr>
        <w:t>. 联系方式</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pPr>
        <w:topLinePunct/>
        <w:spacing w:line="360" w:lineRule="auto"/>
        <w:ind w:firstLine="420" w:firstLineChars="200"/>
        <w:rPr>
          <w:color w:val="auto"/>
          <w:szCs w:val="21"/>
          <w:highlight w:val="none"/>
        </w:rPr>
      </w:pPr>
      <w:r>
        <w:rPr>
          <w:color w:val="auto"/>
          <w:szCs w:val="21"/>
          <w:highlight w:val="none"/>
        </w:rPr>
        <w:t>招 标 人：</w:t>
      </w:r>
      <w:r>
        <w:rPr>
          <w:rFonts w:hint="eastAsia"/>
          <w:color w:val="auto"/>
          <w:szCs w:val="21"/>
          <w:highlight w:val="none"/>
          <w:u w:val="single"/>
        </w:rPr>
        <w:t>广东南方报业传媒集团物业管理有限公司</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地    址：</w:t>
      </w:r>
      <w:r>
        <w:rPr>
          <w:rFonts w:hint="eastAsia"/>
          <w:color w:val="auto"/>
          <w:szCs w:val="21"/>
          <w:highlight w:val="none"/>
          <w:u w:val="single"/>
        </w:rPr>
        <w:t>广州大道中289号南方报业传媒集团</w:t>
      </w:r>
      <w:r>
        <w:rPr>
          <w:color w:val="auto"/>
          <w:szCs w:val="21"/>
          <w:highlight w:val="none"/>
        </w:rPr>
        <w:tab/>
      </w:r>
      <w:r>
        <w:rPr>
          <w:rFonts w:hint="eastAsia"/>
          <w:color w:val="auto"/>
          <w:szCs w:val="21"/>
          <w:highlight w:val="non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邮    编：</w:t>
      </w:r>
      <w:r>
        <w:rPr>
          <w:rFonts w:hint="eastAsia"/>
          <w:color w:val="auto"/>
          <w:szCs w:val="21"/>
          <w:highlight w:val="none"/>
          <w:u w:val="single"/>
        </w:rPr>
        <w:t>510601</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联 系 人：</w:t>
      </w:r>
      <w:r>
        <w:rPr>
          <w:rFonts w:hint="eastAsia"/>
          <w:color w:val="auto"/>
          <w:szCs w:val="21"/>
          <w:highlight w:val="none"/>
          <w:u w:val="single"/>
        </w:rPr>
        <w:t>陈小姐、凌先生</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电    话：</w:t>
      </w:r>
      <w:r>
        <w:rPr>
          <w:rFonts w:hint="eastAsia"/>
          <w:color w:val="auto"/>
          <w:szCs w:val="21"/>
          <w:highlight w:val="none"/>
          <w:u w:val="single"/>
        </w:rPr>
        <w:t>020-83004525、13556169802</w:t>
      </w:r>
    </w:p>
    <w:p>
      <w:pPr>
        <w:topLinePunct/>
        <w:spacing w:line="360" w:lineRule="auto"/>
        <w:ind w:firstLine="420" w:firstLineChars="200"/>
        <w:rPr>
          <w:color w:val="auto"/>
          <w:szCs w:val="21"/>
          <w:highlight w:val="none"/>
        </w:rPr>
      </w:pPr>
      <w:r>
        <w:rPr>
          <w:color w:val="auto"/>
          <w:szCs w:val="21"/>
          <w:highlight w:val="none"/>
        </w:rPr>
        <w:t>电子邮件：</w:t>
      </w:r>
      <w:r>
        <w:rPr>
          <w:rFonts w:hint="eastAsia" w:ascii="宋体" w:hAnsi="宋体"/>
          <w:color w:val="auto"/>
          <w:highlight w:val="none"/>
          <w:u w:val="single"/>
        </w:rPr>
        <w:t>wyzbcg@nfmedia.com</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网    址：</w:t>
      </w:r>
      <w:r>
        <w:rPr>
          <w:rFonts w:hint="eastAsia"/>
          <w:color w:val="auto"/>
          <w:szCs w:val="21"/>
          <w:highlight w:val="none"/>
          <w:u w:val="single"/>
        </w:rPr>
        <w:t xml:space="preserve">http://zbtb.southcn.com/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开户银行：</w:t>
      </w:r>
      <w:r>
        <w:rPr>
          <w:rFonts w:hint="eastAsia" w:ascii="宋体" w:hAnsi="宋体"/>
          <w:color w:val="auto"/>
          <w:highlight w:val="none"/>
          <w:u w:val="single"/>
        </w:rPr>
        <w:t>中国建设银行股份有限公司广州五羊新城支行</w:t>
      </w:r>
      <w:r>
        <w:rPr>
          <w:color w:val="auto"/>
          <w:szCs w:val="21"/>
          <w:highlight w:val="none"/>
        </w:rPr>
        <w:t xml:space="preserve">       </w:t>
      </w:r>
    </w:p>
    <w:p>
      <w:pPr>
        <w:spacing w:line="360" w:lineRule="auto"/>
        <w:ind w:firstLine="420" w:firstLineChars="200"/>
        <w:rPr>
          <w:color w:val="auto"/>
          <w:szCs w:val="21"/>
          <w:highlight w:val="none"/>
        </w:rPr>
      </w:pPr>
      <w:r>
        <w:rPr>
          <w:rFonts w:hint="eastAsia"/>
          <w:color w:val="auto"/>
          <w:szCs w:val="21"/>
          <w:highlight w:val="none"/>
        </w:rPr>
        <w:t>账</w:t>
      </w:r>
      <w:r>
        <w:rPr>
          <w:color w:val="auto"/>
          <w:szCs w:val="21"/>
          <w:highlight w:val="none"/>
        </w:rPr>
        <w:t xml:space="preserve">    号：</w:t>
      </w:r>
      <w:r>
        <w:rPr>
          <w:rFonts w:ascii="宋体" w:hAnsi="宋体"/>
          <w:color w:val="auto"/>
          <w:highlight w:val="none"/>
          <w:u w:val="single"/>
        </w:rPr>
        <w:t>44001400905050077801</w:t>
      </w:r>
      <w:r>
        <w:rPr>
          <w:color w:val="auto"/>
          <w:szCs w:val="21"/>
          <w:highlight w:val="none"/>
          <w:u w:val="single"/>
        </w:rPr>
        <w:t xml:space="preserve">    </w:t>
      </w:r>
      <w:r>
        <w:rPr>
          <w:color w:val="auto"/>
          <w:szCs w:val="21"/>
          <w:highlight w:val="none"/>
        </w:rPr>
        <w:t xml:space="preserve">        </w:t>
      </w:r>
    </w:p>
    <w:p>
      <w:pPr>
        <w:pStyle w:val="16"/>
        <w:rPr>
          <w:color w:val="auto"/>
          <w:highlight w:val="none"/>
        </w:rPr>
      </w:pPr>
    </w:p>
    <w:p>
      <w:pPr>
        <w:pStyle w:val="6"/>
        <w:rPr>
          <w:color w:val="auto"/>
          <w:highlight w:val="none"/>
        </w:rPr>
      </w:pPr>
    </w:p>
    <w:p>
      <w:pPr>
        <w:pStyle w:val="5"/>
        <w:rPr>
          <w:color w:val="auto"/>
          <w:highlight w:val="none"/>
        </w:rPr>
      </w:pPr>
      <w:r>
        <w:rPr>
          <w:color w:val="auto"/>
          <w:szCs w:val="21"/>
          <w:highlight w:val="none"/>
        </w:rPr>
        <w:t>　　　　　　　　　　　　　　　　</w:t>
      </w:r>
      <w:r>
        <w:rPr>
          <w:color w:val="auto"/>
          <w:sz w:val="24"/>
          <w:szCs w:val="18"/>
          <w:highlight w:val="none"/>
        </w:rPr>
        <w:t>　</w:t>
      </w:r>
      <w:r>
        <w:rPr>
          <w:rFonts w:hint="eastAsia"/>
          <w:b w:val="0"/>
          <w:bCs w:val="0"/>
          <w:color w:val="auto"/>
          <w:sz w:val="21"/>
          <w:szCs w:val="21"/>
          <w:highlight w:val="none"/>
          <w:u w:val="none"/>
        </w:rPr>
        <w:t>2025年5月12日</w:t>
      </w:r>
      <w:r>
        <w:rPr>
          <w:color w:val="auto"/>
          <w:sz w:val="24"/>
          <w:szCs w:val="18"/>
          <w:highlight w:val="none"/>
        </w:rPr>
        <w:t>　</w:t>
      </w:r>
      <w:r>
        <w:rPr>
          <w:color w:val="auto"/>
          <w:szCs w:val="21"/>
          <w:highlight w:val="none"/>
        </w:rPr>
        <w:t>　　　　　　</w:t>
      </w:r>
      <w:r>
        <w:rPr>
          <w:rFonts w:hint="eastAsia"/>
          <w:color w:val="auto"/>
          <w:szCs w:val="21"/>
          <w:highlight w:val="none"/>
        </w:rPr>
        <w:t xml:space="preserve">  </w:t>
      </w:r>
      <w:bookmarkStart w:id="278" w:name="_Toc435178362"/>
      <w:bookmarkStart w:id="279" w:name="_Toc433812702"/>
      <w:bookmarkStart w:id="280" w:name="_Toc436215719"/>
      <w:bookmarkStart w:id="281" w:name="_Toc436212714"/>
      <w:r>
        <w:rPr>
          <w:color w:val="auto"/>
          <w:highlight w:val="none"/>
        </w:rPr>
        <w:br w:type="page"/>
      </w:r>
      <w:bookmarkStart w:id="282" w:name="_Toc7787"/>
      <w:bookmarkStart w:id="283" w:name="_Toc24737"/>
      <w:bookmarkStart w:id="284" w:name="_Toc11898"/>
      <w:bookmarkStart w:id="285" w:name="_Toc22168"/>
      <w:bookmarkStart w:id="286" w:name="_Toc26927"/>
      <w:bookmarkStart w:id="287" w:name="_Toc15627"/>
      <w:bookmarkStart w:id="288" w:name="_Toc9968"/>
      <w:bookmarkStart w:id="289" w:name="_Toc496601929"/>
      <w:bookmarkStart w:id="290" w:name="_Toc8637"/>
      <w:r>
        <w:rPr>
          <w:rFonts w:hint="eastAsia"/>
          <w:color w:val="auto"/>
          <w:highlight w:val="none"/>
        </w:rPr>
        <w:t>附件：投标申请表</w:t>
      </w:r>
      <w:bookmarkEnd w:id="278"/>
      <w:bookmarkEnd w:id="279"/>
      <w:bookmarkEnd w:id="280"/>
      <w:bookmarkEnd w:id="281"/>
      <w:bookmarkEnd w:id="282"/>
      <w:bookmarkEnd w:id="283"/>
      <w:bookmarkEnd w:id="284"/>
      <w:bookmarkEnd w:id="285"/>
      <w:bookmarkEnd w:id="286"/>
      <w:bookmarkEnd w:id="287"/>
      <w:bookmarkEnd w:id="288"/>
      <w:bookmarkEnd w:id="289"/>
      <w:bookmarkEnd w:id="290"/>
    </w:p>
    <w:p>
      <w:pPr>
        <w:pStyle w:val="5"/>
        <w:jc w:val="center"/>
        <w:rPr>
          <w:color w:val="auto"/>
          <w:highlight w:val="none"/>
        </w:rPr>
      </w:pPr>
      <w:bookmarkStart w:id="291" w:name="_Toc23909"/>
      <w:bookmarkStart w:id="292" w:name="_Toc19624"/>
      <w:bookmarkStart w:id="293" w:name="_Toc433812703"/>
      <w:bookmarkStart w:id="294" w:name="_Toc431226068"/>
      <w:bookmarkStart w:id="295" w:name="_Toc10431"/>
      <w:bookmarkStart w:id="296" w:name="_Toc426113934"/>
      <w:bookmarkStart w:id="297" w:name="_Toc390852122"/>
      <w:bookmarkStart w:id="298" w:name="_Toc3294"/>
      <w:bookmarkStart w:id="299" w:name="_Toc436212715"/>
      <w:bookmarkStart w:id="300" w:name="_Toc514745769"/>
      <w:bookmarkStart w:id="301" w:name="_Toc421608092"/>
      <w:bookmarkStart w:id="302" w:name="_Toc387136949"/>
      <w:bookmarkStart w:id="303" w:name="_Toc437351808"/>
      <w:bookmarkStart w:id="304" w:name="_Toc435178363"/>
      <w:bookmarkStart w:id="305" w:name="_Toc9619"/>
      <w:bookmarkStart w:id="306" w:name="_Toc437351949"/>
      <w:bookmarkStart w:id="307" w:name="_Toc370403120"/>
      <w:bookmarkStart w:id="308" w:name="_Toc13961"/>
      <w:bookmarkStart w:id="309" w:name="_Toc20238"/>
      <w:bookmarkStart w:id="310" w:name="_Toc437348603"/>
      <w:bookmarkStart w:id="311" w:name="_Toc496601930"/>
      <w:bookmarkStart w:id="312" w:name="_Toc370404319"/>
      <w:bookmarkStart w:id="313" w:name="_Toc17098"/>
      <w:bookmarkStart w:id="314" w:name="_Toc8312"/>
      <w:bookmarkStart w:id="315" w:name="_Toc436215720"/>
      <w:r>
        <w:rPr>
          <w:rFonts w:hint="eastAsia"/>
          <w:color w:val="auto"/>
          <w:highlight w:val="none"/>
        </w:rPr>
        <w:t>投标申请表</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pPr>
        <w:pStyle w:val="60"/>
        <w:spacing w:line="360" w:lineRule="auto"/>
        <w:rPr>
          <w:color w:val="auto"/>
          <w:szCs w:val="21"/>
          <w:highlight w:val="none"/>
        </w:rPr>
      </w:pPr>
      <w:r>
        <w:rPr>
          <w:rFonts w:hint="eastAsia"/>
          <w:color w:val="auto"/>
          <w:szCs w:val="21"/>
          <w:highlight w:val="none"/>
        </w:rPr>
        <w:t>广东南方报业传媒集团物业管理有限公司：</w:t>
      </w:r>
    </w:p>
    <w:p>
      <w:pPr>
        <w:spacing w:line="360" w:lineRule="auto"/>
        <w:ind w:firstLine="420"/>
        <w:rPr>
          <w:color w:val="auto"/>
          <w:szCs w:val="21"/>
          <w:highlight w:val="none"/>
        </w:rPr>
      </w:pPr>
      <w:r>
        <w:rPr>
          <w:rFonts w:hint="eastAsia"/>
          <w:color w:val="auto"/>
          <w:szCs w:val="21"/>
          <w:highlight w:val="none"/>
        </w:rPr>
        <w:t>我公司已认真阅读本项目招标公告及相关资料，并确信已完全符合招标公告所列的报名条件和要求，愿以积极认真的态度申请参与投标，申请资料如下：</w:t>
      </w:r>
    </w:p>
    <w:p>
      <w:pPr>
        <w:spacing w:line="360" w:lineRule="auto"/>
        <w:rPr>
          <w:color w:val="auto"/>
          <w:szCs w:val="21"/>
          <w:highlight w:val="none"/>
        </w:rPr>
      </w:pP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项目编号</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项目名称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投标人全称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21"/>
                <w:highlight w:val="none"/>
              </w:rPr>
              <w:t>纳税人识别号（或统一社会信用代码）</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联系人</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联系电话</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传真</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vAlign w:val="center"/>
          </w:tcPr>
          <w:p>
            <w:pPr>
              <w:spacing w:line="360" w:lineRule="auto"/>
              <w:rPr>
                <w:color w:val="auto"/>
                <w:szCs w:val="30"/>
                <w:highlight w:val="none"/>
              </w:rPr>
            </w:pPr>
            <w:r>
              <w:rPr>
                <w:rFonts w:hint="eastAsia"/>
                <w:color w:val="auto"/>
                <w:szCs w:val="30"/>
                <w:highlight w:val="none"/>
              </w:rPr>
              <w:t>手机</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vAlign w:val="center"/>
          </w:tcPr>
          <w:p>
            <w:pPr>
              <w:spacing w:line="360" w:lineRule="auto"/>
              <w:rPr>
                <w:color w:val="auto"/>
                <w:szCs w:val="30"/>
                <w:highlight w:val="none"/>
              </w:rPr>
            </w:pPr>
            <w:r>
              <w:rPr>
                <w:rFonts w:hint="eastAsia"/>
                <w:color w:val="auto"/>
                <w:szCs w:val="30"/>
                <w:highlight w:val="none"/>
              </w:rPr>
              <w:t>企业资质</w:t>
            </w:r>
          </w:p>
          <w:p>
            <w:pPr>
              <w:spacing w:line="360" w:lineRule="auto"/>
              <w:rPr>
                <w:color w:val="auto"/>
                <w:szCs w:val="30"/>
                <w:highlight w:val="none"/>
              </w:rPr>
            </w:pPr>
            <w:r>
              <w:rPr>
                <w:rFonts w:hint="eastAsia"/>
                <w:color w:val="auto"/>
                <w:szCs w:val="30"/>
                <w:highlight w:val="none"/>
              </w:rPr>
              <w:t>（按投标人资格要求）</w:t>
            </w:r>
          </w:p>
        </w:tc>
        <w:tc>
          <w:tcPr>
            <w:tcW w:w="6074" w:type="dxa"/>
            <w:vAlign w:val="center"/>
          </w:tcPr>
          <w:p>
            <w:pPr>
              <w:spacing w:line="360" w:lineRule="auto"/>
              <w:rPr>
                <w:color w:val="auto"/>
                <w:szCs w:val="30"/>
                <w:highlight w:val="none"/>
              </w:rPr>
            </w:pPr>
          </w:p>
        </w:tc>
      </w:tr>
    </w:tbl>
    <w:p>
      <w:pPr>
        <w:spacing w:line="360" w:lineRule="auto"/>
        <w:rPr>
          <w:color w:val="auto"/>
          <w:szCs w:val="30"/>
          <w:highlight w:val="none"/>
        </w:rPr>
      </w:pPr>
    </w:p>
    <w:p>
      <w:pPr>
        <w:spacing w:line="360" w:lineRule="auto"/>
        <w:ind w:firstLine="5985" w:firstLineChars="2850"/>
        <w:rPr>
          <w:color w:val="auto"/>
          <w:szCs w:val="30"/>
          <w:highlight w:val="none"/>
        </w:rPr>
      </w:pPr>
      <w:r>
        <w:rPr>
          <w:rFonts w:hint="eastAsia"/>
          <w:color w:val="auto"/>
          <w:szCs w:val="30"/>
          <w:highlight w:val="none"/>
        </w:rPr>
        <w:t>投标人（盖章）：</w:t>
      </w:r>
    </w:p>
    <w:p>
      <w:pPr>
        <w:spacing w:line="360" w:lineRule="auto"/>
        <w:ind w:firstLine="5880" w:firstLineChars="2800"/>
        <w:rPr>
          <w:color w:val="auto"/>
          <w:szCs w:val="30"/>
          <w:highlight w:val="none"/>
        </w:rPr>
      </w:pPr>
    </w:p>
    <w:p>
      <w:pPr>
        <w:spacing w:line="360" w:lineRule="auto"/>
        <w:ind w:firstLine="5880" w:firstLineChars="2800"/>
        <w:rPr>
          <w:color w:val="auto"/>
          <w:szCs w:val="30"/>
          <w:highlight w:val="none"/>
        </w:rPr>
      </w:pPr>
      <w:r>
        <w:rPr>
          <w:rFonts w:hint="eastAsia"/>
          <w:color w:val="auto"/>
          <w:szCs w:val="30"/>
          <w:highlight w:val="none"/>
        </w:rPr>
        <w:t xml:space="preserve"> 年   月   日</w:t>
      </w:r>
      <w:bookmarkStart w:id="316" w:name="_Toc436215721"/>
      <w:bookmarkStart w:id="317" w:name="_Toc152045527"/>
      <w:bookmarkStart w:id="318" w:name="_Toc152042303"/>
      <w:bookmarkStart w:id="319" w:name="_Toc144974495"/>
      <w:bookmarkStart w:id="320" w:name="_Toc179632544"/>
      <w:bookmarkStart w:id="321" w:name="_Toc246996916"/>
      <w:bookmarkStart w:id="322" w:name="_Toc247085687"/>
      <w:bookmarkStart w:id="323" w:name="_Toc435178364"/>
      <w:bookmarkStart w:id="324" w:name="_Toc246996173"/>
    </w:p>
    <w:p>
      <w:pPr>
        <w:spacing w:line="360" w:lineRule="auto"/>
        <w:ind w:firstLine="5880" w:firstLineChars="2800"/>
        <w:rPr>
          <w:color w:val="auto"/>
          <w:szCs w:val="30"/>
          <w:highlight w:val="none"/>
        </w:rPr>
      </w:pPr>
    </w:p>
    <w:p>
      <w:pPr>
        <w:spacing w:line="360" w:lineRule="auto"/>
        <w:ind w:firstLine="5880" w:firstLineChars="2800"/>
        <w:rPr>
          <w:color w:val="auto"/>
          <w:szCs w:val="30"/>
          <w:highlight w:val="none"/>
        </w:rPr>
      </w:pPr>
    </w:p>
    <w:p>
      <w:pPr>
        <w:pStyle w:val="3"/>
        <w:spacing w:line="360" w:lineRule="auto"/>
        <w:jc w:val="center"/>
        <w:rPr>
          <w:color w:val="auto"/>
          <w:highlight w:val="none"/>
        </w:rPr>
      </w:pPr>
      <w:r>
        <w:rPr>
          <w:color w:val="auto"/>
          <w:highlight w:val="none"/>
        </w:rPr>
        <w:br w:type="page"/>
      </w:r>
      <w:bookmarkStart w:id="325" w:name="_Toc26834"/>
      <w:bookmarkStart w:id="326" w:name="_Toc25159"/>
      <w:bookmarkStart w:id="327" w:name="_Toc31048"/>
      <w:bookmarkStart w:id="328" w:name="_Toc22746"/>
      <w:bookmarkStart w:id="329" w:name="_Toc7640"/>
      <w:bookmarkStart w:id="330" w:name="_Toc4488"/>
      <w:bookmarkStart w:id="331" w:name="_Toc31475"/>
      <w:bookmarkStart w:id="332" w:name="_Toc18905"/>
      <w:bookmarkStart w:id="333" w:name="_Toc25431"/>
      <w:bookmarkStart w:id="334" w:name="_Toc27411"/>
      <w:bookmarkStart w:id="335" w:name="_Toc11770"/>
      <w:bookmarkStart w:id="336" w:name="_Toc6853"/>
      <w:bookmarkStart w:id="337" w:name="_Toc2176"/>
      <w:bookmarkStart w:id="338" w:name="_Toc18177"/>
      <w:bookmarkStart w:id="339" w:name="_Toc1652"/>
      <w:bookmarkStart w:id="340" w:name="_Toc28640"/>
      <w:bookmarkStart w:id="341" w:name="_Toc13234"/>
      <w:bookmarkStart w:id="342" w:name="_Toc496601931"/>
      <w:bookmarkStart w:id="343" w:name="_Toc28051"/>
      <w:bookmarkStart w:id="344" w:name="_Toc31093"/>
      <w:bookmarkStart w:id="345" w:name="_Toc11250"/>
      <w:bookmarkStart w:id="346" w:name="_Toc26709"/>
      <w:bookmarkStart w:id="347" w:name="_Toc20163"/>
      <w:bookmarkStart w:id="348" w:name="_Toc19901"/>
      <w:r>
        <w:rPr>
          <w:rFonts w:hint="eastAsia"/>
          <w:color w:val="auto"/>
          <w:highlight w:val="none"/>
        </w:rPr>
        <w:t>第二章 投标人须知</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pPr>
        <w:pStyle w:val="4"/>
        <w:spacing w:line="360" w:lineRule="auto"/>
        <w:rPr>
          <w:color w:val="auto"/>
          <w:highlight w:val="none"/>
        </w:rPr>
      </w:pPr>
      <w:bookmarkStart w:id="349" w:name="_Toc2799"/>
      <w:bookmarkStart w:id="350" w:name="_Toc19836"/>
      <w:bookmarkStart w:id="351" w:name="_Toc152045528"/>
      <w:bookmarkStart w:id="352" w:name="_Toc246996174"/>
      <w:bookmarkStart w:id="353" w:name="_Toc17698"/>
      <w:bookmarkStart w:id="354" w:name="_Toc675"/>
      <w:bookmarkStart w:id="355" w:name="_Toc18018"/>
      <w:bookmarkStart w:id="356" w:name="_Toc8855"/>
      <w:bookmarkStart w:id="357" w:name="_Toc25323"/>
      <w:bookmarkStart w:id="358" w:name="_Toc144974496"/>
      <w:bookmarkStart w:id="359" w:name="_Toc1930"/>
      <w:bookmarkStart w:id="360" w:name="_Toc436215722"/>
      <w:bookmarkStart w:id="361" w:name="_Toc11534"/>
      <w:bookmarkStart w:id="362" w:name="_Toc152042304"/>
      <w:bookmarkStart w:id="363" w:name="_Toc24254"/>
      <w:bookmarkStart w:id="364" w:name="_Toc13712"/>
      <w:bookmarkStart w:id="365" w:name="_Toc27777"/>
      <w:bookmarkStart w:id="366" w:name="_Toc11642"/>
      <w:bookmarkStart w:id="367" w:name="_Toc15851"/>
      <w:bookmarkStart w:id="368" w:name="_Toc19760"/>
      <w:bookmarkStart w:id="369" w:name="_Toc23611"/>
      <w:bookmarkStart w:id="370" w:name="_Toc435178365"/>
      <w:bookmarkStart w:id="371" w:name="_Toc15691"/>
      <w:bookmarkStart w:id="372" w:name="_Toc496601932"/>
      <w:bookmarkStart w:id="373" w:name="_Toc29893"/>
      <w:bookmarkStart w:id="374" w:name="_Toc9714"/>
      <w:bookmarkStart w:id="375" w:name="_Toc246996917"/>
      <w:bookmarkStart w:id="376" w:name="_Toc247085688"/>
      <w:bookmarkStart w:id="377" w:name="_Toc179632545"/>
      <w:bookmarkStart w:id="378" w:name="_Toc8198"/>
      <w:bookmarkStart w:id="379" w:name="_Toc9939"/>
      <w:bookmarkStart w:id="380" w:name="_Toc1953"/>
      <w:bookmarkStart w:id="381" w:name="_Toc20453"/>
      <w:r>
        <w:rPr>
          <w:rFonts w:hint="eastAsia"/>
          <w:color w:val="auto"/>
          <w:highlight w:val="none"/>
        </w:rPr>
        <w:t>投标人须知前附表</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pPr>
        <w:spacing w:line="360" w:lineRule="auto"/>
        <w:rPr>
          <w:color w:val="auto"/>
          <w:highlight w:val="none"/>
        </w:rPr>
      </w:pPr>
    </w:p>
    <w:tbl>
      <w:tblPr>
        <w:tblStyle w:val="41"/>
        <w:tblW w:w="8928" w:type="dxa"/>
        <w:tblInd w:w="0" w:type="dxa"/>
        <w:tblLayout w:type="fixed"/>
        <w:tblCellMar>
          <w:top w:w="0" w:type="dxa"/>
          <w:left w:w="108" w:type="dxa"/>
          <w:bottom w:w="0" w:type="dxa"/>
          <w:right w:w="108" w:type="dxa"/>
        </w:tblCellMar>
      </w:tblPr>
      <w:tblGrid>
        <w:gridCol w:w="1008"/>
        <w:gridCol w:w="2799"/>
        <w:gridCol w:w="5121"/>
      </w:tblGrid>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条款号</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  款  名  称</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编  列  内  容</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1.1.2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名称：</w:t>
            </w:r>
            <w:r>
              <w:rPr>
                <w:rFonts w:hint="eastAsia"/>
                <w:color w:val="auto"/>
                <w:szCs w:val="21"/>
                <w:highlight w:val="none"/>
              </w:rPr>
              <w:t>广东南方报业传媒集团物业管理有限公司</w:t>
            </w:r>
          </w:p>
          <w:p>
            <w:pPr>
              <w:spacing w:line="360" w:lineRule="auto"/>
              <w:rPr>
                <w:rFonts w:hint="eastAsia" w:ascii="宋体" w:hAnsi="宋体"/>
                <w:color w:val="auto"/>
                <w:highlight w:val="none"/>
              </w:rPr>
            </w:pPr>
            <w:r>
              <w:rPr>
                <w:color w:val="auto"/>
                <w:szCs w:val="21"/>
                <w:highlight w:val="none"/>
              </w:rPr>
              <w:t>地址：</w:t>
            </w:r>
            <w:r>
              <w:rPr>
                <w:rFonts w:hint="eastAsia" w:ascii="宋体" w:hAnsi="宋体"/>
                <w:color w:val="auto"/>
                <w:highlight w:val="none"/>
              </w:rPr>
              <w:t>广州市广州大道中289号</w:t>
            </w:r>
          </w:p>
          <w:p>
            <w:pPr>
              <w:spacing w:line="360" w:lineRule="auto"/>
              <w:rPr>
                <w:color w:val="auto"/>
                <w:szCs w:val="21"/>
                <w:highlight w:val="none"/>
              </w:rPr>
            </w:pPr>
            <w:r>
              <w:rPr>
                <w:color w:val="auto"/>
                <w:szCs w:val="21"/>
                <w:highlight w:val="none"/>
              </w:rPr>
              <w:t>联系人：</w:t>
            </w:r>
            <w:r>
              <w:rPr>
                <w:rFonts w:hint="eastAsia"/>
                <w:color w:val="auto"/>
                <w:szCs w:val="21"/>
                <w:highlight w:val="none"/>
              </w:rPr>
              <w:t>陈小姐、凌先生</w:t>
            </w:r>
          </w:p>
          <w:p>
            <w:pPr>
              <w:spacing w:line="360" w:lineRule="auto"/>
              <w:rPr>
                <w:color w:val="auto"/>
                <w:szCs w:val="21"/>
                <w:highlight w:val="none"/>
              </w:rPr>
            </w:pPr>
            <w:r>
              <w:rPr>
                <w:rFonts w:hint="eastAsia"/>
                <w:color w:val="auto"/>
                <w:szCs w:val="21"/>
                <w:highlight w:val="none"/>
              </w:rPr>
              <w:t>电话：020-83004525、13556169802</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1.1.</w:t>
            </w:r>
            <w:r>
              <w:rPr>
                <w:rFonts w:hint="eastAsia"/>
                <w:color w:val="auto"/>
                <w:szCs w:val="21"/>
                <w:highlight w:val="none"/>
              </w:rPr>
              <w:t>3</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项目名称</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南方报业传媒集团大院2025-2026年保洁服务</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1.4.1</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投标人资</w:t>
            </w:r>
            <w:r>
              <w:rPr>
                <w:rFonts w:hint="eastAsia"/>
                <w:color w:val="auto"/>
                <w:szCs w:val="21"/>
                <w:highlight w:val="none"/>
              </w:rPr>
              <w:t>格要求</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见招标公告投标人资格要求。</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1"/>
                <w:highlight w:val="none"/>
              </w:rPr>
            </w:pPr>
            <w:r>
              <w:rPr>
                <w:rFonts w:hint="eastAsia"/>
                <w:color w:val="auto"/>
                <w:szCs w:val="21"/>
                <w:highlight w:val="none"/>
              </w:rPr>
              <w:t>\</w:t>
            </w:r>
          </w:p>
        </w:tc>
        <w:tc>
          <w:tcPr>
            <w:tcW w:w="2799" w:type="dxa"/>
            <w:tcBorders>
              <w:top w:val="single" w:color="auto" w:sz="4" w:space="0"/>
              <w:left w:val="single" w:color="auto" w:sz="4" w:space="0"/>
              <w:bottom w:val="single" w:color="auto" w:sz="4" w:space="0"/>
              <w:right w:val="single" w:color="auto" w:sz="4" w:space="0"/>
            </w:tcBorders>
            <w:vAlign w:val="center"/>
          </w:tcPr>
          <w:p>
            <w:pPr>
              <w:spacing w:line="440" w:lineRule="exact"/>
              <w:jc w:val="center"/>
              <w:rPr>
                <w:color w:val="auto"/>
                <w:szCs w:val="21"/>
                <w:highlight w:val="none"/>
              </w:rPr>
            </w:pPr>
            <w:r>
              <w:rPr>
                <w:rFonts w:hint="eastAsia"/>
                <w:color w:val="auto"/>
                <w:szCs w:val="21"/>
                <w:highlight w:val="none"/>
              </w:rPr>
              <w:t>踏勘现场</w:t>
            </w:r>
          </w:p>
        </w:tc>
        <w:tc>
          <w:tcPr>
            <w:tcW w:w="5121" w:type="dxa"/>
            <w:tcBorders>
              <w:top w:val="single" w:color="auto" w:sz="4" w:space="0"/>
              <w:left w:val="single" w:color="auto" w:sz="4" w:space="0"/>
              <w:bottom w:val="single" w:color="auto" w:sz="4" w:space="0"/>
              <w:right w:val="single" w:color="auto" w:sz="4" w:space="0"/>
            </w:tcBorders>
            <w:vAlign w:val="center"/>
          </w:tcPr>
          <w:p>
            <w:pPr>
              <w:spacing w:line="440" w:lineRule="exact"/>
              <w:rPr>
                <w:color w:val="auto"/>
                <w:highlight w:val="none"/>
              </w:rPr>
            </w:pPr>
            <w:r>
              <w:rPr>
                <w:color w:val="auto"/>
                <w:highlight w:val="none"/>
              </w:rPr>
              <w:sym w:font="Wingdings 2" w:char="F0A3"/>
            </w:r>
            <w:r>
              <w:rPr>
                <w:rFonts w:hint="eastAsia"/>
                <w:color w:val="auto"/>
                <w:highlight w:val="none"/>
              </w:rPr>
              <w:t>不组织</w:t>
            </w:r>
          </w:p>
          <w:p>
            <w:pPr>
              <w:spacing w:line="440" w:lineRule="exact"/>
              <w:rPr>
                <w:color w:val="auto"/>
                <w:highlight w:val="none"/>
              </w:rPr>
            </w:pPr>
            <w:r>
              <w:rPr>
                <w:color w:val="auto"/>
                <w:highlight w:val="none"/>
              </w:rPr>
              <w:sym w:font="Wingdings 2" w:char="F052"/>
            </w:r>
            <w:r>
              <w:rPr>
                <w:rFonts w:hint="eastAsia"/>
                <w:color w:val="auto"/>
                <w:highlight w:val="none"/>
              </w:rPr>
              <w:t>组织，踏勘时间：投标人须至少提前1天电话预约报备，并在工作日前往踏勘。</w:t>
            </w:r>
          </w:p>
          <w:p>
            <w:pPr>
              <w:spacing w:line="440" w:lineRule="exact"/>
              <w:rPr>
                <w:color w:val="auto"/>
                <w:highlight w:val="none"/>
              </w:rPr>
            </w:pPr>
            <w:r>
              <w:rPr>
                <w:rFonts w:hint="eastAsia"/>
                <w:color w:val="auto"/>
                <w:highlight w:val="none"/>
              </w:rPr>
              <w:t>踏勘集中地点：广州大道中289号南方报业传媒集团1号楼大堂</w:t>
            </w:r>
          </w:p>
          <w:p>
            <w:pPr>
              <w:spacing w:line="360" w:lineRule="auto"/>
              <w:rPr>
                <w:color w:val="auto"/>
                <w:szCs w:val="21"/>
                <w:highlight w:val="none"/>
              </w:rPr>
            </w:pPr>
            <w:r>
              <w:rPr>
                <w:color w:val="auto"/>
                <w:szCs w:val="21"/>
                <w:highlight w:val="none"/>
              </w:rPr>
              <w:t>联系人：</w:t>
            </w:r>
            <w:r>
              <w:rPr>
                <w:rFonts w:hint="eastAsia"/>
                <w:color w:val="auto"/>
                <w:szCs w:val="21"/>
                <w:highlight w:val="none"/>
              </w:rPr>
              <w:t>陈小姐、凌先生</w:t>
            </w:r>
          </w:p>
          <w:p>
            <w:pPr>
              <w:pStyle w:val="16"/>
              <w:rPr>
                <w:color w:val="auto"/>
                <w:highlight w:val="none"/>
              </w:rPr>
            </w:pPr>
            <w:r>
              <w:rPr>
                <w:rFonts w:hint="eastAsia"/>
                <w:color w:val="auto"/>
                <w:szCs w:val="21"/>
                <w:highlight w:val="none"/>
              </w:rPr>
              <w:t>电话：020-83004525、13556169802</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2</w:t>
            </w:r>
            <w:r>
              <w:rPr>
                <w:color w:val="auto"/>
                <w:szCs w:val="21"/>
                <w:highlight w:val="none"/>
              </w:rPr>
              <w:t>.</w:t>
            </w:r>
            <w:r>
              <w:rPr>
                <w:rFonts w:hint="eastAsia"/>
                <w:color w:val="auto"/>
                <w:szCs w:val="21"/>
                <w:highlight w:val="none"/>
              </w:rPr>
              <w:t>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招标人澄清</w:t>
            </w:r>
            <w:r>
              <w:rPr>
                <w:rFonts w:hint="eastAsia"/>
                <w:color w:val="auto"/>
                <w:szCs w:val="21"/>
                <w:highlight w:val="none"/>
              </w:rPr>
              <w:t>、修改</w:t>
            </w:r>
            <w:r>
              <w:rPr>
                <w:color w:val="auto"/>
                <w:szCs w:val="21"/>
                <w:highlight w:val="none"/>
              </w:rPr>
              <w:t>招标文件</w:t>
            </w:r>
            <w:r>
              <w:rPr>
                <w:rFonts w:hint="eastAsia"/>
                <w:color w:val="auto"/>
                <w:szCs w:val="21"/>
                <w:highlight w:val="none"/>
              </w:rPr>
              <w:t>或答疑方式</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olor w:val="auto"/>
                <w:highlight w:val="none"/>
              </w:rPr>
            </w:pPr>
            <w:r>
              <w:rPr>
                <w:rFonts w:hint="eastAsia" w:ascii="宋体" w:hAnsi="宋体"/>
                <w:color w:val="auto"/>
                <w:highlight w:val="none"/>
              </w:rPr>
              <w:t>招标人澄清、修改或答疑方式：网上发布。</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2</w:t>
            </w:r>
            <w:r>
              <w:rPr>
                <w:color w:val="auto"/>
                <w:szCs w:val="21"/>
                <w:highlight w:val="none"/>
              </w:rPr>
              <w:t>.</w:t>
            </w:r>
            <w:r>
              <w:rPr>
                <w:rFonts w:hint="eastAsia"/>
                <w:color w:val="auto"/>
                <w:szCs w:val="21"/>
                <w:highlight w:val="none"/>
              </w:rPr>
              <w:t>2</w:t>
            </w:r>
            <w:r>
              <w:rPr>
                <w:color w:val="auto"/>
                <w:szCs w:val="21"/>
                <w:highlight w:val="none"/>
              </w:rPr>
              <w:t>.</w:t>
            </w:r>
            <w:r>
              <w:rPr>
                <w:rFonts w:hint="eastAsia"/>
                <w:color w:val="auto"/>
                <w:szCs w:val="21"/>
                <w:highlight w:val="none"/>
              </w:rPr>
              <w:t>1</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投标人提出问题的截止时间</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rFonts w:hint="eastAsia" w:ascii="宋体" w:hAnsi="宋体"/>
                <w:color w:val="auto"/>
                <w:highlight w:val="none"/>
              </w:rPr>
            </w:pPr>
            <w:r>
              <w:rPr>
                <w:rFonts w:hint="eastAsia" w:ascii="宋体" w:hAnsi="宋体"/>
                <w:color w:val="auto"/>
                <w:highlight w:val="none"/>
              </w:rPr>
              <w:t>疑问提交时间</w:t>
            </w:r>
            <w:r>
              <w:rPr>
                <w:rFonts w:hint="eastAsia" w:ascii="宋体" w:hAnsi="宋体"/>
                <w:b/>
                <w:bCs/>
                <w:color w:val="auto"/>
                <w:highlight w:val="none"/>
              </w:rPr>
              <w:t>：</w:t>
            </w:r>
            <w:r>
              <w:rPr>
                <w:rFonts w:hint="eastAsia" w:ascii="宋体" w:hAnsi="宋体"/>
                <w:color w:val="auto"/>
                <w:highlight w:val="none"/>
                <w:u w:val="single"/>
              </w:rPr>
              <w:t>投标截止时间5日前。</w:t>
            </w:r>
          </w:p>
          <w:p>
            <w:pPr>
              <w:spacing w:line="360" w:lineRule="auto"/>
              <w:rPr>
                <w:rFonts w:hint="eastAsia" w:ascii="宋体" w:hAnsi="宋体"/>
                <w:color w:val="auto"/>
                <w:highlight w:val="none"/>
              </w:rPr>
            </w:pPr>
            <w:r>
              <w:rPr>
                <w:rFonts w:hint="eastAsia" w:ascii="宋体" w:hAnsi="宋体"/>
                <w:color w:val="auto"/>
                <w:highlight w:val="none"/>
              </w:rPr>
              <w:t>提交疑问方式：发送电子邮件</w:t>
            </w:r>
          </w:p>
          <w:p>
            <w:pPr>
              <w:spacing w:line="360" w:lineRule="auto"/>
              <w:rPr>
                <w:rFonts w:hint="eastAsia" w:ascii="宋体" w:hAnsi="宋体"/>
                <w:color w:val="auto"/>
                <w:highlight w:val="none"/>
              </w:rPr>
            </w:pPr>
            <w:r>
              <w:rPr>
                <w:rFonts w:hint="eastAsia" w:ascii="宋体" w:hAnsi="宋体"/>
                <w:color w:val="auto"/>
                <w:highlight w:val="none"/>
              </w:rPr>
              <w:t>文件格式要求：PDF格式</w:t>
            </w:r>
          </w:p>
          <w:p>
            <w:pPr>
              <w:spacing w:line="360" w:lineRule="auto"/>
              <w:rPr>
                <w:color w:val="auto"/>
                <w:szCs w:val="21"/>
                <w:highlight w:val="none"/>
              </w:rPr>
            </w:pPr>
            <w:r>
              <w:rPr>
                <w:rFonts w:hint="eastAsia" w:ascii="宋体" w:hAnsi="宋体"/>
                <w:color w:val="auto"/>
                <w:highlight w:val="none"/>
              </w:rPr>
              <w:t>招标人邮箱：wyzbcg@nfmedia.com</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2.2.2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投标截止时间</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3.2.2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最高投标限价</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s="宋体"/>
                <w:color w:val="auto"/>
                <w:kern w:val="0"/>
                <w:szCs w:val="21"/>
                <w:highlight w:val="none"/>
              </w:rPr>
            </w:pPr>
            <w:r>
              <w:rPr>
                <w:rFonts w:hint="eastAsia" w:ascii="宋体" w:cs="宋体"/>
                <w:color w:val="auto"/>
                <w:kern w:val="0"/>
                <w:szCs w:val="21"/>
                <w:highlight w:val="none"/>
              </w:rPr>
              <w:t>349万元/年</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3.2.4</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highlight w:val="none"/>
              </w:rPr>
              <w:t>投标报价的其他要求</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s="宋体"/>
                <w:color w:val="auto"/>
                <w:kern w:val="0"/>
                <w:szCs w:val="21"/>
                <w:highlight w:val="none"/>
                <w:lang w:val="zh-CN"/>
              </w:rPr>
            </w:pPr>
            <w:r>
              <w:rPr>
                <w:rFonts w:hint="eastAsia" w:ascii="宋体" w:cs="宋体"/>
                <w:color w:val="auto"/>
                <w:kern w:val="0"/>
                <w:szCs w:val="21"/>
                <w:highlight w:val="none"/>
                <w:lang w:val="zh-CN"/>
              </w:rPr>
              <w:t>无</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3.3</w:t>
            </w:r>
            <w:r>
              <w:rPr>
                <w:rFonts w:hint="eastAsia"/>
                <w:color w:val="auto"/>
                <w:szCs w:val="21"/>
                <w:highlight w:val="none"/>
              </w:rPr>
              <w:t>.1</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投标有效期</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90天</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3.4.1</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投标保证金</w:t>
            </w:r>
          </w:p>
        </w:tc>
        <w:tc>
          <w:tcPr>
            <w:tcW w:w="5121"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auto"/>
              <w:rPr>
                <w:rFonts w:ascii="Times New Roman"/>
                <w:color w:val="auto"/>
                <w:sz w:val="21"/>
                <w:szCs w:val="21"/>
                <w:highlight w:val="none"/>
              </w:rPr>
            </w:pPr>
            <w:r>
              <w:rPr>
                <w:rFonts w:ascii="Times New Roman"/>
                <w:color w:val="auto"/>
                <w:sz w:val="32"/>
                <w:szCs w:val="32"/>
                <w:highlight w:val="none"/>
              </w:rPr>
              <w:t>□</w:t>
            </w:r>
            <w:r>
              <w:rPr>
                <w:rFonts w:hint="eastAsia" w:ascii="Times New Roman"/>
                <w:color w:val="auto"/>
                <w:sz w:val="21"/>
                <w:szCs w:val="21"/>
                <w:highlight w:val="none"/>
              </w:rPr>
              <w:t>不要求递交投标保证金</w:t>
            </w:r>
          </w:p>
          <w:p>
            <w:pPr>
              <w:spacing w:line="360" w:lineRule="auto"/>
              <w:rPr>
                <w:color w:val="auto"/>
                <w:szCs w:val="21"/>
                <w:highlight w:val="none"/>
              </w:rPr>
            </w:pPr>
            <w:r>
              <w:rPr>
                <w:rFonts w:ascii="宋体" w:hAnsi="宋体"/>
                <w:b/>
                <w:color w:val="auto"/>
                <w:highlight w:val="none"/>
              </w:rPr>
              <w:fldChar w:fldCharType="begin"/>
            </w:r>
            <w:r>
              <w:rPr>
                <w:rFonts w:ascii="宋体" w:hAnsi="宋体"/>
                <w:b/>
                <w:color w:val="auto"/>
                <w:highlight w:val="none"/>
              </w:rPr>
              <w:instrText xml:space="preserve"> eq \o\ac(□,</w:instrText>
            </w:r>
            <w:r>
              <w:rPr>
                <w:rFonts w:hint="eastAsia" w:ascii="宋体" w:hAnsi="宋体"/>
                <w:b/>
                <w:color w:val="auto"/>
                <w:position w:val="2"/>
                <w:highlight w:val="none"/>
              </w:rPr>
              <w:instrText xml:space="preserve">√</w:instrText>
            </w:r>
            <w:r>
              <w:rPr>
                <w:rFonts w:ascii="宋体" w:hAnsi="宋体"/>
                <w:b/>
                <w:color w:val="auto"/>
                <w:highlight w:val="none"/>
              </w:rPr>
              <w:instrText xml:space="preserve">)</w:instrText>
            </w:r>
            <w:r>
              <w:rPr>
                <w:rFonts w:ascii="宋体" w:hAnsi="宋体"/>
                <w:b/>
                <w:color w:val="auto"/>
                <w:highlight w:val="none"/>
              </w:rPr>
              <w:fldChar w:fldCharType="end"/>
            </w:r>
            <w:r>
              <w:rPr>
                <w:rFonts w:hint="eastAsia"/>
                <w:color w:val="auto"/>
                <w:szCs w:val="21"/>
                <w:highlight w:val="none"/>
              </w:rPr>
              <w:t>要求递交投标保证金</w:t>
            </w:r>
          </w:p>
          <w:p>
            <w:pPr>
              <w:spacing w:line="360" w:lineRule="auto"/>
              <w:rPr>
                <w:color w:val="auto"/>
                <w:szCs w:val="21"/>
                <w:highlight w:val="none"/>
              </w:rPr>
            </w:pPr>
            <w:r>
              <w:rPr>
                <w:rFonts w:hint="eastAsia"/>
                <w:color w:val="auto"/>
                <w:szCs w:val="21"/>
                <w:highlight w:val="none"/>
              </w:rPr>
              <w:t>投标保证金的</w:t>
            </w:r>
            <w:r>
              <w:rPr>
                <w:color w:val="auto"/>
                <w:szCs w:val="21"/>
                <w:highlight w:val="none"/>
              </w:rPr>
              <w:t>形式：</w:t>
            </w:r>
            <w:r>
              <w:rPr>
                <w:rFonts w:hint="eastAsia"/>
                <w:color w:val="auto"/>
                <w:szCs w:val="21"/>
                <w:highlight w:val="none"/>
              </w:rPr>
              <w:t>银行转账或银行保函（银行保函有效期需大于三个月）。在投标文件递交截止时间前，</w:t>
            </w:r>
            <w:r>
              <w:rPr>
                <w:rFonts w:hint="eastAsia"/>
                <w:color w:val="auto"/>
                <w:highlight w:val="none"/>
              </w:rPr>
              <w:t>保证金必须由投标人自有对公账户转出，不允许代缴，不接受银行柜台缴纳现金方式。</w:t>
            </w:r>
          </w:p>
          <w:p>
            <w:pPr>
              <w:spacing w:line="360" w:lineRule="auto"/>
              <w:rPr>
                <w:color w:val="auto"/>
                <w:szCs w:val="21"/>
                <w:highlight w:val="none"/>
              </w:rPr>
            </w:pPr>
            <w:r>
              <w:rPr>
                <w:rFonts w:hint="eastAsia"/>
                <w:color w:val="auto"/>
                <w:szCs w:val="21"/>
                <w:highlight w:val="none"/>
              </w:rPr>
              <w:t>投标保证金的</w:t>
            </w:r>
            <w:r>
              <w:rPr>
                <w:color w:val="auto"/>
                <w:szCs w:val="21"/>
                <w:highlight w:val="none"/>
              </w:rPr>
              <w:t>金额：</w:t>
            </w:r>
            <w:r>
              <w:rPr>
                <w:rFonts w:hint="eastAsia"/>
                <w:color w:val="auto"/>
                <w:szCs w:val="21"/>
                <w:highlight w:val="none"/>
              </w:rPr>
              <w:t>￥50,000.00元（大写：</w:t>
            </w:r>
            <w:r>
              <w:rPr>
                <w:rFonts w:hint="eastAsia"/>
                <w:color w:val="auto"/>
                <w:szCs w:val="21"/>
                <w:highlight w:val="none"/>
                <w:u w:val="single"/>
              </w:rPr>
              <w:t>伍万</w:t>
            </w:r>
            <w:r>
              <w:rPr>
                <w:rFonts w:hint="eastAsia"/>
                <w:color w:val="auto"/>
                <w:szCs w:val="21"/>
                <w:highlight w:val="none"/>
              </w:rPr>
              <w:t>元整）</w:t>
            </w:r>
          </w:p>
          <w:p>
            <w:pPr>
              <w:tabs>
                <w:tab w:val="left" w:pos="360"/>
              </w:tabs>
              <w:spacing w:line="360" w:lineRule="auto"/>
              <w:rPr>
                <w:color w:val="auto"/>
                <w:szCs w:val="21"/>
                <w:highlight w:val="none"/>
              </w:rPr>
            </w:pPr>
            <w:r>
              <w:rPr>
                <w:rFonts w:hint="eastAsia"/>
                <w:color w:val="auto"/>
                <w:szCs w:val="21"/>
                <w:highlight w:val="none"/>
              </w:rPr>
              <w:t xml:space="preserve">招标人账户： </w:t>
            </w:r>
          </w:p>
          <w:p>
            <w:pPr>
              <w:tabs>
                <w:tab w:val="left" w:pos="360"/>
              </w:tabs>
              <w:spacing w:line="360" w:lineRule="auto"/>
              <w:ind w:firstLine="420" w:firstLineChars="200"/>
              <w:rPr>
                <w:color w:val="auto"/>
                <w:szCs w:val="21"/>
                <w:highlight w:val="none"/>
              </w:rPr>
            </w:pPr>
            <w:r>
              <w:rPr>
                <w:rFonts w:hint="eastAsia"/>
                <w:color w:val="auto"/>
                <w:szCs w:val="21"/>
                <w:highlight w:val="none"/>
              </w:rPr>
              <w:t xml:space="preserve">单 位：广东南方报业传媒集团物业管理有限公司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行：中国建设银行股份有限公司广州五羊新城支行 </w:t>
            </w:r>
          </w:p>
          <w:p>
            <w:pPr>
              <w:tabs>
                <w:tab w:val="left" w:pos="360"/>
              </w:tabs>
              <w:spacing w:line="360" w:lineRule="auto"/>
              <w:ind w:firstLine="420"/>
              <w:rPr>
                <w:color w:val="auto"/>
                <w:szCs w:val="21"/>
                <w:highlight w:val="none"/>
              </w:rPr>
            </w:pPr>
            <w:r>
              <w:rPr>
                <w:rFonts w:hint="eastAsia"/>
                <w:color w:val="auto"/>
                <w:szCs w:val="21"/>
                <w:highlight w:val="none"/>
              </w:rPr>
              <w:t>账 号：44001400905050077801</w:t>
            </w:r>
          </w:p>
          <w:p>
            <w:pPr>
              <w:tabs>
                <w:tab w:val="left" w:pos="360"/>
              </w:tabs>
              <w:spacing w:line="360" w:lineRule="auto"/>
              <w:ind w:firstLine="420"/>
              <w:rPr>
                <w:color w:val="auto"/>
                <w:szCs w:val="21"/>
                <w:highlight w:val="none"/>
              </w:rPr>
            </w:pPr>
            <w:r>
              <w:rPr>
                <w:rFonts w:hint="eastAsia"/>
                <w:color w:val="auto"/>
                <w:szCs w:val="21"/>
                <w:highlight w:val="none"/>
              </w:rPr>
              <w:t>投标人银行转账时，需注明为“ZB202503投标保证金”。 </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3.5</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资格审查资料的特殊要求</w:t>
            </w:r>
          </w:p>
        </w:tc>
        <w:tc>
          <w:tcPr>
            <w:tcW w:w="5121"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rFonts w:hint="eastAsia" w:ascii="宋体" w:hAnsi="宋体" w:cs="宋体"/>
                <w:color w:val="auto"/>
                <w:kern w:val="0"/>
                <w:szCs w:val="21"/>
                <w:highlight w:val="none"/>
              </w:rPr>
            </w:pPr>
            <w:r>
              <w:rPr>
                <w:color w:val="auto"/>
                <w:kern w:val="0"/>
                <w:szCs w:val="21"/>
                <w:highlight w:val="none"/>
              </w:rPr>
              <w:t>■</w:t>
            </w:r>
            <w:r>
              <w:rPr>
                <w:rFonts w:ascii="宋体" w:hAnsi="宋体" w:cs="宋体"/>
                <w:color w:val="auto"/>
                <w:kern w:val="0"/>
                <w:szCs w:val="21"/>
                <w:highlight w:val="none"/>
              </w:rPr>
              <w:t>无</w:t>
            </w:r>
          </w:p>
          <w:p>
            <w:pPr>
              <w:pStyle w:val="15"/>
              <w:topLinePunct/>
              <w:spacing w:line="360" w:lineRule="auto"/>
              <w:rPr>
                <w:rFonts w:ascii="Times New Roman"/>
                <w:color w:val="auto"/>
                <w:sz w:val="32"/>
                <w:szCs w:val="32"/>
                <w:highlight w:val="none"/>
              </w:rPr>
            </w:pPr>
            <w:r>
              <w:rPr>
                <w:color w:val="auto"/>
                <w:kern w:val="0"/>
                <w:sz w:val="21"/>
                <w:szCs w:val="21"/>
                <w:highlight w:val="none"/>
              </w:rPr>
              <w:t>□</w:t>
            </w:r>
            <w:r>
              <w:rPr>
                <w:rFonts w:hAnsi="宋体" w:cs="宋体"/>
                <w:color w:val="auto"/>
                <w:kern w:val="0"/>
                <w:sz w:val="21"/>
                <w:szCs w:val="21"/>
                <w:highlight w:val="none"/>
              </w:rPr>
              <w:t>有，具体要求：</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3.6</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投标文件数量</w:t>
            </w:r>
          </w:p>
        </w:tc>
        <w:tc>
          <w:tcPr>
            <w:tcW w:w="5121"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auto"/>
              <w:rPr>
                <w:rFonts w:ascii="Times New Roman"/>
                <w:color w:val="auto"/>
                <w:sz w:val="32"/>
                <w:szCs w:val="32"/>
                <w:highlight w:val="none"/>
              </w:rPr>
            </w:pPr>
            <w:r>
              <w:rPr>
                <w:rFonts w:hint="eastAsia" w:ascii="Times New Roman"/>
                <w:color w:val="auto"/>
                <w:sz w:val="21"/>
                <w:szCs w:val="21"/>
                <w:highlight w:val="none"/>
              </w:rPr>
              <w:t>投标文件正本一份, 副本一份。电子文档一份（</w:t>
            </w:r>
            <w:r>
              <w:rPr>
                <w:rFonts w:hint="eastAsia" w:ascii="Times New Roman"/>
                <w:b/>
                <w:bCs/>
                <w:color w:val="auto"/>
                <w:sz w:val="21"/>
                <w:szCs w:val="21"/>
                <w:highlight w:val="none"/>
              </w:rPr>
              <w:t>投标人开标后必须将投标文件WORD文档及投标文件正本扫描PDF版本拷贝给招标人，且扫描PDF版本须与投标文件正本实质性一致</w:t>
            </w:r>
            <w:r>
              <w:rPr>
                <w:rFonts w:hint="eastAsia" w:ascii="Times New Roman"/>
                <w:color w:val="auto"/>
                <w:sz w:val="21"/>
                <w:szCs w:val="21"/>
                <w:highlight w:val="none"/>
              </w:rPr>
              <w:t>），唱标信封一份。</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4.1.2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封套上</w:t>
            </w:r>
            <w:r>
              <w:rPr>
                <w:rFonts w:hint="eastAsia"/>
                <w:color w:val="auto"/>
                <w:szCs w:val="21"/>
                <w:highlight w:val="none"/>
              </w:rPr>
              <w:t>应载明的信息</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招标人名称：</w:t>
            </w:r>
          </w:p>
          <w:p>
            <w:pPr>
              <w:spacing w:line="360" w:lineRule="auto"/>
              <w:rPr>
                <w:color w:val="auto"/>
                <w:highlight w:val="none"/>
              </w:rPr>
            </w:pPr>
            <w:r>
              <w:rPr>
                <w:color w:val="auto"/>
                <w:highlight w:val="none"/>
              </w:rPr>
              <w:t>项目名称</w:t>
            </w:r>
            <w:r>
              <w:rPr>
                <w:rFonts w:hint="eastAsia"/>
                <w:color w:val="auto"/>
                <w:highlight w:val="none"/>
              </w:rPr>
              <w:t>（</w:t>
            </w:r>
            <w:r>
              <w:rPr>
                <w:color w:val="auto"/>
                <w:highlight w:val="none"/>
              </w:rPr>
              <w:t>投标文件</w:t>
            </w:r>
            <w:r>
              <w:rPr>
                <w:rFonts w:hint="eastAsia"/>
                <w:color w:val="auto"/>
                <w:highlight w:val="none"/>
              </w:rPr>
              <w:t xml:space="preserve">）：     </w:t>
            </w:r>
          </w:p>
          <w:p>
            <w:pPr>
              <w:spacing w:line="360" w:lineRule="auto"/>
              <w:rPr>
                <w:color w:val="auto"/>
                <w:highlight w:val="none"/>
              </w:rPr>
            </w:pPr>
            <w:r>
              <w:rPr>
                <w:rFonts w:hint="eastAsia"/>
                <w:color w:val="auto"/>
                <w:highlight w:val="none"/>
              </w:rPr>
              <w:t>项目编号：</w:t>
            </w:r>
          </w:p>
          <w:p>
            <w:pPr>
              <w:pStyle w:val="2"/>
              <w:spacing w:line="360" w:lineRule="auto"/>
              <w:ind w:firstLine="0" w:firstLineChars="0"/>
              <w:rPr>
                <w:rFonts w:hint="eastAsia" w:ascii="宋体" w:hAnsi="宋体"/>
                <w:color w:val="auto"/>
                <w:highlight w:val="none"/>
              </w:rPr>
            </w:pPr>
            <w:r>
              <w:rPr>
                <w:rFonts w:hint="eastAsia" w:ascii="宋体" w:hAnsi="宋体"/>
                <w:color w:val="auto"/>
                <w:highlight w:val="none"/>
              </w:rPr>
              <w:t>投标人名称：</w:t>
            </w:r>
          </w:p>
          <w:p>
            <w:pPr>
              <w:spacing w:line="360" w:lineRule="auto"/>
              <w:rPr>
                <w:color w:val="auto"/>
                <w:szCs w:val="21"/>
                <w:highlight w:val="none"/>
              </w:rPr>
            </w:pPr>
            <w:r>
              <w:rPr>
                <w:rFonts w:hint="eastAsia"/>
                <w:color w:val="auto"/>
                <w:highlight w:val="none"/>
              </w:rPr>
              <w:t>投标人地址：</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4.2.2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递交投标文件地点</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4.2.3</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是否退还投标文件</w:t>
            </w:r>
          </w:p>
        </w:tc>
        <w:tc>
          <w:tcPr>
            <w:tcW w:w="5121" w:type="dxa"/>
            <w:tcBorders>
              <w:top w:val="single" w:color="auto" w:sz="4" w:space="0"/>
              <w:left w:val="single" w:color="auto" w:sz="4" w:space="0"/>
              <w:bottom w:val="single" w:color="auto" w:sz="4" w:space="0"/>
              <w:right w:val="single" w:color="auto" w:sz="4" w:space="0"/>
            </w:tcBorders>
            <w:vAlign w:val="center"/>
          </w:tcPr>
          <w:p>
            <w:pPr>
              <w:pStyle w:val="15"/>
              <w:topLinePunct/>
              <w:spacing w:line="360" w:lineRule="auto"/>
              <w:rPr>
                <w:rFonts w:ascii="Times New Roman"/>
                <w:color w:val="auto"/>
                <w:sz w:val="21"/>
                <w:szCs w:val="21"/>
                <w:highlight w:val="none"/>
              </w:rPr>
            </w:pPr>
            <w:r>
              <w:rPr>
                <w:rFonts w:ascii="Times New Roman"/>
                <w:b/>
                <w:color w:val="auto"/>
                <w:highlight w:val="none"/>
              </w:rPr>
              <w:t>■</w:t>
            </w:r>
            <w:r>
              <w:rPr>
                <w:rFonts w:hint="eastAsia" w:ascii="Times New Roman"/>
                <w:color w:val="auto"/>
                <w:sz w:val="21"/>
                <w:szCs w:val="21"/>
                <w:highlight w:val="none"/>
              </w:rPr>
              <w:t>否</w:t>
            </w:r>
          </w:p>
          <w:p>
            <w:pPr>
              <w:spacing w:line="360" w:lineRule="auto"/>
              <w:rPr>
                <w:color w:val="auto"/>
                <w:szCs w:val="21"/>
                <w:highlight w:val="none"/>
              </w:rPr>
            </w:pPr>
            <w:r>
              <w:rPr>
                <w:color w:val="auto"/>
                <w:kern w:val="0"/>
                <w:szCs w:val="21"/>
                <w:highlight w:val="none"/>
              </w:rPr>
              <w:t>□</w:t>
            </w:r>
            <w:r>
              <w:rPr>
                <w:rFonts w:hint="eastAsia"/>
                <w:color w:val="auto"/>
                <w:szCs w:val="21"/>
                <w:highlight w:val="none"/>
              </w:rPr>
              <w:t>是</w:t>
            </w:r>
          </w:p>
        </w:tc>
      </w:tr>
      <w:tr>
        <w:tblPrEx>
          <w:tblCellMar>
            <w:top w:w="0" w:type="dxa"/>
            <w:left w:w="108" w:type="dxa"/>
            <w:bottom w:w="0" w:type="dxa"/>
            <w:right w:w="108" w:type="dxa"/>
          </w:tblCellMar>
        </w:tblPrEx>
        <w:trPr>
          <w:trHeight w:val="730"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5.1</w:t>
            </w:r>
          </w:p>
        </w:tc>
        <w:tc>
          <w:tcPr>
            <w:tcW w:w="2799"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开标时间和地点</w:t>
            </w:r>
          </w:p>
        </w:tc>
        <w:tc>
          <w:tcPr>
            <w:tcW w:w="5121"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w:t>
            </w:r>
          </w:p>
        </w:tc>
      </w:tr>
      <w:tr>
        <w:tblPrEx>
          <w:tblCellMar>
            <w:top w:w="0" w:type="dxa"/>
            <w:left w:w="108" w:type="dxa"/>
            <w:bottom w:w="0" w:type="dxa"/>
            <w:right w:w="108" w:type="dxa"/>
          </w:tblCellMar>
        </w:tblPrEx>
        <w:trPr>
          <w:trHeight w:val="694"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6.1</w:t>
            </w:r>
          </w:p>
        </w:tc>
        <w:tc>
          <w:tcPr>
            <w:tcW w:w="2799"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评标委员会组成</w:t>
            </w:r>
          </w:p>
        </w:tc>
        <w:tc>
          <w:tcPr>
            <w:tcW w:w="5121"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由招标人自行组建评标委员会</w:t>
            </w:r>
          </w:p>
        </w:tc>
      </w:tr>
      <w:tr>
        <w:tblPrEx>
          <w:tblCellMar>
            <w:top w:w="0" w:type="dxa"/>
            <w:left w:w="108" w:type="dxa"/>
            <w:bottom w:w="0" w:type="dxa"/>
            <w:right w:w="108" w:type="dxa"/>
          </w:tblCellMar>
        </w:tblPrEx>
        <w:trPr>
          <w:trHeight w:val="592" w:hRule="atLeast"/>
        </w:trPr>
        <w:tc>
          <w:tcPr>
            <w:tcW w:w="1008"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 xml:space="preserve">  \</w:t>
            </w:r>
          </w:p>
        </w:tc>
        <w:tc>
          <w:tcPr>
            <w:tcW w:w="2799"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资格审查方式</w:t>
            </w:r>
          </w:p>
        </w:tc>
        <w:tc>
          <w:tcPr>
            <w:tcW w:w="5121"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资格后审</w:t>
            </w:r>
          </w:p>
        </w:tc>
      </w:tr>
      <w:tr>
        <w:tblPrEx>
          <w:tblCellMar>
            <w:top w:w="0" w:type="dxa"/>
            <w:left w:w="108" w:type="dxa"/>
            <w:bottom w:w="0" w:type="dxa"/>
            <w:right w:w="108" w:type="dxa"/>
          </w:tblCellMar>
        </w:tblPrEx>
        <w:trPr>
          <w:trHeight w:val="607"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7.2</w:t>
            </w:r>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中标候选人公示媒介</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 w:val="32"/>
                <w:szCs w:val="32"/>
                <w:highlight w:val="none"/>
              </w:rPr>
            </w:pPr>
            <w:r>
              <w:rPr>
                <w:rFonts w:hint="eastAsia"/>
                <w:color w:val="auto"/>
                <w:highlight w:val="none"/>
                <w:u w:val="single"/>
              </w:rPr>
              <w:t>http://zbtb.southcn.com</w:t>
            </w:r>
          </w:p>
        </w:tc>
      </w:tr>
      <w:tr>
        <w:tblPrEx>
          <w:tblCellMar>
            <w:top w:w="0" w:type="dxa"/>
            <w:left w:w="108" w:type="dxa"/>
            <w:bottom w:w="0" w:type="dxa"/>
            <w:right w:w="108" w:type="dxa"/>
          </w:tblCellMar>
        </w:tblPrEx>
        <w:trPr>
          <w:trHeight w:val="607"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bookmarkStart w:id="382" w:name="_Toc435178366"/>
            <w:bookmarkStart w:id="383" w:name="_Toc246996175"/>
            <w:bookmarkStart w:id="384" w:name="_Toc152042305"/>
            <w:bookmarkStart w:id="385" w:name="_Toc144974497"/>
            <w:bookmarkStart w:id="386" w:name="_Toc179632546"/>
            <w:bookmarkStart w:id="387" w:name="_Toc496601933"/>
            <w:bookmarkStart w:id="388" w:name="_Toc246996918"/>
            <w:bookmarkStart w:id="389" w:name="_Toc152045529"/>
            <w:bookmarkStart w:id="390" w:name="_Toc436215723"/>
            <w:bookmarkStart w:id="391" w:name="_Toc247085689"/>
          </w:p>
        </w:tc>
        <w:tc>
          <w:tcPr>
            <w:tcW w:w="279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b/>
                <w:bCs/>
                <w:color w:val="auto"/>
                <w:szCs w:val="21"/>
                <w:highlight w:val="none"/>
              </w:rPr>
              <w:t>★商务部分基准线</w:t>
            </w:r>
          </w:p>
        </w:tc>
        <w:tc>
          <w:tcPr>
            <w:tcW w:w="5121"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color w:val="auto"/>
                <w:szCs w:val="21"/>
                <w:highlight w:val="none"/>
              </w:rPr>
            </w:pPr>
            <w:r>
              <w:rPr>
                <w:rFonts w:hint="eastAsia"/>
                <w:color w:val="auto"/>
                <w:szCs w:val="21"/>
                <w:highlight w:val="none"/>
              </w:rPr>
              <w:t>本项目商务部分设置评分基准线。</w:t>
            </w:r>
          </w:p>
          <w:p>
            <w:pPr>
              <w:spacing w:line="360" w:lineRule="auto"/>
              <w:jc w:val="left"/>
              <w:rPr>
                <w:color w:val="auto"/>
                <w:szCs w:val="21"/>
                <w:highlight w:val="none"/>
              </w:rPr>
            </w:pPr>
            <w:r>
              <w:rPr>
                <w:rFonts w:hint="eastAsia"/>
                <w:color w:val="auto"/>
                <w:szCs w:val="21"/>
                <w:highlight w:val="none"/>
              </w:rPr>
              <w:t>若投标人的商务评分低于基准线，其投标应答将被视为存在重大商务技术偏差，则投标应答无效，不进入技术部分评审。</w:t>
            </w:r>
          </w:p>
          <w:p>
            <w:pPr>
              <w:spacing w:line="360" w:lineRule="auto"/>
              <w:jc w:val="left"/>
              <w:rPr>
                <w:rFonts w:hint="eastAsia" w:hAnsi="宋体"/>
                <w:b/>
                <w:color w:val="auto"/>
                <w:highlight w:val="none"/>
              </w:rPr>
            </w:pPr>
            <w:r>
              <w:rPr>
                <w:rFonts w:hint="eastAsia"/>
                <w:color w:val="auto"/>
                <w:szCs w:val="21"/>
                <w:highlight w:val="none"/>
              </w:rPr>
              <w:t>商务评分基准线＝本项目商务部分分值×60%（即30×60%=18分）</w:t>
            </w:r>
          </w:p>
        </w:tc>
      </w:tr>
    </w:tbl>
    <w:p>
      <w:pPr>
        <w:pStyle w:val="4"/>
        <w:spacing w:line="360" w:lineRule="auto"/>
        <w:rPr>
          <w:color w:val="auto"/>
          <w:highlight w:val="none"/>
        </w:rPr>
      </w:pPr>
      <w:r>
        <w:rPr>
          <w:color w:val="auto"/>
          <w:highlight w:val="none"/>
        </w:rPr>
        <w:br w:type="page"/>
      </w:r>
      <w:bookmarkStart w:id="392" w:name="_Toc28284"/>
      <w:bookmarkStart w:id="393" w:name="_Toc3175"/>
      <w:bookmarkStart w:id="394" w:name="_Toc27663"/>
      <w:bookmarkStart w:id="395" w:name="_Toc28019"/>
      <w:bookmarkStart w:id="396" w:name="_Toc14232"/>
      <w:bookmarkStart w:id="397" w:name="_Toc15824"/>
      <w:bookmarkStart w:id="398" w:name="_Toc24315"/>
      <w:bookmarkStart w:id="399" w:name="_Toc24984"/>
      <w:bookmarkStart w:id="400" w:name="_Toc13009"/>
      <w:bookmarkStart w:id="401" w:name="_Toc19149"/>
      <w:bookmarkStart w:id="402" w:name="_Toc8872"/>
      <w:bookmarkStart w:id="403" w:name="_Toc5483"/>
      <w:bookmarkStart w:id="404" w:name="_Toc26146"/>
      <w:bookmarkStart w:id="405" w:name="_Toc9245"/>
      <w:bookmarkStart w:id="406" w:name="_Toc26884"/>
      <w:bookmarkStart w:id="407" w:name="_Toc25576"/>
      <w:bookmarkStart w:id="408" w:name="_Toc25140"/>
      <w:bookmarkStart w:id="409" w:name="_Toc16706"/>
      <w:bookmarkStart w:id="410" w:name="_Toc25052"/>
      <w:bookmarkStart w:id="411" w:name="_Toc11615"/>
      <w:bookmarkStart w:id="412" w:name="_Toc32153"/>
      <w:bookmarkStart w:id="413" w:name="_Toc7131"/>
      <w:bookmarkStart w:id="414" w:name="_Toc28246"/>
      <w:r>
        <w:rPr>
          <w:rFonts w:hint="eastAsia"/>
          <w:color w:val="auto"/>
          <w:highlight w:val="none"/>
        </w:rPr>
        <w:t>1. 总则</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pPr>
        <w:pStyle w:val="5"/>
        <w:rPr>
          <w:color w:val="auto"/>
          <w:highlight w:val="none"/>
        </w:rPr>
      </w:pPr>
      <w:bookmarkStart w:id="415" w:name="_Toc246996176"/>
      <w:bookmarkStart w:id="416" w:name="_Toc152045530"/>
      <w:bookmarkStart w:id="417" w:name="_Toc436215724"/>
      <w:bookmarkStart w:id="418" w:name="_Toc144974498"/>
      <w:bookmarkStart w:id="419" w:name="_Toc496601934"/>
      <w:bookmarkStart w:id="420" w:name="_Toc12079"/>
      <w:bookmarkStart w:id="421" w:name="_Toc246996919"/>
      <w:bookmarkStart w:id="422" w:name="_Toc11822"/>
      <w:bookmarkStart w:id="423" w:name="_Toc179632547"/>
      <w:bookmarkStart w:id="424" w:name="_Toc9869"/>
      <w:bookmarkStart w:id="425" w:name="_Toc247085690"/>
      <w:bookmarkStart w:id="426" w:name="_Toc435178367"/>
      <w:bookmarkStart w:id="427" w:name="_Toc23229"/>
      <w:bookmarkStart w:id="428" w:name="_Toc18486"/>
      <w:bookmarkStart w:id="429" w:name="_Toc22159"/>
      <w:bookmarkStart w:id="430" w:name="_Toc7591"/>
      <w:bookmarkStart w:id="431" w:name="_Toc152042306"/>
      <w:bookmarkStart w:id="432" w:name="_Toc11261"/>
      <w:r>
        <w:rPr>
          <w:rFonts w:hint="eastAsia"/>
          <w:color w:val="auto"/>
          <w:highlight w:val="none"/>
        </w:rPr>
        <w:t>1.1 项目概况</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pPr>
        <w:spacing w:line="360" w:lineRule="auto"/>
        <w:ind w:firstLine="420" w:firstLineChars="200"/>
        <w:rPr>
          <w:color w:val="auto"/>
          <w:highlight w:val="none"/>
        </w:rPr>
      </w:pPr>
      <w:r>
        <w:rPr>
          <w:rFonts w:hint="eastAsia"/>
          <w:color w:val="auto"/>
          <w:highlight w:val="none"/>
        </w:rPr>
        <w:t>1.1.1参照《中华人民共和国招标投标法》、《南方报业传媒集团招标管理规定》等有关规定，本招标项目已具备招标条件，现对本项目进行招标。</w:t>
      </w:r>
    </w:p>
    <w:p>
      <w:pPr>
        <w:spacing w:line="360" w:lineRule="auto"/>
        <w:ind w:firstLine="420" w:firstLineChars="200"/>
        <w:rPr>
          <w:color w:val="auto"/>
          <w:highlight w:val="none"/>
        </w:rPr>
      </w:pPr>
      <w:r>
        <w:rPr>
          <w:rFonts w:hint="eastAsia"/>
          <w:color w:val="auto"/>
          <w:highlight w:val="none"/>
        </w:rPr>
        <w:t>1.1.2 本招标项目招标人：</w:t>
      </w:r>
      <w:r>
        <w:rPr>
          <w:rFonts w:hint="eastAsia"/>
          <w:color w:val="auto"/>
          <w:szCs w:val="21"/>
          <w:highlight w:val="none"/>
        </w:rPr>
        <w:t>广东南方报业传媒集团物业管理有限公司</w:t>
      </w:r>
      <w:r>
        <w:rPr>
          <w:rFonts w:hint="eastAsia"/>
          <w:color w:val="auto"/>
          <w:highlight w:val="none"/>
        </w:rPr>
        <w:t>。</w:t>
      </w:r>
    </w:p>
    <w:p>
      <w:pPr>
        <w:spacing w:line="360" w:lineRule="auto"/>
        <w:ind w:firstLine="420" w:firstLineChars="200"/>
        <w:rPr>
          <w:color w:val="auto"/>
          <w:highlight w:val="none"/>
        </w:rPr>
      </w:pPr>
      <w:r>
        <w:rPr>
          <w:rFonts w:hint="eastAsia"/>
          <w:color w:val="auto"/>
          <w:highlight w:val="none"/>
        </w:rPr>
        <w:t>1.1.3 本招标项目名称：南方报业传媒集团大院2025-2026年保洁服务。</w:t>
      </w:r>
    </w:p>
    <w:p>
      <w:pPr>
        <w:spacing w:line="360" w:lineRule="auto"/>
        <w:ind w:firstLine="420" w:firstLineChars="200"/>
        <w:rPr>
          <w:color w:val="auto"/>
          <w:highlight w:val="none"/>
        </w:rPr>
      </w:pPr>
      <w:r>
        <w:rPr>
          <w:rFonts w:hint="eastAsia"/>
          <w:color w:val="auto"/>
          <w:highlight w:val="none"/>
        </w:rPr>
        <w:t>1.1.4 本招标项目商务和技术要求：见本招标文件第四章合同主要条款和第六章项目要求。</w:t>
      </w:r>
    </w:p>
    <w:p>
      <w:pPr>
        <w:pStyle w:val="5"/>
        <w:rPr>
          <w:color w:val="auto"/>
          <w:highlight w:val="none"/>
        </w:rPr>
      </w:pPr>
      <w:bookmarkStart w:id="433" w:name="_Toc496601935"/>
      <w:bookmarkStart w:id="434" w:name="_Toc3671"/>
      <w:bookmarkStart w:id="435" w:name="_Toc246996920"/>
      <w:bookmarkStart w:id="436" w:name="_Toc14175"/>
      <w:bookmarkStart w:id="437" w:name="_Toc8223"/>
      <w:bookmarkStart w:id="438" w:name="_Toc179632548"/>
      <w:bookmarkStart w:id="439" w:name="_Toc18851"/>
      <w:bookmarkStart w:id="440" w:name="_Toc246996177"/>
      <w:bookmarkStart w:id="441" w:name="_Toc27330"/>
      <w:bookmarkStart w:id="442" w:name="_Toc247085691"/>
      <w:bookmarkStart w:id="443" w:name="_Toc19151"/>
      <w:bookmarkStart w:id="444" w:name="_Toc435178368"/>
      <w:bookmarkStart w:id="445" w:name="_Toc18972"/>
      <w:bookmarkStart w:id="446" w:name="_Toc152045531"/>
      <w:bookmarkStart w:id="447" w:name="_Toc152042307"/>
      <w:bookmarkStart w:id="448" w:name="_Toc144974499"/>
      <w:bookmarkStart w:id="449" w:name="_Toc436215725"/>
      <w:bookmarkStart w:id="450" w:name="_Toc6934"/>
      <w:r>
        <w:rPr>
          <w:rFonts w:hint="eastAsia"/>
          <w:color w:val="auto"/>
          <w:highlight w:val="none"/>
        </w:rPr>
        <w:t>1.2 资金来源和落实情况</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pPr>
        <w:spacing w:line="360" w:lineRule="auto"/>
        <w:ind w:firstLine="420" w:firstLineChars="200"/>
        <w:rPr>
          <w:color w:val="auto"/>
          <w:highlight w:val="none"/>
        </w:rPr>
      </w:pPr>
      <w:r>
        <w:rPr>
          <w:rFonts w:hint="eastAsia"/>
          <w:color w:val="auto"/>
          <w:highlight w:val="none"/>
        </w:rPr>
        <w:t>1.2.1 本招标项目的资金来源：自筹。</w:t>
      </w:r>
    </w:p>
    <w:p>
      <w:pPr>
        <w:spacing w:line="360" w:lineRule="auto"/>
        <w:ind w:firstLine="420" w:firstLineChars="200"/>
        <w:rPr>
          <w:color w:val="auto"/>
          <w:highlight w:val="none"/>
        </w:rPr>
      </w:pPr>
      <w:r>
        <w:rPr>
          <w:rFonts w:hint="eastAsia"/>
          <w:color w:val="auto"/>
          <w:highlight w:val="none"/>
        </w:rPr>
        <w:t>1.2.2 本招标项目的资金落实情况：已落实。</w:t>
      </w:r>
    </w:p>
    <w:p>
      <w:pPr>
        <w:pStyle w:val="5"/>
        <w:rPr>
          <w:color w:val="auto"/>
          <w:highlight w:val="none"/>
        </w:rPr>
      </w:pPr>
      <w:bookmarkStart w:id="451" w:name="_Toc246996178"/>
      <w:bookmarkStart w:id="452" w:name="_Toc1093"/>
      <w:bookmarkStart w:id="453" w:name="_Toc15296"/>
      <w:bookmarkStart w:id="454" w:name="_Toc18544"/>
      <w:bookmarkStart w:id="455" w:name="_Toc451"/>
      <w:bookmarkStart w:id="456" w:name="_Toc246996921"/>
      <w:bookmarkStart w:id="457" w:name="_Toc152045532"/>
      <w:bookmarkStart w:id="458" w:name="_Toc435178369"/>
      <w:bookmarkStart w:id="459" w:name="_Toc436215726"/>
      <w:bookmarkStart w:id="460" w:name="_Toc179632549"/>
      <w:bookmarkStart w:id="461" w:name="_Toc496601936"/>
      <w:bookmarkStart w:id="462" w:name="_Toc8309"/>
      <w:bookmarkStart w:id="463" w:name="_Toc3987"/>
      <w:bookmarkStart w:id="464" w:name="_Toc144974500"/>
      <w:bookmarkStart w:id="465" w:name="_Toc152042308"/>
      <w:bookmarkStart w:id="466" w:name="_Toc247085692"/>
      <w:bookmarkStart w:id="467" w:name="_Toc27166"/>
      <w:bookmarkStart w:id="468" w:name="_Toc5442"/>
      <w:r>
        <w:rPr>
          <w:rFonts w:hint="eastAsia"/>
          <w:color w:val="auto"/>
          <w:highlight w:val="none"/>
        </w:rPr>
        <w:t>1.3 招标质量要求</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p>
    <w:p>
      <w:pPr>
        <w:spacing w:line="360" w:lineRule="auto"/>
        <w:ind w:firstLine="420" w:firstLineChars="200"/>
        <w:rPr>
          <w:color w:val="auto"/>
          <w:highlight w:val="none"/>
        </w:rPr>
      </w:pPr>
      <w:r>
        <w:rPr>
          <w:rFonts w:hint="eastAsia"/>
          <w:color w:val="auto"/>
          <w:highlight w:val="none"/>
        </w:rPr>
        <w:t>1.3.1 本招标项目的质量要求：见本招标文件第四章合同主要条款和第六章项目要求。</w:t>
      </w:r>
    </w:p>
    <w:p>
      <w:pPr>
        <w:pStyle w:val="5"/>
        <w:rPr>
          <w:color w:val="auto"/>
          <w:highlight w:val="none"/>
        </w:rPr>
      </w:pPr>
      <w:bookmarkStart w:id="469" w:name="_Toc179632551"/>
      <w:bookmarkStart w:id="470" w:name="_Toc247085693"/>
      <w:bookmarkStart w:id="471" w:name="_Toc436215727"/>
      <w:bookmarkStart w:id="472" w:name="_Toc435178370"/>
      <w:bookmarkStart w:id="473" w:name="_Toc152045534"/>
      <w:bookmarkStart w:id="474" w:name="_Toc152042310"/>
      <w:bookmarkStart w:id="475" w:name="_Toc246996922"/>
      <w:bookmarkStart w:id="476" w:name="_Toc144974502"/>
      <w:bookmarkStart w:id="477" w:name="_Toc246996179"/>
      <w:bookmarkStart w:id="478" w:name="_Toc27319"/>
      <w:bookmarkStart w:id="479" w:name="_Toc21722"/>
      <w:bookmarkStart w:id="480" w:name="_Toc9392"/>
      <w:bookmarkStart w:id="481" w:name="_Toc7773"/>
      <w:bookmarkStart w:id="482" w:name="_Toc1479"/>
      <w:bookmarkStart w:id="483" w:name="_Toc29228"/>
      <w:bookmarkStart w:id="484" w:name="_Toc31590"/>
      <w:bookmarkStart w:id="485" w:name="_Toc496601937"/>
      <w:bookmarkStart w:id="486" w:name="_Toc8848"/>
      <w:r>
        <w:rPr>
          <w:rFonts w:hint="eastAsia"/>
          <w:color w:val="auto"/>
          <w:highlight w:val="none"/>
        </w:rPr>
        <w:t xml:space="preserve">1.4 </w:t>
      </w:r>
      <w:bookmarkEnd w:id="469"/>
      <w:bookmarkEnd w:id="470"/>
      <w:bookmarkEnd w:id="471"/>
      <w:bookmarkEnd w:id="472"/>
      <w:bookmarkEnd w:id="473"/>
      <w:bookmarkEnd w:id="474"/>
      <w:bookmarkEnd w:id="475"/>
      <w:bookmarkEnd w:id="476"/>
      <w:bookmarkEnd w:id="477"/>
      <w:r>
        <w:rPr>
          <w:rFonts w:hint="eastAsia"/>
          <w:color w:val="auto"/>
          <w:highlight w:val="none"/>
        </w:rPr>
        <w:t>合格投标人</w:t>
      </w:r>
      <w:bookmarkEnd w:id="478"/>
      <w:bookmarkEnd w:id="479"/>
      <w:bookmarkEnd w:id="480"/>
      <w:bookmarkEnd w:id="481"/>
      <w:bookmarkEnd w:id="482"/>
      <w:bookmarkEnd w:id="483"/>
      <w:bookmarkEnd w:id="484"/>
      <w:bookmarkEnd w:id="485"/>
      <w:bookmarkEnd w:id="486"/>
    </w:p>
    <w:p>
      <w:pPr>
        <w:spacing w:line="360" w:lineRule="auto"/>
        <w:ind w:firstLine="359" w:firstLineChars="171"/>
        <w:rPr>
          <w:color w:val="auto"/>
          <w:highlight w:val="none"/>
        </w:rPr>
      </w:pPr>
      <w:r>
        <w:rPr>
          <w:rFonts w:hint="eastAsia"/>
          <w:color w:val="auto"/>
          <w:highlight w:val="none"/>
        </w:rPr>
        <w:t>1.4.1 投标人应具备承担本项目要求的资格、能力和信誉。</w:t>
      </w:r>
    </w:p>
    <w:p>
      <w:pPr>
        <w:spacing w:line="360" w:lineRule="auto"/>
        <w:ind w:firstLine="359" w:firstLineChars="171"/>
        <w:rPr>
          <w:color w:val="auto"/>
          <w:highlight w:val="none"/>
        </w:rPr>
      </w:pPr>
      <w:r>
        <w:rPr>
          <w:rFonts w:hint="eastAsia"/>
          <w:color w:val="auto"/>
          <w:highlight w:val="none"/>
        </w:rPr>
        <w:t>（1）投标人资格要求：见投标人须知前附表；</w:t>
      </w:r>
    </w:p>
    <w:p>
      <w:pPr>
        <w:spacing w:line="360" w:lineRule="auto"/>
        <w:ind w:firstLine="359" w:firstLineChars="171"/>
        <w:rPr>
          <w:color w:val="auto"/>
          <w:highlight w:val="none"/>
        </w:rPr>
      </w:pPr>
      <w:r>
        <w:rPr>
          <w:rFonts w:hint="eastAsia"/>
          <w:color w:val="auto"/>
          <w:highlight w:val="none"/>
        </w:rPr>
        <w:t>1.4.2 投标人不得存在下列情形之一：</w:t>
      </w:r>
    </w:p>
    <w:p>
      <w:pPr>
        <w:spacing w:line="360" w:lineRule="auto"/>
        <w:ind w:firstLine="359" w:firstLineChars="171"/>
        <w:rPr>
          <w:color w:val="auto"/>
          <w:highlight w:val="none"/>
        </w:rPr>
      </w:pPr>
      <w:bookmarkStart w:id="487" w:name="_Toc152042311"/>
      <w:bookmarkStart w:id="488" w:name="_Toc435178371"/>
      <w:bookmarkStart w:id="489" w:name="_Toc144974503"/>
      <w:bookmarkStart w:id="490" w:name="_Toc152045535"/>
      <w:bookmarkStart w:id="491" w:name="_Toc496601938"/>
      <w:bookmarkStart w:id="492" w:name="_Toc246996923"/>
      <w:bookmarkStart w:id="493" w:name="_Toc247085694"/>
      <w:bookmarkStart w:id="494" w:name="_Toc246996180"/>
      <w:bookmarkStart w:id="495" w:name="_Toc436215728"/>
      <w:bookmarkStart w:id="496" w:name="_Toc179632552"/>
      <w:r>
        <w:rPr>
          <w:rFonts w:hint="eastAsia"/>
          <w:color w:val="auto"/>
          <w:highlight w:val="none"/>
        </w:rPr>
        <w:t>（1）</w:t>
      </w:r>
      <w:r>
        <w:rPr>
          <w:color w:val="auto"/>
          <w:highlight w:val="none"/>
        </w:rPr>
        <w:t>与招标人存在利害关系且可能影响招标公正性；</w:t>
      </w:r>
    </w:p>
    <w:p>
      <w:pPr>
        <w:spacing w:line="360" w:lineRule="auto"/>
        <w:ind w:firstLine="359" w:firstLineChars="171"/>
        <w:rPr>
          <w:color w:val="auto"/>
          <w:highlight w:val="none"/>
        </w:rPr>
      </w:pPr>
      <w:r>
        <w:rPr>
          <w:rFonts w:hint="eastAsia"/>
          <w:color w:val="auto"/>
          <w:highlight w:val="none"/>
        </w:rPr>
        <w:t>（2）</w:t>
      </w:r>
      <w:r>
        <w:rPr>
          <w:color w:val="auto"/>
          <w:highlight w:val="none"/>
        </w:rPr>
        <w:t>与本招标项目的其他投标人为同一个单位负责人；</w:t>
      </w:r>
    </w:p>
    <w:p>
      <w:pPr>
        <w:spacing w:line="360" w:lineRule="auto"/>
        <w:ind w:firstLine="359" w:firstLineChars="171"/>
        <w:rPr>
          <w:color w:val="auto"/>
          <w:highlight w:val="none"/>
        </w:rPr>
      </w:pPr>
      <w:r>
        <w:rPr>
          <w:rFonts w:hint="eastAsia"/>
          <w:color w:val="auto"/>
          <w:highlight w:val="none"/>
        </w:rPr>
        <w:t>（3）</w:t>
      </w:r>
      <w:r>
        <w:rPr>
          <w:color w:val="auto"/>
          <w:highlight w:val="none"/>
        </w:rPr>
        <w:t>与本招标项目的其他投标人存在控股、管理关系；</w:t>
      </w:r>
    </w:p>
    <w:p>
      <w:pPr>
        <w:spacing w:line="360" w:lineRule="auto"/>
        <w:ind w:firstLine="359" w:firstLineChars="171"/>
        <w:rPr>
          <w:color w:val="auto"/>
          <w:highlight w:val="none"/>
        </w:rPr>
      </w:pPr>
      <w:r>
        <w:rPr>
          <w:rFonts w:hint="eastAsia"/>
          <w:color w:val="auto"/>
          <w:highlight w:val="none"/>
        </w:rPr>
        <w:t>（4）</w:t>
      </w:r>
      <w:r>
        <w:rPr>
          <w:color w:val="auto"/>
          <w:highlight w:val="none"/>
        </w:rPr>
        <w:t>被依法暂停或者取消投标资格；</w:t>
      </w:r>
    </w:p>
    <w:p>
      <w:pPr>
        <w:spacing w:line="360" w:lineRule="auto"/>
        <w:ind w:firstLine="359" w:firstLineChars="171"/>
        <w:rPr>
          <w:color w:val="auto"/>
          <w:highlight w:val="none"/>
        </w:rPr>
      </w:pPr>
      <w:r>
        <w:rPr>
          <w:rFonts w:hint="eastAsia"/>
          <w:color w:val="auto"/>
          <w:highlight w:val="none"/>
        </w:rPr>
        <w:t>（5）</w:t>
      </w:r>
      <w:r>
        <w:rPr>
          <w:color w:val="auto"/>
          <w:highlight w:val="none"/>
        </w:rPr>
        <w:t>被责令停产停业、暂扣或者吊销许可证、暂扣或者吊销执照；</w:t>
      </w:r>
    </w:p>
    <w:p>
      <w:pPr>
        <w:spacing w:line="360" w:lineRule="auto"/>
        <w:ind w:firstLine="359" w:firstLineChars="171"/>
        <w:rPr>
          <w:color w:val="auto"/>
          <w:highlight w:val="none"/>
        </w:rPr>
      </w:pPr>
      <w:r>
        <w:rPr>
          <w:rFonts w:hint="eastAsia"/>
          <w:color w:val="auto"/>
          <w:highlight w:val="none"/>
        </w:rPr>
        <w:t>（6）</w:t>
      </w:r>
      <w:r>
        <w:rPr>
          <w:color w:val="auto"/>
          <w:highlight w:val="none"/>
        </w:rPr>
        <w:t>进入清算程序，或被宣告破产，或其他丧失履约能力的情形；</w:t>
      </w:r>
    </w:p>
    <w:p>
      <w:pPr>
        <w:spacing w:line="360" w:lineRule="auto"/>
        <w:ind w:firstLine="359" w:firstLineChars="171"/>
        <w:rPr>
          <w:color w:val="auto"/>
          <w:highlight w:val="none"/>
        </w:rPr>
      </w:pPr>
      <w:r>
        <w:rPr>
          <w:rFonts w:hint="eastAsia"/>
          <w:color w:val="auto"/>
          <w:highlight w:val="none"/>
        </w:rPr>
        <w:t>（7）</w:t>
      </w:r>
      <w:r>
        <w:rPr>
          <w:color w:val="auto"/>
          <w:highlight w:val="none"/>
        </w:rPr>
        <w:t>在最近三年内发生重大产品质量问题（以相关行业主管部门的行政处罚决定或司法机关出具的有关法律文书为准）；</w:t>
      </w:r>
    </w:p>
    <w:p>
      <w:pPr>
        <w:spacing w:line="360" w:lineRule="auto"/>
        <w:ind w:firstLine="359" w:firstLineChars="171"/>
        <w:rPr>
          <w:color w:val="auto"/>
          <w:highlight w:val="none"/>
        </w:rPr>
      </w:pPr>
      <w:r>
        <w:rPr>
          <w:rFonts w:hint="eastAsia"/>
          <w:color w:val="auto"/>
          <w:highlight w:val="none"/>
        </w:rPr>
        <w:t>（8）</w:t>
      </w:r>
      <w:r>
        <w:rPr>
          <w:color w:val="auto"/>
          <w:highlight w:val="none"/>
        </w:rPr>
        <w:t>被工商行政管理机关在全国企业信用信息公示系统中列入严重违法失信企业名单；</w:t>
      </w:r>
    </w:p>
    <w:p>
      <w:pPr>
        <w:spacing w:line="360" w:lineRule="auto"/>
        <w:ind w:firstLine="359" w:firstLineChars="171"/>
        <w:rPr>
          <w:color w:val="auto"/>
          <w:highlight w:val="none"/>
        </w:rPr>
      </w:pPr>
      <w:r>
        <w:rPr>
          <w:rFonts w:hint="eastAsia"/>
          <w:color w:val="auto"/>
          <w:highlight w:val="none"/>
        </w:rPr>
        <w:t>（9）</w:t>
      </w:r>
      <w:r>
        <w:rPr>
          <w:color w:val="auto"/>
          <w:highlight w:val="none"/>
        </w:rPr>
        <w:t>被最高人民法院在“信用中国”网站（www.creditchina.gov.cn）或各级信用信息共享平台中列入失信被执行人名单；</w:t>
      </w:r>
    </w:p>
    <w:p>
      <w:pPr>
        <w:spacing w:line="360" w:lineRule="auto"/>
        <w:ind w:firstLine="359" w:firstLineChars="171"/>
        <w:rPr>
          <w:color w:val="auto"/>
          <w:highlight w:val="none"/>
        </w:rPr>
      </w:pPr>
      <w:r>
        <w:rPr>
          <w:rFonts w:hint="eastAsia"/>
          <w:color w:val="auto"/>
          <w:highlight w:val="none"/>
        </w:rPr>
        <w:t>（10）</w:t>
      </w:r>
      <w:r>
        <w:rPr>
          <w:color w:val="auto"/>
          <w:highlight w:val="none"/>
        </w:rPr>
        <w:t>在近三年内投标人或其法定代表人、拟委任的项目负责人有行贿犯罪行为的（以检察机关职务犯罪预防部门出具的查询结果为准）；</w:t>
      </w:r>
    </w:p>
    <w:p>
      <w:pPr>
        <w:spacing w:line="360" w:lineRule="auto"/>
        <w:ind w:firstLine="359" w:firstLineChars="171"/>
        <w:rPr>
          <w:color w:val="auto"/>
          <w:highlight w:val="none"/>
        </w:rPr>
      </w:pPr>
      <w:r>
        <w:rPr>
          <w:rFonts w:hint="eastAsia"/>
          <w:color w:val="auto"/>
          <w:highlight w:val="none"/>
        </w:rPr>
        <w:t>（11）</w:t>
      </w:r>
      <w:r>
        <w:rPr>
          <w:color w:val="auto"/>
          <w:highlight w:val="none"/>
        </w:rPr>
        <w:t>法律法规或投标人须知前附表规定的其他情形。</w:t>
      </w:r>
    </w:p>
    <w:p>
      <w:pPr>
        <w:pStyle w:val="5"/>
        <w:rPr>
          <w:color w:val="auto"/>
          <w:highlight w:val="none"/>
        </w:rPr>
      </w:pPr>
      <w:bookmarkStart w:id="497" w:name="_Toc10036"/>
      <w:bookmarkStart w:id="498" w:name="_Toc21975"/>
      <w:bookmarkStart w:id="499" w:name="_Toc19951"/>
      <w:bookmarkStart w:id="500" w:name="_Toc17280"/>
      <w:bookmarkStart w:id="501" w:name="_Toc2745"/>
      <w:bookmarkStart w:id="502" w:name="_Toc19862"/>
      <w:bookmarkStart w:id="503" w:name="_Toc5935"/>
      <w:bookmarkStart w:id="504" w:name="_Toc12124"/>
      <w:r>
        <w:rPr>
          <w:rFonts w:hint="eastAsia"/>
          <w:color w:val="auto"/>
          <w:highlight w:val="none"/>
        </w:rPr>
        <w:t>1.5 费用承担</w:t>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pPr>
        <w:spacing w:line="360" w:lineRule="auto"/>
        <w:ind w:firstLine="420" w:firstLineChars="200"/>
        <w:rPr>
          <w:color w:val="auto"/>
          <w:highlight w:val="none"/>
        </w:rPr>
      </w:pPr>
      <w:r>
        <w:rPr>
          <w:rFonts w:hint="eastAsia"/>
          <w:color w:val="auto"/>
          <w:highlight w:val="none"/>
        </w:rPr>
        <w:t>投标人准备和参加投标活动发生的费用自理。</w:t>
      </w:r>
    </w:p>
    <w:p>
      <w:pPr>
        <w:pStyle w:val="5"/>
        <w:rPr>
          <w:color w:val="auto"/>
          <w:highlight w:val="none"/>
        </w:rPr>
      </w:pPr>
      <w:bookmarkStart w:id="505" w:name="_Toc246996924"/>
      <w:bookmarkStart w:id="506" w:name="_Toc17831"/>
      <w:bookmarkStart w:id="507" w:name="_Toc152045536"/>
      <w:bookmarkStart w:id="508" w:name="_Toc18971"/>
      <w:bookmarkStart w:id="509" w:name="_Toc30496"/>
      <w:bookmarkStart w:id="510" w:name="_Toc246996181"/>
      <w:bookmarkStart w:id="511" w:name="_Toc152042312"/>
      <w:bookmarkStart w:id="512" w:name="_Toc28717"/>
      <w:bookmarkStart w:id="513" w:name="_Toc496601939"/>
      <w:bookmarkStart w:id="514" w:name="_Toc179632553"/>
      <w:bookmarkStart w:id="515" w:name="_Toc435178372"/>
      <w:bookmarkStart w:id="516" w:name="_Toc6659"/>
      <w:bookmarkStart w:id="517" w:name="_Toc247085695"/>
      <w:bookmarkStart w:id="518" w:name="_Toc436215729"/>
      <w:bookmarkStart w:id="519" w:name="_Toc144974504"/>
      <w:bookmarkStart w:id="520" w:name="_Toc29459"/>
      <w:bookmarkStart w:id="521" w:name="_Toc32381"/>
      <w:bookmarkStart w:id="522" w:name="_Toc18285"/>
      <w:r>
        <w:rPr>
          <w:rFonts w:hint="eastAsia"/>
          <w:color w:val="auto"/>
          <w:highlight w:val="none"/>
        </w:rPr>
        <w:t>1.6 保密</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pPr>
        <w:spacing w:line="360" w:lineRule="auto"/>
        <w:ind w:firstLine="420" w:firstLineChars="200"/>
        <w:rPr>
          <w:color w:val="auto"/>
          <w:highlight w:val="none"/>
        </w:rPr>
      </w:pPr>
      <w:r>
        <w:rPr>
          <w:rFonts w:hint="eastAsia"/>
          <w:color w:val="auto"/>
          <w:highlight w:val="none"/>
        </w:rPr>
        <w:t xml:space="preserve">参与招标投标活动的各方应对招标文件和投标文件中的商业和技术等秘密保密，违者应对由此造成的后果承担法律责任。 </w:t>
      </w:r>
    </w:p>
    <w:p>
      <w:pPr>
        <w:pStyle w:val="5"/>
        <w:rPr>
          <w:color w:val="auto"/>
          <w:highlight w:val="none"/>
        </w:rPr>
      </w:pPr>
      <w:bookmarkStart w:id="523" w:name="_Toc144974505"/>
      <w:bookmarkStart w:id="524" w:name="_Toc31104"/>
      <w:bookmarkStart w:id="525" w:name="_Toc152045537"/>
      <w:bookmarkStart w:id="526" w:name="_Toc246996182"/>
      <w:bookmarkStart w:id="527" w:name="_Toc247085696"/>
      <w:bookmarkStart w:id="528" w:name="_Toc2532"/>
      <w:bookmarkStart w:id="529" w:name="_Toc435178373"/>
      <w:bookmarkStart w:id="530" w:name="_Toc436215730"/>
      <w:bookmarkStart w:id="531" w:name="_Toc179632554"/>
      <w:bookmarkStart w:id="532" w:name="_Toc14115"/>
      <w:bookmarkStart w:id="533" w:name="_Toc496601940"/>
      <w:bookmarkStart w:id="534" w:name="_Toc152042313"/>
      <w:bookmarkStart w:id="535" w:name="_Toc22004"/>
      <w:bookmarkStart w:id="536" w:name="_Toc246996925"/>
      <w:bookmarkStart w:id="537" w:name="_Toc9067"/>
      <w:bookmarkStart w:id="538" w:name="_Toc17313"/>
      <w:bookmarkStart w:id="539" w:name="_Toc13742"/>
      <w:bookmarkStart w:id="540" w:name="_Toc31775"/>
      <w:r>
        <w:rPr>
          <w:rFonts w:hint="eastAsia"/>
          <w:color w:val="auto"/>
          <w:highlight w:val="none"/>
        </w:rPr>
        <w:t>1.7 语言</w:t>
      </w:r>
      <w:bookmarkEnd w:id="523"/>
      <w:r>
        <w:rPr>
          <w:rFonts w:hint="eastAsia"/>
          <w:color w:val="auto"/>
          <w:highlight w:val="none"/>
        </w:rPr>
        <w:t>文字</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pPr>
        <w:spacing w:line="360" w:lineRule="auto"/>
        <w:ind w:firstLine="420" w:firstLineChars="200"/>
        <w:rPr>
          <w:color w:val="auto"/>
          <w:highlight w:val="none"/>
        </w:rPr>
      </w:pPr>
      <w:bookmarkStart w:id="541" w:name="_Toc152045538"/>
      <w:bookmarkStart w:id="542" w:name="_Toc144974506"/>
      <w:bookmarkStart w:id="543" w:name="_Toc246996183"/>
      <w:bookmarkStart w:id="544" w:name="_Toc247085697"/>
      <w:bookmarkStart w:id="545" w:name="_Toc152042314"/>
      <w:bookmarkStart w:id="546" w:name="_Toc179632555"/>
      <w:bookmarkStart w:id="547" w:name="_Toc246996926"/>
      <w:r>
        <w:rPr>
          <w:rFonts w:hint="eastAsia"/>
          <w:color w:val="auto"/>
          <w:highlight w:val="none"/>
        </w:rPr>
        <w:t>招标投标文件使用的语言文字为中文。专用术语使用外文的，应附有中文注释。</w:t>
      </w:r>
    </w:p>
    <w:p>
      <w:pPr>
        <w:pStyle w:val="5"/>
        <w:rPr>
          <w:color w:val="auto"/>
          <w:highlight w:val="none"/>
        </w:rPr>
      </w:pPr>
      <w:bookmarkStart w:id="548" w:name="_Toc26958"/>
      <w:bookmarkStart w:id="549" w:name="_Toc20454"/>
      <w:bookmarkStart w:id="550" w:name="_Toc496601941"/>
      <w:bookmarkStart w:id="551" w:name="_Toc17986"/>
      <w:bookmarkStart w:id="552" w:name="_Toc18038"/>
      <w:bookmarkStart w:id="553" w:name="_Toc435178374"/>
      <w:bookmarkStart w:id="554" w:name="_Toc31227"/>
      <w:bookmarkStart w:id="555" w:name="_Toc436215731"/>
      <w:bookmarkStart w:id="556" w:name="_Toc11065"/>
      <w:bookmarkStart w:id="557" w:name="_Toc28345"/>
      <w:bookmarkStart w:id="558" w:name="_Toc24654"/>
      <w:r>
        <w:rPr>
          <w:rFonts w:hint="eastAsia"/>
          <w:color w:val="auto"/>
          <w:highlight w:val="none"/>
        </w:rPr>
        <w:t>1.8 计量单位</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pPr>
        <w:spacing w:line="360" w:lineRule="auto"/>
        <w:ind w:firstLine="420" w:firstLineChars="200"/>
        <w:rPr>
          <w:color w:val="auto"/>
          <w:highlight w:val="none"/>
        </w:rPr>
      </w:pPr>
      <w:r>
        <w:rPr>
          <w:rFonts w:hint="eastAsia"/>
          <w:color w:val="auto"/>
          <w:highlight w:val="none"/>
        </w:rPr>
        <w:t>所有计量均采用中华人民共和国法定计量单位。</w:t>
      </w:r>
    </w:p>
    <w:p>
      <w:pPr>
        <w:pStyle w:val="4"/>
        <w:spacing w:line="360" w:lineRule="auto"/>
        <w:rPr>
          <w:color w:val="auto"/>
          <w:highlight w:val="none"/>
        </w:rPr>
      </w:pPr>
      <w:bookmarkStart w:id="559" w:name="_Toc436215733"/>
      <w:bookmarkStart w:id="560" w:name="_Toc152042318"/>
      <w:bookmarkStart w:id="561" w:name="_Toc18573"/>
      <w:bookmarkStart w:id="562" w:name="_Toc5881"/>
      <w:bookmarkStart w:id="563" w:name="_Toc21313"/>
      <w:bookmarkStart w:id="564" w:name="_Toc5481"/>
      <w:bookmarkStart w:id="565" w:name="_Toc14262"/>
      <w:bookmarkStart w:id="566" w:name="_Toc435178375"/>
      <w:bookmarkStart w:id="567" w:name="_Toc31158"/>
      <w:bookmarkStart w:id="568" w:name="_Toc246996930"/>
      <w:bookmarkStart w:id="569" w:name="_Toc28150"/>
      <w:bookmarkStart w:id="570" w:name="_Toc9695"/>
      <w:bookmarkStart w:id="571" w:name="_Toc247085701"/>
      <w:bookmarkStart w:id="572" w:name="_Toc13043"/>
      <w:bookmarkStart w:id="573" w:name="_Toc23789"/>
      <w:bookmarkStart w:id="574" w:name="_Toc5506"/>
      <w:bookmarkStart w:id="575" w:name="_Toc8943"/>
      <w:bookmarkStart w:id="576" w:name="_Toc16059"/>
      <w:bookmarkStart w:id="577" w:name="_Toc17435"/>
      <w:bookmarkStart w:id="578" w:name="_Toc179632560"/>
      <w:bookmarkStart w:id="579" w:name="_Toc11496"/>
      <w:bookmarkStart w:id="580" w:name="_Toc18190"/>
      <w:bookmarkStart w:id="581" w:name="_Toc152045542"/>
      <w:bookmarkStart w:id="582" w:name="_Toc31196"/>
      <w:bookmarkStart w:id="583" w:name="_Toc144974510"/>
      <w:bookmarkStart w:id="584" w:name="_Toc16604"/>
      <w:bookmarkStart w:id="585" w:name="_Toc25448"/>
      <w:bookmarkStart w:id="586" w:name="_Toc246996187"/>
      <w:bookmarkStart w:id="587" w:name="_Toc15237"/>
      <w:bookmarkStart w:id="588" w:name="_Toc8895"/>
      <w:bookmarkStart w:id="589" w:name="_Toc496601942"/>
      <w:bookmarkStart w:id="590" w:name="_Toc30737"/>
      <w:bookmarkStart w:id="591" w:name="_Toc9522"/>
      <w:r>
        <w:rPr>
          <w:rFonts w:hint="eastAsia"/>
          <w:color w:val="auto"/>
          <w:highlight w:val="none"/>
        </w:rPr>
        <w:t>2. 招标文件</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pPr>
        <w:pStyle w:val="5"/>
        <w:rPr>
          <w:color w:val="auto"/>
          <w:highlight w:val="none"/>
        </w:rPr>
      </w:pPr>
      <w:bookmarkStart w:id="592" w:name="_Toc2751"/>
      <w:bookmarkStart w:id="593" w:name="_Toc3364"/>
      <w:bookmarkStart w:id="594" w:name="_Toc144974511"/>
      <w:bookmarkStart w:id="595" w:name="_Toc3369"/>
      <w:bookmarkStart w:id="596" w:name="_Toc436215734"/>
      <w:bookmarkStart w:id="597" w:name="_Toc179632561"/>
      <w:bookmarkStart w:id="598" w:name="_Toc246996188"/>
      <w:bookmarkStart w:id="599" w:name="_Toc6385"/>
      <w:bookmarkStart w:id="600" w:name="_Toc435178376"/>
      <w:bookmarkStart w:id="601" w:name="_Toc247085702"/>
      <w:bookmarkStart w:id="602" w:name="_Toc152045543"/>
      <w:bookmarkStart w:id="603" w:name="_Toc12157"/>
      <w:bookmarkStart w:id="604" w:name="_Toc16243"/>
      <w:bookmarkStart w:id="605" w:name="_Toc24488"/>
      <w:bookmarkStart w:id="606" w:name="_Toc246996931"/>
      <w:bookmarkStart w:id="607" w:name="_Toc152042319"/>
      <w:bookmarkStart w:id="608" w:name="_Toc496601943"/>
      <w:bookmarkStart w:id="609" w:name="_Toc15276"/>
      <w:r>
        <w:rPr>
          <w:rFonts w:hint="eastAsia"/>
          <w:color w:val="auto"/>
          <w:highlight w:val="none"/>
        </w:rPr>
        <w:t>2.1 招标文件的组成</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pPr>
        <w:spacing w:line="360" w:lineRule="auto"/>
        <w:rPr>
          <w:color w:val="auto"/>
          <w:highlight w:val="none"/>
        </w:rPr>
      </w:pPr>
      <w:r>
        <w:rPr>
          <w:rFonts w:hint="eastAsia"/>
          <w:color w:val="auto"/>
          <w:highlight w:val="none"/>
        </w:rPr>
        <w:t>　　2.1.1 本招标文件包括：</w:t>
      </w:r>
    </w:p>
    <w:p>
      <w:pPr>
        <w:spacing w:line="360" w:lineRule="auto"/>
        <w:ind w:firstLine="359" w:firstLineChars="171"/>
        <w:rPr>
          <w:color w:val="auto"/>
          <w:highlight w:val="none"/>
        </w:rPr>
      </w:pPr>
      <w:r>
        <w:rPr>
          <w:rFonts w:hint="eastAsia"/>
          <w:color w:val="auto"/>
          <w:highlight w:val="none"/>
        </w:rPr>
        <w:t>（1）招标公告；</w:t>
      </w:r>
    </w:p>
    <w:p>
      <w:pPr>
        <w:spacing w:line="360" w:lineRule="auto"/>
        <w:ind w:firstLine="359" w:firstLineChars="171"/>
        <w:rPr>
          <w:color w:val="auto"/>
          <w:highlight w:val="none"/>
        </w:rPr>
      </w:pPr>
      <w:r>
        <w:rPr>
          <w:rFonts w:hint="eastAsia"/>
          <w:color w:val="auto"/>
          <w:highlight w:val="none"/>
        </w:rPr>
        <w:t>（2）投标人须知；</w:t>
      </w:r>
    </w:p>
    <w:p>
      <w:pPr>
        <w:spacing w:line="360" w:lineRule="auto"/>
        <w:ind w:firstLine="359" w:firstLineChars="171"/>
        <w:rPr>
          <w:color w:val="auto"/>
          <w:highlight w:val="none"/>
        </w:rPr>
      </w:pPr>
      <w:r>
        <w:rPr>
          <w:rFonts w:hint="eastAsia"/>
          <w:color w:val="auto"/>
          <w:highlight w:val="none"/>
        </w:rPr>
        <w:t>（3）评标办法；</w:t>
      </w:r>
    </w:p>
    <w:p>
      <w:pPr>
        <w:spacing w:line="360" w:lineRule="auto"/>
        <w:ind w:firstLine="359" w:firstLineChars="171"/>
        <w:rPr>
          <w:color w:val="auto"/>
          <w:highlight w:val="none"/>
        </w:rPr>
      </w:pPr>
      <w:r>
        <w:rPr>
          <w:rFonts w:hint="eastAsia"/>
          <w:color w:val="auto"/>
          <w:highlight w:val="none"/>
        </w:rPr>
        <w:t>（4）合同主要条款；</w:t>
      </w:r>
    </w:p>
    <w:p>
      <w:pPr>
        <w:spacing w:line="360" w:lineRule="auto"/>
        <w:ind w:firstLine="359" w:firstLineChars="171"/>
        <w:rPr>
          <w:color w:val="auto"/>
          <w:highlight w:val="none"/>
        </w:rPr>
      </w:pPr>
      <w:r>
        <w:rPr>
          <w:rFonts w:hint="eastAsia"/>
          <w:color w:val="auto"/>
          <w:highlight w:val="none"/>
        </w:rPr>
        <w:t xml:space="preserve">（5）投标报价； </w:t>
      </w:r>
    </w:p>
    <w:p>
      <w:pPr>
        <w:spacing w:line="360" w:lineRule="auto"/>
        <w:ind w:firstLine="359" w:firstLineChars="171"/>
        <w:rPr>
          <w:color w:val="auto"/>
          <w:highlight w:val="none"/>
        </w:rPr>
      </w:pPr>
      <w:r>
        <w:rPr>
          <w:rFonts w:hint="eastAsia"/>
          <w:color w:val="auto"/>
          <w:highlight w:val="none"/>
        </w:rPr>
        <w:t xml:space="preserve">（6）项目要求； </w:t>
      </w:r>
    </w:p>
    <w:p>
      <w:pPr>
        <w:spacing w:line="360" w:lineRule="auto"/>
        <w:ind w:firstLine="359" w:firstLineChars="171"/>
        <w:rPr>
          <w:color w:val="auto"/>
          <w:highlight w:val="none"/>
        </w:rPr>
      </w:pPr>
      <w:r>
        <w:rPr>
          <w:rFonts w:hint="eastAsia"/>
          <w:color w:val="auto"/>
          <w:highlight w:val="none"/>
        </w:rPr>
        <w:t>（7）投标文件格式。</w:t>
      </w:r>
    </w:p>
    <w:p>
      <w:pPr>
        <w:spacing w:line="360" w:lineRule="auto"/>
        <w:ind w:firstLine="420" w:firstLineChars="200"/>
        <w:rPr>
          <w:color w:val="auto"/>
          <w:highlight w:val="none"/>
        </w:rPr>
      </w:pPr>
      <w:r>
        <w:rPr>
          <w:rFonts w:hint="eastAsia"/>
          <w:color w:val="auto"/>
          <w:highlight w:val="none"/>
        </w:rPr>
        <w:t>2.1.2 根据本章第2.2款和第2.3款对招标文件所作的澄清、修改、答复，构成招标文件的组成部分。</w:t>
      </w:r>
    </w:p>
    <w:p>
      <w:pPr>
        <w:pStyle w:val="5"/>
        <w:rPr>
          <w:color w:val="auto"/>
          <w:highlight w:val="none"/>
        </w:rPr>
      </w:pPr>
      <w:bookmarkStart w:id="610" w:name="_Toc1552"/>
      <w:bookmarkStart w:id="611" w:name="_Toc21168"/>
      <w:bookmarkStart w:id="612" w:name="_Toc26428"/>
      <w:bookmarkStart w:id="613" w:name="_Toc31123"/>
      <w:bookmarkStart w:id="614" w:name="_Toc6287"/>
      <w:bookmarkStart w:id="615" w:name="_Toc10761"/>
      <w:bookmarkStart w:id="616" w:name="_Toc10219"/>
      <w:bookmarkStart w:id="617" w:name="_Toc514745783"/>
      <w:bookmarkStart w:id="618" w:name="_Toc16226"/>
      <w:bookmarkStart w:id="619" w:name="_Toc9519"/>
      <w:bookmarkStart w:id="620" w:name="_Toc15838"/>
      <w:bookmarkStart w:id="621" w:name="_Toc18510"/>
      <w:bookmarkStart w:id="622" w:name="_Toc21365"/>
      <w:bookmarkStart w:id="623" w:name="_Toc435178377"/>
      <w:bookmarkStart w:id="624" w:name="_Toc144974512"/>
      <w:bookmarkStart w:id="625" w:name="_Toc11543"/>
      <w:bookmarkStart w:id="626" w:name="_Toc26955"/>
      <w:bookmarkStart w:id="627" w:name="_Toc30797"/>
      <w:bookmarkStart w:id="628" w:name="_Toc23044"/>
      <w:bookmarkStart w:id="629" w:name="_Toc8151"/>
      <w:bookmarkStart w:id="630" w:name="_Toc246996189"/>
      <w:bookmarkStart w:id="631" w:name="_Toc23002"/>
      <w:bookmarkStart w:id="632" w:name="_Toc23425"/>
      <w:bookmarkStart w:id="633" w:name="_Toc28183"/>
      <w:bookmarkStart w:id="634" w:name="_Toc16555"/>
      <w:bookmarkStart w:id="635" w:name="_Toc6417"/>
      <w:bookmarkStart w:id="636" w:name="_Toc246996932"/>
      <w:bookmarkStart w:id="637" w:name="_Toc436215735"/>
      <w:bookmarkStart w:id="638" w:name="_Toc152042320"/>
      <w:bookmarkStart w:id="639" w:name="_Toc496601944"/>
      <w:bookmarkStart w:id="640" w:name="_Toc152045544"/>
      <w:bookmarkStart w:id="641" w:name="_Toc247085703"/>
      <w:bookmarkStart w:id="642" w:name="_Toc15511"/>
      <w:bookmarkStart w:id="643" w:name="_Toc31136"/>
      <w:bookmarkStart w:id="644" w:name="_Toc26883"/>
      <w:bookmarkStart w:id="645" w:name="_Toc25604"/>
      <w:bookmarkStart w:id="646" w:name="_Toc179632562"/>
      <w:r>
        <w:rPr>
          <w:rFonts w:hint="eastAsia"/>
          <w:color w:val="auto"/>
          <w:highlight w:val="none"/>
        </w:rPr>
        <w:t>2.2 招标文件的澄清</w:t>
      </w:r>
      <w:bookmarkEnd w:id="610"/>
      <w:bookmarkEnd w:id="611"/>
      <w:bookmarkEnd w:id="612"/>
      <w:bookmarkEnd w:id="613"/>
      <w:bookmarkEnd w:id="614"/>
      <w:bookmarkEnd w:id="615"/>
      <w:bookmarkEnd w:id="616"/>
      <w:bookmarkEnd w:id="617"/>
      <w:bookmarkEnd w:id="618"/>
      <w:r>
        <w:rPr>
          <w:rFonts w:hint="eastAsia"/>
          <w:color w:val="auto"/>
          <w:highlight w:val="none"/>
        </w:rPr>
        <w:t xml:space="preserve"> </w:t>
      </w:r>
    </w:p>
    <w:p>
      <w:pPr>
        <w:spacing w:line="360" w:lineRule="auto"/>
        <w:ind w:firstLine="420" w:firstLineChars="200"/>
        <w:rPr>
          <w:color w:val="auto"/>
          <w:highlight w:val="none"/>
        </w:rPr>
      </w:pPr>
      <w:r>
        <w:rPr>
          <w:rFonts w:hint="eastAsia"/>
          <w:color w:val="auto"/>
          <w:highlight w:val="none"/>
        </w:rPr>
        <w:t>2.2.1 投标人应仔细阅读和检查招标文件的全部内容。</w:t>
      </w:r>
      <w:r>
        <w:rPr>
          <w:rFonts w:hint="eastAsia" w:ascii="宋体" w:hAnsi="宋体"/>
          <w:color w:val="auto"/>
          <w:szCs w:val="21"/>
          <w:highlight w:val="none"/>
        </w:rPr>
        <w:t>如发现缺页或附件不全，应及时向招标人提出，以便补齐。</w:t>
      </w:r>
      <w:r>
        <w:rPr>
          <w:rFonts w:hint="eastAsia"/>
          <w:color w:val="auto"/>
          <w:highlight w:val="none"/>
        </w:rPr>
        <w:t>如有疑问，应在投标人须知前附表规定的时间前发送电子邮件给招标人（提交疑问的文件需加盖企业公章，并以PDF的格式发送），要求招标人对招标文件予以澄清。</w:t>
      </w:r>
      <w:r>
        <w:rPr>
          <w:rFonts w:hint="eastAsia" w:ascii="宋体" w:hAnsi="宋体"/>
          <w:color w:val="auto"/>
          <w:highlight w:val="none"/>
        </w:rPr>
        <w:t>发送电子邮件地址和时间见</w:t>
      </w:r>
      <w:r>
        <w:rPr>
          <w:rFonts w:hint="eastAsia"/>
          <w:color w:val="auto"/>
          <w:highlight w:val="none"/>
        </w:rPr>
        <w:t>投标人须知前附表</w:t>
      </w:r>
      <w:r>
        <w:rPr>
          <w:rFonts w:hint="eastAsia" w:ascii="宋体" w:hAnsi="宋体"/>
          <w:color w:val="auto"/>
          <w:highlight w:val="none"/>
        </w:rPr>
        <w:t>。</w:t>
      </w:r>
    </w:p>
    <w:p>
      <w:pPr>
        <w:spacing w:line="360" w:lineRule="auto"/>
        <w:ind w:firstLine="420" w:firstLineChars="200"/>
        <w:rPr>
          <w:rFonts w:hint="eastAsia" w:ascii="仿宋_GB2312" w:hAnsi="仿宋_GB2312" w:eastAsia="仿宋_GB2312"/>
          <w:color w:val="auto"/>
          <w:sz w:val="32"/>
          <w:szCs w:val="32"/>
          <w:highlight w:val="none"/>
        </w:rPr>
      </w:pPr>
      <w:r>
        <w:rPr>
          <w:rFonts w:hint="eastAsia"/>
          <w:color w:val="auto"/>
          <w:highlight w:val="none"/>
        </w:rPr>
        <w:t>2.2.2招标文件的澄清将通过招标人的网站统一公布。招标人将在投标截止期3日前通过招标人网站（</w:t>
      </w:r>
      <w:r>
        <w:rPr>
          <w:rFonts w:hint="eastAsia"/>
          <w:color w:val="auto"/>
          <w:szCs w:val="21"/>
          <w:highlight w:val="none"/>
          <w:u w:val="single"/>
        </w:rPr>
        <w:t>http://zbtb.southcn.com/</w:t>
      </w:r>
      <w:r>
        <w:rPr>
          <w:rFonts w:hint="eastAsia"/>
          <w:color w:val="auto"/>
          <w:highlight w:val="none"/>
        </w:rPr>
        <w:t>）答复给所有投标人，但不指明澄清问题的来源。如果澄清内容影响投标文件编制的，将相应延长投标截止时间。</w:t>
      </w:r>
      <w:r>
        <w:rPr>
          <w:rFonts w:hint="eastAsia" w:ascii="仿宋_GB2312" w:hAnsi="仿宋_GB2312" w:eastAsia="仿宋_GB2312"/>
          <w:color w:val="auto"/>
          <w:sz w:val="32"/>
          <w:szCs w:val="32"/>
          <w:highlight w:val="none"/>
        </w:rPr>
        <w:t xml:space="preserve"> </w:t>
      </w:r>
    </w:p>
    <w:p>
      <w:pPr>
        <w:pStyle w:val="2"/>
        <w:spacing w:line="360" w:lineRule="auto"/>
        <w:ind w:firstLineChars="200"/>
        <w:rPr>
          <w:rFonts w:hint="eastAsia" w:ascii="宋体" w:hAnsi="宋体"/>
          <w:color w:val="auto"/>
          <w:highlight w:val="none"/>
        </w:rPr>
      </w:pPr>
      <w:r>
        <w:rPr>
          <w:rFonts w:hint="eastAsia"/>
          <w:color w:val="auto"/>
          <w:highlight w:val="none"/>
        </w:rPr>
        <w:t>2.2.3澄清</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澄清</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2"/>
        <w:spacing w:line="360" w:lineRule="auto"/>
        <w:ind w:firstLineChars="200"/>
        <w:rPr>
          <w:rFonts w:hint="eastAsia" w:ascii="宋体" w:hAnsi="宋体"/>
          <w:color w:val="auto"/>
          <w:highlight w:val="none"/>
        </w:rPr>
      </w:pPr>
      <w:r>
        <w:rPr>
          <w:color w:val="auto"/>
          <w:kern w:val="0"/>
          <w:szCs w:val="21"/>
          <w:highlight w:val="none"/>
        </w:rPr>
        <w:t xml:space="preserve">2.2.4 </w:t>
      </w:r>
      <w:r>
        <w:rPr>
          <w:rFonts w:ascii="宋体" w:hAnsi="宋体" w:cs="宋体"/>
          <w:color w:val="auto"/>
          <w:kern w:val="0"/>
          <w:szCs w:val="21"/>
          <w:highlight w:val="none"/>
        </w:rPr>
        <w:t>除非招标人认为确有必要答复，否则，招标人有权拒绝回复投标人在本章第</w:t>
      </w:r>
      <w:r>
        <w:rPr>
          <w:color w:val="auto"/>
          <w:kern w:val="0"/>
          <w:szCs w:val="21"/>
          <w:highlight w:val="none"/>
        </w:rPr>
        <w:t>2.2.1</w:t>
      </w:r>
      <w:r>
        <w:rPr>
          <w:rFonts w:ascii="宋体" w:hAnsi="宋体" w:cs="宋体"/>
          <w:color w:val="auto"/>
          <w:kern w:val="0"/>
          <w:szCs w:val="21"/>
          <w:highlight w:val="none"/>
        </w:rPr>
        <w:t>项规定的时间后的任何澄清要求。</w:t>
      </w:r>
    </w:p>
    <w:p>
      <w:pPr>
        <w:pStyle w:val="5"/>
        <w:rPr>
          <w:color w:val="auto"/>
          <w:highlight w:val="none"/>
        </w:rPr>
      </w:pPr>
      <w:bookmarkStart w:id="647" w:name="_Toc29192"/>
      <w:bookmarkStart w:id="648" w:name="_Toc514745784"/>
      <w:bookmarkStart w:id="649" w:name="_Toc11294"/>
      <w:bookmarkStart w:id="650" w:name="_Toc8851"/>
      <w:bookmarkStart w:id="651" w:name="_Toc1984"/>
      <w:bookmarkStart w:id="652" w:name="_Toc28385"/>
      <w:bookmarkStart w:id="653" w:name="_Toc28847"/>
      <w:bookmarkStart w:id="654" w:name="_Toc10348"/>
      <w:bookmarkStart w:id="655" w:name="_Toc11111"/>
      <w:r>
        <w:rPr>
          <w:rFonts w:hint="eastAsia"/>
          <w:color w:val="auto"/>
          <w:highlight w:val="none"/>
        </w:rPr>
        <w:t>2.3 招标文件的修改</w:t>
      </w:r>
      <w:bookmarkEnd w:id="647"/>
      <w:bookmarkEnd w:id="648"/>
      <w:bookmarkEnd w:id="649"/>
      <w:bookmarkEnd w:id="650"/>
      <w:bookmarkEnd w:id="651"/>
      <w:bookmarkEnd w:id="652"/>
      <w:bookmarkEnd w:id="653"/>
      <w:bookmarkEnd w:id="654"/>
      <w:bookmarkEnd w:id="655"/>
    </w:p>
    <w:p>
      <w:pPr>
        <w:spacing w:line="360" w:lineRule="auto"/>
        <w:ind w:firstLine="420" w:firstLineChars="200"/>
        <w:rPr>
          <w:color w:val="auto"/>
          <w:highlight w:val="none"/>
        </w:rPr>
      </w:pPr>
      <w:r>
        <w:rPr>
          <w:rFonts w:hint="eastAsia"/>
          <w:color w:val="auto"/>
          <w:highlight w:val="none"/>
        </w:rPr>
        <w:t>2.3.1招标人可以通过招标人网站统一发布修改招标文件的内容。但如果修改招标文件的时间距投标截止时间不足15天，并且修改内容影响投标文件编制的，将相应延长投标截止时间。</w:t>
      </w:r>
    </w:p>
    <w:p>
      <w:pPr>
        <w:spacing w:line="360" w:lineRule="auto"/>
        <w:ind w:firstLine="420" w:firstLineChars="200"/>
        <w:rPr>
          <w:rFonts w:hint="eastAsia" w:ascii="宋体" w:hAnsi="宋体"/>
          <w:color w:val="auto"/>
          <w:highlight w:val="none"/>
        </w:rPr>
      </w:pPr>
      <w:r>
        <w:rPr>
          <w:rFonts w:hint="eastAsia"/>
          <w:color w:val="auto"/>
          <w:highlight w:val="none"/>
        </w:rPr>
        <w:t>2.3.2修改</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修改的</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5"/>
        <w:rPr>
          <w:color w:val="auto"/>
          <w:highlight w:val="none"/>
        </w:rPr>
      </w:pPr>
      <w:bookmarkStart w:id="656" w:name="_Toc18743"/>
      <w:bookmarkStart w:id="657" w:name="_Toc17920"/>
      <w:bookmarkStart w:id="658" w:name="_Toc3547"/>
      <w:bookmarkStart w:id="659" w:name="_Toc22625"/>
      <w:bookmarkStart w:id="660" w:name="_Toc15096"/>
      <w:bookmarkStart w:id="661" w:name="_Toc514745785"/>
      <w:bookmarkStart w:id="662" w:name="_Toc26026"/>
      <w:bookmarkStart w:id="663" w:name="_Toc24217"/>
      <w:bookmarkStart w:id="664" w:name="_Toc6631"/>
      <w:r>
        <w:rPr>
          <w:color w:val="auto"/>
          <w:highlight w:val="none"/>
        </w:rPr>
        <w:t>2.4 招标文件的异议</w:t>
      </w:r>
      <w:bookmarkEnd w:id="656"/>
      <w:bookmarkEnd w:id="657"/>
      <w:bookmarkEnd w:id="658"/>
      <w:bookmarkEnd w:id="659"/>
      <w:bookmarkEnd w:id="660"/>
      <w:bookmarkEnd w:id="661"/>
      <w:bookmarkEnd w:id="662"/>
      <w:bookmarkEnd w:id="663"/>
      <w:bookmarkEnd w:id="664"/>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2.4.1 </w:t>
      </w:r>
      <w:r>
        <w:rPr>
          <w:rFonts w:ascii="宋体" w:hAnsi="宋体" w:cs="宋体"/>
          <w:color w:val="auto"/>
          <w:kern w:val="0"/>
          <w:szCs w:val="21"/>
          <w:highlight w:val="none"/>
        </w:rPr>
        <w:t>投标人或者其他利害关系人对招标文件有异议的，应当在投标截止时间</w:t>
      </w:r>
      <w:r>
        <w:rPr>
          <w:color w:val="auto"/>
          <w:kern w:val="0"/>
          <w:szCs w:val="21"/>
          <w:highlight w:val="none"/>
        </w:rPr>
        <w:t>10</w:t>
      </w:r>
      <w:r>
        <w:rPr>
          <w:rFonts w:ascii="宋体" w:hAnsi="宋体" w:cs="宋体"/>
          <w:color w:val="auto"/>
          <w:kern w:val="0"/>
          <w:szCs w:val="21"/>
          <w:highlight w:val="none"/>
        </w:rPr>
        <w:t>日前以书面形式提出。</w:t>
      </w:r>
    </w:p>
    <w:p>
      <w:pPr>
        <w:spacing w:line="360" w:lineRule="auto"/>
        <w:ind w:firstLine="420" w:firstLineChars="200"/>
        <w:rPr>
          <w:color w:val="auto"/>
          <w:highlight w:val="none"/>
        </w:rPr>
      </w:pPr>
      <w:r>
        <w:rPr>
          <w:rFonts w:hint="eastAsia" w:ascii="宋体" w:hAnsi="宋体" w:cs="宋体"/>
          <w:color w:val="auto"/>
          <w:kern w:val="0"/>
          <w:szCs w:val="21"/>
          <w:highlight w:val="none"/>
        </w:rPr>
        <w:t>2.4.2对</w:t>
      </w:r>
      <w:r>
        <w:rPr>
          <w:rFonts w:hint="eastAsia"/>
          <w:color w:val="auto"/>
          <w:highlight w:val="none"/>
        </w:rPr>
        <w:t>招标文件的异议的答复通过招标人的网站统一公布，答复</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答复</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Pr>
        <w:pStyle w:val="4"/>
        <w:spacing w:line="360" w:lineRule="auto"/>
        <w:rPr>
          <w:color w:val="auto"/>
          <w:highlight w:val="none"/>
        </w:rPr>
      </w:pPr>
      <w:bookmarkStart w:id="665" w:name="_Toc14813"/>
      <w:bookmarkStart w:id="666" w:name="_Toc152045546"/>
      <w:bookmarkStart w:id="667" w:name="_Toc144974514"/>
      <w:bookmarkStart w:id="668" w:name="_Toc247085705"/>
      <w:bookmarkStart w:id="669" w:name="_Toc6135"/>
      <w:bookmarkStart w:id="670" w:name="_Toc5518"/>
      <w:bookmarkStart w:id="671" w:name="_Toc14432"/>
      <w:bookmarkStart w:id="672" w:name="_Toc11763"/>
      <w:bookmarkStart w:id="673" w:name="_Toc19640"/>
      <w:bookmarkStart w:id="674" w:name="_Toc496601946"/>
      <w:bookmarkStart w:id="675" w:name="_Toc12550"/>
      <w:bookmarkStart w:id="676" w:name="_Toc18687"/>
      <w:bookmarkStart w:id="677" w:name="_Toc26149"/>
      <w:bookmarkStart w:id="678" w:name="_Toc246996934"/>
      <w:bookmarkStart w:id="679" w:name="_Toc436215737"/>
      <w:bookmarkStart w:id="680" w:name="_Toc152042322"/>
      <w:bookmarkStart w:id="681" w:name="_Toc6806"/>
      <w:bookmarkStart w:id="682" w:name="_Toc435178379"/>
      <w:bookmarkStart w:id="683" w:name="_Toc5180"/>
      <w:bookmarkStart w:id="684" w:name="_Toc3488"/>
      <w:bookmarkStart w:id="685" w:name="_Toc19850"/>
      <w:bookmarkStart w:id="686" w:name="_Toc9930"/>
      <w:bookmarkStart w:id="687" w:name="_Toc179632564"/>
      <w:bookmarkStart w:id="688" w:name="_Toc282"/>
      <w:bookmarkStart w:id="689" w:name="_Toc18572"/>
      <w:bookmarkStart w:id="690" w:name="_Toc14044"/>
      <w:bookmarkStart w:id="691" w:name="_Toc16814"/>
      <w:bookmarkStart w:id="692" w:name="_Toc27695"/>
      <w:bookmarkStart w:id="693" w:name="_Toc18702"/>
      <w:bookmarkStart w:id="694" w:name="_Toc28958"/>
      <w:bookmarkStart w:id="695" w:name="_Toc28395"/>
      <w:bookmarkStart w:id="696" w:name="_Toc246996191"/>
      <w:bookmarkStart w:id="697" w:name="_Toc1863"/>
      <w:r>
        <w:rPr>
          <w:rFonts w:hint="eastAsia"/>
          <w:color w:val="auto"/>
          <w:highlight w:val="none"/>
        </w:rPr>
        <w:t>3. 投标文件</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p>
    <w:p>
      <w:pPr>
        <w:pStyle w:val="5"/>
        <w:rPr>
          <w:color w:val="auto"/>
          <w:highlight w:val="none"/>
        </w:rPr>
      </w:pPr>
      <w:bookmarkStart w:id="698" w:name="_Toc247085706"/>
      <w:bookmarkStart w:id="699" w:name="_Toc179632565"/>
      <w:bookmarkStart w:id="700" w:name="_Toc144974515"/>
      <w:bookmarkStart w:id="701" w:name="_Toc152042323"/>
      <w:bookmarkStart w:id="702" w:name="_Toc152045547"/>
      <w:bookmarkStart w:id="703" w:name="_Toc436215738"/>
      <w:bookmarkStart w:id="704" w:name="_Toc246996192"/>
      <w:bookmarkStart w:id="705" w:name="_Toc246996935"/>
      <w:bookmarkStart w:id="706" w:name="_Toc435178380"/>
      <w:bookmarkStart w:id="707" w:name="_Toc20317"/>
      <w:bookmarkStart w:id="708" w:name="_Toc25464"/>
      <w:bookmarkStart w:id="709" w:name="_Toc3267"/>
      <w:bookmarkStart w:id="710" w:name="_Toc868"/>
      <w:bookmarkStart w:id="711" w:name="_Toc496601947"/>
      <w:bookmarkStart w:id="712" w:name="_Toc16333"/>
      <w:bookmarkStart w:id="713" w:name="_Toc23641"/>
      <w:bookmarkStart w:id="714" w:name="_Toc21260"/>
      <w:bookmarkStart w:id="715" w:name="_Toc32587"/>
      <w:r>
        <w:rPr>
          <w:rFonts w:hint="eastAsia"/>
          <w:color w:val="auto"/>
          <w:highlight w:val="none"/>
        </w:rPr>
        <w:t>3.1 投标文件</w:t>
      </w:r>
      <w:bookmarkEnd w:id="698"/>
      <w:bookmarkEnd w:id="699"/>
      <w:bookmarkEnd w:id="700"/>
      <w:bookmarkEnd w:id="701"/>
      <w:bookmarkEnd w:id="702"/>
      <w:bookmarkEnd w:id="703"/>
      <w:bookmarkEnd w:id="704"/>
      <w:bookmarkEnd w:id="705"/>
      <w:bookmarkEnd w:id="706"/>
      <w:r>
        <w:rPr>
          <w:rFonts w:hint="eastAsia"/>
          <w:color w:val="auto"/>
          <w:highlight w:val="none"/>
        </w:rPr>
        <w:t>的组成</w:t>
      </w:r>
      <w:bookmarkEnd w:id="707"/>
      <w:bookmarkEnd w:id="708"/>
      <w:bookmarkEnd w:id="709"/>
      <w:bookmarkEnd w:id="710"/>
      <w:bookmarkEnd w:id="711"/>
      <w:bookmarkEnd w:id="712"/>
      <w:bookmarkEnd w:id="713"/>
      <w:bookmarkEnd w:id="714"/>
      <w:bookmarkEnd w:id="715"/>
    </w:p>
    <w:p>
      <w:pPr>
        <w:spacing w:line="360" w:lineRule="auto"/>
        <w:ind w:firstLine="424" w:firstLineChars="202"/>
        <w:rPr>
          <w:color w:val="auto"/>
          <w:highlight w:val="none"/>
        </w:rPr>
      </w:pPr>
      <w:r>
        <w:rPr>
          <w:rFonts w:hint="eastAsia"/>
          <w:color w:val="auto"/>
          <w:highlight w:val="none"/>
        </w:rPr>
        <w:t>3.1.1 具体要求详见本招标文件第七章。</w:t>
      </w:r>
    </w:p>
    <w:p>
      <w:pPr>
        <w:pStyle w:val="71"/>
        <w:ind w:firstLine="424" w:firstLineChars="202"/>
        <w:rPr>
          <w:color w:val="auto"/>
          <w:highlight w:val="none"/>
        </w:rPr>
      </w:pPr>
      <w:r>
        <w:rPr>
          <w:rFonts w:hint="eastAsia" w:ascii="Times New Roman" w:hAnsi="Times New Roman" w:cs="Times New Roman"/>
          <w:color w:val="auto"/>
          <w:kern w:val="2"/>
          <w:sz w:val="21"/>
          <w:highlight w:val="none"/>
        </w:rPr>
        <w:t xml:space="preserve">3.1.2 </w:t>
      </w:r>
      <w:r>
        <w:rPr>
          <w:rFonts w:ascii="Times New Roman" w:hAnsi="Times New Roman" w:cs="Times New Roman"/>
          <w:color w:val="auto"/>
          <w:kern w:val="2"/>
          <w:sz w:val="21"/>
          <w:highlight w:val="none"/>
        </w:rPr>
        <w:t>投标人在评标过程中作出的符合法律法规和招标文件规定的澄清确认，构成投标文件的组成部分。</w:t>
      </w:r>
    </w:p>
    <w:p>
      <w:pPr>
        <w:pStyle w:val="5"/>
        <w:rPr>
          <w:rFonts w:hint="eastAsia" w:ascii="宋体" w:hAnsi="宋体"/>
          <w:color w:val="auto"/>
          <w:sz w:val="21"/>
          <w:szCs w:val="21"/>
          <w:highlight w:val="none"/>
        </w:rPr>
      </w:pPr>
      <w:bookmarkStart w:id="716" w:name="_Toc152045548"/>
      <w:bookmarkStart w:id="717" w:name="_Toc23174"/>
      <w:bookmarkStart w:id="718" w:name="_Toc5474"/>
      <w:bookmarkStart w:id="719" w:name="_Toc144974516"/>
      <w:bookmarkStart w:id="720" w:name="_Toc246996193"/>
      <w:bookmarkStart w:id="721" w:name="_Toc496601948"/>
      <w:bookmarkStart w:id="722" w:name="_Toc436215739"/>
      <w:bookmarkStart w:id="723" w:name="_Toc12589"/>
      <w:bookmarkStart w:id="724" w:name="_Toc247085707"/>
      <w:bookmarkStart w:id="725" w:name="_Toc4447"/>
      <w:bookmarkStart w:id="726" w:name="_Toc8013"/>
      <w:bookmarkStart w:id="727" w:name="_Toc179632566"/>
      <w:bookmarkStart w:id="728" w:name="_Toc152042324"/>
      <w:bookmarkStart w:id="729" w:name="_Toc21241"/>
      <w:bookmarkStart w:id="730" w:name="_Toc246996936"/>
      <w:bookmarkStart w:id="731" w:name="_Toc435178381"/>
      <w:bookmarkStart w:id="732" w:name="_Toc4162"/>
      <w:bookmarkStart w:id="733" w:name="_Toc1373"/>
      <w:r>
        <w:rPr>
          <w:rFonts w:hint="eastAsia"/>
          <w:color w:val="auto"/>
          <w:highlight w:val="none"/>
        </w:rPr>
        <w:t>3.2 投标报价</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pPr>
        <w:spacing w:line="360" w:lineRule="auto"/>
        <w:ind w:firstLine="420" w:firstLineChars="200"/>
        <w:rPr>
          <w:color w:val="auto"/>
          <w:highlight w:val="none"/>
        </w:rPr>
      </w:pPr>
      <w:r>
        <w:rPr>
          <w:rFonts w:hint="eastAsia"/>
          <w:color w:val="auto"/>
          <w:highlight w:val="none"/>
        </w:rPr>
        <w:t xml:space="preserve">3.2.1 </w:t>
      </w:r>
      <w:r>
        <w:rPr>
          <w:color w:val="auto"/>
          <w:highlight w:val="none"/>
        </w:rPr>
        <w:t>投标报价应包括国家规定的增值税税金，除投标人须知前附表另有规定外，增值税税金按一般计税方法计算。</w:t>
      </w:r>
      <w:r>
        <w:rPr>
          <w:rFonts w:hint="eastAsia"/>
          <w:color w:val="auto"/>
          <w:highlight w:val="none"/>
        </w:rPr>
        <w:t>投标人应按第五章“投标报价”的要求填写相应表格。</w:t>
      </w:r>
    </w:p>
    <w:p>
      <w:pPr>
        <w:spacing w:line="360" w:lineRule="auto"/>
        <w:ind w:firstLine="420" w:firstLineChars="200"/>
        <w:rPr>
          <w:color w:val="auto"/>
          <w:highlight w:val="none"/>
        </w:rPr>
      </w:pPr>
      <w:bookmarkStart w:id="734" w:name="_Toc152042325"/>
      <w:bookmarkStart w:id="735" w:name="_Toc152045549"/>
      <w:bookmarkStart w:id="736" w:name="_Toc179632567"/>
      <w:bookmarkStart w:id="737" w:name="_Toc144974517"/>
      <w:r>
        <w:rPr>
          <w:rFonts w:hint="eastAsia"/>
          <w:color w:val="auto"/>
          <w:highlight w:val="none"/>
        </w:rPr>
        <w:t>3.2.2 招标人设有最高投标限价的，投标人的投标报价不得超过最高投标限价，最高投标限价在投标人须知前附表中载明。</w:t>
      </w:r>
    </w:p>
    <w:p>
      <w:pPr>
        <w:spacing w:line="360" w:lineRule="auto"/>
        <w:ind w:firstLine="420" w:firstLineChars="200"/>
        <w:rPr>
          <w:color w:val="auto"/>
          <w:highlight w:val="none"/>
        </w:rPr>
      </w:pPr>
      <w:r>
        <w:rPr>
          <w:color w:val="auto"/>
          <w:highlight w:val="none"/>
        </w:rPr>
        <w:t>3.2.</w:t>
      </w:r>
      <w:r>
        <w:rPr>
          <w:rFonts w:hint="eastAsia"/>
          <w:color w:val="auto"/>
          <w:highlight w:val="none"/>
        </w:rPr>
        <w:t>3</w:t>
      </w:r>
      <w:r>
        <w:rPr>
          <w:color w:val="auto"/>
          <w:highlight w:val="none"/>
        </w:rPr>
        <w:t xml:space="preserve"> 投标人应充分了解该项目的总体情况以及影响投标报价的其他要素。</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color w:val="auto"/>
          <w:highlight w:val="none"/>
        </w:rPr>
        <w:t>投标报价为各分项报价金额之和，投标报价与分项报价的合价不一致的，应以各分项合价累计数为准，修正投标报价；如分项报价中存在缺漏项，则视为缺漏项价格已包含在其他分项报价之中。投标人在投标截止时间前修改投标函中的投标报价总额，应同时修改投标文件“分项报价表”中的相应报价。此修改须符合本章第4.3款的有关要求。</w:t>
      </w:r>
    </w:p>
    <w:p>
      <w:pPr>
        <w:spacing w:line="360" w:lineRule="auto"/>
        <w:ind w:firstLine="420" w:firstLineChars="200"/>
        <w:rPr>
          <w:color w:val="auto"/>
          <w:highlight w:val="none"/>
        </w:rPr>
      </w:pPr>
      <w:r>
        <w:rPr>
          <w:color w:val="auto"/>
          <w:highlight w:val="none"/>
        </w:rPr>
        <w:t>3.2.</w:t>
      </w:r>
      <w:r>
        <w:rPr>
          <w:rFonts w:hint="eastAsia"/>
          <w:color w:val="auto"/>
          <w:highlight w:val="none"/>
        </w:rPr>
        <w:t>5</w:t>
      </w:r>
      <w:r>
        <w:rPr>
          <w:color w:val="auto"/>
          <w:highlight w:val="none"/>
        </w:rPr>
        <w:t>投标报价的其他要求见投标人须知前附表。</w:t>
      </w:r>
    </w:p>
    <w:p>
      <w:pPr>
        <w:pStyle w:val="5"/>
        <w:rPr>
          <w:color w:val="auto"/>
          <w:highlight w:val="none"/>
        </w:rPr>
      </w:pPr>
      <w:bookmarkStart w:id="738" w:name="_Toc435178382"/>
      <w:bookmarkStart w:id="739" w:name="_Toc20407"/>
      <w:bookmarkStart w:id="740" w:name="_Toc246996937"/>
      <w:bookmarkStart w:id="741" w:name="_Toc13825"/>
      <w:bookmarkStart w:id="742" w:name="_Toc247085708"/>
      <w:bookmarkStart w:id="743" w:name="_Toc26529"/>
      <w:bookmarkStart w:id="744" w:name="_Toc496601949"/>
      <w:bookmarkStart w:id="745" w:name="_Toc15271"/>
      <w:bookmarkStart w:id="746" w:name="_Toc246996194"/>
      <w:bookmarkStart w:id="747" w:name="_Toc3014"/>
      <w:bookmarkStart w:id="748" w:name="_Toc18535"/>
      <w:bookmarkStart w:id="749" w:name="_Toc436215740"/>
      <w:bookmarkStart w:id="750" w:name="_Toc29762"/>
      <w:bookmarkStart w:id="751" w:name="_Toc2739"/>
      <w:r>
        <w:rPr>
          <w:rFonts w:hint="eastAsia"/>
          <w:color w:val="auto"/>
          <w:highlight w:val="none"/>
        </w:rPr>
        <w:t>3.3 投标有效期</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p>
    <w:p>
      <w:pPr>
        <w:spacing w:line="360" w:lineRule="auto"/>
        <w:ind w:firstLine="420" w:firstLineChars="200"/>
        <w:rPr>
          <w:color w:val="auto"/>
          <w:highlight w:val="none"/>
        </w:rPr>
      </w:pPr>
      <w:r>
        <w:rPr>
          <w:rFonts w:hint="eastAsia"/>
          <w:color w:val="auto"/>
          <w:highlight w:val="none"/>
        </w:rPr>
        <w:t>3.3.1 除投标人须知前附表另有规定外，投标有效期为90天。</w:t>
      </w:r>
    </w:p>
    <w:p>
      <w:pPr>
        <w:spacing w:line="360" w:lineRule="auto"/>
        <w:ind w:firstLine="420" w:firstLineChars="200"/>
        <w:rPr>
          <w:color w:val="auto"/>
          <w:highlight w:val="none"/>
        </w:rPr>
      </w:pPr>
      <w:r>
        <w:rPr>
          <w:rFonts w:hint="eastAsia"/>
          <w:color w:val="auto"/>
          <w:highlight w:val="none"/>
        </w:rPr>
        <w:t>3.3.2在投标有效期内，投标人撤销或修改其投标文件的，应承担招标文件和法律规定的责任。</w:t>
      </w:r>
    </w:p>
    <w:p>
      <w:pPr>
        <w:spacing w:line="360" w:lineRule="auto"/>
        <w:ind w:firstLine="420" w:firstLineChars="200"/>
        <w:rPr>
          <w:color w:val="auto"/>
          <w:highlight w:val="none"/>
        </w:rPr>
      </w:pPr>
      <w:r>
        <w:rPr>
          <w:rFonts w:hint="eastAsia"/>
          <w:color w:val="auto"/>
          <w:highlight w:val="none"/>
        </w:rPr>
        <w:t>3.3.3出现特殊情况需要延长投标有效期的，招标人将通过招标人网站统一公告，公告</w:t>
      </w:r>
      <w:r>
        <w:rPr>
          <w:rFonts w:hint="eastAsia" w:ascii="宋体" w:hAnsi="宋体"/>
          <w:color w:val="auto"/>
          <w:highlight w:val="none"/>
        </w:rPr>
        <w:t>内容一经在招标人网站上发布，视作已发布给所有投标人</w:t>
      </w:r>
      <w:r>
        <w:rPr>
          <w:rFonts w:hint="eastAsia"/>
          <w:color w:val="auto"/>
          <w:highlight w:val="none"/>
        </w:rPr>
        <w:t>。投标人同意延长的，应相应延长其投标保证金的有效期，但不得要求或被允许修改或撤销其投标文件；投标人拒绝延长的，其投标失效，但投标人有权收回其投标保证金。</w:t>
      </w:r>
    </w:p>
    <w:p>
      <w:pPr>
        <w:pStyle w:val="5"/>
        <w:rPr>
          <w:color w:val="auto"/>
          <w:highlight w:val="none"/>
        </w:rPr>
      </w:pPr>
      <w:bookmarkStart w:id="752" w:name="_Toc23034"/>
      <w:bookmarkStart w:id="753" w:name="_Toc436215741"/>
      <w:bookmarkStart w:id="754" w:name="_Toc152045550"/>
      <w:bookmarkStart w:id="755" w:name="_Toc23509"/>
      <w:bookmarkStart w:id="756" w:name="_Toc246996195"/>
      <w:bookmarkStart w:id="757" w:name="_Toc144974518"/>
      <w:bookmarkStart w:id="758" w:name="_Toc15535"/>
      <w:bookmarkStart w:id="759" w:name="_Toc361"/>
      <w:bookmarkStart w:id="760" w:name="_Toc152042326"/>
      <w:bookmarkStart w:id="761" w:name="_Toc19115"/>
      <w:bookmarkStart w:id="762" w:name="_Toc246996938"/>
      <w:bookmarkStart w:id="763" w:name="_Toc24746"/>
      <w:bookmarkStart w:id="764" w:name="_Toc247085709"/>
      <w:bookmarkStart w:id="765" w:name="_Toc179632568"/>
      <w:bookmarkStart w:id="766" w:name="_Toc435178383"/>
      <w:bookmarkStart w:id="767" w:name="_Toc32353"/>
      <w:bookmarkStart w:id="768" w:name="_Toc496601950"/>
      <w:bookmarkStart w:id="769" w:name="_Toc22634"/>
      <w:r>
        <w:rPr>
          <w:rFonts w:hint="eastAsia"/>
          <w:color w:val="auto"/>
          <w:highlight w:val="none"/>
        </w:rPr>
        <w:t>3.4 投标保证金</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pPr>
        <w:spacing w:line="360" w:lineRule="auto"/>
        <w:ind w:firstLine="420" w:firstLineChars="200"/>
        <w:rPr>
          <w:color w:val="auto"/>
          <w:highlight w:val="none"/>
        </w:rPr>
      </w:pPr>
      <w:bookmarkStart w:id="770" w:name="_Toc152042328"/>
      <w:bookmarkStart w:id="771" w:name="_Toc144974520"/>
      <w:bookmarkStart w:id="772" w:name="_Toc246996196"/>
      <w:bookmarkStart w:id="773" w:name="_Toc246996939"/>
      <w:bookmarkStart w:id="774" w:name="_Toc152045552"/>
      <w:bookmarkStart w:id="775" w:name="_Toc247085710"/>
      <w:bookmarkStart w:id="776" w:name="_Toc179632570"/>
      <w:r>
        <w:rPr>
          <w:rFonts w:hint="eastAsia"/>
          <w:color w:val="auto"/>
          <w:highlight w:val="none"/>
        </w:rPr>
        <w:t>3.4.1 投标人须知前附表规定递交投标保证金的，投标人在递交投标文件的同时，应按投标人须知前附表规定的金额、形式和第七章“投标文件格式”规定的或者事先经过招标人认可的投标保证金格式递交投标保证金，并作为其投标文件的组成部分。</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招标人开户银行</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单    位：广东南方报业传媒集团物业管理有限公司</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开 户 行：中国建设银行股份有限公司广州五羊新城支行</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账    号：44001400905050077801</w:t>
      </w:r>
    </w:p>
    <w:p>
      <w:pPr>
        <w:pStyle w:val="2"/>
        <w:spacing w:line="360" w:lineRule="auto"/>
        <w:ind w:firstLineChars="200"/>
        <w:rPr>
          <w:rFonts w:hint="eastAsia" w:ascii="宋体" w:hAnsi="宋体"/>
          <w:b/>
          <w:color w:val="auto"/>
          <w:highlight w:val="none"/>
        </w:rPr>
      </w:pPr>
      <w:r>
        <w:rPr>
          <w:rFonts w:hint="eastAsia" w:ascii="宋体" w:hAnsi="宋体"/>
          <w:color w:val="auto"/>
          <w:highlight w:val="none"/>
        </w:rPr>
        <w:t>标书款及保证金到账咨询电话：</w:t>
      </w:r>
      <w:r>
        <w:rPr>
          <w:rFonts w:hint="eastAsia" w:ascii="宋体" w:hAnsi="宋体"/>
          <w:bCs/>
          <w:color w:val="auto"/>
          <w:highlight w:val="none"/>
        </w:rPr>
        <w:t>020－83003908</w:t>
      </w:r>
    </w:p>
    <w:p>
      <w:pPr>
        <w:pStyle w:val="2"/>
        <w:spacing w:line="360" w:lineRule="auto"/>
        <w:ind w:firstLine="422" w:firstLineChars="200"/>
        <w:rPr>
          <w:rFonts w:hint="eastAsia" w:ascii="宋体" w:hAnsi="宋体"/>
          <w:b/>
          <w:color w:val="auto"/>
          <w:highlight w:val="none"/>
        </w:rPr>
      </w:pPr>
      <w:r>
        <w:rPr>
          <w:rFonts w:hint="eastAsia" w:ascii="宋体" w:hAnsi="宋体"/>
          <w:b/>
          <w:color w:val="auto"/>
          <w:szCs w:val="21"/>
          <w:highlight w:val="none"/>
        </w:rPr>
        <w:t>投标人汇投标保证金时，需在填写汇款备注栏时添加 “ZB202503投标保证金”。</w:t>
      </w:r>
      <w:r>
        <w:rPr>
          <w:rStyle w:val="97"/>
          <w:rFonts w:hint="eastAsia" w:ascii="宋体" w:hAnsi="宋体"/>
          <w:b/>
          <w:color w:val="auto"/>
          <w:szCs w:val="21"/>
          <w:highlight w:val="none"/>
        </w:rPr>
        <w:t> </w:t>
      </w:r>
    </w:p>
    <w:p>
      <w:pPr>
        <w:spacing w:line="360" w:lineRule="auto"/>
        <w:ind w:firstLine="420" w:firstLineChars="200"/>
        <w:rPr>
          <w:rFonts w:hint="eastAsia" w:ascii="宋体" w:hAnsi="宋体"/>
          <w:color w:val="auto"/>
          <w:highlight w:val="none"/>
        </w:rPr>
      </w:pPr>
      <w:r>
        <w:rPr>
          <w:rFonts w:hint="eastAsia" w:ascii="宋体" w:hAnsi="宋体"/>
          <w:color w:val="auto"/>
          <w:highlight w:val="none"/>
        </w:rPr>
        <w:t>3.4.2 投标人不按本章第3.4.1项要求提交投标保证金的，评标委员会将否决其投标。</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3.4.3 如无质疑或投诉，未中标的投标保证金将在中标公示期结束后10日内退还（不计算银行利息）；如有质疑或投诉，将在质疑和投诉处理完毕后10日内退还（不计算银行利息）。</w:t>
      </w:r>
    </w:p>
    <w:p>
      <w:pPr>
        <w:pStyle w:val="2"/>
        <w:spacing w:line="360" w:lineRule="auto"/>
        <w:ind w:firstLineChars="200"/>
        <w:rPr>
          <w:rFonts w:hint="eastAsia" w:ascii="宋体" w:hAnsi="宋体"/>
          <w:color w:val="auto"/>
          <w:highlight w:val="none"/>
        </w:rPr>
      </w:pPr>
      <w:r>
        <w:rPr>
          <w:rFonts w:hint="eastAsia" w:ascii="宋体" w:hAnsi="宋体"/>
          <w:color w:val="auto"/>
          <w:highlight w:val="none"/>
        </w:rPr>
        <w:t>3.4.4中标人的投标保证金，在签署合同并按要求提供了履约保证后（如有要求）予以退还（不计算银行利息）。</w:t>
      </w:r>
    </w:p>
    <w:p>
      <w:pPr>
        <w:spacing w:line="360" w:lineRule="auto"/>
        <w:ind w:firstLine="420" w:firstLineChars="200"/>
        <w:rPr>
          <w:color w:val="auto"/>
          <w:highlight w:val="none"/>
        </w:rPr>
      </w:pPr>
      <w:r>
        <w:rPr>
          <w:rFonts w:hint="eastAsia"/>
          <w:color w:val="auto"/>
          <w:highlight w:val="none"/>
        </w:rPr>
        <w:t xml:space="preserve">3.4.5 有下列情形之一的，投标保证金将不予退还： </w:t>
      </w:r>
    </w:p>
    <w:p>
      <w:pPr>
        <w:spacing w:line="360" w:lineRule="auto"/>
        <w:ind w:firstLine="718" w:firstLineChars="342"/>
        <w:rPr>
          <w:color w:val="auto"/>
          <w:highlight w:val="none"/>
        </w:rPr>
      </w:pPr>
      <w:r>
        <w:rPr>
          <w:rFonts w:hint="eastAsia"/>
          <w:color w:val="auto"/>
          <w:highlight w:val="none"/>
        </w:rPr>
        <w:t>（1）投标人在规定的投标有效期内撤销或修改其投标文件；</w:t>
      </w:r>
    </w:p>
    <w:p>
      <w:pPr>
        <w:spacing w:line="360" w:lineRule="auto"/>
        <w:ind w:firstLine="718" w:firstLineChars="342"/>
        <w:rPr>
          <w:color w:val="auto"/>
          <w:highlight w:val="none"/>
        </w:rPr>
      </w:pPr>
      <w:r>
        <w:rPr>
          <w:rFonts w:hint="eastAsia"/>
          <w:color w:val="auto"/>
          <w:highlight w:val="none"/>
        </w:rPr>
        <w:t>（2）中标人在收到中标通知书后，无正当理由拒签合同协议书或未按招标文件规定提交履约担保。</w:t>
      </w:r>
    </w:p>
    <w:bookmarkEnd w:id="770"/>
    <w:bookmarkEnd w:id="771"/>
    <w:bookmarkEnd w:id="772"/>
    <w:bookmarkEnd w:id="773"/>
    <w:bookmarkEnd w:id="774"/>
    <w:bookmarkEnd w:id="775"/>
    <w:bookmarkEnd w:id="776"/>
    <w:p>
      <w:pPr>
        <w:pStyle w:val="5"/>
        <w:rPr>
          <w:color w:val="auto"/>
          <w:highlight w:val="none"/>
        </w:rPr>
      </w:pPr>
      <w:bookmarkStart w:id="777" w:name="_Toc27174"/>
      <w:bookmarkStart w:id="778" w:name="_Toc5280"/>
      <w:bookmarkStart w:id="779" w:name="_Toc26352"/>
      <w:bookmarkStart w:id="780" w:name="_Toc20655"/>
      <w:bookmarkStart w:id="781" w:name="_Toc3387"/>
      <w:bookmarkStart w:id="782" w:name="_Toc4185"/>
      <w:bookmarkStart w:id="783" w:name="_Toc612"/>
      <w:bookmarkStart w:id="784" w:name="_Toc30399"/>
      <w:bookmarkStart w:id="785" w:name="_Toc435178384"/>
      <w:bookmarkStart w:id="786" w:name="_Toc436215742"/>
      <w:bookmarkStart w:id="787" w:name="_Toc496601951"/>
      <w:bookmarkStart w:id="788" w:name="_Toc152045553"/>
      <w:bookmarkStart w:id="789" w:name="_Toc246996940"/>
      <w:bookmarkStart w:id="790" w:name="_Toc144974521"/>
      <w:bookmarkStart w:id="791" w:name="_Toc179632571"/>
      <w:bookmarkStart w:id="792" w:name="_Toc152042329"/>
      <w:bookmarkStart w:id="793" w:name="_Toc247085711"/>
      <w:bookmarkStart w:id="794" w:name="_Toc246996197"/>
      <w:r>
        <w:rPr>
          <w:color w:val="auto"/>
          <w:highlight w:val="none"/>
        </w:rPr>
        <w:t>3.5 资格审查资料</w:t>
      </w:r>
      <w:bookmarkEnd w:id="777"/>
      <w:bookmarkEnd w:id="778"/>
      <w:bookmarkEnd w:id="779"/>
      <w:bookmarkEnd w:id="780"/>
      <w:bookmarkEnd w:id="781"/>
      <w:bookmarkEnd w:id="782"/>
      <w:bookmarkEnd w:id="783"/>
      <w:bookmarkEnd w:id="784"/>
    </w:p>
    <w:p>
      <w:pPr>
        <w:spacing w:line="360" w:lineRule="auto"/>
        <w:ind w:firstLine="420" w:firstLineChars="200"/>
        <w:rPr>
          <w:color w:val="auto"/>
          <w:highlight w:val="none"/>
        </w:rPr>
      </w:pPr>
      <w:r>
        <w:rPr>
          <w:color w:val="auto"/>
          <w:highlight w:val="none"/>
        </w:rPr>
        <w:t>除投标人须知前附表另有规定外，投标人应按下列规定提供资格审查资料，以证明其满足本章第1.4款规定的资质要求。</w:t>
      </w:r>
    </w:p>
    <w:p>
      <w:pPr>
        <w:spacing w:line="360" w:lineRule="auto"/>
        <w:ind w:firstLine="420" w:firstLineChars="200"/>
        <w:rPr>
          <w:color w:val="auto"/>
          <w:highlight w:val="none"/>
        </w:rPr>
      </w:pPr>
      <w:r>
        <w:rPr>
          <w:color w:val="auto"/>
          <w:highlight w:val="none"/>
        </w:rPr>
        <w:t>3.5.1应附投标人资格或者资质证书副本以及：</w:t>
      </w:r>
    </w:p>
    <w:p>
      <w:pPr>
        <w:spacing w:line="360" w:lineRule="auto"/>
        <w:ind w:firstLine="420" w:firstLineChars="200"/>
        <w:rPr>
          <w:color w:val="auto"/>
          <w:highlight w:val="none"/>
        </w:rPr>
      </w:pPr>
      <w:r>
        <w:rPr>
          <w:color w:val="auto"/>
          <w:highlight w:val="none"/>
        </w:rPr>
        <w:t>（1）投标人为企业的，应提交营业执照和组织机构代码证的复印件（按照“三证合一”或“五证合一”登记制度进行登记的，可仅提供营业执照复印件）；</w:t>
      </w:r>
    </w:p>
    <w:p>
      <w:pPr>
        <w:spacing w:line="360" w:lineRule="auto"/>
        <w:ind w:firstLine="420" w:firstLineChars="200"/>
        <w:rPr>
          <w:color w:val="auto"/>
          <w:highlight w:val="none"/>
        </w:rPr>
      </w:pPr>
      <w:r>
        <w:rPr>
          <w:color w:val="auto"/>
          <w:highlight w:val="none"/>
        </w:rPr>
        <w:t>（2）投标人为依法允许经营的事业单位的，应提交事业单位法人证书和组织机构代码证的复印件。</w:t>
      </w:r>
    </w:p>
    <w:p>
      <w:pPr>
        <w:pStyle w:val="5"/>
        <w:rPr>
          <w:color w:val="auto"/>
          <w:highlight w:val="none"/>
        </w:rPr>
      </w:pPr>
      <w:bookmarkStart w:id="795" w:name="_Toc14210"/>
      <w:bookmarkStart w:id="796" w:name="_Toc9977"/>
      <w:bookmarkStart w:id="797" w:name="_Toc26501"/>
      <w:bookmarkStart w:id="798" w:name="_Toc7893"/>
      <w:bookmarkStart w:id="799" w:name="_Toc15959"/>
      <w:bookmarkStart w:id="800" w:name="_Toc3410"/>
      <w:bookmarkStart w:id="801" w:name="_Toc25970"/>
      <w:bookmarkStart w:id="802" w:name="_Toc14495"/>
      <w:r>
        <w:rPr>
          <w:rFonts w:hint="eastAsia"/>
          <w:color w:val="auto"/>
          <w:highlight w:val="none"/>
        </w:rPr>
        <w:t xml:space="preserve"> </w:t>
      </w:r>
      <w:bookmarkEnd w:id="795"/>
      <w:bookmarkEnd w:id="796"/>
      <w:bookmarkEnd w:id="797"/>
      <w:bookmarkEnd w:id="798"/>
      <w:bookmarkEnd w:id="799"/>
      <w:bookmarkEnd w:id="800"/>
      <w:bookmarkEnd w:id="801"/>
      <w:bookmarkEnd w:id="802"/>
      <w:bookmarkStart w:id="803" w:name="_Toc24750"/>
      <w:bookmarkStart w:id="804" w:name="_Toc20332"/>
      <w:bookmarkStart w:id="805" w:name="_Toc2498"/>
      <w:bookmarkStart w:id="806" w:name="_Toc10415"/>
      <w:bookmarkStart w:id="807" w:name="_Toc5618"/>
      <w:bookmarkStart w:id="808" w:name="_Toc18922"/>
      <w:bookmarkStart w:id="809" w:name="_Toc26691"/>
      <w:bookmarkStart w:id="810" w:name="_Toc611"/>
      <w:r>
        <w:rPr>
          <w:rFonts w:hint="eastAsia"/>
          <w:color w:val="auto"/>
          <w:highlight w:val="none"/>
        </w:rPr>
        <w:t xml:space="preserve"> 3.6投标文件的编制</w:t>
      </w:r>
      <w:bookmarkEnd w:id="785"/>
      <w:bookmarkEnd w:id="786"/>
      <w:r>
        <w:rPr>
          <w:rFonts w:hint="eastAsia"/>
          <w:color w:val="auto"/>
          <w:highlight w:val="none"/>
        </w:rPr>
        <w:t>和数量</w:t>
      </w:r>
      <w:bookmarkEnd w:id="787"/>
      <w:bookmarkEnd w:id="803"/>
      <w:bookmarkEnd w:id="804"/>
      <w:bookmarkEnd w:id="805"/>
      <w:bookmarkEnd w:id="806"/>
      <w:bookmarkEnd w:id="807"/>
      <w:bookmarkEnd w:id="808"/>
      <w:bookmarkEnd w:id="809"/>
      <w:bookmarkEnd w:id="810"/>
    </w:p>
    <w:bookmarkEnd w:id="788"/>
    <w:bookmarkEnd w:id="789"/>
    <w:bookmarkEnd w:id="790"/>
    <w:bookmarkEnd w:id="791"/>
    <w:bookmarkEnd w:id="792"/>
    <w:bookmarkEnd w:id="793"/>
    <w:bookmarkEnd w:id="794"/>
    <w:p>
      <w:pPr>
        <w:spacing w:line="360" w:lineRule="auto"/>
        <w:ind w:firstLine="420" w:firstLineChars="200"/>
        <w:rPr>
          <w:color w:val="auto"/>
          <w:highlight w:val="none"/>
        </w:rPr>
      </w:pPr>
      <w:bookmarkStart w:id="811" w:name="_Toc144974523"/>
      <w:bookmarkStart w:id="812" w:name="_Toc152042331"/>
      <w:bookmarkStart w:id="813" w:name="_Toc246996199"/>
      <w:bookmarkStart w:id="814" w:name="_Toc179632573"/>
      <w:bookmarkStart w:id="815" w:name="_Toc246996942"/>
      <w:bookmarkStart w:id="816" w:name="_Toc247085713"/>
      <w:bookmarkStart w:id="817" w:name="_Toc152045555"/>
      <w:r>
        <w:rPr>
          <w:rFonts w:hint="eastAsia"/>
          <w:color w:val="auto"/>
          <w:highlight w:val="none"/>
        </w:rPr>
        <w:t>3.6.1投标文件应按第七章“投标文件格式”进行编写，如有必要，可以增加附页，作为投标文件的组成部分。其中，投标函在满足招标文件实质性要求的基础上，可以提出比招标文件要求更有利于招标人的承诺。</w:t>
      </w:r>
    </w:p>
    <w:p>
      <w:pPr>
        <w:spacing w:line="360" w:lineRule="auto"/>
        <w:ind w:firstLine="420" w:firstLineChars="200"/>
        <w:rPr>
          <w:color w:val="auto"/>
          <w:highlight w:val="none"/>
        </w:rPr>
      </w:pPr>
      <w:r>
        <w:rPr>
          <w:rFonts w:hint="eastAsia"/>
          <w:color w:val="auto"/>
          <w:highlight w:val="none"/>
        </w:rPr>
        <w:t>3.6.2</w:t>
      </w:r>
      <w:r>
        <w:rPr>
          <w:color w:val="auto"/>
          <w:highlight w:val="none"/>
        </w:rPr>
        <w:t>投标文件应用不褪色的材料书写或打印，投标函及对投标文件的澄清、说明和补正应由投标人的法定代表人（单位负责人）或其授权的代理人签字或盖单位章。由投标人的法定代表人（单位负责人）签字的，应附法定代表人（单位负责人）身份证明，由代理人签字的，应附授权委托书，身份证明或授权委托书应符合第</w:t>
      </w:r>
      <w:r>
        <w:rPr>
          <w:rFonts w:hint="eastAsia"/>
          <w:color w:val="auto"/>
          <w:highlight w:val="none"/>
        </w:rPr>
        <w:t>七</w:t>
      </w:r>
      <w:r>
        <w:rPr>
          <w:color w:val="auto"/>
          <w:highlight w:val="none"/>
        </w:rPr>
        <w:t>章“投标文件格式”的要求。投标文件应尽量避免涂改、行间插字或删除。如果出现上述情况，改动之处应由投标人的法定代表人（单位负责人）或其授权的代理人签字或盖单位章。</w:t>
      </w:r>
    </w:p>
    <w:p>
      <w:pPr>
        <w:spacing w:line="360" w:lineRule="auto"/>
        <w:ind w:firstLine="420" w:firstLineChars="200"/>
        <w:rPr>
          <w:color w:val="auto"/>
          <w:highlight w:val="none"/>
        </w:rPr>
      </w:pPr>
      <w:r>
        <w:rPr>
          <w:rFonts w:hint="eastAsia"/>
          <w:color w:val="auto"/>
          <w:highlight w:val="none"/>
        </w:rPr>
        <w:t>3.6.3 投标文件正本一份，副本一份，电子文档一份。正本和副本的封面上应清楚地标记“正本”或“副本”的字样。</w:t>
      </w:r>
      <w:r>
        <w:rPr>
          <w:color w:val="auto"/>
          <w:highlight w:val="none"/>
        </w:rPr>
        <w:t>投标人应根据投标人须知前附表要求提供电子版文件。当副本和正本不一致或电子版文件和纸质正本文件不一致时，以纸质正本文件为准。</w:t>
      </w:r>
    </w:p>
    <w:p>
      <w:pPr>
        <w:spacing w:line="360" w:lineRule="auto"/>
        <w:ind w:firstLine="420" w:firstLineChars="200"/>
        <w:rPr>
          <w:color w:val="auto"/>
          <w:highlight w:val="none"/>
        </w:rPr>
      </w:pPr>
      <w:r>
        <w:rPr>
          <w:rFonts w:hint="eastAsia"/>
          <w:color w:val="auto"/>
          <w:highlight w:val="none"/>
        </w:rPr>
        <w:t>3.6.4 投标文件的正本与副本应分别装订成册，统一A4印刷本（纸张大小超过A4纸的折叠成A4纸的规格），纸质封面使用书式装订，不得用活页装订。</w:t>
      </w:r>
    </w:p>
    <w:p>
      <w:pPr>
        <w:spacing w:line="360" w:lineRule="auto"/>
        <w:ind w:firstLine="420" w:firstLineChars="200"/>
        <w:rPr>
          <w:rFonts w:hint="eastAsia" w:ascii="宋体" w:hAnsi="宋体"/>
          <w:color w:val="auto"/>
          <w:szCs w:val="21"/>
          <w:highlight w:val="none"/>
        </w:rPr>
      </w:pPr>
      <w:r>
        <w:rPr>
          <w:rFonts w:hint="eastAsia"/>
          <w:color w:val="auto"/>
          <w:highlight w:val="none"/>
        </w:rPr>
        <w:t>3.6.5</w:t>
      </w:r>
      <w:r>
        <w:rPr>
          <w:rFonts w:hint="eastAsia" w:ascii="宋体" w:hAnsi="宋体"/>
          <w:color w:val="auto"/>
          <w:szCs w:val="21"/>
          <w:highlight w:val="none"/>
        </w:rPr>
        <w:t xml:space="preserve"> </w:t>
      </w:r>
      <w:r>
        <w:rPr>
          <w:rFonts w:ascii="宋体" w:hAnsi="宋体"/>
          <w:color w:val="auto"/>
          <w:szCs w:val="21"/>
          <w:highlight w:val="none"/>
        </w:rPr>
        <w:t>投标人应单独密封提交</w:t>
      </w:r>
      <w:r>
        <w:rPr>
          <w:rFonts w:ascii="宋体" w:hAnsi="宋体"/>
          <w:b/>
          <w:color w:val="auto"/>
          <w:szCs w:val="21"/>
          <w:highlight w:val="none"/>
        </w:rPr>
        <w:t>《</w:t>
      </w:r>
      <w:r>
        <w:rPr>
          <w:rFonts w:hint="eastAsia" w:ascii="宋体" w:hAnsi="宋体"/>
          <w:b/>
          <w:color w:val="auto"/>
          <w:szCs w:val="21"/>
          <w:highlight w:val="none"/>
        </w:rPr>
        <w:t>唱标信封</w:t>
      </w:r>
      <w:r>
        <w:rPr>
          <w:rFonts w:ascii="宋体" w:hAnsi="宋体"/>
          <w:b/>
          <w:color w:val="auto"/>
          <w:szCs w:val="21"/>
          <w:highlight w:val="none"/>
        </w:rPr>
        <w:t>》</w:t>
      </w:r>
      <w:r>
        <w:rPr>
          <w:rFonts w:hint="eastAsia" w:ascii="宋体" w:hAnsi="宋体"/>
          <w:b/>
          <w:color w:val="auto"/>
          <w:szCs w:val="21"/>
          <w:highlight w:val="none"/>
        </w:rPr>
        <w:t>一</w:t>
      </w:r>
      <w:r>
        <w:rPr>
          <w:rFonts w:ascii="宋体" w:hAnsi="宋体"/>
          <w:b/>
          <w:color w:val="auto"/>
          <w:szCs w:val="21"/>
          <w:highlight w:val="none"/>
        </w:rPr>
        <w:t>份</w:t>
      </w:r>
      <w:r>
        <w:rPr>
          <w:rFonts w:ascii="宋体" w:hAnsi="宋体"/>
          <w:color w:val="auto"/>
          <w:szCs w:val="21"/>
          <w:highlight w:val="none"/>
        </w:rPr>
        <w:t>，并在信封上清晰标明“</w:t>
      </w:r>
      <w:r>
        <w:rPr>
          <w:rFonts w:hint="eastAsia" w:ascii="宋体" w:hAnsi="宋体"/>
          <w:color w:val="auto"/>
          <w:szCs w:val="21"/>
          <w:highlight w:val="none"/>
        </w:rPr>
        <w:t>唱标信封</w:t>
      </w:r>
      <w:r>
        <w:rPr>
          <w:rFonts w:ascii="宋体" w:hAnsi="宋体"/>
          <w:color w:val="auto"/>
          <w:szCs w:val="21"/>
          <w:highlight w:val="none"/>
        </w:rPr>
        <w:t>”字样</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color w:val="auto"/>
          <w:szCs w:val="21"/>
          <w:highlight w:val="none"/>
        </w:rPr>
        <w:t>唱标信封</w:t>
      </w:r>
      <w:r>
        <w:rPr>
          <w:rFonts w:ascii="宋体" w:hAnsi="宋体"/>
          <w:color w:val="auto"/>
          <w:szCs w:val="21"/>
          <w:highlight w:val="none"/>
        </w:rPr>
        <w:t>》</w:t>
      </w:r>
      <w:r>
        <w:rPr>
          <w:rFonts w:hint="eastAsia" w:ascii="宋体" w:hAnsi="宋体"/>
          <w:color w:val="auto"/>
          <w:szCs w:val="21"/>
          <w:highlight w:val="none"/>
        </w:rPr>
        <w:t>封装内容详见第七部分投标文件格式。</w:t>
      </w:r>
    </w:p>
    <w:p>
      <w:pPr>
        <w:pStyle w:val="4"/>
        <w:spacing w:line="360" w:lineRule="auto"/>
        <w:rPr>
          <w:color w:val="auto"/>
          <w:highlight w:val="none"/>
        </w:rPr>
      </w:pPr>
      <w:bookmarkStart w:id="818" w:name="_Toc435178385"/>
      <w:bookmarkStart w:id="819" w:name="_Toc21180"/>
      <w:bookmarkStart w:id="820" w:name="_Toc31839"/>
      <w:bookmarkStart w:id="821" w:name="_Toc5883"/>
      <w:bookmarkStart w:id="822" w:name="_Toc22825"/>
      <w:bookmarkStart w:id="823" w:name="_Toc16504"/>
      <w:bookmarkStart w:id="824" w:name="_Toc22964"/>
      <w:bookmarkStart w:id="825" w:name="_Toc10518"/>
      <w:bookmarkStart w:id="826" w:name="_Toc2765"/>
      <w:bookmarkStart w:id="827" w:name="_Toc28558"/>
      <w:bookmarkStart w:id="828" w:name="_Toc9633"/>
      <w:bookmarkStart w:id="829" w:name="_Toc28997"/>
      <w:bookmarkStart w:id="830" w:name="_Toc30794"/>
      <w:bookmarkStart w:id="831" w:name="_Toc16325"/>
      <w:bookmarkStart w:id="832" w:name="_Toc30410"/>
      <w:bookmarkStart w:id="833" w:name="_Toc22279"/>
      <w:bookmarkStart w:id="834" w:name="_Toc24484"/>
      <w:bookmarkStart w:id="835" w:name="_Toc24477"/>
      <w:bookmarkStart w:id="836" w:name="_Toc1559"/>
      <w:bookmarkStart w:id="837" w:name="_Toc12912"/>
      <w:bookmarkStart w:id="838" w:name="_Toc29886"/>
      <w:bookmarkStart w:id="839" w:name="_Toc27114"/>
      <w:bookmarkStart w:id="840" w:name="_Toc436215743"/>
      <w:bookmarkStart w:id="841" w:name="_Toc20325"/>
      <w:bookmarkStart w:id="842" w:name="_Toc496601952"/>
      <w:bookmarkStart w:id="843" w:name="_Toc21889"/>
      <w:r>
        <w:rPr>
          <w:rFonts w:hint="eastAsia"/>
          <w:color w:val="auto"/>
          <w:highlight w:val="none"/>
        </w:rPr>
        <w:t>4. 投标</w: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p>
    <w:p>
      <w:pPr>
        <w:pStyle w:val="5"/>
        <w:rPr>
          <w:color w:val="auto"/>
          <w:highlight w:val="none"/>
        </w:rPr>
      </w:pPr>
      <w:bookmarkStart w:id="844" w:name="_Toc1935"/>
      <w:bookmarkStart w:id="845" w:name="_Toc2214"/>
      <w:bookmarkStart w:id="846" w:name="_Toc17808"/>
      <w:bookmarkStart w:id="847" w:name="_Toc436215744"/>
      <w:bookmarkStart w:id="848" w:name="_Toc28298"/>
      <w:bookmarkStart w:id="849" w:name="_Toc6931"/>
      <w:bookmarkStart w:id="850" w:name="_Toc435178386"/>
      <w:bookmarkStart w:id="851" w:name="_Toc179632574"/>
      <w:bookmarkStart w:id="852" w:name="_Toc152045556"/>
      <w:bookmarkStart w:id="853" w:name="_Toc17195"/>
      <w:bookmarkStart w:id="854" w:name="_Toc144974524"/>
      <w:bookmarkStart w:id="855" w:name="_Toc496601953"/>
      <w:bookmarkStart w:id="856" w:name="_Toc32521"/>
      <w:bookmarkStart w:id="857" w:name="_Toc246996943"/>
      <w:bookmarkStart w:id="858" w:name="_Toc152042332"/>
      <w:bookmarkStart w:id="859" w:name="_Toc2156"/>
      <w:bookmarkStart w:id="860" w:name="_Toc247085714"/>
      <w:bookmarkStart w:id="861" w:name="_Toc246996200"/>
      <w:r>
        <w:rPr>
          <w:rFonts w:hint="eastAsia"/>
          <w:color w:val="auto"/>
          <w:highlight w:val="none"/>
        </w:rPr>
        <w:t>4.1 投标文件的密封和标记</w:t>
      </w:r>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pPr>
        <w:spacing w:line="360" w:lineRule="auto"/>
        <w:ind w:firstLine="420" w:firstLineChars="200"/>
        <w:rPr>
          <w:color w:val="auto"/>
          <w:highlight w:val="none"/>
        </w:rPr>
      </w:pPr>
      <w:bookmarkStart w:id="862" w:name="_Toc246996201"/>
      <w:bookmarkStart w:id="863" w:name="_Toc152045557"/>
      <w:bookmarkStart w:id="864" w:name="_Toc247085715"/>
      <w:bookmarkStart w:id="865" w:name="_Toc179632575"/>
      <w:bookmarkStart w:id="866" w:name="_Toc144974525"/>
      <w:bookmarkStart w:id="867" w:name="_Toc152042333"/>
      <w:bookmarkStart w:id="868" w:name="_Toc246996944"/>
      <w:r>
        <w:rPr>
          <w:rFonts w:hint="eastAsia"/>
          <w:color w:val="auto"/>
          <w:highlight w:val="none"/>
        </w:rPr>
        <w:t>4.1.1 投标文件应进行包装、加贴封条，并在封套的封口处加盖投标人单位章。</w:t>
      </w:r>
    </w:p>
    <w:p>
      <w:pPr>
        <w:spacing w:line="360" w:lineRule="auto"/>
        <w:ind w:firstLine="420" w:firstLineChars="200"/>
        <w:rPr>
          <w:color w:val="auto"/>
          <w:highlight w:val="none"/>
        </w:rPr>
      </w:pPr>
      <w:r>
        <w:rPr>
          <w:rFonts w:hint="eastAsia"/>
          <w:color w:val="auto"/>
          <w:highlight w:val="none"/>
        </w:rPr>
        <w:t>4.1.2 投标文件封套上应写明的内容见投标人须知前附表。</w:t>
      </w:r>
    </w:p>
    <w:p>
      <w:pPr>
        <w:spacing w:line="360" w:lineRule="auto"/>
        <w:ind w:firstLine="420" w:firstLineChars="200"/>
        <w:rPr>
          <w:color w:val="auto"/>
          <w:highlight w:val="none"/>
        </w:rPr>
      </w:pPr>
      <w:r>
        <w:rPr>
          <w:rFonts w:hint="eastAsia"/>
          <w:color w:val="auto"/>
          <w:highlight w:val="none"/>
        </w:rPr>
        <w:t>4.1.3 未按本章第4.1.1项或第4.1.2项要求密封和加写标记的投标文件，招标人应予拒收。</w:t>
      </w:r>
    </w:p>
    <w:p>
      <w:pPr>
        <w:pStyle w:val="5"/>
        <w:rPr>
          <w:color w:val="auto"/>
          <w:highlight w:val="none"/>
        </w:rPr>
      </w:pPr>
      <w:bookmarkStart w:id="869" w:name="_Toc18462"/>
      <w:bookmarkStart w:id="870" w:name="_Toc436215745"/>
      <w:bookmarkStart w:id="871" w:name="_Toc496601954"/>
      <w:bookmarkStart w:id="872" w:name="_Toc22430"/>
      <w:bookmarkStart w:id="873" w:name="_Toc20180"/>
      <w:bookmarkStart w:id="874" w:name="_Toc24248"/>
      <w:bookmarkStart w:id="875" w:name="_Toc10731"/>
      <w:bookmarkStart w:id="876" w:name="_Toc435178387"/>
      <w:bookmarkStart w:id="877" w:name="_Toc6483"/>
      <w:bookmarkStart w:id="878" w:name="_Toc12653"/>
      <w:bookmarkStart w:id="879" w:name="_Toc25415"/>
      <w:r>
        <w:rPr>
          <w:rFonts w:hint="eastAsia"/>
          <w:color w:val="auto"/>
          <w:highlight w:val="none"/>
        </w:rPr>
        <w:t>4.2 投标文件的递交</w:t>
      </w:r>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pPr>
        <w:spacing w:line="360" w:lineRule="auto"/>
        <w:ind w:firstLine="420" w:firstLineChars="200"/>
        <w:rPr>
          <w:color w:val="auto"/>
          <w:highlight w:val="none"/>
        </w:rPr>
      </w:pPr>
      <w:r>
        <w:rPr>
          <w:rFonts w:hint="eastAsia"/>
          <w:color w:val="auto"/>
          <w:highlight w:val="none"/>
        </w:rPr>
        <w:t>4.2.1 投标人应在本章第2.2.2项规定的投标截止时间前递交投标文件。</w:t>
      </w:r>
    </w:p>
    <w:p>
      <w:pPr>
        <w:spacing w:line="360" w:lineRule="auto"/>
        <w:ind w:firstLine="420" w:firstLineChars="200"/>
        <w:rPr>
          <w:color w:val="auto"/>
          <w:highlight w:val="none"/>
        </w:rPr>
      </w:pPr>
      <w:r>
        <w:rPr>
          <w:rFonts w:hint="eastAsia"/>
          <w:color w:val="auto"/>
          <w:highlight w:val="none"/>
        </w:rPr>
        <w:t>4.2.2 投标人递交投标文件的地点：见投标人须知前附表。</w:t>
      </w:r>
    </w:p>
    <w:p>
      <w:pPr>
        <w:spacing w:line="360" w:lineRule="auto"/>
        <w:ind w:firstLine="420" w:firstLineChars="200"/>
        <w:rPr>
          <w:color w:val="auto"/>
          <w:highlight w:val="none"/>
        </w:rPr>
      </w:pPr>
      <w:r>
        <w:rPr>
          <w:rFonts w:hint="eastAsia"/>
          <w:color w:val="auto"/>
          <w:highlight w:val="none"/>
        </w:rPr>
        <w:t>4.2.3 除投标人须知前附表另有规定外，投标人所递交的投标文件不予退还。</w:t>
      </w:r>
    </w:p>
    <w:p>
      <w:pPr>
        <w:spacing w:line="360" w:lineRule="auto"/>
        <w:ind w:firstLine="420" w:firstLineChars="200"/>
        <w:rPr>
          <w:color w:val="auto"/>
          <w:highlight w:val="none"/>
        </w:rPr>
      </w:pPr>
      <w:r>
        <w:rPr>
          <w:rFonts w:hint="eastAsia"/>
          <w:color w:val="auto"/>
          <w:highlight w:val="none"/>
        </w:rPr>
        <w:t>4.2.4 招标人将拒绝以下情况的投标文件：</w:t>
      </w:r>
    </w:p>
    <w:p>
      <w:pPr>
        <w:numPr>
          <w:ilvl w:val="0"/>
          <w:numId w:val="4"/>
        </w:numPr>
        <w:spacing w:line="360" w:lineRule="auto"/>
        <w:ind w:firstLine="11"/>
        <w:rPr>
          <w:color w:val="auto"/>
          <w:highlight w:val="none"/>
        </w:rPr>
      </w:pPr>
      <w:r>
        <w:rPr>
          <w:rFonts w:hint="eastAsia"/>
          <w:color w:val="auto"/>
          <w:highlight w:val="none"/>
        </w:rPr>
        <w:t>逾期送达的或者未送达指定地点的投标文件。</w:t>
      </w:r>
    </w:p>
    <w:p>
      <w:pPr>
        <w:numPr>
          <w:ilvl w:val="0"/>
          <w:numId w:val="4"/>
        </w:numPr>
        <w:spacing w:line="360" w:lineRule="auto"/>
        <w:ind w:firstLine="11"/>
        <w:rPr>
          <w:color w:val="auto"/>
          <w:highlight w:val="none"/>
        </w:rPr>
      </w:pPr>
      <w:r>
        <w:rPr>
          <w:rFonts w:hint="eastAsia"/>
          <w:color w:val="auto"/>
          <w:highlight w:val="none"/>
        </w:rPr>
        <w:t>没有按本章第4.1项要求密封的投标文件。</w:t>
      </w:r>
    </w:p>
    <w:p>
      <w:pPr>
        <w:pStyle w:val="5"/>
        <w:rPr>
          <w:color w:val="auto"/>
          <w:highlight w:val="none"/>
        </w:rPr>
      </w:pPr>
      <w:bookmarkStart w:id="880" w:name="_Toc152042334"/>
      <w:bookmarkStart w:id="881" w:name="_Toc496601955"/>
      <w:bookmarkStart w:id="882" w:name="_Toc31857"/>
      <w:bookmarkStart w:id="883" w:name="_Toc179632576"/>
      <w:bookmarkStart w:id="884" w:name="_Toc435178388"/>
      <w:bookmarkStart w:id="885" w:name="_Toc152045558"/>
      <w:bookmarkStart w:id="886" w:name="_Toc436215746"/>
      <w:bookmarkStart w:id="887" w:name="_Toc18240"/>
      <w:bookmarkStart w:id="888" w:name="_Toc6978"/>
      <w:bookmarkStart w:id="889" w:name="_Toc1662"/>
      <w:bookmarkStart w:id="890" w:name="_Toc4719"/>
      <w:bookmarkStart w:id="891" w:name="_Toc247085716"/>
      <w:bookmarkStart w:id="892" w:name="_Toc13840"/>
      <w:bookmarkStart w:id="893" w:name="_Toc246996202"/>
      <w:bookmarkStart w:id="894" w:name="_Toc23815"/>
      <w:bookmarkStart w:id="895" w:name="_Toc144974526"/>
      <w:bookmarkStart w:id="896" w:name="_Toc246996945"/>
      <w:bookmarkStart w:id="897" w:name="_Toc22358"/>
      <w:r>
        <w:rPr>
          <w:rFonts w:hint="eastAsia"/>
          <w:color w:val="auto"/>
          <w:highlight w:val="none"/>
        </w:rPr>
        <w:t>4.3 投标文件的修改与撤回</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pPr>
        <w:spacing w:line="360" w:lineRule="auto"/>
        <w:ind w:firstLine="420" w:firstLineChars="200"/>
        <w:rPr>
          <w:color w:val="auto"/>
          <w:highlight w:val="none"/>
        </w:rPr>
      </w:pPr>
      <w:r>
        <w:rPr>
          <w:rFonts w:hint="eastAsia"/>
          <w:color w:val="auto"/>
          <w:highlight w:val="none"/>
        </w:rPr>
        <w:t>4.3.1 在本章第2.2.2项规定的投标截止时间前，投标人可以修改或撤回已递交的投标文件，但应以书面形式通知招标人。</w:t>
      </w:r>
    </w:p>
    <w:p>
      <w:pPr>
        <w:spacing w:line="360" w:lineRule="auto"/>
        <w:ind w:firstLine="420" w:firstLineChars="200"/>
        <w:rPr>
          <w:color w:val="auto"/>
          <w:highlight w:val="none"/>
        </w:rPr>
      </w:pPr>
      <w:r>
        <w:rPr>
          <w:rFonts w:hint="eastAsia"/>
          <w:color w:val="auto"/>
          <w:highlight w:val="none"/>
        </w:rPr>
        <w:t>4.3.2 投标人补充、修改的内容或撤回已递交投标文件的书面通知应按照本章第3.7.2项的要求签字或盖章。招标人收到书面通知后，向投标人出具签收凭证。</w:t>
      </w:r>
    </w:p>
    <w:p>
      <w:pPr>
        <w:spacing w:line="360" w:lineRule="auto"/>
        <w:ind w:firstLine="420" w:firstLineChars="200"/>
        <w:rPr>
          <w:color w:val="auto"/>
          <w:highlight w:val="none"/>
        </w:rPr>
      </w:pPr>
      <w:r>
        <w:rPr>
          <w:rFonts w:hint="eastAsia"/>
          <w:color w:val="auto"/>
          <w:highlight w:val="none"/>
        </w:rPr>
        <w:t xml:space="preserve">4.3.3 投标人在投标截止时间前撤回投标文件的，招标人自收到投标人书面撤回通知之日起10日内退还已收取的投标保证金，但因投标人自身原因导致无法及时退还的除外。投标人在投标截止时间后修改或撤回投标文件的，投标保证金予以没收。 </w:t>
      </w:r>
    </w:p>
    <w:p>
      <w:pPr>
        <w:spacing w:line="360" w:lineRule="auto"/>
        <w:ind w:firstLine="420" w:firstLineChars="200"/>
        <w:rPr>
          <w:color w:val="auto"/>
          <w:highlight w:val="none"/>
        </w:rPr>
      </w:pPr>
      <w:r>
        <w:rPr>
          <w:rFonts w:hint="eastAsia"/>
          <w:color w:val="auto"/>
          <w:highlight w:val="none"/>
        </w:rPr>
        <w:t>4.3.4补充、修改的内容为投标文件的组成部分。修改的投标文件应按照本章第3条、第4条规定进行编制、密封、标记和递交，并标明“修改”字样。</w:t>
      </w:r>
    </w:p>
    <w:p>
      <w:pPr>
        <w:pStyle w:val="4"/>
        <w:spacing w:line="360" w:lineRule="auto"/>
        <w:rPr>
          <w:color w:val="auto"/>
          <w:highlight w:val="none"/>
        </w:rPr>
      </w:pPr>
      <w:bookmarkStart w:id="898" w:name="_Toc24398"/>
      <w:bookmarkStart w:id="899" w:name="_Toc436215747"/>
      <w:bookmarkStart w:id="900" w:name="_Toc16387"/>
      <w:bookmarkStart w:id="901" w:name="_Toc179632577"/>
      <w:bookmarkStart w:id="902" w:name="_Toc6718"/>
      <w:bookmarkStart w:id="903" w:name="_Toc12178"/>
      <w:bookmarkStart w:id="904" w:name="_Toc152042335"/>
      <w:bookmarkStart w:id="905" w:name="_Toc152045559"/>
      <w:bookmarkStart w:id="906" w:name="_Toc496601956"/>
      <w:bookmarkStart w:id="907" w:name="_Toc1320"/>
      <w:bookmarkStart w:id="908" w:name="_Toc435178389"/>
      <w:bookmarkStart w:id="909" w:name="_Toc7960"/>
      <w:bookmarkStart w:id="910" w:name="_Toc11505"/>
      <w:bookmarkStart w:id="911" w:name="_Toc30730"/>
      <w:bookmarkStart w:id="912" w:name="_Toc246996946"/>
      <w:bookmarkStart w:id="913" w:name="_Toc12486"/>
      <w:bookmarkStart w:id="914" w:name="_Toc19585"/>
      <w:bookmarkStart w:id="915" w:name="_Toc23168"/>
      <w:bookmarkStart w:id="916" w:name="_Toc15860"/>
      <w:bookmarkStart w:id="917" w:name="_Toc13970"/>
      <w:bookmarkStart w:id="918" w:name="_Toc144974527"/>
      <w:bookmarkStart w:id="919" w:name="_Toc40"/>
      <w:bookmarkStart w:id="920" w:name="_Toc22767"/>
      <w:bookmarkStart w:id="921" w:name="_Toc17114"/>
      <w:bookmarkStart w:id="922" w:name="_Toc25043"/>
      <w:bookmarkStart w:id="923" w:name="_Toc247085717"/>
      <w:bookmarkStart w:id="924" w:name="_Toc246996203"/>
      <w:bookmarkStart w:id="925" w:name="_Toc22734"/>
      <w:bookmarkStart w:id="926" w:name="_Toc19999"/>
      <w:bookmarkStart w:id="927" w:name="_Toc32185"/>
      <w:bookmarkStart w:id="928" w:name="_Toc31523"/>
      <w:bookmarkStart w:id="929" w:name="_Toc15030"/>
      <w:bookmarkStart w:id="930" w:name="_Toc13332"/>
      <w:r>
        <w:rPr>
          <w:rFonts w:hint="eastAsia"/>
          <w:color w:val="auto"/>
          <w:highlight w:val="none"/>
        </w:rPr>
        <w:t>5. 开标</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p>
    <w:p>
      <w:pPr>
        <w:pStyle w:val="5"/>
        <w:rPr>
          <w:color w:val="auto"/>
          <w:highlight w:val="none"/>
        </w:rPr>
      </w:pPr>
      <w:bookmarkStart w:id="931" w:name="_Toc2975"/>
      <w:bookmarkStart w:id="932" w:name="_Toc435178390"/>
      <w:bookmarkStart w:id="933" w:name="_Toc247085718"/>
      <w:bookmarkStart w:id="934" w:name="_Toc4838"/>
      <w:bookmarkStart w:id="935" w:name="_Toc496601957"/>
      <w:bookmarkStart w:id="936" w:name="_Toc5622"/>
      <w:bookmarkStart w:id="937" w:name="_Toc8792"/>
      <w:bookmarkStart w:id="938" w:name="_Toc144974528"/>
      <w:bookmarkStart w:id="939" w:name="_Toc152045560"/>
      <w:bookmarkStart w:id="940" w:name="_Toc152042336"/>
      <w:bookmarkStart w:id="941" w:name="_Toc436215748"/>
      <w:bookmarkStart w:id="942" w:name="_Toc246996947"/>
      <w:bookmarkStart w:id="943" w:name="_Toc3011"/>
      <w:bookmarkStart w:id="944" w:name="_Toc25998"/>
      <w:bookmarkStart w:id="945" w:name="_Toc8798"/>
      <w:bookmarkStart w:id="946" w:name="_Toc138"/>
      <w:bookmarkStart w:id="947" w:name="_Toc179632578"/>
      <w:bookmarkStart w:id="948" w:name="_Toc246996204"/>
      <w:r>
        <w:rPr>
          <w:rFonts w:hint="eastAsia"/>
          <w:color w:val="auto"/>
          <w:highlight w:val="none"/>
        </w:rPr>
        <w:t>5.1 开标时间和地点</w:t>
      </w:r>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pPr>
        <w:spacing w:line="360" w:lineRule="auto"/>
        <w:ind w:firstLine="420" w:firstLineChars="200"/>
        <w:rPr>
          <w:color w:val="auto"/>
          <w:highlight w:val="none"/>
        </w:rPr>
      </w:pPr>
      <w:r>
        <w:rPr>
          <w:rFonts w:hint="eastAsia"/>
          <w:color w:val="auto"/>
          <w:highlight w:val="none"/>
        </w:rPr>
        <w:t>招标人在投标人须知前附表规定的投标截止时间和地点公开开标，并邀请所有投标人参加。</w:t>
      </w:r>
    </w:p>
    <w:p>
      <w:pPr>
        <w:pStyle w:val="5"/>
        <w:rPr>
          <w:color w:val="auto"/>
          <w:highlight w:val="none"/>
        </w:rPr>
      </w:pPr>
      <w:bookmarkStart w:id="949" w:name="_Toc496601958"/>
      <w:bookmarkStart w:id="950" w:name="_Toc436215749"/>
      <w:bookmarkStart w:id="951" w:name="_Toc247085719"/>
      <w:bookmarkStart w:id="952" w:name="_Toc20293"/>
      <w:bookmarkStart w:id="953" w:name="_Toc246996948"/>
      <w:bookmarkStart w:id="954" w:name="_Toc17181"/>
      <w:bookmarkStart w:id="955" w:name="_Toc17525"/>
      <w:bookmarkStart w:id="956" w:name="_Toc144974529"/>
      <w:bookmarkStart w:id="957" w:name="_Toc26705"/>
      <w:bookmarkStart w:id="958" w:name="_Toc11761"/>
      <w:bookmarkStart w:id="959" w:name="_Toc22729"/>
      <w:bookmarkStart w:id="960" w:name="_Toc179632579"/>
      <w:bookmarkStart w:id="961" w:name="_Toc246996205"/>
      <w:bookmarkStart w:id="962" w:name="_Toc152042337"/>
      <w:bookmarkStart w:id="963" w:name="_Toc435178391"/>
      <w:bookmarkStart w:id="964" w:name="_Toc25837"/>
      <w:bookmarkStart w:id="965" w:name="_Toc29206"/>
      <w:bookmarkStart w:id="966" w:name="_Toc152045561"/>
      <w:r>
        <w:rPr>
          <w:rFonts w:hint="eastAsia"/>
          <w:color w:val="auto"/>
          <w:highlight w:val="none"/>
        </w:rPr>
        <w:t>5.2 开标程序</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pPr>
        <w:spacing w:line="360" w:lineRule="auto"/>
        <w:ind w:firstLine="420" w:firstLineChars="200"/>
        <w:rPr>
          <w:color w:val="auto"/>
          <w:highlight w:val="none"/>
        </w:rPr>
      </w:pPr>
      <w:r>
        <w:rPr>
          <w:rFonts w:hint="eastAsia"/>
          <w:color w:val="auto"/>
          <w:highlight w:val="none"/>
        </w:rPr>
        <w:t>主持人按下列程序进行开标：</w:t>
      </w:r>
    </w:p>
    <w:p>
      <w:pPr>
        <w:spacing w:line="360" w:lineRule="auto"/>
        <w:ind w:firstLine="359" w:firstLineChars="171"/>
        <w:rPr>
          <w:color w:val="auto"/>
          <w:highlight w:val="none"/>
        </w:rPr>
      </w:pPr>
      <w:r>
        <w:rPr>
          <w:rFonts w:hint="eastAsia"/>
          <w:color w:val="auto"/>
          <w:highlight w:val="none"/>
        </w:rPr>
        <w:t>（1）宣布开标纪律；</w:t>
      </w:r>
    </w:p>
    <w:p>
      <w:pPr>
        <w:spacing w:line="360" w:lineRule="auto"/>
        <w:ind w:firstLine="359" w:firstLineChars="171"/>
        <w:rPr>
          <w:color w:val="auto"/>
          <w:highlight w:val="none"/>
        </w:rPr>
      </w:pPr>
      <w:r>
        <w:rPr>
          <w:rFonts w:hint="eastAsia"/>
          <w:color w:val="auto"/>
          <w:highlight w:val="none"/>
        </w:rPr>
        <w:t>（2）公布在投标截止时间前递交投标文件的投标人名称；</w:t>
      </w:r>
    </w:p>
    <w:p>
      <w:pPr>
        <w:spacing w:line="360" w:lineRule="auto"/>
        <w:ind w:firstLine="359" w:firstLineChars="171"/>
        <w:rPr>
          <w:color w:val="auto"/>
          <w:highlight w:val="none"/>
        </w:rPr>
      </w:pPr>
      <w:r>
        <w:rPr>
          <w:rFonts w:hint="eastAsia"/>
          <w:color w:val="auto"/>
          <w:highlight w:val="none"/>
        </w:rPr>
        <w:t>（3）由投标人推选的代表检查投标文件的密封情况；</w:t>
      </w:r>
    </w:p>
    <w:p>
      <w:pPr>
        <w:spacing w:line="360" w:lineRule="auto"/>
        <w:ind w:firstLine="359" w:firstLineChars="171"/>
        <w:rPr>
          <w:color w:val="auto"/>
          <w:highlight w:val="none"/>
        </w:rPr>
      </w:pPr>
      <w:r>
        <w:rPr>
          <w:rFonts w:hint="eastAsia"/>
          <w:color w:val="auto"/>
          <w:highlight w:val="none"/>
        </w:rPr>
        <w:t>（4）由招标人工作人员当众拆封，宣布投标人名称、标书款和投标保证金的递交情况、投标报价和招标文件规定的需要宣布的其他内容，并记录在案；</w:t>
      </w:r>
    </w:p>
    <w:p>
      <w:pPr>
        <w:spacing w:line="360" w:lineRule="auto"/>
        <w:ind w:firstLine="359" w:firstLineChars="171"/>
        <w:rPr>
          <w:color w:val="auto"/>
          <w:highlight w:val="none"/>
        </w:rPr>
      </w:pPr>
      <w:r>
        <w:rPr>
          <w:rFonts w:hint="eastAsia"/>
          <w:color w:val="auto"/>
          <w:highlight w:val="none"/>
        </w:rPr>
        <w:t>（5）投标人代表、招标人代表、监标人、记录人等有关人员在开标记录上签字确认；投标人未参加开标的，视同认可开标结果。</w:t>
      </w:r>
    </w:p>
    <w:p>
      <w:pPr>
        <w:spacing w:line="360" w:lineRule="auto"/>
        <w:ind w:firstLine="359" w:firstLineChars="171"/>
        <w:rPr>
          <w:color w:val="auto"/>
          <w:highlight w:val="none"/>
        </w:rPr>
      </w:pPr>
      <w:r>
        <w:rPr>
          <w:rFonts w:hint="eastAsia"/>
          <w:color w:val="auto"/>
          <w:highlight w:val="none"/>
        </w:rPr>
        <w:t>（6）开标结束。</w:t>
      </w:r>
    </w:p>
    <w:p>
      <w:pPr>
        <w:pStyle w:val="5"/>
        <w:rPr>
          <w:color w:val="auto"/>
          <w:highlight w:val="none"/>
        </w:rPr>
      </w:pPr>
      <w:bookmarkStart w:id="967" w:name="_Toc11339"/>
      <w:bookmarkStart w:id="968" w:name="_Toc496601959"/>
      <w:bookmarkStart w:id="969" w:name="_Toc13922"/>
      <w:bookmarkStart w:id="970" w:name="_Toc435178393"/>
      <w:bookmarkStart w:id="971" w:name="_Toc25368"/>
      <w:bookmarkStart w:id="972" w:name="_Toc30701"/>
      <w:bookmarkStart w:id="973" w:name="_Toc13097"/>
      <w:bookmarkStart w:id="974" w:name="_Toc28215"/>
      <w:bookmarkStart w:id="975" w:name="_Toc436215751"/>
      <w:bookmarkStart w:id="976" w:name="_Toc31961"/>
      <w:bookmarkStart w:id="977" w:name="_Toc5175"/>
      <w:r>
        <w:rPr>
          <w:rFonts w:hint="eastAsia"/>
          <w:color w:val="auto"/>
          <w:highlight w:val="none"/>
        </w:rPr>
        <w:t>5.3开标异议</w:t>
      </w:r>
      <w:bookmarkEnd w:id="967"/>
      <w:bookmarkEnd w:id="968"/>
      <w:bookmarkEnd w:id="969"/>
      <w:bookmarkEnd w:id="970"/>
      <w:bookmarkEnd w:id="971"/>
      <w:bookmarkEnd w:id="972"/>
      <w:bookmarkEnd w:id="973"/>
      <w:bookmarkEnd w:id="974"/>
      <w:bookmarkEnd w:id="975"/>
      <w:bookmarkEnd w:id="976"/>
      <w:bookmarkEnd w:id="977"/>
    </w:p>
    <w:p>
      <w:pPr>
        <w:spacing w:line="360" w:lineRule="auto"/>
        <w:ind w:firstLine="359" w:firstLineChars="171"/>
        <w:rPr>
          <w:color w:val="auto"/>
          <w:highlight w:val="none"/>
        </w:rPr>
      </w:pPr>
      <w:r>
        <w:rPr>
          <w:rFonts w:hint="eastAsia"/>
          <w:color w:val="auto"/>
          <w:highlight w:val="none"/>
        </w:rPr>
        <w:t>投标人对开标有异议的，应当在开标现场提出，招标人当场作出答复，并制作记录。</w:t>
      </w:r>
    </w:p>
    <w:p>
      <w:pPr>
        <w:pStyle w:val="4"/>
        <w:spacing w:line="360" w:lineRule="auto"/>
        <w:rPr>
          <w:color w:val="auto"/>
          <w:highlight w:val="none"/>
        </w:rPr>
      </w:pPr>
      <w:bookmarkStart w:id="978" w:name="_Toc6451"/>
      <w:bookmarkStart w:id="979" w:name="_Toc3213"/>
      <w:bookmarkStart w:id="980" w:name="_Toc31238"/>
      <w:bookmarkStart w:id="981" w:name="_Toc9639"/>
      <w:bookmarkStart w:id="982" w:name="_Toc24980"/>
      <w:bookmarkStart w:id="983" w:name="_Toc436215753"/>
      <w:bookmarkStart w:id="984" w:name="_Toc435178395"/>
      <w:bookmarkStart w:id="985" w:name="_Toc14601"/>
      <w:bookmarkStart w:id="986" w:name="_Toc31570"/>
      <w:bookmarkStart w:id="987" w:name="_Toc28"/>
      <w:bookmarkStart w:id="988" w:name="_Toc722"/>
      <w:bookmarkStart w:id="989" w:name="_Toc7817"/>
      <w:bookmarkStart w:id="990" w:name="_Toc496601960"/>
      <w:bookmarkStart w:id="991" w:name="_Toc14842"/>
      <w:bookmarkStart w:id="992" w:name="_Toc22217"/>
      <w:bookmarkStart w:id="993" w:name="_Toc21776"/>
      <w:bookmarkStart w:id="994" w:name="_Toc23475"/>
      <w:bookmarkStart w:id="995" w:name="_Toc13318"/>
      <w:bookmarkStart w:id="996" w:name="_Toc19749"/>
      <w:bookmarkStart w:id="997" w:name="_Toc5271"/>
      <w:bookmarkStart w:id="998" w:name="_Toc2901"/>
      <w:bookmarkStart w:id="999" w:name="_Toc30650"/>
      <w:bookmarkStart w:id="1000" w:name="_Toc28154"/>
      <w:bookmarkStart w:id="1001" w:name="_Toc15677"/>
      <w:bookmarkStart w:id="1002" w:name="_Toc8770"/>
      <w:bookmarkStart w:id="1003" w:name="_Toc2182"/>
      <w:r>
        <w:rPr>
          <w:rFonts w:hint="eastAsia"/>
          <w:color w:val="auto"/>
          <w:highlight w:val="none"/>
        </w:rPr>
        <w:t>6.评标</w:t>
      </w:r>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pPr>
        <w:pStyle w:val="5"/>
        <w:rPr>
          <w:color w:val="auto"/>
          <w:highlight w:val="none"/>
        </w:rPr>
      </w:pPr>
      <w:bookmarkStart w:id="1004" w:name="_Toc23035"/>
      <w:bookmarkStart w:id="1005" w:name="_Toc435178396"/>
      <w:bookmarkStart w:id="1006" w:name="_Toc26916"/>
      <w:bookmarkStart w:id="1007" w:name="_Toc1914"/>
      <w:bookmarkStart w:id="1008" w:name="_Toc436215754"/>
      <w:bookmarkStart w:id="1009" w:name="_Toc10656"/>
      <w:bookmarkStart w:id="1010" w:name="_Toc13010"/>
      <w:bookmarkStart w:id="1011" w:name="_Toc30258"/>
      <w:bookmarkStart w:id="1012" w:name="_Toc18079"/>
      <w:bookmarkStart w:id="1013" w:name="_Toc496601961"/>
      <w:bookmarkStart w:id="1014" w:name="_Toc26719"/>
      <w:r>
        <w:rPr>
          <w:rFonts w:hint="eastAsia"/>
          <w:color w:val="auto"/>
          <w:highlight w:val="none"/>
        </w:rPr>
        <w:t>6.1 评标委员会</w:t>
      </w:r>
      <w:bookmarkEnd w:id="1004"/>
      <w:bookmarkEnd w:id="1005"/>
      <w:bookmarkEnd w:id="1006"/>
      <w:bookmarkEnd w:id="1007"/>
      <w:bookmarkEnd w:id="1008"/>
      <w:bookmarkEnd w:id="1009"/>
      <w:bookmarkEnd w:id="1010"/>
      <w:bookmarkEnd w:id="1011"/>
      <w:bookmarkEnd w:id="1012"/>
      <w:bookmarkEnd w:id="1013"/>
      <w:bookmarkEnd w:id="1014"/>
    </w:p>
    <w:p>
      <w:pPr>
        <w:spacing w:line="360" w:lineRule="auto"/>
        <w:ind w:firstLine="420" w:firstLineChars="200"/>
        <w:rPr>
          <w:color w:val="auto"/>
          <w:highlight w:val="none"/>
        </w:rPr>
      </w:pPr>
      <w:r>
        <w:rPr>
          <w:rFonts w:hint="eastAsia"/>
          <w:color w:val="auto"/>
          <w:highlight w:val="none"/>
        </w:rPr>
        <w:t>6.1.1评标由招标人自行组建的评标委员会负责。</w:t>
      </w:r>
    </w:p>
    <w:p>
      <w:pPr>
        <w:spacing w:line="360" w:lineRule="auto"/>
        <w:ind w:firstLine="420" w:firstLineChars="200"/>
        <w:rPr>
          <w:color w:val="auto"/>
          <w:highlight w:val="none"/>
        </w:rPr>
      </w:pPr>
      <w:r>
        <w:rPr>
          <w:rFonts w:hint="eastAsia"/>
          <w:color w:val="auto"/>
          <w:highlight w:val="none"/>
        </w:rPr>
        <w:t>6.1.2 评标委员会成员有下列情形之一的，应当回避：</w:t>
      </w:r>
    </w:p>
    <w:p>
      <w:pPr>
        <w:spacing w:line="360" w:lineRule="auto"/>
        <w:ind w:firstLine="359" w:firstLineChars="171"/>
        <w:rPr>
          <w:color w:val="auto"/>
          <w:highlight w:val="none"/>
        </w:rPr>
      </w:pPr>
      <w:r>
        <w:rPr>
          <w:rFonts w:hint="eastAsia"/>
          <w:color w:val="auto"/>
          <w:highlight w:val="none"/>
        </w:rPr>
        <w:t>（1）投标人或投标人主要负责人的近亲属；</w:t>
      </w:r>
    </w:p>
    <w:p>
      <w:pPr>
        <w:spacing w:line="360" w:lineRule="auto"/>
        <w:ind w:firstLine="359" w:firstLineChars="171"/>
        <w:rPr>
          <w:color w:val="auto"/>
          <w:highlight w:val="none"/>
        </w:rPr>
      </w:pPr>
      <w:r>
        <w:rPr>
          <w:rFonts w:hint="eastAsia"/>
          <w:color w:val="auto"/>
          <w:highlight w:val="none"/>
        </w:rPr>
        <w:t>（2）监督部门的人员；</w:t>
      </w:r>
    </w:p>
    <w:p>
      <w:pPr>
        <w:spacing w:line="360" w:lineRule="auto"/>
        <w:ind w:firstLine="359" w:firstLineChars="171"/>
        <w:rPr>
          <w:color w:val="auto"/>
          <w:highlight w:val="none"/>
        </w:rPr>
      </w:pPr>
      <w:r>
        <w:rPr>
          <w:rFonts w:hint="eastAsia"/>
          <w:color w:val="auto"/>
          <w:highlight w:val="none"/>
        </w:rPr>
        <w:t>（3）</w:t>
      </w:r>
      <w:r>
        <w:rPr>
          <w:color w:val="auto"/>
          <w:highlight w:val="none"/>
        </w:rPr>
        <w:t>与投标人有经济利益关系，可能影响对投标公正评审的；</w:t>
      </w:r>
    </w:p>
    <w:p>
      <w:pPr>
        <w:spacing w:line="360" w:lineRule="auto"/>
        <w:ind w:firstLine="359" w:firstLineChars="171"/>
        <w:rPr>
          <w:color w:val="auto"/>
          <w:highlight w:val="none"/>
        </w:rPr>
      </w:pPr>
      <w:r>
        <w:rPr>
          <w:rFonts w:hint="eastAsia"/>
          <w:color w:val="auto"/>
          <w:highlight w:val="none"/>
        </w:rPr>
        <w:t>（4）曾因在招标、评标以及其他与招标投标有关活动中从事违法行为而受过行政处罚或刑事处罚的；</w:t>
      </w:r>
    </w:p>
    <w:p>
      <w:pPr>
        <w:spacing w:line="360" w:lineRule="auto"/>
        <w:ind w:firstLine="359" w:firstLineChars="171"/>
        <w:rPr>
          <w:color w:val="auto"/>
          <w:highlight w:val="none"/>
        </w:rPr>
      </w:pPr>
      <w:r>
        <w:rPr>
          <w:rFonts w:hint="eastAsia"/>
          <w:color w:val="auto"/>
          <w:highlight w:val="none"/>
        </w:rPr>
        <w:t>（5）与投标人有其他利害关系。</w:t>
      </w:r>
    </w:p>
    <w:p>
      <w:pPr>
        <w:spacing w:line="360" w:lineRule="auto"/>
        <w:ind w:firstLine="420" w:firstLineChars="200"/>
        <w:rPr>
          <w:color w:val="auto"/>
          <w:highlight w:val="none"/>
        </w:rPr>
      </w:pPr>
      <w:r>
        <w:rPr>
          <w:rFonts w:hint="eastAsia"/>
          <w:color w:val="auto"/>
          <w:highlight w:val="none"/>
        </w:rPr>
        <w:t>6.1.3</w:t>
      </w:r>
      <w:r>
        <w:rPr>
          <w:color w:val="auto"/>
          <w:highlight w:val="none"/>
        </w:rPr>
        <w:t>评标过程中，评标委员会成员有回避事由、擅离职守或者因健康等原因不能继续评标的，招标人有权更换。被更换的评标委员会成员作出的评审结论无效，由更换后的评标委员会成员重新进行评审。</w:t>
      </w:r>
    </w:p>
    <w:p>
      <w:pPr>
        <w:pStyle w:val="5"/>
        <w:rPr>
          <w:color w:val="auto"/>
          <w:highlight w:val="none"/>
        </w:rPr>
      </w:pPr>
      <w:bookmarkStart w:id="1015" w:name="_Toc487"/>
      <w:bookmarkStart w:id="1016" w:name="_Toc22745"/>
      <w:bookmarkStart w:id="1017" w:name="_Toc435178397"/>
      <w:bookmarkStart w:id="1018" w:name="_Toc12093"/>
      <w:bookmarkStart w:id="1019" w:name="_Toc436215755"/>
      <w:bookmarkStart w:id="1020" w:name="_Toc31386"/>
      <w:bookmarkStart w:id="1021" w:name="_Toc28990"/>
      <w:bookmarkStart w:id="1022" w:name="_Toc6886"/>
      <w:bookmarkStart w:id="1023" w:name="_Toc16592"/>
      <w:bookmarkStart w:id="1024" w:name="_Toc496601962"/>
      <w:bookmarkStart w:id="1025" w:name="_Toc4800"/>
      <w:r>
        <w:rPr>
          <w:rFonts w:hint="eastAsia"/>
          <w:color w:val="auto"/>
          <w:highlight w:val="none"/>
        </w:rPr>
        <w:t>6.2 评标原则</w:t>
      </w:r>
      <w:bookmarkEnd w:id="1015"/>
      <w:bookmarkEnd w:id="1016"/>
      <w:bookmarkEnd w:id="1017"/>
      <w:bookmarkEnd w:id="1018"/>
      <w:bookmarkEnd w:id="1019"/>
      <w:bookmarkEnd w:id="1020"/>
      <w:bookmarkEnd w:id="1021"/>
      <w:bookmarkEnd w:id="1022"/>
      <w:bookmarkEnd w:id="1023"/>
      <w:bookmarkEnd w:id="1024"/>
      <w:bookmarkEnd w:id="1025"/>
    </w:p>
    <w:p>
      <w:pPr>
        <w:spacing w:line="360" w:lineRule="auto"/>
        <w:ind w:firstLine="420" w:firstLineChars="200"/>
        <w:rPr>
          <w:color w:val="auto"/>
          <w:highlight w:val="none"/>
        </w:rPr>
      </w:pPr>
      <w:r>
        <w:rPr>
          <w:rFonts w:hint="eastAsia"/>
          <w:color w:val="auto"/>
          <w:highlight w:val="none"/>
        </w:rPr>
        <w:t>评标活动遵循公平、公正、科学和择优的原则。</w:t>
      </w:r>
    </w:p>
    <w:p>
      <w:pPr>
        <w:pStyle w:val="5"/>
        <w:rPr>
          <w:color w:val="auto"/>
          <w:highlight w:val="none"/>
        </w:rPr>
      </w:pPr>
      <w:bookmarkStart w:id="1026" w:name="_Toc866"/>
      <w:bookmarkStart w:id="1027" w:name="_Toc436215756"/>
      <w:bookmarkStart w:id="1028" w:name="_Toc435178398"/>
      <w:bookmarkStart w:id="1029" w:name="_Toc267"/>
      <w:bookmarkStart w:id="1030" w:name="_Toc496601963"/>
      <w:bookmarkStart w:id="1031" w:name="_Toc526"/>
      <w:bookmarkStart w:id="1032" w:name="_Toc28814"/>
      <w:bookmarkStart w:id="1033" w:name="_Toc3429"/>
      <w:bookmarkStart w:id="1034" w:name="_Toc26706"/>
      <w:bookmarkStart w:id="1035" w:name="_Toc14053"/>
      <w:bookmarkStart w:id="1036" w:name="_Toc4000"/>
      <w:r>
        <w:rPr>
          <w:rFonts w:hint="eastAsia"/>
          <w:color w:val="auto"/>
          <w:highlight w:val="none"/>
        </w:rPr>
        <w:t>6.3 评标</w:t>
      </w:r>
      <w:bookmarkEnd w:id="1026"/>
      <w:bookmarkEnd w:id="1027"/>
      <w:bookmarkEnd w:id="1028"/>
      <w:bookmarkEnd w:id="1029"/>
      <w:bookmarkEnd w:id="1030"/>
      <w:bookmarkEnd w:id="1031"/>
      <w:bookmarkEnd w:id="1032"/>
      <w:bookmarkEnd w:id="1033"/>
      <w:bookmarkEnd w:id="1034"/>
      <w:bookmarkEnd w:id="1035"/>
      <w:bookmarkEnd w:id="1036"/>
    </w:p>
    <w:p>
      <w:pPr>
        <w:spacing w:line="360" w:lineRule="auto"/>
        <w:ind w:firstLine="420" w:firstLineChars="200"/>
        <w:rPr>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pPr>
        <w:widowControl/>
        <w:spacing w:line="360" w:lineRule="auto"/>
        <w:ind w:firstLine="422" w:firstLineChars="200"/>
        <w:jc w:val="left"/>
        <w:rPr>
          <w:color w:val="auto"/>
          <w:highlight w:val="none"/>
        </w:rPr>
      </w:pPr>
      <w:r>
        <w:rPr>
          <w:rFonts w:hint="eastAsia"/>
          <w:b/>
          <w:bCs/>
          <w:color w:val="auto"/>
          <w:highlight w:val="none"/>
          <w:lang w:bidi="ar"/>
        </w:rPr>
        <w:t>说明：当本项目只有两家有效投标人时，若评标委员会认定有效投标人之间仍具有竞争力，则继续按照招标文件中规定的各项因素进行综合评审，并按定标原则推荐1名中标候选人；当只有一家有效投标人时，则本项目作废标处理。</w:t>
      </w:r>
    </w:p>
    <w:p>
      <w:pPr>
        <w:pStyle w:val="4"/>
        <w:spacing w:line="360" w:lineRule="auto"/>
        <w:rPr>
          <w:color w:val="auto"/>
          <w:highlight w:val="none"/>
        </w:rPr>
      </w:pPr>
      <w:bookmarkStart w:id="1037" w:name="_Toc30101"/>
      <w:bookmarkStart w:id="1038" w:name="_Toc30477"/>
      <w:bookmarkStart w:id="1039" w:name="_Toc22537"/>
      <w:bookmarkStart w:id="1040" w:name="_Toc17844"/>
      <w:bookmarkStart w:id="1041" w:name="_Toc435178399"/>
      <w:bookmarkStart w:id="1042" w:name="_Toc16522"/>
      <w:bookmarkStart w:id="1043" w:name="_Toc29632"/>
      <w:bookmarkStart w:id="1044" w:name="_Toc6254"/>
      <w:bookmarkStart w:id="1045" w:name="_Toc447"/>
      <w:bookmarkStart w:id="1046" w:name="_Toc22322"/>
      <w:bookmarkStart w:id="1047" w:name="_Toc29367"/>
      <w:bookmarkStart w:id="1048" w:name="_Toc496601964"/>
      <w:bookmarkStart w:id="1049" w:name="_Toc30093"/>
      <w:bookmarkStart w:id="1050" w:name="_Toc23677"/>
      <w:bookmarkStart w:id="1051" w:name="_Toc24601"/>
      <w:bookmarkStart w:id="1052" w:name="_Toc7526"/>
      <w:bookmarkStart w:id="1053" w:name="_Toc30572"/>
      <w:bookmarkStart w:id="1054" w:name="_Toc4576"/>
      <w:bookmarkStart w:id="1055" w:name="_Toc5767"/>
      <w:bookmarkStart w:id="1056" w:name="_Toc14673"/>
      <w:bookmarkStart w:id="1057" w:name="_Toc31043"/>
      <w:bookmarkStart w:id="1058" w:name="_Toc1809"/>
      <w:bookmarkStart w:id="1059" w:name="_Toc11025"/>
      <w:bookmarkStart w:id="1060" w:name="_Toc14178"/>
      <w:bookmarkStart w:id="1061" w:name="_Toc436215757"/>
      <w:bookmarkStart w:id="1062" w:name="_Toc5860"/>
      <w:r>
        <w:rPr>
          <w:rFonts w:hint="eastAsia"/>
          <w:color w:val="auto"/>
          <w:highlight w:val="none"/>
        </w:rPr>
        <w:t>7. 合同授予</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pPr>
        <w:pStyle w:val="5"/>
        <w:rPr>
          <w:color w:val="auto"/>
          <w:highlight w:val="none"/>
        </w:rPr>
      </w:pPr>
      <w:bookmarkStart w:id="1063" w:name="_Toc20272"/>
      <w:bookmarkStart w:id="1064" w:name="_Toc18136"/>
      <w:bookmarkStart w:id="1065" w:name="_Toc27978"/>
      <w:bookmarkStart w:id="1066" w:name="_Toc10800"/>
      <w:bookmarkStart w:id="1067" w:name="_Toc436215758"/>
      <w:bookmarkStart w:id="1068" w:name="_Toc496601965"/>
      <w:bookmarkStart w:id="1069" w:name="_Toc7005"/>
      <w:bookmarkStart w:id="1070" w:name="_Toc26910"/>
      <w:bookmarkStart w:id="1071" w:name="_Toc18233"/>
      <w:bookmarkStart w:id="1072" w:name="_Toc15764"/>
      <w:bookmarkStart w:id="1073" w:name="_Toc435178400"/>
      <w:r>
        <w:rPr>
          <w:rFonts w:hint="eastAsia"/>
          <w:color w:val="auto"/>
          <w:highlight w:val="none"/>
        </w:rPr>
        <w:t>7.1 定标方式</w:t>
      </w:r>
      <w:bookmarkEnd w:id="1063"/>
      <w:bookmarkEnd w:id="1064"/>
      <w:bookmarkEnd w:id="1065"/>
      <w:bookmarkEnd w:id="1066"/>
      <w:bookmarkEnd w:id="1067"/>
      <w:bookmarkEnd w:id="1068"/>
      <w:bookmarkEnd w:id="1069"/>
      <w:bookmarkEnd w:id="1070"/>
      <w:bookmarkEnd w:id="1071"/>
      <w:bookmarkEnd w:id="1072"/>
      <w:bookmarkEnd w:id="1073"/>
    </w:p>
    <w:p>
      <w:pPr>
        <w:pStyle w:val="2"/>
        <w:spacing w:line="360" w:lineRule="auto"/>
        <w:ind w:firstLineChars="200"/>
        <w:rPr>
          <w:rFonts w:hint="eastAsia"/>
          <w:color w:val="auto"/>
          <w:highlight w:val="none"/>
        </w:rPr>
      </w:pPr>
      <w:r>
        <w:rPr>
          <w:rFonts w:hint="eastAsia"/>
          <w:color w:val="auto"/>
          <w:highlight w:val="none"/>
        </w:rPr>
        <w:t>招标人依据评标委员会推荐的中标候选人确定中标人。</w:t>
      </w:r>
    </w:p>
    <w:p>
      <w:pPr>
        <w:pStyle w:val="5"/>
        <w:rPr>
          <w:color w:val="auto"/>
          <w:highlight w:val="none"/>
        </w:rPr>
      </w:pPr>
      <w:bookmarkStart w:id="1074" w:name="_Toc19284"/>
      <w:bookmarkStart w:id="1075" w:name="_Toc6"/>
      <w:bookmarkStart w:id="1076" w:name="_Toc435178401"/>
      <w:bookmarkStart w:id="1077" w:name="_Toc7751"/>
      <w:bookmarkStart w:id="1078" w:name="_Toc3248"/>
      <w:bookmarkStart w:id="1079" w:name="_Toc496601966"/>
      <w:bookmarkStart w:id="1080" w:name="_Toc15487"/>
      <w:bookmarkStart w:id="1081" w:name="_Toc436215759"/>
      <w:bookmarkStart w:id="1082" w:name="_Toc28703"/>
      <w:bookmarkStart w:id="1083" w:name="_Toc15354"/>
      <w:bookmarkStart w:id="1084" w:name="_Toc32696"/>
      <w:r>
        <w:rPr>
          <w:rFonts w:hint="eastAsia"/>
          <w:color w:val="auto"/>
          <w:highlight w:val="none"/>
        </w:rPr>
        <w:t>7.2 中标候选人公示</w:t>
      </w:r>
      <w:bookmarkEnd w:id="1074"/>
      <w:bookmarkEnd w:id="1075"/>
      <w:bookmarkEnd w:id="1076"/>
      <w:bookmarkEnd w:id="1077"/>
      <w:bookmarkEnd w:id="1078"/>
      <w:bookmarkEnd w:id="1079"/>
      <w:bookmarkEnd w:id="1080"/>
      <w:bookmarkEnd w:id="1081"/>
      <w:bookmarkEnd w:id="1082"/>
      <w:bookmarkEnd w:id="1083"/>
      <w:bookmarkEnd w:id="1084"/>
    </w:p>
    <w:p>
      <w:pPr>
        <w:spacing w:line="360" w:lineRule="auto"/>
        <w:ind w:firstLine="420" w:firstLineChars="200"/>
        <w:jc w:val="left"/>
        <w:rPr>
          <w:color w:val="auto"/>
          <w:kern w:val="0"/>
          <w:sz w:val="24"/>
          <w:highlight w:val="none"/>
        </w:rPr>
      </w:pPr>
      <w:r>
        <w:rPr>
          <w:rFonts w:hint="eastAsia"/>
          <w:color w:val="auto"/>
          <w:highlight w:val="none"/>
        </w:rPr>
        <w:t>招标人在投标人须知前附表规定的媒介公示中标候选人，公示期3个工作日。</w:t>
      </w:r>
    </w:p>
    <w:p>
      <w:pPr>
        <w:pStyle w:val="5"/>
        <w:rPr>
          <w:color w:val="auto"/>
          <w:highlight w:val="none"/>
        </w:rPr>
      </w:pPr>
      <w:bookmarkStart w:id="1085" w:name="_Toc7539"/>
      <w:bookmarkStart w:id="1086" w:name="_Toc31302"/>
      <w:bookmarkStart w:id="1087" w:name="_Toc3232"/>
      <w:bookmarkStart w:id="1088" w:name="_Toc7304"/>
      <w:bookmarkStart w:id="1089" w:name="_Toc11660"/>
      <w:bookmarkStart w:id="1090" w:name="_Toc16416"/>
      <w:bookmarkStart w:id="1091" w:name="_Toc25613"/>
      <w:bookmarkStart w:id="1092" w:name="_Toc1689"/>
      <w:r>
        <w:rPr>
          <w:color w:val="auto"/>
          <w:highlight w:val="none"/>
        </w:rPr>
        <w:t>7.</w:t>
      </w:r>
      <w:r>
        <w:rPr>
          <w:rFonts w:hint="eastAsia"/>
          <w:color w:val="auto"/>
          <w:highlight w:val="none"/>
        </w:rPr>
        <w:t>3</w:t>
      </w:r>
      <w:r>
        <w:rPr>
          <w:color w:val="auto"/>
          <w:highlight w:val="none"/>
        </w:rPr>
        <w:t xml:space="preserve"> 评标结果异议</w:t>
      </w:r>
      <w:bookmarkEnd w:id="1085"/>
      <w:bookmarkEnd w:id="1086"/>
      <w:bookmarkEnd w:id="1087"/>
      <w:bookmarkEnd w:id="1088"/>
      <w:bookmarkEnd w:id="1089"/>
      <w:bookmarkEnd w:id="1090"/>
      <w:bookmarkEnd w:id="1091"/>
      <w:bookmarkEnd w:id="1092"/>
    </w:p>
    <w:p>
      <w:pPr>
        <w:spacing w:line="360" w:lineRule="auto"/>
        <w:ind w:firstLine="420" w:firstLineChars="200"/>
        <w:rPr>
          <w:rFonts w:hint="eastAsia" w:ascii="宋体" w:hAnsi="宋体" w:cs="宋体"/>
          <w:color w:val="auto"/>
          <w:kern w:val="0"/>
          <w:szCs w:val="21"/>
          <w:highlight w:val="none"/>
        </w:rPr>
      </w:pPr>
      <w:r>
        <w:rPr>
          <w:rFonts w:ascii="宋体" w:hAnsi="宋体" w:cs="宋体"/>
          <w:color w:val="auto"/>
          <w:kern w:val="0"/>
          <w:szCs w:val="21"/>
          <w:highlight w:val="none"/>
        </w:rPr>
        <w:t>投标人或者其他利害关系人对评标结果有异议的，应当在中标候选人公示期间提出。招标人作出答复前，将暂停招标投标活动。</w:t>
      </w:r>
    </w:p>
    <w:p>
      <w:pPr>
        <w:pStyle w:val="5"/>
        <w:rPr>
          <w:color w:val="auto"/>
          <w:highlight w:val="none"/>
        </w:rPr>
      </w:pPr>
      <w:bookmarkStart w:id="1093" w:name="_Toc3455"/>
      <w:bookmarkStart w:id="1094" w:name="_Toc16557"/>
      <w:bookmarkStart w:id="1095" w:name="_Toc11364"/>
      <w:bookmarkStart w:id="1096" w:name="_Toc22896"/>
      <w:bookmarkStart w:id="1097" w:name="_Toc14818"/>
      <w:bookmarkStart w:id="1098" w:name="_Toc2874"/>
      <w:bookmarkStart w:id="1099" w:name="_Toc18276"/>
      <w:bookmarkStart w:id="1100" w:name="_Toc27890"/>
      <w:r>
        <w:rPr>
          <w:rFonts w:hint="eastAsia"/>
          <w:color w:val="auto"/>
          <w:highlight w:val="none"/>
        </w:rPr>
        <w:t>7.4中标候选人履约能力审查</w:t>
      </w:r>
      <w:bookmarkEnd w:id="1093"/>
      <w:bookmarkEnd w:id="1094"/>
      <w:bookmarkEnd w:id="1095"/>
      <w:bookmarkEnd w:id="1096"/>
      <w:bookmarkEnd w:id="1097"/>
      <w:bookmarkEnd w:id="1098"/>
      <w:bookmarkEnd w:id="1099"/>
      <w:bookmarkEnd w:id="1100"/>
      <w:r>
        <w:rPr>
          <w:rFonts w:hint="eastAsia"/>
          <w:color w:val="auto"/>
          <w:highlight w:val="none"/>
        </w:rPr>
        <w:t xml:space="preserve"> </w:t>
      </w:r>
    </w:p>
    <w:p>
      <w:pPr>
        <w:spacing w:line="360" w:lineRule="auto"/>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中标候选人的经营、财务状况发生较大变化或存在违法行为，招标人认为可能影响其履约能力的，将在发出中标通知书前提请原评委员会按照招标文件规定的标准和方法进行审查确认</w:t>
      </w:r>
      <w:bookmarkStart w:id="1101" w:name="_Toc435178402"/>
      <w:bookmarkStart w:id="1102" w:name="_Toc496601967"/>
      <w:bookmarkStart w:id="1103" w:name="_Toc436215760"/>
      <w:r>
        <w:rPr>
          <w:rFonts w:hint="eastAsia" w:ascii="宋体" w:hAnsi="宋体" w:cs="宋体"/>
          <w:color w:val="auto"/>
          <w:kern w:val="0"/>
          <w:szCs w:val="21"/>
          <w:highlight w:val="none"/>
        </w:rPr>
        <w:t>。</w:t>
      </w:r>
    </w:p>
    <w:p>
      <w:pPr>
        <w:pStyle w:val="5"/>
        <w:rPr>
          <w:color w:val="auto"/>
          <w:highlight w:val="none"/>
        </w:rPr>
      </w:pPr>
      <w:bookmarkStart w:id="1104" w:name="_Toc31667"/>
      <w:bookmarkStart w:id="1105" w:name="_Toc10126"/>
      <w:bookmarkStart w:id="1106" w:name="_Toc25627"/>
      <w:bookmarkStart w:id="1107" w:name="_Toc11118"/>
      <w:bookmarkStart w:id="1108" w:name="_Toc27571"/>
      <w:bookmarkStart w:id="1109" w:name="_Toc16806"/>
      <w:bookmarkStart w:id="1110" w:name="_Toc21125"/>
      <w:bookmarkStart w:id="1111" w:name="_Toc25459"/>
      <w:r>
        <w:rPr>
          <w:rFonts w:hint="eastAsia"/>
          <w:color w:val="auto"/>
          <w:highlight w:val="none"/>
        </w:rPr>
        <w:t>7.5 中标通知</w:t>
      </w:r>
      <w:bookmarkEnd w:id="1101"/>
      <w:bookmarkEnd w:id="1102"/>
      <w:bookmarkEnd w:id="1103"/>
      <w:bookmarkEnd w:id="1104"/>
      <w:bookmarkEnd w:id="1105"/>
      <w:bookmarkEnd w:id="1106"/>
      <w:bookmarkEnd w:id="1107"/>
      <w:bookmarkEnd w:id="1108"/>
      <w:bookmarkEnd w:id="1109"/>
      <w:bookmarkEnd w:id="1110"/>
      <w:bookmarkEnd w:id="1111"/>
    </w:p>
    <w:p>
      <w:pPr>
        <w:spacing w:line="360" w:lineRule="auto"/>
        <w:ind w:firstLine="420" w:firstLineChars="200"/>
        <w:rPr>
          <w:color w:val="auto"/>
          <w:highlight w:val="none"/>
        </w:rPr>
      </w:pPr>
      <w:r>
        <w:rPr>
          <w:rFonts w:hint="eastAsia"/>
          <w:color w:val="auto"/>
          <w:highlight w:val="none"/>
        </w:rPr>
        <w:t>在本章第3.3款规定的投标有效期内，招标人以书面形式向中标人发出中标通知书。</w:t>
      </w:r>
    </w:p>
    <w:p>
      <w:pPr>
        <w:pStyle w:val="5"/>
        <w:rPr>
          <w:color w:val="auto"/>
          <w:highlight w:val="none"/>
        </w:rPr>
      </w:pPr>
      <w:bookmarkStart w:id="1112" w:name="_Toc2530"/>
      <w:bookmarkStart w:id="1113" w:name="_Toc496601968"/>
      <w:bookmarkStart w:id="1114" w:name="_Toc8599"/>
      <w:bookmarkStart w:id="1115" w:name="_Toc435178403"/>
      <w:bookmarkStart w:id="1116" w:name="_Toc21178"/>
      <w:bookmarkStart w:id="1117" w:name="_Toc27622"/>
      <w:bookmarkStart w:id="1118" w:name="_Toc29882"/>
      <w:bookmarkStart w:id="1119" w:name="_Toc436215761"/>
      <w:bookmarkStart w:id="1120" w:name="_Toc17903"/>
      <w:bookmarkStart w:id="1121" w:name="_Toc718"/>
      <w:bookmarkStart w:id="1122" w:name="_Toc12449"/>
      <w:r>
        <w:rPr>
          <w:rFonts w:hint="eastAsia"/>
          <w:color w:val="auto"/>
          <w:highlight w:val="none"/>
        </w:rPr>
        <w:t>7.6 签订合同</w:t>
      </w:r>
      <w:bookmarkEnd w:id="1112"/>
      <w:bookmarkEnd w:id="1113"/>
      <w:bookmarkEnd w:id="1114"/>
      <w:bookmarkEnd w:id="1115"/>
      <w:bookmarkEnd w:id="1116"/>
      <w:bookmarkEnd w:id="1117"/>
      <w:bookmarkEnd w:id="1118"/>
      <w:bookmarkEnd w:id="1119"/>
      <w:bookmarkEnd w:id="1120"/>
      <w:bookmarkEnd w:id="1121"/>
      <w:bookmarkEnd w:id="1122"/>
    </w:p>
    <w:p>
      <w:pPr>
        <w:spacing w:line="360" w:lineRule="auto"/>
        <w:ind w:firstLine="420" w:firstLineChars="200"/>
        <w:rPr>
          <w:color w:val="auto"/>
          <w:highlight w:val="none"/>
        </w:rPr>
      </w:pPr>
      <w:r>
        <w:rPr>
          <w:rFonts w:hint="eastAsia"/>
          <w:color w:val="auto"/>
          <w:highlight w:val="none"/>
        </w:rPr>
        <w:t>7.6.1招标人和中标人应当自中标通知书发出之日起30天内，根据招标文件和中标人的投标文件订立书面合同。</w:t>
      </w:r>
      <w:r>
        <w:rPr>
          <w:color w:val="auto"/>
          <w:highlight w:val="none"/>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360" w:lineRule="auto"/>
        <w:ind w:firstLine="420" w:firstLineChars="200"/>
        <w:rPr>
          <w:color w:val="auto"/>
          <w:highlight w:val="none"/>
        </w:rPr>
      </w:pPr>
      <w:r>
        <w:rPr>
          <w:color w:val="auto"/>
          <w:highlight w:val="none"/>
        </w:rPr>
        <w:t>7.</w:t>
      </w:r>
      <w:r>
        <w:rPr>
          <w:rFonts w:hint="eastAsia"/>
          <w:color w:val="auto"/>
          <w:highlight w:val="none"/>
        </w:rPr>
        <w:t>6</w:t>
      </w:r>
      <w:r>
        <w:rPr>
          <w:color w:val="auto"/>
          <w:highlight w:val="none"/>
        </w:rPr>
        <w:t>.</w:t>
      </w:r>
      <w:r>
        <w:rPr>
          <w:rFonts w:hint="eastAsia"/>
          <w:color w:val="auto"/>
          <w:highlight w:val="none"/>
        </w:rPr>
        <w:t>2</w:t>
      </w:r>
      <w:r>
        <w:rPr>
          <w:color w:val="auto"/>
          <w:highlight w:val="none"/>
        </w:rPr>
        <w:t xml:space="preserve"> 发出中标通知书后，招标人无正当理由拒签合同，或者在签订合同时向中标人提出附加条件的，招标人向中标人退还投标保证金；给中标人造成损失的，还应当赔偿损失。</w:t>
      </w:r>
    </w:p>
    <w:p>
      <w:pPr>
        <w:pStyle w:val="4"/>
        <w:spacing w:line="360" w:lineRule="auto"/>
        <w:rPr>
          <w:color w:val="auto"/>
          <w:highlight w:val="none"/>
        </w:rPr>
      </w:pPr>
      <w:bookmarkStart w:id="1123" w:name="_Toc496601969"/>
      <w:bookmarkStart w:id="1124" w:name="_Toc4573"/>
      <w:bookmarkStart w:id="1125" w:name="_Toc27218"/>
      <w:bookmarkStart w:id="1126" w:name="_Toc2513"/>
      <w:bookmarkStart w:id="1127" w:name="_Toc20949"/>
      <w:bookmarkStart w:id="1128" w:name="_Toc26923"/>
      <w:bookmarkStart w:id="1129" w:name="_Toc29392"/>
      <w:bookmarkStart w:id="1130" w:name="_Toc436215762"/>
      <w:bookmarkStart w:id="1131" w:name="_Toc28498"/>
      <w:bookmarkStart w:id="1132" w:name="_Toc18503"/>
      <w:bookmarkStart w:id="1133" w:name="_Toc23109"/>
      <w:bookmarkStart w:id="1134" w:name="_Toc1091"/>
      <w:bookmarkStart w:id="1135" w:name="_Toc9870"/>
      <w:bookmarkStart w:id="1136" w:name="_Toc23862"/>
      <w:bookmarkStart w:id="1137" w:name="_Toc5733"/>
      <w:bookmarkStart w:id="1138" w:name="_Toc9971"/>
      <w:bookmarkStart w:id="1139" w:name="_Toc32213"/>
      <w:bookmarkStart w:id="1140" w:name="_Toc9620"/>
      <w:bookmarkStart w:id="1141" w:name="_Toc30804"/>
      <w:bookmarkStart w:id="1142" w:name="_Toc435178404"/>
      <w:bookmarkStart w:id="1143" w:name="_Toc4479"/>
      <w:bookmarkStart w:id="1144" w:name="_Toc2097"/>
      <w:bookmarkStart w:id="1145" w:name="_Toc12474"/>
      <w:bookmarkStart w:id="1146" w:name="_Toc15384"/>
      <w:bookmarkStart w:id="1147" w:name="_Toc20614"/>
      <w:bookmarkStart w:id="1148" w:name="_Toc29724"/>
      <w:r>
        <w:rPr>
          <w:rFonts w:hint="eastAsia"/>
          <w:color w:val="auto"/>
          <w:highlight w:val="none"/>
        </w:rPr>
        <w:t>8. 纪律和监督</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pPr>
        <w:pStyle w:val="5"/>
        <w:rPr>
          <w:color w:val="auto"/>
          <w:highlight w:val="none"/>
        </w:rPr>
      </w:pPr>
      <w:bookmarkStart w:id="1149" w:name="_Toc435178405"/>
      <w:bookmarkStart w:id="1150" w:name="_Toc13907"/>
      <w:bookmarkStart w:id="1151" w:name="_Toc4629"/>
      <w:bookmarkStart w:id="1152" w:name="_Toc30809"/>
      <w:bookmarkStart w:id="1153" w:name="_Toc496601970"/>
      <w:bookmarkStart w:id="1154" w:name="_Toc436215763"/>
      <w:bookmarkStart w:id="1155" w:name="_Toc27469"/>
      <w:bookmarkStart w:id="1156" w:name="_Toc11229"/>
      <w:bookmarkStart w:id="1157" w:name="_Toc20648"/>
      <w:bookmarkStart w:id="1158" w:name="_Toc5227"/>
      <w:bookmarkStart w:id="1159" w:name="_Toc29324"/>
      <w:r>
        <w:rPr>
          <w:rFonts w:hint="eastAsia"/>
          <w:color w:val="auto"/>
          <w:highlight w:val="none"/>
        </w:rPr>
        <w:t>8.1 对招标人的纪律要求</w:t>
      </w:r>
      <w:bookmarkEnd w:id="1149"/>
      <w:bookmarkEnd w:id="1150"/>
      <w:bookmarkEnd w:id="1151"/>
      <w:bookmarkEnd w:id="1152"/>
      <w:bookmarkEnd w:id="1153"/>
      <w:bookmarkEnd w:id="1154"/>
      <w:bookmarkEnd w:id="1155"/>
      <w:bookmarkEnd w:id="1156"/>
      <w:bookmarkEnd w:id="1157"/>
      <w:bookmarkEnd w:id="1158"/>
      <w:bookmarkEnd w:id="1159"/>
    </w:p>
    <w:p>
      <w:pPr>
        <w:spacing w:line="360" w:lineRule="auto"/>
        <w:ind w:firstLine="420" w:firstLineChars="200"/>
        <w:rPr>
          <w:color w:val="auto"/>
          <w:highlight w:val="none"/>
        </w:rPr>
      </w:pPr>
      <w:r>
        <w:rPr>
          <w:rFonts w:hint="eastAsia"/>
          <w:color w:val="auto"/>
          <w:highlight w:val="none"/>
        </w:rPr>
        <w:t>招标人不得泄漏招标投标活动中应当保密的情况和资料，</w:t>
      </w:r>
      <w:r>
        <w:rPr>
          <w:color w:val="auto"/>
          <w:highlight w:val="none"/>
        </w:rPr>
        <w:t>不得与投标人串通损害国家利益、社会公共利益或者他人合法权益。</w:t>
      </w:r>
    </w:p>
    <w:p>
      <w:pPr>
        <w:pStyle w:val="5"/>
        <w:rPr>
          <w:color w:val="auto"/>
          <w:highlight w:val="none"/>
        </w:rPr>
      </w:pPr>
      <w:bookmarkStart w:id="1160" w:name="_Toc436215764"/>
      <w:bookmarkStart w:id="1161" w:name="_Toc435178406"/>
      <w:bookmarkStart w:id="1162" w:name="_Toc496601971"/>
      <w:bookmarkStart w:id="1163" w:name="_Toc29076"/>
      <w:bookmarkStart w:id="1164" w:name="_Toc20258"/>
      <w:bookmarkStart w:id="1165" w:name="_Toc31890"/>
      <w:bookmarkStart w:id="1166" w:name="_Toc13168"/>
      <w:bookmarkStart w:id="1167" w:name="_Toc26759"/>
      <w:bookmarkStart w:id="1168" w:name="_Toc16298"/>
      <w:bookmarkStart w:id="1169" w:name="_Toc21405"/>
      <w:bookmarkStart w:id="1170" w:name="_Toc10676"/>
      <w:r>
        <w:rPr>
          <w:rFonts w:hint="eastAsia"/>
          <w:color w:val="auto"/>
          <w:highlight w:val="none"/>
        </w:rPr>
        <w:t>8.2 对投标人的</w:t>
      </w:r>
      <w:bookmarkEnd w:id="1160"/>
      <w:bookmarkEnd w:id="1161"/>
      <w:bookmarkEnd w:id="1162"/>
      <w:r>
        <w:rPr>
          <w:rFonts w:hint="eastAsia"/>
          <w:color w:val="auto"/>
          <w:highlight w:val="none"/>
        </w:rPr>
        <w:t>纪律要求</w:t>
      </w:r>
      <w:bookmarkEnd w:id="1163"/>
      <w:bookmarkEnd w:id="1164"/>
      <w:bookmarkEnd w:id="1165"/>
      <w:bookmarkEnd w:id="1166"/>
      <w:bookmarkEnd w:id="1167"/>
      <w:bookmarkEnd w:id="1168"/>
      <w:bookmarkEnd w:id="1169"/>
      <w:bookmarkEnd w:id="1170"/>
    </w:p>
    <w:p>
      <w:pPr>
        <w:spacing w:line="360" w:lineRule="auto"/>
        <w:ind w:firstLine="420" w:firstLineChars="200"/>
        <w:rPr>
          <w:color w:val="auto"/>
          <w:highlight w:val="none"/>
        </w:rPr>
      </w:pPr>
      <w:r>
        <w:rPr>
          <w:rFonts w:hint="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5"/>
        <w:rPr>
          <w:color w:val="auto"/>
          <w:highlight w:val="none"/>
        </w:rPr>
      </w:pPr>
      <w:bookmarkStart w:id="1171" w:name="_Toc496601972"/>
      <w:bookmarkStart w:id="1172" w:name="_Toc435178407"/>
      <w:bookmarkStart w:id="1173" w:name="_Toc436215765"/>
      <w:bookmarkStart w:id="1174" w:name="_Toc22383"/>
      <w:bookmarkStart w:id="1175" w:name="_Toc1391"/>
      <w:bookmarkStart w:id="1176" w:name="_Toc14338"/>
      <w:bookmarkStart w:id="1177" w:name="_Toc25814"/>
      <w:bookmarkStart w:id="1178" w:name="_Toc31103"/>
      <w:bookmarkStart w:id="1179" w:name="_Toc28697"/>
      <w:bookmarkStart w:id="1180" w:name="_Toc14521"/>
      <w:bookmarkStart w:id="1181" w:name="_Toc10118"/>
      <w:r>
        <w:rPr>
          <w:rFonts w:hint="eastAsia"/>
          <w:color w:val="auto"/>
          <w:highlight w:val="none"/>
        </w:rPr>
        <w:t>8.3 对评标委员会成员的</w:t>
      </w:r>
      <w:bookmarkEnd w:id="1171"/>
      <w:bookmarkEnd w:id="1172"/>
      <w:bookmarkEnd w:id="1173"/>
      <w:r>
        <w:rPr>
          <w:rFonts w:hint="eastAsia"/>
          <w:color w:val="auto"/>
          <w:highlight w:val="none"/>
        </w:rPr>
        <w:t>纪律要求</w:t>
      </w:r>
      <w:bookmarkEnd w:id="1174"/>
      <w:bookmarkEnd w:id="1175"/>
      <w:bookmarkEnd w:id="1176"/>
      <w:bookmarkEnd w:id="1177"/>
      <w:bookmarkEnd w:id="1178"/>
      <w:bookmarkEnd w:id="1179"/>
      <w:bookmarkEnd w:id="1180"/>
      <w:bookmarkEnd w:id="1181"/>
    </w:p>
    <w:p>
      <w:pPr>
        <w:pStyle w:val="2"/>
        <w:spacing w:line="360" w:lineRule="auto"/>
        <w:ind w:firstLineChars="200"/>
        <w:rPr>
          <w:rFonts w:hint="eastAsia"/>
          <w:color w:val="auto"/>
          <w:highlight w:val="none"/>
        </w:rPr>
      </w:pPr>
      <w:r>
        <w:rPr>
          <w:rFonts w:hint="eastAsia"/>
          <w:color w:val="auto"/>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标准进行评标。</w:t>
      </w:r>
    </w:p>
    <w:p>
      <w:pPr>
        <w:pStyle w:val="5"/>
        <w:rPr>
          <w:color w:val="auto"/>
          <w:highlight w:val="none"/>
        </w:rPr>
      </w:pPr>
      <w:bookmarkStart w:id="1182" w:name="_Toc435178408"/>
      <w:bookmarkStart w:id="1183" w:name="_Toc496601973"/>
      <w:bookmarkStart w:id="1184" w:name="_Toc436215766"/>
      <w:bookmarkStart w:id="1185" w:name="_Toc8143"/>
      <w:bookmarkStart w:id="1186" w:name="_Toc31384"/>
      <w:bookmarkStart w:id="1187" w:name="_Toc23"/>
      <w:bookmarkStart w:id="1188" w:name="_Toc26607"/>
      <w:bookmarkStart w:id="1189" w:name="_Toc8358"/>
      <w:bookmarkStart w:id="1190" w:name="_Toc7400"/>
      <w:bookmarkStart w:id="1191" w:name="_Toc5869"/>
      <w:bookmarkStart w:id="1192" w:name="_Toc24528"/>
      <w:r>
        <w:rPr>
          <w:rFonts w:hint="eastAsia"/>
          <w:color w:val="auto"/>
          <w:highlight w:val="none"/>
        </w:rPr>
        <w:t>8.4 对与评标活动有关的工作人员的</w:t>
      </w:r>
      <w:bookmarkEnd w:id="1182"/>
      <w:bookmarkEnd w:id="1183"/>
      <w:bookmarkEnd w:id="1184"/>
      <w:r>
        <w:rPr>
          <w:rFonts w:hint="eastAsia"/>
          <w:color w:val="auto"/>
          <w:highlight w:val="none"/>
        </w:rPr>
        <w:t>纪律要求</w:t>
      </w:r>
      <w:bookmarkEnd w:id="1185"/>
      <w:bookmarkEnd w:id="1186"/>
      <w:bookmarkEnd w:id="1187"/>
      <w:bookmarkEnd w:id="1188"/>
      <w:bookmarkEnd w:id="1189"/>
      <w:bookmarkEnd w:id="1190"/>
      <w:bookmarkEnd w:id="1191"/>
      <w:bookmarkEnd w:id="1192"/>
    </w:p>
    <w:p>
      <w:pPr>
        <w:pStyle w:val="2"/>
        <w:spacing w:line="360" w:lineRule="auto"/>
        <w:ind w:firstLineChars="200"/>
        <w:rPr>
          <w:rFonts w:hint="eastAsia"/>
          <w:color w:val="auto"/>
          <w:highlight w:val="none"/>
        </w:rPr>
      </w:pPr>
      <w:r>
        <w:rPr>
          <w:rFonts w:hint="eastAsia"/>
          <w:color w:val="auto"/>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5"/>
        <w:rPr>
          <w:color w:val="auto"/>
          <w:highlight w:val="none"/>
        </w:rPr>
      </w:pPr>
      <w:bookmarkStart w:id="1193" w:name="_Toc496601974"/>
      <w:bookmarkStart w:id="1194" w:name="_Toc435178409"/>
      <w:bookmarkStart w:id="1195" w:name="_Toc436215767"/>
      <w:bookmarkStart w:id="1196" w:name="_Toc29035"/>
      <w:bookmarkStart w:id="1197" w:name="_Toc7745"/>
      <w:bookmarkStart w:id="1198" w:name="_Toc10957"/>
      <w:bookmarkStart w:id="1199" w:name="_Toc2695"/>
      <w:bookmarkStart w:id="1200" w:name="_Toc4821"/>
      <w:bookmarkStart w:id="1201" w:name="_Toc6966"/>
      <w:bookmarkStart w:id="1202" w:name="_Toc25147"/>
      <w:bookmarkStart w:id="1203" w:name="_Toc14534"/>
      <w:r>
        <w:rPr>
          <w:rFonts w:hint="eastAsia"/>
          <w:color w:val="auto"/>
          <w:highlight w:val="none"/>
        </w:rPr>
        <w:t xml:space="preserve">8.5 </w:t>
      </w:r>
      <w:bookmarkEnd w:id="1193"/>
      <w:bookmarkEnd w:id="1194"/>
      <w:bookmarkEnd w:id="1195"/>
      <w:r>
        <w:rPr>
          <w:rFonts w:hint="eastAsia"/>
          <w:color w:val="auto"/>
          <w:highlight w:val="none"/>
        </w:rPr>
        <w:t>廉政监督</w:t>
      </w:r>
      <w:bookmarkEnd w:id="1196"/>
      <w:bookmarkEnd w:id="1197"/>
      <w:bookmarkEnd w:id="1198"/>
      <w:bookmarkEnd w:id="1199"/>
      <w:bookmarkEnd w:id="1200"/>
      <w:bookmarkEnd w:id="1201"/>
      <w:bookmarkEnd w:id="1202"/>
      <w:bookmarkEnd w:id="1203"/>
    </w:p>
    <w:p>
      <w:pPr>
        <w:spacing w:line="360" w:lineRule="auto"/>
        <w:ind w:firstLine="420" w:firstLineChars="200"/>
        <w:rPr>
          <w:rFonts w:hint="eastAsia" w:ascii="ˎ̥" w:hAnsi="ˎ̥"/>
          <w:color w:val="auto"/>
          <w:highlight w:val="none"/>
        </w:rPr>
      </w:pPr>
      <w:r>
        <w:rPr>
          <w:rFonts w:hint="eastAsia" w:ascii="ˎ̥" w:hAnsi="ˎ̥"/>
          <w:color w:val="auto"/>
          <w:highlight w:val="none"/>
        </w:rPr>
        <w:t>8.5.1投标人和其他利害关系人认为本次招标活动违反法律、法规和规章规定的，或有违廉洁自律的，有权向招标人监督部门反映。</w:t>
      </w:r>
    </w:p>
    <w:p>
      <w:pPr>
        <w:spacing w:line="360" w:lineRule="auto"/>
        <w:ind w:firstLine="420" w:firstLineChars="200"/>
        <w:rPr>
          <w:rFonts w:hint="eastAsia" w:ascii="ˎ̥" w:hAnsi="ˎ̥"/>
          <w:color w:val="auto"/>
          <w:highlight w:val="none"/>
        </w:rPr>
      </w:pPr>
      <w:r>
        <w:rPr>
          <w:rFonts w:hint="eastAsia" w:ascii="ˎ̥" w:hAnsi="ˎ̥"/>
          <w:color w:val="auto"/>
          <w:highlight w:val="none"/>
        </w:rPr>
        <w:t>8.5.2 受理部门：南方报业传媒集团招投标办公室</w:t>
      </w:r>
    </w:p>
    <w:p>
      <w:pPr>
        <w:tabs>
          <w:tab w:val="left" w:pos="851"/>
        </w:tabs>
        <w:autoSpaceDE w:val="0"/>
        <w:autoSpaceDN w:val="0"/>
        <w:spacing w:line="360" w:lineRule="auto"/>
        <w:ind w:right="32" w:firstLine="420" w:firstLineChars="200"/>
        <w:rPr>
          <w:rFonts w:hint="eastAsia" w:ascii="ˎ̥" w:hAnsi="ˎ̥"/>
          <w:color w:val="auto"/>
          <w:highlight w:val="none"/>
        </w:rPr>
      </w:pPr>
      <w:r>
        <w:rPr>
          <w:rFonts w:hint="eastAsia" w:ascii="ˎ̥" w:hAnsi="ˎ̥"/>
          <w:color w:val="auto"/>
          <w:highlight w:val="none"/>
        </w:rPr>
        <w:t>地  址：广州大道中289号南方报业传媒集团1号楼20楼</w:t>
      </w:r>
    </w:p>
    <w:p>
      <w:pPr>
        <w:tabs>
          <w:tab w:val="left" w:pos="851"/>
        </w:tabs>
        <w:autoSpaceDE w:val="0"/>
        <w:autoSpaceDN w:val="0"/>
        <w:spacing w:line="360" w:lineRule="auto"/>
        <w:ind w:right="32" w:firstLine="420" w:firstLineChars="200"/>
        <w:rPr>
          <w:rFonts w:hint="eastAsia" w:ascii="ˎ̥" w:hAnsi="ˎ̥"/>
          <w:color w:val="auto"/>
          <w:highlight w:val="none"/>
        </w:rPr>
      </w:pPr>
      <w:r>
        <w:rPr>
          <w:rFonts w:hint="eastAsia" w:ascii="ˎ̥" w:hAnsi="ˎ̥"/>
          <w:color w:val="auto"/>
          <w:highlight w:val="none"/>
        </w:rPr>
        <w:t xml:space="preserve">电  话：020-83002023    </w:t>
      </w:r>
    </w:p>
    <w:p>
      <w:pPr>
        <w:tabs>
          <w:tab w:val="left" w:pos="851"/>
        </w:tabs>
        <w:autoSpaceDE w:val="0"/>
        <w:autoSpaceDN w:val="0"/>
        <w:spacing w:line="360" w:lineRule="auto"/>
        <w:ind w:right="32" w:firstLine="420" w:firstLineChars="200"/>
        <w:rPr>
          <w:rFonts w:hint="eastAsia" w:ascii="ˎ̥" w:hAnsi="ˎ̥"/>
          <w:color w:val="auto"/>
          <w:highlight w:val="none"/>
        </w:rPr>
      </w:pPr>
      <w:r>
        <w:rPr>
          <w:rFonts w:hint="eastAsia" w:ascii="ˎ̥" w:hAnsi="ˎ̥"/>
          <w:color w:val="auto"/>
          <w:highlight w:val="none"/>
        </w:rPr>
        <w:t>电  邮：</w:t>
      </w:r>
      <w:r>
        <w:rPr>
          <w:color w:val="auto"/>
          <w:highlight w:val="none"/>
        </w:rPr>
        <w:fldChar w:fldCharType="begin"/>
      </w:r>
      <w:r>
        <w:rPr>
          <w:color w:val="auto"/>
          <w:highlight w:val="none"/>
        </w:rPr>
        <w:instrText xml:space="preserve"> HYPERLINK "mailto:lzjd@nfmedia.com" </w:instrText>
      </w:r>
      <w:r>
        <w:rPr>
          <w:color w:val="auto"/>
          <w:highlight w:val="none"/>
        </w:rPr>
        <w:fldChar w:fldCharType="separate"/>
      </w:r>
      <w:r>
        <w:rPr>
          <w:rFonts w:hint="eastAsia" w:ascii="ˎ̥" w:hAnsi="ˎ̥"/>
          <w:color w:val="auto"/>
          <w:highlight w:val="none"/>
        </w:rPr>
        <w:t>nfzbtb@nfmedia.com</w:t>
      </w:r>
      <w:r>
        <w:rPr>
          <w:rFonts w:hint="eastAsia" w:ascii="ˎ̥" w:hAnsi="ˎ̥"/>
          <w:color w:val="auto"/>
          <w:highlight w:val="none"/>
        </w:rPr>
        <w:fldChar w:fldCharType="end"/>
      </w:r>
    </w:p>
    <w:p>
      <w:pPr>
        <w:tabs>
          <w:tab w:val="left" w:pos="851"/>
        </w:tabs>
        <w:autoSpaceDE w:val="0"/>
        <w:autoSpaceDN w:val="0"/>
        <w:adjustRightInd w:val="0"/>
        <w:snapToGrid w:val="0"/>
        <w:spacing w:line="360" w:lineRule="auto"/>
        <w:ind w:right="32"/>
        <w:rPr>
          <w:rFonts w:hint="eastAsia" w:ascii="ˎ̥" w:hAnsi="ˎ̥"/>
          <w:color w:val="auto"/>
          <w:highlight w:val="none"/>
        </w:rPr>
      </w:pPr>
      <w:r>
        <w:rPr>
          <w:rFonts w:hint="eastAsia" w:ascii="ˎ̥" w:hAnsi="ˎ̥"/>
          <w:color w:val="auto"/>
          <w:highlight w:val="none"/>
        </w:rPr>
        <w:t xml:space="preserve">    邮  编：510601</w:t>
      </w:r>
    </w:p>
    <w:p>
      <w:pPr>
        <w:pStyle w:val="4"/>
        <w:spacing w:line="360" w:lineRule="auto"/>
        <w:rPr>
          <w:color w:val="auto"/>
          <w:highlight w:val="none"/>
        </w:rPr>
        <w:sectPr>
          <w:footerReference r:id="rId3" w:type="default"/>
          <w:pgSz w:w="11906" w:h="16838"/>
          <w:pgMar w:top="1100" w:right="1797" w:bottom="703" w:left="1797" w:header="851" w:footer="992" w:gutter="0"/>
          <w:pgBorders>
            <w:top w:val="none" w:sz="0" w:space="0"/>
            <w:left w:val="none" w:sz="0" w:space="0"/>
            <w:bottom w:val="none" w:sz="0" w:space="0"/>
            <w:right w:val="none" w:sz="0" w:space="0"/>
          </w:pgBorders>
          <w:pgNumType w:start="1"/>
          <w:cols w:space="720" w:num="1"/>
          <w:docGrid w:type="lines" w:linePitch="312" w:charSpace="0"/>
        </w:sectPr>
      </w:pPr>
      <w:bookmarkStart w:id="1204" w:name="_Toc436215768"/>
      <w:bookmarkStart w:id="1205" w:name="_Toc179632599"/>
      <w:bookmarkStart w:id="1206" w:name="_Toc152042358"/>
      <w:bookmarkStart w:id="1207" w:name="_Toc3703"/>
      <w:bookmarkStart w:id="1208" w:name="_Toc152045581"/>
      <w:bookmarkStart w:id="1209" w:name="_Toc247085739"/>
      <w:bookmarkStart w:id="1210" w:name="_Toc435178410"/>
      <w:bookmarkStart w:id="1211" w:name="_Toc436212763"/>
      <w:bookmarkStart w:id="1212" w:name="_Toc144974548"/>
    </w:p>
    <w:p>
      <w:pPr>
        <w:pStyle w:val="4"/>
        <w:spacing w:line="360" w:lineRule="auto"/>
        <w:rPr>
          <w:color w:val="auto"/>
          <w:highlight w:val="none"/>
        </w:rPr>
      </w:pPr>
      <w:bookmarkStart w:id="1213" w:name="_Toc496601975"/>
      <w:bookmarkStart w:id="1214" w:name="_Toc29537"/>
      <w:bookmarkStart w:id="1215" w:name="_Toc32350"/>
      <w:bookmarkStart w:id="1216" w:name="_Toc17275"/>
      <w:bookmarkStart w:id="1217" w:name="_Toc3537"/>
      <w:bookmarkStart w:id="1218" w:name="_Toc24262"/>
      <w:bookmarkStart w:id="1219" w:name="_Toc14849"/>
      <w:bookmarkStart w:id="1220" w:name="_Toc4738"/>
      <w:bookmarkStart w:id="1221" w:name="_Toc20179"/>
      <w:bookmarkStart w:id="1222" w:name="_Toc25493"/>
      <w:bookmarkStart w:id="1223" w:name="_Toc32761"/>
      <w:bookmarkStart w:id="1224" w:name="_Toc16798"/>
      <w:bookmarkStart w:id="1225" w:name="_Toc807"/>
      <w:bookmarkStart w:id="1226" w:name="_Toc19554"/>
      <w:bookmarkStart w:id="1227" w:name="_Toc27864"/>
      <w:bookmarkStart w:id="1228" w:name="_Toc27668"/>
      <w:bookmarkStart w:id="1229" w:name="_Toc21727"/>
      <w:bookmarkStart w:id="1230" w:name="_Toc8683"/>
      <w:bookmarkStart w:id="1231" w:name="_Toc5449"/>
      <w:bookmarkStart w:id="1232" w:name="_Toc13892"/>
      <w:bookmarkStart w:id="1233" w:name="_Toc5156"/>
      <w:bookmarkStart w:id="1234" w:name="_Toc17187"/>
      <w:bookmarkStart w:id="1235" w:name="_Toc18676"/>
      <w:bookmarkStart w:id="1236" w:name="_Toc299"/>
      <w:r>
        <w:rPr>
          <w:rFonts w:hint="eastAsia"/>
          <w:color w:val="auto"/>
          <w:highlight w:val="none"/>
        </w:rPr>
        <w:t>附件一：开标记录表</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u w:val="single"/>
        </w:rPr>
        <w:t>南方报业传媒集团大院2025-2026年保洁服务</w:t>
      </w:r>
      <w:r>
        <w:rPr>
          <w:rFonts w:hint="eastAsia" w:ascii="黑体" w:eastAsia="黑体"/>
          <w:color w:val="auto"/>
          <w:sz w:val="28"/>
          <w:szCs w:val="28"/>
          <w:highlight w:val="none"/>
        </w:rPr>
        <w:t>开标记录表</w:t>
      </w:r>
    </w:p>
    <w:p>
      <w:pPr>
        <w:spacing w:line="360" w:lineRule="auto"/>
        <w:rPr>
          <w:color w:val="auto"/>
          <w:highlight w:val="none"/>
        </w:rPr>
      </w:pPr>
      <w:r>
        <w:rPr>
          <w:rFonts w:hint="eastAsia" w:eastAsia="黑体"/>
          <w:color w:val="auto"/>
          <w:szCs w:val="21"/>
          <w:highlight w:val="none"/>
        </w:rPr>
        <w:t>开标时间：</w:t>
      </w:r>
      <w:r>
        <w:rPr>
          <w:rFonts w:hint="eastAsia" w:ascii="黑体" w:eastAsia="黑体"/>
          <w:color w:val="auto"/>
          <w:sz w:val="28"/>
          <w:szCs w:val="28"/>
          <w:highlight w:val="none"/>
          <w:u w:val="single"/>
        </w:rPr>
        <w:t xml:space="preserve">    </w:t>
      </w:r>
      <w:r>
        <w:rPr>
          <w:rFonts w:hint="eastAsia" w:eastAsia="黑体"/>
          <w:color w:val="auto"/>
          <w:szCs w:val="21"/>
          <w:highlight w:val="none"/>
        </w:rPr>
        <w:t>年</w:t>
      </w:r>
      <w:r>
        <w:rPr>
          <w:rFonts w:hint="eastAsia" w:ascii="黑体" w:eastAsia="黑体"/>
          <w:color w:val="auto"/>
          <w:sz w:val="28"/>
          <w:szCs w:val="28"/>
          <w:highlight w:val="none"/>
          <w:u w:val="single"/>
        </w:rPr>
        <w:t xml:space="preserve">    </w:t>
      </w:r>
      <w:r>
        <w:rPr>
          <w:rFonts w:hint="eastAsia" w:eastAsia="黑体"/>
          <w:color w:val="auto"/>
          <w:szCs w:val="21"/>
          <w:highlight w:val="none"/>
        </w:rPr>
        <w:t>月</w:t>
      </w:r>
      <w:r>
        <w:rPr>
          <w:rFonts w:hint="eastAsia" w:ascii="黑体" w:eastAsia="黑体"/>
          <w:color w:val="auto"/>
          <w:sz w:val="28"/>
          <w:szCs w:val="28"/>
          <w:highlight w:val="none"/>
          <w:u w:val="single"/>
        </w:rPr>
        <w:t xml:space="preserve">    </w:t>
      </w:r>
      <w:r>
        <w:rPr>
          <w:rFonts w:hint="eastAsia" w:eastAsia="黑体"/>
          <w:color w:val="auto"/>
          <w:szCs w:val="21"/>
          <w:highlight w:val="none"/>
        </w:rPr>
        <w:t>日</w:t>
      </w:r>
      <w:r>
        <w:rPr>
          <w:rFonts w:hint="eastAsia" w:ascii="黑体" w:eastAsia="黑体"/>
          <w:color w:val="auto"/>
          <w:sz w:val="28"/>
          <w:szCs w:val="28"/>
          <w:highlight w:val="none"/>
          <w:u w:val="single"/>
        </w:rPr>
        <w:t xml:space="preserve">    </w:t>
      </w:r>
      <w:r>
        <w:rPr>
          <w:rFonts w:hint="eastAsia" w:eastAsia="黑体"/>
          <w:color w:val="auto"/>
          <w:szCs w:val="21"/>
          <w:highlight w:val="none"/>
        </w:rPr>
        <w:t>时</w:t>
      </w:r>
      <w:r>
        <w:rPr>
          <w:rFonts w:hint="eastAsia" w:ascii="黑体" w:eastAsia="黑体"/>
          <w:color w:val="auto"/>
          <w:sz w:val="28"/>
          <w:szCs w:val="28"/>
          <w:highlight w:val="none"/>
          <w:u w:val="single"/>
        </w:rPr>
        <w:t xml:space="preserve">    </w:t>
      </w:r>
      <w:r>
        <w:rPr>
          <w:rFonts w:hint="eastAsia" w:eastAsia="黑体"/>
          <w:color w:val="auto"/>
          <w:szCs w:val="21"/>
          <w:highlight w:val="none"/>
        </w:rPr>
        <w:t>分      开标地点：</w:t>
      </w:r>
      <w:r>
        <w:rPr>
          <w:rFonts w:hint="eastAsia" w:eastAsia="黑体"/>
          <w:color w:val="auto"/>
          <w:szCs w:val="21"/>
          <w:highlight w:val="none"/>
          <w:u w:val="single"/>
        </w:rPr>
        <w:t xml:space="preserve">            </w:t>
      </w:r>
    </w:p>
    <w:tbl>
      <w:tblPr>
        <w:tblStyle w:val="41"/>
        <w:tblW w:w="0" w:type="auto"/>
        <w:tblInd w:w="0" w:type="dxa"/>
        <w:tblLayout w:type="fixed"/>
        <w:tblCellMar>
          <w:top w:w="0" w:type="dxa"/>
          <w:left w:w="108" w:type="dxa"/>
          <w:bottom w:w="0" w:type="dxa"/>
          <w:right w:w="108" w:type="dxa"/>
        </w:tblCellMar>
      </w:tblPr>
      <w:tblGrid>
        <w:gridCol w:w="632"/>
        <w:gridCol w:w="738"/>
        <w:gridCol w:w="895"/>
        <w:gridCol w:w="1402"/>
        <w:gridCol w:w="1180"/>
        <w:gridCol w:w="2062"/>
        <w:gridCol w:w="783"/>
        <w:gridCol w:w="836"/>
      </w:tblGrid>
      <w:tr>
        <w:tc>
          <w:tcPr>
            <w:tcW w:w="63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序号</w:t>
            </w:r>
          </w:p>
        </w:tc>
        <w:tc>
          <w:tcPr>
            <w:tcW w:w="738"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投标人</w:t>
            </w:r>
          </w:p>
        </w:tc>
        <w:tc>
          <w:tcPr>
            <w:tcW w:w="895"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密封情况</w:t>
            </w:r>
          </w:p>
        </w:tc>
        <w:tc>
          <w:tcPr>
            <w:tcW w:w="140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是否已交</w:t>
            </w:r>
            <w:r>
              <w:rPr>
                <w:rFonts w:eastAsia="黑体"/>
                <w:color w:val="auto"/>
                <w:szCs w:val="21"/>
                <w:highlight w:val="none"/>
              </w:rPr>
              <w:t>投标保证金</w:t>
            </w:r>
          </w:p>
        </w:tc>
        <w:tc>
          <w:tcPr>
            <w:tcW w:w="1180"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是否已交标书款</w:t>
            </w:r>
          </w:p>
        </w:tc>
        <w:tc>
          <w:tcPr>
            <w:tcW w:w="206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投标报价</w:t>
            </w:r>
          </w:p>
        </w:tc>
        <w:tc>
          <w:tcPr>
            <w:tcW w:w="783"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备注</w:t>
            </w:r>
          </w:p>
        </w:tc>
        <w:tc>
          <w:tcPr>
            <w:tcW w:w="836"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签名</w:t>
            </w: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center"/>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206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783"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3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bl>
    <w:p>
      <w:pPr>
        <w:spacing w:line="360" w:lineRule="auto"/>
        <w:rPr>
          <w:color w:val="auto"/>
          <w:highlight w:val="none"/>
        </w:rPr>
      </w:pPr>
    </w:p>
    <w:p>
      <w:pPr>
        <w:spacing w:line="360" w:lineRule="auto"/>
        <w:rPr>
          <w:color w:val="auto"/>
          <w:highlight w:val="none"/>
          <w:u w:val="single"/>
        </w:rPr>
      </w:pPr>
      <w:r>
        <w:rPr>
          <w:rFonts w:hint="eastAsia"/>
          <w:color w:val="auto"/>
          <w:highlight w:val="none"/>
        </w:rPr>
        <w:t>招标人代表：</w:t>
      </w:r>
      <w:r>
        <w:rPr>
          <w:rFonts w:hint="eastAsia"/>
          <w:color w:val="auto"/>
          <w:highlight w:val="none"/>
          <w:u w:val="single"/>
        </w:rPr>
        <w:t xml:space="preserve">         </w:t>
      </w:r>
      <w:r>
        <w:rPr>
          <w:rFonts w:hint="eastAsia"/>
          <w:color w:val="auto"/>
          <w:highlight w:val="none"/>
        </w:rPr>
        <w:t>投标人代表：</w:t>
      </w:r>
      <w:r>
        <w:rPr>
          <w:rFonts w:hint="eastAsia"/>
          <w:color w:val="auto"/>
          <w:highlight w:val="none"/>
          <w:u w:val="single"/>
        </w:rPr>
        <w:t xml:space="preserve">          </w:t>
      </w:r>
      <w:r>
        <w:rPr>
          <w:rFonts w:hint="eastAsia"/>
          <w:color w:val="auto"/>
          <w:highlight w:val="none"/>
        </w:rPr>
        <w:t xml:space="preserve"> 记录人：</w:t>
      </w:r>
      <w:r>
        <w:rPr>
          <w:rFonts w:hint="eastAsia"/>
          <w:color w:val="auto"/>
          <w:highlight w:val="none"/>
          <w:u w:val="single"/>
        </w:rPr>
        <w:t xml:space="preserve">         </w:t>
      </w:r>
      <w:r>
        <w:rPr>
          <w:rFonts w:hint="eastAsia"/>
          <w:color w:val="auto"/>
          <w:highlight w:val="none"/>
        </w:rPr>
        <w:t xml:space="preserve"> 监标人：</w:t>
      </w:r>
      <w:r>
        <w:rPr>
          <w:rFonts w:hint="eastAsia"/>
          <w:color w:val="auto"/>
          <w:highlight w:val="none"/>
          <w:u w:val="single"/>
        </w:rPr>
        <w:t xml:space="preserve">            .</w:t>
      </w:r>
    </w:p>
    <w:p>
      <w:pPr>
        <w:spacing w:line="360" w:lineRule="auto"/>
        <w:rPr>
          <w:color w:val="auto"/>
          <w:highlight w:val="none"/>
        </w:rPr>
      </w:pPr>
      <w:r>
        <w:rPr>
          <w:rFonts w:hint="eastAsia"/>
          <w:color w:val="auto"/>
          <w:highlight w:val="none"/>
        </w:rPr>
        <w:t xml:space="preserve">                                            </w:t>
      </w:r>
      <w:r>
        <w:rPr>
          <w:rFonts w:hint="eastAsia"/>
          <w:color w:val="auto"/>
          <w:highlight w:val="none"/>
          <w:u w:val="single"/>
        </w:rPr>
        <w:t xml:space="preserve">      </w:t>
      </w:r>
      <w:r>
        <w:rPr>
          <w:rFonts w:hint="eastAsia"/>
          <w:color w:val="auto"/>
          <w:highlight w:val="none"/>
        </w:rPr>
        <w:t>年</w:t>
      </w:r>
      <w:r>
        <w:rPr>
          <w:rFonts w:hint="eastAsia"/>
          <w:color w:val="auto"/>
          <w:highlight w:val="none"/>
          <w:u w:val="single"/>
        </w:rPr>
        <w:t xml:space="preserve">      </w:t>
      </w:r>
      <w:r>
        <w:rPr>
          <w:rFonts w:hint="eastAsia"/>
          <w:color w:val="auto"/>
          <w:highlight w:val="none"/>
        </w:rPr>
        <w:t xml:space="preserve">月 </w:t>
      </w:r>
      <w:r>
        <w:rPr>
          <w:rFonts w:hint="eastAsia"/>
          <w:color w:val="auto"/>
          <w:highlight w:val="none"/>
          <w:u w:val="single"/>
        </w:rPr>
        <w:t xml:space="preserve">      </w:t>
      </w:r>
      <w:r>
        <w:rPr>
          <w:rFonts w:hint="eastAsia"/>
          <w:color w:val="auto"/>
          <w:highlight w:val="none"/>
        </w:rPr>
        <w:t>日</w:t>
      </w:r>
    </w:p>
    <w:p>
      <w:pPr>
        <w:pStyle w:val="4"/>
        <w:spacing w:line="360" w:lineRule="auto"/>
        <w:rPr>
          <w:color w:val="auto"/>
          <w:highlight w:val="none"/>
        </w:rPr>
      </w:pPr>
    </w:p>
    <w:p>
      <w:pPr>
        <w:pStyle w:val="3"/>
        <w:spacing w:line="360" w:lineRule="auto"/>
        <w:jc w:val="center"/>
        <w:rPr>
          <w:rFonts w:ascii="Arial" w:hAnsi="Arial" w:eastAsia="黑体"/>
          <w:color w:val="auto"/>
          <w:kern w:val="2"/>
          <w:sz w:val="32"/>
          <w:szCs w:val="32"/>
          <w:highlight w:val="none"/>
        </w:rPr>
      </w:pPr>
      <w:bookmarkStart w:id="1237" w:name="_Toc246996230"/>
      <w:bookmarkStart w:id="1238" w:name="_Toc152045587"/>
      <w:bookmarkStart w:id="1239" w:name="_Toc435178413"/>
      <w:bookmarkStart w:id="1240" w:name="_Toc144974554"/>
      <w:bookmarkStart w:id="1241" w:name="_Toc152042364"/>
      <w:bookmarkStart w:id="1242" w:name="_Toc247085745"/>
      <w:bookmarkStart w:id="1243" w:name="_Toc436215771"/>
      <w:bookmarkStart w:id="1244" w:name="_Toc179632605"/>
      <w:bookmarkStart w:id="1245" w:name="_Toc246996973"/>
      <w:r>
        <w:rPr>
          <w:color w:val="auto"/>
          <w:highlight w:val="none"/>
        </w:rPr>
        <w:br w:type="page"/>
      </w:r>
      <w:bookmarkEnd w:id="1237"/>
      <w:bookmarkEnd w:id="1238"/>
      <w:bookmarkEnd w:id="1239"/>
      <w:bookmarkEnd w:id="1240"/>
      <w:bookmarkEnd w:id="1241"/>
      <w:bookmarkEnd w:id="1242"/>
      <w:bookmarkEnd w:id="1243"/>
      <w:bookmarkEnd w:id="1244"/>
      <w:bookmarkEnd w:id="1245"/>
      <w:bookmarkStart w:id="1246" w:name="_Toc8450"/>
      <w:bookmarkStart w:id="1247" w:name="_Toc9443"/>
      <w:bookmarkStart w:id="1248" w:name="_Toc20047"/>
      <w:bookmarkStart w:id="1249" w:name="_Toc14199"/>
      <w:bookmarkStart w:id="1250" w:name="_Toc496601982"/>
      <w:bookmarkStart w:id="1251" w:name="_Toc8817"/>
      <w:bookmarkStart w:id="1252" w:name="_Toc11193"/>
      <w:bookmarkStart w:id="1253" w:name="_Toc23754"/>
      <w:bookmarkStart w:id="1254" w:name="_Toc22894"/>
      <w:bookmarkStart w:id="1255" w:name="_Toc496772956"/>
      <w:bookmarkStart w:id="1256" w:name="_Toc2008"/>
      <w:bookmarkStart w:id="1257" w:name="_Toc4096"/>
      <w:bookmarkStart w:id="1258" w:name="_Toc7146"/>
      <w:bookmarkStart w:id="1259" w:name="_Toc30720"/>
      <w:bookmarkStart w:id="1260" w:name="_Toc6190"/>
      <w:bookmarkStart w:id="1261" w:name="_Toc24290"/>
      <w:bookmarkStart w:id="1262" w:name="_Toc14666"/>
      <w:bookmarkStart w:id="1263" w:name="_Toc25205"/>
      <w:bookmarkStart w:id="1264" w:name="_Toc20513"/>
      <w:bookmarkStart w:id="1265" w:name="_Toc9180"/>
      <w:bookmarkStart w:id="1266" w:name="_Toc5222"/>
      <w:bookmarkStart w:id="1267" w:name="_Toc3950"/>
      <w:bookmarkStart w:id="1268" w:name="_Toc7125"/>
      <w:bookmarkStart w:id="1269" w:name="_Toc7692"/>
      <w:bookmarkStart w:id="1270" w:name="_Toc2365"/>
      <w:bookmarkStart w:id="1271" w:name="_Toc29391"/>
      <w:bookmarkStart w:id="1272" w:name="_Toc496601986"/>
      <w:bookmarkStart w:id="1273" w:name="_Toc402880882"/>
      <w:bookmarkStart w:id="1274" w:name="_Toc422925643"/>
      <w:bookmarkStart w:id="1275" w:name="_Toc435178417"/>
      <w:bookmarkStart w:id="1276" w:name="_Toc436215775"/>
      <w:r>
        <w:rPr>
          <w:rFonts w:hint="eastAsia"/>
          <w:color w:val="auto"/>
          <w:highlight w:val="none"/>
        </w:rPr>
        <w:t>第三章 评标办法（综合评分法）</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p>
    <w:p>
      <w:pPr>
        <w:keepNext/>
        <w:keepLines/>
        <w:spacing w:before="20" w:after="20" w:line="360" w:lineRule="auto"/>
        <w:outlineLvl w:val="1"/>
        <w:rPr>
          <w:rFonts w:ascii="Arial" w:hAnsi="Arial" w:eastAsia="黑体"/>
          <w:b/>
          <w:bCs/>
          <w:color w:val="auto"/>
          <w:sz w:val="32"/>
          <w:szCs w:val="32"/>
          <w:highlight w:val="none"/>
        </w:rPr>
      </w:pPr>
      <w:bookmarkStart w:id="1277" w:name="_Toc9247"/>
      <w:bookmarkStart w:id="1278" w:name="_Toc31598"/>
      <w:bookmarkStart w:id="1279" w:name="_Toc6481"/>
      <w:bookmarkStart w:id="1280" w:name="_Toc9719"/>
      <w:bookmarkStart w:id="1281" w:name="_Toc13978"/>
      <w:bookmarkStart w:id="1282" w:name="_Toc422925640"/>
      <w:bookmarkStart w:id="1283" w:name="_Toc30084"/>
      <w:bookmarkStart w:id="1284" w:name="_Toc25241"/>
      <w:bookmarkStart w:id="1285" w:name="_Toc10374"/>
      <w:bookmarkStart w:id="1286" w:name="_Toc755"/>
      <w:bookmarkStart w:id="1287" w:name="_Toc10499"/>
      <w:bookmarkStart w:id="1288" w:name="_Toc12376"/>
      <w:bookmarkStart w:id="1289" w:name="_Toc496601977"/>
      <w:bookmarkStart w:id="1290" w:name="_Toc27898"/>
      <w:bookmarkStart w:id="1291" w:name="_Toc435178414"/>
      <w:bookmarkStart w:id="1292" w:name="_Toc2903"/>
      <w:bookmarkStart w:id="1293" w:name="_Toc30731"/>
      <w:bookmarkStart w:id="1294" w:name="_Toc496772951"/>
      <w:bookmarkStart w:id="1295" w:name="_Toc8098"/>
      <w:bookmarkStart w:id="1296" w:name="_Toc30344"/>
      <w:bookmarkStart w:id="1297" w:name="_Toc16149"/>
      <w:bookmarkStart w:id="1298" w:name="_Toc25841"/>
      <w:bookmarkStart w:id="1299" w:name="_Toc11793"/>
      <w:bookmarkStart w:id="1300" w:name="_Toc19379"/>
      <w:bookmarkStart w:id="1301" w:name="_Toc28716"/>
      <w:bookmarkStart w:id="1302" w:name="_Toc436215772"/>
      <w:bookmarkStart w:id="1303" w:name="_Toc2161"/>
      <w:bookmarkStart w:id="1304" w:name="_Toc10277"/>
      <w:bookmarkStart w:id="1305" w:name="_Toc32416"/>
      <w:r>
        <w:rPr>
          <w:rFonts w:hint="eastAsia" w:ascii="Arial" w:hAnsi="Arial" w:eastAsia="黑体"/>
          <w:b/>
          <w:bCs/>
          <w:color w:val="auto"/>
          <w:sz w:val="32"/>
          <w:szCs w:val="32"/>
          <w:highlight w:val="none"/>
        </w:rPr>
        <w:t>1. 评标方法</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pPr>
        <w:spacing w:line="360" w:lineRule="auto"/>
        <w:ind w:firstLine="424" w:firstLineChars="202"/>
        <w:rPr>
          <w:color w:val="auto"/>
          <w:highlight w:val="none"/>
        </w:rPr>
      </w:pPr>
      <w:r>
        <w:rPr>
          <w:color w:val="auto"/>
          <w:highlight w:val="none"/>
        </w:rPr>
        <w:t>本次评标采用综合评</w:t>
      </w:r>
      <w:r>
        <w:rPr>
          <w:rFonts w:hint="eastAsia"/>
          <w:color w:val="auto"/>
          <w:highlight w:val="none"/>
        </w:rPr>
        <w:t>分</w:t>
      </w:r>
      <w:r>
        <w:rPr>
          <w:color w:val="auto"/>
          <w:highlight w:val="none"/>
        </w:rPr>
        <w:t>法。评标委员会对满足招标文件实质性要求的投标文件，按照本章第2.2款规定的评分标准进行打分，并按得分由高到低顺序推荐中标候选人，但投标报价低于其成本的除外。综合评分相等时，以投标报价低的优先；投标报价也相等的，</w:t>
      </w:r>
      <w:r>
        <w:rPr>
          <w:rFonts w:hint="eastAsia"/>
          <w:color w:val="auto"/>
          <w:highlight w:val="none"/>
        </w:rPr>
        <w:t>由评标委员会投票</w:t>
      </w:r>
      <w:r>
        <w:rPr>
          <w:color w:val="auto"/>
          <w:highlight w:val="none"/>
        </w:rPr>
        <w:t>确定</w:t>
      </w:r>
      <w:r>
        <w:rPr>
          <w:rFonts w:hint="eastAsia"/>
          <w:color w:val="auto"/>
          <w:highlight w:val="none"/>
        </w:rPr>
        <w:t>排序先后</w:t>
      </w:r>
      <w:r>
        <w:rPr>
          <w:color w:val="auto"/>
          <w:highlight w:val="none"/>
        </w:rPr>
        <w:t>。</w:t>
      </w:r>
    </w:p>
    <w:p>
      <w:pPr>
        <w:keepNext/>
        <w:keepLines/>
        <w:spacing w:before="20" w:after="20" w:line="360" w:lineRule="auto"/>
        <w:outlineLvl w:val="1"/>
        <w:rPr>
          <w:rFonts w:ascii="Arial" w:hAnsi="Arial" w:eastAsia="黑体"/>
          <w:b/>
          <w:bCs/>
          <w:color w:val="auto"/>
          <w:sz w:val="32"/>
          <w:szCs w:val="32"/>
          <w:highlight w:val="none"/>
        </w:rPr>
      </w:pPr>
      <w:bookmarkStart w:id="1306" w:name="_Toc16984"/>
      <w:bookmarkStart w:id="1307" w:name="_Toc23074"/>
      <w:bookmarkStart w:id="1308" w:name="_Toc2724"/>
      <w:bookmarkStart w:id="1309" w:name="_Toc30171"/>
      <w:bookmarkStart w:id="1310" w:name="_Toc32572"/>
      <w:bookmarkStart w:id="1311" w:name="_Toc25181"/>
      <w:bookmarkStart w:id="1312" w:name="_Toc25169"/>
      <w:bookmarkStart w:id="1313" w:name="_Toc16313"/>
      <w:bookmarkStart w:id="1314" w:name="_Toc24862"/>
      <w:bookmarkStart w:id="1315" w:name="_Toc29939"/>
      <w:bookmarkStart w:id="1316" w:name="_Toc29239"/>
      <w:bookmarkStart w:id="1317" w:name="_Toc30792"/>
      <w:bookmarkStart w:id="1318" w:name="_Toc6523"/>
      <w:bookmarkStart w:id="1319" w:name="_Toc4296"/>
      <w:bookmarkStart w:id="1320" w:name="_Toc23277"/>
      <w:bookmarkStart w:id="1321" w:name="_Toc3772"/>
      <w:bookmarkStart w:id="1322" w:name="_Toc26200"/>
      <w:bookmarkStart w:id="1323" w:name="_Toc15813"/>
      <w:bookmarkStart w:id="1324" w:name="_Toc23269"/>
      <w:bookmarkStart w:id="1325" w:name="_Toc16300"/>
      <w:bookmarkStart w:id="1326" w:name="_Toc9645"/>
      <w:bookmarkStart w:id="1327" w:name="_Toc24233"/>
      <w:bookmarkStart w:id="1328" w:name="_Toc496772952"/>
      <w:bookmarkStart w:id="1329" w:name="_Toc3270"/>
      <w:bookmarkStart w:id="1330" w:name="_Toc30566"/>
      <w:r>
        <w:rPr>
          <w:rFonts w:ascii="Arial" w:hAnsi="Arial" w:eastAsia="黑体"/>
          <w:b/>
          <w:bCs/>
          <w:color w:val="auto"/>
          <w:sz w:val="32"/>
          <w:szCs w:val="32"/>
          <w:highlight w:val="none"/>
        </w:rPr>
        <w:t>2. 评审标准</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pPr>
        <w:spacing w:line="360" w:lineRule="auto"/>
        <w:ind w:firstLine="424" w:firstLineChars="202"/>
        <w:rPr>
          <w:color w:val="auto"/>
          <w:highlight w:val="none"/>
        </w:rPr>
      </w:pPr>
      <w:r>
        <w:rPr>
          <w:rFonts w:hint="eastAsia"/>
          <w:color w:val="auto"/>
          <w:highlight w:val="none"/>
        </w:rPr>
        <w:t xml:space="preserve">2.1 </w:t>
      </w:r>
      <w:r>
        <w:rPr>
          <w:color w:val="auto"/>
          <w:highlight w:val="none"/>
        </w:rPr>
        <w:t>初步评审标准</w:t>
      </w:r>
    </w:p>
    <w:p>
      <w:pPr>
        <w:spacing w:line="360" w:lineRule="auto"/>
        <w:ind w:firstLine="632" w:firstLineChars="301"/>
        <w:rPr>
          <w:color w:val="auto"/>
          <w:highlight w:val="none"/>
        </w:rPr>
      </w:pPr>
      <w:r>
        <w:rPr>
          <w:color w:val="auto"/>
          <w:highlight w:val="none"/>
        </w:rPr>
        <w:t>2.1.</w:t>
      </w:r>
      <w:r>
        <w:rPr>
          <w:rFonts w:hint="eastAsia"/>
          <w:color w:val="auto"/>
          <w:highlight w:val="none"/>
        </w:rPr>
        <w:t>1</w:t>
      </w:r>
      <w:r>
        <w:rPr>
          <w:color w:val="auto"/>
          <w:highlight w:val="none"/>
        </w:rPr>
        <w:t xml:space="preserve"> 资格评审标准：见</w:t>
      </w:r>
      <w:r>
        <w:rPr>
          <w:rFonts w:hint="eastAsia"/>
          <w:color w:val="auto"/>
          <w:highlight w:val="none"/>
        </w:rPr>
        <w:t>附表一；</w:t>
      </w:r>
    </w:p>
    <w:p>
      <w:pPr>
        <w:spacing w:line="360" w:lineRule="auto"/>
        <w:ind w:firstLine="632" w:firstLineChars="301"/>
        <w:rPr>
          <w:color w:val="auto"/>
          <w:highlight w:val="none"/>
        </w:rPr>
      </w:pPr>
      <w:r>
        <w:rPr>
          <w:color w:val="auto"/>
          <w:highlight w:val="none"/>
        </w:rPr>
        <w:t>2.1.</w:t>
      </w:r>
      <w:r>
        <w:rPr>
          <w:rFonts w:hint="eastAsia"/>
          <w:color w:val="auto"/>
          <w:highlight w:val="none"/>
        </w:rPr>
        <w:t>2</w:t>
      </w:r>
      <w:r>
        <w:rPr>
          <w:color w:val="auto"/>
          <w:highlight w:val="none"/>
        </w:rPr>
        <w:t xml:space="preserve"> </w:t>
      </w:r>
      <w:r>
        <w:rPr>
          <w:rFonts w:hint="eastAsia"/>
          <w:color w:val="auto"/>
          <w:highlight w:val="none"/>
        </w:rPr>
        <w:t>有效</w:t>
      </w:r>
      <w:r>
        <w:rPr>
          <w:color w:val="auto"/>
          <w:highlight w:val="none"/>
        </w:rPr>
        <w:t>性评审标准：见</w:t>
      </w:r>
      <w:r>
        <w:rPr>
          <w:rFonts w:hint="eastAsia"/>
          <w:color w:val="auto"/>
          <w:highlight w:val="none"/>
        </w:rPr>
        <w:t>附表一</w:t>
      </w:r>
      <w:r>
        <w:rPr>
          <w:color w:val="auto"/>
          <w:highlight w:val="none"/>
        </w:rPr>
        <w:t>。</w:t>
      </w:r>
    </w:p>
    <w:p>
      <w:pPr>
        <w:spacing w:line="360" w:lineRule="auto"/>
        <w:ind w:firstLine="424" w:firstLineChars="202"/>
        <w:rPr>
          <w:color w:val="auto"/>
          <w:highlight w:val="none"/>
        </w:rPr>
      </w:pPr>
      <w:r>
        <w:rPr>
          <w:rFonts w:hint="eastAsia"/>
          <w:color w:val="auto"/>
          <w:highlight w:val="none"/>
        </w:rPr>
        <w:t xml:space="preserve">2.2 </w:t>
      </w:r>
      <w:r>
        <w:rPr>
          <w:color w:val="auto"/>
          <w:highlight w:val="none"/>
        </w:rPr>
        <w:t>分值构成与评分标准</w:t>
      </w:r>
    </w:p>
    <w:p>
      <w:pPr>
        <w:spacing w:line="360" w:lineRule="auto"/>
        <w:ind w:firstLine="632" w:firstLineChars="301"/>
        <w:rPr>
          <w:color w:val="auto"/>
          <w:highlight w:val="none"/>
        </w:rPr>
      </w:pPr>
      <w:r>
        <w:rPr>
          <w:color w:val="auto"/>
          <w:highlight w:val="none"/>
        </w:rPr>
        <w:t>2.2.1 分值构成</w:t>
      </w:r>
      <w:r>
        <w:rPr>
          <w:rFonts w:hint="eastAsia"/>
          <w:color w:val="auto"/>
          <w:highlight w:val="none"/>
        </w:rPr>
        <w:t>：</w:t>
      </w:r>
      <w:r>
        <w:rPr>
          <w:color w:val="auto"/>
          <w:highlight w:val="none"/>
        </w:rPr>
        <w:t>见</w:t>
      </w:r>
      <w:r>
        <w:rPr>
          <w:rFonts w:hint="eastAsia"/>
          <w:color w:val="auto"/>
          <w:highlight w:val="none"/>
        </w:rPr>
        <w:t>附表二</w:t>
      </w:r>
      <w:r>
        <w:rPr>
          <w:color w:val="auto"/>
          <w:highlight w:val="none"/>
        </w:rPr>
        <w:t>；</w:t>
      </w:r>
    </w:p>
    <w:p>
      <w:pPr>
        <w:spacing w:line="360" w:lineRule="auto"/>
        <w:ind w:firstLine="632" w:firstLineChars="301"/>
        <w:rPr>
          <w:color w:val="auto"/>
          <w:highlight w:val="none"/>
        </w:rPr>
      </w:pPr>
      <w:r>
        <w:rPr>
          <w:color w:val="auto"/>
          <w:highlight w:val="none"/>
        </w:rPr>
        <w:t>2.2.</w:t>
      </w:r>
      <w:r>
        <w:rPr>
          <w:rFonts w:hint="eastAsia"/>
          <w:color w:val="auto"/>
          <w:highlight w:val="none"/>
        </w:rPr>
        <w:t>2</w:t>
      </w:r>
      <w:r>
        <w:rPr>
          <w:color w:val="auto"/>
          <w:highlight w:val="none"/>
        </w:rPr>
        <w:t xml:space="preserve"> 评分标准：见</w:t>
      </w:r>
      <w:r>
        <w:rPr>
          <w:rFonts w:hint="eastAsia"/>
          <w:color w:val="auto"/>
          <w:highlight w:val="none"/>
        </w:rPr>
        <w:t>附表二。</w:t>
      </w:r>
    </w:p>
    <w:p>
      <w:pPr>
        <w:keepNext/>
        <w:keepLines/>
        <w:spacing w:before="20" w:after="20" w:line="360" w:lineRule="auto"/>
        <w:outlineLvl w:val="1"/>
        <w:rPr>
          <w:rFonts w:ascii="Arial" w:hAnsi="Arial" w:eastAsia="黑体"/>
          <w:b/>
          <w:bCs/>
          <w:color w:val="auto"/>
          <w:sz w:val="32"/>
          <w:szCs w:val="32"/>
          <w:highlight w:val="none"/>
        </w:rPr>
      </w:pPr>
      <w:bookmarkStart w:id="1331" w:name="_Toc19612"/>
      <w:bookmarkStart w:id="1332" w:name="_Toc30925"/>
      <w:bookmarkStart w:id="1333" w:name="_Toc9776"/>
      <w:bookmarkStart w:id="1334" w:name="_Toc21307"/>
      <w:bookmarkStart w:id="1335" w:name="_Toc11554"/>
      <w:bookmarkStart w:id="1336" w:name="_Toc27421"/>
      <w:bookmarkStart w:id="1337" w:name="_Toc24697"/>
      <w:bookmarkStart w:id="1338" w:name="_Toc19822"/>
      <w:bookmarkStart w:id="1339" w:name="_Toc30098"/>
      <w:bookmarkStart w:id="1340" w:name="_Toc5063"/>
      <w:bookmarkStart w:id="1341" w:name="_Toc31814"/>
      <w:bookmarkStart w:id="1342" w:name="_Toc18939"/>
      <w:bookmarkStart w:id="1343" w:name="_Toc496601978"/>
      <w:bookmarkStart w:id="1344" w:name="_Toc22865"/>
      <w:bookmarkStart w:id="1345" w:name="_Toc23008"/>
      <w:bookmarkStart w:id="1346" w:name="_Toc6530"/>
      <w:bookmarkStart w:id="1347" w:name="_Toc2226"/>
      <w:bookmarkStart w:id="1348" w:name="_Toc28851"/>
      <w:bookmarkStart w:id="1349" w:name="_Toc24776"/>
      <w:bookmarkStart w:id="1350" w:name="_Toc11208"/>
      <w:bookmarkStart w:id="1351" w:name="_Toc16107"/>
      <w:bookmarkStart w:id="1352" w:name="_Toc30634"/>
      <w:bookmarkStart w:id="1353" w:name="_Toc496772953"/>
      <w:bookmarkStart w:id="1354" w:name="_Toc30036"/>
      <w:bookmarkStart w:id="1355" w:name="_Toc32341"/>
      <w:bookmarkStart w:id="1356" w:name="_Toc15639"/>
      <w:r>
        <w:rPr>
          <w:rFonts w:hint="eastAsia" w:ascii="Arial" w:hAnsi="Arial" w:eastAsia="黑体"/>
          <w:b/>
          <w:bCs/>
          <w:color w:val="auto"/>
          <w:sz w:val="32"/>
          <w:szCs w:val="32"/>
          <w:highlight w:val="none"/>
        </w:rPr>
        <w:t>3. 评标程序</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pPr>
        <w:numPr>
          <w:ilvl w:val="0"/>
          <w:numId w:val="5"/>
        </w:numPr>
        <w:spacing w:line="360" w:lineRule="auto"/>
        <w:ind w:left="0" w:firstLine="426"/>
        <w:rPr>
          <w:color w:val="auto"/>
          <w:highlight w:val="none"/>
        </w:rPr>
      </w:pPr>
      <w:bookmarkStart w:id="1357" w:name="_Toc436215774"/>
      <w:bookmarkStart w:id="1358" w:name="_Toc435178416"/>
      <w:bookmarkStart w:id="1359" w:name="_Toc422925642"/>
      <w:r>
        <w:rPr>
          <w:rFonts w:hint="eastAsia"/>
          <w:color w:val="auto"/>
          <w:highlight w:val="none"/>
        </w:rPr>
        <w:t>初步评审：</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color w:val="auto"/>
          <w:kern w:val="0"/>
          <w:szCs w:val="21"/>
          <w:highlight w:val="none"/>
        </w:rPr>
        <w:t>3.1.1</w:t>
      </w:r>
      <w:r>
        <w:rPr>
          <w:rFonts w:ascii="宋体" w:hAnsi="宋体" w:cs="宋体"/>
          <w:color w:val="auto"/>
          <w:kern w:val="0"/>
          <w:szCs w:val="21"/>
          <w:highlight w:val="none"/>
        </w:rPr>
        <w:t>评标委员会依据本章第</w:t>
      </w:r>
      <w:r>
        <w:rPr>
          <w:color w:val="auto"/>
          <w:kern w:val="0"/>
          <w:szCs w:val="21"/>
          <w:highlight w:val="none"/>
        </w:rPr>
        <w:t>2.1</w:t>
      </w:r>
      <w:r>
        <w:rPr>
          <w:rFonts w:ascii="宋体" w:hAnsi="宋体" w:cs="宋体"/>
          <w:color w:val="auto"/>
          <w:kern w:val="0"/>
          <w:szCs w:val="21"/>
          <w:highlight w:val="none"/>
        </w:rPr>
        <w:t>款规定的标准</w:t>
      </w:r>
      <w:r>
        <w:rPr>
          <w:rFonts w:hint="eastAsia" w:ascii="宋体" w:hAnsi="宋体" w:cs="宋体"/>
          <w:color w:val="auto"/>
          <w:kern w:val="0"/>
          <w:szCs w:val="21"/>
          <w:highlight w:val="none"/>
        </w:rPr>
        <w:t>，先</w:t>
      </w:r>
      <w:r>
        <w:rPr>
          <w:rFonts w:ascii="宋体" w:hAnsi="宋体" w:cs="宋体"/>
          <w:color w:val="auto"/>
          <w:kern w:val="0"/>
          <w:szCs w:val="21"/>
          <w:highlight w:val="none"/>
        </w:rPr>
        <w:t>对投标文件进行初步</w:t>
      </w:r>
      <w:r>
        <w:rPr>
          <w:rFonts w:hint="eastAsia" w:ascii="宋体" w:hAnsi="宋体" w:cs="宋体"/>
          <w:color w:val="auto"/>
          <w:kern w:val="0"/>
          <w:szCs w:val="21"/>
          <w:highlight w:val="none"/>
        </w:rPr>
        <w:t>审查</w:t>
      </w:r>
      <w:r>
        <w:rPr>
          <w:rFonts w:ascii="宋体" w:hAnsi="宋体" w:cs="宋体"/>
          <w:color w:val="auto"/>
          <w:kern w:val="0"/>
          <w:szCs w:val="21"/>
          <w:highlight w:val="none"/>
        </w:rPr>
        <w:t>。</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color w:val="auto"/>
          <w:kern w:val="0"/>
          <w:szCs w:val="21"/>
          <w:highlight w:val="none"/>
        </w:rPr>
        <w:t xml:space="preserve">3.1.2 </w:t>
      </w:r>
      <w:r>
        <w:rPr>
          <w:rFonts w:ascii="宋体" w:hAnsi="宋体" w:cs="宋体"/>
          <w:color w:val="auto"/>
          <w:kern w:val="0"/>
          <w:szCs w:val="21"/>
          <w:highlight w:val="none"/>
        </w:rPr>
        <w:t>投标人有以下情形之一的，评标委员会应当否决其投标：</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1</w:t>
      </w:r>
      <w:r>
        <w:rPr>
          <w:rFonts w:ascii="宋体" w:hAnsi="宋体" w:cs="宋体"/>
          <w:color w:val="auto"/>
          <w:kern w:val="0"/>
          <w:szCs w:val="21"/>
          <w:highlight w:val="none"/>
        </w:rPr>
        <w:t>）投标文件没有对招标文件的实质性要求和条件作出响应，或者对招标文件的偏差超出招标文件规定的偏差范围或最高项数；</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）有串通投标、弄虚作假、行贿等违法行为。</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color w:val="auto"/>
          <w:kern w:val="0"/>
          <w:szCs w:val="21"/>
          <w:highlight w:val="none"/>
        </w:rPr>
        <w:t xml:space="preserve">3.1.3 </w:t>
      </w:r>
      <w:r>
        <w:rPr>
          <w:rFonts w:ascii="宋体" w:hAnsi="宋体" w:cs="宋体"/>
          <w:color w:val="auto"/>
          <w:kern w:val="0"/>
          <w:szCs w:val="21"/>
          <w:highlight w:val="none"/>
        </w:rPr>
        <w:t>投标报价有算术错误及其他错误的，评标委员会按以下原则要求投标人对投标报价进行修正，并要求投标人书面澄清确认。投标人拒不澄清确认的，评标委员会应当否决其投标：</w:t>
      </w:r>
    </w:p>
    <w:p>
      <w:pPr>
        <w:autoSpaceDE w:val="0"/>
        <w:autoSpaceDN w:val="0"/>
        <w:adjustRightInd w:val="0"/>
        <w:spacing w:line="360" w:lineRule="auto"/>
        <w:ind w:firstLine="569" w:firstLineChars="270"/>
        <w:jc w:val="left"/>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w:t>
      </w:r>
      <w:r>
        <w:rPr>
          <w:rFonts w:ascii="宋体" w:hAnsi="宋体" w:cs="宋体"/>
          <w:b/>
          <w:bCs/>
          <w:color w:val="auto"/>
          <w:kern w:val="0"/>
          <w:szCs w:val="21"/>
          <w:highlight w:val="none"/>
        </w:rPr>
        <w:t>（1）</w:t>
      </w:r>
      <w:r>
        <w:rPr>
          <w:rFonts w:hint="eastAsia" w:ascii="宋体" w:hAnsi="宋体" w:cs="宋体"/>
          <w:b/>
          <w:bCs/>
          <w:color w:val="auto"/>
          <w:kern w:val="0"/>
          <w:szCs w:val="21"/>
          <w:highlight w:val="none"/>
        </w:rPr>
        <w:t>投标文件中开标一览表（报价表）内容与投标文件正本中相应实质性内容不一致的，投标文件无效。</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）投标文件中的大写金额与小写金额不一致的，以大写金额为准；</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3</w:t>
      </w:r>
      <w:r>
        <w:rPr>
          <w:rFonts w:ascii="宋体" w:hAnsi="宋体" w:cs="宋体"/>
          <w:color w:val="auto"/>
          <w:kern w:val="0"/>
          <w:szCs w:val="21"/>
          <w:highlight w:val="none"/>
        </w:rPr>
        <w:t>）总价金额与单价金额不一致的，以单价金额为准，但单价金额小数点有明显错误的除外；</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4</w:t>
      </w:r>
      <w:r>
        <w:rPr>
          <w:rFonts w:ascii="宋体" w:hAnsi="宋体" w:cs="宋体"/>
          <w:color w:val="auto"/>
          <w:kern w:val="0"/>
          <w:szCs w:val="21"/>
          <w:highlight w:val="none"/>
        </w:rPr>
        <w:t>）投标报价为各分项报价金额之和，投标报价与分项报价的合价不一致的，应以各分项合价累计数为准，修正投标报价；</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rFonts w:ascii="宋体" w:hAnsi="宋体" w:cs="宋体"/>
          <w:color w:val="auto"/>
          <w:kern w:val="0"/>
          <w:szCs w:val="21"/>
          <w:highlight w:val="none"/>
        </w:rPr>
        <w:t>（</w:t>
      </w:r>
      <w:r>
        <w:rPr>
          <w:rFonts w:hint="eastAsia"/>
          <w:color w:val="auto"/>
          <w:kern w:val="0"/>
          <w:szCs w:val="21"/>
          <w:highlight w:val="none"/>
        </w:rPr>
        <w:t>5</w:t>
      </w:r>
      <w:r>
        <w:rPr>
          <w:rFonts w:ascii="宋体" w:hAnsi="宋体" w:cs="宋体"/>
          <w:color w:val="auto"/>
          <w:kern w:val="0"/>
          <w:szCs w:val="21"/>
          <w:highlight w:val="none"/>
        </w:rPr>
        <w:t>）如果分项报价中存在缺漏项，则视为缺漏项价格已包含在其他分项报价之中。</w:t>
      </w:r>
    </w:p>
    <w:p>
      <w:pPr>
        <w:numPr>
          <w:ilvl w:val="0"/>
          <w:numId w:val="5"/>
        </w:numPr>
        <w:spacing w:line="360" w:lineRule="auto"/>
        <w:ind w:left="0" w:firstLine="426"/>
        <w:rPr>
          <w:color w:val="auto"/>
          <w:highlight w:val="none"/>
        </w:rPr>
      </w:pPr>
      <w:r>
        <w:rPr>
          <w:rFonts w:hint="eastAsia"/>
          <w:color w:val="auto"/>
          <w:highlight w:val="none"/>
        </w:rPr>
        <w:t>详细评审</w:t>
      </w:r>
    </w:p>
    <w:p>
      <w:pPr>
        <w:numPr>
          <w:ilvl w:val="0"/>
          <w:numId w:val="6"/>
        </w:numPr>
        <w:tabs>
          <w:tab w:val="left" w:pos="1134"/>
        </w:tabs>
        <w:spacing w:line="360" w:lineRule="auto"/>
        <w:ind w:left="0" w:firstLine="567"/>
        <w:rPr>
          <w:color w:val="auto"/>
          <w:highlight w:val="none"/>
        </w:rPr>
      </w:pPr>
      <w:r>
        <w:rPr>
          <w:rFonts w:hint="eastAsia"/>
          <w:color w:val="auto"/>
          <w:highlight w:val="none"/>
        </w:rPr>
        <w:t>按照本办法附表二《分值构成及评分标准》，评委对每个投标人的投标文件进行评价，并汇总每个投标人的得分。</w:t>
      </w:r>
    </w:p>
    <w:p>
      <w:pPr>
        <w:numPr>
          <w:ilvl w:val="0"/>
          <w:numId w:val="6"/>
        </w:numPr>
        <w:tabs>
          <w:tab w:val="left" w:pos="1134"/>
        </w:tabs>
        <w:spacing w:line="360" w:lineRule="auto"/>
        <w:ind w:left="0" w:firstLine="567"/>
        <w:rPr>
          <w:color w:val="auto"/>
          <w:highlight w:val="none"/>
        </w:rPr>
      </w:pPr>
      <w:r>
        <w:rPr>
          <w:color w:val="auto"/>
          <w:highlight w:val="none"/>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pPr>
        <w:numPr>
          <w:ilvl w:val="0"/>
          <w:numId w:val="5"/>
        </w:numPr>
        <w:spacing w:line="360" w:lineRule="auto"/>
        <w:ind w:left="0" w:firstLine="426"/>
        <w:rPr>
          <w:color w:val="auto"/>
          <w:highlight w:val="none"/>
        </w:rPr>
      </w:pPr>
      <w:r>
        <w:rPr>
          <w:color w:val="auto"/>
          <w:highlight w:val="none"/>
        </w:rPr>
        <w:t>投标文件的澄清</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color w:val="auto"/>
          <w:kern w:val="0"/>
          <w:szCs w:val="21"/>
          <w:highlight w:val="none"/>
        </w:rPr>
        <w:t xml:space="preserve">3.3.1 </w:t>
      </w:r>
      <w:r>
        <w:rPr>
          <w:rFonts w:ascii="宋体" w:hAnsi="宋体" w:cs="宋体"/>
          <w:color w:val="auto"/>
          <w:kern w:val="0"/>
          <w:szCs w:val="21"/>
          <w:highlight w:val="none"/>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autoSpaceDE w:val="0"/>
        <w:autoSpaceDN w:val="0"/>
        <w:adjustRightInd w:val="0"/>
        <w:spacing w:line="360" w:lineRule="auto"/>
        <w:ind w:firstLine="567" w:firstLineChars="270"/>
        <w:jc w:val="left"/>
        <w:rPr>
          <w:rFonts w:hint="eastAsia" w:ascii="宋体" w:hAnsi="宋体" w:cs="宋体"/>
          <w:color w:val="auto"/>
          <w:kern w:val="0"/>
          <w:szCs w:val="21"/>
          <w:highlight w:val="none"/>
        </w:rPr>
      </w:pPr>
      <w:r>
        <w:rPr>
          <w:color w:val="auto"/>
          <w:kern w:val="0"/>
          <w:szCs w:val="21"/>
          <w:highlight w:val="none"/>
        </w:rPr>
        <w:t xml:space="preserve">3.3.2 </w:t>
      </w:r>
      <w:r>
        <w:rPr>
          <w:rFonts w:ascii="宋体" w:hAnsi="宋体" w:cs="宋体"/>
          <w:color w:val="auto"/>
          <w:kern w:val="0"/>
          <w:szCs w:val="21"/>
          <w:highlight w:val="none"/>
        </w:rPr>
        <w:t>澄清、说明或补正不得超出投标文件的范围且不得改变投标文件的实质性内容，并构成投标文件的组成部分。</w:t>
      </w:r>
    </w:p>
    <w:p>
      <w:pPr>
        <w:tabs>
          <w:tab w:val="left" w:pos="993"/>
        </w:tabs>
        <w:spacing w:line="360" w:lineRule="auto"/>
        <w:ind w:firstLine="567" w:firstLineChars="270"/>
        <w:rPr>
          <w:color w:val="auto"/>
          <w:highlight w:val="none"/>
        </w:rPr>
      </w:pPr>
      <w:r>
        <w:rPr>
          <w:color w:val="auto"/>
          <w:kern w:val="0"/>
          <w:szCs w:val="21"/>
          <w:highlight w:val="none"/>
        </w:rPr>
        <w:t xml:space="preserve">3.3.3 </w:t>
      </w:r>
      <w:r>
        <w:rPr>
          <w:rFonts w:ascii="宋体" w:hAnsi="宋体" w:cs="宋体"/>
          <w:color w:val="auto"/>
          <w:kern w:val="0"/>
          <w:szCs w:val="21"/>
          <w:highlight w:val="none"/>
        </w:rPr>
        <w:t>评标委员会对投标人提交的澄清、说明或补正有疑问的，可以要求投标人进一步澄清、说明或补正，直至满足评标委员会的要求。</w:t>
      </w:r>
    </w:p>
    <w:p>
      <w:pPr>
        <w:numPr>
          <w:ilvl w:val="0"/>
          <w:numId w:val="5"/>
        </w:numPr>
        <w:spacing w:line="360" w:lineRule="auto"/>
        <w:ind w:left="0" w:firstLine="426"/>
        <w:rPr>
          <w:color w:val="auto"/>
          <w:highlight w:val="none"/>
        </w:rPr>
      </w:pPr>
      <w:r>
        <w:rPr>
          <w:rFonts w:hint="eastAsia"/>
          <w:color w:val="auto"/>
          <w:highlight w:val="none"/>
        </w:rPr>
        <w:t>汇总排序：各评委评分的算术平均值即为该投标人的分项得分。将各分项得分相加得出评审总得分（评审总得分分值按四舍五入原则精确到小数点后两位），评标结果按照总得分从高到低排序，</w:t>
      </w:r>
      <w:r>
        <w:rPr>
          <w:color w:val="auto"/>
          <w:highlight w:val="none"/>
        </w:rPr>
        <w:t>但投标报价低于其成本的除外</w:t>
      </w:r>
      <w:r>
        <w:rPr>
          <w:rFonts w:hint="eastAsia"/>
          <w:color w:val="auto"/>
          <w:highlight w:val="none"/>
        </w:rPr>
        <w:t>。</w:t>
      </w:r>
      <w:r>
        <w:rPr>
          <w:color w:val="auto"/>
          <w:highlight w:val="none"/>
        </w:rPr>
        <w:t>综合评分相等时，以投标报价低的优先；投标报价也相等的，</w:t>
      </w:r>
      <w:r>
        <w:rPr>
          <w:rFonts w:hint="eastAsia"/>
          <w:color w:val="auto"/>
          <w:highlight w:val="none"/>
        </w:rPr>
        <w:t>由评标委员会投票</w:t>
      </w:r>
      <w:r>
        <w:rPr>
          <w:color w:val="auto"/>
          <w:highlight w:val="none"/>
        </w:rPr>
        <w:t>确定</w:t>
      </w:r>
      <w:r>
        <w:rPr>
          <w:rFonts w:hint="eastAsia"/>
          <w:color w:val="auto"/>
          <w:highlight w:val="none"/>
        </w:rPr>
        <w:t>排序先后。</w:t>
      </w:r>
    </w:p>
    <w:p>
      <w:pPr>
        <w:numPr>
          <w:ilvl w:val="0"/>
          <w:numId w:val="5"/>
        </w:numPr>
        <w:spacing w:line="360" w:lineRule="auto"/>
        <w:ind w:left="0" w:firstLine="426"/>
        <w:rPr>
          <w:color w:val="auto"/>
          <w:highlight w:val="none"/>
        </w:rPr>
      </w:pPr>
      <w:r>
        <w:rPr>
          <w:rFonts w:hint="eastAsia"/>
          <w:color w:val="auto"/>
          <w:highlight w:val="none"/>
        </w:rPr>
        <w:t>推荐中标候选人：根据评标办法，评标委员会推荐一名中标候选人，并撰写评标报告。</w:t>
      </w:r>
      <w:bookmarkEnd w:id="1357"/>
      <w:bookmarkEnd w:id="1358"/>
      <w:bookmarkEnd w:id="1359"/>
    </w:p>
    <w:p>
      <w:pPr>
        <w:pStyle w:val="84"/>
        <w:spacing w:before="0" w:after="0" w:line="240" w:lineRule="auto"/>
        <w:outlineLvl w:val="0"/>
        <w:rPr>
          <w:color w:val="auto"/>
          <w:highlight w:val="none"/>
        </w:rPr>
      </w:pPr>
      <w:r>
        <w:rPr>
          <w:rFonts w:ascii="宋体" w:hAnsi="宋体" w:eastAsia="宋体" w:cs="宋体"/>
          <w:color w:val="auto"/>
          <w:highlight w:val="none"/>
        </w:rPr>
        <w:br w:type="page"/>
      </w:r>
      <w:bookmarkStart w:id="1360" w:name="_Toc21641"/>
      <w:bookmarkStart w:id="1361" w:name="_Toc22459"/>
      <w:bookmarkStart w:id="1362" w:name="_Toc9517"/>
      <w:bookmarkStart w:id="1363" w:name="_Toc28127"/>
      <w:bookmarkStart w:id="1364" w:name="_Toc24571"/>
      <w:bookmarkStart w:id="1365" w:name="_Toc15020"/>
      <w:bookmarkStart w:id="1366" w:name="_Toc25511"/>
      <w:bookmarkStart w:id="1367" w:name="_Toc3597"/>
      <w:bookmarkStart w:id="1368" w:name="_Toc15762"/>
      <w:bookmarkStart w:id="1369" w:name="_Toc32291"/>
      <w:bookmarkStart w:id="1370" w:name="_Toc4722"/>
      <w:bookmarkStart w:id="1371" w:name="_Toc10135"/>
      <w:bookmarkStart w:id="1372" w:name="_Toc10787"/>
      <w:bookmarkStart w:id="1373" w:name="_Toc9683"/>
      <w:bookmarkStart w:id="1374" w:name="_Toc10397"/>
      <w:bookmarkStart w:id="1375" w:name="_Toc14871"/>
      <w:bookmarkStart w:id="1376" w:name="_Toc10902"/>
      <w:bookmarkStart w:id="1377" w:name="_Toc28408"/>
      <w:bookmarkStart w:id="1378" w:name="_Toc27635"/>
      <w:bookmarkStart w:id="1379" w:name="_Toc29451"/>
      <w:bookmarkStart w:id="1380" w:name="_Toc2135"/>
      <w:bookmarkStart w:id="1381" w:name="_Toc2552"/>
      <w:bookmarkStart w:id="1382" w:name="_Toc3561"/>
      <w:r>
        <w:rPr>
          <w:rFonts w:hint="eastAsia" w:ascii="宋体" w:hAnsi="宋体" w:eastAsia="宋体" w:cs="宋体"/>
          <w:color w:val="auto"/>
          <w:highlight w:val="none"/>
        </w:rPr>
        <w:t>附表一：《资格性和有效性审查表》</w:t>
      </w:r>
      <w:bookmarkEnd w:id="1272"/>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p>
    <w:tbl>
      <w:tblPr>
        <w:tblStyle w:val="4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87"/>
        <w:gridCol w:w="1593"/>
        <w:gridCol w:w="2160"/>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条款号</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rFonts w:hint="eastAsia"/>
                <w:b/>
                <w:color w:val="auto"/>
                <w:szCs w:val="21"/>
                <w:highlight w:val="none"/>
              </w:rPr>
              <w:t>审查项目</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rFonts w:hint="eastAsia"/>
                <w:b/>
                <w:color w:val="auto"/>
                <w:szCs w:val="21"/>
                <w:highlight w:val="none"/>
              </w:rPr>
              <w:t>审查</w:t>
            </w:r>
            <w:r>
              <w:rPr>
                <w:b/>
                <w:color w:val="auto"/>
                <w:szCs w:val="21"/>
                <w:highlight w:val="none"/>
              </w:rPr>
              <w:t>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rFonts w:hint="eastAsia"/>
                <w:color w:val="auto"/>
                <w:szCs w:val="21"/>
                <w:highlight w:val="none"/>
              </w:rPr>
              <w:t>资格性审查</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投标人资格要求</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jc w:val="left"/>
              <w:rPr>
                <w:color w:val="auto"/>
                <w:szCs w:val="21"/>
                <w:highlight w:val="none"/>
              </w:rPr>
            </w:pPr>
            <w:r>
              <w:rPr>
                <w:rFonts w:hint="eastAsia"/>
                <w:color w:val="auto"/>
                <w:szCs w:val="21"/>
                <w:highlight w:val="none"/>
              </w:rPr>
              <w:t>见招标公告第3项投标人资格要求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有效性审查</w:t>
            </w:r>
          </w:p>
        </w:tc>
        <w:tc>
          <w:tcPr>
            <w:tcW w:w="1593"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形式评审标准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投标人名称</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与营业执照、资质证书一致</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Height w:val="591" w:hRule="atLeas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投标函签字盖章</w:t>
            </w:r>
          </w:p>
        </w:tc>
        <w:tc>
          <w:tcPr>
            <w:tcW w:w="4680" w:type="dxa"/>
            <w:tcBorders>
              <w:top w:val="single" w:color="auto" w:sz="4" w:space="0"/>
              <w:left w:val="single" w:color="auto" w:sz="4" w:space="0"/>
              <w:bottom w:val="single" w:color="auto" w:sz="4" w:space="0"/>
              <w:right w:val="single" w:color="auto" w:sz="4" w:space="0"/>
            </w:tcBorders>
            <w:vAlign w:val="center"/>
          </w:tcPr>
          <w:p>
            <w:pPr>
              <w:rPr>
                <w:color w:val="auto"/>
                <w:szCs w:val="21"/>
                <w:highlight w:val="none"/>
              </w:rPr>
            </w:pPr>
            <w:r>
              <w:rPr>
                <w:color w:val="auto"/>
                <w:szCs w:val="21"/>
                <w:highlight w:val="none"/>
              </w:rPr>
              <w:t>有法定代表人或其委托代理人签字或加盖单位</w:t>
            </w:r>
            <w:r>
              <w:rPr>
                <w:rFonts w:hint="eastAsia"/>
                <w:color w:val="auto"/>
                <w:szCs w:val="21"/>
                <w:highlight w:val="none"/>
              </w:rPr>
              <w:t>公</w:t>
            </w:r>
            <w:r>
              <w:rPr>
                <w:color w:val="auto"/>
                <w:szCs w:val="21"/>
                <w:highlight w:val="none"/>
              </w:rPr>
              <w:t>章</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报价唯一</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只能有一个有效报价</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响应性评审标准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投标报价</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w:t>
            </w:r>
            <w:r>
              <w:rPr>
                <w:rFonts w:hint="eastAsia"/>
                <w:color w:val="auto"/>
                <w:szCs w:val="21"/>
                <w:highlight w:val="none"/>
              </w:rPr>
              <w:t>2</w:t>
            </w:r>
            <w:r>
              <w:rPr>
                <w:color w:val="auto"/>
                <w:szCs w:val="21"/>
                <w:highlight w:val="none"/>
              </w:rPr>
              <w:t>项规定</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投标有效期</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.3.</w:t>
            </w:r>
            <w:r>
              <w:rPr>
                <w:rFonts w:hint="eastAsia"/>
                <w:color w:val="auto"/>
                <w:szCs w:val="21"/>
                <w:highlight w:val="none"/>
              </w:rPr>
              <w:t>1</w:t>
            </w:r>
            <w:r>
              <w:rPr>
                <w:color w:val="auto"/>
                <w:szCs w:val="21"/>
                <w:highlight w:val="none"/>
              </w:rPr>
              <w:t>项规</w:t>
            </w:r>
            <w:r>
              <w:rPr>
                <w:rFonts w:hint="eastAsia"/>
                <w:color w:val="auto"/>
                <w:szCs w:val="21"/>
                <w:highlight w:val="none"/>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投标保证金</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符合第二章“投标人须知”第3.4</w:t>
            </w:r>
            <w:r>
              <w:rPr>
                <w:rFonts w:hint="eastAsia"/>
                <w:color w:val="auto"/>
                <w:szCs w:val="21"/>
                <w:highlight w:val="none"/>
              </w:rPr>
              <w:t>.1项</w:t>
            </w:r>
            <w:r>
              <w:rPr>
                <w:color w:val="auto"/>
                <w:szCs w:val="21"/>
                <w:highlight w:val="none"/>
              </w:rPr>
              <w:t>规定</w:t>
            </w:r>
            <w:r>
              <w:rPr>
                <w:rFonts w:hint="eastAsia"/>
                <w:color w:val="auto"/>
                <w:szCs w:val="21"/>
                <w:highlight w:val="none"/>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jc w:val="center"/>
              <w:rPr>
                <w:color w:val="auto"/>
                <w:szCs w:val="21"/>
                <w:highlight w:val="none"/>
              </w:rPr>
            </w:pPr>
            <w:r>
              <w:rPr>
                <w:rFonts w:hint="eastAsia"/>
                <w:color w:val="auto"/>
                <w:szCs w:val="21"/>
                <w:highlight w:val="none"/>
              </w:rPr>
              <w:t>实质性响应</w:t>
            </w:r>
          </w:p>
        </w:tc>
        <w:tc>
          <w:tcPr>
            <w:tcW w:w="4680" w:type="dxa"/>
            <w:tcBorders>
              <w:top w:val="single" w:color="auto" w:sz="4" w:space="0"/>
              <w:left w:val="single" w:color="auto" w:sz="4" w:space="0"/>
              <w:bottom w:val="single" w:color="auto" w:sz="4" w:space="0"/>
              <w:right w:val="single" w:color="auto" w:sz="4" w:space="0"/>
            </w:tcBorders>
            <w:vAlign w:val="center"/>
          </w:tcPr>
          <w:p>
            <w:pPr>
              <w:snapToGrid w:val="0"/>
              <w:rPr>
                <w:color w:val="auto"/>
                <w:szCs w:val="21"/>
                <w:highlight w:val="none"/>
              </w:rPr>
            </w:pPr>
            <w:r>
              <w:rPr>
                <w:rFonts w:hint="eastAsia"/>
                <w:color w:val="auto"/>
                <w:szCs w:val="21"/>
                <w:highlight w:val="none"/>
              </w:rPr>
              <w:t>响应本招标文件“</w:t>
            </w:r>
            <w:r>
              <w:rPr>
                <w:rFonts w:hint="eastAsia" w:ascii="微软雅黑" w:hAnsi="微软雅黑" w:eastAsia="微软雅黑" w:cs="微软雅黑"/>
                <w:color w:val="auto"/>
                <w:szCs w:val="21"/>
                <w:highlight w:val="none"/>
              </w:rPr>
              <w:t>★</w:t>
            </w:r>
            <w:r>
              <w:rPr>
                <w:rFonts w:hint="eastAsia"/>
                <w:color w:val="auto"/>
                <w:szCs w:val="21"/>
                <w:highlight w:val="none"/>
              </w:rPr>
              <w:t>”条款，也没有其他未实质性响应文件的要求的。</w:t>
            </w:r>
          </w:p>
        </w:tc>
      </w:tr>
    </w:tbl>
    <w:p>
      <w:pPr>
        <w:pStyle w:val="84"/>
        <w:keepNext w:val="0"/>
        <w:keepLines w:val="0"/>
        <w:spacing w:before="0" w:after="0" w:line="400" w:lineRule="exact"/>
        <w:outlineLvl w:val="9"/>
        <w:rPr>
          <w:color w:val="auto"/>
          <w:kern w:val="0"/>
          <w:highlight w:val="none"/>
        </w:rPr>
      </w:pPr>
    </w:p>
    <w:p>
      <w:pPr>
        <w:pStyle w:val="84"/>
        <w:keepNext w:val="0"/>
        <w:keepLines w:val="0"/>
        <w:spacing w:before="0" w:after="0" w:line="400" w:lineRule="exact"/>
        <w:outlineLvl w:val="0"/>
        <w:rPr>
          <w:color w:val="auto"/>
          <w:kern w:val="0"/>
          <w:highlight w:val="none"/>
        </w:rPr>
      </w:pPr>
      <w:bookmarkStart w:id="1383" w:name="_Toc7253"/>
      <w:bookmarkStart w:id="1384" w:name="_Toc13550"/>
      <w:bookmarkStart w:id="1385" w:name="_Toc16454"/>
      <w:bookmarkStart w:id="1386" w:name="_Toc21179"/>
      <w:bookmarkStart w:id="1387" w:name="_Toc4496"/>
      <w:bookmarkStart w:id="1388" w:name="_Toc11795"/>
      <w:bookmarkStart w:id="1389" w:name="_Toc25714"/>
      <w:bookmarkStart w:id="1390" w:name="_Toc52"/>
      <w:bookmarkStart w:id="1391" w:name="_Toc4675"/>
      <w:bookmarkStart w:id="1392" w:name="_Toc11992"/>
      <w:bookmarkStart w:id="1393" w:name="_Toc26266"/>
      <w:bookmarkStart w:id="1394" w:name="_Toc25079"/>
      <w:bookmarkStart w:id="1395" w:name="_Toc22348"/>
      <w:bookmarkStart w:id="1396" w:name="_Toc3519"/>
      <w:bookmarkStart w:id="1397" w:name="_Toc9046"/>
      <w:bookmarkStart w:id="1398" w:name="_Toc31070"/>
      <w:bookmarkStart w:id="1399" w:name="_Toc7644"/>
      <w:bookmarkStart w:id="1400" w:name="_Toc24563"/>
      <w:r>
        <w:rPr>
          <w:rFonts w:hint="eastAsia"/>
          <w:color w:val="auto"/>
          <w:kern w:val="0"/>
          <w:highlight w:val="none"/>
        </w:rPr>
        <w:t>附表二</w:t>
      </w:r>
      <w:r>
        <w:rPr>
          <w:rFonts w:hint="eastAsia" w:eastAsia="宋体"/>
          <w:color w:val="auto"/>
          <w:kern w:val="0"/>
          <w:highlight w:val="none"/>
        </w:rPr>
        <w:t>：</w:t>
      </w:r>
      <w:r>
        <w:rPr>
          <w:rFonts w:hint="eastAsia"/>
          <w:color w:val="auto"/>
          <w:kern w:val="0"/>
          <w:highlight w:val="none"/>
        </w:rPr>
        <w:t>《分值构成及评分标准》</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pPr>
        <w:rPr>
          <w:color w:val="auto"/>
          <w:highlight w:val="none"/>
        </w:rPr>
      </w:pPr>
    </w:p>
    <w:tbl>
      <w:tblPr>
        <w:tblStyle w:val="41"/>
        <w:tblW w:w="90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6"/>
        <w:gridCol w:w="348"/>
        <w:gridCol w:w="74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1206" w:type="dxa"/>
            <w:tcBorders>
              <w:bottom w:val="single" w:color="auto" w:sz="4" w:space="0"/>
            </w:tcBorders>
            <w:vAlign w:val="center"/>
          </w:tcPr>
          <w:p>
            <w:pPr>
              <w:spacing w:line="360" w:lineRule="auto"/>
              <w:rPr>
                <w:rFonts w:hint="eastAsia" w:ascii="宋体" w:hAnsi="宋体"/>
                <w:b/>
                <w:bCs/>
                <w:color w:val="auto"/>
                <w:highlight w:val="none"/>
              </w:rPr>
            </w:pPr>
            <w:r>
              <w:rPr>
                <w:rFonts w:hint="eastAsia" w:ascii="宋体" w:hAnsi="宋体"/>
                <w:b/>
                <w:bCs/>
                <w:color w:val="auto"/>
                <w:highlight w:val="none"/>
              </w:rPr>
              <w:t>分项内容</w:t>
            </w:r>
          </w:p>
        </w:tc>
        <w:tc>
          <w:tcPr>
            <w:tcW w:w="7830"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评 分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trPr>
        <w:tc>
          <w:tcPr>
            <w:tcW w:w="9036" w:type="dxa"/>
            <w:gridSpan w:val="3"/>
            <w:tcBorders>
              <w:bottom w:val="single" w:color="auto" w:sz="4" w:space="0"/>
            </w:tcBorders>
            <w:vAlign w:val="center"/>
          </w:tcPr>
          <w:p>
            <w:pPr>
              <w:tabs>
                <w:tab w:val="left" w:pos="635"/>
              </w:tabs>
              <w:spacing w:line="360" w:lineRule="auto"/>
              <w:jc w:val="left"/>
              <w:rPr>
                <w:rFonts w:hint="eastAsia" w:ascii="宋体" w:hAnsi="宋体"/>
                <w:b/>
                <w:bCs/>
                <w:color w:val="auto"/>
                <w:highlight w:val="none"/>
              </w:rPr>
            </w:pPr>
            <w:r>
              <w:rPr>
                <w:rFonts w:hint="eastAsia" w:ascii="宋体" w:hAnsi="宋体"/>
                <w:b/>
                <w:bCs/>
                <w:color w:val="auto"/>
                <w:highlight w:val="none"/>
              </w:rPr>
              <w:t>1、商务评审（分值30分）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trPr>
        <w:tc>
          <w:tcPr>
            <w:tcW w:w="1554"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业绩</w:t>
            </w:r>
          </w:p>
          <w:p>
            <w:pPr>
              <w:spacing w:line="360" w:lineRule="auto"/>
              <w:jc w:val="center"/>
              <w:rPr>
                <w:rFonts w:hint="eastAsia" w:ascii="宋体" w:hAnsi="宋体"/>
                <w:b/>
                <w:bCs/>
                <w:color w:val="auto"/>
                <w:highlight w:val="none"/>
              </w:rPr>
            </w:pPr>
            <w:r>
              <w:rPr>
                <w:rFonts w:hint="eastAsia" w:ascii="宋体" w:hAnsi="宋体"/>
                <w:b/>
                <w:bCs/>
                <w:color w:val="auto"/>
                <w:highlight w:val="none"/>
              </w:rPr>
              <w:t>（10分）</w:t>
            </w:r>
          </w:p>
        </w:tc>
        <w:tc>
          <w:tcPr>
            <w:tcW w:w="7482" w:type="dxa"/>
            <w:tcBorders>
              <w:bottom w:val="single" w:color="auto" w:sz="4" w:space="0"/>
            </w:tcBorders>
            <w:vAlign w:val="center"/>
          </w:tcPr>
          <w:p>
            <w:pPr>
              <w:tabs>
                <w:tab w:val="left" w:pos="720"/>
              </w:tabs>
              <w:autoSpaceDE w:val="0"/>
              <w:autoSpaceDN w:val="0"/>
              <w:adjustRightInd w:val="0"/>
              <w:spacing w:line="360" w:lineRule="auto"/>
              <w:ind w:right="18"/>
              <w:jc w:val="left"/>
              <w:rPr>
                <w:rFonts w:hint="eastAsia" w:ascii="宋体" w:hAnsi="宋体"/>
                <w:color w:val="auto"/>
                <w:highlight w:val="none"/>
              </w:rPr>
            </w:pPr>
            <w:r>
              <w:rPr>
                <w:rFonts w:hint="eastAsia" w:ascii="宋体" w:hAnsi="宋体"/>
                <w:color w:val="auto"/>
                <w:highlight w:val="none"/>
              </w:rPr>
              <w:t>投标人2022年1月1日至今所签订的单笔合同4万平米以上甲级写字楼或5万平米以上物业保洁同类项目，除资格条件提供的1个同类项目外，每再提供一个同类项目得</w:t>
            </w:r>
            <w:r>
              <w:rPr>
                <w:rFonts w:ascii="宋体" w:hAnsi="宋体"/>
                <w:color w:val="auto"/>
                <w:highlight w:val="none"/>
              </w:rPr>
              <w:t>2</w:t>
            </w:r>
            <w:r>
              <w:rPr>
                <w:rFonts w:hint="eastAsia" w:ascii="宋体" w:hAnsi="宋体"/>
                <w:color w:val="auto"/>
                <w:highlight w:val="none"/>
              </w:rPr>
              <w:t>分，本项最高10分。</w:t>
            </w:r>
          </w:p>
          <w:p>
            <w:pPr>
              <w:tabs>
                <w:tab w:val="left" w:pos="720"/>
              </w:tabs>
              <w:autoSpaceDE w:val="0"/>
              <w:autoSpaceDN w:val="0"/>
              <w:adjustRightInd w:val="0"/>
              <w:spacing w:line="360" w:lineRule="auto"/>
              <w:ind w:right="18"/>
              <w:jc w:val="left"/>
              <w:rPr>
                <w:rFonts w:hint="eastAsia" w:ascii="宋体" w:hAnsi="宋体"/>
                <w:b/>
                <w:bCs/>
                <w:color w:val="auto"/>
                <w:highlight w:val="none"/>
              </w:rPr>
            </w:pPr>
            <w:r>
              <w:rPr>
                <w:rFonts w:hint="eastAsia" w:ascii="宋体" w:hAnsi="宋体"/>
                <w:b/>
                <w:color w:val="auto"/>
                <w:highlight w:val="none"/>
              </w:rPr>
              <w:t>注：业绩时间以合同时间为准。须提供合同关键页（含签订合同双方的单位名称、合同项目名称、保洁面积、签订合同双方的落款盖章）复印件，未按要求提供不得分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8" w:hRule="atLeast"/>
        </w:trPr>
        <w:tc>
          <w:tcPr>
            <w:tcW w:w="1554"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财务状况（5分）</w:t>
            </w:r>
          </w:p>
        </w:tc>
        <w:tc>
          <w:tcPr>
            <w:tcW w:w="7482" w:type="dxa"/>
            <w:tcBorders>
              <w:bottom w:val="single" w:color="auto" w:sz="4" w:space="0"/>
            </w:tcBorders>
            <w:vAlign w:val="center"/>
          </w:tcPr>
          <w:p>
            <w:pPr>
              <w:widowControl/>
              <w:spacing w:line="360" w:lineRule="auto"/>
              <w:jc w:val="left"/>
              <w:rPr>
                <w:rFonts w:hint="eastAsia" w:ascii="宋体" w:hAnsi="宋体" w:cs="宋体"/>
                <w:color w:val="auto"/>
                <w:kern w:val="0"/>
                <w:szCs w:val="20"/>
                <w:highlight w:val="none"/>
                <w:lang w:bidi="ar"/>
              </w:rPr>
            </w:pPr>
            <w:r>
              <w:rPr>
                <w:rFonts w:hint="eastAsia" w:ascii="宋体" w:hAnsi="宋体" w:cs="宋体"/>
                <w:color w:val="auto"/>
                <w:kern w:val="0"/>
                <w:szCs w:val="20"/>
                <w:highlight w:val="none"/>
                <w:lang w:bidi="ar"/>
              </w:rPr>
              <w:t>投标人提供2022、2023、2024年经第三方审计的财务报表。</w:t>
            </w:r>
          </w:p>
          <w:p>
            <w:pPr>
              <w:widowControl/>
              <w:spacing w:line="360" w:lineRule="auto"/>
              <w:jc w:val="left"/>
              <w:rPr>
                <w:rFonts w:hint="eastAsia" w:ascii="宋体" w:hAnsi="宋体" w:cs="宋体"/>
                <w:color w:val="auto"/>
                <w:kern w:val="0"/>
                <w:szCs w:val="20"/>
                <w:highlight w:val="none"/>
                <w:lang w:bidi="ar"/>
              </w:rPr>
            </w:pPr>
            <w:r>
              <w:rPr>
                <w:rFonts w:hint="eastAsia" w:ascii="宋体" w:hAnsi="宋体" w:cs="宋体"/>
                <w:color w:val="auto"/>
                <w:kern w:val="0"/>
                <w:szCs w:val="20"/>
                <w:highlight w:val="none"/>
                <w:lang w:bidi="ar"/>
              </w:rPr>
              <w:t>①连续三年净利润为正的或三年平均资产负债率≤25%，得5分；</w:t>
            </w:r>
          </w:p>
          <w:p>
            <w:pPr>
              <w:widowControl/>
              <w:spacing w:line="360" w:lineRule="auto"/>
              <w:jc w:val="left"/>
              <w:rPr>
                <w:rFonts w:hint="eastAsia" w:ascii="宋体" w:hAnsi="宋体" w:cs="宋体"/>
                <w:color w:val="auto"/>
                <w:kern w:val="0"/>
                <w:szCs w:val="20"/>
                <w:highlight w:val="none"/>
                <w:lang w:bidi="ar"/>
              </w:rPr>
            </w:pPr>
            <w:r>
              <w:rPr>
                <w:rFonts w:hint="eastAsia" w:ascii="宋体" w:hAnsi="宋体" w:cs="宋体"/>
                <w:color w:val="auto"/>
                <w:kern w:val="0"/>
                <w:szCs w:val="20"/>
                <w:highlight w:val="none"/>
                <w:lang w:bidi="ar"/>
              </w:rPr>
              <w:t>②连续两年净利润为正的或三年平均25%＜资产负债率≤30%，得3分；</w:t>
            </w:r>
          </w:p>
          <w:p>
            <w:pPr>
              <w:widowControl/>
              <w:spacing w:line="360" w:lineRule="auto"/>
              <w:jc w:val="left"/>
              <w:rPr>
                <w:color w:val="auto"/>
                <w:highlight w:val="none"/>
              </w:rPr>
            </w:pPr>
            <w:r>
              <w:rPr>
                <w:rFonts w:hint="eastAsia" w:ascii="宋体" w:hAnsi="宋体" w:cs="宋体"/>
                <w:color w:val="auto"/>
                <w:kern w:val="0"/>
                <w:szCs w:val="20"/>
                <w:highlight w:val="none"/>
                <w:lang w:bidi="ar"/>
              </w:rPr>
              <w:t>③任意一年净利润为正的或三年平均30%＜资产负债率≤35%，得1分，其他情况不得分。</w:t>
            </w:r>
          </w:p>
          <w:p>
            <w:pPr>
              <w:spacing w:line="360" w:lineRule="auto"/>
              <w:jc w:val="left"/>
              <w:rPr>
                <w:rFonts w:hint="eastAsia" w:ascii="宋体" w:hAnsi="宋体"/>
                <w:b/>
                <w:bCs/>
                <w:color w:val="auto"/>
                <w:highlight w:val="none"/>
              </w:rPr>
            </w:pPr>
            <w:r>
              <w:rPr>
                <w:rFonts w:hint="eastAsia" w:ascii="宋体" w:hAnsi="宋体" w:cs="宋体"/>
                <w:b/>
                <w:bCs/>
                <w:color w:val="auto"/>
                <w:kern w:val="0"/>
                <w:szCs w:val="20"/>
                <w:highlight w:val="none"/>
                <w:lang w:bidi="ar"/>
              </w:rPr>
              <w:t>注：投标人需提供经第三方审计的</w:t>
            </w:r>
            <w:r>
              <w:rPr>
                <w:b/>
                <w:bCs/>
                <w:color w:val="auto"/>
                <w:highlight w:val="none"/>
              </w:rPr>
              <w:t>有会计师事务所签字页审计报告封面及财务报表</w:t>
            </w:r>
            <w:r>
              <w:rPr>
                <w:rFonts w:hint="eastAsia" w:ascii="宋体" w:hAnsi="宋体" w:cs="宋体"/>
                <w:b/>
                <w:bCs/>
                <w:color w:val="auto"/>
                <w:kern w:val="0"/>
                <w:szCs w:val="20"/>
                <w:highlight w:val="none"/>
                <w:lang w:bidi="ar"/>
              </w:rPr>
              <w:t>，未按要求的证明材料不得分。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554"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拟投入本项目管理人员的专业素质</w:t>
            </w:r>
          </w:p>
          <w:p>
            <w:pPr>
              <w:spacing w:line="360" w:lineRule="auto"/>
              <w:jc w:val="center"/>
              <w:rPr>
                <w:rFonts w:hint="eastAsia" w:ascii="宋体" w:hAnsi="宋体"/>
                <w:color w:val="auto"/>
                <w:highlight w:val="none"/>
              </w:rPr>
            </w:pPr>
            <w:r>
              <w:rPr>
                <w:rFonts w:hint="eastAsia" w:ascii="宋体" w:hAnsi="宋体"/>
                <w:b/>
                <w:bCs/>
                <w:color w:val="auto"/>
                <w:highlight w:val="none"/>
              </w:rPr>
              <w:t>（10分）</w:t>
            </w:r>
          </w:p>
        </w:tc>
        <w:tc>
          <w:tcPr>
            <w:tcW w:w="7482" w:type="dxa"/>
            <w:tcBorders>
              <w:bottom w:val="single" w:color="auto" w:sz="4" w:space="0"/>
            </w:tcBorders>
            <w:vAlign w:val="center"/>
          </w:tcPr>
          <w:p>
            <w:pPr>
              <w:spacing w:line="440" w:lineRule="exact"/>
              <w:jc w:val="left"/>
              <w:rPr>
                <w:color w:val="auto"/>
                <w:highlight w:val="none"/>
              </w:rPr>
            </w:pPr>
            <w:r>
              <w:rPr>
                <w:color w:val="auto"/>
                <w:highlight w:val="none"/>
              </w:rPr>
              <w:t>考察对比投标人拟投入本项目管理人员（经理和主管）的专业素质，本项最高</w:t>
            </w:r>
            <w:r>
              <w:rPr>
                <w:rFonts w:hint="eastAsia"/>
                <w:color w:val="auto"/>
                <w:highlight w:val="none"/>
              </w:rPr>
              <w:t>10</w:t>
            </w:r>
            <w:r>
              <w:rPr>
                <w:color w:val="auto"/>
                <w:highlight w:val="none"/>
              </w:rPr>
              <w:t>分。</w:t>
            </w:r>
          </w:p>
          <w:p>
            <w:pPr>
              <w:spacing w:line="440" w:lineRule="exact"/>
              <w:jc w:val="left"/>
              <w:rPr>
                <w:b/>
                <w:bCs/>
                <w:color w:val="auto"/>
                <w:highlight w:val="none"/>
              </w:rPr>
            </w:pPr>
            <w:r>
              <w:rPr>
                <w:b/>
                <w:bCs/>
                <w:color w:val="auto"/>
                <w:highlight w:val="none"/>
              </w:rPr>
              <w:t>1.</w:t>
            </w:r>
            <w:r>
              <w:rPr>
                <w:rFonts w:hint="eastAsia"/>
                <w:b/>
                <w:bCs/>
                <w:color w:val="auto"/>
                <w:highlight w:val="none"/>
              </w:rPr>
              <w:t>拟委派本项目经理1人。</w:t>
            </w:r>
          </w:p>
          <w:p>
            <w:pPr>
              <w:spacing w:line="440" w:lineRule="exact"/>
              <w:jc w:val="left"/>
              <w:rPr>
                <w:color w:val="auto"/>
                <w:highlight w:val="none"/>
              </w:rPr>
            </w:pPr>
            <w:r>
              <w:rPr>
                <w:color w:val="auto"/>
                <w:highlight w:val="none"/>
              </w:rPr>
              <w:t>（1）具有大专或以上学历证明，得</w:t>
            </w:r>
            <w:r>
              <w:rPr>
                <w:rFonts w:hint="eastAsia"/>
                <w:color w:val="auto"/>
                <w:highlight w:val="none"/>
              </w:rPr>
              <w:t>0.5</w:t>
            </w:r>
            <w:r>
              <w:rPr>
                <w:color w:val="auto"/>
                <w:highlight w:val="none"/>
              </w:rPr>
              <w:t>分；</w:t>
            </w:r>
          </w:p>
          <w:p>
            <w:pPr>
              <w:spacing w:line="440" w:lineRule="exact"/>
              <w:jc w:val="left"/>
              <w:rPr>
                <w:color w:val="auto"/>
                <w:highlight w:val="none"/>
              </w:rPr>
            </w:pPr>
            <w:r>
              <w:rPr>
                <w:color w:val="auto"/>
                <w:highlight w:val="none"/>
              </w:rPr>
              <w:t>（2）</w:t>
            </w:r>
            <w:r>
              <w:rPr>
                <w:rFonts w:hint="eastAsia"/>
                <w:color w:val="auto"/>
                <w:highlight w:val="none"/>
              </w:rPr>
              <w:t>每担任过1个类似保洁服务项目（合同金额需在150万元及以上）的项目负责人，得1分，最高得3分；</w:t>
            </w:r>
          </w:p>
          <w:p>
            <w:pPr>
              <w:spacing w:line="440" w:lineRule="exact"/>
              <w:jc w:val="left"/>
              <w:rPr>
                <w:color w:val="auto"/>
                <w:highlight w:val="none"/>
              </w:rPr>
            </w:pPr>
            <w:r>
              <w:rPr>
                <w:rFonts w:hint="eastAsia"/>
                <w:color w:val="auto"/>
                <w:highlight w:val="none"/>
              </w:rPr>
              <w:t>（3）每有一项同类项目（依据上面第（2）点同类项目经验）获得类似优的评价（如优秀、好、满意等）得0.5分，最高得1.5分。</w:t>
            </w:r>
          </w:p>
          <w:p>
            <w:pPr>
              <w:spacing w:line="440" w:lineRule="exact"/>
              <w:jc w:val="left"/>
              <w:rPr>
                <w:color w:val="auto"/>
                <w:highlight w:val="none"/>
              </w:rPr>
            </w:pPr>
            <w:r>
              <w:rPr>
                <w:rFonts w:hint="eastAsia"/>
                <w:color w:val="auto"/>
                <w:highlight w:val="none"/>
              </w:rPr>
              <w:t>（4）</w:t>
            </w:r>
            <w:r>
              <w:rPr>
                <w:color w:val="auto"/>
                <w:highlight w:val="none"/>
              </w:rPr>
              <w:t>具有</w:t>
            </w:r>
            <w:r>
              <w:rPr>
                <w:rFonts w:hint="eastAsia"/>
                <w:color w:val="auto"/>
                <w:highlight w:val="none"/>
              </w:rPr>
              <w:t>行政主管部门</w:t>
            </w:r>
            <w:r>
              <w:rPr>
                <w:color w:val="auto"/>
                <w:highlight w:val="none"/>
              </w:rPr>
              <w:t>颁发的</w:t>
            </w:r>
            <w:bookmarkStart w:id="1401" w:name="OLE_LINK1"/>
            <w:bookmarkStart w:id="1402" w:name="OLE_LINK4"/>
            <w:r>
              <w:rPr>
                <w:color w:val="auto"/>
                <w:highlight w:val="none"/>
              </w:rPr>
              <w:t>物业</w:t>
            </w:r>
            <w:r>
              <w:rPr>
                <w:rFonts w:hint="eastAsia"/>
                <w:color w:val="auto"/>
                <w:highlight w:val="none"/>
              </w:rPr>
              <w:t>管理师</w:t>
            </w:r>
            <w:bookmarkEnd w:id="1401"/>
            <w:r>
              <w:rPr>
                <w:rFonts w:hint="eastAsia"/>
                <w:color w:val="auto"/>
                <w:highlight w:val="none"/>
              </w:rPr>
              <w:t>资格</w:t>
            </w:r>
            <w:r>
              <w:rPr>
                <w:color w:val="auto"/>
                <w:highlight w:val="none"/>
              </w:rPr>
              <w:t>证书</w:t>
            </w:r>
            <w:bookmarkEnd w:id="1402"/>
            <w:r>
              <w:rPr>
                <w:color w:val="auto"/>
                <w:highlight w:val="none"/>
              </w:rPr>
              <w:t>或</w:t>
            </w:r>
            <w:bookmarkStart w:id="1403" w:name="OLE_LINK2"/>
            <w:bookmarkStart w:id="1404" w:name="OLE_LINK5"/>
            <w:r>
              <w:rPr>
                <w:rFonts w:hint="eastAsia"/>
                <w:color w:val="auto"/>
                <w:highlight w:val="none"/>
              </w:rPr>
              <w:t>企业人力资源管理师职业资格</w:t>
            </w:r>
            <w:bookmarkEnd w:id="1403"/>
            <w:r>
              <w:rPr>
                <w:color w:val="auto"/>
                <w:highlight w:val="none"/>
              </w:rPr>
              <w:t>证书</w:t>
            </w:r>
            <w:bookmarkEnd w:id="1404"/>
            <w:r>
              <w:rPr>
                <w:color w:val="auto"/>
                <w:highlight w:val="none"/>
              </w:rPr>
              <w:t>的，每个证书得</w:t>
            </w:r>
            <w:r>
              <w:rPr>
                <w:rFonts w:hint="eastAsia"/>
                <w:color w:val="auto"/>
                <w:highlight w:val="none"/>
              </w:rPr>
              <w:t>0.5</w:t>
            </w:r>
            <w:r>
              <w:rPr>
                <w:color w:val="auto"/>
                <w:highlight w:val="none"/>
              </w:rPr>
              <w:t>分 ，最高得</w:t>
            </w:r>
            <w:r>
              <w:rPr>
                <w:rFonts w:hint="eastAsia"/>
                <w:color w:val="auto"/>
                <w:highlight w:val="none"/>
              </w:rPr>
              <w:t>1</w:t>
            </w:r>
            <w:r>
              <w:rPr>
                <w:color w:val="auto"/>
                <w:highlight w:val="none"/>
              </w:rPr>
              <w:t>分。</w:t>
            </w:r>
          </w:p>
          <w:p>
            <w:pPr>
              <w:spacing w:line="440" w:lineRule="exact"/>
              <w:jc w:val="left"/>
              <w:rPr>
                <w:color w:val="auto"/>
                <w:highlight w:val="none"/>
              </w:rPr>
            </w:pPr>
            <w:r>
              <w:rPr>
                <w:rFonts w:hint="eastAsia"/>
                <w:color w:val="auto"/>
                <w:highlight w:val="none"/>
              </w:rPr>
              <w:t>（5）具有行政主管部门颁发的</w:t>
            </w:r>
            <w:bookmarkStart w:id="1405" w:name="OLE_LINK6"/>
            <w:r>
              <w:rPr>
                <w:rFonts w:hint="eastAsia"/>
                <w:color w:val="auto"/>
                <w:highlight w:val="none"/>
              </w:rPr>
              <w:t>安全生产知识和管理能力考核合格证</w:t>
            </w:r>
            <w:bookmarkEnd w:id="1405"/>
            <w:r>
              <w:rPr>
                <w:rFonts w:hint="eastAsia"/>
                <w:color w:val="auto"/>
                <w:highlight w:val="none"/>
              </w:rPr>
              <w:t>或</w:t>
            </w:r>
            <w:bookmarkStart w:id="1406" w:name="OLE_LINK9"/>
            <w:r>
              <w:rPr>
                <w:rFonts w:hint="eastAsia"/>
                <w:color w:val="auto"/>
                <w:highlight w:val="none"/>
              </w:rPr>
              <w:t>安全工程师证</w:t>
            </w:r>
            <w:bookmarkEnd w:id="1406"/>
            <w:r>
              <w:rPr>
                <w:rFonts w:hint="eastAsia"/>
                <w:color w:val="auto"/>
                <w:highlight w:val="none"/>
              </w:rPr>
              <w:t>，得1分</w:t>
            </w:r>
          </w:p>
          <w:p>
            <w:pPr>
              <w:spacing w:line="440" w:lineRule="exact"/>
              <w:jc w:val="left"/>
              <w:rPr>
                <w:b/>
                <w:bCs/>
                <w:color w:val="auto"/>
                <w:highlight w:val="none"/>
              </w:rPr>
            </w:pPr>
            <w:r>
              <w:rPr>
                <w:rFonts w:hint="eastAsia"/>
                <w:b/>
                <w:bCs/>
                <w:color w:val="auto"/>
                <w:highlight w:val="none"/>
              </w:rPr>
              <w:t>注：1、须提供上述相关有效证书扫描件或复印件；2、须提供清晰的项目合同关键页（含签订合同双方的单位名称、合同项目名称、合同金额、签订合同双方的落款盖章）复印件；3、须提供拟投入本项目的项目经理为所提供类似保洁服务项目的项目负责人的合同关键页或承诺函（承诺函需本人签字并加盖公章）；4、须提供经合同甲方（服务客户方）盖公章或项目管理部门印章的业主评价作为证明材料；5、项目经理须提供近三个月在社保系统打印的本单位人员缴费明细复印件或打印件（(2025年2月-2025年4月）。未按上述要求提供相应证明材料的，不予计分。</w:t>
            </w:r>
          </w:p>
          <w:p>
            <w:pPr>
              <w:spacing w:line="440" w:lineRule="exact"/>
              <w:jc w:val="left"/>
              <w:rPr>
                <w:b/>
                <w:bCs/>
                <w:color w:val="auto"/>
                <w:highlight w:val="none"/>
              </w:rPr>
            </w:pPr>
            <w:r>
              <w:rPr>
                <w:rFonts w:hint="eastAsia"/>
                <w:b/>
                <w:bCs/>
                <w:color w:val="auto"/>
                <w:highlight w:val="none"/>
              </w:rPr>
              <w:t>2.拟委派本项目主管2人。</w:t>
            </w:r>
          </w:p>
          <w:p>
            <w:pPr>
              <w:spacing w:line="440" w:lineRule="exact"/>
              <w:jc w:val="left"/>
              <w:rPr>
                <w:color w:val="auto"/>
                <w:highlight w:val="none"/>
              </w:rPr>
            </w:pPr>
            <w:r>
              <w:rPr>
                <w:rFonts w:hint="eastAsia"/>
                <w:color w:val="auto"/>
                <w:highlight w:val="none"/>
              </w:rPr>
              <w:t>（1）具备相关主管部门、人才技能认证管理中心、职业技能鉴定中心颁发的以下环卫行业专业能力资质证书的（</w:t>
            </w:r>
            <w:bookmarkStart w:id="1407" w:name="OLE_LINK3"/>
            <w:r>
              <w:rPr>
                <w:rFonts w:hint="eastAsia"/>
                <w:color w:val="auto"/>
                <w:highlight w:val="none"/>
              </w:rPr>
              <w:t>高级清洁环卫项目经理</w:t>
            </w:r>
            <w:bookmarkEnd w:id="1407"/>
            <w:r>
              <w:rPr>
                <w:rFonts w:hint="eastAsia"/>
                <w:color w:val="auto"/>
                <w:highlight w:val="none"/>
              </w:rPr>
              <w:t>、</w:t>
            </w:r>
            <w:bookmarkStart w:id="1408" w:name="OLE_LINK10"/>
            <w:r>
              <w:rPr>
                <w:rFonts w:hint="eastAsia"/>
                <w:color w:val="auto"/>
                <w:highlight w:val="none"/>
              </w:rPr>
              <w:t>高级垃圾分类处理工程师</w:t>
            </w:r>
            <w:bookmarkEnd w:id="1408"/>
            <w:r>
              <w:rPr>
                <w:rFonts w:hint="eastAsia"/>
                <w:color w:val="auto"/>
                <w:highlight w:val="none"/>
              </w:rPr>
              <w:t>），</w:t>
            </w:r>
            <w:r>
              <w:rPr>
                <w:color w:val="auto"/>
                <w:highlight w:val="none"/>
              </w:rPr>
              <w:t>每个证书得</w:t>
            </w:r>
            <w:r>
              <w:rPr>
                <w:rFonts w:hint="eastAsia"/>
                <w:color w:val="auto"/>
                <w:highlight w:val="none"/>
              </w:rPr>
              <w:t>0.5</w:t>
            </w:r>
            <w:r>
              <w:rPr>
                <w:color w:val="auto"/>
                <w:highlight w:val="none"/>
              </w:rPr>
              <w:t>分</w:t>
            </w:r>
            <w:r>
              <w:rPr>
                <w:rFonts w:hint="eastAsia"/>
                <w:color w:val="auto"/>
                <w:highlight w:val="none"/>
              </w:rPr>
              <w:t>，最高得1分；</w:t>
            </w:r>
          </w:p>
          <w:p>
            <w:pPr>
              <w:spacing w:line="440" w:lineRule="exact"/>
              <w:jc w:val="left"/>
              <w:rPr>
                <w:color w:val="auto"/>
                <w:highlight w:val="none"/>
              </w:rPr>
            </w:pPr>
            <w:r>
              <w:rPr>
                <w:rFonts w:hint="eastAsia"/>
                <w:color w:val="auto"/>
                <w:highlight w:val="none"/>
              </w:rPr>
              <w:t>（2）每担任过1个类似保洁服务项目（合同金额需在100万元及以上）的项目主管得0.5分，最高得2分；</w:t>
            </w:r>
          </w:p>
          <w:p>
            <w:pPr>
              <w:spacing w:line="440" w:lineRule="exact"/>
              <w:jc w:val="left"/>
              <w:rPr>
                <w:rFonts w:eastAsia="仿宋_GB2312"/>
                <w:color w:val="auto"/>
                <w:highlight w:val="none"/>
              </w:rPr>
            </w:pPr>
            <w:r>
              <w:rPr>
                <w:rFonts w:hint="eastAsia"/>
                <w:b/>
                <w:bCs/>
                <w:color w:val="auto"/>
                <w:highlight w:val="none"/>
              </w:rPr>
              <w:t>注：1、须提供上述相关有效证书扫描件或复印件；2、须提供清晰的项目合同关键页（含签订合同双方的单位名称、合同项目名称、合同金额、签订合同双方的落款盖章）复印件；3、须提供拟投入本项目的项目主管为所提供类似保洁服务项目的项目主管的合同关键页或承诺函（承诺函需本人签字并加盖公章）；4、项目主管须提供近三个月在社保系统打印的本单位人员缴费明细复印件或打印件（(2025年2月-2025年4月）。未按上述要求提供相应证明材料的，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1554"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本地化服务（5分）</w:t>
            </w:r>
          </w:p>
        </w:tc>
        <w:tc>
          <w:tcPr>
            <w:tcW w:w="7482" w:type="dxa"/>
            <w:tcBorders>
              <w:bottom w:val="single" w:color="auto" w:sz="4" w:space="0"/>
            </w:tcBorders>
            <w:vAlign w:val="center"/>
          </w:tcPr>
          <w:p>
            <w:pPr>
              <w:spacing w:line="360" w:lineRule="auto"/>
              <w:jc w:val="left"/>
              <w:rPr>
                <w:rFonts w:hint="eastAsia" w:ascii="宋体" w:hAnsi="宋体"/>
                <w:color w:val="auto"/>
                <w:highlight w:val="none"/>
              </w:rPr>
            </w:pPr>
            <w:r>
              <w:rPr>
                <w:rFonts w:hint="eastAsia" w:ascii="宋体" w:hAnsi="宋体"/>
                <w:color w:val="auto"/>
                <w:highlight w:val="none"/>
              </w:rPr>
              <w:t>投标人在广州市内设有总公司或分支机构</w:t>
            </w:r>
            <w:r>
              <w:rPr>
                <w:rFonts w:ascii="Segoe UI" w:hAnsi="Segoe UI" w:eastAsia="Segoe UI" w:cs="Segoe UI"/>
                <w:color w:val="auto"/>
                <w:szCs w:val="21"/>
                <w:highlight w:val="none"/>
                <w:shd w:val="clear" w:color="auto" w:fill="F8F8F8"/>
              </w:rPr>
              <w:t>或承诺中标后设立分支机构</w:t>
            </w:r>
            <w:r>
              <w:rPr>
                <w:rFonts w:hint="eastAsia" w:ascii="宋体" w:hAnsi="宋体"/>
                <w:color w:val="auto"/>
                <w:highlight w:val="none"/>
              </w:rPr>
              <w:t>的得5分；在广东省内设有总公司或分支机构</w:t>
            </w:r>
            <w:r>
              <w:rPr>
                <w:rFonts w:ascii="Segoe UI" w:hAnsi="Segoe UI" w:eastAsia="Segoe UI" w:cs="Segoe UI"/>
                <w:color w:val="auto"/>
                <w:szCs w:val="21"/>
                <w:highlight w:val="none"/>
                <w:shd w:val="clear" w:color="auto" w:fill="F8F8F8"/>
              </w:rPr>
              <w:t>或承诺中标后设立分支机构</w:t>
            </w:r>
            <w:r>
              <w:rPr>
                <w:rFonts w:hint="eastAsia" w:ascii="宋体" w:hAnsi="宋体"/>
                <w:color w:val="auto"/>
                <w:highlight w:val="none"/>
              </w:rPr>
              <w:t>的（不在广州市内）得1分，其余不得分。</w:t>
            </w:r>
          </w:p>
          <w:p>
            <w:pPr>
              <w:spacing w:line="360" w:lineRule="auto"/>
              <w:jc w:val="left"/>
              <w:rPr>
                <w:rFonts w:hint="eastAsia" w:ascii="宋体" w:hAnsi="宋体"/>
                <w:color w:val="auto"/>
                <w:highlight w:val="none"/>
              </w:rPr>
            </w:pPr>
            <w:r>
              <w:rPr>
                <w:rFonts w:hint="eastAsia" w:ascii="宋体" w:hAnsi="宋体"/>
                <w:b/>
                <w:bCs/>
                <w:color w:val="auto"/>
                <w:highlight w:val="none"/>
              </w:rPr>
              <w:t>注：须提供营业执照或房产证或房屋租赁合同或承诺函等证明材料，否则不予计分。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rPr>
        <w:tc>
          <w:tcPr>
            <w:tcW w:w="9036" w:type="dxa"/>
            <w:gridSpan w:val="3"/>
            <w:tcBorders>
              <w:bottom w:val="single" w:color="auto" w:sz="4" w:space="0"/>
            </w:tcBorders>
            <w:vAlign w:val="center"/>
          </w:tcPr>
          <w:p>
            <w:pPr>
              <w:spacing w:line="360" w:lineRule="auto"/>
              <w:jc w:val="left"/>
              <w:rPr>
                <w:rFonts w:hint="eastAsia" w:ascii="宋体" w:hAnsi="宋体"/>
                <w:b/>
                <w:bCs/>
                <w:color w:val="auto"/>
                <w:highlight w:val="none"/>
              </w:rPr>
            </w:pPr>
            <w:r>
              <w:rPr>
                <w:rFonts w:hint="eastAsia" w:ascii="宋体" w:hAnsi="宋体"/>
                <w:b/>
                <w:bCs/>
                <w:color w:val="auto"/>
                <w:highlight w:val="none"/>
              </w:rPr>
              <w:t>2.技术评审（分值：50分）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6" w:hRule="atLeast"/>
        </w:trPr>
        <w:tc>
          <w:tcPr>
            <w:tcW w:w="1554" w:type="dxa"/>
            <w:gridSpan w:val="2"/>
            <w:tcBorders>
              <w:bottom w:val="single" w:color="auto" w:sz="4" w:space="0"/>
            </w:tcBorders>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清洁设备</w:t>
            </w:r>
          </w:p>
          <w:p>
            <w:pPr>
              <w:pStyle w:val="2"/>
              <w:ind w:firstLine="0" w:firstLineChars="0"/>
              <w:rPr>
                <w:rFonts w:hint="eastAsia" w:cs="宋体"/>
                <w:color w:val="auto"/>
                <w:kern w:val="0"/>
                <w:sz w:val="24"/>
                <w:szCs w:val="18"/>
                <w:highlight w:val="none"/>
              </w:rPr>
            </w:pPr>
            <w:r>
              <w:rPr>
                <w:rFonts w:hint="eastAsia" w:ascii="宋体" w:hAnsi="宋体"/>
                <w:b/>
                <w:bCs/>
                <w:color w:val="auto"/>
                <w:highlight w:val="none"/>
              </w:rPr>
              <w:t>（20分）</w:t>
            </w:r>
          </w:p>
        </w:tc>
        <w:tc>
          <w:tcPr>
            <w:tcW w:w="7482" w:type="dxa"/>
            <w:tcBorders>
              <w:bottom w:val="single" w:color="auto" w:sz="4" w:space="0"/>
            </w:tcBorders>
            <w:vAlign w:val="center"/>
          </w:tcPr>
          <w:p>
            <w:pPr>
              <w:spacing w:line="360" w:lineRule="auto"/>
              <w:jc w:val="left"/>
              <w:rPr>
                <w:rFonts w:hint="eastAsia" w:ascii="宋体" w:hAnsi="宋体"/>
                <w:color w:val="auto"/>
                <w:highlight w:val="none"/>
              </w:rPr>
            </w:pPr>
            <w:r>
              <w:rPr>
                <w:rFonts w:hint="eastAsia" w:ascii="宋体" w:hAnsi="宋体"/>
                <w:color w:val="auto"/>
                <w:highlight w:val="none"/>
              </w:rPr>
              <w:t>通过综合评比各投标人拟投入本项目的清洁设备，设定优、良、差三个等级，得分项如下：</w:t>
            </w:r>
          </w:p>
          <w:p>
            <w:pPr>
              <w:spacing w:line="360" w:lineRule="auto"/>
              <w:jc w:val="left"/>
              <w:rPr>
                <w:rFonts w:hint="eastAsia" w:ascii="宋体" w:hAnsi="宋体"/>
                <w:color w:val="auto"/>
                <w:highlight w:val="none"/>
              </w:rPr>
            </w:pPr>
            <w:r>
              <w:rPr>
                <w:rFonts w:hint="eastAsia" w:ascii="宋体" w:hAnsi="宋体"/>
                <w:color w:val="auto"/>
                <w:highlight w:val="none"/>
              </w:rPr>
              <w:t>（1）设备投入完全满足本项目需求的，评为优，得20分；</w:t>
            </w:r>
          </w:p>
          <w:p>
            <w:pPr>
              <w:spacing w:line="360" w:lineRule="auto"/>
              <w:jc w:val="left"/>
              <w:rPr>
                <w:rFonts w:hint="eastAsia" w:ascii="宋体" w:hAnsi="宋体"/>
                <w:color w:val="auto"/>
                <w:highlight w:val="none"/>
              </w:rPr>
            </w:pPr>
            <w:r>
              <w:rPr>
                <w:rFonts w:hint="eastAsia" w:ascii="宋体" w:hAnsi="宋体"/>
                <w:color w:val="auto"/>
                <w:highlight w:val="none"/>
              </w:rPr>
              <w:t>（2）设备投入基本满足本项目需求（不少于4个）的，评为良，得10分；</w:t>
            </w:r>
          </w:p>
          <w:p>
            <w:pPr>
              <w:spacing w:line="360" w:lineRule="auto"/>
              <w:jc w:val="left"/>
              <w:rPr>
                <w:rFonts w:hint="eastAsia" w:ascii="宋体" w:hAnsi="宋体"/>
                <w:color w:val="auto"/>
                <w:highlight w:val="none"/>
              </w:rPr>
            </w:pPr>
            <w:r>
              <w:rPr>
                <w:rFonts w:hint="eastAsia" w:ascii="宋体" w:hAnsi="宋体"/>
                <w:color w:val="auto"/>
                <w:highlight w:val="none"/>
              </w:rPr>
              <w:t>（3）设备投入未满足本项目需求（少于4个）或不提供的，评为差，不得分。</w:t>
            </w:r>
          </w:p>
          <w:p>
            <w:pPr>
              <w:pStyle w:val="2"/>
              <w:spacing w:line="360" w:lineRule="auto"/>
              <w:ind w:firstLine="0" w:firstLineChars="0"/>
              <w:rPr>
                <w:rFonts w:hint="eastAsia" w:cs="宋体"/>
                <w:color w:val="auto"/>
                <w:kern w:val="0"/>
                <w:sz w:val="24"/>
                <w:szCs w:val="18"/>
                <w:highlight w:val="none"/>
              </w:rPr>
            </w:pPr>
            <w:r>
              <w:rPr>
                <w:rFonts w:hint="eastAsia" w:ascii="宋体" w:hAnsi="宋体"/>
                <w:b/>
                <w:bCs/>
                <w:color w:val="auto"/>
                <w:highlight w:val="none"/>
              </w:rPr>
              <w:t>注：需提供保洁设备表（格式附后）以及设备实物图片，否则不予计分。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trPr>
        <w:tc>
          <w:tcPr>
            <w:tcW w:w="1554" w:type="dxa"/>
            <w:gridSpan w:val="2"/>
            <w:vAlign w:val="center"/>
          </w:tcPr>
          <w:p>
            <w:pPr>
              <w:spacing w:line="360" w:lineRule="auto"/>
              <w:jc w:val="center"/>
              <w:rPr>
                <w:b/>
                <w:color w:val="auto"/>
                <w:highlight w:val="none"/>
              </w:rPr>
            </w:pPr>
            <w:r>
              <w:rPr>
                <w:rFonts w:hint="eastAsia"/>
                <w:b/>
                <w:color w:val="auto"/>
                <w:highlight w:val="none"/>
              </w:rPr>
              <w:t>组织、管理方案</w:t>
            </w:r>
          </w:p>
          <w:p>
            <w:pPr>
              <w:spacing w:line="360" w:lineRule="auto"/>
              <w:jc w:val="center"/>
              <w:rPr>
                <w:rFonts w:hint="eastAsia" w:ascii="宋体" w:hAnsi="宋体"/>
                <w:b/>
                <w:color w:val="auto"/>
                <w:highlight w:val="none"/>
              </w:rPr>
            </w:pPr>
            <w:r>
              <w:rPr>
                <w:rFonts w:hint="eastAsia"/>
                <w:b/>
                <w:color w:val="auto"/>
                <w:highlight w:val="none"/>
              </w:rPr>
              <w:t>（15分）</w:t>
            </w:r>
          </w:p>
        </w:tc>
        <w:tc>
          <w:tcPr>
            <w:tcW w:w="7482" w:type="dxa"/>
            <w:tcBorders>
              <w:bottom w:val="single" w:color="auto" w:sz="4" w:space="0"/>
            </w:tcBorders>
            <w:vAlign w:val="center"/>
          </w:tcPr>
          <w:p>
            <w:pPr>
              <w:spacing w:line="360" w:lineRule="auto"/>
              <w:rPr>
                <w:color w:val="auto"/>
                <w:highlight w:val="none"/>
              </w:rPr>
            </w:pPr>
            <w:r>
              <w:rPr>
                <w:rFonts w:hint="eastAsia"/>
                <w:color w:val="auto"/>
                <w:highlight w:val="none"/>
              </w:rPr>
              <w:t>通过对投标人针对本项目提供组织、管理方案，包括但不限于对响应时效、人员招聘、岗前培训、日常人事管理等方面，并可根据实际情况快速调整。</w:t>
            </w:r>
          </w:p>
          <w:p>
            <w:pPr>
              <w:spacing w:line="360" w:lineRule="auto"/>
              <w:rPr>
                <w:color w:val="auto"/>
                <w:highlight w:val="none"/>
              </w:rPr>
            </w:pPr>
            <w:r>
              <w:rPr>
                <w:rFonts w:hint="eastAsia"/>
                <w:color w:val="auto"/>
                <w:highlight w:val="none"/>
              </w:rPr>
              <w:t>组织、管理方案切实可行，完全符合项目要求，得15分。</w:t>
            </w:r>
          </w:p>
          <w:p>
            <w:pPr>
              <w:spacing w:line="360" w:lineRule="auto"/>
              <w:rPr>
                <w:color w:val="auto"/>
                <w:highlight w:val="none"/>
              </w:rPr>
            </w:pPr>
            <w:r>
              <w:rPr>
                <w:rFonts w:hint="eastAsia"/>
                <w:color w:val="auto"/>
                <w:highlight w:val="none"/>
              </w:rPr>
              <w:t>组织、管理方案一般，比较符合项目要求，得10分。</w:t>
            </w:r>
          </w:p>
          <w:p>
            <w:pPr>
              <w:spacing w:line="360" w:lineRule="auto"/>
              <w:rPr>
                <w:color w:val="auto"/>
                <w:highlight w:val="none"/>
              </w:rPr>
            </w:pPr>
            <w:r>
              <w:rPr>
                <w:rFonts w:hint="eastAsia"/>
                <w:color w:val="auto"/>
                <w:highlight w:val="none"/>
              </w:rPr>
              <w:t>组织、管理方案较差，不太符合项目要求，得5分。</w:t>
            </w:r>
          </w:p>
          <w:p>
            <w:pPr>
              <w:spacing w:line="360" w:lineRule="auto"/>
              <w:rPr>
                <w:color w:val="auto"/>
                <w:highlight w:val="none"/>
              </w:rPr>
            </w:pPr>
            <w:r>
              <w:rPr>
                <w:rFonts w:hint="eastAsia"/>
                <w:color w:val="auto"/>
                <w:highlight w:val="none"/>
              </w:rPr>
              <w:t>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3" w:hRule="atLeast"/>
        </w:trPr>
        <w:tc>
          <w:tcPr>
            <w:tcW w:w="1554" w:type="dxa"/>
            <w:gridSpan w:val="2"/>
            <w:vAlign w:val="center"/>
          </w:tcPr>
          <w:p>
            <w:pPr>
              <w:spacing w:line="360" w:lineRule="auto"/>
              <w:jc w:val="center"/>
              <w:rPr>
                <w:b/>
                <w:color w:val="auto"/>
                <w:highlight w:val="none"/>
              </w:rPr>
            </w:pPr>
            <w:r>
              <w:rPr>
                <w:rFonts w:hint="eastAsia"/>
                <w:b/>
                <w:color w:val="auto"/>
                <w:highlight w:val="none"/>
              </w:rPr>
              <w:t>应急方案（10）</w:t>
            </w:r>
          </w:p>
        </w:tc>
        <w:tc>
          <w:tcPr>
            <w:tcW w:w="7482" w:type="dxa"/>
            <w:tcBorders>
              <w:bottom w:val="single" w:color="auto" w:sz="4" w:space="0"/>
            </w:tcBorders>
            <w:vAlign w:val="center"/>
          </w:tcPr>
          <w:p>
            <w:pPr>
              <w:spacing w:line="360" w:lineRule="auto"/>
              <w:rPr>
                <w:color w:val="auto"/>
                <w:highlight w:val="none"/>
              </w:rPr>
            </w:pPr>
            <w:r>
              <w:rPr>
                <w:rFonts w:hint="eastAsia"/>
                <w:color w:val="auto"/>
                <w:highlight w:val="none"/>
              </w:rPr>
              <w:t>通过对投标人针对本项目在特殊情况组织应急方案，设定优、良、一般三个等级，得分项如下：</w:t>
            </w:r>
          </w:p>
          <w:p>
            <w:pPr>
              <w:spacing w:line="360" w:lineRule="auto"/>
              <w:rPr>
                <w:color w:val="auto"/>
                <w:highlight w:val="none"/>
              </w:rPr>
            </w:pPr>
            <w:r>
              <w:rPr>
                <w:rFonts w:hint="eastAsia"/>
                <w:color w:val="auto"/>
                <w:highlight w:val="none"/>
              </w:rPr>
              <w:t>（1）应急方案全面覆盖可能发生的特殊情况，应对措施科学合理、操作性强，评为优，得10分；</w:t>
            </w:r>
          </w:p>
          <w:p>
            <w:pPr>
              <w:spacing w:line="360" w:lineRule="auto"/>
              <w:rPr>
                <w:color w:val="auto"/>
                <w:highlight w:val="none"/>
              </w:rPr>
            </w:pPr>
            <w:r>
              <w:rPr>
                <w:rFonts w:hint="eastAsia"/>
                <w:color w:val="auto"/>
                <w:highlight w:val="none"/>
              </w:rPr>
              <w:t>（2）应急方案能覆盖主要特殊情况，措施基本可行，但部分环节细节不足 评为良，得7分；</w:t>
            </w:r>
          </w:p>
          <w:p>
            <w:pPr>
              <w:pStyle w:val="16"/>
              <w:rPr>
                <w:color w:val="auto"/>
                <w:highlight w:val="none"/>
              </w:rPr>
            </w:pPr>
            <w:r>
              <w:rPr>
                <w:rFonts w:hint="eastAsia"/>
                <w:color w:val="auto"/>
                <w:highlight w:val="none"/>
              </w:rPr>
              <w:t>（3）应急方案仅提及常规应急措施，缺乏具体执行步骤或逻辑性不足，可行性待验证，评为一般，得4分。</w:t>
            </w:r>
          </w:p>
          <w:p>
            <w:pPr>
              <w:pStyle w:val="16"/>
              <w:rPr>
                <w:color w:val="auto"/>
                <w:highlight w:val="none"/>
              </w:rPr>
            </w:pPr>
            <w:r>
              <w:rPr>
                <w:rFonts w:hint="eastAsia"/>
                <w:color w:val="auto"/>
                <w:highlight w:val="none"/>
              </w:rPr>
              <w:t xml:space="preserve"> 不提供不得分。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1554" w:type="dxa"/>
            <w:gridSpan w:val="2"/>
            <w:vAlign w:val="center"/>
          </w:tcPr>
          <w:p>
            <w:pPr>
              <w:spacing w:line="360" w:lineRule="auto"/>
              <w:jc w:val="center"/>
              <w:rPr>
                <w:b/>
                <w:color w:val="auto"/>
                <w:highlight w:val="none"/>
              </w:rPr>
            </w:pPr>
            <w:r>
              <w:rPr>
                <w:rFonts w:hint="eastAsia"/>
                <w:b/>
                <w:color w:val="auto"/>
                <w:highlight w:val="none"/>
              </w:rPr>
              <w:t>服务承诺</w:t>
            </w:r>
          </w:p>
          <w:p>
            <w:pPr>
              <w:spacing w:line="360" w:lineRule="auto"/>
              <w:jc w:val="center"/>
              <w:rPr>
                <w:b/>
                <w:color w:val="auto"/>
                <w:highlight w:val="none"/>
              </w:rPr>
            </w:pPr>
            <w:r>
              <w:rPr>
                <w:rFonts w:hint="eastAsia"/>
                <w:b/>
                <w:color w:val="auto"/>
                <w:highlight w:val="none"/>
              </w:rPr>
              <w:t>（5分）</w:t>
            </w:r>
          </w:p>
        </w:tc>
        <w:tc>
          <w:tcPr>
            <w:tcW w:w="7482" w:type="dxa"/>
            <w:vAlign w:val="center"/>
          </w:tcPr>
          <w:p>
            <w:pPr>
              <w:pStyle w:val="2"/>
              <w:tabs>
                <w:tab w:val="left" w:pos="1260"/>
              </w:tabs>
              <w:spacing w:line="360" w:lineRule="auto"/>
              <w:ind w:firstLine="0" w:firstLineChars="0"/>
              <w:rPr>
                <w:rFonts w:hint="eastAsia" w:ascii="宋体" w:hAnsi="宋体"/>
                <w:color w:val="auto"/>
                <w:highlight w:val="none"/>
              </w:rPr>
            </w:pPr>
            <w:r>
              <w:rPr>
                <w:rFonts w:hint="eastAsia" w:ascii="Times New Roman" w:hAnsi="Times New Roman"/>
                <w:color w:val="auto"/>
                <w:highlight w:val="none"/>
              </w:rPr>
              <w:t>根据投标人提供的服务承诺，评判投标人服务承诺是否满足本项目要求，全部响应的得5分；每有一项不满足的扣0.5分，扣完为止。</w:t>
            </w:r>
          </w:p>
          <w:p>
            <w:pPr>
              <w:pStyle w:val="2"/>
              <w:tabs>
                <w:tab w:val="left" w:pos="1260"/>
              </w:tabs>
              <w:spacing w:line="360" w:lineRule="auto"/>
              <w:ind w:firstLine="0" w:firstLineChars="0"/>
              <w:rPr>
                <w:rFonts w:hint="eastAsia" w:ascii="宋体" w:hAnsi="宋体"/>
                <w:color w:val="auto"/>
                <w:highlight w:val="none"/>
              </w:rPr>
            </w:pPr>
            <w:r>
              <w:rPr>
                <w:rFonts w:hint="eastAsia" w:ascii="宋体" w:hAnsi="宋体"/>
                <w:b/>
                <w:bCs/>
                <w:color w:val="auto"/>
                <w:highlight w:val="none"/>
              </w:rPr>
              <w:t>注：服务承诺响应表详见第七章“投标文件格式”，务必按要求提供。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9036" w:type="dxa"/>
            <w:gridSpan w:val="3"/>
            <w:vAlign w:val="center"/>
          </w:tcPr>
          <w:p>
            <w:pPr>
              <w:pStyle w:val="2"/>
              <w:tabs>
                <w:tab w:val="left" w:pos="1260"/>
              </w:tabs>
              <w:spacing w:line="360" w:lineRule="auto"/>
              <w:ind w:firstLine="0" w:firstLineChars="0"/>
              <w:rPr>
                <w:rFonts w:hint="eastAsia" w:ascii="宋体" w:hAnsi="宋体"/>
                <w:b/>
                <w:bCs/>
                <w:color w:val="auto"/>
                <w:highlight w:val="none"/>
              </w:rPr>
            </w:pPr>
            <w:r>
              <w:rPr>
                <w:rFonts w:hint="eastAsia" w:ascii="宋体" w:hAnsi="宋体"/>
                <w:b/>
                <w:bCs/>
                <w:color w:val="auto"/>
                <w:highlight w:val="none"/>
              </w:rPr>
              <w:t>3.投标报价（分值：20分）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68" w:hRule="atLeast"/>
        </w:trPr>
        <w:tc>
          <w:tcPr>
            <w:tcW w:w="1554" w:type="dxa"/>
            <w:gridSpan w:val="2"/>
            <w:vAlign w:val="center"/>
          </w:tcPr>
          <w:p>
            <w:pPr>
              <w:spacing w:line="360" w:lineRule="auto"/>
              <w:jc w:val="center"/>
              <w:rPr>
                <w:rFonts w:hint="eastAsia" w:ascii="宋体" w:hAnsi="宋体"/>
                <w:b/>
                <w:bCs/>
                <w:color w:val="auto"/>
                <w:highlight w:val="none"/>
              </w:rPr>
            </w:pPr>
            <w:r>
              <w:rPr>
                <w:rFonts w:hint="eastAsia" w:ascii="宋体" w:hAnsi="宋体"/>
                <w:b/>
                <w:bCs/>
                <w:color w:val="auto"/>
                <w:highlight w:val="none"/>
              </w:rPr>
              <w:t>投标报价</w:t>
            </w:r>
          </w:p>
          <w:p>
            <w:pPr>
              <w:pStyle w:val="2"/>
              <w:ind w:firstLine="0" w:firstLineChars="0"/>
              <w:rPr>
                <w:rFonts w:hint="eastAsia" w:cs="宋体"/>
                <w:b/>
                <w:color w:val="auto"/>
                <w:kern w:val="0"/>
                <w:sz w:val="24"/>
                <w:szCs w:val="18"/>
                <w:highlight w:val="none"/>
              </w:rPr>
            </w:pPr>
            <w:r>
              <w:rPr>
                <w:rFonts w:hint="eastAsia" w:ascii="宋体" w:hAnsi="宋体"/>
                <w:b/>
                <w:bCs/>
                <w:color w:val="auto"/>
                <w:highlight w:val="none"/>
              </w:rPr>
              <w:t>（20分）</w:t>
            </w:r>
          </w:p>
        </w:tc>
        <w:tc>
          <w:tcPr>
            <w:tcW w:w="7482" w:type="dxa"/>
            <w:vAlign w:val="center"/>
          </w:tcPr>
          <w:p>
            <w:pPr>
              <w:spacing w:line="360" w:lineRule="auto"/>
              <w:rPr>
                <w:color w:val="auto"/>
                <w:highlight w:val="none"/>
              </w:rPr>
            </w:pPr>
            <w:r>
              <w:rPr>
                <w:rFonts w:hint="eastAsia" w:ascii="宋体" w:hAnsi="宋体"/>
                <w:color w:val="auto"/>
                <w:highlight w:val="none"/>
              </w:rPr>
              <w:t>在有效投标文件中，取总报价最低的为基准价，投标报价得分计算公式如下：报价得分＝基准价/投标价×20。</w:t>
            </w:r>
          </w:p>
        </w:tc>
      </w:tr>
    </w:tbl>
    <w:p>
      <w:pPr>
        <w:rPr>
          <w:color w:val="auto"/>
          <w:highlight w:val="none"/>
        </w:rPr>
      </w:pPr>
    </w:p>
    <w:p>
      <w:pPr>
        <w:pStyle w:val="114"/>
        <w:ind w:firstLine="0" w:firstLineChars="0"/>
        <w:rPr>
          <w:rFonts w:hint="eastAsia" w:ascii="宋体" w:hAnsi="宋体" w:cs="宋体"/>
          <w:color w:val="auto"/>
          <w:sz w:val="21"/>
          <w:highlight w:val="none"/>
        </w:rPr>
      </w:pPr>
      <w:r>
        <w:rPr>
          <w:rFonts w:hint="eastAsia" w:ascii="宋体" w:hAnsi="宋体" w:cs="宋体"/>
          <w:color w:val="auto"/>
          <w:sz w:val="21"/>
          <w:highlight w:val="none"/>
        </w:rPr>
        <w:t>备注：</w:t>
      </w:r>
    </w:p>
    <w:p>
      <w:pPr>
        <w:pStyle w:val="114"/>
        <w:ind w:firstLine="420"/>
        <w:rPr>
          <w:rFonts w:hint="eastAsia" w:ascii="宋体" w:hAnsi="宋体" w:cs="宋体"/>
          <w:color w:val="auto"/>
          <w:sz w:val="21"/>
          <w:highlight w:val="none"/>
        </w:rPr>
      </w:pPr>
      <w:r>
        <w:rPr>
          <w:rFonts w:hint="eastAsia" w:ascii="宋体" w:hAnsi="宋体" w:cs="宋体"/>
          <w:color w:val="auto"/>
          <w:sz w:val="21"/>
          <w:highlight w:val="none"/>
        </w:rPr>
        <w:t>1.评标委员会各评委对有效投标文件按评审标准独立评审打分，投标人商务技术最终得分为各评委个人打分的算术平均值（四舍五入后，小数点后保留两位有效数）。</w:t>
      </w:r>
    </w:p>
    <w:p>
      <w:pPr>
        <w:pStyle w:val="114"/>
        <w:ind w:firstLine="422"/>
        <w:rPr>
          <w:rFonts w:hint="eastAsia" w:ascii="宋体" w:hAnsi="宋体" w:cs="宋体"/>
          <w:b/>
          <w:bCs/>
          <w:color w:val="auto"/>
          <w:sz w:val="21"/>
          <w:highlight w:val="none"/>
        </w:rPr>
      </w:pPr>
      <w:r>
        <w:rPr>
          <w:rFonts w:hint="eastAsia" w:ascii="宋体" w:hAnsi="宋体" w:cs="宋体"/>
          <w:b/>
          <w:bCs/>
          <w:color w:val="auto"/>
          <w:sz w:val="21"/>
          <w:highlight w:val="none"/>
        </w:rPr>
        <w:t>★2.本项目商务分部分设置评分基准线为18分（商务评分基准线＝本项目商务部分分值×60%，即30×60%=18分）。若投标人的商务评分低于基准线，其投标应答将被视为存在重大商务技术偏差，则投标应答无效，不进入技术部分评审。</w:t>
      </w:r>
    </w:p>
    <w:p>
      <w:pPr>
        <w:pStyle w:val="84"/>
        <w:keepNext w:val="0"/>
        <w:keepLines w:val="0"/>
        <w:spacing w:before="0" w:after="0" w:line="400" w:lineRule="exact"/>
        <w:outlineLvl w:val="9"/>
        <w:rPr>
          <w:color w:val="auto"/>
          <w:kern w:val="0"/>
          <w:highlight w:val="none"/>
        </w:rPr>
      </w:pPr>
    </w:p>
    <w:p>
      <w:pPr>
        <w:pStyle w:val="16"/>
        <w:rPr>
          <w:color w:val="auto"/>
          <w:highlight w:val="none"/>
        </w:rPr>
      </w:pPr>
    </w:p>
    <w:p>
      <w:pPr>
        <w:pStyle w:val="16"/>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sectPr>
          <w:pgSz w:w="11906" w:h="16838"/>
          <w:pgMar w:top="1100" w:right="1797" w:bottom="703" w:left="1797" w:header="851" w:footer="283" w:gutter="0"/>
          <w:pgBorders>
            <w:top w:val="none" w:sz="0" w:space="0"/>
            <w:left w:val="none" w:sz="0" w:space="0"/>
            <w:bottom w:val="none" w:sz="0" w:space="0"/>
            <w:right w:val="none" w:sz="0" w:space="0"/>
          </w:pgBorders>
          <w:cols w:space="720" w:num="1"/>
          <w:docGrid w:type="lines" w:linePitch="312" w:charSpace="0"/>
        </w:sectPr>
      </w:pPr>
    </w:p>
    <w:p>
      <w:pPr>
        <w:pStyle w:val="3"/>
        <w:numPr>
          <w:ilvl w:val="0"/>
          <w:numId w:val="7"/>
        </w:numPr>
        <w:spacing w:line="360" w:lineRule="auto"/>
        <w:jc w:val="center"/>
        <w:rPr>
          <w:rFonts w:hint="eastAsia" w:ascii="仿宋_GB2312" w:hAnsi="仿宋_GB2312" w:eastAsia="仿宋_GB2312" w:cs="仿宋_GB2312"/>
          <w:color w:val="auto"/>
          <w:sz w:val="28"/>
          <w:szCs w:val="28"/>
          <w:highlight w:val="none"/>
        </w:rPr>
      </w:pPr>
      <w:bookmarkStart w:id="1409" w:name="_Toc19782"/>
      <w:bookmarkStart w:id="1410" w:name="_Toc32424"/>
      <w:bookmarkStart w:id="1411" w:name="_Toc21141"/>
      <w:bookmarkStart w:id="1412" w:name="_Toc11786"/>
      <w:bookmarkStart w:id="1413" w:name="_Toc216"/>
      <w:bookmarkStart w:id="1414" w:name="_Toc1734"/>
      <w:bookmarkStart w:id="1415" w:name="_Toc14657"/>
      <w:bookmarkStart w:id="1416" w:name="_Toc24798"/>
      <w:bookmarkStart w:id="1417" w:name="_Toc25300"/>
      <w:bookmarkStart w:id="1418" w:name="_Toc28494"/>
      <w:bookmarkStart w:id="1419" w:name="_Toc28265"/>
      <w:bookmarkStart w:id="1420" w:name="_Toc8678"/>
      <w:bookmarkStart w:id="1421" w:name="_Toc18941"/>
      <w:bookmarkStart w:id="1422" w:name="_Toc496601987"/>
      <w:bookmarkStart w:id="1423" w:name="_Toc15357"/>
      <w:bookmarkStart w:id="1424" w:name="_Toc10148"/>
      <w:bookmarkStart w:id="1425" w:name="_Toc18218"/>
      <w:bookmarkStart w:id="1426" w:name="_Toc21583"/>
      <w:bookmarkStart w:id="1427" w:name="_Toc30135"/>
      <w:bookmarkStart w:id="1428" w:name="_Toc1141"/>
      <w:bookmarkStart w:id="1429" w:name="_Toc30317"/>
      <w:bookmarkStart w:id="1430" w:name="_Toc16250"/>
      <w:bookmarkStart w:id="1431" w:name="_Toc24392"/>
      <w:bookmarkStart w:id="1432" w:name="_Toc24001"/>
      <w:r>
        <w:rPr>
          <w:rFonts w:hint="eastAsia"/>
          <w:color w:val="auto"/>
          <w:highlight w:val="none"/>
        </w:rPr>
        <w:t>合同主要条款</w:t>
      </w:r>
      <w:bookmarkEnd w:id="1273"/>
      <w:bookmarkEnd w:id="1274"/>
      <w:bookmarkEnd w:id="1275"/>
      <w:bookmarkEnd w:id="1276"/>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p>
    <w:p>
      <w:pPr>
        <w:rPr>
          <w:rFonts w:hint="eastAsia" w:ascii="仿宋_GB2312" w:hAnsi="仿宋_GB2312" w:eastAsia="仿宋_GB2312" w:cs="仿宋_GB2312"/>
          <w:b/>
          <w:bCs/>
          <w:color w:val="auto"/>
          <w:sz w:val="28"/>
          <w:szCs w:val="28"/>
          <w:highlight w:val="none"/>
        </w:rPr>
      </w:pPr>
    </w:p>
    <w:p>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甲方：南方报业传媒集团（南方日报社）</w:t>
      </w:r>
    </w:p>
    <w:p>
      <w:pP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乙方：</w:t>
      </w:r>
    </w:p>
    <w:p>
      <w:pPr>
        <w:ind w:firstLine="472" w:firstLineChars="225"/>
        <w:rPr>
          <w:rFonts w:hint="eastAsia" w:asciiTheme="majorEastAsia" w:hAnsiTheme="majorEastAsia" w:eastAsiaTheme="majorEastAsia" w:cstheme="majorEastAsia"/>
          <w:bCs/>
          <w:color w:val="auto"/>
          <w:szCs w:val="21"/>
          <w:highlight w:val="none"/>
        </w:rPr>
      </w:pPr>
      <w:r>
        <w:rPr>
          <w:rFonts w:hint="eastAsia" w:asciiTheme="majorEastAsia" w:hAnsiTheme="majorEastAsia" w:eastAsiaTheme="majorEastAsia" w:cstheme="majorEastAsia"/>
          <w:bCs/>
          <w:color w:val="auto"/>
          <w:szCs w:val="21"/>
          <w:highlight w:val="none"/>
        </w:rPr>
        <w:t>根据&lt;&lt;中华人民共和国民法典&gt;&gt;及有关法律，遵循平等、自愿、公平的原则，经双方协商一致，现就南方报业传媒集团大院保洁服务工作，订立本合同。</w:t>
      </w:r>
    </w:p>
    <w:p>
      <w:pPr>
        <w:ind w:firstLine="474" w:firstLineChars="225"/>
        <w:rPr>
          <w:rFonts w:hint="eastAsia" w:ascii="宋体" w:hAnsi="宋体" w:cs="宋体"/>
          <w:b/>
          <w:color w:val="auto"/>
          <w:szCs w:val="21"/>
          <w:highlight w:val="none"/>
        </w:rPr>
      </w:pPr>
      <w:r>
        <w:rPr>
          <w:rFonts w:hint="eastAsia" w:ascii="宋体" w:hAnsi="宋体" w:cs="宋体"/>
          <w:b/>
          <w:color w:val="auto"/>
          <w:szCs w:val="21"/>
          <w:highlight w:val="none"/>
        </w:rPr>
        <w:t>一、服务范围</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1.日常保洁区域：1号楼（含群楼）的集团各部门的办公室、会议室及公共区域；2号楼公共区域及部分办公区；5号楼1、2楼所有区域；6号楼所有区域；运动馆、接访室、警务室、保安室及大院路面、花基、露台、雨棚、楼面、单车棚、停车场等，日常保洁面积约为</w:t>
      </w:r>
      <w:r>
        <w:rPr>
          <w:rFonts w:hint="eastAsia" w:ascii="宋体" w:hAnsi="宋体" w:cs="宋体"/>
          <w:bCs/>
          <w:color w:val="auto"/>
          <w:szCs w:val="21"/>
          <w:highlight w:val="none"/>
          <w:u w:val="single"/>
        </w:rPr>
        <w:t xml:space="preserve"> 65000</w:t>
      </w:r>
      <w:r>
        <w:rPr>
          <w:rFonts w:hint="eastAsia" w:ascii="宋体" w:hAnsi="宋体" w:cs="宋体"/>
          <w:bCs/>
          <w:color w:val="auto"/>
          <w:szCs w:val="21"/>
          <w:highlight w:val="none"/>
        </w:rPr>
        <w:t>平方米（以甲方每月确认的保洁面积为准）。</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2.大院所有垃圾清运及处理。</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3.每季度打磨饭堂地面1次。</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4.每月定期清理4号楼饭堂化油池至少1次。</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5.日常负责卫生间排污及各类下水管道、沙井；每月定期清理疏通管道至少1次。</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6.采用机械设备彻底清理疏通化粪池、暗渠、沙井和相连管道的淤泥，每年至少1次。</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7.每年定期清洗6个水池2次。</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8.</w:t>
      </w:r>
      <w:r>
        <w:rPr>
          <w:rFonts w:hint="eastAsia" w:ascii="宋体" w:hAnsi="宋体" w:eastAsia="宋体" w:cs="宋体"/>
          <w:bCs/>
          <w:i w:val="0"/>
          <w:iCs w:val="0"/>
          <w:caps w:val="0"/>
          <w:color w:val="auto"/>
          <w:spacing w:val="0"/>
          <w:sz w:val="21"/>
          <w:szCs w:val="21"/>
          <w:highlight w:val="none"/>
          <w:shd w:val="clear"/>
        </w:rPr>
        <w:t>白蚁防治每月至少检查1次，根据情况施药</w:t>
      </w:r>
      <w:r>
        <w:rPr>
          <w:rFonts w:hint="eastAsia" w:ascii="宋体" w:hAnsi="宋体" w:eastAsia="宋体" w:cs="宋体"/>
          <w:bCs/>
          <w:i w:val="0"/>
          <w:iCs w:val="0"/>
          <w:caps w:val="0"/>
          <w:color w:val="auto"/>
          <w:spacing w:val="0"/>
          <w:sz w:val="21"/>
          <w:szCs w:val="21"/>
          <w:highlight w:val="none"/>
          <w:shd w:val="clear"/>
          <w:lang w:eastAsia="zh-CN"/>
        </w:rPr>
        <w:t>；</w:t>
      </w:r>
      <w:r>
        <w:rPr>
          <w:rFonts w:hint="eastAsia" w:ascii="宋体" w:hAnsi="宋体" w:cs="宋体"/>
          <w:bCs/>
          <w:color w:val="auto"/>
          <w:szCs w:val="21"/>
          <w:highlight w:val="none"/>
        </w:rPr>
        <w:t>除四害服务每月4次（饭堂特殊消杀）。(提供本服务的专业公司及人员资质证书)。</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9.根据甲方需要，清洗1号楼和2号楼外墙，</w:t>
      </w:r>
      <w:r>
        <w:rPr>
          <w:rFonts w:hint="eastAsia" w:ascii="宋体" w:hAnsi="宋体" w:cs="宋体"/>
          <w:color w:val="auto"/>
          <w:szCs w:val="21"/>
          <w:highlight w:val="none"/>
        </w:rPr>
        <w:t>面积约为47400m</w:t>
      </w:r>
      <w:r>
        <w:rPr>
          <w:rFonts w:hint="eastAsia" w:ascii="宋体" w:hAnsi="宋体" w:cs="宋体"/>
          <w:color w:val="auto"/>
          <w:szCs w:val="21"/>
          <w:highlight w:val="none"/>
          <w:vertAlign w:val="superscript"/>
        </w:rPr>
        <w:t>2</w:t>
      </w:r>
      <w:r>
        <w:rPr>
          <w:rFonts w:hint="eastAsia" w:ascii="宋体" w:hAnsi="宋体" w:cs="宋体"/>
          <w:bCs/>
          <w:color w:val="auto"/>
          <w:szCs w:val="21"/>
          <w:highlight w:val="none"/>
        </w:rPr>
        <w:t>（提供服务的人员必须持有高空作业资质证书）。</w:t>
      </w:r>
    </w:p>
    <w:p>
      <w:pPr>
        <w:ind w:firstLine="422" w:firstLineChars="200"/>
        <w:rPr>
          <w:rFonts w:hint="eastAsia" w:ascii="宋体" w:hAnsi="宋体" w:cs="宋体"/>
          <w:b/>
          <w:color w:val="auto"/>
          <w:szCs w:val="21"/>
          <w:highlight w:val="none"/>
        </w:rPr>
      </w:pPr>
      <w:r>
        <w:rPr>
          <w:rFonts w:hint="eastAsia" w:ascii="宋体" w:hAnsi="宋体" w:cs="宋体"/>
          <w:b/>
          <w:color w:val="auto"/>
          <w:szCs w:val="21"/>
          <w:highlight w:val="none"/>
        </w:rPr>
        <w:t>二、费用计算方式</w:t>
      </w:r>
    </w:p>
    <w:p>
      <w:pPr>
        <w:ind w:firstLine="420" w:firstLineChars="200"/>
        <w:rPr>
          <w:color w:val="auto"/>
          <w:highlight w:val="none"/>
        </w:rPr>
      </w:pPr>
      <w:bookmarkStart w:id="1433" w:name="_Toc17224"/>
      <w:bookmarkStart w:id="1434" w:name="_Toc9119"/>
      <w:r>
        <w:rPr>
          <w:rFonts w:hint="eastAsia"/>
          <w:color w:val="auto"/>
          <w:highlight w:val="none"/>
        </w:rPr>
        <w:t>为了确保保洁服务质量，本项目的计费项目由日常保洁费、专项保洁费两部分组成。</w:t>
      </w:r>
      <w:bookmarkEnd w:id="1433"/>
      <w:bookmarkEnd w:id="1434"/>
    </w:p>
    <w:p>
      <w:pPr>
        <w:ind w:firstLine="420" w:firstLineChars="200"/>
        <w:rPr>
          <w:color w:val="auto"/>
          <w:highlight w:val="none"/>
        </w:rPr>
      </w:pPr>
      <w:bookmarkStart w:id="1435" w:name="_Toc18773"/>
      <w:bookmarkStart w:id="1436" w:name="_Toc17154"/>
      <w:r>
        <w:rPr>
          <w:rFonts w:hint="eastAsia"/>
          <w:color w:val="auto"/>
          <w:highlight w:val="none"/>
        </w:rPr>
        <w:t>（一）日常保洁费</w:t>
      </w:r>
      <w:bookmarkEnd w:id="1435"/>
      <w:bookmarkEnd w:id="1436"/>
    </w:p>
    <w:p>
      <w:pPr>
        <w:rPr>
          <w:color w:val="auto"/>
          <w:highlight w:val="none"/>
        </w:rPr>
      </w:pPr>
      <w:bookmarkStart w:id="1437" w:name="_Toc3939"/>
      <w:bookmarkStart w:id="1438" w:name="_Toc6041"/>
      <w:r>
        <w:rPr>
          <w:rFonts w:hint="eastAsia"/>
          <w:color w:val="auto"/>
          <w:highlight w:val="none"/>
        </w:rPr>
        <w:t>日常保洁费包含了大院日常保洁面积服务费及垃圾分离处理及清运费，细分如下：</w:t>
      </w:r>
      <w:bookmarkEnd w:id="1437"/>
      <w:bookmarkEnd w:id="1438"/>
    </w:p>
    <w:p>
      <w:pPr>
        <w:rPr>
          <w:color w:val="auto"/>
          <w:highlight w:val="none"/>
        </w:rPr>
      </w:pPr>
      <w:bookmarkStart w:id="1439" w:name="_Toc1865"/>
      <w:bookmarkStart w:id="1440" w:name="_Toc32513"/>
      <w:r>
        <w:rPr>
          <w:rFonts w:hint="eastAsia"/>
          <w:color w:val="auto"/>
          <w:highlight w:val="none"/>
        </w:rPr>
        <w:t>1.室内建筑面积保洁费：室内建筑面积44000平方米，每平方米    元/月，每月    元。</w:t>
      </w:r>
      <w:bookmarkEnd w:id="1439"/>
      <w:bookmarkEnd w:id="1440"/>
    </w:p>
    <w:p>
      <w:pPr>
        <w:rPr>
          <w:color w:val="auto"/>
          <w:highlight w:val="none"/>
        </w:rPr>
      </w:pPr>
      <w:bookmarkStart w:id="1441" w:name="_Toc2388"/>
      <w:bookmarkStart w:id="1442" w:name="_Toc24814"/>
      <w:r>
        <w:rPr>
          <w:rFonts w:hint="eastAsia"/>
          <w:color w:val="auto"/>
          <w:highlight w:val="none"/>
        </w:rPr>
        <w:t>2.室外面积保洁费：室外面积约12600平方米，每平方米   元/月，每月    元。</w:t>
      </w:r>
      <w:bookmarkEnd w:id="1441"/>
      <w:bookmarkEnd w:id="1442"/>
    </w:p>
    <w:p>
      <w:pPr>
        <w:rPr>
          <w:color w:val="auto"/>
          <w:highlight w:val="none"/>
        </w:rPr>
      </w:pPr>
      <w:bookmarkStart w:id="1443" w:name="_Toc17950"/>
      <w:bookmarkStart w:id="1444" w:name="_Toc23465"/>
      <w:r>
        <w:rPr>
          <w:rFonts w:hint="eastAsia"/>
          <w:color w:val="auto"/>
          <w:highlight w:val="none"/>
        </w:rPr>
        <w:t>3.地下停车场保洁费：地下停车场面积约8400平方米，每平方米  元/月，每月   元。</w:t>
      </w:r>
      <w:bookmarkEnd w:id="1443"/>
      <w:bookmarkEnd w:id="1444"/>
    </w:p>
    <w:p>
      <w:pPr>
        <w:rPr>
          <w:color w:val="auto"/>
          <w:highlight w:val="none"/>
        </w:rPr>
      </w:pPr>
      <w:bookmarkStart w:id="1445" w:name="_Toc3881"/>
      <w:bookmarkStart w:id="1446" w:name="_Toc5251"/>
      <w:r>
        <w:rPr>
          <w:rFonts w:hint="eastAsia"/>
          <w:color w:val="auto"/>
          <w:highlight w:val="none"/>
        </w:rPr>
        <w:t>4.垃圾分类处理及清运费：每月   元。</w:t>
      </w:r>
      <w:bookmarkEnd w:id="1445"/>
      <w:bookmarkEnd w:id="1446"/>
    </w:p>
    <w:p>
      <w:pPr>
        <w:rPr>
          <w:color w:val="auto"/>
          <w:highlight w:val="none"/>
        </w:rPr>
      </w:pPr>
      <w:bookmarkStart w:id="1447" w:name="_Toc14853"/>
      <w:bookmarkStart w:id="1448" w:name="_Toc10664"/>
      <w:r>
        <w:rPr>
          <w:rFonts w:hint="eastAsia"/>
          <w:color w:val="auto"/>
          <w:highlight w:val="none"/>
        </w:rPr>
        <w:t>合计：     元/月。①若甲方新增或减少保洁区域，保洁费也做相应的调整，按以下公式调整：调整金额 = 日常保洁费+(新增面积×单价) 或日常保洁费-(减少面积×单价)。②甲方根据保洁面积，设置岗位共46个，甲方每月按照500元/岗位从日常保洁费中计提服务质量奖励金，即每月计提服务质量奖励金：46个岗位×500元/岗=23,000元/月，服务质量奖励金作为奖励金，由甲方根据《日常保洁服务质量考核评分表》评分，决定每月服务质量奖励金的支付，扣减的部分不再支付。</w:t>
      </w:r>
      <w:bookmarkEnd w:id="1447"/>
      <w:bookmarkEnd w:id="1448"/>
    </w:p>
    <w:p>
      <w:pPr>
        <w:ind w:firstLine="420" w:firstLineChars="200"/>
        <w:rPr>
          <w:color w:val="auto"/>
          <w:highlight w:val="none"/>
        </w:rPr>
      </w:pPr>
      <w:r>
        <w:rPr>
          <w:rFonts w:hint="eastAsia"/>
          <w:color w:val="auto"/>
          <w:highlight w:val="none"/>
        </w:rPr>
        <w:t>（二）专项保洁费用</w:t>
      </w:r>
    </w:p>
    <w:p>
      <w:pPr>
        <w:ind w:firstLine="420" w:firstLineChars="200"/>
        <w:rPr>
          <w:color w:val="auto"/>
          <w:highlight w:val="none"/>
        </w:rPr>
      </w:pPr>
      <w:bookmarkStart w:id="1449" w:name="_Toc24685"/>
      <w:bookmarkStart w:id="1450" w:name="_Toc6157"/>
      <w:r>
        <w:rPr>
          <w:rFonts w:hint="eastAsia"/>
          <w:color w:val="auto"/>
          <w:highlight w:val="none"/>
        </w:rPr>
        <w:t>1.集团大院卫生间排污及各类下水管道、沙井及相连的排污和排水管道疏通及处理：每月定期疏通一次，    元/月；</w:t>
      </w:r>
      <w:bookmarkEnd w:id="1449"/>
      <w:bookmarkEnd w:id="1450"/>
    </w:p>
    <w:p>
      <w:pPr>
        <w:rPr>
          <w:color w:val="auto"/>
          <w:highlight w:val="none"/>
        </w:rPr>
      </w:pPr>
    </w:p>
    <w:p>
      <w:pPr>
        <w:ind w:firstLine="420" w:firstLineChars="200"/>
        <w:rPr>
          <w:color w:val="auto"/>
          <w:highlight w:val="none"/>
        </w:rPr>
      </w:pPr>
      <w:bookmarkStart w:id="1451" w:name="_Toc13298"/>
      <w:bookmarkStart w:id="1452" w:name="_Toc5648"/>
      <w:r>
        <w:rPr>
          <w:rFonts w:hint="eastAsia"/>
          <w:color w:val="auto"/>
          <w:highlight w:val="none"/>
        </w:rPr>
        <w:t>2.大院水池清理：集团大院各楼宇水池共有6个，每年清洗2次，   元/次,   元/年（      元/月）；</w:t>
      </w:r>
      <w:bookmarkEnd w:id="1451"/>
      <w:bookmarkEnd w:id="1452"/>
    </w:p>
    <w:p>
      <w:pPr>
        <w:ind w:firstLine="420" w:firstLineChars="200"/>
        <w:rPr>
          <w:color w:val="auto"/>
          <w:highlight w:val="none"/>
        </w:rPr>
      </w:pPr>
      <w:bookmarkStart w:id="1453" w:name="_Toc30691"/>
      <w:bookmarkStart w:id="1454" w:name="_Toc662"/>
      <w:r>
        <w:rPr>
          <w:rFonts w:hint="eastAsia"/>
          <w:color w:val="auto"/>
          <w:highlight w:val="none"/>
        </w:rPr>
        <w:t>3.饭堂化油池清理：每月清理一次，     元/月；</w:t>
      </w:r>
      <w:bookmarkEnd w:id="1453"/>
      <w:bookmarkEnd w:id="1454"/>
    </w:p>
    <w:p>
      <w:pPr>
        <w:ind w:firstLine="420" w:firstLineChars="200"/>
        <w:rPr>
          <w:color w:val="auto"/>
          <w:highlight w:val="none"/>
        </w:rPr>
      </w:pPr>
      <w:bookmarkStart w:id="1455" w:name="_Toc4673"/>
      <w:bookmarkStart w:id="1456" w:name="_Toc26881"/>
      <w:r>
        <w:rPr>
          <w:rFonts w:hint="eastAsia"/>
          <w:color w:val="auto"/>
          <w:highlight w:val="none"/>
        </w:rPr>
        <w:t>4.化粪池、暗渠、沙井和相连管道的淤泥清理，每年至少1次，   元/次,   元/年（      元/月）。</w:t>
      </w:r>
      <w:bookmarkEnd w:id="1455"/>
      <w:bookmarkEnd w:id="1456"/>
    </w:p>
    <w:p>
      <w:pPr>
        <w:ind w:firstLine="420" w:firstLineChars="200"/>
        <w:rPr>
          <w:color w:val="auto"/>
          <w:highlight w:val="none"/>
        </w:rPr>
      </w:pPr>
      <w:bookmarkStart w:id="1457" w:name="_Toc29929"/>
      <w:bookmarkStart w:id="1458" w:name="_Toc18775"/>
      <w:r>
        <w:rPr>
          <w:rFonts w:hint="eastAsia"/>
          <w:color w:val="auto"/>
          <w:highlight w:val="none"/>
        </w:rPr>
        <w:t>5.</w:t>
      </w:r>
      <w:r>
        <w:rPr>
          <w:rFonts w:hint="eastAsia" w:ascii="宋体" w:hAnsi="宋体" w:cs="宋体"/>
          <w:bCs/>
          <w:color w:val="auto"/>
          <w:szCs w:val="21"/>
          <w:highlight w:val="none"/>
        </w:rPr>
        <w:t>白蚁防治、除四害服务</w:t>
      </w:r>
      <w:r>
        <w:rPr>
          <w:rFonts w:hint="eastAsia"/>
          <w:color w:val="auto"/>
          <w:highlight w:val="none"/>
        </w:rPr>
        <w:t>：</w:t>
      </w:r>
      <w:r>
        <w:rPr>
          <w:rFonts w:hint="eastAsia" w:ascii="宋体" w:hAnsi="宋体" w:cs="宋体"/>
          <w:color w:val="auto"/>
          <w:kern w:val="0"/>
          <w:sz w:val="22"/>
          <w:szCs w:val="22"/>
          <w:highlight w:val="none"/>
          <w:lang w:val="en-US" w:eastAsia="zh-CN" w:bidi="ar"/>
        </w:rPr>
        <w:t>白</w:t>
      </w:r>
      <w:r>
        <w:rPr>
          <w:rFonts w:hint="default" w:ascii="宋体" w:hAnsi="宋体" w:cs="宋体"/>
          <w:color w:val="auto"/>
          <w:kern w:val="0"/>
          <w:sz w:val="22"/>
          <w:szCs w:val="22"/>
          <w:highlight w:val="none"/>
          <w:lang w:val="en-US" w:eastAsia="zh-CN" w:bidi="ar"/>
        </w:rPr>
        <w:t>蚁防治每月至少检查1次，根据情况施药</w:t>
      </w:r>
      <w:r>
        <w:rPr>
          <w:rFonts w:hint="eastAsia" w:ascii="宋体" w:hAnsi="宋体" w:cs="宋体"/>
          <w:color w:val="auto"/>
          <w:kern w:val="0"/>
          <w:sz w:val="22"/>
          <w:szCs w:val="22"/>
          <w:highlight w:val="none"/>
          <w:lang w:val="en-US" w:eastAsia="zh-CN" w:bidi="ar"/>
        </w:rPr>
        <w:t>；除四害</w:t>
      </w:r>
      <w:r>
        <w:rPr>
          <w:rFonts w:ascii="宋体" w:hAnsi="宋体" w:cs="宋体"/>
          <w:color w:val="auto"/>
          <w:kern w:val="0"/>
          <w:sz w:val="22"/>
          <w:szCs w:val="22"/>
          <w:highlight w:val="none"/>
          <w:lang w:bidi="ar"/>
        </w:rPr>
        <w:t>每月</w:t>
      </w:r>
      <w:r>
        <w:rPr>
          <w:rFonts w:hint="eastAsia" w:ascii="宋体" w:hAnsi="宋体" w:cs="宋体"/>
          <w:color w:val="auto"/>
          <w:kern w:val="0"/>
          <w:sz w:val="22"/>
          <w:szCs w:val="22"/>
          <w:highlight w:val="none"/>
          <w:lang w:bidi="ar"/>
        </w:rPr>
        <w:t>约</w:t>
      </w:r>
      <w:r>
        <w:rPr>
          <w:rFonts w:ascii="宋体" w:hAnsi="宋体" w:cs="宋体"/>
          <w:color w:val="auto"/>
          <w:kern w:val="0"/>
          <w:sz w:val="22"/>
          <w:szCs w:val="22"/>
          <w:highlight w:val="none"/>
          <w:lang w:bidi="ar"/>
        </w:rPr>
        <w:t>4次</w:t>
      </w:r>
      <w:r>
        <w:rPr>
          <w:rFonts w:hint="eastAsia"/>
          <w:color w:val="auto"/>
          <w:highlight w:val="none"/>
        </w:rPr>
        <w:t>，   元/月；</w:t>
      </w:r>
      <w:bookmarkEnd w:id="1457"/>
      <w:bookmarkEnd w:id="1458"/>
    </w:p>
    <w:p>
      <w:pPr>
        <w:ind w:firstLine="420" w:firstLineChars="200"/>
        <w:rPr>
          <w:color w:val="auto"/>
          <w:highlight w:val="none"/>
        </w:rPr>
      </w:pPr>
      <w:bookmarkStart w:id="1459" w:name="_Toc12585"/>
      <w:bookmarkStart w:id="1460" w:name="_Toc118"/>
      <w:r>
        <w:rPr>
          <w:rFonts w:hint="eastAsia"/>
          <w:color w:val="auto"/>
          <w:highlight w:val="none"/>
        </w:rPr>
        <w:t>6.1号楼、2号楼外墙清洗：1号楼和2号楼外墙总面积约为47400平方米，根据甲方需要进行清洗，    元/次；</w:t>
      </w:r>
      <w:bookmarkEnd w:id="1459"/>
      <w:bookmarkEnd w:id="1460"/>
    </w:p>
    <w:p>
      <w:pPr>
        <w:ind w:firstLine="420" w:firstLineChars="200"/>
        <w:rPr>
          <w:color w:val="auto"/>
          <w:highlight w:val="none"/>
        </w:rPr>
      </w:pPr>
      <w:bookmarkStart w:id="1461" w:name="_Toc17462"/>
      <w:bookmarkStart w:id="1462" w:name="_Toc14625"/>
      <w:r>
        <w:rPr>
          <w:rFonts w:hint="eastAsia"/>
          <w:color w:val="auto"/>
          <w:highlight w:val="none"/>
        </w:rPr>
        <w:t>第“1-5”专项保洁服务费用合计：      元/月，第“6”专项保洁服务由甲方提出清洗需求，按实际清洗频次结算。乙方完成以上“1-6”项专项保洁服务后3个工作日内，由甲方提交《专项保洁服务质量考核评分表》，不同项目独立评分，甲方根据评分情况决定专项保洁费的支付，扣减的部分不再支付。</w:t>
      </w:r>
      <w:bookmarkEnd w:id="1461"/>
      <w:bookmarkEnd w:id="1462"/>
    </w:p>
    <w:p>
      <w:pPr>
        <w:ind w:firstLine="420" w:firstLineChars="200"/>
        <w:rPr>
          <w:rFonts w:hint="eastAsia" w:ascii="宋体" w:hAnsi="宋体" w:cs="宋体"/>
          <w:bCs/>
          <w:color w:val="auto"/>
          <w:szCs w:val="21"/>
          <w:highlight w:val="none"/>
        </w:rPr>
      </w:pPr>
      <w:bookmarkStart w:id="1463" w:name="_Toc23420"/>
      <w:bookmarkStart w:id="1464" w:name="_Toc25612"/>
      <w:r>
        <w:rPr>
          <w:rFonts w:hint="eastAsia"/>
          <w:color w:val="auto"/>
          <w:highlight w:val="none"/>
        </w:rPr>
        <w:t>以上（一）、（二）项1年合计费用为   万元，2年合计费用为   万元，费用包含了乙方的人员薪资、工具物料费用、管理费、人员劳动保险和意外保险、税费等。如保洁面积(内容)有增减，由甲乙双方协商确定人员及费用的增减。</w:t>
      </w:r>
      <w:bookmarkEnd w:id="1463"/>
      <w:bookmarkEnd w:id="1464"/>
    </w:p>
    <w:p>
      <w:pPr>
        <w:rPr>
          <w:color w:val="auto"/>
          <w:highlight w:val="none"/>
        </w:rPr>
      </w:pPr>
      <w:bookmarkStart w:id="1465" w:name="_Toc3151"/>
      <w:bookmarkStart w:id="1466" w:name="_Toc7176"/>
      <w:r>
        <w:rPr>
          <w:rFonts w:hint="eastAsia"/>
          <w:color w:val="auto"/>
          <w:highlight w:val="none"/>
        </w:rPr>
        <w:t>三、费用结算方式</w:t>
      </w:r>
      <w:bookmarkEnd w:id="1465"/>
      <w:bookmarkEnd w:id="1466"/>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1.双方签订合同，乙方进场并正式开始保洁服务满30个日历天后进行首次结算。</w:t>
      </w:r>
    </w:p>
    <w:p>
      <w:pPr>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2.甲方按照合同第二条，审核乙方提供的当月应付费用，甲方以保洁服务费用形式进行支付。</w:t>
      </w:r>
    </w:p>
    <w:p>
      <w:pPr>
        <w:ind w:firstLine="420" w:firstLineChars="200"/>
        <w:rPr>
          <w:rFonts w:hint="eastAsia" w:ascii="宋体" w:hAnsi="宋体" w:cs="宋体"/>
          <w:bCs/>
          <w:color w:val="auto"/>
          <w:szCs w:val="21"/>
          <w:highlight w:val="none"/>
        </w:rPr>
      </w:pPr>
      <w:r>
        <w:rPr>
          <w:rFonts w:hint="eastAsia" w:ascii="宋体" w:hAnsi="宋体" w:cs="宋体"/>
          <w:color w:val="auto"/>
          <w:szCs w:val="21"/>
          <w:highlight w:val="none"/>
        </w:rPr>
        <w:t>3.</w:t>
      </w:r>
      <w:r>
        <w:rPr>
          <w:rFonts w:hint="eastAsia" w:ascii="宋体" w:hAnsi="宋体" w:cs="宋体"/>
          <w:color w:val="auto"/>
          <w:spacing w:val="12"/>
          <w:szCs w:val="21"/>
          <w:highlight w:val="none"/>
        </w:rPr>
        <w:t>乙方在每月10日前，</w:t>
      </w:r>
      <w:r>
        <w:rPr>
          <w:rFonts w:hint="eastAsia" w:ascii="宋体" w:hAnsi="宋体" w:cs="宋体"/>
          <w:color w:val="auto"/>
          <w:szCs w:val="21"/>
          <w:highlight w:val="none"/>
        </w:rPr>
        <w:t>按甲方要求提交上月清洁服务工作相关资料，经甲方审核通过后，甲方向乙方提供实际费用分摊表，乙方须根据该费用分摊表向甲方提供国家正规增值税专用发票，发票抬头为</w:t>
      </w:r>
      <w:r>
        <w:rPr>
          <w:rFonts w:hint="eastAsia" w:ascii="宋体" w:hAnsi="宋体" w:cs="宋体"/>
          <w:color w:val="auto"/>
          <w:szCs w:val="21"/>
          <w:highlight w:val="none"/>
          <w:u w:val="single"/>
        </w:rPr>
        <w:t>南方报业传媒集团（南方日报社）、广东南方报业传媒集团有限公司及各个子公司</w:t>
      </w:r>
      <w:r>
        <w:rPr>
          <w:rFonts w:hint="eastAsia" w:ascii="宋体" w:hAnsi="宋体" w:cs="宋体"/>
          <w:color w:val="auto"/>
          <w:szCs w:val="21"/>
          <w:highlight w:val="none"/>
        </w:rPr>
        <w:t>。甲方在收到发票的15个工作日内，按乙方提供的开户银行：</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，账号：</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，以转账方式向乙方支付相关费用，遇节假日顺延。</w:t>
      </w:r>
      <w:r>
        <w:rPr>
          <w:rFonts w:hint="eastAsia" w:ascii="宋体" w:hAnsi="宋体" w:cs="宋体"/>
          <w:color w:val="auto"/>
          <w:spacing w:val="10"/>
          <w:szCs w:val="21"/>
          <w:highlight w:val="none"/>
        </w:rPr>
        <w:t>首次结算在乙方进场及双方签订合同生效，正式开始保洁服</w:t>
      </w:r>
      <w:r>
        <w:rPr>
          <w:rFonts w:hint="eastAsia" w:ascii="宋体" w:hAnsi="宋体" w:cs="宋体"/>
          <w:color w:val="auto"/>
          <w:spacing w:val="9"/>
          <w:szCs w:val="21"/>
          <w:highlight w:val="none"/>
        </w:rPr>
        <w:t>务工作满</w:t>
      </w:r>
      <w:r>
        <w:rPr>
          <w:rFonts w:hint="eastAsia" w:ascii="宋体" w:hAnsi="宋体" w:cs="宋体"/>
          <w:color w:val="auto"/>
          <w:spacing w:val="12"/>
          <w:szCs w:val="21"/>
          <w:highlight w:val="none"/>
          <w:u w:val="single"/>
        </w:rPr>
        <w:t>30</w:t>
      </w:r>
      <w:r>
        <w:rPr>
          <w:rFonts w:hint="eastAsia" w:ascii="宋体" w:hAnsi="宋体" w:cs="宋体"/>
          <w:color w:val="auto"/>
          <w:spacing w:val="12"/>
          <w:szCs w:val="21"/>
          <w:highlight w:val="none"/>
        </w:rPr>
        <w:t>个日历天后结算；</w:t>
      </w:r>
    </w:p>
    <w:p>
      <w:pPr>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四、服务期限</w:t>
      </w:r>
    </w:p>
    <w:p>
      <w:pPr>
        <w:ind w:firstLine="470" w:firstLineChars="224"/>
        <w:rPr>
          <w:rFonts w:hint="eastAsia" w:ascii="宋体" w:hAnsi="宋体" w:cs="宋体"/>
          <w:color w:val="auto"/>
          <w:szCs w:val="21"/>
          <w:highlight w:val="none"/>
        </w:rPr>
      </w:pPr>
      <w:r>
        <w:rPr>
          <w:rFonts w:hint="eastAsia" w:ascii="宋体" w:hAnsi="宋体" w:cs="宋体"/>
          <w:color w:val="auto"/>
          <w:szCs w:val="21"/>
          <w:highlight w:val="none"/>
        </w:rPr>
        <w:t>合同期为“（1年+1年）”，从2025年7月1日至2026年6月30日，合同期满一年时，甲方根据《日常保洁服务质量考核评分表》、《专项保洁服务质量考核评分表》得分情况对乙方的服务进行考评,两项评分表累计出现3次或以上评分C等级或任一评分表出现1次或以上评分D等级则为不合格，甲方有权终止合同；除以上不合格情况其余考评为合格，如考评合格，合同期顺延一年，即2027年6月30日止。合同期前三个月为试用期，如乙方在试用期内出现保洁工作达不到甲方的质量要求、不遵守合同规定等，甲方有权终止合同。</w:t>
      </w:r>
    </w:p>
    <w:p>
      <w:pPr>
        <w:ind w:firstLine="472" w:firstLineChars="224"/>
        <w:rPr>
          <w:rFonts w:hint="eastAsia" w:ascii="宋体" w:hAnsi="宋体" w:cs="宋体"/>
          <w:b/>
          <w:bCs/>
          <w:color w:val="auto"/>
          <w:szCs w:val="21"/>
          <w:highlight w:val="none"/>
        </w:rPr>
      </w:pPr>
      <w:r>
        <w:rPr>
          <w:rFonts w:hint="eastAsia" w:ascii="宋体" w:hAnsi="宋体" w:cs="宋体"/>
          <w:b/>
          <w:bCs/>
          <w:color w:val="auto"/>
          <w:szCs w:val="21"/>
          <w:highlight w:val="none"/>
        </w:rPr>
        <w:t>五、履约保证金</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乙方在签订本合同后10日内须向甲方缴纳履约保证金</w:t>
      </w:r>
      <w:r>
        <w:rPr>
          <w:rFonts w:hint="eastAsia" w:ascii="宋体" w:hAnsi="宋体" w:cs="宋体"/>
          <w:color w:val="auto"/>
          <w:szCs w:val="21"/>
          <w:highlight w:val="none"/>
          <w:u w:val="single"/>
        </w:rPr>
        <w:t>¥50,000.00</w:t>
      </w:r>
      <w:r>
        <w:rPr>
          <w:rFonts w:hint="eastAsia" w:ascii="宋体" w:hAnsi="宋体" w:cs="宋体"/>
          <w:color w:val="auto"/>
          <w:szCs w:val="21"/>
          <w:highlight w:val="none"/>
        </w:rPr>
        <w:t>元（大写：</w:t>
      </w:r>
      <w:r>
        <w:rPr>
          <w:rFonts w:hint="eastAsia" w:ascii="宋体" w:hAnsi="宋体" w:cs="宋体"/>
          <w:color w:val="auto"/>
          <w:szCs w:val="21"/>
          <w:highlight w:val="none"/>
          <w:u w:val="single"/>
        </w:rPr>
        <w:t>伍万元整</w:t>
      </w:r>
      <w:r>
        <w:rPr>
          <w:rFonts w:hint="eastAsia" w:ascii="宋体" w:hAnsi="宋体" w:cs="宋体"/>
          <w:color w:val="auto"/>
          <w:szCs w:val="21"/>
          <w:highlight w:val="none"/>
        </w:rPr>
        <w:t>）。</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乙方在履行本合同过程中如应支付违约金、赔偿金、罚金等费用的，甲方有权直接在履约保证金中扣除。扣除后履约保证金不足伍万元的，乙方应在收到甲方通知后的</w:t>
      </w:r>
      <w:r>
        <w:rPr>
          <w:rFonts w:hint="eastAsia" w:ascii="宋体" w:hAnsi="宋体" w:cs="宋体"/>
          <w:color w:val="auto"/>
          <w:szCs w:val="21"/>
          <w:highlight w:val="none"/>
          <w:u w:val="single"/>
        </w:rPr>
        <w:t xml:space="preserve"> 10 </w:t>
      </w:r>
      <w:r>
        <w:rPr>
          <w:rFonts w:hint="eastAsia" w:ascii="宋体" w:hAnsi="宋体" w:cs="宋体"/>
          <w:color w:val="auto"/>
          <w:szCs w:val="21"/>
          <w:highlight w:val="none"/>
        </w:rPr>
        <w:t>日内予以补齐。</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本合同解除或终止后，双方结清服务费用（包括违约金、赔偿金、罚金等，如有）后，甲方在15个工作日内无息退还履约剩余的保证金。</w:t>
      </w:r>
    </w:p>
    <w:p>
      <w:pPr>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六、双方权利及义务</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（一）甲方的权利及义务</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1.甲方有权参与并最终决定乙方派遣的工作人员。双方确认，乙方派遣的驻场工作人员均系与乙方建立劳动关系，与甲方未建立任何劳动关系。</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2.甲方有权按照本合同的约定检查乙方安排到甲方工作人员的劳动合同履行情况。</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3.甲方负责免费提供乙方工作所需的水、电及存放机具、物料的工作间；</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4.甲方有权派人协调、协助工作，定期或不定期对乙方的工作进行督查，确保保洁工作按质按量进行；若甲方督查过程中发现问题，则</w:t>
      </w:r>
      <w:r>
        <w:rPr>
          <w:rFonts w:hint="eastAsia" w:ascii="宋体" w:hAnsi="宋体" w:cs="宋体"/>
          <w:bCs/>
          <w:color w:val="auto"/>
          <w:szCs w:val="21"/>
          <w:highlight w:val="none"/>
        </w:rPr>
        <w:t>根据《日常保洁服务质量考核评分表》</w:t>
      </w:r>
      <w:r>
        <w:rPr>
          <w:rFonts w:hint="eastAsia" w:ascii="宋体" w:hAnsi="宋体" w:cs="宋体"/>
          <w:color w:val="auto"/>
          <w:szCs w:val="21"/>
          <w:highlight w:val="none"/>
        </w:rPr>
        <w:t>进行相应的扣分。</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（二）乙方的权利及义务</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1.乙方须自备保洁工作所需的专业工具、设备和物料，使用的物料需符合环保及质量要求。</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2.乙方及其工作人员须严格按照本合同规定的服务内容和质量标准做好各项工作，未经甲方同意不得从事合同以外的工作。</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3.乙方聘用人员须符合国家相关用工规定，遵守劳动用工法律法规。</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须对工作人员做好安全生产培训，为不同工种的工作人员购买相应的意外保险。在服务过程中应提高警惕，采取积极有效的安全防护措施，文明和安全施工，消除事故隐患，避免造成人身和财产的损害。依法应持证作业的工作（包括但不限于高空作业等）须持有相关证照，并购买相关意外保险。乙方日常工作中未采取有效安全措施或管理不善等而造成事故的责任和因此发生的费用，由乙方自行承担全部责任；乙方工作人员在服务过程中所发生的人身、财产损害，或其导致甲方或其他任何第三方发生的人身、财产损害，均由乙方负责解决，并承担相应的法律责任。甲方若因此需对外承担赔偿责任时，则乙方应在甲方承担赔偿责任范围内向甲方承担等额赔偿责任；如乙方人为损坏甲方及第三方财物，须按修复或按重置价格赔偿；</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5.乙方应积极配合甲方部署的卫生检查，并做好相关的迎检工作；</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6.会议、节假日及重要接待，乙方应配合甲方提前做好场地及杯具的保洁及布置等相关工作；</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7.对甲方提出非本合同规定服务范围内的服务工作，乙方须积极配合完成，并以合理的价格收取相应的服务费用。</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8.必须严格遵守甲方的各项管理规定，服从甲方管理人员的管理。驻场工作人员必须严格遵守甲方的相关保密制度，不得擅自翻阅甲方的文件资料，不得以任何方式向任何单位和个人泄露甲方的有关信息。如有违反，甲方有权解除合同关系，同时乙方须向甲方支付合同总金额15%的违约金，因此给甲方造成损失或产生其他不利后果的，乙方需承担一切法律责任，包括但不限于赔偿甲方经济损失。</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9.乙方在做除四害服务时，必须注意周围的材料及设备，不能留残渍在以上物品上；若因乙方作业导致甲方的材料及设备受损，乙方应承担赔偿责任。</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10.当办公场地发生患情时，乙方需及时派人到现场进行处理。乙方上岗服务人员要严格遵守灭鼠杀虫技术操作规程，文明作业。</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11.注意药物的使用安全，投(施)药时需要防护的部分，应向甲方提 出并进行有效的防护措施。</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12.乙方使用的灭鼠杀虫药物按国家规定持有“三证”的药物，严禁使用急性灭鼠药或其它明文禁用药物，如药物使用不当引起人畜中毒或其它责任事故的，由乙方承担全部责任。</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13.接到甲方通知(发现死鼠、蚊 蝇超标、发现白蚁),乙方应在甲方规定的时间内(一般为收到甲方通知后的3个小时内)到达现场并采取有效的方法解决出现的问题。</w:t>
      </w:r>
    </w:p>
    <w:p>
      <w:pPr>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14.积极配合甲方属地街道或甲方组织的灭蚊行动，积极配合处理甲方其他区域突发的患情。重大节日应配合甲方做好除“四害”工作。</w:t>
      </w:r>
    </w:p>
    <w:p>
      <w:pPr>
        <w:ind w:firstLine="422" w:firstLineChars="200"/>
        <w:rPr>
          <w:rFonts w:hint="eastAsia" w:ascii="宋体" w:hAnsi="宋体" w:cs="宋体"/>
          <w:b/>
          <w:color w:val="auto"/>
          <w:szCs w:val="21"/>
          <w:highlight w:val="none"/>
        </w:rPr>
      </w:pPr>
      <w:r>
        <w:rPr>
          <w:rFonts w:hint="eastAsia" w:ascii="宋体" w:hAnsi="宋体" w:cs="宋体"/>
          <w:b/>
          <w:bCs/>
          <w:color w:val="auto"/>
          <w:szCs w:val="21"/>
          <w:highlight w:val="none"/>
        </w:rPr>
        <w:t>七</w:t>
      </w:r>
      <w:r>
        <w:rPr>
          <w:rFonts w:hint="eastAsia" w:ascii="宋体" w:hAnsi="宋体" w:cs="宋体"/>
          <w:b/>
          <w:color w:val="auto"/>
          <w:szCs w:val="21"/>
          <w:highlight w:val="none"/>
        </w:rPr>
        <w:t>、服务内容及要求</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1.服务内容及要求按照双方商定的《大院清洁服务内容、细则及质量标准》、《大院清理化粪池、沙井、排污排水管道及垃圾清运质量标准》（详见附件）、《防治白蚁及除四害防治方案、防治标准》（详见附件）及乙方投标文件中的《组织、管理方案》（详见投标文件）执行，如在甲方督查过程中发现乙方未按上述标准执行，</w:t>
      </w:r>
      <w:r>
        <w:rPr>
          <w:rFonts w:hint="eastAsia"/>
          <w:color w:val="auto"/>
          <w:highlight w:val="none"/>
        </w:rPr>
        <w:t>将按本合同第七条第11款的约定进行相应扣罚</w:t>
      </w:r>
      <w:r>
        <w:rPr>
          <w:rFonts w:hint="eastAsia" w:ascii="宋体" w:hAnsi="宋体" w:cs="宋体"/>
          <w:bCs/>
          <w:color w:val="auto"/>
          <w:szCs w:val="21"/>
          <w:highlight w:val="none"/>
        </w:rPr>
        <w:t>。同时，垃圾须按规定实行分类收集和清运处理，垃圾日产日清。如化粪池、沙井、排污和排水管道出现堵塞情况，乙方必须在发现或接到通知后，最迟不能超过15分钟派员到场处理，处理完成时间不能超过3小时。如果人员到场时间超过15分钟，或超过3小时仍无法处理完成，甲方有权另行聘请专业公司处理，所产生费用由乙方负责，如由于处理不力造成严重后果的，扣罚当月预留绩效金10%作为违约金；</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2.合同签订后，乙方须在项目人员进场前10天，提供相关人员的有效</w:t>
      </w:r>
      <w:r>
        <w:rPr>
          <w:rFonts w:hint="eastAsia" w:ascii="宋体" w:hAnsi="宋体" w:cs="宋体"/>
          <w:bCs/>
          <w:color w:val="auto"/>
          <w:szCs w:val="21"/>
          <w:highlight w:val="none"/>
          <w:u w:val="single"/>
        </w:rPr>
        <w:t>身份证、办证相片、健康证、清洁方案、人员岗位配置方案、专业技术人员专业资格证原件和复印件（原件审核后退回），以及清洁专业机具（地面打蜡抛光、地毯清洗等设备）和物料清单等资料给甲方审查、备案。清洁方案、人员岗位配置方案须经甲方核准同意。</w:t>
      </w:r>
      <w:r>
        <w:rPr>
          <w:rFonts w:hint="eastAsia" w:ascii="宋体" w:hAnsi="宋体" w:cs="宋体"/>
          <w:bCs/>
          <w:color w:val="auto"/>
          <w:szCs w:val="21"/>
          <w:highlight w:val="none"/>
        </w:rPr>
        <w:t>如果乙方不能按时、按要求提供要求的资料，甲方将视乙方没有履行合同的能力，甲方有权单方终止合同，因此给甲方造成损失的，乙方须赔偿；</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3.甲方设置岗位共46个，乙方配置驻场人员工作日不少于42人，节假日不少于15人。驻场人员不足的，按《日常保洁服务质量考核评分表》评分标准进行扣分。</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4.为确保队伍的质素和稳定，乙方配置的驻场经理</w:t>
      </w:r>
      <w:r>
        <w:rPr>
          <w:rFonts w:hint="eastAsia" w:ascii="宋体" w:hAnsi="宋体" w:cs="宋体"/>
          <w:bCs/>
          <w:color w:val="auto"/>
          <w:szCs w:val="21"/>
          <w:highlight w:val="none"/>
        </w:rPr>
        <w:t>须从事保洁服务工作5年以上或具备不少于3年的大型写字楼办公楼的物业保洁服务管理经验</w:t>
      </w:r>
      <w:r>
        <w:rPr>
          <w:rFonts w:hint="eastAsia" w:ascii="宋体" w:hAnsi="宋体" w:cs="宋体"/>
          <w:bCs/>
          <w:color w:val="auto"/>
          <w:szCs w:val="21"/>
          <w:highlight w:val="none"/>
        </w:rPr>
        <w:t>；乙方配置驻场经理1人，主管2人。驻场人员中男员工年龄不得超过55岁，女员工不得超过50岁。如驻场管理人员不符合甲方要求，乙方应在甲方书面提出要求后10天内更换到位；如乙方需要更换驻场管理人员的，须报甲方同意方可更换，所更换的人员须符合甲方要求。</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5.乙方工作人员上下班须接受甲方监督管理，上下班须按要求打卡登记。乙方工作人员需在规定的区域内进行吃饭、休息，在规定地方放置清洁工具、物品，未经甲方同意不得擅自使用甲方的设施，如：电冰箱、消毒柜、微波炉、浴室等。乙方工作人员不符合甲方要求的，乙方应在甲方提出书面要求后7天内必须作出更换；乙方如有岗位人员变动，须及时通知甲方，并变更相关资料。</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6.乙方工作人员须遵守甲方相关的规章制度。乙方须提供管理人员专业技术资格证和从事该项管理工作的履历资料。工作人员须经培训上岗，具有良好的安全意识、服务意识、思想品德和职业道德，遵纪守法，服从安排，配证上岗，文明用语，行为规范，不大声喧哗，须穿着统一制服、佩戴工牌，并保持制服整洁，自觉维护甲方的利益和形象。</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7.乙方要有防灾害意识，制定完善的抗灾害应急预案，特殊情况（如台风、暴雨等恶劣天气）要安排人员24小时值班。</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8.乙方工作人员须确保自身工作及甲方设施、设备的安全。</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9.乙方工作人员不得以任何事由、方式向甲方索取合同规定之外的任何形式的酬劳，不得擅自拿走或售卖甲方的财物。</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10.所有工作人员均为乙方聘请并由乙方按时发放工资、各项社会保险费、公积金、福利补贴和购买保险等，并保证在不影响节假日保洁工作的前提下，合理安排工作人员的休息，有关劳资纠纷及赔偿概由乙方负责，如因劳资纠纷影响甲方正常办公的，甲方有权终止合同并扣罚</w:t>
      </w:r>
      <w:r>
        <w:rPr>
          <w:rFonts w:hint="eastAsia"/>
          <w:color w:val="auto"/>
          <w:highlight w:val="none"/>
        </w:rPr>
        <w:t>当月保洁服务费</w:t>
      </w:r>
      <w:r>
        <w:rPr>
          <w:rFonts w:hint="eastAsia" w:ascii="宋体" w:hAnsi="宋体" w:cs="宋体"/>
          <w:bCs/>
          <w:color w:val="auto"/>
          <w:szCs w:val="21"/>
          <w:highlight w:val="none"/>
        </w:rPr>
        <w:t>。</w:t>
      </w:r>
    </w:p>
    <w:p>
      <w:pPr>
        <w:ind w:firstLine="417" w:firstLineChars="199"/>
        <w:rPr>
          <w:rFonts w:hint="eastAsia" w:ascii="宋体" w:hAnsi="宋体" w:cs="宋体"/>
          <w:bCs/>
          <w:color w:val="auto"/>
          <w:szCs w:val="21"/>
          <w:highlight w:val="none"/>
        </w:rPr>
      </w:pPr>
      <w:r>
        <w:rPr>
          <w:rFonts w:hint="eastAsia" w:ascii="宋体" w:hAnsi="宋体" w:cs="宋体"/>
          <w:bCs/>
          <w:color w:val="auto"/>
          <w:szCs w:val="21"/>
          <w:highlight w:val="none"/>
        </w:rPr>
        <w:t>11.如发现乙方没有履行合同或未能按附件《大院保洁内容、细则及质量标准》、《大院清理化粪池、沙井、排污排水管道及垃圾清运质量标准》、《防治白蚁及除四害防治方案、防治标准》完成工作或者达不到要求，以及违反合同条款的，第一次书面通知限期整改；在规定时间内（同一问题）不整改或整改后仍达不到要求的，第二次发书面整改通知并扣罚当月保洁服务费5,000元；在规定时间内（同一问题）仍不整改的，第三次发书面整改通知并扣罚当月保洁服务费10,000元；在规定时间内（同一问题）仍不整改，或整改后仍达不到要求，甲方有权终止合同，并扣罚</w:t>
      </w:r>
      <w:r>
        <w:rPr>
          <w:rFonts w:hint="eastAsia"/>
          <w:color w:val="auto"/>
          <w:highlight w:val="none"/>
        </w:rPr>
        <w:t>当月保洁服务费</w:t>
      </w:r>
      <w:r>
        <w:rPr>
          <w:rFonts w:hint="eastAsia" w:ascii="宋体" w:hAnsi="宋体" w:cs="宋体"/>
          <w:bCs/>
          <w:color w:val="auto"/>
          <w:szCs w:val="21"/>
          <w:highlight w:val="none"/>
        </w:rPr>
        <w:t>，因工作失误造成甲方财物损失的由乙方负责重置或赔偿。</w:t>
      </w:r>
    </w:p>
    <w:p>
      <w:pPr>
        <w:ind w:firstLine="420" w:firstLineChars="199"/>
        <w:rPr>
          <w:rFonts w:hint="eastAsia" w:ascii="宋体" w:hAnsi="宋体" w:cs="宋体"/>
          <w:b/>
          <w:bCs/>
          <w:color w:val="auto"/>
          <w:szCs w:val="21"/>
          <w:highlight w:val="none"/>
        </w:rPr>
      </w:pPr>
      <w:r>
        <w:rPr>
          <w:rFonts w:hint="eastAsia" w:ascii="宋体" w:hAnsi="宋体" w:cs="宋体"/>
          <w:b/>
          <w:bCs/>
          <w:color w:val="auto"/>
          <w:szCs w:val="21"/>
          <w:highlight w:val="none"/>
        </w:rPr>
        <w:t>八、违约责任</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（一）如发生以下情形之一，甲方有权终止合同且不承担任何违约责任，因此给甲方造成损失的，乙方还应赔偿：</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1.发生重大责任事故，造成重大损失或重大负面影响的；</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2.因劳资纠纷发生群体事件；</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3.泄漏甲方秘密造成严重后果；</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4.乙方将承包项目发包或转包的。</w:t>
      </w:r>
    </w:p>
    <w:p>
      <w:pPr>
        <w:tabs>
          <w:tab w:val="left" w:pos="900"/>
        </w:tabs>
        <w:ind w:firstLine="420" w:firstLineChars="200"/>
        <w:rPr>
          <w:rFonts w:hint="eastAsia" w:ascii="宋体" w:hAnsi="宋体" w:cs="宋体"/>
          <w:color w:val="auto"/>
          <w:szCs w:val="21"/>
          <w:highlight w:val="none"/>
        </w:rPr>
      </w:pPr>
      <w:r>
        <w:rPr>
          <w:rFonts w:hint="eastAsia" w:ascii="宋体" w:hAnsi="宋体" w:cs="宋体"/>
          <w:color w:val="auto"/>
          <w:szCs w:val="21"/>
          <w:highlight w:val="none"/>
        </w:rPr>
        <w:t>（二）乙方依据本合同应向甲方承担违约责任的，如违约金不足以弥补甲方损失，甲方有权追偿。</w:t>
      </w:r>
    </w:p>
    <w:p>
      <w:pPr>
        <w:tabs>
          <w:tab w:val="left" w:pos="900"/>
        </w:tabs>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九、争议的解决方式</w:t>
      </w:r>
    </w:p>
    <w:p>
      <w:pPr>
        <w:pStyle w:val="65"/>
        <w:spacing w:before="0" w:beforeAutospacing="0" w:after="0" w:afterAutospacing="0"/>
        <w:ind w:firstLine="420" w:firstLineChars="200"/>
        <w:rPr>
          <w:rFonts w:hint="eastAsia" w:cs="宋体"/>
          <w:color w:val="auto"/>
          <w:sz w:val="21"/>
          <w:szCs w:val="21"/>
          <w:highlight w:val="none"/>
        </w:rPr>
      </w:pPr>
      <w:r>
        <w:rPr>
          <w:rFonts w:hint="eastAsia" w:cs="宋体"/>
          <w:color w:val="auto"/>
          <w:sz w:val="21"/>
          <w:szCs w:val="21"/>
          <w:highlight w:val="none"/>
        </w:rPr>
        <w:t>1.双方在合同期内不能单方面无故终止合同，否则须赔偿对方因此而造成的经济损失；如因不可抗力因素导致无法继续履行合同，须在合理的时间内提前以书面形式通知对方，经双方协商同意后方能终止合同。</w:t>
      </w:r>
    </w:p>
    <w:p>
      <w:pPr>
        <w:pStyle w:val="65"/>
        <w:spacing w:before="0" w:beforeAutospacing="0" w:after="0" w:afterAutospacing="0"/>
        <w:ind w:firstLine="420" w:firstLineChars="200"/>
        <w:rPr>
          <w:rFonts w:hint="eastAsia" w:cs="宋体"/>
          <w:color w:val="auto"/>
          <w:sz w:val="21"/>
          <w:szCs w:val="21"/>
          <w:highlight w:val="none"/>
        </w:rPr>
      </w:pPr>
      <w:r>
        <w:rPr>
          <w:rFonts w:hint="eastAsia" w:cs="宋体"/>
          <w:color w:val="auto"/>
          <w:sz w:val="21"/>
          <w:szCs w:val="21"/>
          <w:highlight w:val="none"/>
        </w:rPr>
        <w:t>2.本合同如有未尽事宜，由双方协商解决；如不能通过此方式解决争议，则任何一方均可以将争议提交到甲方所在地人民法院进行诉讼。</w:t>
      </w:r>
    </w:p>
    <w:p>
      <w:pPr>
        <w:pStyle w:val="65"/>
        <w:spacing w:before="0" w:beforeAutospacing="0" w:after="0" w:afterAutospacing="0"/>
        <w:ind w:firstLine="422" w:firstLineChars="200"/>
        <w:rPr>
          <w:rStyle w:val="112"/>
          <w:rFonts w:hint="eastAsia" w:cs="宋体"/>
          <w:b/>
          <w:color w:val="auto"/>
          <w:sz w:val="21"/>
          <w:szCs w:val="21"/>
          <w:highlight w:val="none"/>
        </w:rPr>
      </w:pPr>
      <w:r>
        <w:rPr>
          <w:rFonts w:hint="eastAsia" w:cs="宋体"/>
          <w:b/>
          <w:bCs/>
          <w:color w:val="auto"/>
          <w:sz w:val="21"/>
          <w:szCs w:val="21"/>
          <w:highlight w:val="none"/>
        </w:rPr>
        <w:t>十</w:t>
      </w:r>
      <w:r>
        <w:rPr>
          <w:rStyle w:val="112"/>
          <w:rFonts w:hint="eastAsia" w:cs="宋体"/>
          <w:b/>
          <w:color w:val="auto"/>
          <w:sz w:val="21"/>
          <w:szCs w:val="21"/>
          <w:highlight w:val="none"/>
        </w:rPr>
        <w:t>、合同的生效及其他</w:t>
      </w:r>
    </w:p>
    <w:p>
      <w:pPr>
        <w:pStyle w:val="2"/>
        <w:ind w:firstLineChars="200"/>
        <w:rPr>
          <w:rStyle w:val="112"/>
          <w:rFonts w:hint="eastAsia" w:ascii="宋体" w:hAnsi="宋体" w:cs="宋体"/>
          <w:color w:val="auto"/>
          <w:szCs w:val="21"/>
          <w:highlight w:val="none"/>
        </w:rPr>
      </w:pPr>
      <w:r>
        <w:rPr>
          <w:rStyle w:val="112"/>
          <w:rFonts w:hint="eastAsia" w:ascii="宋体" w:hAnsi="宋体" w:cs="宋体"/>
          <w:color w:val="auto"/>
          <w:szCs w:val="21"/>
          <w:highlight w:val="none"/>
        </w:rPr>
        <w:t>1.本合同自双方代表签字盖章之日起生效。合同一式陆份，双方各执叁份，具有同等法律效力。</w:t>
      </w:r>
    </w:p>
    <w:p>
      <w:pPr>
        <w:pStyle w:val="2"/>
        <w:ind w:firstLineChars="200"/>
        <w:rPr>
          <w:rStyle w:val="112"/>
          <w:rFonts w:hint="eastAsia" w:ascii="宋体" w:hAnsi="宋体" w:cs="宋体"/>
          <w:color w:val="auto"/>
          <w:szCs w:val="21"/>
          <w:highlight w:val="none"/>
        </w:rPr>
      </w:pPr>
      <w:r>
        <w:rPr>
          <w:rStyle w:val="112"/>
          <w:rFonts w:hint="eastAsia" w:ascii="宋体" w:hAnsi="宋体" w:cs="宋体"/>
          <w:color w:val="auto"/>
          <w:szCs w:val="21"/>
          <w:highlight w:val="none"/>
        </w:rPr>
        <w:t>2.以下附件均为本合同组成部分，与本合同具有同等法律效力。</w:t>
      </w:r>
    </w:p>
    <w:p>
      <w:pPr>
        <w:pStyle w:val="2"/>
        <w:ind w:firstLineChars="200"/>
        <w:rPr>
          <w:rStyle w:val="112"/>
          <w:rFonts w:hint="eastAsia" w:ascii="宋体" w:hAnsi="宋体" w:cs="宋体"/>
          <w:color w:val="auto"/>
          <w:szCs w:val="21"/>
          <w:highlight w:val="none"/>
        </w:rPr>
      </w:pPr>
      <w:r>
        <w:rPr>
          <w:rStyle w:val="112"/>
          <w:rFonts w:hint="eastAsia" w:ascii="宋体" w:hAnsi="宋体" w:cs="宋体"/>
          <w:color w:val="auto"/>
          <w:szCs w:val="21"/>
          <w:highlight w:val="none"/>
        </w:rPr>
        <w:t>（1）招标文件、投标文件；</w:t>
      </w:r>
    </w:p>
    <w:p>
      <w:pPr>
        <w:pStyle w:val="2"/>
        <w:ind w:firstLineChars="200"/>
        <w:rPr>
          <w:rStyle w:val="112"/>
          <w:rFonts w:hint="eastAsia" w:ascii="宋体" w:hAnsi="宋体" w:cs="宋体"/>
          <w:color w:val="auto"/>
          <w:szCs w:val="21"/>
          <w:highlight w:val="none"/>
        </w:rPr>
      </w:pPr>
      <w:r>
        <w:rPr>
          <w:rStyle w:val="112"/>
          <w:rFonts w:hint="eastAsia" w:ascii="宋体" w:hAnsi="宋体" w:cs="宋体"/>
          <w:color w:val="auto"/>
          <w:szCs w:val="21"/>
          <w:highlight w:val="none"/>
        </w:rPr>
        <w:t>（2）中标通知书；</w:t>
      </w:r>
    </w:p>
    <w:p>
      <w:pPr>
        <w:pStyle w:val="2"/>
        <w:ind w:firstLineChars="200"/>
        <w:rPr>
          <w:rFonts w:hint="eastAsia" w:ascii="仿宋_GB2312" w:hAnsi="仿宋_GB2312" w:eastAsia="仿宋_GB2312" w:cs="仿宋_GB2312"/>
          <w:color w:val="auto"/>
          <w:spacing w:val="-8"/>
          <w:sz w:val="28"/>
          <w:szCs w:val="28"/>
          <w:highlight w:val="none"/>
        </w:rPr>
      </w:pPr>
      <w:r>
        <w:rPr>
          <w:rStyle w:val="112"/>
          <w:rFonts w:hint="eastAsia" w:ascii="宋体" w:hAnsi="宋体" w:cs="宋体"/>
          <w:color w:val="auto"/>
          <w:szCs w:val="21"/>
          <w:highlight w:val="none"/>
        </w:rPr>
        <w:t>（3）《大院保洁内容、细则及质量标准》、《大院清理化粪池、沙井、排污排水管道及垃圾清运质量标准》、</w:t>
      </w:r>
      <w:r>
        <w:rPr>
          <w:rFonts w:hint="eastAsia" w:ascii="宋体" w:hAnsi="宋体" w:cs="宋体"/>
          <w:bCs/>
          <w:color w:val="auto"/>
          <w:szCs w:val="21"/>
          <w:highlight w:val="none"/>
        </w:rPr>
        <w:t>《防治白蚁及除四害防治方案、防治标准》、《日常保洁服务质量考核评分表》、《专项保洁服务质量考核评分表》</w:t>
      </w:r>
      <w:r>
        <w:rPr>
          <w:rStyle w:val="112"/>
          <w:rFonts w:hint="eastAsia" w:ascii="宋体" w:hAnsi="宋体" w:cs="宋体"/>
          <w:color w:val="auto"/>
          <w:szCs w:val="21"/>
          <w:highlight w:val="none"/>
        </w:rPr>
        <w:t>。</w:t>
      </w:r>
    </w:p>
    <w:p>
      <w:pPr>
        <w:pStyle w:val="16"/>
        <w:rPr>
          <w:color w:val="auto"/>
          <w:highlight w:val="none"/>
        </w:rPr>
      </w:pPr>
    </w:p>
    <w:p>
      <w:pPr>
        <w:pStyle w:val="6"/>
        <w:rPr>
          <w:color w:val="auto"/>
          <w:highlight w:val="none"/>
        </w:rPr>
      </w:pPr>
    </w:p>
    <w:p>
      <w:pPr>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甲方：南方报业传媒集团（南方日报社） 乙方：</w:t>
      </w:r>
    </w:p>
    <w:p>
      <w:pPr>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 xml:space="preserve">                                </w:t>
      </w:r>
    </w:p>
    <w:p>
      <w:pPr>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 xml:space="preserve">签约代表：                           签约代表：              </w:t>
      </w:r>
    </w:p>
    <w:p>
      <w:pPr>
        <w:tabs>
          <w:tab w:val="left" w:pos="900"/>
        </w:tabs>
        <w:spacing w:line="360" w:lineRule="auto"/>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地址：广州市越秀区广州大道中         地址：</w:t>
      </w:r>
    </w:p>
    <w:p>
      <w:pPr>
        <w:ind w:firstLine="840" w:firstLineChars="300"/>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 xml:space="preserve">289号                               </w:t>
      </w:r>
    </w:p>
    <w:p>
      <w:pPr>
        <w:rPr>
          <w:rStyle w:val="112"/>
          <w:rFonts w:hint="eastAsia" w:ascii="仿宋_GB2312" w:hAnsi="仿宋_GB2312" w:eastAsia="仿宋_GB2312" w:cs="仿宋_GB2312"/>
          <w:color w:val="auto"/>
          <w:sz w:val="28"/>
          <w:szCs w:val="28"/>
          <w:highlight w:val="none"/>
        </w:rPr>
      </w:pPr>
      <w:r>
        <w:rPr>
          <w:rStyle w:val="112"/>
          <w:rFonts w:hint="eastAsia" w:ascii="仿宋_GB2312" w:hAnsi="仿宋_GB2312" w:eastAsia="仿宋_GB2312" w:cs="仿宋_GB2312"/>
          <w:color w:val="auto"/>
          <w:sz w:val="28"/>
          <w:szCs w:val="28"/>
          <w:highlight w:val="none"/>
        </w:rPr>
        <w:t>电话：020-87373998                   电话：</w:t>
      </w:r>
    </w:p>
    <w:p>
      <w:pPr>
        <w:rPr>
          <w:rFonts w:hint="eastAsia" w:ascii="仿宋_GB2312" w:hAnsi="仿宋_GB2312" w:eastAsia="仿宋_GB2312" w:cs="仿宋_GB2312"/>
          <w:bCs/>
          <w:color w:val="auto"/>
          <w:sz w:val="28"/>
          <w:szCs w:val="28"/>
          <w:highlight w:val="none"/>
        </w:rPr>
      </w:pPr>
      <w:bookmarkStart w:id="1467" w:name="_Toc32124"/>
      <w:bookmarkStart w:id="1468" w:name="_Toc1611"/>
      <w:r>
        <w:rPr>
          <w:rStyle w:val="112"/>
          <w:rFonts w:hint="eastAsia" w:ascii="仿宋_GB2312" w:hAnsi="仿宋_GB2312" w:eastAsia="仿宋_GB2312" w:cs="仿宋_GB2312"/>
          <w:color w:val="auto"/>
          <w:sz w:val="28"/>
          <w:szCs w:val="28"/>
          <w:highlight w:val="none"/>
        </w:rPr>
        <w:t>日期：                               日期：</w:t>
      </w:r>
      <w:r>
        <w:rPr>
          <w:rFonts w:hint="eastAsia" w:ascii="仿宋_GB2312" w:hAnsi="仿宋_GB2312" w:eastAsia="仿宋_GB2312" w:cs="仿宋_GB2312"/>
          <w:b/>
          <w:color w:val="auto"/>
          <w:spacing w:val="-8"/>
          <w:sz w:val="28"/>
          <w:szCs w:val="28"/>
          <w:highlight w:val="none"/>
        </w:rPr>
        <w:br w:type="page"/>
      </w:r>
      <w:bookmarkEnd w:id="1467"/>
      <w:bookmarkEnd w:id="1468"/>
    </w:p>
    <w:p>
      <w:pPr>
        <w:tabs>
          <w:tab w:val="left" w:pos="900"/>
        </w:tabs>
        <w:spacing w:line="360" w:lineRule="auto"/>
        <w:rPr>
          <w:rFonts w:hint="eastAsia" w:ascii="仿宋_GB2312" w:hAnsi="仿宋_GB2312" w:eastAsia="仿宋_GB2312" w:cs="仿宋_GB2312"/>
          <w:b/>
          <w:color w:val="auto"/>
          <w:spacing w:val="-8"/>
          <w:sz w:val="28"/>
          <w:szCs w:val="28"/>
          <w:highlight w:val="none"/>
        </w:rPr>
      </w:pPr>
    </w:p>
    <w:p>
      <w:pPr>
        <w:rPr>
          <w:rFonts w:hint="eastAsia" w:ascii="仿宋_GB2312" w:hAnsi="仿宋_GB2312" w:eastAsia="仿宋_GB2312" w:cs="仿宋_GB2312"/>
          <w:bCs/>
          <w:color w:val="auto"/>
          <w:spacing w:val="-8"/>
          <w:sz w:val="28"/>
          <w:szCs w:val="28"/>
          <w:highlight w:val="none"/>
        </w:rPr>
      </w:pPr>
      <w:r>
        <w:rPr>
          <w:rFonts w:hint="eastAsia" w:ascii="仿宋_GB2312" w:hAnsi="仿宋_GB2312" w:eastAsia="仿宋_GB2312" w:cs="仿宋_GB2312"/>
          <w:b/>
          <w:color w:val="auto"/>
          <w:spacing w:val="-8"/>
          <w:sz w:val="28"/>
          <w:szCs w:val="28"/>
          <w:highlight w:val="none"/>
        </w:rPr>
        <w:t>附件：</w:t>
      </w:r>
    </w:p>
    <w:p>
      <w:pPr>
        <w:jc w:val="center"/>
        <w:rPr>
          <w:rFonts w:hint="eastAsia" w:ascii="仿宋_GB2312" w:hAnsi="仿宋_GB2312" w:eastAsia="仿宋_GB2312" w:cs="仿宋_GB2312"/>
          <w:color w:val="auto"/>
          <w:sz w:val="28"/>
          <w:szCs w:val="28"/>
          <w:highlight w:val="none"/>
        </w:rPr>
      </w:pPr>
      <w:r>
        <w:rPr>
          <w:rFonts w:hint="eastAsia" w:ascii="仿宋_GB2312" w:hAnsi="仿宋_GB2312" w:eastAsia="仿宋_GB2312" w:cs="仿宋_GB2312"/>
          <w:b/>
          <w:color w:val="auto"/>
          <w:sz w:val="28"/>
          <w:szCs w:val="28"/>
          <w:highlight w:val="none"/>
        </w:rPr>
        <w:t>大院保洁内容、细则及质量标准</w:t>
      </w:r>
    </w:p>
    <w:tbl>
      <w:tblPr>
        <w:tblStyle w:val="41"/>
        <w:tblW w:w="10733"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3396"/>
        <w:gridCol w:w="2340"/>
        <w:gridCol w:w="1620"/>
        <w:gridCol w:w="17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1644" w:type="dxa"/>
            <w:vAlign w:val="center"/>
          </w:tcPr>
          <w:p>
            <w:pPr>
              <w:spacing w:line="48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保洁区域</w:t>
            </w:r>
          </w:p>
        </w:tc>
        <w:tc>
          <w:tcPr>
            <w:tcW w:w="3396" w:type="dxa"/>
            <w:vAlign w:val="center"/>
          </w:tcPr>
          <w:p>
            <w:pPr>
              <w:spacing w:line="48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每日保洁</w:t>
            </w:r>
          </w:p>
        </w:tc>
        <w:tc>
          <w:tcPr>
            <w:tcW w:w="2340" w:type="dxa"/>
            <w:vAlign w:val="center"/>
          </w:tcPr>
          <w:p>
            <w:pPr>
              <w:spacing w:line="48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每周工作</w:t>
            </w:r>
          </w:p>
        </w:tc>
        <w:tc>
          <w:tcPr>
            <w:tcW w:w="1620" w:type="dxa"/>
            <w:vAlign w:val="center"/>
          </w:tcPr>
          <w:p>
            <w:pPr>
              <w:spacing w:line="48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每月工作</w:t>
            </w:r>
          </w:p>
        </w:tc>
        <w:tc>
          <w:tcPr>
            <w:tcW w:w="1733" w:type="dxa"/>
            <w:vAlign w:val="center"/>
          </w:tcPr>
          <w:p>
            <w:pPr>
              <w:spacing w:line="48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644" w:type="dxa"/>
            <w:vAlign w:val="center"/>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大堂、电梯、电梯厅、通道等公共区域（地面、门窗、墙面、天花板）</w:t>
            </w:r>
          </w:p>
        </w:tc>
        <w:tc>
          <w:tcPr>
            <w:tcW w:w="3396"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1、清扫垃圾，拖地面，巡回保洁；</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2、清洁大堂玻璃、玻璃门前后 (金属和玻璃表面)；</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3、擦抹电梯门表面、轿厢；</w:t>
            </w:r>
          </w:p>
          <w:p>
            <w:pPr>
              <w:tabs>
                <w:tab w:val="left" w:pos="180"/>
              </w:tabs>
              <w:spacing w:line="440" w:lineRule="exact"/>
              <w:ind w:left="180" w:hanging="18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4、擦抹区域内设施、沙发、茶几、前台、告示牌、指示牌；垃圾桶、清理烟缸等；</w:t>
            </w:r>
          </w:p>
          <w:p>
            <w:pPr>
              <w:tabs>
                <w:tab w:val="left" w:pos="180"/>
              </w:tabs>
              <w:spacing w:line="440" w:lineRule="exact"/>
              <w:ind w:left="180" w:hanging="18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5、擦抹所有扶手、栏杆、柱；</w:t>
            </w:r>
          </w:p>
          <w:p>
            <w:pPr>
              <w:spacing w:line="440" w:lineRule="exact"/>
              <w:ind w:left="210" w:hanging="210" w:hanging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6、检查区域内设施和报修；</w:t>
            </w:r>
          </w:p>
          <w:p>
            <w:pPr>
              <w:spacing w:line="440" w:lineRule="exact"/>
              <w:ind w:left="210" w:hanging="210" w:hangingChars="10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7、垃圾分类收集及清运。</w:t>
            </w:r>
          </w:p>
          <w:p>
            <w:pPr>
              <w:spacing w:line="44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b/>
                <w:color w:val="auto"/>
                <w:szCs w:val="21"/>
                <w:highlight w:val="none"/>
              </w:rPr>
              <w:t>（每日上午8时30分前，下午14时前，每天2次完成大堂、电梯、电梯厅、通道卫生）</w:t>
            </w:r>
          </w:p>
        </w:tc>
        <w:tc>
          <w:tcPr>
            <w:tcW w:w="2340" w:type="dxa"/>
          </w:tcPr>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大堂地面、电梯轿厢、电梯厅地面补蜡、抛光1次；</w:t>
            </w:r>
          </w:p>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清洁门窗玻璃、墙面至少1次；</w:t>
            </w:r>
          </w:p>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电梯轿厢不锈钢油1次；</w:t>
            </w:r>
          </w:p>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清扫高位尘埃、蜘蛛网1次；消防设施设备1次；</w:t>
            </w:r>
          </w:p>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植物浇水至少1次；</w:t>
            </w:r>
          </w:p>
          <w:p>
            <w:pPr>
              <w:numPr>
                <w:ilvl w:val="0"/>
                <w:numId w:val="8"/>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公共区域垃圾桶清洗消毒1次。</w:t>
            </w:r>
          </w:p>
        </w:tc>
        <w:tc>
          <w:tcPr>
            <w:tcW w:w="1620"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1、电梯间、地面做镜面至少2次；</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2、植物叶面清洁至少1次；</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3、擦抹天花、灯罩、出风口至少2次。</w:t>
            </w:r>
          </w:p>
          <w:p>
            <w:pPr>
              <w:spacing w:line="440" w:lineRule="exact"/>
              <w:rPr>
                <w:rFonts w:hint="eastAsia" w:ascii="仿宋_GB2312" w:hAnsi="仿宋_GB2312" w:eastAsia="仿宋_GB2312" w:cs="仿宋_GB2312"/>
                <w:color w:val="auto"/>
                <w:szCs w:val="21"/>
                <w:highlight w:val="none"/>
              </w:rPr>
            </w:pPr>
          </w:p>
          <w:p>
            <w:pPr>
              <w:spacing w:line="440" w:lineRule="exact"/>
              <w:rPr>
                <w:rFonts w:hint="eastAsia" w:ascii="仿宋_GB2312" w:hAnsi="仿宋_GB2312" w:eastAsia="仿宋_GB2312" w:cs="仿宋_GB2312"/>
                <w:color w:val="auto"/>
                <w:szCs w:val="21"/>
                <w:highlight w:val="none"/>
              </w:rPr>
            </w:pPr>
          </w:p>
        </w:tc>
        <w:tc>
          <w:tcPr>
            <w:tcW w:w="1733"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玻璃、地面、墙壁、电梯门、轿厢、电梯厅洁净有光泽；沙发、茶几无尘、无污渍；各种设施洁净；卫生间洁净无异味。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2" w:hRule="atLeast"/>
        </w:trPr>
        <w:tc>
          <w:tcPr>
            <w:tcW w:w="1644" w:type="dxa"/>
            <w:vAlign w:val="center"/>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办公室、会议室、贵宾室、打印室、接访室、保安室、公安执勤室（地面、地毯、门窗、墙面、天花板）</w:t>
            </w:r>
          </w:p>
        </w:tc>
        <w:tc>
          <w:tcPr>
            <w:tcW w:w="3396" w:type="dxa"/>
          </w:tcPr>
          <w:p>
            <w:pPr>
              <w:numPr>
                <w:ilvl w:val="0"/>
                <w:numId w:val="9"/>
              </w:numPr>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清扫垃圾，拖地面，巡回保洁；</w:t>
            </w:r>
          </w:p>
          <w:p>
            <w:pPr>
              <w:numPr>
                <w:ilvl w:val="0"/>
                <w:numId w:val="9"/>
              </w:numPr>
              <w:tabs>
                <w:tab w:val="clear" w:pos="360"/>
              </w:tabs>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擦抹办公台面、椅、沙发、茶几、饮水机、门、柜及其他设施；清倒烟灰缸、纸篓垃圾上下午各1次；</w:t>
            </w:r>
          </w:p>
          <w:p>
            <w:pPr>
              <w:numPr>
                <w:ilvl w:val="0"/>
                <w:numId w:val="9"/>
              </w:numPr>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会场布置：摆放桌椅、清洗会议室茶具并消毒；</w:t>
            </w:r>
          </w:p>
          <w:p>
            <w:pPr>
              <w:numPr>
                <w:ilvl w:val="0"/>
                <w:numId w:val="9"/>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垃圾分类收集及清运，包括清理废旧家具、植物盆栽等；</w:t>
            </w:r>
          </w:p>
          <w:p>
            <w:pPr>
              <w:numPr>
                <w:ilvl w:val="0"/>
                <w:numId w:val="9"/>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检查区域内设施和报修；</w:t>
            </w:r>
          </w:p>
          <w:p>
            <w:pPr>
              <w:numPr>
                <w:ilvl w:val="0"/>
                <w:numId w:val="9"/>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融媒体办公区晚上工作。</w:t>
            </w:r>
          </w:p>
        </w:tc>
        <w:tc>
          <w:tcPr>
            <w:tcW w:w="2340" w:type="dxa"/>
          </w:tcPr>
          <w:p>
            <w:pPr>
              <w:numPr>
                <w:ilvl w:val="0"/>
                <w:numId w:val="10"/>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清洗玻璃、墙面1次；</w:t>
            </w:r>
          </w:p>
          <w:p>
            <w:pPr>
              <w:numPr>
                <w:ilvl w:val="0"/>
                <w:numId w:val="10"/>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清扫高位尘埃、蜘蛛网1次；</w:t>
            </w:r>
          </w:p>
          <w:p>
            <w:pPr>
              <w:numPr>
                <w:ilvl w:val="0"/>
                <w:numId w:val="10"/>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植物叶面浇水至少1次；</w:t>
            </w:r>
          </w:p>
          <w:p>
            <w:pPr>
              <w:numPr>
                <w:ilvl w:val="0"/>
                <w:numId w:val="10"/>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擦窗内玻璃1次；</w:t>
            </w:r>
          </w:p>
          <w:p>
            <w:pPr>
              <w:numPr>
                <w:ilvl w:val="0"/>
                <w:numId w:val="10"/>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清洁电脑、电话机每2周1次；</w:t>
            </w:r>
          </w:p>
          <w:p>
            <w:pPr>
              <w:spacing w:line="440" w:lineRule="exact"/>
              <w:rPr>
                <w:rFonts w:hint="eastAsia" w:ascii="仿宋_GB2312" w:hAnsi="仿宋_GB2312" w:eastAsia="仿宋_GB2312" w:cs="仿宋_GB2312"/>
                <w:color w:val="auto"/>
                <w:szCs w:val="21"/>
                <w:highlight w:val="none"/>
              </w:rPr>
            </w:pPr>
          </w:p>
        </w:tc>
        <w:tc>
          <w:tcPr>
            <w:tcW w:w="1620" w:type="dxa"/>
          </w:tcPr>
          <w:p>
            <w:pPr>
              <w:numPr>
                <w:ilvl w:val="0"/>
                <w:numId w:val="11"/>
              </w:numPr>
              <w:tabs>
                <w:tab w:val="left" w:pos="72"/>
                <w:tab w:val="clear" w:pos="360"/>
              </w:tabs>
              <w:spacing w:line="440" w:lineRule="exact"/>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擦抹天花、风口、灯罩至少2次；</w:t>
            </w:r>
          </w:p>
          <w:p>
            <w:pPr>
              <w:numPr>
                <w:ilvl w:val="0"/>
                <w:numId w:val="11"/>
              </w:numPr>
              <w:spacing w:line="440" w:lineRule="exact"/>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清洁门、窗、柜高位、玻璃至少2次；</w:t>
            </w:r>
          </w:p>
          <w:p>
            <w:pPr>
              <w:numPr>
                <w:ilvl w:val="0"/>
                <w:numId w:val="11"/>
              </w:numPr>
              <w:spacing w:line="440" w:lineRule="exact"/>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植物叶面清洁至少1次；</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4、清洗地毯至少1次。</w:t>
            </w:r>
          </w:p>
        </w:tc>
        <w:tc>
          <w:tcPr>
            <w:tcW w:w="1733"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地面洁净、无尘、无污渍；桌、椅、沙发无尘、无污渍；墙面、天花灯罩、风口无尘、无渍、无蜘蛛网，设备设施完好洁净。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2" w:hRule="atLeast"/>
        </w:trPr>
        <w:tc>
          <w:tcPr>
            <w:tcW w:w="1644" w:type="dxa"/>
            <w:vAlign w:val="center"/>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洗手间</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茶水间</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垃圾房</w:t>
            </w:r>
          </w:p>
        </w:tc>
        <w:tc>
          <w:tcPr>
            <w:tcW w:w="3396" w:type="dxa"/>
          </w:tcPr>
          <w:p>
            <w:pPr>
              <w:numPr>
                <w:ilvl w:val="0"/>
                <w:numId w:val="12"/>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清扫垃圾，拖地面；巡回保洁；</w:t>
            </w:r>
          </w:p>
          <w:p>
            <w:pPr>
              <w:numPr>
                <w:ilvl w:val="0"/>
                <w:numId w:val="12"/>
              </w:numPr>
              <w:tabs>
                <w:tab w:val="clear" w:pos="360"/>
              </w:tabs>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检查补充洗手液、卫生用纸；</w:t>
            </w:r>
          </w:p>
          <w:p>
            <w:pPr>
              <w:numPr>
                <w:ilvl w:val="0"/>
                <w:numId w:val="12"/>
              </w:numPr>
              <w:tabs>
                <w:tab w:val="left" w:pos="-5"/>
                <w:tab w:val="clear" w:pos="360"/>
              </w:tabs>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清洗卫生间小便池、厕位、地面</w:t>
            </w:r>
            <w:r>
              <w:rPr>
                <w:rFonts w:hint="eastAsia" w:ascii="仿宋_GB2312" w:hAnsi="仿宋_GB2312" w:eastAsia="仿宋_GB2312" w:cs="仿宋_GB2312"/>
                <w:bCs/>
                <w:color w:val="auto"/>
                <w:szCs w:val="21"/>
                <w:highlight w:val="none"/>
              </w:rPr>
              <w:t>采用洁厕剂分上午8时30分前，下午14时前，每天冲洗2次，并上下午中段时间各保洁1次，星期六或日用药水清洗；</w:t>
            </w:r>
          </w:p>
          <w:p>
            <w:pPr>
              <w:numPr>
                <w:ilvl w:val="0"/>
                <w:numId w:val="12"/>
              </w:numPr>
              <w:tabs>
                <w:tab w:val="left" w:pos="-5"/>
                <w:tab w:val="clear" w:pos="360"/>
              </w:tabs>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擦抹饮水机、洗手盆台面、镜面、门、窗、间隔板；</w:t>
            </w:r>
          </w:p>
          <w:p>
            <w:pPr>
              <w:numPr>
                <w:ilvl w:val="0"/>
                <w:numId w:val="12"/>
              </w:numPr>
              <w:tabs>
                <w:tab w:val="left" w:pos="-5"/>
                <w:tab w:val="clear" w:pos="360"/>
              </w:tabs>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垃圾房垃圾分类存放、清运，日产日清；每天下午6:30后清运；</w:t>
            </w:r>
          </w:p>
          <w:p>
            <w:pPr>
              <w:numPr>
                <w:ilvl w:val="0"/>
                <w:numId w:val="12"/>
              </w:numPr>
              <w:spacing w:line="440" w:lineRule="exact"/>
              <w:ind w:left="-5" w:firstLine="5"/>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不同区域保洁工具不能混用；合适位置放置保洁用品和工具；</w:t>
            </w:r>
          </w:p>
          <w:p>
            <w:pPr>
              <w:numPr>
                <w:ilvl w:val="0"/>
                <w:numId w:val="12"/>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检查区域内设施和报修。</w:t>
            </w:r>
          </w:p>
        </w:tc>
        <w:tc>
          <w:tcPr>
            <w:tcW w:w="2340" w:type="dxa"/>
          </w:tcPr>
          <w:p>
            <w:pPr>
              <w:numPr>
                <w:ilvl w:val="0"/>
                <w:numId w:val="13"/>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清洗玻璃1次；</w:t>
            </w:r>
          </w:p>
          <w:p>
            <w:pPr>
              <w:numPr>
                <w:ilvl w:val="0"/>
                <w:numId w:val="13"/>
              </w:numPr>
              <w:spacing w:line="440" w:lineRule="exact"/>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清洗墙面、隔板1次；</w:t>
            </w:r>
          </w:p>
          <w:p>
            <w:pPr>
              <w:numPr>
                <w:ilvl w:val="0"/>
                <w:numId w:val="13"/>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机洗地面1次；</w:t>
            </w:r>
          </w:p>
          <w:p>
            <w:pPr>
              <w:numPr>
                <w:ilvl w:val="0"/>
                <w:numId w:val="13"/>
              </w:numPr>
              <w:spacing w:line="440" w:lineRule="exact"/>
              <w:ind w:left="0" w:firstLine="0"/>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洗手间、杂物间用专业环保消毒剂消毒2次。</w:t>
            </w:r>
          </w:p>
          <w:p>
            <w:pPr>
              <w:spacing w:line="440" w:lineRule="exact"/>
              <w:rPr>
                <w:rFonts w:hint="eastAsia" w:ascii="仿宋_GB2312" w:hAnsi="仿宋_GB2312" w:eastAsia="仿宋_GB2312" w:cs="仿宋_GB2312"/>
                <w:color w:val="auto"/>
                <w:szCs w:val="21"/>
                <w:highlight w:val="none"/>
              </w:rPr>
            </w:pPr>
          </w:p>
        </w:tc>
        <w:tc>
          <w:tcPr>
            <w:tcW w:w="1620"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1、擦抹天花、风口、灯罩至少1次；</w:t>
            </w:r>
          </w:p>
          <w:p>
            <w:pPr>
              <w:tabs>
                <w:tab w:val="left" w:pos="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2、清扫高位尘埃、蜘蛛网至少2次。</w:t>
            </w:r>
          </w:p>
          <w:p>
            <w:pPr>
              <w:spacing w:line="440" w:lineRule="exact"/>
              <w:rPr>
                <w:rFonts w:hint="eastAsia" w:ascii="仿宋_GB2312" w:hAnsi="仿宋_GB2312" w:eastAsia="仿宋_GB2312" w:cs="仿宋_GB2312"/>
                <w:color w:val="auto"/>
                <w:szCs w:val="21"/>
                <w:highlight w:val="none"/>
              </w:rPr>
            </w:pPr>
          </w:p>
        </w:tc>
        <w:tc>
          <w:tcPr>
            <w:tcW w:w="1733"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地面洁净、无尘、无污渍；小便池、厕位洁净、无污渍、无异味；门窗、间隔板、洗手盆、台面、饮水机、镜面、墙面、天花、风口等无尘、无污渍，设备设施完好洁净。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644" w:type="dxa"/>
            <w:vAlign w:val="center"/>
          </w:tcPr>
          <w:p>
            <w:pPr>
              <w:spacing w:line="44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走火通道、阳台、雨棚、楼顶天面</w:t>
            </w:r>
          </w:p>
        </w:tc>
        <w:tc>
          <w:tcPr>
            <w:tcW w:w="3396" w:type="dxa"/>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1、走火通道：清扫垃圾，拖地、擦抹扶手及相关设备设施；</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2、清除阳台、雨棚垃圾。</w:t>
            </w:r>
          </w:p>
          <w:p>
            <w:pPr>
              <w:spacing w:line="440" w:lineRule="exact"/>
              <w:rPr>
                <w:rFonts w:hint="eastAsia" w:ascii="仿宋_GB2312" w:hAnsi="仿宋_GB2312" w:eastAsia="仿宋_GB2312" w:cs="仿宋_GB2312"/>
                <w:b/>
                <w:color w:val="auto"/>
                <w:szCs w:val="21"/>
                <w:highlight w:val="none"/>
              </w:rPr>
            </w:pPr>
          </w:p>
        </w:tc>
        <w:tc>
          <w:tcPr>
            <w:tcW w:w="2340" w:type="dxa"/>
          </w:tcPr>
          <w:p>
            <w:pPr>
              <w:numPr>
                <w:ilvl w:val="0"/>
                <w:numId w:val="14"/>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检查阳台、天面下水口，排除堵塞；</w:t>
            </w:r>
          </w:p>
          <w:p>
            <w:pPr>
              <w:numPr>
                <w:ilvl w:val="0"/>
                <w:numId w:val="14"/>
              </w:num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清扫或冲洗楼顶天台2周1次。</w:t>
            </w:r>
          </w:p>
          <w:p>
            <w:pPr>
              <w:spacing w:line="44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 xml:space="preserve"> </w:t>
            </w:r>
          </w:p>
        </w:tc>
        <w:tc>
          <w:tcPr>
            <w:tcW w:w="1620" w:type="dxa"/>
          </w:tcPr>
          <w:p>
            <w:pPr>
              <w:spacing w:line="44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清理渠道、排水口，排除堵塞。</w:t>
            </w:r>
          </w:p>
        </w:tc>
        <w:tc>
          <w:tcPr>
            <w:tcW w:w="1733" w:type="dxa"/>
          </w:tcPr>
          <w:p>
            <w:pPr>
              <w:spacing w:line="440" w:lineRule="exact"/>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地面洁净，扶手、设备设施无积尘、无污垢；阳台、雨棚、天面无垃圾、杂物，下水管道畅通。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644" w:type="dxa"/>
            <w:vAlign w:val="center"/>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大院路面、花圃、花基、地下停车场。</w:t>
            </w:r>
          </w:p>
        </w:tc>
        <w:tc>
          <w:tcPr>
            <w:tcW w:w="3396"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1、清扫地面垃圾、纸屑、树叶、沙尘；</w:t>
            </w:r>
          </w:p>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2、清扫明渠内的树叶、杂物、及清除绿化带的树枝、树叶及垃圾；</w:t>
            </w:r>
          </w:p>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3、擦抹外围桌椅、石板、花基、垃圾桶等设备设施；</w:t>
            </w:r>
          </w:p>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4、清除周边废弃杂物。</w:t>
            </w:r>
          </w:p>
        </w:tc>
        <w:tc>
          <w:tcPr>
            <w:tcW w:w="2340" w:type="dxa"/>
          </w:tcPr>
          <w:p>
            <w:pPr>
              <w:numPr>
                <w:ilvl w:val="0"/>
                <w:numId w:val="15"/>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擦抹露天路标、指示牌、闸机等；</w:t>
            </w:r>
          </w:p>
          <w:p>
            <w:pPr>
              <w:numPr>
                <w:ilvl w:val="0"/>
                <w:numId w:val="15"/>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擦抹地下车库消防栓、指示牌、设备设施等；</w:t>
            </w:r>
          </w:p>
          <w:p>
            <w:pPr>
              <w:numPr>
                <w:ilvl w:val="0"/>
                <w:numId w:val="15"/>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清洗楼宇一楼外围玻璃门窗。</w:t>
            </w:r>
          </w:p>
        </w:tc>
        <w:tc>
          <w:tcPr>
            <w:tcW w:w="1620"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1、大院路面每月全面冲洗至少1次；</w:t>
            </w:r>
          </w:p>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2、地下车库每月拖洗至少1次。</w:t>
            </w:r>
          </w:p>
        </w:tc>
        <w:tc>
          <w:tcPr>
            <w:tcW w:w="1733"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区域内整洁干净，地面无积水，杂物，设备设施完好洁净。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3" w:hRule="atLeast"/>
        </w:trPr>
        <w:tc>
          <w:tcPr>
            <w:tcW w:w="1644" w:type="dxa"/>
            <w:vAlign w:val="center"/>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1、2号楼清洗外墙</w:t>
            </w:r>
          </w:p>
          <w:p>
            <w:pPr>
              <w:tabs>
                <w:tab w:val="left" w:pos="1620"/>
                <w:tab w:val="left" w:pos="1800"/>
              </w:tabs>
              <w:spacing w:line="440" w:lineRule="exact"/>
              <w:rPr>
                <w:rFonts w:hint="eastAsia" w:ascii="仿宋_GB2312" w:hAnsi="仿宋_GB2312" w:eastAsia="仿宋_GB2312" w:cs="仿宋_GB2312"/>
                <w:color w:val="auto"/>
                <w:szCs w:val="21"/>
                <w:highlight w:val="none"/>
              </w:rPr>
            </w:pPr>
          </w:p>
        </w:tc>
        <w:tc>
          <w:tcPr>
            <w:tcW w:w="3396" w:type="dxa"/>
          </w:tcPr>
          <w:p>
            <w:pPr>
              <w:numPr>
                <w:ilvl w:val="0"/>
                <w:numId w:val="16"/>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1号、2号楼外墙清洗采用环保清洁剂，不损伤玻璃和墙面；</w:t>
            </w:r>
          </w:p>
          <w:p>
            <w:pPr>
              <w:numPr>
                <w:ilvl w:val="0"/>
                <w:numId w:val="16"/>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提前报送施工计划，施工时做好现场安全措施，树立警示牌、围栏，确保施工人员、行人及车辆安全。</w:t>
            </w:r>
          </w:p>
          <w:p>
            <w:pPr>
              <w:numPr>
                <w:ilvl w:val="0"/>
                <w:numId w:val="16"/>
              </w:num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做到安全、文明施工，施工中的一切安全责任自负；</w:t>
            </w:r>
          </w:p>
        </w:tc>
        <w:tc>
          <w:tcPr>
            <w:tcW w:w="2340" w:type="dxa"/>
          </w:tcPr>
          <w:p>
            <w:pPr>
              <w:tabs>
                <w:tab w:val="left" w:pos="885"/>
              </w:tabs>
              <w:spacing w:line="440" w:lineRule="exact"/>
              <w:rPr>
                <w:rFonts w:hint="eastAsia" w:ascii="仿宋_GB2312" w:hAnsi="仿宋_GB2312" w:eastAsia="仿宋_GB2312" w:cs="仿宋_GB2312"/>
                <w:color w:val="auto"/>
                <w:szCs w:val="21"/>
                <w:highlight w:val="none"/>
              </w:rPr>
            </w:pPr>
          </w:p>
        </w:tc>
        <w:tc>
          <w:tcPr>
            <w:tcW w:w="1620" w:type="dxa"/>
          </w:tcPr>
          <w:p>
            <w:pPr>
              <w:tabs>
                <w:tab w:val="left" w:pos="885"/>
              </w:tabs>
              <w:spacing w:line="440" w:lineRule="exact"/>
              <w:rPr>
                <w:rFonts w:hint="eastAsia" w:ascii="仿宋_GB2312" w:hAnsi="仿宋_GB2312" w:eastAsia="仿宋_GB2312" w:cs="仿宋_GB2312"/>
                <w:color w:val="auto"/>
                <w:szCs w:val="21"/>
                <w:highlight w:val="none"/>
              </w:rPr>
            </w:pPr>
          </w:p>
        </w:tc>
        <w:tc>
          <w:tcPr>
            <w:tcW w:w="1733"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外墙表面无污渍，洁净光亮，安全施工。</w:t>
            </w:r>
          </w:p>
        </w:tc>
      </w:tr>
    </w:tbl>
    <w:p>
      <w:pPr>
        <w:rPr>
          <w:rFonts w:hint="eastAsia" w:ascii="仿宋_GB2312" w:hAnsi="仿宋_GB2312" w:eastAsia="仿宋_GB2312" w:cs="仿宋_GB2312"/>
          <w:b/>
          <w:bCs/>
          <w:color w:val="auto"/>
          <w:sz w:val="28"/>
          <w:szCs w:val="28"/>
          <w:highlight w:val="none"/>
        </w:rPr>
      </w:pPr>
    </w:p>
    <w:p>
      <w:pPr>
        <w:jc w:val="center"/>
        <w:rPr>
          <w:rFonts w:hint="eastAsia" w:ascii="仿宋_GB2312" w:hAnsi="仿宋_GB2312" w:eastAsia="仿宋_GB2312" w:cs="仿宋_GB2312"/>
          <w:b/>
          <w:bCs/>
          <w:color w:val="auto"/>
          <w:sz w:val="28"/>
          <w:szCs w:val="28"/>
          <w:highlight w:val="none"/>
        </w:rPr>
      </w:pPr>
      <w:r>
        <w:rPr>
          <w:rFonts w:hint="eastAsia" w:ascii="仿宋_GB2312" w:hAnsi="仿宋_GB2312" w:eastAsia="仿宋_GB2312" w:cs="仿宋_GB2312"/>
          <w:b/>
          <w:bCs/>
          <w:color w:val="auto"/>
          <w:sz w:val="28"/>
          <w:szCs w:val="28"/>
          <w:highlight w:val="none"/>
        </w:rPr>
        <w:t>大院清理化粪池、沙井、排污排水管道及垃圾清运质量标准</w:t>
      </w:r>
    </w:p>
    <w:p>
      <w:pPr>
        <w:rPr>
          <w:rFonts w:hint="eastAsia" w:ascii="仿宋_GB2312" w:hAnsi="仿宋_GB2312" w:eastAsia="仿宋_GB2312" w:cs="仿宋_GB2312"/>
          <w:b/>
          <w:bCs/>
          <w:color w:val="auto"/>
          <w:sz w:val="18"/>
          <w:highlight w:val="none"/>
        </w:rPr>
      </w:pPr>
    </w:p>
    <w:tbl>
      <w:tblPr>
        <w:tblStyle w:val="41"/>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4398"/>
        <w:gridCol w:w="3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2471"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项目</w:t>
            </w:r>
          </w:p>
        </w:tc>
        <w:tc>
          <w:tcPr>
            <w:tcW w:w="4398"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施工要求</w:t>
            </w:r>
          </w:p>
        </w:tc>
        <w:tc>
          <w:tcPr>
            <w:tcW w:w="3391"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质量标准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9" w:hRule="atLeast"/>
        </w:trPr>
        <w:tc>
          <w:tcPr>
            <w:tcW w:w="2471" w:type="dxa"/>
            <w:vAlign w:val="center"/>
          </w:tcPr>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清理沙井、排污排水管道</w:t>
            </w:r>
          </w:p>
        </w:tc>
        <w:tc>
          <w:tcPr>
            <w:tcW w:w="4398" w:type="dxa"/>
            <w:vAlign w:val="center"/>
          </w:tcPr>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1、清理前报施工计划，施工时做好现场安全措施，树立警示牌、围栏，确保施工人员、行人及车辆通行安全；</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2、清洁沙井、管道，每清理完一个就要及时盖好井盖，搞好周围卫生；</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3、沙井、排水管、排水管每月清理疏通至少1次；</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4、暗渠、沙井每年采用机械设备彻底清理淤泥至少1次。</w:t>
            </w:r>
          </w:p>
        </w:tc>
        <w:tc>
          <w:tcPr>
            <w:tcW w:w="3391" w:type="dxa"/>
            <w:vAlign w:val="center"/>
          </w:tcPr>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1、明渠、下水管道、沙井畅通，无堵塞，无溢流现象，</w:t>
            </w:r>
            <w:r>
              <w:rPr>
                <w:rFonts w:hint="eastAsia" w:ascii="仿宋_GB2312" w:hAnsi="仿宋_GB2312" w:eastAsia="仿宋_GB2312" w:cs="仿宋_GB2312"/>
                <w:color w:val="auto"/>
                <w:szCs w:val="21"/>
                <w:highlight w:val="none"/>
              </w:rPr>
              <w:t>畅通；</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2、做到安全、文明施工。</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3、施工完成须双方进行验收通过。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0" w:hRule="atLeast"/>
        </w:trPr>
        <w:tc>
          <w:tcPr>
            <w:tcW w:w="247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清理化粪池</w:t>
            </w:r>
          </w:p>
        </w:tc>
        <w:tc>
          <w:tcPr>
            <w:tcW w:w="4398" w:type="dxa"/>
            <w:vAlign w:val="center"/>
          </w:tcPr>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1、清理前报施工计划，施工时做好现场安全措施，树立警示牌、围栏，确保施工人员、行人及车辆通行安全；</w:t>
            </w:r>
          </w:p>
          <w:p>
            <w:pPr>
              <w:spacing w:line="440" w:lineRule="exact"/>
              <w:ind w:left="-59" w:leftChars="-28" w:firstLine="58" w:firstLineChars="28"/>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2、按照要求分级清理，每清理一个要及时盖好井盖，并搞好周围的清洁卫生；</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3、做到安全、文明施工，施工中的一切安全责任自负；</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4、负责定期检查清理，每年采用机械设备彻底清理至少1次。</w:t>
            </w:r>
          </w:p>
        </w:tc>
        <w:tc>
          <w:tcPr>
            <w:tcW w:w="3391" w:type="dxa"/>
            <w:vAlign w:val="center"/>
          </w:tcPr>
          <w:p>
            <w:pPr>
              <w:spacing w:line="440" w:lineRule="exact"/>
              <w:ind w:left="315" w:hanging="315" w:hangingChars="150"/>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1、定期检查清理，确保化粪池无堵塞、溢流、无异味外泄现象；</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highlight w:val="none"/>
              </w:rPr>
              <w:t>2、负责清理、疏通</w:t>
            </w:r>
            <w:r>
              <w:rPr>
                <w:rFonts w:hint="eastAsia" w:ascii="仿宋_GB2312" w:hAnsi="仿宋_GB2312" w:eastAsia="仿宋_GB2312" w:cs="仿宋_GB2312"/>
                <w:color w:val="auto"/>
                <w:szCs w:val="21"/>
                <w:highlight w:val="none"/>
              </w:rPr>
              <w:t>；</w:t>
            </w:r>
          </w:p>
          <w:p>
            <w:pPr>
              <w:spacing w:line="440" w:lineRule="exact"/>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3、确保</w:t>
            </w:r>
            <w:r>
              <w:rPr>
                <w:rFonts w:hint="eastAsia" w:ascii="仿宋_GB2312" w:hAnsi="仿宋_GB2312" w:eastAsia="仿宋_GB2312" w:cs="仿宋_GB2312"/>
                <w:color w:val="auto"/>
                <w:highlight w:val="none"/>
              </w:rPr>
              <w:t>文明、</w:t>
            </w:r>
            <w:r>
              <w:rPr>
                <w:rFonts w:hint="eastAsia" w:ascii="仿宋_GB2312" w:hAnsi="仿宋_GB2312" w:eastAsia="仿宋_GB2312" w:cs="仿宋_GB2312"/>
                <w:color w:val="auto"/>
                <w:szCs w:val="21"/>
                <w:highlight w:val="none"/>
              </w:rPr>
              <w:t>安全施工。</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szCs w:val="21"/>
                <w:highlight w:val="none"/>
              </w:rPr>
              <w:t>4、</w:t>
            </w:r>
            <w:r>
              <w:rPr>
                <w:rFonts w:hint="eastAsia" w:ascii="仿宋_GB2312" w:hAnsi="仿宋_GB2312" w:eastAsia="仿宋_GB2312" w:cs="仿宋_GB2312"/>
                <w:color w:val="auto"/>
                <w:highlight w:val="none"/>
              </w:rPr>
              <w:t>施工完成须双方进行验收通过。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3" w:hRule="atLeast"/>
        </w:trPr>
        <w:tc>
          <w:tcPr>
            <w:tcW w:w="247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垃圾及杂物的清运</w:t>
            </w:r>
          </w:p>
        </w:tc>
        <w:tc>
          <w:tcPr>
            <w:tcW w:w="4398" w:type="dxa"/>
            <w:vAlign w:val="center"/>
          </w:tcPr>
          <w:p>
            <w:pPr>
              <w:numPr>
                <w:ilvl w:val="0"/>
                <w:numId w:val="17"/>
              </w:num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垃圾分类收集及清运，垃圾日产日清；</w:t>
            </w:r>
          </w:p>
          <w:p>
            <w:pPr>
              <w:numPr>
                <w:ilvl w:val="0"/>
                <w:numId w:val="17"/>
              </w:num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垃圾桶、垃圾房每天清洗；</w:t>
            </w:r>
          </w:p>
          <w:p>
            <w:pPr>
              <w:numPr>
                <w:ilvl w:val="0"/>
                <w:numId w:val="17"/>
              </w:num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垃圾桶、垃圾房每周消毒1次。</w:t>
            </w:r>
          </w:p>
        </w:tc>
        <w:tc>
          <w:tcPr>
            <w:tcW w:w="3391" w:type="dxa"/>
            <w:vAlign w:val="center"/>
          </w:tcPr>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1、保证大院各区域各楼层垃圾按时清理，垃圾桶按时清洁消毒，确保垃圾桶、垃圾房无臭味、无积水、无蚊虫。</w:t>
            </w:r>
          </w:p>
          <w:p>
            <w:pPr>
              <w:spacing w:line="440" w:lineRule="exact"/>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2、做到安全、文明施工。</w:t>
            </w:r>
          </w:p>
        </w:tc>
      </w:tr>
    </w:tbl>
    <w:p>
      <w:pPr>
        <w:jc w:val="center"/>
        <w:rPr>
          <w:rStyle w:val="44"/>
          <w:rFonts w:ascii="Segoe UI" w:hAnsi="Segoe UI" w:cs="Segoe UI"/>
          <w:color w:val="auto"/>
          <w:sz w:val="27"/>
          <w:szCs w:val="27"/>
          <w:highlight w:val="none"/>
        </w:rPr>
      </w:pPr>
      <w:r>
        <w:rPr>
          <w:rStyle w:val="44"/>
          <w:rFonts w:hint="eastAsia" w:ascii="Segoe UI" w:hAnsi="Segoe UI" w:cs="Segoe UI"/>
          <w:color w:val="auto"/>
          <w:sz w:val="27"/>
          <w:szCs w:val="27"/>
          <w:highlight w:val="none"/>
        </w:rPr>
        <w:t>防治白蚁及除四害防治方案、防治标准</w:t>
      </w:r>
    </w:p>
    <w:p>
      <w:pPr>
        <w:jc w:val="center"/>
        <w:rPr>
          <w:rStyle w:val="44"/>
          <w:rFonts w:ascii="Segoe UI" w:hAnsi="Segoe UI" w:cs="Segoe UI"/>
          <w:color w:val="auto"/>
          <w:sz w:val="27"/>
          <w:szCs w:val="27"/>
          <w:highlight w:val="none"/>
        </w:rPr>
      </w:pPr>
    </w:p>
    <w:p>
      <w:pPr>
        <w:ind w:firstLine="420" w:firstLineChars="200"/>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一、防治方案</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1.老鼠的防治</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老鼠的防治采用化学药物灭鼠为主、器械捕捉为辅的方式进行综防治；通常采用的灭鼠药物有：溴敌灵、硫敌隆、敌鼠钠盐、大隆等。</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(1)药饵投放前勘察鼠类踪迹动态，了解大院内老鼠的种类及密度，根 据老鼠的种类、密度、活动踪迹采取有效灭治方法。</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(2)垃圾房、杂物间、暗沟、建筑四周等是老鼠频繁活动区，沿墙根每 隔约10米投放1堆药饵，见鼠洞增投1堆。每堆药饵约50克。</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(3)每层楼的楼梯间、管道管线井、公共通道、卫生间定点投放药饵； 每层的设备房、楼梯间投放2堆药饵，管道管线井、卫生间等每处投放1 堆药饵，每堆药饵约40克。</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(4)绿化带沿鼠路每隔10米投放1堆药饵，见鼠洞增投1堆，每堆约 40克。</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(5)对于小家鼠采用粘鼠板、鼠夹、鼠笼灭治，在一些不宜投放鼠药又 需重点防护区域可采用物理的方法灭鼠。</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(6)每月4次采用饱和法补充药饵，布药后十五天内将残留鼠药全部收 回并作报废处理，同时收集所有被杀死的老鼠，将死老鼠统一焚烧深埋。</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(7)灭鼠药物应不定期轮换使用，避免鼠类和害虫产生抗药性。 2.蟑螂的防治</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蟑螂防治采用的药物有：杀飞克乳油、拜力坦乳油、太康、奋斗呐等， 药物应每2个月交换使用，避免害虫产生抗药物。</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(1)对厨房、就餐大厅、包间、库房、储藏室、垃圾桶采用布置灭蟑膏 药饵诱杀，每月4次。</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(2)对垃圾房、垃圾桶、下水道、沟渠、洗手间、炉具采用拜力坦1: 40倍喷雾消杀，每月4次。</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(3)建筑物四周下水道、沟渠、沙井，采用热烟机喷雾、清氛热烟剂倒灌熏杀蟑螂等病媒害虫。</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3.苍蝇的防治</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苍蝇防治采用的药物有：杀飞克乳油、拜力坦乳油、奋斗呐、倍硫磷等，药物应每2个月交换使用，避免害虫产生抗药物。</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(1)对容易孳生苍蝇的垃圾桶、垃圾房、厕所、下水道口等采用类菊酯 杀虫剂拜力坦乳油喷雾消杀，每月4次。</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(2)对楼梯、卫生间、走廊、通道等采用菊酯类杀虫剂杀飞克乳油喷雾消杀 。</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(3)对厨房、就餐大厅、包间、库房、储藏室、楼梯、通道、卫生间、 垃圾桶等采用奋斗呐、清氛氯氰菊脂滞留喷雾消杀。</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4.蚊虫的防治</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蚊虫的防治一般以成虫防治及幼虫防治二者为主；防治蚊虫采用的药物有：杀飞克乳油、倍硫磷、拜力坦乳油、奋斗呐等，药物应每2个月交换使用，避免害虫产生抗药物。</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(1)环境防治：配合卫生部门搞好环境卫生，清除孳生源，使之不利于蚊虫生存或不再吸引蚊虫来产卵。</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(2)化学防治：在蚊虫数量太多，需紧急防治时，以化学药剂来防治蚊虫最为有效；一般幼虫防治除直接喷洒倍硫磷药剂外，也可将倍硫磷粒剂 或昆虫生长调节剂放于水中，使药剂慢慢溶出，达到防蚊之效果。</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(3)对宿舍、茶水间、洗手间、办公室采用菊酯类杀虫剂杀飞克乳油喷 雾消杀，每月4次。</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(4)对下水道、垃圾桶、垃圾房、绿化带积水处等采用天蟾灭蚊幼喷雾消杀蚊子幼虫，每月4次。 </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5.白蚁的防治</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(1)触杀白蚁：在白蚁的危害处，在蚁路或蚁被上挑些小孔，将灭蚁灵 粉尽可能的喷洒到蚁路内的白蚁身上，使其能够相互传染药物，以达到中 毒死亡的灭治效果。</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(2)诱杀白蚁：在发现白蚁迹象处设置用引诱剂浸泡的松木制作的诱杀箱、诱杀桩、诱杀堆，十天左右后开箱检查，将引诱而来的大量白蚁身上 适量喷附三氧化二砷粉药，让白蚁将粉药带回蚁巢，让蚁群互相传染导致 全巢白蚁中毒死亡，达到彻底消灭白蚁的效果。此法在没有发现白蚁迹象 的地方不可使用，以免将外界的白蚁引诱而来，造成人为的蚁害。</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(3)驱避白蚁：在有可能发生白蚁危害的木构件上，喷雾1%毒死蜱药 液，使木构件含有一定的毒素，白蚁活动取食或触毒后都会中毒死亡，达 到驱避预防白蚁的目的。</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(4)每年5-6月和9-10月白蚁分飞繁殖期，每月2次重点检查灭治白 </w:t>
      </w:r>
    </w:p>
    <w:p>
      <w:pPr>
        <w:ind w:firstLine="420" w:firstLineChars="200"/>
        <w:rPr>
          <w:rFonts w:hint="eastAsia" w:ascii="黑体" w:hAnsi="黑体" w:eastAsia="黑体" w:cs="黑体"/>
          <w:color w:val="auto"/>
          <w:kern w:val="0"/>
          <w:szCs w:val="21"/>
          <w:highlight w:val="none"/>
        </w:rPr>
      </w:pPr>
      <w:r>
        <w:rPr>
          <w:rFonts w:hint="eastAsia" w:ascii="黑体" w:hAnsi="黑体" w:eastAsia="黑体" w:cs="黑体"/>
          <w:color w:val="auto"/>
          <w:kern w:val="0"/>
          <w:szCs w:val="21"/>
          <w:highlight w:val="none"/>
        </w:rPr>
        <w:t>二、服务范围内的防治标准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1.灭鼠标准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(1)15平方米范围内布放20X20cm 滑石粉块两块， 一夜后阳性粉块不 超过3%,有鼠洞、鼠粪、鼠咬等痕迹的房间不超过2%;防鼠设施不合格处不超过5%。</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（2）不同类型的外环境累计2000米，鼠迹不超过5处。 </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2.灭蚊标准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(1)外环境各种存水容器和积水中，蚊幼虫及蛹的阳性率不超过3%。</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(2)用500m1 收集勺采集大院内各种水体中的蚊幼虫及蛹的阳性率不超过3%,阳性勺内幼虫和蛹的平均数不超过5只。</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3.灭蝇标准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(1)有蝇房间不超过1%,平均每阳性房间不超过3只；防蝇设施不合 格房间不超过5%。</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(2)蝇类孳生地得到有效治理，幼虫和蛹的检出率不超过3%。</w:t>
      </w:r>
    </w:p>
    <w:p>
      <w:pPr>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    4.灭蟑螂标准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(1)室内有蟑螂成虫或若虫阳性房间不超过3%,平均每间房大蠊不超过5只，小蠊不超过10只。</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(2)有活蟑螂卵鞘房间不超过2%,平均每间房不超过4只。</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 xml:space="preserve">(3)有蟑螂粪便、蜕皮等蟑迹的房间不超过5%。 </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5.防治白蚁标准</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(1)服务全区域每月白蚁发生率的面积不超过3%。</w:t>
      </w:r>
    </w:p>
    <w:p>
      <w:pPr>
        <w:ind w:firstLine="420" w:firstLineChars="200"/>
        <w:rPr>
          <w:rFonts w:hint="eastAsia" w:ascii="宋体" w:hAnsi="宋体" w:cs="宋体"/>
          <w:color w:val="auto"/>
          <w:kern w:val="0"/>
          <w:szCs w:val="21"/>
          <w:highlight w:val="none"/>
        </w:rPr>
      </w:pPr>
      <w:r>
        <w:rPr>
          <w:rFonts w:hint="eastAsia" w:ascii="宋体" w:hAnsi="宋体" w:cs="宋体"/>
          <w:color w:val="auto"/>
          <w:kern w:val="0"/>
          <w:szCs w:val="21"/>
          <w:highlight w:val="none"/>
        </w:rPr>
        <w:t>(2)同一地点出现白蚁经处理后在半年内不得再次出现白蚁。</w:t>
      </w:r>
    </w:p>
    <w:p>
      <w:pPr>
        <w:rPr>
          <w:rStyle w:val="44"/>
          <w:rFonts w:ascii="Segoe UI" w:hAnsi="Segoe UI" w:cs="Segoe UI"/>
          <w:color w:val="auto"/>
          <w:sz w:val="27"/>
          <w:szCs w:val="27"/>
          <w:highlight w:val="none"/>
        </w:rPr>
      </w:pPr>
    </w:p>
    <w:p>
      <w:pPr>
        <w:jc w:val="center"/>
        <w:rPr>
          <w:rStyle w:val="44"/>
          <w:rFonts w:ascii="Segoe UI" w:hAnsi="Segoe UI" w:cs="Segoe UI"/>
          <w:color w:val="auto"/>
          <w:sz w:val="27"/>
          <w:szCs w:val="27"/>
          <w:highlight w:val="none"/>
        </w:rPr>
      </w:pPr>
    </w:p>
    <w:p>
      <w:pPr>
        <w:jc w:val="center"/>
        <w:rPr>
          <w:rStyle w:val="44"/>
          <w:rFonts w:ascii="Segoe UI" w:hAnsi="Segoe UI" w:cs="Segoe UI"/>
          <w:color w:val="auto"/>
          <w:sz w:val="27"/>
          <w:szCs w:val="27"/>
          <w:highlight w:val="none"/>
        </w:rPr>
      </w:pPr>
    </w:p>
    <w:p>
      <w:pPr>
        <w:jc w:val="center"/>
        <w:rPr>
          <w:rStyle w:val="44"/>
          <w:rFonts w:ascii="Segoe UI" w:hAnsi="Segoe UI" w:cs="Segoe UI"/>
          <w:color w:val="auto"/>
          <w:sz w:val="27"/>
          <w:szCs w:val="27"/>
          <w:highlight w:val="none"/>
        </w:rPr>
      </w:pPr>
    </w:p>
    <w:p>
      <w:pPr>
        <w:jc w:val="center"/>
        <w:rPr>
          <w:rStyle w:val="44"/>
          <w:rFonts w:ascii="Segoe UI" w:hAnsi="Segoe UI" w:cs="Segoe UI"/>
          <w:color w:val="auto"/>
          <w:sz w:val="27"/>
          <w:szCs w:val="27"/>
          <w:highlight w:val="none"/>
        </w:rPr>
      </w:pPr>
    </w:p>
    <w:p>
      <w:pPr>
        <w:jc w:val="center"/>
        <w:rPr>
          <w:rFonts w:hint="eastAsia" w:ascii="仿宋_GB2312" w:hAnsi="仿宋_GB2312" w:eastAsia="仿宋_GB2312" w:cs="仿宋_GB2312"/>
          <w:color w:val="auto"/>
          <w:sz w:val="28"/>
          <w:szCs w:val="28"/>
          <w:highlight w:val="none"/>
        </w:rPr>
      </w:pPr>
      <w:r>
        <w:rPr>
          <w:rStyle w:val="44"/>
          <w:rFonts w:hint="eastAsia" w:ascii="Segoe UI" w:hAnsi="Segoe UI" w:cs="Segoe UI"/>
          <w:color w:val="auto"/>
          <w:sz w:val="27"/>
          <w:szCs w:val="27"/>
          <w:highlight w:val="none"/>
        </w:rPr>
        <w:t>【</w:t>
      </w:r>
      <w:r>
        <w:rPr>
          <w:rStyle w:val="44"/>
          <w:rFonts w:ascii="Segoe UI" w:hAnsi="Segoe UI" w:eastAsia="Segoe UI" w:cs="Segoe UI"/>
          <w:color w:val="auto"/>
          <w:sz w:val="27"/>
          <w:szCs w:val="27"/>
          <w:highlight w:val="none"/>
        </w:rPr>
        <w:t>日常保洁服务</w:t>
      </w:r>
      <w:r>
        <w:rPr>
          <w:rStyle w:val="44"/>
          <w:rFonts w:hint="eastAsia" w:ascii="Segoe UI" w:hAnsi="Segoe UI" w:cs="Segoe UI"/>
          <w:color w:val="auto"/>
          <w:sz w:val="27"/>
          <w:szCs w:val="27"/>
          <w:highlight w:val="none"/>
        </w:rPr>
        <w:t>】</w:t>
      </w:r>
      <w:r>
        <w:rPr>
          <w:rStyle w:val="44"/>
          <w:rFonts w:ascii="Segoe UI" w:hAnsi="Segoe UI" w:eastAsia="Segoe UI" w:cs="Segoe UI"/>
          <w:color w:val="auto"/>
          <w:sz w:val="27"/>
          <w:szCs w:val="27"/>
          <w:highlight w:val="none"/>
        </w:rPr>
        <w:t>质量考核评分表</w:t>
      </w:r>
    </w:p>
    <w:tbl>
      <w:tblPr>
        <w:tblStyle w:val="41"/>
        <w:tblW w:w="9490" w:type="dxa"/>
        <w:tblInd w:w="-7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2573"/>
        <w:gridCol w:w="911"/>
        <w:gridCol w:w="1534"/>
        <w:gridCol w:w="1143"/>
        <w:gridCol w:w="10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rPr>
        <w:tc>
          <w:tcPr>
            <w:tcW w:w="2325" w:type="dxa"/>
            <w:vAlign w:val="center"/>
          </w:tcPr>
          <w:p>
            <w:pPr>
              <w:widowControl/>
              <w:jc w:val="center"/>
              <w:rPr>
                <w:rStyle w:val="44"/>
                <w:rFonts w:hint="eastAsia" w:ascii="仿宋" w:hAnsi="仿宋" w:eastAsia="仿宋" w:cs="仿宋"/>
                <w:color w:val="auto"/>
                <w:kern w:val="0"/>
                <w:szCs w:val="21"/>
                <w:highlight w:val="none"/>
                <w:lang w:bidi="ar"/>
              </w:rPr>
            </w:pPr>
            <w:r>
              <w:rPr>
                <w:rStyle w:val="44"/>
                <w:rFonts w:hint="eastAsia" w:ascii="仿宋" w:hAnsi="仿宋" w:eastAsia="仿宋" w:cs="仿宋"/>
                <w:color w:val="auto"/>
                <w:kern w:val="0"/>
                <w:szCs w:val="21"/>
                <w:highlight w:val="none"/>
                <w:lang w:bidi="ar"/>
              </w:rPr>
              <w:t>检查项目/区域</w:t>
            </w:r>
          </w:p>
        </w:tc>
        <w:tc>
          <w:tcPr>
            <w:tcW w:w="2573" w:type="dxa"/>
            <w:vAlign w:val="center"/>
          </w:tcPr>
          <w:p>
            <w:pPr>
              <w:widowControl/>
              <w:jc w:val="center"/>
              <w:rPr>
                <w:rStyle w:val="44"/>
                <w:rFonts w:hint="eastAsia" w:ascii="仿宋" w:hAnsi="仿宋" w:eastAsia="仿宋" w:cs="仿宋"/>
                <w:color w:val="auto"/>
                <w:kern w:val="0"/>
                <w:szCs w:val="21"/>
                <w:highlight w:val="none"/>
                <w:lang w:bidi="ar"/>
              </w:rPr>
            </w:pPr>
            <w:r>
              <w:rPr>
                <w:rStyle w:val="44"/>
                <w:rFonts w:hint="eastAsia" w:ascii="仿宋" w:hAnsi="仿宋" w:eastAsia="仿宋" w:cs="仿宋"/>
                <w:color w:val="auto"/>
                <w:kern w:val="0"/>
                <w:szCs w:val="21"/>
                <w:highlight w:val="none"/>
                <w:lang w:bidi="ar"/>
              </w:rPr>
              <w:t>质量要求</w:t>
            </w:r>
          </w:p>
        </w:tc>
        <w:tc>
          <w:tcPr>
            <w:tcW w:w="911" w:type="dxa"/>
            <w:vAlign w:val="center"/>
          </w:tcPr>
          <w:p>
            <w:pPr>
              <w:widowControl/>
              <w:jc w:val="center"/>
              <w:rPr>
                <w:rFonts w:hint="eastAsia" w:ascii="仿宋" w:hAnsi="仿宋" w:eastAsia="仿宋" w:cs="仿宋"/>
                <w:b/>
                <w:bCs/>
                <w:color w:val="auto"/>
                <w:szCs w:val="21"/>
                <w:highlight w:val="none"/>
              </w:rPr>
            </w:pPr>
            <w:r>
              <w:rPr>
                <w:rStyle w:val="44"/>
                <w:rFonts w:hint="eastAsia" w:ascii="仿宋" w:hAnsi="仿宋" w:eastAsia="仿宋" w:cs="仿宋"/>
                <w:color w:val="auto"/>
                <w:kern w:val="0"/>
                <w:szCs w:val="21"/>
                <w:highlight w:val="none"/>
                <w:lang w:bidi="ar"/>
              </w:rPr>
              <w:t>权重分</w:t>
            </w:r>
          </w:p>
        </w:tc>
        <w:tc>
          <w:tcPr>
            <w:tcW w:w="1534" w:type="dxa"/>
            <w:vAlign w:val="center"/>
          </w:tcPr>
          <w:p>
            <w:pPr>
              <w:widowControl/>
              <w:jc w:val="center"/>
              <w:rPr>
                <w:rFonts w:hint="eastAsia" w:ascii="仿宋" w:hAnsi="仿宋" w:eastAsia="仿宋" w:cs="仿宋"/>
                <w:b/>
                <w:bCs/>
                <w:color w:val="auto"/>
                <w:szCs w:val="21"/>
                <w:highlight w:val="none"/>
              </w:rPr>
            </w:pPr>
            <w:r>
              <w:rPr>
                <w:rStyle w:val="44"/>
                <w:rFonts w:hint="eastAsia" w:ascii="仿宋" w:hAnsi="仿宋" w:eastAsia="仿宋" w:cs="仿宋"/>
                <w:color w:val="auto"/>
                <w:kern w:val="0"/>
                <w:szCs w:val="21"/>
                <w:highlight w:val="none"/>
                <w:lang w:bidi="ar"/>
              </w:rPr>
              <w:t>评分标准</w:t>
            </w:r>
          </w:p>
        </w:tc>
        <w:tc>
          <w:tcPr>
            <w:tcW w:w="1143" w:type="dxa"/>
            <w:vAlign w:val="center"/>
          </w:tcPr>
          <w:p>
            <w:pPr>
              <w:widowControl/>
              <w:jc w:val="center"/>
              <w:rPr>
                <w:rFonts w:hint="eastAsia" w:ascii="仿宋" w:hAnsi="仿宋" w:eastAsia="仿宋" w:cs="仿宋"/>
                <w:b/>
                <w:bCs/>
                <w:color w:val="auto"/>
                <w:szCs w:val="21"/>
                <w:highlight w:val="none"/>
              </w:rPr>
            </w:pPr>
            <w:r>
              <w:rPr>
                <w:rStyle w:val="44"/>
                <w:rFonts w:hint="eastAsia" w:ascii="仿宋" w:hAnsi="仿宋" w:eastAsia="仿宋" w:cs="仿宋"/>
                <w:color w:val="auto"/>
                <w:kern w:val="0"/>
                <w:szCs w:val="21"/>
                <w:highlight w:val="none"/>
                <w:lang w:bidi="ar"/>
              </w:rPr>
              <w:t>检查方法</w:t>
            </w:r>
          </w:p>
        </w:tc>
        <w:tc>
          <w:tcPr>
            <w:tcW w:w="1004" w:type="dxa"/>
            <w:vAlign w:val="center"/>
          </w:tcPr>
          <w:p>
            <w:pPr>
              <w:widowControl/>
              <w:jc w:val="center"/>
              <w:rPr>
                <w:rStyle w:val="44"/>
                <w:rFonts w:hint="eastAsia" w:ascii="仿宋" w:hAnsi="仿宋" w:eastAsia="仿宋" w:cs="仿宋"/>
                <w:color w:val="auto"/>
                <w:kern w:val="0"/>
                <w:szCs w:val="21"/>
                <w:highlight w:val="none"/>
                <w:lang w:bidi="ar"/>
              </w:rPr>
            </w:pPr>
            <w:r>
              <w:rPr>
                <w:rStyle w:val="44"/>
                <w:rFonts w:hint="eastAsia" w:ascii="仿宋" w:hAnsi="仿宋" w:eastAsia="仿宋" w:cs="仿宋"/>
                <w:color w:val="auto"/>
                <w:kern w:val="0"/>
                <w:szCs w:val="21"/>
                <w:highlight w:val="none"/>
                <w:lang w:bidi="ar"/>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9" w:hRule="atLeast"/>
        </w:trPr>
        <w:tc>
          <w:tcPr>
            <w:tcW w:w="2325"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大堂、电梯、电梯厅、通道等公共区域（地面、门窗、墙面、天花板）</w:t>
            </w:r>
          </w:p>
        </w:tc>
        <w:tc>
          <w:tcPr>
            <w:tcW w:w="2573" w:type="dxa"/>
            <w:vAlign w:val="center"/>
          </w:tcPr>
          <w:p>
            <w:pPr>
              <w:spacing w:line="44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玻璃、地面、墙壁、电梯门、轿厢、电梯厅洁净有光泽；沙发、茶几无尘、无污渍；各种设施洁净；卫生间洁净无异味。</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20</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每处不合格扣1分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2325"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办公室、会议室、贵宾室、打印室、接访室、保安室、公安执勤室（地面、地毯、门窗、墙面、天花板）</w:t>
            </w:r>
          </w:p>
        </w:tc>
        <w:tc>
          <w:tcPr>
            <w:tcW w:w="2573"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地面洁净、无尘、无污渍；桌、椅、沙发无尘、无污渍；墙面、天花灯罩、风口无尘、无渍、无蜘蛛网，设备设施完好洁净。</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20</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每处不合格扣1分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3" w:hRule="atLeast"/>
        </w:trPr>
        <w:tc>
          <w:tcPr>
            <w:tcW w:w="2325"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洗手间</w:t>
            </w:r>
          </w:p>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茶水间</w:t>
            </w:r>
          </w:p>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垃圾房</w:t>
            </w:r>
          </w:p>
        </w:tc>
        <w:tc>
          <w:tcPr>
            <w:tcW w:w="2573"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地面洁净、无尘、无污渍；小便池、厕位洁净、无污渍、无异味、耗材补充及时；门窗、间隔板、洗手盆、台面、饮水机、镜面、墙面、天花、风口等无尘、无污渍，设备设施完好洁净；定时清运公共垃圾桶（≤80%容量）。</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20</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每处不合格扣1分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atLeast"/>
        </w:trPr>
        <w:tc>
          <w:tcPr>
            <w:tcW w:w="2325" w:type="dxa"/>
            <w:vAlign w:val="center"/>
          </w:tcPr>
          <w:p>
            <w:pPr>
              <w:spacing w:line="44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走火通道、阳台、雨棚、楼顶天面</w:t>
            </w:r>
          </w:p>
        </w:tc>
        <w:tc>
          <w:tcPr>
            <w:tcW w:w="2573" w:type="dxa"/>
            <w:vAlign w:val="center"/>
          </w:tcPr>
          <w:p>
            <w:pPr>
              <w:spacing w:line="440" w:lineRule="exact"/>
              <w:jc w:val="center"/>
              <w:rPr>
                <w:rFonts w:hint="eastAsia" w:ascii="仿宋_GB2312" w:hAnsi="仿宋_GB2312" w:eastAsia="仿宋_GB2312" w:cs="仿宋_GB2312"/>
                <w:b/>
                <w:color w:val="auto"/>
                <w:szCs w:val="21"/>
                <w:highlight w:val="none"/>
              </w:rPr>
            </w:pPr>
            <w:r>
              <w:rPr>
                <w:rFonts w:hint="eastAsia" w:ascii="仿宋_GB2312" w:hAnsi="仿宋_GB2312" w:eastAsia="仿宋_GB2312" w:cs="仿宋_GB2312"/>
                <w:color w:val="auto"/>
                <w:szCs w:val="21"/>
                <w:highlight w:val="none"/>
              </w:rPr>
              <w:t>地面洁净，扶手、设备设施无积尘、无污垢；阳台、雨棚、天面无垃圾、杂物，下水管道畅通。</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10</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每处不合格扣1分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spacing w:line="440" w:lineRule="exact"/>
              <w:rPr>
                <w:rFonts w:hint="eastAsia" w:ascii="仿宋_GB2312" w:hAnsi="仿宋_GB2312" w:eastAsia="仿宋_GB2312" w:cs="仿宋_GB2312"/>
                <w:b/>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trPr>
        <w:tc>
          <w:tcPr>
            <w:tcW w:w="2325" w:type="dxa"/>
            <w:vAlign w:val="center"/>
          </w:tcPr>
          <w:p>
            <w:pPr>
              <w:tabs>
                <w:tab w:val="left" w:pos="1620"/>
                <w:tab w:val="left" w:pos="1800"/>
              </w:tabs>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大院路面、花圃、花基、地下停车场。</w:t>
            </w:r>
          </w:p>
        </w:tc>
        <w:tc>
          <w:tcPr>
            <w:tcW w:w="2573" w:type="dxa"/>
            <w:vAlign w:val="center"/>
          </w:tcPr>
          <w:p>
            <w:pPr>
              <w:tabs>
                <w:tab w:val="left" w:pos="1620"/>
                <w:tab w:val="left" w:pos="1800"/>
              </w:tabs>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区域内整洁干净，地面无积水，杂物，设备设施完好洁净。</w:t>
            </w:r>
          </w:p>
        </w:tc>
        <w:tc>
          <w:tcPr>
            <w:tcW w:w="911" w:type="dxa"/>
            <w:vAlign w:val="center"/>
          </w:tcPr>
          <w:p>
            <w:pPr>
              <w:tabs>
                <w:tab w:val="left" w:pos="1620"/>
                <w:tab w:val="left" w:pos="1800"/>
              </w:tabs>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10</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每处不合格扣1分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9" w:hRule="atLeast"/>
        </w:trPr>
        <w:tc>
          <w:tcPr>
            <w:tcW w:w="2325"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人员规范</w:t>
            </w:r>
          </w:p>
        </w:tc>
        <w:tc>
          <w:tcPr>
            <w:tcW w:w="257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着装规范/工具摆放整齐</w:t>
            </w:r>
            <w:r>
              <w:rPr>
                <w:rFonts w:hint="eastAsia" w:ascii="仿宋_GB2312" w:hAnsi="仿宋_GB2312" w:eastAsia="仿宋_GB2312" w:cs="仿宋_GB2312"/>
                <w:color w:val="auto"/>
                <w:szCs w:val="21"/>
                <w:highlight w:val="none"/>
              </w:rPr>
              <w:t>/工作态度良好</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5</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每处不合格扣</w:t>
            </w:r>
            <w:r>
              <w:rPr>
                <w:rFonts w:hint="eastAsia" w:ascii="仿宋_GB2312" w:hAnsi="仿宋_GB2312" w:eastAsia="仿宋_GB2312" w:cs="仿宋_GB2312"/>
                <w:color w:val="auto"/>
                <w:szCs w:val="21"/>
                <w:highlight w:val="none"/>
              </w:rPr>
              <w:t>0.5</w:t>
            </w:r>
            <w:r>
              <w:rPr>
                <w:rFonts w:ascii="仿宋_GB2312" w:hAnsi="仿宋_GB2312" w:eastAsia="仿宋_GB2312" w:cs="仿宋_GB2312"/>
                <w:color w:val="auto"/>
                <w:szCs w:val="21"/>
                <w:highlight w:val="none"/>
              </w:rPr>
              <w:t>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随机检查</w:t>
            </w:r>
          </w:p>
        </w:tc>
        <w:tc>
          <w:tcPr>
            <w:tcW w:w="1004"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8" w:hRule="atLeast"/>
        </w:trPr>
        <w:tc>
          <w:tcPr>
            <w:tcW w:w="2325"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人员到岗情况</w:t>
            </w:r>
          </w:p>
        </w:tc>
        <w:tc>
          <w:tcPr>
            <w:tcW w:w="2573"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驻场人数工作日不少于4</w:t>
            </w:r>
            <w:r>
              <w:rPr>
                <w:rFonts w:hint="eastAsia" w:ascii="仿宋_GB2312" w:hAnsi="仿宋_GB2312" w:eastAsia="仿宋_GB2312" w:cs="仿宋_GB2312"/>
                <w:color w:val="auto"/>
                <w:szCs w:val="21"/>
                <w:highlight w:val="none"/>
              </w:rPr>
              <w:t>2</w:t>
            </w:r>
            <w:r>
              <w:rPr>
                <w:rFonts w:ascii="仿宋_GB2312" w:hAnsi="仿宋_GB2312" w:eastAsia="仿宋_GB2312" w:cs="仿宋_GB2312"/>
                <w:color w:val="auto"/>
                <w:szCs w:val="21"/>
                <w:highlight w:val="none"/>
              </w:rPr>
              <w:t>人，节假日不少于15人</w:t>
            </w:r>
          </w:p>
        </w:tc>
        <w:tc>
          <w:tcPr>
            <w:tcW w:w="91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15</w:t>
            </w:r>
          </w:p>
        </w:tc>
        <w:tc>
          <w:tcPr>
            <w:tcW w:w="1534" w:type="dxa"/>
            <w:vAlign w:val="center"/>
          </w:tcPr>
          <w:p>
            <w:pPr>
              <w:spacing w:line="440" w:lineRule="exact"/>
              <w:jc w:val="center"/>
              <w:rPr>
                <w:rFonts w:hint="eastAsia" w:ascii="仿宋_GB2312" w:hAnsi="仿宋_GB2312" w:eastAsia="仿宋_GB2312" w:cs="仿宋_GB2312"/>
                <w:color w:val="auto"/>
                <w:szCs w:val="21"/>
                <w:highlight w:val="none"/>
              </w:rPr>
            </w:pPr>
            <w:r>
              <w:rPr>
                <w:rFonts w:ascii="仿宋_GB2312" w:hAnsi="仿宋_GB2312" w:eastAsia="仿宋_GB2312" w:cs="仿宋_GB2312"/>
                <w:color w:val="auto"/>
                <w:szCs w:val="21"/>
                <w:highlight w:val="none"/>
              </w:rPr>
              <w:t>每缺勤1人扣</w:t>
            </w:r>
            <w:r>
              <w:rPr>
                <w:rFonts w:hint="eastAsia" w:ascii="仿宋_GB2312" w:hAnsi="仿宋_GB2312" w:eastAsia="仿宋_GB2312" w:cs="仿宋_GB2312"/>
                <w:color w:val="auto"/>
                <w:szCs w:val="21"/>
                <w:highlight w:val="none"/>
              </w:rPr>
              <w:t>1</w:t>
            </w:r>
            <w:r>
              <w:rPr>
                <w:rFonts w:ascii="仿宋_GB2312" w:hAnsi="仿宋_GB2312" w:eastAsia="仿宋_GB2312" w:cs="仿宋_GB2312"/>
                <w:color w:val="auto"/>
                <w:szCs w:val="21"/>
                <w:highlight w:val="none"/>
              </w:rPr>
              <w:t>分</w:t>
            </w:r>
          </w:p>
        </w:tc>
        <w:tc>
          <w:tcPr>
            <w:tcW w:w="1143"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根据打卡记录</w:t>
            </w:r>
          </w:p>
        </w:tc>
        <w:tc>
          <w:tcPr>
            <w:tcW w:w="1004" w:type="dxa"/>
          </w:tcPr>
          <w:p>
            <w:pPr>
              <w:tabs>
                <w:tab w:val="left" w:pos="1620"/>
                <w:tab w:val="left" w:pos="1800"/>
              </w:tabs>
              <w:spacing w:line="440" w:lineRule="exact"/>
              <w:rPr>
                <w:rFonts w:hint="eastAsia" w:ascii="仿宋_GB2312" w:hAnsi="仿宋_GB2312" w:eastAsia="仿宋_GB2312" w:cs="仿宋_GB2312"/>
                <w:color w:val="auto"/>
                <w:szCs w:val="21"/>
                <w:highlight w:val="none"/>
              </w:rPr>
            </w:pPr>
          </w:p>
        </w:tc>
      </w:tr>
    </w:tbl>
    <w:p>
      <w:pPr>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1.每月进行一次考核，为该月清洁考核实际得分。</w:t>
      </w:r>
    </w:p>
    <w:p>
      <w:pPr>
        <w:ind w:firstLine="840" w:firstLineChars="400"/>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rPr>
        <w:t>2.月度各项服务履约评价得分</w:t>
      </w:r>
      <w:r>
        <w:rPr>
          <w:rFonts w:hint="eastAsia" w:ascii="仿宋" w:hAnsi="仿宋" w:eastAsia="仿宋" w:cs="仿宋"/>
          <w:color w:val="auto"/>
          <w:szCs w:val="21"/>
          <w:highlight w:val="none"/>
          <w:lang w:bidi="ar"/>
        </w:rPr>
        <w:t>为A、B、C、D四个等级；</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A等级：A等级≥90分，全额结算预留服务质量奖励金；</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B等级：80分≤B等级＜90分，一次性扣减10%的该项服务质量奖励金，按照90%结算预留服务质量奖励金；</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C等级：70分≤C等级＜80分，一次性扣减20%的该项服务质量奖励金，按照80%结算预留服务质量奖励金；</w:t>
      </w:r>
    </w:p>
    <w:p>
      <w:pPr>
        <w:snapToGrid w:val="0"/>
        <w:ind w:firstLine="840" w:firstLineChars="40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lang w:bidi="ar"/>
        </w:rPr>
        <w:t>D等级：D等级＜70分，一次性扣减40%的预留服务质量奖励金。</w:t>
      </w:r>
    </w:p>
    <w:p>
      <w:pPr>
        <w:rPr>
          <w:rFonts w:hint="eastAsia" w:ascii="仿宋" w:hAnsi="仿宋" w:eastAsia="仿宋" w:cs="仿宋"/>
          <w:color w:val="auto"/>
          <w:szCs w:val="21"/>
          <w:highlight w:val="none"/>
          <w:lang w:bidi="ar"/>
        </w:rPr>
      </w:pPr>
    </w:p>
    <w:p>
      <w:pPr>
        <w:ind w:firstLine="840" w:firstLineChars="400"/>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乙方项目负责人确认：                            甲方确认：</w:t>
      </w:r>
    </w:p>
    <w:p>
      <w:pPr>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lang w:bidi="ar"/>
        </w:rPr>
        <w:t>日期：                                          日期：</w:t>
      </w:r>
    </w:p>
    <w:p>
      <w:pPr>
        <w:jc w:val="center"/>
        <w:rPr>
          <w:rStyle w:val="44"/>
          <w:rFonts w:ascii="Segoe UI" w:hAnsi="Segoe UI" w:cs="Segoe UI"/>
          <w:color w:val="auto"/>
          <w:sz w:val="27"/>
          <w:szCs w:val="27"/>
          <w:highlight w:val="none"/>
        </w:rPr>
      </w:pPr>
    </w:p>
    <w:p>
      <w:pPr>
        <w:rPr>
          <w:rStyle w:val="44"/>
          <w:rFonts w:ascii="Segoe UI" w:hAnsi="Segoe UI" w:cs="Segoe UI"/>
          <w:color w:val="auto"/>
          <w:sz w:val="27"/>
          <w:szCs w:val="27"/>
          <w:highlight w:val="none"/>
        </w:rPr>
      </w:pPr>
    </w:p>
    <w:p>
      <w:pPr>
        <w:jc w:val="center"/>
        <w:rPr>
          <w:rFonts w:hint="eastAsia" w:ascii="仿宋_GB2312" w:hAnsi="仿宋_GB2312" w:eastAsia="仿宋_GB2312" w:cs="仿宋_GB2312"/>
          <w:b/>
          <w:bCs/>
          <w:color w:val="auto"/>
          <w:sz w:val="28"/>
          <w:szCs w:val="28"/>
          <w:highlight w:val="none"/>
        </w:rPr>
      </w:pPr>
      <w:bookmarkStart w:id="1469" w:name="_Toc5117"/>
      <w:bookmarkStart w:id="1470" w:name="_Toc25098"/>
      <w:r>
        <w:rPr>
          <w:rStyle w:val="44"/>
          <w:rFonts w:hint="eastAsia" w:ascii="Segoe UI" w:hAnsi="Segoe UI" w:cs="Segoe UI"/>
          <w:color w:val="auto"/>
          <w:sz w:val="27"/>
          <w:szCs w:val="27"/>
          <w:highlight w:val="none"/>
        </w:rPr>
        <w:t>【</w:t>
      </w:r>
      <w:r>
        <w:rPr>
          <w:rStyle w:val="44"/>
          <w:rFonts w:ascii="Segoe UI" w:hAnsi="Segoe UI" w:eastAsia="Segoe UI" w:cs="Segoe UI"/>
          <w:color w:val="auto"/>
          <w:sz w:val="27"/>
          <w:szCs w:val="27"/>
          <w:highlight w:val="none"/>
        </w:rPr>
        <w:t>专项</w:t>
      </w:r>
      <w:r>
        <w:rPr>
          <w:rStyle w:val="44"/>
          <w:rFonts w:hint="eastAsia" w:ascii="Segoe UI" w:hAnsi="Segoe UI" w:cs="Segoe UI"/>
          <w:color w:val="auto"/>
          <w:sz w:val="27"/>
          <w:szCs w:val="27"/>
          <w:highlight w:val="none"/>
        </w:rPr>
        <w:t>保洁服务】</w:t>
      </w:r>
      <w:r>
        <w:rPr>
          <w:rStyle w:val="44"/>
          <w:rFonts w:ascii="Segoe UI" w:hAnsi="Segoe UI" w:eastAsia="Segoe UI" w:cs="Segoe UI"/>
          <w:color w:val="auto"/>
          <w:sz w:val="27"/>
          <w:szCs w:val="27"/>
          <w:highlight w:val="none"/>
        </w:rPr>
        <w:t>质量考核评分表</w:t>
      </w:r>
      <w:bookmarkEnd w:id="1469"/>
      <w:bookmarkEnd w:id="1470"/>
    </w:p>
    <w:p>
      <w:pPr>
        <w:rPr>
          <w:rFonts w:hint="eastAsia" w:ascii="仿宋_GB2312" w:hAnsi="仿宋_GB2312" w:eastAsia="仿宋_GB2312" w:cs="仿宋_GB2312"/>
          <w:b/>
          <w:bCs/>
          <w:color w:val="auto"/>
          <w:sz w:val="18"/>
          <w:highlight w:val="none"/>
        </w:rPr>
      </w:pPr>
    </w:p>
    <w:tbl>
      <w:tblPr>
        <w:tblStyle w:val="41"/>
        <w:tblW w:w="9398"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7"/>
        <w:gridCol w:w="1361"/>
        <w:gridCol w:w="3669"/>
        <w:gridCol w:w="2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2207"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考核项目</w:t>
            </w:r>
          </w:p>
        </w:tc>
        <w:tc>
          <w:tcPr>
            <w:tcW w:w="1361"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考核周期</w:t>
            </w:r>
          </w:p>
        </w:tc>
        <w:tc>
          <w:tcPr>
            <w:tcW w:w="3669"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评分标准</w:t>
            </w:r>
          </w:p>
        </w:tc>
        <w:tc>
          <w:tcPr>
            <w:tcW w:w="2161" w:type="dxa"/>
            <w:vAlign w:val="center"/>
          </w:tcPr>
          <w:p>
            <w:pPr>
              <w:spacing w:line="440" w:lineRule="exact"/>
              <w:jc w:val="center"/>
              <w:rPr>
                <w:rFonts w:hint="eastAsia" w:ascii="仿宋_GB2312" w:hAnsi="仿宋_GB2312" w:eastAsia="仿宋_GB2312" w:cs="仿宋_GB2312"/>
                <w:b/>
                <w:bCs/>
                <w:color w:val="auto"/>
                <w:highlight w:val="none"/>
              </w:rPr>
            </w:pPr>
            <w:r>
              <w:rPr>
                <w:rFonts w:hint="eastAsia" w:ascii="仿宋_GB2312" w:hAnsi="仿宋_GB2312" w:eastAsia="仿宋_GB2312" w:cs="仿宋_GB2312"/>
                <w:b/>
                <w:bCs/>
                <w:color w:val="auto"/>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清理沙井、排污排水管道</w:t>
            </w:r>
          </w:p>
        </w:tc>
        <w:tc>
          <w:tcPr>
            <w:tcW w:w="1361" w:type="dxa"/>
            <w:vAlign w:val="center"/>
          </w:tcPr>
          <w:p>
            <w:pPr>
              <w:spacing w:line="440" w:lineRule="exact"/>
              <w:jc w:val="center"/>
              <w:rPr>
                <w:rFonts w:hint="eastAsia" w:ascii="仿宋_GB2312" w:hAnsi="仿宋_GB2312" w:eastAsia="仿宋_GB2312" w:cs="仿宋_GB2312"/>
                <w:color w:val="auto"/>
                <w:szCs w:val="21"/>
                <w:highlight w:val="none"/>
              </w:rPr>
            </w:pPr>
            <w:r>
              <w:rPr>
                <w:rFonts w:hint="eastAsia" w:ascii="仿宋_GB2312" w:hAnsi="仿宋_GB2312" w:eastAsia="仿宋_GB2312" w:cs="仿宋_GB2312"/>
                <w:color w:val="auto"/>
                <w:szCs w:val="21"/>
                <w:highlight w:val="none"/>
              </w:rPr>
              <w:t>月度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 管道畅通无堵塞/溢流（50分）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每发现1处堵塞扣10分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溢流扣20分/次</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安全文明施工通过验收（50分）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无安全防护扣15分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未清理现场扣10分</w:t>
            </w:r>
          </w:p>
        </w:tc>
        <w:tc>
          <w:tcPr>
            <w:tcW w:w="2161" w:type="dxa"/>
            <w:vAlign w:val="center"/>
          </w:tcPr>
          <w:p>
            <w:pPr>
              <w:spacing w:line="440" w:lineRule="exact"/>
              <w:rPr>
                <w:rFonts w:hint="eastAsia" w:ascii="仿宋_GB2312" w:hAnsi="仿宋_GB2312" w:eastAsia="仿宋_GB2312" w:cs="仿宋_GB2312"/>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化粪池清理</w:t>
            </w:r>
          </w:p>
        </w:tc>
        <w:tc>
          <w:tcPr>
            <w:tcW w:w="136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年度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无堵塞/异味外泄（50分）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未按时清理扣25分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异味投诉扣15分/次</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安全验收达标（50分）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违规操作扣20分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记录缺失扣10分</w:t>
            </w:r>
          </w:p>
        </w:tc>
        <w:tc>
          <w:tcPr>
            <w:tcW w:w="2161" w:type="dxa"/>
            <w:vAlign w:val="center"/>
          </w:tcPr>
          <w:p>
            <w:pPr>
              <w:spacing w:line="440" w:lineRule="exact"/>
              <w:rPr>
                <w:rFonts w:hint="eastAsia" w:ascii="仿宋_GB2312" w:hAnsi="仿宋_GB2312" w:eastAsia="仿宋_GB2312" w:cs="仿宋_GB2312"/>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9"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lang w:val="en-US" w:eastAsia="zh-CN"/>
              </w:rPr>
              <w:t>饭堂</w:t>
            </w:r>
            <w:r>
              <w:rPr>
                <w:rFonts w:hint="eastAsia" w:ascii="仿宋_GB2312" w:hAnsi="仿宋_GB2312" w:eastAsia="仿宋_GB2312" w:cs="仿宋_GB2312"/>
                <w:color w:val="auto"/>
                <w:highlight w:val="none"/>
              </w:rPr>
              <w:t>化油池清理</w:t>
            </w:r>
          </w:p>
        </w:tc>
        <w:tc>
          <w:tcPr>
            <w:tcW w:w="136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月度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油垢厚度≤3mm（60分）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超厚扣10分/处</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管道畅通无积水（40分）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积水扣5分/处</w:t>
            </w:r>
          </w:p>
        </w:tc>
        <w:tc>
          <w:tcPr>
            <w:tcW w:w="2161" w:type="dxa"/>
            <w:vAlign w:val="center"/>
          </w:tcPr>
          <w:p>
            <w:pPr>
              <w:spacing w:line="440" w:lineRule="exact"/>
              <w:rPr>
                <w:rFonts w:hint="eastAsia" w:ascii="仿宋_GB2312" w:hAnsi="仿宋_GB2312" w:eastAsia="仿宋_GB2312" w:cs="仿宋_GB2312"/>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白蚁防治、除四害服务</w:t>
            </w:r>
          </w:p>
        </w:tc>
        <w:tc>
          <w:tcPr>
            <w:tcW w:w="136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月度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w:t>
            </w:r>
            <w:bookmarkStart w:id="2159" w:name="_GoBack"/>
            <w:bookmarkEnd w:id="2159"/>
            <w:r>
              <w:rPr>
                <w:rFonts w:hint="eastAsia" w:ascii="仿宋" w:hAnsi="仿宋" w:eastAsia="仿宋" w:cs="仿宋"/>
                <w:color w:val="auto"/>
                <w:szCs w:val="21"/>
                <w:highlight w:val="none"/>
              </w:rPr>
              <w:t>施药4次/月（40分）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少1次扣10分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虫害密度达标（60分）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蟑螂＞3只/间扣15分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鼠迹扣20分/处</w:t>
            </w:r>
          </w:p>
          <w:p>
            <w:pPr>
              <w:spacing w:line="440" w:lineRule="exact"/>
              <w:rPr>
                <w:rFonts w:hint="eastAsia" w:eastAsia="仿宋"/>
                <w:color w:val="auto"/>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备注：</w:t>
            </w:r>
            <w:r>
              <w:rPr>
                <w:rFonts w:hint="eastAsia" w:ascii="仿宋" w:hAnsi="仿宋" w:eastAsia="仿宋" w:cs="仿宋"/>
                <w:color w:val="auto"/>
                <w:szCs w:val="21"/>
                <w:highlight w:val="none"/>
              </w:rPr>
              <w:t>白蚁防治每月至少检查1次，根据情况施药</w:t>
            </w:r>
            <w:r>
              <w:rPr>
                <w:rFonts w:hint="eastAsia" w:ascii="仿宋" w:hAnsi="仿宋" w:eastAsia="仿宋" w:cs="仿宋"/>
                <w:color w:val="auto"/>
                <w:szCs w:val="21"/>
                <w:highlight w:val="none"/>
                <w:lang w:val="en-US" w:eastAsia="zh-CN"/>
              </w:rPr>
              <w:t>；除四害</w:t>
            </w:r>
            <w:r>
              <w:rPr>
                <w:rFonts w:hint="eastAsia" w:ascii="仿宋" w:hAnsi="仿宋" w:eastAsia="仿宋" w:cs="仿宋"/>
                <w:color w:val="auto"/>
                <w:szCs w:val="21"/>
                <w:highlight w:val="none"/>
              </w:rPr>
              <w:t>每月约4次</w:t>
            </w:r>
            <w:r>
              <w:rPr>
                <w:rFonts w:hint="eastAsia" w:ascii="仿宋" w:hAnsi="仿宋" w:eastAsia="仿宋" w:cs="仿宋"/>
                <w:color w:val="auto"/>
                <w:szCs w:val="21"/>
                <w:highlight w:val="none"/>
                <w:lang w:eastAsia="zh-CN"/>
              </w:rPr>
              <w:t>）</w:t>
            </w:r>
          </w:p>
        </w:tc>
        <w:tc>
          <w:tcPr>
            <w:tcW w:w="2161" w:type="dxa"/>
            <w:vAlign w:val="center"/>
          </w:tcPr>
          <w:p>
            <w:pPr>
              <w:spacing w:line="440" w:lineRule="exact"/>
              <w:rPr>
                <w:rFonts w:hint="eastAsia" w:ascii="仿宋_GB2312" w:hAnsi="仿宋_GB2312" w:eastAsia="仿宋_GB2312" w:cs="仿宋_GB2312"/>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水池清洗</w:t>
            </w:r>
          </w:p>
        </w:tc>
        <w:tc>
          <w:tcPr>
            <w:tcW w:w="136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年度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 6个水池全覆盖（30分）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漏洗1个扣10分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无藻类/沉淀（50分）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可见污染物扣15分/处</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3. 水质检测达标（20分）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不合格扣20分</w:t>
            </w:r>
          </w:p>
        </w:tc>
        <w:tc>
          <w:tcPr>
            <w:tcW w:w="2161" w:type="dxa"/>
            <w:vAlign w:val="center"/>
          </w:tcPr>
          <w:p>
            <w:pPr>
              <w:spacing w:line="440" w:lineRule="exact"/>
              <w:rPr>
                <w:rFonts w:hint="eastAsia" w:ascii="仿宋_GB2312" w:hAnsi="仿宋_GB2312" w:eastAsia="仿宋_GB2312" w:cs="仿宋_GB2312"/>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2" w:hRule="atLeast"/>
        </w:trPr>
        <w:tc>
          <w:tcPr>
            <w:tcW w:w="2207" w:type="dxa"/>
            <w:vAlign w:val="center"/>
          </w:tcPr>
          <w:p>
            <w:pPr>
              <w:spacing w:line="440" w:lineRule="exact"/>
              <w:jc w:val="center"/>
              <w:rPr>
                <w:rFonts w:hint="eastAsia" w:ascii="仿宋_GB2312" w:hAnsi="仿宋_GB2312" w:eastAsia="仿宋_GB2312" w:cs="仿宋_GB2312"/>
                <w:color w:val="auto"/>
                <w:highlight w:val="none"/>
              </w:rPr>
            </w:pPr>
            <w:r>
              <w:rPr>
                <w:rFonts w:ascii="仿宋_GB2312" w:hAnsi="仿宋_GB2312" w:eastAsia="仿宋_GB2312" w:cs="仿宋_GB2312"/>
                <w:color w:val="auto"/>
                <w:highlight w:val="none"/>
              </w:rPr>
              <w:t>外墙清洗</w:t>
            </w:r>
          </w:p>
        </w:tc>
        <w:tc>
          <w:tcPr>
            <w:tcW w:w="1361" w:type="dxa"/>
            <w:vAlign w:val="center"/>
          </w:tcPr>
          <w:p>
            <w:pPr>
              <w:spacing w:line="440" w:lineRule="exact"/>
              <w:jc w:val="center"/>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年度</w:t>
            </w:r>
          </w:p>
        </w:tc>
        <w:tc>
          <w:tcPr>
            <w:tcW w:w="3669" w:type="dxa"/>
            <w:vAlign w:val="center"/>
          </w:tcPr>
          <w:p>
            <w:pPr>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按期完成（30分）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延迟扣5分/天</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2. 无残留污渍（50分）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污渍＞0.5㎡扣10分/处</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3. 安全零事故（20分）</w:t>
            </w:r>
            <w:r>
              <w:rPr>
                <w:rFonts w:hint="eastAsia" w:ascii="仿宋" w:hAnsi="仿宋" w:eastAsia="仿宋" w:cs="仿宋"/>
                <w:color w:val="auto"/>
                <w:szCs w:val="21"/>
                <w:highlight w:val="none"/>
              </w:rPr>
              <w:br w:type="textWrapping"/>
            </w:r>
            <w:r>
              <w:rPr>
                <w:rFonts w:hint="eastAsia" w:ascii="仿宋" w:hAnsi="仿宋" w:eastAsia="仿宋" w:cs="仿宋"/>
                <w:color w:val="auto"/>
                <w:szCs w:val="21"/>
                <w:highlight w:val="none"/>
              </w:rPr>
              <w:t>• 违规扣20分/次</w:t>
            </w:r>
          </w:p>
        </w:tc>
        <w:tc>
          <w:tcPr>
            <w:tcW w:w="2161" w:type="dxa"/>
            <w:vAlign w:val="center"/>
          </w:tcPr>
          <w:p>
            <w:pPr>
              <w:spacing w:line="440" w:lineRule="exact"/>
              <w:rPr>
                <w:rFonts w:hint="eastAsia" w:ascii="仿宋_GB2312" w:hAnsi="仿宋_GB2312" w:eastAsia="仿宋_GB2312" w:cs="仿宋_GB2312"/>
                <w:color w:val="auto"/>
                <w:highlight w:val="none"/>
              </w:rPr>
            </w:pPr>
          </w:p>
        </w:tc>
      </w:tr>
    </w:tbl>
    <w:p>
      <w:pPr>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注：</w:t>
      </w:r>
    </w:p>
    <w:p>
      <w:pPr>
        <w:ind w:firstLine="840" w:firstLineChars="4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bidi="ar"/>
        </w:rPr>
        <w:t>每次服务完成后3个工作日内提交考核，不同项目独立评分。</w:t>
      </w:r>
    </w:p>
    <w:p>
      <w:pPr>
        <w:ind w:firstLine="840" w:firstLineChars="400"/>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rPr>
        <w:t>2.各项服务履约评价得分</w:t>
      </w:r>
      <w:r>
        <w:rPr>
          <w:rFonts w:hint="eastAsia" w:ascii="仿宋" w:hAnsi="仿宋" w:eastAsia="仿宋" w:cs="仿宋"/>
          <w:color w:val="auto"/>
          <w:szCs w:val="21"/>
          <w:highlight w:val="none"/>
          <w:lang w:bidi="ar"/>
        </w:rPr>
        <w:t>为A、B、C、D四个等级；</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A等级：A等级≥90分，全额支付专项保洁费用；</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B等级：80分≤B等级＜90分，扣减10%专项保洁费用；</w:t>
      </w:r>
    </w:p>
    <w:p>
      <w:pPr>
        <w:snapToGrid w:val="0"/>
        <w:ind w:firstLine="840" w:firstLineChars="400"/>
        <w:jc w:val="left"/>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C等级：70分≤C等级＜80分，扣减15%专项保洁费用；</w:t>
      </w:r>
    </w:p>
    <w:p>
      <w:pPr>
        <w:snapToGrid w:val="0"/>
        <w:ind w:firstLine="840" w:firstLineChars="40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lang w:bidi="ar"/>
        </w:rPr>
        <w:t>D等级：D等级＜70分，扣减25%专项保洁费用。</w:t>
      </w:r>
    </w:p>
    <w:p>
      <w:pPr>
        <w:rPr>
          <w:rFonts w:hint="eastAsia" w:ascii="仿宋" w:hAnsi="仿宋" w:eastAsia="仿宋" w:cs="仿宋"/>
          <w:color w:val="auto"/>
          <w:szCs w:val="21"/>
          <w:highlight w:val="none"/>
          <w:lang w:bidi="ar"/>
        </w:rPr>
      </w:pPr>
    </w:p>
    <w:p>
      <w:pPr>
        <w:ind w:firstLine="840" w:firstLineChars="400"/>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乙方项目负责人确认：                            甲方确认：</w:t>
      </w:r>
    </w:p>
    <w:p>
      <w:pPr>
        <w:ind w:firstLine="420" w:firstLineChars="200"/>
        <w:rPr>
          <w:rFonts w:hint="eastAsia" w:ascii="仿宋" w:hAnsi="仿宋" w:eastAsia="仿宋" w:cs="仿宋"/>
          <w:color w:val="auto"/>
          <w:szCs w:val="21"/>
          <w:highlight w:val="none"/>
          <w:lang w:bidi="ar"/>
        </w:rPr>
      </w:pPr>
      <w:r>
        <w:rPr>
          <w:rFonts w:hint="eastAsia" w:ascii="仿宋" w:hAnsi="仿宋" w:eastAsia="仿宋" w:cs="仿宋"/>
          <w:color w:val="auto"/>
          <w:szCs w:val="21"/>
          <w:highlight w:val="none"/>
          <w:lang w:bidi="ar"/>
        </w:rPr>
        <w:t>日期：                                          日期：</w:t>
      </w:r>
    </w:p>
    <w:p>
      <w:pPr>
        <w:spacing w:line="440" w:lineRule="exact"/>
        <w:rPr>
          <w:rFonts w:hint="eastAsia" w:ascii="宋体" w:hAnsi="宋体" w:cs="宋体"/>
          <w:color w:val="auto"/>
          <w:spacing w:val="-8"/>
          <w:szCs w:val="21"/>
          <w:highlight w:val="none"/>
        </w:rPr>
      </w:pPr>
    </w:p>
    <w:p>
      <w:pPr>
        <w:spacing w:line="440" w:lineRule="exact"/>
        <w:rPr>
          <w:rFonts w:ascii="仿宋_GB2312" w:eastAsia="仿宋_GB2312"/>
          <w:color w:val="auto"/>
          <w:sz w:val="32"/>
          <w:highlight w:val="none"/>
        </w:rPr>
      </w:pPr>
      <w:bookmarkStart w:id="1471" w:name="_Toc436215776"/>
      <w:bookmarkStart w:id="1472" w:name="_Toc422925644"/>
      <w:bookmarkStart w:id="1473" w:name="_Toc435178418"/>
    </w:p>
    <w:p>
      <w:pPr>
        <w:spacing w:line="320" w:lineRule="exact"/>
        <w:rPr>
          <w:rFonts w:hint="eastAsia" w:ascii="宋体" w:hAnsi="宋体"/>
          <w:color w:val="auto"/>
          <w:szCs w:val="21"/>
          <w:highlight w:val="none"/>
        </w:rPr>
      </w:pPr>
    </w:p>
    <w:p>
      <w:pPr>
        <w:rPr>
          <w:color w:val="auto"/>
          <w:highlight w:val="none"/>
        </w:rPr>
      </w:pPr>
      <w:bookmarkStart w:id="1474" w:name="_Toc3553"/>
      <w:bookmarkStart w:id="1475" w:name="_Toc30517"/>
      <w:bookmarkStart w:id="1476" w:name="_Toc19539"/>
      <w:bookmarkStart w:id="1477" w:name="_Toc9026"/>
      <w:bookmarkStart w:id="1478" w:name="_Toc5142"/>
      <w:bookmarkStart w:id="1479" w:name="_Toc18397"/>
      <w:bookmarkStart w:id="1480" w:name="_Toc12362"/>
      <w:bookmarkStart w:id="1481" w:name="_Toc28920"/>
      <w:bookmarkStart w:id="1482" w:name="_Toc496601988"/>
      <w:r>
        <w:rPr>
          <w:rFonts w:hint="eastAsia"/>
          <w:color w:val="auto"/>
          <w:highlight w:val="none"/>
        </w:rPr>
        <w:br w:type="page"/>
      </w:r>
    </w:p>
    <w:p>
      <w:pPr>
        <w:pStyle w:val="5"/>
        <w:keepNext w:val="0"/>
        <w:keepLines w:val="0"/>
        <w:widowControl/>
        <w:shd w:val="clear" w:color="auto" w:fill="FFFFFF"/>
        <w:spacing w:before="274" w:after="206" w:line="240" w:lineRule="auto"/>
        <w:ind w:firstLine="883" w:firstLineChars="200"/>
        <w:jc w:val="center"/>
        <w:rPr>
          <w:rFonts w:ascii="Segoe UI" w:hAnsi="Segoe UI" w:eastAsia="Segoe UI" w:cs="Segoe UI"/>
          <w:color w:val="auto"/>
          <w:sz w:val="27"/>
          <w:szCs w:val="27"/>
          <w:highlight w:val="none"/>
        </w:rPr>
      </w:pPr>
      <w:bookmarkStart w:id="1483" w:name="_Toc29103"/>
      <w:bookmarkStart w:id="1484" w:name="_Toc7123"/>
      <w:bookmarkStart w:id="1485" w:name="_Toc20018"/>
      <w:bookmarkStart w:id="1486" w:name="_Toc9890"/>
      <w:bookmarkStart w:id="1487" w:name="_Toc6694"/>
      <w:bookmarkStart w:id="1488" w:name="_Toc782"/>
      <w:bookmarkStart w:id="1489" w:name="_Toc7170"/>
      <w:bookmarkStart w:id="1490" w:name="_Toc23120"/>
      <w:bookmarkStart w:id="1491" w:name="_Toc9802"/>
      <w:bookmarkStart w:id="1492" w:name="_Toc621"/>
      <w:bookmarkStart w:id="1493" w:name="_Toc26393"/>
      <w:bookmarkStart w:id="1494" w:name="_Toc26574"/>
      <w:bookmarkStart w:id="1495" w:name="_Toc15405"/>
      <w:bookmarkStart w:id="1496" w:name="_Toc504"/>
      <w:r>
        <w:rPr>
          <w:rStyle w:val="44"/>
          <w:rFonts w:hint="eastAsia" w:ascii="宋体" w:hAnsi="宋体" w:cs="宋体"/>
          <w:b/>
          <w:bCs w:val="0"/>
          <w:color w:val="auto"/>
          <w:sz w:val="44"/>
          <w:szCs w:val="44"/>
          <w:highlight w:val="none"/>
          <w:shd w:val="clear" w:color="auto" w:fill="FFFFFF"/>
        </w:rPr>
        <w:t>第五章 投标报价</w:t>
      </w:r>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pPr>
        <w:pStyle w:val="4"/>
        <w:rPr>
          <w:color w:val="auto"/>
          <w:highlight w:val="none"/>
        </w:rPr>
      </w:pPr>
      <w:bookmarkStart w:id="1497" w:name="_Toc554"/>
      <w:bookmarkStart w:id="1498" w:name="_Toc16037"/>
      <w:bookmarkStart w:id="1499" w:name="_Toc19954"/>
      <w:bookmarkStart w:id="1500" w:name="_Toc4775"/>
      <w:bookmarkStart w:id="1501" w:name="_Toc19182"/>
      <w:bookmarkStart w:id="1502" w:name="_Toc28445"/>
      <w:bookmarkStart w:id="1503" w:name="_Toc23046"/>
      <w:bookmarkStart w:id="1504" w:name="_Toc5727"/>
      <w:bookmarkStart w:id="1505" w:name="_Toc11307"/>
      <w:bookmarkStart w:id="1506" w:name="_Toc27781"/>
      <w:bookmarkStart w:id="1507" w:name="_Toc14982"/>
      <w:bookmarkStart w:id="1508" w:name="_Toc1094"/>
      <w:r>
        <w:rPr>
          <w:rFonts w:hint="eastAsia"/>
          <w:color w:val="auto"/>
          <w:highlight w:val="none"/>
        </w:rPr>
        <w:t>1. 投标报价格式</w:t>
      </w:r>
      <w:bookmarkEnd w:id="1497"/>
      <w:bookmarkEnd w:id="1498"/>
      <w:bookmarkEnd w:id="1499"/>
      <w:bookmarkEnd w:id="1500"/>
      <w:bookmarkEnd w:id="1501"/>
      <w:bookmarkEnd w:id="1502"/>
      <w:bookmarkEnd w:id="1503"/>
      <w:bookmarkEnd w:id="1504"/>
      <w:bookmarkEnd w:id="1505"/>
      <w:bookmarkEnd w:id="1506"/>
      <w:bookmarkEnd w:id="1507"/>
      <w:bookmarkEnd w:id="1508"/>
    </w:p>
    <w:p>
      <w:pPr>
        <w:ind w:firstLine="422" w:firstLineChars="200"/>
        <w:rPr>
          <w:rStyle w:val="44"/>
          <w:rFonts w:hint="eastAsia" w:ascii="宋体" w:hAnsi="宋体" w:cs="宋体"/>
          <w:color w:val="auto"/>
          <w:szCs w:val="21"/>
          <w:highlight w:val="none"/>
          <w:shd w:val="clear" w:color="auto" w:fill="FFFFFF"/>
        </w:rPr>
      </w:pPr>
      <w:r>
        <w:rPr>
          <w:rStyle w:val="44"/>
          <w:rFonts w:hint="eastAsia" w:ascii="宋体" w:hAnsi="宋体" w:cs="宋体"/>
          <w:color w:val="auto"/>
          <w:szCs w:val="21"/>
          <w:highlight w:val="none"/>
          <w:shd w:val="clear" w:color="auto" w:fill="FFFFFF"/>
        </w:rPr>
        <w:t>投标人应按附表1.1-1.3的格式提交报价表。</w:t>
      </w:r>
    </w:p>
    <w:p>
      <w:pPr>
        <w:pStyle w:val="16"/>
        <w:rPr>
          <w:rFonts w:hint="eastAsia" w:ascii="宋体" w:hAnsi="宋体" w:cs="宋体"/>
          <w:color w:val="auto"/>
          <w:szCs w:val="21"/>
          <w:highlight w:val="none"/>
        </w:rPr>
      </w:pPr>
    </w:p>
    <w:p>
      <w:pPr>
        <w:pStyle w:val="5"/>
        <w:keepNext w:val="0"/>
        <w:keepLines w:val="0"/>
        <w:widowControl/>
        <w:shd w:val="clear" w:color="auto" w:fill="FFFFFF"/>
        <w:spacing w:before="274" w:after="206" w:line="240" w:lineRule="auto"/>
        <w:rPr>
          <w:rFonts w:hint="eastAsia" w:ascii="宋体" w:hAnsi="宋体" w:cs="宋体"/>
          <w:color w:val="auto"/>
          <w:sz w:val="21"/>
          <w:szCs w:val="21"/>
          <w:highlight w:val="none"/>
        </w:rPr>
      </w:pPr>
      <w:r>
        <w:rPr>
          <w:rStyle w:val="44"/>
          <w:rFonts w:hint="eastAsia" w:ascii="宋体" w:hAnsi="宋体" w:cs="宋体"/>
          <w:b/>
          <w:bCs w:val="0"/>
          <w:color w:val="auto"/>
          <w:sz w:val="21"/>
          <w:szCs w:val="21"/>
          <w:highlight w:val="none"/>
          <w:shd w:val="clear" w:color="auto" w:fill="FFFFFF"/>
        </w:rPr>
        <w:t>附表1.1：开标一览表</w:t>
      </w:r>
    </w:p>
    <w:p>
      <w:pPr>
        <w:pStyle w:val="38"/>
        <w:shd w:val="clear" w:color="auto" w:fill="FFFFFF"/>
        <w:spacing w:before="206" w:beforeAutospacing="0" w:after="206" w:afterAutospacing="0"/>
        <w:rPr>
          <w:rFonts w:hint="eastAsia"/>
          <w:color w:val="auto"/>
          <w:sz w:val="21"/>
          <w:szCs w:val="21"/>
          <w:highlight w:val="none"/>
        </w:rPr>
      </w:pPr>
      <w:r>
        <w:rPr>
          <w:rStyle w:val="44"/>
          <w:rFonts w:hint="eastAsia"/>
          <w:color w:val="auto"/>
          <w:sz w:val="21"/>
          <w:szCs w:val="21"/>
          <w:highlight w:val="none"/>
          <w:shd w:val="clear" w:color="auto" w:fill="FFFFFF"/>
        </w:rPr>
        <w:t>项目名称</w:t>
      </w:r>
      <w:r>
        <w:rPr>
          <w:rFonts w:hint="eastAsia"/>
          <w:color w:val="auto"/>
          <w:sz w:val="21"/>
          <w:szCs w:val="21"/>
          <w:highlight w:val="none"/>
          <w:shd w:val="clear" w:color="auto" w:fill="FFFFFF"/>
        </w:rPr>
        <w:t>：</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402"/>
        <w:gridCol w:w="2707"/>
        <w:gridCol w:w="3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0" w:type="auto"/>
            <w:shd w:val="clear" w:color="auto" w:fill="auto"/>
            <w:tcMar>
              <w:top w:w="150" w:type="dxa"/>
              <w:left w:w="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费用类别</w:t>
            </w:r>
          </w:p>
        </w:tc>
        <w:tc>
          <w:tcPr>
            <w:tcW w:w="0" w:type="auto"/>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年费用（元）</w:t>
            </w:r>
          </w:p>
        </w:tc>
        <w:tc>
          <w:tcPr>
            <w:tcW w:w="0" w:type="auto"/>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日常保洁费</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￥________元</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详见附表1</w:t>
            </w:r>
            <w:r>
              <w:rPr>
                <w:rFonts w:hint="eastAsia" w:ascii="宋体" w:hAnsi="宋体" w:cs="宋体"/>
                <w:color w:val="auto"/>
                <w:kern w:val="0"/>
                <w:sz w:val="22"/>
                <w:szCs w:val="22"/>
                <w:highlight w:val="none"/>
                <w:lang w:bidi="ar"/>
              </w:rPr>
              <w:t>.2</w:t>
            </w:r>
            <w:r>
              <w:rPr>
                <w:rFonts w:ascii="宋体" w:hAnsi="宋体" w:cs="宋体"/>
                <w:color w:val="auto"/>
                <w:kern w:val="0"/>
                <w:sz w:val="22"/>
                <w:szCs w:val="22"/>
                <w:highlight w:val="none"/>
                <w:lang w:bidi="ar"/>
              </w:rPr>
              <w:t>《日常保洁报价明细》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专项保洁费</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￥________元</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详见附表</w:t>
            </w:r>
            <w:r>
              <w:rPr>
                <w:rFonts w:hint="eastAsia" w:ascii="宋体" w:hAnsi="宋体" w:cs="宋体"/>
                <w:color w:val="auto"/>
                <w:kern w:val="0"/>
                <w:sz w:val="22"/>
                <w:szCs w:val="22"/>
                <w:highlight w:val="none"/>
                <w:lang w:bidi="ar"/>
              </w:rPr>
              <w:t>1.3</w:t>
            </w:r>
            <w:r>
              <w:rPr>
                <w:rFonts w:ascii="宋体" w:hAnsi="宋体" w:cs="宋体"/>
                <w:color w:val="auto"/>
                <w:kern w:val="0"/>
                <w:sz w:val="22"/>
                <w:szCs w:val="22"/>
                <w:highlight w:val="none"/>
                <w:lang w:bidi="ar"/>
              </w:rPr>
              <w:t>《专项保洁报价明细》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Style w:val="44"/>
                <w:rFonts w:ascii="宋体" w:hAnsi="宋体" w:cs="宋体"/>
                <w:color w:val="auto"/>
                <w:kern w:val="0"/>
                <w:sz w:val="22"/>
                <w:szCs w:val="22"/>
                <w:highlight w:val="none"/>
                <w:lang w:bidi="ar"/>
              </w:rPr>
              <w:t>投标含税总报价（元/年）</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Style w:val="44"/>
                <w:rFonts w:ascii="宋体" w:hAnsi="宋体" w:cs="宋体"/>
                <w:color w:val="auto"/>
                <w:kern w:val="0"/>
                <w:sz w:val="22"/>
                <w:szCs w:val="22"/>
                <w:highlight w:val="none"/>
                <w:lang w:bidi="ar"/>
              </w:rPr>
              <w:t>￥________元整</w:t>
            </w:r>
            <w:r>
              <w:rPr>
                <w:rFonts w:ascii="宋体" w:hAnsi="宋体" w:cs="宋体"/>
                <w:color w:val="auto"/>
                <w:kern w:val="0"/>
                <w:sz w:val="22"/>
                <w:szCs w:val="22"/>
                <w:highlight w:val="none"/>
                <w:lang w:bidi="ar"/>
              </w:rPr>
              <w:br w:type="textWrapping"/>
            </w:r>
            <w:r>
              <w:rPr>
                <w:rFonts w:ascii="宋体" w:hAnsi="宋体" w:cs="宋体"/>
                <w:color w:val="auto"/>
                <w:kern w:val="0"/>
                <w:sz w:val="22"/>
                <w:szCs w:val="22"/>
                <w:highlight w:val="none"/>
                <w:lang w:bidi="ar"/>
              </w:rPr>
              <w:t>（大写：_____________）</w:t>
            </w:r>
          </w:p>
        </w:tc>
        <w:tc>
          <w:tcPr>
            <w:tcW w:w="0" w:type="auto"/>
            <w:shd w:val="clear" w:color="auto" w:fill="auto"/>
            <w:tcMar>
              <w:top w:w="150" w:type="dxa"/>
              <w:left w:w="150" w:type="dxa"/>
              <w:bottom w:w="150" w:type="dxa"/>
              <w:right w:w="150" w:type="dxa"/>
            </w:tcMar>
            <w:vAlign w:val="center"/>
          </w:tcPr>
          <w:p>
            <w:pPr>
              <w:rPr>
                <w:rFonts w:ascii="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0" w:type="auto"/>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增值税税率</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________%</w:t>
            </w:r>
          </w:p>
        </w:tc>
        <w:tc>
          <w:tcPr>
            <w:tcW w:w="0" w:type="auto"/>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发票类型：增值税专用发票</w:t>
            </w:r>
          </w:p>
        </w:tc>
      </w:tr>
    </w:tbl>
    <w:p>
      <w:pPr>
        <w:pStyle w:val="38"/>
        <w:shd w:val="clear" w:color="auto" w:fill="FFFFFF"/>
        <w:spacing w:before="206" w:beforeAutospacing="0" w:after="206" w:afterAutospacing="0" w:line="400" w:lineRule="exact"/>
        <w:rPr>
          <w:rFonts w:ascii="Segoe UI" w:hAnsi="Segoe UI" w:cs="Segoe UI"/>
          <w:color w:val="auto"/>
          <w:highlight w:val="none"/>
          <w:shd w:val="clear" w:color="auto" w:fill="FFFFFF"/>
        </w:rPr>
      </w:pPr>
      <w:r>
        <w:rPr>
          <w:rStyle w:val="44"/>
          <w:rFonts w:ascii="Segoe UI" w:hAnsi="Segoe UI" w:eastAsia="Segoe UI" w:cs="Segoe UI"/>
          <w:color w:val="auto"/>
          <w:highlight w:val="none"/>
          <w:shd w:val="clear" w:color="auto" w:fill="FFFFFF"/>
        </w:rPr>
        <w:t>说明</w:t>
      </w:r>
      <w:r>
        <w:rPr>
          <w:rFonts w:ascii="Segoe UI" w:hAnsi="Segoe UI" w:eastAsia="Segoe UI" w:cs="Segoe UI"/>
          <w:color w:val="auto"/>
          <w:highlight w:val="none"/>
          <w:shd w:val="clear" w:color="auto" w:fill="FFFFFF"/>
        </w:rPr>
        <w:t>：</w:t>
      </w:r>
      <w:r>
        <w:rPr>
          <w:rFonts w:hint="eastAsia" w:ascii="Segoe UI" w:hAnsi="Segoe UI" w:cs="Segoe UI"/>
          <w:color w:val="auto"/>
          <w:highlight w:val="none"/>
          <w:shd w:val="clear" w:color="auto" w:fill="FFFFFF"/>
        </w:rPr>
        <w:t>1.</w:t>
      </w:r>
      <w:r>
        <w:rPr>
          <w:rFonts w:ascii="Segoe UI" w:hAnsi="Segoe UI" w:eastAsia="Segoe UI" w:cs="Segoe UI"/>
          <w:color w:val="auto"/>
          <w:highlight w:val="none"/>
          <w:shd w:val="clear" w:color="auto" w:fill="FFFFFF"/>
        </w:rPr>
        <w:t>保洁面积或频次增减时，</w:t>
      </w:r>
      <w:r>
        <w:rPr>
          <w:rFonts w:hint="eastAsia"/>
          <w:color w:val="auto"/>
          <w:highlight w:val="none"/>
        </w:rPr>
        <w:t>由双方根据单价协商确定人员及日常保洁费的增减</w:t>
      </w:r>
      <w:r>
        <w:rPr>
          <w:rFonts w:hint="eastAsia" w:ascii="Segoe UI" w:hAnsi="Segoe UI" w:cs="Segoe UI"/>
          <w:color w:val="auto"/>
          <w:highlight w:val="none"/>
          <w:shd w:val="clear" w:color="auto" w:fill="FFFFFF"/>
        </w:rPr>
        <w:t>。</w:t>
      </w:r>
    </w:p>
    <w:p>
      <w:pPr>
        <w:pStyle w:val="38"/>
        <w:shd w:val="clear" w:color="auto" w:fill="FFFFFF"/>
        <w:spacing w:before="206" w:beforeAutospacing="0" w:after="206" w:afterAutospacing="0" w:line="400" w:lineRule="exact"/>
        <w:ind w:firstLine="480" w:firstLineChars="200"/>
        <w:rPr>
          <w:rFonts w:hint="eastAsia"/>
          <w:color w:val="auto"/>
          <w:highlight w:val="none"/>
        </w:rPr>
      </w:pPr>
      <w:r>
        <w:rPr>
          <w:rFonts w:hint="eastAsia" w:ascii="Segoe UI" w:hAnsi="Segoe UI" w:cs="Segoe UI"/>
          <w:color w:val="auto"/>
          <w:highlight w:val="none"/>
          <w:shd w:val="clear" w:color="auto" w:fill="FFFFFF"/>
        </w:rPr>
        <w:t>2.</w:t>
      </w:r>
      <w:r>
        <w:rPr>
          <w:rFonts w:ascii="Segoe UI" w:hAnsi="Segoe UI" w:eastAsia="Segoe UI" w:cs="Segoe UI"/>
          <w:color w:val="auto"/>
          <w:highlight w:val="none"/>
          <w:shd w:val="clear" w:color="auto" w:fill="FFFFFF"/>
        </w:rPr>
        <w:t>外墙清洗等按需服务按实际频次结算。</w:t>
      </w:r>
    </w:p>
    <w:p>
      <w:pPr>
        <w:pStyle w:val="38"/>
        <w:shd w:val="clear" w:color="auto" w:fill="FFFFFF"/>
        <w:spacing w:before="206" w:beforeAutospacing="0" w:after="206" w:afterAutospacing="0"/>
        <w:ind w:left="479" w:leftChars="228"/>
        <w:rPr>
          <w:rFonts w:ascii="Segoe UI" w:hAnsi="Segoe UI" w:eastAsia="Segoe UI" w:cs="Segoe UI"/>
          <w:b w:val="0"/>
          <w:bCs w:val="0"/>
          <w:color w:val="auto"/>
          <w:highlight w:val="none"/>
          <w:shd w:val="clear" w:color="auto" w:fill="FFFFFF"/>
        </w:rPr>
      </w:pPr>
      <w:r>
        <w:rPr>
          <w:rFonts w:hint="eastAsia" w:ascii="Segoe UI" w:hAnsi="Segoe UI" w:eastAsia="Segoe UI" w:cs="Segoe UI"/>
          <w:b w:val="0"/>
          <w:bCs w:val="0"/>
          <w:color w:val="auto"/>
          <w:highlight w:val="none"/>
          <w:shd w:val="clear" w:color="auto" w:fill="FFFFFF"/>
        </w:rPr>
        <w:t>投标人名称:（盖章）</w:t>
      </w:r>
      <w:r>
        <w:rPr>
          <w:rFonts w:ascii="Segoe UI" w:hAnsi="Segoe UI" w:eastAsia="Segoe UI" w:cs="Segoe UI"/>
          <w:b w:val="0"/>
          <w:bCs w:val="0"/>
          <w:color w:val="auto"/>
          <w:highlight w:val="none"/>
          <w:shd w:val="clear" w:color="auto" w:fill="FFFFFF"/>
        </w:rPr>
        <w:t>：</w:t>
      </w:r>
      <w:r>
        <w:rPr>
          <w:rFonts w:ascii="Segoe UI" w:hAnsi="Segoe UI" w:eastAsia="Segoe UI" w:cs="Segoe UI"/>
          <w:b w:val="0"/>
          <w:bCs w:val="0"/>
          <w:color w:val="auto"/>
          <w:highlight w:val="none"/>
          <w:shd w:val="clear" w:color="auto" w:fill="FFFFFF"/>
        </w:rPr>
        <w:br w:type="textWrapping"/>
      </w:r>
      <w:r>
        <w:rPr>
          <w:rFonts w:hint="eastAsia" w:ascii="Segoe UI" w:hAnsi="Segoe UI" w:cs="Segoe UI"/>
          <w:b w:val="0"/>
          <w:bCs w:val="0"/>
          <w:color w:val="auto"/>
          <w:highlight w:val="none"/>
          <w:shd w:val="clear" w:color="auto" w:fill="FFFFFF"/>
        </w:rPr>
        <w:t>投标人法定代表人或</w:t>
      </w:r>
      <w:r>
        <w:rPr>
          <w:rFonts w:hint="eastAsia" w:ascii="Segoe UI" w:hAnsi="Segoe UI" w:cs="Segoe UI"/>
          <w:b w:val="0"/>
          <w:bCs w:val="0"/>
          <w:color w:val="auto"/>
          <w:highlight w:val="none"/>
          <w:shd w:val="clear" w:color="auto" w:fill="FFFFFF"/>
          <w:lang w:val="en-US" w:eastAsia="zh-CN"/>
        </w:rPr>
        <w:t>其</w:t>
      </w:r>
      <w:r>
        <w:rPr>
          <w:rFonts w:hint="eastAsia" w:ascii="Segoe UI" w:hAnsi="Segoe UI" w:cs="Segoe UI"/>
          <w:b w:val="0"/>
          <w:bCs w:val="0"/>
          <w:color w:val="auto"/>
          <w:highlight w:val="none"/>
          <w:shd w:val="clear" w:color="auto" w:fill="FFFFFF"/>
        </w:rPr>
        <w:t>授权代表</w:t>
      </w:r>
      <w:r>
        <w:rPr>
          <w:rStyle w:val="44"/>
          <w:rFonts w:ascii="Segoe UI" w:hAnsi="Segoe UI" w:eastAsia="Segoe UI" w:cs="Segoe UI"/>
          <w:b w:val="0"/>
          <w:bCs w:val="0"/>
          <w:color w:val="auto"/>
          <w:highlight w:val="none"/>
          <w:shd w:val="clear" w:color="auto" w:fill="FFFFFF"/>
        </w:rPr>
        <w:t>（签字或盖章）</w:t>
      </w:r>
      <w:r>
        <w:rPr>
          <w:rFonts w:ascii="Segoe UI" w:hAnsi="Segoe UI" w:eastAsia="Segoe UI" w:cs="Segoe UI"/>
          <w:b w:val="0"/>
          <w:bCs w:val="0"/>
          <w:color w:val="auto"/>
          <w:highlight w:val="none"/>
          <w:shd w:val="clear" w:color="auto" w:fill="FFFFFF"/>
        </w:rPr>
        <w:t>：</w:t>
      </w:r>
      <w:r>
        <w:rPr>
          <w:rFonts w:ascii="Segoe UI" w:hAnsi="Segoe UI" w:eastAsia="Segoe UI" w:cs="Segoe UI"/>
          <w:b w:val="0"/>
          <w:bCs w:val="0"/>
          <w:color w:val="auto"/>
          <w:highlight w:val="none"/>
          <w:shd w:val="clear" w:color="auto" w:fill="FFFFFF"/>
        </w:rPr>
        <w:br w:type="textWrapping"/>
      </w:r>
      <w:r>
        <w:rPr>
          <w:rStyle w:val="44"/>
          <w:rFonts w:ascii="Segoe UI" w:hAnsi="Segoe UI" w:eastAsia="Segoe UI" w:cs="Segoe UI"/>
          <w:b w:val="0"/>
          <w:bCs w:val="0"/>
          <w:color w:val="auto"/>
          <w:highlight w:val="none"/>
          <w:shd w:val="clear" w:color="auto" w:fill="FFFFFF"/>
        </w:rPr>
        <w:t>日期</w:t>
      </w:r>
      <w:r>
        <w:rPr>
          <w:rFonts w:ascii="Segoe UI" w:hAnsi="Segoe UI" w:eastAsia="Segoe UI" w:cs="Segoe UI"/>
          <w:b w:val="0"/>
          <w:bCs w:val="0"/>
          <w:color w:val="auto"/>
          <w:highlight w:val="none"/>
          <w:shd w:val="clear" w:color="auto" w:fill="FFFFFF"/>
        </w:rPr>
        <w:t>：</w:t>
      </w:r>
    </w:p>
    <w:p>
      <w:pPr>
        <w:pStyle w:val="5"/>
        <w:keepNext w:val="0"/>
        <w:keepLines w:val="0"/>
        <w:widowControl/>
        <w:shd w:val="clear" w:color="auto" w:fill="FFFFFF"/>
        <w:spacing w:before="274" w:after="206" w:line="240" w:lineRule="auto"/>
        <w:ind w:firstLine="422" w:firstLineChars="200"/>
        <w:jc w:val="left"/>
        <w:rPr>
          <w:rStyle w:val="44"/>
          <w:rFonts w:hint="eastAsia" w:ascii="宋体" w:hAnsi="宋体" w:cs="宋体"/>
          <w:b/>
          <w:bCs w:val="0"/>
          <w:color w:val="auto"/>
          <w:sz w:val="21"/>
          <w:szCs w:val="21"/>
          <w:highlight w:val="none"/>
          <w:shd w:val="clear" w:color="auto" w:fill="FFFFFF"/>
        </w:rPr>
      </w:pPr>
      <w:r>
        <w:rPr>
          <w:rStyle w:val="44"/>
          <w:rFonts w:hint="eastAsia" w:ascii="宋体" w:hAnsi="宋体" w:cs="宋体"/>
          <w:b/>
          <w:bCs w:val="0"/>
          <w:color w:val="auto"/>
          <w:sz w:val="21"/>
          <w:szCs w:val="21"/>
          <w:highlight w:val="none"/>
          <w:shd w:val="clear" w:color="auto" w:fill="FFFFFF"/>
        </w:rPr>
        <w:t>表1.2</w:t>
      </w:r>
      <w:r>
        <w:rPr>
          <w:rStyle w:val="44"/>
          <w:rFonts w:ascii="宋体" w:hAnsi="宋体" w:cs="宋体"/>
          <w:b/>
          <w:bCs w:val="0"/>
          <w:color w:val="auto"/>
          <w:sz w:val="21"/>
          <w:szCs w:val="21"/>
          <w:highlight w:val="none"/>
          <w:shd w:val="clear" w:color="auto" w:fill="FFFFFF"/>
        </w:rPr>
        <w:t>：日常保洁报价明细</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1695"/>
        <w:gridCol w:w="1574"/>
        <w:gridCol w:w="1301"/>
        <w:gridCol w:w="1097"/>
        <w:gridCol w:w="1950"/>
        <w:gridCol w:w="8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blHeader/>
        </w:trPr>
        <w:tc>
          <w:tcPr>
            <w:tcW w:w="1697" w:type="dxa"/>
            <w:shd w:val="clear" w:color="auto" w:fill="auto"/>
            <w:tcMar>
              <w:top w:w="150" w:type="dxa"/>
              <w:left w:w="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项目</w:t>
            </w:r>
          </w:p>
        </w:tc>
        <w:tc>
          <w:tcPr>
            <w:tcW w:w="1575"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面积</w:t>
            </w:r>
          </w:p>
        </w:tc>
        <w:tc>
          <w:tcPr>
            <w:tcW w:w="1302"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hint="eastAsia" w:ascii="宋体" w:hAnsi="宋体" w:cs="宋体"/>
                <w:b/>
                <w:bCs/>
                <w:color w:val="auto"/>
                <w:kern w:val="0"/>
                <w:sz w:val="22"/>
                <w:szCs w:val="22"/>
                <w:highlight w:val="none"/>
                <w:lang w:bidi="ar"/>
              </w:rPr>
              <w:t>元/平方米</w:t>
            </w:r>
          </w:p>
        </w:tc>
        <w:tc>
          <w:tcPr>
            <w:tcW w:w="1098"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hint="eastAsia" w:ascii="宋体" w:hAnsi="宋体" w:cs="宋体"/>
                <w:b/>
                <w:bCs/>
                <w:color w:val="auto"/>
                <w:kern w:val="0"/>
                <w:sz w:val="22"/>
                <w:szCs w:val="22"/>
                <w:highlight w:val="none"/>
                <w:lang w:bidi="ar"/>
              </w:rPr>
              <w:t>元/月</w:t>
            </w:r>
          </w:p>
        </w:tc>
        <w:tc>
          <w:tcPr>
            <w:tcW w:w="1950"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年费用（元）</w:t>
            </w:r>
          </w:p>
        </w:tc>
        <w:tc>
          <w:tcPr>
            <w:tcW w:w="834"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97"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室内保洁</w:t>
            </w:r>
          </w:p>
        </w:tc>
        <w:tc>
          <w:tcPr>
            <w:tcW w:w="1575"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44,000㎡</w:t>
            </w:r>
          </w:p>
        </w:tc>
        <w:tc>
          <w:tcPr>
            <w:tcW w:w="1302"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098"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95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834"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97"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室外保洁</w:t>
            </w:r>
          </w:p>
        </w:tc>
        <w:tc>
          <w:tcPr>
            <w:tcW w:w="1575"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12,600㎡</w:t>
            </w:r>
          </w:p>
        </w:tc>
        <w:tc>
          <w:tcPr>
            <w:tcW w:w="1302"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098"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95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834"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97"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地下停车场保洁</w:t>
            </w:r>
          </w:p>
        </w:tc>
        <w:tc>
          <w:tcPr>
            <w:tcW w:w="1575"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8,400㎡</w:t>
            </w:r>
          </w:p>
        </w:tc>
        <w:tc>
          <w:tcPr>
            <w:tcW w:w="1302"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098"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95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834"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1697"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垃圾分类处理及清运费</w:t>
            </w:r>
          </w:p>
        </w:tc>
        <w:tc>
          <w:tcPr>
            <w:tcW w:w="1575" w:type="dxa"/>
            <w:shd w:val="clear" w:color="auto" w:fill="auto"/>
            <w:tcMar>
              <w:top w:w="150" w:type="dxa"/>
              <w:left w:w="150" w:type="dxa"/>
              <w:bottom w:w="150" w:type="dxa"/>
              <w:right w:w="150" w:type="dxa"/>
            </w:tcMar>
            <w:vAlign w:val="center"/>
          </w:tcPr>
          <w:p>
            <w:pPr>
              <w:widowControl/>
              <w:jc w:val="center"/>
              <w:rPr>
                <w:color w:val="auto"/>
                <w:sz w:val="22"/>
                <w:szCs w:val="22"/>
                <w:highlight w:val="none"/>
              </w:rPr>
            </w:pPr>
            <w:r>
              <w:rPr>
                <w:rFonts w:ascii="宋体" w:hAnsi="宋体" w:cs="宋体"/>
                <w:color w:val="auto"/>
                <w:kern w:val="0"/>
                <w:sz w:val="22"/>
                <w:szCs w:val="22"/>
                <w:highlight w:val="none"/>
                <w:lang w:bidi="ar"/>
              </w:rPr>
              <w:t>/</w:t>
            </w:r>
          </w:p>
        </w:tc>
        <w:tc>
          <w:tcPr>
            <w:tcW w:w="1302" w:type="dxa"/>
            <w:shd w:val="clear" w:color="auto" w:fill="auto"/>
            <w:tcMar>
              <w:top w:w="150" w:type="dxa"/>
              <w:left w:w="150" w:type="dxa"/>
              <w:bottom w:w="150" w:type="dxa"/>
              <w:right w:w="150" w:type="dxa"/>
            </w:tcMar>
            <w:vAlign w:val="center"/>
          </w:tcPr>
          <w:p>
            <w:pPr>
              <w:widowControl/>
              <w:jc w:val="center"/>
              <w:rPr>
                <w:color w:val="auto"/>
                <w:sz w:val="22"/>
                <w:szCs w:val="22"/>
                <w:highlight w:val="none"/>
              </w:rPr>
            </w:pPr>
            <w:r>
              <w:rPr>
                <w:rFonts w:ascii="宋体" w:hAnsi="宋体" w:cs="宋体"/>
                <w:color w:val="auto"/>
                <w:kern w:val="0"/>
                <w:sz w:val="22"/>
                <w:szCs w:val="22"/>
                <w:highlight w:val="none"/>
                <w:lang w:bidi="ar"/>
              </w:rPr>
              <w:t>/</w:t>
            </w:r>
          </w:p>
        </w:tc>
        <w:tc>
          <w:tcPr>
            <w:tcW w:w="1098" w:type="dxa"/>
            <w:shd w:val="clear" w:color="auto" w:fill="auto"/>
            <w:tcMar>
              <w:top w:w="150" w:type="dxa"/>
              <w:left w:w="150" w:type="dxa"/>
              <w:bottom w:w="150" w:type="dxa"/>
              <w:right w:w="150" w:type="dxa"/>
            </w:tcMar>
            <w:vAlign w:val="center"/>
          </w:tcPr>
          <w:p>
            <w:pPr>
              <w:widowControl/>
              <w:jc w:val="center"/>
              <w:rPr>
                <w:color w:val="auto"/>
                <w:sz w:val="22"/>
                <w:szCs w:val="22"/>
                <w:highlight w:val="none"/>
              </w:rPr>
            </w:pPr>
          </w:p>
        </w:tc>
        <w:tc>
          <w:tcPr>
            <w:tcW w:w="195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834"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5672" w:type="dxa"/>
            <w:gridSpan w:val="4"/>
            <w:shd w:val="clear" w:color="auto" w:fill="auto"/>
            <w:tcMar>
              <w:top w:w="150" w:type="dxa"/>
              <w:left w:w="0" w:type="dxa"/>
              <w:bottom w:w="150" w:type="dxa"/>
              <w:right w:w="150" w:type="dxa"/>
            </w:tcMar>
            <w:vAlign w:val="center"/>
          </w:tcPr>
          <w:p>
            <w:pPr>
              <w:jc w:val="center"/>
              <w:rPr>
                <w:rFonts w:ascii="宋体"/>
                <w:color w:val="auto"/>
                <w:sz w:val="22"/>
                <w:szCs w:val="22"/>
                <w:highlight w:val="none"/>
              </w:rPr>
            </w:pPr>
            <w:r>
              <w:rPr>
                <w:rStyle w:val="44"/>
                <w:rFonts w:hint="eastAsia" w:ascii="宋体" w:hAnsi="宋体" w:cs="宋体"/>
                <w:color w:val="auto"/>
                <w:kern w:val="0"/>
                <w:sz w:val="22"/>
                <w:szCs w:val="22"/>
                <w:highlight w:val="none"/>
                <w:lang w:bidi="ar"/>
              </w:rPr>
              <w:t>含税</w:t>
            </w:r>
            <w:r>
              <w:rPr>
                <w:rStyle w:val="44"/>
                <w:rFonts w:ascii="宋体" w:hAnsi="宋体" w:cs="宋体"/>
                <w:color w:val="auto"/>
                <w:kern w:val="0"/>
                <w:sz w:val="22"/>
                <w:szCs w:val="22"/>
                <w:highlight w:val="none"/>
                <w:lang w:bidi="ar"/>
              </w:rPr>
              <w:t>小计（元/年）</w:t>
            </w:r>
          </w:p>
        </w:tc>
        <w:tc>
          <w:tcPr>
            <w:tcW w:w="1950"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Style w:val="44"/>
                <w:rFonts w:ascii="宋体" w:hAnsi="宋体" w:cs="宋体"/>
                <w:color w:val="auto"/>
                <w:kern w:val="0"/>
                <w:sz w:val="22"/>
                <w:szCs w:val="22"/>
                <w:highlight w:val="none"/>
                <w:lang w:bidi="ar"/>
              </w:rPr>
              <w:t>￥________元整</w:t>
            </w:r>
            <w:r>
              <w:rPr>
                <w:rFonts w:ascii="宋体" w:hAnsi="宋体" w:cs="宋体"/>
                <w:color w:val="auto"/>
                <w:kern w:val="0"/>
                <w:sz w:val="22"/>
                <w:szCs w:val="22"/>
                <w:highlight w:val="none"/>
                <w:lang w:bidi="ar"/>
              </w:rPr>
              <w:br w:type="textWrapping"/>
            </w:r>
            <w:r>
              <w:rPr>
                <w:rFonts w:ascii="宋体" w:hAnsi="宋体" w:cs="宋体"/>
                <w:color w:val="auto"/>
                <w:kern w:val="0"/>
                <w:sz w:val="22"/>
                <w:szCs w:val="22"/>
                <w:highlight w:val="none"/>
                <w:lang w:bidi="ar"/>
              </w:rPr>
              <w:t>（大写：_____________）</w:t>
            </w:r>
          </w:p>
        </w:tc>
        <w:tc>
          <w:tcPr>
            <w:tcW w:w="834"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r>
    </w:tbl>
    <w:p>
      <w:pPr>
        <w:pStyle w:val="38"/>
        <w:shd w:val="clear" w:color="auto" w:fill="FFFFFF"/>
        <w:spacing w:before="206" w:beforeAutospacing="0" w:after="206" w:afterAutospacing="0"/>
        <w:ind w:left="479" w:leftChars="228"/>
        <w:rPr>
          <w:rFonts w:ascii="Segoe UI" w:hAnsi="Segoe UI" w:eastAsia="Segoe UI" w:cs="Segoe UI"/>
          <w:b w:val="0"/>
          <w:bCs w:val="0"/>
          <w:color w:val="auto"/>
          <w:highlight w:val="none"/>
          <w:shd w:val="clear" w:color="auto" w:fill="FFFFFF"/>
        </w:rPr>
      </w:pPr>
      <w:r>
        <w:rPr>
          <w:rFonts w:hint="eastAsia" w:ascii="Segoe UI" w:hAnsi="Segoe UI" w:eastAsia="Segoe UI" w:cs="Segoe UI"/>
          <w:b w:val="0"/>
          <w:bCs w:val="0"/>
          <w:color w:val="auto"/>
          <w:highlight w:val="none"/>
          <w:shd w:val="clear" w:color="auto" w:fill="FFFFFF"/>
        </w:rPr>
        <w:t>投标人名称:（盖章）</w:t>
      </w:r>
      <w:r>
        <w:rPr>
          <w:rFonts w:ascii="Segoe UI" w:hAnsi="Segoe UI" w:eastAsia="Segoe UI" w:cs="Segoe UI"/>
          <w:b w:val="0"/>
          <w:bCs w:val="0"/>
          <w:color w:val="auto"/>
          <w:highlight w:val="none"/>
          <w:shd w:val="clear" w:color="auto" w:fill="FFFFFF"/>
        </w:rPr>
        <w:br w:type="textWrapping"/>
      </w:r>
      <w:r>
        <w:rPr>
          <w:rFonts w:hint="eastAsia" w:ascii="Segoe UI" w:hAnsi="Segoe UI" w:cs="Segoe UI"/>
          <w:b w:val="0"/>
          <w:bCs w:val="0"/>
          <w:color w:val="auto"/>
          <w:highlight w:val="none"/>
          <w:shd w:val="clear" w:color="auto" w:fill="FFFFFF"/>
        </w:rPr>
        <w:t>投标人法定代表人或</w:t>
      </w:r>
      <w:r>
        <w:rPr>
          <w:rFonts w:hint="eastAsia" w:ascii="Segoe UI" w:hAnsi="Segoe UI" w:cs="Segoe UI"/>
          <w:b w:val="0"/>
          <w:bCs w:val="0"/>
          <w:color w:val="auto"/>
          <w:highlight w:val="none"/>
          <w:shd w:val="clear" w:color="auto" w:fill="FFFFFF"/>
          <w:lang w:val="en-US" w:eastAsia="zh-CN"/>
        </w:rPr>
        <w:t>其</w:t>
      </w:r>
      <w:r>
        <w:rPr>
          <w:rFonts w:hint="eastAsia" w:ascii="Segoe UI" w:hAnsi="Segoe UI" w:cs="Segoe UI"/>
          <w:b w:val="0"/>
          <w:bCs w:val="0"/>
          <w:color w:val="auto"/>
          <w:highlight w:val="none"/>
          <w:shd w:val="clear" w:color="auto" w:fill="FFFFFF"/>
        </w:rPr>
        <w:t>授权代表</w:t>
      </w:r>
      <w:r>
        <w:rPr>
          <w:rStyle w:val="44"/>
          <w:rFonts w:ascii="Segoe UI" w:hAnsi="Segoe UI" w:eastAsia="Segoe UI" w:cs="Segoe UI"/>
          <w:b w:val="0"/>
          <w:bCs w:val="0"/>
          <w:color w:val="auto"/>
          <w:highlight w:val="none"/>
          <w:shd w:val="clear" w:color="auto" w:fill="FFFFFF"/>
        </w:rPr>
        <w:t>（签字或盖章）</w:t>
      </w:r>
      <w:r>
        <w:rPr>
          <w:rFonts w:ascii="Segoe UI" w:hAnsi="Segoe UI" w:eastAsia="Segoe UI" w:cs="Segoe UI"/>
          <w:b w:val="0"/>
          <w:bCs w:val="0"/>
          <w:color w:val="auto"/>
          <w:highlight w:val="none"/>
          <w:shd w:val="clear" w:color="auto" w:fill="FFFFFF"/>
        </w:rPr>
        <w:t>：</w:t>
      </w:r>
      <w:r>
        <w:rPr>
          <w:rFonts w:ascii="Segoe UI" w:hAnsi="Segoe UI" w:eastAsia="Segoe UI" w:cs="Segoe UI"/>
          <w:b w:val="0"/>
          <w:bCs w:val="0"/>
          <w:color w:val="auto"/>
          <w:highlight w:val="none"/>
          <w:shd w:val="clear" w:color="auto" w:fill="FFFFFF"/>
        </w:rPr>
        <w:br w:type="textWrapping"/>
      </w:r>
      <w:r>
        <w:rPr>
          <w:rStyle w:val="44"/>
          <w:rFonts w:ascii="Segoe UI" w:hAnsi="Segoe UI" w:eastAsia="Segoe UI" w:cs="Segoe UI"/>
          <w:b w:val="0"/>
          <w:bCs w:val="0"/>
          <w:color w:val="auto"/>
          <w:highlight w:val="none"/>
          <w:shd w:val="clear" w:color="auto" w:fill="FFFFFF"/>
        </w:rPr>
        <w:t>日期</w:t>
      </w:r>
      <w:r>
        <w:rPr>
          <w:rFonts w:ascii="Segoe UI" w:hAnsi="Segoe UI" w:eastAsia="Segoe UI" w:cs="Segoe UI"/>
          <w:b w:val="0"/>
          <w:bCs w:val="0"/>
          <w:color w:val="auto"/>
          <w:highlight w:val="none"/>
          <w:shd w:val="clear" w:color="auto" w:fill="FFFFFF"/>
        </w:rPr>
        <w:t>：</w:t>
      </w:r>
    </w:p>
    <w:p>
      <w:pPr>
        <w:pStyle w:val="38"/>
        <w:shd w:val="clear" w:color="auto" w:fill="FFFFFF"/>
        <w:spacing w:before="206" w:beforeAutospacing="0" w:after="206" w:afterAutospacing="0"/>
        <w:ind w:left="479" w:leftChars="228"/>
        <w:rPr>
          <w:rFonts w:ascii="Segoe UI" w:hAnsi="Segoe UI" w:eastAsia="Segoe UI" w:cs="Segoe UI"/>
          <w:b w:val="0"/>
          <w:bCs w:val="0"/>
          <w:color w:val="auto"/>
          <w:highlight w:val="none"/>
          <w:shd w:val="clear" w:color="auto" w:fill="FFFFFF"/>
        </w:rPr>
      </w:pPr>
    </w:p>
    <w:p>
      <w:pPr>
        <w:pStyle w:val="5"/>
        <w:keepNext w:val="0"/>
        <w:keepLines w:val="0"/>
        <w:widowControl/>
        <w:shd w:val="clear" w:color="auto" w:fill="FFFFFF"/>
        <w:spacing w:before="274" w:after="206" w:line="240" w:lineRule="auto"/>
        <w:ind w:firstLine="422" w:firstLineChars="200"/>
        <w:jc w:val="left"/>
        <w:rPr>
          <w:rStyle w:val="44"/>
          <w:rFonts w:hint="eastAsia" w:ascii="宋体" w:hAnsi="宋体" w:cs="宋体"/>
          <w:b/>
          <w:bCs w:val="0"/>
          <w:color w:val="auto"/>
          <w:sz w:val="21"/>
          <w:szCs w:val="21"/>
          <w:highlight w:val="none"/>
          <w:shd w:val="clear" w:color="auto" w:fill="FFFFFF"/>
        </w:rPr>
      </w:pPr>
      <w:r>
        <w:rPr>
          <w:rStyle w:val="44"/>
          <w:rFonts w:ascii="宋体" w:hAnsi="宋体" w:cs="宋体"/>
          <w:b/>
          <w:bCs w:val="0"/>
          <w:color w:val="auto"/>
          <w:sz w:val="21"/>
          <w:szCs w:val="21"/>
          <w:highlight w:val="none"/>
          <w:shd w:val="clear" w:color="auto" w:fill="FFFFFF"/>
        </w:rPr>
        <w:t>表</w:t>
      </w:r>
      <w:r>
        <w:rPr>
          <w:rStyle w:val="44"/>
          <w:rFonts w:hint="eastAsia" w:ascii="宋体" w:hAnsi="宋体" w:cs="宋体"/>
          <w:b/>
          <w:bCs w:val="0"/>
          <w:color w:val="auto"/>
          <w:sz w:val="21"/>
          <w:szCs w:val="21"/>
          <w:highlight w:val="none"/>
          <w:shd w:val="clear" w:color="auto" w:fill="FFFFFF"/>
        </w:rPr>
        <w:t>1.3</w:t>
      </w:r>
      <w:r>
        <w:rPr>
          <w:rStyle w:val="44"/>
          <w:rFonts w:ascii="宋体" w:hAnsi="宋体" w:cs="宋体"/>
          <w:b/>
          <w:bCs w:val="0"/>
          <w:color w:val="auto"/>
          <w:sz w:val="21"/>
          <w:szCs w:val="21"/>
          <w:highlight w:val="none"/>
          <w:shd w:val="clear" w:color="auto" w:fill="FFFFFF"/>
        </w:rPr>
        <w:t>：专项保洁报价明细</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546"/>
        <w:gridCol w:w="1640"/>
        <w:gridCol w:w="2186"/>
        <w:gridCol w:w="13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3" w:hRule="atLeast"/>
          <w:tblHeader/>
        </w:trPr>
        <w:tc>
          <w:tcPr>
            <w:tcW w:w="2546" w:type="dxa"/>
            <w:shd w:val="clear" w:color="auto" w:fill="auto"/>
            <w:tcMar>
              <w:top w:w="150" w:type="dxa"/>
              <w:left w:w="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项目</w:t>
            </w:r>
          </w:p>
        </w:tc>
        <w:tc>
          <w:tcPr>
            <w:tcW w:w="1640"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hint="eastAsia" w:ascii="宋体" w:hAnsi="宋体" w:cs="宋体"/>
                <w:b/>
                <w:bCs/>
                <w:color w:val="auto"/>
                <w:kern w:val="0"/>
                <w:sz w:val="22"/>
                <w:szCs w:val="22"/>
                <w:highlight w:val="none"/>
                <w:lang w:bidi="ar"/>
              </w:rPr>
              <w:t>元/次</w:t>
            </w:r>
          </w:p>
        </w:tc>
        <w:tc>
          <w:tcPr>
            <w:tcW w:w="2186"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年费用（元）</w:t>
            </w:r>
          </w:p>
        </w:tc>
        <w:tc>
          <w:tcPr>
            <w:tcW w:w="1326" w:type="dxa"/>
            <w:shd w:val="clear" w:color="auto" w:fill="auto"/>
            <w:tcMar>
              <w:top w:w="150" w:type="dxa"/>
              <w:left w:w="150" w:type="dxa"/>
              <w:bottom w:w="150" w:type="dxa"/>
              <w:right w:w="150" w:type="dxa"/>
            </w:tcMar>
            <w:vAlign w:val="center"/>
          </w:tcPr>
          <w:p>
            <w:pPr>
              <w:widowControl/>
              <w:jc w:val="center"/>
              <w:rPr>
                <w:b/>
                <w:bCs/>
                <w:color w:val="auto"/>
                <w:sz w:val="22"/>
                <w:szCs w:val="22"/>
                <w:highlight w:val="none"/>
              </w:rPr>
            </w:pPr>
            <w:r>
              <w:rPr>
                <w:rFonts w:ascii="宋体" w:hAnsi="宋体" w:cs="宋体"/>
                <w:b/>
                <w:bCs/>
                <w:color w:val="auto"/>
                <w:kern w:val="0"/>
                <w:sz w:val="22"/>
                <w:szCs w:val="22"/>
                <w:highlight w:val="none"/>
                <w:lang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16" w:hRule="atLeast"/>
        </w:trPr>
        <w:tc>
          <w:tcPr>
            <w:tcW w:w="2546"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卫生间</w:t>
            </w:r>
            <w:r>
              <w:rPr>
                <w:rFonts w:hint="eastAsia" w:ascii="宋体" w:hAnsi="宋体" w:cs="宋体"/>
                <w:color w:val="auto"/>
                <w:kern w:val="0"/>
                <w:sz w:val="22"/>
                <w:szCs w:val="22"/>
                <w:highlight w:val="none"/>
                <w:lang w:bidi="ar"/>
              </w:rPr>
              <w:t>排污及各类下水管道</w:t>
            </w:r>
            <w:r>
              <w:rPr>
                <w:rFonts w:ascii="宋体" w:hAnsi="宋体" w:cs="宋体"/>
                <w:color w:val="auto"/>
                <w:kern w:val="0"/>
                <w:sz w:val="22"/>
                <w:szCs w:val="22"/>
                <w:highlight w:val="none"/>
                <w:lang w:bidi="ar"/>
              </w:rPr>
              <w:t>、沙井及</w:t>
            </w:r>
            <w:r>
              <w:rPr>
                <w:rFonts w:hint="eastAsia" w:ascii="宋体" w:hAnsi="宋体" w:cs="宋体"/>
                <w:bCs/>
                <w:color w:val="auto"/>
                <w:szCs w:val="21"/>
                <w:highlight w:val="none"/>
              </w:rPr>
              <w:t>相连的排污和排水</w:t>
            </w:r>
            <w:r>
              <w:rPr>
                <w:rFonts w:ascii="宋体" w:hAnsi="宋体" w:cs="宋体"/>
                <w:color w:val="auto"/>
                <w:kern w:val="0"/>
                <w:sz w:val="22"/>
                <w:szCs w:val="22"/>
                <w:highlight w:val="none"/>
                <w:lang w:bidi="ar"/>
              </w:rPr>
              <w:t>管道疏通</w:t>
            </w:r>
            <w:r>
              <w:rPr>
                <w:rFonts w:hint="eastAsia" w:ascii="宋体" w:hAnsi="宋体" w:cs="宋体"/>
                <w:color w:val="auto"/>
                <w:kern w:val="0"/>
                <w:sz w:val="22"/>
                <w:szCs w:val="22"/>
                <w:highlight w:val="none"/>
                <w:lang w:bidi="ar"/>
              </w:rPr>
              <w:t>及</w:t>
            </w:r>
            <w:r>
              <w:rPr>
                <w:rFonts w:ascii="宋体" w:hAnsi="宋体" w:cs="宋体"/>
                <w:color w:val="auto"/>
                <w:kern w:val="0"/>
                <w:sz w:val="22"/>
                <w:szCs w:val="22"/>
                <w:highlight w:val="none"/>
                <w:lang w:bidi="ar"/>
              </w:rPr>
              <w:t>处理</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每月</w:t>
            </w:r>
            <w:r>
              <w:rPr>
                <w:rFonts w:hint="eastAsia" w:ascii="宋体" w:hAnsi="宋体" w:cs="宋体"/>
                <w:color w:val="auto"/>
                <w:kern w:val="0"/>
                <w:sz w:val="22"/>
                <w:szCs w:val="22"/>
                <w:highlight w:val="none"/>
                <w:lang w:bidi="ar"/>
              </w:rPr>
              <w:t>约</w:t>
            </w:r>
            <w:r>
              <w:rPr>
                <w:rFonts w:ascii="宋体" w:hAnsi="宋体" w:cs="宋体"/>
                <w:color w:val="auto"/>
                <w:kern w:val="0"/>
                <w:sz w:val="22"/>
                <w:szCs w:val="22"/>
                <w:highlight w:val="none"/>
                <w:lang w:bidi="ar"/>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16" w:hRule="atLeast"/>
        </w:trPr>
        <w:tc>
          <w:tcPr>
            <w:tcW w:w="2546"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水池清理</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每</w:t>
            </w:r>
            <w:r>
              <w:rPr>
                <w:rFonts w:hint="eastAsia" w:ascii="宋体" w:hAnsi="宋体" w:cs="宋体"/>
                <w:color w:val="auto"/>
                <w:kern w:val="0"/>
                <w:sz w:val="22"/>
                <w:szCs w:val="22"/>
                <w:highlight w:val="none"/>
                <w:lang w:bidi="ar"/>
              </w:rPr>
              <w:t>年约2</w:t>
            </w:r>
            <w:r>
              <w:rPr>
                <w:rFonts w:ascii="宋体" w:hAnsi="宋体" w:cs="宋体"/>
                <w:color w:val="auto"/>
                <w:kern w:val="0"/>
                <w:sz w:val="22"/>
                <w:szCs w:val="22"/>
                <w:highlight w:val="none"/>
                <w:lang w:bidi="ar"/>
              </w:rPr>
              <w:t>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16" w:hRule="atLeast"/>
        </w:trPr>
        <w:tc>
          <w:tcPr>
            <w:tcW w:w="2546"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饭堂化油池清理</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每月</w:t>
            </w:r>
            <w:r>
              <w:rPr>
                <w:rFonts w:hint="eastAsia" w:ascii="宋体" w:hAnsi="宋体" w:cs="宋体"/>
                <w:color w:val="auto"/>
                <w:kern w:val="0"/>
                <w:sz w:val="22"/>
                <w:szCs w:val="22"/>
                <w:highlight w:val="none"/>
                <w:lang w:bidi="ar"/>
              </w:rPr>
              <w:t>约</w:t>
            </w:r>
            <w:r>
              <w:rPr>
                <w:rFonts w:ascii="宋体" w:hAnsi="宋体" w:cs="宋体"/>
                <w:color w:val="auto"/>
                <w:kern w:val="0"/>
                <w:sz w:val="22"/>
                <w:szCs w:val="22"/>
                <w:highlight w:val="none"/>
                <w:lang w:bidi="ar"/>
              </w:rPr>
              <w:t>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85" w:hRule="atLeast"/>
        </w:trPr>
        <w:tc>
          <w:tcPr>
            <w:tcW w:w="2546" w:type="dxa"/>
            <w:shd w:val="clear" w:color="auto" w:fill="auto"/>
            <w:tcMar>
              <w:top w:w="150" w:type="dxa"/>
              <w:left w:w="0" w:type="dxa"/>
              <w:bottom w:w="150" w:type="dxa"/>
              <w:right w:w="150" w:type="dxa"/>
            </w:tcMar>
            <w:vAlign w:val="center"/>
          </w:tcPr>
          <w:p>
            <w:pPr>
              <w:widowControl/>
              <w:jc w:val="left"/>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化粪池</w:t>
            </w:r>
            <w:r>
              <w:rPr>
                <w:rFonts w:hint="eastAsia" w:ascii="宋体" w:hAnsi="宋体" w:cs="宋体"/>
                <w:bCs/>
                <w:color w:val="auto"/>
                <w:szCs w:val="21"/>
                <w:highlight w:val="none"/>
              </w:rPr>
              <w:t>、暗渠、沙井和相连管道的淤泥</w:t>
            </w:r>
            <w:r>
              <w:rPr>
                <w:rFonts w:hint="eastAsia" w:ascii="宋体" w:hAnsi="宋体" w:cs="宋体"/>
                <w:color w:val="auto"/>
                <w:kern w:val="0"/>
                <w:sz w:val="22"/>
                <w:szCs w:val="22"/>
                <w:highlight w:val="none"/>
                <w:lang w:bidi="ar"/>
              </w:rPr>
              <w:t>清理</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rFonts w:hint="eastAsia" w:ascii="宋体" w:hAnsi="宋体" w:cs="宋体"/>
                <w:color w:val="auto"/>
                <w:kern w:val="0"/>
                <w:sz w:val="22"/>
                <w:szCs w:val="22"/>
                <w:highlight w:val="none"/>
                <w:lang w:bidi="ar"/>
              </w:rPr>
            </w:pPr>
            <w:r>
              <w:rPr>
                <w:rFonts w:hint="eastAsia" w:ascii="宋体" w:hAnsi="宋体" w:cs="宋体"/>
                <w:color w:val="auto"/>
                <w:kern w:val="0"/>
                <w:sz w:val="22"/>
                <w:szCs w:val="22"/>
                <w:highlight w:val="none"/>
                <w:lang w:bidi="ar"/>
              </w:rPr>
              <w:t>每年不少于1次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85" w:hRule="atLeast"/>
        </w:trPr>
        <w:tc>
          <w:tcPr>
            <w:tcW w:w="2546"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hint="eastAsia"/>
                <w:color w:val="auto"/>
                <w:sz w:val="22"/>
                <w:szCs w:val="22"/>
                <w:highlight w:val="none"/>
              </w:rPr>
              <w:t>白蚁防治、除四害服务</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hint="eastAsia" w:ascii="宋体" w:hAnsi="宋体" w:cs="宋体"/>
                <w:color w:val="auto"/>
                <w:kern w:val="0"/>
                <w:sz w:val="22"/>
                <w:szCs w:val="22"/>
                <w:highlight w:val="none"/>
                <w:lang w:bidi="ar"/>
              </w:rPr>
              <w:t>白</w:t>
            </w:r>
            <w:r>
              <w:rPr>
                <w:rFonts w:hint="default" w:ascii="宋体" w:hAnsi="宋体" w:cs="宋体"/>
                <w:color w:val="auto"/>
                <w:kern w:val="0"/>
                <w:sz w:val="22"/>
                <w:szCs w:val="22"/>
                <w:highlight w:val="none"/>
                <w:lang w:bidi="ar"/>
              </w:rPr>
              <w:t>蚁防治每月至少检查1次，根据情况施药</w:t>
            </w:r>
            <w:r>
              <w:rPr>
                <w:rFonts w:hint="eastAsia" w:ascii="宋体" w:hAnsi="宋体" w:cs="宋体"/>
                <w:color w:val="auto"/>
                <w:kern w:val="0"/>
                <w:sz w:val="22"/>
                <w:szCs w:val="22"/>
                <w:highlight w:val="none"/>
                <w:lang w:val="en-US" w:eastAsia="zh-CN" w:bidi="ar"/>
              </w:rPr>
              <w:t>；除四害</w:t>
            </w:r>
            <w:r>
              <w:rPr>
                <w:rFonts w:ascii="宋体" w:hAnsi="宋体" w:cs="宋体"/>
                <w:color w:val="auto"/>
                <w:kern w:val="0"/>
                <w:sz w:val="22"/>
                <w:szCs w:val="22"/>
                <w:highlight w:val="none"/>
                <w:lang w:bidi="ar"/>
              </w:rPr>
              <w:t>每月</w:t>
            </w:r>
            <w:r>
              <w:rPr>
                <w:rFonts w:hint="eastAsia" w:ascii="宋体" w:hAnsi="宋体" w:cs="宋体"/>
                <w:color w:val="auto"/>
                <w:kern w:val="0"/>
                <w:sz w:val="22"/>
                <w:szCs w:val="22"/>
                <w:highlight w:val="none"/>
                <w:lang w:bidi="ar"/>
              </w:rPr>
              <w:t>约</w:t>
            </w:r>
            <w:r>
              <w:rPr>
                <w:rFonts w:ascii="宋体" w:hAnsi="宋体" w:cs="宋体"/>
                <w:color w:val="auto"/>
                <w:kern w:val="0"/>
                <w:sz w:val="22"/>
                <w:szCs w:val="22"/>
                <w:highlight w:val="none"/>
                <w:lang w:bidi="ar"/>
              </w:rPr>
              <w:t>4次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316" w:hRule="atLeast"/>
        </w:trPr>
        <w:tc>
          <w:tcPr>
            <w:tcW w:w="2546" w:type="dxa"/>
            <w:shd w:val="clear" w:color="auto" w:fill="auto"/>
            <w:tcMar>
              <w:top w:w="150" w:type="dxa"/>
              <w:left w:w="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1、2号楼外墙清洗</w:t>
            </w:r>
          </w:p>
        </w:tc>
        <w:tc>
          <w:tcPr>
            <w:tcW w:w="1640"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218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c>
          <w:tcPr>
            <w:tcW w:w="132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Fonts w:ascii="宋体" w:hAnsi="宋体" w:cs="宋体"/>
                <w:color w:val="auto"/>
                <w:kern w:val="0"/>
                <w:sz w:val="22"/>
                <w:szCs w:val="22"/>
                <w:highlight w:val="none"/>
                <w:lang w:bidi="ar"/>
              </w:rPr>
              <w:t>按实际频次单独结算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64" w:hRule="atLeast"/>
        </w:trPr>
        <w:tc>
          <w:tcPr>
            <w:tcW w:w="4186" w:type="dxa"/>
            <w:gridSpan w:val="2"/>
            <w:shd w:val="clear" w:color="auto" w:fill="auto"/>
            <w:tcMar>
              <w:top w:w="150" w:type="dxa"/>
              <w:left w:w="0" w:type="dxa"/>
              <w:bottom w:w="150" w:type="dxa"/>
              <w:right w:w="150" w:type="dxa"/>
            </w:tcMar>
            <w:vAlign w:val="center"/>
          </w:tcPr>
          <w:p>
            <w:pPr>
              <w:jc w:val="center"/>
              <w:rPr>
                <w:rFonts w:ascii="宋体"/>
                <w:color w:val="auto"/>
                <w:sz w:val="22"/>
                <w:szCs w:val="22"/>
                <w:highlight w:val="none"/>
              </w:rPr>
            </w:pPr>
            <w:r>
              <w:rPr>
                <w:rStyle w:val="44"/>
                <w:rFonts w:hint="eastAsia" w:ascii="宋体" w:hAnsi="宋体" w:cs="宋体"/>
                <w:color w:val="auto"/>
                <w:kern w:val="0"/>
                <w:sz w:val="22"/>
                <w:szCs w:val="22"/>
                <w:highlight w:val="none"/>
                <w:lang w:bidi="ar"/>
              </w:rPr>
              <w:t>含税</w:t>
            </w:r>
            <w:r>
              <w:rPr>
                <w:rStyle w:val="44"/>
                <w:rFonts w:ascii="宋体" w:hAnsi="宋体" w:cs="宋体"/>
                <w:color w:val="auto"/>
                <w:kern w:val="0"/>
                <w:sz w:val="22"/>
                <w:szCs w:val="22"/>
                <w:highlight w:val="none"/>
                <w:lang w:bidi="ar"/>
              </w:rPr>
              <w:t>小计（元/年）</w:t>
            </w:r>
          </w:p>
        </w:tc>
        <w:tc>
          <w:tcPr>
            <w:tcW w:w="2186" w:type="dxa"/>
            <w:shd w:val="clear" w:color="auto" w:fill="auto"/>
            <w:tcMar>
              <w:top w:w="150" w:type="dxa"/>
              <w:left w:w="150" w:type="dxa"/>
              <w:bottom w:w="150" w:type="dxa"/>
              <w:right w:w="150" w:type="dxa"/>
            </w:tcMar>
            <w:vAlign w:val="center"/>
          </w:tcPr>
          <w:p>
            <w:pPr>
              <w:widowControl/>
              <w:jc w:val="left"/>
              <w:rPr>
                <w:color w:val="auto"/>
                <w:sz w:val="22"/>
                <w:szCs w:val="22"/>
                <w:highlight w:val="none"/>
              </w:rPr>
            </w:pPr>
            <w:r>
              <w:rPr>
                <w:rStyle w:val="44"/>
                <w:rFonts w:ascii="宋体" w:hAnsi="宋体" w:cs="宋体"/>
                <w:color w:val="auto"/>
                <w:kern w:val="0"/>
                <w:sz w:val="22"/>
                <w:szCs w:val="22"/>
                <w:highlight w:val="none"/>
                <w:lang w:bidi="ar"/>
              </w:rPr>
              <w:t>￥________元整</w:t>
            </w:r>
            <w:r>
              <w:rPr>
                <w:rFonts w:ascii="宋体" w:hAnsi="宋体" w:cs="宋体"/>
                <w:color w:val="auto"/>
                <w:kern w:val="0"/>
                <w:sz w:val="22"/>
                <w:szCs w:val="22"/>
                <w:highlight w:val="none"/>
                <w:lang w:bidi="ar"/>
              </w:rPr>
              <w:br w:type="textWrapping"/>
            </w:r>
            <w:r>
              <w:rPr>
                <w:rFonts w:ascii="宋体" w:hAnsi="宋体" w:cs="宋体"/>
                <w:color w:val="auto"/>
                <w:kern w:val="0"/>
                <w:sz w:val="22"/>
                <w:szCs w:val="22"/>
                <w:highlight w:val="none"/>
                <w:lang w:bidi="ar"/>
              </w:rPr>
              <w:t>（大写：_____________）</w:t>
            </w:r>
          </w:p>
        </w:tc>
        <w:tc>
          <w:tcPr>
            <w:tcW w:w="1326" w:type="dxa"/>
            <w:shd w:val="clear" w:color="auto" w:fill="auto"/>
            <w:tcMar>
              <w:top w:w="150" w:type="dxa"/>
              <w:left w:w="150" w:type="dxa"/>
              <w:bottom w:w="150" w:type="dxa"/>
              <w:right w:w="150" w:type="dxa"/>
            </w:tcMar>
            <w:vAlign w:val="center"/>
          </w:tcPr>
          <w:p>
            <w:pPr>
              <w:rPr>
                <w:rFonts w:ascii="宋体"/>
                <w:color w:val="auto"/>
                <w:sz w:val="22"/>
                <w:szCs w:val="22"/>
                <w:highlight w:val="none"/>
              </w:rPr>
            </w:pPr>
          </w:p>
        </w:tc>
      </w:tr>
      <w:bookmarkEnd w:id="1471"/>
      <w:bookmarkEnd w:id="1472"/>
      <w:bookmarkEnd w:id="1473"/>
      <w:bookmarkEnd w:id="1474"/>
      <w:bookmarkEnd w:id="1475"/>
      <w:bookmarkEnd w:id="1476"/>
      <w:bookmarkEnd w:id="1477"/>
      <w:bookmarkEnd w:id="1478"/>
      <w:bookmarkEnd w:id="1479"/>
      <w:bookmarkEnd w:id="1480"/>
      <w:bookmarkEnd w:id="1481"/>
      <w:bookmarkEnd w:id="1482"/>
    </w:tbl>
    <w:p>
      <w:pPr>
        <w:pStyle w:val="38"/>
        <w:shd w:val="clear" w:color="auto" w:fill="FFFFFF"/>
        <w:spacing w:before="206" w:beforeAutospacing="0" w:after="206" w:afterAutospacing="0"/>
        <w:ind w:left="479" w:leftChars="228"/>
        <w:rPr>
          <w:rFonts w:ascii="Segoe UI" w:hAnsi="Segoe UI" w:eastAsia="Segoe UI" w:cs="Segoe UI"/>
          <w:b w:val="0"/>
          <w:bCs w:val="0"/>
          <w:color w:val="auto"/>
          <w:highlight w:val="none"/>
        </w:rPr>
      </w:pPr>
      <w:r>
        <w:rPr>
          <w:rFonts w:hint="eastAsia" w:ascii="Segoe UI" w:hAnsi="Segoe UI" w:eastAsia="Segoe UI" w:cs="Segoe UI"/>
          <w:b w:val="0"/>
          <w:bCs w:val="0"/>
          <w:color w:val="auto"/>
          <w:highlight w:val="none"/>
          <w:shd w:val="clear" w:color="auto" w:fill="FFFFFF"/>
        </w:rPr>
        <w:t>投标人名称:（盖章）</w:t>
      </w:r>
      <w:r>
        <w:rPr>
          <w:rFonts w:ascii="Segoe UI" w:hAnsi="Segoe UI" w:eastAsia="Segoe UI" w:cs="Segoe UI"/>
          <w:b w:val="0"/>
          <w:bCs w:val="0"/>
          <w:color w:val="auto"/>
          <w:highlight w:val="none"/>
          <w:shd w:val="clear" w:color="auto" w:fill="FFFFFF"/>
        </w:rPr>
        <w:br w:type="textWrapping"/>
      </w:r>
      <w:r>
        <w:rPr>
          <w:rFonts w:hint="eastAsia" w:ascii="Segoe UI" w:hAnsi="Segoe UI" w:cs="Segoe UI"/>
          <w:b w:val="0"/>
          <w:bCs w:val="0"/>
          <w:color w:val="auto"/>
          <w:highlight w:val="none"/>
          <w:shd w:val="clear" w:color="auto" w:fill="FFFFFF"/>
        </w:rPr>
        <w:t>投标人法定代表人或</w:t>
      </w:r>
      <w:r>
        <w:rPr>
          <w:rFonts w:hint="eastAsia" w:ascii="Segoe UI" w:hAnsi="Segoe UI" w:cs="Segoe UI"/>
          <w:b w:val="0"/>
          <w:bCs w:val="0"/>
          <w:color w:val="auto"/>
          <w:highlight w:val="none"/>
          <w:shd w:val="clear" w:color="auto" w:fill="FFFFFF"/>
          <w:lang w:val="en-US" w:eastAsia="zh-CN"/>
        </w:rPr>
        <w:t>其</w:t>
      </w:r>
      <w:r>
        <w:rPr>
          <w:rFonts w:hint="eastAsia" w:ascii="Segoe UI" w:hAnsi="Segoe UI" w:cs="Segoe UI"/>
          <w:b w:val="0"/>
          <w:bCs w:val="0"/>
          <w:color w:val="auto"/>
          <w:highlight w:val="none"/>
          <w:shd w:val="clear" w:color="auto" w:fill="FFFFFF"/>
        </w:rPr>
        <w:t>授权代表</w:t>
      </w:r>
      <w:r>
        <w:rPr>
          <w:rStyle w:val="44"/>
          <w:rFonts w:ascii="Segoe UI" w:hAnsi="Segoe UI" w:eastAsia="Segoe UI" w:cs="Segoe UI"/>
          <w:b w:val="0"/>
          <w:bCs w:val="0"/>
          <w:color w:val="auto"/>
          <w:highlight w:val="none"/>
          <w:shd w:val="clear" w:color="auto" w:fill="FFFFFF"/>
        </w:rPr>
        <w:t>（签字或盖章）</w:t>
      </w:r>
      <w:r>
        <w:rPr>
          <w:rFonts w:ascii="Segoe UI" w:hAnsi="Segoe UI" w:eastAsia="Segoe UI" w:cs="Segoe UI"/>
          <w:b w:val="0"/>
          <w:bCs w:val="0"/>
          <w:color w:val="auto"/>
          <w:highlight w:val="none"/>
          <w:shd w:val="clear" w:color="auto" w:fill="FFFFFF"/>
        </w:rPr>
        <w:t>：</w:t>
      </w:r>
      <w:r>
        <w:rPr>
          <w:rFonts w:ascii="Segoe UI" w:hAnsi="Segoe UI" w:eastAsia="Segoe UI" w:cs="Segoe UI"/>
          <w:b w:val="0"/>
          <w:bCs w:val="0"/>
          <w:color w:val="auto"/>
          <w:highlight w:val="none"/>
          <w:shd w:val="clear" w:color="auto" w:fill="FFFFFF"/>
        </w:rPr>
        <w:br w:type="textWrapping"/>
      </w:r>
      <w:r>
        <w:rPr>
          <w:rStyle w:val="44"/>
          <w:rFonts w:ascii="Segoe UI" w:hAnsi="Segoe UI" w:eastAsia="Segoe UI" w:cs="Segoe UI"/>
          <w:b w:val="0"/>
          <w:bCs w:val="0"/>
          <w:color w:val="auto"/>
          <w:highlight w:val="none"/>
          <w:shd w:val="clear" w:color="auto" w:fill="FFFFFF"/>
        </w:rPr>
        <w:t>日期</w:t>
      </w:r>
      <w:r>
        <w:rPr>
          <w:rFonts w:ascii="Segoe UI" w:hAnsi="Segoe UI" w:eastAsia="Segoe UI" w:cs="Segoe UI"/>
          <w:b w:val="0"/>
          <w:bCs w:val="0"/>
          <w:color w:val="auto"/>
          <w:highlight w:val="none"/>
          <w:shd w:val="clear" w:color="auto" w:fill="FFFFFF"/>
        </w:rPr>
        <w:t>：</w:t>
      </w:r>
    </w:p>
    <w:p>
      <w:pPr>
        <w:pStyle w:val="16"/>
        <w:rPr>
          <w:color w:val="auto"/>
          <w:highlight w:val="none"/>
        </w:rPr>
      </w:pPr>
    </w:p>
    <w:p>
      <w:pPr>
        <w:pStyle w:val="4"/>
        <w:tabs>
          <w:tab w:val="left" w:pos="7470"/>
        </w:tabs>
        <w:spacing w:before="20" w:after="20" w:line="240" w:lineRule="atLeast"/>
        <w:rPr>
          <w:rFonts w:hint="eastAsia" w:ascii="宋体" w:hAnsi="宋体"/>
          <w:color w:val="auto"/>
          <w:highlight w:val="none"/>
        </w:rPr>
      </w:pPr>
      <w:bookmarkStart w:id="1509" w:name="_Toc285"/>
      <w:bookmarkStart w:id="1510" w:name="_Toc404611990"/>
      <w:bookmarkStart w:id="1511" w:name="_Toc24016"/>
      <w:bookmarkStart w:id="1512" w:name="_Toc444606116"/>
      <w:bookmarkStart w:id="1513" w:name="_Toc6239"/>
      <w:bookmarkStart w:id="1514" w:name="_Toc18116"/>
      <w:bookmarkStart w:id="1515" w:name="_Toc24225"/>
      <w:bookmarkStart w:id="1516" w:name="_Toc32088"/>
      <w:bookmarkStart w:id="1517" w:name="_Toc14249"/>
      <w:bookmarkStart w:id="1518" w:name="_Toc7318"/>
      <w:bookmarkStart w:id="1519" w:name="_Toc378253566"/>
      <w:bookmarkStart w:id="1520" w:name="_Toc22171"/>
      <w:bookmarkStart w:id="1521" w:name="_Toc31109"/>
      <w:bookmarkStart w:id="1522" w:name="_Toc6339"/>
      <w:bookmarkStart w:id="1523" w:name="_Toc452"/>
      <w:bookmarkStart w:id="1524" w:name="_Toc12464"/>
      <w:bookmarkStart w:id="1525" w:name="_Toc27286"/>
      <w:bookmarkStart w:id="1526" w:name="_Toc6200"/>
      <w:bookmarkStart w:id="1527" w:name="_Toc23783"/>
      <w:bookmarkStart w:id="1528" w:name="_Toc17210"/>
      <w:bookmarkStart w:id="1529" w:name="_Toc15356"/>
      <w:bookmarkStart w:id="1530" w:name="_Toc436215778"/>
      <w:bookmarkStart w:id="1531" w:name="_Toc5871"/>
      <w:bookmarkStart w:id="1532" w:name="_Toc20854"/>
      <w:bookmarkStart w:id="1533" w:name="_Toc14372"/>
      <w:bookmarkStart w:id="1534" w:name="_Toc12890"/>
      <w:bookmarkStart w:id="1535" w:name="_Toc435178420"/>
      <w:bookmarkStart w:id="1536" w:name="_Toc387071886"/>
      <w:bookmarkStart w:id="1537" w:name="_Toc32219"/>
      <w:r>
        <w:rPr>
          <w:rFonts w:hint="eastAsia"/>
          <w:color w:val="auto"/>
          <w:highlight w:val="none"/>
        </w:rPr>
        <w:t>2. 投标报价说明</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r>
        <w:rPr>
          <w:color w:val="auto"/>
          <w:highlight w:val="none"/>
        </w:rPr>
        <w:tab/>
      </w:r>
    </w:p>
    <w:p>
      <w:pPr>
        <w:spacing w:line="480" w:lineRule="exact"/>
        <w:ind w:firstLine="420" w:firstLineChars="200"/>
        <w:jc w:val="left"/>
        <w:rPr>
          <w:b/>
          <w:bCs/>
          <w:color w:val="auto"/>
          <w:highlight w:val="none"/>
        </w:rPr>
      </w:pPr>
      <w:r>
        <w:rPr>
          <w:rFonts w:hint="eastAsia" w:ascii="微软雅黑" w:hAnsi="微软雅黑" w:eastAsia="微软雅黑" w:cs="微软雅黑"/>
          <w:b/>
          <w:bCs/>
          <w:color w:val="auto"/>
          <w:highlight w:val="none"/>
        </w:rPr>
        <w:t>★</w:t>
      </w:r>
      <w:r>
        <w:rPr>
          <w:rFonts w:hint="eastAsia"/>
          <w:b/>
          <w:bCs/>
          <w:color w:val="auto"/>
          <w:highlight w:val="none"/>
        </w:rPr>
        <w:t>2.1 投标人须严格按照招标人提供的投标报价表填报报价（报价一览表），投标人不得超出报价表中的要求填报，也不得漏报，否则投标文件无效。报价表中的所有报价均只允许有一个报价，否则投标文件无效。</w:t>
      </w:r>
      <w:r>
        <w:rPr>
          <w:b/>
          <w:bCs/>
          <w:color w:val="auto"/>
          <w:highlight w:val="none"/>
        </w:rPr>
        <w:tab/>
      </w:r>
    </w:p>
    <w:p>
      <w:pPr>
        <w:spacing w:line="480" w:lineRule="exact"/>
        <w:ind w:firstLine="420" w:firstLineChars="200"/>
        <w:rPr>
          <w:color w:val="auto"/>
          <w:highlight w:val="none"/>
        </w:rPr>
      </w:pPr>
      <w:r>
        <w:rPr>
          <w:rFonts w:hint="eastAsia"/>
          <w:color w:val="auto"/>
          <w:highlight w:val="none"/>
        </w:rPr>
        <w:t>2.2 投标人的投标报价，应是按照招标文件规定的时间、地点，完成招标范围内已由招标人制定的全部费用，包括但不限于完成工作的成本、利润、税金、风险费以及政策性文件规定费用等，不得以任何理由予以重复计算。</w:t>
      </w:r>
    </w:p>
    <w:p>
      <w:pPr>
        <w:spacing w:line="480" w:lineRule="exact"/>
        <w:ind w:firstLine="420" w:firstLineChars="200"/>
        <w:rPr>
          <w:color w:val="auto"/>
          <w:highlight w:val="none"/>
        </w:rPr>
      </w:pPr>
      <w:r>
        <w:rPr>
          <w:rFonts w:hint="eastAsia"/>
          <w:color w:val="auto"/>
          <w:highlight w:val="none"/>
        </w:rPr>
        <w:t>2.3 投标人一旦中标，投标人对其所报出的单价，在项目结算时将不得变更，即在项目实施过程中即使项目的工作量发生变更，中标投标文件列出的单价也不发生改变。</w:t>
      </w:r>
    </w:p>
    <w:p>
      <w:pPr>
        <w:spacing w:line="360" w:lineRule="auto"/>
        <w:jc w:val="right"/>
        <w:rPr>
          <w:rFonts w:hint="eastAsia" w:ascii="宋体" w:hAnsi="宋体"/>
          <w:color w:val="auto"/>
          <w:szCs w:val="21"/>
          <w:highlight w:val="none"/>
        </w:rPr>
      </w:pPr>
    </w:p>
    <w:p>
      <w:pPr>
        <w:pStyle w:val="3"/>
        <w:spacing w:line="360" w:lineRule="auto"/>
        <w:jc w:val="center"/>
        <w:rPr>
          <w:rFonts w:hint="eastAsia" w:ascii="宋体" w:hAnsi="宋体"/>
          <w:color w:val="auto"/>
          <w:szCs w:val="21"/>
          <w:highlight w:val="none"/>
        </w:rPr>
      </w:pPr>
      <w:bookmarkStart w:id="1538" w:name="_Toc436215779"/>
      <w:bookmarkStart w:id="1539" w:name="_Toc435178421"/>
      <w:bookmarkStart w:id="1540" w:name="_Toc422925647"/>
      <w:r>
        <w:rPr>
          <w:color w:val="auto"/>
          <w:highlight w:val="none"/>
        </w:rPr>
        <w:br w:type="page"/>
      </w:r>
      <w:bookmarkEnd w:id="1538"/>
      <w:bookmarkEnd w:id="1539"/>
      <w:bookmarkEnd w:id="1540"/>
      <w:bookmarkStart w:id="1541" w:name="_Toc4440"/>
      <w:bookmarkStart w:id="1542" w:name="_Toc19031"/>
      <w:bookmarkStart w:id="1543" w:name="_Toc17412"/>
      <w:bookmarkStart w:id="1544" w:name="_Toc5720"/>
      <w:bookmarkStart w:id="1545" w:name="_Toc29097"/>
      <w:bookmarkStart w:id="1546" w:name="_Toc8042"/>
      <w:bookmarkStart w:id="1547" w:name="_Toc2640"/>
      <w:bookmarkStart w:id="1548" w:name="_Toc23774"/>
      <w:bookmarkStart w:id="1549" w:name="_Toc15478"/>
      <w:bookmarkStart w:id="1550" w:name="_Toc15255"/>
      <w:bookmarkStart w:id="1551" w:name="_Toc25567"/>
      <w:bookmarkStart w:id="1552" w:name="_Toc7924"/>
      <w:bookmarkStart w:id="1553" w:name="_Toc1999"/>
      <w:bookmarkStart w:id="1554" w:name="_Toc20996"/>
      <w:bookmarkStart w:id="1555" w:name="_Toc14451"/>
      <w:bookmarkStart w:id="1556" w:name="_Toc27995"/>
      <w:bookmarkStart w:id="1557" w:name="_Toc18911"/>
      <w:bookmarkStart w:id="1558" w:name="_Toc8364"/>
      <w:bookmarkStart w:id="1559" w:name="_Toc5353"/>
      <w:bookmarkStart w:id="1560" w:name="_Toc32039"/>
      <w:bookmarkStart w:id="1561" w:name="_Toc27415"/>
      <w:bookmarkStart w:id="1562" w:name="_Toc8925"/>
      <w:bookmarkStart w:id="1563" w:name="_Toc32712"/>
      <w:bookmarkStart w:id="1564" w:name="_Toc19589"/>
      <w:bookmarkStart w:id="1565" w:name="_Toc436215780"/>
      <w:bookmarkStart w:id="1566" w:name="_Toc152042575"/>
      <w:bookmarkStart w:id="1567" w:name="_Toc247085872"/>
      <w:bookmarkStart w:id="1568" w:name="_Toc246996354"/>
      <w:bookmarkStart w:id="1569" w:name="_Toc422925648"/>
      <w:bookmarkStart w:id="1570" w:name="_Toc435178422"/>
      <w:bookmarkStart w:id="1571" w:name="_Toc246997097"/>
      <w:bookmarkStart w:id="1572" w:name="_Toc179632806"/>
      <w:bookmarkStart w:id="1573" w:name="_Toc144974855"/>
      <w:bookmarkStart w:id="1574" w:name="_Toc152045786"/>
      <w:r>
        <w:rPr>
          <w:rFonts w:hint="eastAsia"/>
          <w:color w:val="auto"/>
          <w:highlight w:val="none"/>
        </w:rPr>
        <w:t>第六章  项目要求</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p>
    <w:p>
      <w:pPr>
        <w:spacing w:line="480" w:lineRule="atLeast"/>
        <w:rPr>
          <w:rFonts w:hint="eastAsia" w:ascii="宋体" w:hAnsi="宋体" w:cs="宋体"/>
          <w:b/>
          <w:bCs/>
          <w:color w:val="auto"/>
          <w:szCs w:val="21"/>
          <w:highlight w:val="none"/>
        </w:rPr>
      </w:pPr>
      <w:r>
        <w:rPr>
          <w:rFonts w:hint="eastAsia" w:ascii="宋体" w:hAnsi="宋体" w:cs="宋体"/>
          <w:b/>
          <w:bCs/>
          <w:color w:val="auto"/>
          <w:szCs w:val="21"/>
          <w:highlight w:val="none"/>
        </w:rPr>
        <w:t>1、项目概况</w:t>
      </w:r>
    </w:p>
    <w:p>
      <w:pPr>
        <w:spacing w:line="480" w:lineRule="atLeast"/>
        <w:rPr>
          <w:rFonts w:hint="eastAsia" w:ascii="宋体" w:hAnsi="宋体" w:cs="宋体"/>
          <w:color w:val="auto"/>
          <w:szCs w:val="21"/>
          <w:highlight w:val="none"/>
        </w:rPr>
      </w:pPr>
      <w:r>
        <w:rPr>
          <w:rFonts w:hint="eastAsia" w:ascii="宋体" w:hAnsi="宋体" w:cs="宋体"/>
          <w:color w:val="auto"/>
          <w:szCs w:val="21"/>
          <w:highlight w:val="none"/>
        </w:rPr>
        <w:t>1.1 项目名称：南方报业传媒集团大院2025-2026年保洁服务</w:t>
      </w:r>
    </w:p>
    <w:p>
      <w:pPr>
        <w:spacing w:line="480" w:lineRule="atLeast"/>
        <w:rPr>
          <w:rFonts w:hint="eastAsia" w:ascii="宋体" w:hAnsi="宋体" w:cs="宋体"/>
          <w:color w:val="auto"/>
          <w:szCs w:val="21"/>
          <w:highlight w:val="none"/>
        </w:rPr>
      </w:pPr>
      <w:r>
        <w:rPr>
          <w:rFonts w:hint="eastAsia" w:ascii="宋体" w:hAnsi="宋体" w:cs="宋体"/>
          <w:color w:val="auto"/>
          <w:szCs w:val="21"/>
          <w:highlight w:val="none"/>
        </w:rPr>
        <w:t>1.2 项目地点：广州大道中289号大院</w:t>
      </w:r>
    </w:p>
    <w:p>
      <w:pPr>
        <w:spacing w:line="480" w:lineRule="atLeast"/>
        <w:rPr>
          <w:rFonts w:hint="eastAsia" w:ascii="宋体" w:hAnsi="宋体" w:cs="宋体"/>
          <w:b/>
          <w:bCs/>
          <w:color w:val="auto"/>
          <w:szCs w:val="21"/>
          <w:highlight w:val="none"/>
        </w:rPr>
      </w:pPr>
      <w:r>
        <w:rPr>
          <w:rFonts w:hint="eastAsia" w:ascii="宋体" w:hAnsi="宋体" w:cs="宋体"/>
          <w:color w:val="auto"/>
          <w:szCs w:val="21"/>
          <w:highlight w:val="none"/>
        </w:rPr>
        <w:t>1.3 本项目招标主体为广东南方报业传媒集团物业管理有限公司，合同签订主体为南方报业传媒集团（南方日报社），中标人中标后须与合同签订主体签订本项目的服务合同。</w:t>
      </w:r>
    </w:p>
    <w:p>
      <w:pPr>
        <w:spacing w:line="480" w:lineRule="atLeast"/>
        <w:rPr>
          <w:rFonts w:hint="eastAsia" w:ascii="宋体" w:hAnsi="宋体" w:cs="宋体"/>
          <w:bCs/>
          <w:color w:val="auto"/>
          <w:szCs w:val="21"/>
          <w:highlight w:val="none"/>
        </w:rPr>
      </w:pPr>
      <w:r>
        <w:rPr>
          <w:rFonts w:hint="eastAsia" w:ascii="宋体" w:hAnsi="宋体" w:cs="宋体"/>
          <w:b/>
          <w:bCs/>
          <w:color w:val="auto"/>
          <w:szCs w:val="21"/>
          <w:highlight w:val="none"/>
        </w:rPr>
        <w:t>2、服务范围：</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2.1  日常保洁区域：1号楼（含群楼）的集团各部门的办公室、会议室及公共区域；2号楼公共区域及部分办公区；5号楼1、2楼所有区域；6号楼所有区域；运动馆、接访室、警务室、保安室及大院路面、花基、露台、雨棚、楼面、单车棚、停车场等；</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2.2  大院所有垃圾清运及处理；</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2.3  每季度打磨饭堂地面1次；</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2.4  每月定期清理4号楼饭堂化油池至少1次；</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2.5  日常负责卫生间排污及各类下水管道、沙井；每月定期清理疏通管道至少1次；</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2.6  采用机械设备彻底清理疏通化粪池、暗渠、沙井和相连管道的淤泥，每年至少1次；</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2.7  每年定期清洗6个水池2次；</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2.8  根据招标方需要，清洗1号楼和2号楼外墙，</w:t>
      </w:r>
      <w:r>
        <w:rPr>
          <w:rFonts w:hint="eastAsia" w:ascii="宋体" w:hAnsi="宋体" w:cs="宋体"/>
          <w:color w:val="auto"/>
          <w:szCs w:val="21"/>
          <w:highlight w:val="none"/>
        </w:rPr>
        <w:t>面积约为47400m</w:t>
      </w:r>
      <w:r>
        <w:rPr>
          <w:rFonts w:hint="eastAsia" w:ascii="宋体" w:hAnsi="宋体" w:cs="宋体"/>
          <w:color w:val="auto"/>
          <w:szCs w:val="21"/>
          <w:highlight w:val="none"/>
          <w:vertAlign w:val="superscript"/>
        </w:rPr>
        <w:t>2</w:t>
      </w:r>
      <w:r>
        <w:rPr>
          <w:rFonts w:hint="eastAsia" w:ascii="宋体" w:hAnsi="宋体" w:cs="宋体"/>
          <w:bCs/>
          <w:color w:val="auto"/>
          <w:szCs w:val="21"/>
          <w:highlight w:val="none"/>
        </w:rPr>
        <w:t>（提供服务的人员必须持有高空作业资质证书）。；</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 xml:space="preserve">2.9  </w:t>
      </w:r>
      <w:r>
        <w:rPr>
          <w:rFonts w:ascii="宋体" w:hAnsi="宋体" w:eastAsia="宋体" w:cs="宋体"/>
          <w:i w:val="0"/>
          <w:iCs w:val="0"/>
          <w:caps w:val="0"/>
          <w:color w:val="auto"/>
          <w:spacing w:val="0"/>
          <w:kern w:val="0"/>
          <w:sz w:val="22"/>
          <w:szCs w:val="22"/>
          <w:highlight w:val="none"/>
          <w:shd w:val="clear"/>
          <w:lang w:bidi="ar"/>
        </w:rPr>
        <w:t>白</w:t>
      </w:r>
      <w:r>
        <w:rPr>
          <w:rFonts w:hint="default" w:ascii="宋体" w:hAnsi="宋体" w:eastAsia="宋体" w:cs="宋体"/>
          <w:i w:val="0"/>
          <w:iCs w:val="0"/>
          <w:caps w:val="0"/>
          <w:color w:val="auto"/>
          <w:spacing w:val="0"/>
          <w:kern w:val="0"/>
          <w:sz w:val="22"/>
          <w:szCs w:val="22"/>
          <w:highlight w:val="none"/>
          <w:shd w:val="clear"/>
          <w:lang w:bidi="ar"/>
        </w:rPr>
        <w:t>蚁防治每月至少检查1次，根据情况施药</w:t>
      </w:r>
      <w:r>
        <w:rPr>
          <w:rFonts w:hint="eastAsia" w:ascii="宋体" w:hAnsi="宋体" w:cs="宋体"/>
          <w:color w:val="auto"/>
          <w:kern w:val="0"/>
          <w:sz w:val="22"/>
          <w:szCs w:val="22"/>
          <w:highlight w:val="none"/>
          <w:lang w:val="en-US" w:eastAsia="zh-CN" w:bidi="ar"/>
        </w:rPr>
        <w:t>；除四害</w:t>
      </w:r>
      <w:r>
        <w:rPr>
          <w:rFonts w:ascii="宋体" w:hAnsi="宋体" w:cs="宋体"/>
          <w:color w:val="auto"/>
          <w:kern w:val="0"/>
          <w:sz w:val="22"/>
          <w:szCs w:val="22"/>
          <w:highlight w:val="none"/>
          <w:lang w:bidi="ar"/>
        </w:rPr>
        <w:t>每月</w:t>
      </w:r>
      <w:r>
        <w:rPr>
          <w:rFonts w:hint="eastAsia" w:ascii="宋体" w:hAnsi="宋体" w:cs="宋体"/>
          <w:color w:val="auto"/>
          <w:kern w:val="0"/>
          <w:sz w:val="22"/>
          <w:szCs w:val="22"/>
          <w:highlight w:val="none"/>
          <w:lang w:bidi="ar"/>
        </w:rPr>
        <w:t>约</w:t>
      </w:r>
      <w:r>
        <w:rPr>
          <w:rFonts w:ascii="宋体" w:hAnsi="宋体" w:cs="宋体"/>
          <w:color w:val="auto"/>
          <w:kern w:val="0"/>
          <w:sz w:val="22"/>
          <w:szCs w:val="22"/>
          <w:highlight w:val="none"/>
          <w:lang w:bidi="ar"/>
        </w:rPr>
        <w:t>4次</w:t>
      </w:r>
      <w:r>
        <w:rPr>
          <w:rFonts w:hint="eastAsia" w:ascii="宋体" w:hAnsi="宋体" w:cs="宋体"/>
          <w:bCs/>
          <w:color w:val="auto"/>
          <w:szCs w:val="21"/>
          <w:highlight w:val="none"/>
        </w:rPr>
        <w:t>（饭堂特殊消杀）。(提供本服务的专业公司及人员资质证书)。</w:t>
      </w:r>
    </w:p>
    <w:p>
      <w:pPr>
        <w:spacing w:line="480" w:lineRule="atLeast"/>
        <w:ind w:firstLine="422" w:firstLineChars="200"/>
        <w:rPr>
          <w:rFonts w:hint="eastAsia" w:ascii="宋体" w:hAnsi="宋体" w:cs="宋体"/>
          <w:b/>
          <w:bCs/>
          <w:color w:val="auto"/>
          <w:szCs w:val="21"/>
          <w:highlight w:val="none"/>
        </w:rPr>
      </w:pPr>
      <w:r>
        <w:rPr>
          <w:rFonts w:hint="eastAsia" w:ascii="宋体" w:hAnsi="宋体" w:cs="宋体"/>
          <w:b/>
          <w:bCs/>
          <w:color w:val="auto"/>
          <w:szCs w:val="21"/>
          <w:highlight w:val="none"/>
        </w:rPr>
        <w:t>具体服务内容和要求详见合同附件一。</w:t>
      </w:r>
    </w:p>
    <w:p>
      <w:pPr>
        <w:spacing w:line="480" w:lineRule="atLeast"/>
        <w:rPr>
          <w:rFonts w:hint="eastAsia" w:ascii="宋体" w:hAnsi="宋体" w:cs="宋体"/>
          <w:b/>
          <w:bCs/>
          <w:color w:val="auto"/>
          <w:szCs w:val="21"/>
          <w:highlight w:val="none"/>
        </w:rPr>
      </w:pPr>
      <w:r>
        <w:rPr>
          <w:rFonts w:hint="eastAsia" w:ascii="宋体" w:hAnsi="宋体" w:cs="宋体"/>
          <w:b/>
          <w:bCs/>
          <w:color w:val="auto"/>
          <w:szCs w:val="21"/>
          <w:highlight w:val="none"/>
        </w:rPr>
        <w:t>3、</w:t>
      </w:r>
      <w:r>
        <w:rPr>
          <w:rFonts w:ascii="宋体" w:hAnsi="宋体" w:cs="宋体"/>
          <w:b/>
          <w:bCs/>
          <w:color w:val="auto"/>
          <w:szCs w:val="21"/>
          <w:highlight w:val="none"/>
        </w:rPr>
        <w:t>人员要求：</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3.1  招标方设置岗位共46个，投标方配置驻场人员工作日不少于42人，节假日不少于15人；</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3.2  驻场人员年龄男性55岁（含）以下，女性50岁（含）以下；</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3.3  配置驻场经理1人，主管2人</w:t>
      </w:r>
    </w:p>
    <w:p>
      <w:pPr>
        <w:spacing w:line="480" w:lineRule="atLeast"/>
        <w:ind w:firstLine="420" w:firstLineChars="200"/>
        <w:rPr>
          <w:rFonts w:hint="eastAsia" w:ascii="宋体" w:hAnsi="宋体" w:cs="宋体"/>
          <w:bCs/>
          <w:color w:val="auto"/>
          <w:szCs w:val="21"/>
          <w:highlight w:val="none"/>
        </w:rPr>
      </w:pPr>
      <w:r>
        <w:rPr>
          <w:rFonts w:hint="eastAsia" w:ascii="宋体" w:hAnsi="宋体" w:cs="宋体"/>
          <w:bCs/>
          <w:color w:val="auto"/>
          <w:szCs w:val="21"/>
          <w:highlight w:val="none"/>
        </w:rPr>
        <w:t>3.4  驻场经理：须从事保洁服务工作5年以上或具备不少于3年的大型写字楼办公楼的物业保洁服务管理经验（提供相关证明材料复印件）；</w:t>
      </w:r>
    </w:p>
    <w:p>
      <w:pPr>
        <w:numPr>
          <w:ilvl w:val="255"/>
          <w:numId w:val="0"/>
        </w:numPr>
        <w:tabs>
          <w:tab w:val="left" w:pos="425"/>
        </w:tabs>
        <w:spacing w:line="480" w:lineRule="atLeast"/>
        <w:rPr>
          <w:rFonts w:hint="eastAsia" w:ascii="宋体" w:hAnsi="宋体" w:cs="宋体"/>
          <w:b/>
          <w:bCs/>
          <w:color w:val="auto"/>
          <w:szCs w:val="21"/>
          <w:highlight w:val="none"/>
        </w:rPr>
      </w:pPr>
      <w:r>
        <w:rPr>
          <w:rFonts w:hint="eastAsia" w:ascii="宋体" w:hAnsi="宋体" w:cs="宋体"/>
          <w:b/>
          <w:bCs/>
          <w:color w:val="auto"/>
          <w:szCs w:val="21"/>
          <w:highlight w:val="none"/>
        </w:rPr>
        <w:t>4.设备要求：</w:t>
      </w:r>
    </w:p>
    <w:tbl>
      <w:tblPr>
        <w:tblStyle w:val="41"/>
        <w:tblW w:w="7899" w:type="dxa"/>
        <w:jc w:val="center"/>
        <w:tblLayout w:type="fixed"/>
        <w:tblCellMar>
          <w:top w:w="0" w:type="dxa"/>
          <w:left w:w="108" w:type="dxa"/>
          <w:bottom w:w="0" w:type="dxa"/>
          <w:right w:w="108" w:type="dxa"/>
        </w:tblCellMar>
      </w:tblPr>
      <w:tblGrid>
        <w:gridCol w:w="1150"/>
        <w:gridCol w:w="4439"/>
        <w:gridCol w:w="2310"/>
      </w:tblGrid>
      <w:tr>
        <w:tblPrEx>
          <w:tblCellMar>
            <w:top w:w="0" w:type="dxa"/>
            <w:left w:w="108" w:type="dxa"/>
            <w:bottom w:w="0" w:type="dxa"/>
            <w:right w:w="108" w:type="dxa"/>
          </w:tblCellMar>
        </w:tblPrEx>
        <w:trPr>
          <w:trHeight w:val="1001" w:hRule="atLeast"/>
          <w:jc w:val="center"/>
        </w:trPr>
        <w:tc>
          <w:tcPr>
            <w:tcW w:w="1150"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序号</w:t>
            </w:r>
          </w:p>
        </w:tc>
        <w:tc>
          <w:tcPr>
            <w:tcW w:w="4439"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保洁设备名称</w:t>
            </w:r>
          </w:p>
        </w:tc>
        <w:tc>
          <w:tcPr>
            <w:tcW w:w="2310"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备注</w:t>
            </w:r>
          </w:p>
        </w:tc>
      </w:tr>
      <w:tr>
        <w:tblPrEx>
          <w:tblCellMar>
            <w:top w:w="0" w:type="dxa"/>
            <w:left w:w="108" w:type="dxa"/>
            <w:bottom w:w="0" w:type="dxa"/>
            <w:right w:w="108" w:type="dxa"/>
          </w:tblCellMar>
        </w:tblPrEx>
        <w:trPr>
          <w:trHeight w:val="740"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1</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全自动洗地机</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45"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2</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扫地车</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42"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3</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保洁高压水枪</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ascii="宋体" w:cs="宋体"/>
                <w:color w:val="auto"/>
                <w:kern w:val="0"/>
                <w:szCs w:val="21"/>
                <w:highlight w:val="none"/>
              </w:rPr>
              <w:t>4</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地面抛光机</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5</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全自动磨地机</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6</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管道疏通机</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jc w:val="center"/>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7</w:t>
            </w:r>
          </w:p>
        </w:tc>
        <w:tc>
          <w:tcPr>
            <w:tcW w:w="44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吸尘器</w:t>
            </w:r>
          </w:p>
        </w:tc>
        <w:tc>
          <w:tcPr>
            <w:tcW w:w="231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69" w:hRule="atLeast"/>
          <w:jc w:val="center"/>
        </w:trPr>
        <w:tc>
          <w:tcPr>
            <w:tcW w:w="7899" w:type="dxa"/>
            <w:gridSpan w:val="3"/>
            <w:tcBorders>
              <w:top w:val="single" w:color="auto" w:sz="4" w:space="0"/>
              <w:left w:val="single" w:color="000000" w:sz="8" w:space="0"/>
              <w:bottom w:val="single" w:color="000000" w:sz="8" w:space="0"/>
              <w:right w:val="single" w:color="000000" w:sz="8" w:space="0"/>
            </w:tcBorders>
            <w:vAlign w:val="center"/>
          </w:tcPr>
          <w:p>
            <w:pPr>
              <w:autoSpaceDE w:val="0"/>
              <w:autoSpaceDN w:val="0"/>
              <w:adjustRightInd w:val="0"/>
              <w:rPr>
                <w:rFonts w:ascii="宋体" w:cs="宋体"/>
                <w:color w:val="auto"/>
                <w:kern w:val="0"/>
                <w:szCs w:val="21"/>
                <w:highlight w:val="none"/>
              </w:rPr>
            </w:pPr>
            <w:r>
              <w:rPr>
                <w:rFonts w:hint="eastAsia" w:ascii="宋体" w:cs="宋体"/>
                <w:color w:val="auto"/>
                <w:kern w:val="0"/>
                <w:szCs w:val="21"/>
                <w:highlight w:val="none"/>
              </w:rPr>
              <w:t>说明：上述设备所需数量均为1台，使用年限均不超过2年（含2年）。</w:t>
            </w:r>
          </w:p>
        </w:tc>
      </w:tr>
    </w:tbl>
    <w:p>
      <w:pPr>
        <w:pStyle w:val="16"/>
        <w:numPr>
          <w:ilvl w:val="255"/>
          <w:numId w:val="0"/>
        </w:numPr>
        <w:rPr>
          <w:color w:val="auto"/>
          <w:highlight w:val="none"/>
        </w:rPr>
      </w:pPr>
    </w:p>
    <w:p>
      <w:pPr>
        <w:tabs>
          <w:tab w:val="left" w:pos="425"/>
        </w:tabs>
        <w:spacing w:line="480" w:lineRule="atLeast"/>
        <w:rPr>
          <w:rFonts w:hint="eastAsia" w:ascii="宋体" w:hAnsi="宋体" w:cs="宋体"/>
          <w:bCs/>
          <w:color w:val="auto"/>
          <w:szCs w:val="21"/>
          <w:highlight w:val="none"/>
        </w:rPr>
      </w:pPr>
      <w:r>
        <w:rPr>
          <w:rFonts w:hint="eastAsia" w:ascii="宋体" w:hAnsi="宋体" w:cs="宋体"/>
          <w:b/>
          <w:bCs/>
          <w:color w:val="auto"/>
          <w:szCs w:val="21"/>
          <w:highlight w:val="none"/>
        </w:rPr>
        <w:t>5、其他要求：</w:t>
      </w:r>
      <w:r>
        <w:rPr>
          <w:rFonts w:hint="eastAsia" w:ascii="宋体" w:hAnsi="宋体" w:cs="宋体"/>
          <w:bCs/>
          <w:color w:val="auto"/>
          <w:szCs w:val="21"/>
          <w:highlight w:val="none"/>
        </w:rPr>
        <w:t>详见本招标文件第四章合同主要条款，投标人中标后必须按合同要求提供服务,否则招标人有权解除合同。</w:t>
      </w:r>
    </w:p>
    <w:bookmarkEnd w:id="1563"/>
    <w:bookmarkEnd w:id="1564"/>
    <w:p>
      <w:pPr>
        <w:pStyle w:val="2"/>
        <w:tabs>
          <w:tab w:val="left" w:pos="425"/>
        </w:tabs>
        <w:spacing w:line="480" w:lineRule="atLeast"/>
        <w:ind w:firstLine="0" w:firstLineChars="0"/>
        <w:rPr>
          <w:rFonts w:hint="eastAsia" w:cs="宋体"/>
          <w:color w:val="auto"/>
          <w:kern w:val="0"/>
          <w:sz w:val="24"/>
          <w:szCs w:val="18"/>
          <w:highlight w:val="none"/>
        </w:rPr>
        <w:sectPr>
          <w:headerReference r:id="rId4" w:type="default"/>
          <w:footerReference r:id="rId5" w:type="default"/>
          <w:pgSz w:w="11906" w:h="16838"/>
          <w:pgMar w:top="1440" w:right="1803" w:bottom="1440" w:left="1803" w:header="851" w:footer="992" w:gutter="0"/>
          <w:pgBorders>
            <w:top w:val="none" w:sz="0" w:space="0"/>
            <w:left w:val="none" w:sz="0" w:space="0"/>
            <w:bottom w:val="none" w:sz="0" w:space="0"/>
            <w:right w:val="none" w:sz="0" w:space="0"/>
          </w:pgBorders>
          <w:cols w:space="720" w:num="1"/>
          <w:docGrid w:type="lines" w:linePitch="319" w:charSpace="0"/>
        </w:sectPr>
      </w:pPr>
    </w:p>
    <w:p>
      <w:pPr>
        <w:pStyle w:val="3"/>
        <w:spacing w:line="360" w:lineRule="auto"/>
        <w:rPr>
          <w:color w:val="auto"/>
          <w:highlight w:val="none"/>
        </w:rPr>
      </w:pPr>
      <w:bookmarkStart w:id="1575" w:name="_Toc496601990"/>
      <w:bookmarkStart w:id="1576" w:name="_Toc7361"/>
    </w:p>
    <w:p>
      <w:pPr>
        <w:pStyle w:val="3"/>
        <w:spacing w:line="360" w:lineRule="auto"/>
        <w:ind w:firstLine="1767" w:firstLineChars="400"/>
        <w:rPr>
          <w:color w:val="auto"/>
          <w:highlight w:val="none"/>
        </w:rPr>
      </w:pPr>
      <w:bookmarkStart w:id="1577" w:name="_Toc32402"/>
      <w:bookmarkStart w:id="1578" w:name="_Toc15886"/>
      <w:bookmarkStart w:id="1579" w:name="_Toc16971"/>
      <w:bookmarkStart w:id="1580" w:name="_Toc22043"/>
      <w:bookmarkStart w:id="1581" w:name="_Toc28331"/>
      <w:bookmarkStart w:id="1582" w:name="_Toc8219"/>
      <w:bookmarkStart w:id="1583" w:name="_Toc18025"/>
      <w:bookmarkStart w:id="1584" w:name="_Toc16420"/>
      <w:bookmarkStart w:id="1585" w:name="_Toc4908"/>
      <w:bookmarkStart w:id="1586" w:name="_Toc28489"/>
      <w:bookmarkStart w:id="1587" w:name="_Toc22842"/>
      <w:bookmarkStart w:id="1588" w:name="_Toc7496"/>
      <w:bookmarkStart w:id="1589" w:name="_Toc15881"/>
      <w:bookmarkStart w:id="1590" w:name="_Toc6037"/>
      <w:bookmarkStart w:id="1591" w:name="_Toc23163"/>
      <w:bookmarkStart w:id="1592" w:name="_Toc15381"/>
      <w:bookmarkStart w:id="1593" w:name="_Toc30601"/>
      <w:bookmarkStart w:id="1594" w:name="_Toc31304"/>
      <w:bookmarkStart w:id="1595" w:name="_Toc29617"/>
      <w:bookmarkStart w:id="1596" w:name="_Toc21584"/>
      <w:bookmarkStart w:id="1597" w:name="_Toc6049"/>
      <w:bookmarkStart w:id="1598" w:name="_Toc13056"/>
      <w:r>
        <w:rPr>
          <w:rFonts w:hint="eastAsia"/>
          <w:color w:val="auto"/>
          <w:highlight w:val="none"/>
        </w:rPr>
        <w:t>第七章  投标文件格式</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pPr>
        <w:spacing w:line="360" w:lineRule="auto"/>
        <w:jc w:val="right"/>
        <w:rPr>
          <w:color w:val="auto"/>
          <w:highlight w:val="none"/>
        </w:rPr>
      </w:pPr>
      <w:r>
        <w:rPr>
          <w:rFonts w:hint="eastAsia"/>
          <w:color w:val="auto"/>
          <w:highlight w:val="none"/>
        </w:rPr>
        <w:t>（正本/副本）</w:t>
      </w:r>
    </w:p>
    <w:p>
      <w:pPr>
        <w:spacing w:line="360" w:lineRule="auto"/>
        <w:rPr>
          <w:rFonts w:eastAsia="黑体"/>
          <w:color w:val="auto"/>
          <w:sz w:val="20"/>
          <w:szCs w:val="20"/>
          <w:highlight w:val="none"/>
        </w:rPr>
      </w:pPr>
    </w:p>
    <w:p>
      <w:pPr>
        <w:spacing w:line="360" w:lineRule="auto"/>
        <w:jc w:val="center"/>
        <w:rPr>
          <w:rFonts w:eastAsia="黑体"/>
          <w:color w:val="auto"/>
          <w:sz w:val="20"/>
          <w:szCs w:val="20"/>
          <w:highlight w:val="none"/>
        </w:rPr>
      </w:pPr>
      <w:r>
        <w:rPr>
          <w:rFonts w:hint="eastAsia" w:eastAsia="黑体"/>
          <w:color w:val="auto"/>
          <w:sz w:val="28"/>
          <w:szCs w:val="28"/>
          <w:highlight w:val="none"/>
          <w:u w:val="single"/>
        </w:rPr>
        <w:t xml:space="preserve">                </w:t>
      </w:r>
      <w:bookmarkStart w:id="1599" w:name="_Toc22512"/>
      <w:bookmarkStart w:id="1600" w:name="_Toc19993"/>
      <w:bookmarkStart w:id="1601" w:name="_Toc4257"/>
      <w:bookmarkStart w:id="1602" w:name="_Toc16072"/>
      <w:r>
        <w:rPr>
          <w:rFonts w:eastAsia="黑体"/>
          <w:color w:val="auto"/>
          <w:sz w:val="28"/>
          <w:szCs w:val="28"/>
          <w:highlight w:val="none"/>
        </w:rPr>
        <w:t>（项目名称）</w:t>
      </w:r>
      <w:bookmarkEnd w:id="1599"/>
      <w:bookmarkEnd w:id="1600"/>
      <w:bookmarkEnd w:id="1601"/>
      <w:bookmarkEnd w:id="1602"/>
    </w:p>
    <w:p>
      <w:pPr>
        <w:spacing w:line="360" w:lineRule="auto"/>
        <w:rPr>
          <w:rFonts w:eastAsia="黑体"/>
          <w:color w:val="auto"/>
          <w:sz w:val="20"/>
          <w:szCs w:val="20"/>
          <w:highlight w:val="none"/>
        </w:rPr>
      </w:pPr>
    </w:p>
    <w:p>
      <w:pPr>
        <w:spacing w:line="360" w:lineRule="auto"/>
        <w:rPr>
          <w:rFonts w:eastAsia="黑体"/>
          <w:color w:val="auto"/>
          <w:sz w:val="20"/>
          <w:szCs w:val="20"/>
          <w:highlight w:val="none"/>
        </w:rPr>
      </w:pPr>
    </w:p>
    <w:p>
      <w:pPr>
        <w:spacing w:line="360" w:lineRule="auto"/>
        <w:jc w:val="center"/>
        <w:rPr>
          <w:rFonts w:eastAsia="黑体"/>
          <w:color w:val="auto"/>
          <w:sz w:val="44"/>
          <w:szCs w:val="44"/>
          <w:highlight w:val="none"/>
        </w:rPr>
      </w:pPr>
      <w:r>
        <w:rPr>
          <w:rFonts w:eastAsia="黑体"/>
          <w:color w:val="auto"/>
          <w:sz w:val="44"/>
          <w:szCs w:val="44"/>
          <w:highlight w:val="none"/>
        </w:rPr>
        <w:t>投  标  文  件</w:t>
      </w: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jc w:val="center"/>
        <w:rPr>
          <w:rFonts w:eastAsia="黑体"/>
          <w:color w:val="auto"/>
          <w:sz w:val="28"/>
          <w:szCs w:val="28"/>
          <w:highlight w:val="none"/>
          <w:u w:val="single"/>
        </w:rPr>
      </w:pPr>
      <w:bookmarkStart w:id="1603" w:name="_Toc19784"/>
      <w:bookmarkStart w:id="1604" w:name="_Toc22284"/>
      <w:bookmarkStart w:id="1605" w:name="_Toc20943"/>
      <w:bookmarkStart w:id="1606" w:name="_Toc22837"/>
      <w:r>
        <w:rPr>
          <w:rFonts w:eastAsia="黑体"/>
          <w:color w:val="auto"/>
          <w:sz w:val="28"/>
          <w:szCs w:val="28"/>
          <w:highlight w:val="none"/>
        </w:rPr>
        <w:t>投标人：</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（盖单位章）</w:t>
      </w:r>
      <w:bookmarkEnd w:id="1603"/>
      <w:bookmarkEnd w:id="1604"/>
      <w:bookmarkEnd w:id="1605"/>
      <w:bookmarkEnd w:id="1606"/>
    </w:p>
    <w:p>
      <w:pPr>
        <w:spacing w:line="360" w:lineRule="auto"/>
        <w:jc w:val="center"/>
        <w:rPr>
          <w:rFonts w:eastAsia="黑体"/>
          <w:color w:val="auto"/>
          <w:sz w:val="28"/>
          <w:szCs w:val="28"/>
          <w:highlight w:val="none"/>
        </w:rPr>
      </w:pPr>
      <w:bookmarkStart w:id="1607" w:name="_Toc3202"/>
      <w:bookmarkStart w:id="1608" w:name="_Toc19183"/>
      <w:bookmarkStart w:id="1609" w:name="_Toc24719"/>
      <w:bookmarkStart w:id="1610" w:name="_Toc22790"/>
      <w:r>
        <w:rPr>
          <w:rFonts w:eastAsia="黑体"/>
          <w:color w:val="auto"/>
          <w:sz w:val="28"/>
          <w:szCs w:val="28"/>
          <w:highlight w:val="none"/>
        </w:rPr>
        <w:t>法定代表人或其委托代理人：</w:t>
      </w:r>
      <w:r>
        <w:rPr>
          <w:rFonts w:eastAsia="黑体"/>
          <w:color w:val="auto"/>
          <w:sz w:val="28"/>
          <w:szCs w:val="28"/>
          <w:highlight w:val="none"/>
          <w:u w:val="single"/>
        </w:rPr>
        <w:t xml:space="preserve">                </w:t>
      </w:r>
      <w:r>
        <w:rPr>
          <w:rFonts w:eastAsia="黑体"/>
          <w:color w:val="auto"/>
          <w:sz w:val="28"/>
          <w:szCs w:val="28"/>
          <w:highlight w:val="none"/>
        </w:rPr>
        <w:t>（签字）</w:t>
      </w:r>
      <w:bookmarkEnd w:id="1607"/>
      <w:bookmarkEnd w:id="1608"/>
      <w:bookmarkEnd w:id="1609"/>
      <w:bookmarkEnd w:id="1610"/>
    </w:p>
    <w:p>
      <w:pPr>
        <w:spacing w:line="360" w:lineRule="auto"/>
        <w:jc w:val="center"/>
        <w:rPr>
          <w:rFonts w:eastAsia="黑体"/>
          <w:color w:val="auto"/>
          <w:sz w:val="28"/>
          <w:szCs w:val="28"/>
          <w:highlight w:val="none"/>
        </w:rPr>
      </w:pPr>
      <w:r>
        <w:rPr>
          <w:rFonts w:eastAsia="黑体"/>
          <w:color w:val="auto"/>
          <w:sz w:val="28"/>
          <w:szCs w:val="28"/>
          <w:highlight w:val="none"/>
          <w:u w:val="single"/>
        </w:rPr>
        <w:t xml:space="preserve">        </w:t>
      </w:r>
      <w:bookmarkStart w:id="1611" w:name="_Toc20299"/>
      <w:bookmarkStart w:id="1612" w:name="_Toc21107"/>
      <w:bookmarkStart w:id="1613" w:name="_Toc14738"/>
      <w:bookmarkStart w:id="1614" w:name="_Toc25418"/>
      <w:r>
        <w:rPr>
          <w:rFonts w:eastAsia="黑体"/>
          <w:color w:val="auto"/>
          <w:sz w:val="28"/>
          <w:szCs w:val="28"/>
          <w:highlight w:val="none"/>
        </w:rPr>
        <w:t>年</w:t>
      </w:r>
      <w:r>
        <w:rPr>
          <w:rFonts w:eastAsia="黑体"/>
          <w:color w:val="auto"/>
          <w:sz w:val="28"/>
          <w:szCs w:val="28"/>
          <w:highlight w:val="none"/>
          <w:u w:val="single"/>
        </w:rPr>
        <w:t xml:space="preserve">        </w:t>
      </w:r>
      <w:r>
        <w:rPr>
          <w:rFonts w:eastAsia="黑体"/>
          <w:color w:val="auto"/>
          <w:sz w:val="28"/>
          <w:szCs w:val="28"/>
          <w:highlight w:val="none"/>
        </w:rPr>
        <w:t>月</w:t>
      </w:r>
      <w:r>
        <w:rPr>
          <w:rFonts w:eastAsia="黑体"/>
          <w:color w:val="auto"/>
          <w:sz w:val="28"/>
          <w:szCs w:val="28"/>
          <w:highlight w:val="none"/>
          <w:u w:val="single"/>
        </w:rPr>
        <w:t xml:space="preserve">        </w:t>
      </w:r>
      <w:r>
        <w:rPr>
          <w:rFonts w:eastAsia="黑体"/>
          <w:color w:val="auto"/>
          <w:sz w:val="28"/>
          <w:szCs w:val="28"/>
          <w:highlight w:val="none"/>
        </w:rPr>
        <w:t>日</w:t>
      </w:r>
      <w:bookmarkEnd w:id="1611"/>
      <w:bookmarkEnd w:id="1612"/>
      <w:bookmarkEnd w:id="1613"/>
      <w:bookmarkEnd w:id="1614"/>
    </w:p>
    <w:p>
      <w:pPr>
        <w:pStyle w:val="4"/>
        <w:spacing w:line="360" w:lineRule="auto"/>
        <w:jc w:val="center"/>
        <w:rPr>
          <w:color w:val="auto"/>
          <w:highlight w:val="none"/>
        </w:rPr>
        <w:sectPr>
          <w:headerReference r:id="rId6" w:type="default"/>
          <w:footerReference r:id="rId7" w:type="default"/>
          <w:pgSz w:w="11906" w:h="16838"/>
          <w:pgMar w:top="1100" w:right="1797" w:bottom="703" w:left="1797" w:header="851" w:footer="992" w:gutter="0"/>
          <w:pgBorders>
            <w:top w:val="none" w:sz="0" w:space="0"/>
            <w:left w:val="none" w:sz="0" w:space="0"/>
            <w:bottom w:val="none" w:sz="0" w:space="0"/>
            <w:right w:val="none" w:sz="0" w:space="0"/>
          </w:pgBorders>
          <w:cols w:space="720" w:num="1"/>
          <w:docGrid w:type="lines" w:linePitch="312" w:charSpace="0"/>
        </w:sectPr>
      </w:pPr>
      <w:bookmarkStart w:id="1615" w:name="_Toc246996355"/>
      <w:bookmarkStart w:id="1616" w:name="_Toc422925649"/>
      <w:bookmarkStart w:id="1617" w:name="_Toc246997098"/>
      <w:bookmarkStart w:id="1618" w:name="_Toc436215781"/>
      <w:bookmarkStart w:id="1619" w:name="_Toc247085873"/>
      <w:bookmarkStart w:id="1620" w:name="_Toc435178423"/>
      <w:bookmarkStart w:id="1621" w:name="_Toc152045787"/>
      <w:bookmarkStart w:id="1622" w:name="_Toc179632807"/>
      <w:bookmarkStart w:id="1623" w:name="_Toc152042576"/>
      <w:bookmarkStart w:id="1624" w:name="_Toc144974856"/>
    </w:p>
    <w:p>
      <w:pPr>
        <w:pStyle w:val="4"/>
        <w:spacing w:line="360" w:lineRule="auto"/>
        <w:jc w:val="center"/>
        <w:rPr>
          <w:color w:val="auto"/>
          <w:highlight w:val="none"/>
        </w:rPr>
      </w:pPr>
      <w:bookmarkStart w:id="1625" w:name="_Toc18202"/>
      <w:bookmarkStart w:id="1626" w:name="_Toc26922"/>
      <w:bookmarkStart w:id="1627" w:name="_Toc6340"/>
      <w:bookmarkStart w:id="1628" w:name="_Toc9596"/>
      <w:bookmarkStart w:id="1629" w:name="_Toc3068"/>
      <w:bookmarkStart w:id="1630" w:name="_Toc14504"/>
      <w:bookmarkStart w:id="1631" w:name="_Toc31017"/>
      <w:bookmarkStart w:id="1632" w:name="_Toc9269"/>
      <w:bookmarkStart w:id="1633" w:name="_Toc21167"/>
      <w:bookmarkStart w:id="1634" w:name="_Toc28843"/>
      <w:bookmarkStart w:id="1635" w:name="_Toc2035"/>
      <w:bookmarkStart w:id="1636" w:name="_Toc496601991"/>
      <w:bookmarkStart w:id="1637" w:name="_Toc9859"/>
      <w:bookmarkStart w:id="1638" w:name="_Toc16005"/>
      <w:bookmarkStart w:id="1639" w:name="_Toc27669"/>
      <w:bookmarkStart w:id="1640" w:name="_Toc25724"/>
      <w:bookmarkStart w:id="1641" w:name="_Toc30281"/>
      <w:bookmarkStart w:id="1642" w:name="_Toc18568"/>
      <w:bookmarkStart w:id="1643" w:name="_Toc27962"/>
      <w:bookmarkStart w:id="1644" w:name="_Toc21991"/>
      <w:bookmarkStart w:id="1645" w:name="_Toc29736"/>
      <w:bookmarkStart w:id="1646" w:name="_Toc10534"/>
      <w:bookmarkStart w:id="1647" w:name="_Toc18090"/>
      <w:bookmarkStart w:id="1648" w:name="_Toc29273"/>
      <w:bookmarkStart w:id="1649" w:name="_Toc10189"/>
      <w:r>
        <w:rPr>
          <w:rFonts w:hint="eastAsia"/>
          <w:color w:val="auto"/>
          <w:highlight w:val="none"/>
        </w:rPr>
        <w:t>投标文件目录</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p>
    <w:p>
      <w:pPr>
        <w:spacing w:line="360" w:lineRule="auto"/>
        <w:outlineLvl w:val="1"/>
        <w:rPr>
          <w:b/>
          <w:color w:val="auto"/>
          <w:highlight w:val="none"/>
        </w:rPr>
      </w:pPr>
      <w:bookmarkStart w:id="1650" w:name="_Toc16097"/>
      <w:bookmarkStart w:id="1651" w:name="_Toc29544"/>
      <w:bookmarkStart w:id="1652" w:name="_Toc10192"/>
      <w:bookmarkStart w:id="1653" w:name="_Toc23272"/>
      <w:bookmarkStart w:id="1654" w:name="_Toc8758"/>
      <w:bookmarkStart w:id="1655" w:name="_Toc25618"/>
      <w:bookmarkStart w:id="1656" w:name="_Toc31239"/>
      <w:bookmarkStart w:id="1657" w:name="_Toc17589"/>
      <w:bookmarkStart w:id="1658" w:name="_Toc1693"/>
      <w:bookmarkStart w:id="1659" w:name="_Toc22551"/>
      <w:bookmarkStart w:id="1660" w:name="_Toc13521"/>
      <w:bookmarkStart w:id="1661" w:name="_Toc17413"/>
      <w:bookmarkStart w:id="1662" w:name="_Toc1891"/>
      <w:bookmarkStart w:id="1663" w:name="_Toc21683"/>
      <w:bookmarkStart w:id="1664" w:name="_Toc12728"/>
      <w:bookmarkStart w:id="1665" w:name="_Toc496602005"/>
      <w:bookmarkStart w:id="1666" w:name="_Toc514745847"/>
      <w:r>
        <w:rPr>
          <w:rFonts w:hint="eastAsia"/>
          <w:b/>
          <w:color w:val="auto"/>
          <w:highlight w:val="none"/>
        </w:rPr>
        <w:t>一、资格审查文件（须附在投标文件前段位置中）</w:t>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pPr>
        <w:spacing w:line="360" w:lineRule="auto"/>
        <w:rPr>
          <w:color w:val="auto"/>
          <w:highlight w:val="none"/>
        </w:rPr>
      </w:pPr>
      <w:r>
        <w:rPr>
          <w:rFonts w:hint="eastAsia"/>
          <w:color w:val="auto"/>
          <w:highlight w:val="none"/>
        </w:rPr>
        <w:t>1、法定代表人证明书（格式附后）；</w:t>
      </w:r>
    </w:p>
    <w:p>
      <w:pPr>
        <w:spacing w:line="360" w:lineRule="auto"/>
        <w:rPr>
          <w:color w:val="auto"/>
          <w:highlight w:val="none"/>
        </w:rPr>
      </w:pPr>
      <w:r>
        <w:rPr>
          <w:rFonts w:hint="eastAsia"/>
          <w:color w:val="auto"/>
          <w:highlight w:val="none"/>
        </w:rPr>
        <w:t>2、投标人资格要求文件（如下文件须</w:t>
      </w:r>
      <w:r>
        <w:rPr>
          <w:rFonts w:hint="eastAsia" w:ascii="宋体" w:hAnsi="宋体"/>
          <w:color w:val="auto"/>
          <w:highlight w:val="none"/>
        </w:rPr>
        <w:t>复印件加盖法人公章</w:t>
      </w:r>
      <w:r>
        <w:rPr>
          <w:rFonts w:hint="eastAsia"/>
          <w:color w:val="auto"/>
          <w:highlight w:val="none"/>
        </w:rPr>
        <w:t>）：</w:t>
      </w:r>
    </w:p>
    <w:p>
      <w:pPr>
        <w:spacing w:line="360" w:lineRule="auto"/>
        <w:rPr>
          <w:color w:val="auto"/>
          <w:highlight w:val="none"/>
        </w:rPr>
      </w:pPr>
      <w:r>
        <w:rPr>
          <w:rFonts w:hint="eastAsia"/>
          <w:color w:val="auto"/>
          <w:highlight w:val="none"/>
        </w:rPr>
        <w:t>（1）营业执照；</w:t>
      </w:r>
    </w:p>
    <w:p>
      <w:pPr>
        <w:spacing w:line="360" w:lineRule="auto"/>
        <w:rPr>
          <w:color w:val="auto"/>
          <w:szCs w:val="21"/>
          <w:highlight w:val="none"/>
        </w:rPr>
      </w:pPr>
      <w:r>
        <w:rPr>
          <w:rFonts w:hint="eastAsia"/>
          <w:color w:val="auto"/>
          <w:highlight w:val="none"/>
        </w:rPr>
        <w:t>（2）</w:t>
      </w:r>
      <w:r>
        <w:rPr>
          <w:rFonts w:hint="eastAsia"/>
          <w:color w:val="auto"/>
          <w:szCs w:val="21"/>
          <w:highlight w:val="none"/>
        </w:rPr>
        <w:t>4万平米以上甲级写字楼或5万平米以上物业保洁项目案例（提供合同复印件）。</w:t>
      </w:r>
    </w:p>
    <w:p>
      <w:pPr>
        <w:spacing w:line="360" w:lineRule="auto"/>
        <w:rPr>
          <w:color w:val="auto"/>
          <w:highlight w:val="none"/>
        </w:rPr>
      </w:pPr>
      <w:r>
        <w:rPr>
          <w:rFonts w:hint="eastAsia"/>
          <w:color w:val="auto"/>
          <w:highlight w:val="none"/>
        </w:rPr>
        <w:t>（3）环卫清洁服务企业资质证书或环卫行业经营服务企业资质等级证书；</w:t>
      </w:r>
    </w:p>
    <w:p>
      <w:pPr>
        <w:pStyle w:val="16"/>
        <w:spacing w:after="0" w:line="360" w:lineRule="auto"/>
        <w:rPr>
          <w:color w:val="auto"/>
          <w:highlight w:val="none"/>
        </w:rPr>
      </w:pPr>
      <w:r>
        <w:rPr>
          <w:rFonts w:hint="eastAsia"/>
          <w:color w:val="auto"/>
          <w:highlight w:val="none"/>
        </w:rPr>
        <w:t>（4）劳务派遣经营许可证；</w:t>
      </w:r>
    </w:p>
    <w:p>
      <w:pPr>
        <w:spacing w:line="360" w:lineRule="auto"/>
        <w:rPr>
          <w:color w:val="auto"/>
          <w:szCs w:val="21"/>
          <w:highlight w:val="none"/>
        </w:rPr>
      </w:pPr>
      <w:r>
        <w:rPr>
          <w:rFonts w:hint="eastAsia"/>
          <w:color w:val="auto"/>
          <w:highlight w:val="none"/>
        </w:rPr>
        <w:t>（5）</w:t>
      </w:r>
      <w:r>
        <w:rPr>
          <w:rFonts w:hint="eastAsia"/>
          <w:color w:val="auto"/>
          <w:szCs w:val="21"/>
          <w:highlight w:val="none"/>
        </w:rPr>
        <w:t>有效的《有害生物防制服务资质证书》；</w:t>
      </w:r>
    </w:p>
    <w:p>
      <w:pPr>
        <w:pStyle w:val="16"/>
        <w:spacing w:line="360" w:lineRule="auto"/>
        <w:rPr>
          <w:color w:val="auto"/>
          <w:highlight w:val="none"/>
        </w:rPr>
      </w:pPr>
      <w:r>
        <w:rPr>
          <w:rFonts w:hint="eastAsia"/>
          <w:color w:val="auto"/>
          <w:szCs w:val="21"/>
          <w:highlight w:val="none"/>
        </w:rPr>
        <w:t>（6）非联合体投标承诺书。</w:t>
      </w:r>
    </w:p>
    <w:p>
      <w:pPr>
        <w:spacing w:line="360" w:lineRule="auto"/>
        <w:outlineLvl w:val="1"/>
        <w:rPr>
          <w:color w:val="auto"/>
          <w:highlight w:val="none"/>
        </w:rPr>
      </w:pPr>
      <w:bookmarkStart w:id="1667" w:name="_Toc9627"/>
      <w:bookmarkStart w:id="1668" w:name="_Toc4178"/>
      <w:bookmarkStart w:id="1669" w:name="_Toc5320"/>
      <w:bookmarkStart w:id="1670" w:name="_Toc16633"/>
      <w:bookmarkStart w:id="1671" w:name="_Toc32376"/>
      <w:bookmarkStart w:id="1672" w:name="_Toc25465"/>
      <w:bookmarkStart w:id="1673" w:name="_Toc30670"/>
      <w:bookmarkStart w:id="1674" w:name="_Toc18528"/>
      <w:bookmarkStart w:id="1675" w:name="_Toc13622"/>
      <w:bookmarkStart w:id="1676" w:name="_Toc11098"/>
      <w:bookmarkStart w:id="1677" w:name="_Toc32363"/>
      <w:bookmarkStart w:id="1678" w:name="_Toc1343"/>
      <w:bookmarkStart w:id="1679" w:name="_Toc21413"/>
      <w:bookmarkStart w:id="1680" w:name="_Toc5562"/>
      <w:bookmarkStart w:id="1681" w:name="_Toc4917"/>
      <w:r>
        <w:rPr>
          <w:rFonts w:hint="eastAsia"/>
          <w:b/>
          <w:color w:val="auto"/>
          <w:highlight w:val="none"/>
        </w:rPr>
        <w:t>二、投标书正文</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pPr>
        <w:spacing w:line="360" w:lineRule="auto"/>
        <w:rPr>
          <w:color w:val="auto"/>
          <w:highlight w:val="none"/>
        </w:rPr>
      </w:pPr>
      <w:r>
        <w:rPr>
          <w:rFonts w:hint="eastAsia"/>
          <w:color w:val="auto"/>
          <w:highlight w:val="none"/>
        </w:rPr>
        <w:t>（1）投标函（格式附后）；</w:t>
      </w:r>
    </w:p>
    <w:p>
      <w:pPr>
        <w:spacing w:line="360" w:lineRule="auto"/>
        <w:rPr>
          <w:color w:val="auto"/>
          <w:highlight w:val="none"/>
        </w:rPr>
      </w:pPr>
      <w:r>
        <w:rPr>
          <w:rFonts w:hint="eastAsia"/>
          <w:color w:val="auto"/>
          <w:highlight w:val="none"/>
        </w:rPr>
        <w:t>（2）法定代表人证明书（格式附后）；</w:t>
      </w:r>
    </w:p>
    <w:p>
      <w:pPr>
        <w:spacing w:line="360" w:lineRule="auto"/>
        <w:rPr>
          <w:color w:val="auto"/>
          <w:highlight w:val="none"/>
        </w:rPr>
      </w:pPr>
      <w:r>
        <w:rPr>
          <w:rFonts w:hint="eastAsia"/>
          <w:color w:val="auto"/>
          <w:highlight w:val="none"/>
        </w:rPr>
        <w:t>（3）授权委托书（格式附后）；</w:t>
      </w:r>
    </w:p>
    <w:p>
      <w:pPr>
        <w:spacing w:line="360" w:lineRule="auto"/>
        <w:rPr>
          <w:color w:val="auto"/>
          <w:highlight w:val="none"/>
        </w:rPr>
      </w:pPr>
      <w:r>
        <w:rPr>
          <w:rFonts w:hint="eastAsia"/>
          <w:color w:val="auto"/>
          <w:highlight w:val="none"/>
        </w:rPr>
        <w:t>（4）标书款及投标保证金缴纳凭证（银行转账凭证）；</w:t>
      </w:r>
    </w:p>
    <w:p>
      <w:pPr>
        <w:spacing w:line="360" w:lineRule="auto"/>
        <w:rPr>
          <w:color w:val="auto"/>
          <w:highlight w:val="none"/>
        </w:rPr>
      </w:pPr>
      <w:r>
        <w:rPr>
          <w:rFonts w:hint="eastAsia"/>
          <w:color w:val="auto"/>
          <w:highlight w:val="none"/>
        </w:rPr>
        <w:t>（5）退投标保证金说明（格式附后）；</w:t>
      </w:r>
    </w:p>
    <w:p>
      <w:pPr>
        <w:spacing w:line="360" w:lineRule="auto"/>
        <w:rPr>
          <w:color w:val="auto"/>
          <w:highlight w:val="none"/>
        </w:rPr>
      </w:pPr>
      <w:r>
        <w:rPr>
          <w:rFonts w:hint="eastAsia"/>
          <w:color w:val="auto"/>
          <w:highlight w:val="none"/>
        </w:rPr>
        <w:t>（6）企业实力简介表（格式附后）；</w:t>
      </w:r>
    </w:p>
    <w:p>
      <w:pPr>
        <w:spacing w:line="360" w:lineRule="auto"/>
        <w:rPr>
          <w:color w:val="auto"/>
          <w:highlight w:val="none"/>
        </w:rPr>
      </w:pPr>
      <w:r>
        <w:rPr>
          <w:rFonts w:hint="eastAsia"/>
          <w:color w:val="auto"/>
          <w:highlight w:val="none"/>
        </w:rPr>
        <w:t>（7）企业规范经营情况（提供网站“信用中国”网站（www.creditchina.gov.cn）相关截图）；</w:t>
      </w:r>
    </w:p>
    <w:p>
      <w:pPr>
        <w:spacing w:line="360" w:lineRule="auto"/>
        <w:rPr>
          <w:color w:val="auto"/>
          <w:highlight w:val="none"/>
        </w:rPr>
      </w:pPr>
      <w:r>
        <w:rPr>
          <w:rFonts w:hint="eastAsia"/>
          <w:color w:val="auto"/>
          <w:highlight w:val="none"/>
        </w:rPr>
        <w:t>（8）本地化服务；</w:t>
      </w:r>
    </w:p>
    <w:p>
      <w:pPr>
        <w:spacing w:line="360" w:lineRule="auto"/>
        <w:rPr>
          <w:color w:val="auto"/>
          <w:highlight w:val="none"/>
        </w:rPr>
      </w:pPr>
      <w:r>
        <w:rPr>
          <w:rFonts w:hint="eastAsia"/>
          <w:color w:val="auto"/>
          <w:highlight w:val="none"/>
        </w:rPr>
        <w:t>（9）近三年类似服务业绩（格式附后）；</w:t>
      </w:r>
    </w:p>
    <w:p>
      <w:pPr>
        <w:spacing w:line="360" w:lineRule="auto"/>
        <w:rPr>
          <w:color w:val="auto"/>
          <w:highlight w:val="none"/>
        </w:rPr>
      </w:pPr>
      <w:r>
        <w:rPr>
          <w:rFonts w:hint="eastAsia"/>
          <w:color w:val="auto"/>
          <w:highlight w:val="none"/>
        </w:rPr>
        <w:t>（10）投标报价表（详见第5章投标报价要求）；</w:t>
      </w:r>
    </w:p>
    <w:p>
      <w:pPr>
        <w:spacing w:line="360" w:lineRule="auto"/>
        <w:rPr>
          <w:color w:val="auto"/>
          <w:highlight w:val="none"/>
        </w:rPr>
      </w:pPr>
      <w:r>
        <w:rPr>
          <w:rFonts w:hint="eastAsia"/>
          <w:color w:val="auto"/>
          <w:highlight w:val="none"/>
        </w:rPr>
        <w:t>（11）拟投入本项目的保洁设备表（格式附后）；</w:t>
      </w:r>
    </w:p>
    <w:p>
      <w:pPr>
        <w:spacing w:line="360" w:lineRule="auto"/>
        <w:rPr>
          <w:color w:val="auto"/>
          <w:highlight w:val="none"/>
        </w:rPr>
      </w:pPr>
      <w:r>
        <w:rPr>
          <w:rFonts w:hint="eastAsia"/>
          <w:color w:val="auto"/>
          <w:highlight w:val="none"/>
        </w:rPr>
        <w:t>（12）拟投入本项目人员的专业素质（格式附后）；</w:t>
      </w:r>
    </w:p>
    <w:p>
      <w:pPr>
        <w:spacing w:line="360" w:lineRule="auto"/>
        <w:rPr>
          <w:color w:val="auto"/>
          <w:highlight w:val="none"/>
        </w:rPr>
      </w:pPr>
      <w:r>
        <w:rPr>
          <w:rFonts w:hint="eastAsia"/>
          <w:color w:val="auto"/>
          <w:highlight w:val="none"/>
        </w:rPr>
        <w:t>（13）组织、管理方案及服务承诺（服务承诺格式附后）；</w:t>
      </w:r>
    </w:p>
    <w:p>
      <w:pPr>
        <w:spacing w:line="360" w:lineRule="auto"/>
        <w:rPr>
          <w:color w:val="auto"/>
          <w:highlight w:val="none"/>
        </w:rPr>
      </w:pPr>
      <w:r>
        <w:rPr>
          <w:rFonts w:hint="eastAsia"/>
          <w:color w:val="auto"/>
          <w:highlight w:val="none"/>
        </w:rPr>
        <w:t>（14）项目负责人承诺函；</w:t>
      </w:r>
    </w:p>
    <w:p>
      <w:pPr>
        <w:spacing w:line="360" w:lineRule="auto"/>
        <w:rPr>
          <w:color w:val="auto"/>
          <w:highlight w:val="none"/>
        </w:rPr>
      </w:pPr>
      <w:r>
        <w:rPr>
          <w:rFonts w:hint="eastAsia"/>
          <w:color w:val="auto"/>
          <w:highlight w:val="none"/>
        </w:rPr>
        <w:t>（15）其他材料由投标人自行补充。</w:t>
      </w:r>
    </w:p>
    <w:p>
      <w:pPr>
        <w:spacing w:line="360" w:lineRule="auto"/>
        <w:rPr>
          <w:rFonts w:hint="eastAsia" w:ascii="宋体" w:hAnsi="宋体"/>
          <w:color w:val="auto"/>
          <w:szCs w:val="21"/>
          <w:highlight w:val="none"/>
        </w:rPr>
      </w:pPr>
      <w:r>
        <w:rPr>
          <w:rFonts w:hint="eastAsia" w:ascii="宋体" w:hAnsi="宋体"/>
          <w:b/>
          <w:color w:val="auto"/>
          <w:szCs w:val="21"/>
          <w:highlight w:val="none"/>
        </w:rPr>
        <w:t>说明：</w:t>
      </w:r>
      <w:r>
        <w:rPr>
          <w:rFonts w:hint="eastAsia" w:ascii="宋体" w:hAnsi="宋体"/>
          <w:color w:val="auto"/>
          <w:szCs w:val="21"/>
          <w:highlight w:val="none"/>
        </w:rPr>
        <w:t>1.</w:t>
      </w:r>
      <w:r>
        <w:rPr>
          <w:rFonts w:hint="eastAsia" w:ascii="宋体" w:hAnsi="宋体" w:cs="宋体"/>
          <w:color w:val="auto"/>
          <w:kern w:val="0"/>
          <w:szCs w:val="21"/>
          <w:highlight w:val="none"/>
        </w:rPr>
        <w:t>投标人在投标文件中不得提供虚假材料，若经招标人发现查实有虚假材料的，将没收投标人的投标保证金；中标的，还将取消其中标资格。</w:t>
      </w:r>
    </w:p>
    <w:p>
      <w:pPr>
        <w:spacing w:line="360" w:lineRule="auto"/>
        <w:ind w:firstLine="420" w:firstLineChars="200"/>
        <w:rPr>
          <w:rFonts w:hint="eastAsia" w:ascii="宋体" w:hAnsi="宋体"/>
          <w:bCs/>
          <w:color w:val="auto"/>
          <w:szCs w:val="21"/>
          <w:highlight w:val="none"/>
        </w:rPr>
      </w:pPr>
      <w:r>
        <w:rPr>
          <w:rFonts w:hint="eastAsia" w:ascii="宋体" w:hAnsi="宋体"/>
          <w:bCs/>
          <w:color w:val="auto"/>
          <w:szCs w:val="21"/>
          <w:highlight w:val="none"/>
        </w:rPr>
        <w:t>2.唱标信封另单独分装，按以下顺序装订：</w:t>
      </w:r>
    </w:p>
    <w:p>
      <w:pPr>
        <w:spacing w:line="360" w:lineRule="auto"/>
        <w:rPr>
          <w:rFonts w:ascii="宋体"/>
          <w:color w:val="auto"/>
          <w:highlight w:val="none"/>
        </w:rPr>
      </w:pPr>
      <w:r>
        <w:rPr>
          <w:rFonts w:hint="eastAsia" w:ascii="宋体" w:hAnsi="宋体"/>
          <w:color w:val="auto"/>
          <w:szCs w:val="21"/>
          <w:highlight w:val="none"/>
        </w:rPr>
        <w:t xml:space="preserve">      2.1</w:t>
      </w:r>
      <w:r>
        <w:rPr>
          <w:rFonts w:hint="eastAsia" w:ascii="宋体"/>
          <w:color w:val="auto"/>
          <w:highlight w:val="none"/>
        </w:rPr>
        <w:t>投标函、报价函附录</w:t>
      </w:r>
    </w:p>
    <w:p>
      <w:pPr>
        <w:spacing w:line="360" w:lineRule="auto"/>
        <w:rPr>
          <w:color w:val="auto"/>
          <w:highlight w:val="none"/>
        </w:rPr>
      </w:pPr>
      <w:r>
        <w:rPr>
          <w:rFonts w:hint="eastAsia" w:ascii="宋体"/>
          <w:color w:val="auto"/>
          <w:highlight w:val="none"/>
        </w:rPr>
        <w:t xml:space="preserve">      2.2</w:t>
      </w:r>
      <w:r>
        <w:rPr>
          <w:color w:val="auto"/>
          <w:highlight w:val="none"/>
        </w:rPr>
        <w:t>法定代表人证明</w:t>
      </w:r>
      <w:r>
        <w:rPr>
          <w:rFonts w:hint="eastAsia"/>
          <w:color w:val="auto"/>
          <w:highlight w:val="none"/>
        </w:rPr>
        <w:t>书、</w:t>
      </w:r>
      <w:r>
        <w:rPr>
          <w:color w:val="auto"/>
          <w:highlight w:val="none"/>
        </w:rPr>
        <w:t>授权委托书</w:t>
      </w:r>
    </w:p>
    <w:p>
      <w:pPr>
        <w:spacing w:line="360" w:lineRule="auto"/>
        <w:rPr>
          <w:rFonts w:ascii="宋体"/>
          <w:color w:val="auto"/>
          <w:highlight w:val="none"/>
        </w:rPr>
      </w:pPr>
      <w:r>
        <w:rPr>
          <w:rFonts w:hint="eastAsia" w:ascii="宋体"/>
          <w:color w:val="auto"/>
          <w:highlight w:val="none"/>
        </w:rPr>
        <w:t xml:space="preserve">      2.3 投标保证金交付凭证复印件</w:t>
      </w:r>
    </w:p>
    <w:p>
      <w:pPr>
        <w:spacing w:line="360" w:lineRule="auto"/>
        <w:rPr>
          <w:rFonts w:hint="eastAsia" w:ascii="宋体" w:hAnsi="宋体"/>
          <w:b/>
          <w:color w:val="auto"/>
          <w:szCs w:val="21"/>
          <w:highlight w:val="none"/>
        </w:rPr>
      </w:pPr>
      <w:r>
        <w:rPr>
          <w:rFonts w:hint="eastAsia" w:ascii="宋体"/>
          <w:color w:val="auto"/>
          <w:highlight w:val="none"/>
        </w:rPr>
        <w:t xml:space="preserve">      2.4</w:t>
      </w:r>
      <w:r>
        <w:rPr>
          <w:rFonts w:hint="eastAsia"/>
          <w:color w:val="auto"/>
          <w:highlight w:val="none"/>
        </w:rPr>
        <w:t>退</w:t>
      </w:r>
      <w:r>
        <w:rPr>
          <w:color w:val="auto"/>
          <w:highlight w:val="none"/>
        </w:rPr>
        <w:t>投标保证金</w:t>
      </w:r>
      <w:r>
        <w:rPr>
          <w:rFonts w:hint="eastAsia"/>
          <w:color w:val="auto"/>
          <w:highlight w:val="none"/>
        </w:rPr>
        <w:t>说明</w:t>
      </w:r>
      <w:r>
        <w:rPr>
          <w:rFonts w:hint="eastAsia" w:ascii="宋体"/>
          <w:color w:val="auto"/>
          <w:highlight w:val="none"/>
        </w:rPr>
        <w:t>（正本）</w:t>
      </w:r>
    </w:p>
    <w:p>
      <w:pPr>
        <w:spacing w:line="540" w:lineRule="exact"/>
        <w:rPr>
          <w:rFonts w:hint="eastAsia" w:ascii="宋体" w:hAnsi="宋体"/>
          <w:color w:val="auto"/>
          <w:highlight w:val="none"/>
        </w:rPr>
      </w:pPr>
    </w:p>
    <w:p>
      <w:pPr>
        <w:rPr>
          <w:rFonts w:hint="eastAsia" w:ascii="宋体" w:hAnsi="宋体" w:cs="宋体"/>
          <w:color w:val="auto"/>
          <w:szCs w:val="21"/>
          <w:highlight w:val="none"/>
        </w:rPr>
      </w:pPr>
      <w:bookmarkStart w:id="1682" w:name="_Toc9013"/>
      <w:bookmarkStart w:id="1683" w:name="_Toc437878964"/>
      <w:bookmarkStart w:id="1684" w:name="_Toc10590"/>
      <w:bookmarkStart w:id="1685" w:name="_Toc433812765"/>
      <w:bookmarkStart w:id="1686" w:name="_Toc436212778"/>
      <w:bookmarkStart w:id="1687" w:name="_Toc4098"/>
      <w:bookmarkStart w:id="1688" w:name="_Toc28444"/>
      <w:bookmarkStart w:id="1689" w:name="_Toc19920"/>
      <w:bookmarkStart w:id="1690" w:name="_Toc14884"/>
      <w:bookmarkStart w:id="1691" w:name="_Toc28533"/>
      <w:bookmarkStart w:id="1692" w:name="_Toc436215782"/>
      <w:bookmarkStart w:id="1693" w:name="_Toc435178424"/>
      <w:bookmarkStart w:id="1694" w:name="_Toc27072"/>
      <w:bookmarkStart w:id="1695" w:name="_Toc246997099"/>
      <w:bookmarkStart w:id="1696" w:name="_Toc144974857"/>
      <w:bookmarkStart w:id="1697" w:name="_Toc374456229"/>
      <w:bookmarkStart w:id="1698" w:name="_Toc377652636"/>
      <w:bookmarkStart w:id="1699" w:name="_Toc247085874"/>
      <w:bookmarkStart w:id="1700" w:name="_Toc422925650"/>
      <w:bookmarkStart w:id="1701" w:name="_Toc390416982"/>
      <w:bookmarkStart w:id="1702" w:name="_Toc374520061"/>
      <w:bookmarkStart w:id="1703" w:name="_Toc246996356"/>
      <w:bookmarkStart w:id="1704" w:name="_Toc152045788"/>
      <w:bookmarkStart w:id="1705" w:name="_Toc375215269"/>
      <w:bookmarkStart w:id="1706" w:name="_Toc378253570"/>
      <w:bookmarkStart w:id="1707" w:name="_Toc152042577"/>
      <w:bookmarkStart w:id="1708" w:name="_Toc391022297"/>
      <w:bookmarkStart w:id="1709" w:name="_Toc374522345"/>
      <w:bookmarkStart w:id="1710" w:name="_Toc179632808"/>
      <w:bookmarkStart w:id="1711" w:name="_Toc377388937"/>
      <w:r>
        <w:rPr>
          <w:rFonts w:hint="eastAsia" w:ascii="宋体" w:hAnsi="宋体"/>
          <w:b/>
          <w:bCs/>
          <w:color w:val="auto"/>
          <w:highlight w:val="none"/>
        </w:rPr>
        <w:t>以下文本为本招标文件的格式文本：</w:t>
      </w:r>
    </w:p>
    <w:p>
      <w:pPr>
        <w:rPr>
          <w:color w:val="auto"/>
          <w:highlight w:val="none"/>
        </w:rPr>
      </w:pPr>
    </w:p>
    <w:p>
      <w:pPr>
        <w:ind w:left="-51" w:leftChars="-171" w:hanging="308" w:hangingChars="128"/>
        <w:jc w:val="center"/>
        <w:rPr>
          <w:rFonts w:hint="eastAsia" w:ascii="宋体" w:hAnsi="宋体" w:cs="宋体"/>
          <w:b/>
          <w:bCs/>
          <w:color w:val="auto"/>
          <w:sz w:val="24"/>
          <w:szCs w:val="28"/>
          <w:highlight w:val="none"/>
        </w:rPr>
      </w:pPr>
      <w:bookmarkStart w:id="1712" w:name="_Toc12258_WPSOffice_Level2"/>
      <w:bookmarkStart w:id="1713" w:name="_Toc7127_WPSOffice_Level2"/>
      <w:bookmarkStart w:id="1714" w:name="_Toc25377_WPSOffice_Level2"/>
      <w:bookmarkStart w:id="1715" w:name="_Toc6398_WPSOffice_Level2"/>
      <w:bookmarkStart w:id="1716" w:name="_Toc17733_WPSOffice_Level2"/>
      <w:bookmarkStart w:id="1717" w:name="_Toc13839_WPSOffice_Level2"/>
      <w:bookmarkStart w:id="1718" w:name="_Toc4886_WPSOffice_Level2"/>
      <w:r>
        <w:rPr>
          <w:rFonts w:hint="eastAsia" w:ascii="宋体" w:hAnsi="宋体" w:cs="宋体"/>
          <w:b/>
          <w:bCs/>
          <w:color w:val="auto"/>
          <w:sz w:val="24"/>
          <w:szCs w:val="28"/>
          <w:highlight w:val="none"/>
        </w:rPr>
        <w:t>评分因素索引表</w:t>
      </w:r>
      <w:bookmarkEnd w:id="1712"/>
      <w:bookmarkEnd w:id="1713"/>
      <w:bookmarkEnd w:id="1714"/>
      <w:bookmarkEnd w:id="1715"/>
      <w:bookmarkEnd w:id="1716"/>
      <w:bookmarkEnd w:id="1717"/>
      <w:bookmarkEnd w:id="1718"/>
    </w:p>
    <w:p>
      <w:pPr>
        <w:rPr>
          <w:rFonts w:hint="eastAsia" w:ascii="宋体" w:hAnsi="宋体" w:cs="宋体"/>
          <w:color w:val="auto"/>
          <w:szCs w:val="21"/>
          <w:highlight w:val="none"/>
        </w:rPr>
      </w:pPr>
      <w:r>
        <w:rPr>
          <w:rFonts w:hint="eastAsia" w:ascii="宋体" w:hAnsi="宋体" w:cs="宋体"/>
          <w:color w:val="auto"/>
          <w:szCs w:val="21"/>
          <w:highlight w:val="none"/>
        </w:rPr>
        <w:t>项目名称：</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rPr>
        <w:t xml:space="preserve">         </w:t>
      </w:r>
      <w:r>
        <w:rPr>
          <w:rFonts w:ascii="宋体" w:hAnsi="宋体" w:cs="宋体"/>
          <w:color w:val="auto"/>
          <w:szCs w:val="21"/>
          <w:highlight w:val="none"/>
        </w:rPr>
        <w:t xml:space="preserve">              </w:t>
      </w:r>
    </w:p>
    <w:p>
      <w:pPr>
        <w:rPr>
          <w:rFonts w:hint="eastAsia" w:ascii="宋体" w:hAnsi="宋体" w:cs="宋体"/>
          <w:b/>
          <w:bCs/>
          <w:color w:val="auto"/>
          <w:szCs w:val="21"/>
          <w:highlight w:val="none"/>
        </w:rPr>
      </w:pPr>
      <w:r>
        <w:rPr>
          <w:rFonts w:hint="eastAsia" w:ascii="宋体" w:hAnsi="宋体" w:cs="宋体"/>
          <w:color w:val="auto"/>
          <w:szCs w:val="21"/>
          <w:highlight w:val="none"/>
        </w:rPr>
        <w:t xml:space="preserve">项目编号： </w:t>
      </w:r>
    </w:p>
    <w:tbl>
      <w:tblPr>
        <w:tblStyle w:val="41"/>
        <w:tblW w:w="84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4785"/>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atLeast"/>
        </w:trPr>
        <w:tc>
          <w:tcPr>
            <w:tcW w:w="1560" w:type="dxa"/>
            <w:tcBorders>
              <w:top w:val="single" w:color="auto" w:sz="4" w:space="0"/>
              <w:left w:val="single" w:color="auto" w:sz="4" w:space="0"/>
              <w:bottom w:val="single" w:color="auto" w:sz="4" w:space="0"/>
              <w:right w:val="single" w:color="auto" w:sz="4" w:space="0"/>
            </w:tcBorders>
            <w:vAlign w:val="center"/>
          </w:tcPr>
          <w:p>
            <w:pPr>
              <w:pStyle w:val="85"/>
              <w:keepNext w:val="0"/>
              <w:adjustRightInd/>
              <w:spacing w:before="0" w:after="0" w:line="240" w:lineRule="auto"/>
              <w:rPr>
                <w:rFonts w:hint="eastAsia"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行序</w:t>
            </w:r>
          </w:p>
        </w:tc>
        <w:tc>
          <w:tcPr>
            <w:tcW w:w="4785" w:type="dxa"/>
            <w:tcBorders>
              <w:top w:val="single" w:color="auto" w:sz="4" w:space="0"/>
              <w:left w:val="single" w:color="auto" w:sz="4" w:space="0"/>
              <w:bottom w:val="single" w:color="auto" w:sz="4" w:space="0"/>
              <w:right w:val="single" w:color="auto" w:sz="4" w:space="0"/>
            </w:tcBorders>
            <w:vAlign w:val="center"/>
          </w:tcPr>
          <w:p>
            <w:pPr>
              <w:pStyle w:val="85"/>
              <w:keepNext w:val="0"/>
              <w:adjustRightInd/>
              <w:spacing w:before="0" w:after="0" w:line="240" w:lineRule="auto"/>
              <w:rPr>
                <w:rFonts w:hint="eastAsia"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评审分项</w:t>
            </w:r>
          </w:p>
        </w:tc>
        <w:tc>
          <w:tcPr>
            <w:tcW w:w="2127" w:type="dxa"/>
            <w:tcBorders>
              <w:top w:val="single" w:color="auto" w:sz="4" w:space="0"/>
              <w:left w:val="single" w:color="auto" w:sz="4" w:space="0"/>
              <w:bottom w:val="single" w:color="auto" w:sz="4" w:space="0"/>
              <w:right w:val="single" w:color="auto" w:sz="4" w:space="0"/>
            </w:tcBorders>
            <w:vAlign w:val="center"/>
          </w:tcPr>
          <w:p>
            <w:pPr>
              <w:pStyle w:val="85"/>
              <w:keepNext w:val="0"/>
              <w:adjustRightInd/>
              <w:spacing w:before="0" w:after="0" w:line="240" w:lineRule="auto"/>
              <w:rPr>
                <w:rFonts w:hint="eastAsia" w:ascii="宋体" w:hAnsi="宋体" w:cs="宋体"/>
                <w:b/>
                <w:bCs/>
                <w:color w:val="auto"/>
                <w:spacing w:val="0"/>
                <w:kern w:val="2"/>
                <w:sz w:val="21"/>
                <w:szCs w:val="21"/>
                <w:highlight w:val="none"/>
              </w:rPr>
            </w:pPr>
            <w:r>
              <w:rPr>
                <w:rFonts w:hint="eastAsia" w:ascii="宋体" w:hAnsi="宋体" w:cs="宋体"/>
                <w:b/>
                <w:bCs/>
                <w:color w:val="auto"/>
                <w:spacing w:val="0"/>
                <w:kern w:val="2"/>
                <w:sz w:val="21"/>
                <w:szCs w:val="21"/>
                <w:highlight w:val="none"/>
              </w:rPr>
              <w:t>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top w:val="single" w:color="auto" w:sz="4" w:space="0"/>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1</w:t>
            </w:r>
          </w:p>
        </w:tc>
        <w:tc>
          <w:tcPr>
            <w:tcW w:w="4785" w:type="dxa"/>
            <w:tcBorders>
              <w:top w:val="single" w:color="auto" w:sz="4" w:space="0"/>
              <w:left w:val="single" w:color="auto" w:sz="4" w:space="0"/>
              <w:right w:val="single" w:color="auto" w:sz="4" w:space="0"/>
            </w:tcBorders>
            <w:vAlign w:val="center"/>
          </w:tcPr>
          <w:p>
            <w:pPr>
              <w:jc w:val="center"/>
              <w:rPr>
                <w:rFonts w:hint="eastAsia" w:ascii="宋体" w:hAnsi="宋体" w:cs="宋体"/>
                <w:color w:val="auto"/>
                <w:szCs w:val="21"/>
                <w:highlight w:val="none"/>
              </w:rPr>
            </w:pPr>
            <w:r>
              <w:rPr>
                <w:rFonts w:hint="eastAsia" w:ascii="宋体" w:hAnsi="宋体"/>
                <w:color w:val="auto"/>
                <w:highlight w:val="none"/>
              </w:rPr>
              <w:t>业绩（10分）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2</w:t>
            </w:r>
          </w:p>
        </w:tc>
        <w:tc>
          <w:tcPr>
            <w:tcW w:w="4785"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财务状况（5分）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3</w:t>
            </w:r>
          </w:p>
        </w:tc>
        <w:tc>
          <w:tcPr>
            <w:tcW w:w="4785"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color w:val="auto"/>
                <w:highlight w:val="none"/>
              </w:rPr>
              <w:t>拟投入本项目管理人员的专业素质（10分）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4</w:t>
            </w:r>
          </w:p>
        </w:tc>
        <w:tc>
          <w:tcPr>
            <w:tcW w:w="4785"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ascii="宋体" w:hAnsi="宋体"/>
                <w:color w:val="auto"/>
                <w:highlight w:val="none"/>
              </w:rPr>
              <w:t>本地化服务（5分）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5</w:t>
            </w:r>
          </w:p>
        </w:tc>
        <w:tc>
          <w:tcPr>
            <w:tcW w:w="4785" w:type="dxa"/>
            <w:tcBorders>
              <w:left w:val="single" w:color="auto" w:sz="4" w:space="0"/>
              <w:right w:val="single" w:color="auto" w:sz="4" w:space="0"/>
            </w:tcBorders>
            <w:vAlign w:val="center"/>
          </w:tcPr>
          <w:p>
            <w:pPr>
              <w:jc w:val="center"/>
              <w:rPr>
                <w:color w:val="auto"/>
                <w:highlight w:val="none"/>
              </w:rPr>
            </w:pPr>
            <w:r>
              <w:rPr>
                <w:rFonts w:hint="eastAsia" w:ascii="宋体" w:hAnsi="宋体"/>
                <w:color w:val="auto"/>
                <w:highlight w:val="none"/>
              </w:rPr>
              <w:t>清洁设备（20分）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6</w:t>
            </w:r>
          </w:p>
        </w:tc>
        <w:tc>
          <w:tcPr>
            <w:tcW w:w="4785" w:type="dxa"/>
            <w:tcBorders>
              <w:left w:val="single" w:color="auto" w:sz="4" w:space="0"/>
              <w:right w:val="single" w:color="auto" w:sz="4" w:space="0"/>
            </w:tcBorders>
            <w:vAlign w:val="center"/>
          </w:tcPr>
          <w:p>
            <w:pPr>
              <w:jc w:val="center"/>
              <w:rPr>
                <w:color w:val="auto"/>
                <w:highlight w:val="none"/>
              </w:rPr>
            </w:pPr>
            <w:r>
              <w:rPr>
                <w:rFonts w:hint="eastAsia" w:ascii="宋体" w:hAnsi="宋体"/>
                <w:color w:val="auto"/>
                <w:highlight w:val="none"/>
              </w:rPr>
              <w:t>组织、管理方案</w:t>
            </w:r>
            <w:r>
              <w:rPr>
                <w:rFonts w:hint="eastAsia"/>
                <w:color w:val="auto"/>
                <w:highlight w:val="none"/>
              </w:rPr>
              <w:t>（15分）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left w:val="single" w:color="auto" w:sz="4" w:space="0"/>
              <w:right w:val="single" w:color="auto" w:sz="4" w:space="0"/>
            </w:tcBorders>
            <w:vAlign w:val="center"/>
          </w:tcPr>
          <w:p>
            <w:pPr>
              <w:jc w:val="center"/>
              <w:rPr>
                <w:color w:val="auto"/>
                <w:highlight w:val="none"/>
              </w:rPr>
            </w:pPr>
            <w:r>
              <w:rPr>
                <w:rFonts w:hint="eastAsia"/>
                <w:color w:val="auto"/>
                <w:highlight w:val="none"/>
              </w:rPr>
              <w:t>7</w:t>
            </w:r>
          </w:p>
        </w:tc>
        <w:tc>
          <w:tcPr>
            <w:tcW w:w="4785" w:type="dxa"/>
            <w:tcBorders>
              <w:left w:val="single" w:color="auto" w:sz="4" w:space="0"/>
              <w:right w:val="single" w:color="auto" w:sz="4" w:space="0"/>
            </w:tcBorders>
            <w:vAlign w:val="center"/>
          </w:tcPr>
          <w:p>
            <w:pPr>
              <w:jc w:val="center"/>
              <w:rPr>
                <w:rFonts w:hint="eastAsia" w:ascii="宋体" w:hAnsi="宋体"/>
                <w:color w:val="auto"/>
                <w:highlight w:val="none"/>
              </w:rPr>
            </w:pPr>
            <w:r>
              <w:rPr>
                <w:rFonts w:hint="eastAsia"/>
                <w:bCs/>
                <w:color w:val="auto"/>
                <w:highlight w:val="none"/>
              </w:rPr>
              <w:t>应急方案（10分）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8</w:t>
            </w:r>
          </w:p>
        </w:tc>
        <w:tc>
          <w:tcPr>
            <w:tcW w:w="47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服务承诺（5分）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156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9</w:t>
            </w:r>
          </w:p>
        </w:tc>
        <w:tc>
          <w:tcPr>
            <w:tcW w:w="4785"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color w:val="auto"/>
                <w:szCs w:val="21"/>
                <w:highlight w:val="none"/>
              </w:rPr>
            </w:pPr>
            <w:r>
              <w:rPr>
                <w:rFonts w:hint="eastAsia" w:ascii="宋体" w:hAnsi="宋体" w:cs="宋体"/>
                <w:color w:val="auto"/>
                <w:szCs w:val="21"/>
                <w:highlight w:val="none"/>
              </w:rPr>
              <w:t>投标报价（20分）</w:t>
            </w:r>
          </w:p>
        </w:tc>
        <w:tc>
          <w:tcPr>
            <w:tcW w:w="2127" w:type="dxa"/>
            <w:tcBorders>
              <w:top w:val="single" w:color="auto" w:sz="4" w:space="0"/>
              <w:left w:val="single" w:color="auto" w:sz="4" w:space="0"/>
              <w:bottom w:val="single" w:color="auto" w:sz="4" w:space="0"/>
              <w:right w:val="single" w:color="auto" w:sz="4" w:space="0"/>
            </w:tcBorders>
            <w:vAlign w:val="center"/>
          </w:tcPr>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见投标文件</w:t>
            </w:r>
          </w:p>
          <w:p>
            <w:pPr>
              <w:pStyle w:val="30"/>
              <w:jc w:val="center"/>
              <w:rPr>
                <w:rFonts w:hint="eastAsia" w:ascii="宋体" w:hAnsi="宋体" w:cs="宋体"/>
                <w:color w:val="auto"/>
                <w:szCs w:val="21"/>
                <w:highlight w:val="none"/>
              </w:rPr>
            </w:pPr>
            <w:r>
              <w:rPr>
                <w:rFonts w:hint="eastAsia" w:ascii="宋体" w:hAnsi="宋体" w:cs="宋体"/>
                <w:color w:val="auto"/>
                <w:szCs w:val="21"/>
                <w:highlight w:val="none"/>
              </w:rPr>
              <w:t>第（  ）页</w:t>
            </w:r>
          </w:p>
        </w:tc>
      </w:tr>
    </w:tbl>
    <w:p>
      <w:pPr>
        <w:spacing w:line="360" w:lineRule="auto"/>
        <w:jc w:val="center"/>
        <w:rPr>
          <w:rFonts w:hint="eastAsia" w:ascii="宋体" w:hAnsi="宋体" w:cs="宋体"/>
          <w:b/>
          <w:bCs/>
          <w:color w:val="auto"/>
          <w:szCs w:val="21"/>
          <w:highlight w:val="none"/>
        </w:rPr>
      </w:pPr>
    </w:p>
    <w:p>
      <w:pPr>
        <w:adjustRightInd w:val="0"/>
        <w:snapToGrid w:val="0"/>
        <w:spacing w:line="360" w:lineRule="auto"/>
        <w:rPr>
          <w:color w:val="auto"/>
          <w:highlight w:val="none"/>
        </w:rPr>
      </w:pPr>
      <w:r>
        <w:rPr>
          <w:rFonts w:hint="eastAsia" w:ascii="宋体" w:hAnsi="宋体" w:cs="宋体"/>
          <w:color w:val="auto"/>
          <w:szCs w:val="21"/>
          <w:highlight w:val="none"/>
        </w:rPr>
        <w:t>投标人名称（盖章）：</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u w:val="single"/>
        </w:rPr>
      </w:pPr>
      <w:r>
        <w:rPr>
          <w:rFonts w:hint="eastAsia" w:ascii="宋体" w:hAnsi="宋体" w:cs="宋体"/>
          <w:color w:val="auto"/>
          <w:szCs w:val="21"/>
          <w:highlight w:val="none"/>
        </w:rPr>
        <w:t>投标人法定代表人（或其授权代表）（签字）：</w:t>
      </w:r>
      <w:r>
        <w:rPr>
          <w:rFonts w:hint="eastAsia" w:ascii="宋体" w:hAnsi="宋体" w:cs="宋体"/>
          <w:color w:val="auto"/>
          <w:szCs w:val="21"/>
          <w:highlight w:val="none"/>
          <w:u w:val="single"/>
        </w:rPr>
        <w:t xml:space="preserve">                   </w:t>
      </w:r>
    </w:p>
    <w:p>
      <w:pPr>
        <w:adjustRightInd w:val="0"/>
        <w:snapToGrid w:val="0"/>
        <w:spacing w:line="360" w:lineRule="auto"/>
        <w:rPr>
          <w:rFonts w:hint="eastAsia" w:ascii="宋体" w:hAnsi="宋体" w:cs="宋体"/>
          <w:color w:val="auto"/>
          <w:szCs w:val="21"/>
          <w:highlight w:val="none"/>
        </w:rPr>
        <w:sectPr>
          <w:pgSz w:w="11906" w:h="16838"/>
          <w:pgMar w:top="1100" w:right="1797" w:bottom="703" w:left="1797"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宋体" w:hAnsi="宋体" w:cs="宋体"/>
          <w:color w:val="auto"/>
          <w:szCs w:val="21"/>
          <w:highlight w:val="none"/>
        </w:rPr>
        <w:t xml:space="preserve">日期：   年   月   </w:t>
      </w:r>
    </w:p>
    <w:p>
      <w:pPr>
        <w:pStyle w:val="3"/>
        <w:rPr>
          <w:rFonts w:eastAsia="黑体"/>
          <w:color w:val="auto"/>
          <w:highlight w:val="none"/>
        </w:rPr>
      </w:pPr>
      <w:bookmarkStart w:id="1719" w:name="_Toc10458"/>
      <w:bookmarkStart w:id="1720" w:name="_Toc30089"/>
      <w:bookmarkStart w:id="1721" w:name="_Toc7241"/>
      <w:bookmarkStart w:id="1722" w:name="_Toc29647"/>
      <w:bookmarkStart w:id="1723" w:name="_Toc2129"/>
      <w:bookmarkStart w:id="1724" w:name="_Toc14961"/>
      <w:bookmarkStart w:id="1725" w:name="_Toc2159"/>
      <w:r>
        <w:rPr>
          <w:rFonts w:hint="eastAsia"/>
          <w:color w:val="auto"/>
          <w:sz w:val="36"/>
          <w:szCs w:val="36"/>
          <w:highlight w:val="none"/>
        </w:rPr>
        <w:t>模板样式：</w:t>
      </w:r>
      <w:bookmarkEnd w:id="1719"/>
      <w:bookmarkEnd w:id="1720"/>
      <w:bookmarkEnd w:id="1721"/>
      <w:bookmarkEnd w:id="1722"/>
      <w:bookmarkEnd w:id="1723"/>
      <w:bookmarkEnd w:id="1724"/>
      <w:bookmarkEnd w:id="1725"/>
    </w:p>
    <w:p>
      <w:pPr>
        <w:pStyle w:val="4"/>
        <w:jc w:val="center"/>
        <w:rPr>
          <w:color w:val="auto"/>
          <w:highlight w:val="none"/>
        </w:rPr>
      </w:pPr>
      <w:bookmarkStart w:id="1726" w:name="_Toc16526"/>
      <w:bookmarkStart w:id="1727" w:name="_Toc7359"/>
      <w:bookmarkStart w:id="1728" w:name="_Toc11831"/>
      <w:bookmarkStart w:id="1729" w:name="_Toc1880"/>
      <w:bookmarkStart w:id="1730" w:name="_Toc31370"/>
      <w:bookmarkStart w:id="1731" w:name="_Toc14585"/>
      <w:bookmarkStart w:id="1732" w:name="_Toc10818"/>
      <w:bookmarkStart w:id="1733" w:name="_Toc4857"/>
      <w:bookmarkStart w:id="1734" w:name="_Toc13139"/>
      <w:bookmarkStart w:id="1735" w:name="_Toc26527"/>
      <w:bookmarkStart w:id="1736" w:name="_Toc13418"/>
      <w:bookmarkStart w:id="1737" w:name="_Toc22862"/>
      <w:bookmarkStart w:id="1738" w:name="_Toc28861"/>
      <w:bookmarkStart w:id="1739" w:name="_Toc13058"/>
      <w:bookmarkStart w:id="1740" w:name="_Toc12790"/>
      <w:bookmarkStart w:id="1741" w:name="_Toc3077"/>
      <w:bookmarkStart w:id="1742" w:name="_Toc21850"/>
      <w:r>
        <w:rPr>
          <w:color w:val="auto"/>
          <w:highlight w:val="none"/>
        </w:rPr>
        <w:t>一、法定代表人证明</w:t>
      </w:r>
      <w:r>
        <w:rPr>
          <w:rFonts w:hint="eastAsia"/>
          <w:color w:val="auto"/>
          <w:highlight w:val="none"/>
        </w:rPr>
        <w:t>书</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p>
    <w:p>
      <w:pPr>
        <w:spacing w:line="440" w:lineRule="exact"/>
        <w:rPr>
          <w:color w:val="auto"/>
          <w:szCs w:val="21"/>
          <w:highlight w:val="none"/>
        </w:rPr>
      </w:pPr>
      <w:r>
        <w:rPr>
          <w:color w:val="auto"/>
          <w:szCs w:val="21"/>
          <w:highlight w:val="none"/>
        </w:rPr>
        <w:t>投标人名称：</w:t>
      </w:r>
      <w:r>
        <w:rPr>
          <w:color w:val="auto"/>
          <w:szCs w:val="21"/>
          <w:highlight w:val="none"/>
          <w:u w:val="single"/>
        </w:rPr>
        <w:t xml:space="preserve">                            </w:t>
      </w:r>
      <w:r>
        <w:rPr>
          <w:color w:val="auto"/>
          <w:szCs w:val="21"/>
          <w:highlight w:val="none"/>
        </w:rPr>
        <w:t xml:space="preserve"> </w:t>
      </w:r>
    </w:p>
    <w:p>
      <w:pPr>
        <w:spacing w:line="440" w:lineRule="exact"/>
        <w:rPr>
          <w:color w:val="auto"/>
          <w:szCs w:val="21"/>
          <w:highlight w:val="none"/>
        </w:rPr>
      </w:pPr>
      <w:r>
        <w:rPr>
          <w:color w:val="auto"/>
          <w:szCs w:val="21"/>
          <w:highlight w:val="none"/>
        </w:rPr>
        <w:t>单位性质：</w:t>
      </w:r>
      <w:r>
        <w:rPr>
          <w:color w:val="auto"/>
          <w:szCs w:val="21"/>
          <w:highlight w:val="none"/>
          <w:u w:val="single"/>
        </w:rPr>
        <w:t xml:space="preserve">                               </w:t>
      </w:r>
      <w:r>
        <w:rPr>
          <w:color w:val="auto"/>
          <w:szCs w:val="21"/>
          <w:highlight w:val="none"/>
        </w:rPr>
        <w:t xml:space="preserve"> </w:t>
      </w:r>
    </w:p>
    <w:p>
      <w:pPr>
        <w:spacing w:line="440" w:lineRule="exact"/>
        <w:rPr>
          <w:color w:val="auto"/>
          <w:szCs w:val="21"/>
          <w:highlight w:val="none"/>
        </w:rPr>
      </w:pPr>
      <w:r>
        <w:rPr>
          <w:color w:val="auto"/>
          <w:szCs w:val="21"/>
          <w:highlight w:val="none"/>
        </w:rPr>
        <w:t>地址：</w:t>
      </w:r>
      <w:r>
        <w:rPr>
          <w:color w:val="auto"/>
          <w:szCs w:val="21"/>
          <w:highlight w:val="none"/>
          <w:u w:val="single"/>
        </w:rPr>
        <w:t xml:space="preserve">                                   </w:t>
      </w:r>
    </w:p>
    <w:p>
      <w:pPr>
        <w:spacing w:line="440" w:lineRule="exact"/>
        <w:rPr>
          <w:color w:val="auto"/>
          <w:szCs w:val="21"/>
          <w:highlight w:val="none"/>
        </w:rPr>
      </w:pPr>
      <w:r>
        <w:rPr>
          <w:color w:val="auto"/>
          <w:szCs w:val="21"/>
          <w:highlight w:val="none"/>
        </w:rPr>
        <w:t>成立时间：</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spacing w:line="440" w:lineRule="exact"/>
        <w:rPr>
          <w:color w:val="auto"/>
          <w:szCs w:val="21"/>
          <w:highlight w:val="none"/>
        </w:rPr>
      </w:pPr>
      <w:r>
        <w:rPr>
          <w:color w:val="auto"/>
          <w:szCs w:val="21"/>
          <w:highlight w:val="none"/>
        </w:rPr>
        <w:t>经营期限：</w:t>
      </w:r>
      <w:r>
        <w:rPr>
          <w:color w:val="auto"/>
          <w:szCs w:val="21"/>
          <w:highlight w:val="none"/>
          <w:u w:val="single"/>
        </w:rPr>
        <w:t xml:space="preserve">                               </w:t>
      </w:r>
    </w:p>
    <w:p>
      <w:pPr>
        <w:spacing w:line="440" w:lineRule="exact"/>
        <w:rPr>
          <w:color w:val="auto"/>
          <w:szCs w:val="21"/>
          <w:highlight w:val="none"/>
        </w:rPr>
      </w:pPr>
    </w:p>
    <w:p>
      <w:pPr>
        <w:spacing w:line="440" w:lineRule="exact"/>
        <w:rPr>
          <w:color w:val="auto"/>
          <w:szCs w:val="21"/>
          <w:highlight w:val="none"/>
        </w:rPr>
      </w:pPr>
      <w:r>
        <w:rPr>
          <w:color w:val="auto"/>
          <w:szCs w:val="21"/>
          <w:highlight w:val="none"/>
        </w:rPr>
        <w:t>姓名：</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 xml:space="preserve"> 性别：</w:t>
      </w:r>
      <w:r>
        <w:rPr>
          <w:color w:val="auto"/>
          <w:szCs w:val="21"/>
          <w:highlight w:val="none"/>
          <w:u w:val="single"/>
        </w:rPr>
        <w:t xml:space="preserve">         </w:t>
      </w:r>
      <w:r>
        <w:rPr>
          <w:color w:val="auto"/>
          <w:szCs w:val="21"/>
          <w:highlight w:val="none"/>
        </w:rPr>
        <w:t>年龄：</w:t>
      </w:r>
      <w:r>
        <w:rPr>
          <w:color w:val="auto"/>
          <w:szCs w:val="21"/>
          <w:highlight w:val="none"/>
          <w:u w:val="single"/>
        </w:rPr>
        <w:t xml:space="preserve">        </w:t>
      </w:r>
      <w:r>
        <w:rPr>
          <w:color w:val="auto"/>
          <w:szCs w:val="21"/>
          <w:highlight w:val="none"/>
        </w:rPr>
        <w:t>职务：</w:t>
      </w:r>
      <w:r>
        <w:rPr>
          <w:color w:val="auto"/>
          <w:szCs w:val="21"/>
          <w:highlight w:val="none"/>
          <w:u w:val="single"/>
        </w:rPr>
        <w:t xml:space="preserve">        </w:t>
      </w:r>
    </w:p>
    <w:p>
      <w:pPr>
        <w:spacing w:line="440" w:lineRule="exact"/>
        <w:rPr>
          <w:color w:val="auto"/>
          <w:szCs w:val="21"/>
          <w:highlight w:val="none"/>
        </w:rPr>
      </w:pPr>
      <w:r>
        <w:rPr>
          <w:color w:val="auto"/>
          <w:szCs w:val="21"/>
          <w:highlight w:val="none"/>
        </w:rPr>
        <w:t>系</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w:t>
      </w:r>
      <w:r>
        <w:rPr>
          <w:color w:val="auto"/>
          <w:szCs w:val="21"/>
          <w:highlight w:val="none"/>
        </w:rPr>
        <w:t>投标人名称</w:t>
      </w:r>
      <w:r>
        <w:rPr>
          <w:rFonts w:hint="eastAsia"/>
          <w:color w:val="auto"/>
          <w:szCs w:val="21"/>
          <w:highlight w:val="none"/>
        </w:rPr>
        <w:t>）</w:t>
      </w:r>
      <w:r>
        <w:rPr>
          <w:color w:val="auto"/>
          <w:szCs w:val="21"/>
          <w:highlight w:val="none"/>
        </w:rPr>
        <w:t>的法定代表人。</w:t>
      </w:r>
    </w:p>
    <w:p>
      <w:pPr>
        <w:spacing w:line="440" w:lineRule="exact"/>
        <w:ind w:firstLine="420" w:firstLineChars="200"/>
        <w:rPr>
          <w:color w:val="auto"/>
          <w:szCs w:val="21"/>
          <w:highlight w:val="none"/>
        </w:rPr>
      </w:pPr>
      <w:r>
        <w:rPr>
          <w:color w:val="auto"/>
          <w:szCs w:val="21"/>
          <w:highlight w:val="none"/>
        </w:rPr>
        <w:t>特此证明。</w:t>
      </w:r>
    </w:p>
    <w:p>
      <w:pPr>
        <w:spacing w:line="440" w:lineRule="exact"/>
        <w:rPr>
          <w:color w:val="auto"/>
          <w:highlight w:val="none"/>
        </w:rPr>
      </w:pPr>
      <w:r>
        <w:rPr>
          <w:color w:val="auto"/>
          <w:highlight w:val="none"/>
        </w:rPr>
        <w:t xml:space="preserve">                       </w:t>
      </w:r>
      <w:r>
        <w:rPr>
          <w:rFonts w:hint="eastAsia"/>
          <w:color w:val="auto"/>
          <w:highlight w:val="none"/>
        </w:rPr>
        <w:t xml:space="preserve">              </w:t>
      </w:r>
      <w:r>
        <w:rPr>
          <w:color w:val="auto"/>
          <w:highlight w:val="none"/>
        </w:rPr>
        <w:t xml:space="preserve"> 投标人：</w:t>
      </w:r>
      <w:r>
        <w:rPr>
          <w:color w:val="auto"/>
          <w:highlight w:val="none"/>
          <w:u w:val="single"/>
        </w:rPr>
        <w:t xml:space="preserve">                 </w:t>
      </w:r>
      <w:r>
        <w:rPr>
          <w:color w:val="auto"/>
          <w:highlight w:val="none"/>
        </w:rPr>
        <w:t xml:space="preserve">（盖单位章）                                </w:t>
      </w:r>
      <w:r>
        <w:rPr>
          <w:rFonts w:hint="eastAsia"/>
          <w:color w:val="auto"/>
          <w:highlight w:val="none"/>
        </w:rPr>
        <w:t xml:space="preserve">             </w:t>
      </w:r>
      <w:r>
        <w:rPr>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 xml:space="preserve">日      </w:t>
      </w:r>
    </w:p>
    <w:p>
      <w:pPr>
        <w:pStyle w:val="4"/>
        <w:jc w:val="center"/>
        <w:rPr>
          <w:color w:val="auto"/>
          <w:highlight w:val="none"/>
        </w:rPr>
      </w:pPr>
    </w:p>
    <w:p>
      <w:pPr>
        <w:pStyle w:val="4"/>
        <w:jc w:val="center"/>
        <w:rPr>
          <w:color w:val="auto"/>
          <w:highlight w:val="none"/>
        </w:rPr>
      </w:pPr>
    </w:p>
    <w:p>
      <w:pPr>
        <w:pStyle w:val="4"/>
        <w:jc w:val="center"/>
        <w:rPr>
          <w:color w:val="auto"/>
          <w:highlight w:val="none"/>
        </w:rPr>
      </w:pPr>
    </w:p>
    <w:p>
      <w:pPr>
        <w:rPr>
          <w:color w:val="auto"/>
          <w:highlight w:val="none"/>
        </w:rPr>
      </w:pPr>
    </w:p>
    <w:p>
      <w:pPr>
        <w:rPr>
          <w:color w:val="auto"/>
          <w:highlight w:val="none"/>
        </w:rPr>
      </w:pPr>
    </w:p>
    <w:p>
      <w:pPr>
        <w:pStyle w:val="4"/>
        <w:jc w:val="center"/>
        <w:rPr>
          <w:color w:val="auto"/>
          <w:highlight w:val="none"/>
        </w:rPr>
      </w:pPr>
    </w:p>
    <w:p>
      <w:pPr>
        <w:rPr>
          <w:color w:val="auto"/>
          <w:highlight w:val="none"/>
        </w:rPr>
      </w:pPr>
    </w:p>
    <w:p>
      <w:pPr>
        <w:pStyle w:val="16"/>
        <w:rPr>
          <w:color w:val="auto"/>
          <w:highlight w:val="none"/>
        </w:rPr>
      </w:pPr>
    </w:p>
    <w:p>
      <w:pPr>
        <w:pStyle w:val="16"/>
        <w:rPr>
          <w:color w:val="auto"/>
          <w:highlight w:val="none"/>
        </w:rPr>
      </w:pPr>
    </w:p>
    <w:p>
      <w:pPr>
        <w:rPr>
          <w:color w:val="auto"/>
          <w:highlight w:val="none"/>
        </w:rPr>
      </w:pPr>
    </w:p>
    <w:p>
      <w:pPr>
        <w:rPr>
          <w:color w:val="auto"/>
          <w:highlight w:val="none"/>
        </w:rPr>
      </w:pPr>
    </w:p>
    <w:p>
      <w:pPr>
        <w:rPr>
          <w:color w:val="auto"/>
          <w:highlight w:val="none"/>
        </w:rPr>
      </w:pPr>
    </w:p>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p>
      <w:pPr>
        <w:pStyle w:val="4"/>
        <w:jc w:val="center"/>
        <w:rPr>
          <w:color w:val="auto"/>
          <w:highlight w:val="none"/>
        </w:rPr>
      </w:pPr>
      <w:bookmarkStart w:id="1743" w:name="_Toc28078"/>
      <w:bookmarkStart w:id="1744" w:name="_Toc465787859"/>
      <w:bookmarkStart w:id="1745" w:name="_Toc17557"/>
      <w:bookmarkStart w:id="1746" w:name="_Toc21477"/>
      <w:bookmarkStart w:id="1747" w:name="_Toc1770"/>
      <w:bookmarkStart w:id="1748" w:name="_Toc19273"/>
      <w:bookmarkStart w:id="1749" w:name="_Toc9672"/>
      <w:bookmarkStart w:id="1750" w:name="_Toc16773"/>
      <w:bookmarkStart w:id="1751" w:name="_Toc6658"/>
      <w:bookmarkStart w:id="1752" w:name="_Toc20275"/>
      <w:bookmarkStart w:id="1753" w:name="_Toc25044"/>
      <w:bookmarkStart w:id="1754" w:name="_Toc7159"/>
      <w:bookmarkStart w:id="1755" w:name="_Toc16951"/>
      <w:bookmarkStart w:id="1756" w:name="_Toc12545"/>
      <w:bookmarkStart w:id="1757" w:name="_Toc7586"/>
      <w:bookmarkStart w:id="1758" w:name="_Toc17602"/>
      <w:bookmarkStart w:id="1759" w:name="_Toc19054"/>
      <w:bookmarkStart w:id="1760" w:name="_Toc14120"/>
      <w:bookmarkStart w:id="1761" w:name="_Toc549"/>
      <w:bookmarkStart w:id="1762" w:name="_Toc29247"/>
      <w:bookmarkStart w:id="1763" w:name="_Toc32235"/>
      <w:bookmarkStart w:id="1764" w:name="_Toc5479"/>
      <w:bookmarkStart w:id="1765" w:name="_Toc29220"/>
      <w:bookmarkStart w:id="1766" w:name="_Toc6575"/>
      <w:bookmarkStart w:id="1767" w:name="_Toc10029"/>
      <w:bookmarkStart w:id="1768" w:name="_Toc15299"/>
      <w:r>
        <w:rPr>
          <w:rFonts w:hint="eastAsia"/>
          <w:color w:val="auto"/>
          <w:highlight w:val="none"/>
        </w:rPr>
        <w:t>二</w:t>
      </w:r>
      <w:r>
        <w:rPr>
          <w:color w:val="auto"/>
          <w:highlight w:val="none"/>
        </w:rPr>
        <w:t>、投标函</w:t>
      </w:r>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p>
    <w:p>
      <w:pPr>
        <w:spacing w:line="360" w:lineRule="auto"/>
        <w:rPr>
          <w:color w:val="auto"/>
          <w:szCs w:val="21"/>
          <w:highlight w:val="none"/>
        </w:rPr>
      </w:pPr>
      <w:r>
        <w:rPr>
          <w:color w:val="auto"/>
          <w:szCs w:val="21"/>
          <w:highlight w:val="none"/>
          <w:u w:val="single"/>
        </w:rPr>
        <w:t xml:space="preserve">                        </w:t>
      </w:r>
      <w:r>
        <w:rPr>
          <w:color w:val="auto"/>
          <w:szCs w:val="21"/>
          <w:highlight w:val="none"/>
        </w:rPr>
        <w:t>（招标人名称）：</w:t>
      </w:r>
    </w:p>
    <w:p>
      <w:pPr>
        <w:spacing w:line="360" w:lineRule="auto"/>
        <w:ind w:firstLine="420" w:firstLineChars="200"/>
        <w:rPr>
          <w:color w:val="auto"/>
          <w:szCs w:val="21"/>
          <w:highlight w:val="none"/>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（项目名称）招标文件的全部内容，愿意以</w:t>
      </w:r>
      <w:r>
        <w:rPr>
          <w:rFonts w:hint="eastAsia"/>
          <w:color w:val="auto"/>
          <w:szCs w:val="21"/>
          <w:highlight w:val="none"/>
        </w:rPr>
        <w:t>招标文件规定的内容进行投标</w:t>
      </w:r>
      <w:r>
        <w:rPr>
          <w:color w:val="auto"/>
          <w:szCs w:val="21"/>
          <w:highlight w:val="none"/>
        </w:rPr>
        <w:t>，按合同约定实施和完成</w:t>
      </w:r>
      <w:r>
        <w:rPr>
          <w:rFonts w:hint="eastAsia"/>
          <w:color w:val="auto"/>
          <w:szCs w:val="21"/>
          <w:highlight w:val="none"/>
        </w:rPr>
        <w:t>项目内容</w:t>
      </w:r>
      <w:r>
        <w:rPr>
          <w:color w:val="auto"/>
          <w:szCs w:val="21"/>
          <w:highlight w:val="none"/>
        </w:rPr>
        <w:t>，质量达到</w:t>
      </w:r>
      <w:r>
        <w:rPr>
          <w:color w:val="auto"/>
          <w:szCs w:val="21"/>
          <w:highlight w:val="none"/>
          <w:u w:val="single"/>
        </w:rPr>
        <w:t xml:space="preserve">           </w:t>
      </w:r>
      <w:r>
        <w:rPr>
          <w:color w:val="auto"/>
          <w:szCs w:val="21"/>
          <w:highlight w:val="none"/>
        </w:rPr>
        <w:t>。</w:t>
      </w:r>
    </w:p>
    <w:p>
      <w:pPr>
        <w:spacing w:line="360" w:lineRule="auto"/>
        <w:ind w:firstLine="420" w:firstLineChars="200"/>
        <w:rPr>
          <w:color w:val="auto"/>
          <w:szCs w:val="21"/>
          <w:highlight w:val="none"/>
        </w:rPr>
      </w:pPr>
      <w:r>
        <w:rPr>
          <w:color w:val="auto"/>
          <w:szCs w:val="21"/>
          <w:highlight w:val="none"/>
        </w:rPr>
        <w:t>2．我方承诺</w:t>
      </w:r>
      <w:r>
        <w:rPr>
          <w:rFonts w:hint="eastAsia"/>
          <w:color w:val="auto"/>
          <w:szCs w:val="21"/>
          <w:highlight w:val="none"/>
        </w:rPr>
        <w:t>同意并按照招标文件的约定进行投标事宜，</w:t>
      </w:r>
      <w:r>
        <w:rPr>
          <w:color w:val="auto"/>
          <w:szCs w:val="21"/>
          <w:highlight w:val="none"/>
        </w:rPr>
        <w:t>在</w:t>
      </w:r>
      <w:r>
        <w:rPr>
          <w:rFonts w:hint="eastAsia"/>
          <w:color w:val="auto"/>
          <w:szCs w:val="21"/>
          <w:highlight w:val="none"/>
        </w:rPr>
        <w:t>招标文件规定的</w:t>
      </w:r>
      <w:r>
        <w:rPr>
          <w:color w:val="auto"/>
          <w:szCs w:val="21"/>
          <w:highlight w:val="none"/>
        </w:rPr>
        <w:t>投标有效期内不修改、撤销投标文件。</w:t>
      </w:r>
    </w:p>
    <w:p>
      <w:pPr>
        <w:spacing w:line="360" w:lineRule="auto"/>
        <w:ind w:firstLine="420" w:firstLineChars="200"/>
        <w:rPr>
          <w:color w:val="auto"/>
          <w:szCs w:val="21"/>
          <w:highlight w:val="none"/>
        </w:rPr>
      </w:pPr>
      <w:r>
        <w:rPr>
          <w:rFonts w:hint="eastAsia"/>
          <w:color w:val="auto"/>
          <w:szCs w:val="21"/>
          <w:highlight w:val="none"/>
        </w:rPr>
        <w:t>3．</w:t>
      </w:r>
      <w:r>
        <w:rPr>
          <w:color w:val="auto"/>
          <w:szCs w:val="21"/>
          <w:highlight w:val="none"/>
        </w:rPr>
        <w:t>我方</w:t>
      </w:r>
      <w:r>
        <w:rPr>
          <w:rFonts w:hint="eastAsia"/>
          <w:color w:val="auto"/>
          <w:szCs w:val="21"/>
          <w:highlight w:val="none"/>
        </w:rPr>
        <w:t>保证在本项目投标中不与其他单位围标、串标，不出让投标资格，不向招标人或评标委员会成员行贿。</w:t>
      </w:r>
    </w:p>
    <w:p>
      <w:pPr>
        <w:spacing w:line="360" w:lineRule="auto"/>
        <w:ind w:firstLine="420" w:firstLineChars="200"/>
        <w:rPr>
          <w:color w:val="auto"/>
          <w:szCs w:val="21"/>
          <w:highlight w:val="none"/>
        </w:rPr>
      </w:pPr>
      <w:r>
        <w:rPr>
          <w:rFonts w:hint="eastAsia"/>
          <w:color w:val="auto"/>
          <w:szCs w:val="21"/>
          <w:highlight w:val="none"/>
        </w:rPr>
        <w:t>4．近三年内投标人在与招标人的合作过程当中不存在骗取中标或者不履行合约的行为，且近三年内在经营活动中没有重大违法记录。</w:t>
      </w:r>
    </w:p>
    <w:p>
      <w:pPr>
        <w:spacing w:line="360" w:lineRule="auto"/>
        <w:ind w:firstLine="420" w:firstLineChars="200"/>
        <w:rPr>
          <w:color w:val="auto"/>
          <w:szCs w:val="21"/>
          <w:highlight w:val="none"/>
        </w:rPr>
      </w:pPr>
      <w:r>
        <w:rPr>
          <w:rFonts w:hint="eastAsia"/>
          <w:color w:val="auto"/>
          <w:szCs w:val="21"/>
          <w:highlight w:val="none"/>
        </w:rPr>
        <w:t>5．我方没有处于被责令停业的状态；没有处于被行政主管部门取消投标资格的处罚期内；没有处于财产被接管、冻结、破产的状态；在投标资格审查截止日期前两年内没有行政主管部门已书面认定的重大质量问题；在人民检察院行贿犯罪档案查询结果中，我方没有在投标资格审查截止时间前两年内被人民法院判决犯有行贿罪的记录。</w:t>
      </w:r>
    </w:p>
    <w:p>
      <w:pPr>
        <w:spacing w:line="360" w:lineRule="auto"/>
        <w:ind w:firstLine="420" w:firstLineChars="200"/>
        <w:rPr>
          <w:color w:val="auto"/>
          <w:szCs w:val="21"/>
          <w:highlight w:val="none"/>
        </w:rPr>
      </w:pPr>
      <w:r>
        <w:rPr>
          <w:rFonts w:hint="eastAsia"/>
          <w:color w:val="auto"/>
          <w:szCs w:val="21"/>
          <w:highlight w:val="none"/>
        </w:rPr>
        <w:t>6．</w:t>
      </w:r>
      <w:r>
        <w:rPr>
          <w:color w:val="auto"/>
          <w:szCs w:val="21"/>
          <w:highlight w:val="none"/>
        </w:rPr>
        <w:t>随同本投标函提交</w:t>
      </w:r>
      <w:r>
        <w:rPr>
          <w:rFonts w:hint="eastAsia"/>
          <w:color w:val="auto"/>
          <w:szCs w:val="21"/>
          <w:highlight w:val="none"/>
        </w:rPr>
        <w:t>投标保证金</w:t>
      </w:r>
      <w:r>
        <w:rPr>
          <w:color w:val="auto"/>
          <w:szCs w:val="21"/>
          <w:highlight w:val="none"/>
        </w:rPr>
        <w:t>一份，金额为¥</w:t>
      </w:r>
      <w:r>
        <w:rPr>
          <w:color w:val="auto"/>
          <w:szCs w:val="21"/>
          <w:highlight w:val="none"/>
          <w:u w:val="single"/>
        </w:rPr>
        <w:t xml:space="preserve"> </w:t>
      </w:r>
      <w:r>
        <w:rPr>
          <w:rFonts w:hint="eastAsia"/>
          <w:color w:val="auto"/>
          <w:szCs w:val="21"/>
          <w:highlight w:val="none"/>
          <w:u w:val="single"/>
        </w:rPr>
        <w:t>50,000.00</w:t>
      </w:r>
      <w:r>
        <w:rPr>
          <w:color w:val="auto"/>
          <w:szCs w:val="21"/>
          <w:highlight w:val="none"/>
          <w:u w:val="single"/>
        </w:rPr>
        <w:t xml:space="preserve"> </w:t>
      </w:r>
      <w:r>
        <w:rPr>
          <w:color w:val="auto"/>
          <w:szCs w:val="21"/>
          <w:highlight w:val="none"/>
        </w:rPr>
        <w:t>（大写</w:t>
      </w:r>
      <w:r>
        <w:rPr>
          <w:rFonts w:hint="eastAsia"/>
          <w:color w:val="auto"/>
          <w:szCs w:val="21"/>
          <w:highlight w:val="none"/>
        </w:rPr>
        <w:t>：</w:t>
      </w:r>
      <w:r>
        <w:rPr>
          <w:rFonts w:hint="eastAsia"/>
          <w:color w:val="auto"/>
          <w:szCs w:val="21"/>
          <w:highlight w:val="none"/>
          <w:u w:val="single"/>
        </w:rPr>
        <w:t xml:space="preserve"> 伍万元整 </w:t>
      </w:r>
      <w:r>
        <w:rPr>
          <w:color w:val="auto"/>
          <w:szCs w:val="21"/>
          <w:highlight w:val="none"/>
        </w:rPr>
        <w:t>）。</w:t>
      </w:r>
    </w:p>
    <w:p>
      <w:pPr>
        <w:spacing w:line="360" w:lineRule="auto"/>
        <w:ind w:firstLine="420" w:firstLineChars="200"/>
        <w:rPr>
          <w:color w:val="auto"/>
          <w:szCs w:val="21"/>
          <w:highlight w:val="none"/>
        </w:rPr>
      </w:pPr>
      <w:r>
        <w:rPr>
          <w:rFonts w:hint="eastAsia"/>
          <w:color w:val="auto"/>
          <w:szCs w:val="21"/>
          <w:highlight w:val="none"/>
        </w:rPr>
        <w:t>7．</w:t>
      </w:r>
      <w:r>
        <w:rPr>
          <w:color w:val="auto"/>
          <w:szCs w:val="21"/>
          <w:highlight w:val="none"/>
        </w:rPr>
        <w:t>如我方中标：</w:t>
      </w:r>
    </w:p>
    <w:p>
      <w:pPr>
        <w:spacing w:line="360" w:lineRule="auto"/>
        <w:ind w:firstLine="718" w:firstLineChars="342"/>
        <w:rPr>
          <w:color w:val="auto"/>
          <w:szCs w:val="21"/>
          <w:highlight w:val="none"/>
        </w:rPr>
      </w:pPr>
      <w:r>
        <w:rPr>
          <w:color w:val="auto"/>
          <w:szCs w:val="21"/>
          <w:highlight w:val="none"/>
        </w:rPr>
        <w:t>（1）我方承诺在收到中标通知书后，在中标通知书规定的期限内与你方签订合同。</w:t>
      </w:r>
    </w:p>
    <w:p>
      <w:pPr>
        <w:spacing w:line="360" w:lineRule="auto"/>
        <w:ind w:firstLine="718" w:firstLineChars="342"/>
        <w:rPr>
          <w:color w:val="auto"/>
          <w:szCs w:val="21"/>
          <w:highlight w:val="none"/>
        </w:rPr>
      </w:pPr>
      <w:r>
        <w:rPr>
          <w:color w:val="auto"/>
          <w:szCs w:val="21"/>
          <w:highlight w:val="none"/>
        </w:rPr>
        <w:t>（</w:t>
      </w:r>
      <w:r>
        <w:rPr>
          <w:rFonts w:hint="eastAsia"/>
          <w:color w:val="auto"/>
          <w:szCs w:val="21"/>
          <w:highlight w:val="none"/>
        </w:rPr>
        <w:t>2</w:t>
      </w:r>
      <w:r>
        <w:rPr>
          <w:color w:val="auto"/>
          <w:szCs w:val="21"/>
          <w:highlight w:val="none"/>
        </w:rPr>
        <w:t>）我方承诺在合同约定的期限内完成并移交全部合同</w:t>
      </w:r>
      <w:r>
        <w:rPr>
          <w:rFonts w:hint="eastAsia"/>
          <w:color w:val="auto"/>
          <w:szCs w:val="21"/>
          <w:highlight w:val="none"/>
        </w:rPr>
        <w:t>内容</w:t>
      </w:r>
      <w:r>
        <w:rPr>
          <w:color w:val="auto"/>
          <w:szCs w:val="21"/>
          <w:highlight w:val="none"/>
        </w:rPr>
        <w:t>。</w:t>
      </w:r>
    </w:p>
    <w:p>
      <w:pPr>
        <w:spacing w:line="360" w:lineRule="auto"/>
        <w:ind w:firstLine="420" w:firstLineChars="200"/>
        <w:rPr>
          <w:color w:val="auto"/>
          <w:szCs w:val="21"/>
          <w:highlight w:val="none"/>
        </w:rPr>
      </w:pPr>
      <w:r>
        <w:rPr>
          <w:rFonts w:hint="eastAsia"/>
          <w:color w:val="auto"/>
          <w:szCs w:val="21"/>
          <w:highlight w:val="none"/>
        </w:rPr>
        <w:t>8</w:t>
      </w:r>
      <w:r>
        <w:rPr>
          <w:color w:val="auto"/>
          <w:szCs w:val="21"/>
          <w:highlight w:val="none"/>
        </w:rPr>
        <w:t>．</w:t>
      </w:r>
      <w:r>
        <w:rPr>
          <w:rFonts w:hint="eastAsia"/>
          <w:color w:val="auto"/>
          <w:highlight w:val="none"/>
        </w:rPr>
        <w:t>我方在此声明，所递交的投标文件及有关资料内容完整、真实和准确，且不存在第二章“投标人须知”第1.4.2项和第1.4.3项规定的任何一种情形。</w:t>
      </w:r>
    </w:p>
    <w:p>
      <w:pPr>
        <w:spacing w:line="360" w:lineRule="auto"/>
        <w:ind w:firstLine="420" w:firstLineChars="200"/>
        <w:rPr>
          <w:color w:val="auto"/>
          <w:szCs w:val="21"/>
          <w:highlight w:val="none"/>
        </w:rPr>
      </w:pPr>
      <w:r>
        <w:rPr>
          <w:rFonts w:hint="eastAsia"/>
          <w:color w:val="auto"/>
          <w:szCs w:val="21"/>
          <w:highlight w:val="none"/>
        </w:rPr>
        <w:t>9．</w:t>
      </w:r>
      <w:r>
        <w:rPr>
          <w:color w:val="auto"/>
          <w:szCs w:val="21"/>
          <w:highlight w:val="none"/>
          <w:u w:val="single"/>
        </w:rPr>
        <w:t xml:space="preserve">                                       </w:t>
      </w:r>
      <w:r>
        <w:rPr>
          <w:color w:val="auto"/>
          <w:szCs w:val="21"/>
          <w:highlight w:val="none"/>
        </w:rPr>
        <w:t>（</w:t>
      </w:r>
      <w:r>
        <w:rPr>
          <w:rFonts w:hint="eastAsia"/>
          <w:color w:val="auto"/>
          <w:szCs w:val="21"/>
          <w:highlight w:val="none"/>
        </w:rPr>
        <w:t>其他</w:t>
      </w:r>
      <w:r>
        <w:rPr>
          <w:color w:val="auto"/>
          <w:szCs w:val="21"/>
          <w:highlight w:val="none"/>
        </w:rPr>
        <w:t>补充说明）。</w:t>
      </w:r>
    </w:p>
    <w:p>
      <w:pPr>
        <w:spacing w:line="360" w:lineRule="auto"/>
        <w:ind w:firstLine="3675" w:firstLineChars="1750"/>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rPr>
        <w:t>（盖单位章）</w:t>
      </w:r>
    </w:p>
    <w:p>
      <w:pPr>
        <w:spacing w:line="360" w:lineRule="auto"/>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pPr>
        <w:spacing w:line="360" w:lineRule="auto"/>
        <w:ind w:firstLine="3675" w:firstLineChars="1750"/>
        <w:rPr>
          <w:color w:val="auto"/>
          <w:szCs w:val="21"/>
          <w:highlight w:val="none"/>
        </w:rPr>
      </w:pPr>
      <w:r>
        <w:rPr>
          <w:color w:val="auto"/>
          <w:szCs w:val="21"/>
          <w:highlight w:val="none"/>
        </w:rPr>
        <w:t>地址：</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网址：</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电话：</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传真：</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邮政编码：</w:t>
      </w:r>
      <w:r>
        <w:rPr>
          <w:color w:val="auto"/>
          <w:szCs w:val="21"/>
          <w:highlight w:val="none"/>
          <w:u w:val="single"/>
        </w:rPr>
        <w:t xml:space="preserve">                                 </w:t>
      </w:r>
    </w:p>
    <w:p>
      <w:pPr>
        <w:spacing w:line="360" w:lineRule="auto"/>
        <w:ind w:firstLine="5040" w:firstLineChars="2400"/>
        <w:rPr>
          <w:rFonts w:eastAsia="黑体"/>
          <w:color w:val="auto"/>
          <w:sz w:val="20"/>
          <w:szCs w:val="20"/>
          <w:highlight w:val="none"/>
        </w:rPr>
      </w:pP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color w:val="auto"/>
          <w:szCs w:val="21"/>
          <w:highlight w:val="none"/>
        </w:rPr>
        <w:t>日</w:t>
      </w:r>
    </w:p>
    <w:p>
      <w:pPr>
        <w:pStyle w:val="4"/>
        <w:jc w:val="center"/>
        <w:rPr>
          <w:color w:val="auto"/>
          <w:highlight w:val="none"/>
        </w:rPr>
      </w:pPr>
      <w:bookmarkStart w:id="1769" w:name="_Toc3330"/>
      <w:bookmarkStart w:id="1770" w:name="_Toc31563"/>
      <w:bookmarkStart w:id="1771" w:name="_Toc11741"/>
      <w:bookmarkStart w:id="1772" w:name="_Toc247085878"/>
      <w:bookmarkStart w:id="1773" w:name="_Toc375215271"/>
      <w:bookmarkStart w:id="1774" w:name="_Toc15845"/>
      <w:bookmarkStart w:id="1775" w:name="_Toc246996360"/>
      <w:bookmarkStart w:id="1776" w:name="_Toc437878967"/>
      <w:bookmarkStart w:id="1777" w:name="_Toc422925652"/>
      <w:bookmarkStart w:id="1778" w:name="_Toc26648"/>
      <w:bookmarkStart w:id="1779" w:name="_Toc20887"/>
      <w:bookmarkStart w:id="1780" w:name="_Toc377652638"/>
      <w:bookmarkStart w:id="1781" w:name="_Toc13834"/>
      <w:bookmarkStart w:id="1782" w:name="_Toc374522347"/>
      <w:bookmarkStart w:id="1783" w:name="_Toc15887"/>
      <w:bookmarkStart w:id="1784" w:name="_Toc374520063"/>
      <w:bookmarkStart w:id="1785" w:name="_Toc25173"/>
      <w:bookmarkStart w:id="1786" w:name="_Toc22483"/>
      <w:bookmarkStart w:id="1787" w:name="_Toc7495"/>
      <w:bookmarkStart w:id="1788" w:name="_Toc22727"/>
      <w:bookmarkStart w:id="1789" w:name="_Toc246997103"/>
      <w:bookmarkStart w:id="1790" w:name="_Toc374456231"/>
      <w:bookmarkStart w:id="1791" w:name="_Toc152042581"/>
      <w:bookmarkStart w:id="1792" w:name="_Toc378253572"/>
      <w:bookmarkStart w:id="1793" w:name="_Toc4583"/>
      <w:bookmarkStart w:id="1794" w:name="_Toc28662"/>
      <w:bookmarkStart w:id="1795" w:name="_Toc24024"/>
      <w:bookmarkStart w:id="1796" w:name="_Toc11868"/>
      <w:bookmarkStart w:id="1797" w:name="_Toc15879"/>
      <w:bookmarkStart w:id="1798" w:name="_Toc179632812"/>
      <w:bookmarkStart w:id="1799" w:name="_Toc390416984"/>
      <w:bookmarkStart w:id="1800" w:name="_Toc152045792"/>
      <w:bookmarkStart w:id="1801" w:name="_Toc436212781"/>
      <w:bookmarkStart w:id="1802" w:name="_Toc26201"/>
      <w:bookmarkStart w:id="1803" w:name="_Toc4452"/>
      <w:bookmarkStart w:id="1804" w:name="_Toc435178427"/>
      <w:bookmarkStart w:id="1805" w:name="_Toc26100"/>
      <w:bookmarkStart w:id="1806" w:name="_Toc25053"/>
      <w:bookmarkStart w:id="1807" w:name="_Toc144974861"/>
      <w:bookmarkStart w:id="1808" w:name="_Toc377388939"/>
      <w:bookmarkStart w:id="1809" w:name="_Toc31572"/>
      <w:bookmarkStart w:id="1810" w:name="_Toc9346"/>
      <w:bookmarkStart w:id="1811" w:name="_Toc433812768"/>
      <w:bookmarkStart w:id="1812" w:name="_Toc436215785"/>
      <w:bookmarkStart w:id="1813" w:name="_Toc391022299"/>
      <w:bookmarkStart w:id="1814" w:name="_Toc2738"/>
      <w:bookmarkStart w:id="1815" w:name="_Toc26687"/>
      <w:r>
        <w:rPr>
          <w:rFonts w:hint="eastAsia"/>
          <w:color w:val="auto"/>
          <w:highlight w:val="none"/>
        </w:rPr>
        <w:t>三</w:t>
      </w:r>
      <w:r>
        <w:rPr>
          <w:color w:val="auto"/>
          <w:highlight w:val="none"/>
        </w:rPr>
        <w:t>、授权委托书</w:t>
      </w:r>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pPr>
        <w:topLinePunct/>
        <w:spacing w:line="440" w:lineRule="exact"/>
        <w:ind w:firstLine="420" w:firstLineChars="200"/>
        <w:rPr>
          <w:color w:val="auto"/>
          <w:szCs w:val="21"/>
          <w:highlight w:val="none"/>
        </w:rPr>
      </w:pPr>
      <w:r>
        <w:rPr>
          <w:color w:val="auto"/>
          <w:szCs w:val="21"/>
          <w:highlight w:val="none"/>
        </w:rPr>
        <w:t>本人</w:t>
      </w:r>
      <w:r>
        <w:rPr>
          <w:color w:val="auto"/>
          <w:szCs w:val="21"/>
          <w:highlight w:val="none"/>
          <w:u w:val="single"/>
        </w:rPr>
        <w:t xml:space="preserve">       </w:t>
      </w:r>
      <w:r>
        <w:rPr>
          <w:color w:val="auto"/>
          <w:szCs w:val="21"/>
          <w:highlight w:val="none"/>
        </w:rPr>
        <w:t>（姓名）系</w:t>
      </w:r>
      <w:r>
        <w:rPr>
          <w:color w:val="auto"/>
          <w:szCs w:val="21"/>
          <w:highlight w:val="none"/>
          <w:u w:val="single"/>
        </w:rPr>
        <w:t xml:space="preserve">        </w:t>
      </w:r>
      <w:r>
        <w:rPr>
          <w:color w:val="auto"/>
          <w:szCs w:val="21"/>
          <w:highlight w:val="none"/>
        </w:rPr>
        <w:t>（投标人名称）的法定代表人，现委托</w:t>
      </w:r>
      <w:r>
        <w:rPr>
          <w:color w:val="auto"/>
          <w:szCs w:val="21"/>
          <w:highlight w:val="none"/>
          <w:u w:val="single"/>
        </w:rPr>
        <w:t xml:space="preserve">        </w:t>
      </w:r>
      <w:r>
        <w:rPr>
          <w:color w:val="auto"/>
          <w:szCs w:val="21"/>
          <w:highlight w:val="none"/>
        </w:rPr>
        <w:t>（姓名）为我方代理人。代理人根据授权，以我方名义签署、澄清</w:t>
      </w:r>
      <w:r>
        <w:rPr>
          <w:rFonts w:hint="eastAsia"/>
          <w:color w:val="auto"/>
          <w:szCs w:val="21"/>
          <w:highlight w:val="none"/>
        </w:rPr>
        <w:t>、说明、补正</w:t>
      </w:r>
      <w:r>
        <w:rPr>
          <w:color w:val="auto"/>
          <w:szCs w:val="21"/>
          <w:highlight w:val="none"/>
        </w:rPr>
        <w:t>、递交、撤回、修改</w:t>
      </w:r>
      <w:r>
        <w:rPr>
          <w:color w:val="auto"/>
          <w:szCs w:val="21"/>
          <w:highlight w:val="none"/>
          <w:u w:val="single"/>
        </w:rPr>
        <w:t xml:space="preserve">           </w:t>
      </w:r>
      <w:r>
        <w:rPr>
          <w:color w:val="auto"/>
          <w:szCs w:val="21"/>
          <w:highlight w:val="none"/>
        </w:rPr>
        <w:t>（项目名称）投标文件、签订合同和处理有关事宜，其法律后果由我方承担。</w:t>
      </w:r>
    </w:p>
    <w:p>
      <w:pPr>
        <w:spacing w:line="440" w:lineRule="exact"/>
        <w:rPr>
          <w:color w:val="auto"/>
          <w:szCs w:val="21"/>
          <w:highlight w:val="none"/>
        </w:rPr>
      </w:pPr>
      <w:r>
        <w:rPr>
          <w:color w:val="auto"/>
          <w:szCs w:val="21"/>
          <w:highlight w:val="none"/>
        </w:rPr>
        <w:t xml:space="preserve">    委托期限：</w:t>
      </w:r>
      <w:r>
        <w:rPr>
          <w:color w:val="auto"/>
          <w:szCs w:val="21"/>
          <w:highlight w:val="none"/>
          <w:u w:val="single"/>
        </w:rPr>
        <w:t xml:space="preserve">             </w:t>
      </w:r>
      <w:r>
        <w:rPr>
          <w:rFonts w:hint="eastAsia"/>
          <w:color w:val="auto"/>
          <w:szCs w:val="21"/>
          <w:highlight w:val="none"/>
        </w:rPr>
        <w:t>。</w:t>
      </w:r>
    </w:p>
    <w:p>
      <w:pPr>
        <w:spacing w:line="440" w:lineRule="exact"/>
        <w:ind w:firstLine="420" w:firstLineChars="200"/>
        <w:rPr>
          <w:color w:val="auto"/>
          <w:szCs w:val="21"/>
          <w:highlight w:val="none"/>
        </w:rPr>
      </w:pPr>
      <w:r>
        <w:rPr>
          <w:color w:val="auto"/>
          <w:szCs w:val="21"/>
          <w:highlight w:val="none"/>
        </w:rPr>
        <w:t>代理人无转委托权。</w:t>
      </w:r>
    </w:p>
    <w:p>
      <w:pPr>
        <w:spacing w:line="440" w:lineRule="exact"/>
        <w:ind w:firstLine="420" w:firstLineChars="200"/>
        <w:rPr>
          <w:color w:val="auto"/>
          <w:szCs w:val="21"/>
          <w:highlight w:val="none"/>
        </w:rPr>
      </w:pPr>
      <w:r>
        <w:rPr>
          <w:rFonts w:hint="eastAsia"/>
          <w:color w:val="auto"/>
          <w:szCs w:val="21"/>
          <w:highlight w:val="none"/>
        </w:rPr>
        <w:t>附：法定代表人身份证明</w:t>
      </w:r>
    </w:p>
    <w:p>
      <w:pPr>
        <w:spacing w:line="440" w:lineRule="exact"/>
        <w:rPr>
          <w:color w:val="auto"/>
          <w:szCs w:val="21"/>
          <w:highlight w:val="none"/>
        </w:rPr>
      </w:pPr>
    </w:p>
    <w:p>
      <w:pPr>
        <w:rPr>
          <w:color w:val="auto"/>
          <w:szCs w:val="21"/>
          <w:highlight w:val="none"/>
        </w:rPr>
      </w:pPr>
      <w:r>
        <w:rPr>
          <w:color w:val="auto"/>
          <w:szCs w:val="21"/>
          <w:highlight w:val="none"/>
        </w:rPr>
        <w:t>投标人：</w:t>
      </w:r>
      <w:r>
        <w:rPr>
          <w:color w:val="auto"/>
          <w:szCs w:val="21"/>
          <w:highlight w:val="none"/>
          <w:u w:val="single"/>
        </w:rPr>
        <w:t xml:space="preserve">                               </w:t>
      </w:r>
      <w:r>
        <w:rPr>
          <w:color w:val="auto"/>
          <w:szCs w:val="21"/>
          <w:highlight w:val="none"/>
        </w:rPr>
        <w:t>（盖单位章）</w:t>
      </w:r>
    </w:p>
    <w:p>
      <w:pPr>
        <w:rPr>
          <w:color w:val="auto"/>
          <w:szCs w:val="21"/>
          <w:highlight w:val="none"/>
        </w:rPr>
      </w:pPr>
    </w:p>
    <w:p>
      <w:pPr>
        <w:rPr>
          <w:color w:val="auto"/>
          <w:szCs w:val="21"/>
          <w:highlight w:val="none"/>
        </w:rPr>
      </w:pPr>
      <w:r>
        <w:rPr>
          <w:color w:val="auto"/>
          <w:szCs w:val="21"/>
          <w:highlight w:val="none"/>
        </w:rPr>
        <w:t>法定代表人：</w:t>
      </w:r>
      <w:r>
        <w:rPr>
          <w:color w:val="auto"/>
          <w:szCs w:val="21"/>
          <w:highlight w:val="none"/>
          <w:u w:val="single"/>
        </w:rPr>
        <w:t xml:space="preserve">                               </w:t>
      </w:r>
      <w:r>
        <w:rPr>
          <w:color w:val="auto"/>
          <w:szCs w:val="21"/>
          <w:highlight w:val="none"/>
        </w:rPr>
        <w:t>（签字）</w:t>
      </w:r>
    </w:p>
    <w:p>
      <w:pPr>
        <w:rPr>
          <w:color w:val="auto"/>
          <w:szCs w:val="21"/>
          <w:highlight w:val="none"/>
        </w:rPr>
      </w:pPr>
    </w:p>
    <w:p>
      <w:pPr>
        <w:rPr>
          <w:color w:val="auto"/>
          <w:szCs w:val="21"/>
          <w:highlight w:val="none"/>
        </w:rPr>
      </w:pPr>
      <w:r>
        <w:rPr>
          <w:color w:val="auto"/>
          <w:szCs w:val="21"/>
          <w:highlight w:val="none"/>
        </w:rPr>
        <w:t>身份证号码：</w:t>
      </w:r>
      <w:r>
        <w:rPr>
          <w:color w:val="auto"/>
          <w:szCs w:val="21"/>
          <w:highlight w:val="none"/>
          <w:u w:val="single"/>
        </w:rPr>
        <w:t xml:space="preserve">                                     </w:t>
      </w:r>
    </w:p>
    <w:p>
      <w:pPr>
        <w:rPr>
          <w:color w:val="auto"/>
          <w:szCs w:val="21"/>
          <w:highlight w:val="none"/>
        </w:rPr>
      </w:pPr>
    </w:p>
    <w:p>
      <w:pPr>
        <w:rPr>
          <w:color w:val="auto"/>
          <w:szCs w:val="21"/>
          <w:highlight w:val="none"/>
        </w:rPr>
      </w:pPr>
      <w:r>
        <w:rPr>
          <w:color w:val="auto"/>
          <w:szCs w:val="21"/>
          <w:highlight w:val="none"/>
        </w:rPr>
        <w:t>委托代理人：</w:t>
      </w:r>
      <w:r>
        <w:rPr>
          <w:color w:val="auto"/>
          <w:szCs w:val="21"/>
          <w:highlight w:val="none"/>
          <w:u w:val="single"/>
        </w:rPr>
        <w:t xml:space="preserve">                                   </w:t>
      </w:r>
      <w:r>
        <w:rPr>
          <w:color w:val="auto"/>
          <w:szCs w:val="21"/>
          <w:highlight w:val="none"/>
        </w:rPr>
        <w:t xml:space="preserve">（签字） </w:t>
      </w:r>
    </w:p>
    <w:p>
      <w:pPr>
        <w:rPr>
          <w:color w:val="auto"/>
          <w:szCs w:val="21"/>
          <w:highlight w:val="none"/>
        </w:rPr>
      </w:pPr>
    </w:p>
    <w:p>
      <w:pPr>
        <w:rPr>
          <w:color w:val="auto"/>
          <w:szCs w:val="21"/>
          <w:highlight w:val="none"/>
        </w:rPr>
      </w:pPr>
      <w:r>
        <w:rPr>
          <w:color w:val="auto"/>
          <w:szCs w:val="21"/>
          <w:highlight w:val="none"/>
        </w:rPr>
        <w:t>身份证号码：</w:t>
      </w:r>
      <w:r>
        <w:rPr>
          <w:color w:val="auto"/>
          <w:szCs w:val="21"/>
          <w:highlight w:val="none"/>
          <w:u w:val="single"/>
        </w:rPr>
        <w:t xml:space="preserve">                                      </w:t>
      </w:r>
    </w:p>
    <w:p>
      <w:pPr>
        <w:rPr>
          <w:color w:val="auto"/>
          <w:szCs w:val="21"/>
          <w:highlight w:val="none"/>
        </w:rPr>
      </w:pPr>
    </w:p>
    <w:p>
      <w:pPr>
        <w:ind w:firstLine="2310" w:firstLineChars="1100"/>
        <w:rPr>
          <w:rFonts w:eastAsia="黑体"/>
          <w:color w:val="auto"/>
          <w:szCs w:val="21"/>
          <w:highlight w:val="none"/>
        </w:rPr>
      </w:pP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p>
    <w:p>
      <w:pPr>
        <w:pStyle w:val="60"/>
        <w:spacing w:line="400" w:lineRule="exact"/>
        <w:rPr>
          <w:color w:val="auto"/>
          <w:highlight w:val="none"/>
        </w:rPr>
      </w:pPr>
      <w:bookmarkStart w:id="1816" w:name="_Toc246997105"/>
      <w:bookmarkStart w:id="1817" w:name="_Toc246996362"/>
      <w:bookmarkStart w:id="1818" w:name="_Toc152045794"/>
      <w:bookmarkStart w:id="1819" w:name="_Toc247085880"/>
      <w:bookmarkStart w:id="1820" w:name="_Toc144974862"/>
      <w:bookmarkStart w:id="1821" w:name="_Toc152042583"/>
      <w:bookmarkStart w:id="1822" w:name="_Toc179632814"/>
    </w:p>
    <w:p>
      <w:pPr>
        <w:pStyle w:val="4"/>
        <w:jc w:val="center"/>
        <w:rPr>
          <w:color w:val="auto"/>
          <w:highlight w:val="none"/>
        </w:rPr>
      </w:pPr>
      <w:bookmarkStart w:id="1823" w:name="_Toc13445"/>
      <w:bookmarkStart w:id="1824" w:name="_Toc32765"/>
      <w:bookmarkStart w:id="1825" w:name="_Toc32766"/>
      <w:bookmarkStart w:id="1826" w:name="_Toc22332"/>
      <w:bookmarkStart w:id="1827" w:name="_Toc422"/>
      <w:bookmarkStart w:id="1828" w:name="_Toc19256"/>
      <w:bookmarkStart w:id="1829" w:name="_Toc27725"/>
      <w:bookmarkStart w:id="1830" w:name="_Toc11682"/>
      <w:bookmarkStart w:id="1831" w:name="_Toc7448"/>
      <w:bookmarkStart w:id="1832" w:name="_Toc26502"/>
      <w:bookmarkStart w:id="1833" w:name="_Toc1124"/>
      <w:bookmarkStart w:id="1834" w:name="_Toc5113"/>
      <w:bookmarkStart w:id="1835" w:name="_Toc29113"/>
      <w:bookmarkStart w:id="1836" w:name="_Toc28497"/>
      <w:bookmarkStart w:id="1837" w:name="_Toc4506"/>
      <w:bookmarkStart w:id="1838" w:name="_Toc29236"/>
      <w:bookmarkStart w:id="1839" w:name="_Toc10893"/>
      <w:bookmarkStart w:id="1840" w:name="_Toc3274"/>
      <w:bookmarkStart w:id="1841" w:name="_Toc15665"/>
      <w:bookmarkStart w:id="1842" w:name="_Toc27403"/>
      <w:bookmarkStart w:id="1843" w:name="_Toc28996"/>
      <w:bookmarkStart w:id="1844" w:name="_Toc30723"/>
      <w:bookmarkStart w:id="1845" w:name="_Toc11796"/>
      <w:bookmarkStart w:id="1846" w:name="_Toc21114"/>
      <w:bookmarkStart w:id="1847" w:name="_Toc391022300"/>
      <w:bookmarkStart w:id="1848" w:name="_Toc436215786"/>
      <w:bookmarkStart w:id="1849" w:name="_Toc436212782"/>
      <w:bookmarkStart w:id="1850" w:name="_Toc23368"/>
      <w:bookmarkStart w:id="1851" w:name="_Toc374456232"/>
      <w:bookmarkStart w:id="1852" w:name="_Toc374520064"/>
      <w:bookmarkStart w:id="1853" w:name="_Toc377388940"/>
      <w:bookmarkStart w:id="1854" w:name="_Toc378253573"/>
      <w:bookmarkStart w:id="1855" w:name="_Toc435178428"/>
      <w:bookmarkStart w:id="1856" w:name="_Toc375215272"/>
      <w:bookmarkStart w:id="1857" w:name="_Toc422925653"/>
      <w:bookmarkStart w:id="1858" w:name="_Toc433812769"/>
      <w:bookmarkStart w:id="1859" w:name="_Toc390416985"/>
      <w:bookmarkStart w:id="1860" w:name="_Toc377652639"/>
      <w:bookmarkStart w:id="1861" w:name="_Toc374522348"/>
      <w:bookmarkStart w:id="1862" w:name="_Toc437878968"/>
      <w:r>
        <w:rPr>
          <w:rFonts w:hint="eastAsia"/>
          <w:color w:val="auto"/>
          <w:highlight w:val="none"/>
        </w:rPr>
        <w:t>四、标书款及投标保证金缴纳凭证（银行转账凭证）</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p>
    <w:p>
      <w:pPr>
        <w:pStyle w:val="4"/>
        <w:jc w:val="center"/>
        <w:rPr>
          <w:color w:val="auto"/>
          <w:highlight w:val="none"/>
        </w:rPr>
      </w:pPr>
      <w:bookmarkStart w:id="1863" w:name="_Toc483"/>
      <w:bookmarkStart w:id="1864" w:name="_Toc14036"/>
      <w:bookmarkStart w:id="1865" w:name="_Toc27378"/>
      <w:bookmarkStart w:id="1866" w:name="_Toc24499"/>
      <w:bookmarkStart w:id="1867" w:name="_Toc19180"/>
      <w:bookmarkStart w:id="1868" w:name="_Toc14942"/>
      <w:bookmarkStart w:id="1869" w:name="_Toc12955"/>
      <w:bookmarkStart w:id="1870" w:name="_Toc18053"/>
    </w:p>
    <w:p>
      <w:pPr>
        <w:pStyle w:val="4"/>
        <w:jc w:val="center"/>
        <w:rPr>
          <w:color w:val="auto"/>
          <w:highlight w:val="none"/>
        </w:rPr>
      </w:pPr>
    </w:p>
    <w:p>
      <w:pPr>
        <w:pStyle w:val="4"/>
        <w:jc w:val="center"/>
        <w:rPr>
          <w:color w:val="auto"/>
          <w:highlight w:val="none"/>
        </w:rPr>
      </w:pPr>
      <w:bookmarkStart w:id="1871" w:name="_Toc27630"/>
      <w:bookmarkStart w:id="1872" w:name="_Toc13719"/>
      <w:bookmarkStart w:id="1873" w:name="_Toc3808"/>
      <w:bookmarkStart w:id="1874" w:name="_Toc28864"/>
      <w:bookmarkStart w:id="1875" w:name="_Toc26479"/>
      <w:bookmarkStart w:id="1876" w:name="_Toc14868"/>
      <w:bookmarkStart w:id="1877" w:name="_Toc9446"/>
      <w:bookmarkStart w:id="1878" w:name="_Toc29850"/>
      <w:bookmarkStart w:id="1879" w:name="_Toc7779"/>
      <w:bookmarkStart w:id="1880" w:name="_Toc16705"/>
      <w:bookmarkStart w:id="1881" w:name="_Toc9319"/>
      <w:bookmarkStart w:id="1882" w:name="_Toc1729"/>
      <w:bookmarkStart w:id="1883" w:name="_Toc13966"/>
      <w:bookmarkStart w:id="1884" w:name="_Toc15965"/>
      <w:bookmarkStart w:id="1885" w:name="_Toc31593"/>
      <w:r>
        <w:rPr>
          <w:rFonts w:hint="eastAsia"/>
          <w:color w:val="auto"/>
          <w:highlight w:val="none"/>
        </w:rPr>
        <w:t>五</w:t>
      </w:r>
      <w:r>
        <w:rPr>
          <w:color w:val="auto"/>
          <w:highlight w:val="none"/>
        </w:rPr>
        <w:t>、</w:t>
      </w:r>
      <w:r>
        <w:rPr>
          <w:rFonts w:hint="eastAsia"/>
          <w:color w:val="auto"/>
          <w:highlight w:val="none"/>
        </w:rPr>
        <w:t>退</w:t>
      </w:r>
      <w:r>
        <w:rPr>
          <w:color w:val="auto"/>
          <w:highlight w:val="none"/>
        </w:rPr>
        <w:t>投标保证金</w:t>
      </w:r>
      <w:bookmarkEnd w:id="1816"/>
      <w:bookmarkEnd w:id="1817"/>
      <w:bookmarkEnd w:id="1818"/>
      <w:bookmarkEnd w:id="1819"/>
      <w:bookmarkEnd w:id="1820"/>
      <w:bookmarkEnd w:id="1821"/>
      <w:bookmarkEnd w:id="1822"/>
      <w:r>
        <w:rPr>
          <w:rFonts w:hint="eastAsia"/>
          <w:color w:val="auto"/>
          <w:highlight w:val="none"/>
        </w:rPr>
        <w:t>说明</w:t>
      </w:r>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p>
    <w:p>
      <w:pPr>
        <w:ind w:left="525" w:leftChars="250"/>
        <w:rPr>
          <w:rFonts w:hint="eastAsia" w:ascii="宋体" w:hAnsi="宋体"/>
          <w:color w:val="auto"/>
          <w:highlight w:val="none"/>
        </w:rPr>
      </w:pPr>
    </w:p>
    <w:p>
      <w:pPr>
        <w:ind w:left="525" w:leftChars="250"/>
        <w:rPr>
          <w:rFonts w:hint="eastAsia" w:ascii="宋体" w:hAnsi="宋体"/>
          <w:color w:val="auto"/>
          <w:highlight w:val="none"/>
        </w:rPr>
      </w:pPr>
      <w:r>
        <w:rPr>
          <w:rFonts w:hint="eastAsia" w:ascii="宋体" w:hAnsi="宋体"/>
          <w:color w:val="auto"/>
          <w:highlight w:val="none"/>
        </w:rPr>
        <w:t>广东南方报业传媒集团物业管理有限公司:</w:t>
      </w:r>
    </w:p>
    <w:p>
      <w:pPr>
        <w:ind w:left="525" w:leftChars="250" w:firstLine="420" w:firstLineChars="200"/>
        <w:rPr>
          <w:rFonts w:hint="eastAsia" w:ascii="宋体" w:hAnsi="宋体"/>
          <w:color w:val="auto"/>
          <w:highlight w:val="none"/>
        </w:rPr>
      </w:pPr>
      <w:r>
        <w:rPr>
          <w:rFonts w:hint="eastAsia" w:ascii="宋体" w:hAnsi="宋体"/>
          <w:color w:val="auto"/>
          <w:highlight w:val="none"/>
        </w:rPr>
        <w:t>我方为</w:t>
      </w:r>
      <w:r>
        <w:rPr>
          <w:rFonts w:hint="eastAsia" w:ascii="宋体" w:hAnsi="宋体"/>
          <w:color w:val="auto"/>
          <w:highlight w:val="none"/>
          <w:u w:val="single"/>
        </w:rPr>
        <w:t xml:space="preserve">   项目名称     </w:t>
      </w:r>
      <w:r>
        <w:rPr>
          <w:rFonts w:hint="eastAsia" w:ascii="宋体" w:hAnsi="宋体"/>
          <w:color w:val="auto"/>
          <w:highlight w:val="none"/>
        </w:rPr>
        <w:t xml:space="preserve">    的投标[项目编号为：</w:t>
      </w:r>
      <w:r>
        <w:rPr>
          <w:rFonts w:hint="eastAsia" w:ascii="宋体" w:hAnsi="宋体"/>
          <w:color w:val="auto"/>
          <w:highlight w:val="none"/>
          <w:u w:val="single"/>
        </w:rPr>
        <w:t>ZB202503</w:t>
      </w:r>
      <w:r>
        <w:rPr>
          <w:rFonts w:hint="eastAsia" w:ascii="宋体" w:hAnsi="宋体"/>
          <w:color w:val="auto"/>
          <w:highlight w:val="none"/>
        </w:rPr>
        <w:t>]所提交的投标保证金</w:t>
      </w:r>
      <w:r>
        <w:rPr>
          <w:rFonts w:hint="eastAsia" w:ascii="宋体" w:hAnsi="宋体"/>
          <w:color w:val="auto"/>
          <w:highlight w:val="none"/>
          <w:u w:val="single"/>
        </w:rPr>
        <w:t>（大写金额）</w:t>
      </w:r>
      <w:r>
        <w:rPr>
          <w:rFonts w:hint="eastAsia" w:ascii="宋体" w:hAnsi="宋体"/>
          <w:color w:val="auto"/>
          <w:highlight w:val="none"/>
        </w:rPr>
        <w:t>元，请贵公司退还时划到以下账户：</w:t>
      </w:r>
    </w:p>
    <w:p>
      <w:pPr>
        <w:ind w:left="525" w:leftChars="250" w:firstLine="420" w:firstLineChars="200"/>
        <w:rPr>
          <w:rFonts w:hint="eastAsia" w:ascii="宋体" w:hAnsi="宋体"/>
          <w:color w:val="auto"/>
          <w:highlight w:val="none"/>
        </w:rPr>
      </w:pPr>
    </w:p>
    <w:tbl>
      <w:tblPr>
        <w:tblStyle w:val="41"/>
        <w:tblW w:w="0" w:type="auto"/>
        <w:tblInd w:w="5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2615"/>
        <w:gridCol w:w="1297"/>
        <w:gridCol w:w="17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restart"/>
            <w:textDirection w:val="tbRlV"/>
            <w:vAlign w:val="center"/>
          </w:tcPr>
          <w:p>
            <w:pPr>
              <w:ind w:left="525" w:leftChars="250" w:right="113"/>
              <w:jc w:val="center"/>
              <w:rPr>
                <w:rFonts w:hint="eastAsia" w:ascii="宋体" w:hAnsi="宋体"/>
                <w:color w:val="auto"/>
                <w:highlight w:val="none"/>
              </w:rPr>
            </w:pPr>
            <w:r>
              <w:rPr>
                <w:rFonts w:hint="eastAsia" w:ascii="宋体" w:hAnsi="宋体"/>
                <w:color w:val="auto"/>
                <w:highlight w:val="none"/>
              </w:rPr>
              <w:t>收 款 人</w:t>
            </w:r>
          </w:p>
        </w:tc>
        <w:tc>
          <w:tcPr>
            <w:tcW w:w="1730" w:type="dxa"/>
            <w:vAlign w:val="center"/>
          </w:tcPr>
          <w:p>
            <w:pPr>
              <w:rPr>
                <w:rFonts w:hint="eastAsia" w:ascii="宋体" w:hAnsi="宋体"/>
                <w:color w:val="auto"/>
                <w:highlight w:val="none"/>
              </w:rPr>
            </w:pPr>
            <w:r>
              <w:rPr>
                <w:rFonts w:hint="eastAsia" w:ascii="宋体" w:hAnsi="宋体"/>
                <w:color w:val="auto"/>
                <w:highlight w:val="none"/>
              </w:rPr>
              <w:t>收款人名称</w:t>
            </w:r>
          </w:p>
        </w:tc>
        <w:tc>
          <w:tcPr>
            <w:tcW w:w="5678" w:type="dxa"/>
            <w:gridSpan w:val="3"/>
            <w:vAlign w:val="center"/>
          </w:tcPr>
          <w:p>
            <w:pPr>
              <w:ind w:left="525" w:leftChars="250"/>
              <w:jc w:val="center"/>
              <w:rPr>
                <w:rFonts w:hint="eastAsia"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ind w:left="525" w:leftChars="250"/>
              <w:jc w:val="center"/>
              <w:rPr>
                <w:rFonts w:hint="eastAsia" w:ascii="宋体" w:hAnsi="宋体"/>
                <w:color w:val="auto"/>
                <w:highlight w:val="none"/>
              </w:rPr>
            </w:pPr>
          </w:p>
        </w:tc>
        <w:tc>
          <w:tcPr>
            <w:tcW w:w="1730" w:type="dxa"/>
            <w:vAlign w:val="center"/>
          </w:tcPr>
          <w:p>
            <w:pPr>
              <w:rPr>
                <w:rFonts w:hint="eastAsia" w:ascii="宋体" w:hAnsi="宋体"/>
                <w:color w:val="auto"/>
                <w:highlight w:val="none"/>
              </w:rPr>
            </w:pPr>
            <w:r>
              <w:rPr>
                <w:rFonts w:hint="eastAsia" w:ascii="宋体" w:hAnsi="宋体"/>
                <w:color w:val="auto"/>
                <w:highlight w:val="none"/>
              </w:rPr>
              <w:t>收款人地址</w:t>
            </w:r>
          </w:p>
        </w:tc>
        <w:tc>
          <w:tcPr>
            <w:tcW w:w="5678" w:type="dxa"/>
            <w:gridSpan w:val="3"/>
            <w:vAlign w:val="center"/>
          </w:tcPr>
          <w:p>
            <w:pPr>
              <w:ind w:left="525" w:leftChars="250"/>
              <w:jc w:val="center"/>
              <w:rPr>
                <w:rFonts w:hint="eastAsia"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752" w:type="dxa"/>
            <w:vMerge w:val="continue"/>
            <w:vAlign w:val="center"/>
          </w:tcPr>
          <w:p>
            <w:pPr>
              <w:ind w:left="525" w:leftChars="250"/>
              <w:jc w:val="center"/>
              <w:rPr>
                <w:rFonts w:hint="eastAsia" w:ascii="宋体" w:hAnsi="宋体"/>
                <w:color w:val="auto"/>
                <w:highlight w:val="none"/>
              </w:rPr>
            </w:pPr>
          </w:p>
        </w:tc>
        <w:tc>
          <w:tcPr>
            <w:tcW w:w="1730" w:type="dxa"/>
            <w:vAlign w:val="center"/>
          </w:tcPr>
          <w:p>
            <w:pPr>
              <w:rPr>
                <w:rFonts w:hint="eastAsia" w:ascii="宋体" w:hAnsi="宋体"/>
                <w:color w:val="auto"/>
                <w:highlight w:val="none"/>
              </w:rPr>
            </w:pPr>
            <w:r>
              <w:rPr>
                <w:rFonts w:hint="eastAsia" w:ascii="宋体" w:hAnsi="宋体"/>
                <w:color w:val="auto"/>
                <w:highlight w:val="none"/>
              </w:rPr>
              <w:t>开户银行</w:t>
            </w:r>
          </w:p>
          <w:p>
            <w:pPr>
              <w:rPr>
                <w:rFonts w:hint="eastAsia" w:ascii="宋体" w:hAnsi="宋体"/>
                <w:color w:val="auto"/>
                <w:highlight w:val="none"/>
              </w:rPr>
            </w:pPr>
            <w:r>
              <w:rPr>
                <w:rFonts w:hint="eastAsia" w:ascii="宋体" w:hAnsi="宋体"/>
                <w:color w:val="auto"/>
                <w:highlight w:val="none"/>
              </w:rPr>
              <w:t>（含汇入地点）</w:t>
            </w:r>
          </w:p>
        </w:tc>
        <w:tc>
          <w:tcPr>
            <w:tcW w:w="2615" w:type="dxa"/>
            <w:vAlign w:val="center"/>
          </w:tcPr>
          <w:p>
            <w:pPr>
              <w:rPr>
                <w:rFonts w:hint="eastAsia" w:ascii="宋体" w:hAnsi="宋体"/>
                <w:color w:val="auto"/>
                <w:highlight w:val="none"/>
              </w:rPr>
            </w:pPr>
            <w:r>
              <w:rPr>
                <w:rFonts w:hint="eastAsia" w:ascii="宋体" w:hAnsi="宋体"/>
                <w:color w:val="auto"/>
                <w:highlight w:val="none"/>
              </w:rPr>
              <w:sym w:font="Wingdings 2" w:char="F0CD"/>
            </w:r>
            <w:r>
              <w:rPr>
                <w:rFonts w:hint="eastAsia" w:ascii="宋体" w:hAnsi="宋体"/>
                <w:color w:val="auto"/>
                <w:highlight w:val="none"/>
              </w:rPr>
              <w:t>省</w:t>
            </w:r>
            <w:r>
              <w:rPr>
                <w:rFonts w:hint="eastAsia" w:ascii="宋体" w:hAnsi="宋体"/>
                <w:color w:val="auto"/>
                <w:highlight w:val="none"/>
              </w:rPr>
              <w:sym w:font="Wingdings 2" w:char="F0CD"/>
            </w:r>
            <w:r>
              <w:rPr>
                <w:rFonts w:hint="eastAsia" w:ascii="宋体" w:hAnsi="宋体"/>
                <w:color w:val="auto"/>
                <w:highlight w:val="none"/>
              </w:rPr>
              <w:t>市（县）</w:t>
            </w:r>
            <w:r>
              <w:rPr>
                <w:rFonts w:hint="eastAsia" w:ascii="宋体" w:hAnsi="宋体"/>
                <w:color w:val="auto"/>
                <w:highlight w:val="none"/>
              </w:rPr>
              <w:sym w:font="Wingdings 2" w:char="F0CD"/>
            </w:r>
            <w:r>
              <w:rPr>
                <w:rFonts w:hint="eastAsia" w:ascii="宋体" w:hAnsi="宋体"/>
                <w:color w:val="auto"/>
                <w:highlight w:val="none"/>
              </w:rPr>
              <w:t>银行</w:t>
            </w:r>
            <w:r>
              <w:rPr>
                <w:rFonts w:hint="eastAsia" w:ascii="宋体" w:hAnsi="宋体"/>
                <w:color w:val="auto"/>
                <w:highlight w:val="none"/>
              </w:rPr>
              <w:sym w:font="Wingdings 2" w:char="F0CD"/>
            </w:r>
            <w:r>
              <w:rPr>
                <w:rFonts w:hint="eastAsia" w:ascii="宋体" w:hAnsi="宋体"/>
                <w:color w:val="auto"/>
                <w:highlight w:val="none"/>
              </w:rPr>
              <w:t>（分支行、处、所）</w:t>
            </w:r>
          </w:p>
        </w:tc>
        <w:tc>
          <w:tcPr>
            <w:tcW w:w="1297" w:type="dxa"/>
            <w:vAlign w:val="center"/>
          </w:tcPr>
          <w:p>
            <w:pPr>
              <w:rPr>
                <w:rFonts w:hint="eastAsia" w:ascii="宋体" w:hAnsi="宋体"/>
                <w:color w:val="auto"/>
                <w:highlight w:val="none"/>
              </w:rPr>
            </w:pPr>
            <w:r>
              <w:rPr>
                <w:rFonts w:hint="eastAsia" w:ascii="宋体" w:hAnsi="宋体"/>
                <w:color w:val="auto"/>
                <w:highlight w:val="none"/>
              </w:rPr>
              <w:t>联系人</w:t>
            </w:r>
          </w:p>
        </w:tc>
        <w:tc>
          <w:tcPr>
            <w:tcW w:w="1766" w:type="dxa"/>
            <w:vAlign w:val="center"/>
          </w:tcPr>
          <w:p>
            <w:pPr>
              <w:ind w:left="525" w:leftChars="250"/>
              <w:jc w:val="center"/>
              <w:rPr>
                <w:rFonts w:hint="eastAsia"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ind w:left="525" w:leftChars="250"/>
              <w:jc w:val="center"/>
              <w:rPr>
                <w:rFonts w:hint="eastAsia" w:ascii="宋体" w:hAnsi="宋体"/>
                <w:color w:val="auto"/>
                <w:highlight w:val="none"/>
              </w:rPr>
            </w:pPr>
          </w:p>
        </w:tc>
        <w:tc>
          <w:tcPr>
            <w:tcW w:w="1730" w:type="dxa"/>
            <w:vAlign w:val="center"/>
          </w:tcPr>
          <w:p>
            <w:pPr>
              <w:rPr>
                <w:rFonts w:hint="eastAsia" w:ascii="宋体" w:hAnsi="宋体"/>
                <w:color w:val="auto"/>
                <w:highlight w:val="none"/>
              </w:rPr>
            </w:pPr>
            <w:r>
              <w:rPr>
                <w:rFonts w:hint="eastAsia" w:ascii="宋体" w:hAnsi="宋体"/>
                <w:color w:val="auto"/>
                <w:highlight w:val="none"/>
              </w:rPr>
              <w:t>账    号</w:t>
            </w:r>
          </w:p>
        </w:tc>
        <w:tc>
          <w:tcPr>
            <w:tcW w:w="2615" w:type="dxa"/>
            <w:vAlign w:val="center"/>
          </w:tcPr>
          <w:p>
            <w:pPr>
              <w:ind w:left="525" w:leftChars="250"/>
              <w:jc w:val="center"/>
              <w:rPr>
                <w:rFonts w:hint="eastAsia" w:ascii="宋体" w:hAnsi="宋体"/>
                <w:color w:val="auto"/>
                <w:highlight w:val="none"/>
              </w:rPr>
            </w:pPr>
          </w:p>
        </w:tc>
        <w:tc>
          <w:tcPr>
            <w:tcW w:w="1297" w:type="dxa"/>
            <w:vAlign w:val="center"/>
          </w:tcPr>
          <w:p>
            <w:pPr>
              <w:rPr>
                <w:rFonts w:hint="eastAsia" w:ascii="宋体" w:hAnsi="宋体"/>
                <w:color w:val="auto"/>
                <w:highlight w:val="none"/>
              </w:rPr>
            </w:pPr>
            <w:r>
              <w:rPr>
                <w:rFonts w:hint="eastAsia" w:ascii="宋体" w:hAnsi="宋体"/>
                <w:color w:val="auto"/>
                <w:highlight w:val="none"/>
              </w:rPr>
              <w:t>联系电话</w:t>
            </w:r>
          </w:p>
        </w:tc>
        <w:tc>
          <w:tcPr>
            <w:tcW w:w="1766" w:type="dxa"/>
            <w:vAlign w:val="center"/>
          </w:tcPr>
          <w:p>
            <w:pPr>
              <w:ind w:left="525" w:leftChars="250"/>
              <w:jc w:val="center"/>
              <w:rPr>
                <w:rFonts w:hint="eastAsia"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160" w:type="dxa"/>
            <w:gridSpan w:val="5"/>
            <w:vAlign w:val="center"/>
          </w:tcPr>
          <w:p>
            <w:pPr>
              <w:ind w:left="525" w:leftChars="250"/>
              <w:rPr>
                <w:rFonts w:hint="eastAsia" w:ascii="宋体" w:hAnsi="宋体"/>
                <w:color w:val="auto"/>
                <w:highlight w:val="none"/>
              </w:rPr>
            </w:pPr>
            <w:r>
              <w:rPr>
                <w:rFonts w:hint="eastAsia" w:ascii="宋体" w:hAnsi="宋体"/>
                <w:b/>
                <w:bCs/>
                <w:color w:val="auto"/>
                <w:highlight w:val="none"/>
              </w:rPr>
              <w:t>备注：</w:t>
            </w:r>
            <w:r>
              <w:rPr>
                <w:rFonts w:hint="eastAsia" w:ascii="宋体" w:hAnsi="宋体"/>
                <w:color w:val="auto"/>
                <w:highlight w:val="none"/>
              </w:rPr>
              <w:t>1、收款人名称与投标人名称必须一致；2、招标人将根据以上信息退还投标保证金，请投标人确保上述信息填写准确无误，如因投标人填写错误而导致无法退还投标保证金的情形发生，招标人概不负责。</w:t>
            </w:r>
          </w:p>
        </w:tc>
      </w:tr>
    </w:tbl>
    <w:p>
      <w:pPr>
        <w:tabs>
          <w:tab w:val="left" w:pos="676"/>
          <w:tab w:val="left" w:pos="2330"/>
          <w:tab w:val="left" w:pos="9230"/>
        </w:tabs>
        <w:autoSpaceDE w:val="0"/>
        <w:autoSpaceDN w:val="0"/>
        <w:adjustRightInd w:val="0"/>
        <w:spacing w:before="120"/>
        <w:ind w:left="525" w:leftChars="250"/>
        <w:rPr>
          <w:rFonts w:hint="eastAsia" w:ascii="宋体" w:hAnsi="宋体"/>
          <w:color w:val="auto"/>
          <w:highlight w:val="none"/>
        </w:rPr>
      </w:pPr>
      <w:r>
        <w:rPr>
          <w:rFonts w:hint="eastAsia" w:ascii="宋体" w:hAnsi="宋体"/>
          <w:b/>
          <w:color w:val="auto"/>
          <w:highlight w:val="none"/>
        </w:rPr>
        <w:t xml:space="preserve">  </w:t>
      </w:r>
      <w:r>
        <w:rPr>
          <w:rFonts w:hint="eastAsia" w:ascii="宋体" w:hAnsi="宋体"/>
          <w:color w:val="auto"/>
          <w:highlight w:val="none"/>
        </w:rPr>
        <w:t xml:space="preserve"> </w:t>
      </w:r>
    </w:p>
    <w:p>
      <w:pPr>
        <w:tabs>
          <w:tab w:val="left" w:pos="676"/>
          <w:tab w:val="left" w:pos="2330"/>
          <w:tab w:val="left" w:pos="9230"/>
        </w:tabs>
        <w:autoSpaceDE w:val="0"/>
        <w:autoSpaceDN w:val="0"/>
        <w:adjustRightInd w:val="0"/>
        <w:spacing w:before="120"/>
        <w:ind w:left="525" w:leftChars="250"/>
        <w:jc w:val="center"/>
        <w:rPr>
          <w:rFonts w:hint="eastAsia" w:ascii="宋体" w:hAnsi="宋体"/>
          <w:color w:val="auto"/>
          <w:highlight w:val="none"/>
        </w:rPr>
      </w:pPr>
      <w:r>
        <w:rPr>
          <w:rFonts w:hint="eastAsia" w:ascii="宋体" w:hAnsi="宋体"/>
          <w:color w:val="auto"/>
          <w:highlight w:val="none"/>
        </w:rPr>
        <w:t xml:space="preserve">                            投标人（公章）：</w:t>
      </w:r>
    </w:p>
    <w:p>
      <w:pPr>
        <w:pStyle w:val="2"/>
        <w:spacing w:line="360" w:lineRule="auto"/>
        <w:ind w:left="525" w:leftChars="250" w:firstLine="210"/>
        <w:jc w:val="center"/>
        <w:rPr>
          <w:rFonts w:hint="eastAsia" w:hAnsi="宋体"/>
          <w:color w:val="auto"/>
          <w:highlight w:val="none"/>
        </w:rPr>
      </w:pPr>
      <w:r>
        <w:rPr>
          <w:rFonts w:hint="eastAsia" w:hAnsi="宋体"/>
          <w:color w:val="auto"/>
          <w:highlight w:val="none"/>
        </w:rPr>
        <w:t xml:space="preserve">                   </w:t>
      </w:r>
      <w:r>
        <w:rPr>
          <w:rFonts w:hAnsi="宋体"/>
          <w:color w:val="auto"/>
          <w:highlight w:val="none"/>
        </w:rPr>
        <w:t>日  期：</w:t>
      </w:r>
    </w:p>
    <w:p>
      <w:pPr>
        <w:pStyle w:val="2"/>
        <w:spacing w:line="360" w:lineRule="auto"/>
        <w:ind w:firstLine="210"/>
        <w:rPr>
          <w:rFonts w:hint="eastAsia"/>
          <w:color w:val="auto"/>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spacing w:line="440" w:lineRule="exact"/>
        <w:rPr>
          <w:color w:val="auto"/>
          <w:szCs w:val="21"/>
          <w:highlight w:val="none"/>
        </w:rPr>
      </w:pPr>
    </w:p>
    <w:p>
      <w:pPr>
        <w:rPr>
          <w:color w:val="auto"/>
          <w:highlight w:val="none"/>
        </w:rPr>
      </w:pPr>
      <w:bookmarkStart w:id="1886" w:name="_Toc144974872"/>
      <w:bookmarkStart w:id="1887" w:name="_Toc247085888"/>
      <w:bookmarkStart w:id="1888" w:name="_Toc402258463"/>
      <w:bookmarkStart w:id="1889" w:name="_Toc436212784"/>
      <w:bookmarkStart w:id="1890" w:name="_Toc152045804"/>
      <w:bookmarkStart w:id="1891" w:name="_Toc374718607"/>
      <w:bookmarkStart w:id="1892" w:name="_Toc436215788"/>
      <w:bookmarkStart w:id="1893" w:name="_Toc152042593"/>
      <w:bookmarkStart w:id="1894" w:name="_Toc179632824"/>
      <w:bookmarkStart w:id="1895" w:name="_Toc246997113"/>
      <w:bookmarkStart w:id="1896" w:name="_Toc370737942"/>
      <w:bookmarkStart w:id="1897" w:name="_Toc374718152"/>
      <w:bookmarkStart w:id="1898" w:name="_Toc246996370"/>
      <w:bookmarkStart w:id="1899" w:name="_Toc435178430"/>
      <w:bookmarkStart w:id="1900" w:name="_Toc387071898"/>
      <w:bookmarkStart w:id="1901" w:name="_Toc402186042"/>
      <w:bookmarkStart w:id="1902" w:name="_Toc396722796"/>
      <w:bookmarkStart w:id="1903" w:name="_Toc430250766"/>
    </w:p>
    <w:bookmarkEnd w:id="1886"/>
    <w:bookmarkEnd w:id="1887"/>
    <w:bookmarkEnd w:id="1888"/>
    <w:bookmarkEnd w:id="1889"/>
    <w:bookmarkEnd w:id="1890"/>
    <w:bookmarkEnd w:id="1891"/>
    <w:bookmarkEnd w:id="1892"/>
    <w:bookmarkEnd w:id="1893"/>
    <w:bookmarkEnd w:id="1894"/>
    <w:bookmarkEnd w:id="1895"/>
    <w:bookmarkEnd w:id="1896"/>
    <w:bookmarkEnd w:id="1897"/>
    <w:bookmarkEnd w:id="1898"/>
    <w:p>
      <w:pPr>
        <w:pStyle w:val="4"/>
        <w:numPr>
          <w:ilvl w:val="0"/>
          <w:numId w:val="18"/>
        </w:numPr>
        <w:jc w:val="left"/>
        <w:rPr>
          <w:color w:val="auto"/>
          <w:highlight w:val="none"/>
        </w:rPr>
      </w:pPr>
      <w:bookmarkStart w:id="1904" w:name="_Toc18822"/>
      <w:bookmarkStart w:id="1905" w:name="_Toc3976"/>
      <w:bookmarkStart w:id="1906" w:name="_Toc8494"/>
      <w:bookmarkStart w:id="1907" w:name="_Toc17418"/>
      <w:bookmarkStart w:id="1908" w:name="_Toc22247"/>
      <w:bookmarkStart w:id="1909" w:name="_Toc29573"/>
      <w:bookmarkStart w:id="1910" w:name="_Toc20524"/>
      <w:bookmarkStart w:id="1911" w:name="_Toc12216"/>
      <w:bookmarkStart w:id="1912" w:name="_Toc825"/>
      <w:bookmarkStart w:id="1913" w:name="_Toc23105"/>
      <w:bookmarkStart w:id="1914" w:name="_Toc15216"/>
      <w:bookmarkStart w:id="1915" w:name="_Toc5671"/>
      <w:bookmarkStart w:id="1916" w:name="_Toc19902"/>
      <w:bookmarkStart w:id="1917" w:name="_Toc6039"/>
      <w:bookmarkStart w:id="1918" w:name="_Toc6130"/>
      <w:bookmarkStart w:id="1919" w:name="_Toc14371"/>
      <w:bookmarkStart w:id="1920" w:name="_Toc2099"/>
      <w:bookmarkStart w:id="1921" w:name="_Toc8295"/>
      <w:bookmarkStart w:id="1922" w:name="_Toc16036"/>
      <w:bookmarkStart w:id="1923" w:name="_Toc25457"/>
      <w:bookmarkStart w:id="1924" w:name="_Toc13763"/>
      <w:bookmarkStart w:id="1925" w:name="_Toc27727"/>
      <w:bookmarkStart w:id="1926" w:name="_Toc29910"/>
      <w:r>
        <w:rPr>
          <w:rFonts w:hint="eastAsia"/>
          <w:color w:val="auto"/>
          <w:highlight w:val="none"/>
        </w:rPr>
        <w:t>企业实力（投标人请根据评标标准提供相应材料）</w:t>
      </w:r>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pPr>
        <w:ind w:firstLine="2530" w:firstLineChars="900"/>
        <w:rPr>
          <w:b/>
          <w:bCs/>
          <w:color w:val="auto"/>
          <w:sz w:val="28"/>
          <w:szCs w:val="28"/>
          <w:highlight w:val="none"/>
        </w:rPr>
      </w:pPr>
      <w:bookmarkStart w:id="1927" w:name="_Toc25808"/>
      <w:bookmarkStart w:id="1928" w:name="_Toc26673"/>
      <w:bookmarkStart w:id="1929" w:name="_Toc1306"/>
      <w:bookmarkStart w:id="1930" w:name="_Toc32561"/>
      <w:bookmarkStart w:id="1931" w:name="_Toc7118"/>
      <w:bookmarkStart w:id="1932" w:name="_Toc2458"/>
      <w:bookmarkStart w:id="1933" w:name="_Toc3704"/>
      <w:bookmarkStart w:id="1934" w:name="_Toc9693"/>
      <w:bookmarkStart w:id="1935" w:name="_Toc22927"/>
      <w:bookmarkStart w:id="1936" w:name="_Toc29117"/>
      <w:bookmarkStart w:id="1937" w:name="_Toc22860"/>
      <w:bookmarkStart w:id="1938" w:name="_Toc9718"/>
      <w:r>
        <w:rPr>
          <w:rFonts w:hint="eastAsia"/>
          <w:b/>
          <w:bCs/>
          <w:color w:val="auto"/>
          <w:sz w:val="28"/>
          <w:szCs w:val="28"/>
          <w:highlight w:val="none"/>
        </w:rPr>
        <w:t>企业实力简介表</w:t>
      </w:r>
      <w:bookmarkEnd w:id="1927"/>
      <w:bookmarkEnd w:id="1928"/>
      <w:bookmarkEnd w:id="1929"/>
      <w:bookmarkEnd w:id="1930"/>
      <w:bookmarkEnd w:id="1931"/>
      <w:bookmarkEnd w:id="1932"/>
      <w:bookmarkEnd w:id="1933"/>
      <w:bookmarkEnd w:id="1934"/>
      <w:bookmarkEnd w:id="1935"/>
      <w:bookmarkEnd w:id="1936"/>
      <w:bookmarkEnd w:id="1937"/>
      <w:bookmarkEnd w:id="1938"/>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076"/>
        <w:gridCol w:w="1269"/>
        <w:gridCol w:w="196"/>
        <w:gridCol w:w="1211"/>
        <w:gridCol w:w="222"/>
        <w:gridCol w:w="873"/>
        <w:gridCol w:w="684"/>
        <w:gridCol w:w="342"/>
        <w:gridCol w:w="10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单位名称</w:t>
            </w:r>
          </w:p>
        </w:tc>
        <w:tc>
          <w:tcPr>
            <w:tcW w:w="6964" w:type="dxa"/>
            <w:gridSpan w:val="9"/>
            <w:vAlign w:val="center"/>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地址</w:t>
            </w:r>
          </w:p>
        </w:tc>
        <w:tc>
          <w:tcPr>
            <w:tcW w:w="6964" w:type="dxa"/>
            <w:gridSpan w:val="9"/>
            <w:vAlign w:val="center"/>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主管部门</w:t>
            </w:r>
          </w:p>
        </w:tc>
        <w:tc>
          <w:tcPr>
            <w:tcW w:w="1076" w:type="dxa"/>
            <w:vAlign w:val="center"/>
          </w:tcPr>
          <w:p>
            <w:pPr>
              <w:rPr>
                <w:rFonts w:hint="eastAsia" w:ascii="宋体" w:hAnsi="宋体"/>
                <w:color w:val="auto"/>
                <w:szCs w:val="21"/>
                <w:highlight w:val="none"/>
              </w:rPr>
            </w:pPr>
          </w:p>
        </w:tc>
        <w:tc>
          <w:tcPr>
            <w:tcW w:w="1465"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法人代表</w:t>
            </w:r>
          </w:p>
        </w:tc>
        <w:tc>
          <w:tcPr>
            <w:tcW w:w="1433" w:type="dxa"/>
            <w:gridSpan w:val="2"/>
            <w:vAlign w:val="center"/>
          </w:tcPr>
          <w:p>
            <w:pPr>
              <w:rPr>
                <w:rFonts w:hint="eastAsia" w:ascii="宋体" w:hAnsi="宋体"/>
                <w:color w:val="auto"/>
                <w:szCs w:val="21"/>
                <w:highlight w:val="none"/>
              </w:rPr>
            </w:pPr>
          </w:p>
        </w:tc>
        <w:tc>
          <w:tcPr>
            <w:tcW w:w="1557"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职务</w:t>
            </w:r>
          </w:p>
        </w:tc>
        <w:tc>
          <w:tcPr>
            <w:tcW w:w="1433" w:type="dxa"/>
            <w:gridSpan w:val="2"/>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经济类型</w:t>
            </w:r>
          </w:p>
        </w:tc>
        <w:tc>
          <w:tcPr>
            <w:tcW w:w="1076" w:type="dxa"/>
            <w:vAlign w:val="center"/>
          </w:tcPr>
          <w:p>
            <w:pPr>
              <w:rPr>
                <w:rFonts w:hint="eastAsia" w:ascii="宋体" w:hAnsi="宋体"/>
                <w:color w:val="auto"/>
                <w:szCs w:val="21"/>
                <w:highlight w:val="none"/>
              </w:rPr>
            </w:pPr>
          </w:p>
        </w:tc>
        <w:tc>
          <w:tcPr>
            <w:tcW w:w="1465"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授权代表</w:t>
            </w:r>
          </w:p>
        </w:tc>
        <w:tc>
          <w:tcPr>
            <w:tcW w:w="1433" w:type="dxa"/>
            <w:gridSpan w:val="2"/>
            <w:vAlign w:val="center"/>
          </w:tcPr>
          <w:p>
            <w:pPr>
              <w:rPr>
                <w:rFonts w:hint="eastAsia" w:ascii="宋体" w:hAnsi="宋体"/>
                <w:color w:val="auto"/>
                <w:szCs w:val="21"/>
                <w:highlight w:val="none"/>
              </w:rPr>
            </w:pPr>
          </w:p>
        </w:tc>
        <w:tc>
          <w:tcPr>
            <w:tcW w:w="1557"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职务</w:t>
            </w:r>
          </w:p>
        </w:tc>
        <w:tc>
          <w:tcPr>
            <w:tcW w:w="1433" w:type="dxa"/>
            <w:gridSpan w:val="2"/>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邮编</w:t>
            </w:r>
          </w:p>
        </w:tc>
        <w:tc>
          <w:tcPr>
            <w:tcW w:w="1076" w:type="dxa"/>
            <w:vAlign w:val="center"/>
          </w:tcPr>
          <w:p>
            <w:pPr>
              <w:rPr>
                <w:rFonts w:hint="eastAsia" w:ascii="宋体" w:hAnsi="宋体"/>
                <w:color w:val="auto"/>
                <w:szCs w:val="21"/>
                <w:highlight w:val="none"/>
              </w:rPr>
            </w:pPr>
          </w:p>
        </w:tc>
        <w:tc>
          <w:tcPr>
            <w:tcW w:w="1465"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电话</w:t>
            </w:r>
          </w:p>
        </w:tc>
        <w:tc>
          <w:tcPr>
            <w:tcW w:w="1433" w:type="dxa"/>
            <w:gridSpan w:val="2"/>
            <w:vAlign w:val="center"/>
          </w:tcPr>
          <w:p>
            <w:pPr>
              <w:rPr>
                <w:rFonts w:hint="eastAsia" w:ascii="宋体" w:hAnsi="宋体"/>
                <w:color w:val="auto"/>
                <w:szCs w:val="21"/>
                <w:highlight w:val="none"/>
              </w:rPr>
            </w:pPr>
          </w:p>
        </w:tc>
        <w:tc>
          <w:tcPr>
            <w:tcW w:w="1557"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传真</w:t>
            </w:r>
          </w:p>
        </w:tc>
        <w:tc>
          <w:tcPr>
            <w:tcW w:w="1433" w:type="dxa"/>
            <w:gridSpan w:val="2"/>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单位简介及机构设置</w:t>
            </w:r>
          </w:p>
        </w:tc>
        <w:tc>
          <w:tcPr>
            <w:tcW w:w="6964" w:type="dxa"/>
            <w:gridSpan w:val="9"/>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单位优势及特长</w:t>
            </w:r>
          </w:p>
        </w:tc>
        <w:tc>
          <w:tcPr>
            <w:tcW w:w="6964" w:type="dxa"/>
            <w:gridSpan w:val="9"/>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hint="eastAsia" w:ascii="宋体" w:hAnsi="宋体"/>
                <w:color w:val="auto"/>
                <w:szCs w:val="21"/>
                <w:highlight w:val="none"/>
              </w:rPr>
            </w:pPr>
            <w:r>
              <w:rPr>
                <w:rFonts w:hint="eastAsia" w:ascii="宋体" w:hAnsi="宋体"/>
                <w:color w:val="auto"/>
                <w:szCs w:val="21"/>
                <w:highlight w:val="none"/>
              </w:rPr>
              <w:t>单位概况</w:t>
            </w:r>
          </w:p>
        </w:tc>
        <w:tc>
          <w:tcPr>
            <w:tcW w:w="1076" w:type="dxa"/>
          </w:tcPr>
          <w:p>
            <w:pPr>
              <w:rPr>
                <w:rFonts w:hint="eastAsia" w:ascii="宋体" w:hAnsi="宋体"/>
                <w:color w:val="auto"/>
                <w:szCs w:val="21"/>
                <w:highlight w:val="none"/>
              </w:rPr>
            </w:pPr>
            <w:r>
              <w:rPr>
                <w:rFonts w:hint="eastAsia" w:ascii="宋体" w:hAnsi="宋体"/>
                <w:color w:val="auto"/>
                <w:szCs w:val="21"/>
                <w:highlight w:val="none"/>
              </w:rPr>
              <w:t>注册资本</w:t>
            </w:r>
          </w:p>
        </w:tc>
        <w:tc>
          <w:tcPr>
            <w:tcW w:w="1269" w:type="dxa"/>
          </w:tcPr>
          <w:p>
            <w:pPr>
              <w:rPr>
                <w:rFonts w:hint="eastAsia" w:ascii="宋体" w:hAnsi="宋体"/>
                <w:color w:val="auto"/>
                <w:szCs w:val="21"/>
                <w:highlight w:val="none"/>
              </w:rPr>
            </w:pPr>
            <w:r>
              <w:rPr>
                <w:rFonts w:hint="eastAsia" w:ascii="宋体" w:hAnsi="宋体"/>
                <w:color w:val="auto"/>
                <w:szCs w:val="21"/>
                <w:highlight w:val="none"/>
              </w:rPr>
              <w:t>万元</w:t>
            </w:r>
          </w:p>
        </w:tc>
        <w:tc>
          <w:tcPr>
            <w:tcW w:w="1407" w:type="dxa"/>
            <w:gridSpan w:val="2"/>
          </w:tcPr>
          <w:p>
            <w:pPr>
              <w:rPr>
                <w:rFonts w:hint="eastAsia" w:ascii="宋体" w:hAnsi="宋体"/>
                <w:color w:val="auto"/>
                <w:szCs w:val="21"/>
                <w:highlight w:val="none"/>
              </w:rPr>
            </w:pPr>
            <w:r>
              <w:rPr>
                <w:rFonts w:hint="eastAsia" w:ascii="宋体" w:hAnsi="宋体"/>
                <w:color w:val="auto"/>
                <w:szCs w:val="21"/>
                <w:highlight w:val="none"/>
              </w:rPr>
              <w:t>占地面积</w:t>
            </w:r>
          </w:p>
        </w:tc>
        <w:tc>
          <w:tcPr>
            <w:tcW w:w="3212" w:type="dxa"/>
            <w:gridSpan w:val="5"/>
          </w:tcPr>
          <w:p>
            <w:pPr>
              <w:rPr>
                <w:rFonts w:hint="eastAsia"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hint="eastAsia" w:ascii="宋体" w:hAnsi="宋体"/>
                <w:color w:val="auto"/>
                <w:szCs w:val="21"/>
                <w:highlight w:val="none"/>
              </w:rPr>
            </w:pPr>
          </w:p>
        </w:tc>
        <w:tc>
          <w:tcPr>
            <w:tcW w:w="1076" w:type="dxa"/>
          </w:tcPr>
          <w:p>
            <w:pPr>
              <w:rPr>
                <w:rFonts w:hint="eastAsia" w:ascii="宋体" w:hAnsi="宋体"/>
                <w:color w:val="auto"/>
                <w:szCs w:val="21"/>
                <w:highlight w:val="none"/>
              </w:rPr>
            </w:pPr>
            <w:r>
              <w:rPr>
                <w:rFonts w:hint="eastAsia" w:ascii="宋体" w:hAnsi="宋体"/>
                <w:color w:val="auto"/>
                <w:szCs w:val="21"/>
                <w:highlight w:val="none"/>
              </w:rPr>
              <w:t>职工总数</w:t>
            </w:r>
          </w:p>
        </w:tc>
        <w:tc>
          <w:tcPr>
            <w:tcW w:w="1269" w:type="dxa"/>
          </w:tcPr>
          <w:p>
            <w:pPr>
              <w:rPr>
                <w:rFonts w:hint="eastAsia" w:ascii="宋体" w:hAnsi="宋体"/>
                <w:color w:val="auto"/>
                <w:szCs w:val="21"/>
                <w:highlight w:val="none"/>
              </w:rPr>
            </w:pPr>
            <w:r>
              <w:rPr>
                <w:rFonts w:hint="eastAsia" w:ascii="宋体" w:hAnsi="宋体"/>
                <w:color w:val="auto"/>
                <w:szCs w:val="21"/>
                <w:highlight w:val="none"/>
              </w:rPr>
              <w:t>人</w:t>
            </w:r>
          </w:p>
        </w:tc>
        <w:tc>
          <w:tcPr>
            <w:tcW w:w="1407" w:type="dxa"/>
            <w:gridSpan w:val="2"/>
          </w:tcPr>
          <w:p>
            <w:pPr>
              <w:rPr>
                <w:rFonts w:hint="eastAsia" w:ascii="宋体" w:hAnsi="宋体"/>
                <w:color w:val="auto"/>
                <w:szCs w:val="21"/>
                <w:highlight w:val="none"/>
              </w:rPr>
            </w:pPr>
            <w:r>
              <w:rPr>
                <w:rFonts w:hint="eastAsia" w:ascii="宋体" w:hAnsi="宋体"/>
                <w:color w:val="auto"/>
                <w:szCs w:val="21"/>
                <w:highlight w:val="none"/>
              </w:rPr>
              <w:t>建筑面积</w:t>
            </w:r>
          </w:p>
        </w:tc>
        <w:tc>
          <w:tcPr>
            <w:tcW w:w="3212" w:type="dxa"/>
            <w:gridSpan w:val="5"/>
          </w:tcPr>
          <w:p>
            <w:pPr>
              <w:rPr>
                <w:rFonts w:hint="eastAsia"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hint="eastAsia" w:ascii="宋体" w:hAnsi="宋体"/>
                <w:color w:val="auto"/>
                <w:szCs w:val="21"/>
                <w:highlight w:val="none"/>
              </w:rPr>
            </w:pPr>
          </w:p>
        </w:tc>
        <w:tc>
          <w:tcPr>
            <w:tcW w:w="1076" w:type="dxa"/>
            <w:vMerge w:val="restart"/>
            <w:vAlign w:val="center"/>
          </w:tcPr>
          <w:p>
            <w:pPr>
              <w:rPr>
                <w:rFonts w:hint="eastAsia" w:ascii="宋体" w:hAnsi="宋体"/>
                <w:color w:val="auto"/>
                <w:szCs w:val="21"/>
                <w:highlight w:val="none"/>
              </w:rPr>
            </w:pPr>
            <w:r>
              <w:rPr>
                <w:rFonts w:hint="eastAsia" w:ascii="宋体" w:hAnsi="宋体"/>
                <w:color w:val="auto"/>
                <w:szCs w:val="21"/>
                <w:highlight w:val="none"/>
              </w:rPr>
              <w:t>资产情况</w:t>
            </w:r>
          </w:p>
        </w:tc>
        <w:tc>
          <w:tcPr>
            <w:tcW w:w="1269" w:type="dxa"/>
          </w:tcPr>
          <w:p>
            <w:pPr>
              <w:rPr>
                <w:rFonts w:hint="eastAsia" w:ascii="宋体" w:hAnsi="宋体"/>
                <w:color w:val="auto"/>
                <w:szCs w:val="21"/>
                <w:highlight w:val="none"/>
              </w:rPr>
            </w:pPr>
            <w:r>
              <w:rPr>
                <w:rFonts w:hint="eastAsia" w:ascii="宋体" w:hAnsi="宋体"/>
                <w:color w:val="auto"/>
                <w:szCs w:val="21"/>
                <w:highlight w:val="none"/>
              </w:rPr>
              <w:t>净资产</w:t>
            </w:r>
          </w:p>
        </w:tc>
        <w:tc>
          <w:tcPr>
            <w:tcW w:w="1407"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hint="eastAsia" w:ascii="宋体" w:hAnsi="宋体"/>
                <w:color w:val="auto"/>
                <w:szCs w:val="21"/>
                <w:highlight w:val="none"/>
              </w:rPr>
            </w:pPr>
            <w:r>
              <w:rPr>
                <w:rFonts w:hint="eastAsia" w:ascii="宋体" w:hAnsi="宋体"/>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hint="eastAsia" w:ascii="宋体" w:hAnsi="宋体"/>
                <w:color w:val="auto"/>
                <w:szCs w:val="21"/>
                <w:highlight w:val="none"/>
              </w:rPr>
            </w:pPr>
          </w:p>
        </w:tc>
        <w:tc>
          <w:tcPr>
            <w:tcW w:w="1076" w:type="dxa"/>
            <w:vMerge w:val="continue"/>
          </w:tcPr>
          <w:p>
            <w:pPr>
              <w:rPr>
                <w:rFonts w:hint="eastAsia" w:ascii="宋体" w:hAnsi="宋体"/>
                <w:color w:val="auto"/>
                <w:szCs w:val="21"/>
                <w:highlight w:val="none"/>
              </w:rPr>
            </w:pPr>
          </w:p>
        </w:tc>
        <w:tc>
          <w:tcPr>
            <w:tcW w:w="1269" w:type="dxa"/>
          </w:tcPr>
          <w:p>
            <w:pPr>
              <w:rPr>
                <w:rFonts w:hint="eastAsia" w:ascii="宋体" w:hAnsi="宋体"/>
                <w:color w:val="auto"/>
                <w:szCs w:val="21"/>
                <w:highlight w:val="none"/>
              </w:rPr>
            </w:pPr>
            <w:r>
              <w:rPr>
                <w:rFonts w:hint="eastAsia" w:ascii="宋体" w:hAnsi="宋体"/>
                <w:color w:val="auto"/>
                <w:szCs w:val="21"/>
                <w:highlight w:val="none"/>
              </w:rPr>
              <w:t>负债</w:t>
            </w:r>
          </w:p>
        </w:tc>
        <w:tc>
          <w:tcPr>
            <w:tcW w:w="1407" w:type="dxa"/>
            <w:gridSpan w:val="2"/>
            <w:vAlign w:val="center"/>
          </w:tcPr>
          <w:p>
            <w:pPr>
              <w:rPr>
                <w:rFonts w:hint="eastAsia"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hint="eastAsia" w:ascii="宋体" w:hAnsi="宋体"/>
                <w:color w:val="auto"/>
                <w:szCs w:val="21"/>
                <w:highlight w:val="none"/>
              </w:rPr>
            </w:pPr>
            <w:r>
              <w:rPr>
                <w:rFonts w:hint="eastAsia" w:ascii="宋体" w:hAnsi="宋体"/>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hint="eastAsia" w:ascii="宋体" w:hAnsi="宋体"/>
                <w:color w:val="auto"/>
                <w:szCs w:val="21"/>
                <w:highlight w:val="none"/>
              </w:rPr>
            </w:pPr>
            <w:r>
              <w:rPr>
                <w:rFonts w:hint="eastAsia" w:ascii="宋体" w:hAnsi="宋体"/>
                <w:color w:val="auto"/>
                <w:szCs w:val="21"/>
                <w:highlight w:val="none"/>
              </w:rPr>
              <w:t>财务状况</w:t>
            </w:r>
          </w:p>
        </w:tc>
        <w:tc>
          <w:tcPr>
            <w:tcW w:w="1076" w:type="dxa"/>
            <w:vAlign w:val="center"/>
          </w:tcPr>
          <w:p>
            <w:pPr>
              <w:jc w:val="center"/>
              <w:rPr>
                <w:rFonts w:hint="eastAsia" w:ascii="宋体" w:hAnsi="宋体"/>
                <w:color w:val="auto"/>
                <w:szCs w:val="21"/>
                <w:highlight w:val="none"/>
              </w:rPr>
            </w:pPr>
            <w:r>
              <w:rPr>
                <w:rFonts w:hint="eastAsia" w:ascii="宋体" w:hAnsi="宋体"/>
                <w:color w:val="auto"/>
                <w:szCs w:val="21"/>
                <w:highlight w:val="none"/>
              </w:rPr>
              <w:t>年度</w:t>
            </w:r>
          </w:p>
        </w:tc>
        <w:tc>
          <w:tcPr>
            <w:tcW w:w="1269" w:type="dxa"/>
            <w:vAlign w:val="center"/>
          </w:tcPr>
          <w:p>
            <w:pPr>
              <w:jc w:val="center"/>
              <w:rPr>
                <w:rFonts w:hint="eastAsia" w:ascii="宋体" w:hAnsi="宋体"/>
                <w:color w:val="auto"/>
                <w:szCs w:val="21"/>
                <w:highlight w:val="none"/>
              </w:rPr>
            </w:pPr>
            <w:r>
              <w:rPr>
                <w:rFonts w:hint="eastAsia" w:ascii="宋体" w:hAnsi="宋体"/>
                <w:color w:val="auto"/>
                <w:szCs w:val="21"/>
                <w:highlight w:val="none"/>
              </w:rPr>
              <w:t>主营收入</w:t>
            </w:r>
          </w:p>
          <w:p>
            <w:pPr>
              <w:jc w:val="center"/>
              <w:rPr>
                <w:rFonts w:hint="eastAsia" w:ascii="宋体" w:hAnsi="宋体"/>
                <w:color w:val="auto"/>
                <w:szCs w:val="21"/>
                <w:highlight w:val="none"/>
              </w:rPr>
            </w:pPr>
            <w:r>
              <w:rPr>
                <w:rFonts w:hint="eastAsia" w:ascii="宋体" w:hAnsi="宋体"/>
                <w:color w:val="auto"/>
                <w:szCs w:val="21"/>
                <w:highlight w:val="none"/>
              </w:rPr>
              <w:t>（万元）</w:t>
            </w:r>
          </w:p>
        </w:tc>
        <w:tc>
          <w:tcPr>
            <w:tcW w:w="1407" w:type="dxa"/>
            <w:gridSpan w:val="2"/>
            <w:vAlign w:val="center"/>
          </w:tcPr>
          <w:p>
            <w:pPr>
              <w:jc w:val="center"/>
              <w:rPr>
                <w:rFonts w:hint="eastAsia" w:ascii="宋体" w:hAnsi="宋体"/>
                <w:color w:val="auto"/>
                <w:szCs w:val="21"/>
                <w:highlight w:val="none"/>
              </w:rPr>
            </w:pPr>
            <w:r>
              <w:rPr>
                <w:rFonts w:hint="eastAsia" w:ascii="宋体" w:hAnsi="宋体"/>
                <w:color w:val="auto"/>
                <w:szCs w:val="21"/>
                <w:highlight w:val="none"/>
              </w:rPr>
              <w:t>收入总额</w:t>
            </w:r>
          </w:p>
          <w:p>
            <w:pPr>
              <w:jc w:val="center"/>
              <w:rPr>
                <w:rFonts w:hint="eastAsia" w:ascii="宋体" w:hAnsi="宋体"/>
                <w:color w:val="auto"/>
                <w:szCs w:val="21"/>
                <w:highlight w:val="none"/>
              </w:rPr>
            </w:pPr>
            <w:r>
              <w:rPr>
                <w:rFonts w:hint="eastAsia" w:ascii="宋体" w:hAnsi="宋体"/>
                <w:color w:val="auto"/>
                <w:szCs w:val="21"/>
                <w:highlight w:val="none"/>
              </w:rPr>
              <w:t>（万元）</w:t>
            </w:r>
          </w:p>
        </w:tc>
        <w:tc>
          <w:tcPr>
            <w:tcW w:w="1095" w:type="dxa"/>
            <w:gridSpan w:val="2"/>
            <w:vAlign w:val="center"/>
          </w:tcPr>
          <w:p>
            <w:pPr>
              <w:jc w:val="center"/>
              <w:rPr>
                <w:rFonts w:hint="eastAsia" w:ascii="宋体" w:hAnsi="宋体"/>
                <w:color w:val="auto"/>
                <w:szCs w:val="21"/>
                <w:highlight w:val="none"/>
              </w:rPr>
            </w:pPr>
            <w:r>
              <w:rPr>
                <w:rFonts w:hint="eastAsia" w:ascii="宋体" w:hAnsi="宋体"/>
                <w:color w:val="auto"/>
                <w:szCs w:val="21"/>
                <w:highlight w:val="none"/>
              </w:rPr>
              <w:t>利润总额（万元）</w:t>
            </w:r>
          </w:p>
        </w:tc>
        <w:tc>
          <w:tcPr>
            <w:tcW w:w="1026" w:type="dxa"/>
            <w:gridSpan w:val="2"/>
            <w:vAlign w:val="center"/>
          </w:tcPr>
          <w:p>
            <w:pPr>
              <w:jc w:val="center"/>
              <w:rPr>
                <w:rFonts w:hint="eastAsia" w:ascii="宋体" w:hAnsi="宋体"/>
                <w:color w:val="auto"/>
                <w:szCs w:val="21"/>
                <w:highlight w:val="none"/>
              </w:rPr>
            </w:pPr>
            <w:r>
              <w:rPr>
                <w:rFonts w:hint="eastAsia" w:ascii="宋体" w:hAnsi="宋体"/>
                <w:color w:val="auto"/>
                <w:szCs w:val="21"/>
                <w:highlight w:val="none"/>
              </w:rPr>
              <w:t>净利润（万元）</w:t>
            </w:r>
          </w:p>
        </w:tc>
        <w:tc>
          <w:tcPr>
            <w:tcW w:w="1091" w:type="dxa"/>
            <w:vAlign w:val="center"/>
          </w:tcPr>
          <w:p>
            <w:pPr>
              <w:jc w:val="center"/>
              <w:rPr>
                <w:rFonts w:hint="eastAsia" w:ascii="宋体" w:hAnsi="宋体"/>
                <w:color w:val="auto"/>
                <w:szCs w:val="21"/>
                <w:highlight w:val="none"/>
              </w:rPr>
            </w:pPr>
            <w:r>
              <w:rPr>
                <w:rFonts w:hint="eastAsia" w:ascii="宋体" w:hAnsi="宋体"/>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jc w:val="center"/>
        </w:trPr>
        <w:tc>
          <w:tcPr>
            <w:tcW w:w="1564" w:type="dxa"/>
            <w:vMerge w:val="continue"/>
          </w:tcPr>
          <w:p>
            <w:pPr>
              <w:rPr>
                <w:rFonts w:hint="eastAsia" w:ascii="宋体" w:hAnsi="宋体"/>
                <w:color w:val="auto"/>
                <w:szCs w:val="21"/>
                <w:highlight w:val="none"/>
              </w:rPr>
            </w:pPr>
          </w:p>
        </w:tc>
        <w:tc>
          <w:tcPr>
            <w:tcW w:w="1076" w:type="dxa"/>
          </w:tcPr>
          <w:p>
            <w:pPr>
              <w:rPr>
                <w:rFonts w:hint="eastAsia" w:ascii="宋体" w:hAnsi="宋体"/>
                <w:color w:val="auto"/>
                <w:szCs w:val="21"/>
                <w:highlight w:val="none"/>
              </w:rPr>
            </w:pPr>
            <w:r>
              <w:rPr>
                <w:rFonts w:hint="eastAsia" w:ascii="宋体" w:hAnsi="宋体"/>
                <w:color w:val="auto"/>
                <w:szCs w:val="21"/>
                <w:highlight w:val="none"/>
              </w:rPr>
              <w:t>2024年</w:t>
            </w:r>
          </w:p>
        </w:tc>
        <w:tc>
          <w:tcPr>
            <w:tcW w:w="1269" w:type="dxa"/>
          </w:tcPr>
          <w:p>
            <w:pPr>
              <w:rPr>
                <w:rFonts w:hint="eastAsia" w:ascii="宋体" w:hAnsi="宋体"/>
                <w:color w:val="auto"/>
                <w:szCs w:val="21"/>
                <w:highlight w:val="none"/>
              </w:rPr>
            </w:pPr>
          </w:p>
        </w:tc>
        <w:tc>
          <w:tcPr>
            <w:tcW w:w="1407" w:type="dxa"/>
            <w:gridSpan w:val="2"/>
          </w:tcPr>
          <w:p>
            <w:pPr>
              <w:rPr>
                <w:rFonts w:hint="eastAsia" w:ascii="宋体" w:hAnsi="宋体"/>
                <w:color w:val="auto"/>
                <w:szCs w:val="21"/>
                <w:highlight w:val="none"/>
              </w:rPr>
            </w:pPr>
          </w:p>
        </w:tc>
        <w:tc>
          <w:tcPr>
            <w:tcW w:w="1095" w:type="dxa"/>
            <w:gridSpan w:val="2"/>
          </w:tcPr>
          <w:p>
            <w:pPr>
              <w:rPr>
                <w:rFonts w:hint="eastAsia" w:ascii="宋体" w:hAnsi="宋体"/>
                <w:color w:val="auto"/>
                <w:szCs w:val="21"/>
                <w:highlight w:val="none"/>
              </w:rPr>
            </w:pPr>
          </w:p>
        </w:tc>
        <w:tc>
          <w:tcPr>
            <w:tcW w:w="1026" w:type="dxa"/>
            <w:gridSpan w:val="2"/>
          </w:tcPr>
          <w:p>
            <w:pPr>
              <w:rPr>
                <w:rFonts w:hint="eastAsia" w:ascii="宋体" w:hAnsi="宋体"/>
                <w:color w:val="auto"/>
                <w:szCs w:val="21"/>
                <w:highlight w:val="none"/>
              </w:rPr>
            </w:pPr>
          </w:p>
        </w:tc>
        <w:tc>
          <w:tcPr>
            <w:tcW w:w="1091" w:type="dxa"/>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1564" w:type="dxa"/>
            <w:vMerge w:val="continue"/>
          </w:tcPr>
          <w:p>
            <w:pPr>
              <w:rPr>
                <w:rFonts w:hint="eastAsia" w:ascii="宋体" w:hAnsi="宋体"/>
                <w:color w:val="auto"/>
                <w:szCs w:val="21"/>
                <w:highlight w:val="none"/>
              </w:rPr>
            </w:pPr>
          </w:p>
        </w:tc>
        <w:tc>
          <w:tcPr>
            <w:tcW w:w="1076" w:type="dxa"/>
          </w:tcPr>
          <w:p>
            <w:pPr>
              <w:rPr>
                <w:rFonts w:hint="eastAsia" w:ascii="宋体" w:hAnsi="宋体"/>
                <w:color w:val="auto"/>
                <w:szCs w:val="21"/>
                <w:highlight w:val="none"/>
              </w:rPr>
            </w:pPr>
            <w:r>
              <w:rPr>
                <w:rFonts w:hint="eastAsia" w:ascii="宋体" w:hAnsi="宋体"/>
                <w:color w:val="auto"/>
                <w:szCs w:val="21"/>
                <w:highlight w:val="none"/>
              </w:rPr>
              <w:t>2023年</w:t>
            </w:r>
          </w:p>
        </w:tc>
        <w:tc>
          <w:tcPr>
            <w:tcW w:w="1269" w:type="dxa"/>
          </w:tcPr>
          <w:p>
            <w:pPr>
              <w:rPr>
                <w:rFonts w:hint="eastAsia" w:ascii="宋体" w:hAnsi="宋体"/>
                <w:color w:val="auto"/>
                <w:szCs w:val="21"/>
                <w:highlight w:val="none"/>
              </w:rPr>
            </w:pPr>
          </w:p>
        </w:tc>
        <w:tc>
          <w:tcPr>
            <w:tcW w:w="1407" w:type="dxa"/>
            <w:gridSpan w:val="2"/>
          </w:tcPr>
          <w:p>
            <w:pPr>
              <w:rPr>
                <w:rFonts w:hint="eastAsia" w:ascii="宋体" w:hAnsi="宋体"/>
                <w:color w:val="auto"/>
                <w:szCs w:val="21"/>
                <w:highlight w:val="none"/>
              </w:rPr>
            </w:pPr>
          </w:p>
        </w:tc>
        <w:tc>
          <w:tcPr>
            <w:tcW w:w="1095" w:type="dxa"/>
            <w:gridSpan w:val="2"/>
          </w:tcPr>
          <w:p>
            <w:pPr>
              <w:rPr>
                <w:rFonts w:hint="eastAsia" w:ascii="宋体" w:hAnsi="宋体"/>
                <w:color w:val="auto"/>
                <w:szCs w:val="21"/>
                <w:highlight w:val="none"/>
              </w:rPr>
            </w:pPr>
          </w:p>
        </w:tc>
        <w:tc>
          <w:tcPr>
            <w:tcW w:w="1026" w:type="dxa"/>
            <w:gridSpan w:val="2"/>
          </w:tcPr>
          <w:p>
            <w:pPr>
              <w:rPr>
                <w:rFonts w:hint="eastAsia" w:ascii="宋体" w:hAnsi="宋体"/>
                <w:color w:val="auto"/>
                <w:szCs w:val="21"/>
                <w:highlight w:val="none"/>
              </w:rPr>
            </w:pPr>
          </w:p>
        </w:tc>
        <w:tc>
          <w:tcPr>
            <w:tcW w:w="1091" w:type="dxa"/>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6" w:hRule="atLeast"/>
          <w:jc w:val="center"/>
        </w:trPr>
        <w:tc>
          <w:tcPr>
            <w:tcW w:w="1564" w:type="dxa"/>
            <w:vMerge w:val="continue"/>
          </w:tcPr>
          <w:p>
            <w:pPr>
              <w:rPr>
                <w:rFonts w:hint="eastAsia" w:ascii="宋体" w:hAnsi="宋体"/>
                <w:color w:val="auto"/>
                <w:szCs w:val="21"/>
                <w:highlight w:val="none"/>
              </w:rPr>
            </w:pPr>
          </w:p>
        </w:tc>
        <w:tc>
          <w:tcPr>
            <w:tcW w:w="1076" w:type="dxa"/>
          </w:tcPr>
          <w:p>
            <w:pPr>
              <w:rPr>
                <w:rFonts w:hint="eastAsia" w:ascii="宋体" w:hAnsi="宋体"/>
                <w:color w:val="auto"/>
                <w:szCs w:val="21"/>
                <w:highlight w:val="none"/>
              </w:rPr>
            </w:pPr>
            <w:r>
              <w:rPr>
                <w:rFonts w:hint="eastAsia" w:ascii="宋体" w:hAnsi="宋体"/>
                <w:color w:val="auto"/>
                <w:szCs w:val="21"/>
                <w:highlight w:val="none"/>
              </w:rPr>
              <w:t>2022年</w:t>
            </w:r>
          </w:p>
        </w:tc>
        <w:tc>
          <w:tcPr>
            <w:tcW w:w="1269" w:type="dxa"/>
          </w:tcPr>
          <w:p>
            <w:pPr>
              <w:rPr>
                <w:rFonts w:hint="eastAsia" w:ascii="宋体" w:hAnsi="宋体"/>
                <w:color w:val="auto"/>
                <w:szCs w:val="21"/>
                <w:highlight w:val="none"/>
              </w:rPr>
            </w:pPr>
          </w:p>
        </w:tc>
        <w:tc>
          <w:tcPr>
            <w:tcW w:w="1407" w:type="dxa"/>
            <w:gridSpan w:val="2"/>
          </w:tcPr>
          <w:p>
            <w:pPr>
              <w:rPr>
                <w:rFonts w:hint="eastAsia" w:ascii="宋体" w:hAnsi="宋体"/>
                <w:color w:val="auto"/>
                <w:szCs w:val="21"/>
                <w:highlight w:val="none"/>
              </w:rPr>
            </w:pPr>
          </w:p>
        </w:tc>
        <w:tc>
          <w:tcPr>
            <w:tcW w:w="1095" w:type="dxa"/>
            <w:gridSpan w:val="2"/>
          </w:tcPr>
          <w:p>
            <w:pPr>
              <w:rPr>
                <w:rFonts w:hint="eastAsia" w:ascii="宋体" w:hAnsi="宋体"/>
                <w:color w:val="auto"/>
                <w:szCs w:val="21"/>
                <w:highlight w:val="none"/>
              </w:rPr>
            </w:pPr>
          </w:p>
        </w:tc>
        <w:tc>
          <w:tcPr>
            <w:tcW w:w="1026" w:type="dxa"/>
            <w:gridSpan w:val="2"/>
          </w:tcPr>
          <w:p>
            <w:pPr>
              <w:rPr>
                <w:rFonts w:hint="eastAsia" w:ascii="宋体" w:hAnsi="宋体"/>
                <w:color w:val="auto"/>
                <w:szCs w:val="21"/>
                <w:highlight w:val="none"/>
              </w:rPr>
            </w:pPr>
          </w:p>
        </w:tc>
        <w:tc>
          <w:tcPr>
            <w:tcW w:w="1091" w:type="dxa"/>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564" w:type="dxa"/>
            <w:vAlign w:val="center"/>
          </w:tcPr>
          <w:p>
            <w:pPr>
              <w:rPr>
                <w:rFonts w:hint="eastAsia" w:ascii="宋体" w:hAnsi="宋体"/>
                <w:color w:val="auto"/>
                <w:szCs w:val="21"/>
                <w:highlight w:val="none"/>
              </w:rPr>
            </w:pPr>
            <w:r>
              <w:rPr>
                <w:rFonts w:hint="eastAsia" w:ascii="宋体" w:hAnsi="宋体"/>
                <w:color w:val="auto"/>
                <w:szCs w:val="21"/>
                <w:highlight w:val="none"/>
              </w:rPr>
              <w:t>银行评级</w:t>
            </w:r>
          </w:p>
        </w:tc>
        <w:tc>
          <w:tcPr>
            <w:tcW w:w="6964" w:type="dxa"/>
            <w:gridSpan w:val="9"/>
            <w:vAlign w:val="center"/>
          </w:tcPr>
          <w:p>
            <w:pPr>
              <w:rPr>
                <w:rFonts w:hint="eastAsia"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528" w:type="dxa"/>
            <w:gridSpan w:val="10"/>
            <w:vAlign w:val="center"/>
          </w:tcPr>
          <w:p>
            <w:pPr>
              <w:rPr>
                <w:rFonts w:hint="eastAsia" w:ascii="宋体" w:hAnsi="宋体"/>
                <w:color w:val="auto"/>
                <w:szCs w:val="21"/>
                <w:highlight w:val="none"/>
              </w:rPr>
            </w:pPr>
            <w:r>
              <w:rPr>
                <w:rFonts w:hint="eastAsia" w:ascii="宋体" w:hAnsi="宋体"/>
                <w:color w:val="auto"/>
                <w:szCs w:val="21"/>
                <w:highlight w:val="none"/>
              </w:rPr>
              <w:t>注：表格后可附投标人对企业简介的文字、图片等形式的描述。提供所获资质证书复印件。</w:t>
            </w:r>
          </w:p>
        </w:tc>
      </w:tr>
    </w:tbl>
    <w:p>
      <w:pPr>
        <w:pStyle w:val="4"/>
        <w:rPr>
          <w:color w:val="auto"/>
          <w:highlight w:val="none"/>
        </w:rPr>
      </w:pPr>
      <w:bookmarkStart w:id="1939" w:name="_Toc9203"/>
      <w:bookmarkStart w:id="1940" w:name="_Toc98579623"/>
      <w:bookmarkStart w:id="1941" w:name="_Toc6473"/>
      <w:bookmarkStart w:id="1942" w:name="_Toc43086034"/>
      <w:bookmarkStart w:id="1943" w:name="_Toc43086624"/>
      <w:bookmarkStart w:id="1944" w:name="_Toc43627854"/>
      <w:bookmarkStart w:id="1945" w:name="_Toc98579081"/>
      <w:bookmarkStart w:id="1946" w:name="_Toc98579023"/>
      <w:bookmarkStart w:id="1947" w:name="_Toc71000743"/>
      <w:bookmarkStart w:id="1948" w:name="_Toc43086036"/>
      <w:bookmarkStart w:id="1949" w:name="_Toc5393"/>
      <w:bookmarkStart w:id="1950" w:name="_Toc71000474"/>
      <w:bookmarkStart w:id="1951" w:name="_Toc70999741"/>
      <w:bookmarkStart w:id="1952" w:name="_Toc98580306"/>
      <w:bookmarkStart w:id="1953" w:name="_Toc43086622"/>
      <w:bookmarkStart w:id="1954" w:name="_Toc11764"/>
      <w:bookmarkStart w:id="1955" w:name="_Toc19491"/>
      <w:bookmarkStart w:id="1956" w:name="_Toc72224535"/>
      <w:bookmarkStart w:id="1957" w:name="_Toc43627960"/>
      <w:bookmarkStart w:id="1958" w:name="_Toc29903"/>
      <w:bookmarkStart w:id="1959" w:name="_Toc27225"/>
      <w:bookmarkStart w:id="1960" w:name="_Toc14398"/>
    </w:p>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p>
      <w:pPr>
        <w:pStyle w:val="4"/>
        <w:numPr>
          <w:ilvl w:val="0"/>
          <w:numId w:val="18"/>
        </w:numPr>
        <w:jc w:val="left"/>
        <w:rPr>
          <w:color w:val="auto"/>
          <w:highlight w:val="none"/>
        </w:rPr>
      </w:pPr>
      <w:bookmarkStart w:id="1961" w:name="_Toc23632"/>
      <w:bookmarkStart w:id="1962" w:name="_Toc4427"/>
      <w:bookmarkStart w:id="1963" w:name="_Toc11116"/>
      <w:bookmarkStart w:id="1964" w:name="_Toc16802"/>
      <w:bookmarkStart w:id="1965" w:name="_Toc3048"/>
      <w:bookmarkStart w:id="1966" w:name="_Toc4812"/>
      <w:bookmarkStart w:id="1967" w:name="_Toc31763"/>
      <w:bookmarkStart w:id="1968" w:name="_Toc17541"/>
      <w:bookmarkStart w:id="1969" w:name="_Toc22040"/>
      <w:bookmarkStart w:id="1970" w:name="_Toc24949"/>
      <w:bookmarkStart w:id="1971" w:name="_Toc19545"/>
      <w:bookmarkStart w:id="1972" w:name="_Toc1731"/>
      <w:bookmarkStart w:id="1973" w:name="_Toc32763"/>
      <w:bookmarkStart w:id="1974" w:name="_Toc12703"/>
      <w:bookmarkStart w:id="1975" w:name="_Toc13014"/>
      <w:bookmarkStart w:id="1976" w:name="_Toc27260"/>
      <w:r>
        <w:rPr>
          <w:rFonts w:hint="eastAsia"/>
          <w:color w:val="auto"/>
          <w:highlight w:val="none"/>
        </w:rPr>
        <w:t>企业规范经营情况（提供网站“信用中国”网站（www.creditchina.gov.cn）相关截图）；</w:t>
      </w:r>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pPr>
        <w:pStyle w:val="4"/>
        <w:numPr>
          <w:ilvl w:val="0"/>
          <w:numId w:val="18"/>
        </w:numPr>
        <w:jc w:val="left"/>
        <w:rPr>
          <w:color w:val="auto"/>
          <w:highlight w:val="none"/>
        </w:rPr>
      </w:pPr>
      <w:bookmarkStart w:id="1977" w:name="_Toc23230"/>
      <w:bookmarkStart w:id="1978" w:name="_Toc13938"/>
      <w:bookmarkStart w:id="1979" w:name="_Toc480"/>
      <w:bookmarkStart w:id="1980" w:name="_Toc2349"/>
      <w:bookmarkStart w:id="1981" w:name="_Toc4474"/>
      <w:bookmarkStart w:id="1982" w:name="_Toc6098"/>
      <w:bookmarkStart w:id="1983" w:name="_Toc28458"/>
      <w:bookmarkStart w:id="1984" w:name="_Toc30209"/>
      <w:bookmarkStart w:id="1985" w:name="_Toc18491"/>
      <w:bookmarkStart w:id="1986" w:name="_Toc18849"/>
      <w:bookmarkStart w:id="1987" w:name="_Toc9126"/>
      <w:bookmarkStart w:id="1988" w:name="_Toc5109"/>
      <w:bookmarkStart w:id="1989" w:name="_Toc4779"/>
      <w:bookmarkStart w:id="1990" w:name="_Toc14424"/>
      <w:bookmarkStart w:id="1991" w:name="_Toc26707"/>
      <w:bookmarkStart w:id="1992" w:name="_Toc7342"/>
      <w:bookmarkStart w:id="1993" w:name="_Toc4405"/>
      <w:r>
        <w:rPr>
          <w:rFonts w:hint="eastAsia"/>
          <w:color w:val="auto"/>
          <w:highlight w:val="none"/>
        </w:rPr>
        <w:t>本地化服务（</w:t>
      </w:r>
      <w:r>
        <w:rPr>
          <w:rFonts w:hint="eastAsia" w:ascii="宋体" w:hAnsi="宋体"/>
          <w:color w:val="auto"/>
          <w:szCs w:val="24"/>
          <w:highlight w:val="none"/>
        </w:rPr>
        <w:t>提供营业执照或房产证或房屋租赁合同或承诺函等证明材料</w:t>
      </w:r>
      <w:r>
        <w:rPr>
          <w:rFonts w:hint="eastAsia"/>
          <w:color w:val="auto"/>
          <w:highlight w:val="none"/>
        </w:rPr>
        <w:t>）；</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Start w:id="1994" w:name="_Toc17378"/>
      <w:bookmarkEnd w:id="1994"/>
    </w:p>
    <w:p>
      <w:pPr>
        <w:pStyle w:val="4"/>
        <w:numPr>
          <w:ilvl w:val="0"/>
          <w:numId w:val="18"/>
        </w:numPr>
        <w:jc w:val="left"/>
        <w:rPr>
          <w:color w:val="auto"/>
          <w:highlight w:val="none"/>
        </w:rPr>
      </w:pPr>
      <w:bookmarkStart w:id="1995" w:name="_Toc24947"/>
      <w:bookmarkStart w:id="1996" w:name="_Toc3796"/>
      <w:bookmarkStart w:id="1997" w:name="_Toc25330"/>
      <w:bookmarkStart w:id="1998" w:name="_Toc9181"/>
      <w:bookmarkStart w:id="1999" w:name="_Toc12678"/>
      <w:bookmarkStart w:id="2000" w:name="_Toc15467"/>
      <w:bookmarkStart w:id="2001" w:name="_Toc14541"/>
      <w:bookmarkStart w:id="2002" w:name="_Toc23663"/>
      <w:bookmarkStart w:id="2003" w:name="_Toc24492"/>
      <w:bookmarkStart w:id="2004" w:name="_Toc17519"/>
      <w:bookmarkStart w:id="2005" w:name="_Toc2421"/>
      <w:bookmarkStart w:id="2006" w:name="_Toc21908"/>
      <w:bookmarkStart w:id="2007" w:name="_Toc22986"/>
      <w:bookmarkStart w:id="2008" w:name="_Toc25077"/>
      <w:bookmarkStart w:id="2009" w:name="_Toc9471"/>
      <w:bookmarkStart w:id="2010" w:name="_Toc20753"/>
      <w:bookmarkStart w:id="2011" w:name="_Toc2422"/>
      <w:bookmarkStart w:id="2012" w:name="_Toc5339"/>
      <w:bookmarkStart w:id="2013" w:name="_Toc25276"/>
      <w:bookmarkStart w:id="2014" w:name="_Toc22123"/>
      <w:bookmarkStart w:id="2015" w:name="_Toc25595"/>
      <w:bookmarkStart w:id="2016" w:name="_Toc20216"/>
      <w:bookmarkStart w:id="2017" w:name="_Toc15803"/>
      <w:r>
        <w:rPr>
          <w:rFonts w:hint="eastAsia"/>
          <w:color w:val="auto"/>
          <w:highlight w:val="none"/>
        </w:rPr>
        <w:t>近三年类似服务业绩（格式附后）</w:t>
      </w:r>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p>
    <w:p>
      <w:pPr>
        <w:jc w:val="center"/>
        <w:rPr>
          <w:rFonts w:hint="eastAsia" w:ascii="宋体" w:hAnsi="宋体" w:cs="宋体"/>
          <w:color w:val="auto"/>
          <w:highlight w:val="none"/>
        </w:rPr>
      </w:pPr>
      <w:bookmarkStart w:id="2018" w:name="_Toc6726"/>
      <w:bookmarkStart w:id="2019" w:name="_Toc24191"/>
      <w:bookmarkStart w:id="2020" w:name="_Toc29567"/>
      <w:bookmarkStart w:id="2021" w:name="_Toc11839"/>
      <w:bookmarkStart w:id="2022" w:name="_Toc2614"/>
      <w:bookmarkStart w:id="2023" w:name="_Toc21587"/>
      <w:bookmarkStart w:id="2024" w:name="_Toc8649"/>
      <w:bookmarkStart w:id="2025" w:name="_Toc7039"/>
      <w:r>
        <w:rPr>
          <w:rFonts w:hint="eastAsia" w:ascii="宋体" w:hAnsi="宋体" w:cs="宋体"/>
          <w:b/>
          <w:bCs/>
          <w:color w:val="auto"/>
          <w:sz w:val="24"/>
          <w:highlight w:val="none"/>
        </w:rPr>
        <w:t>2022年1月1日至今所签订的单笔合同4万平米以上甲级写字楼或5万平米以上物业保洁同类项目业绩</w:t>
      </w:r>
      <w:bookmarkEnd w:id="2018"/>
      <w:bookmarkEnd w:id="2019"/>
      <w:bookmarkEnd w:id="2020"/>
      <w:bookmarkEnd w:id="2021"/>
      <w:bookmarkEnd w:id="2022"/>
      <w:bookmarkEnd w:id="2023"/>
      <w:bookmarkEnd w:id="2024"/>
      <w:bookmarkEnd w:id="2025"/>
    </w:p>
    <w:tbl>
      <w:tblPr>
        <w:tblStyle w:val="41"/>
        <w:tblW w:w="8976" w:type="dxa"/>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37"/>
        <w:gridCol w:w="1365"/>
        <w:gridCol w:w="1445"/>
        <w:gridCol w:w="1249"/>
        <w:gridCol w:w="1514"/>
        <w:gridCol w:w="1509"/>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162" w:hRule="atLeast"/>
        </w:trPr>
        <w:tc>
          <w:tcPr>
            <w:tcW w:w="537"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序号</w:t>
            </w:r>
          </w:p>
        </w:tc>
        <w:tc>
          <w:tcPr>
            <w:tcW w:w="1365"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项目名称</w:t>
            </w:r>
          </w:p>
        </w:tc>
        <w:tc>
          <w:tcPr>
            <w:tcW w:w="1445"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项目所在地</w:t>
            </w:r>
          </w:p>
        </w:tc>
        <w:tc>
          <w:tcPr>
            <w:tcW w:w="124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sz w:val="24"/>
                <w:szCs w:val="20"/>
                <w:highlight w:val="none"/>
              </w:rPr>
            </w:pPr>
            <w:r>
              <w:rPr>
                <w:rFonts w:hint="eastAsia" w:ascii="宋体" w:hAnsi="宋体"/>
                <w:color w:val="auto"/>
                <w:highlight w:val="none"/>
              </w:rPr>
              <w:t>合</w:t>
            </w:r>
            <w:r>
              <w:rPr>
                <w:rFonts w:hint="eastAsia" w:ascii="宋体" w:hAnsi="宋体"/>
                <w:color w:val="auto"/>
                <w:sz w:val="24"/>
                <w:szCs w:val="20"/>
                <w:highlight w:val="none"/>
              </w:rPr>
              <w:t>同金额</w:t>
            </w:r>
          </w:p>
          <w:p>
            <w:pPr>
              <w:spacing w:line="360" w:lineRule="auto"/>
              <w:jc w:val="center"/>
              <w:rPr>
                <w:rFonts w:hint="eastAsia" w:ascii="宋体" w:hAnsi="宋体"/>
                <w:color w:val="auto"/>
                <w:highlight w:val="none"/>
              </w:rPr>
            </w:pPr>
            <w:r>
              <w:rPr>
                <w:rFonts w:hint="eastAsia" w:ascii="宋体" w:hAnsi="宋体"/>
                <w:color w:val="auto"/>
                <w:sz w:val="24"/>
                <w:szCs w:val="20"/>
                <w:highlight w:val="none"/>
              </w:rPr>
              <w:t>（万元/年）</w:t>
            </w:r>
          </w:p>
        </w:tc>
        <w:tc>
          <w:tcPr>
            <w:tcW w:w="1514"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项目服务面积</w:t>
            </w:r>
          </w:p>
          <w:p>
            <w:pPr>
              <w:jc w:val="center"/>
              <w:rPr>
                <w:rFonts w:hint="eastAsia" w:ascii="ˎ̥" w:hAnsi="ˎ̥" w:cs="宋体"/>
                <w:color w:val="auto"/>
                <w:kern w:val="0"/>
                <w:sz w:val="24"/>
                <w:szCs w:val="18"/>
                <w:highlight w:val="none"/>
              </w:rPr>
            </w:pPr>
            <w:r>
              <w:rPr>
                <w:rFonts w:hint="eastAsia" w:ascii="ˎ̥" w:hAnsi="ˎ̥" w:cs="宋体"/>
                <w:color w:val="auto"/>
                <w:kern w:val="0"/>
                <w:sz w:val="24"/>
                <w:szCs w:val="18"/>
                <w:highlight w:val="none"/>
              </w:rPr>
              <w:t>（平方米）</w:t>
            </w:r>
          </w:p>
        </w:tc>
        <w:tc>
          <w:tcPr>
            <w:tcW w:w="1509"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业主名称</w:t>
            </w:r>
          </w:p>
        </w:tc>
        <w:tc>
          <w:tcPr>
            <w:tcW w:w="1357" w:type="dxa"/>
            <w:tcBorders>
              <w:top w:val="single" w:color="auto" w:sz="4" w:space="0"/>
              <w:left w:val="single" w:color="auto" w:sz="4" w:space="0"/>
              <w:bottom w:val="single" w:color="auto" w:sz="4" w:space="0"/>
              <w:right w:val="single" w:color="auto" w:sz="4" w:space="0"/>
            </w:tcBorders>
            <w:vAlign w:val="center"/>
          </w:tcPr>
          <w:p>
            <w:pPr>
              <w:pStyle w:val="23"/>
              <w:spacing w:line="360" w:lineRule="auto"/>
              <w:jc w:val="center"/>
              <w:rPr>
                <w:rFonts w:hint="eastAsia" w:ascii="宋体" w:hAnsi="宋体"/>
                <w:color w:val="auto"/>
                <w:highlight w:val="none"/>
              </w:rPr>
            </w:pPr>
            <w:r>
              <w:rPr>
                <w:rFonts w:hint="eastAsia" w:ascii="宋体" w:hAnsi="宋体"/>
                <w:color w:val="auto"/>
                <w:highlight w:val="none"/>
              </w:rPr>
              <w:t>业主联系方式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rPr>
        <w:tc>
          <w:tcPr>
            <w:tcW w:w="5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r>
              <w:rPr>
                <w:rFonts w:hint="eastAsia" w:ascii="宋体" w:hAnsi="宋体"/>
                <w:color w:val="auto"/>
                <w:highlight w:val="none"/>
              </w:rPr>
              <w:t>1</w:t>
            </w:r>
          </w:p>
        </w:tc>
        <w:tc>
          <w:tcPr>
            <w:tcW w:w="13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p>
            <w:pPr>
              <w:spacing w:line="360" w:lineRule="auto"/>
              <w:ind w:firstLine="420" w:firstLineChars="200"/>
              <w:rPr>
                <w:rFonts w:hint="eastAsia" w:ascii="宋体" w:hAnsi="宋体"/>
                <w:color w:val="auto"/>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0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rPr>
        <w:tc>
          <w:tcPr>
            <w:tcW w:w="5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r>
              <w:rPr>
                <w:rFonts w:hint="eastAsia" w:ascii="宋体" w:hAnsi="宋体"/>
                <w:color w:val="auto"/>
                <w:highlight w:val="none"/>
              </w:rPr>
              <w:t>2</w:t>
            </w:r>
          </w:p>
        </w:tc>
        <w:tc>
          <w:tcPr>
            <w:tcW w:w="13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p>
            <w:pPr>
              <w:spacing w:line="360" w:lineRule="auto"/>
              <w:ind w:firstLine="420" w:firstLineChars="200"/>
              <w:rPr>
                <w:rFonts w:hint="eastAsia" w:ascii="宋体" w:hAnsi="宋体"/>
                <w:color w:val="auto"/>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0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74" w:hRule="atLeast"/>
        </w:trPr>
        <w:tc>
          <w:tcPr>
            <w:tcW w:w="53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r>
              <w:rPr>
                <w:rFonts w:hint="eastAsia" w:ascii="宋体" w:hAnsi="宋体"/>
                <w:color w:val="auto"/>
                <w:highlight w:val="none"/>
              </w:rPr>
              <w:t>…</w:t>
            </w:r>
          </w:p>
        </w:tc>
        <w:tc>
          <w:tcPr>
            <w:tcW w:w="136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hAnsi="宋体"/>
                <w:color w:val="auto"/>
                <w:highlight w:val="none"/>
              </w:rPr>
            </w:pPr>
          </w:p>
        </w:tc>
        <w:tc>
          <w:tcPr>
            <w:tcW w:w="1445"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p>
            <w:pPr>
              <w:spacing w:line="360" w:lineRule="auto"/>
              <w:ind w:firstLine="420" w:firstLineChars="200"/>
              <w:rPr>
                <w:rFonts w:hint="eastAsia" w:ascii="宋体" w:hAnsi="宋体"/>
                <w:color w:val="auto"/>
                <w:highlight w:val="none"/>
              </w:rPr>
            </w:pPr>
          </w:p>
        </w:tc>
        <w:tc>
          <w:tcPr>
            <w:tcW w:w="124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509"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c>
          <w:tcPr>
            <w:tcW w:w="1357" w:type="dxa"/>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51" w:hRule="atLeast"/>
        </w:trPr>
        <w:tc>
          <w:tcPr>
            <w:tcW w:w="8976"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hint="eastAsia" w:ascii="宋体" w:hAnsi="宋体"/>
                <w:color w:val="auto"/>
                <w:highlight w:val="none"/>
              </w:rPr>
            </w:pPr>
            <w:r>
              <w:rPr>
                <w:rFonts w:hint="eastAsia" w:ascii="宋体" w:hAnsi="宋体"/>
                <w:color w:val="auto"/>
                <w:highlight w:val="none"/>
              </w:rPr>
              <w:t>附：表格后面务必附每个项目的合同关键页，否则视为无效。</w:t>
            </w:r>
          </w:p>
        </w:tc>
      </w:tr>
    </w:tbl>
    <w:p>
      <w:pPr>
        <w:rPr>
          <w:color w:val="auto"/>
          <w:highlight w:val="none"/>
        </w:rPr>
      </w:pPr>
    </w:p>
    <w:p>
      <w:pPr>
        <w:pStyle w:val="4"/>
        <w:jc w:val="left"/>
        <w:rPr>
          <w:color w:val="auto"/>
          <w:highlight w:val="none"/>
        </w:rPr>
      </w:pPr>
      <w:bookmarkStart w:id="2026" w:name="_Toc21785"/>
      <w:bookmarkStart w:id="2027" w:name="_Toc31999"/>
      <w:bookmarkStart w:id="2028" w:name="_Toc466"/>
      <w:bookmarkStart w:id="2029" w:name="_Toc10720"/>
      <w:bookmarkStart w:id="2030" w:name="_Toc25515"/>
      <w:bookmarkStart w:id="2031" w:name="_Toc22838"/>
      <w:bookmarkStart w:id="2032" w:name="_Toc274"/>
      <w:bookmarkStart w:id="2033" w:name="_Toc20920"/>
      <w:bookmarkStart w:id="2034" w:name="_Toc7331"/>
      <w:bookmarkStart w:id="2035" w:name="_Toc22112"/>
      <w:bookmarkStart w:id="2036" w:name="_Toc22569"/>
      <w:bookmarkStart w:id="2037" w:name="_Toc13471"/>
      <w:bookmarkStart w:id="2038" w:name="_Toc8924"/>
      <w:bookmarkStart w:id="2039" w:name="_Toc141"/>
      <w:bookmarkStart w:id="2040" w:name="_Toc23554"/>
      <w:bookmarkStart w:id="2041" w:name="_Toc12318"/>
      <w:bookmarkStart w:id="2042" w:name="_Toc10644"/>
      <w:bookmarkStart w:id="2043" w:name="_Toc2578"/>
      <w:bookmarkStart w:id="2044" w:name="_Toc30762"/>
      <w:bookmarkStart w:id="2045" w:name="_Toc11359"/>
      <w:bookmarkStart w:id="2046" w:name="_Toc4638"/>
      <w:bookmarkStart w:id="2047" w:name="_Toc28871"/>
      <w:bookmarkStart w:id="2048" w:name="_Toc28421"/>
      <w:r>
        <w:rPr>
          <w:rFonts w:hint="eastAsia"/>
          <w:color w:val="auto"/>
          <w:highlight w:val="none"/>
        </w:rPr>
        <w:t>十、投标报价表（详见第五章投标报价要求）</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p>
    <w:p>
      <w:pPr>
        <w:pStyle w:val="4"/>
        <w:jc w:val="left"/>
        <w:rPr>
          <w:color w:val="auto"/>
          <w:highlight w:val="none"/>
        </w:rPr>
      </w:pPr>
      <w:bookmarkStart w:id="2049" w:name="_Toc11434"/>
      <w:bookmarkStart w:id="2050" w:name="_Toc24734"/>
      <w:bookmarkStart w:id="2051" w:name="_Toc12465"/>
      <w:bookmarkStart w:id="2052" w:name="_Toc4426"/>
      <w:bookmarkStart w:id="2053" w:name="_Toc12730"/>
      <w:bookmarkStart w:id="2054" w:name="_Toc27126"/>
      <w:bookmarkStart w:id="2055" w:name="_Toc5581"/>
      <w:bookmarkStart w:id="2056" w:name="_Toc3736"/>
      <w:bookmarkStart w:id="2057" w:name="_Toc12366"/>
      <w:bookmarkStart w:id="2058" w:name="_Toc8731"/>
      <w:bookmarkStart w:id="2059" w:name="_Toc12294"/>
      <w:bookmarkStart w:id="2060" w:name="_Toc607"/>
      <w:bookmarkStart w:id="2061" w:name="_Toc29798"/>
      <w:bookmarkStart w:id="2062" w:name="_Toc20790"/>
      <w:bookmarkStart w:id="2063" w:name="_Toc11206"/>
      <w:r>
        <w:rPr>
          <w:rFonts w:hint="eastAsia"/>
          <w:color w:val="auto"/>
          <w:highlight w:val="none"/>
        </w:rPr>
        <w:t>十一、拟投入本项目的保洁设备表</w:t>
      </w:r>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tbl>
      <w:tblPr>
        <w:tblStyle w:val="41"/>
        <w:tblW w:w="8505" w:type="dxa"/>
        <w:tblInd w:w="-172" w:type="dxa"/>
        <w:tblLayout w:type="fixed"/>
        <w:tblCellMar>
          <w:top w:w="0" w:type="dxa"/>
          <w:left w:w="108" w:type="dxa"/>
          <w:bottom w:w="0" w:type="dxa"/>
          <w:right w:w="108" w:type="dxa"/>
        </w:tblCellMar>
      </w:tblPr>
      <w:tblGrid>
        <w:gridCol w:w="1150"/>
        <w:gridCol w:w="1539"/>
        <w:gridCol w:w="1916"/>
        <w:gridCol w:w="1575"/>
        <w:gridCol w:w="1260"/>
        <w:gridCol w:w="1065"/>
      </w:tblGrid>
      <w:tr>
        <w:tblPrEx>
          <w:tblCellMar>
            <w:top w:w="0" w:type="dxa"/>
            <w:left w:w="108" w:type="dxa"/>
            <w:bottom w:w="0" w:type="dxa"/>
            <w:right w:w="108" w:type="dxa"/>
          </w:tblCellMar>
        </w:tblPrEx>
        <w:trPr>
          <w:trHeight w:val="1001" w:hRule="atLeast"/>
        </w:trPr>
        <w:tc>
          <w:tcPr>
            <w:tcW w:w="1150"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序号</w:t>
            </w:r>
          </w:p>
        </w:tc>
        <w:tc>
          <w:tcPr>
            <w:tcW w:w="1539"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保洁设备名称</w:t>
            </w:r>
          </w:p>
        </w:tc>
        <w:tc>
          <w:tcPr>
            <w:tcW w:w="1916"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品牌及型号</w:t>
            </w:r>
          </w:p>
        </w:tc>
        <w:tc>
          <w:tcPr>
            <w:tcW w:w="1575"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已使用年限</w:t>
            </w:r>
          </w:p>
        </w:tc>
        <w:tc>
          <w:tcPr>
            <w:tcW w:w="1260"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数量</w:t>
            </w:r>
          </w:p>
        </w:tc>
        <w:tc>
          <w:tcPr>
            <w:tcW w:w="1065" w:type="dxa"/>
            <w:tcBorders>
              <w:top w:val="single" w:color="000000" w:sz="8"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b/>
                <w:color w:val="auto"/>
                <w:kern w:val="0"/>
                <w:szCs w:val="21"/>
                <w:highlight w:val="none"/>
              </w:rPr>
            </w:pPr>
            <w:r>
              <w:rPr>
                <w:rFonts w:hint="eastAsia" w:ascii="宋体" w:cs="宋体"/>
                <w:b/>
                <w:color w:val="auto"/>
                <w:kern w:val="0"/>
                <w:szCs w:val="21"/>
                <w:highlight w:val="none"/>
              </w:rPr>
              <w:t>备注</w:t>
            </w:r>
          </w:p>
        </w:tc>
      </w:tr>
      <w:tr>
        <w:tblPrEx>
          <w:tblCellMar>
            <w:top w:w="0" w:type="dxa"/>
            <w:left w:w="108" w:type="dxa"/>
            <w:bottom w:w="0" w:type="dxa"/>
            <w:right w:w="108" w:type="dxa"/>
          </w:tblCellMar>
        </w:tblPrEx>
        <w:trPr>
          <w:trHeight w:val="74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1</w:t>
            </w:r>
          </w:p>
        </w:tc>
        <w:tc>
          <w:tcPr>
            <w:tcW w:w="1539" w:type="dxa"/>
            <w:tcBorders>
              <w:top w:val="single" w:color="auto" w:sz="4" w:space="0"/>
              <w:left w:val="single" w:color="000000" w:sz="8" w:space="0"/>
              <w:bottom w:val="single" w:color="auto" w:sz="4" w:space="0"/>
              <w:right w:val="single" w:color="000000" w:sz="8" w:space="0"/>
            </w:tcBorders>
            <w:vAlign w:val="center"/>
          </w:tcPr>
          <w:p>
            <w:pPr>
              <w:tabs>
                <w:tab w:val="left" w:pos="630"/>
              </w:tabs>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全自动洗地机</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45"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2</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扫地车</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42"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3</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保洁高压水枪</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ascii="宋体" w:cs="宋体"/>
                <w:color w:val="auto"/>
                <w:kern w:val="0"/>
                <w:szCs w:val="21"/>
                <w:highlight w:val="none"/>
              </w:rPr>
              <w:t>4</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地面抛光机</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5</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全自动磨地机</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6</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管道疏通机</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7</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hint="eastAsia" w:ascii="宋体" w:cs="宋体"/>
                <w:color w:val="auto"/>
                <w:kern w:val="0"/>
                <w:szCs w:val="21"/>
                <w:highlight w:val="none"/>
              </w:rPr>
              <w:t>吸尘器</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50" w:hRule="atLeast"/>
        </w:trPr>
        <w:tc>
          <w:tcPr>
            <w:tcW w:w="115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ascii="宋体" w:cs="宋体"/>
                <w:color w:val="auto"/>
                <w:kern w:val="0"/>
                <w:szCs w:val="21"/>
                <w:highlight w:val="none"/>
              </w:rPr>
              <w:t>……</w:t>
            </w:r>
          </w:p>
        </w:tc>
        <w:tc>
          <w:tcPr>
            <w:tcW w:w="1539"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r>
              <w:rPr>
                <w:rFonts w:ascii="宋体" w:cs="宋体"/>
                <w:color w:val="auto"/>
                <w:kern w:val="0"/>
                <w:szCs w:val="21"/>
                <w:highlight w:val="none"/>
              </w:rPr>
              <w:t>……</w:t>
            </w:r>
          </w:p>
        </w:tc>
        <w:tc>
          <w:tcPr>
            <w:tcW w:w="1916"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57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260"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c>
          <w:tcPr>
            <w:tcW w:w="1065" w:type="dxa"/>
            <w:tcBorders>
              <w:top w:val="single" w:color="auto" w:sz="4" w:space="0"/>
              <w:left w:val="single" w:color="000000" w:sz="8" w:space="0"/>
              <w:bottom w:val="single" w:color="auto" w:sz="4" w:space="0"/>
              <w:right w:val="single" w:color="000000" w:sz="8" w:space="0"/>
            </w:tcBorders>
            <w:vAlign w:val="center"/>
          </w:tcPr>
          <w:p>
            <w:pPr>
              <w:autoSpaceDE w:val="0"/>
              <w:autoSpaceDN w:val="0"/>
              <w:adjustRightInd w:val="0"/>
              <w:jc w:val="center"/>
              <w:rPr>
                <w:rFonts w:ascii="宋体" w:cs="宋体"/>
                <w:color w:val="auto"/>
                <w:kern w:val="0"/>
                <w:szCs w:val="21"/>
                <w:highlight w:val="none"/>
              </w:rPr>
            </w:pPr>
          </w:p>
        </w:tc>
      </w:tr>
      <w:tr>
        <w:tblPrEx>
          <w:tblCellMar>
            <w:top w:w="0" w:type="dxa"/>
            <w:left w:w="108" w:type="dxa"/>
            <w:bottom w:w="0" w:type="dxa"/>
            <w:right w:w="108" w:type="dxa"/>
          </w:tblCellMar>
        </w:tblPrEx>
        <w:trPr>
          <w:trHeight w:val="769" w:hRule="atLeast"/>
        </w:trPr>
        <w:tc>
          <w:tcPr>
            <w:tcW w:w="8505" w:type="dxa"/>
            <w:gridSpan w:val="6"/>
            <w:tcBorders>
              <w:top w:val="single" w:color="auto" w:sz="4" w:space="0"/>
              <w:left w:val="single" w:color="000000" w:sz="8" w:space="0"/>
              <w:bottom w:val="single" w:color="000000" w:sz="8" w:space="0"/>
              <w:right w:val="single" w:color="000000" w:sz="8" w:space="0"/>
            </w:tcBorders>
            <w:vAlign w:val="center"/>
          </w:tcPr>
          <w:p>
            <w:pPr>
              <w:autoSpaceDE w:val="0"/>
              <w:autoSpaceDN w:val="0"/>
              <w:adjustRightInd w:val="0"/>
              <w:rPr>
                <w:rFonts w:ascii="宋体" w:cs="宋体"/>
                <w:color w:val="auto"/>
                <w:kern w:val="0"/>
                <w:szCs w:val="21"/>
                <w:highlight w:val="none"/>
              </w:rPr>
            </w:pPr>
            <w:r>
              <w:rPr>
                <w:rFonts w:hint="eastAsia" w:ascii="宋体" w:cs="宋体"/>
                <w:color w:val="auto"/>
                <w:kern w:val="0"/>
                <w:szCs w:val="21"/>
                <w:highlight w:val="none"/>
              </w:rPr>
              <w:t>说明：表格可扩展。</w:t>
            </w:r>
            <w:r>
              <w:rPr>
                <w:rFonts w:hint="eastAsia"/>
                <w:b/>
                <w:color w:val="auto"/>
                <w:szCs w:val="21"/>
                <w:highlight w:val="none"/>
              </w:rPr>
              <w:t>表格后须附保洁设备的实物图片。</w:t>
            </w:r>
          </w:p>
        </w:tc>
      </w:tr>
    </w:tbl>
    <w:p>
      <w:pPr>
        <w:rPr>
          <w:color w:val="auto"/>
          <w:highlight w:val="none"/>
        </w:rPr>
      </w:pPr>
    </w:p>
    <w:p>
      <w:pPr>
        <w:pStyle w:val="4"/>
        <w:jc w:val="left"/>
        <w:rPr>
          <w:rFonts w:hint="eastAsia" w:ascii="宋体" w:hAnsi="宋体"/>
          <w:b w:val="0"/>
          <w:color w:val="auto"/>
          <w:szCs w:val="22"/>
          <w:highlight w:val="none"/>
        </w:rPr>
      </w:pPr>
      <w:bookmarkStart w:id="2064" w:name="_Toc15864"/>
      <w:bookmarkStart w:id="2065" w:name="_Toc2517"/>
      <w:bookmarkStart w:id="2066" w:name="_Toc19576"/>
      <w:bookmarkStart w:id="2067" w:name="_Toc787"/>
      <w:bookmarkStart w:id="2068" w:name="_Toc9361"/>
      <w:bookmarkStart w:id="2069" w:name="_Toc14097"/>
      <w:bookmarkStart w:id="2070" w:name="_Toc3630"/>
      <w:bookmarkStart w:id="2071" w:name="_Toc32441"/>
      <w:bookmarkStart w:id="2072" w:name="_Toc18046"/>
      <w:bookmarkStart w:id="2073" w:name="_Toc14831"/>
      <w:bookmarkStart w:id="2074" w:name="_Toc32008"/>
      <w:bookmarkStart w:id="2075" w:name="_Toc21861"/>
      <w:bookmarkStart w:id="2076" w:name="_Toc32164"/>
      <w:bookmarkStart w:id="2077" w:name="_Toc29480"/>
      <w:bookmarkStart w:id="2078" w:name="_Toc18146"/>
      <w:bookmarkStart w:id="2079" w:name="_Toc13551"/>
      <w:bookmarkStart w:id="2080" w:name="_Toc2"/>
      <w:bookmarkStart w:id="2081" w:name="_Toc17566"/>
      <w:bookmarkStart w:id="2082" w:name="_Toc2508"/>
      <w:bookmarkStart w:id="2083" w:name="_Toc28590"/>
      <w:bookmarkStart w:id="2084" w:name="_Toc29681"/>
      <w:bookmarkStart w:id="2085" w:name="_Toc14623"/>
      <w:bookmarkStart w:id="2086" w:name="_Toc3588"/>
      <w:r>
        <w:rPr>
          <w:rFonts w:hint="eastAsia"/>
          <w:color w:val="auto"/>
          <w:highlight w:val="none"/>
        </w:rPr>
        <w:t>十二、拟投入本项目人员的专业素质</w:t>
      </w:r>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p>
    <w:p>
      <w:pPr>
        <w:tabs>
          <w:tab w:val="left" w:pos="360"/>
        </w:tabs>
        <w:spacing w:line="360" w:lineRule="auto"/>
        <w:jc w:val="center"/>
        <w:rPr>
          <w:rFonts w:ascii="宋体"/>
          <w:b/>
          <w:color w:val="auto"/>
          <w:sz w:val="28"/>
          <w:szCs w:val="28"/>
          <w:highlight w:val="none"/>
        </w:rPr>
      </w:pPr>
      <w:bookmarkStart w:id="2087" w:name="_Toc2581"/>
      <w:bookmarkStart w:id="2088" w:name="_Toc28802"/>
      <w:bookmarkStart w:id="2089" w:name="_Toc2284"/>
      <w:bookmarkStart w:id="2090" w:name="_Toc18614"/>
      <w:r>
        <w:rPr>
          <w:rFonts w:hint="eastAsia" w:ascii="Arial" w:hAnsi="Arial"/>
          <w:b/>
          <w:bCs/>
          <w:color w:val="auto"/>
          <w:sz w:val="28"/>
          <w:szCs w:val="28"/>
          <w:highlight w:val="none"/>
        </w:rPr>
        <w:t>拟投入本项目管理人员（驻场经理和主管）的专业素质表</w:t>
      </w:r>
      <w:bookmarkEnd w:id="2087"/>
      <w:bookmarkEnd w:id="2088"/>
      <w:bookmarkEnd w:id="2089"/>
      <w:bookmarkEnd w:id="2090"/>
    </w:p>
    <w:tbl>
      <w:tblPr>
        <w:tblStyle w:val="41"/>
        <w:tblW w:w="8337" w:type="dxa"/>
        <w:jc w:val="center"/>
        <w:tblLayout w:type="fixed"/>
        <w:tblCellMar>
          <w:top w:w="0" w:type="dxa"/>
          <w:left w:w="10" w:type="dxa"/>
          <w:bottom w:w="0" w:type="dxa"/>
          <w:right w:w="10" w:type="dxa"/>
        </w:tblCellMar>
      </w:tblPr>
      <w:tblGrid>
        <w:gridCol w:w="846"/>
        <w:gridCol w:w="757"/>
        <w:gridCol w:w="758"/>
        <w:gridCol w:w="885"/>
        <w:gridCol w:w="1308"/>
        <w:gridCol w:w="837"/>
        <w:gridCol w:w="1641"/>
        <w:gridCol w:w="1305"/>
      </w:tblGrid>
      <w:tr>
        <w:tblPrEx>
          <w:tblCellMar>
            <w:top w:w="0" w:type="dxa"/>
            <w:left w:w="10" w:type="dxa"/>
            <w:bottom w:w="0" w:type="dxa"/>
            <w:right w:w="10" w:type="dxa"/>
          </w:tblCellMar>
        </w:tblPrEx>
        <w:trPr>
          <w:trHeight w:val="1170" w:hRule="exact"/>
          <w:jc w:val="center"/>
        </w:trPr>
        <w:tc>
          <w:tcPr>
            <w:tcW w:w="846" w:type="dxa"/>
            <w:tcBorders>
              <w:top w:val="single" w:color="auto" w:sz="4" w:space="0"/>
              <w:left w:val="single" w:color="000000" w:sz="4" w:space="0"/>
              <w:bottom w:val="single" w:color="000000" w:sz="4" w:space="0"/>
              <w:right w:val="single" w:color="auto" w:sz="4" w:space="0"/>
            </w:tcBorders>
            <w:shd w:val="clear" w:color="000000" w:fill="F3F3F3"/>
            <w:tcMar>
              <w:top w:w="0" w:type="dxa"/>
              <w:left w:w="108" w:type="dxa"/>
              <w:bottom w:w="0" w:type="dxa"/>
              <w:right w:w="108" w:type="dxa"/>
            </w:tcMar>
            <w:vAlign w:val="center"/>
          </w:tcPr>
          <w:p>
            <w:pPr>
              <w:jc w:val="center"/>
              <w:rPr>
                <w:rFonts w:hint="eastAsia" w:ascii="宋体" w:hAnsi="宋体"/>
                <w:bCs/>
                <w:color w:val="auto"/>
                <w:szCs w:val="21"/>
                <w:highlight w:val="none"/>
              </w:rPr>
            </w:pPr>
            <w:r>
              <w:rPr>
                <w:rFonts w:hint="eastAsia" w:ascii="宋体" w:hAnsi="宋体"/>
                <w:bCs/>
                <w:color w:val="auto"/>
                <w:szCs w:val="21"/>
                <w:highlight w:val="none"/>
              </w:rPr>
              <w:t>职务</w:t>
            </w:r>
          </w:p>
        </w:tc>
        <w:tc>
          <w:tcPr>
            <w:tcW w:w="757" w:type="dxa"/>
            <w:tcBorders>
              <w:top w:val="single" w:color="auto" w:sz="4" w:space="0"/>
              <w:left w:val="single" w:color="auto"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hint="eastAsia" w:ascii="宋体" w:hAnsi="宋体"/>
                <w:bCs/>
                <w:color w:val="auto"/>
                <w:szCs w:val="21"/>
                <w:highlight w:val="none"/>
              </w:rPr>
            </w:pPr>
            <w:r>
              <w:rPr>
                <w:rFonts w:hint="eastAsia" w:ascii="宋体" w:hAnsi="宋体"/>
                <w:bCs/>
                <w:color w:val="auto"/>
                <w:szCs w:val="21"/>
                <w:highlight w:val="none"/>
              </w:rPr>
              <w:t>姓名</w:t>
            </w:r>
          </w:p>
        </w:tc>
        <w:tc>
          <w:tcPr>
            <w:tcW w:w="758"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ascii="宋体"/>
                <w:bCs/>
                <w:color w:val="auto"/>
                <w:szCs w:val="21"/>
                <w:highlight w:val="none"/>
              </w:rPr>
            </w:pPr>
            <w:r>
              <w:rPr>
                <w:rFonts w:hint="eastAsia" w:ascii="宋体"/>
                <w:bCs/>
                <w:color w:val="auto"/>
                <w:szCs w:val="21"/>
                <w:highlight w:val="none"/>
              </w:rPr>
              <w:t>年龄</w:t>
            </w:r>
          </w:p>
        </w:tc>
        <w:tc>
          <w:tcPr>
            <w:tcW w:w="885"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ind w:firstLine="12"/>
              <w:jc w:val="center"/>
              <w:rPr>
                <w:rFonts w:hint="eastAsia" w:ascii="宋体" w:hAnsi="宋体"/>
                <w:bCs/>
                <w:color w:val="auto"/>
                <w:szCs w:val="21"/>
                <w:highlight w:val="none"/>
              </w:rPr>
            </w:pPr>
            <w:r>
              <w:rPr>
                <w:rFonts w:hint="eastAsia" w:ascii="宋体" w:hAnsi="宋体"/>
                <w:bCs/>
                <w:color w:val="auto"/>
                <w:szCs w:val="21"/>
                <w:highlight w:val="none"/>
              </w:rPr>
              <w:t>性别</w:t>
            </w:r>
          </w:p>
        </w:tc>
        <w:tc>
          <w:tcPr>
            <w:tcW w:w="1308"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hint="eastAsia" w:ascii="宋体" w:hAnsi="宋体"/>
                <w:bCs/>
                <w:color w:val="auto"/>
                <w:szCs w:val="21"/>
                <w:highlight w:val="none"/>
              </w:rPr>
            </w:pPr>
            <w:r>
              <w:rPr>
                <w:rFonts w:hint="eastAsia" w:ascii="宋体" w:hAnsi="宋体"/>
                <w:bCs/>
                <w:color w:val="auto"/>
                <w:szCs w:val="21"/>
                <w:highlight w:val="none"/>
              </w:rPr>
              <w:t>从事保洁行业年限</w:t>
            </w:r>
          </w:p>
        </w:tc>
        <w:tc>
          <w:tcPr>
            <w:tcW w:w="837"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hint="eastAsia" w:ascii="宋体" w:hAnsi="宋体"/>
                <w:bCs/>
                <w:color w:val="auto"/>
                <w:szCs w:val="21"/>
                <w:highlight w:val="none"/>
              </w:rPr>
            </w:pPr>
            <w:r>
              <w:rPr>
                <w:rFonts w:hint="eastAsia" w:ascii="宋体"/>
                <w:bCs/>
                <w:color w:val="auto"/>
                <w:szCs w:val="21"/>
                <w:highlight w:val="none"/>
              </w:rPr>
              <w:t>学历</w:t>
            </w:r>
          </w:p>
        </w:tc>
        <w:tc>
          <w:tcPr>
            <w:tcW w:w="1641"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hint="eastAsia" w:ascii="宋体" w:hAnsi="宋体"/>
                <w:bCs/>
                <w:color w:val="auto"/>
                <w:szCs w:val="21"/>
                <w:highlight w:val="none"/>
              </w:rPr>
            </w:pPr>
            <w:r>
              <w:rPr>
                <w:rFonts w:hint="eastAsia" w:ascii="宋体" w:hAnsi="宋体"/>
                <w:bCs/>
                <w:color w:val="auto"/>
                <w:szCs w:val="21"/>
                <w:highlight w:val="none"/>
              </w:rPr>
              <w:t>曾主持</w:t>
            </w:r>
            <w:r>
              <w:rPr>
                <w:rFonts w:ascii="宋体" w:hAnsi="宋体"/>
                <w:bCs/>
                <w:color w:val="auto"/>
                <w:szCs w:val="21"/>
                <w:highlight w:val="none"/>
              </w:rPr>
              <w:t>/</w:t>
            </w:r>
            <w:r>
              <w:rPr>
                <w:rFonts w:hint="eastAsia" w:ascii="宋体" w:hAnsi="宋体"/>
                <w:bCs/>
                <w:color w:val="auto"/>
                <w:szCs w:val="21"/>
                <w:highlight w:val="none"/>
              </w:rPr>
              <w:t>参与的同类项目经历</w:t>
            </w:r>
          </w:p>
        </w:tc>
        <w:tc>
          <w:tcPr>
            <w:tcW w:w="1305" w:type="dxa"/>
            <w:tcBorders>
              <w:top w:val="single" w:color="auto" w:sz="4" w:space="0"/>
              <w:left w:val="single" w:color="000000" w:sz="4" w:space="0"/>
              <w:bottom w:val="single" w:color="000000" w:sz="4" w:space="0"/>
              <w:right w:val="single" w:color="000000" w:sz="4" w:space="0"/>
            </w:tcBorders>
            <w:shd w:val="clear" w:color="000000" w:fill="F3F3F3"/>
            <w:tcMar>
              <w:top w:w="0" w:type="dxa"/>
              <w:left w:w="108" w:type="dxa"/>
              <w:bottom w:w="0" w:type="dxa"/>
              <w:right w:w="108" w:type="dxa"/>
            </w:tcMar>
            <w:vAlign w:val="center"/>
          </w:tcPr>
          <w:p>
            <w:pPr>
              <w:jc w:val="center"/>
              <w:rPr>
                <w:rFonts w:ascii="宋体"/>
                <w:bCs/>
                <w:color w:val="auto"/>
                <w:szCs w:val="21"/>
                <w:highlight w:val="none"/>
              </w:rPr>
            </w:pPr>
            <w:r>
              <w:rPr>
                <w:rFonts w:hint="eastAsia" w:ascii="宋体"/>
                <w:bCs/>
                <w:color w:val="auto"/>
                <w:szCs w:val="21"/>
                <w:highlight w:val="none"/>
              </w:rPr>
              <w:t>专业优势</w:t>
            </w:r>
          </w:p>
        </w:tc>
      </w:tr>
      <w:tr>
        <w:tblPrEx>
          <w:tblCellMar>
            <w:top w:w="0" w:type="dxa"/>
            <w:left w:w="10" w:type="dxa"/>
            <w:bottom w:w="0" w:type="dxa"/>
            <w:right w:w="10" w:type="dxa"/>
          </w:tblCellMar>
        </w:tblPrEx>
        <w:trPr>
          <w:trHeight w:val="629" w:hRule="exact"/>
          <w:jc w:val="center"/>
        </w:trPr>
        <w:tc>
          <w:tcPr>
            <w:tcW w:w="846" w:type="dxa"/>
            <w:tcBorders>
              <w:top w:val="single" w:color="000000" w:sz="4" w:space="0"/>
              <w:left w:val="single" w:color="000000" w:sz="4" w:space="0"/>
              <w:bottom w:val="single" w:color="000000" w:sz="4" w:space="0"/>
              <w:right w:val="single" w:color="auto" w:sz="4" w:space="0"/>
            </w:tcBorders>
            <w:tcMar>
              <w:top w:w="0" w:type="dxa"/>
              <w:left w:w="108" w:type="dxa"/>
              <w:bottom w:w="0" w:type="dxa"/>
              <w:right w:w="108" w:type="dxa"/>
            </w:tcMar>
            <w:vAlign w:val="center"/>
          </w:tcPr>
          <w:p>
            <w:pPr>
              <w:jc w:val="center"/>
              <w:rPr>
                <w:rFonts w:ascii="宋体"/>
                <w:color w:val="auto"/>
                <w:szCs w:val="21"/>
                <w:highlight w:val="none"/>
              </w:rPr>
            </w:pPr>
            <w:r>
              <w:rPr>
                <w:rFonts w:hint="eastAsia" w:ascii="宋体"/>
                <w:color w:val="auto"/>
                <w:szCs w:val="21"/>
                <w:highlight w:val="none"/>
              </w:rPr>
              <w:t>经理</w:t>
            </w:r>
          </w:p>
        </w:tc>
        <w:tc>
          <w:tcPr>
            <w:tcW w:w="757"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color w:val="auto"/>
                <w:szCs w:val="21"/>
                <w:highlight w:val="none"/>
              </w:rPr>
            </w:pPr>
          </w:p>
        </w:tc>
        <w:tc>
          <w:tcPr>
            <w:tcW w:w="16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r>
      <w:tr>
        <w:tblPrEx>
          <w:tblCellMar>
            <w:top w:w="0" w:type="dxa"/>
            <w:left w:w="10" w:type="dxa"/>
            <w:bottom w:w="0" w:type="dxa"/>
            <w:right w:w="10" w:type="dxa"/>
          </w:tblCellMar>
        </w:tblPrEx>
        <w:trPr>
          <w:trHeight w:val="629" w:hRule="exact"/>
          <w:jc w:val="center"/>
        </w:trPr>
        <w:tc>
          <w:tcPr>
            <w:tcW w:w="846" w:type="dxa"/>
            <w:tcBorders>
              <w:top w:val="single" w:color="000000" w:sz="4" w:space="0"/>
              <w:left w:val="single" w:color="000000" w:sz="4" w:space="0"/>
              <w:bottom w:val="single" w:color="000000" w:sz="4" w:space="0"/>
              <w:right w:val="single" w:color="auto" w:sz="4" w:space="0"/>
            </w:tcBorders>
            <w:tcMar>
              <w:top w:w="0" w:type="dxa"/>
              <w:left w:w="108" w:type="dxa"/>
              <w:bottom w:w="0" w:type="dxa"/>
              <w:right w:w="108" w:type="dxa"/>
            </w:tcMar>
            <w:vAlign w:val="center"/>
          </w:tcPr>
          <w:p>
            <w:pPr>
              <w:jc w:val="center"/>
              <w:rPr>
                <w:rFonts w:ascii="宋体"/>
                <w:color w:val="auto"/>
                <w:szCs w:val="21"/>
                <w:highlight w:val="none"/>
              </w:rPr>
            </w:pPr>
            <w:r>
              <w:rPr>
                <w:rFonts w:hint="eastAsia" w:ascii="宋体"/>
                <w:color w:val="auto"/>
                <w:szCs w:val="21"/>
                <w:highlight w:val="none"/>
              </w:rPr>
              <w:t>主管1</w:t>
            </w:r>
          </w:p>
        </w:tc>
        <w:tc>
          <w:tcPr>
            <w:tcW w:w="757"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color w:val="auto"/>
                <w:szCs w:val="21"/>
                <w:highlight w:val="none"/>
              </w:rPr>
            </w:pPr>
          </w:p>
        </w:tc>
        <w:tc>
          <w:tcPr>
            <w:tcW w:w="16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r>
      <w:tr>
        <w:tblPrEx>
          <w:tblCellMar>
            <w:top w:w="0" w:type="dxa"/>
            <w:left w:w="10" w:type="dxa"/>
            <w:bottom w:w="0" w:type="dxa"/>
            <w:right w:w="10" w:type="dxa"/>
          </w:tblCellMar>
        </w:tblPrEx>
        <w:trPr>
          <w:trHeight w:val="629" w:hRule="exact"/>
          <w:jc w:val="center"/>
        </w:trPr>
        <w:tc>
          <w:tcPr>
            <w:tcW w:w="846" w:type="dxa"/>
            <w:tcBorders>
              <w:top w:val="single" w:color="000000" w:sz="4" w:space="0"/>
              <w:left w:val="single" w:color="000000" w:sz="4" w:space="0"/>
              <w:bottom w:val="single" w:color="000000" w:sz="4" w:space="0"/>
              <w:right w:val="single" w:color="auto" w:sz="4" w:space="0"/>
            </w:tcBorders>
            <w:tcMar>
              <w:top w:w="0" w:type="dxa"/>
              <w:left w:w="108" w:type="dxa"/>
              <w:bottom w:w="0" w:type="dxa"/>
              <w:right w:w="108" w:type="dxa"/>
            </w:tcMar>
            <w:vAlign w:val="center"/>
          </w:tcPr>
          <w:p>
            <w:pPr>
              <w:jc w:val="center"/>
              <w:rPr>
                <w:rFonts w:ascii="宋体"/>
                <w:color w:val="auto"/>
                <w:szCs w:val="21"/>
                <w:highlight w:val="none"/>
              </w:rPr>
            </w:pPr>
            <w:r>
              <w:rPr>
                <w:rFonts w:hint="eastAsia" w:ascii="宋体"/>
                <w:color w:val="auto"/>
                <w:szCs w:val="21"/>
                <w:highlight w:val="none"/>
              </w:rPr>
              <w:t>主管2</w:t>
            </w:r>
          </w:p>
        </w:tc>
        <w:tc>
          <w:tcPr>
            <w:tcW w:w="757" w:type="dxa"/>
            <w:tcBorders>
              <w:top w:val="single" w:color="000000" w:sz="4" w:space="0"/>
              <w:left w:val="single" w:color="auto"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75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8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jc w:val="center"/>
              <w:rPr>
                <w:rFonts w:ascii="宋体"/>
                <w:color w:val="auto"/>
                <w:szCs w:val="21"/>
                <w:highlight w:val="none"/>
              </w:rPr>
            </w:pPr>
          </w:p>
        </w:tc>
        <w:tc>
          <w:tcPr>
            <w:tcW w:w="837"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rPr>
                <w:rFonts w:ascii="宋体"/>
                <w:color w:val="auto"/>
                <w:szCs w:val="21"/>
                <w:highlight w:val="none"/>
              </w:rPr>
            </w:pPr>
          </w:p>
        </w:tc>
        <w:tc>
          <w:tcPr>
            <w:tcW w:w="1641"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c>
          <w:tcPr>
            <w:tcW w:w="1305"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ind w:firstLine="12"/>
              <w:jc w:val="center"/>
              <w:rPr>
                <w:rFonts w:ascii="宋体"/>
                <w:color w:val="auto"/>
                <w:szCs w:val="21"/>
                <w:highlight w:val="none"/>
              </w:rPr>
            </w:pPr>
          </w:p>
        </w:tc>
      </w:tr>
      <w:tr>
        <w:tblPrEx>
          <w:tblCellMar>
            <w:top w:w="0" w:type="dxa"/>
            <w:left w:w="10" w:type="dxa"/>
            <w:bottom w:w="0" w:type="dxa"/>
            <w:right w:w="10" w:type="dxa"/>
          </w:tblCellMar>
        </w:tblPrEx>
        <w:trPr>
          <w:trHeight w:val="1804" w:hRule="exact"/>
          <w:jc w:val="center"/>
        </w:trPr>
        <w:tc>
          <w:tcPr>
            <w:tcW w:w="8337" w:type="dxa"/>
            <w:gridSpan w:val="8"/>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pPr>
              <w:tabs>
                <w:tab w:val="left" w:pos="360"/>
              </w:tabs>
              <w:spacing w:line="360" w:lineRule="auto"/>
              <w:jc w:val="left"/>
              <w:rPr>
                <w:rFonts w:ascii="宋体"/>
                <w:color w:val="auto"/>
                <w:szCs w:val="21"/>
                <w:highlight w:val="none"/>
              </w:rPr>
            </w:pPr>
            <w:r>
              <w:rPr>
                <w:rFonts w:hint="eastAsia"/>
                <w:b/>
                <w:bCs/>
                <w:color w:val="auto"/>
                <w:szCs w:val="21"/>
                <w:highlight w:val="none"/>
              </w:rPr>
              <w:t>特别说明：</w:t>
            </w:r>
            <w:r>
              <w:rPr>
                <w:rFonts w:hint="eastAsia"/>
                <w:color w:val="auto"/>
                <w:szCs w:val="21"/>
                <w:highlight w:val="none"/>
              </w:rPr>
              <w:t>投标人中标后拟从公司内部或合作公司调配人员表应与实际投入本项目人员一致，否则，若偏离严重，将视为虚假应标，取消其中标资格。投标人中标后实际提供的人员不得低于本表所述相关要求，否则将视为虚假应标，取消其中标资格。</w:t>
            </w:r>
          </w:p>
        </w:tc>
      </w:tr>
    </w:tbl>
    <w:p>
      <w:pPr>
        <w:spacing w:line="480" w:lineRule="auto"/>
        <w:ind w:firstLine="566"/>
        <w:rPr>
          <w:rFonts w:ascii="宋体"/>
          <w:color w:val="auto"/>
          <w:sz w:val="24"/>
          <w:highlight w:val="none"/>
          <w:u w:val="single"/>
        </w:rPr>
      </w:pPr>
      <w:bookmarkStart w:id="2091" w:name="_Toc30583"/>
      <w:bookmarkStart w:id="2092" w:name="_Toc8392"/>
      <w:bookmarkStart w:id="2093" w:name="_Toc12962"/>
      <w:bookmarkStart w:id="2094" w:name="_Toc8719"/>
      <w:r>
        <w:rPr>
          <w:rFonts w:hint="eastAsia" w:ascii="宋体" w:hAnsi="宋体"/>
          <w:color w:val="auto"/>
          <w:sz w:val="24"/>
          <w:highlight w:val="none"/>
        </w:rPr>
        <w:t>投标人名称（盖章）：</w:t>
      </w:r>
      <w:bookmarkEnd w:id="2091"/>
      <w:bookmarkEnd w:id="2092"/>
      <w:bookmarkEnd w:id="2093"/>
      <w:bookmarkEnd w:id="2094"/>
    </w:p>
    <w:p>
      <w:pPr>
        <w:spacing w:line="480" w:lineRule="auto"/>
        <w:ind w:firstLine="566"/>
        <w:rPr>
          <w:rFonts w:ascii="Arial" w:hAnsi="Arial"/>
          <w:b/>
          <w:bCs/>
          <w:color w:val="auto"/>
          <w:highlight w:val="none"/>
        </w:rPr>
      </w:pPr>
      <w:bookmarkStart w:id="2095" w:name="_Toc31729"/>
      <w:bookmarkStart w:id="2096" w:name="_Toc4830"/>
      <w:bookmarkStart w:id="2097" w:name="_Toc17427"/>
      <w:bookmarkStart w:id="2098" w:name="_Toc24916"/>
      <w:r>
        <w:rPr>
          <w:rFonts w:hint="eastAsia" w:ascii="宋体" w:hAnsi="宋体"/>
          <w:color w:val="auto"/>
          <w:sz w:val="24"/>
          <w:highlight w:val="none"/>
        </w:rPr>
        <w:t>日期：</w:t>
      </w:r>
      <w:r>
        <w:rPr>
          <w:rFonts w:ascii="宋体" w:hAnsi="宋体"/>
          <w:color w:val="auto"/>
          <w:sz w:val="24"/>
          <w:highlight w:val="none"/>
        </w:rPr>
        <w:t xml:space="preserve">   </w:t>
      </w:r>
      <w:r>
        <w:rPr>
          <w:rFonts w:hint="eastAsia" w:ascii="宋体" w:hAnsi="宋体"/>
          <w:color w:val="auto"/>
          <w:sz w:val="24"/>
          <w:highlight w:val="none"/>
        </w:rPr>
        <w:t>年</w:t>
      </w:r>
      <w:r>
        <w:rPr>
          <w:rFonts w:ascii="宋体" w:hAnsi="宋体"/>
          <w:color w:val="auto"/>
          <w:sz w:val="24"/>
          <w:highlight w:val="none"/>
        </w:rPr>
        <w:t xml:space="preserve">   </w:t>
      </w:r>
      <w:r>
        <w:rPr>
          <w:rFonts w:hint="eastAsia" w:ascii="宋体" w:hAnsi="宋体"/>
          <w:color w:val="auto"/>
          <w:sz w:val="24"/>
          <w:highlight w:val="none"/>
        </w:rPr>
        <w:t>月</w:t>
      </w:r>
      <w:r>
        <w:rPr>
          <w:rFonts w:ascii="宋体" w:hAnsi="宋体"/>
          <w:color w:val="auto"/>
          <w:sz w:val="24"/>
          <w:highlight w:val="none"/>
        </w:rPr>
        <w:t xml:space="preserve">   </w:t>
      </w:r>
      <w:r>
        <w:rPr>
          <w:rFonts w:hint="eastAsia" w:ascii="宋体" w:hAnsi="宋体"/>
          <w:color w:val="auto"/>
          <w:sz w:val="24"/>
          <w:highlight w:val="none"/>
        </w:rPr>
        <w:t>日</w:t>
      </w:r>
      <w:bookmarkEnd w:id="2095"/>
      <w:bookmarkEnd w:id="2096"/>
      <w:bookmarkEnd w:id="2097"/>
      <w:bookmarkEnd w:id="2098"/>
      <w:bookmarkStart w:id="2099" w:name="_Toc449516473"/>
    </w:p>
    <w:p>
      <w:pPr>
        <w:pStyle w:val="4"/>
        <w:jc w:val="left"/>
        <w:rPr>
          <w:color w:val="auto"/>
          <w:sz w:val="28"/>
          <w:szCs w:val="28"/>
          <w:highlight w:val="none"/>
        </w:rPr>
      </w:pPr>
      <w:bookmarkStart w:id="2100" w:name="_Toc18867"/>
      <w:bookmarkStart w:id="2101" w:name="_Toc14774"/>
      <w:bookmarkStart w:id="2102" w:name="_Toc13797"/>
      <w:bookmarkStart w:id="2103" w:name="_Toc32593"/>
      <w:bookmarkStart w:id="2104" w:name="_Toc24808"/>
      <w:bookmarkStart w:id="2105" w:name="_Toc7992"/>
      <w:bookmarkStart w:id="2106" w:name="_Toc31115"/>
      <w:bookmarkStart w:id="2107" w:name="_Toc29764"/>
      <w:bookmarkStart w:id="2108" w:name="_Toc21137"/>
      <w:bookmarkStart w:id="2109" w:name="_Toc32507"/>
      <w:bookmarkStart w:id="2110" w:name="_Toc26500"/>
      <w:bookmarkStart w:id="2111" w:name="_Toc3989"/>
      <w:bookmarkStart w:id="2112" w:name="_Toc9515"/>
      <w:bookmarkStart w:id="2113" w:name="_Toc22662"/>
      <w:bookmarkStart w:id="2114" w:name="_Toc22435"/>
      <w:bookmarkStart w:id="2115" w:name="_Toc98"/>
      <w:bookmarkStart w:id="2116" w:name="_Toc21674"/>
      <w:bookmarkStart w:id="2117" w:name="_Toc31614"/>
      <w:r>
        <w:rPr>
          <w:rFonts w:hint="eastAsia"/>
          <w:color w:val="auto"/>
          <w:highlight w:val="none"/>
        </w:rPr>
        <w:t>十三、</w:t>
      </w:r>
      <w:bookmarkEnd w:id="2100"/>
      <w:bookmarkEnd w:id="2101"/>
      <w:bookmarkEnd w:id="2102"/>
      <w:bookmarkStart w:id="2118" w:name="_Toc23823"/>
      <w:bookmarkStart w:id="2119" w:name="_Toc5918"/>
      <w:bookmarkStart w:id="2120" w:name="_Toc25146"/>
      <w:r>
        <w:rPr>
          <w:rFonts w:hint="eastAsia"/>
          <w:color w:val="auto"/>
          <w:highlight w:val="none"/>
        </w:rPr>
        <w:t>组织、管理方案及服务承诺（方案格式自拟，服务承诺格式附后）</w:t>
      </w:r>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tbl>
      <w:tblPr>
        <w:tblStyle w:val="41"/>
        <w:tblpPr w:leftFromText="180" w:rightFromText="180" w:vertAnchor="text" w:horzAnchor="page" w:tblpX="1913" w:tblpY="615"/>
        <w:tblW w:w="8460" w:type="dxa"/>
        <w:tblInd w:w="0" w:type="dxa"/>
        <w:tblLayout w:type="fixed"/>
        <w:tblCellMar>
          <w:top w:w="0" w:type="dxa"/>
          <w:left w:w="0" w:type="dxa"/>
          <w:bottom w:w="0" w:type="dxa"/>
          <w:right w:w="0" w:type="dxa"/>
        </w:tblCellMar>
      </w:tblPr>
      <w:tblGrid>
        <w:gridCol w:w="4155"/>
        <w:gridCol w:w="1080"/>
        <w:gridCol w:w="3225"/>
      </w:tblGrid>
      <w:tr>
        <w:tblPrEx>
          <w:tblCellMar>
            <w:top w:w="0" w:type="dxa"/>
            <w:left w:w="0" w:type="dxa"/>
            <w:bottom w:w="0" w:type="dxa"/>
            <w:right w:w="0" w:type="dxa"/>
          </w:tblCellMar>
        </w:tblPrEx>
        <w:trPr>
          <w:trHeight w:val="62"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b/>
                <w:bCs/>
                <w:color w:val="auto"/>
                <w:szCs w:val="28"/>
                <w:highlight w:val="none"/>
              </w:rPr>
            </w:pPr>
            <w:r>
              <w:rPr>
                <w:rFonts w:hint="eastAsia" w:ascii="宋体" w:hAnsi="宋体"/>
                <w:b/>
                <w:bCs/>
                <w:color w:val="auto"/>
                <w:szCs w:val="28"/>
                <w:highlight w:val="none"/>
              </w:rPr>
              <w:t>承包方服务承诺</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b/>
                <w:bCs/>
                <w:color w:val="auto"/>
                <w:szCs w:val="28"/>
                <w:highlight w:val="none"/>
              </w:rPr>
            </w:pPr>
            <w:r>
              <w:rPr>
                <w:rFonts w:hint="eastAsia" w:ascii="宋体" w:hAnsi="宋体"/>
                <w:b/>
                <w:bCs/>
                <w:color w:val="auto"/>
                <w:szCs w:val="28"/>
                <w:highlight w:val="none"/>
              </w:rPr>
              <w:t>是否响应</w:t>
            </w:r>
          </w:p>
          <w:p>
            <w:pPr>
              <w:jc w:val="center"/>
              <w:rPr>
                <w:rFonts w:hint="eastAsia" w:ascii="宋体" w:hAnsi="宋体"/>
                <w:b/>
                <w:bCs/>
                <w:color w:val="auto"/>
                <w:szCs w:val="28"/>
                <w:highlight w:val="none"/>
              </w:rPr>
            </w:pPr>
            <w:r>
              <w:rPr>
                <w:rFonts w:hint="eastAsia" w:ascii="宋体" w:hAnsi="宋体"/>
                <w:b/>
                <w:bCs/>
                <w:color w:val="auto"/>
                <w:szCs w:val="28"/>
                <w:highlight w:val="none"/>
              </w:rPr>
              <w:t>（是/否）</w:t>
            </w:r>
          </w:p>
        </w:tc>
        <w:tc>
          <w:tcPr>
            <w:tcW w:w="3225"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color w:val="auto"/>
                <w:szCs w:val="28"/>
                <w:highlight w:val="none"/>
              </w:rPr>
            </w:pPr>
            <w:r>
              <w:rPr>
                <w:rFonts w:hint="eastAsia" w:ascii="宋体" w:hAnsi="宋体"/>
                <w:b/>
                <w:bCs/>
                <w:color w:val="auto"/>
                <w:szCs w:val="28"/>
                <w:highlight w:val="none"/>
              </w:rPr>
              <w:t>如不响应，请在下表列明详细条款</w:t>
            </w:r>
          </w:p>
        </w:tc>
      </w:tr>
      <w:tr>
        <w:tblPrEx>
          <w:tblCellMar>
            <w:top w:w="0" w:type="dxa"/>
            <w:left w:w="0" w:type="dxa"/>
            <w:bottom w:w="0" w:type="dxa"/>
            <w:right w:w="0" w:type="dxa"/>
          </w:tblCellMar>
        </w:tblPrEx>
        <w:trPr>
          <w:trHeight w:val="732"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23"/>
              <w:rPr>
                <w:rFonts w:hint="eastAsia" w:ascii="宋体" w:hAnsi="宋体"/>
                <w:color w:val="auto"/>
                <w:sz w:val="21"/>
                <w:szCs w:val="21"/>
                <w:highlight w:val="none"/>
              </w:rPr>
            </w:pPr>
            <w:r>
              <w:rPr>
                <w:rFonts w:hint="eastAsia" w:ascii="宋体" w:hAnsi="宋体"/>
                <w:color w:val="auto"/>
                <w:sz w:val="21"/>
                <w:szCs w:val="21"/>
                <w:highlight w:val="none"/>
              </w:rPr>
              <w:t>承包方必须遵守国家法律、法规及相关规定。</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hint="eastAsia" w:ascii="宋体" w:hAnsi="宋体"/>
                <w:b/>
                <w:bCs/>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jc w:val="center"/>
              <w:rPr>
                <w:rFonts w:hint="eastAsia" w:ascii="宋体" w:hAnsi="宋体"/>
                <w:b/>
                <w:bCs/>
                <w:color w:val="auto"/>
                <w:szCs w:val="21"/>
                <w:highlight w:val="none"/>
              </w:rPr>
            </w:pPr>
          </w:p>
        </w:tc>
      </w:tr>
      <w:tr>
        <w:tblPrEx>
          <w:tblCellMar>
            <w:top w:w="0" w:type="dxa"/>
            <w:left w:w="0" w:type="dxa"/>
            <w:bottom w:w="0" w:type="dxa"/>
            <w:right w:w="0" w:type="dxa"/>
          </w:tblCellMar>
        </w:tblPrEx>
        <w:trPr>
          <w:trHeight w:val="766" w:hRule="atLeast"/>
        </w:trPr>
        <w:tc>
          <w:tcPr>
            <w:tcW w:w="415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承包方必须遵守招标方的各项管理规定，服从招标方管理部门的管理。</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b/>
                <w:bCs/>
                <w:color w:val="auto"/>
                <w:szCs w:val="21"/>
                <w:highlight w:val="none"/>
              </w:rPr>
            </w:pPr>
          </w:p>
        </w:tc>
        <w:tc>
          <w:tcPr>
            <w:tcW w:w="3225" w:type="dxa"/>
            <w:tcBorders>
              <w:top w:val="nil"/>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766" w:hRule="atLeast"/>
        </w:trPr>
        <w:tc>
          <w:tcPr>
            <w:tcW w:w="415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承包方必须严格按招标文件规定执行，全面履行投标承诺。</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b/>
                <w:bCs/>
                <w:color w:val="auto"/>
                <w:szCs w:val="21"/>
                <w:highlight w:val="none"/>
              </w:rPr>
            </w:pPr>
            <w:r>
              <w:rPr>
                <w:rFonts w:hint="eastAsia" w:ascii="宋体" w:hAnsi="宋体"/>
                <w:b/>
                <w:bCs/>
                <w:color w:val="auto"/>
                <w:szCs w:val="21"/>
                <w:highlight w:val="none"/>
              </w:rPr>
              <w:t>　</w:t>
            </w:r>
          </w:p>
        </w:tc>
        <w:tc>
          <w:tcPr>
            <w:tcW w:w="3225" w:type="dxa"/>
            <w:tcBorders>
              <w:top w:val="nil"/>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767" w:hRule="atLeast"/>
        </w:trPr>
        <w:tc>
          <w:tcPr>
            <w:tcW w:w="4155"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承包方必须确保各项服务工作按合同要求，按时、按质、按量完成。</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　</w:t>
            </w:r>
          </w:p>
        </w:tc>
        <w:tc>
          <w:tcPr>
            <w:tcW w:w="3225" w:type="dxa"/>
            <w:tcBorders>
              <w:top w:val="nil"/>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1044"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承包方必须要确保清洁服务符合行业规范，使用专业的清洁工具和符合环保要求的物料，确保使用安全、环保。</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804"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承包方必须要提供相关人员的有效用工合约、身份证、健康证、专业技术人员专业资格证，并确保所有员工身体健康，能胜任各项清洁工作。</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750"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r>
              <w:rPr>
                <w:rFonts w:hint="eastAsia" w:ascii="宋体" w:hAnsi="宋体"/>
                <w:color w:val="auto"/>
                <w:szCs w:val="21"/>
                <w:highlight w:val="none"/>
              </w:rPr>
              <w:t>承包方必须要按时发放员工工资和按照国家《劳动法》有关规定替所有员工购买相关保险。</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526"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auto"/>
                <w:szCs w:val="21"/>
                <w:highlight w:val="none"/>
              </w:rPr>
            </w:pPr>
            <w:r>
              <w:rPr>
                <w:rFonts w:hint="eastAsia"/>
                <w:color w:val="auto"/>
                <w:szCs w:val="21"/>
                <w:highlight w:val="none"/>
              </w:rPr>
              <w:t>承包方不得将承包合同私自转让或委托他人经营，一经发现，招标方将取消其承包资格，并追究其法律责任。</w:t>
            </w:r>
          </w:p>
          <w:p>
            <w:pPr>
              <w:rPr>
                <w:rFonts w:hint="eastAsia" w:ascii="宋体" w:hAnsi="宋体"/>
                <w:color w:val="auto"/>
                <w:szCs w:val="21"/>
                <w:highlight w:val="none"/>
              </w:rPr>
            </w:pPr>
            <w:r>
              <w:rPr>
                <w:rFonts w:hint="eastAsia"/>
                <w:b/>
                <w:bCs/>
                <w:color w:val="auto"/>
                <w:szCs w:val="21"/>
                <w:highlight w:val="none"/>
              </w:rPr>
              <w:t>★说明：此条必须响应，否则投标文件无效。</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p>
            <w:pPr>
              <w:rPr>
                <w:rFonts w:hint="eastAsia" w:ascii="宋体" w:hAnsi="宋体"/>
                <w:color w:val="auto"/>
                <w:szCs w:val="21"/>
                <w:highlight w:val="none"/>
              </w:rPr>
            </w:pPr>
          </w:p>
          <w:p>
            <w:pPr>
              <w:rPr>
                <w:rFonts w:hint="eastAsia" w:ascii="宋体" w:hAnsi="宋体"/>
                <w:color w:val="auto"/>
                <w:szCs w:val="21"/>
                <w:highlight w:val="none"/>
              </w:rPr>
            </w:pPr>
          </w:p>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526"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b/>
                <w:bCs/>
                <w:color w:val="auto"/>
                <w:szCs w:val="21"/>
                <w:highlight w:val="none"/>
              </w:rPr>
            </w:pPr>
            <w:r>
              <w:rPr>
                <w:rFonts w:hint="eastAsia"/>
                <w:color w:val="auto"/>
                <w:szCs w:val="21"/>
                <w:highlight w:val="none"/>
              </w:rPr>
              <w:t>承包方必须确保安全作业，如在清洁过程造成承包方人员或因承包方原因造成第三方人员伤亡，其一切责任由承包方承担。</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r>
        <w:tblPrEx>
          <w:tblCellMar>
            <w:top w:w="0" w:type="dxa"/>
            <w:left w:w="0" w:type="dxa"/>
            <w:bottom w:w="0" w:type="dxa"/>
            <w:right w:w="0" w:type="dxa"/>
          </w:tblCellMar>
        </w:tblPrEx>
        <w:trPr>
          <w:trHeight w:val="526" w:hRule="atLeast"/>
        </w:trPr>
        <w:tc>
          <w:tcPr>
            <w:tcW w:w="415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b/>
                <w:bCs/>
                <w:color w:val="auto"/>
                <w:szCs w:val="21"/>
                <w:highlight w:val="none"/>
              </w:rPr>
            </w:pPr>
            <w:r>
              <w:rPr>
                <w:rFonts w:hint="eastAsia"/>
                <w:color w:val="auto"/>
                <w:szCs w:val="21"/>
                <w:highlight w:val="none"/>
              </w:rPr>
              <w:t>承包方必须确保在日常清洁过程中爱护招标方财物，保护招标方隐私，不损伤各种物品及设施，如因操作不当造成招标方损失的由承包方担一切责任，并照价赔偿。</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hint="eastAsia" w:ascii="宋体" w:hAnsi="宋体"/>
                <w:color w:val="auto"/>
                <w:szCs w:val="21"/>
                <w:highlight w:val="none"/>
              </w:rPr>
            </w:pPr>
          </w:p>
        </w:tc>
        <w:tc>
          <w:tcPr>
            <w:tcW w:w="3225" w:type="dxa"/>
            <w:tcBorders>
              <w:top w:val="single" w:color="auto" w:sz="4" w:space="0"/>
              <w:left w:val="nil"/>
              <w:bottom w:val="single" w:color="auto" w:sz="4" w:space="0"/>
              <w:right w:val="single" w:color="auto" w:sz="4" w:space="0"/>
            </w:tcBorders>
            <w:vAlign w:val="center"/>
          </w:tcPr>
          <w:p>
            <w:pPr>
              <w:rPr>
                <w:rFonts w:hint="eastAsia" w:ascii="宋体" w:hAnsi="宋体"/>
                <w:color w:val="auto"/>
                <w:szCs w:val="21"/>
                <w:highlight w:val="none"/>
              </w:rPr>
            </w:pPr>
          </w:p>
        </w:tc>
      </w:tr>
    </w:tbl>
    <w:p>
      <w:pPr>
        <w:tabs>
          <w:tab w:val="left" w:pos="360"/>
        </w:tabs>
        <w:spacing w:line="480" w:lineRule="exact"/>
        <w:ind w:firstLine="3092" w:firstLineChars="1100"/>
        <w:rPr>
          <w:rFonts w:ascii="Arial" w:hAnsi="Arial"/>
          <w:b/>
          <w:bCs/>
          <w:color w:val="auto"/>
          <w:sz w:val="28"/>
          <w:szCs w:val="28"/>
          <w:highlight w:val="none"/>
        </w:rPr>
      </w:pPr>
      <w:r>
        <w:rPr>
          <w:rFonts w:hint="eastAsia" w:ascii="Arial" w:hAnsi="Arial"/>
          <w:b/>
          <w:bCs/>
          <w:color w:val="auto"/>
          <w:sz w:val="28"/>
          <w:szCs w:val="28"/>
          <w:highlight w:val="none"/>
        </w:rPr>
        <w:t>服务承诺响应表</w:t>
      </w:r>
      <w:bookmarkEnd w:id="2099"/>
    </w:p>
    <w:p>
      <w:pPr>
        <w:pStyle w:val="4"/>
        <w:jc w:val="left"/>
        <w:rPr>
          <w:color w:val="auto"/>
          <w:highlight w:val="none"/>
        </w:rPr>
      </w:pPr>
      <w:bookmarkStart w:id="2121" w:name="_Toc22045"/>
      <w:bookmarkStart w:id="2122" w:name="_Toc22345"/>
      <w:bookmarkStart w:id="2123" w:name="_Toc21106"/>
      <w:bookmarkStart w:id="2124" w:name="_Toc6962"/>
      <w:bookmarkStart w:id="2125" w:name="_Toc12923"/>
      <w:bookmarkStart w:id="2126" w:name="_Toc5240"/>
      <w:bookmarkStart w:id="2127" w:name="_Toc16434"/>
      <w:bookmarkStart w:id="2128" w:name="_Toc12810"/>
      <w:bookmarkStart w:id="2129" w:name="_Toc1108"/>
      <w:bookmarkStart w:id="2130" w:name="_Toc10073"/>
      <w:bookmarkStart w:id="2131" w:name="_Toc30433"/>
      <w:bookmarkStart w:id="2132" w:name="_Toc13185"/>
      <w:bookmarkStart w:id="2133" w:name="_Toc2469"/>
      <w:bookmarkStart w:id="2134" w:name="_Toc8709"/>
      <w:bookmarkStart w:id="2135" w:name="_Toc1436"/>
      <w:r>
        <w:rPr>
          <w:rFonts w:hint="eastAsia"/>
          <w:color w:val="auto"/>
          <w:highlight w:val="none"/>
        </w:rPr>
        <w:t>十四、项目负责人承诺函；</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p>
    <w:p>
      <w:pPr>
        <w:pStyle w:val="4"/>
        <w:rPr>
          <w:color w:val="auto"/>
          <w:highlight w:val="none"/>
        </w:rPr>
      </w:pPr>
      <w:bookmarkStart w:id="2136" w:name="_Toc30965"/>
      <w:bookmarkStart w:id="2137" w:name="_Toc6796"/>
      <w:bookmarkStart w:id="2138" w:name="_Toc11259"/>
      <w:bookmarkStart w:id="2139" w:name="_Toc10578"/>
      <w:bookmarkStart w:id="2140" w:name="_Toc26007"/>
      <w:bookmarkStart w:id="2141" w:name="_Toc1971"/>
      <w:bookmarkStart w:id="2142" w:name="_Toc26794"/>
      <w:bookmarkStart w:id="2143" w:name="_Toc3788"/>
      <w:bookmarkStart w:id="2144" w:name="_Toc29142"/>
      <w:bookmarkStart w:id="2145" w:name="_Toc10837"/>
      <w:bookmarkStart w:id="2146" w:name="_Toc6068"/>
      <w:bookmarkStart w:id="2147" w:name="_Toc6434"/>
      <w:bookmarkStart w:id="2148" w:name="_Toc14101"/>
      <w:bookmarkStart w:id="2149" w:name="_Toc7071"/>
      <w:bookmarkStart w:id="2150" w:name="_Toc28456"/>
      <w:bookmarkStart w:id="2151" w:name="_Toc28831"/>
      <w:bookmarkStart w:id="2152" w:name="_Toc9540"/>
      <w:bookmarkStart w:id="2153" w:name="_Toc20525"/>
      <w:bookmarkStart w:id="2154" w:name="_Toc23265"/>
      <w:bookmarkStart w:id="2155" w:name="_Toc8355"/>
      <w:bookmarkStart w:id="2156" w:name="_Toc30066"/>
      <w:bookmarkStart w:id="2157" w:name="_Toc20611"/>
      <w:bookmarkStart w:id="2158" w:name="_Toc29461"/>
      <w:r>
        <w:rPr>
          <w:rFonts w:hint="eastAsia"/>
          <w:color w:val="auto"/>
          <w:highlight w:val="none"/>
        </w:rPr>
        <w:t>十五、其他材料由投标人自行补充</w:t>
      </w:r>
      <w:bookmarkEnd w:id="1665"/>
      <w:bookmarkEnd w:id="1666"/>
      <w:bookmarkEnd w:id="1899"/>
      <w:bookmarkEnd w:id="1900"/>
      <w:bookmarkEnd w:id="1901"/>
      <w:bookmarkEnd w:id="1902"/>
      <w:bookmarkEnd w:id="1903"/>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sectPr>
      <w:headerReference r:id="rId8" w:type="default"/>
      <w:footerReference r:id="rId9" w:type="default"/>
      <w:pgSz w:w="11906" w:h="16838"/>
      <w:pgMar w:top="1100" w:right="1797" w:bottom="703" w:left="1797"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ˎ̥">
    <w:altName w:val="Times New Roman"/>
    <w:panose1 w:val="00000000000000000000"/>
    <w:charset w:val="00"/>
    <w:family w:val="decorative"/>
    <w:pitch w:val="default"/>
    <w:sig w:usb0="00000000" w:usb1="00000000" w:usb2="00000000" w:usb3="00000000" w:csb0="00040001" w:csb1="00000000"/>
  </w:font>
  <w:font w:name="昆仑楷体">
    <w:altName w:val="黑体"/>
    <w:panose1 w:val="00000000000000000000"/>
    <w:charset w:val="86"/>
    <w:family w:val="modern"/>
    <w:pitch w:val="default"/>
    <w:sig w:usb0="00000000" w:usb1="00000000" w:usb2="00000010" w:usb3="00000000" w:csb0="00040000" w:csb1="00000000"/>
  </w:font>
  <w:font w:name="PingFang SC">
    <w:altName w:val="微软雅黑"/>
    <w:panose1 w:val="00000000000000000000"/>
    <w:charset w:val="00"/>
    <w:family w:val="auto"/>
    <w:pitch w:val="default"/>
    <w:sig w:usb0="00000000" w:usb1="00000000" w:usb2="00000000" w:usb3="00000000" w:csb0="00040001" w:csb1="00000000"/>
  </w:font>
  <w:font w:name="华文细黑">
    <w:panose1 w:val="02010600040101010101"/>
    <w:charset w:val="86"/>
    <w:family w:val="auto"/>
    <w:pitch w:val="default"/>
    <w:sig w:usb0="00000287" w:usb1="080F0000" w:usb2="00000000" w:usb3="00000000" w:csb0="0004009F" w:csb1="DFD70000"/>
  </w:font>
  <w:font w:name="&amp;#20223">
    <w:altName w:val="Times New Roman"/>
    <w:panose1 w:val="00000000000000000000"/>
    <w:charset w:val="00"/>
    <w:family w:val="roman"/>
    <w:pitch w:val="default"/>
    <w:sig w:usb0="00000000" w:usb1="00000000" w:usb2="00000000"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Segoe UI">
    <w:panose1 w:val="020B0502040204020203"/>
    <w:charset w:val="00"/>
    <w:family w:val="swiss"/>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29</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49</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52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52</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6"/>
                          </w:pPr>
                          <w:r>
                            <w:rPr>
                              <w:rFonts w:hint="eastAsia"/>
                            </w:rPr>
                            <w:fldChar w:fldCharType="begin"/>
                          </w:r>
                          <w:r>
                            <w:rPr>
                              <w:rFonts w:hint="eastAsia"/>
                            </w:rPr>
                            <w:instrText xml:space="preserve"> PAGE  \* MERGEFORMAT </w:instrText>
                          </w:r>
                          <w:r>
                            <w:rPr>
                              <w:rFonts w:hint="eastAsia"/>
                            </w:rPr>
                            <w:fldChar w:fldCharType="separate"/>
                          </w:r>
                          <w:r>
                            <w:t>60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pPr>
                      <w:pStyle w:val="26"/>
                    </w:pPr>
                    <w:r>
                      <w:rPr>
                        <w:rFonts w:hint="eastAsia"/>
                      </w:rPr>
                      <w:fldChar w:fldCharType="begin"/>
                    </w:r>
                    <w:r>
                      <w:rPr>
                        <w:rFonts w:hint="eastAsia"/>
                      </w:rPr>
                      <w:instrText xml:space="preserve"> PAGE  \* MERGEFORMAT </w:instrText>
                    </w:r>
                    <w:r>
                      <w:rPr>
                        <w:rFonts w:hint="eastAsia"/>
                      </w:rPr>
                      <w:fldChar w:fldCharType="separate"/>
                    </w:r>
                    <w:r>
                      <w:t>60</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0CB7B4"/>
    <w:multiLevelType w:val="singleLevel"/>
    <w:tmpl w:val="AF0CB7B4"/>
    <w:lvl w:ilvl="0" w:tentative="0">
      <w:start w:val="4"/>
      <w:numFmt w:val="chineseCounting"/>
      <w:suff w:val="space"/>
      <w:lvlText w:val="第%1章"/>
      <w:lvlJc w:val="left"/>
      <w:rPr>
        <w:rFonts w:hint="eastAsia" w:ascii="宋体" w:hAnsi="宋体" w:eastAsia="宋体" w:cs="宋体"/>
        <w:sz w:val="44"/>
        <w:szCs w:val="44"/>
        <w:highlight w:val="none"/>
      </w:rPr>
    </w:lvl>
  </w:abstractNum>
  <w:abstractNum w:abstractNumId="1">
    <w:nsid w:val="D28EAD48"/>
    <w:multiLevelType w:val="singleLevel"/>
    <w:tmpl w:val="D28EAD48"/>
    <w:lvl w:ilvl="0" w:tentative="0">
      <w:start w:val="6"/>
      <w:numFmt w:val="chineseCounting"/>
      <w:suff w:val="nothing"/>
      <w:lvlText w:val="%1、"/>
      <w:lvlJc w:val="left"/>
      <w:rPr>
        <w:rFonts w:hint="eastAsia"/>
      </w:rPr>
    </w:lvl>
  </w:abstractNum>
  <w:abstractNum w:abstractNumId="2">
    <w:nsid w:val="E52C362A"/>
    <w:multiLevelType w:val="singleLevel"/>
    <w:tmpl w:val="E52C362A"/>
    <w:lvl w:ilvl="0" w:tentative="0">
      <w:start w:val="1"/>
      <w:numFmt w:val="decimal"/>
      <w:suff w:val="nothing"/>
      <w:lvlText w:val="%1、"/>
      <w:lvlJc w:val="left"/>
    </w:lvl>
  </w:abstractNum>
  <w:abstractNum w:abstractNumId="3">
    <w:nsid w:val="0730B3B0"/>
    <w:multiLevelType w:val="singleLevel"/>
    <w:tmpl w:val="0730B3B0"/>
    <w:lvl w:ilvl="0" w:tentative="0">
      <w:start w:val="1"/>
      <w:numFmt w:val="decimal"/>
      <w:suff w:val="nothing"/>
      <w:lvlText w:val="%1、"/>
      <w:lvlJc w:val="left"/>
    </w:lvl>
  </w:abstractNum>
  <w:abstractNum w:abstractNumId="4">
    <w:nsid w:val="0D651BEC"/>
    <w:multiLevelType w:val="multilevel"/>
    <w:tmpl w:val="0D651BEC"/>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154D5ECE"/>
    <w:multiLevelType w:val="multilevel"/>
    <w:tmpl w:val="154D5ECE"/>
    <w:lvl w:ilvl="0" w:tentative="0">
      <w:start w:val="1"/>
      <w:numFmt w:val="decimal"/>
      <w:lvlText w:val="5.%1"/>
      <w:lvlJc w:val="left"/>
      <w:pPr>
        <w:ind w:left="420" w:hanging="420"/>
      </w:pPr>
      <w:rPr>
        <w:rFonts w:hint="eastAsia"/>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ascii="Times New Roman" w:hAnsi="Times New Roman" w:cs="Times New Roman"/>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1DCA0931"/>
    <w:multiLevelType w:val="multilevel"/>
    <w:tmpl w:val="1DCA0931"/>
    <w:lvl w:ilvl="0" w:tentative="0">
      <w:start w:val="1"/>
      <w:numFmt w:val="decimal"/>
      <w:lvlText w:val="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0755E83"/>
    <w:multiLevelType w:val="multilevel"/>
    <w:tmpl w:val="20755E83"/>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22EF86D7"/>
    <w:multiLevelType w:val="singleLevel"/>
    <w:tmpl w:val="22EF86D7"/>
    <w:lvl w:ilvl="0" w:tentative="0">
      <w:start w:val="1"/>
      <w:numFmt w:val="decimal"/>
      <w:suff w:val="nothing"/>
      <w:lvlText w:val="%1、"/>
      <w:lvlJc w:val="left"/>
    </w:lvl>
  </w:abstractNum>
  <w:abstractNum w:abstractNumId="9">
    <w:nsid w:val="265A9FFE"/>
    <w:multiLevelType w:val="singleLevel"/>
    <w:tmpl w:val="265A9FFE"/>
    <w:lvl w:ilvl="0" w:tentative="0">
      <w:start w:val="1"/>
      <w:numFmt w:val="decimal"/>
      <w:suff w:val="nothing"/>
      <w:lvlText w:val="%1、"/>
      <w:lvlJc w:val="left"/>
    </w:lvl>
  </w:abstractNum>
  <w:abstractNum w:abstractNumId="10">
    <w:nsid w:val="2856366A"/>
    <w:multiLevelType w:val="multilevel"/>
    <w:tmpl w:val="2856366A"/>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1">
    <w:nsid w:val="35D86E4F"/>
    <w:multiLevelType w:val="multilevel"/>
    <w:tmpl w:val="35D86E4F"/>
    <w:lvl w:ilvl="0" w:tentative="0">
      <w:start w:val="1"/>
      <w:numFmt w:val="decimal"/>
      <w:lvlText w:val="6.%1"/>
      <w:lvlJc w:val="left"/>
      <w:pPr>
        <w:ind w:left="840" w:hanging="420"/>
      </w:pPr>
      <w:rPr>
        <w:rFonts w:hint="eastAsia"/>
      </w:rPr>
    </w:lvl>
    <w:lvl w:ilvl="1" w:tentative="0">
      <w:start w:val="1"/>
      <w:numFmt w:val="decimal"/>
      <w:lvlText w:val="6.%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43530C51"/>
    <w:multiLevelType w:val="multilevel"/>
    <w:tmpl w:val="43530C51"/>
    <w:lvl w:ilvl="0" w:tentative="0">
      <w:start w:val="1"/>
      <w:numFmt w:val="decimal"/>
      <w:lvlText w:val="4.%1"/>
      <w:lvlJc w:val="left"/>
      <w:pPr>
        <w:ind w:left="846" w:hanging="420"/>
      </w:pPr>
      <w:rPr>
        <w:rFonts w:hint="eastAsia"/>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13">
    <w:nsid w:val="52ED0E0F"/>
    <w:multiLevelType w:val="multilevel"/>
    <w:tmpl w:val="52ED0E0F"/>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8393E38"/>
    <w:multiLevelType w:val="multilevel"/>
    <w:tmpl w:val="58393E38"/>
    <w:lvl w:ilvl="0" w:tentative="0">
      <w:start w:val="1"/>
      <w:numFmt w:val="decimal"/>
      <w:lvlText w:val="%1、"/>
      <w:lvlJc w:val="left"/>
      <w:pPr>
        <w:tabs>
          <w:tab w:val="left" w:pos="360"/>
        </w:tabs>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5">
    <w:nsid w:val="62876AB9"/>
    <w:multiLevelType w:val="singleLevel"/>
    <w:tmpl w:val="62876AB9"/>
    <w:lvl w:ilvl="0" w:tentative="0">
      <w:start w:val="1"/>
      <w:numFmt w:val="decimal"/>
      <w:suff w:val="nothing"/>
      <w:lvlText w:val="%1、"/>
      <w:lvlJc w:val="left"/>
    </w:lvl>
  </w:abstractNum>
  <w:abstractNum w:abstractNumId="16">
    <w:nsid w:val="6CC51E7F"/>
    <w:multiLevelType w:val="multilevel"/>
    <w:tmpl w:val="6CC51E7F"/>
    <w:lvl w:ilvl="0" w:tentative="0">
      <w:start w:val="1"/>
      <w:numFmt w:val="decimal"/>
      <w:lvlText w:val="%1、"/>
      <w:lvlJc w:val="left"/>
      <w:pPr>
        <w:tabs>
          <w:tab w:val="left" w:pos="360"/>
        </w:tabs>
        <w:ind w:left="360" w:hanging="360"/>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7">
    <w:nsid w:val="7671210A"/>
    <w:multiLevelType w:val="multilevel"/>
    <w:tmpl w:val="7671210A"/>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12"/>
  </w:num>
  <w:num w:numId="2">
    <w:abstractNumId w:val="5"/>
  </w:num>
  <w:num w:numId="3">
    <w:abstractNumId w:val="11"/>
  </w:num>
  <w:num w:numId="4">
    <w:abstractNumId w:val="17"/>
  </w:num>
  <w:num w:numId="5">
    <w:abstractNumId w:val="6"/>
  </w:num>
  <w:num w:numId="6">
    <w:abstractNumId w:val="13"/>
  </w:num>
  <w:num w:numId="7">
    <w:abstractNumId w:val="0"/>
  </w:num>
  <w:num w:numId="8">
    <w:abstractNumId w:val="9"/>
  </w:num>
  <w:num w:numId="9">
    <w:abstractNumId w:val="10"/>
  </w:num>
  <w:num w:numId="10">
    <w:abstractNumId w:val="15"/>
  </w:num>
  <w:num w:numId="11">
    <w:abstractNumId w:val="16"/>
  </w:num>
  <w:num w:numId="12">
    <w:abstractNumId w:val="4"/>
  </w:num>
  <w:num w:numId="13">
    <w:abstractNumId w:val="7"/>
  </w:num>
  <w:num w:numId="14">
    <w:abstractNumId w:val="8"/>
  </w:num>
  <w:num w:numId="15">
    <w:abstractNumId w:val="2"/>
  </w:num>
  <w:num w:numId="16">
    <w:abstractNumId w:val="3"/>
  </w:num>
  <w:num w:numId="17">
    <w:abstractNumId w:val="1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Q4MzU5OGI1NzIxOWJiMWQ2Mjg3NWU0MDQ2ZDBhOGMifQ=="/>
  </w:docVars>
  <w:rsids>
    <w:rsidRoot w:val="00172A27"/>
    <w:rsid w:val="000003A5"/>
    <w:rsid w:val="00000799"/>
    <w:rsid w:val="00004843"/>
    <w:rsid w:val="000048F5"/>
    <w:rsid w:val="00004C98"/>
    <w:rsid w:val="0000685B"/>
    <w:rsid w:val="00010C57"/>
    <w:rsid w:val="00010CDE"/>
    <w:rsid w:val="0001359A"/>
    <w:rsid w:val="00016706"/>
    <w:rsid w:val="00016EEE"/>
    <w:rsid w:val="000203E6"/>
    <w:rsid w:val="0002109A"/>
    <w:rsid w:val="00023088"/>
    <w:rsid w:val="000232DB"/>
    <w:rsid w:val="00024332"/>
    <w:rsid w:val="0002600B"/>
    <w:rsid w:val="000320E0"/>
    <w:rsid w:val="00035ADD"/>
    <w:rsid w:val="00036DE8"/>
    <w:rsid w:val="00037ACD"/>
    <w:rsid w:val="0004019C"/>
    <w:rsid w:val="00041E87"/>
    <w:rsid w:val="00042417"/>
    <w:rsid w:val="000467F5"/>
    <w:rsid w:val="00046898"/>
    <w:rsid w:val="00051E28"/>
    <w:rsid w:val="0005463D"/>
    <w:rsid w:val="00055AB7"/>
    <w:rsid w:val="00056E92"/>
    <w:rsid w:val="00067B32"/>
    <w:rsid w:val="00070DD5"/>
    <w:rsid w:val="00071339"/>
    <w:rsid w:val="00075E94"/>
    <w:rsid w:val="000773D5"/>
    <w:rsid w:val="000775C6"/>
    <w:rsid w:val="0007789B"/>
    <w:rsid w:val="00080281"/>
    <w:rsid w:val="00080BD2"/>
    <w:rsid w:val="00082C52"/>
    <w:rsid w:val="00090CD6"/>
    <w:rsid w:val="00090DCE"/>
    <w:rsid w:val="00091A79"/>
    <w:rsid w:val="00091CDA"/>
    <w:rsid w:val="00093AC3"/>
    <w:rsid w:val="00094793"/>
    <w:rsid w:val="00096D73"/>
    <w:rsid w:val="00097AF9"/>
    <w:rsid w:val="000A0B9C"/>
    <w:rsid w:val="000A0F18"/>
    <w:rsid w:val="000A1A1E"/>
    <w:rsid w:val="000A47DB"/>
    <w:rsid w:val="000A76D4"/>
    <w:rsid w:val="000B009C"/>
    <w:rsid w:val="000B25F9"/>
    <w:rsid w:val="000C03C3"/>
    <w:rsid w:val="000C11ED"/>
    <w:rsid w:val="000C3D07"/>
    <w:rsid w:val="000C72D9"/>
    <w:rsid w:val="000C7F99"/>
    <w:rsid w:val="000D3C31"/>
    <w:rsid w:val="000D542D"/>
    <w:rsid w:val="000E43EA"/>
    <w:rsid w:val="000E5CC9"/>
    <w:rsid w:val="000E72FB"/>
    <w:rsid w:val="000E736F"/>
    <w:rsid w:val="000F25F5"/>
    <w:rsid w:val="000F4302"/>
    <w:rsid w:val="000F43AE"/>
    <w:rsid w:val="00101C98"/>
    <w:rsid w:val="00101FC4"/>
    <w:rsid w:val="00103E3D"/>
    <w:rsid w:val="0010496B"/>
    <w:rsid w:val="001079E0"/>
    <w:rsid w:val="00113ED4"/>
    <w:rsid w:val="00114C12"/>
    <w:rsid w:val="00116594"/>
    <w:rsid w:val="00120BA2"/>
    <w:rsid w:val="001215DC"/>
    <w:rsid w:val="00121657"/>
    <w:rsid w:val="0012292A"/>
    <w:rsid w:val="0012338B"/>
    <w:rsid w:val="001238F4"/>
    <w:rsid w:val="00123A87"/>
    <w:rsid w:val="00124AA2"/>
    <w:rsid w:val="001264D0"/>
    <w:rsid w:val="00126BEE"/>
    <w:rsid w:val="001270EC"/>
    <w:rsid w:val="0013064C"/>
    <w:rsid w:val="0013103F"/>
    <w:rsid w:val="0013412C"/>
    <w:rsid w:val="00134B67"/>
    <w:rsid w:val="00137333"/>
    <w:rsid w:val="00140FA4"/>
    <w:rsid w:val="00141FDA"/>
    <w:rsid w:val="00142010"/>
    <w:rsid w:val="0014295D"/>
    <w:rsid w:val="00143D98"/>
    <w:rsid w:val="00143EA8"/>
    <w:rsid w:val="00144E0A"/>
    <w:rsid w:val="001458A8"/>
    <w:rsid w:val="001467CA"/>
    <w:rsid w:val="00146E26"/>
    <w:rsid w:val="0014705C"/>
    <w:rsid w:val="00151B0D"/>
    <w:rsid w:val="00152BD7"/>
    <w:rsid w:val="00154274"/>
    <w:rsid w:val="0015602C"/>
    <w:rsid w:val="00156978"/>
    <w:rsid w:val="00156EC2"/>
    <w:rsid w:val="00157F0C"/>
    <w:rsid w:val="001636DA"/>
    <w:rsid w:val="0016383C"/>
    <w:rsid w:val="0016734F"/>
    <w:rsid w:val="00172A27"/>
    <w:rsid w:val="00172D89"/>
    <w:rsid w:val="00172F8B"/>
    <w:rsid w:val="00174A74"/>
    <w:rsid w:val="00175DD8"/>
    <w:rsid w:val="00176046"/>
    <w:rsid w:val="00176103"/>
    <w:rsid w:val="00177A7A"/>
    <w:rsid w:val="00177B03"/>
    <w:rsid w:val="00177EC0"/>
    <w:rsid w:val="00181BB0"/>
    <w:rsid w:val="00182049"/>
    <w:rsid w:val="0018362E"/>
    <w:rsid w:val="00183CF3"/>
    <w:rsid w:val="001845EF"/>
    <w:rsid w:val="00184810"/>
    <w:rsid w:val="00186320"/>
    <w:rsid w:val="001866A2"/>
    <w:rsid w:val="00192D6D"/>
    <w:rsid w:val="00194A29"/>
    <w:rsid w:val="001A0294"/>
    <w:rsid w:val="001A2FFF"/>
    <w:rsid w:val="001A45C2"/>
    <w:rsid w:val="001B1DB5"/>
    <w:rsid w:val="001B20D9"/>
    <w:rsid w:val="001B3272"/>
    <w:rsid w:val="001B37F7"/>
    <w:rsid w:val="001B435C"/>
    <w:rsid w:val="001B4C02"/>
    <w:rsid w:val="001B5160"/>
    <w:rsid w:val="001C24D2"/>
    <w:rsid w:val="001D081F"/>
    <w:rsid w:val="001D0B3E"/>
    <w:rsid w:val="001D2F6C"/>
    <w:rsid w:val="001D2FAC"/>
    <w:rsid w:val="001D46E5"/>
    <w:rsid w:val="001D5630"/>
    <w:rsid w:val="001D712F"/>
    <w:rsid w:val="001E1258"/>
    <w:rsid w:val="001E7607"/>
    <w:rsid w:val="001F125C"/>
    <w:rsid w:val="001F213A"/>
    <w:rsid w:val="001F2242"/>
    <w:rsid w:val="001F71B7"/>
    <w:rsid w:val="002010B0"/>
    <w:rsid w:val="00202168"/>
    <w:rsid w:val="00202170"/>
    <w:rsid w:val="002035D1"/>
    <w:rsid w:val="00203663"/>
    <w:rsid w:val="002036FA"/>
    <w:rsid w:val="002040CB"/>
    <w:rsid w:val="002043B4"/>
    <w:rsid w:val="0020569C"/>
    <w:rsid w:val="0020597A"/>
    <w:rsid w:val="002075C7"/>
    <w:rsid w:val="00207C8B"/>
    <w:rsid w:val="002100BE"/>
    <w:rsid w:val="002123AF"/>
    <w:rsid w:val="002143A9"/>
    <w:rsid w:val="0022269C"/>
    <w:rsid w:val="00226617"/>
    <w:rsid w:val="0022699E"/>
    <w:rsid w:val="00226E18"/>
    <w:rsid w:val="002276C5"/>
    <w:rsid w:val="002314CC"/>
    <w:rsid w:val="00231CD3"/>
    <w:rsid w:val="00232DAF"/>
    <w:rsid w:val="002345C8"/>
    <w:rsid w:val="002355FA"/>
    <w:rsid w:val="00237324"/>
    <w:rsid w:val="00237A66"/>
    <w:rsid w:val="00240756"/>
    <w:rsid w:val="002428C7"/>
    <w:rsid w:val="00243682"/>
    <w:rsid w:val="00243A8B"/>
    <w:rsid w:val="00243FAA"/>
    <w:rsid w:val="00245CAC"/>
    <w:rsid w:val="002460DA"/>
    <w:rsid w:val="00250481"/>
    <w:rsid w:val="002524E4"/>
    <w:rsid w:val="00254022"/>
    <w:rsid w:val="00255441"/>
    <w:rsid w:val="00256C3A"/>
    <w:rsid w:val="00257984"/>
    <w:rsid w:val="00261743"/>
    <w:rsid w:val="00270860"/>
    <w:rsid w:val="00270C5F"/>
    <w:rsid w:val="0027341D"/>
    <w:rsid w:val="00274716"/>
    <w:rsid w:val="0027671F"/>
    <w:rsid w:val="00277CD9"/>
    <w:rsid w:val="002816DD"/>
    <w:rsid w:val="00284DA1"/>
    <w:rsid w:val="002856B8"/>
    <w:rsid w:val="0028772D"/>
    <w:rsid w:val="0029073F"/>
    <w:rsid w:val="00290E1D"/>
    <w:rsid w:val="00295811"/>
    <w:rsid w:val="002961DE"/>
    <w:rsid w:val="00297FC8"/>
    <w:rsid w:val="002A5579"/>
    <w:rsid w:val="002B2E6A"/>
    <w:rsid w:val="002B3FD6"/>
    <w:rsid w:val="002B79EB"/>
    <w:rsid w:val="002C19ED"/>
    <w:rsid w:val="002D6AF4"/>
    <w:rsid w:val="002E00DC"/>
    <w:rsid w:val="002E1B0E"/>
    <w:rsid w:val="002E1DAD"/>
    <w:rsid w:val="002E29CE"/>
    <w:rsid w:val="002E44F4"/>
    <w:rsid w:val="002E5F3D"/>
    <w:rsid w:val="002E6060"/>
    <w:rsid w:val="002E63D5"/>
    <w:rsid w:val="002E70BA"/>
    <w:rsid w:val="002F0235"/>
    <w:rsid w:val="002F04DC"/>
    <w:rsid w:val="002F4A25"/>
    <w:rsid w:val="002F4DCE"/>
    <w:rsid w:val="002F5143"/>
    <w:rsid w:val="002F57ED"/>
    <w:rsid w:val="002F7877"/>
    <w:rsid w:val="003039AC"/>
    <w:rsid w:val="003042C5"/>
    <w:rsid w:val="00307983"/>
    <w:rsid w:val="0031041D"/>
    <w:rsid w:val="00311E33"/>
    <w:rsid w:val="00313D17"/>
    <w:rsid w:val="00314686"/>
    <w:rsid w:val="00324240"/>
    <w:rsid w:val="003312D2"/>
    <w:rsid w:val="00335CD1"/>
    <w:rsid w:val="003364BD"/>
    <w:rsid w:val="00336F51"/>
    <w:rsid w:val="00337A24"/>
    <w:rsid w:val="0034283A"/>
    <w:rsid w:val="00342C9A"/>
    <w:rsid w:val="003439E1"/>
    <w:rsid w:val="00347E63"/>
    <w:rsid w:val="00351944"/>
    <w:rsid w:val="003519B1"/>
    <w:rsid w:val="003531BE"/>
    <w:rsid w:val="0035347C"/>
    <w:rsid w:val="00354C7B"/>
    <w:rsid w:val="00356CEF"/>
    <w:rsid w:val="00360265"/>
    <w:rsid w:val="00360C13"/>
    <w:rsid w:val="0036173A"/>
    <w:rsid w:val="00361903"/>
    <w:rsid w:val="00361F6D"/>
    <w:rsid w:val="00375DA3"/>
    <w:rsid w:val="00380359"/>
    <w:rsid w:val="00381AA9"/>
    <w:rsid w:val="0038355B"/>
    <w:rsid w:val="003854F1"/>
    <w:rsid w:val="00385FBE"/>
    <w:rsid w:val="0038721A"/>
    <w:rsid w:val="003879AC"/>
    <w:rsid w:val="00387A2B"/>
    <w:rsid w:val="0039067D"/>
    <w:rsid w:val="00391D50"/>
    <w:rsid w:val="003A1D4E"/>
    <w:rsid w:val="003B170F"/>
    <w:rsid w:val="003B4B63"/>
    <w:rsid w:val="003C20DB"/>
    <w:rsid w:val="003D09F7"/>
    <w:rsid w:val="003D2F54"/>
    <w:rsid w:val="003D31BA"/>
    <w:rsid w:val="003D41CC"/>
    <w:rsid w:val="003D506F"/>
    <w:rsid w:val="003D7999"/>
    <w:rsid w:val="003D7A1B"/>
    <w:rsid w:val="003E020D"/>
    <w:rsid w:val="003E1E00"/>
    <w:rsid w:val="003E26B1"/>
    <w:rsid w:val="003E2D43"/>
    <w:rsid w:val="003E58E7"/>
    <w:rsid w:val="003E5B7A"/>
    <w:rsid w:val="003E617B"/>
    <w:rsid w:val="003E6A02"/>
    <w:rsid w:val="003E740C"/>
    <w:rsid w:val="003F0E7E"/>
    <w:rsid w:val="003F36B0"/>
    <w:rsid w:val="003F4DEE"/>
    <w:rsid w:val="00401007"/>
    <w:rsid w:val="00401144"/>
    <w:rsid w:val="00411A1E"/>
    <w:rsid w:val="0041246A"/>
    <w:rsid w:val="00415027"/>
    <w:rsid w:val="00415427"/>
    <w:rsid w:val="004171FE"/>
    <w:rsid w:val="00422944"/>
    <w:rsid w:val="00422995"/>
    <w:rsid w:val="00430F7B"/>
    <w:rsid w:val="00431A40"/>
    <w:rsid w:val="0043264B"/>
    <w:rsid w:val="004330CA"/>
    <w:rsid w:val="00442D37"/>
    <w:rsid w:val="00444EC7"/>
    <w:rsid w:val="004457BD"/>
    <w:rsid w:val="004536E2"/>
    <w:rsid w:val="00454F17"/>
    <w:rsid w:val="004572BC"/>
    <w:rsid w:val="00460312"/>
    <w:rsid w:val="00462240"/>
    <w:rsid w:val="00462CFD"/>
    <w:rsid w:val="00463280"/>
    <w:rsid w:val="004641C7"/>
    <w:rsid w:val="00464DA2"/>
    <w:rsid w:val="00464E05"/>
    <w:rsid w:val="00464F12"/>
    <w:rsid w:val="00465939"/>
    <w:rsid w:val="00471103"/>
    <w:rsid w:val="004721C9"/>
    <w:rsid w:val="004724B9"/>
    <w:rsid w:val="004777E8"/>
    <w:rsid w:val="004777F7"/>
    <w:rsid w:val="0047783E"/>
    <w:rsid w:val="00477FCA"/>
    <w:rsid w:val="00480629"/>
    <w:rsid w:val="0048323F"/>
    <w:rsid w:val="0048574A"/>
    <w:rsid w:val="00486806"/>
    <w:rsid w:val="00487CB0"/>
    <w:rsid w:val="004902A1"/>
    <w:rsid w:val="0049132E"/>
    <w:rsid w:val="00491760"/>
    <w:rsid w:val="00491C80"/>
    <w:rsid w:val="00493E2E"/>
    <w:rsid w:val="00494E5C"/>
    <w:rsid w:val="00496C16"/>
    <w:rsid w:val="00497C8B"/>
    <w:rsid w:val="004A0DC7"/>
    <w:rsid w:val="004A3439"/>
    <w:rsid w:val="004A4DEB"/>
    <w:rsid w:val="004A5854"/>
    <w:rsid w:val="004A5D14"/>
    <w:rsid w:val="004A7909"/>
    <w:rsid w:val="004B22DF"/>
    <w:rsid w:val="004C1486"/>
    <w:rsid w:val="004D34D1"/>
    <w:rsid w:val="004D41A0"/>
    <w:rsid w:val="004D41B4"/>
    <w:rsid w:val="004D6454"/>
    <w:rsid w:val="004D662F"/>
    <w:rsid w:val="004D665F"/>
    <w:rsid w:val="004D6CD8"/>
    <w:rsid w:val="004E03DC"/>
    <w:rsid w:val="004E08C7"/>
    <w:rsid w:val="004E1A09"/>
    <w:rsid w:val="004E2CC3"/>
    <w:rsid w:val="004E4E27"/>
    <w:rsid w:val="004E50A2"/>
    <w:rsid w:val="004E56D0"/>
    <w:rsid w:val="004E5CEB"/>
    <w:rsid w:val="004E6DCA"/>
    <w:rsid w:val="004E707F"/>
    <w:rsid w:val="004E7F35"/>
    <w:rsid w:val="004F050B"/>
    <w:rsid w:val="004F0664"/>
    <w:rsid w:val="004F06D5"/>
    <w:rsid w:val="004F5FBE"/>
    <w:rsid w:val="004F7367"/>
    <w:rsid w:val="004F7E4C"/>
    <w:rsid w:val="004F7F22"/>
    <w:rsid w:val="00502514"/>
    <w:rsid w:val="00503429"/>
    <w:rsid w:val="0050374F"/>
    <w:rsid w:val="0050444E"/>
    <w:rsid w:val="00504A70"/>
    <w:rsid w:val="00504B7B"/>
    <w:rsid w:val="005052B2"/>
    <w:rsid w:val="0050665D"/>
    <w:rsid w:val="00511F36"/>
    <w:rsid w:val="005209A8"/>
    <w:rsid w:val="00525105"/>
    <w:rsid w:val="00525A81"/>
    <w:rsid w:val="00525AFF"/>
    <w:rsid w:val="00526525"/>
    <w:rsid w:val="00531734"/>
    <w:rsid w:val="005327A1"/>
    <w:rsid w:val="00535943"/>
    <w:rsid w:val="005363E6"/>
    <w:rsid w:val="00541C6D"/>
    <w:rsid w:val="005436B3"/>
    <w:rsid w:val="00543DD1"/>
    <w:rsid w:val="0055022F"/>
    <w:rsid w:val="005508B0"/>
    <w:rsid w:val="00553490"/>
    <w:rsid w:val="0055701E"/>
    <w:rsid w:val="0056061A"/>
    <w:rsid w:val="005607FD"/>
    <w:rsid w:val="00563F24"/>
    <w:rsid w:val="005656C8"/>
    <w:rsid w:val="00565F1C"/>
    <w:rsid w:val="005715D8"/>
    <w:rsid w:val="00572126"/>
    <w:rsid w:val="005775C5"/>
    <w:rsid w:val="00581FA5"/>
    <w:rsid w:val="00582990"/>
    <w:rsid w:val="00585433"/>
    <w:rsid w:val="00590F10"/>
    <w:rsid w:val="00594F8D"/>
    <w:rsid w:val="00596514"/>
    <w:rsid w:val="005A255B"/>
    <w:rsid w:val="005A374F"/>
    <w:rsid w:val="005B0350"/>
    <w:rsid w:val="005B15A8"/>
    <w:rsid w:val="005B1697"/>
    <w:rsid w:val="005B586A"/>
    <w:rsid w:val="005B5E31"/>
    <w:rsid w:val="005C0D2D"/>
    <w:rsid w:val="005C21A0"/>
    <w:rsid w:val="005C28AD"/>
    <w:rsid w:val="005C458E"/>
    <w:rsid w:val="005C535C"/>
    <w:rsid w:val="005D14BA"/>
    <w:rsid w:val="005D488E"/>
    <w:rsid w:val="005E02BD"/>
    <w:rsid w:val="005E1D01"/>
    <w:rsid w:val="005E1E33"/>
    <w:rsid w:val="005E1F50"/>
    <w:rsid w:val="005E3722"/>
    <w:rsid w:val="005F022A"/>
    <w:rsid w:val="005F3C82"/>
    <w:rsid w:val="005F4741"/>
    <w:rsid w:val="00604E37"/>
    <w:rsid w:val="00610F56"/>
    <w:rsid w:val="00611A6A"/>
    <w:rsid w:val="0061293A"/>
    <w:rsid w:val="006135D0"/>
    <w:rsid w:val="006138E1"/>
    <w:rsid w:val="00614FF4"/>
    <w:rsid w:val="006152EB"/>
    <w:rsid w:val="00615A9B"/>
    <w:rsid w:val="006228DF"/>
    <w:rsid w:val="00626716"/>
    <w:rsid w:val="00627BB6"/>
    <w:rsid w:val="006305FE"/>
    <w:rsid w:val="00634564"/>
    <w:rsid w:val="006354F8"/>
    <w:rsid w:val="00635D65"/>
    <w:rsid w:val="00640959"/>
    <w:rsid w:val="00641B23"/>
    <w:rsid w:val="0064321D"/>
    <w:rsid w:val="00647CFA"/>
    <w:rsid w:val="00650950"/>
    <w:rsid w:val="00652BCA"/>
    <w:rsid w:val="006532AF"/>
    <w:rsid w:val="006537C8"/>
    <w:rsid w:val="00661C26"/>
    <w:rsid w:val="0066221E"/>
    <w:rsid w:val="006642CD"/>
    <w:rsid w:val="0066497F"/>
    <w:rsid w:val="00664BAC"/>
    <w:rsid w:val="00664BD0"/>
    <w:rsid w:val="006707A9"/>
    <w:rsid w:val="00675115"/>
    <w:rsid w:val="006775E8"/>
    <w:rsid w:val="00680E10"/>
    <w:rsid w:val="0068519C"/>
    <w:rsid w:val="0068539C"/>
    <w:rsid w:val="00685B14"/>
    <w:rsid w:val="00686079"/>
    <w:rsid w:val="006862DB"/>
    <w:rsid w:val="006868ED"/>
    <w:rsid w:val="00687D66"/>
    <w:rsid w:val="00690ECD"/>
    <w:rsid w:val="00691765"/>
    <w:rsid w:val="006A036C"/>
    <w:rsid w:val="006A4466"/>
    <w:rsid w:val="006A5B93"/>
    <w:rsid w:val="006A68F8"/>
    <w:rsid w:val="006B0E41"/>
    <w:rsid w:val="006B5786"/>
    <w:rsid w:val="006B5DA0"/>
    <w:rsid w:val="006B63B7"/>
    <w:rsid w:val="006B6A03"/>
    <w:rsid w:val="006B79CD"/>
    <w:rsid w:val="006C4905"/>
    <w:rsid w:val="006C575E"/>
    <w:rsid w:val="006C7078"/>
    <w:rsid w:val="006C7DB7"/>
    <w:rsid w:val="006C7EAB"/>
    <w:rsid w:val="006D4250"/>
    <w:rsid w:val="006D54B6"/>
    <w:rsid w:val="006D669C"/>
    <w:rsid w:val="006D6852"/>
    <w:rsid w:val="006E004D"/>
    <w:rsid w:val="006E1444"/>
    <w:rsid w:val="006E184E"/>
    <w:rsid w:val="006E2DDA"/>
    <w:rsid w:val="006E3B26"/>
    <w:rsid w:val="006E40D5"/>
    <w:rsid w:val="006E46A0"/>
    <w:rsid w:val="006E513C"/>
    <w:rsid w:val="006F08A1"/>
    <w:rsid w:val="006F0CB8"/>
    <w:rsid w:val="006F676B"/>
    <w:rsid w:val="007017A4"/>
    <w:rsid w:val="00701BED"/>
    <w:rsid w:val="00703A80"/>
    <w:rsid w:val="00703D20"/>
    <w:rsid w:val="007078C8"/>
    <w:rsid w:val="00711C97"/>
    <w:rsid w:val="00713002"/>
    <w:rsid w:val="00714A42"/>
    <w:rsid w:val="00717DD5"/>
    <w:rsid w:val="0072082B"/>
    <w:rsid w:val="00722337"/>
    <w:rsid w:val="007229CF"/>
    <w:rsid w:val="00722ED5"/>
    <w:rsid w:val="00724564"/>
    <w:rsid w:val="00724B28"/>
    <w:rsid w:val="00725802"/>
    <w:rsid w:val="00727753"/>
    <w:rsid w:val="00727A79"/>
    <w:rsid w:val="0073099E"/>
    <w:rsid w:val="00730D5F"/>
    <w:rsid w:val="007322B0"/>
    <w:rsid w:val="0073335C"/>
    <w:rsid w:val="0073339C"/>
    <w:rsid w:val="00733627"/>
    <w:rsid w:val="00733714"/>
    <w:rsid w:val="00733F04"/>
    <w:rsid w:val="0073640B"/>
    <w:rsid w:val="007364C6"/>
    <w:rsid w:val="007366A4"/>
    <w:rsid w:val="00736EF9"/>
    <w:rsid w:val="00737D49"/>
    <w:rsid w:val="00743FEA"/>
    <w:rsid w:val="007466BC"/>
    <w:rsid w:val="007468B7"/>
    <w:rsid w:val="00747F30"/>
    <w:rsid w:val="00750A50"/>
    <w:rsid w:val="00750B1E"/>
    <w:rsid w:val="0075463E"/>
    <w:rsid w:val="007553DD"/>
    <w:rsid w:val="00757921"/>
    <w:rsid w:val="00757F49"/>
    <w:rsid w:val="00760986"/>
    <w:rsid w:val="00760BD6"/>
    <w:rsid w:val="00760D80"/>
    <w:rsid w:val="00766106"/>
    <w:rsid w:val="00766CE7"/>
    <w:rsid w:val="00767635"/>
    <w:rsid w:val="00771819"/>
    <w:rsid w:val="00772F5C"/>
    <w:rsid w:val="00774FC6"/>
    <w:rsid w:val="00776143"/>
    <w:rsid w:val="00784EF3"/>
    <w:rsid w:val="0078540D"/>
    <w:rsid w:val="007856D8"/>
    <w:rsid w:val="00786044"/>
    <w:rsid w:val="007872D4"/>
    <w:rsid w:val="00787790"/>
    <w:rsid w:val="00790C94"/>
    <w:rsid w:val="00790DF4"/>
    <w:rsid w:val="007916DA"/>
    <w:rsid w:val="00791C50"/>
    <w:rsid w:val="0079280D"/>
    <w:rsid w:val="0079522E"/>
    <w:rsid w:val="00795452"/>
    <w:rsid w:val="0079576D"/>
    <w:rsid w:val="007964A8"/>
    <w:rsid w:val="00796ECD"/>
    <w:rsid w:val="00797635"/>
    <w:rsid w:val="00797AE5"/>
    <w:rsid w:val="00797D9F"/>
    <w:rsid w:val="007A146B"/>
    <w:rsid w:val="007A2EA4"/>
    <w:rsid w:val="007A46DD"/>
    <w:rsid w:val="007A7463"/>
    <w:rsid w:val="007A74B6"/>
    <w:rsid w:val="007B0074"/>
    <w:rsid w:val="007B1B88"/>
    <w:rsid w:val="007B2A67"/>
    <w:rsid w:val="007B45F7"/>
    <w:rsid w:val="007B606C"/>
    <w:rsid w:val="007B60D5"/>
    <w:rsid w:val="007B67B2"/>
    <w:rsid w:val="007B6827"/>
    <w:rsid w:val="007C22EA"/>
    <w:rsid w:val="007C2389"/>
    <w:rsid w:val="007C45CE"/>
    <w:rsid w:val="007C519D"/>
    <w:rsid w:val="007C7F7B"/>
    <w:rsid w:val="007D0917"/>
    <w:rsid w:val="007D111C"/>
    <w:rsid w:val="007E0E7D"/>
    <w:rsid w:val="007E643C"/>
    <w:rsid w:val="007E765E"/>
    <w:rsid w:val="007F0F5D"/>
    <w:rsid w:val="007F1599"/>
    <w:rsid w:val="007F1EB0"/>
    <w:rsid w:val="007F6F46"/>
    <w:rsid w:val="008103B3"/>
    <w:rsid w:val="00815521"/>
    <w:rsid w:val="00815A98"/>
    <w:rsid w:val="00821048"/>
    <w:rsid w:val="008225FC"/>
    <w:rsid w:val="0082353B"/>
    <w:rsid w:val="00823F6A"/>
    <w:rsid w:val="00824475"/>
    <w:rsid w:val="00825F55"/>
    <w:rsid w:val="008271CB"/>
    <w:rsid w:val="0083106B"/>
    <w:rsid w:val="00833674"/>
    <w:rsid w:val="00834A87"/>
    <w:rsid w:val="0084097F"/>
    <w:rsid w:val="00841A04"/>
    <w:rsid w:val="00842F7F"/>
    <w:rsid w:val="00843E66"/>
    <w:rsid w:val="00845240"/>
    <w:rsid w:val="0084550C"/>
    <w:rsid w:val="0084755B"/>
    <w:rsid w:val="008500E0"/>
    <w:rsid w:val="008503D7"/>
    <w:rsid w:val="008504FE"/>
    <w:rsid w:val="00850F4C"/>
    <w:rsid w:val="00851E56"/>
    <w:rsid w:val="00855EC7"/>
    <w:rsid w:val="00857868"/>
    <w:rsid w:val="00860C80"/>
    <w:rsid w:val="008662E6"/>
    <w:rsid w:val="00870CD0"/>
    <w:rsid w:val="008711B1"/>
    <w:rsid w:val="0087136B"/>
    <w:rsid w:val="00873C17"/>
    <w:rsid w:val="00875785"/>
    <w:rsid w:val="00883002"/>
    <w:rsid w:val="008849C0"/>
    <w:rsid w:val="008867BC"/>
    <w:rsid w:val="0088695F"/>
    <w:rsid w:val="0089135E"/>
    <w:rsid w:val="00891A70"/>
    <w:rsid w:val="00895A64"/>
    <w:rsid w:val="008A4DA0"/>
    <w:rsid w:val="008A6056"/>
    <w:rsid w:val="008B267C"/>
    <w:rsid w:val="008B3139"/>
    <w:rsid w:val="008B5B9C"/>
    <w:rsid w:val="008C00F7"/>
    <w:rsid w:val="008C3DC0"/>
    <w:rsid w:val="008C44A9"/>
    <w:rsid w:val="008C60DE"/>
    <w:rsid w:val="008C739D"/>
    <w:rsid w:val="008D0DE3"/>
    <w:rsid w:val="008E5AD0"/>
    <w:rsid w:val="008F2286"/>
    <w:rsid w:val="008F37D4"/>
    <w:rsid w:val="008F3CF0"/>
    <w:rsid w:val="008F4229"/>
    <w:rsid w:val="008F598B"/>
    <w:rsid w:val="008F6D53"/>
    <w:rsid w:val="00900710"/>
    <w:rsid w:val="00900F5C"/>
    <w:rsid w:val="009025F9"/>
    <w:rsid w:val="0090346D"/>
    <w:rsid w:val="00903AA2"/>
    <w:rsid w:val="00904A45"/>
    <w:rsid w:val="00906556"/>
    <w:rsid w:val="00906E35"/>
    <w:rsid w:val="0090777E"/>
    <w:rsid w:val="009079EE"/>
    <w:rsid w:val="00916DBE"/>
    <w:rsid w:val="00920DEC"/>
    <w:rsid w:val="009226C0"/>
    <w:rsid w:val="00924FA4"/>
    <w:rsid w:val="0093002D"/>
    <w:rsid w:val="00930E3A"/>
    <w:rsid w:val="009339E5"/>
    <w:rsid w:val="009344EB"/>
    <w:rsid w:val="0093672E"/>
    <w:rsid w:val="00936DE7"/>
    <w:rsid w:val="0094044A"/>
    <w:rsid w:val="00940907"/>
    <w:rsid w:val="009452FE"/>
    <w:rsid w:val="00945AEA"/>
    <w:rsid w:val="00947AE6"/>
    <w:rsid w:val="00947CF9"/>
    <w:rsid w:val="00947DD6"/>
    <w:rsid w:val="00951FC1"/>
    <w:rsid w:val="00953714"/>
    <w:rsid w:val="00953E2A"/>
    <w:rsid w:val="00955A2F"/>
    <w:rsid w:val="00961294"/>
    <w:rsid w:val="00963547"/>
    <w:rsid w:val="0096365D"/>
    <w:rsid w:val="0096753C"/>
    <w:rsid w:val="00974007"/>
    <w:rsid w:val="009743FD"/>
    <w:rsid w:val="00974B2F"/>
    <w:rsid w:val="00975B92"/>
    <w:rsid w:val="00977837"/>
    <w:rsid w:val="009779F3"/>
    <w:rsid w:val="00983A7F"/>
    <w:rsid w:val="009843A1"/>
    <w:rsid w:val="00991359"/>
    <w:rsid w:val="00992920"/>
    <w:rsid w:val="00994121"/>
    <w:rsid w:val="00996FA7"/>
    <w:rsid w:val="009B3300"/>
    <w:rsid w:val="009B4774"/>
    <w:rsid w:val="009B5F67"/>
    <w:rsid w:val="009C00AC"/>
    <w:rsid w:val="009C42DD"/>
    <w:rsid w:val="009C7751"/>
    <w:rsid w:val="009D18D7"/>
    <w:rsid w:val="009D2788"/>
    <w:rsid w:val="009D3404"/>
    <w:rsid w:val="009E0DF9"/>
    <w:rsid w:val="009E1F4F"/>
    <w:rsid w:val="009E2211"/>
    <w:rsid w:val="009E3291"/>
    <w:rsid w:val="009E59BB"/>
    <w:rsid w:val="009E7439"/>
    <w:rsid w:val="009F07CC"/>
    <w:rsid w:val="009F1E74"/>
    <w:rsid w:val="009F23AC"/>
    <w:rsid w:val="009F3462"/>
    <w:rsid w:val="009F41DB"/>
    <w:rsid w:val="009F6684"/>
    <w:rsid w:val="009F74DA"/>
    <w:rsid w:val="00A009FF"/>
    <w:rsid w:val="00A00FD8"/>
    <w:rsid w:val="00A053F5"/>
    <w:rsid w:val="00A07925"/>
    <w:rsid w:val="00A135AD"/>
    <w:rsid w:val="00A13AD7"/>
    <w:rsid w:val="00A2085E"/>
    <w:rsid w:val="00A24507"/>
    <w:rsid w:val="00A24B33"/>
    <w:rsid w:val="00A26F28"/>
    <w:rsid w:val="00A27883"/>
    <w:rsid w:val="00A318F3"/>
    <w:rsid w:val="00A32A5E"/>
    <w:rsid w:val="00A332A4"/>
    <w:rsid w:val="00A33923"/>
    <w:rsid w:val="00A44551"/>
    <w:rsid w:val="00A452FF"/>
    <w:rsid w:val="00A64000"/>
    <w:rsid w:val="00A676F2"/>
    <w:rsid w:val="00A71B9B"/>
    <w:rsid w:val="00A721D1"/>
    <w:rsid w:val="00A7315A"/>
    <w:rsid w:val="00A73885"/>
    <w:rsid w:val="00A73F84"/>
    <w:rsid w:val="00A80235"/>
    <w:rsid w:val="00A84230"/>
    <w:rsid w:val="00A85DC7"/>
    <w:rsid w:val="00A87459"/>
    <w:rsid w:val="00A906FE"/>
    <w:rsid w:val="00A91720"/>
    <w:rsid w:val="00A91A3D"/>
    <w:rsid w:val="00A9402C"/>
    <w:rsid w:val="00A94155"/>
    <w:rsid w:val="00A95D50"/>
    <w:rsid w:val="00A95D9D"/>
    <w:rsid w:val="00A96D69"/>
    <w:rsid w:val="00AA06CF"/>
    <w:rsid w:val="00AA1D71"/>
    <w:rsid w:val="00AA2021"/>
    <w:rsid w:val="00AA33ED"/>
    <w:rsid w:val="00AA3AE5"/>
    <w:rsid w:val="00AB16FC"/>
    <w:rsid w:val="00AB2F66"/>
    <w:rsid w:val="00AB4711"/>
    <w:rsid w:val="00AB6234"/>
    <w:rsid w:val="00AB67B7"/>
    <w:rsid w:val="00AB703F"/>
    <w:rsid w:val="00AC0679"/>
    <w:rsid w:val="00AC3AE2"/>
    <w:rsid w:val="00AC456E"/>
    <w:rsid w:val="00AC4898"/>
    <w:rsid w:val="00AC57F2"/>
    <w:rsid w:val="00AC608D"/>
    <w:rsid w:val="00AD1FBD"/>
    <w:rsid w:val="00AD4024"/>
    <w:rsid w:val="00AD4407"/>
    <w:rsid w:val="00AD522A"/>
    <w:rsid w:val="00AD5AA7"/>
    <w:rsid w:val="00AD60D3"/>
    <w:rsid w:val="00AE2F1D"/>
    <w:rsid w:val="00AE575C"/>
    <w:rsid w:val="00AE6AC9"/>
    <w:rsid w:val="00AF07BA"/>
    <w:rsid w:val="00AF2BFD"/>
    <w:rsid w:val="00AF3858"/>
    <w:rsid w:val="00AF5A30"/>
    <w:rsid w:val="00AF7750"/>
    <w:rsid w:val="00B01261"/>
    <w:rsid w:val="00B113A6"/>
    <w:rsid w:val="00B12FE2"/>
    <w:rsid w:val="00B141CE"/>
    <w:rsid w:val="00B150C3"/>
    <w:rsid w:val="00B159BB"/>
    <w:rsid w:val="00B20193"/>
    <w:rsid w:val="00B20A5C"/>
    <w:rsid w:val="00B215A9"/>
    <w:rsid w:val="00B21A7D"/>
    <w:rsid w:val="00B31212"/>
    <w:rsid w:val="00B321C8"/>
    <w:rsid w:val="00B34614"/>
    <w:rsid w:val="00B34B4D"/>
    <w:rsid w:val="00B34CEB"/>
    <w:rsid w:val="00B35640"/>
    <w:rsid w:val="00B35E71"/>
    <w:rsid w:val="00B371CD"/>
    <w:rsid w:val="00B454C4"/>
    <w:rsid w:val="00B4663F"/>
    <w:rsid w:val="00B5184F"/>
    <w:rsid w:val="00B51913"/>
    <w:rsid w:val="00B52AF0"/>
    <w:rsid w:val="00B539AB"/>
    <w:rsid w:val="00B552DC"/>
    <w:rsid w:val="00B63178"/>
    <w:rsid w:val="00B645B7"/>
    <w:rsid w:val="00B66370"/>
    <w:rsid w:val="00B663CA"/>
    <w:rsid w:val="00B66BB8"/>
    <w:rsid w:val="00B705BC"/>
    <w:rsid w:val="00B7124D"/>
    <w:rsid w:val="00B74A84"/>
    <w:rsid w:val="00B76D58"/>
    <w:rsid w:val="00B809F9"/>
    <w:rsid w:val="00B80DFB"/>
    <w:rsid w:val="00B8169B"/>
    <w:rsid w:val="00B81DE8"/>
    <w:rsid w:val="00B830CF"/>
    <w:rsid w:val="00B843DC"/>
    <w:rsid w:val="00B844E0"/>
    <w:rsid w:val="00B93D87"/>
    <w:rsid w:val="00B93F89"/>
    <w:rsid w:val="00B9424C"/>
    <w:rsid w:val="00B97DF2"/>
    <w:rsid w:val="00BA24D1"/>
    <w:rsid w:val="00BA394E"/>
    <w:rsid w:val="00BA5A8A"/>
    <w:rsid w:val="00BA6169"/>
    <w:rsid w:val="00BB011D"/>
    <w:rsid w:val="00BB6536"/>
    <w:rsid w:val="00BB7AB5"/>
    <w:rsid w:val="00BC1715"/>
    <w:rsid w:val="00BC2063"/>
    <w:rsid w:val="00BC3E55"/>
    <w:rsid w:val="00BC40D4"/>
    <w:rsid w:val="00BC4A4B"/>
    <w:rsid w:val="00BC5564"/>
    <w:rsid w:val="00BC5829"/>
    <w:rsid w:val="00BD0240"/>
    <w:rsid w:val="00BD04C8"/>
    <w:rsid w:val="00BD5218"/>
    <w:rsid w:val="00BD547E"/>
    <w:rsid w:val="00BE1A83"/>
    <w:rsid w:val="00BE1AB0"/>
    <w:rsid w:val="00BE2D58"/>
    <w:rsid w:val="00BE3C19"/>
    <w:rsid w:val="00BE4CD4"/>
    <w:rsid w:val="00BE5248"/>
    <w:rsid w:val="00BE628C"/>
    <w:rsid w:val="00BF106B"/>
    <w:rsid w:val="00BF2D41"/>
    <w:rsid w:val="00BF378D"/>
    <w:rsid w:val="00BF682D"/>
    <w:rsid w:val="00C004FC"/>
    <w:rsid w:val="00C0054E"/>
    <w:rsid w:val="00C01D00"/>
    <w:rsid w:val="00C040F4"/>
    <w:rsid w:val="00C04C00"/>
    <w:rsid w:val="00C11C77"/>
    <w:rsid w:val="00C12F33"/>
    <w:rsid w:val="00C14C77"/>
    <w:rsid w:val="00C162DD"/>
    <w:rsid w:val="00C22638"/>
    <w:rsid w:val="00C22C88"/>
    <w:rsid w:val="00C250DA"/>
    <w:rsid w:val="00C268A7"/>
    <w:rsid w:val="00C309E1"/>
    <w:rsid w:val="00C312C6"/>
    <w:rsid w:val="00C33504"/>
    <w:rsid w:val="00C341F1"/>
    <w:rsid w:val="00C3554C"/>
    <w:rsid w:val="00C42043"/>
    <w:rsid w:val="00C43FF2"/>
    <w:rsid w:val="00C44CB1"/>
    <w:rsid w:val="00C46B24"/>
    <w:rsid w:val="00C4755D"/>
    <w:rsid w:val="00C50887"/>
    <w:rsid w:val="00C50B28"/>
    <w:rsid w:val="00C542DB"/>
    <w:rsid w:val="00C55455"/>
    <w:rsid w:val="00C55B9A"/>
    <w:rsid w:val="00C56514"/>
    <w:rsid w:val="00C56800"/>
    <w:rsid w:val="00C57BA2"/>
    <w:rsid w:val="00C60902"/>
    <w:rsid w:val="00C61295"/>
    <w:rsid w:val="00C659C6"/>
    <w:rsid w:val="00C66BE9"/>
    <w:rsid w:val="00C725B9"/>
    <w:rsid w:val="00C739F6"/>
    <w:rsid w:val="00C767F1"/>
    <w:rsid w:val="00C76D56"/>
    <w:rsid w:val="00C80854"/>
    <w:rsid w:val="00C81D0A"/>
    <w:rsid w:val="00C8351E"/>
    <w:rsid w:val="00C93433"/>
    <w:rsid w:val="00C949F1"/>
    <w:rsid w:val="00C972A5"/>
    <w:rsid w:val="00CA18D7"/>
    <w:rsid w:val="00CA6154"/>
    <w:rsid w:val="00CB1B9A"/>
    <w:rsid w:val="00CB2F18"/>
    <w:rsid w:val="00CB6A6F"/>
    <w:rsid w:val="00CC0705"/>
    <w:rsid w:val="00CC1C74"/>
    <w:rsid w:val="00CC267C"/>
    <w:rsid w:val="00CC6C09"/>
    <w:rsid w:val="00CC7FFC"/>
    <w:rsid w:val="00CD1A3E"/>
    <w:rsid w:val="00CD42D5"/>
    <w:rsid w:val="00CD4F4A"/>
    <w:rsid w:val="00CD58A8"/>
    <w:rsid w:val="00CD7BFF"/>
    <w:rsid w:val="00CE074F"/>
    <w:rsid w:val="00CE1DCD"/>
    <w:rsid w:val="00CE48E9"/>
    <w:rsid w:val="00CE6C59"/>
    <w:rsid w:val="00CF0719"/>
    <w:rsid w:val="00CF3006"/>
    <w:rsid w:val="00CF484A"/>
    <w:rsid w:val="00CF5C53"/>
    <w:rsid w:val="00CF6B14"/>
    <w:rsid w:val="00CF6F5E"/>
    <w:rsid w:val="00CF7518"/>
    <w:rsid w:val="00D055F2"/>
    <w:rsid w:val="00D05720"/>
    <w:rsid w:val="00D05FC2"/>
    <w:rsid w:val="00D10E3A"/>
    <w:rsid w:val="00D1193D"/>
    <w:rsid w:val="00D135E2"/>
    <w:rsid w:val="00D13753"/>
    <w:rsid w:val="00D15C17"/>
    <w:rsid w:val="00D15FB5"/>
    <w:rsid w:val="00D20530"/>
    <w:rsid w:val="00D22EEB"/>
    <w:rsid w:val="00D244E4"/>
    <w:rsid w:val="00D26030"/>
    <w:rsid w:val="00D26934"/>
    <w:rsid w:val="00D26CC2"/>
    <w:rsid w:val="00D278CC"/>
    <w:rsid w:val="00D3035E"/>
    <w:rsid w:val="00D32CDB"/>
    <w:rsid w:val="00D3341E"/>
    <w:rsid w:val="00D33D94"/>
    <w:rsid w:val="00D36929"/>
    <w:rsid w:val="00D372AB"/>
    <w:rsid w:val="00D40E77"/>
    <w:rsid w:val="00D42839"/>
    <w:rsid w:val="00D43066"/>
    <w:rsid w:val="00D457D8"/>
    <w:rsid w:val="00D46718"/>
    <w:rsid w:val="00D47E45"/>
    <w:rsid w:val="00D53A8E"/>
    <w:rsid w:val="00D54152"/>
    <w:rsid w:val="00D547F6"/>
    <w:rsid w:val="00D55320"/>
    <w:rsid w:val="00D62E34"/>
    <w:rsid w:val="00D63682"/>
    <w:rsid w:val="00D63DB8"/>
    <w:rsid w:val="00D665C4"/>
    <w:rsid w:val="00D67687"/>
    <w:rsid w:val="00D704E5"/>
    <w:rsid w:val="00D723DC"/>
    <w:rsid w:val="00D72DC9"/>
    <w:rsid w:val="00D74511"/>
    <w:rsid w:val="00D74537"/>
    <w:rsid w:val="00D76ABF"/>
    <w:rsid w:val="00D77D8C"/>
    <w:rsid w:val="00D81670"/>
    <w:rsid w:val="00D81BC6"/>
    <w:rsid w:val="00D8349D"/>
    <w:rsid w:val="00D83E7A"/>
    <w:rsid w:val="00D8514D"/>
    <w:rsid w:val="00D86CF1"/>
    <w:rsid w:val="00D932E0"/>
    <w:rsid w:val="00D93327"/>
    <w:rsid w:val="00D93D97"/>
    <w:rsid w:val="00D9453D"/>
    <w:rsid w:val="00D970B1"/>
    <w:rsid w:val="00DA04B2"/>
    <w:rsid w:val="00DA105F"/>
    <w:rsid w:val="00DA3780"/>
    <w:rsid w:val="00DA3ABD"/>
    <w:rsid w:val="00DA5A2A"/>
    <w:rsid w:val="00DA5DA7"/>
    <w:rsid w:val="00DB038A"/>
    <w:rsid w:val="00DB1E7E"/>
    <w:rsid w:val="00DB510A"/>
    <w:rsid w:val="00DB5A4B"/>
    <w:rsid w:val="00DB7F38"/>
    <w:rsid w:val="00DC1067"/>
    <w:rsid w:val="00DC2771"/>
    <w:rsid w:val="00DC281A"/>
    <w:rsid w:val="00DC467F"/>
    <w:rsid w:val="00DC583F"/>
    <w:rsid w:val="00DC592E"/>
    <w:rsid w:val="00DC6E2D"/>
    <w:rsid w:val="00DC7D24"/>
    <w:rsid w:val="00DD5A93"/>
    <w:rsid w:val="00DE0582"/>
    <w:rsid w:val="00DE2788"/>
    <w:rsid w:val="00DE29EC"/>
    <w:rsid w:val="00DE36EE"/>
    <w:rsid w:val="00DE3965"/>
    <w:rsid w:val="00DE6A16"/>
    <w:rsid w:val="00DE7E0D"/>
    <w:rsid w:val="00DF0206"/>
    <w:rsid w:val="00DF22BF"/>
    <w:rsid w:val="00DF2A04"/>
    <w:rsid w:val="00E03693"/>
    <w:rsid w:val="00E062AB"/>
    <w:rsid w:val="00E0779C"/>
    <w:rsid w:val="00E1070B"/>
    <w:rsid w:val="00E10820"/>
    <w:rsid w:val="00E1291C"/>
    <w:rsid w:val="00E13C4A"/>
    <w:rsid w:val="00E13D31"/>
    <w:rsid w:val="00E148E1"/>
    <w:rsid w:val="00E14F49"/>
    <w:rsid w:val="00E16261"/>
    <w:rsid w:val="00E16DDB"/>
    <w:rsid w:val="00E228A1"/>
    <w:rsid w:val="00E239CB"/>
    <w:rsid w:val="00E2419C"/>
    <w:rsid w:val="00E25516"/>
    <w:rsid w:val="00E2562D"/>
    <w:rsid w:val="00E27434"/>
    <w:rsid w:val="00E30346"/>
    <w:rsid w:val="00E303DD"/>
    <w:rsid w:val="00E308E5"/>
    <w:rsid w:val="00E3306F"/>
    <w:rsid w:val="00E33893"/>
    <w:rsid w:val="00E40853"/>
    <w:rsid w:val="00E40D7C"/>
    <w:rsid w:val="00E40E02"/>
    <w:rsid w:val="00E42707"/>
    <w:rsid w:val="00E42BC8"/>
    <w:rsid w:val="00E50C61"/>
    <w:rsid w:val="00E537E8"/>
    <w:rsid w:val="00E57B35"/>
    <w:rsid w:val="00E60D7D"/>
    <w:rsid w:val="00E63E1E"/>
    <w:rsid w:val="00E64541"/>
    <w:rsid w:val="00E668CD"/>
    <w:rsid w:val="00E67899"/>
    <w:rsid w:val="00E718E5"/>
    <w:rsid w:val="00E73653"/>
    <w:rsid w:val="00E73E00"/>
    <w:rsid w:val="00E763FC"/>
    <w:rsid w:val="00E77F02"/>
    <w:rsid w:val="00E77F5E"/>
    <w:rsid w:val="00E800EA"/>
    <w:rsid w:val="00E8083A"/>
    <w:rsid w:val="00E830D8"/>
    <w:rsid w:val="00E83707"/>
    <w:rsid w:val="00E906BB"/>
    <w:rsid w:val="00E91822"/>
    <w:rsid w:val="00E92AC2"/>
    <w:rsid w:val="00E94F8C"/>
    <w:rsid w:val="00E96AC6"/>
    <w:rsid w:val="00E96F5B"/>
    <w:rsid w:val="00EA47F9"/>
    <w:rsid w:val="00EB0395"/>
    <w:rsid w:val="00EB03F7"/>
    <w:rsid w:val="00EB0ECA"/>
    <w:rsid w:val="00EB12E7"/>
    <w:rsid w:val="00EB2DD6"/>
    <w:rsid w:val="00EB42E2"/>
    <w:rsid w:val="00EB7639"/>
    <w:rsid w:val="00EC0972"/>
    <w:rsid w:val="00EC1944"/>
    <w:rsid w:val="00EC2392"/>
    <w:rsid w:val="00EC33F6"/>
    <w:rsid w:val="00ED2D39"/>
    <w:rsid w:val="00ED3B28"/>
    <w:rsid w:val="00ED5E91"/>
    <w:rsid w:val="00ED7F05"/>
    <w:rsid w:val="00EE3259"/>
    <w:rsid w:val="00EE5AEF"/>
    <w:rsid w:val="00EE62B7"/>
    <w:rsid w:val="00EF2852"/>
    <w:rsid w:val="00EF3936"/>
    <w:rsid w:val="00EF4867"/>
    <w:rsid w:val="00EF4D27"/>
    <w:rsid w:val="00EF4E07"/>
    <w:rsid w:val="00EF50B9"/>
    <w:rsid w:val="00EF5A86"/>
    <w:rsid w:val="00EF79E8"/>
    <w:rsid w:val="00F005D2"/>
    <w:rsid w:val="00F01B4F"/>
    <w:rsid w:val="00F04E1B"/>
    <w:rsid w:val="00F05ACE"/>
    <w:rsid w:val="00F07957"/>
    <w:rsid w:val="00F12BD8"/>
    <w:rsid w:val="00F14435"/>
    <w:rsid w:val="00F1499E"/>
    <w:rsid w:val="00F16ADF"/>
    <w:rsid w:val="00F20722"/>
    <w:rsid w:val="00F20BD0"/>
    <w:rsid w:val="00F24116"/>
    <w:rsid w:val="00F24277"/>
    <w:rsid w:val="00F26104"/>
    <w:rsid w:val="00F31DCB"/>
    <w:rsid w:val="00F326BA"/>
    <w:rsid w:val="00F33561"/>
    <w:rsid w:val="00F35395"/>
    <w:rsid w:val="00F41B3E"/>
    <w:rsid w:val="00F446B1"/>
    <w:rsid w:val="00F50F29"/>
    <w:rsid w:val="00F5281F"/>
    <w:rsid w:val="00F53444"/>
    <w:rsid w:val="00F55EC6"/>
    <w:rsid w:val="00F56B27"/>
    <w:rsid w:val="00F56C87"/>
    <w:rsid w:val="00F57125"/>
    <w:rsid w:val="00F57DD3"/>
    <w:rsid w:val="00F604C2"/>
    <w:rsid w:val="00F613B2"/>
    <w:rsid w:val="00F6500F"/>
    <w:rsid w:val="00F65079"/>
    <w:rsid w:val="00F724EB"/>
    <w:rsid w:val="00F7372E"/>
    <w:rsid w:val="00F73D8B"/>
    <w:rsid w:val="00F7628A"/>
    <w:rsid w:val="00F763AC"/>
    <w:rsid w:val="00F774BB"/>
    <w:rsid w:val="00F8026B"/>
    <w:rsid w:val="00F81508"/>
    <w:rsid w:val="00F8234B"/>
    <w:rsid w:val="00F832F1"/>
    <w:rsid w:val="00F8629C"/>
    <w:rsid w:val="00F9151D"/>
    <w:rsid w:val="00F955FA"/>
    <w:rsid w:val="00F95A0D"/>
    <w:rsid w:val="00F9699C"/>
    <w:rsid w:val="00F976D8"/>
    <w:rsid w:val="00F97DE0"/>
    <w:rsid w:val="00FA0D4A"/>
    <w:rsid w:val="00FA4D66"/>
    <w:rsid w:val="00FA5719"/>
    <w:rsid w:val="00FA7819"/>
    <w:rsid w:val="00FA7F60"/>
    <w:rsid w:val="00FB1E60"/>
    <w:rsid w:val="00FC2A3A"/>
    <w:rsid w:val="00FC71FA"/>
    <w:rsid w:val="00FD04CC"/>
    <w:rsid w:val="00FD1EFF"/>
    <w:rsid w:val="00FD3361"/>
    <w:rsid w:val="00FD420A"/>
    <w:rsid w:val="00FD44C7"/>
    <w:rsid w:val="00FE2BC2"/>
    <w:rsid w:val="00FE3800"/>
    <w:rsid w:val="00FE4CE4"/>
    <w:rsid w:val="00FE5C3F"/>
    <w:rsid w:val="00FE7229"/>
    <w:rsid w:val="00FF047B"/>
    <w:rsid w:val="00FF0E7A"/>
    <w:rsid w:val="00FF2F44"/>
    <w:rsid w:val="00FF31E2"/>
    <w:rsid w:val="00FF383C"/>
    <w:rsid w:val="00FF795D"/>
    <w:rsid w:val="0187019F"/>
    <w:rsid w:val="019C3A5B"/>
    <w:rsid w:val="01CA309D"/>
    <w:rsid w:val="01F5773D"/>
    <w:rsid w:val="02002EE9"/>
    <w:rsid w:val="02013EE6"/>
    <w:rsid w:val="02551E4D"/>
    <w:rsid w:val="02CB6F24"/>
    <w:rsid w:val="02D0029A"/>
    <w:rsid w:val="02E1313A"/>
    <w:rsid w:val="03542C65"/>
    <w:rsid w:val="037E4F1E"/>
    <w:rsid w:val="039C33AC"/>
    <w:rsid w:val="047729AF"/>
    <w:rsid w:val="04AE4304"/>
    <w:rsid w:val="04EF71AC"/>
    <w:rsid w:val="050A3068"/>
    <w:rsid w:val="0537626A"/>
    <w:rsid w:val="05B24A66"/>
    <w:rsid w:val="05C4582E"/>
    <w:rsid w:val="05CB6A8A"/>
    <w:rsid w:val="05F34CD8"/>
    <w:rsid w:val="063D49DD"/>
    <w:rsid w:val="067C3A53"/>
    <w:rsid w:val="072C4046"/>
    <w:rsid w:val="07AA4591"/>
    <w:rsid w:val="07B535E0"/>
    <w:rsid w:val="082B4BF1"/>
    <w:rsid w:val="093F5BB3"/>
    <w:rsid w:val="09601082"/>
    <w:rsid w:val="097D04A4"/>
    <w:rsid w:val="09AC29D1"/>
    <w:rsid w:val="09F359DF"/>
    <w:rsid w:val="09FA125D"/>
    <w:rsid w:val="0A153332"/>
    <w:rsid w:val="0A185626"/>
    <w:rsid w:val="0A270394"/>
    <w:rsid w:val="0AB46DC1"/>
    <w:rsid w:val="0ACE0190"/>
    <w:rsid w:val="0B4779BC"/>
    <w:rsid w:val="0B640A67"/>
    <w:rsid w:val="0BFA06E0"/>
    <w:rsid w:val="0C133286"/>
    <w:rsid w:val="0C8217FE"/>
    <w:rsid w:val="0CDE7996"/>
    <w:rsid w:val="0D6C4EE7"/>
    <w:rsid w:val="0D8E65D7"/>
    <w:rsid w:val="0DAA3C49"/>
    <w:rsid w:val="0DB4514B"/>
    <w:rsid w:val="0DC558E3"/>
    <w:rsid w:val="0DF96229"/>
    <w:rsid w:val="0E1A65F5"/>
    <w:rsid w:val="0E450DFF"/>
    <w:rsid w:val="0EAE6EEE"/>
    <w:rsid w:val="0ECA64FB"/>
    <w:rsid w:val="0EE06B71"/>
    <w:rsid w:val="0EFE69FC"/>
    <w:rsid w:val="0F5A0062"/>
    <w:rsid w:val="0FA77648"/>
    <w:rsid w:val="0FB7763F"/>
    <w:rsid w:val="10D7795E"/>
    <w:rsid w:val="10DD5560"/>
    <w:rsid w:val="110C766A"/>
    <w:rsid w:val="11113C67"/>
    <w:rsid w:val="11316064"/>
    <w:rsid w:val="114F22B3"/>
    <w:rsid w:val="11FD28BD"/>
    <w:rsid w:val="12020165"/>
    <w:rsid w:val="1213343B"/>
    <w:rsid w:val="12E32FB8"/>
    <w:rsid w:val="12F572A6"/>
    <w:rsid w:val="13270227"/>
    <w:rsid w:val="133E6D45"/>
    <w:rsid w:val="139B65F9"/>
    <w:rsid w:val="13AA6D9D"/>
    <w:rsid w:val="13C221BC"/>
    <w:rsid w:val="14474482"/>
    <w:rsid w:val="14CC01E8"/>
    <w:rsid w:val="15205409"/>
    <w:rsid w:val="153E2C83"/>
    <w:rsid w:val="15D443D0"/>
    <w:rsid w:val="15E946DE"/>
    <w:rsid w:val="16016036"/>
    <w:rsid w:val="161831A0"/>
    <w:rsid w:val="1654072D"/>
    <w:rsid w:val="165C4E57"/>
    <w:rsid w:val="16677D7C"/>
    <w:rsid w:val="16B90402"/>
    <w:rsid w:val="17556323"/>
    <w:rsid w:val="17573026"/>
    <w:rsid w:val="17E51EC8"/>
    <w:rsid w:val="18330FA6"/>
    <w:rsid w:val="18662DD2"/>
    <w:rsid w:val="187162C0"/>
    <w:rsid w:val="188A3423"/>
    <w:rsid w:val="18D804A7"/>
    <w:rsid w:val="18E05574"/>
    <w:rsid w:val="18FA08FD"/>
    <w:rsid w:val="19171D96"/>
    <w:rsid w:val="197A0395"/>
    <w:rsid w:val="19AC7E22"/>
    <w:rsid w:val="19BD21C8"/>
    <w:rsid w:val="19C53690"/>
    <w:rsid w:val="19D51AE9"/>
    <w:rsid w:val="1AE81F5D"/>
    <w:rsid w:val="1B6537E2"/>
    <w:rsid w:val="1B7244BD"/>
    <w:rsid w:val="1BE27EE6"/>
    <w:rsid w:val="1CF53A0D"/>
    <w:rsid w:val="1D4275E4"/>
    <w:rsid w:val="1D4C21F5"/>
    <w:rsid w:val="1D582092"/>
    <w:rsid w:val="1D5D1266"/>
    <w:rsid w:val="1D961183"/>
    <w:rsid w:val="1DEB7F03"/>
    <w:rsid w:val="1E0B4F6B"/>
    <w:rsid w:val="1E1A0C70"/>
    <w:rsid w:val="1E240E1C"/>
    <w:rsid w:val="1EFF438F"/>
    <w:rsid w:val="1FEA15EC"/>
    <w:rsid w:val="21053439"/>
    <w:rsid w:val="21671937"/>
    <w:rsid w:val="21835A65"/>
    <w:rsid w:val="228E46C8"/>
    <w:rsid w:val="22BF29B1"/>
    <w:rsid w:val="22C21CF4"/>
    <w:rsid w:val="232E567D"/>
    <w:rsid w:val="23A508DF"/>
    <w:rsid w:val="24BE0FD7"/>
    <w:rsid w:val="24C70A83"/>
    <w:rsid w:val="256B6A3B"/>
    <w:rsid w:val="25B616B5"/>
    <w:rsid w:val="260322BC"/>
    <w:rsid w:val="26047A2A"/>
    <w:rsid w:val="26AD0832"/>
    <w:rsid w:val="26ED1E93"/>
    <w:rsid w:val="271C5BA4"/>
    <w:rsid w:val="27CE3B17"/>
    <w:rsid w:val="2840027A"/>
    <w:rsid w:val="28442C41"/>
    <w:rsid w:val="28AC169F"/>
    <w:rsid w:val="28CE1ECB"/>
    <w:rsid w:val="28F31C47"/>
    <w:rsid w:val="29154AED"/>
    <w:rsid w:val="29194DD1"/>
    <w:rsid w:val="29E31457"/>
    <w:rsid w:val="2A343F3C"/>
    <w:rsid w:val="2A696D09"/>
    <w:rsid w:val="2AB74084"/>
    <w:rsid w:val="2B7E66D9"/>
    <w:rsid w:val="2B9571D5"/>
    <w:rsid w:val="2BAB1998"/>
    <w:rsid w:val="2C0F3686"/>
    <w:rsid w:val="2C700639"/>
    <w:rsid w:val="2CCE530E"/>
    <w:rsid w:val="2CE70FD3"/>
    <w:rsid w:val="2D0245BE"/>
    <w:rsid w:val="2D9120F4"/>
    <w:rsid w:val="2DA33BFA"/>
    <w:rsid w:val="2E17218F"/>
    <w:rsid w:val="2E566C31"/>
    <w:rsid w:val="2FC55DB7"/>
    <w:rsid w:val="302C4784"/>
    <w:rsid w:val="303469AF"/>
    <w:rsid w:val="305278C0"/>
    <w:rsid w:val="30736524"/>
    <w:rsid w:val="30B16D64"/>
    <w:rsid w:val="30BF7FE9"/>
    <w:rsid w:val="314E7E92"/>
    <w:rsid w:val="315704C0"/>
    <w:rsid w:val="31925762"/>
    <w:rsid w:val="32851CA1"/>
    <w:rsid w:val="32856060"/>
    <w:rsid w:val="33463355"/>
    <w:rsid w:val="33A154C2"/>
    <w:rsid w:val="33F54F4C"/>
    <w:rsid w:val="345352E6"/>
    <w:rsid w:val="349A1FDF"/>
    <w:rsid w:val="34BB33D3"/>
    <w:rsid w:val="34BD6F26"/>
    <w:rsid w:val="34C87BC8"/>
    <w:rsid w:val="34E276E2"/>
    <w:rsid w:val="34E656A3"/>
    <w:rsid w:val="353A1CE4"/>
    <w:rsid w:val="35963945"/>
    <w:rsid w:val="35A01F62"/>
    <w:rsid w:val="35A9237D"/>
    <w:rsid w:val="35EA2330"/>
    <w:rsid w:val="360A2F28"/>
    <w:rsid w:val="362A6668"/>
    <w:rsid w:val="36480EEE"/>
    <w:rsid w:val="365E0EDE"/>
    <w:rsid w:val="36BE2F1E"/>
    <w:rsid w:val="36FE3D8D"/>
    <w:rsid w:val="372E0193"/>
    <w:rsid w:val="37424445"/>
    <w:rsid w:val="375F2F2B"/>
    <w:rsid w:val="37A10413"/>
    <w:rsid w:val="37C3294A"/>
    <w:rsid w:val="382E0A69"/>
    <w:rsid w:val="389E2204"/>
    <w:rsid w:val="395B356B"/>
    <w:rsid w:val="39751F15"/>
    <w:rsid w:val="39B84A60"/>
    <w:rsid w:val="3A37133B"/>
    <w:rsid w:val="3A845C58"/>
    <w:rsid w:val="3BA12D8C"/>
    <w:rsid w:val="3BCD0B88"/>
    <w:rsid w:val="3C0A15AA"/>
    <w:rsid w:val="3C3A4E77"/>
    <w:rsid w:val="3C9B3E58"/>
    <w:rsid w:val="3D196E3C"/>
    <w:rsid w:val="3DAB5A81"/>
    <w:rsid w:val="3DC90D6A"/>
    <w:rsid w:val="3DDD7AA6"/>
    <w:rsid w:val="3E2B7676"/>
    <w:rsid w:val="3E8407F6"/>
    <w:rsid w:val="3E8F3D9A"/>
    <w:rsid w:val="3F032076"/>
    <w:rsid w:val="3F2B1997"/>
    <w:rsid w:val="3F3821E2"/>
    <w:rsid w:val="3F394B68"/>
    <w:rsid w:val="3F7D3545"/>
    <w:rsid w:val="3FB26B3A"/>
    <w:rsid w:val="3FF070DB"/>
    <w:rsid w:val="40265B9D"/>
    <w:rsid w:val="40995F84"/>
    <w:rsid w:val="40F21DB5"/>
    <w:rsid w:val="40FD1F5D"/>
    <w:rsid w:val="41411601"/>
    <w:rsid w:val="416178FD"/>
    <w:rsid w:val="41AB0504"/>
    <w:rsid w:val="41BF4B22"/>
    <w:rsid w:val="41FC4DFC"/>
    <w:rsid w:val="42E40FAE"/>
    <w:rsid w:val="435E1B14"/>
    <w:rsid w:val="438C2AA4"/>
    <w:rsid w:val="43BB6D23"/>
    <w:rsid w:val="43ED308F"/>
    <w:rsid w:val="43FE74E1"/>
    <w:rsid w:val="440E0872"/>
    <w:rsid w:val="443B7363"/>
    <w:rsid w:val="445A224C"/>
    <w:rsid w:val="44891508"/>
    <w:rsid w:val="44AE0853"/>
    <w:rsid w:val="44B0762F"/>
    <w:rsid w:val="45254A1D"/>
    <w:rsid w:val="45471367"/>
    <w:rsid w:val="45641B2C"/>
    <w:rsid w:val="4605085D"/>
    <w:rsid w:val="46080204"/>
    <w:rsid w:val="46433267"/>
    <w:rsid w:val="4649614A"/>
    <w:rsid w:val="467C0BB9"/>
    <w:rsid w:val="46F72B80"/>
    <w:rsid w:val="4701607B"/>
    <w:rsid w:val="473F7C73"/>
    <w:rsid w:val="47BE6BB5"/>
    <w:rsid w:val="48250BD8"/>
    <w:rsid w:val="482F2E70"/>
    <w:rsid w:val="48CA7B79"/>
    <w:rsid w:val="49021A16"/>
    <w:rsid w:val="49520FBA"/>
    <w:rsid w:val="49971947"/>
    <w:rsid w:val="49E970C4"/>
    <w:rsid w:val="4A0660BE"/>
    <w:rsid w:val="4B122B68"/>
    <w:rsid w:val="4B1F6C56"/>
    <w:rsid w:val="4B2210D4"/>
    <w:rsid w:val="4B492900"/>
    <w:rsid w:val="4B520029"/>
    <w:rsid w:val="4B7F4E0A"/>
    <w:rsid w:val="4B8D4A5C"/>
    <w:rsid w:val="4BAC12CC"/>
    <w:rsid w:val="4C423D9A"/>
    <w:rsid w:val="4CA50215"/>
    <w:rsid w:val="4D2879E0"/>
    <w:rsid w:val="4D7B060E"/>
    <w:rsid w:val="4DCD34BB"/>
    <w:rsid w:val="4DD710A3"/>
    <w:rsid w:val="4DEE741B"/>
    <w:rsid w:val="4E32408B"/>
    <w:rsid w:val="4E6E2020"/>
    <w:rsid w:val="4EFA5F6D"/>
    <w:rsid w:val="4F1C6431"/>
    <w:rsid w:val="4F8F234F"/>
    <w:rsid w:val="50BE158C"/>
    <w:rsid w:val="511B34A5"/>
    <w:rsid w:val="51F74813"/>
    <w:rsid w:val="523C514F"/>
    <w:rsid w:val="52530D2A"/>
    <w:rsid w:val="52DF7AEA"/>
    <w:rsid w:val="52EC192C"/>
    <w:rsid w:val="53D44CA5"/>
    <w:rsid w:val="543910DB"/>
    <w:rsid w:val="545E0012"/>
    <w:rsid w:val="54983C71"/>
    <w:rsid w:val="54E928C9"/>
    <w:rsid w:val="54FB5FCE"/>
    <w:rsid w:val="55A841D4"/>
    <w:rsid w:val="55CD4E53"/>
    <w:rsid w:val="55FF51AF"/>
    <w:rsid w:val="563850F6"/>
    <w:rsid w:val="573505DE"/>
    <w:rsid w:val="57460AB3"/>
    <w:rsid w:val="57467CDD"/>
    <w:rsid w:val="57B55AD4"/>
    <w:rsid w:val="57EF258B"/>
    <w:rsid w:val="57F246A2"/>
    <w:rsid w:val="58625947"/>
    <w:rsid w:val="589225BF"/>
    <w:rsid w:val="59157A09"/>
    <w:rsid w:val="592077C9"/>
    <w:rsid w:val="59D30C4D"/>
    <w:rsid w:val="59DC7F03"/>
    <w:rsid w:val="5A282A4B"/>
    <w:rsid w:val="5A644DB0"/>
    <w:rsid w:val="5A7925B0"/>
    <w:rsid w:val="5AA409D4"/>
    <w:rsid w:val="5AD51553"/>
    <w:rsid w:val="5AEE37E5"/>
    <w:rsid w:val="5B2476A5"/>
    <w:rsid w:val="5B3F0E9D"/>
    <w:rsid w:val="5B8D148F"/>
    <w:rsid w:val="5B982101"/>
    <w:rsid w:val="5BF31742"/>
    <w:rsid w:val="5C036AE7"/>
    <w:rsid w:val="5C18262F"/>
    <w:rsid w:val="5C877C52"/>
    <w:rsid w:val="5CA83549"/>
    <w:rsid w:val="5CAA0F94"/>
    <w:rsid w:val="5CC503E8"/>
    <w:rsid w:val="5CC60189"/>
    <w:rsid w:val="5D0638AC"/>
    <w:rsid w:val="5D2D21BF"/>
    <w:rsid w:val="5D5768D7"/>
    <w:rsid w:val="5DB73164"/>
    <w:rsid w:val="5E426858"/>
    <w:rsid w:val="5E716381"/>
    <w:rsid w:val="5EB87CE4"/>
    <w:rsid w:val="5F3B7BAC"/>
    <w:rsid w:val="5FB97E88"/>
    <w:rsid w:val="608927C7"/>
    <w:rsid w:val="610B212E"/>
    <w:rsid w:val="61251218"/>
    <w:rsid w:val="613335BC"/>
    <w:rsid w:val="61763176"/>
    <w:rsid w:val="62111718"/>
    <w:rsid w:val="6223458D"/>
    <w:rsid w:val="62427A5F"/>
    <w:rsid w:val="624D5A27"/>
    <w:rsid w:val="635F0117"/>
    <w:rsid w:val="63A74721"/>
    <w:rsid w:val="63EE0C3A"/>
    <w:rsid w:val="640576E5"/>
    <w:rsid w:val="64BB2F53"/>
    <w:rsid w:val="64D51B98"/>
    <w:rsid w:val="64E365E9"/>
    <w:rsid w:val="657C3F13"/>
    <w:rsid w:val="65E10D52"/>
    <w:rsid w:val="66054D32"/>
    <w:rsid w:val="662B4ABC"/>
    <w:rsid w:val="66B20D2F"/>
    <w:rsid w:val="670E2B6A"/>
    <w:rsid w:val="673E5B7D"/>
    <w:rsid w:val="67433F0D"/>
    <w:rsid w:val="67C10558"/>
    <w:rsid w:val="67E17A17"/>
    <w:rsid w:val="68412AE4"/>
    <w:rsid w:val="68D43EFC"/>
    <w:rsid w:val="692739FF"/>
    <w:rsid w:val="69C37CF8"/>
    <w:rsid w:val="69EB3B55"/>
    <w:rsid w:val="6A8B390C"/>
    <w:rsid w:val="6ADC1376"/>
    <w:rsid w:val="6AFB532C"/>
    <w:rsid w:val="6BAB5F15"/>
    <w:rsid w:val="6C122D4F"/>
    <w:rsid w:val="6CC14A1B"/>
    <w:rsid w:val="6D247895"/>
    <w:rsid w:val="6D2D1834"/>
    <w:rsid w:val="6D3818D8"/>
    <w:rsid w:val="6DD97EC4"/>
    <w:rsid w:val="6E5206B6"/>
    <w:rsid w:val="6E8B5E2C"/>
    <w:rsid w:val="6EC8758E"/>
    <w:rsid w:val="6F3E357A"/>
    <w:rsid w:val="7092798C"/>
    <w:rsid w:val="709F6B59"/>
    <w:rsid w:val="70A27A0A"/>
    <w:rsid w:val="70BA6574"/>
    <w:rsid w:val="70E97230"/>
    <w:rsid w:val="70EA0C69"/>
    <w:rsid w:val="71164549"/>
    <w:rsid w:val="718B00C9"/>
    <w:rsid w:val="71965784"/>
    <w:rsid w:val="71CC54AC"/>
    <w:rsid w:val="723C0C05"/>
    <w:rsid w:val="727023A5"/>
    <w:rsid w:val="72782FDB"/>
    <w:rsid w:val="72913905"/>
    <w:rsid w:val="73245FBB"/>
    <w:rsid w:val="73942FF3"/>
    <w:rsid w:val="73B003BF"/>
    <w:rsid w:val="740263B4"/>
    <w:rsid w:val="74AE4DE2"/>
    <w:rsid w:val="74B67286"/>
    <w:rsid w:val="74D1748C"/>
    <w:rsid w:val="74D24F09"/>
    <w:rsid w:val="75021206"/>
    <w:rsid w:val="757301D5"/>
    <w:rsid w:val="75983025"/>
    <w:rsid w:val="76912ED0"/>
    <w:rsid w:val="769F4E14"/>
    <w:rsid w:val="77297EA3"/>
    <w:rsid w:val="772F43C0"/>
    <w:rsid w:val="77581F94"/>
    <w:rsid w:val="77A40B0D"/>
    <w:rsid w:val="77D30001"/>
    <w:rsid w:val="77F42899"/>
    <w:rsid w:val="781B242A"/>
    <w:rsid w:val="784E3E35"/>
    <w:rsid w:val="786276CA"/>
    <w:rsid w:val="78940E2F"/>
    <w:rsid w:val="78BA2472"/>
    <w:rsid w:val="78BF38F8"/>
    <w:rsid w:val="790E4A8A"/>
    <w:rsid w:val="79C82B21"/>
    <w:rsid w:val="79EC05D2"/>
    <w:rsid w:val="79F72FA5"/>
    <w:rsid w:val="7A1E3448"/>
    <w:rsid w:val="7A646009"/>
    <w:rsid w:val="7A6D33CE"/>
    <w:rsid w:val="7AAC7324"/>
    <w:rsid w:val="7B0B4058"/>
    <w:rsid w:val="7B12112A"/>
    <w:rsid w:val="7B5641E6"/>
    <w:rsid w:val="7B5F4DAE"/>
    <w:rsid w:val="7BBC21EB"/>
    <w:rsid w:val="7C033014"/>
    <w:rsid w:val="7C2D2B54"/>
    <w:rsid w:val="7C9A4184"/>
    <w:rsid w:val="7CD94362"/>
    <w:rsid w:val="7D0659A7"/>
    <w:rsid w:val="7D840DD2"/>
    <w:rsid w:val="7D911055"/>
    <w:rsid w:val="7D952517"/>
    <w:rsid w:val="7DA27367"/>
    <w:rsid w:val="7DCE5A6D"/>
    <w:rsid w:val="7EB066D1"/>
    <w:rsid w:val="7ECA4995"/>
    <w:rsid w:val="7EF97C34"/>
    <w:rsid w:val="7F1A05B2"/>
    <w:rsid w:val="7F5106A1"/>
    <w:rsid w:val="7F8F4500"/>
    <w:rsid w:val="7FDA24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08"/>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110"/>
    <w:qFormat/>
    <w:uiPriority w:val="0"/>
    <w:pPr>
      <w:keepNext/>
      <w:keepLines/>
      <w:spacing w:before="260" w:after="260" w:line="415" w:lineRule="auto"/>
      <w:outlineLvl w:val="1"/>
    </w:pPr>
    <w:rPr>
      <w:rFonts w:ascii="Arial" w:hAnsi="Arial" w:eastAsia="黑体"/>
      <w:b/>
      <w:bCs/>
      <w:sz w:val="32"/>
      <w:szCs w:val="32"/>
    </w:rPr>
  </w:style>
  <w:style w:type="paragraph" w:styleId="5">
    <w:name w:val="heading 3"/>
    <w:basedOn w:val="1"/>
    <w:next w:val="1"/>
    <w:link w:val="101"/>
    <w:qFormat/>
    <w:uiPriority w:val="0"/>
    <w:pPr>
      <w:keepNext/>
      <w:keepLines/>
      <w:spacing w:before="260" w:after="260" w:line="415" w:lineRule="auto"/>
      <w:outlineLvl w:val="2"/>
    </w:pPr>
    <w:rPr>
      <w:b/>
      <w:bCs/>
      <w:sz w:val="32"/>
      <w:szCs w:val="32"/>
    </w:rPr>
  </w:style>
  <w:style w:type="paragraph" w:styleId="6">
    <w:name w:val="heading 4"/>
    <w:basedOn w:val="1"/>
    <w:next w:val="1"/>
    <w:qFormat/>
    <w:uiPriority w:val="0"/>
    <w:pPr>
      <w:keepNext/>
      <w:keepLines/>
      <w:spacing w:before="280" w:after="290" w:line="374" w:lineRule="auto"/>
      <w:outlineLvl w:val="3"/>
    </w:pPr>
    <w:rPr>
      <w:rFonts w:ascii="Arial" w:hAnsi="Arial" w:eastAsia="黑体"/>
      <w:b/>
      <w:bCs/>
      <w:sz w:val="28"/>
      <w:szCs w:val="28"/>
    </w:rPr>
  </w:style>
  <w:style w:type="paragraph" w:styleId="7">
    <w:name w:val="heading 6"/>
    <w:basedOn w:val="1"/>
    <w:next w:val="1"/>
    <w:qFormat/>
    <w:uiPriority w:val="0"/>
    <w:pPr>
      <w:keepNext/>
      <w:keepLines/>
      <w:widowControl/>
      <w:tabs>
        <w:tab w:val="left" w:pos="1440"/>
      </w:tabs>
      <w:spacing w:before="240" w:after="64" w:line="319" w:lineRule="auto"/>
      <w:ind w:left="1152" w:hanging="1152"/>
      <w:jc w:val="left"/>
      <w:outlineLvl w:val="5"/>
    </w:pPr>
    <w:rPr>
      <w:rFonts w:ascii="Arial" w:hAnsi="Arial" w:eastAsia="黑体"/>
      <w:b/>
      <w:bCs/>
      <w:kern w:val="0"/>
      <w:sz w:val="24"/>
    </w:rPr>
  </w:style>
  <w:style w:type="paragraph" w:styleId="8">
    <w:name w:val="heading 7"/>
    <w:basedOn w:val="1"/>
    <w:next w:val="1"/>
    <w:qFormat/>
    <w:uiPriority w:val="9"/>
    <w:pPr>
      <w:keepNext/>
      <w:keepLines/>
      <w:widowControl/>
      <w:tabs>
        <w:tab w:val="left" w:pos="2520"/>
      </w:tabs>
      <w:spacing w:before="240" w:after="64" w:line="319" w:lineRule="auto"/>
      <w:ind w:left="1296" w:hanging="1296"/>
      <w:jc w:val="left"/>
      <w:outlineLvl w:val="6"/>
    </w:pPr>
    <w:rPr>
      <w:b/>
      <w:bCs/>
      <w:kern w:val="0"/>
      <w:sz w:val="24"/>
    </w:rPr>
  </w:style>
  <w:style w:type="paragraph" w:styleId="9">
    <w:name w:val="heading 8"/>
    <w:basedOn w:val="1"/>
    <w:next w:val="1"/>
    <w:qFormat/>
    <w:uiPriority w:val="9"/>
    <w:pPr>
      <w:keepNext/>
      <w:keepLines/>
      <w:widowControl/>
      <w:tabs>
        <w:tab w:val="left" w:pos="1440"/>
      </w:tabs>
      <w:spacing w:before="240" w:after="64" w:line="319" w:lineRule="auto"/>
      <w:ind w:left="1440" w:hanging="1440"/>
      <w:jc w:val="left"/>
      <w:outlineLvl w:val="7"/>
    </w:pPr>
    <w:rPr>
      <w:rFonts w:ascii="Arial" w:hAnsi="Arial" w:eastAsia="黑体"/>
      <w:kern w:val="0"/>
      <w:sz w:val="24"/>
    </w:rPr>
  </w:style>
  <w:style w:type="paragraph" w:styleId="10">
    <w:name w:val="heading 9"/>
    <w:basedOn w:val="1"/>
    <w:next w:val="1"/>
    <w:qFormat/>
    <w:uiPriority w:val="9"/>
    <w:pPr>
      <w:keepNext/>
      <w:keepLines/>
      <w:widowControl/>
      <w:tabs>
        <w:tab w:val="left" w:pos="1584"/>
      </w:tabs>
      <w:spacing w:before="240" w:after="64" w:line="319" w:lineRule="auto"/>
      <w:ind w:left="1584" w:hanging="1584"/>
      <w:jc w:val="left"/>
      <w:outlineLvl w:val="8"/>
    </w:pPr>
    <w:rPr>
      <w:rFonts w:ascii="Arial" w:hAnsi="Arial" w:eastAsia="黑体"/>
      <w:kern w:val="0"/>
      <w:szCs w:val="21"/>
    </w:rPr>
  </w:style>
  <w:style w:type="character" w:default="1" w:styleId="43">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styleId="2">
    <w:name w:val="Body Text First Indent"/>
    <w:basedOn w:val="1"/>
    <w:link w:val="107"/>
    <w:qFormat/>
    <w:uiPriority w:val="0"/>
    <w:pPr>
      <w:ind w:firstLine="420" w:firstLineChars="100"/>
    </w:pPr>
    <w:rPr>
      <w:rFonts w:ascii="ˎ̥" w:hAnsi="ˎ̥"/>
      <w:color w:val="51585D"/>
    </w:rPr>
  </w:style>
  <w:style w:type="paragraph" w:styleId="11">
    <w:name w:val="toc 7"/>
    <w:basedOn w:val="1"/>
    <w:next w:val="1"/>
    <w:qFormat/>
    <w:uiPriority w:val="39"/>
    <w:pPr>
      <w:ind w:left="1260"/>
      <w:jc w:val="left"/>
    </w:pPr>
    <w:rPr>
      <w:sz w:val="18"/>
      <w:szCs w:val="18"/>
    </w:rPr>
  </w:style>
  <w:style w:type="paragraph" w:styleId="12">
    <w:name w:val="Normal Indent"/>
    <w:basedOn w:val="1"/>
    <w:qFormat/>
    <w:uiPriority w:val="0"/>
    <w:pPr>
      <w:ind w:firstLine="420" w:firstLineChars="200"/>
    </w:pPr>
  </w:style>
  <w:style w:type="paragraph" w:styleId="13">
    <w:name w:val="Document Map"/>
    <w:basedOn w:val="1"/>
    <w:qFormat/>
    <w:uiPriority w:val="0"/>
    <w:pPr>
      <w:shd w:val="clear" w:color="auto" w:fill="000080"/>
    </w:pPr>
  </w:style>
  <w:style w:type="paragraph" w:styleId="14">
    <w:name w:val="annotation text"/>
    <w:basedOn w:val="1"/>
    <w:link w:val="91"/>
    <w:qFormat/>
    <w:uiPriority w:val="0"/>
    <w:pPr>
      <w:jc w:val="left"/>
    </w:pPr>
  </w:style>
  <w:style w:type="paragraph" w:styleId="15">
    <w:name w:val="Body Text 3"/>
    <w:basedOn w:val="1"/>
    <w:qFormat/>
    <w:uiPriority w:val="0"/>
    <w:rPr>
      <w:rFonts w:ascii="宋体"/>
      <w:sz w:val="24"/>
      <w:szCs w:val="20"/>
    </w:rPr>
  </w:style>
  <w:style w:type="paragraph" w:styleId="16">
    <w:name w:val="Body Text"/>
    <w:basedOn w:val="1"/>
    <w:next w:val="6"/>
    <w:qFormat/>
    <w:uiPriority w:val="0"/>
    <w:pPr>
      <w:spacing w:after="120"/>
    </w:pPr>
  </w:style>
  <w:style w:type="paragraph" w:styleId="17">
    <w:name w:val="Body Text Indent"/>
    <w:basedOn w:val="1"/>
    <w:qFormat/>
    <w:uiPriority w:val="0"/>
    <w:pPr>
      <w:spacing w:after="120"/>
      <w:ind w:left="420" w:leftChars="200"/>
    </w:pPr>
  </w:style>
  <w:style w:type="paragraph" w:styleId="18">
    <w:name w:val="List 2"/>
    <w:basedOn w:val="1"/>
    <w:qFormat/>
    <w:uiPriority w:val="0"/>
    <w:pPr>
      <w:autoSpaceDE w:val="0"/>
      <w:autoSpaceDN w:val="0"/>
      <w:adjustRightInd w:val="0"/>
      <w:spacing w:line="315" w:lineRule="atLeast"/>
      <w:ind w:left="200" w:leftChars="200" w:hanging="200" w:hangingChars="200"/>
      <w:jc w:val="left"/>
    </w:pPr>
    <w:rPr>
      <w:rFonts w:hint="eastAsia" w:ascii="昆仑楷体" w:eastAsia="昆仑楷体"/>
      <w:kern w:val="0"/>
      <w:sz w:val="30"/>
      <w:szCs w:val="20"/>
    </w:rPr>
  </w:style>
  <w:style w:type="paragraph" w:styleId="19">
    <w:name w:val="toc 5"/>
    <w:basedOn w:val="1"/>
    <w:next w:val="1"/>
    <w:qFormat/>
    <w:uiPriority w:val="39"/>
    <w:pPr>
      <w:ind w:left="840"/>
      <w:jc w:val="left"/>
    </w:pPr>
    <w:rPr>
      <w:sz w:val="18"/>
      <w:szCs w:val="18"/>
    </w:rPr>
  </w:style>
  <w:style w:type="paragraph" w:styleId="20">
    <w:name w:val="toc 3"/>
    <w:basedOn w:val="1"/>
    <w:next w:val="1"/>
    <w:qFormat/>
    <w:uiPriority w:val="39"/>
    <w:pPr>
      <w:ind w:left="420"/>
      <w:jc w:val="left"/>
    </w:pPr>
    <w:rPr>
      <w:i/>
      <w:iCs/>
      <w:sz w:val="20"/>
      <w:szCs w:val="20"/>
    </w:rPr>
  </w:style>
  <w:style w:type="paragraph" w:styleId="21">
    <w:name w:val="Plain Text"/>
    <w:basedOn w:val="1"/>
    <w:qFormat/>
    <w:uiPriority w:val="0"/>
    <w:rPr>
      <w:rFonts w:ascii="Courier New" w:hAnsi="Courier New"/>
      <w:szCs w:val="20"/>
    </w:rPr>
  </w:style>
  <w:style w:type="paragraph" w:styleId="22">
    <w:name w:val="toc 8"/>
    <w:basedOn w:val="1"/>
    <w:next w:val="1"/>
    <w:qFormat/>
    <w:uiPriority w:val="39"/>
    <w:pPr>
      <w:ind w:left="1470"/>
      <w:jc w:val="left"/>
    </w:pPr>
    <w:rPr>
      <w:sz w:val="18"/>
      <w:szCs w:val="18"/>
    </w:rPr>
  </w:style>
  <w:style w:type="paragraph" w:styleId="23">
    <w:name w:val="Date"/>
    <w:basedOn w:val="1"/>
    <w:next w:val="1"/>
    <w:qFormat/>
    <w:uiPriority w:val="0"/>
    <w:rPr>
      <w:sz w:val="24"/>
      <w:szCs w:val="20"/>
    </w:rPr>
  </w:style>
  <w:style w:type="paragraph" w:styleId="24">
    <w:name w:val="Body Text Indent 2"/>
    <w:basedOn w:val="1"/>
    <w:qFormat/>
    <w:uiPriority w:val="0"/>
    <w:pPr>
      <w:ind w:firstLine="480" w:firstLineChars="200"/>
    </w:pPr>
    <w:rPr>
      <w:sz w:val="24"/>
    </w:rPr>
  </w:style>
  <w:style w:type="paragraph" w:styleId="25">
    <w:name w:val="Balloon Text"/>
    <w:basedOn w:val="1"/>
    <w:qFormat/>
    <w:uiPriority w:val="0"/>
    <w:rPr>
      <w:sz w:val="18"/>
      <w:szCs w:val="18"/>
    </w:rPr>
  </w:style>
  <w:style w:type="paragraph" w:styleId="26">
    <w:name w:val="footer"/>
    <w:basedOn w:val="1"/>
    <w:qFormat/>
    <w:uiPriority w:val="0"/>
    <w:pPr>
      <w:tabs>
        <w:tab w:val="center" w:pos="4153"/>
        <w:tab w:val="right" w:pos="8306"/>
      </w:tabs>
      <w:snapToGrid w:val="0"/>
      <w:jc w:val="lef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before="120" w:after="120"/>
      <w:jc w:val="left"/>
    </w:pPr>
    <w:rPr>
      <w:b/>
      <w:bCs/>
      <w:caps/>
      <w:sz w:val="20"/>
      <w:szCs w:val="20"/>
    </w:rPr>
  </w:style>
  <w:style w:type="paragraph" w:styleId="29">
    <w:name w:val="toc 4"/>
    <w:basedOn w:val="1"/>
    <w:next w:val="1"/>
    <w:qFormat/>
    <w:uiPriority w:val="39"/>
    <w:pPr>
      <w:ind w:left="630"/>
      <w:jc w:val="left"/>
    </w:pPr>
    <w:rPr>
      <w:sz w:val="18"/>
      <w:szCs w:val="18"/>
    </w:rPr>
  </w:style>
  <w:style w:type="paragraph" w:styleId="30">
    <w:name w:val="index heading"/>
    <w:basedOn w:val="1"/>
    <w:next w:val="31"/>
    <w:qFormat/>
    <w:uiPriority w:val="0"/>
    <w:rPr>
      <w:szCs w:val="20"/>
    </w:rPr>
  </w:style>
  <w:style w:type="paragraph" w:styleId="31">
    <w:name w:val="index 1"/>
    <w:basedOn w:val="1"/>
    <w:next w:val="1"/>
    <w:qFormat/>
    <w:uiPriority w:val="0"/>
  </w:style>
  <w:style w:type="paragraph" w:styleId="32">
    <w:name w:val="footnote text"/>
    <w:basedOn w:val="1"/>
    <w:qFormat/>
    <w:uiPriority w:val="0"/>
    <w:rPr>
      <w:sz w:val="20"/>
      <w:szCs w:val="20"/>
    </w:rPr>
  </w:style>
  <w:style w:type="paragraph" w:styleId="33">
    <w:name w:val="toc 6"/>
    <w:basedOn w:val="1"/>
    <w:next w:val="1"/>
    <w:qFormat/>
    <w:uiPriority w:val="39"/>
    <w:pPr>
      <w:ind w:left="1050"/>
      <w:jc w:val="left"/>
    </w:pPr>
    <w:rPr>
      <w:sz w:val="18"/>
      <w:szCs w:val="18"/>
    </w:rPr>
  </w:style>
  <w:style w:type="paragraph" w:styleId="34">
    <w:name w:val="Body Text Indent 3"/>
    <w:basedOn w:val="1"/>
    <w:qFormat/>
    <w:uiPriority w:val="0"/>
    <w:pPr>
      <w:spacing w:after="120"/>
      <w:ind w:left="420" w:leftChars="200"/>
    </w:pPr>
    <w:rPr>
      <w:sz w:val="16"/>
      <w:szCs w:val="16"/>
    </w:rPr>
  </w:style>
  <w:style w:type="paragraph" w:styleId="35">
    <w:name w:val="table of figures"/>
    <w:basedOn w:val="1"/>
    <w:next w:val="1"/>
    <w:qFormat/>
    <w:uiPriority w:val="0"/>
    <w:pPr>
      <w:ind w:left="200" w:leftChars="200" w:hanging="200" w:hangingChars="200"/>
    </w:pPr>
  </w:style>
  <w:style w:type="paragraph" w:styleId="36">
    <w:name w:val="toc 2"/>
    <w:basedOn w:val="1"/>
    <w:next w:val="1"/>
    <w:qFormat/>
    <w:uiPriority w:val="39"/>
    <w:pPr>
      <w:ind w:left="210"/>
      <w:jc w:val="left"/>
    </w:pPr>
    <w:rPr>
      <w:smallCaps/>
      <w:sz w:val="20"/>
      <w:szCs w:val="20"/>
    </w:rPr>
  </w:style>
  <w:style w:type="paragraph" w:styleId="37">
    <w:name w:val="toc 9"/>
    <w:basedOn w:val="1"/>
    <w:next w:val="1"/>
    <w:qFormat/>
    <w:uiPriority w:val="39"/>
    <w:pPr>
      <w:ind w:left="1680"/>
      <w:jc w:val="left"/>
    </w:pPr>
    <w:rPr>
      <w:sz w:val="18"/>
      <w:szCs w:val="18"/>
    </w:rPr>
  </w:style>
  <w:style w:type="paragraph" w:styleId="38">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39">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0">
    <w:name w:val="annotation subject"/>
    <w:basedOn w:val="14"/>
    <w:next w:val="14"/>
    <w:qFormat/>
    <w:uiPriority w:val="0"/>
    <w:rPr>
      <w:b/>
      <w:bCs/>
    </w:rPr>
  </w:style>
  <w:style w:type="table" w:styleId="42">
    <w:name w:val="Table Grid"/>
    <w:basedOn w:val="4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4">
    <w:name w:val="Strong"/>
    <w:basedOn w:val="43"/>
    <w:qFormat/>
    <w:uiPriority w:val="0"/>
    <w:rPr>
      <w:b/>
      <w:bCs/>
    </w:rPr>
  </w:style>
  <w:style w:type="character" w:styleId="45">
    <w:name w:val="page number"/>
    <w:basedOn w:val="43"/>
    <w:qFormat/>
    <w:uiPriority w:val="0"/>
  </w:style>
  <w:style w:type="character" w:styleId="46">
    <w:name w:val="FollowedHyperlink"/>
    <w:qFormat/>
    <w:uiPriority w:val="0"/>
    <w:rPr>
      <w:color w:val="72ACE8"/>
      <w:u w:val="single"/>
    </w:rPr>
  </w:style>
  <w:style w:type="character" w:styleId="47">
    <w:name w:val="Emphasis"/>
    <w:qFormat/>
    <w:uiPriority w:val="0"/>
  </w:style>
  <w:style w:type="character" w:styleId="48">
    <w:name w:val="HTML Definition"/>
    <w:qFormat/>
    <w:uiPriority w:val="0"/>
  </w:style>
  <w:style w:type="character" w:styleId="49">
    <w:name w:val="HTML Variable"/>
    <w:qFormat/>
    <w:uiPriority w:val="0"/>
  </w:style>
  <w:style w:type="character" w:styleId="50">
    <w:name w:val="Hyperlink"/>
    <w:qFormat/>
    <w:uiPriority w:val="99"/>
    <w:rPr>
      <w:color w:val="000000"/>
      <w:u w:val="single"/>
    </w:rPr>
  </w:style>
  <w:style w:type="character" w:styleId="51">
    <w:name w:val="HTML Code"/>
    <w:qFormat/>
    <w:uiPriority w:val="0"/>
    <w:rPr>
      <w:rFonts w:hint="eastAsia" w:ascii="PingFang SC" w:hAnsi="PingFang SC" w:eastAsia="PingFang SC" w:cs="PingFang SC"/>
      <w:sz w:val="20"/>
    </w:rPr>
  </w:style>
  <w:style w:type="character" w:styleId="52">
    <w:name w:val="annotation reference"/>
    <w:qFormat/>
    <w:uiPriority w:val="0"/>
    <w:rPr>
      <w:sz w:val="21"/>
      <w:szCs w:val="21"/>
    </w:rPr>
  </w:style>
  <w:style w:type="character" w:styleId="53">
    <w:name w:val="HTML Cite"/>
    <w:qFormat/>
    <w:uiPriority w:val="0"/>
  </w:style>
  <w:style w:type="character" w:styleId="54">
    <w:name w:val="footnote reference"/>
    <w:qFormat/>
    <w:uiPriority w:val="0"/>
    <w:rPr>
      <w:vertAlign w:val="superscript"/>
    </w:rPr>
  </w:style>
  <w:style w:type="character" w:styleId="55">
    <w:name w:val="HTML Keyboard"/>
    <w:qFormat/>
    <w:uiPriority w:val="0"/>
    <w:rPr>
      <w:rFonts w:hint="default" w:ascii="PingFang SC" w:hAnsi="PingFang SC" w:eastAsia="PingFang SC" w:cs="PingFang SC"/>
      <w:sz w:val="20"/>
    </w:rPr>
  </w:style>
  <w:style w:type="character" w:styleId="56">
    <w:name w:val="HTML Sample"/>
    <w:qFormat/>
    <w:uiPriority w:val="0"/>
    <w:rPr>
      <w:rFonts w:hint="default" w:ascii="PingFang SC" w:hAnsi="PingFang SC" w:eastAsia="PingFang SC" w:cs="PingFang SC"/>
    </w:rPr>
  </w:style>
  <w:style w:type="paragraph" w:customStyle="1" w:styleId="57">
    <w:name w:val="reader-word-layer"/>
    <w:basedOn w:val="1"/>
    <w:qFormat/>
    <w:uiPriority w:val="0"/>
    <w:pPr>
      <w:widowControl/>
      <w:spacing w:before="100" w:beforeAutospacing="1" w:after="100" w:afterAutospacing="1"/>
      <w:jc w:val="left"/>
    </w:pPr>
    <w:rPr>
      <w:rFonts w:ascii="宋体" w:hAnsi="宋体" w:cs="宋体"/>
      <w:kern w:val="0"/>
      <w:sz w:val="24"/>
    </w:rPr>
  </w:style>
  <w:style w:type="paragraph" w:customStyle="1" w:styleId="58">
    <w:name w:val="标题 1_0"/>
    <w:basedOn w:val="1"/>
    <w:next w:val="1"/>
    <w:qFormat/>
    <w:uiPriority w:val="0"/>
    <w:pPr>
      <w:keepNext/>
      <w:keepLines/>
      <w:tabs>
        <w:tab w:val="left" w:pos="1955"/>
      </w:tabs>
      <w:spacing w:before="340" w:after="330" w:line="576" w:lineRule="auto"/>
      <w:ind w:left="1955" w:hanging="170"/>
      <w:outlineLvl w:val="0"/>
    </w:pPr>
    <w:rPr>
      <w:rFonts w:ascii="Calibri" w:hAnsi="Calibri"/>
      <w:b/>
      <w:bCs/>
      <w:kern w:val="44"/>
      <w:sz w:val="44"/>
      <w:szCs w:val="44"/>
    </w:rPr>
  </w:style>
  <w:style w:type="paragraph" w:customStyle="1" w:styleId="59">
    <w:name w:val="表格"/>
    <w:basedOn w:val="1"/>
    <w:qFormat/>
    <w:uiPriority w:val="0"/>
    <w:pPr>
      <w:jc w:val="center"/>
      <w:textAlignment w:val="center"/>
    </w:pPr>
    <w:rPr>
      <w:rFonts w:ascii="华文细黑" w:hAnsi="华文细黑"/>
      <w:kern w:val="0"/>
      <w:szCs w:val="20"/>
    </w:rPr>
  </w:style>
  <w:style w:type="paragraph" w:customStyle="1" w:styleId="60">
    <w:name w:val="1"/>
    <w:basedOn w:val="1"/>
    <w:next w:val="1"/>
    <w:qFormat/>
    <w:uiPriority w:val="0"/>
  </w:style>
  <w:style w:type="paragraph" w:customStyle="1" w:styleId="61">
    <w:name w:val="List Paragraph1"/>
    <w:basedOn w:val="1"/>
    <w:qFormat/>
    <w:uiPriority w:val="34"/>
    <w:pPr>
      <w:ind w:firstLine="420" w:firstLineChars="200"/>
    </w:pPr>
  </w:style>
  <w:style w:type="paragraph" w:customStyle="1" w:styleId="62">
    <w:name w:val="p5"/>
    <w:basedOn w:val="1"/>
    <w:qFormat/>
    <w:uiPriority w:val="0"/>
    <w:pPr>
      <w:widowControl/>
      <w:spacing w:before="100" w:beforeAutospacing="1" w:after="100" w:afterAutospacing="1"/>
      <w:ind w:firstLine="639"/>
      <w:jc w:val="left"/>
    </w:pPr>
    <w:rPr>
      <w:rFonts w:ascii="&amp;#20223" w:hAnsi="&amp;#20223" w:cs="宋体"/>
      <w:kern w:val="0"/>
      <w:sz w:val="32"/>
      <w:szCs w:val="32"/>
    </w:rPr>
  </w:style>
  <w:style w:type="paragraph" w:customStyle="1" w:styleId="63">
    <w:name w:val="样式 标题 3 + (中文) 黑体 小四 非加粗 段前: 7.8 磅 段后: 0 磅 行距: 固定值 20 磅"/>
    <w:basedOn w:val="5"/>
    <w:qFormat/>
    <w:uiPriority w:val="0"/>
    <w:pPr>
      <w:spacing w:before="0" w:after="0" w:line="400" w:lineRule="exact"/>
    </w:pPr>
    <w:rPr>
      <w:rFonts w:eastAsia="黑体" w:cs="宋体"/>
      <w:b w:val="0"/>
      <w:bCs w:val="0"/>
      <w:sz w:val="24"/>
      <w:szCs w:val="20"/>
    </w:rPr>
  </w:style>
  <w:style w:type="paragraph" w:customStyle="1" w:styleId="64">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65">
    <w:name w:val="pa-1"/>
    <w:basedOn w:val="1"/>
    <w:qFormat/>
    <w:uiPriority w:val="0"/>
    <w:pPr>
      <w:widowControl/>
      <w:spacing w:before="100" w:beforeAutospacing="1" w:after="100" w:afterAutospacing="1"/>
      <w:jc w:val="left"/>
    </w:pPr>
    <w:rPr>
      <w:rFonts w:ascii="宋体" w:hAnsi="宋体"/>
      <w:kern w:val="0"/>
      <w:sz w:val="24"/>
    </w:rPr>
  </w:style>
  <w:style w:type="paragraph" w:customStyle="1" w:styleId="66">
    <w:name w:val="样式2"/>
    <w:basedOn w:val="5"/>
    <w:qFormat/>
    <w:uiPriority w:val="0"/>
  </w:style>
  <w:style w:type="paragraph" w:customStyle="1" w:styleId="67">
    <w:name w:val="标题 4_0"/>
    <w:basedOn w:val="1"/>
    <w:next w:val="1"/>
    <w:qFormat/>
    <w:uiPriority w:val="0"/>
    <w:pPr>
      <w:keepNext/>
      <w:keepLines/>
      <w:tabs>
        <w:tab w:val="left" w:pos="1680"/>
      </w:tabs>
      <w:spacing w:before="280" w:after="290" w:line="377" w:lineRule="auto"/>
      <w:ind w:left="1680" w:hanging="420"/>
      <w:jc w:val="left"/>
      <w:outlineLvl w:val="3"/>
    </w:pPr>
    <w:rPr>
      <w:rFonts w:ascii="Cambria" w:hAnsi="Cambria" w:eastAsia="仿宋"/>
      <w:b/>
      <w:bCs/>
      <w:sz w:val="24"/>
      <w:szCs w:val="28"/>
    </w:rPr>
  </w:style>
  <w:style w:type="paragraph" w:customStyle="1" w:styleId="68">
    <w:name w:val="样式 标题 1 + 黑体 三号 非加粗 居中 段前: 6 磅 段后: 6 磅 行距: 固定值 20 磅"/>
    <w:basedOn w:val="3"/>
    <w:qFormat/>
    <w:uiPriority w:val="0"/>
    <w:pPr>
      <w:spacing w:before="120" w:after="120" w:line="400" w:lineRule="exact"/>
      <w:jc w:val="center"/>
    </w:pPr>
    <w:rPr>
      <w:rFonts w:ascii="黑体" w:hAnsi="黑体" w:eastAsia="黑体" w:cs="宋体"/>
      <w:b w:val="0"/>
      <w:bCs w:val="0"/>
      <w:sz w:val="32"/>
      <w:szCs w:val="20"/>
    </w:rPr>
  </w:style>
  <w:style w:type="paragraph" w:styleId="69">
    <w:name w:val="List Paragraph"/>
    <w:basedOn w:val="1"/>
    <w:qFormat/>
    <w:uiPriority w:val="0"/>
    <w:pPr>
      <w:ind w:firstLine="420" w:firstLineChars="200"/>
    </w:pPr>
    <w:rPr>
      <w:rFonts w:ascii="Calibri" w:hAnsi="Calibri"/>
      <w:szCs w:val="22"/>
    </w:rPr>
  </w:style>
  <w:style w:type="paragraph" w:customStyle="1" w:styleId="70">
    <w:name w:val="标题 2_0"/>
    <w:basedOn w:val="1"/>
    <w:next w:val="1"/>
    <w:qFormat/>
    <w:uiPriority w:val="0"/>
    <w:pPr>
      <w:keepNext/>
      <w:keepLines/>
      <w:tabs>
        <w:tab w:val="left" w:pos="840"/>
      </w:tabs>
      <w:spacing w:before="260" w:after="260" w:line="416" w:lineRule="auto"/>
      <w:ind w:left="840" w:hanging="420"/>
      <w:outlineLvl w:val="1"/>
    </w:pPr>
    <w:rPr>
      <w:rFonts w:ascii="Cambria" w:hAnsi="Cambria"/>
      <w:b/>
      <w:bCs/>
      <w:kern w:val="0"/>
      <w:sz w:val="32"/>
      <w:szCs w:val="32"/>
    </w:rPr>
  </w:style>
  <w:style w:type="paragraph" w:customStyle="1" w:styleId="7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72">
    <w:name w:val="Char"/>
    <w:basedOn w:val="1"/>
    <w:qFormat/>
    <w:uiPriority w:val="0"/>
    <w:pPr>
      <w:tabs>
        <w:tab w:val="left" w:pos="360"/>
      </w:tabs>
    </w:pPr>
    <w:rPr>
      <w:sz w:val="24"/>
    </w:rPr>
  </w:style>
  <w:style w:type="paragraph" w:customStyle="1" w:styleId="73">
    <w:name w:val="p7"/>
    <w:basedOn w:val="1"/>
    <w:qFormat/>
    <w:uiPriority w:val="0"/>
    <w:pPr>
      <w:spacing w:before="100" w:after="100"/>
      <w:ind w:left="420" w:hanging="420"/>
      <w:jc w:val="left"/>
    </w:pPr>
    <w:rPr>
      <w:rFonts w:ascii="微软雅黑" w:hAnsi="微软雅黑" w:eastAsia="微软雅黑"/>
      <w:kern w:val="0"/>
      <w:sz w:val="32"/>
      <w:szCs w:val="32"/>
    </w:rPr>
  </w:style>
  <w:style w:type="paragraph" w:customStyle="1" w:styleId="74">
    <w:name w:val="正文_0"/>
    <w:qFormat/>
    <w:uiPriority w:val="0"/>
    <w:pPr>
      <w:widowControl w:val="0"/>
      <w:jc w:val="both"/>
    </w:pPr>
    <w:rPr>
      <w:rFonts w:hint="eastAsia" w:ascii="Calibri" w:hAnsi="Calibri" w:eastAsia="宋体" w:cs="Times New Roman"/>
      <w:kern w:val="2"/>
      <w:sz w:val="21"/>
      <w:lang w:val="en-US" w:eastAsia="zh-CN" w:bidi="ar-SA"/>
    </w:rPr>
  </w:style>
  <w:style w:type="paragraph" w:customStyle="1" w:styleId="75">
    <w:name w:val="_Style 74"/>
    <w:basedOn w:val="3"/>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7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bCs w:val="0"/>
      <w:sz w:val="28"/>
      <w:szCs w:val="20"/>
    </w:rPr>
  </w:style>
  <w:style w:type="paragraph" w:customStyle="1" w:styleId="77">
    <w:name w:val="Char Char"/>
    <w:basedOn w:val="1"/>
    <w:qFormat/>
    <w:uiPriority w:val="0"/>
    <w:pPr>
      <w:widowControl/>
      <w:spacing w:before="100" w:beforeAutospacing="1" w:after="100" w:afterAutospacing="1" w:line="330" w:lineRule="atLeast"/>
      <w:ind w:left="360"/>
      <w:jc w:val="left"/>
    </w:pPr>
    <w:rPr>
      <w:rFonts w:ascii="ˎ̥" w:hAnsi="ˎ̥" w:cs="宋体"/>
      <w:color w:val="51585D"/>
      <w:kern w:val="0"/>
      <w:sz w:val="24"/>
      <w:szCs w:val="18"/>
    </w:rPr>
  </w:style>
  <w:style w:type="paragraph" w:customStyle="1" w:styleId="78">
    <w:name w:val="xl25"/>
    <w:basedOn w:val="1"/>
    <w:qFormat/>
    <w:uiPriority w:val="0"/>
    <w:pPr>
      <w:widowControl/>
      <w:pBdr>
        <w:bottom w:val="single" w:color="auto" w:sz="4" w:space="0"/>
        <w:right w:val="single" w:color="auto" w:sz="4" w:space="0"/>
      </w:pBdr>
      <w:spacing w:before="100" w:beforeAutospacing="1" w:after="100" w:afterAutospacing="1"/>
      <w:jc w:val="center"/>
    </w:pPr>
    <w:rPr>
      <w:rFonts w:ascii="宋体" w:hAnsi="宋体"/>
      <w:kern w:val="0"/>
      <w:szCs w:val="21"/>
    </w:rPr>
  </w:style>
  <w:style w:type="paragraph" w:customStyle="1" w:styleId="79">
    <w:name w:val="a docdefaults"/>
    <w:basedOn w:val="1"/>
    <w:qFormat/>
    <w:uiPriority w:val="0"/>
    <w:pPr>
      <w:widowControl/>
      <w:spacing w:before="100" w:beforeAutospacing="1" w:after="100" w:afterAutospacing="1"/>
      <w:jc w:val="left"/>
    </w:pPr>
    <w:rPr>
      <w:rFonts w:ascii="宋体" w:hAnsi="宋体" w:cs="宋体"/>
      <w:kern w:val="0"/>
      <w:sz w:val="24"/>
    </w:rPr>
  </w:style>
  <w:style w:type="paragraph" w:customStyle="1" w:styleId="80">
    <w:name w:val="段落文字"/>
    <w:basedOn w:val="1"/>
    <w:qFormat/>
    <w:uiPriority w:val="0"/>
    <w:pPr>
      <w:spacing w:line="360" w:lineRule="auto"/>
      <w:ind w:firstLine="200" w:firstLineChars="200"/>
    </w:pPr>
    <w:rPr>
      <w:rFonts w:cs="宋体"/>
      <w:sz w:val="24"/>
      <w:szCs w:val="20"/>
    </w:rPr>
  </w:style>
  <w:style w:type="paragraph" w:customStyle="1" w:styleId="81">
    <w:name w:val="样式3"/>
    <w:basedOn w:val="5"/>
    <w:qFormat/>
    <w:uiPriority w:val="0"/>
    <w:rPr>
      <w:rFonts w:eastAsia="Arial"/>
    </w:rPr>
  </w:style>
  <w:style w:type="paragraph" w:customStyle="1" w:styleId="82">
    <w:name w:val="表格文字"/>
    <w:basedOn w:val="1"/>
    <w:qFormat/>
    <w:uiPriority w:val="0"/>
    <w:pPr>
      <w:adjustRightInd w:val="0"/>
      <w:spacing w:line="420" w:lineRule="atLeast"/>
      <w:jc w:val="left"/>
      <w:textAlignment w:val="baseline"/>
    </w:pPr>
    <w:rPr>
      <w:kern w:val="0"/>
      <w:szCs w:val="20"/>
    </w:rPr>
  </w:style>
  <w:style w:type="paragraph" w:customStyle="1" w:styleId="83">
    <w:name w:val="样式1"/>
    <w:basedOn w:val="5"/>
    <w:qFormat/>
    <w:uiPriority w:val="0"/>
    <w:rPr>
      <w:rFonts w:eastAsia="Arial"/>
    </w:rPr>
  </w:style>
  <w:style w:type="paragraph" w:customStyle="1" w:styleId="84">
    <w:name w:val="样式4"/>
    <w:basedOn w:val="5"/>
    <w:qFormat/>
    <w:uiPriority w:val="0"/>
    <w:rPr>
      <w:rFonts w:eastAsia="Arial"/>
    </w:rPr>
  </w:style>
  <w:style w:type="paragraph" w:customStyle="1" w:styleId="85">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86">
    <w:name w:val="标题 3_0"/>
    <w:basedOn w:val="1"/>
    <w:next w:val="1"/>
    <w:qFormat/>
    <w:uiPriority w:val="0"/>
    <w:pPr>
      <w:keepNext/>
      <w:keepLines/>
      <w:tabs>
        <w:tab w:val="left" w:pos="1260"/>
      </w:tabs>
      <w:spacing w:before="260" w:after="260" w:line="416" w:lineRule="auto"/>
      <w:ind w:left="1260" w:hanging="420"/>
      <w:outlineLvl w:val="2"/>
    </w:pPr>
    <w:rPr>
      <w:rFonts w:ascii="Calibri" w:hAnsi="Calibri" w:eastAsia="仿宋"/>
      <w:b/>
      <w:bCs/>
      <w:sz w:val="24"/>
      <w:szCs w:val="32"/>
    </w:rPr>
  </w:style>
  <w:style w:type="character" w:customStyle="1" w:styleId="87">
    <w:name w:val="Char Char7"/>
    <w:qFormat/>
    <w:uiPriority w:val="0"/>
    <w:rPr>
      <w:rFonts w:ascii="Arial" w:hAnsi="Arial" w:eastAsia="黑体"/>
      <w:b/>
      <w:bCs/>
      <w:kern w:val="2"/>
      <w:sz w:val="32"/>
      <w:szCs w:val="32"/>
      <w:lang w:val="en-US" w:eastAsia="zh-CN" w:bidi="ar-SA"/>
    </w:rPr>
  </w:style>
  <w:style w:type="character" w:customStyle="1" w:styleId="88">
    <w:name w:val="Char Char8"/>
    <w:qFormat/>
    <w:uiPriority w:val="0"/>
    <w:rPr>
      <w:rFonts w:ascii="Arial" w:hAnsi="Arial" w:eastAsia="黑体"/>
      <w:b/>
      <w:bCs/>
      <w:kern w:val="2"/>
      <w:sz w:val="32"/>
      <w:szCs w:val="32"/>
      <w:lang w:val="en-US" w:eastAsia="zh-CN" w:bidi="ar-SA"/>
    </w:rPr>
  </w:style>
  <w:style w:type="character" w:customStyle="1" w:styleId="89">
    <w:name w:val="first-child"/>
    <w:qFormat/>
    <w:uiPriority w:val="0"/>
    <w:rPr>
      <w:vanish/>
    </w:rPr>
  </w:style>
  <w:style w:type="character" w:customStyle="1" w:styleId="90">
    <w:name w:val="num"/>
    <w:qFormat/>
    <w:uiPriority w:val="0"/>
    <w:rPr>
      <w:b/>
      <w:color w:val="FF7800"/>
    </w:rPr>
  </w:style>
  <w:style w:type="character" w:customStyle="1" w:styleId="91">
    <w:name w:val="批注文字 字符"/>
    <w:link w:val="14"/>
    <w:qFormat/>
    <w:uiPriority w:val="0"/>
    <w:rPr>
      <w:rFonts w:eastAsia="宋体"/>
      <w:kern w:val="2"/>
      <w:sz w:val="21"/>
      <w:szCs w:val="24"/>
      <w:lang w:val="en-US" w:eastAsia="zh-CN" w:bidi="ar-SA"/>
    </w:rPr>
  </w:style>
  <w:style w:type="character" w:customStyle="1" w:styleId="92">
    <w:name w:val="edui-clickable2"/>
    <w:qFormat/>
    <w:uiPriority w:val="0"/>
    <w:rPr>
      <w:color w:val="0000FF"/>
      <w:u w:val="single"/>
    </w:rPr>
  </w:style>
  <w:style w:type="character" w:customStyle="1" w:styleId="93">
    <w:name w:val="标题 2 字符"/>
    <w:qFormat/>
    <w:uiPriority w:val="0"/>
    <w:rPr>
      <w:rFonts w:ascii="Arial" w:hAnsi="Arial" w:eastAsia="黑体" w:cs="宋体"/>
      <w:b/>
      <w:bCs/>
      <w:color w:val="51585D"/>
      <w:kern w:val="2"/>
      <w:sz w:val="32"/>
      <w:szCs w:val="32"/>
    </w:rPr>
  </w:style>
  <w:style w:type="character" w:customStyle="1" w:styleId="94">
    <w:name w:val="Char Char2"/>
    <w:qFormat/>
    <w:uiPriority w:val="0"/>
    <w:rPr>
      <w:rFonts w:eastAsia="宋体"/>
      <w:kern w:val="2"/>
      <w:sz w:val="21"/>
      <w:szCs w:val="24"/>
      <w:lang w:val="en-US" w:eastAsia="zh-CN" w:bidi="ar-SA"/>
    </w:rPr>
  </w:style>
  <w:style w:type="character" w:customStyle="1" w:styleId="95">
    <w:name w:val="mc_3_0"/>
    <w:basedOn w:val="43"/>
    <w:qFormat/>
    <w:uiPriority w:val="0"/>
  </w:style>
  <w:style w:type="character" w:customStyle="1" w:styleId="96">
    <w:name w:val="wuidatespan"/>
    <w:basedOn w:val="43"/>
    <w:qFormat/>
    <w:uiPriority w:val="0"/>
  </w:style>
  <w:style w:type="character" w:customStyle="1" w:styleId="97">
    <w:name w:val="apple-converted-space"/>
    <w:basedOn w:val="43"/>
    <w:qFormat/>
    <w:uiPriority w:val="0"/>
  </w:style>
  <w:style w:type="character" w:customStyle="1" w:styleId="98">
    <w:name w:val="edui-unclickable"/>
    <w:qFormat/>
    <w:uiPriority w:val="0"/>
    <w:rPr>
      <w:color w:val="808080"/>
    </w:rPr>
  </w:style>
  <w:style w:type="character" w:customStyle="1" w:styleId="99">
    <w:name w:val="s11"/>
    <w:qFormat/>
    <w:uiPriority w:val="0"/>
    <w:rPr>
      <w:rFonts w:ascii="ˎ̥" w:hAnsi="ˎ̥" w:cs="宋体"/>
      <w:b/>
      <w:color w:val="51585D"/>
      <w:kern w:val="0"/>
      <w:sz w:val="24"/>
      <w:szCs w:val="18"/>
    </w:rPr>
  </w:style>
  <w:style w:type="character" w:customStyle="1" w:styleId="100">
    <w:name w:val="s31"/>
    <w:qFormat/>
    <w:uiPriority w:val="0"/>
    <w:rPr>
      <w:rFonts w:ascii="ˎ̥" w:hAnsi="ˎ̥" w:cs="宋体"/>
      <w:b/>
      <w:bCs/>
      <w:color w:val="000000"/>
      <w:kern w:val="0"/>
      <w:sz w:val="24"/>
      <w:szCs w:val="18"/>
    </w:rPr>
  </w:style>
  <w:style w:type="character" w:customStyle="1" w:styleId="101">
    <w:name w:val="标题 3 字符"/>
    <w:link w:val="5"/>
    <w:qFormat/>
    <w:uiPriority w:val="0"/>
    <w:rPr>
      <w:rFonts w:eastAsia="宋体"/>
      <w:b/>
      <w:bCs/>
      <w:kern w:val="2"/>
      <w:sz w:val="32"/>
      <w:szCs w:val="32"/>
      <w:lang w:val="en-US" w:eastAsia="zh-CN" w:bidi="ar-SA"/>
    </w:rPr>
  </w:style>
  <w:style w:type="character" w:customStyle="1" w:styleId="102">
    <w:name w:val="release-day"/>
    <w:qFormat/>
    <w:uiPriority w:val="0"/>
    <w:rPr>
      <w:bdr w:val="single" w:color="BDEBB0" w:sz="6" w:space="0"/>
      <w:shd w:val="clear" w:color="auto" w:fill="F5FFF1"/>
    </w:rPr>
  </w:style>
  <w:style w:type="character" w:customStyle="1" w:styleId="103">
    <w:name w:val="font161"/>
    <w:qFormat/>
    <w:uiPriority w:val="0"/>
    <w:rPr>
      <w:b/>
      <w:bCs/>
      <w:sz w:val="32"/>
      <w:szCs w:val="32"/>
    </w:rPr>
  </w:style>
  <w:style w:type="character" w:customStyle="1" w:styleId="104">
    <w:name w:val="answer-title12"/>
    <w:basedOn w:val="43"/>
    <w:qFormat/>
    <w:uiPriority w:val="0"/>
  </w:style>
  <w:style w:type="character" w:customStyle="1" w:styleId="105">
    <w:name w:val="s41"/>
    <w:basedOn w:val="43"/>
    <w:qFormat/>
    <w:uiPriority w:val="0"/>
  </w:style>
  <w:style w:type="character" w:customStyle="1" w:styleId="106">
    <w:name w:val="Char Char1"/>
    <w:qFormat/>
    <w:uiPriority w:val="0"/>
    <w:rPr>
      <w:rFonts w:ascii="Arial" w:hAnsi="Arial" w:eastAsia="黑体"/>
      <w:b/>
      <w:bCs/>
      <w:kern w:val="2"/>
      <w:sz w:val="32"/>
      <w:szCs w:val="32"/>
      <w:lang w:val="en-US" w:eastAsia="zh-CN" w:bidi="ar-SA"/>
    </w:rPr>
  </w:style>
  <w:style w:type="character" w:customStyle="1" w:styleId="107">
    <w:name w:val="正文文本首行缩进 字符"/>
    <w:link w:val="2"/>
    <w:qFormat/>
    <w:uiPriority w:val="0"/>
    <w:rPr>
      <w:rFonts w:ascii="ˎ̥" w:hAnsi="ˎ̥" w:cs="宋体"/>
      <w:color w:val="51585D"/>
      <w:kern w:val="2"/>
      <w:sz w:val="21"/>
      <w:szCs w:val="24"/>
    </w:rPr>
  </w:style>
  <w:style w:type="character" w:customStyle="1" w:styleId="108">
    <w:name w:val="标题 1 字符"/>
    <w:link w:val="3"/>
    <w:qFormat/>
    <w:uiPriority w:val="0"/>
    <w:rPr>
      <w:rFonts w:eastAsia="宋体"/>
      <w:b/>
      <w:bCs/>
      <w:kern w:val="44"/>
      <w:sz w:val="44"/>
      <w:szCs w:val="44"/>
      <w:lang w:val="en-US" w:eastAsia="zh-CN" w:bidi="ar-SA"/>
    </w:rPr>
  </w:style>
  <w:style w:type="character" w:customStyle="1" w:styleId="109">
    <w:name w:val="a0"/>
    <w:basedOn w:val="43"/>
    <w:qFormat/>
    <w:uiPriority w:val="0"/>
  </w:style>
  <w:style w:type="character" w:customStyle="1" w:styleId="110">
    <w:name w:val="标题 2 字符1"/>
    <w:link w:val="4"/>
    <w:qFormat/>
    <w:uiPriority w:val="0"/>
    <w:rPr>
      <w:rFonts w:ascii="Arial" w:hAnsi="Arial" w:eastAsia="黑体"/>
      <w:b/>
      <w:bCs/>
      <w:kern w:val="2"/>
      <w:sz w:val="32"/>
      <w:szCs w:val="32"/>
      <w:lang w:val="en-US" w:eastAsia="zh-CN" w:bidi="ar-SA"/>
    </w:rPr>
  </w:style>
  <w:style w:type="character" w:customStyle="1" w:styleId="111">
    <w:name w:val="href"/>
    <w:qFormat/>
    <w:uiPriority w:val="0"/>
    <w:rPr>
      <w:color w:val="0000FF"/>
      <w:u w:val="single"/>
    </w:rPr>
  </w:style>
  <w:style w:type="character" w:customStyle="1" w:styleId="112">
    <w:name w:val="ca-2"/>
    <w:basedOn w:val="43"/>
    <w:qFormat/>
    <w:uiPriority w:val="0"/>
  </w:style>
  <w:style w:type="character" w:customStyle="1" w:styleId="113">
    <w:name w:val="legend"/>
    <w:qFormat/>
    <w:uiPriority w:val="0"/>
    <w:rPr>
      <w:rFonts w:ascii="Arial" w:hAnsi="Arial" w:cs="Arial"/>
      <w:b/>
      <w:color w:val="73B304"/>
      <w:sz w:val="21"/>
      <w:szCs w:val="21"/>
      <w:shd w:val="clear" w:color="auto" w:fill="FFFFFF"/>
    </w:rPr>
  </w:style>
  <w:style w:type="paragraph" w:customStyle="1" w:styleId="114">
    <w:name w:val="正文00"/>
    <w:basedOn w:val="1"/>
    <w:qFormat/>
    <w:uiPriority w:val="0"/>
    <w:pPr>
      <w:topLinePunct/>
      <w:spacing w:line="360" w:lineRule="auto"/>
      <w:ind w:firstLine="200" w:firstLineChars="200"/>
    </w:pPr>
    <w:rPr>
      <w:sz w:val="24"/>
      <w:szCs w:val="21"/>
    </w:rPr>
  </w:style>
  <w:style w:type="paragraph" w:customStyle="1" w:styleId="115">
    <w:name w:val="Table Paragraph"/>
    <w:basedOn w:val="1"/>
    <w:qFormat/>
    <w:uiPriority w:val="1"/>
    <w:pPr>
      <w:autoSpaceDE w:val="0"/>
      <w:autoSpaceDN w:val="0"/>
    </w:pPr>
    <w:rPr>
      <w:rFonts w:ascii="宋体" w:hAnsi="宋体" w:cs="宋体"/>
      <w:sz w:val="22"/>
      <w:szCs w:val="22"/>
      <w:lang w:val="zh-CN" w:bidi="zh-CN"/>
    </w:rPr>
  </w:style>
  <w:style w:type="paragraph" w:customStyle="1" w:styleId="116">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17">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59</Pages>
  <Words>28650</Words>
  <Characters>8842</Characters>
  <Lines>982</Lines>
  <Paragraphs>914</Paragraphs>
  <TotalTime>6</TotalTime>
  <ScaleCrop>false</ScaleCrop>
  <LinksUpToDate>false</LinksUpToDate>
  <CharactersWithSpaces>36578</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2019-03-25T02:38:00Z</dcterms:created>
  <dc:creator>e510</dc:creator>
  <cp:lastModifiedBy>adimin</cp:lastModifiedBy>
  <cp:lastPrinted>2023-04-06T09:33:00Z</cp:lastPrinted>
  <dcterms:modified xsi:type="dcterms:W3CDTF">2025-05-12T08:40:31Z</dcterms:modified>
  <dc:title>中华人民共和国</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713D3B7941F240F8A0E0677443545E15</vt:lpwstr>
  </property>
</Properties>
</file>