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bookmarkStart w:id="0" w:name="_Hlk46473036"/>
      <w:bookmarkEnd w:id="0"/>
    </w:p>
    <w:p>
      <w:pPr>
        <w:jc w:val="center"/>
        <w:rPr>
          <w:rFonts w:ascii="宋体" w:hAnsi="宋体"/>
          <w:b/>
          <w:color w:val="auto"/>
          <w:u w:val="single"/>
        </w:rPr>
      </w:pPr>
    </w:p>
    <w:p>
      <w:pPr>
        <w:jc w:val="center"/>
        <w:rPr>
          <w:rFonts w:ascii="宋体" w:hAnsi="宋体"/>
          <w:b/>
          <w:color w:val="auto"/>
          <w:u w:val="single"/>
        </w:rPr>
      </w:pPr>
    </w:p>
    <w:p>
      <w:pPr>
        <w:jc w:val="center"/>
        <w:rPr>
          <w:rFonts w:hint="eastAsia" w:ascii="黑体" w:hAnsi="黑体" w:eastAsia="黑体"/>
          <w:color w:val="auto"/>
          <w:spacing w:val="40"/>
          <w:sz w:val="44"/>
          <w:szCs w:val="32"/>
          <w:lang w:eastAsia="zh-CN"/>
        </w:rPr>
      </w:pPr>
      <w:r>
        <w:rPr>
          <w:rFonts w:hint="eastAsia" w:ascii="黑体" w:hAnsi="黑体" w:eastAsia="黑体"/>
          <w:color w:val="auto"/>
          <w:spacing w:val="40"/>
          <w:sz w:val="44"/>
          <w:szCs w:val="32"/>
          <w:lang w:eastAsia="zh-CN"/>
        </w:rPr>
        <w:t>南方日报广告业务管理平台升级改造公开招标项目</w:t>
      </w:r>
    </w:p>
    <w:p>
      <w:pPr>
        <w:pStyle w:val="49"/>
        <w:rPr>
          <w:rFonts w:hint="eastAsia" w:ascii="黑体" w:hAnsi="黑体" w:eastAsia="黑体"/>
          <w:color w:val="auto"/>
          <w:spacing w:val="40"/>
          <w:sz w:val="44"/>
          <w:szCs w:val="32"/>
          <w:lang w:eastAsia="zh-CN"/>
        </w:rPr>
      </w:pPr>
    </w:p>
    <w:p>
      <w:pPr>
        <w:pStyle w:val="49"/>
        <w:rPr>
          <w:rFonts w:hint="eastAsia" w:ascii="黑体" w:hAnsi="黑体" w:eastAsia="黑体"/>
          <w:color w:val="auto"/>
          <w:spacing w:val="40"/>
          <w:sz w:val="44"/>
          <w:szCs w:val="32"/>
          <w:lang w:eastAsia="zh-CN"/>
        </w:rPr>
      </w:pPr>
    </w:p>
    <w:p>
      <w:pPr>
        <w:jc w:val="center"/>
        <w:rPr>
          <w:rFonts w:ascii="黑体" w:hAnsi="黑体" w:eastAsia="黑体"/>
          <w:color w:val="auto"/>
          <w:spacing w:val="40"/>
          <w:sz w:val="52"/>
        </w:rPr>
      </w:pPr>
      <w:r>
        <w:rPr>
          <w:rFonts w:hint="eastAsia" w:ascii="黑体" w:hAnsi="黑体" w:eastAsia="黑体"/>
          <w:color w:val="auto"/>
          <w:spacing w:val="40"/>
          <w:sz w:val="52"/>
        </w:rPr>
        <w:t>招标文件</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hint="eastAsia" w:ascii="黑体" w:hAnsi="黑体" w:eastAsia="黑体"/>
          <w:color w:val="auto"/>
          <w:sz w:val="32"/>
          <w:lang w:eastAsia="zh-CN"/>
        </w:rPr>
      </w:pPr>
      <w:r>
        <w:rPr>
          <w:rFonts w:hint="eastAsia" w:ascii="黑体" w:hAnsi="黑体" w:eastAsia="黑体"/>
          <w:color w:val="auto"/>
          <w:sz w:val="32"/>
        </w:rPr>
        <w:t>招标代理编号：</w:t>
      </w:r>
      <w:r>
        <w:rPr>
          <w:rFonts w:hint="eastAsia" w:ascii="黑体" w:hAnsi="黑体" w:eastAsia="黑体"/>
          <w:color w:val="auto"/>
          <w:sz w:val="32"/>
          <w:lang w:eastAsia="zh-CN"/>
        </w:rPr>
        <w:t>WJS-202306280037</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hint="default" w:ascii="黑体" w:hAnsi="黑体" w:eastAsia="黑体"/>
          <w:color w:val="auto"/>
          <w:sz w:val="24"/>
          <w:lang w:val="en-US" w:eastAsia="zh-CN"/>
        </w:rPr>
      </w:pPr>
      <w:r>
        <w:rPr>
          <w:rFonts w:hint="eastAsia" w:ascii="黑体" w:hAnsi="黑体" w:eastAsia="黑体"/>
          <w:color w:val="auto"/>
          <w:sz w:val="24"/>
        </w:rPr>
        <w:t>招标人：</w:t>
      </w:r>
      <w:r>
        <w:rPr>
          <w:rFonts w:hint="eastAsia" w:ascii="黑体" w:hAnsi="黑体" w:eastAsia="黑体"/>
          <w:color w:val="auto"/>
          <w:sz w:val="24"/>
          <w:lang w:eastAsia="zh-CN"/>
        </w:rPr>
        <w:t>广东南方日报经营有限公司</w:t>
      </w:r>
    </w:p>
    <w:p>
      <w:pPr>
        <w:spacing w:after="120" w:line="400" w:lineRule="exact"/>
        <w:rPr>
          <w:rFonts w:ascii="黑体" w:hAnsi="黑体" w:eastAsia="黑体"/>
          <w:color w:val="auto"/>
          <w:sz w:val="24"/>
        </w:rPr>
      </w:pPr>
      <w:r>
        <w:rPr>
          <w:rFonts w:ascii="黑体" w:hAnsi="黑体" w:eastAsia="黑体"/>
          <w:color w:val="auto"/>
          <w:sz w:val="24"/>
        </w:rPr>
        <w:t xml:space="preserve">           招标代理机构：广东省南方文化产权交易所股份有限公司</w:t>
      </w:r>
    </w:p>
    <w:p>
      <w:pPr>
        <w:spacing w:after="120" w:line="400" w:lineRule="exact"/>
        <w:jc w:val="center"/>
        <w:rPr>
          <w:rFonts w:ascii="黑体" w:hAnsi="黑体" w:eastAsia="黑体"/>
          <w:color w:val="auto"/>
          <w:sz w:val="24"/>
        </w:rPr>
      </w:pPr>
      <w:r>
        <w:rPr>
          <w:rFonts w:hint="eastAsia" w:ascii="黑体" w:hAnsi="黑体" w:eastAsia="黑体"/>
          <w:color w:val="auto"/>
          <w:sz w:val="24"/>
        </w:rPr>
        <w:t>日期：</w:t>
      </w:r>
      <w:r>
        <w:rPr>
          <w:rFonts w:ascii="黑体" w:hAnsi="黑体" w:eastAsia="黑体"/>
          <w:color w:val="auto"/>
          <w:sz w:val="24"/>
        </w:rPr>
        <w:t>202</w:t>
      </w:r>
      <w:r>
        <w:rPr>
          <w:rFonts w:hint="eastAsia" w:ascii="黑体" w:hAnsi="黑体" w:eastAsia="黑体"/>
          <w:color w:val="auto"/>
          <w:sz w:val="24"/>
          <w:lang w:val="en-US" w:eastAsia="zh-CN"/>
        </w:rPr>
        <w:t>3</w:t>
      </w:r>
      <w:r>
        <w:rPr>
          <w:rFonts w:ascii="黑体" w:hAnsi="黑体" w:eastAsia="黑体"/>
          <w:color w:val="auto"/>
          <w:sz w:val="24"/>
        </w:rPr>
        <w:t>年</w:t>
      </w:r>
      <w:r>
        <w:rPr>
          <w:rFonts w:hint="eastAsia" w:ascii="黑体" w:hAnsi="黑体" w:eastAsia="黑体"/>
          <w:color w:val="auto"/>
          <w:sz w:val="24"/>
          <w:lang w:val="en-US" w:eastAsia="zh-CN"/>
        </w:rPr>
        <w:t>7</w:t>
      </w:r>
      <w:r>
        <w:rPr>
          <w:rFonts w:ascii="黑体" w:hAnsi="黑体" w:eastAsia="黑体"/>
          <w:color w:val="auto"/>
          <w:sz w:val="24"/>
        </w:rPr>
        <w:t>月</w:t>
      </w:r>
    </w:p>
    <w:p>
      <w:pPr>
        <w:widowControl/>
        <w:jc w:val="left"/>
        <w:rPr>
          <w:rFonts w:ascii="黑体" w:hAnsi="黑体" w:eastAsia="黑体"/>
          <w:color w:val="auto"/>
          <w:sz w:val="24"/>
        </w:rPr>
      </w:pPr>
      <w:r>
        <w:rPr>
          <w:rFonts w:ascii="黑体" w:hAnsi="黑体" w:eastAsia="黑体"/>
          <w:color w:val="auto"/>
          <w:sz w:val="24"/>
        </w:rPr>
        <w:br w:type="page"/>
      </w:r>
    </w:p>
    <w:p>
      <w:pPr>
        <w:spacing w:after="120" w:line="400" w:lineRule="exact"/>
        <w:jc w:val="center"/>
        <w:rPr>
          <w:rFonts w:ascii="黑体" w:hAnsi="黑体" w:eastAsia="黑体"/>
          <w:color w:val="auto"/>
          <w:sz w:val="24"/>
        </w:rPr>
      </w:pPr>
    </w:p>
    <w:p>
      <w:pPr>
        <w:spacing w:after="120" w:line="360" w:lineRule="atLeast"/>
        <w:jc w:val="center"/>
        <w:rPr>
          <w:rFonts w:ascii="宋体" w:hAnsi="宋体" w:cs="宋体"/>
          <w:b/>
          <w:color w:val="auto"/>
          <w:sz w:val="32"/>
          <w:szCs w:val="32"/>
        </w:rPr>
      </w:pPr>
      <w:r>
        <w:rPr>
          <w:rFonts w:hint="eastAsia" w:ascii="宋体" w:hAnsi="宋体" w:cs="宋体"/>
          <w:b/>
          <w:color w:val="auto"/>
          <w:sz w:val="32"/>
          <w:szCs w:val="32"/>
        </w:rPr>
        <w:t>目</w:t>
      </w:r>
      <w:r>
        <w:rPr>
          <w:rFonts w:ascii="宋体" w:hAnsi="宋体" w:cs="宋体"/>
          <w:b/>
          <w:color w:val="auto"/>
          <w:sz w:val="32"/>
          <w:szCs w:val="32"/>
        </w:rPr>
        <w:t xml:space="preserve">  </w:t>
      </w:r>
      <w:r>
        <w:rPr>
          <w:rFonts w:hint="eastAsia" w:ascii="宋体" w:hAnsi="宋体" w:cs="宋体"/>
          <w:b/>
          <w:color w:val="auto"/>
          <w:sz w:val="32"/>
          <w:szCs w:val="32"/>
        </w:rPr>
        <w:t>录</w:t>
      </w:r>
    </w:p>
    <w:p>
      <w:pPr>
        <w:pStyle w:val="28"/>
        <w:tabs>
          <w:tab w:val="right" w:leader="hyphen" w:pos="8504"/>
          <w:tab w:val="clear" w:pos="567"/>
          <w:tab w:val="clear" w:pos="709"/>
          <w:tab w:val="clear" w:pos="8505"/>
        </w:tabs>
      </w:pPr>
      <w:r>
        <w:rPr>
          <w:bCs/>
          <w:color w:val="auto"/>
          <w:sz w:val="20"/>
          <w:szCs w:val="22"/>
        </w:rPr>
        <w:fldChar w:fldCharType="begin"/>
      </w:r>
      <w:r>
        <w:rPr>
          <w:bCs/>
          <w:color w:val="auto"/>
          <w:sz w:val="20"/>
          <w:szCs w:val="22"/>
        </w:rPr>
        <w:instrText xml:space="preserve"> TOC \o "1-3" \h \z \u </w:instrText>
      </w:r>
      <w:r>
        <w:rPr>
          <w:bCs/>
          <w:color w:val="auto"/>
          <w:sz w:val="20"/>
          <w:szCs w:val="22"/>
        </w:rPr>
        <w:fldChar w:fldCharType="separate"/>
      </w:r>
      <w:r>
        <w:rPr>
          <w:bCs/>
          <w:color w:val="auto"/>
          <w:szCs w:val="22"/>
        </w:rPr>
        <w:fldChar w:fldCharType="begin"/>
      </w:r>
      <w:r>
        <w:rPr>
          <w:bCs/>
          <w:szCs w:val="22"/>
        </w:rPr>
        <w:instrText xml:space="preserve"> HYPERLINK \l _Toc21882 </w:instrText>
      </w:r>
      <w:r>
        <w:rPr>
          <w:bCs/>
          <w:szCs w:val="22"/>
        </w:rPr>
        <w:fldChar w:fldCharType="separate"/>
      </w:r>
      <w:r>
        <w:rPr>
          <w:rFonts w:hint="eastAsia" w:ascii="宋体" w:hAnsi="宋体" w:eastAsia="宋体" w:cs="宋体"/>
          <w:bCs w:val="0"/>
          <w:kern w:val="0"/>
          <w:szCs w:val="28"/>
        </w:rPr>
        <w:t>第一章</w:t>
      </w:r>
      <w:r>
        <w:rPr>
          <w:rFonts w:ascii="宋体" w:hAnsi="宋体" w:eastAsia="宋体" w:cs="宋体"/>
          <w:bCs w:val="0"/>
          <w:kern w:val="0"/>
          <w:szCs w:val="28"/>
        </w:rPr>
        <w:t xml:space="preserve">  招标公告</w:t>
      </w:r>
      <w:r>
        <w:tab/>
      </w:r>
      <w:r>
        <w:fldChar w:fldCharType="begin"/>
      </w:r>
      <w:r>
        <w:instrText xml:space="preserve"> PAGEREF _Toc21882 \h </w:instrText>
      </w:r>
      <w:r>
        <w:fldChar w:fldCharType="separate"/>
      </w:r>
      <w:r>
        <w:t>1</w:t>
      </w:r>
      <w:r>
        <w:fldChar w:fldCharType="end"/>
      </w:r>
      <w:r>
        <w:rPr>
          <w:bCs/>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_Toc13341 </w:instrText>
      </w:r>
      <w:r>
        <w:rPr>
          <w:rFonts w:ascii="宋体" w:hAnsi="宋体"/>
          <w:szCs w:val="22"/>
        </w:rPr>
        <w:fldChar w:fldCharType="separate"/>
      </w:r>
      <w:r>
        <w:rPr>
          <w:rFonts w:hint="eastAsia" w:ascii="宋体" w:hAnsi="宋体" w:eastAsia="宋体" w:cs="宋体"/>
          <w:bCs w:val="0"/>
          <w:kern w:val="0"/>
          <w:szCs w:val="28"/>
        </w:rPr>
        <w:t>第二章</w:t>
      </w:r>
      <w:r>
        <w:rPr>
          <w:rFonts w:ascii="宋体" w:hAnsi="宋体" w:eastAsia="宋体" w:cs="宋体"/>
          <w:bCs w:val="0"/>
          <w:kern w:val="0"/>
          <w:szCs w:val="28"/>
        </w:rPr>
        <w:t xml:space="preserve">  </w:t>
      </w:r>
      <w:r>
        <w:rPr>
          <w:rFonts w:hint="eastAsia" w:ascii="宋体" w:hAnsi="宋体" w:eastAsia="宋体" w:cs="宋体"/>
          <w:bCs w:val="0"/>
          <w:kern w:val="0"/>
          <w:szCs w:val="28"/>
        </w:rPr>
        <w:t>投标人须知</w:t>
      </w:r>
      <w:r>
        <w:tab/>
      </w:r>
      <w:r>
        <w:fldChar w:fldCharType="begin"/>
      </w:r>
      <w:r>
        <w:instrText xml:space="preserve"> PAGEREF _Toc13341 \h </w:instrText>
      </w:r>
      <w:r>
        <w:fldChar w:fldCharType="separate"/>
      </w:r>
      <w:r>
        <w:t>4</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_Toc3276 </w:instrText>
      </w:r>
      <w:r>
        <w:rPr>
          <w:rFonts w:ascii="宋体" w:hAnsi="宋体"/>
          <w:szCs w:val="22"/>
        </w:rPr>
        <w:fldChar w:fldCharType="separate"/>
      </w:r>
      <w:r>
        <w:rPr>
          <w:rFonts w:hint="eastAsia" w:ascii="宋体" w:hAnsi="宋体" w:eastAsia="宋体" w:cs="宋体"/>
          <w:bCs w:val="0"/>
          <w:szCs w:val="24"/>
        </w:rPr>
        <w:t>投标人须知前附表</w:t>
      </w:r>
      <w:r>
        <w:tab/>
      </w:r>
      <w:r>
        <w:fldChar w:fldCharType="begin"/>
      </w:r>
      <w:r>
        <w:instrText xml:space="preserve"> PAGEREF _Toc3276 \h </w:instrText>
      </w:r>
      <w:r>
        <w:fldChar w:fldCharType="separate"/>
      </w:r>
      <w:r>
        <w:t>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_Toc28708 </w:instrText>
      </w:r>
      <w:r>
        <w:rPr>
          <w:rFonts w:ascii="宋体" w:hAnsi="宋体"/>
          <w:szCs w:val="22"/>
        </w:rPr>
        <w:fldChar w:fldCharType="separate"/>
      </w:r>
      <w:r>
        <w:rPr>
          <w:rFonts w:hint="eastAsia" w:ascii="宋体" w:hAnsi="宋体" w:eastAsia="宋体" w:cs="宋体"/>
          <w:bCs w:val="0"/>
          <w:kern w:val="0"/>
          <w:szCs w:val="28"/>
        </w:rPr>
        <w:t>第三章</w:t>
      </w:r>
      <w:r>
        <w:rPr>
          <w:rFonts w:ascii="宋体" w:hAnsi="宋体" w:eastAsia="宋体" w:cs="宋体"/>
          <w:bCs w:val="0"/>
          <w:kern w:val="0"/>
          <w:szCs w:val="28"/>
        </w:rPr>
        <w:t xml:space="preserve"> </w:t>
      </w:r>
      <w:r>
        <w:rPr>
          <w:rFonts w:hint="eastAsia" w:ascii="宋体" w:hAnsi="宋体" w:eastAsia="宋体" w:cs="宋体"/>
          <w:bCs w:val="0"/>
          <w:kern w:val="0"/>
          <w:szCs w:val="28"/>
        </w:rPr>
        <w:t>评审办法（综合评估法）</w:t>
      </w:r>
      <w:r>
        <w:tab/>
      </w:r>
      <w:r>
        <w:fldChar w:fldCharType="begin"/>
      </w:r>
      <w:r>
        <w:instrText xml:space="preserve"> PAGEREF _Toc28708 \h </w:instrText>
      </w:r>
      <w:r>
        <w:fldChar w:fldCharType="separate"/>
      </w:r>
      <w:r>
        <w:t>18</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_Toc23646 </w:instrText>
      </w:r>
      <w:r>
        <w:rPr>
          <w:rFonts w:ascii="宋体" w:hAnsi="宋体"/>
          <w:szCs w:val="22"/>
        </w:rPr>
        <w:fldChar w:fldCharType="separate"/>
      </w:r>
      <w:r>
        <w:rPr>
          <w:rFonts w:hint="eastAsia" w:ascii="宋体" w:hAnsi="宋体" w:eastAsia="宋体" w:cs="宋体"/>
          <w:bCs w:val="0"/>
          <w:szCs w:val="24"/>
        </w:rPr>
        <w:t>评审办法前附表</w:t>
      </w:r>
      <w:r>
        <w:tab/>
      </w:r>
      <w:r>
        <w:fldChar w:fldCharType="begin"/>
      </w:r>
      <w:r>
        <w:instrText xml:space="preserve"> PAGEREF _Toc23646 \h </w:instrText>
      </w:r>
      <w:r>
        <w:fldChar w:fldCharType="separate"/>
      </w:r>
      <w:r>
        <w:t>18</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_Toc31133 </w:instrText>
      </w:r>
      <w:r>
        <w:rPr>
          <w:rFonts w:ascii="宋体" w:hAnsi="宋体"/>
          <w:szCs w:val="22"/>
        </w:rPr>
        <w:fldChar w:fldCharType="separate"/>
      </w:r>
      <w:r>
        <w:rPr>
          <w:rFonts w:asciiTheme="minorEastAsia" w:hAnsiTheme="minorEastAsia" w:eastAsiaTheme="minorEastAsia"/>
        </w:rPr>
        <w:t>1、初步评审表</w:t>
      </w:r>
      <w:r>
        <w:tab/>
      </w:r>
      <w:r>
        <w:fldChar w:fldCharType="begin"/>
      </w:r>
      <w:r>
        <w:instrText xml:space="preserve"> PAGEREF _Toc31133 \h </w:instrText>
      </w:r>
      <w:r>
        <w:fldChar w:fldCharType="separate"/>
      </w:r>
      <w:r>
        <w:t>18</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_Toc19981 </w:instrText>
      </w:r>
      <w:r>
        <w:rPr>
          <w:rFonts w:ascii="宋体" w:hAnsi="宋体"/>
          <w:szCs w:val="22"/>
        </w:rPr>
        <w:fldChar w:fldCharType="separate"/>
      </w:r>
      <w:r>
        <w:rPr>
          <w:rFonts w:hint="default" w:asciiTheme="minorEastAsia" w:hAnsiTheme="minorEastAsia" w:eastAsiaTheme="minorEastAsia"/>
        </w:rPr>
        <w:t xml:space="preserve">2、 </w:t>
      </w:r>
      <w:r>
        <w:rPr>
          <w:rFonts w:asciiTheme="minorEastAsia" w:hAnsiTheme="minorEastAsia" w:eastAsiaTheme="minorEastAsia"/>
        </w:rPr>
        <w:t>技术评分表</w:t>
      </w:r>
      <w:r>
        <w:tab/>
      </w:r>
      <w:r>
        <w:fldChar w:fldCharType="begin"/>
      </w:r>
      <w:r>
        <w:instrText xml:space="preserve"> PAGEREF _Toc19981 \h </w:instrText>
      </w:r>
      <w:r>
        <w:fldChar w:fldCharType="separate"/>
      </w:r>
      <w:r>
        <w:t>20</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_Toc5733 </w:instrText>
      </w:r>
      <w:r>
        <w:rPr>
          <w:rFonts w:ascii="宋体" w:hAnsi="宋体"/>
          <w:szCs w:val="22"/>
        </w:rPr>
        <w:fldChar w:fldCharType="separate"/>
      </w:r>
      <w:r>
        <w:rPr>
          <w:rFonts w:hint="default" w:asciiTheme="minorEastAsia" w:hAnsiTheme="minorEastAsia" w:eastAsiaTheme="minorEastAsia"/>
        </w:rPr>
        <w:t xml:space="preserve">3、 </w:t>
      </w:r>
      <w:r>
        <w:rPr>
          <w:rFonts w:hint="eastAsia" w:asciiTheme="minorEastAsia" w:hAnsiTheme="minorEastAsia" w:eastAsiaTheme="minorEastAsia"/>
        </w:rPr>
        <w:t>商务评分表</w:t>
      </w:r>
      <w:r>
        <w:tab/>
      </w:r>
      <w:r>
        <w:fldChar w:fldCharType="begin"/>
      </w:r>
      <w:r>
        <w:instrText xml:space="preserve"> PAGEREF _Toc5733 \h </w:instrText>
      </w:r>
      <w:r>
        <w:fldChar w:fldCharType="separate"/>
      </w:r>
      <w:r>
        <w:t>21</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_Toc19922 </w:instrText>
      </w:r>
      <w:r>
        <w:rPr>
          <w:rFonts w:ascii="宋体" w:hAnsi="宋体"/>
          <w:szCs w:val="22"/>
        </w:rPr>
        <w:fldChar w:fldCharType="separate"/>
      </w:r>
      <w:r>
        <w:rPr>
          <w:rFonts w:asciiTheme="minorEastAsia" w:hAnsiTheme="minorEastAsia" w:eastAsiaTheme="minorEastAsia"/>
        </w:rPr>
        <w:t>4、价格评分表</w:t>
      </w:r>
      <w:r>
        <w:tab/>
      </w:r>
      <w:r>
        <w:fldChar w:fldCharType="begin"/>
      </w:r>
      <w:r>
        <w:instrText xml:space="preserve"> PAGEREF _Toc19922 \h </w:instrText>
      </w:r>
      <w:r>
        <w:fldChar w:fldCharType="separate"/>
      </w:r>
      <w:r>
        <w:t>22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_Toc4577 </w:instrText>
      </w:r>
      <w:r>
        <w:rPr>
          <w:rFonts w:ascii="宋体" w:hAnsi="宋体"/>
          <w:szCs w:val="22"/>
        </w:rPr>
        <w:fldChar w:fldCharType="separate"/>
      </w:r>
      <w:r>
        <w:rPr>
          <w:rFonts w:hint="eastAsia" w:ascii="宋体" w:hAnsi="宋体" w:eastAsia="宋体" w:cs="宋体"/>
          <w:bCs w:val="0"/>
          <w:kern w:val="0"/>
          <w:szCs w:val="28"/>
        </w:rPr>
        <w:t>第四章</w:t>
      </w:r>
      <w:r>
        <w:rPr>
          <w:rFonts w:ascii="宋体" w:hAnsi="宋体" w:eastAsia="宋体" w:cs="宋体"/>
          <w:bCs w:val="0"/>
          <w:kern w:val="0"/>
          <w:szCs w:val="28"/>
        </w:rPr>
        <w:t xml:space="preserve">  </w:t>
      </w:r>
      <w:r>
        <w:rPr>
          <w:rFonts w:hint="eastAsia" w:ascii="宋体" w:hAnsi="宋体" w:eastAsia="宋体" w:cs="宋体"/>
          <w:bCs w:val="0"/>
          <w:kern w:val="0"/>
          <w:szCs w:val="28"/>
        </w:rPr>
        <w:t>商务合同</w:t>
      </w:r>
      <w:r>
        <w:tab/>
      </w:r>
      <w:r>
        <w:fldChar w:fldCharType="begin"/>
      </w:r>
      <w:r>
        <w:instrText xml:space="preserve"> PAGEREF _Toc4577 \h </w:instrText>
      </w:r>
      <w:r>
        <w:fldChar w:fldCharType="separate"/>
      </w:r>
      <w:r>
        <w:t>25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_Toc2566 </w:instrText>
      </w:r>
      <w:r>
        <w:rPr>
          <w:rFonts w:ascii="宋体" w:hAnsi="宋体"/>
          <w:szCs w:val="22"/>
        </w:rPr>
        <w:fldChar w:fldCharType="separate"/>
      </w:r>
      <w:r>
        <w:rPr>
          <w:rFonts w:hint="eastAsia" w:ascii="宋体" w:hAnsi="宋体" w:eastAsia="宋体" w:cs="宋体"/>
          <w:bCs w:val="0"/>
          <w:kern w:val="0"/>
          <w:szCs w:val="28"/>
        </w:rPr>
        <w:t>第五章</w:t>
      </w:r>
      <w:r>
        <w:rPr>
          <w:rFonts w:ascii="宋体" w:hAnsi="宋体" w:eastAsia="宋体" w:cs="宋体"/>
          <w:bCs w:val="0"/>
          <w:kern w:val="0"/>
          <w:szCs w:val="28"/>
        </w:rPr>
        <w:t xml:space="preserve">  </w:t>
      </w:r>
      <w:r>
        <w:rPr>
          <w:rFonts w:hint="eastAsia" w:ascii="宋体" w:hAnsi="宋体" w:eastAsia="宋体" w:cs="宋体"/>
          <w:bCs w:val="0"/>
          <w:kern w:val="0"/>
          <w:szCs w:val="28"/>
        </w:rPr>
        <w:t>采购需求书</w:t>
      </w:r>
      <w:r>
        <w:tab/>
      </w:r>
      <w:r>
        <w:fldChar w:fldCharType="begin"/>
      </w:r>
      <w:r>
        <w:instrText xml:space="preserve"> PAGEREF _Toc2566 \h </w:instrText>
      </w:r>
      <w:r>
        <w:fldChar w:fldCharType="separate"/>
      </w:r>
      <w:r>
        <w:t>36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_Toc9880 </w:instrText>
      </w:r>
      <w:r>
        <w:rPr>
          <w:rFonts w:ascii="宋体" w:hAnsi="宋体"/>
          <w:szCs w:val="22"/>
        </w:rPr>
        <w:fldChar w:fldCharType="separate"/>
      </w:r>
      <w:r>
        <w:rPr>
          <w:rFonts w:hint="eastAsia" w:ascii="宋体" w:hAnsi="宋体" w:eastAsia="宋体" w:cs="宋体"/>
          <w:bCs w:val="0"/>
          <w:kern w:val="0"/>
          <w:szCs w:val="28"/>
        </w:rPr>
        <w:t>第六章</w:t>
      </w:r>
      <w:r>
        <w:rPr>
          <w:rFonts w:ascii="宋体" w:hAnsi="宋体" w:eastAsia="宋体" w:cs="宋体"/>
          <w:bCs w:val="0"/>
          <w:kern w:val="0"/>
          <w:szCs w:val="28"/>
        </w:rPr>
        <w:t xml:space="preserve">  </w:t>
      </w:r>
      <w:r>
        <w:rPr>
          <w:rFonts w:hint="eastAsia" w:ascii="宋体" w:hAnsi="宋体" w:eastAsia="宋体" w:cs="宋体"/>
          <w:bCs w:val="0"/>
          <w:kern w:val="0"/>
          <w:szCs w:val="28"/>
        </w:rPr>
        <w:t>投标文件格式</w:t>
      </w:r>
      <w:r>
        <w:tab/>
      </w:r>
      <w:r>
        <w:fldChar w:fldCharType="begin"/>
      </w:r>
      <w:r>
        <w:instrText xml:space="preserve"> PAGEREF _Toc9880 \h </w:instrText>
      </w:r>
      <w:r>
        <w:fldChar w:fldCharType="separate"/>
      </w:r>
      <w:r>
        <w:t>45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_Toc29317 </w:instrText>
      </w:r>
      <w:r>
        <w:rPr>
          <w:rFonts w:ascii="宋体" w:hAnsi="宋体"/>
          <w:szCs w:val="22"/>
        </w:rPr>
        <w:fldChar w:fldCharType="separate"/>
      </w:r>
      <w:r>
        <w:rPr>
          <w:rFonts w:hint="eastAsia" w:ascii="宋体" w:hAnsi="宋体"/>
          <w:szCs w:val="24"/>
        </w:rPr>
        <w:t>第一分册</w:t>
      </w:r>
      <w:r>
        <w:tab/>
      </w:r>
      <w:r>
        <w:fldChar w:fldCharType="begin"/>
      </w:r>
      <w:r>
        <w:instrText xml:space="preserve"> PAGEREF _Toc29317 \h </w:instrText>
      </w:r>
      <w:r>
        <w:fldChar w:fldCharType="separate"/>
      </w:r>
      <w:r>
        <w:t>46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_Toc16131 </w:instrText>
      </w:r>
      <w:r>
        <w:rPr>
          <w:rFonts w:ascii="宋体" w:hAnsi="宋体"/>
          <w:szCs w:val="22"/>
        </w:rPr>
        <w:fldChar w:fldCharType="separate"/>
      </w:r>
      <w:r>
        <w:rPr>
          <w:rFonts w:hint="eastAsia" w:ascii="宋体" w:hAnsi="宋体"/>
          <w:szCs w:val="24"/>
        </w:rPr>
        <w:t>1. 商务、技术投标文件封面</w:t>
      </w:r>
      <w:r>
        <w:tab/>
      </w:r>
      <w:r>
        <w:fldChar w:fldCharType="begin"/>
      </w:r>
      <w:r>
        <w:instrText xml:space="preserve"> PAGEREF _Toc16131 \h </w:instrText>
      </w:r>
      <w:r>
        <w:fldChar w:fldCharType="separate"/>
      </w:r>
      <w:r>
        <w:t>46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_Toc18730 </w:instrText>
      </w:r>
      <w:r>
        <w:rPr>
          <w:rFonts w:ascii="宋体" w:hAnsi="宋体"/>
          <w:szCs w:val="22"/>
        </w:rPr>
        <w:fldChar w:fldCharType="separate"/>
      </w:r>
      <w:r>
        <w:rPr>
          <w:rFonts w:hint="eastAsia" w:ascii="宋体" w:hAnsi="宋体"/>
          <w:szCs w:val="24"/>
        </w:rPr>
        <w:t>2. 评审索引表</w:t>
      </w:r>
      <w:r>
        <w:tab/>
      </w:r>
      <w:r>
        <w:fldChar w:fldCharType="begin"/>
      </w:r>
      <w:r>
        <w:instrText xml:space="preserve"> PAGEREF _Toc18730 \h </w:instrText>
      </w:r>
      <w:r>
        <w:fldChar w:fldCharType="separate"/>
      </w:r>
      <w:r>
        <w:t>47</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_Toc6789 </w:instrText>
      </w:r>
      <w:r>
        <w:rPr>
          <w:rFonts w:ascii="宋体" w:hAnsi="宋体"/>
          <w:szCs w:val="22"/>
        </w:rPr>
        <w:fldChar w:fldCharType="separate"/>
      </w:r>
      <w:r>
        <w:rPr>
          <w:rFonts w:hint="eastAsia" w:ascii="宋体" w:hAnsi="宋体"/>
          <w:szCs w:val="24"/>
        </w:rPr>
        <w:t>3. 投标函</w:t>
      </w:r>
      <w:r>
        <w:tab/>
      </w:r>
      <w:r>
        <w:fldChar w:fldCharType="begin"/>
      </w:r>
      <w:r>
        <w:instrText xml:space="preserve"> PAGEREF _Toc6789 \h </w:instrText>
      </w:r>
      <w:r>
        <w:fldChar w:fldCharType="separate"/>
      </w:r>
      <w:r>
        <w:t>48</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_Toc23282 </w:instrText>
      </w:r>
      <w:r>
        <w:rPr>
          <w:rFonts w:ascii="宋体" w:hAnsi="宋体"/>
          <w:szCs w:val="22"/>
        </w:rPr>
        <w:fldChar w:fldCharType="separate"/>
      </w:r>
      <w:r>
        <w:rPr>
          <w:rFonts w:hint="eastAsia" w:ascii="宋体" w:hAnsi="宋体"/>
          <w:szCs w:val="24"/>
        </w:rPr>
        <w:t xml:space="preserve">4. </w:t>
      </w:r>
      <w:r>
        <w:rPr>
          <w:rFonts w:ascii="宋体" w:hAnsi="宋体"/>
          <w:szCs w:val="24"/>
        </w:rPr>
        <w:t>法定代表人</w:t>
      </w:r>
      <w:r>
        <w:rPr>
          <w:rFonts w:hint="eastAsia" w:ascii="宋体" w:hAnsi="宋体"/>
          <w:szCs w:val="24"/>
        </w:rPr>
        <w:t>（负责人）</w:t>
      </w:r>
      <w:r>
        <w:rPr>
          <w:rFonts w:ascii="宋体" w:hAnsi="宋体"/>
          <w:szCs w:val="24"/>
        </w:rPr>
        <w:t>身份证明</w:t>
      </w:r>
      <w:r>
        <w:tab/>
      </w:r>
      <w:r>
        <w:fldChar w:fldCharType="begin"/>
      </w:r>
      <w:r>
        <w:instrText xml:space="preserve"> PAGEREF _Toc23282 \h </w:instrText>
      </w:r>
      <w:r>
        <w:fldChar w:fldCharType="separate"/>
      </w:r>
      <w:r>
        <w:t>50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_Toc12382 </w:instrText>
      </w:r>
      <w:r>
        <w:rPr>
          <w:rFonts w:ascii="宋体" w:hAnsi="宋体"/>
          <w:szCs w:val="22"/>
        </w:rPr>
        <w:fldChar w:fldCharType="separate"/>
      </w:r>
      <w:r>
        <w:rPr>
          <w:rFonts w:hint="eastAsia" w:ascii="宋体" w:hAnsi="宋体"/>
          <w:szCs w:val="24"/>
        </w:rPr>
        <w:t xml:space="preserve">5. </w:t>
      </w:r>
      <w:r>
        <w:rPr>
          <w:rFonts w:ascii="宋体" w:hAnsi="宋体"/>
          <w:szCs w:val="24"/>
        </w:rPr>
        <w:t>法定代表人</w:t>
      </w:r>
      <w:r>
        <w:rPr>
          <w:rFonts w:hint="eastAsia" w:ascii="宋体" w:hAnsi="宋体"/>
          <w:szCs w:val="24"/>
        </w:rPr>
        <w:t>（负责人）</w:t>
      </w:r>
      <w:r>
        <w:rPr>
          <w:rFonts w:ascii="宋体" w:hAnsi="宋体"/>
          <w:szCs w:val="24"/>
        </w:rPr>
        <w:t>授权委托书</w:t>
      </w:r>
      <w:r>
        <w:tab/>
      </w:r>
      <w:r>
        <w:fldChar w:fldCharType="begin"/>
      </w:r>
      <w:r>
        <w:instrText xml:space="preserve"> PAGEREF _Toc12382 \h </w:instrText>
      </w:r>
      <w:r>
        <w:fldChar w:fldCharType="separate"/>
      </w:r>
      <w:r>
        <w:t>51</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_Toc3954 </w:instrText>
      </w:r>
      <w:r>
        <w:rPr>
          <w:rFonts w:ascii="宋体" w:hAnsi="宋体"/>
          <w:szCs w:val="22"/>
        </w:rPr>
        <w:fldChar w:fldCharType="separate"/>
      </w:r>
      <w:r>
        <w:rPr>
          <w:rFonts w:hint="eastAsia" w:ascii="宋体" w:hAnsi="宋体"/>
          <w:szCs w:val="24"/>
        </w:rPr>
        <w:t>6. 资格审查资料</w:t>
      </w:r>
      <w:r>
        <w:tab/>
      </w:r>
      <w:r>
        <w:fldChar w:fldCharType="begin"/>
      </w:r>
      <w:r>
        <w:instrText xml:space="preserve"> PAGEREF _Toc3954 \h </w:instrText>
      </w:r>
      <w:r>
        <w:fldChar w:fldCharType="separate"/>
      </w:r>
      <w:r>
        <w:t>52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_Toc10715 </w:instrText>
      </w:r>
      <w:r>
        <w:rPr>
          <w:rFonts w:ascii="宋体" w:hAnsi="宋体"/>
          <w:szCs w:val="22"/>
        </w:rPr>
        <w:fldChar w:fldCharType="separate"/>
      </w:r>
      <w:r>
        <w:rPr>
          <w:rFonts w:hint="eastAsia" w:ascii="宋体" w:hAnsi="宋体"/>
          <w:szCs w:val="24"/>
        </w:rPr>
        <w:t>6.1 投标人</w:t>
      </w:r>
      <w:r>
        <w:rPr>
          <w:rFonts w:ascii="宋体" w:hAnsi="宋体"/>
          <w:szCs w:val="24"/>
        </w:rPr>
        <w:t>基本情况表</w:t>
      </w:r>
      <w:r>
        <w:tab/>
      </w:r>
      <w:r>
        <w:fldChar w:fldCharType="begin"/>
      </w:r>
      <w:r>
        <w:instrText xml:space="preserve"> PAGEREF _Toc10715 \h </w:instrText>
      </w:r>
      <w:r>
        <w:fldChar w:fldCharType="separate"/>
      </w:r>
      <w:r>
        <w:t>52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_Toc29350 </w:instrText>
      </w:r>
      <w:r>
        <w:rPr>
          <w:rFonts w:ascii="宋体" w:hAnsi="宋体"/>
          <w:szCs w:val="22"/>
        </w:rPr>
        <w:fldChar w:fldCharType="separate"/>
      </w:r>
      <w:r>
        <w:rPr>
          <w:rFonts w:hint="eastAsia" w:ascii="宋体" w:hAnsi="宋体"/>
          <w:szCs w:val="24"/>
        </w:rPr>
        <w:t>6.2 资格要求材料</w:t>
      </w:r>
      <w:r>
        <w:tab/>
      </w:r>
      <w:r>
        <w:fldChar w:fldCharType="begin"/>
      </w:r>
      <w:r>
        <w:instrText xml:space="preserve"> PAGEREF _Toc29350 \h </w:instrText>
      </w:r>
      <w:r>
        <w:fldChar w:fldCharType="separate"/>
      </w:r>
      <w:r>
        <w:t>53</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_Toc21344 </w:instrText>
      </w:r>
      <w:r>
        <w:rPr>
          <w:rFonts w:ascii="宋体" w:hAnsi="宋体"/>
          <w:szCs w:val="22"/>
        </w:rPr>
        <w:fldChar w:fldCharType="separate"/>
      </w:r>
      <w:r>
        <w:rPr>
          <w:rFonts w:hint="eastAsia" w:ascii="宋体" w:hAnsi="宋体"/>
          <w:szCs w:val="24"/>
        </w:rPr>
        <w:t>6.3 关于资格的声明函</w:t>
      </w:r>
      <w:r>
        <w:tab/>
      </w:r>
      <w:r>
        <w:fldChar w:fldCharType="begin"/>
      </w:r>
      <w:r>
        <w:instrText xml:space="preserve"> PAGEREF _Toc21344 \h </w:instrText>
      </w:r>
      <w:r>
        <w:fldChar w:fldCharType="separate"/>
      </w:r>
      <w:r>
        <w:t>54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_Toc13905 </w:instrText>
      </w:r>
      <w:r>
        <w:rPr>
          <w:rFonts w:ascii="宋体" w:hAnsi="宋体"/>
          <w:szCs w:val="22"/>
        </w:rPr>
        <w:fldChar w:fldCharType="separate"/>
      </w:r>
      <w:r>
        <w:rPr>
          <w:rFonts w:hint="eastAsia" w:ascii="宋体" w:hAnsi="宋体"/>
          <w:szCs w:val="24"/>
        </w:rPr>
        <w:t>6.4 投标人控股及管理关系情况申报</w:t>
      </w:r>
      <w:r>
        <w:tab/>
      </w:r>
      <w:r>
        <w:fldChar w:fldCharType="begin"/>
      </w:r>
      <w:r>
        <w:instrText xml:space="preserve"> PAGEREF _Toc13905 \h </w:instrText>
      </w:r>
      <w:r>
        <w:fldChar w:fldCharType="separate"/>
      </w:r>
      <w:r>
        <w:t>55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_Toc6863 </w:instrText>
      </w:r>
      <w:r>
        <w:rPr>
          <w:rFonts w:ascii="宋体" w:hAnsi="宋体"/>
          <w:szCs w:val="22"/>
        </w:rPr>
        <w:fldChar w:fldCharType="separate"/>
      </w:r>
      <w:r>
        <w:rPr>
          <w:rFonts w:hint="eastAsia" w:ascii="宋体" w:hAnsi="宋体"/>
          <w:szCs w:val="24"/>
        </w:rPr>
        <w:t>7. 商务合同条款偏离表</w:t>
      </w:r>
      <w:r>
        <w:tab/>
      </w:r>
      <w:r>
        <w:fldChar w:fldCharType="begin"/>
      </w:r>
      <w:r>
        <w:instrText xml:space="preserve"> PAGEREF _Toc6863 \h </w:instrText>
      </w:r>
      <w:r>
        <w:fldChar w:fldCharType="separate"/>
      </w:r>
      <w:r>
        <w:t>56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_Toc12113 </w:instrText>
      </w:r>
      <w:r>
        <w:rPr>
          <w:rFonts w:ascii="宋体" w:hAnsi="宋体"/>
          <w:szCs w:val="22"/>
        </w:rPr>
        <w:fldChar w:fldCharType="separate"/>
      </w:r>
      <w:r>
        <w:rPr>
          <w:rFonts w:hint="eastAsia" w:ascii="宋体" w:hAnsi="宋体"/>
          <w:szCs w:val="24"/>
        </w:rPr>
        <w:t>8. 实质性条款偏离表</w:t>
      </w:r>
      <w:r>
        <w:tab/>
      </w:r>
      <w:r>
        <w:fldChar w:fldCharType="begin"/>
      </w:r>
      <w:r>
        <w:instrText xml:space="preserve"> PAGEREF _Toc12113 \h </w:instrText>
      </w:r>
      <w:r>
        <w:fldChar w:fldCharType="separate"/>
      </w:r>
      <w:r>
        <w:t>57</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_Toc11788 </w:instrText>
      </w:r>
      <w:r>
        <w:rPr>
          <w:rFonts w:ascii="宋体" w:hAnsi="宋体"/>
          <w:szCs w:val="22"/>
        </w:rPr>
        <w:fldChar w:fldCharType="separate"/>
      </w:r>
      <w:r>
        <w:rPr>
          <w:rFonts w:hint="eastAsia" w:ascii="宋体" w:hAnsi="宋体"/>
          <w:szCs w:val="24"/>
        </w:rPr>
        <w:t>9. 采购需求条款偏离表</w:t>
      </w:r>
      <w:r>
        <w:tab/>
      </w:r>
      <w:r>
        <w:fldChar w:fldCharType="begin"/>
      </w:r>
      <w:r>
        <w:instrText xml:space="preserve"> PAGEREF _Toc11788 \h </w:instrText>
      </w:r>
      <w:r>
        <w:fldChar w:fldCharType="separate"/>
      </w:r>
      <w:r>
        <w:t>58</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_Toc13963 </w:instrText>
      </w:r>
      <w:r>
        <w:rPr>
          <w:rFonts w:ascii="宋体" w:hAnsi="宋体"/>
          <w:szCs w:val="22"/>
        </w:rPr>
        <w:fldChar w:fldCharType="separate"/>
      </w:r>
      <w:r>
        <w:rPr>
          <w:rFonts w:hint="eastAsia" w:ascii="宋体" w:hAnsi="宋体"/>
        </w:rPr>
        <w:t>10. 公章对投标专用章授权说明（如有）</w:t>
      </w:r>
      <w:r>
        <w:tab/>
      </w:r>
      <w:r>
        <w:fldChar w:fldCharType="begin"/>
      </w:r>
      <w:r>
        <w:instrText xml:space="preserve"> PAGEREF _Toc13963 \h </w:instrText>
      </w:r>
      <w:r>
        <w:fldChar w:fldCharType="separate"/>
      </w:r>
      <w:r>
        <w:t>59</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_Toc8874 </w:instrText>
      </w:r>
      <w:r>
        <w:rPr>
          <w:rFonts w:ascii="宋体" w:hAnsi="宋体"/>
          <w:szCs w:val="22"/>
        </w:rPr>
        <w:fldChar w:fldCharType="separate"/>
      </w:r>
      <w:r>
        <w:rPr>
          <w:rFonts w:hint="eastAsia" w:ascii="宋体" w:hAnsi="宋体"/>
          <w:szCs w:val="24"/>
        </w:rPr>
        <w:t>11.同类业绩表</w:t>
      </w:r>
      <w:r>
        <w:tab/>
      </w:r>
      <w:r>
        <w:fldChar w:fldCharType="begin"/>
      </w:r>
      <w:r>
        <w:instrText xml:space="preserve"> PAGEREF _Toc8874 \h </w:instrText>
      </w:r>
      <w:r>
        <w:fldChar w:fldCharType="separate"/>
      </w:r>
      <w:r>
        <w:t>60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_Toc21097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2</w:t>
      </w:r>
      <w:r>
        <w:rPr>
          <w:rFonts w:hint="eastAsia" w:ascii="宋体" w:hAnsi="宋体"/>
          <w:szCs w:val="24"/>
        </w:rPr>
        <w:t>.拟投入本项目服务人员明细表</w:t>
      </w:r>
      <w:r>
        <w:tab/>
      </w:r>
      <w:r>
        <w:fldChar w:fldCharType="begin"/>
      </w:r>
      <w:r>
        <w:instrText xml:space="preserve"> PAGEREF _Toc21097 \h </w:instrText>
      </w:r>
      <w:r>
        <w:fldChar w:fldCharType="separate"/>
      </w:r>
      <w:r>
        <w:t>61</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_Toc6155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3</w:t>
      </w:r>
      <w:r>
        <w:rPr>
          <w:rFonts w:hint="eastAsia" w:ascii="宋体" w:hAnsi="宋体"/>
          <w:szCs w:val="24"/>
        </w:rPr>
        <w:t>.其他资料（若有）</w:t>
      </w:r>
      <w:r>
        <w:tab/>
      </w:r>
      <w:r>
        <w:fldChar w:fldCharType="begin"/>
      </w:r>
      <w:r>
        <w:instrText xml:space="preserve"> PAGEREF _Toc6155 \h </w:instrText>
      </w:r>
      <w:r>
        <w:fldChar w:fldCharType="separate"/>
      </w:r>
      <w:r>
        <w:t>62</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_Toc29941 </w:instrText>
      </w:r>
      <w:r>
        <w:rPr>
          <w:rFonts w:ascii="宋体" w:hAnsi="宋体"/>
          <w:szCs w:val="22"/>
        </w:rPr>
        <w:fldChar w:fldCharType="separate"/>
      </w:r>
      <w:r>
        <w:t>1</w:t>
      </w:r>
      <w:r>
        <w:rPr>
          <w:rFonts w:hint="eastAsia"/>
          <w:lang w:val="en-US" w:eastAsia="zh-CN"/>
        </w:rPr>
        <w:t>3</w:t>
      </w:r>
      <w:r>
        <w:t>.</w:t>
      </w:r>
      <w:r>
        <w:rPr>
          <w:rFonts w:hint="eastAsia"/>
          <w:lang w:val="en-US" w:eastAsia="zh-CN"/>
        </w:rPr>
        <w:t>1 企业认证、资质、荣誉</w:t>
      </w:r>
      <w:r>
        <w:rPr>
          <w:rFonts w:hint="eastAsia"/>
        </w:rPr>
        <w:t>证书（若有）</w:t>
      </w:r>
      <w:r>
        <w:tab/>
      </w:r>
      <w:r>
        <w:fldChar w:fldCharType="begin"/>
      </w:r>
      <w:r>
        <w:instrText xml:space="preserve"> PAGEREF _Toc29941 \h </w:instrText>
      </w:r>
      <w:r>
        <w:fldChar w:fldCharType="separate"/>
      </w:r>
      <w:r>
        <w:t>62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_Toc3961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4</w:t>
      </w:r>
      <w:r>
        <w:rPr>
          <w:rFonts w:hint="eastAsia" w:ascii="宋体" w:hAnsi="宋体"/>
          <w:szCs w:val="24"/>
        </w:rPr>
        <w:t>.</w:t>
      </w:r>
      <w:r>
        <w:rPr>
          <w:rFonts w:ascii="宋体" w:hAnsi="宋体"/>
          <w:szCs w:val="24"/>
        </w:rPr>
        <w:t>服务方案</w:t>
      </w:r>
      <w:r>
        <w:rPr>
          <w:rFonts w:hint="eastAsia" w:ascii="宋体" w:hAnsi="宋体"/>
          <w:szCs w:val="24"/>
        </w:rPr>
        <w:t>（格式自拟）</w:t>
      </w:r>
      <w:r>
        <w:tab/>
      </w:r>
      <w:r>
        <w:fldChar w:fldCharType="begin"/>
      </w:r>
      <w:r>
        <w:instrText xml:space="preserve"> PAGEREF _Toc3961 \h </w:instrText>
      </w:r>
      <w:r>
        <w:fldChar w:fldCharType="separate"/>
      </w:r>
      <w:r>
        <w:t>62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_Toc15381 </w:instrText>
      </w:r>
      <w:r>
        <w:rPr>
          <w:rFonts w:ascii="宋体" w:hAnsi="宋体"/>
          <w:szCs w:val="22"/>
        </w:rPr>
        <w:fldChar w:fldCharType="separate"/>
      </w:r>
      <w:r>
        <w:rPr>
          <w:rFonts w:hint="eastAsia" w:ascii="宋体" w:hAnsi="宋体"/>
          <w:szCs w:val="24"/>
          <w:lang w:val="en-US" w:eastAsia="zh-CN"/>
        </w:rPr>
        <w:t>15.</w:t>
      </w:r>
      <w:r>
        <w:rPr>
          <w:rFonts w:hint="eastAsia" w:ascii="宋体" w:hAnsi="宋体"/>
          <w:szCs w:val="24"/>
        </w:rPr>
        <w:t>投标人认为需要提供的其他资料</w:t>
      </w:r>
      <w:r>
        <w:tab/>
      </w:r>
      <w:r>
        <w:fldChar w:fldCharType="begin"/>
      </w:r>
      <w:r>
        <w:instrText xml:space="preserve"> PAGEREF _Toc15381 \h </w:instrText>
      </w:r>
      <w:r>
        <w:fldChar w:fldCharType="separate"/>
      </w:r>
      <w:r>
        <w:t>62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_Toc20989 </w:instrText>
      </w:r>
      <w:r>
        <w:rPr>
          <w:rFonts w:ascii="宋体" w:hAnsi="宋体"/>
          <w:szCs w:val="22"/>
        </w:rPr>
        <w:fldChar w:fldCharType="separate"/>
      </w:r>
      <w:r>
        <w:rPr>
          <w:rFonts w:hint="eastAsia" w:ascii="宋体" w:hAnsi="宋体"/>
          <w:szCs w:val="24"/>
        </w:rPr>
        <w:t>第二分册</w:t>
      </w:r>
      <w:r>
        <w:tab/>
      </w:r>
      <w:r>
        <w:fldChar w:fldCharType="begin"/>
      </w:r>
      <w:r>
        <w:instrText xml:space="preserve"> PAGEREF _Toc20989 \h </w:instrText>
      </w:r>
      <w:r>
        <w:fldChar w:fldCharType="separate"/>
      </w:r>
      <w:r>
        <w:t>63</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_Toc19580 </w:instrText>
      </w:r>
      <w:r>
        <w:rPr>
          <w:rFonts w:ascii="宋体" w:hAnsi="宋体"/>
          <w:szCs w:val="22"/>
        </w:rPr>
        <w:fldChar w:fldCharType="separate"/>
      </w:r>
      <w:r>
        <w:rPr>
          <w:rFonts w:hint="eastAsia" w:ascii="宋体" w:hAnsi="宋体"/>
          <w:szCs w:val="24"/>
        </w:rPr>
        <w:t xml:space="preserve">1. </w:t>
      </w:r>
      <w:r>
        <w:rPr>
          <w:rFonts w:hint="eastAsia" w:ascii="宋体" w:hAnsi="宋体"/>
          <w:szCs w:val="24"/>
          <w:lang w:val="en-US" w:eastAsia="zh-CN"/>
        </w:rPr>
        <w:t>经济投标</w:t>
      </w:r>
      <w:r>
        <w:rPr>
          <w:rFonts w:hint="eastAsia" w:ascii="宋体" w:hAnsi="宋体"/>
          <w:szCs w:val="24"/>
        </w:rPr>
        <w:t>文件封面</w:t>
      </w:r>
      <w:r>
        <w:tab/>
      </w:r>
      <w:r>
        <w:fldChar w:fldCharType="begin"/>
      </w:r>
      <w:r>
        <w:instrText xml:space="preserve"> PAGEREF _Toc19580 \h </w:instrText>
      </w:r>
      <w:r>
        <w:fldChar w:fldCharType="separate"/>
      </w:r>
      <w:r>
        <w:t>63</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_Toc14853 </w:instrText>
      </w:r>
      <w:r>
        <w:rPr>
          <w:rFonts w:ascii="宋体" w:hAnsi="宋体"/>
          <w:szCs w:val="22"/>
        </w:rPr>
        <w:fldChar w:fldCharType="separate"/>
      </w:r>
      <w:r>
        <w:rPr>
          <w:rFonts w:hint="eastAsia" w:ascii="宋体" w:hAnsi="宋体"/>
          <w:szCs w:val="24"/>
        </w:rPr>
        <w:t>2. 报价一览表</w:t>
      </w:r>
      <w:r>
        <w:tab/>
      </w:r>
      <w:r>
        <w:fldChar w:fldCharType="begin"/>
      </w:r>
      <w:r>
        <w:instrText xml:space="preserve"> PAGEREF _Toc14853 \h </w:instrText>
      </w:r>
      <w:r>
        <w:fldChar w:fldCharType="separate"/>
      </w:r>
      <w:r>
        <w:t>64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_Toc25930 </w:instrText>
      </w:r>
      <w:r>
        <w:rPr>
          <w:rFonts w:ascii="宋体" w:hAnsi="宋体"/>
          <w:szCs w:val="22"/>
        </w:rPr>
        <w:fldChar w:fldCharType="separate"/>
      </w:r>
      <w:r>
        <w:rPr>
          <w:rFonts w:hint="eastAsia" w:ascii="宋体" w:hAnsi="宋体"/>
          <w:szCs w:val="24"/>
        </w:rPr>
        <w:t>3. 分项一览表（格式</w:t>
      </w:r>
      <w:r>
        <w:rPr>
          <w:rFonts w:hint="eastAsia" w:ascii="宋体" w:hAnsi="宋体"/>
          <w:szCs w:val="24"/>
          <w:lang w:val="en-US" w:eastAsia="zh-CN"/>
        </w:rPr>
        <w:t>详见附表1</w:t>
      </w:r>
      <w:r>
        <w:rPr>
          <w:rFonts w:hint="eastAsia" w:ascii="宋体" w:hAnsi="宋体"/>
          <w:szCs w:val="24"/>
        </w:rPr>
        <w:t>）</w:t>
      </w:r>
      <w:r>
        <w:tab/>
      </w:r>
      <w:r>
        <w:fldChar w:fldCharType="begin"/>
      </w:r>
      <w:r>
        <w:instrText xml:space="preserve"> PAGEREF _Toc25930 \h </w:instrText>
      </w:r>
      <w:r>
        <w:fldChar w:fldCharType="separate"/>
      </w:r>
      <w:r>
        <w:t>65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_Toc10001 </w:instrText>
      </w:r>
      <w:r>
        <w:rPr>
          <w:rFonts w:ascii="宋体" w:hAnsi="宋体"/>
          <w:szCs w:val="22"/>
        </w:rPr>
        <w:fldChar w:fldCharType="separate"/>
      </w:r>
      <w:r>
        <w:rPr>
          <w:rFonts w:hint="eastAsia" w:ascii="宋体" w:hAnsi="宋体"/>
          <w:szCs w:val="24"/>
        </w:rPr>
        <w:t>4. 招标代理服务费承诺书</w:t>
      </w:r>
      <w:r>
        <w:tab/>
      </w:r>
      <w:r>
        <w:fldChar w:fldCharType="begin"/>
      </w:r>
      <w:r>
        <w:instrText xml:space="preserve"> PAGEREF _Toc10001 \h </w:instrText>
      </w:r>
      <w:r>
        <w:fldChar w:fldCharType="separate"/>
      </w:r>
      <w:r>
        <w:t>66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_Toc31081 </w:instrText>
      </w:r>
      <w:r>
        <w:rPr>
          <w:rFonts w:ascii="宋体" w:hAnsi="宋体"/>
          <w:szCs w:val="22"/>
        </w:rPr>
        <w:fldChar w:fldCharType="separate"/>
      </w:r>
      <w:r>
        <w:rPr>
          <w:rFonts w:hint="eastAsia" w:ascii="宋体" w:hAnsi="宋体"/>
          <w:szCs w:val="24"/>
        </w:rPr>
        <w:t>5. 投标保证金汇款凭证</w:t>
      </w:r>
      <w:r>
        <w:tab/>
      </w:r>
      <w:r>
        <w:fldChar w:fldCharType="begin"/>
      </w:r>
      <w:r>
        <w:instrText xml:space="preserve"> PAGEREF _Toc31081 \h </w:instrText>
      </w:r>
      <w:r>
        <w:fldChar w:fldCharType="separate"/>
      </w:r>
      <w:r>
        <w:t>67</w:t>
      </w:r>
      <w:r>
        <w:fldChar w:fldCharType="end"/>
      </w:r>
      <w:r>
        <w:rPr>
          <w:rFonts w:ascii="宋体" w:hAnsi="宋体"/>
          <w:color w:val="auto"/>
          <w:szCs w:val="22"/>
        </w:rPr>
        <w:fldChar w:fldCharType="end"/>
      </w:r>
    </w:p>
    <w:p>
      <w:pPr>
        <w:spacing w:after="120" w:line="360" w:lineRule="auto"/>
        <w:rPr>
          <w:rFonts w:ascii="宋体" w:hAnsi="宋体" w:cs="宋体"/>
          <w:color w:val="auto"/>
          <w:sz w:val="24"/>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AndChars" w:linePitch="380" w:charSpace="0"/>
        </w:sectPr>
      </w:pPr>
      <w:r>
        <w:rPr>
          <w:rFonts w:ascii="宋体" w:hAnsi="宋体"/>
          <w:color w:val="auto"/>
          <w:szCs w:val="22"/>
        </w:rPr>
        <w:fldChar w:fldCharType="end"/>
      </w:r>
    </w:p>
    <w:p>
      <w:pPr>
        <w:pStyle w:val="77"/>
        <w:spacing w:before="240" w:after="120"/>
        <w:rPr>
          <w:rFonts w:ascii="宋体" w:hAnsi="宋体" w:eastAsia="宋体" w:cs="宋体"/>
          <w:b/>
          <w:bCs w:val="0"/>
          <w:color w:val="auto"/>
          <w:kern w:val="0"/>
          <w:sz w:val="28"/>
          <w:szCs w:val="28"/>
        </w:rPr>
      </w:pPr>
      <w:bookmarkStart w:id="1" w:name="_Toc447265497"/>
      <w:bookmarkStart w:id="2" w:name="_Toc447265211"/>
      <w:bookmarkStart w:id="3" w:name="_Toc447188662"/>
      <w:bookmarkStart w:id="4" w:name="_Toc2882"/>
      <w:bookmarkStart w:id="5" w:name="_Toc21882"/>
      <w:bookmarkStart w:id="6" w:name="_Toc56432210"/>
      <w:bookmarkStart w:id="7" w:name="_Toc23697"/>
      <w:bookmarkStart w:id="8" w:name="_Toc7924"/>
      <w:bookmarkStart w:id="9" w:name="_Toc447265797"/>
      <w:r>
        <w:rPr>
          <w:rFonts w:hint="eastAsia" w:ascii="宋体" w:hAnsi="宋体" w:eastAsia="宋体" w:cs="宋体"/>
          <w:b/>
          <w:bCs w:val="0"/>
          <w:color w:val="auto"/>
          <w:kern w:val="0"/>
          <w:sz w:val="28"/>
          <w:szCs w:val="28"/>
        </w:rPr>
        <w:t>第一章</w:t>
      </w:r>
      <w:r>
        <w:rPr>
          <w:rFonts w:ascii="宋体" w:hAnsi="宋体" w:eastAsia="宋体" w:cs="宋体"/>
          <w:b/>
          <w:bCs w:val="0"/>
          <w:color w:val="auto"/>
          <w:kern w:val="0"/>
          <w:sz w:val="28"/>
          <w:szCs w:val="28"/>
        </w:rPr>
        <w:t xml:space="preserve">  招标公告</w:t>
      </w:r>
      <w:bookmarkEnd w:id="1"/>
      <w:bookmarkEnd w:id="2"/>
      <w:bookmarkEnd w:id="3"/>
      <w:bookmarkEnd w:id="4"/>
      <w:bookmarkEnd w:id="5"/>
      <w:bookmarkEnd w:id="6"/>
      <w:bookmarkEnd w:id="7"/>
      <w:bookmarkEnd w:id="8"/>
      <w:bookmarkEnd w:id="9"/>
    </w:p>
    <w:p>
      <w:pPr>
        <w:adjustRightInd w:val="0"/>
        <w:snapToGrid w:val="0"/>
        <w:spacing w:line="440" w:lineRule="exact"/>
        <w:ind w:firstLine="482" w:firstLineChars="200"/>
        <w:jc w:val="center"/>
        <w:rPr>
          <w:rFonts w:ascii="宋体" w:hAnsi="宋体"/>
          <w:b/>
          <w:bCs/>
          <w:color w:val="auto"/>
          <w:sz w:val="24"/>
        </w:rPr>
      </w:pPr>
      <w:r>
        <w:rPr>
          <w:rFonts w:hint="eastAsia" w:ascii="宋体" w:hAnsi="宋体"/>
          <w:b/>
          <w:bCs/>
          <w:color w:val="auto"/>
          <w:sz w:val="24"/>
          <w:szCs w:val="32"/>
          <w:u w:val="single"/>
          <w:lang w:eastAsia="zh-CN"/>
        </w:rPr>
        <w:t>南方日报广告业务管理平台升级改造公开招标项目</w:t>
      </w:r>
      <w:r>
        <w:rPr>
          <w:rFonts w:hint="eastAsia" w:ascii="宋体" w:hAnsi="宋体"/>
          <w:b/>
          <w:bCs/>
          <w:color w:val="auto"/>
          <w:sz w:val="24"/>
          <w:szCs w:val="32"/>
          <w:u w:val="single"/>
        </w:rPr>
        <w:t>招标公告</w:t>
      </w:r>
    </w:p>
    <w:p>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本招标项目为</w:t>
      </w:r>
      <w:r>
        <w:rPr>
          <w:rFonts w:hint="eastAsia" w:ascii="宋体" w:hAnsi="宋体"/>
          <w:color w:val="auto"/>
          <w:szCs w:val="21"/>
          <w:u w:val="single"/>
          <w:lang w:eastAsia="zh-CN"/>
        </w:rPr>
        <w:t>南方日报广告业务管理平台升级改造公开招标项目</w:t>
      </w:r>
      <w:r>
        <w:rPr>
          <w:rFonts w:hint="eastAsia" w:ascii="宋体" w:hAnsi="宋体"/>
          <w:color w:val="auto"/>
          <w:szCs w:val="21"/>
        </w:rPr>
        <w:t>，</w:t>
      </w:r>
      <w:r>
        <w:rPr>
          <w:rFonts w:hint="eastAsia" w:ascii="宋体" w:hAnsi="宋体"/>
          <w:color w:val="auto"/>
          <w:szCs w:val="21"/>
          <w:u w:val="single"/>
        </w:rPr>
        <w:t>（招标代理编号：</w:t>
      </w:r>
      <w:r>
        <w:rPr>
          <w:rFonts w:hint="eastAsia" w:ascii="宋体" w:hAnsi="宋体"/>
          <w:color w:val="auto"/>
          <w:szCs w:val="21"/>
          <w:u w:val="single"/>
          <w:lang w:eastAsia="zh-CN"/>
        </w:rPr>
        <w:t>WJS-202306280037</w:t>
      </w:r>
      <w:r>
        <w:rPr>
          <w:rFonts w:ascii="宋体" w:hAnsi="宋体"/>
          <w:color w:val="auto"/>
          <w:szCs w:val="21"/>
          <w:u w:val="single"/>
        </w:rPr>
        <w:t>）</w:t>
      </w:r>
      <w:r>
        <w:rPr>
          <w:rFonts w:hint="eastAsia" w:ascii="宋体" w:hAnsi="宋体"/>
          <w:color w:val="auto"/>
          <w:szCs w:val="21"/>
        </w:rPr>
        <w:t>，招标人为</w:t>
      </w:r>
      <w:r>
        <w:rPr>
          <w:rFonts w:hint="eastAsia" w:ascii="宋体" w:hAnsi="宋体"/>
          <w:color w:val="auto"/>
          <w:szCs w:val="21"/>
          <w:u w:val="single"/>
          <w:lang w:eastAsia="zh-CN"/>
        </w:rPr>
        <w:t>广东南方日报经营有限公司</w:t>
      </w:r>
      <w:r>
        <w:rPr>
          <w:rFonts w:hint="eastAsia" w:ascii="宋体" w:hAnsi="宋体"/>
          <w:color w:val="auto"/>
          <w:szCs w:val="21"/>
        </w:rPr>
        <w:t>，招标代理机构为</w:t>
      </w:r>
      <w:r>
        <w:rPr>
          <w:rFonts w:hint="eastAsia" w:ascii="宋体" w:hAnsi="宋体"/>
          <w:color w:val="auto"/>
          <w:u w:val="single"/>
        </w:rPr>
        <w:t>广东省南方文化产权交易所股份有限公司</w:t>
      </w:r>
      <w:r>
        <w:rPr>
          <w:rFonts w:hint="eastAsia" w:ascii="宋体" w:hAnsi="宋体"/>
          <w:color w:val="auto"/>
          <w:szCs w:val="21"/>
        </w:rPr>
        <w:t>。项目资金已落实，具备招标条件，现进行公开招标，特邀请有意向的且具有提供标的物能力的潜在投标人（以下简称投标人）投标。</w:t>
      </w:r>
    </w:p>
    <w:p>
      <w:pPr>
        <w:pStyle w:val="78"/>
        <w:numPr>
          <w:ilvl w:val="0"/>
          <w:numId w:val="3"/>
        </w:numPr>
        <w:adjustRightInd w:val="0"/>
        <w:snapToGrid w:val="0"/>
        <w:spacing w:line="440" w:lineRule="exact"/>
        <w:ind w:firstLineChars="0"/>
        <w:rPr>
          <w:rFonts w:ascii="宋体" w:hAnsi="宋体"/>
          <w:b/>
          <w:color w:val="auto"/>
          <w:szCs w:val="21"/>
        </w:rPr>
      </w:pPr>
      <w:r>
        <w:rPr>
          <w:rFonts w:hint="eastAsia" w:ascii="宋体" w:hAnsi="宋体"/>
          <w:b/>
          <w:color w:val="auto"/>
          <w:szCs w:val="21"/>
        </w:rPr>
        <w:t>项目概况与采购内容</w:t>
      </w:r>
    </w:p>
    <w:p>
      <w:pPr>
        <w:pStyle w:val="78"/>
        <w:adjustRightInd w:val="0"/>
        <w:snapToGrid w:val="0"/>
        <w:spacing w:line="440" w:lineRule="exact"/>
        <w:rPr>
          <w:rFonts w:hint="eastAsia" w:ascii="宋体" w:hAnsi="宋体"/>
          <w:color w:val="auto"/>
          <w:szCs w:val="21"/>
          <w:lang w:val="en-US" w:eastAsia="zh-CN"/>
        </w:rPr>
      </w:pPr>
      <w:r>
        <w:rPr>
          <w:rFonts w:ascii="宋体" w:hAnsi="宋体"/>
          <w:color w:val="auto"/>
          <w:szCs w:val="21"/>
        </w:rPr>
        <w:t>1.1</w:t>
      </w:r>
      <w:r>
        <w:rPr>
          <w:rFonts w:hint="eastAsia" w:ascii="宋体" w:hAnsi="宋体"/>
          <w:color w:val="auto"/>
          <w:szCs w:val="21"/>
          <w:lang w:val="en-US" w:eastAsia="zh-CN"/>
        </w:rPr>
        <w:t>项目预算</w:t>
      </w:r>
      <w:r>
        <w:rPr>
          <w:rFonts w:hint="eastAsia" w:ascii="宋体" w:hAnsi="宋体"/>
          <w:color w:val="auto"/>
          <w:szCs w:val="21"/>
        </w:rPr>
        <w:t>：</w:t>
      </w:r>
      <w:r>
        <w:rPr>
          <w:rFonts w:hint="eastAsia" w:ascii="宋体" w:hAnsi="宋体"/>
          <w:color w:val="auto"/>
          <w:szCs w:val="21"/>
          <w:lang w:val="en-US" w:eastAsia="zh-CN"/>
        </w:rPr>
        <w:t>1850000.00元</w:t>
      </w:r>
      <w:r>
        <w:rPr>
          <w:rFonts w:hint="eastAsia" w:ascii="宋体" w:hAnsi="宋体"/>
          <w:color w:val="auto"/>
          <w:szCs w:val="21"/>
        </w:rPr>
        <w:t>人民币（含税）</w:t>
      </w:r>
      <w:r>
        <w:rPr>
          <w:rFonts w:hint="eastAsia" w:ascii="宋体" w:hAnsi="宋体"/>
          <w:color w:val="auto"/>
          <w:szCs w:val="21"/>
          <w:lang w:val="en-US" w:eastAsia="zh-CN"/>
        </w:rPr>
        <w:t>。</w:t>
      </w:r>
    </w:p>
    <w:p>
      <w:pPr>
        <w:pStyle w:val="78"/>
        <w:adjustRightInd w:val="0"/>
        <w:snapToGrid w:val="0"/>
        <w:spacing w:line="440" w:lineRule="exact"/>
        <w:rPr>
          <w:rFonts w:hint="default" w:ascii="宋体" w:hAnsi="宋体" w:eastAsia="宋体"/>
          <w:color w:val="auto"/>
          <w:szCs w:val="21"/>
          <w:lang w:val="en-US" w:eastAsia="zh-CN"/>
        </w:rPr>
      </w:pPr>
      <w:r>
        <w:rPr>
          <w:rFonts w:ascii="宋体" w:hAnsi="宋体"/>
          <w:color w:val="auto"/>
          <w:szCs w:val="21"/>
        </w:rPr>
        <w:t xml:space="preserve">1.2项目概况: </w:t>
      </w:r>
      <w:r>
        <w:rPr>
          <w:rFonts w:hint="eastAsia" w:ascii="宋体" w:hAnsi="宋体"/>
          <w:color w:val="auto"/>
          <w:szCs w:val="21"/>
        </w:rPr>
        <w:t>本项目拟通过公开招标的方式</w:t>
      </w:r>
      <w:r>
        <w:rPr>
          <w:rFonts w:hint="eastAsia" w:ascii="宋体" w:hAnsi="宋体"/>
          <w:color w:val="auto"/>
          <w:szCs w:val="21"/>
          <w:lang w:val="en-US" w:eastAsia="zh-CN"/>
        </w:rPr>
        <w:t>选取1名中标人，</w:t>
      </w:r>
      <w:r>
        <w:rPr>
          <w:rFonts w:hint="eastAsia" w:ascii="宋体" w:hAnsi="宋体"/>
          <w:color w:val="auto"/>
          <w:szCs w:val="21"/>
        </w:rPr>
        <w:t>中标人根据招标人要求建立一个完整统一的融合媒体广告管理控制平台，实现南方日报跨媒体订单的全生命周期管理，建设一套满足“全媒体及多元化”业务开拓需求，适合报、端和多元化的统一的广告业务经营管理平台。</w:t>
      </w:r>
      <w:r>
        <w:rPr>
          <w:rFonts w:hint="eastAsia" w:ascii="宋体" w:hAnsi="宋体"/>
          <w:color w:val="auto"/>
          <w:szCs w:val="21"/>
          <w:lang w:val="en-US" w:eastAsia="zh-CN"/>
        </w:rPr>
        <w:t>具体的平台升级改造功能服务要求详见第五章《采购需求书》。</w:t>
      </w:r>
    </w:p>
    <w:p>
      <w:pPr>
        <w:pStyle w:val="78"/>
        <w:adjustRightInd w:val="0"/>
        <w:snapToGrid w:val="0"/>
        <w:spacing w:line="440" w:lineRule="exact"/>
        <w:ind w:firstLine="420" w:firstLineChars="200"/>
        <w:rPr>
          <w:rFonts w:hint="eastAsia" w:ascii="宋体" w:hAnsi="宋体" w:eastAsia="宋体"/>
          <w:color w:val="auto"/>
          <w:szCs w:val="21"/>
          <w:lang w:eastAsia="zh-CN"/>
        </w:rPr>
      </w:pPr>
      <w:r>
        <w:rPr>
          <w:rFonts w:ascii="宋体" w:hAnsi="宋体"/>
          <w:color w:val="auto"/>
          <w:szCs w:val="21"/>
        </w:rPr>
        <w:t xml:space="preserve">1.3 </w:t>
      </w:r>
      <w:r>
        <w:rPr>
          <w:rFonts w:hint="eastAsia" w:ascii="宋体" w:hAnsi="宋体"/>
          <w:szCs w:val="21"/>
        </w:rPr>
        <w:t>服务期限：合同签订后1个月内</w:t>
      </w:r>
      <w:r>
        <w:rPr>
          <w:rFonts w:hint="eastAsia" w:ascii="宋体" w:hAnsi="宋体"/>
          <w:szCs w:val="21"/>
          <w:lang w:val="en-US" w:eastAsia="zh-CN"/>
        </w:rPr>
        <w:t>完成</w:t>
      </w:r>
      <w:r>
        <w:rPr>
          <w:rFonts w:hint="eastAsia" w:ascii="宋体" w:hAnsi="宋体"/>
          <w:szCs w:val="21"/>
        </w:rPr>
        <w:t>系统开发需求说明书</w:t>
      </w:r>
      <w:r>
        <w:rPr>
          <w:rFonts w:hint="eastAsia" w:ascii="宋体" w:hAnsi="宋体"/>
          <w:szCs w:val="21"/>
          <w:lang w:val="en-US" w:eastAsia="zh-CN"/>
        </w:rPr>
        <w:t>并</w:t>
      </w:r>
      <w:r>
        <w:rPr>
          <w:rFonts w:hint="eastAsia" w:ascii="宋体" w:hAnsi="宋体"/>
          <w:szCs w:val="21"/>
        </w:rPr>
        <w:t>经甲方确认通过；系统开发需求说明书经甲方确认通过后3个</w:t>
      </w:r>
      <w:bookmarkStart w:id="837" w:name="_GoBack"/>
      <w:bookmarkEnd w:id="837"/>
      <w:r>
        <w:rPr>
          <w:rFonts w:hint="eastAsia" w:ascii="宋体" w:hAnsi="宋体"/>
          <w:szCs w:val="21"/>
        </w:rPr>
        <w:t>月内，系统完成核心功能开发并上线试运行；系统开发需求说明书经甲方确认通过后</w:t>
      </w:r>
      <w:r>
        <w:rPr>
          <w:rFonts w:hint="eastAsia" w:ascii="宋体" w:hAnsi="宋体"/>
          <w:szCs w:val="21"/>
          <w:lang w:val="en-US" w:eastAsia="zh-CN"/>
        </w:rPr>
        <w:t>6</w:t>
      </w:r>
      <w:r>
        <w:rPr>
          <w:rFonts w:hint="eastAsia" w:ascii="宋体" w:hAnsi="宋体"/>
          <w:szCs w:val="21"/>
        </w:rPr>
        <w:t>个月内，系统正式上线，并通过验收。</w:t>
      </w:r>
      <w:r>
        <w:rPr>
          <w:rFonts w:hint="eastAsia" w:ascii="宋体" w:hAnsi="宋体"/>
          <w:szCs w:val="21"/>
          <w:lang w:val="en-US" w:eastAsia="zh-CN"/>
        </w:rPr>
        <w:t>自通过终验验收之日起质保期1年</w:t>
      </w:r>
      <w:r>
        <w:rPr>
          <w:rFonts w:hint="eastAsia" w:ascii="宋体" w:hAnsi="宋体"/>
          <w:szCs w:val="21"/>
          <w:lang w:eastAsia="zh-CN"/>
        </w:rPr>
        <w:t>。</w:t>
      </w:r>
    </w:p>
    <w:p>
      <w:pPr>
        <w:pStyle w:val="78"/>
        <w:numPr>
          <w:ilvl w:val="0"/>
          <w:numId w:val="3"/>
        </w:numPr>
        <w:adjustRightInd w:val="0"/>
        <w:snapToGrid w:val="0"/>
        <w:spacing w:line="440" w:lineRule="exact"/>
        <w:ind w:firstLineChars="0"/>
        <w:rPr>
          <w:rFonts w:ascii="宋体" w:hAnsi="宋体"/>
          <w:b/>
          <w:color w:val="auto"/>
          <w:szCs w:val="21"/>
        </w:rPr>
      </w:pPr>
      <w:bookmarkStart w:id="10" w:name="_Toc184704555"/>
      <w:bookmarkStart w:id="11" w:name="_Toc319394714"/>
      <w:bookmarkStart w:id="12" w:name="_Toc319769473"/>
      <w:r>
        <w:rPr>
          <w:rFonts w:hint="eastAsia" w:ascii="宋体" w:hAnsi="宋体"/>
          <w:b/>
          <w:color w:val="auto"/>
          <w:szCs w:val="21"/>
        </w:rPr>
        <w:t>投标人资格要求</w:t>
      </w:r>
      <w:bookmarkEnd w:id="10"/>
      <w:bookmarkEnd w:id="11"/>
      <w:bookmarkEnd w:id="12"/>
      <w:r>
        <w:rPr>
          <w:rFonts w:ascii="宋体" w:hAnsi="宋体"/>
          <w:b/>
          <w:color w:val="auto"/>
          <w:szCs w:val="21"/>
        </w:rPr>
        <w:t xml:space="preserve"> </w:t>
      </w:r>
    </w:p>
    <w:p>
      <w:pPr>
        <w:pStyle w:val="78"/>
        <w:adjustRightInd w:val="0"/>
        <w:snapToGrid w:val="0"/>
        <w:spacing w:line="440" w:lineRule="exact"/>
        <w:rPr>
          <w:rFonts w:hint="eastAsia" w:ascii="宋体" w:hAnsi="宋体"/>
          <w:b/>
          <w:bCs/>
          <w:color w:val="auto"/>
          <w:szCs w:val="21"/>
          <w:lang w:eastAsia="zh-CN"/>
        </w:rPr>
      </w:pPr>
      <w:bookmarkStart w:id="13" w:name="_Toc319394715"/>
      <w:bookmarkStart w:id="14" w:name="_Toc319769474"/>
      <w:bookmarkStart w:id="15" w:name="_Toc184704556"/>
      <w:r>
        <w:rPr>
          <w:rFonts w:ascii="宋体" w:hAnsi="宋体"/>
          <w:color w:val="auto"/>
          <w:szCs w:val="21"/>
        </w:rPr>
        <w:t>2.1投标人须在中华人民共和国境内注册的具有独立承担民事责任能力的法人或其他组织，提供营业执照或事业法人证书（分公司投标须得到总公司授权，同时提供总公司营业执照及盖章授权函）；</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w:t>
      </w:r>
      <w:r>
        <w:rPr>
          <w:rFonts w:hint="eastAsia" w:ascii="宋体" w:hAnsi="宋体"/>
          <w:color w:val="auto"/>
          <w:szCs w:val="21"/>
          <w:lang w:val="en-US" w:eastAsia="zh-CN"/>
        </w:rPr>
        <w:t>投标人</w:t>
      </w:r>
      <w:r>
        <w:rPr>
          <w:rFonts w:ascii="宋体" w:hAnsi="宋体"/>
          <w:color w:val="auto"/>
          <w:szCs w:val="21"/>
        </w:rPr>
        <w:t>，不得参加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4</w:t>
      </w:r>
      <w:r>
        <w:rPr>
          <w:rFonts w:ascii="宋体" w:hAnsi="宋体"/>
          <w:color w:val="auto"/>
          <w:szCs w:val="21"/>
        </w:rPr>
        <w:t>本</w:t>
      </w:r>
      <w:r>
        <w:rPr>
          <w:rFonts w:hint="eastAsia" w:ascii="宋体" w:hAnsi="宋体" w:cs="宋体"/>
          <w:color w:val="auto"/>
          <w:szCs w:val="21"/>
          <w:lang w:val="en-US" w:eastAsia="zh-CN"/>
        </w:rPr>
        <w:t>项目</w:t>
      </w:r>
      <w:r>
        <w:rPr>
          <w:rFonts w:ascii="宋体" w:hAnsi="宋体"/>
          <w:color w:val="auto"/>
          <w:szCs w:val="21"/>
        </w:rPr>
        <w:t>不接受联合体投标，不允许转包、违法分包。</w:t>
      </w:r>
    </w:p>
    <w:p>
      <w:pPr>
        <w:pStyle w:val="78"/>
        <w:numPr>
          <w:ilvl w:val="0"/>
          <w:numId w:val="3"/>
        </w:numPr>
        <w:adjustRightInd w:val="0"/>
        <w:snapToGrid w:val="0"/>
        <w:spacing w:line="440" w:lineRule="exact"/>
        <w:ind w:firstLineChars="0"/>
        <w:rPr>
          <w:rFonts w:ascii="宋体" w:hAnsi="宋体"/>
          <w:b/>
          <w:color w:val="auto"/>
          <w:szCs w:val="21"/>
        </w:rPr>
      </w:pPr>
      <w:r>
        <w:rPr>
          <w:rFonts w:hint="eastAsia" w:ascii="宋体" w:hAnsi="宋体"/>
          <w:b/>
          <w:color w:val="auto"/>
          <w:szCs w:val="21"/>
        </w:rPr>
        <w:t>资格审查方法</w:t>
      </w:r>
      <w:bookmarkEnd w:id="13"/>
      <w:bookmarkEnd w:id="14"/>
      <w:bookmarkEnd w:id="15"/>
    </w:p>
    <w:p>
      <w:pPr>
        <w:pStyle w:val="78"/>
        <w:adjustRightInd w:val="0"/>
        <w:snapToGrid w:val="0"/>
        <w:spacing w:line="440" w:lineRule="exact"/>
        <w:rPr>
          <w:rFonts w:ascii="宋体" w:hAnsi="宋体"/>
          <w:color w:val="auto"/>
          <w:szCs w:val="21"/>
        </w:rPr>
      </w:pPr>
      <w:r>
        <w:rPr>
          <w:rFonts w:hint="eastAsia" w:ascii="宋体" w:hAnsi="宋体"/>
          <w:color w:val="auto"/>
          <w:szCs w:val="21"/>
        </w:rPr>
        <w:t>本项目将进行资格后审，资格审查标准和内容见招标文件第三章“评审办法”，凡未通过资格后审的投标人，其投标文件将被否决。</w:t>
      </w:r>
    </w:p>
    <w:p>
      <w:pPr>
        <w:pStyle w:val="78"/>
        <w:numPr>
          <w:ilvl w:val="0"/>
          <w:numId w:val="3"/>
        </w:numPr>
        <w:adjustRightInd w:val="0"/>
        <w:snapToGrid w:val="0"/>
        <w:spacing w:line="440" w:lineRule="exact"/>
        <w:ind w:firstLineChars="0"/>
        <w:rPr>
          <w:rFonts w:ascii="宋体" w:hAnsi="宋体"/>
          <w:b/>
          <w:color w:val="auto"/>
          <w:szCs w:val="21"/>
        </w:rPr>
      </w:pPr>
      <w:r>
        <w:rPr>
          <w:rFonts w:hint="eastAsia" w:ascii="宋体" w:hAnsi="宋体"/>
          <w:b/>
          <w:color w:val="auto"/>
          <w:szCs w:val="21"/>
        </w:rPr>
        <w:t>招标文件获取</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4.1获取时间：</w:t>
      </w:r>
      <w:r>
        <w:rPr>
          <w:rFonts w:hint="eastAsia" w:ascii="宋体" w:hAnsi="宋体"/>
          <w:color w:val="auto"/>
          <w:szCs w:val="21"/>
        </w:rPr>
        <w:t>凡有意参加投标人，从</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日8时30分到202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13</w:t>
      </w:r>
      <w:r>
        <w:rPr>
          <w:rFonts w:ascii="宋体" w:hAnsi="宋体"/>
          <w:color w:val="auto"/>
          <w:szCs w:val="21"/>
        </w:rPr>
        <w:t>日17时30分</w:t>
      </w:r>
      <w:r>
        <w:rPr>
          <w:rFonts w:hint="eastAsia" w:ascii="宋体" w:hAnsi="宋体"/>
          <w:color w:val="auto"/>
          <w:szCs w:val="21"/>
        </w:rPr>
        <w:t>，通过“广东省文化公共资源服务平台</w:t>
      </w:r>
      <w:r>
        <w:rPr>
          <w:rFonts w:ascii="宋体" w:hAnsi="宋体"/>
          <w:color w:val="auto"/>
          <w:szCs w:val="21"/>
        </w:rPr>
        <w:t>-电子采购交易平台”（网址：https://whggzy.cnscee.com/）获取招标文件。</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4.2</w:t>
      </w:r>
      <w:r>
        <w:rPr>
          <w:rFonts w:hint="eastAsia" w:ascii="宋体" w:hAnsi="宋体"/>
          <w:color w:val="auto"/>
          <w:szCs w:val="21"/>
        </w:rPr>
        <w:t>注册：输入网址，点击【新用户注册】。登陆账号后点击【常用文件】，下载《供应商</w:t>
      </w:r>
      <w:r>
        <w:rPr>
          <w:rFonts w:ascii="宋体" w:hAnsi="宋体"/>
          <w:color w:val="auto"/>
          <w:szCs w:val="21"/>
        </w:rPr>
        <w:t>&amp;供应商操作手册》。</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4.3</w:t>
      </w:r>
      <w:r>
        <w:rPr>
          <w:rFonts w:hint="eastAsia" w:ascii="宋体" w:hAnsi="宋体"/>
          <w:color w:val="auto"/>
          <w:szCs w:val="21"/>
        </w:rPr>
        <w:t>招标文件费支付与下载：</w:t>
      </w:r>
      <w:r>
        <w:rPr>
          <w:rFonts w:ascii="宋体" w:hAnsi="宋体"/>
          <w:color w:val="auto"/>
          <w:szCs w:val="21"/>
        </w:rPr>
        <w:t xml:space="preserve"> </w:t>
      </w:r>
      <w:r>
        <w:rPr>
          <w:rFonts w:hint="eastAsia" w:ascii="宋体" w:hAnsi="宋体"/>
          <w:color w:val="auto"/>
          <w:szCs w:val="21"/>
        </w:rPr>
        <w:t>注册成功后登录平台，点击【商机发现】，检索本项目；</w:t>
      </w:r>
    </w:p>
    <w:p>
      <w:pPr>
        <w:pStyle w:val="78"/>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4.4</w:t>
      </w:r>
      <w:r>
        <w:rPr>
          <w:rFonts w:hint="eastAsia" w:ascii="宋体" w:hAnsi="宋体"/>
          <w:color w:val="auto"/>
          <w:szCs w:val="21"/>
        </w:rPr>
        <w:t>招标文件费：</w:t>
      </w:r>
      <w:r>
        <w:rPr>
          <w:rFonts w:hint="eastAsia" w:ascii="宋体" w:hAnsi="宋体"/>
          <w:color w:val="auto"/>
          <w:szCs w:val="21"/>
          <w:lang w:val="en-US" w:eastAsia="zh-CN"/>
        </w:rPr>
        <w:t>15</w:t>
      </w:r>
      <w:r>
        <w:rPr>
          <w:rFonts w:ascii="宋体" w:hAnsi="宋体"/>
          <w:color w:val="auto"/>
          <w:szCs w:val="21"/>
        </w:rPr>
        <w:t>0元人民币，支付不退。</w:t>
      </w:r>
    </w:p>
    <w:p>
      <w:pPr>
        <w:pStyle w:val="78"/>
        <w:adjustRightInd w:val="0"/>
        <w:snapToGrid w:val="0"/>
        <w:spacing w:line="440" w:lineRule="exact"/>
        <w:rPr>
          <w:rFonts w:ascii="宋体" w:hAnsi="宋体"/>
          <w:color w:val="auto"/>
          <w:szCs w:val="21"/>
        </w:rPr>
      </w:pPr>
      <w:r>
        <w:rPr>
          <w:rFonts w:hint="eastAsia" w:ascii="宋体" w:hAnsi="宋体"/>
          <w:color w:val="auto"/>
          <w:szCs w:val="21"/>
        </w:rPr>
        <w:t>支付方式：银行转账，转账完成后将汇款凭证及时上传平台，通过审核后可下载招标文件。转账账号信息如下：</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公司名称：广东省南方文化产权交易所股份有限公司</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银行名称：民生银行广州环市支行</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4.5疑问反馈：具体操作若有疑问，可致电客服热线：020-89524219。服务时间8:30-17:30（工作日）。</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4.6免责声明：“广东省文化公共资源服务平台-电子采购交易平台”（网址：</w:t>
      </w:r>
      <w:r>
        <w:rPr>
          <w:color w:val="auto"/>
        </w:rPr>
        <w:fldChar w:fldCharType="begin"/>
      </w:r>
      <w:r>
        <w:rPr>
          <w:color w:val="auto"/>
        </w:rPr>
        <w:instrText xml:space="preserve"> HYPERLINK "https://whggzy.cnscee.com/））为本项目获取文件的唯一渠道，其他平台的获取及支付均属无效。" </w:instrText>
      </w:r>
      <w:r>
        <w:rPr>
          <w:color w:val="auto"/>
        </w:rPr>
        <w:fldChar w:fldCharType="separate"/>
      </w:r>
      <w:r>
        <w:rPr>
          <w:rFonts w:ascii="宋体" w:hAnsi="宋体"/>
          <w:color w:val="auto"/>
          <w:szCs w:val="21"/>
        </w:rPr>
        <w:t>https://whggzy.cnscee.com/））为本项目获取文件的唯一渠道，其他平台的获取及支付均属无效。</w:t>
      </w:r>
      <w:r>
        <w:rPr>
          <w:rFonts w:ascii="宋体" w:hAnsi="宋体"/>
          <w:color w:val="auto"/>
          <w:szCs w:val="21"/>
        </w:rPr>
        <w:fldChar w:fldCharType="end"/>
      </w:r>
    </w:p>
    <w:p>
      <w:pPr>
        <w:pStyle w:val="78"/>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4.7审核联系人：陈女士，电话：18102224947</w:t>
      </w:r>
    </w:p>
    <w:p>
      <w:pPr>
        <w:numPr>
          <w:ilvl w:val="0"/>
          <w:numId w:val="3"/>
        </w:numPr>
        <w:spacing w:line="440" w:lineRule="exact"/>
        <w:ind w:left="0" w:firstLine="424" w:firstLineChars="201"/>
        <w:rPr>
          <w:rFonts w:ascii="宋体" w:hAnsi="宋体"/>
          <w:b/>
          <w:color w:val="auto"/>
          <w:szCs w:val="21"/>
        </w:rPr>
      </w:pPr>
      <w:r>
        <w:rPr>
          <w:rFonts w:hint="eastAsia" w:ascii="宋体" w:hAnsi="宋体"/>
          <w:b/>
          <w:color w:val="auto"/>
          <w:szCs w:val="21"/>
        </w:rPr>
        <w:t>投标文件的递交</w:t>
      </w:r>
    </w:p>
    <w:p>
      <w:pPr>
        <w:pStyle w:val="78"/>
        <w:numPr>
          <w:ilvl w:val="1"/>
          <w:numId w:val="3"/>
        </w:numPr>
        <w:adjustRightInd w:val="0"/>
        <w:snapToGrid w:val="0"/>
        <w:spacing w:line="440" w:lineRule="exact"/>
        <w:ind w:left="0" w:firstLine="424" w:firstLineChars="202"/>
        <w:rPr>
          <w:rFonts w:ascii="宋体" w:hAnsi="宋体"/>
          <w:color w:val="auto"/>
          <w:szCs w:val="21"/>
        </w:rPr>
      </w:pPr>
      <w:r>
        <w:rPr>
          <w:rFonts w:hint="eastAsia" w:ascii="宋体" w:hAnsi="宋体"/>
          <w:color w:val="auto"/>
          <w:szCs w:val="21"/>
        </w:rPr>
        <w:t>投标文件</w:t>
      </w:r>
      <w:r>
        <w:rPr>
          <w:rFonts w:hint="eastAsia" w:ascii="宋体" w:hAnsi="宋体"/>
          <w:color w:val="auto"/>
        </w:rPr>
        <w:t>递交截止时间</w:t>
      </w:r>
      <w:r>
        <w:rPr>
          <w:rFonts w:hint="eastAsia" w:ascii="宋体" w:hAnsi="宋体"/>
          <w:color w:val="auto"/>
          <w:szCs w:val="21"/>
        </w:rPr>
        <w:t>（即投标截止时间）：</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27</w:t>
      </w:r>
      <w:r>
        <w:rPr>
          <w:rFonts w:ascii="宋体" w:hAnsi="宋体"/>
          <w:color w:val="auto"/>
          <w:szCs w:val="21"/>
        </w:rPr>
        <w:t>日</w:t>
      </w:r>
      <w:r>
        <w:rPr>
          <w:rFonts w:hint="eastAsia" w:ascii="宋体" w:hAnsi="宋体"/>
          <w:color w:val="auto"/>
          <w:szCs w:val="21"/>
          <w:lang w:val="en-US" w:eastAsia="zh-CN"/>
        </w:rPr>
        <w:t>09</w:t>
      </w:r>
      <w:r>
        <w:rPr>
          <w:rFonts w:hint="eastAsia" w:ascii="宋体" w:hAnsi="宋体"/>
          <w:color w:val="auto"/>
          <w:szCs w:val="21"/>
        </w:rPr>
        <w:t>时</w:t>
      </w:r>
      <w:r>
        <w:rPr>
          <w:rFonts w:ascii="宋体" w:hAnsi="宋体"/>
          <w:color w:val="auto"/>
          <w:szCs w:val="21"/>
        </w:rPr>
        <w:t>30分</w:t>
      </w:r>
    </w:p>
    <w:p>
      <w:pPr>
        <w:pStyle w:val="78"/>
        <w:numPr>
          <w:ilvl w:val="1"/>
          <w:numId w:val="3"/>
        </w:numPr>
        <w:adjustRightInd w:val="0"/>
        <w:snapToGrid w:val="0"/>
        <w:spacing w:line="440" w:lineRule="exact"/>
        <w:ind w:left="0" w:firstLine="424" w:firstLineChars="202"/>
        <w:rPr>
          <w:color w:val="auto"/>
          <w:szCs w:val="21"/>
        </w:rPr>
      </w:pPr>
      <w:r>
        <w:rPr>
          <w:rFonts w:hint="eastAsia" w:ascii="宋体" w:hAnsi="宋体"/>
          <w:color w:val="auto"/>
          <w:szCs w:val="21"/>
        </w:rPr>
        <w:t>地点：广州市越秀区广州大道中</w:t>
      </w:r>
      <w:r>
        <w:rPr>
          <w:rFonts w:ascii="宋体" w:hAnsi="宋体"/>
          <w:color w:val="auto"/>
          <w:szCs w:val="21"/>
        </w:rPr>
        <w:t>289号南方报业传媒集团艺术园区生活综合楼三楼</w:t>
      </w:r>
      <w:r>
        <w:rPr>
          <w:color w:val="auto"/>
          <w:szCs w:val="21"/>
        </w:rPr>
        <w:t xml:space="preserve"> </w:t>
      </w:r>
    </w:p>
    <w:p>
      <w:pPr>
        <w:pStyle w:val="78"/>
        <w:adjustRightInd w:val="0"/>
        <w:snapToGrid w:val="0"/>
        <w:spacing w:line="440" w:lineRule="exact"/>
        <w:ind w:firstLine="426" w:firstLineChars="0"/>
        <w:jc w:val="left"/>
        <w:rPr>
          <w:color w:val="auto"/>
          <w:szCs w:val="21"/>
        </w:rPr>
      </w:pPr>
      <w:r>
        <w:rPr>
          <w:color w:val="auto"/>
          <w:szCs w:val="21"/>
        </w:rPr>
        <w:t>5.3</w:t>
      </w:r>
      <w:r>
        <w:rPr>
          <w:rFonts w:hint="eastAsia"/>
          <w:color w:val="auto"/>
          <w:szCs w:val="21"/>
        </w:rPr>
        <w:t>递交方式：</w:t>
      </w:r>
      <w:r>
        <w:rPr>
          <w:rFonts w:hint="eastAsia"/>
          <w:b/>
          <w:color w:val="auto"/>
          <w:szCs w:val="21"/>
        </w:rPr>
        <w:t>线下投标文件</w:t>
      </w:r>
    </w:p>
    <w:p>
      <w:pPr>
        <w:pStyle w:val="78"/>
        <w:adjustRightInd w:val="0"/>
        <w:snapToGrid w:val="0"/>
        <w:spacing w:line="440" w:lineRule="exact"/>
        <w:ind w:firstLine="426" w:firstLineChars="0"/>
        <w:jc w:val="left"/>
        <w:rPr>
          <w:color w:val="auto"/>
          <w:szCs w:val="21"/>
        </w:rPr>
      </w:pPr>
      <w:r>
        <w:rPr>
          <w:color w:val="auto"/>
          <w:szCs w:val="21"/>
        </w:rPr>
        <w:t>5.4</w:t>
      </w:r>
      <w:r>
        <w:rPr>
          <w:rFonts w:hint="eastAsia"/>
          <w:color w:val="auto"/>
          <w:szCs w:val="21"/>
        </w:rPr>
        <w:t>本项目将于上述同一时间、地点进行开标，逾期送达的或者未送达指定地点的投标文件，招标人不予受理。</w:t>
      </w:r>
    </w:p>
    <w:p>
      <w:pPr>
        <w:numPr>
          <w:ilvl w:val="0"/>
          <w:numId w:val="3"/>
        </w:numPr>
        <w:spacing w:line="440" w:lineRule="exact"/>
        <w:ind w:left="0" w:firstLine="424" w:firstLineChars="201"/>
        <w:rPr>
          <w:rFonts w:ascii="宋体" w:hAnsi="宋体"/>
          <w:b/>
          <w:color w:val="auto"/>
          <w:szCs w:val="21"/>
        </w:rPr>
      </w:pPr>
      <w:r>
        <w:rPr>
          <w:rFonts w:hint="eastAsia" w:ascii="宋体" w:hAnsi="宋体"/>
          <w:b/>
          <w:color w:val="auto"/>
          <w:szCs w:val="21"/>
        </w:rPr>
        <w:t>发布公告的媒介</w:t>
      </w:r>
    </w:p>
    <w:p>
      <w:pPr>
        <w:pStyle w:val="78"/>
        <w:adjustRightInd w:val="0"/>
        <w:snapToGrid w:val="0"/>
        <w:spacing w:line="440" w:lineRule="exact"/>
        <w:jc w:val="left"/>
        <w:rPr>
          <w:rFonts w:ascii="宋体" w:hAnsi="宋体"/>
          <w:color w:val="auto"/>
          <w:szCs w:val="21"/>
        </w:rPr>
      </w:pPr>
      <w:r>
        <w:rPr>
          <w:rFonts w:hint="eastAsia"/>
          <w:color w:val="auto"/>
        </w:rPr>
        <w:t>本次招标公告同时在南方日报、招标人网站（</w:t>
      </w:r>
      <w:r>
        <w:rPr>
          <w:color w:val="auto"/>
        </w:rPr>
        <w:t>http://www.southcn.com/zbtb/zbgg/node_374095.htm</w:t>
      </w:r>
      <w:r>
        <w:rPr>
          <w:rFonts w:hint="eastAsia"/>
          <w:color w:val="auto"/>
        </w:rPr>
        <w:t>）、南方文交所官网（</w:t>
      </w:r>
      <w:r>
        <w:rPr>
          <w:color w:val="auto"/>
        </w:rPr>
        <w:t>http://www.cnscee.com/</w:t>
      </w:r>
      <w:r>
        <w:rPr>
          <w:rFonts w:hint="eastAsia"/>
          <w:color w:val="auto"/>
        </w:rPr>
        <w:t>）、广东省文化公共资源服务平台（</w:t>
      </w:r>
      <w:r>
        <w:rPr>
          <w:color w:val="auto"/>
        </w:rPr>
        <w:t>https://zb.cnscee.com/</w:t>
      </w:r>
      <w:r>
        <w:rPr>
          <w:rFonts w:hint="eastAsia"/>
          <w:color w:val="auto"/>
        </w:rPr>
        <w:t>）、中国招投标公共服务平台（</w:t>
      </w:r>
      <w:r>
        <w:rPr>
          <w:color w:val="auto"/>
        </w:rPr>
        <w:t>http://www.cebpubservice.com/</w:t>
      </w:r>
      <w:r>
        <w:rPr>
          <w:rFonts w:hint="eastAsia"/>
          <w:color w:val="auto"/>
        </w:rPr>
        <w:t>）发布，其他媒体转载无效。</w:t>
      </w:r>
    </w:p>
    <w:p>
      <w:pPr>
        <w:numPr>
          <w:ilvl w:val="0"/>
          <w:numId w:val="3"/>
        </w:numPr>
        <w:spacing w:line="440" w:lineRule="exact"/>
        <w:ind w:left="0" w:firstLine="424" w:firstLineChars="201"/>
        <w:rPr>
          <w:rFonts w:ascii="宋体" w:hAnsi="宋体"/>
          <w:b/>
          <w:color w:val="auto"/>
          <w:szCs w:val="21"/>
        </w:rPr>
      </w:pPr>
      <w:r>
        <w:rPr>
          <w:rFonts w:hint="eastAsia" w:ascii="宋体" w:hAnsi="宋体"/>
          <w:b/>
          <w:color w:val="auto"/>
          <w:szCs w:val="21"/>
        </w:rPr>
        <w:t>联系方式</w:t>
      </w:r>
    </w:p>
    <w:p>
      <w:pPr>
        <w:tabs>
          <w:tab w:val="left" w:pos="360"/>
        </w:tabs>
        <w:spacing w:line="44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招标代理机构</w:t>
      </w:r>
      <w:r>
        <w:rPr>
          <w:rFonts w:ascii="宋体" w:hAnsi="宋体"/>
          <w:color w:val="auto"/>
          <w:szCs w:val="21"/>
        </w:rPr>
        <w:t xml:space="preserve"> </w:t>
      </w:r>
      <w:r>
        <w:rPr>
          <w:rFonts w:hint="eastAsia" w:ascii="宋体" w:hAnsi="宋体"/>
          <w:color w:val="auto"/>
          <w:szCs w:val="21"/>
        </w:rPr>
        <w:t>：广东省南方文化产权交易所股份有限公司</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地址：广州越秀区广州大道中</w:t>
      </w:r>
      <w:r>
        <w:rPr>
          <w:rFonts w:ascii="宋体" w:hAnsi="宋体"/>
          <w:color w:val="auto"/>
          <w:szCs w:val="21"/>
        </w:rPr>
        <w:t>289号南方报业传媒集团艺术园区生活综合楼三楼</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邮编：</w:t>
      </w:r>
      <w:r>
        <w:rPr>
          <w:rFonts w:ascii="宋体" w:hAnsi="宋体"/>
          <w:color w:val="auto"/>
          <w:szCs w:val="21"/>
        </w:rPr>
        <w:t>510601</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联系人：张先生、陈女士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电话：</w:t>
      </w:r>
      <w:r>
        <w:rPr>
          <w:rFonts w:ascii="宋体" w:hAnsi="宋体"/>
          <w:color w:val="auto"/>
          <w:szCs w:val="21"/>
        </w:rPr>
        <w:t>13500226498、18102224947（审核电话）</w:t>
      </w:r>
    </w:p>
    <w:p>
      <w:pPr>
        <w:tabs>
          <w:tab w:val="left" w:pos="360"/>
        </w:tabs>
        <w:spacing w:line="440" w:lineRule="exact"/>
        <w:ind w:firstLine="420" w:firstLineChars="200"/>
        <w:rPr>
          <w:rFonts w:ascii="宋体" w:hAnsi="宋体"/>
          <w:color w:val="auto"/>
          <w:szCs w:val="21"/>
        </w:rPr>
      </w:pPr>
      <w:r>
        <w:rPr>
          <w:rFonts w:ascii="宋体" w:hAnsi="宋体"/>
          <w:color w:val="auto"/>
          <w:szCs w:val="21"/>
        </w:rPr>
        <w:t>电子邮箱：13500226498@139.com</w:t>
      </w:r>
    </w:p>
    <w:p>
      <w:pPr>
        <w:spacing w:line="420" w:lineRule="exact"/>
        <w:ind w:firstLine="411" w:firstLineChars="196"/>
        <w:rPr>
          <w:rFonts w:hint="eastAsia" w:ascii="宋体" w:hAnsi="宋体" w:eastAsia="宋体"/>
          <w:color w:val="auto"/>
          <w:szCs w:val="21"/>
          <w:lang w:eastAsia="zh-CN"/>
        </w:rPr>
      </w:pPr>
      <w:r>
        <w:rPr>
          <w:rFonts w:ascii="宋体" w:hAnsi="宋体"/>
          <w:color w:val="auto"/>
          <w:szCs w:val="21"/>
        </w:rPr>
        <w:t>7.2</w:t>
      </w:r>
      <w:r>
        <w:rPr>
          <w:rFonts w:hint="eastAsia" w:ascii="宋体" w:hAnsi="宋体"/>
          <w:color w:val="auto"/>
          <w:szCs w:val="21"/>
        </w:rPr>
        <w:t>招标人：</w:t>
      </w:r>
      <w:r>
        <w:rPr>
          <w:rFonts w:hint="eastAsia" w:ascii="宋体" w:hAnsi="宋体"/>
          <w:color w:val="auto"/>
          <w:szCs w:val="21"/>
          <w:lang w:eastAsia="zh-CN"/>
        </w:rPr>
        <w:t>广东南方日报经营有限公司</w:t>
      </w:r>
    </w:p>
    <w:p>
      <w:pPr>
        <w:spacing w:line="42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招标人地址：</w:t>
      </w:r>
      <w:r>
        <w:rPr>
          <w:rFonts w:hint="eastAsia" w:ascii="宋体" w:hAnsi="宋体"/>
          <w:color w:val="auto"/>
          <w:szCs w:val="21"/>
          <w:highlight w:val="none"/>
          <w:lang w:eastAsia="zh-CN"/>
        </w:rPr>
        <w:t xml:space="preserve">广州大道中 289 号南方报业传媒集团 </w:t>
      </w:r>
      <w:r>
        <w:rPr>
          <w:rFonts w:hint="eastAsia" w:ascii="宋体" w:hAnsi="宋体"/>
          <w:color w:val="auto"/>
          <w:szCs w:val="21"/>
          <w:highlight w:val="none"/>
          <w:lang w:val="en-US" w:eastAsia="zh-CN"/>
        </w:rPr>
        <w:t>A栋</w:t>
      </w:r>
    </w:p>
    <w:p>
      <w:pPr>
        <w:tabs>
          <w:tab w:val="left" w:pos="360"/>
        </w:tabs>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钟先生</w:t>
      </w:r>
    </w:p>
    <w:p>
      <w:pPr>
        <w:tabs>
          <w:tab w:val="left" w:pos="360"/>
        </w:tabs>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联系电话：</w:t>
      </w:r>
      <w:r>
        <w:rPr>
          <w:rFonts w:hint="eastAsia" w:ascii="宋体" w:hAnsi="宋体"/>
          <w:szCs w:val="21"/>
          <w:lang w:val="en-US" w:eastAsia="zh-CN"/>
        </w:rPr>
        <w:t>13580397637</w:t>
      </w:r>
    </w:p>
    <w:p>
      <w:pPr>
        <w:tabs>
          <w:tab w:val="left" w:pos="360"/>
        </w:tabs>
        <w:spacing w:line="440" w:lineRule="exact"/>
        <w:ind w:firstLine="420" w:firstLineChars="200"/>
        <w:rPr>
          <w:rFonts w:ascii="宋体" w:hAnsi="宋体"/>
          <w:color w:val="auto"/>
          <w:szCs w:val="21"/>
        </w:rPr>
      </w:pPr>
    </w:p>
    <w:p>
      <w:pPr>
        <w:pStyle w:val="78"/>
        <w:spacing w:line="400" w:lineRule="exact"/>
        <w:ind w:left="425" w:right="84" w:firstLine="2692" w:firstLineChars="1282"/>
        <w:jc w:val="right"/>
        <w:rPr>
          <w:rFonts w:hint="eastAsia" w:ascii="宋体" w:hAnsi="宋体" w:eastAsia="宋体"/>
          <w:color w:val="auto"/>
          <w:lang w:eastAsia="zh-CN"/>
        </w:rPr>
      </w:pPr>
      <w:r>
        <w:rPr>
          <w:rFonts w:hint="eastAsia" w:ascii="宋体" w:hAnsi="宋体"/>
          <w:color w:val="auto"/>
        </w:rPr>
        <w:t>招标人：</w:t>
      </w:r>
      <w:r>
        <w:rPr>
          <w:rFonts w:hint="eastAsia" w:ascii="宋体" w:hAnsi="宋体"/>
          <w:color w:val="auto"/>
          <w:szCs w:val="21"/>
          <w:u w:val="single"/>
          <w:lang w:eastAsia="zh-CN"/>
        </w:rPr>
        <w:t>广东南方日报经营有限公司</w:t>
      </w:r>
    </w:p>
    <w:p>
      <w:pPr>
        <w:pStyle w:val="78"/>
        <w:spacing w:line="360" w:lineRule="auto"/>
        <w:ind w:left="425" w:right="84" w:firstLine="0" w:firstLineChars="0"/>
        <w:jc w:val="right"/>
        <w:rPr>
          <w:rFonts w:ascii="宋体" w:hAnsi="宋体"/>
          <w:color w:val="auto"/>
          <w:szCs w:val="21"/>
        </w:rPr>
      </w:pPr>
      <w:r>
        <w:rPr>
          <w:rFonts w:hint="eastAsia" w:ascii="宋体" w:hAnsi="宋体"/>
          <w:color w:val="auto"/>
          <w:szCs w:val="21"/>
        </w:rPr>
        <w:t>招标代理机构：</w:t>
      </w:r>
      <w:r>
        <w:rPr>
          <w:rFonts w:hint="eastAsia" w:ascii="宋体" w:hAnsi="宋体"/>
          <w:color w:val="auto"/>
          <w:szCs w:val="21"/>
          <w:u w:val="single"/>
        </w:rPr>
        <w:t>广东省南方文化产权交易所股份有限公司</w:t>
      </w:r>
    </w:p>
    <w:p>
      <w:pPr>
        <w:pStyle w:val="78"/>
        <w:spacing w:line="400" w:lineRule="exact"/>
        <w:ind w:firstLine="3920" w:firstLineChars="1867"/>
        <w:jc w:val="righ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6</w:t>
      </w:r>
      <w:r>
        <w:rPr>
          <w:rFonts w:ascii="宋体" w:hAnsi="宋体"/>
          <w:color w:val="auto"/>
          <w:szCs w:val="21"/>
        </w:rPr>
        <w:t>日</w:t>
      </w:r>
    </w:p>
    <w:p>
      <w:pPr>
        <w:pStyle w:val="78"/>
        <w:spacing w:line="400" w:lineRule="exact"/>
        <w:ind w:left="425" w:firstLine="5040" w:firstLineChars="2400"/>
        <w:rPr>
          <w:rFonts w:ascii="宋体" w:hAnsi="宋体"/>
          <w:color w:val="auto"/>
          <w:szCs w:val="21"/>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6" w:name="_Toc447265214"/>
      <w:bookmarkStart w:id="17" w:name="_Toc447188665"/>
      <w:bookmarkStart w:id="18" w:name="_Toc447265500"/>
    </w:p>
    <w:p>
      <w:pPr>
        <w:pStyle w:val="77"/>
        <w:spacing w:before="240" w:after="120"/>
        <w:rPr>
          <w:rFonts w:ascii="宋体" w:hAnsi="宋体" w:eastAsia="宋体" w:cs="宋体"/>
          <w:b/>
          <w:color w:val="auto"/>
          <w:sz w:val="28"/>
          <w:szCs w:val="28"/>
        </w:rPr>
      </w:pPr>
      <w:bookmarkStart w:id="19" w:name="_Toc3672"/>
      <w:bookmarkStart w:id="20" w:name="_Toc13341"/>
      <w:bookmarkStart w:id="21" w:name="_Toc869"/>
      <w:bookmarkStart w:id="22" w:name="_Toc56432211"/>
      <w:bookmarkStart w:id="23" w:name="_Toc31813"/>
      <w:r>
        <w:rPr>
          <w:rFonts w:hint="eastAsia" w:ascii="宋体" w:hAnsi="宋体" w:eastAsia="宋体" w:cs="宋体"/>
          <w:b/>
          <w:bCs w:val="0"/>
          <w:color w:val="auto"/>
          <w:kern w:val="0"/>
          <w:sz w:val="28"/>
          <w:szCs w:val="28"/>
        </w:rPr>
        <w:t>第二章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投标人须知</w:t>
      </w:r>
      <w:bookmarkEnd w:id="16"/>
      <w:bookmarkEnd w:id="17"/>
      <w:bookmarkEnd w:id="18"/>
      <w:bookmarkEnd w:id="19"/>
      <w:bookmarkEnd w:id="20"/>
      <w:bookmarkEnd w:id="21"/>
      <w:bookmarkEnd w:id="22"/>
      <w:bookmarkEnd w:id="23"/>
    </w:p>
    <w:p>
      <w:pPr>
        <w:pStyle w:val="5"/>
        <w:snapToGrid w:val="0"/>
        <w:spacing w:before="240" w:after="120" w:line="240" w:lineRule="auto"/>
        <w:jc w:val="center"/>
        <w:rPr>
          <w:rFonts w:ascii="宋体" w:hAnsi="宋体" w:eastAsia="宋体" w:cs="宋体"/>
          <w:color w:val="auto"/>
          <w:sz w:val="24"/>
          <w:szCs w:val="24"/>
        </w:rPr>
      </w:pPr>
      <w:bookmarkStart w:id="24" w:name="_Toc56432212"/>
      <w:bookmarkStart w:id="25" w:name="_Toc447265215"/>
      <w:bookmarkStart w:id="26" w:name="_Toc28624"/>
      <w:bookmarkStart w:id="27" w:name="_Toc447188666"/>
      <w:bookmarkStart w:id="28" w:name="_Toc226969277"/>
      <w:bookmarkStart w:id="29" w:name="_Toc3276"/>
      <w:bookmarkStart w:id="30" w:name="_Toc13217"/>
      <w:bookmarkStart w:id="31" w:name="_Toc447265501"/>
      <w:bookmarkStart w:id="32" w:name="_Toc15274"/>
      <w:bookmarkStart w:id="33" w:name="_Toc227057884"/>
      <w:r>
        <w:rPr>
          <w:rFonts w:hint="eastAsia" w:ascii="宋体" w:hAnsi="宋体" w:eastAsia="宋体" w:cs="宋体"/>
          <w:bCs w:val="0"/>
          <w:color w:val="auto"/>
          <w:sz w:val="24"/>
          <w:szCs w:val="24"/>
        </w:rPr>
        <w:t>投标人须知前附表</w:t>
      </w:r>
      <w:bookmarkEnd w:id="24"/>
      <w:bookmarkEnd w:id="25"/>
      <w:bookmarkEnd w:id="26"/>
      <w:bookmarkEnd w:id="27"/>
      <w:bookmarkEnd w:id="28"/>
      <w:bookmarkEnd w:id="29"/>
      <w:bookmarkEnd w:id="30"/>
      <w:bookmarkEnd w:id="31"/>
      <w:bookmarkEnd w:id="32"/>
      <w:bookmarkEnd w:id="33"/>
    </w:p>
    <w:p>
      <w:pPr>
        <w:autoSpaceDE w:val="0"/>
        <w:autoSpaceDN w:val="0"/>
        <w:ind w:firstLine="420" w:firstLineChars="200"/>
        <w:rPr>
          <w:rFonts w:ascii="宋体" w:hAnsi="宋体" w:cs="宋体"/>
          <w:color w:val="auto"/>
        </w:rPr>
      </w:pPr>
      <w:r>
        <w:rPr>
          <w:rFonts w:hint="eastAsia" w:ascii="宋体" w:hAnsi="宋体" w:cs="宋体"/>
          <w:color w:val="auto"/>
          <w:szCs w:val="21"/>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条款号</w:t>
            </w:r>
          </w:p>
        </w:tc>
        <w:tc>
          <w:tcPr>
            <w:tcW w:w="1666"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条款名称</w:t>
            </w:r>
          </w:p>
        </w:tc>
        <w:tc>
          <w:tcPr>
            <w:tcW w:w="5795"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olor w:val="auto"/>
                <w:szCs w:val="21"/>
                <w:lang w:eastAsia="zh-CN"/>
              </w:rPr>
              <w:t>广东南方日报经营有限公司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招标项目名称</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南方日报广告业务管理平台升级改造公开招标项目</w:t>
            </w:r>
          </w:p>
          <w:p>
            <w:pPr>
              <w:autoSpaceDE w:val="0"/>
              <w:autoSpaceDN w:val="0"/>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WJS-202306280037</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资金来源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■招标人自筹</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使用财政资金</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银行贷款</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国家融资</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采购范围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采购包划分</w:t>
            </w:r>
          </w:p>
        </w:tc>
        <w:tc>
          <w:tcPr>
            <w:tcW w:w="5795"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■不划分采购包</w:t>
            </w:r>
          </w:p>
          <w:p>
            <w:pPr>
              <w:autoSpaceDE w:val="0"/>
              <w:autoSpaceDN w:val="0"/>
              <w:rPr>
                <w:rFonts w:ascii="宋体" w:hAnsi="宋体" w:cs="宋体"/>
                <w:color w:val="auto"/>
                <w:szCs w:val="21"/>
              </w:rPr>
            </w:pPr>
            <w:r>
              <w:rPr>
                <w:rFonts w:hint="eastAsia" w:ascii="宋体" w:hAnsi="宋体" w:cs="宋体"/>
                <w:color w:val="auto"/>
                <w:szCs w:val="21"/>
              </w:rPr>
              <w:t>□划分</w:t>
            </w:r>
            <w:r>
              <w:rPr>
                <w:rFonts w:hint="eastAsia" w:ascii="宋体" w:hAnsi="宋体"/>
                <w:color w:val="auto"/>
              </w:rPr>
              <w:t>采购包（采购包划分情况详见</w:t>
            </w:r>
            <w:r>
              <w:rPr>
                <w:rFonts w:hint="eastAsia" w:ascii="宋体" w:hAnsi="宋体"/>
                <w:color w:val="auto"/>
                <w:szCs w:val="21"/>
              </w:rPr>
              <w:t>第一章招标公告</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■公开招标</w:t>
            </w:r>
          </w:p>
          <w:p>
            <w:pPr>
              <w:autoSpaceDE w:val="0"/>
              <w:autoSpaceDN w:val="0"/>
              <w:rPr>
                <w:rFonts w:ascii="宋体" w:hAnsi="宋体" w:cs="宋体"/>
                <w:color w:val="auto"/>
                <w:szCs w:val="21"/>
              </w:rPr>
            </w:pPr>
            <w:r>
              <w:rPr>
                <w:rFonts w:hint="eastAsia" w:ascii="宋体" w:hAnsi="宋体" w:cs="宋体"/>
                <w:color w:val="auto"/>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招标组织形式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□自行招标采购</w:t>
            </w:r>
          </w:p>
          <w:p>
            <w:pPr>
              <w:autoSpaceDE w:val="0"/>
              <w:autoSpaceDN w:val="0"/>
              <w:rPr>
                <w:rFonts w:ascii="宋体" w:hAnsi="宋体" w:cs="宋体"/>
                <w:color w:val="auto"/>
                <w:szCs w:val="21"/>
              </w:rPr>
            </w:pPr>
            <w:r>
              <w:rPr>
                <w:rFonts w:hint="eastAsia" w:ascii="宋体" w:hAnsi="宋体" w:cs="宋体"/>
                <w:color w:val="auto"/>
                <w:szCs w:val="21"/>
              </w:rPr>
              <w:t>■委托招标代理机构代理</w:t>
            </w:r>
          </w:p>
          <w:p>
            <w:pPr>
              <w:autoSpaceDE w:val="0"/>
              <w:autoSpaceDN w:val="0"/>
              <w:rPr>
                <w:rFonts w:ascii="宋体" w:hAnsi="宋体" w:cs="宋体"/>
                <w:color w:val="auto"/>
                <w:szCs w:val="21"/>
              </w:rPr>
            </w:pPr>
            <w:r>
              <w:rPr>
                <w:rFonts w:hint="eastAsia" w:ascii="宋体" w:hAnsi="宋体" w:cs="宋体"/>
                <w:color w:val="auto"/>
                <w:szCs w:val="21"/>
              </w:rPr>
              <w:t>招标代理机构名称：</w:t>
            </w:r>
            <w:r>
              <w:rPr>
                <w:rFonts w:hint="eastAsia" w:ascii="宋体" w:hAnsi="宋体"/>
                <w:color w:val="auto"/>
                <w:szCs w:val="21"/>
              </w:rPr>
              <w:t>广东省南方文化产权交易所股份有限公司</w:t>
            </w:r>
          </w:p>
          <w:p>
            <w:pPr>
              <w:autoSpaceDE w:val="0"/>
              <w:autoSpaceDN w:val="0"/>
              <w:rPr>
                <w:rFonts w:ascii="宋体" w:hAnsi="宋体" w:cs="宋体"/>
                <w:color w:val="auto"/>
                <w:szCs w:val="21"/>
              </w:rPr>
            </w:pPr>
            <w:r>
              <w:rPr>
                <w:rFonts w:hint="eastAsia" w:ascii="宋体" w:hAnsi="宋体" w:cs="宋体"/>
                <w:color w:val="auto"/>
                <w:szCs w:val="21"/>
              </w:rPr>
              <w:t>联系人：张先生</w:t>
            </w:r>
          </w:p>
          <w:p>
            <w:pPr>
              <w:autoSpaceDE w:val="0"/>
              <w:autoSpaceDN w:val="0"/>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rPr>
              <w:t>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1.7</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资格审查方式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□资格预审，本项目已完成资格预审。</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资格后审</w:t>
            </w:r>
            <w:r>
              <w:rPr>
                <w:rFonts w:hint="eastAsia" w:ascii="宋体" w:hAnsi="宋体" w:cs="宋体"/>
                <w:color w:val="auto"/>
                <w:szCs w:val="21"/>
              </w:rPr>
              <w:t>，资格条件详见第一章招标公告“</w:t>
            </w:r>
            <w:r>
              <w:rPr>
                <w:rFonts w:ascii="宋体" w:hAnsi="宋体" w:cs="宋体"/>
                <w:color w:val="auto"/>
                <w:szCs w:val="21"/>
              </w:rPr>
              <w:t>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1.8.1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投标人不得存在的情形</w:t>
            </w:r>
          </w:p>
        </w:tc>
        <w:tc>
          <w:tcPr>
            <w:tcW w:w="5795" w:type="dxa"/>
            <w:shd w:val="clear" w:color="auto" w:fill="auto"/>
            <w:vAlign w:val="center"/>
          </w:tcPr>
          <w:p>
            <w:pPr>
              <w:tabs>
                <w:tab w:val="left" w:pos="585"/>
              </w:tabs>
              <w:spacing w:line="440" w:lineRule="exact"/>
              <w:ind w:left="18"/>
              <w:rPr>
                <w:rFonts w:ascii="宋体" w:hAnsi="宋体"/>
                <w:color w:val="auto"/>
                <w:szCs w:val="21"/>
              </w:rPr>
            </w:pPr>
            <w:r>
              <w:rPr>
                <w:rFonts w:hint="eastAsia" w:ascii="宋体" w:hAnsi="宋体" w:cs="宋体"/>
                <w:color w:val="auto"/>
                <w:szCs w:val="21"/>
              </w:rPr>
              <w:t>本条款增加以下规定：</w:t>
            </w:r>
            <w:r>
              <w:rPr>
                <w:rFonts w:ascii="宋体" w:hAnsi="宋体" w:cs="宋体"/>
                <w:color w:val="auto"/>
                <w:szCs w:val="21"/>
              </w:rPr>
              <w:t>/</w:t>
            </w:r>
          </w:p>
          <w:p>
            <w:pPr>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招标文件的组成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本条款替换为：</w:t>
            </w:r>
          </w:p>
          <w:p>
            <w:pPr>
              <w:autoSpaceDE w:val="0"/>
              <w:autoSpaceDN w:val="0"/>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p>
          <w:p>
            <w:pPr>
              <w:autoSpaceDE w:val="0"/>
              <w:autoSpaceDN w:val="0"/>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utoSpaceDE w:val="0"/>
              <w:autoSpaceDN w:val="0"/>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utoSpaceDE w:val="0"/>
              <w:autoSpaceDN w:val="0"/>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商务合同</w:t>
            </w:r>
          </w:p>
          <w:p>
            <w:pPr>
              <w:autoSpaceDE w:val="0"/>
              <w:autoSpaceDN w:val="0"/>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utoSpaceDE w:val="0"/>
              <w:autoSpaceDN w:val="0"/>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招标文件实质性要求的标识及非实质性要求的偏离要求</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1）招标文件中标识“</w:t>
            </w:r>
            <w:r>
              <w:rPr>
                <w:rFonts w:hint="eastAsia" w:ascii="宋体" w:hAnsi="宋体"/>
                <w:color w:val="auto"/>
                <w:szCs w:val="21"/>
              </w:rPr>
              <w:t>★</w:t>
            </w:r>
            <w:r>
              <w:rPr>
                <w:rFonts w:hint="eastAsia" w:ascii="宋体" w:hAnsi="宋体" w:cs="宋体"/>
                <w:color w:val="auto"/>
                <w:szCs w:val="21"/>
              </w:rPr>
              <w:t>”的条款，均为实质性条款，投标人任何不满足实质性条款的投标或负偏离均将被否决。</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2）非实质性要求的偏离要求：</w:t>
            </w:r>
            <w:r>
              <w:rPr>
                <w:rFonts w:hint="eastAsia" w:ascii="宋体" w:hAnsi="宋体"/>
                <w:color w:val="auto"/>
              </w:rPr>
              <w:t>允许偏差的最大范围</w:t>
            </w:r>
            <w:r>
              <w:rPr>
                <w:rFonts w:ascii="宋体" w:hAnsi="宋体"/>
                <w:color w:val="auto"/>
                <w:u w:val="single"/>
              </w:rPr>
              <w:t>/</w:t>
            </w:r>
            <w:r>
              <w:rPr>
                <w:rFonts w:hint="eastAsia" w:ascii="宋体" w:hAnsi="宋体"/>
                <w:color w:val="auto"/>
              </w:rPr>
              <w:t>、最高项数</w:t>
            </w:r>
            <w:r>
              <w:rPr>
                <w:rFonts w:ascii="宋体" w:hAnsi="宋体"/>
                <w:color w:val="auto"/>
                <w:u w:val="single"/>
              </w:rPr>
              <w:t>/</w:t>
            </w:r>
            <w:r>
              <w:rPr>
                <w:rFonts w:hint="eastAsia" w:ascii="宋体" w:hAnsi="宋体"/>
                <w:color w:val="auto"/>
              </w:rPr>
              <w:t>，超出最大范围、最高项数视为重大偏离，</w:t>
            </w:r>
            <w:r>
              <w:rPr>
                <w:rFonts w:hint="eastAsia" w:ascii="宋体" w:hAnsi="宋体" w:cs="宋体"/>
                <w:color w:val="auto"/>
                <w:szCs w:val="21"/>
              </w:rPr>
              <w:t>将被否决投标</w:t>
            </w:r>
            <w:r>
              <w:rPr>
                <w:rFonts w:hint="eastAsia" w:ascii="宋体" w:hAnsi="宋体"/>
                <w:color w:val="auto"/>
              </w:rPr>
              <w:t>。调整偏差的方法</w:t>
            </w:r>
            <w:r>
              <w:rPr>
                <w:rFonts w:ascii="宋体" w:hAnsi="宋体"/>
                <w:color w:val="auto"/>
                <w:u w:val="single"/>
              </w:rPr>
              <w:t>/</w:t>
            </w:r>
            <w:r>
              <w:rPr>
                <w:rFonts w:ascii="宋体" w:hAnsi="宋体"/>
                <w:color w:val="auto"/>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是否以单项报价核定低于成本</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■不要求</w:t>
            </w:r>
          </w:p>
          <w:p>
            <w:pPr>
              <w:autoSpaceDE w:val="0"/>
              <w:autoSpaceDN w:val="0"/>
              <w:rPr>
                <w:rFonts w:ascii="宋体" w:hAnsi="宋体" w:cs="宋体"/>
                <w:color w:val="auto"/>
                <w:szCs w:val="21"/>
              </w:rPr>
            </w:pPr>
            <w:r>
              <w:rPr>
                <w:rFonts w:hint="eastAsia" w:ascii="宋体" w:hAnsi="宋体" w:cs="宋体"/>
                <w:color w:val="auto"/>
                <w:szCs w:val="21"/>
              </w:rPr>
              <w:t>□要求，具体要求如下：</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2.2.1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踏勘现场</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■不组织</w:t>
            </w:r>
          </w:p>
          <w:p>
            <w:pPr>
              <w:autoSpaceDE w:val="0"/>
              <w:autoSpaceDN w:val="0"/>
              <w:rPr>
                <w:rFonts w:ascii="宋体" w:hAnsi="宋体" w:cs="宋体"/>
                <w:color w:val="auto"/>
                <w:szCs w:val="21"/>
              </w:rPr>
            </w:pPr>
            <w:r>
              <w:rPr>
                <w:rFonts w:hint="eastAsia" w:ascii="宋体" w:hAnsi="宋体" w:cs="宋体"/>
                <w:color w:val="auto"/>
                <w:szCs w:val="21"/>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投标预备会</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■不召开</w:t>
            </w:r>
          </w:p>
          <w:p>
            <w:pPr>
              <w:autoSpaceDE w:val="0"/>
              <w:autoSpaceDN w:val="0"/>
              <w:rPr>
                <w:rFonts w:ascii="宋体" w:hAnsi="宋体" w:cs="宋体"/>
                <w:color w:val="auto"/>
                <w:szCs w:val="21"/>
              </w:rPr>
            </w:pPr>
            <w:r>
              <w:rPr>
                <w:rFonts w:hint="eastAsia" w:ascii="宋体" w:hAnsi="宋体" w:cs="宋体"/>
                <w:color w:val="auto"/>
                <w:szCs w:val="21"/>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2.4.1</w:t>
            </w:r>
          </w:p>
        </w:tc>
        <w:tc>
          <w:tcPr>
            <w:tcW w:w="1666" w:type="dxa"/>
            <w:shd w:val="clear" w:color="auto" w:fill="auto"/>
            <w:vAlign w:val="center"/>
          </w:tcPr>
          <w:p>
            <w:pPr>
              <w:autoSpaceDE w:val="0"/>
              <w:autoSpaceDN w:val="0"/>
              <w:rPr>
                <w:rFonts w:ascii="宋体" w:hAnsi="宋体" w:cs="宋体"/>
                <w:color w:val="auto"/>
                <w:szCs w:val="21"/>
              </w:rPr>
            </w:pPr>
            <w:r>
              <w:rPr>
                <w:rFonts w:hint="eastAsia"/>
                <w:color w:val="auto"/>
              </w:rPr>
              <w:t>投标人提出澄清问题的截止时间和方式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1）截止时间：</w:t>
            </w:r>
            <w:r>
              <w:rPr>
                <w:rFonts w:ascii="宋体" w:hAnsi="宋体" w:cs="宋体"/>
                <w:color w:val="auto"/>
                <w:szCs w:val="21"/>
                <w:u w:val="single"/>
              </w:rPr>
              <w:t>202</w:t>
            </w:r>
            <w:r>
              <w:rPr>
                <w:rFonts w:hint="eastAsia" w:ascii="宋体" w:hAnsi="宋体" w:cs="宋体"/>
                <w:color w:val="auto"/>
                <w:szCs w:val="21"/>
                <w:u w:val="single"/>
                <w:lang w:val="en-US" w:eastAsia="zh-CN"/>
              </w:rPr>
              <w:t>3</w:t>
            </w:r>
            <w:r>
              <w:rPr>
                <w:rFonts w:hint="eastAsia" w:ascii="宋体" w:hAnsi="宋体" w:cs="宋体"/>
                <w:color w:val="auto"/>
                <w:szCs w:val="21"/>
              </w:rPr>
              <w:t>年</w:t>
            </w:r>
            <w:r>
              <w:rPr>
                <w:rFonts w:hint="eastAsia" w:ascii="宋体" w:hAnsi="宋体" w:cs="宋体"/>
                <w:color w:val="auto"/>
                <w:szCs w:val="21"/>
                <w:u w:val="single"/>
                <w:lang w:val="en-US" w:eastAsia="zh-CN"/>
              </w:rPr>
              <w:t>7</w:t>
            </w:r>
            <w:r>
              <w:rPr>
                <w:rFonts w:hint="eastAsia" w:ascii="宋体" w:hAnsi="宋体" w:cs="宋体"/>
                <w:color w:val="auto"/>
                <w:szCs w:val="21"/>
              </w:rPr>
              <w:t>月</w:t>
            </w:r>
            <w:r>
              <w:rPr>
                <w:rFonts w:hint="eastAsia" w:ascii="宋体" w:hAnsi="宋体" w:cs="宋体"/>
                <w:color w:val="auto"/>
                <w:szCs w:val="21"/>
                <w:u w:val="single"/>
                <w:lang w:val="en-US" w:eastAsia="zh-CN"/>
              </w:rPr>
              <w:t>13</w:t>
            </w:r>
            <w:r>
              <w:rPr>
                <w:rFonts w:hint="eastAsia" w:ascii="宋体" w:hAnsi="宋体" w:cs="宋体"/>
                <w:color w:val="auto"/>
                <w:szCs w:val="21"/>
              </w:rPr>
              <w:t>日</w:t>
            </w:r>
            <w:r>
              <w:rPr>
                <w:rFonts w:ascii="宋体" w:hAnsi="宋体" w:cs="宋体"/>
                <w:color w:val="auto"/>
                <w:szCs w:val="21"/>
                <w:u w:val="single"/>
              </w:rPr>
              <w:t>1</w:t>
            </w:r>
            <w:r>
              <w:rPr>
                <w:rFonts w:hint="eastAsia" w:ascii="宋体" w:hAnsi="宋体" w:cs="宋体"/>
                <w:color w:val="auto"/>
                <w:szCs w:val="21"/>
                <w:u w:val="single"/>
                <w:lang w:val="en-US" w:eastAsia="zh-CN"/>
              </w:rPr>
              <w:t>7</w:t>
            </w:r>
            <w:r>
              <w:rPr>
                <w:rFonts w:hint="eastAsia" w:ascii="宋体" w:hAnsi="宋体" w:cs="宋体"/>
                <w:color w:val="auto"/>
                <w:szCs w:val="21"/>
              </w:rPr>
              <w:t>时</w:t>
            </w:r>
            <w:r>
              <w:rPr>
                <w:rFonts w:hint="eastAsia" w:ascii="宋体" w:hAnsi="宋体" w:cs="宋体"/>
                <w:color w:val="auto"/>
                <w:szCs w:val="21"/>
                <w:u w:val="single"/>
                <w:lang w:val="en-US" w:eastAsia="zh-CN"/>
              </w:rPr>
              <w:t>3</w:t>
            </w:r>
            <w:r>
              <w:rPr>
                <w:rFonts w:ascii="宋体" w:hAnsi="宋体" w:cs="宋体"/>
                <w:color w:val="auto"/>
                <w:szCs w:val="21"/>
                <w:u w:val="single"/>
              </w:rPr>
              <w:t>0</w:t>
            </w:r>
            <w:r>
              <w:rPr>
                <w:rFonts w:hint="eastAsia" w:ascii="宋体" w:hAnsi="宋体" w:cs="宋体"/>
                <w:color w:val="auto"/>
                <w:szCs w:val="21"/>
              </w:rPr>
              <w:t>分（北京时间）。</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2）提出澄清的方式：通过邮件方式提出澄清疑问（澄清问题接收邮箱：</w:t>
            </w:r>
            <w:r>
              <w:rPr>
                <w:rFonts w:ascii="宋体" w:hAnsi="宋体"/>
                <w:color w:val="auto"/>
                <w:szCs w:val="21"/>
                <w:u w:val="single"/>
              </w:rPr>
              <w:t>13500226498@139.com</w:t>
            </w:r>
            <w:r>
              <w:rPr>
                <w:rFonts w:hint="eastAsia" w:ascii="宋体" w:hAnsi="宋体" w:cs="宋体"/>
                <w:color w:val="auto"/>
                <w:szCs w:val="21"/>
              </w:rPr>
              <w:t>），并将纸质版疑问文件盖章，经扫描后与疑问文件电子版（须为可编辑的</w:t>
            </w:r>
            <w:r>
              <w:rPr>
                <w:rFonts w:ascii="宋体" w:hAnsi="宋体" w:cs="宋体"/>
                <w:color w:val="auto"/>
                <w:szCs w:val="21"/>
              </w:rPr>
              <w:t>WORD文档）一起以附件形式上传，如正文内容与盖章扫描件内容不一致的，以盖章扫描件内容为准。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2.4.2</w:t>
            </w:r>
          </w:p>
        </w:tc>
        <w:tc>
          <w:tcPr>
            <w:tcW w:w="1666" w:type="dxa"/>
            <w:shd w:val="clear" w:color="auto" w:fill="auto"/>
            <w:vAlign w:val="center"/>
          </w:tcPr>
          <w:p>
            <w:pPr>
              <w:spacing w:line="276" w:lineRule="auto"/>
              <w:rPr>
                <w:rFonts w:ascii="宋体" w:hAnsi="宋体" w:cs="宋体"/>
                <w:color w:val="auto"/>
                <w:szCs w:val="21"/>
              </w:rPr>
            </w:pPr>
            <w:r>
              <w:rPr>
                <w:rFonts w:hint="eastAsia"/>
                <w:color w:val="auto"/>
              </w:rPr>
              <w:t>招标人发出招标文件澄清或者修改的截止时间和方式</w:t>
            </w:r>
          </w:p>
        </w:tc>
        <w:tc>
          <w:tcPr>
            <w:tcW w:w="5795" w:type="dxa"/>
            <w:shd w:val="clear" w:color="auto" w:fill="auto"/>
            <w:vAlign w:val="center"/>
          </w:tcPr>
          <w:p>
            <w:pPr>
              <w:spacing w:line="276" w:lineRule="auto"/>
              <w:rPr>
                <w:rFonts w:ascii="宋体" w:hAnsi="宋体" w:cs="宋体"/>
                <w:color w:val="auto"/>
                <w:szCs w:val="21"/>
              </w:rPr>
            </w:pPr>
            <w:r>
              <w:rPr>
                <w:rFonts w:hint="eastAsia"/>
                <w:color w:val="auto"/>
              </w:rPr>
              <w:t>（</w:t>
            </w:r>
            <w:r>
              <w:rPr>
                <w:rFonts w:hint="eastAsia"/>
                <w:color w:val="auto"/>
                <w:lang w:val="en-US" w:eastAsia="zh-CN"/>
              </w:rPr>
              <w:t>1</w:t>
            </w:r>
            <w:r>
              <w:rPr>
                <w:rFonts w:hint="eastAsia"/>
                <w:color w:val="auto"/>
              </w:rPr>
              <w:t>）发出招标文件澄清或者修改的方式：通过</w:t>
            </w:r>
            <w:r>
              <w:rPr>
                <w:rFonts w:hint="eastAsia" w:ascii="宋体" w:hAnsi="宋体" w:cs="宋体"/>
                <w:color w:val="auto"/>
                <w:szCs w:val="21"/>
              </w:rPr>
              <w:t>邮件方式</w:t>
            </w:r>
            <w:r>
              <w:rPr>
                <w:rFonts w:hint="eastAsia"/>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投标文件必须按照以下顺序编制：详见</w:t>
            </w:r>
            <w:r>
              <w:rPr>
                <w:rFonts w:hint="eastAsia" w:ascii="宋体" w:hAnsi="宋体"/>
                <w:color w:val="auto"/>
                <w:szCs w:val="21"/>
              </w:rPr>
              <w:t>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投标文件投标和编写</w:t>
            </w:r>
          </w:p>
        </w:tc>
        <w:tc>
          <w:tcPr>
            <w:tcW w:w="5795" w:type="dxa"/>
            <w:shd w:val="clear" w:color="auto" w:fill="auto"/>
            <w:vAlign w:val="center"/>
          </w:tcPr>
          <w:p>
            <w:pPr>
              <w:autoSpaceDE w:val="0"/>
              <w:autoSpaceDN w:val="0"/>
              <w:rPr>
                <w:rFonts w:ascii="宋体" w:hAnsi="宋体"/>
                <w:color w:val="auto"/>
              </w:rPr>
            </w:pPr>
            <w:r>
              <w:rPr>
                <w:rFonts w:hint="eastAsia" w:ascii="宋体" w:hAnsi="宋体"/>
                <w:color w:val="auto"/>
              </w:rPr>
              <w:t>投标文件投标和编写的具体要求如下：</w:t>
            </w:r>
          </w:p>
          <w:p>
            <w:pPr>
              <w:autoSpaceDE w:val="0"/>
              <w:autoSpaceDN w:val="0"/>
              <w:rPr>
                <w:rFonts w:ascii="宋体" w:hAnsi="宋体" w:cs="宋体"/>
                <w:color w:val="auto"/>
                <w:szCs w:val="21"/>
              </w:rPr>
            </w:pPr>
            <w:r>
              <w:rPr>
                <w:rFonts w:hint="eastAsia" w:ascii="宋体" w:hAnsi="宋体" w:cs="宋体"/>
                <w:color w:val="auto"/>
                <w:szCs w:val="21"/>
              </w:rPr>
              <w:t>投标人应针</w:t>
            </w:r>
            <w:r>
              <w:rPr>
                <w:rFonts w:ascii="宋体" w:hAnsi="宋体" w:cs="宋体"/>
                <w:color w:val="auto"/>
                <w:szCs w:val="21"/>
              </w:rPr>
              <w:t>对</w:t>
            </w:r>
            <w:r>
              <w:rPr>
                <w:rFonts w:hint="eastAsia" w:ascii="宋体" w:hAnsi="宋体" w:cs="宋体"/>
                <w:color w:val="auto"/>
                <w:szCs w:val="21"/>
              </w:rPr>
              <w:t>招标文件</w:t>
            </w:r>
            <w:r>
              <w:rPr>
                <w:rFonts w:ascii="宋体" w:hAnsi="宋体" w:cs="宋体"/>
                <w:color w:val="auto"/>
                <w:szCs w:val="21"/>
              </w:rPr>
              <w:t>中的</w:t>
            </w:r>
            <w:r>
              <w:rPr>
                <w:rFonts w:hint="eastAsia" w:ascii="宋体" w:hAnsi="宋体" w:cs="宋体"/>
                <w:color w:val="auto"/>
                <w:szCs w:val="21"/>
              </w:rPr>
              <w:t>第四章</w:t>
            </w:r>
            <w:r>
              <w:rPr>
                <w:rFonts w:ascii="宋体" w:hAnsi="宋体" w:cs="宋体"/>
                <w:color w:val="auto"/>
                <w:szCs w:val="21"/>
              </w:rPr>
              <w:t>“</w:t>
            </w:r>
            <w:r>
              <w:rPr>
                <w:rFonts w:hint="eastAsia" w:ascii="宋体" w:hAnsi="宋体" w:cs="宋体"/>
                <w:color w:val="auto"/>
                <w:szCs w:val="21"/>
              </w:rPr>
              <w:t>商务合同</w:t>
            </w:r>
            <w:r>
              <w:rPr>
                <w:rFonts w:ascii="宋体" w:hAnsi="宋体" w:cs="宋体"/>
                <w:color w:val="auto"/>
                <w:szCs w:val="21"/>
              </w:rPr>
              <w:t>”</w:t>
            </w:r>
            <w:r>
              <w:rPr>
                <w:rFonts w:hint="eastAsia" w:ascii="宋体" w:hAnsi="宋体" w:cs="宋体"/>
                <w:color w:val="auto"/>
                <w:szCs w:val="21"/>
              </w:rPr>
              <w:t>和第五章“采购需求书”填写偏离表。无偏离表的将</w:t>
            </w:r>
            <w:r>
              <w:rPr>
                <w:rFonts w:ascii="宋体" w:hAnsi="宋体" w:cs="宋体"/>
                <w:color w:val="auto"/>
                <w:szCs w:val="21"/>
              </w:rPr>
              <w:t>导致其</w:t>
            </w:r>
            <w:r>
              <w:rPr>
                <w:rFonts w:hint="eastAsia" w:ascii="宋体" w:hAnsi="宋体" w:cs="宋体"/>
                <w:color w:val="auto"/>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投标文件的盖章或者签字</w:t>
            </w:r>
          </w:p>
        </w:tc>
        <w:tc>
          <w:tcPr>
            <w:tcW w:w="5795" w:type="dxa"/>
            <w:shd w:val="clear" w:color="auto" w:fill="auto"/>
            <w:vAlign w:val="center"/>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autoSpaceDE w:val="0"/>
              <w:autoSpaceDN w:val="0"/>
              <w:rPr>
                <w:rFonts w:ascii="宋体" w:hAnsi="宋体" w:cs="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olor w:val="auto"/>
              </w:rPr>
              <w:t>最高投标限价或者其计算方法</w:t>
            </w:r>
          </w:p>
        </w:tc>
        <w:tc>
          <w:tcPr>
            <w:tcW w:w="5795" w:type="dxa"/>
            <w:shd w:val="clear" w:color="auto" w:fill="auto"/>
            <w:vAlign w:val="center"/>
          </w:tcPr>
          <w:p>
            <w:pPr>
              <w:autoSpaceDE w:val="0"/>
              <w:autoSpaceDN w:val="0"/>
              <w:rPr>
                <w:rFonts w:hint="eastAsia" w:ascii="宋体" w:hAnsi="宋体" w:cs="宋体"/>
                <w:color w:val="auto"/>
                <w:szCs w:val="21"/>
              </w:rPr>
            </w:pPr>
            <w:r>
              <w:rPr>
                <w:rFonts w:hint="eastAsia" w:ascii="宋体" w:hAnsi="宋体" w:cs="宋体"/>
                <w:color w:val="auto"/>
                <w:szCs w:val="21"/>
              </w:rPr>
              <w:t>□不设置最高投标限价</w:t>
            </w:r>
          </w:p>
          <w:p>
            <w:pPr>
              <w:autoSpaceDE w:val="0"/>
              <w:autoSpaceDN w:val="0"/>
              <w:rPr>
                <w:rFonts w:hint="eastAsia" w:ascii="宋体" w:hAnsi="宋体" w:cs="宋体"/>
                <w:color w:val="auto"/>
                <w:szCs w:val="21"/>
              </w:rPr>
            </w:pPr>
            <w:r>
              <w:rPr>
                <w:rFonts w:hint="eastAsia" w:ascii="宋体" w:hAnsi="宋体" w:cs="宋体"/>
                <w:color w:val="auto"/>
                <w:szCs w:val="21"/>
              </w:rPr>
              <w:t>★■设置最高投标限价，</w:t>
            </w:r>
            <w:r>
              <w:rPr>
                <w:rFonts w:hint="eastAsia" w:ascii="宋体" w:hAnsi="宋体" w:cs="宋体"/>
                <w:b/>
                <w:bCs/>
                <w:color w:val="auto"/>
                <w:szCs w:val="21"/>
              </w:rPr>
              <w:t>本项目含税最高限价</w:t>
            </w:r>
            <w:r>
              <w:rPr>
                <w:rFonts w:hint="eastAsia" w:ascii="宋体" w:hAnsi="宋体" w:cs="宋体"/>
                <w:b/>
                <w:bCs/>
                <w:color w:val="auto"/>
                <w:szCs w:val="21"/>
                <w:lang w:eastAsia="zh-CN"/>
              </w:rPr>
              <w:t>1850000.00元</w:t>
            </w:r>
            <w:r>
              <w:rPr>
                <w:rFonts w:hint="eastAsia" w:ascii="宋体" w:hAnsi="宋体" w:cs="宋体"/>
                <w:b/>
                <w:bCs/>
                <w:color w:val="auto"/>
                <w:szCs w:val="21"/>
              </w:rPr>
              <w:t>人民币，投标人报价</w:t>
            </w:r>
            <w:r>
              <w:rPr>
                <w:rFonts w:hint="eastAsia" w:ascii="宋体" w:hAnsi="宋体" w:cs="宋体"/>
                <w:b/>
                <w:bCs/>
                <w:color w:val="auto"/>
                <w:szCs w:val="21"/>
                <w:lang w:val="en-US" w:eastAsia="zh-CN"/>
              </w:rPr>
              <w:t>不得</w:t>
            </w:r>
            <w:r>
              <w:rPr>
                <w:rFonts w:hint="eastAsia" w:ascii="宋体" w:hAnsi="宋体" w:cs="宋体"/>
                <w:b/>
                <w:bCs/>
                <w:color w:val="auto"/>
                <w:szCs w:val="21"/>
              </w:rPr>
              <w:t>超过</w:t>
            </w:r>
            <w:r>
              <w:rPr>
                <w:rFonts w:hint="eastAsia" w:ascii="宋体" w:hAnsi="宋体" w:cs="宋体"/>
                <w:b/>
                <w:bCs/>
                <w:color w:val="auto"/>
                <w:szCs w:val="21"/>
                <w:lang w:val="en-US" w:eastAsia="zh-CN"/>
              </w:rPr>
              <w:t>含税最高</w:t>
            </w:r>
            <w:r>
              <w:rPr>
                <w:rFonts w:hint="eastAsia" w:ascii="宋体" w:hAnsi="宋体" w:cs="宋体"/>
                <w:b/>
                <w:bCs/>
                <w:color w:val="auto"/>
                <w:szCs w:val="21"/>
              </w:rPr>
              <w:t>限价，</w:t>
            </w:r>
            <w:r>
              <w:rPr>
                <w:rFonts w:hint="eastAsia" w:ascii="宋体" w:hAnsi="宋体" w:cs="宋体"/>
                <w:b/>
                <w:bCs/>
                <w:color w:val="auto"/>
                <w:szCs w:val="21"/>
                <w:lang w:val="en-US" w:eastAsia="zh-CN"/>
              </w:rPr>
              <w:t>否则</w:t>
            </w:r>
            <w:r>
              <w:rPr>
                <w:rFonts w:hint="eastAsia" w:ascii="宋体" w:hAnsi="宋体" w:cs="宋体"/>
                <w:b/>
                <w:bCs/>
                <w:color w:val="auto"/>
                <w:szCs w:val="21"/>
              </w:rPr>
              <w:t>将被否决投标</w:t>
            </w:r>
            <w:r>
              <w:rPr>
                <w:rFonts w:hint="eastAsia" w:ascii="宋体" w:hAnsi="宋体" w:cs="宋体"/>
                <w:color w:val="auto"/>
                <w:szCs w:val="21"/>
              </w:rPr>
              <w:t>。</w:t>
            </w:r>
          </w:p>
          <w:p>
            <w:pPr>
              <w:autoSpaceDE w:val="0"/>
              <w:autoSpaceDN w:val="0"/>
              <w:rPr>
                <w:rFonts w:hint="eastAsia" w:eastAsia="宋体"/>
                <w:lang w:val="en-US" w:eastAsia="zh-CN"/>
              </w:rPr>
            </w:pPr>
            <w:r>
              <w:rPr>
                <w:rFonts w:hint="eastAsia" w:ascii="宋体" w:hAnsi="宋体" w:cs="宋体"/>
                <w:b/>
                <w:bCs/>
                <w:color w:val="auto"/>
                <w:szCs w:val="21"/>
                <w:lang w:val="en-US" w:eastAsia="zh-CN"/>
              </w:rPr>
              <w:t>注：评标过程中，评标委员会收到低于成本价投标的书面质疑材料、发现投标人的综合报价明显低于其他投标报价，认为投标报价可能低于成本的，应当书面要求该投标人作出书面说明并提供相关证明材料</w:t>
            </w:r>
            <w:r>
              <w:rPr>
                <w:rFonts w:hint="eastAsia" w:ascii="宋体" w:hAnsi="宋体"/>
                <w:b/>
                <w:bCs/>
                <w:szCs w:val="21"/>
              </w:rPr>
              <w:t>（</w:t>
            </w:r>
            <w:r>
              <w:rPr>
                <w:rFonts w:hint="eastAsia" w:ascii="宋体" w:hAnsi="宋体"/>
                <w:b/>
                <w:bCs/>
                <w:kern w:val="0"/>
                <w:szCs w:val="21"/>
              </w:rPr>
              <w:t>包括但不限于投标人对项目工作量、人月单价以及工期等估算合理性</w:t>
            </w:r>
            <w:r>
              <w:rPr>
                <w:rFonts w:hint="eastAsia" w:ascii="宋体" w:hAnsi="宋体"/>
                <w:b/>
                <w:bCs/>
                <w:szCs w:val="21"/>
              </w:rPr>
              <w:t>）</w:t>
            </w:r>
            <w:r>
              <w:rPr>
                <w:rFonts w:hint="eastAsia" w:ascii="宋体" w:hAnsi="宋体" w:cs="宋体"/>
                <w:b/>
                <w:bCs/>
                <w:kern w:val="0"/>
                <w:szCs w:val="21"/>
              </w:rPr>
              <w:t>。投标人不能合理说明或者不能提供相关证明材料的，由评标委员会认定该投标人以低于成本报价竞标，应当否决其投标。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w:t>
            </w:r>
            <w:r>
              <w:rPr>
                <w:rFonts w:hint="eastAsia" w:ascii="宋体" w:hAnsi="宋体"/>
                <w:color w:val="auto"/>
              </w:rPr>
              <w:t>优惠条件</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□报优惠价</w:t>
            </w:r>
          </w:p>
          <w:p>
            <w:pPr>
              <w:autoSpaceDE w:val="0"/>
              <w:autoSpaceDN w:val="0"/>
              <w:rPr>
                <w:rFonts w:ascii="宋体" w:hAnsi="宋体" w:cs="宋体"/>
                <w:color w:val="auto"/>
                <w:szCs w:val="21"/>
              </w:rPr>
            </w:pPr>
            <w:r>
              <w:rPr>
                <w:rFonts w:hint="eastAsia" w:ascii="宋体" w:hAnsi="宋体" w:cs="宋体"/>
                <w:color w:val="auto"/>
                <w:szCs w:val="21"/>
              </w:rPr>
              <w:t>■不接受报优惠价</w:t>
            </w:r>
          </w:p>
          <w:p>
            <w:pPr>
              <w:autoSpaceDE w:val="0"/>
              <w:autoSpaceDN w:val="0"/>
              <w:rPr>
                <w:rFonts w:ascii="宋体" w:hAnsi="宋体" w:cs="宋体"/>
                <w:color w:val="auto"/>
                <w:szCs w:val="21"/>
                <w:u w:val="single"/>
              </w:rPr>
            </w:pPr>
            <w:r>
              <w:rPr>
                <w:rFonts w:hint="eastAsia" w:ascii="宋体" w:hAnsi="宋体" w:cs="宋体"/>
                <w:color w:val="auto"/>
                <w:szCs w:val="21"/>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投标报价具体要求</w:t>
            </w:r>
          </w:p>
        </w:tc>
        <w:tc>
          <w:tcPr>
            <w:tcW w:w="5795" w:type="dxa"/>
            <w:shd w:val="clear" w:color="auto" w:fill="auto"/>
            <w:vAlign w:val="center"/>
          </w:tcPr>
          <w:p>
            <w:pPr>
              <w:jc w:val="left"/>
              <w:rPr>
                <w:rFonts w:ascii="宋体" w:hAnsi="宋体"/>
                <w:color w:val="auto"/>
                <w:szCs w:val="21"/>
              </w:rPr>
            </w:pPr>
            <w:r>
              <w:rPr>
                <w:rFonts w:ascii="宋体" w:hAnsi="宋体"/>
                <w:color w:val="auto"/>
                <w:szCs w:val="21"/>
              </w:rPr>
              <w:t>1.</w:t>
            </w:r>
            <w:r>
              <w:rPr>
                <w:rFonts w:hint="eastAsia" w:ascii="宋体" w:hAnsi="宋体"/>
                <w:color w:val="auto"/>
                <w:szCs w:val="21"/>
              </w:rPr>
              <w:t>本项目</w:t>
            </w:r>
            <w:r>
              <w:rPr>
                <w:rFonts w:ascii="宋体" w:hAnsi="宋体"/>
                <w:color w:val="auto"/>
                <w:szCs w:val="21"/>
              </w:rPr>
              <w:t>按照国家和行业现行规定</w:t>
            </w:r>
            <w:r>
              <w:rPr>
                <w:rFonts w:hint="eastAsia" w:ascii="宋体" w:hAnsi="宋体"/>
                <w:color w:val="auto"/>
                <w:szCs w:val="21"/>
              </w:rPr>
              <w:t>及第四章合同条款的规定</w:t>
            </w:r>
            <w:r>
              <w:rPr>
                <w:rFonts w:ascii="宋体" w:hAnsi="宋体"/>
                <w:color w:val="auto"/>
                <w:szCs w:val="21"/>
              </w:rPr>
              <w:t>进行报价。</w:t>
            </w:r>
          </w:p>
          <w:p>
            <w:pPr>
              <w:jc w:val="left"/>
              <w:rPr>
                <w:rFonts w:ascii="宋体" w:hAnsi="宋体"/>
                <w:bCs/>
                <w:color w:val="auto"/>
                <w:szCs w:val="21"/>
              </w:rPr>
            </w:pPr>
            <w:r>
              <w:rPr>
                <w:rFonts w:ascii="宋体" w:hAnsi="宋体"/>
                <w:color w:val="auto"/>
                <w:szCs w:val="21"/>
              </w:rPr>
              <w:t>2.</w:t>
            </w:r>
            <w:r>
              <w:rPr>
                <w:rFonts w:hint="eastAsia" w:ascii="宋体" w:hAnsi="宋体"/>
                <w:bCs/>
                <w:color w:val="auto"/>
                <w:szCs w:val="21"/>
              </w:rPr>
              <w:t>投标报价应包括所有材料、人工、服务、利润及相关税费等完成项目所需的全部费用。</w:t>
            </w:r>
          </w:p>
          <w:p>
            <w:pPr>
              <w:jc w:val="left"/>
              <w:rPr>
                <w:rFonts w:ascii="宋体" w:hAnsi="宋体"/>
                <w:bCs/>
                <w:color w:val="auto"/>
                <w:szCs w:val="21"/>
              </w:rPr>
            </w:pPr>
            <w:r>
              <w:rPr>
                <w:rFonts w:ascii="宋体" w:hAnsi="宋体"/>
                <w:bCs/>
                <w:color w:val="auto"/>
                <w:szCs w:val="21"/>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ascii="宋体" w:hAnsi="宋体"/>
                <w:bCs/>
                <w:color w:val="auto"/>
                <w:szCs w:val="21"/>
              </w:rPr>
            </w:pPr>
            <w:r>
              <w:rPr>
                <w:rFonts w:ascii="宋体" w:hAnsi="宋体"/>
                <w:bCs/>
                <w:color w:val="auto"/>
                <w:szCs w:val="21"/>
              </w:rPr>
              <w:t>4.</w:t>
            </w:r>
            <w:r>
              <w:rPr>
                <w:rFonts w:hint="eastAsia" w:ascii="宋体" w:hAnsi="宋体"/>
                <w:bCs/>
                <w:color w:val="auto"/>
                <w:szCs w:val="21"/>
              </w:rPr>
              <w:t>投标人应开具符合国家税率规定的增值税发票。</w:t>
            </w:r>
          </w:p>
          <w:p>
            <w:pPr>
              <w:autoSpaceDE w:val="0"/>
              <w:autoSpaceDN w:val="0"/>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3.4.1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投标保证金金额</w:t>
            </w:r>
          </w:p>
        </w:tc>
        <w:tc>
          <w:tcPr>
            <w:tcW w:w="5795" w:type="dxa"/>
            <w:shd w:val="clear" w:color="auto" w:fill="auto"/>
            <w:vAlign w:val="center"/>
          </w:tcPr>
          <w:p>
            <w:pPr>
              <w:numPr>
                <w:ilvl w:val="0"/>
                <w:numId w:val="4"/>
              </w:numPr>
              <w:ind w:left="0" w:firstLine="0"/>
              <w:rPr>
                <w:rFonts w:ascii="宋体" w:hAnsi="宋体"/>
                <w:color w:val="auto"/>
                <w:szCs w:val="21"/>
                <w:u w:val="single"/>
              </w:rPr>
            </w:pPr>
            <w:r>
              <w:rPr>
                <w:rFonts w:hint="eastAsia" w:ascii="宋体" w:hAnsi="宋体"/>
                <w:color w:val="auto"/>
                <w:szCs w:val="21"/>
              </w:rPr>
              <w:t>要求递交投标保证金，投标保证金的</w:t>
            </w:r>
            <w:r>
              <w:rPr>
                <w:rFonts w:ascii="宋体" w:hAnsi="宋体"/>
                <w:color w:val="auto"/>
                <w:szCs w:val="21"/>
              </w:rPr>
              <w:t>金额：</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rPr>
              <w:t>人民币</w:t>
            </w:r>
            <w:r>
              <w:rPr>
                <w:rFonts w:hint="eastAsia" w:ascii="宋体" w:hAnsi="宋体"/>
                <w:b/>
                <w:bCs/>
                <w:color w:val="auto"/>
                <w:szCs w:val="21"/>
                <w:u w:val="single"/>
                <w:lang w:val="en-US" w:eastAsia="zh-CN"/>
              </w:rPr>
              <w:t>12600</w:t>
            </w:r>
            <w:r>
              <w:rPr>
                <w:rFonts w:ascii="宋体" w:hAnsi="宋体"/>
                <w:b/>
                <w:color w:val="auto"/>
                <w:szCs w:val="21"/>
                <w:u w:val="single"/>
              </w:rPr>
              <w:t>.00元</w:t>
            </w:r>
            <w:r>
              <w:rPr>
                <w:rFonts w:hint="eastAsia" w:ascii="宋体" w:hAnsi="宋体"/>
                <w:b w:val="0"/>
                <w:bCs/>
                <w:color w:val="auto"/>
                <w:szCs w:val="21"/>
                <w:u w:val="none"/>
                <w:lang w:eastAsia="zh-CN"/>
              </w:rPr>
              <w:t>；</w:t>
            </w:r>
          </w:p>
          <w:p>
            <w:pPr>
              <w:numPr>
                <w:ilvl w:val="0"/>
                <w:numId w:val="4"/>
              </w:numPr>
              <w:rPr>
                <w:rFonts w:ascii="宋体" w:hAnsi="宋体"/>
                <w:color w:val="auto"/>
                <w:szCs w:val="21"/>
                <w:u w:val="single"/>
              </w:rPr>
            </w:pPr>
            <w:r>
              <w:rPr>
                <w:rFonts w:hint="eastAsia" w:ascii="宋体" w:hAnsi="宋体"/>
                <w:color w:val="auto"/>
                <w:szCs w:val="21"/>
              </w:rPr>
              <w:t>投标保证金的</w:t>
            </w:r>
            <w:r>
              <w:rPr>
                <w:rFonts w:ascii="宋体" w:hAnsi="宋体"/>
                <w:color w:val="auto"/>
                <w:szCs w:val="21"/>
              </w:rPr>
              <w:t>形式：</w:t>
            </w:r>
            <w:r>
              <w:rPr>
                <w:rFonts w:hint="eastAsia" w:ascii="宋体" w:hAnsi="宋体"/>
                <w:color w:val="auto"/>
                <w:szCs w:val="21"/>
              </w:rPr>
              <w:t>银行电汇（凭证的备注栏须注明招标代理编号后</w:t>
            </w:r>
            <w:r>
              <w:rPr>
                <w:rFonts w:ascii="宋体" w:hAnsi="宋体"/>
                <w:color w:val="auto"/>
                <w:szCs w:val="21"/>
              </w:rPr>
              <w:t>6</w:t>
            </w:r>
            <w:r>
              <w:rPr>
                <w:rFonts w:hint="eastAsia" w:ascii="宋体" w:hAnsi="宋体"/>
                <w:color w:val="auto"/>
                <w:szCs w:val="21"/>
              </w:rPr>
              <w:t>位</w:t>
            </w:r>
            <w:r>
              <w:rPr>
                <w:rFonts w:ascii="宋体" w:hAnsi="宋体"/>
                <w:color w:val="auto"/>
                <w:szCs w:val="21"/>
              </w:rPr>
              <w:t>+公司名称简写）</w:t>
            </w:r>
          </w:p>
          <w:p>
            <w:pPr>
              <w:ind w:firstLine="420" w:firstLineChars="200"/>
              <w:rPr>
                <w:rFonts w:ascii="宋体" w:hAnsi="宋体"/>
                <w:color w:val="auto"/>
                <w:szCs w:val="21"/>
              </w:rPr>
            </w:pPr>
            <w:r>
              <w:rPr>
                <w:rFonts w:hint="eastAsia" w:ascii="宋体" w:hAnsi="宋体"/>
                <w:color w:val="auto"/>
                <w:szCs w:val="21"/>
                <w:lang w:val="en-US" w:eastAsia="zh-CN"/>
              </w:rPr>
              <w:t>注：</w:t>
            </w:r>
            <w:r>
              <w:rPr>
                <w:rFonts w:hint="eastAsia" w:ascii="宋体" w:hAnsi="宋体"/>
                <w:color w:val="auto"/>
                <w:szCs w:val="21"/>
              </w:rPr>
              <w:t>以电汇形式提交的，提交的投标保证金应当从投标人公司账户转出。</w:t>
            </w:r>
          </w:p>
          <w:p>
            <w:pPr>
              <w:numPr>
                <w:ilvl w:val="0"/>
                <w:numId w:val="4"/>
              </w:numPr>
              <w:rPr>
                <w:rFonts w:ascii="宋体" w:hAnsi="宋体"/>
                <w:color w:val="auto"/>
                <w:szCs w:val="21"/>
              </w:rPr>
            </w:pPr>
            <w:r>
              <w:rPr>
                <w:rFonts w:ascii="宋体" w:hAnsi="宋体"/>
                <w:color w:val="auto"/>
                <w:szCs w:val="21"/>
              </w:rPr>
              <w:t>投标保证金有效期与投标有效期一致。</w:t>
            </w:r>
          </w:p>
          <w:p>
            <w:pPr>
              <w:numPr>
                <w:ilvl w:val="0"/>
                <w:numId w:val="4"/>
              </w:numPr>
              <w:rPr>
                <w:rFonts w:ascii="宋体" w:hAnsi="宋体"/>
                <w:color w:val="auto"/>
                <w:szCs w:val="21"/>
              </w:rPr>
            </w:pPr>
            <w:r>
              <w:rPr>
                <w:rFonts w:hint="eastAsia" w:ascii="宋体" w:hAnsi="宋体"/>
                <w:color w:val="auto"/>
                <w:szCs w:val="21"/>
              </w:rPr>
              <w:t>提交投标保证金帐户信息：</w:t>
            </w:r>
          </w:p>
          <w:p>
            <w:pPr>
              <w:autoSpaceDE w:val="0"/>
              <w:autoSpaceDN w:val="0"/>
              <w:jc w:val="left"/>
              <w:rPr>
                <w:rFonts w:ascii="宋体" w:hAnsi="宋体" w:cs="宋体"/>
                <w:color w:val="auto"/>
                <w:szCs w:val="21"/>
              </w:rPr>
            </w:pPr>
            <w:r>
              <w:rPr>
                <w:rFonts w:hint="eastAsia" w:ascii="宋体" w:hAnsi="宋体" w:cs="宋体"/>
                <w:color w:val="auto"/>
                <w:szCs w:val="21"/>
              </w:rPr>
              <w:t>公司名称：广东省南方文化产权交易所股份有限公司</w:t>
            </w:r>
          </w:p>
          <w:p>
            <w:pPr>
              <w:autoSpaceDE w:val="0"/>
              <w:autoSpaceDN w:val="0"/>
              <w:jc w:val="left"/>
              <w:rPr>
                <w:rFonts w:ascii="宋体" w:hAnsi="宋体" w:cs="宋体"/>
                <w:color w:val="auto"/>
                <w:szCs w:val="21"/>
              </w:rPr>
            </w:pPr>
            <w:r>
              <w:rPr>
                <w:rFonts w:hint="eastAsia" w:ascii="宋体" w:hAnsi="宋体" w:cs="宋体"/>
                <w:color w:val="auto"/>
                <w:szCs w:val="21"/>
              </w:rPr>
              <w:t>银行名称：民生银行广州环市支行</w:t>
            </w:r>
          </w:p>
          <w:p>
            <w:pPr>
              <w:autoSpaceDE w:val="0"/>
              <w:autoSpaceDN w:val="0"/>
              <w:jc w:val="left"/>
              <w:rPr>
                <w:rFonts w:ascii="宋体" w:hAnsi="宋体" w:cs="宋体"/>
                <w:color w:val="auto"/>
                <w:szCs w:val="21"/>
              </w:rPr>
            </w:pPr>
            <w:r>
              <w:rPr>
                <w:rFonts w:hint="eastAsia" w:ascii="宋体" w:hAnsi="宋体" w:cs="宋体"/>
                <w:color w:val="auto"/>
                <w:szCs w:val="21"/>
              </w:rPr>
              <w:t>银行账号：</w:t>
            </w:r>
            <w:r>
              <w:rPr>
                <w:rFonts w:ascii="宋体" w:hAnsi="宋体" w:cs="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投标保证金形式：银行电汇</w:t>
            </w:r>
          </w:p>
          <w:p>
            <w:pPr>
              <w:autoSpaceDE w:val="0"/>
              <w:autoSpaceDN w:val="0"/>
              <w:rPr>
                <w:rFonts w:ascii="宋体" w:hAnsi="宋体" w:cs="宋体"/>
                <w:color w:val="auto"/>
                <w:szCs w:val="21"/>
              </w:rPr>
            </w:pPr>
            <w:r>
              <w:rPr>
                <w:rFonts w:hint="eastAsia" w:ascii="宋体" w:hAnsi="宋体" w:cs="宋体"/>
                <w:color w:val="auto"/>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投标保证金不予退还的其他规定</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有下列情形之一的，投标保证金将不予退还：</w:t>
            </w:r>
            <w:r>
              <w:rPr>
                <w:rFonts w:ascii="宋体" w:hAnsi="宋体" w:cs="宋体"/>
                <w:color w:val="auto"/>
                <w:szCs w:val="21"/>
              </w:rPr>
              <w:t xml:space="preserve">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1）投标人在招标文件中规定的投标有效期内撤销投标的；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2）中标人无正当理由不与招标人订立合同，或在签订合同时向招标人提出附加条件，或者不按照招标文件要求递交履约保证金的； </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3.6.1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备选投标方案</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■不允许</w:t>
            </w:r>
          </w:p>
          <w:p>
            <w:pPr>
              <w:autoSpaceDE w:val="0"/>
              <w:autoSpaceDN w:val="0"/>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投标文件份数</w:t>
            </w:r>
          </w:p>
        </w:tc>
        <w:tc>
          <w:tcPr>
            <w:tcW w:w="5795" w:type="dxa"/>
            <w:shd w:val="clear" w:color="auto" w:fill="auto"/>
            <w:vAlign w:val="center"/>
          </w:tcPr>
          <w:p>
            <w:pPr>
              <w:jc w:val="left"/>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投标文件（含商务技术投标文件及经济投标文件）</w:t>
            </w:r>
            <w:r>
              <w:rPr>
                <w:rFonts w:ascii="宋体" w:hAnsi="宋体" w:cs="宋体"/>
                <w:color w:val="auto"/>
                <w:szCs w:val="21"/>
              </w:rPr>
              <w:t>1式</w:t>
            </w:r>
            <w:r>
              <w:rPr>
                <w:rFonts w:hint="eastAsia" w:ascii="宋体" w:hAnsi="宋体" w:cs="宋体"/>
                <w:color w:val="auto"/>
                <w:szCs w:val="21"/>
                <w:lang w:val="en-US" w:eastAsia="zh-CN"/>
              </w:rPr>
              <w:t>3</w:t>
            </w:r>
            <w:r>
              <w:rPr>
                <w:rFonts w:ascii="宋体" w:hAnsi="宋体" w:cs="宋体"/>
                <w:color w:val="auto"/>
                <w:szCs w:val="21"/>
              </w:rPr>
              <w:t>份，1份正本和</w:t>
            </w:r>
            <w:r>
              <w:rPr>
                <w:rFonts w:hint="eastAsia" w:ascii="宋体" w:hAnsi="宋体" w:cs="宋体"/>
                <w:color w:val="auto"/>
                <w:szCs w:val="21"/>
                <w:lang w:val="en-US" w:eastAsia="zh-CN"/>
              </w:rPr>
              <w:t>2</w:t>
            </w:r>
            <w:r>
              <w:rPr>
                <w:rFonts w:ascii="宋体" w:hAnsi="宋体" w:cs="宋体"/>
                <w:color w:val="auto"/>
                <w:szCs w:val="21"/>
              </w:rPr>
              <w:t>份副本。</w:t>
            </w:r>
          </w:p>
          <w:p>
            <w:pPr>
              <w:jc w:val="left"/>
              <w:rPr>
                <w:rFonts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按项目制作投标文件成册，建议双面打印，并提供</w:t>
            </w:r>
            <w:r>
              <w:rPr>
                <w:rFonts w:ascii="宋体" w:hAnsi="宋体" w:cs="宋体"/>
                <w:color w:val="auto"/>
                <w:szCs w:val="21"/>
              </w:rPr>
              <w:t>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投标文件的外层包封</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s="宋体"/>
                <w:color w:val="auto"/>
                <w:szCs w:val="21"/>
              </w:rPr>
              <w:t>1．</w:t>
            </w:r>
            <w:r>
              <w:rPr>
                <w:rFonts w:ascii="宋体" w:hAnsi="宋体" w:cs="宋体"/>
                <w:color w:val="auto"/>
                <w:szCs w:val="21"/>
              </w:rPr>
              <w:tab/>
            </w:r>
            <w:r>
              <w:rPr>
                <w:rFonts w:hint="eastAsia" w:ascii="宋体" w:hAnsi="宋体" w:cs="宋体"/>
                <w:b/>
                <w:bCs/>
                <w:color w:val="auto"/>
                <w:szCs w:val="21"/>
              </w:rPr>
              <w:t>商务技术投标文件及经济投标文件应分别装订并单独密封并在封口加盖骑缝章。</w:t>
            </w:r>
          </w:p>
          <w:p>
            <w:pPr>
              <w:autoSpaceDE w:val="0"/>
              <w:autoSpaceDN w:val="0"/>
              <w:rPr>
                <w:rFonts w:ascii="宋体" w:hAnsi="宋体" w:cs="宋体"/>
                <w:color w:val="auto"/>
                <w:szCs w:val="21"/>
              </w:rPr>
            </w:pPr>
            <w:r>
              <w:rPr>
                <w:rFonts w:ascii="宋体" w:hAnsi="宋体" w:cs="宋体"/>
                <w:color w:val="auto"/>
                <w:szCs w:val="21"/>
              </w:rPr>
              <w:t>2．</w:t>
            </w:r>
            <w:r>
              <w:rPr>
                <w:rFonts w:ascii="宋体" w:hAnsi="宋体" w:cs="宋体"/>
                <w:color w:val="auto"/>
                <w:szCs w:val="21"/>
              </w:rPr>
              <w:tab/>
            </w:r>
            <w:r>
              <w:rPr>
                <w:rFonts w:hint="eastAsia" w:ascii="宋体" w:hAnsi="宋体" w:cs="宋体"/>
                <w:color w:val="auto"/>
                <w:szCs w:val="21"/>
              </w:rPr>
              <w:t>商务技术标书里不能含有任何有关投标报价信息。</w:t>
            </w:r>
          </w:p>
          <w:p>
            <w:pPr>
              <w:autoSpaceDE w:val="0"/>
              <w:autoSpaceDN w:val="0"/>
              <w:rPr>
                <w:rFonts w:ascii="宋体" w:hAnsi="宋体" w:cs="宋体"/>
                <w:color w:val="auto"/>
                <w:szCs w:val="21"/>
              </w:rPr>
            </w:pPr>
            <w:r>
              <w:rPr>
                <w:rFonts w:ascii="宋体" w:hAnsi="宋体" w:cs="宋体"/>
                <w:color w:val="auto"/>
                <w:szCs w:val="21"/>
              </w:rPr>
              <w:t>3．</w:t>
            </w:r>
            <w:r>
              <w:rPr>
                <w:rFonts w:ascii="宋体" w:hAnsi="宋体" w:cs="宋体"/>
                <w:color w:val="auto"/>
                <w:szCs w:val="21"/>
              </w:rPr>
              <w:tab/>
            </w:r>
            <w:r>
              <w:rPr>
                <w:rFonts w:hint="eastAsia" w:ascii="宋体" w:hAnsi="宋体" w:cs="宋体"/>
                <w:color w:val="auto"/>
                <w:szCs w:val="21"/>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投标文件的密封和标记要求</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本条款增加如下规定：</w:t>
            </w:r>
          </w:p>
          <w:p>
            <w:pPr>
              <w:tabs>
                <w:tab w:val="left" w:pos="318"/>
              </w:tabs>
              <w:jc w:val="left"/>
              <w:rPr>
                <w:rFonts w:ascii="宋体" w:hAnsi="宋体" w:cs="宋体"/>
                <w:color w:val="auto"/>
                <w:szCs w:val="21"/>
              </w:rPr>
            </w:pPr>
            <w:r>
              <w:rPr>
                <w:rFonts w:hint="eastAsia" w:ascii="宋体" w:hAnsi="宋体" w:cs="宋体"/>
                <w:color w:val="auto"/>
                <w:szCs w:val="21"/>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ascii="宋体" w:hAnsi="宋体" w:cs="宋体"/>
                <w:color w:val="auto"/>
                <w:szCs w:val="21"/>
              </w:rPr>
            </w:pPr>
            <w:r>
              <w:rPr>
                <w:rFonts w:hint="eastAsia" w:ascii="宋体" w:hAnsi="宋体" w:cs="宋体"/>
                <w:color w:val="auto"/>
                <w:szCs w:val="21"/>
              </w:rPr>
              <w:t>封套上应载明的信息：</w:t>
            </w:r>
          </w:p>
          <w:p>
            <w:pPr>
              <w:tabs>
                <w:tab w:val="left" w:pos="318"/>
              </w:tabs>
              <w:jc w:val="left"/>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s="宋体"/>
                <w:color w:val="auto"/>
                <w:szCs w:val="21"/>
                <w:lang w:eastAsia="zh-CN"/>
              </w:rPr>
              <w:t>广东南方日报经营有限公司</w:t>
            </w:r>
          </w:p>
          <w:p>
            <w:pPr>
              <w:tabs>
                <w:tab w:val="left" w:pos="318"/>
              </w:tabs>
              <w:jc w:val="left"/>
              <w:rPr>
                <w:rFonts w:ascii="宋体" w:hAnsi="宋体" w:cs="宋体"/>
                <w:color w:val="auto"/>
                <w:szCs w:val="21"/>
              </w:rPr>
            </w:pPr>
            <w:r>
              <w:rPr>
                <w:rFonts w:hint="eastAsia" w:ascii="宋体" w:hAnsi="宋体" w:cs="宋体"/>
                <w:color w:val="auto"/>
                <w:szCs w:val="21"/>
              </w:rPr>
              <w:t>投标人名称：</w:t>
            </w:r>
          </w:p>
          <w:p>
            <w:pPr>
              <w:tabs>
                <w:tab w:val="left" w:pos="318"/>
              </w:tabs>
              <w:jc w:val="left"/>
              <w:rPr>
                <w:rFonts w:ascii="宋体" w:hAnsi="宋体" w:cs="宋体"/>
                <w:color w:val="auto"/>
                <w:szCs w:val="21"/>
              </w:rPr>
            </w:pPr>
            <w:r>
              <w:rPr>
                <w:rFonts w:hint="eastAsia" w:ascii="宋体" w:hAnsi="宋体" w:cs="宋体"/>
                <w:color w:val="auto"/>
                <w:szCs w:val="21"/>
              </w:rPr>
              <w:t>投标人地址：</w:t>
            </w:r>
          </w:p>
          <w:p>
            <w:pPr>
              <w:tabs>
                <w:tab w:val="left" w:pos="318"/>
              </w:tabs>
              <w:jc w:val="left"/>
              <w:rPr>
                <w:rFonts w:hint="default" w:ascii="宋体" w:hAnsi="宋体" w:cs="宋体"/>
                <w:color w:val="auto"/>
                <w:szCs w:val="21"/>
                <w:lang w:val="en-US" w:eastAsia="zh-CN"/>
              </w:rPr>
            </w:pPr>
            <w:r>
              <w:rPr>
                <w:rFonts w:hint="eastAsia" w:ascii="宋体" w:hAnsi="宋体" w:cs="宋体"/>
                <w:color w:val="auto"/>
                <w:szCs w:val="21"/>
              </w:rPr>
              <w:t>项目名称：</w:t>
            </w:r>
            <w:r>
              <w:rPr>
                <w:rFonts w:ascii="宋体" w:hAnsi="宋体" w:cs="宋体"/>
                <w:color w:val="auto"/>
                <w:szCs w:val="21"/>
              </w:rPr>
              <w:t xml:space="preserve"> </w:t>
            </w:r>
          </w:p>
          <w:p>
            <w:pPr>
              <w:tabs>
                <w:tab w:val="left" w:pos="318"/>
              </w:tabs>
              <w:jc w:val="left"/>
              <w:rPr>
                <w:rFonts w:hint="eastAsia" w:ascii="宋体" w:hAnsi="宋体" w:cs="宋体"/>
                <w:color w:val="auto"/>
                <w:szCs w:val="21"/>
              </w:rPr>
            </w:pPr>
            <w:r>
              <w:rPr>
                <w:rFonts w:hint="eastAsia" w:ascii="宋体" w:hAnsi="宋体" w:cs="宋体"/>
                <w:color w:val="auto"/>
                <w:szCs w:val="21"/>
              </w:rPr>
              <w:t>招标代理编号：</w:t>
            </w:r>
          </w:p>
          <w:p>
            <w:pPr>
              <w:tabs>
                <w:tab w:val="left" w:pos="318"/>
              </w:tabs>
              <w:jc w:val="left"/>
              <w:rPr>
                <w:rFonts w:ascii="宋体" w:hAnsi="宋体" w:cs="宋体"/>
                <w:color w:val="auto"/>
                <w:szCs w:val="21"/>
              </w:rPr>
            </w:pPr>
            <w:r>
              <w:rPr>
                <w:rFonts w:hint="eastAsia" w:ascii="宋体" w:hAnsi="宋体" w:cs="宋体"/>
                <w:color w:val="auto"/>
                <w:szCs w:val="21"/>
              </w:rPr>
              <w:t>在</w:t>
            </w:r>
            <w:r>
              <w:rPr>
                <w:rFonts w:ascii="宋体" w:hAnsi="宋体" w:cs="宋体"/>
                <w:color w:val="auto"/>
                <w:szCs w:val="21"/>
              </w:rPr>
              <w:tab/>
            </w:r>
            <w:r>
              <w:rPr>
                <w:rFonts w:hint="eastAsia" w:ascii="宋体" w:hAnsi="宋体" w:cs="宋体"/>
                <w:color w:val="auto"/>
                <w:szCs w:val="21"/>
              </w:rPr>
              <w:t>年</w:t>
            </w:r>
            <w:r>
              <w:rPr>
                <w:rFonts w:ascii="宋体" w:hAnsi="宋体" w:cs="宋体"/>
                <w:color w:val="auto"/>
                <w:szCs w:val="21"/>
              </w:rPr>
              <w:tab/>
            </w:r>
            <w:r>
              <w:rPr>
                <w:rFonts w:hint="eastAsia" w:ascii="宋体" w:hAnsi="宋体" w:cs="宋体"/>
                <w:color w:val="auto"/>
                <w:szCs w:val="21"/>
              </w:rPr>
              <w:t>月</w:t>
            </w:r>
            <w:r>
              <w:rPr>
                <w:rFonts w:ascii="宋体" w:hAnsi="宋体" w:cs="宋体"/>
                <w:color w:val="auto"/>
                <w:szCs w:val="21"/>
              </w:rPr>
              <w:tab/>
            </w:r>
            <w:r>
              <w:rPr>
                <w:rFonts w:hint="eastAsia" w:ascii="宋体" w:hAnsi="宋体" w:cs="宋体"/>
                <w:color w:val="auto"/>
                <w:szCs w:val="21"/>
              </w:rPr>
              <w:t>日</w:t>
            </w:r>
            <w:r>
              <w:rPr>
                <w:rFonts w:ascii="宋体" w:hAnsi="宋体" w:cs="宋体"/>
                <w:color w:val="auto"/>
                <w:szCs w:val="21"/>
              </w:rPr>
              <w:tab/>
            </w:r>
            <w:r>
              <w:rPr>
                <w:rFonts w:hint="eastAsia" w:ascii="宋体" w:hAnsi="宋体" w:cs="宋体"/>
                <w:color w:val="auto"/>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w:t>
            </w:r>
            <w:r>
              <w:rPr>
                <w:rFonts w:hint="eastAsia" w:ascii="宋体" w:hAnsi="宋体"/>
                <w:color w:val="auto"/>
              </w:rPr>
              <w:t>文件递交截止时间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4.1.2</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文件递交地点</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4.1.4</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文件退还</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■不退还</w:t>
            </w:r>
          </w:p>
          <w:p>
            <w:pPr>
              <w:autoSpaceDE w:val="0"/>
              <w:autoSpaceDN w:val="0"/>
              <w:rPr>
                <w:rFonts w:ascii="宋体" w:hAnsi="宋体" w:cs="宋体"/>
                <w:color w:val="auto"/>
                <w:szCs w:val="21"/>
              </w:rPr>
            </w:pPr>
            <w:r>
              <w:rPr>
                <w:rFonts w:hint="eastAsia" w:ascii="宋体" w:hAnsi="宋体" w:cs="宋体"/>
                <w:color w:val="auto"/>
                <w:szCs w:val="21"/>
              </w:rPr>
              <w:t>□退还，</w:t>
            </w:r>
            <w:r>
              <w:rPr>
                <w:rFonts w:hint="eastAsia" w:ascii="宋体" w:hAnsi="宋体"/>
                <w:color w:val="auto"/>
                <w:szCs w:val="21"/>
              </w:rPr>
              <w:t>投标</w:t>
            </w:r>
            <w:r>
              <w:rPr>
                <w:rFonts w:hint="eastAsia" w:ascii="宋体" w:hAnsi="宋体"/>
                <w:color w:val="auto"/>
                <w:szCs w:val="21"/>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唱价时间和地点</w:t>
            </w:r>
          </w:p>
        </w:tc>
        <w:tc>
          <w:tcPr>
            <w:tcW w:w="5795" w:type="dxa"/>
            <w:shd w:val="clear" w:color="auto" w:fill="auto"/>
            <w:vAlign w:val="center"/>
          </w:tcPr>
          <w:p>
            <w:pPr>
              <w:ind w:left="15" w:leftChars="7"/>
              <w:jc w:val="left"/>
              <w:rPr>
                <w:rFonts w:ascii="宋体" w:hAnsi="宋体"/>
                <w:color w:val="auto"/>
                <w:szCs w:val="21"/>
              </w:rPr>
            </w:pPr>
            <w:r>
              <w:rPr>
                <w:rFonts w:hint="eastAsia" w:ascii="宋体" w:hAnsi="宋体" w:cs="宋体"/>
                <w:color w:val="auto"/>
                <w:szCs w:val="21"/>
              </w:rPr>
              <w:t>同投标文件递交截止时间和地点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评标委员会组成人数</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olor w:val="auto"/>
                <w:szCs w:val="21"/>
                <w:u w:val="single"/>
              </w:rPr>
              <w:t>5</w:t>
            </w:r>
            <w:r>
              <w:rPr>
                <w:rFonts w:hint="eastAsia" w:ascii="宋体" w:hAnsi="宋体" w:cs="宋体"/>
                <w:color w:val="auto"/>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评审方法</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□经评审的最低价法</w:t>
            </w:r>
          </w:p>
          <w:p>
            <w:pPr>
              <w:autoSpaceDE w:val="0"/>
              <w:autoSpaceDN w:val="0"/>
              <w:rPr>
                <w:rFonts w:ascii="宋体" w:hAnsi="宋体" w:cs="宋体"/>
                <w:color w:val="auto"/>
                <w:szCs w:val="21"/>
              </w:rPr>
            </w:pPr>
            <w:r>
              <w:rPr>
                <w:rFonts w:hint="eastAsia" w:ascii="宋体" w:hAnsi="宋体" w:cs="宋体"/>
                <w:color w:val="auto"/>
                <w:szCs w:val="21"/>
              </w:rPr>
              <w:t>■综合评估法</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 xml:space="preserve">6.4 </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中标候选人推荐原则</w:t>
            </w:r>
          </w:p>
        </w:tc>
        <w:tc>
          <w:tcPr>
            <w:tcW w:w="5795" w:type="dxa"/>
            <w:shd w:val="clear" w:color="auto" w:fill="auto"/>
            <w:vAlign w:val="center"/>
          </w:tcPr>
          <w:p>
            <w:pPr>
              <w:autoSpaceDE w:val="0"/>
              <w:autoSpaceDN w:val="0"/>
              <w:rPr>
                <w:rFonts w:hint="eastAsia"/>
                <w:color w:val="auto"/>
              </w:rPr>
            </w:pPr>
            <w:bookmarkStart w:id="34" w:name="_Toc346159396"/>
            <w:r>
              <w:rPr>
                <w:rFonts w:hint="eastAsia"/>
                <w:color w:val="auto"/>
              </w:rPr>
              <w:t>推荐原则如下：</w:t>
            </w:r>
            <w:bookmarkEnd w:id="34"/>
          </w:p>
          <w:p>
            <w:pPr>
              <w:numPr>
                <w:ilvl w:val="0"/>
                <w:numId w:val="0"/>
              </w:numPr>
              <w:autoSpaceDE w:val="0"/>
              <w:autoSpaceDN w:val="0"/>
              <w:rPr>
                <w:rFonts w:hint="default"/>
                <w:color w:val="auto"/>
                <w:lang w:val="en-US" w:eastAsia="zh-CN"/>
              </w:rPr>
            </w:pPr>
            <w:r>
              <w:rPr>
                <w:rFonts w:hint="eastAsia"/>
                <w:color w:val="auto"/>
              </w:rPr>
              <w:t>推荐两名中标候选人，根据综合得分由高到低排名，第一名为第一中标候选人，第二名为第二中标候选人。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中标人数量</w:t>
            </w:r>
          </w:p>
        </w:tc>
        <w:tc>
          <w:tcPr>
            <w:tcW w:w="5795" w:type="dxa"/>
            <w:shd w:val="clear" w:color="auto" w:fill="auto"/>
            <w:vAlign w:val="center"/>
          </w:tcPr>
          <w:p>
            <w:pPr>
              <w:autoSpaceDE w:val="0"/>
              <w:autoSpaceDN w:val="0"/>
              <w:rPr>
                <w:rFonts w:hint="default" w:ascii="宋体" w:hAnsi="宋体" w:eastAsia="宋体" w:cs="宋体"/>
                <w:color w:val="auto"/>
                <w:szCs w:val="21"/>
                <w:lang w:val="en-US" w:eastAsia="zh-CN"/>
              </w:rPr>
            </w:pPr>
            <w:r>
              <w:rPr>
                <w:rFonts w:hint="eastAsia" w:ascii="宋体" w:hAnsi="宋体"/>
                <w:color w:val="auto"/>
              </w:rPr>
              <w:t>中标人数量：</w:t>
            </w:r>
            <w:r>
              <w:rPr>
                <w:rFonts w:hint="eastAsia" w:ascii="宋体" w:hAnsi="宋体"/>
                <w:color w:val="auto"/>
                <w:lang w:val="en-US" w:eastAsia="zh-CN"/>
              </w:rPr>
              <w:t>选取</w:t>
            </w:r>
            <w:r>
              <w:rPr>
                <w:rFonts w:ascii="宋体" w:hAnsi="宋体"/>
                <w:color w:val="auto"/>
                <w:szCs w:val="21"/>
                <w:u w:val="single"/>
              </w:rPr>
              <w:t>1</w:t>
            </w:r>
            <w:r>
              <w:rPr>
                <w:rFonts w:hint="eastAsia" w:ascii="宋体" w:hAnsi="宋体"/>
                <w:color w:val="auto"/>
                <w:szCs w:val="21"/>
                <w:u w:val="none"/>
                <w:lang w:val="en-US" w:eastAsia="zh-CN"/>
              </w:rPr>
              <w:t>家中标人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中标原则</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中标原则如下：综合得分排名第一名为中标人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7.2.2</w:t>
            </w:r>
          </w:p>
        </w:tc>
        <w:tc>
          <w:tcPr>
            <w:tcW w:w="1666" w:type="dxa"/>
            <w:tcBorders>
              <w:bottom w:val="single" w:color="auto" w:sz="4" w:space="0"/>
            </w:tcBorders>
            <w:shd w:val="clear" w:color="auto" w:fill="auto"/>
            <w:vAlign w:val="center"/>
          </w:tcPr>
          <w:p>
            <w:pPr>
              <w:autoSpaceDE w:val="0"/>
              <w:autoSpaceDN w:val="0"/>
              <w:rPr>
                <w:rFonts w:ascii="宋体" w:hAnsi="宋体" w:cs="宋体"/>
                <w:color w:val="auto"/>
                <w:szCs w:val="21"/>
              </w:rPr>
            </w:pPr>
            <w:r>
              <w:rPr>
                <w:rFonts w:hint="eastAsia" w:ascii="宋体" w:hAnsi="宋体"/>
                <w:color w:val="auto"/>
              </w:rPr>
              <w:t>异议受理</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投标人如对本次招标持有异议的，可以在相应期限内向招标人或招标代理人提出实名书面质疑，对质疑回复不满意的，可提出实名书面投诉，质疑为投诉的前置程序。</w:t>
            </w:r>
          </w:p>
          <w:p>
            <w:pPr>
              <w:autoSpaceDE w:val="0"/>
              <w:autoSpaceDN w:val="0"/>
              <w:rPr>
                <w:color w:val="auto"/>
              </w:rPr>
            </w:pPr>
            <w:r>
              <w:rPr>
                <w:rFonts w:hint="eastAsia" w:ascii="宋体" w:hAnsi="宋体"/>
                <w:color w:val="auto"/>
                <w:szCs w:val="21"/>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8.1</w:t>
            </w:r>
          </w:p>
        </w:tc>
        <w:tc>
          <w:tcPr>
            <w:tcW w:w="1666" w:type="dxa"/>
            <w:tcBorders>
              <w:bottom w:val="single" w:color="auto" w:sz="4" w:space="0"/>
            </w:tcBorders>
            <w:shd w:val="clear" w:color="auto" w:fill="auto"/>
            <w:vAlign w:val="center"/>
          </w:tcPr>
          <w:p>
            <w:pPr>
              <w:autoSpaceDE w:val="0"/>
              <w:autoSpaceDN w:val="0"/>
              <w:rPr>
                <w:rFonts w:ascii="宋体" w:hAnsi="宋体"/>
                <w:color w:val="auto"/>
              </w:rPr>
            </w:pPr>
            <w:r>
              <w:rPr>
                <w:rFonts w:hint="eastAsia" w:ascii="宋体" w:hAnsi="宋体"/>
                <w:color w:val="auto"/>
              </w:rPr>
              <w:t>履约担保</w:t>
            </w:r>
          </w:p>
        </w:tc>
        <w:tc>
          <w:tcPr>
            <w:tcW w:w="5795" w:type="dxa"/>
            <w:shd w:val="clear" w:color="auto" w:fill="auto"/>
            <w:vAlign w:val="center"/>
          </w:tcPr>
          <w:p>
            <w:pPr>
              <w:autoSpaceDE w:val="0"/>
              <w:autoSpaceDN w:val="0"/>
              <w:rPr>
                <w:rFonts w:hint="default" w:eastAsia="宋体"/>
                <w:color w:val="auto"/>
                <w:lang w:val="en-US" w:eastAsia="zh-CN"/>
              </w:rPr>
            </w:pPr>
            <w:r>
              <w:rPr>
                <w:rFonts w:hint="eastAsia"/>
                <w:color w:val="auto"/>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9（1）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招标代理服务费金额、交纳方式和时限</w:t>
            </w:r>
          </w:p>
        </w:tc>
        <w:tc>
          <w:tcPr>
            <w:tcW w:w="5795" w:type="dxa"/>
            <w:shd w:val="clear" w:color="auto" w:fill="auto"/>
            <w:vAlign w:val="center"/>
          </w:tcPr>
          <w:p>
            <w:pPr>
              <w:adjustRightInd w:val="0"/>
              <w:rPr>
                <w:rFonts w:ascii="宋体" w:hAnsi="宋体"/>
                <w:color w:val="auto"/>
                <w:szCs w:val="21"/>
              </w:rPr>
            </w:pPr>
            <w:r>
              <w:rPr>
                <w:rFonts w:hint="eastAsia" w:ascii="宋体" w:hAnsi="宋体"/>
                <w:color w:val="auto"/>
                <w:szCs w:val="21"/>
              </w:rPr>
              <w:t>招标代理服务费约定由中标人支付，代理服务费金额</w:t>
            </w:r>
            <w:r>
              <w:rPr>
                <w:rFonts w:ascii="宋体" w:hAnsi="宋体"/>
                <w:color w:val="auto"/>
                <w:szCs w:val="21"/>
              </w:rPr>
              <w:t>以中标金额为基准进行计算，</w:t>
            </w:r>
            <w:r>
              <w:rPr>
                <w:rFonts w:hint="eastAsia" w:ascii="宋体" w:hAnsi="宋体"/>
                <w:color w:val="auto"/>
                <w:szCs w:val="21"/>
              </w:rPr>
              <w:t>采用差额定率累进计费</w:t>
            </w:r>
            <w:r>
              <w:rPr>
                <w:rFonts w:hint="eastAsia" w:ascii="宋体" w:hAnsi="宋体"/>
                <w:color w:val="auto"/>
                <w:szCs w:val="21"/>
                <w:lang w:eastAsia="zh-CN"/>
              </w:rPr>
              <w:t>：</w:t>
            </w:r>
            <w:r>
              <w:rPr>
                <w:rFonts w:hint="eastAsia" w:ascii="宋体" w:hAnsi="宋体"/>
                <w:color w:val="auto"/>
                <w:szCs w:val="21"/>
                <w:lang w:val="en-US" w:eastAsia="zh-CN"/>
              </w:rPr>
              <w:t>中标</w:t>
            </w:r>
            <w:r>
              <w:t>金额人民币100万元（含）以下部分的收费费率为1.50%，</w:t>
            </w:r>
            <w:r>
              <w:rPr>
                <w:rFonts w:hint="eastAsia"/>
                <w:lang w:val="en-US" w:eastAsia="zh-CN"/>
              </w:rPr>
              <w:t>中标</w:t>
            </w:r>
            <w:r>
              <w:t>金额人民币100万元（不含）至500万元（含）部分的收费费率为</w:t>
            </w:r>
            <w:r>
              <w:rPr>
                <w:rFonts w:hint="eastAsia"/>
                <w:lang w:val="en-US" w:eastAsia="zh-CN"/>
              </w:rPr>
              <w:t>0</w:t>
            </w:r>
            <w:r>
              <w:t>.</w:t>
            </w:r>
            <w:r>
              <w:rPr>
                <w:rFonts w:hint="eastAsia"/>
                <w:lang w:val="en-US" w:eastAsia="zh-CN"/>
              </w:rPr>
              <w:t>8</w:t>
            </w:r>
            <w:r>
              <w:t>0%</w:t>
            </w:r>
            <w:r>
              <w:rPr>
                <w:rFonts w:hint="eastAsia"/>
                <w:lang w:eastAsia="zh-CN"/>
              </w:rPr>
              <w:t>，</w:t>
            </w:r>
            <w:r>
              <w:rPr>
                <w:rFonts w:hint="eastAsia"/>
                <w:lang w:val="en-US" w:eastAsia="zh-CN"/>
              </w:rPr>
              <w:t>并在上述</w:t>
            </w:r>
            <w:r>
              <w:rPr>
                <w:rFonts w:ascii="宋体" w:hAnsi="宋体"/>
                <w:color w:val="auto"/>
                <w:szCs w:val="21"/>
              </w:rPr>
              <w:t>的收费标准</w:t>
            </w:r>
            <w:r>
              <w:rPr>
                <w:rFonts w:hint="eastAsia" w:ascii="宋体" w:hAnsi="宋体"/>
                <w:color w:val="auto"/>
                <w:szCs w:val="21"/>
                <w:lang w:val="en-US" w:eastAsia="zh-CN"/>
              </w:rPr>
              <w:t>基础上</w:t>
            </w:r>
            <w:r>
              <w:rPr>
                <w:rFonts w:ascii="宋体" w:hAnsi="宋体"/>
                <w:color w:val="auto"/>
                <w:szCs w:val="21"/>
              </w:rPr>
              <w:t>下浮</w:t>
            </w:r>
            <w:r>
              <w:rPr>
                <w:rFonts w:ascii="宋体" w:hAnsi="宋体"/>
                <w:color w:val="auto"/>
                <w:szCs w:val="21"/>
                <w:u w:val="none"/>
              </w:rPr>
              <w:t xml:space="preserve"> </w:t>
            </w:r>
            <w:r>
              <w:rPr>
                <w:rFonts w:hint="eastAsia" w:ascii="宋体" w:hAnsi="宋体"/>
                <w:color w:val="auto"/>
                <w:szCs w:val="21"/>
                <w:u w:val="none"/>
                <w:lang w:val="en-US" w:eastAsia="zh-CN"/>
              </w:rPr>
              <w:t>45</w:t>
            </w:r>
            <w:r>
              <w:rPr>
                <w:rFonts w:ascii="宋体" w:hAnsi="宋体"/>
                <w:color w:val="auto"/>
                <w:szCs w:val="21"/>
                <w:u w:val="none"/>
              </w:rPr>
              <w:t xml:space="preserve">% </w:t>
            </w:r>
            <w:r>
              <w:rPr>
                <w:rFonts w:hint="eastAsia" w:ascii="宋体" w:hAnsi="宋体"/>
                <w:color w:val="auto"/>
                <w:szCs w:val="21"/>
              </w:rPr>
              <w:t>。</w:t>
            </w:r>
          </w:p>
          <w:p>
            <w:pPr>
              <w:adjustRightInd w:val="0"/>
              <w:rPr>
                <w:rFonts w:ascii="宋体" w:hAnsi="宋体"/>
                <w:color w:val="auto"/>
                <w:szCs w:val="21"/>
              </w:rPr>
            </w:pPr>
            <w:r>
              <w:rPr>
                <w:rFonts w:hint="eastAsia" w:ascii="宋体" w:hAnsi="宋体"/>
                <w:color w:val="auto"/>
                <w:szCs w:val="21"/>
              </w:rPr>
              <w:t>公司名称：广东省南方文化产权交易所股份有限公司</w:t>
            </w:r>
          </w:p>
          <w:p>
            <w:pPr>
              <w:adjustRightInd w:val="0"/>
              <w:rPr>
                <w:rFonts w:ascii="宋体" w:hAnsi="宋体"/>
                <w:color w:val="auto"/>
                <w:szCs w:val="21"/>
              </w:rPr>
            </w:pPr>
            <w:r>
              <w:rPr>
                <w:rFonts w:hint="eastAsia" w:ascii="宋体" w:hAnsi="宋体"/>
                <w:color w:val="auto"/>
                <w:szCs w:val="21"/>
              </w:rPr>
              <w:t>银行名称：民生银行广州环市支行</w:t>
            </w:r>
          </w:p>
          <w:p>
            <w:pPr>
              <w:adjustRightInd w:val="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color w:val="auto"/>
                <w:szCs w:val="21"/>
              </w:rPr>
            </w:pPr>
            <w:r>
              <w:rPr>
                <w:rFonts w:ascii="宋体" w:hAnsi="宋体" w:cs="宋体"/>
                <w:color w:val="auto"/>
                <w:szCs w:val="21"/>
              </w:rPr>
              <w:t>11.1</w:t>
            </w:r>
          </w:p>
        </w:tc>
        <w:tc>
          <w:tcPr>
            <w:tcW w:w="1666" w:type="dxa"/>
            <w:shd w:val="clear" w:color="auto" w:fill="auto"/>
            <w:vAlign w:val="center"/>
          </w:tcPr>
          <w:p>
            <w:pPr>
              <w:autoSpaceDE w:val="0"/>
              <w:autoSpaceDN w:val="0"/>
              <w:rPr>
                <w:color w:val="auto"/>
              </w:rPr>
            </w:pPr>
            <w:r>
              <w:rPr>
                <w:rFonts w:hint="eastAsia"/>
                <w:color w:val="auto"/>
                <w:szCs w:val="21"/>
              </w:rPr>
              <w:t>中标人放弃中标或者不能履行合同的处理</w:t>
            </w:r>
          </w:p>
        </w:tc>
        <w:tc>
          <w:tcPr>
            <w:tcW w:w="5795" w:type="dxa"/>
            <w:shd w:val="clear" w:color="auto" w:fill="auto"/>
            <w:vAlign w:val="center"/>
          </w:tcPr>
          <w:p>
            <w:pPr>
              <w:jc w:val="left"/>
              <w:rPr>
                <w:color w:val="auto"/>
                <w:szCs w:val="21"/>
              </w:rPr>
            </w:pPr>
            <w:r>
              <w:rPr>
                <w:rFonts w:hint="eastAsia"/>
                <w:color w:val="auto"/>
                <w:szCs w:val="21"/>
              </w:rPr>
              <w:t>二种方式可选：</w:t>
            </w:r>
          </w:p>
          <w:p>
            <w:pPr>
              <w:pStyle w:val="78"/>
              <w:numPr>
                <w:ilvl w:val="0"/>
                <w:numId w:val="5"/>
              </w:numPr>
              <w:ind w:firstLineChars="0"/>
              <w:rPr>
                <w:color w:val="auto"/>
                <w:szCs w:val="21"/>
              </w:rPr>
            </w:pPr>
            <w:r>
              <w:rPr>
                <w:rFonts w:hint="eastAsia"/>
                <w:color w:val="auto"/>
                <w:szCs w:val="21"/>
              </w:rPr>
              <w:t>按照评审委员会提出的中标候选人名单排序依次确定其他中标候选人为中标人；</w:t>
            </w:r>
          </w:p>
          <w:p>
            <w:pPr>
              <w:jc w:val="left"/>
              <w:rPr>
                <w:color w:val="auto"/>
                <w:szCs w:val="21"/>
              </w:rPr>
            </w:pPr>
            <w:r>
              <w:rPr>
                <w:color w:val="auto"/>
                <w:szCs w:val="21"/>
              </w:rPr>
              <w:t>2</w:t>
            </w:r>
            <w:r>
              <w:rPr>
                <w:rFonts w:hint="eastAsia"/>
                <w:color w:val="auto"/>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color w:val="auto"/>
                <w:szCs w:val="21"/>
              </w:rPr>
            </w:pPr>
            <w:r>
              <w:rPr>
                <w:rFonts w:hint="eastAsia" w:ascii="宋体" w:hAnsi="宋体"/>
                <w:color w:val="auto"/>
                <w:szCs w:val="21"/>
              </w:rPr>
              <w:t>投标货币</w:t>
            </w:r>
          </w:p>
        </w:tc>
        <w:tc>
          <w:tcPr>
            <w:tcW w:w="5795" w:type="dxa"/>
            <w:shd w:val="clear" w:color="auto" w:fill="auto"/>
            <w:vAlign w:val="center"/>
          </w:tcPr>
          <w:p>
            <w:pPr>
              <w:rPr>
                <w:color w:val="auto"/>
                <w:szCs w:val="21"/>
              </w:rPr>
            </w:pPr>
            <w:r>
              <w:rPr>
                <w:rFonts w:hint="eastAsia" w:ascii="宋体" w:hAnsi="宋体"/>
                <w:color w:val="auto"/>
                <w:szCs w:val="21"/>
              </w:rPr>
              <w:t>招标文件和投标文件中未明确币种的，均以人民币进行核算；投标文件中如出现其他币种，</w:t>
            </w:r>
            <w:r>
              <w:rPr>
                <w:rFonts w:hint="eastAsia" w:ascii="Courier New" w:hAnsi="Courier New"/>
                <w:color w:val="auto"/>
                <w:kern w:val="0"/>
                <w:szCs w:val="21"/>
              </w:rPr>
              <w:t>按照投标文件递交截止之日中国人民银行公布的银行间外汇市场人民币汇率中间价折算为等值人民币（属于企业</w:t>
            </w:r>
            <w:r>
              <w:rPr>
                <w:rFonts w:hint="eastAsia"/>
                <w:color w:val="auto"/>
                <w:kern w:val="0"/>
                <w:szCs w:val="21"/>
              </w:rPr>
              <w:t>注册资本金范畴的，</w:t>
            </w:r>
            <w:r>
              <w:rPr>
                <w:rFonts w:hint="eastAsia" w:ascii="Courier New" w:hAnsi="Courier New"/>
                <w:color w:val="auto"/>
                <w:kern w:val="0"/>
                <w:szCs w:val="21"/>
              </w:rPr>
              <w:t>按</w:t>
            </w:r>
            <w:r>
              <w:rPr>
                <w:rFonts w:hint="eastAsia"/>
                <w:color w:val="auto"/>
                <w:kern w:val="0"/>
                <w:szCs w:val="21"/>
              </w:rPr>
              <w:t>发生（</w:t>
            </w:r>
            <w:r>
              <w:rPr>
                <w:rFonts w:hint="eastAsia" w:ascii="宋体" w:hAnsi="宋体"/>
                <w:color w:val="auto"/>
                <w:szCs w:val="21"/>
              </w:rPr>
              <w:t>营业执照标注的成立日期</w:t>
            </w:r>
            <w:r>
              <w:rPr>
                <w:rFonts w:hint="eastAsia"/>
                <w:color w:val="auto"/>
                <w:kern w:val="0"/>
                <w:szCs w:val="21"/>
              </w:rPr>
              <w:t>）当日中国人民银行公布的汇率的中间价计算</w:t>
            </w:r>
            <w:r>
              <w:rPr>
                <w:rFonts w:hint="eastAsia" w:ascii="Courier New" w:hAnsi="Courier New"/>
                <w:color w:val="auto"/>
                <w:kern w:val="0"/>
                <w:szCs w:val="21"/>
              </w:rPr>
              <w:t>为等值人民币</w:t>
            </w:r>
            <w:r>
              <w:rPr>
                <w:rFonts w:hint="eastAsia"/>
                <w:color w:val="auto"/>
                <w:kern w:val="0"/>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网络与信息安全</w:t>
            </w:r>
          </w:p>
        </w:tc>
        <w:tc>
          <w:tcPr>
            <w:tcW w:w="5795" w:type="dxa"/>
            <w:shd w:val="clear" w:color="auto" w:fill="auto"/>
            <w:vAlign w:val="center"/>
          </w:tcPr>
          <w:p>
            <w:pPr>
              <w:rPr>
                <w:rFonts w:ascii="宋体" w:hAnsi="宋体"/>
                <w:color w:val="auto"/>
                <w:szCs w:val="21"/>
              </w:rPr>
            </w:pPr>
            <w:r>
              <w:rPr>
                <w:rFonts w:hint="eastAsia"/>
                <w:bCs/>
                <w:color w:val="auto"/>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11.4</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发票要求</w:t>
            </w:r>
          </w:p>
        </w:tc>
        <w:tc>
          <w:tcPr>
            <w:tcW w:w="5795" w:type="dxa"/>
            <w:shd w:val="clear" w:color="auto" w:fill="auto"/>
            <w:vAlign w:val="center"/>
          </w:tcPr>
          <w:p>
            <w:pPr>
              <w:rPr>
                <w:rFonts w:ascii="宋体" w:hAnsi="宋体"/>
                <w:color w:val="auto"/>
                <w:szCs w:val="21"/>
              </w:rPr>
            </w:pPr>
            <w:r>
              <w:rPr>
                <w:rFonts w:hint="eastAsia"/>
                <w:bCs/>
                <w:color w:val="auto"/>
                <w:szCs w:val="21"/>
              </w:rPr>
              <w:t>投标人须提供符合国家税率规定的增值税发票。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电子招标投标</w:t>
            </w:r>
          </w:p>
        </w:tc>
        <w:tc>
          <w:tcPr>
            <w:tcW w:w="5795" w:type="dxa"/>
            <w:shd w:val="clear" w:color="auto" w:fill="auto"/>
            <w:vAlign w:val="center"/>
          </w:tcPr>
          <w:p>
            <w:pPr>
              <w:rPr>
                <w:rFonts w:ascii="宋体" w:hAnsi="宋体" w:cs="宋体"/>
                <w:color w:val="auto"/>
                <w:szCs w:val="21"/>
              </w:rPr>
            </w:pPr>
            <w:r>
              <w:rPr>
                <w:rFonts w:hint="eastAsia" w:ascii="宋体" w:hAnsi="宋体" w:cs="宋体"/>
                <w:color w:val="auto"/>
                <w:szCs w:val="21"/>
              </w:rPr>
              <w:t>否</w:t>
            </w:r>
          </w:p>
        </w:tc>
      </w:tr>
    </w:tbl>
    <w:p>
      <w:pPr>
        <w:pStyle w:val="36"/>
        <w:tabs>
          <w:tab w:val="left" w:pos="602"/>
        </w:tabs>
        <w:snapToGrid w:val="0"/>
        <w:spacing w:before="120" w:after="120" w:line="440" w:lineRule="exact"/>
        <w:jc w:val="left"/>
        <w:rPr>
          <w:rFonts w:ascii="宋体" w:hAnsi="宋体"/>
          <w:color w:val="auto"/>
          <w:sz w:val="28"/>
          <w:szCs w:val="28"/>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35" w:name="_Toc447188667"/>
      <w:bookmarkStart w:id="36" w:name="_Toc226969278"/>
      <w:bookmarkStart w:id="37" w:name="_Toc227057885"/>
      <w:bookmarkStart w:id="38" w:name="_Toc107822484"/>
      <w:bookmarkStart w:id="39" w:name="_Toc488655831"/>
    </w:p>
    <w:p>
      <w:pPr>
        <w:numPr>
          <w:ilvl w:val="0"/>
          <w:numId w:val="6"/>
        </w:numPr>
        <w:rPr>
          <w:b/>
          <w:bCs/>
          <w:color w:val="auto"/>
          <w:sz w:val="24"/>
          <w:szCs w:val="32"/>
        </w:rPr>
      </w:pPr>
      <w:bookmarkStart w:id="40" w:name="_Toc447265502"/>
      <w:bookmarkStart w:id="41" w:name="_Toc447265216"/>
      <w:r>
        <w:rPr>
          <w:rFonts w:hint="eastAsia"/>
          <w:b/>
          <w:bCs/>
          <w:color w:val="auto"/>
          <w:sz w:val="24"/>
          <w:szCs w:val="32"/>
        </w:rPr>
        <w:t>总则</w:t>
      </w:r>
      <w:bookmarkEnd w:id="35"/>
      <w:bookmarkEnd w:id="40"/>
      <w:bookmarkEnd w:id="41"/>
    </w:p>
    <w:p>
      <w:pPr>
        <w:rPr>
          <w:b/>
          <w:bCs/>
          <w:color w:val="auto"/>
          <w:sz w:val="24"/>
          <w:szCs w:val="32"/>
        </w:rPr>
      </w:pPr>
      <w:bookmarkStart w:id="42" w:name="_Toc144974498"/>
      <w:bookmarkStart w:id="43" w:name="_Toc246996176"/>
      <w:bookmarkStart w:id="44" w:name="_Toc246996919"/>
      <w:bookmarkStart w:id="45" w:name="_Toc152045530"/>
      <w:bookmarkStart w:id="46" w:name="_Toc296602421"/>
      <w:bookmarkStart w:id="47" w:name="_Toc179632547"/>
      <w:bookmarkStart w:id="48" w:name="_Toc46496126"/>
      <w:bookmarkStart w:id="49" w:name="_Toc447265217"/>
      <w:bookmarkStart w:id="50" w:name="_Toc447265503"/>
      <w:bookmarkStart w:id="51" w:name="_Toc447188668"/>
      <w:bookmarkStart w:id="52" w:name="_Toc247085690"/>
      <w:bookmarkStart w:id="53" w:name="_Toc152042306"/>
      <w:r>
        <w:rPr>
          <w:b/>
          <w:bCs/>
          <w:color w:val="auto"/>
          <w:sz w:val="24"/>
          <w:szCs w:val="32"/>
        </w:rPr>
        <w:t>1.1</w:t>
      </w:r>
      <w:r>
        <w:rPr>
          <w:rFonts w:hint="eastAsia"/>
          <w:b/>
          <w:bCs/>
          <w:color w:val="auto"/>
          <w:sz w:val="24"/>
          <w:szCs w:val="32"/>
        </w:rPr>
        <w:t>项目概况</w:t>
      </w:r>
      <w:bookmarkEnd w:id="36"/>
      <w:bookmarkEnd w:id="37"/>
      <w:bookmarkEnd w:id="42"/>
      <w:bookmarkEnd w:id="43"/>
      <w:bookmarkEnd w:id="44"/>
      <w:bookmarkEnd w:id="45"/>
      <w:bookmarkEnd w:id="46"/>
      <w:bookmarkEnd w:id="47"/>
      <w:bookmarkEnd w:id="48"/>
      <w:bookmarkEnd w:id="49"/>
      <w:bookmarkEnd w:id="50"/>
      <w:bookmarkEnd w:id="51"/>
      <w:bookmarkEnd w:id="52"/>
      <w:bookmarkEnd w:id="53"/>
    </w:p>
    <w:p>
      <w:pPr>
        <w:pStyle w:val="21"/>
        <w:tabs>
          <w:tab w:val="left" w:pos="630"/>
        </w:tabs>
        <w:snapToGrid w:val="0"/>
        <w:spacing w:line="440" w:lineRule="exact"/>
        <w:ind w:firstLine="424" w:firstLineChars="202"/>
        <w:rPr>
          <w:rFonts w:hAnsi="宋体" w:cs="宋体"/>
          <w:color w:val="auto"/>
        </w:rPr>
      </w:pPr>
      <w:r>
        <w:rPr>
          <w:rFonts w:hAnsi="宋体"/>
          <w:color w:val="auto"/>
        </w:rPr>
        <w:t>1.1.1</w:t>
      </w:r>
      <w:r>
        <w:rPr>
          <w:rFonts w:hint="eastAsia" w:hAnsi="宋体"/>
          <w:color w:val="auto"/>
        </w:rPr>
        <w:t>本招标项目已具备招标条件，现对本项目进行招标。</w:t>
      </w:r>
    </w:p>
    <w:p>
      <w:pPr>
        <w:pStyle w:val="21"/>
        <w:tabs>
          <w:tab w:val="left" w:pos="630"/>
        </w:tabs>
        <w:snapToGrid w:val="0"/>
        <w:spacing w:line="440" w:lineRule="exact"/>
        <w:ind w:firstLine="424" w:firstLineChars="202"/>
        <w:rPr>
          <w:rFonts w:hAnsi="宋体"/>
          <w:color w:val="auto"/>
        </w:rPr>
      </w:pPr>
      <w:r>
        <w:rPr>
          <w:rFonts w:hAnsi="宋体"/>
          <w:color w:val="auto"/>
        </w:rPr>
        <w:t>1.1.2</w:t>
      </w:r>
      <w:r>
        <w:rPr>
          <w:rFonts w:hint="eastAsia" w:hAnsi="宋体"/>
          <w:color w:val="auto"/>
        </w:rPr>
        <w:t>招标人：招标人单位名称及联系方式见投标人须知前附表。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1.1.3项目名称：项目名称及招标代理编号见投标人须知前附表。</w:t>
      </w:r>
    </w:p>
    <w:p>
      <w:pPr>
        <w:rPr>
          <w:b/>
          <w:bCs/>
          <w:color w:val="auto"/>
          <w:sz w:val="24"/>
          <w:szCs w:val="32"/>
        </w:rPr>
      </w:pPr>
      <w:bookmarkStart w:id="54" w:name="_Toc227057886"/>
      <w:bookmarkStart w:id="55" w:name="_Toc226969279"/>
      <w:bookmarkStart w:id="56" w:name="_Toc447188669"/>
      <w:bookmarkStart w:id="57" w:name="_Toc447265218"/>
      <w:bookmarkStart w:id="58" w:name="_Toc46496127"/>
      <w:bookmarkStart w:id="59" w:name="_Toc447265504"/>
      <w:r>
        <w:rPr>
          <w:b/>
          <w:bCs/>
          <w:color w:val="auto"/>
          <w:sz w:val="24"/>
          <w:szCs w:val="32"/>
        </w:rPr>
        <w:t>1.2</w:t>
      </w:r>
      <w:r>
        <w:rPr>
          <w:rFonts w:hint="eastAsia"/>
          <w:b/>
          <w:bCs/>
          <w:color w:val="auto"/>
          <w:sz w:val="24"/>
          <w:szCs w:val="32"/>
        </w:rPr>
        <w:t>资金来源</w:t>
      </w:r>
      <w:bookmarkEnd w:id="54"/>
      <w:bookmarkEnd w:id="55"/>
      <w:bookmarkEnd w:id="56"/>
      <w:r>
        <w:rPr>
          <w:rFonts w:hint="eastAsia"/>
          <w:b/>
          <w:bCs/>
          <w:color w:val="auto"/>
          <w:sz w:val="24"/>
          <w:szCs w:val="32"/>
        </w:rPr>
        <w:t>和落实情况</w:t>
      </w:r>
      <w:bookmarkEnd w:id="57"/>
      <w:bookmarkEnd w:id="58"/>
      <w:bookmarkEnd w:id="5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本项目资金已落实，资金来源见投标人须知前附表。</w:t>
      </w:r>
    </w:p>
    <w:p>
      <w:pPr>
        <w:rPr>
          <w:b/>
          <w:bCs/>
          <w:color w:val="auto"/>
          <w:sz w:val="24"/>
          <w:szCs w:val="32"/>
        </w:rPr>
      </w:pPr>
      <w:bookmarkStart w:id="60" w:name="_Toc447265505"/>
      <w:bookmarkStart w:id="61" w:name="_Toc46496128"/>
      <w:bookmarkStart w:id="62" w:name="_Toc447265219"/>
      <w:bookmarkStart w:id="63" w:name="_Toc447188670"/>
      <w:r>
        <w:rPr>
          <w:b/>
          <w:bCs/>
          <w:color w:val="auto"/>
          <w:sz w:val="24"/>
          <w:szCs w:val="32"/>
        </w:rPr>
        <w:t>1.3</w:t>
      </w:r>
      <w:r>
        <w:rPr>
          <w:rFonts w:hint="eastAsia"/>
          <w:b/>
          <w:bCs/>
          <w:color w:val="auto"/>
          <w:sz w:val="24"/>
          <w:szCs w:val="32"/>
        </w:rPr>
        <w:t>采购范围</w:t>
      </w:r>
      <w:bookmarkEnd w:id="60"/>
      <w:bookmarkEnd w:id="61"/>
      <w:bookmarkEnd w:id="62"/>
      <w:bookmarkEnd w:id="6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本项目采购范围：见投标人须知前附表。</w:t>
      </w:r>
    </w:p>
    <w:p>
      <w:pPr>
        <w:rPr>
          <w:b/>
          <w:bCs/>
          <w:color w:val="auto"/>
          <w:sz w:val="24"/>
          <w:szCs w:val="32"/>
        </w:rPr>
      </w:pPr>
      <w:bookmarkStart w:id="64" w:name="_Toc46496129"/>
      <w:r>
        <w:rPr>
          <w:b/>
          <w:bCs/>
          <w:color w:val="auto"/>
          <w:sz w:val="24"/>
          <w:szCs w:val="32"/>
        </w:rPr>
        <w:t>1.4</w:t>
      </w:r>
      <w:r>
        <w:rPr>
          <w:rFonts w:hint="eastAsia"/>
          <w:b/>
          <w:bCs/>
          <w:color w:val="auto"/>
          <w:sz w:val="24"/>
          <w:szCs w:val="32"/>
        </w:rPr>
        <w:t>采购包划分</w:t>
      </w:r>
      <w:bookmarkEnd w:id="64"/>
    </w:p>
    <w:p>
      <w:pPr>
        <w:pStyle w:val="21"/>
        <w:tabs>
          <w:tab w:val="left" w:pos="630"/>
        </w:tabs>
        <w:snapToGrid w:val="0"/>
        <w:spacing w:line="440" w:lineRule="exact"/>
        <w:ind w:firstLine="420" w:firstLineChars="200"/>
        <w:rPr>
          <w:rFonts w:hAnsi="宋体"/>
          <w:color w:val="auto"/>
        </w:rPr>
      </w:pPr>
      <w:r>
        <w:rPr>
          <w:rFonts w:hint="eastAsia" w:hAnsi="宋体"/>
          <w:color w:val="auto"/>
        </w:rPr>
        <w:t>本项目采购包划分情况见投标人须知前附表。</w:t>
      </w:r>
      <w:bookmarkEnd w:id="38"/>
    </w:p>
    <w:p>
      <w:pPr>
        <w:rPr>
          <w:b/>
          <w:bCs/>
          <w:color w:val="auto"/>
          <w:sz w:val="24"/>
          <w:szCs w:val="32"/>
        </w:rPr>
      </w:pPr>
      <w:bookmarkStart w:id="65" w:name="_Toc447265221"/>
      <w:bookmarkStart w:id="66" w:name="_Toc227057888"/>
      <w:bookmarkStart w:id="67" w:name="_Toc447188672"/>
      <w:bookmarkStart w:id="68" w:name="_Toc226969281"/>
      <w:bookmarkStart w:id="69" w:name="_Toc447265507"/>
      <w:bookmarkStart w:id="70" w:name="_Toc46496130"/>
      <w:bookmarkStart w:id="71" w:name="_Toc107822486"/>
      <w:r>
        <w:rPr>
          <w:b/>
          <w:bCs/>
          <w:color w:val="auto"/>
          <w:sz w:val="24"/>
          <w:szCs w:val="32"/>
        </w:rPr>
        <w:t>1.5</w:t>
      </w:r>
      <w:r>
        <w:rPr>
          <w:rFonts w:hint="eastAsia"/>
          <w:b/>
          <w:bCs/>
          <w:color w:val="auto"/>
          <w:sz w:val="24"/>
          <w:szCs w:val="32"/>
        </w:rPr>
        <w:t>招标方式</w:t>
      </w:r>
      <w:bookmarkEnd w:id="65"/>
      <w:bookmarkEnd w:id="66"/>
      <w:bookmarkEnd w:id="67"/>
      <w:bookmarkEnd w:id="68"/>
      <w:bookmarkEnd w:id="69"/>
      <w:bookmarkEnd w:id="70"/>
      <w:bookmarkEnd w:id="71"/>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1.5.1招标方式见投标人须知前附表。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1.5.2公开招标，是指招标人以招标公告的方式邀请不特定的法人或者其他组织投标。</w:t>
      </w:r>
    </w:p>
    <w:p>
      <w:pPr>
        <w:pStyle w:val="21"/>
        <w:tabs>
          <w:tab w:val="left" w:pos="630"/>
        </w:tabs>
        <w:snapToGrid w:val="0"/>
        <w:spacing w:line="440" w:lineRule="exact"/>
        <w:ind w:firstLine="424" w:firstLineChars="202"/>
        <w:rPr>
          <w:rFonts w:hAnsi="宋体"/>
          <w:color w:val="auto"/>
        </w:rPr>
      </w:pPr>
      <w:r>
        <w:rPr>
          <w:rFonts w:hAnsi="宋体"/>
          <w:color w:val="auto"/>
        </w:rPr>
        <w:t>1.5.3</w:t>
      </w:r>
      <w:r>
        <w:rPr>
          <w:rFonts w:hint="eastAsia" w:hAnsi="宋体"/>
          <w:color w:val="auto"/>
        </w:rPr>
        <w:t>邀请招标，是指招标人以投标邀请书的方式邀请特定的法人或者其他组织投标。</w:t>
      </w:r>
    </w:p>
    <w:p>
      <w:pPr>
        <w:rPr>
          <w:b/>
          <w:bCs/>
          <w:color w:val="auto"/>
          <w:sz w:val="24"/>
          <w:szCs w:val="32"/>
        </w:rPr>
      </w:pPr>
      <w:bookmarkStart w:id="72" w:name="_Toc46496131"/>
      <w:bookmarkStart w:id="73" w:name="_Toc107822485"/>
      <w:bookmarkStart w:id="74" w:name="_Toc226969280"/>
      <w:bookmarkStart w:id="75" w:name="_Toc447265222"/>
      <w:bookmarkStart w:id="76" w:name="_Toc227057887"/>
      <w:bookmarkStart w:id="77" w:name="_Toc447188673"/>
      <w:bookmarkStart w:id="78" w:name="_Toc447265508"/>
      <w:bookmarkStart w:id="79" w:name="_Toc226969282"/>
      <w:bookmarkStart w:id="80" w:name="_Toc227057889"/>
      <w:r>
        <w:rPr>
          <w:b/>
          <w:bCs/>
          <w:color w:val="auto"/>
          <w:sz w:val="24"/>
          <w:szCs w:val="32"/>
        </w:rPr>
        <w:t>1.6</w:t>
      </w:r>
      <w:r>
        <w:rPr>
          <w:rFonts w:hint="eastAsia"/>
          <w:b/>
          <w:bCs/>
          <w:color w:val="auto"/>
          <w:sz w:val="24"/>
          <w:szCs w:val="32"/>
        </w:rPr>
        <w:t>招标组织形式</w:t>
      </w:r>
      <w:bookmarkEnd w:id="72"/>
      <w:bookmarkEnd w:id="73"/>
      <w:bookmarkEnd w:id="74"/>
      <w:bookmarkEnd w:id="75"/>
      <w:bookmarkEnd w:id="76"/>
      <w:bookmarkEnd w:id="77"/>
      <w:bookmarkEnd w:id="7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本项目由招标人自行组织</w:t>
      </w:r>
      <w:r>
        <w:rPr>
          <w:rFonts w:ascii="宋体" w:hAnsi="宋体" w:cs="宋体"/>
          <w:color w:val="auto"/>
          <w:szCs w:val="21"/>
        </w:rPr>
        <w:t>/委托</w:t>
      </w:r>
      <w:r>
        <w:rPr>
          <w:rFonts w:hint="eastAsia" w:ascii="宋体" w:hAnsi="宋体" w:cs="宋体"/>
          <w:color w:val="auto"/>
          <w:szCs w:val="21"/>
        </w:rPr>
        <w:t>招标代理机构采用代理招标的方式进行，招标组织形式、招标代理机构名称及联系方式见投标人须知前附表。</w:t>
      </w:r>
    </w:p>
    <w:p>
      <w:pPr>
        <w:rPr>
          <w:b/>
          <w:bCs/>
          <w:color w:val="auto"/>
          <w:sz w:val="24"/>
          <w:szCs w:val="32"/>
        </w:rPr>
      </w:pPr>
      <w:bookmarkStart w:id="81" w:name="_Toc447265509"/>
      <w:bookmarkStart w:id="82" w:name="_Toc46496132"/>
      <w:bookmarkStart w:id="83" w:name="_Toc447188674"/>
      <w:bookmarkStart w:id="84" w:name="_Toc447265223"/>
      <w:r>
        <w:rPr>
          <w:b/>
          <w:bCs/>
          <w:color w:val="auto"/>
          <w:sz w:val="24"/>
          <w:szCs w:val="32"/>
        </w:rPr>
        <w:t>1.7</w:t>
      </w:r>
      <w:r>
        <w:rPr>
          <w:rFonts w:hint="eastAsia"/>
          <w:b/>
          <w:bCs/>
          <w:color w:val="auto"/>
          <w:sz w:val="24"/>
          <w:szCs w:val="32"/>
        </w:rPr>
        <w:t>资格审查</w:t>
      </w:r>
      <w:bookmarkEnd w:id="79"/>
      <w:bookmarkEnd w:id="80"/>
      <w:bookmarkEnd w:id="81"/>
      <w:bookmarkEnd w:id="82"/>
      <w:bookmarkEnd w:id="83"/>
      <w:bookmarkEnd w:id="84"/>
    </w:p>
    <w:p>
      <w:pPr>
        <w:adjustRightInd w:val="0"/>
        <w:snapToGrid w:val="0"/>
        <w:spacing w:line="440" w:lineRule="exact"/>
        <w:ind w:firstLine="424" w:firstLineChars="202"/>
        <w:rPr>
          <w:rFonts w:ascii="宋体" w:hAnsi="宋体" w:cs="宋体"/>
          <w:color w:val="auto"/>
          <w:szCs w:val="21"/>
        </w:rPr>
      </w:pPr>
      <w:bookmarkStart w:id="85" w:name="_Toc447265510"/>
      <w:bookmarkStart w:id="86" w:name="_Toc447265224"/>
      <w:bookmarkStart w:id="87" w:name="_Toc447188675"/>
      <w:r>
        <w:rPr>
          <w:rFonts w:ascii="宋体" w:hAnsi="宋体" w:cs="宋体"/>
          <w:color w:val="auto"/>
          <w:szCs w:val="21"/>
        </w:rPr>
        <w:t>1.7.1本招标项目资格审查方式见投标人须知前附表。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1.7.2资格预审是指在投标前对投标人进行的资格审查。采用资格预审方式的，资格条件已经在招标文件发出前的“资格预审文件”中做出规定。</w:t>
      </w:r>
    </w:p>
    <w:p>
      <w:pPr>
        <w:pStyle w:val="21"/>
        <w:tabs>
          <w:tab w:val="left" w:pos="630"/>
        </w:tabs>
        <w:snapToGrid w:val="0"/>
        <w:spacing w:line="440" w:lineRule="exact"/>
        <w:ind w:firstLine="424" w:firstLineChars="202"/>
        <w:rPr>
          <w:rFonts w:hAnsi="宋体"/>
          <w:color w:val="auto"/>
        </w:rPr>
      </w:pPr>
      <w:bookmarkStart w:id="88" w:name="_Toc226969283"/>
      <w:r>
        <w:rPr>
          <w:rFonts w:hint="eastAsia" w:hAnsi="宋体"/>
          <w:color w:val="auto"/>
        </w:rPr>
        <w:t>资格后审是指在唱价后由评标委员会根据招标文件的规定对投标人进行的资格审查。</w:t>
      </w:r>
      <w:bookmarkEnd w:id="88"/>
      <w:r>
        <w:rPr>
          <w:rFonts w:hint="eastAsia" w:hAnsi="宋体"/>
          <w:color w:val="auto"/>
        </w:rPr>
        <w:t>采用资格后审方式的，投标人应当具备的资格条件见投标人须知前附表。</w:t>
      </w:r>
    </w:p>
    <w:p>
      <w:pPr>
        <w:pStyle w:val="21"/>
        <w:tabs>
          <w:tab w:val="left" w:pos="630"/>
        </w:tabs>
        <w:snapToGrid w:val="0"/>
        <w:spacing w:line="440" w:lineRule="exact"/>
        <w:ind w:firstLine="424" w:firstLineChars="202"/>
        <w:rPr>
          <w:rFonts w:hAnsi="宋体"/>
          <w:color w:val="auto"/>
        </w:rPr>
      </w:pPr>
      <w:r>
        <w:rPr>
          <w:rFonts w:hint="eastAsia" w:hAnsi="宋体"/>
          <w:color w:val="auto"/>
        </w:rPr>
        <w:t>采用资格后审的，招标人必须在招标文件中详细规定资格审查标准和方法。</w:t>
      </w:r>
    </w:p>
    <w:p>
      <w:pPr>
        <w:pStyle w:val="21"/>
        <w:tabs>
          <w:tab w:val="left" w:pos="630"/>
        </w:tabs>
        <w:snapToGrid w:val="0"/>
        <w:spacing w:line="440" w:lineRule="exact"/>
        <w:ind w:firstLine="424" w:firstLineChars="202"/>
        <w:rPr>
          <w:rFonts w:hAnsi="宋体"/>
          <w:color w:val="auto"/>
        </w:rPr>
      </w:pPr>
      <w:r>
        <w:rPr>
          <w:rFonts w:hint="eastAsia" w:hAnsi="宋体"/>
          <w:color w:val="auto"/>
        </w:rPr>
        <w:t>资格后审一般包括下列内容：</w:t>
      </w:r>
    </w:p>
    <w:p>
      <w:pPr>
        <w:numPr>
          <w:ilvl w:val="0"/>
          <w:numId w:val="7"/>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资格要求；</w:t>
      </w:r>
    </w:p>
    <w:p>
      <w:pPr>
        <w:numPr>
          <w:ilvl w:val="0"/>
          <w:numId w:val="7"/>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其他业绩要求；</w:t>
      </w:r>
    </w:p>
    <w:p>
      <w:pPr>
        <w:numPr>
          <w:ilvl w:val="0"/>
          <w:numId w:val="7"/>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审查标准和方法。</w:t>
      </w:r>
    </w:p>
    <w:p>
      <w:pPr>
        <w:pStyle w:val="21"/>
        <w:tabs>
          <w:tab w:val="left" w:pos="630"/>
        </w:tabs>
        <w:snapToGrid w:val="0"/>
        <w:spacing w:line="440" w:lineRule="exact"/>
        <w:ind w:firstLine="424" w:firstLineChars="202"/>
        <w:rPr>
          <w:rFonts w:hAnsi="宋体"/>
          <w:color w:val="auto"/>
        </w:rPr>
      </w:pPr>
      <w:r>
        <w:rPr>
          <w:rFonts w:hint="eastAsia" w:hAnsi="宋体"/>
          <w:color w:val="auto"/>
        </w:rPr>
        <w:t>资格后审不合格的投标人，评标委员会应当否决其投标。</w:t>
      </w:r>
    </w:p>
    <w:p>
      <w:pPr>
        <w:rPr>
          <w:b/>
          <w:bCs/>
          <w:color w:val="auto"/>
          <w:sz w:val="24"/>
          <w:szCs w:val="32"/>
        </w:rPr>
      </w:pPr>
      <w:bookmarkStart w:id="89" w:name="_Toc46496133"/>
      <w:r>
        <w:rPr>
          <w:b/>
          <w:bCs/>
          <w:color w:val="auto"/>
          <w:sz w:val="24"/>
          <w:szCs w:val="32"/>
        </w:rPr>
        <w:t>1.8</w:t>
      </w:r>
      <w:r>
        <w:rPr>
          <w:rFonts w:hint="eastAsia"/>
          <w:b/>
          <w:bCs/>
          <w:color w:val="auto"/>
          <w:sz w:val="24"/>
          <w:szCs w:val="32"/>
        </w:rPr>
        <w:t>投标人不得存在的情形</w:t>
      </w:r>
      <w:bookmarkEnd w:id="85"/>
      <w:bookmarkEnd w:id="86"/>
      <w:bookmarkEnd w:id="87"/>
      <w:bookmarkEnd w:id="89"/>
    </w:p>
    <w:p>
      <w:pPr>
        <w:pStyle w:val="21"/>
        <w:tabs>
          <w:tab w:val="left" w:pos="630"/>
        </w:tabs>
        <w:snapToGrid w:val="0"/>
        <w:spacing w:line="440" w:lineRule="exact"/>
        <w:ind w:firstLine="424" w:firstLineChars="202"/>
        <w:rPr>
          <w:rFonts w:hAnsi="宋体"/>
          <w:color w:val="auto"/>
        </w:rPr>
      </w:pPr>
      <w:r>
        <w:rPr>
          <w:rFonts w:hAnsi="宋体"/>
          <w:color w:val="auto"/>
        </w:rPr>
        <w:t>1.8.1投标人不得存在下列情形之一</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为招标人不具有独立法人资格的附属机构（单位）；</w:t>
      </w:r>
      <w:r>
        <w:rPr>
          <w:rFonts w:ascii="宋体" w:hAnsi="宋体"/>
          <w:color w:val="auto"/>
        </w:rPr>
        <w:t xml:space="preserve"> </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被责令停业的；</w:t>
      </w:r>
      <w:r>
        <w:rPr>
          <w:rFonts w:ascii="宋体" w:hAnsi="宋体"/>
          <w:color w:val="auto"/>
        </w:rPr>
        <w:t xml:space="preserve"> </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被暂停或者取消投标资格的；</w:t>
      </w:r>
      <w:r>
        <w:rPr>
          <w:rFonts w:ascii="宋体" w:hAnsi="宋体"/>
          <w:color w:val="auto"/>
        </w:rPr>
        <w:t xml:space="preserve"> </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财产被接管或者冻结的；</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在最近三年内有骗取中标、严重违约、重大工程质量或者安全问题的；</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法律法规限定的其他情形；</w:t>
      </w:r>
    </w:p>
    <w:p>
      <w:pPr>
        <w:pStyle w:val="78"/>
        <w:numPr>
          <w:ilvl w:val="0"/>
          <w:numId w:val="8"/>
        </w:numPr>
        <w:tabs>
          <w:tab w:val="left" w:pos="630"/>
        </w:tabs>
        <w:spacing w:line="400" w:lineRule="exact"/>
        <w:ind w:left="0" w:firstLine="424" w:firstLineChars="202"/>
        <w:rPr>
          <w:rFonts w:ascii="宋体" w:hAnsi="宋体"/>
          <w:color w:val="auto"/>
        </w:rPr>
      </w:pPr>
      <w:r>
        <w:rPr>
          <w:rFonts w:hint="eastAsia" w:ascii="宋体" w:hAnsi="宋体"/>
          <w:color w:val="auto"/>
        </w:rPr>
        <w:t>招标文件规定的其他情形：见投标人须知前附表。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1.8.2单位负责人为同一人或者存在控股、管理关系的不同单位，不得同时投标本项目中同一采购包或者投标未划分采购包的同一项目。</w:t>
      </w:r>
    </w:p>
    <w:p>
      <w:pPr>
        <w:rPr>
          <w:b/>
          <w:bCs/>
          <w:color w:val="auto"/>
          <w:sz w:val="24"/>
          <w:szCs w:val="32"/>
        </w:rPr>
      </w:pPr>
      <w:bookmarkStart w:id="90" w:name="_Toc447265511"/>
      <w:bookmarkStart w:id="91" w:name="_Toc46496134"/>
      <w:bookmarkStart w:id="92" w:name="_Toc447265225"/>
      <w:bookmarkStart w:id="93" w:name="_Toc226969284"/>
      <w:bookmarkStart w:id="94" w:name="_Toc107822487"/>
      <w:bookmarkStart w:id="95" w:name="_Toc227057890"/>
      <w:bookmarkStart w:id="96" w:name="_Toc447188676"/>
      <w:r>
        <w:rPr>
          <w:b/>
          <w:bCs/>
          <w:color w:val="auto"/>
          <w:sz w:val="24"/>
          <w:szCs w:val="32"/>
        </w:rPr>
        <w:t>1.9</w:t>
      </w:r>
      <w:r>
        <w:rPr>
          <w:rFonts w:hint="eastAsia"/>
          <w:b/>
          <w:bCs/>
          <w:color w:val="auto"/>
          <w:sz w:val="24"/>
          <w:szCs w:val="32"/>
        </w:rPr>
        <w:t>合格的货物和服务</w:t>
      </w:r>
      <w:bookmarkEnd w:id="90"/>
      <w:bookmarkEnd w:id="91"/>
      <w:bookmarkEnd w:id="92"/>
      <w:bookmarkEnd w:id="93"/>
      <w:bookmarkEnd w:id="94"/>
      <w:bookmarkEnd w:id="95"/>
      <w:bookmarkEnd w:id="96"/>
    </w:p>
    <w:p>
      <w:pPr>
        <w:pStyle w:val="21"/>
        <w:tabs>
          <w:tab w:val="left" w:pos="630"/>
        </w:tabs>
        <w:snapToGrid w:val="0"/>
        <w:spacing w:line="440" w:lineRule="exact"/>
        <w:ind w:firstLine="283" w:firstLineChars="135"/>
        <w:rPr>
          <w:rFonts w:hAnsi="宋体"/>
          <w:color w:val="auto"/>
        </w:rPr>
      </w:pPr>
      <w:r>
        <w:rPr>
          <w:rFonts w:hAnsi="宋体"/>
          <w:color w:val="auto"/>
        </w:rPr>
        <w:t>1.9.1投标人提供的所有货物及其有关服务的原产地，均应当来自中国或者是与中国有正常贸易往来的国家或者地区。招标人的支付也仅限于这些货物和服务。</w:t>
      </w:r>
    </w:p>
    <w:p>
      <w:pPr>
        <w:pStyle w:val="21"/>
        <w:tabs>
          <w:tab w:val="left" w:pos="630"/>
        </w:tabs>
        <w:snapToGrid w:val="0"/>
        <w:spacing w:line="440" w:lineRule="exact"/>
        <w:ind w:firstLine="283" w:firstLineChars="135"/>
        <w:rPr>
          <w:rFonts w:hAnsi="宋体"/>
          <w:color w:val="auto"/>
        </w:rPr>
      </w:pPr>
      <w:r>
        <w:rPr>
          <w:rFonts w:hAnsi="宋体"/>
          <w:color w:val="auto"/>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1"/>
        <w:tabs>
          <w:tab w:val="left" w:pos="630"/>
        </w:tabs>
        <w:snapToGrid w:val="0"/>
        <w:spacing w:line="440" w:lineRule="exact"/>
        <w:ind w:firstLine="283" w:firstLineChars="135"/>
        <w:rPr>
          <w:rFonts w:hAnsi="宋体"/>
          <w:color w:val="auto"/>
        </w:rPr>
      </w:pPr>
      <w:r>
        <w:rPr>
          <w:rFonts w:hAnsi="宋体"/>
          <w:color w:val="auto"/>
        </w:rPr>
        <w:t>1.9.3投标人提供的所有货物及其有关服务应当符合国家规定的资格条件。</w:t>
      </w:r>
    </w:p>
    <w:p>
      <w:pPr>
        <w:rPr>
          <w:b/>
          <w:bCs/>
          <w:color w:val="auto"/>
          <w:sz w:val="24"/>
          <w:szCs w:val="32"/>
        </w:rPr>
      </w:pPr>
      <w:bookmarkStart w:id="97" w:name="_Toc227057891"/>
      <w:bookmarkStart w:id="98" w:name="_Toc447188677"/>
      <w:bookmarkStart w:id="99" w:name="_Toc447265512"/>
      <w:bookmarkStart w:id="100" w:name="_Toc107822488"/>
      <w:bookmarkStart w:id="101" w:name="_Toc447265226"/>
      <w:bookmarkStart w:id="102" w:name="_Toc46496135"/>
      <w:bookmarkStart w:id="103" w:name="_Toc226969285"/>
      <w:r>
        <w:rPr>
          <w:b/>
          <w:bCs/>
          <w:color w:val="auto"/>
          <w:sz w:val="24"/>
          <w:szCs w:val="32"/>
        </w:rPr>
        <w:t>1.10</w:t>
      </w:r>
      <w:r>
        <w:rPr>
          <w:rFonts w:hint="eastAsia"/>
          <w:b/>
          <w:bCs/>
          <w:color w:val="auto"/>
          <w:sz w:val="24"/>
          <w:szCs w:val="32"/>
        </w:rPr>
        <w:t>投标费用</w:t>
      </w:r>
      <w:bookmarkEnd w:id="97"/>
      <w:bookmarkEnd w:id="98"/>
      <w:bookmarkEnd w:id="99"/>
      <w:bookmarkEnd w:id="100"/>
      <w:bookmarkEnd w:id="101"/>
      <w:bookmarkEnd w:id="102"/>
      <w:bookmarkEnd w:id="10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不论结果如何，投标人自行承担所有准备和参与招标有关的费用。</w:t>
      </w:r>
      <w:bookmarkStart w:id="104" w:name="_Toc107822489"/>
      <w:bookmarkStart w:id="105" w:name="_Toc226969286"/>
      <w:bookmarkStart w:id="106" w:name="_Toc227057892"/>
    </w:p>
    <w:p>
      <w:pPr>
        <w:rPr>
          <w:b/>
          <w:bCs/>
          <w:color w:val="auto"/>
          <w:sz w:val="24"/>
          <w:szCs w:val="32"/>
        </w:rPr>
      </w:pPr>
      <w:bookmarkStart w:id="107" w:name="_Toc447265227"/>
      <w:bookmarkStart w:id="108" w:name="_Toc447265513"/>
      <w:bookmarkStart w:id="109" w:name="_Toc46496136"/>
      <w:r>
        <w:rPr>
          <w:b/>
          <w:bCs/>
          <w:color w:val="auto"/>
          <w:sz w:val="24"/>
          <w:szCs w:val="32"/>
        </w:rPr>
        <w:t>1.11</w:t>
      </w:r>
      <w:r>
        <w:rPr>
          <w:rFonts w:hint="eastAsia"/>
          <w:b/>
          <w:bCs/>
          <w:color w:val="auto"/>
          <w:sz w:val="24"/>
          <w:szCs w:val="32"/>
        </w:rPr>
        <w:t>保密</w:t>
      </w:r>
      <w:bookmarkEnd w:id="107"/>
      <w:bookmarkEnd w:id="108"/>
      <w:bookmarkEnd w:id="10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参与招标活动的各方应当对招标文件和投标文件中的商业和技术等秘密保密，违者应当对由此造成的后果承担法律责任。</w:t>
      </w:r>
    </w:p>
    <w:p>
      <w:pPr>
        <w:numPr>
          <w:ilvl w:val="0"/>
          <w:numId w:val="6"/>
        </w:numPr>
        <w:rPr>
          <w:b/>
          <w:bCs/>
          <w:color w:val="auto"/>
          <w:sz w:val="24"/>
          <w:szCs w:val="32"/>
        </w:rPr>
      </w:pPr>
      <w:r>
        <w:rPr>
          <w:rFonts w:hint="eastAsia"/>
          <w:b/>
          <w:bCs/>
          <w:color w:val="auto"/>
          <w:sz w:val="24"/>
          <w:szCs w:val="32"/>
        </w:rPr>
        <w:t>招标文件</w:t>
      </w:r>
      <w:r>
        <w:rPr>
          <w:b/>
          <w:bCs/>
          <w:color w:val="auto"/>
          <w:sz w:val="24"/>
          <w:szCs w:val="32"/>
        </w:rPr>
        <w:t xml:space="preserve"> </w:t>
      </w:r>
    </w:p>
    <w:p>
      <w:pPr>
        <w:rPr>
          <w:b/>
          <w:bCs/>
          <w:color w:val="auto"/>
          <w:sz w:val="24"/>
          <w:szCs w:val="32"/>
        </w:rPr>
      </w:pPr>
      <w:bookmarkStart w:id="110" w:name="_Toc447265229"/>
      <w:bookmarkStart w:id="111" w:name="_Toc447188679"/>
      <w:bookmarkStart w:id="112" w:name="_Toc46496138"/>
      <w:bookmarkStart w:id="113" w:name="_Toc447265515"/>
      <w:r>
        <w:rPr>
          <w:b/>
          <w:bCs/>
          <w:color w:val="auto"/>
          <w:sz w:val="24"/>
          <w:szCs w:val="32"/>
        </w:rPr>
        <w:t>2.1</w:t>
      </w:r>
      <w:r>
        <w:rPr>
          <w:rFonts w:hint="eastAsia"/>
          <w:b/>
          <w:bCs/>
          <w:color w:val="auto"/>
          <w:sz w:val="24"/>
          <w:szCs w:val="32"/>
        </w:rPr>
        <w:t>招标文件</w:t>
      </w:r>
      <w:bookmarkEnd w:id="104"/>
      <w:r>
        <w:rPr>
          <w:rFonts w:hint="eastAsia"/>
          <w:b/>
          <w:bCs/>
          <w:color w:val="auto"/>
          <w:sz w:val="24"/>
          <w:szCs w:val="32"/>
        </w:rPr>
        <w:t>的组成</w:t>
      </w:r>
      <w:bookmarkEnd w:id="105"/>
      <w:bookmarkEnd w:id="106"/>
      <w:bookmarkEnd w:id="110"/>
      <w:bookmarkEnd w:id="111"/>
      <w:bookmarkEnd w:id="112"/>
      <w:bookmarkEnd w:id="113"/>
    </w:p>
    <w:p>
      <w:pPr>
        <w:pStyle w:val="21"/>
        <w:tabs>
          <w:tab w:val="left" w:pos="630"/>
        </w:tabs>
        <w:snapToGrid w:val="0"/>
        <w:spacing w:line="440" w:lineRule="exact"/>
        <w:ind w:firstLine="424" w:firstLineChars="202"/>
        <w:rPr>
          <w:rFonts w:hAnsi="宋体"/>
          <w:color w:val="auto"/>
        </w:rPr>
      </w:pPr>
      <w:r>
        <w:rPr>
          <w:rFonts w:hAnsi="宋体"/>
          <w:color w:val="auto"/>
        </w:rPr>
        <w:t>2.1.1招标文件一般由以下部分组成：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r>
        <w:rPr>
          <w:rFonts w:ascii="宋体" w:hAnsi="宋体" w:cs="宋体"/>
          <w:color w:val="auto"/>
          <w:szCs w:val="21"/>
        </w:rPr>
        <w:t>/投标邀请书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合同条款</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第七章</w:t>
      </w:r>
      <w:r>
        <w:rPr>
          <w:rFonts w:ascii="宋体" w:hAnsi="宋体" w:cs="宋体"/>
          <w:color w:val="auto"/>
          <w:szCs w:val="21"/>
        </w:rPr>
        <w:t xml:space="preserve"> </w:t>
      </w:r>
      <w:r>
        <w:rPr>
          <w:rFonts w:hint="eastAsia" w:ascii="宋体" w:hAnsi="宋体" w:cs="宋体"/>
          <w:color w:val="auto"/>
          <w:szCs w:val="21"/>
        </w:rPr>
        <w:t>其他</w:t>
      </w:r>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招标人另有规定的</w:t>
      </w:r>
      <w:r>
        <w:rPr>
          <w:rFonts w:hint="eastAsia" w:ascii="宋体" w:hAnsi="宋体" w:cs="宋体"/>
          <w:color w:val="auto"/>
          <w:szCs w:val="21"/>
        </w:rPr>
        <w:t>，</w:t>
      </w:r>
      <w:r>
        <w:rPr>
          <w:rFonts w:ascii="宋体" w:hAnsi="宋体" w:cs="宋体"/>
          <w:color w:val="auto"/>
          <w:szCs w:val="21"/>
        </w:rPr>
        <w:t>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2.1.2招标文件对同一内容的表述应当一致。第一章“招标公告”或者“投标邀请书”与招标文件在同一内容的表述上有矛盾或者冲突时，以第一章“招标公告”或者“投标邀请</w:t>
      </w:r>
      <w:r>
        <w:rPr>
          <w:rFonts w:hint="eastAsia" w:hAnsi="宋体"/>
          <w:color w:val="auto"/>
        </w:rPr>
        <w:t>书”为准；投标人须知前附表与投标人须知正文在同一内容的表述上有矛盾或者冲突时，以投标人须知前附表为准。</w:t>
      </w:r>
    </w:p>
    <w:p>
      <w:pPr>
        <w:pStyle w:val="21"/>
        <w:tabs>
          <w:tab w:val="left" w:pos="630"/>
        </w:tabs>
        <w:snapToGrid w:val="0"/>
        <w:spacing w:line="440" w:lineRule="exact"/>
        <w:ind w:firstLine="424" w:firstLineChars="202"/>
        <w:rPr>
          <w:rFonts w:hAnsi="宋体"/>
          <w:color w:val="auto"/>
        </w:rPr>
      </w:pPr>
      <w:r>
        <w:rPr>
          <w:rFonts w:hAnsi="宋体"/>
          <w:color w:val="auto"/>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2.1.4招标人可要求以某一单项报价核定是否低于成本，具体要求见投标人须知前附表。</w:t>
      </w:r>
    </w:p>
    <w:p>
      <w:pPr>
        <w:rPr>
          <w:b/>
          <w:bCs/>
          <w:color w:val="auto"/>
          <w:sz w:val="24"/>
          <w:szCs w:val="32"/>
        </w:rPr>
      </w:pPr>
      <w:bookmarkStart w:id="114" w:name="_Toc46496139"/>
      <w:bookmarkStart w:id="115" w:name="_Toc447188680"/>
      <w:bookmarkStart w:id="116" w:name="_Toc447265516"/>
      <w:bookmarkStart w:id="117" w:name="_Toc447265230"/>
      <w:bookmarkStart w:id="118" w:name="_Toc226969287"/>
      <w:bookmarkStart w:id="119" w:name="_Toc107822490"/>
      <w:bookmarkStart w:id="120" w:name="_Toc227057893"/>
      <w:r>
        <w:rPr>
          <w:b/>
          <w:bCs/>
          <w:color w:val="auto"/>
          <w:sz w:val="24"/>
          <w:szCs w:val="32"/>
        </w:rPr>
        <w:t>2.2</w:t>
      </w:r>
      <w:r>
        <w:rPr>
          <w:rFonts w:hint="eastAsia"/>
          <w:b/>
          <w:bCs/>
          <w:color w:val="auto"/>
          <w:sz w:val="24"/>
          <w:szCs w:val="32"/>
        </w:rPr>
        <w:t>踏勘现场</w:t>
      </w:r>
      <w:bookmarkEnd w:id="114"/>
      <w:bookmarkEnd w:id="115"/>
      <w:bookmarkEnd w:id="116"/>
      <w:bookmarkEnd w:id="117"/>
    </w:p>
    <w:p>
      <w:pPr>
        <w:pStyle w:val="21"/>
        <w:tabs>
          <w:tab w:val="left" w:pos="630"/>
        </w:tabs>
        <w:snapToGrid w:val="0"/>
        <w:spacing w:line="440" w:lineRule="exact"/>
        <w:ind w:firstLine="283" w:firstLineChars="135"/>
        <w:rPr>
          <w:rFonts w:hAnsi="宋体"/>
          <w:color w:val="auto"/>
        </w:rPr>
      </w:pPr>
      <w:r>
        <w:rPr>
          <w:rFonts w:hAnsi="宋体"/>
          <w:color w:val="auto"/>
        </w:rPr>
        <w:t xml:space="preserve">2.2.1投标人须知前附表规定组织踏勘现场的，招标人按照投标人须知前附表规定的时间、地点组织投标人踏勘项目现场。 </w:t>
      </w:r>
    </w:p>
    <w:p>
      <w:pPr>
        <w:pStyle w:val="21"/>
        <w:tabs>
          <w:tab w:val="left" w:pos="630"/>
        </w:tabs>
        <w:snapToGrid w:val="0"/>
        <w:spacing w:line="440" w:lineRule="exact"/>
        <w:ind w:firstLine="283" w:firstLineChars="135"/>
        <w:rPr>
          <w:rFonts w:hAnsi="宋体"/>
          <w:color w:val="auto"/>
        </w:rPr>
      </w:pPr>
      <w:r>
        <w:rPr>
          <w:rFonts w:hAnsi="宋体"/>
          <w:color w:val="auto"/>
        </w:rPr>
        <w:t>2.2.2</w:t>
      </w:r>
      <w:r>
        <w:rPr>
          <w:rFonts w:hint="eastAsia" w:hAnsi="宋体"/>
          <w:color w:val="auto"/>
        </w:rPr>
        <w:t>潜在投标人踏勘现场发生的费用自理。</w:t>
      </w:r>
    </w:p>
    <w:p>
      <w:pPr>
        <w:pStyle w:val="21"/>
        <w:tabs>
          <w:tab w:val="left" w:pos="630"/>
        </w:tabs>
        <w:snapToGrid w:val="0"/>
        <w:spacing w:line="440" w:lineRule="exact"/>
        <w:ind w:firstLine="283" w:firstLineChars="135"/>
        <w:rPr>
          <w:rFonts w:hAnsi="宋体"/>
          <w:color w:val="auto"/>
        </w:rPr>
      </w:pPr>
      <w:r>
        <w:rPr>
          <w:rFonts w:hAnsi="宋体"/>
          <w:color w:val="auto"/>
        </w:rPr>
        <w:t>2.2.3</w:t>
      </w:r>
      <w:r>
        <w:rPr>
          <w:rFonts w:hint="eastAsia" w:hAnsi="宋体"/>
          <w:color w:val="auto"/>
        </w:rPr>
        <w:t>除招标人的原因外，潜在投标人自行负责在踏勘现场中所发生的人员伤亡和财产损失。</w:t>
      </w:r>
    </w:p>
    <w:p>
      <w:pPr>
        <w:pStyle w:val="21"/>
        <w:tabs>
          <w:tab w:val="left" w:pos="630"/>
        </w:tabs>
        <w:snapToGrid w:val="0"/>
        <w:spacing w:line="440" w:lineRule="exact"/>
        <w:ind w:firstLine="283" w:firstLineChars="135"/>
        <w:rPr>
          <w:rFonts w:hAnsi="宋体"/>
          <w:color w:val="auto"/>
        </w:rPr>
      </w:pPr>
      <w:r>
        <w:rPr>
          <w:rFonts w:hAnsi="宋体"/>
          <w:color w:val="auto"/>
        </w:rPr>
        <w:t>2.2.4</w:t>
      </w:r>
      <w:r>
        <w:rPr>
          <w:rFonts w:hint="eastAsia" w:hAnsi="宋体"/>
          <w:color w:val="auto"/>
        </w:rPr>
        <w:t>招标人在踏勘现场中介绍的项目现场和相关的周边环境情况，供潜在投标人在编制投标文件时参考，招标人不对投标人据此作出的判断和决策负责。</w:t>
      </w:r>
    </w:p>
    <w:p>
      <w:pPr>
        <w:rPr>
          <w:b/>
          <w:bCs/>
          <w:color w:val="auto"/>
          <w:sz w:val="24"/>
          <w:szCs w:val="32"/>
        </w:rPr>
      </w:pPr>
      <w:bookmarkStart w:id="121" w:name="_Toc447188681"/>
      <w:bookmarkStart w:id="122" w:name="_Toc46496140"/>
      <w:bookmarkStart w:id="123" w:name="_Toc447265231"/>
      <w:bookmarkStart w:id="124" w:name="_Toc447265517"/>
      <w:r>
        <w:rPr>
          <w:b/>
          <w:bCs/>
          <w:color w:val="auto"/>
          <w:sz w:val="24"/>
          <w:szCs w:val="32"/>
        </w:rPr>
        <w:t>2.3</w:t>
      </w:r>
      <w:r>
        <w:rPr>
          <w:rFonts w:hint="eastAsia"/>
          <w:b/>
          <w:bCs/>
          <w:color w:val="auto"/>
          <w:sz w:val="24"/>
          <w:szCs w:val="32"/>
        </w:rPr>
        <w:t>投标预备会</w:t>
      </w:r>
      <w:bookmarkEnd w:id="121"/>
      <w:bookmarkEnd w:id="122"/>
      <w:bookmarkEnd w:id="123"/>
      <w:bookmarkEnd w:id="12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投标人须知前附表规定召开投标预备会的，招标人按照投标人须知前附表规定的时间和地点召开投标预备会，澄清潜在投标人提出的问题。</w:t>
      </w:r>
    </w:p>
    <w:p>
      <w:pPr>
        <w:rPr>
          <w:b/>
          <w:bCs/>
          <w:color w:val="auto"/>
          <w:sz w:val="24"/>
          <w:szCs w:val="32"/>
        </w:rPr>
      </w:pPr>
      <w:bookmarkStart w:id="125" w:name="_Toc447265518"/>
      <w:bookmarkStart w:id="126" w:name="_Toc46496141"/>
      <w:bookmarkStart w:id="127" w:name="_Toc447188682"/>
      <w:bookmarkStart w:id="128" w:name="_Toc447265232"/>
      <w:r>
        <w:rPr>
          <w:b/>
          <w:bCs/>
          <w:color w:val="auto"/>
          <w:sz w:val="24"/>
          <w:szCs w:val="32"/>
        </w:rPr>
        <w:t>2.4</w:t>
      </w:r>
      <w:r>
        <w:rPr>
          <w:rFonts w:hint="eastAsia"/>
          <w:b/>
          <w:bCs/>
          <w:color w:val="auto"/>
          <w:sz w:val="24"/>
          <w:szCs w:val="32"/>
        </w:rPr>
        <w:t>招标文件的澄清</w:t>
      </w:r>
      <w:bookmarkEnd w:id="118"/>
      <w:bookmarkEnd w:id="119"/>
      <w:bookmarkEnd w:id="120"/>
      <w:r>
        <w:rPr>
          <w:rFonts w:hint="eastAsia"/>
          <w:b/>
          <w:bCs/>
          <w:color w:val="auto"/>
          <w:sz w:val="24"/>
          <w:szCs w:val="32"/>
        </w:rPr>
        <w:t>和修改</w:t>
      </w:r>
      <w:bookmarkEnd w:id="125"/>
      <w:bookmarkEnd w:id="126"/>
      <w:bookmarkEnd w:id="127"/>
      <w:bookmarkEnd w:id="128"/>
    </w:p>
    <w:p>
      <w:pPr>
        <w:pStyle w:val="21"/>
        <w:tabs>
          <w:tab w:val="left" w:pos="630"/>
        </w:tabs>
        <w:snapToGrid w:val="0"/>
        <w:spacing w:line="440" w:lineRule="exact"/>
        <w:ind w:firstLine="283" w:firstLineChars="135"/>
        <w:rPr>
          <w:rFonts w:hAnsi="宋体"/>
          <w:color w:val="auto"/>
        </w:rPr>
      </w:pPr>
      <w:bookmarkStart w:id="129" w:name="_Toc152045546"/>
      <w:bookmarkStart w:id="130" w:name="_Toc447265233"/>
      <w:bookmarkStart w:id="131" w:name="_Toc246996191"/>
      <w:bookmarkStart w:id="132" w:name="_Toc107822492"/>
      <w:bookmarkStart w:id="133" w:name="_Toc246996934"/>
      <w:bookmarkStart w:id="134" w:name="_Toc179632564"/>
      <w:bookmarkStart w:id="135" w:name="_Toc296602436"/>
      <w:bookmarkStart w:id="136" w:name="_Toc247085705"/>
      <w:bookmarkStart w:id="137" w:name="_Toc226969289"/>
      <w:bookmarkStart w:id="138" w:name="_Toc447188683"/>
      <w:bookmarkStart w:id="139" w:name="_Toc447265519"/>
      <w:bookmarkStart w:id="140" w:name="_Toc152042322"/>
      <w:bookmarkStart w:id="141" w:name="_Toc227057895"/>
      <w:bookmarkStart w:id="142" w:name="_Toc144974514"/>
      <w:r>
        <w:rPr>
          <w:rFonts w:hAnsi="宋体"/>
          <w:color w:val="auto"/>
        </w:rPr>
        <w:t>2.4.1投标人对招标文件有疑问的，应当按照投标人须知前附表规定的时间和方式，要求招标人对招标文件进行澄清。</w:t>
      </w:r>
    </w:p>
    <w:p>
      <w:pPr>
        <w:pStyle w:val="21"/>
        <w:tabs>
          <w:tab w:val="left" w:pos="630"/>
        </w:tabs>
        <w:snapToGrid w:val="0"/>
        <w:spacing w:line="440" w:lineRule="exact"/>
        <w:ind w:firstLine="283" w:firstLineChars="135"/>
        <w:rPr>
          <w:rFonts w:hAnsi="宋体"/>
          <w:color w:val="auto"/>
        </w:rPr>
      </w:pPr>
      <w:r>
        <w:rPr>
          <w:rFonts w:hAnsi="宋体"/>
          <w:color w:val="auto"/>
        </w:rPr>
        <w:t>2.4.2</w:t>
      </w:r>
      <w:r>
        <w:rPr>
          <w:rFonts w:hint="eastAsia" w:hAnsi="宋体"/>
          <w:color w:val="auto"/>
        </w:rPr>
        <w:t>招标人应当按照投标人须知前附表规定的时间和方式，将澄清或者修改内容发给所有购买招标文件的投标人，但不指明问题的来源。</w:t>
      </w:r>
    </w:p>
    <w:p>
      <w:pPr>
        <w:pStyle w:val="21"/>
        <w:tabs>
          <w:tab w:val="left" w:pos="630"/>
        </w:tabs>
        <w:snapToGrid w:val="0"/>
        <w:spacing w:line="440" w:lineRule="exact"/>
        <w:ind w:firstLine="283" w:firstLineChars="135"/>
        <w:rPr>
          <w:rFonts w:hAnsi="宋体"/>
          <w:color w:val="auto"/>
        </w:rPr>
      </w:pPr>
      <w:r>
        <w:rPr>
          <w:rFonts w:hAnsi="宋体"/>
          <w:color w:val="auto"/>
        </w:rPr>
        <w:t>2.4.4投标人收到澄清或者修改后，应当按照投标人须知前附表规定的时间和方式通知招标人，确认已收到该澄清或者修改。</w:t>
      </w:r>
    </w:p>
    <w:p>
      <w:pPr>
        <w:pStyle w:val="21"/>
        <w:tabs>
          <w:tab w:val="left" w:pos="630"/>
        </w:tabs>
        <w:snapToGrid w:val="0"/>
        <w:spacing w:line="440" w:lineRule="exact"/>
        <w:ind w:firstLine="283" w:firstLineChars="135"/>
        <w:rPr>
          <w:rFonts w:hAnsi="宋体"/>
          <w:color w:val="auto"/>
        </w:rPr>
      </w:pPr>
      <w:r>
        <w:rPr>
          <w:rFonts w:hAnsi="宋体"/>
          <w:color w:val="auto"/>
        </w:rPr>
        <w:t>2.4.5所有关于招标文件的澄清和修改均作为招标文件的补充部分。当招标文件、招标文件的澄清或者修改等在同一内容的表述上不一致时，以最后发出的书面文件为准。</w:t>
      </w:r>
    </w:p>
    <w:p>
      <w:pPr>
        <w:numPr>
          <w:ilvl w:val="0"/>
          <w:numId w:val="6"/>
        </w:numPr>
        <w:rPr>
          <w:b/>
          <w:bCs/>
          <w:color w:val="auto"/>
          <w:sz w:val="24"/>
          <w:szCs w:val="32"/>
        </w:rPr>
      </w:pPr>
      <w:r>
        <w:rPr>
          <w:rFonts w:hint="eastAsia"/>
          <w:b/>
          <w:bCs/>
          <w:color w:val="auto"/>
          <w:sz w:val="24"/>
          <w:szCs w:val="32"/>
        </w:rPr>
        <w:t>投标文件</w:t>
      </w:r>
      <w:bookmarkEnd w:id="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b/>
          <w:bCs/>
          <w:color w:val="auto"/>
          <w:sz w:val="24"/>
          <w:szCs w:val="32"/>
        </w:rPr>
      </w:pPr>
      <w:bookmarkStart w:id="143" w:name="_Toc226969290"/>
      <w:bookmarkStart w:id="144" w:name="_Toc227057896"/>
      <w:bookmarkStart w:id="145" w:name="_Toc107822493"/>
      <w:bookmarkStart w:id="146" w:name="_Toc450489293"/>
      <w:bookmarkStart w:id="147" w:name="_Toc447188684"/>
      <w:bookmarkStart w:id="148" w:name="_Toc447265234"/>
      <w:bookmarkStart w:id="149" w:name="_Toc46496143"/>
      <w:bookmarkStart w:id="150" w:name="_Toc447265520"/>
      <w:bookmarkStart w:id="151" w:name="_Toc184635074"/>
      <w:bookmarkStart w:id="152" w:name="_Toc447265242"/>
      <w:bookmarkStart w:id="153" w:name="_Toc447265528"/>
      <w:bookmarkStart w:id="154" w:name="_Toc107822503"/>
      <w:bookmarkStart w:id="155" w:name="_Toc488655848"/>
      <w:bookmarkStart w:id="156" w:name="_Toc227057906"/>
      <w:bookmarkStart w:id="157" w:name="_Toc226969300"/>
      <w:r>
        <w:rPr>
          <w:b/>
          <w:bCs/>
          <w:color w:val="auto"/>
          <w:sz w:val="24"/>
          <w:szCs w:val="32"/>
        </w:rPr>
        <w:t>3.1</w:t>
      </w:r>
      <w:r>
        <w:rPr>
          <w:rFonts w:hint="eastAsia"/>
          <w:b/>
          <w:bCs/>
          <w:color w:val="auto"/>
          <w:sz w:val="24"/>
          <w:szCs w:val="32"/>
        </w:rPr>
        <w:t>投标文件的</w:t>
      </w:r>
      <w:bookmarkEnd w:id="143"/>
      <w:bookmarkEnd w:id="144"/>
      <w:bookmarkEnd w:id="145"/>
      <w:r>
        <w:rPr>
          <w:rFonts w:hint="eastAsia"/>
          <w:b/>
          <w:bCs/>
          <w:color w:val="auto"/>
          <w:sz w:val="24"/>
          <w:szCs w:val="32"/>
        </w:rPr>
        <w:t>组成</w:t>
      </w:r>
      <w:bookmarkEnd w:id="146"/>
      <w:bookmarkEnd w:id="147"/>
      <w:bookmarkEnd w:id="148"/>
      <w:bookmarkEnd w:id="149"/>
      <w:bookmarkEnd w:id="1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投标人应当按照投标人须知前附表的要求制作并递交投标文件。投标文件组成见投标人须知前附表。</w:t>
      </w:r>
    </w:p>
    <w:p>
      <w:pPr>
        <w:rPr>
          <w:b/>
          <w:bCs/>
          <w:color w:val="auto"/>
          <w:sz w:val="24"/>
          <w:szCs w:val="32"/>
        </w:rPr>
      </w:pPr>
      <w:bookmarkStart w:id="158" w:name="_Toc447188685"/>
      <w:bookmarkStart w:id="159" w:name="_Toc450489294"/>
      <w:bookmarkStart w:id="160" w:name="_Toc447265521"/>
      <w:bookmarkStart w:id="161" w:name="_Toc447265235"/>
      <w:bookmarkStart w:id="162" w:name="_Toc46496144"/>
      <w:r>
        <w:rPr>
          <w:b/>
          <w:bCs/>
          <w:color w:val="auto"/>
          <w:sz w:val="24"/>
          <w:szCs w:val="32"/>
        </w:rPr>
        <w:t>3.2</w:t>
      </w:r>
      <w:r>
        <w:rPr>
          <w:rFonts w:hint="eastAsia"/>
          <w:b/>
          <w:bCs/>
          <w:color w:val="auto"/>
          <w:sz w:val="24"/>
          <w:szCs w:val="32"/>
        </w:rPr>
        <w:t>投标文件的编制</w:t>
      </w:r>
      <w:bookmarkEnd w:id="158"/>
      <w:bookmarkEnd w:id="159"/>
      <w:bookmarkEnd w:id="160"/>
      <w:bookmarkEnd w:id="161"/>
      <w:bookmarkEnd w:id="162"/>
    </w:p>
    <w:p>
      <w:pPr>
        <w:pStyle w:val="21"/>
        <w:tabs>
          <w:tab w:val="left" w:pos="630"/>
        </w:tabs>
        <w:snapToGrid w:val="0"/>
        <w:spacing w:line="440" w:lineRule="exact"/>
        <w:ind w:firstLine="424" w:firstLineChars="202"/>
        <w:rPr>
          <w:rFonts w:hAnsi="宋体"/>
          <w:color w:val="auto"/>
        </w:rPr>
      </w:pPr>
      <w:r>
        <w:rPr>
          <w:rFonts w:hAnsi="宋体"/>
          <w:color w:val="auto"/>
        </w:rPr>
        <w:t>3.2.1投标人应当按照招标文件的要求编制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文件应当对招标文件提出的实质性要求和条件作出响应。</w:t>
      </w:r>
    </w:p>
    <w:p>
      <w:pPr>
        <w:pStyle w:val="21"/>
        <w:tabs>
          <w:tab w:val="left" w:pos="630"/>
        </w:tabs>
        <w:snapToGrid w:val="0"/>
        <w:spacing w:line="440" w:lineRule="exact"/>
        <w:ind w:firstLine="424" w:firstLineChars="202"/>
        <w:rPr>
          <w:rFonts w:hAnsi="宋体"/>
          <w:color w:val="auto"/>
        </w:rPr>
      </w:pPr>
      <w:r>
        <w:rPr>
          <w:rFonts w:hAnsi="宋体"/>
          <w:color w:val="auto"/>
        </w:rPr>
        <w:t>3.2.2</w:t>
      </w:r>
      <w:r>
        <w:rPr>
          <w:rFonts w:hint="eastAsia" w:hAnsi="宋体"/>
          <w:color w:val="auto"/>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hAnsi="宋体" w:cs="宋体"/>
          <w:color w:val="auto"/>
          <w:szCs w:val="21"/>
        </w:rPr>
        <w:t>投标</w:t>
      </w:r>
      <w:r>
        <w:rPr>
          <w:rFonts w:hint="eastAsia" w:hAnsi="宋体"/>
          <w:color w:val="auto"/>
        </w:rPr>
        <w:t>文件投标和编写的具体要求见投标人须知前附表。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3.2.3投标人递交的</w:t>
      </w:r>
      <w:r>
        <w:rPr>
          <w:rFonts w:hint="eastAsia" w:hAnsi="宋体" w:cs="宋体"/>
          <w:color w:val="auto"/>
          <w:szCs w:val="21"/>
        </w:rPr>
        <w:t>投标</w:t>
      </w:r>
      <w:r>
        <w:rPr>
          <w:rFonts w:hint="eastAsia" w:hAnsi="宋体"/>
          <w:color w:val="auto"/>
        </w:rPr>
        <w:t>文件以及投标人与招标人就有关投标的所有往来函电均应当使用中文。投标人递交的证明文件和文献可以使用另一种语言，但相应内容应当译成中文，在解释</w:t>
      </w:r>
      <w:r>
        <w:rPr>
          <w:rFonts w:hint="eastAsia" w:hAnsi="宋体" w:cs="宋体"/>
          <w:color w:val="auto"/>
          <w:szCs w:val="21"/>
        </w:rPr>
        <w:t>投标</w:t>
      </w:r>
      <w:r>
        <w:rPr>
          <w:rFonts w:hint="eastAsia" w:hAnsi="宋体"/>
          <w:color w:val="auto"/>
        </w:rPr>
        <w:t>文件时以中文译本为准。</w:t>
      </w:r>
    </w:p>
    <w:p>
      <w:pPr>
        <w:pStyle w:val="21"/>
        <w:tabs>
          <w:tab w:val="left" w:pos="630"/>
        </w:tabs>
        <w:snapToGrid w:val="0"/>
        <w:spacing w:line="440" w:lineRule="exact"/>
        <w:ind w:firstLine="424" w:firstLineChars="202"/>
        <w:rPr>
          <w:rFonts w:hAnsi="宋体"/>
          <w:color w:val="auto"/>
        </w:rPr>
      </w:pPr>
      <w:r>
        <w:rPr>
          <w:rFonts w:hAnsi="宋体"/>
          <w:color w:val="auto"/>
        </w:rPr>
        <w:t>3.2.4</w:t>
      </w:r>
      <w:r>
        <w:rPr>
          <w:rFonts w:hint="eastAsia" w:hAnsi="宋体" w:cs="宋体"/>
          <w:color w:val="auto"/>
          <w:szCs w:val="21"/>
        </w:rPr>
        <w:t>投标</w:t>
      </w:r>
      <w:r>
        <w:rPr>
          <w:rFonts w:hint="eastAsia" w:hAnsi="宋体"/>
          <w:color w:val="auto"/>
        </w:rPr>
        <w:t>文件应当使用不褪色的材料书写或者打印，并加盖单位公章或者由投标人的法定代表人或者其委托代理人签字。委托代理人签字的，</w:t>
      </w:r>
      <w:r>
        <w:rPr>
          <w:rFonts w:hint="eastAsia" w:hAnsi="宋体" w:cs="宋体"/>
          <w:color w:val="auto"/>
          <w:szCs w:val="21"/>
        </w:rPr>
        <w:t>投标</w:t>
      </w:r>
      <w:r>
        <w:rPr>
          <w:rFonts w:hint="eastAsia" w:hAnsi="宋体"/>
          <w:color w:val="auto"/>
        </w:rPr>
        <w:t>文件应当附法定代表人签署的授权委托书。</w:t>
      </w:r>
      <w:r>
        <w:rPr>
          <w:rFonts w:hint="eastAsia" w:hAnsi="宋体" w:cs="宋体"/>
          <w:color w:val="auto"/>
          <w:szCs w:val="21"/>
        </w:rPr>
        <w:t>投标</w:t>
      </w:r>
      <w:r>
        <w:rPr>
          <w:rFonts w:hint="eastAsia" w:hAnsi="宋体"/>
          <w:color w:val="auto"/>
        </w:rPr>
        <w:t>文件应当尽量避免涂改、行间插字或者删除。如果出现上述情况，改动之处应当加盖单位公章或者由投标人的法定代表人或者其委托代理人签字确认。盖章或者签字另有要求的，见投标人须知前附表。</w:t>
      </w:r>
    </w:p>
    <w:p>
      <w:pPr>
        <w:rPr>
          <w:b/>
          <w:bCs/>
          <w:color w:val="auto"/>
          <w:sz w:val="24"/>
          <w:szCs w:val="32"/>
        </w:rPr>
      </w:pPr>
      <w:bookmarkStart w:id="163" w:name="_Toc107822495"/>
      <w:bookmarkStart w:id="164" w:name="_Toc226969292"/>
      <w:bookmarkStart w:id="165" w:name="_Toc227057898"/>
      <w:bookmarkStart w:id="166" w:name="_Toc450489295"/>
      <w:bookmarkStart w:id="167" w:name="_Toc46496145"/>
      <w:bookmarkStart w:id="168" w:name="_Toc447265522"/>
      <w:bookmarkStart w:id="169" w:name="_Toc447188686"/>
      <w:bookmarkStart w:id="170" w:name="_Toc447265236"/>
      <w:r>
        <w:rPr>
          <w:b/>
          <w:bCs/>
          <w:color w:val="auto"/>
          <w:sz w:val="24"/>
          <w:szCs w:val="32"/>
        </w:rPr>
        <w:t>3.3</w:t>
      </w:r>
      <w:r>
        <w:rPr>
          <w:rFonts w:hint="eastAsia"/>
          <w:b/>
          <w:bCs/>
          <w:color w:val="auto"/>
          <w:sz w:val="24"/>
          <w:szCs w:val="32"/>
        </w:rPr>
        <w:t>投标报价</w:t>
      </w:r>
      <w:bookmarkEnd w:id="163"/>
      <w:bookmarkEnd w:id="164"/>
      <w:bookmarkEnd w:id="165"/>
      <w:bookmarkEnd w:id="166"/>
      <w:bookmarkEnd w:id="167"/>
      <w:bookmarkEnd w:id="168"/>
      <w:bookmarkEnd w:id="169"/>
      <w:bookmarkEnd w:id="170"/>
    </w:p>
    <w:p>
      <w:pPr>
        <w:pStyle w:val="21"/>
        <w:tabs>
          <w:tab w:val="left" w:pos="630"/>
        </w:tabs>
        <w:snapToGrid w:val="0"/>
        <w:spacing w:line="440" w:lineRule="exact"/>
        <w:ind w:firstLine="424" w:firstLineChars="202"/>
        <w:rPr>
          <w:rFonts w:hAnsi="宋体"/>
          <w:color w:val="auto"/>
        </w:rPr>
      </w:pPr>
      <w:r>
        <w:rPr>
          <w:rFonts w:hAnsi="宋体"/>
          <w:color w:val="auto"/>
        </w:rPr>
        <w:t>3.3.1投标人应当根据招标文件要求进行报价，投标人应当报出符合招标文件要求的拟提供投标货物的单价（如适用）和总价。</w:t>
      </w:r>
    </w:p>
    <w:p>
      <w:pPr>
        <w:pStyle w:val="21"/>
        <w:tabs>
          <w:tab w:val="left" w:pos="630"/>
        </w:tabs>
        <w:snapToGrid w:val="0"/>
        <w:spacing w:line="440" w:lineRule="exact"/>
        <w:ind w:firstLine="424" w:firstLineChars="202"/>
        <w:rPr>
          <w:rFonts w:hAnsi="宋体"/>
          <w:color w:val="auto"/>
        </w:rPr>
      </w:pPr>
      <w:r>
        <w:rPr>
          <w:rFonts w:hAnsi="宋体"/>
          <w:color w:val="auto"/>
        </w:rPr>
        <w:t>3.3.2</w:t>
      </w:r>
      <w:r>
        <w:rPr>
          <w:rFonts w:hint="eastAsia" w:hAnsi="宋体"/>
          <w:color w:val="auto"/>
        </w:rPr>
        <w:t>投标货币：人民币。</w:t>
      </w:r>
    </w:p>
    <w:p>
      <w:pPr>
        <w:pStyle w:val="21"/>
        <w:tabs>
          <w:tab w:val="left" w:pos="630"/>
        </w:tabs>
        <w:snapToGrid w:val="0"/>
        <w:spacing w:line="440" w:lineRule="exact"/>
        <w:ind w:firstLine="424" w:firstLineChars="202"/>
        <w:rPr>
          <w:rFonts w:hAnsi="宋体"/>
          <w:color w:val="auto"/>
        </w:rPr>
      </w:pPr>
      <w:r>
        <w:rPr>
          <w:rFonts w:hAnsi="宋体"/>
          <w:color w:val="auto"/>
        </w:rPr>
        <w:t>3.3.3招标人设有最高限价的，投标人的</w:t>
      </w:r>
      <w:r>
        <w:rPr>
          <w:rFonts w:hint="eastAsia" w:hAnsi="宋体" w:cs="宋体"/>
          <w:color w:val="auto"/>
          <w:szCs w:val="21"/>
        </w:rPr>
        <w:t>投标</w:t>
      </w:r>
      <w:r>
        <w:rPr>
          <w:rFonts w:hint="eastAsia" w:hAnsi="宋体"/>
          <w:color w:val="auto"/>
        </w:rPr>
        <w:t>报价不得超过最高限价，否则其</w:t>
      </w:r>
      <w:r>
        <w:rPr>
          <w:rFonts w:hint="eastAsia" w:hAnsi="宋体" w:cs="宋体"/>
          <w:color w:val="auto"/>
          <w:szCs w:val="21"/>
        </w:rPr>
        <w:t>投标</w:t>
      </w:r>
      <w:r>
        <w:rPr>
          <w:rFonts w:hint="eastAsia" w:hAnsi="宋体"/>
          <w:color w:val="auto"/>
        </w:rPr>
        <w:t>将被否决。最高限价或者其计算方法见投标人须知前附表。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3.3.4招标人不接受投标人的任何低于成本报价的不正当竞争方式。</w:t>
      </w:r>
    </w:p>
    <w:p>
      <w:pPr>
        <w:pStyle w:val="21"/>
        <w:tabs>
          <w:tab w:val="left" w:pos="630"/>
        </w:tabs>
        <w:snapToGrid w:val="0"/>
        <w:spacing w:line="440" w:lineRule="exact"/>
        <w:ind w:firstLine="424" w:firstLineChars="202"/>
        <w:rPr>
          <w:rFonts w:hAnsi="宋体"/>
          <w:color w:val="auto"/>
        </w:rPr>
      </w:pPr>
      <w:r>
        <w:rPr>
          <w:rFonts w:hAnsi="宋体"/>
          <w:color w:val="auto"/>
        </w:rPr>
        <w:t>3.3.5只有在招标文件要求或者允许报优惠价时，投标人才可以报出。投标人优惠报价的数额，唱价时也必须当众宣读。关于优惠条件的规定见投标人须知前附表。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3.3.6</w:t>
      </w:r>
      <w:r>
        <w:rPr>
          <w:rFonts w:hint="eastAsia" w:hAnsi="宋体" w:cs="宋体"/>
          <w:color w:val="auto"/>
          <w:szCs w:val="21"/>
        </w:rPr>
        <w:t>投标</w:t>
      </w:r>
      <w:r>
        <w:rPr>
          <w:rFonts w:hint="eastAsia" w:hAnsi="宋体"/>
          <w:color w:val="auto"/>
        </w:rPr>
        <w:t>报价的具体要求见投标人须知前附表。</w:t>
      </w:r>
    </w:p>
    <w:p>
      <w:pPr>
        <w:rPr>
          <w:b/>
          <w:bCs/>
          <w:color w:val="auto"/>
          <w:sz w:val="24"/>
          <w:szCs w:val="32"/>
        </w:rPr>
      </w:pPr>
      <w:bookmarkStart w:id="171" w:name="_Toc447265237"/>
      <w:bookmarkStart w:id="172" w:name="_Toc450489296"/>
      <w:bookmarkStart w:id="173" w:name="_Toc227057902"/>
      <w:bookmarkStart w:id="174" w:name="_Toc46496146"/>
      <w:bookmarkStart w:id="175" w:name="_Toc447265523"/>
      <w:bookmarkStart w:id="176" w:name="_Toc447188687"/>
      <w:bookmarkStart w:id="177" w:name="_Toc107822500"/>
      <w:bookmarkStart w:id="178" w:name="_Toc226969296"/>
      <w:bookmarkStart w:id="179" w:name="_Toc226969295"/>
      <w:bookmarkStart w:id="180" w:name="_Toc107822499"/>
      <w:bookmarkStart w:id="181" w:name="_Toc227057901"/>
      <w:r>
        <w:rPr>
          <w:b/>
          <w:bCs/>
          <w:color w:val="auto"/>
          <w:sz w:val="24"/>
          <w:szCs w:val="32"/>
        </w:rPr>
        <w:t>3.4</w:t>
      </w:r>
      <w:r>
        <w:rPr>
          <w:rFonts w:hint="eastAsia"/>
          <w:b/>
          <w:bCs/>
          <w:color w:val="auto"/>
          <w:sz w:val="24"/>
          <w:szCs w:val="32"/>
        </w:rPr>
        <w:t>投标有效期</w:t>
      </w:r>
      <w:bookmarkEnd w:id="171"/>
      <w:bookmarkEnd w:id="172"/>
      <w:bookmarkEnd w:id="173"/>
      <w:bookmarkEnd w:id="174"/>
      <w:bookmarkEnd w:id="175"/>
      <w:bookmarkEnd w:id="176"/>
      <w:bookmarkEnd w:id="177"/>
      <w:bookmarkEnd w:id="178"/>
    </w:p>
    <w:p>
      <w:pPr>
        <w:pStyle w:val="21"/>
        <w:tabs>
          <w:tab w:val="left" w:pos="630"/>
        </w:tabs>
        <w:snapToGrid w:val="0"/>
        <w:spacing w:line="440" w:lineRule="exact"/>
        <w:ind w:firstLine="424" w:firstLineChars="202"/>
        <w:rPr>
          <w:rFonts w:hAnsi="宋体"/>
          <w:color w:val="auto"/>
        </w:rPr>
      </w:pPr>
      <w:r>
        <w:rPr>
          <w:rFonts w:hAnsi="宋体"/>
          <w:color w:val="auto"/>
        </w:rPr>
        <w:t>3.4.1</w:t>
      </w:r>
      <w:r>
        <w:rPr>
          <w:rFonts w:hint="eastAsia" w:hAnsi="宋体" w:cs="宋体"/>
          <w:color w:val="auto"/>
          <w:szCs w:val="21"/>
        </w:rPr>
        <w:t>投标</w:t>
      </w:r>
      <w:r>
        <w:rPr>
          <w:rFonts w:hint="eastAsia" w:hAnsi="宋体"/>
          <w:color w:val="auto"/>
        </w:rPr>
        <w:t>有效期从递交</w:t>
      </w:r>
      <w:r>
        <w:rPr>
          <w:rFonts w:hint="eastAsia" w:hAnsi="宋体" w:cs="宋体"/>
          <w:color w:val="auto"/>
          <w:szCs w:val="21"/>
        </w:rPr>
        <w:t>投标</w:t>
      </w:r>
      <w:r>
        <w:rPr>
          <w:rFonts w:hint="eastAsia" w:hAnsi="宋体"/>
          <w:color w:val="auto"/>
        </w:rPr>
        <w:t>文件截止日起计算。</w:t>
      </w:r>
      <w:r>
        <w:rPr>
          <w:rFonts w:hint="eastAsia" w:hAnsi="宋体" w:cs="宋体"/>
          <w:color w:val="auto"/>
          <w:szCs w:val="21"/>
        </w:rPr>
        <w:t>投标</w:t>
      </w:r>
      <w:r>
        <w:rPr>
          <w:rFonts w:hint="eastAsia" w:hAnsi="宋体"/>
          <w:color w:val="auto"/>
        </w:rPr>
        <w:t>有效期的具体时间见投标人须知前附表。在此期间，投标人不得要求撤销或者修改其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有效期不满足招标文件要求的</w:t>
      </w:r>
      <w:r>
        <w:rPr>
          <w:rFonts w:hint="eastAsia" w:hAnsi="宋体" w:cs="宋体"/>
          <w:color w:val="auto"/>
          <w:szCs w:val="21"/>
        </w:rPr>
        <w:t>投标</w:t>
      </w:r>
      <w:r>
        <w:rPr>
          <w:rFonts w:hint="eastAsia" w:hAnsi="宋体"/>
          <w:color w:val="auto"/>
        </w:rPr>
        <w:t>将被否决。</w:t>
      </w:r>
    </w:p>
    <w:p>
      <w:pPr>
        <w:pStyle w:val="21"/>
        <w:tabs>
          <w:tab w:val="left" w:pos="630"/>
        </w:tabs>
        <w:snapToGrid w:val="0"/>
        <w:spacing w:line="440" w:lineRule="exact"/>
        <w:ind w:firstLine="424" w:firstLineChars="202"/>
        <w:rPr>
          <w:rFonts w:hAnsi="宋体"/>
          <w:color w:val="auto"/>
        </w:rPr>
      </w:pPr>
      <w:r>
        <w:rPr>
          <w:rFonts w:hAnsi="宋体"/>
          <w:color w:val="auto"/>
        </w:rPr>
        <w:t>3.4.2</w:t>
      </w:r>
      <w:r>
        <w:rPr>
          <w:rFonts w:hint="eastAsia" w:hAnsi="宋体"/>
          <w:color w:val="auto"/>
        </w:rPr>
        <w:t>在原定</w:t>
      </w:r>
      <w:r>
        <w:rPr>
          <w:rFonts w:hint="eastAsia" w:hAnsi="宋体" w:cs="宋体"/>
          <w:color w:val="auto"/>
          <w:szCs w:val="21"/>
        </w:rPr>
        <w:t>投标</w:t>
      </w:r>
      <w:r>
        <w:rPr>
          <w:rFonts w:hint="eastAsia" w:hAnsi="宋体"/>
          <w:color w:val="auto"/>
        </w:rPr>
        <w:t>有效期满之前，如果出现特殊情况，招标人决定延长</w:t>
      </w:r>
      <w:r>
        <w:rPr>
          <w:rFonts w:hint="eastAsia" w:hAnsi="宋体" w:cs="宋体"/>
          <w:color w:val="auto"/>
          <w:szCs w:val="21"/>
        </w:rPr>
        <w:t>投标</w:t>
      </w:r>
      <w:r>
        <w:rPr>
          <w:rFonts w:hint="eastAsia" w:hAnsi="宋体"/>
          <w:color w:val="auto"/>
        </w:rPr>
        <w:t>有效期的，应当以书面形式向投标人提出延长</w:t>
      </w:r>
      <w:r>
        <w:rPr>
          <w:rFonts w:hint="eastAsia" w:hAnsi="宋体" w:cs="宋体"/>
          <w:color w:val="auto"/>
          <w:szCs w:val="21"/>
        </w:rPr>
        <w:t>投标</w:t>
      </w:r>
      <w:r>
        <w:rPr>
          <w:rFonts w:hint="eastAsia" w:hAnsi="宋体"/>
          <w:color w:val="auto"/>
        </w:rPr>
        <w:t>有效期的要求，投标人须以书面形式予以答复。投标人同意延长</w:t>
      </w:r>
      <w:r>
        <w:rPr>
          <w:rFonts w:hint="eastAsia" w:hAnsi="宋体" w:cs="宋体"/>
          <w:color w:val="auto"/>
          <w:szCs w:val="21"/>
        </w:rPr>
        <w:t>投标</w:t>
      </w:r>
      <w:r>
        <w:rPr>
          <w:rFonts w:hint="eastAsia" w:hAnsi="宋体"/>
          <w:color w:val="auto"/>
        </w:rPr>
        <w:t>有效期的，不得修改其</w:t>
      </w:r>
      <w:r>
        <w:rPr>
          <w:rFonts w:hint="eastAsia" w:hAnsi="宋体" w:cs="宋体"/>
          <w:color w:val="auto"/>
          <w:szCs w:val="21"/>
        </w:rPr>
        <w:t>投标</w:t>
      </w:r>
      <w:r>
        <w:rPr>
          <w:rFonts w:hint="eastAsia" w:hAnsi="宋体"/>
          <w:color w:val="auto"/>
        </w:rPr>
        <w:t>文件的实质性内容，但应当相应延长其</w:t>
      </w:r>
      <w:r>
        <w:rPr>
          <w:rFonts w:hint="eastAsia" w:hAnsi="宋体" w:cs="宋体"/>
          <w:color w:val="auto"/>
          <w:szCs w:val="21"/>
        </w:rPr>
        <w:t>投标</w:t>
      </w:r>
      <w:r>
        <w:rPr>
          <w:rFonts w:hint="eastAsia" w:hAnsi="宋体"/>
          <w:color w:val="auto"/>
        </w:rPr>
        <w:t>保证金有效期；投标人拒绝延长</w:t>
      </w:r>
      <w:r>
        <w:rPr>
          <w:rFonts w:hint="eastAsia" w:hAnsi="宋体" w:cs="宋体"/>
          <w:color w:val="auto"/>
          <w:szCs w:val="21"/>
        </w:rPr>
        <w:t>投标</w:t>
      </w:r>
      <w:r>
        <w:rPr>
          <w:rFonts w:hint="eastAsia" w:hAnsi="宋体"/>
          <w:color w:val="auto"/>
        </w:rPr>
        <w:t>有效期的，其</w:t>
      </w:r>
      <w:r>
        <w:rPr>
          <w:rFonts w:hint="eastAsia" w:hAnsi="宋体" w:cs="宋体"/>
          <w:color w:val="auto"/>
          <w:szCs w:val="21"/>
        </w:rPr>
        <w:t>投标</w:t>
      </w:r>
      <w:r>
        <w:rPr>
          <w:rFonts w:hint="eastAsia" w:hAnsi="宋体"/>
          <w:color w:val="auto"/>
        </w:rPr>
        <w:t>失效，投标人有权收回其</w:t>
      </w:r>
      <w:r>
        <w:rPr>
          <w:rFonts w:hint="eastAsia" w:hAnsi="宋体" w:cs="宋体"/>
          <w:color w:val="auto"/>
          <w:szCs w:val="21"/>
        </w:rPr>
        <w:t>投标</w:t>
      </w:r>
      <w:r>
        <w:rPr>
          <w:rFonts w:hint="eastAsia" w:hAnsi="宋体"/>
          <w:color w:val="auto"/>
        </w:rPr>
        <w:t>保证金。</w:t>
      </w:r>
    </w:p>
    <w:p>
      <w:pPr>
        <w:rPr>
          <w:b/>
          <w:bCs/>
          <w:color w:val="auto"/>
          <w:sz w:val="24"/>
          <w:szCs w:val="32"/>
        </w:rPr>
      </w:pPr>
      <w:bookmarkStart w:id="182" w:name="_Toc447265524"/>
      <w:bookmarkStart w:id="183" w:name="_Toc447265238"/>
      <w:bookmarkStart w:id="184" w:name="_Toc447188688"/>
      <w:bookmarkStart w:id="185" w:name="_Toc46496147"/>
      <w:bookmarkStart w:id="186" w:name="_Toc450489297"/>
      <w:r>
        <w:rPr>
          <w:b/>
          <w:bCs/>
          <w:color w:val="auto"/>
          <w:sz w:val="24"/>
          <w:szCs w:val="32"/>
        </w:rPr>
        <w:t>3.5</w:t>
      </w:r>
      <w:r>
        <w:rPr>
          <w:rFonts w:hint="eastAsia"/>
          <w:b/>
          <w:bCs/>
          <w:color w:val="auto"/>
          <w:sz w:val="24"/>
          <w:szCs w:val="32"/>
        </w:rPr>
        <w:t>投标保证金</w:t>
      </w:r>
      <w:bookmarkEnd w:id="179"/>
      <w:bookmarkEnd w:id="180"/>
      <w:bookmarkEnd w:id="181"/>
      <w:bookmarkEnd w:id="182"/>
      <w:bookmarkEnd w:id="183"/>
      <w:bookmarkEnd w:id="184"/>
      <w:bookmarkEnd w:id="185"/>
      <w:bookmarkEnd w:id="186"/>
    </w:p>
    <w:p>
      <w:pPr>
        <w:pStyle w:val="21"/>
        <w:tabs>
          <w:tab w:val="left" w:pos="630"/>
        </w:tabs>
        <w:snapToGrid w:val="0"/>
        <w:spacing w:line="440" w:lineRule="exact"/>
        <w:ind w:firstLine="424" w:firstLineChars="202"/>
        <w:rPr>
          <w:rFonts w:hAnsi="宋体"/>
          <w:color w:val="auto"/>
        </w:rPr>
      </w:pPr>
      <w:r>
        <w:rPr>
          <w:rFonts w:hAnsi="宋体"/>
          <w:color w:val="auto"/>
        </w:rPr>
        <w:t>3.5.1招标人要求投标人递交</w:t>
      </w:r>
      <w:r>
        <w:rPr>
          <w:rFonts w:hint="eastAsia" w:hAnsi="宋体" w:cs="宋体"/>
          <w:color w:val="auto"/>
          <w:szCs w:val="21"/>
        </w:rPr>
        <w:t>投标</w:t>
      </w:r>
      <w:r>
        <w:rPr>
          <w:rFonts w:hint="eastAsia" w:hAnsi="宋体"/>
          <w:color w:val="auto"/>
        </w:rPr>
        <w:t>保证金的，投标人必须在递交</w:t>
      </w:r>
      <w:r>
        <w:rPr>
          <w:rFonts w:hint="eastAsia" w:hAnsi="宋体" w:cs="宋体"/>
          <w:color w:val="auto"/>
          <w:szCs w:val="21"/>
        </w:rPr>
        <w:t>投标</w:t>
      </w:r>
      <w:r>
        <w:rPr>
          <w:rFonts w:hint="eastAsia" w:hAnsi="宋体"/>
          <w:color w:val="auto"/>
        </w:rPr>
        <w:t>文件的同时，按照投标人须知前附表的规定递交</w:t>
      </w:r>
      <w:r>
        <w:rPr>
          <w:rFonts w:hint="eastAsia" w:hAnsi="宋体" w:cs="宋体"/>
          <w:color w:val="auto"/>
          <w:szCs w:val="21"/>
        </w:rPr>
        <w:t>投标</w:t>
      </w:r>
      <w:r>
        <w:rPr>
          <w:rFonts w:hint="eastAsia" w:hAnsi="宋体"/>
          <w:color w:val="auto"/>
        </w:rPr>
        <w:t>保证金。</w:t>
      </w:r>
    </w:p>
    <w:p>
      <w:pPr>
        <w:pStyle w:val="21"/>
        <w:tabs>
          <w:tab w:val="left" w:pos="630"/>
        </w:tabs>
        <w:snapToGrid w:val="0"/>
        <w:spacing w:line="440" w:lineRule="exact"/>
        <w:ind w:firstLine="424" w:firstLineChars="202"/>
        <w:rPr>
          <w:rFonts w:hAnsi="宋体"/>
          <w:color w:val="auto"/>
        </w:rPr>
      </w:pPr>
      <w:r>
        <w:rPr>
          <w:rFonts w:hAnsi="宋体"/>
          <w:color w:val="auto"/>
        </w:rPr>
        <w:t>3.5.2招标人可以规定</w:t>
      </w:r>
      <w:r>
        <w:rPr>
          <w:rFonts w:hint="eastAsia" w:hAnsi="宋体" w:cs="宋体"/>
          <w:color w:val="auto"/>
          <w:szCs w:val="21"/>
        </w:rPr>
        <w:t>投标</w:t>
      </w:r>
      <w:r>
        <w:rPr>
          <w:rFonts w:hint="eastAsia" w:hAnsi="宋体"/>
          <w:color w:val="auto"/>
        </w:rPr>
        <w:t>保证金是以现金、支票、银行汇票、在中国注册的银行出具的银行保函等方式递交，以现金或者支票形式递交的</w:t>
      </w:r>
      <w:r>
        <w:rPr>
          <w:rFonts w:hint="eastAsia" w:hAnsi="宋体" w:cs="宋体"/>
          <w:color w:val="auto"/>
          <w:szCs w:val="21"/>
        </w:rPr>
        <w:t>投标</w:t>
      </w:r>
      <w:r>
        <w:rPr>
          <w:rFonts w:hint="eastAsia" w:hAnsi="宋体"/>
          <w:color w:val="auto"/>
        </w:rPr>
        <w:t>保证金应当从其基本账户转出。</w:t>
      </w:r>
      <w:r>
        <w:rPr>
          <w:rFonts w:hint="eastAsia" w:hAnsi="宋体" w:cs="宋体"/>
          <w:color w:val="auto"/>
          <w:szCs w:val="21"/>
        </w:rPr>
        <w:t>投标</w:t>
      </w:r>
      <w:r>
        <w:rPr>
          <w:rFonts w:hint="eastAsia" w:hAnsi="宋体"/>
          <w:color w:val="auto"/>
        </w:rPr>
        <w:t>保证金有效期应当与</w:t>
      </w:r>
      <w:r>
        <w:rPr>
          <w:rFonts w:hint="eastAsia" w:hAnsi="宋体" w:cs="宋体"/>
          <w:color w:val="auto"/>
          <w:szCs w:val="21"/>
        </w:rPr>
        <w:t>投标</w:t>
      </w:r>
      <w:r>
        <w:rPr>
          <w:rFonts w:hint="eastAsia" w:hAnsi="宋体"/>
          <w:color w:val="auto"/>
        </w:rPr>
        <w:t>有效期一致。</w:t>
      </w:r>
      <w:r>
        <w:rPr>
          <w:rFonts w:hint="eastAsia" w:hAnsi="宋体" w:cs="宋体"/>
          <w:color w:val="auto"/>
          <w:szCs w:val="21"/>
        </w:rPr>
        <w:t>投标</w:t>
      </w:r>
      <w:r>
        <w:rPr>
          <w:rFonts w:hint="eastAsia" w:hAnsi="宋体"/>
          <w:color w:val="auto"/>
        </w:rPr>
        <w:t>保证金的形式见投标人须知前附表。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3.5.3招标人最迟应当在书面合同签订后5日内向中标人和未中标的投标人退还</w:t>
      </w:r>
      <w:r>
        <w:rPr>
          <w:rFonts w:hint="eastAsia" w:hAnsi="宋体" w:cs="宋体"/>
          <w:color w:val="auto"/>
          <w:szCs w:val="21"/>
        </w:rPr>
        <w:t>投标</w:t>
      </w:r>
      <w:r>
        <w:rPr>
          <w:rFonts w:hint="eastAsia" w:hAnsi="宋体"/>
          <w:color w:val="auto"/>
        </w:rPr>
        <w:t>保证金及银行同期存款利息。</w:t>
      </w:r>
    </w:p>
    <w:p>
      <w:pPr>
        <w:pStyle w:val="21"/>
        <w:tabs>
          <w:tab w:val="left" w:pos="630"/>
        </w:tabs>
        <w:snapToGrid w:val="0"/>
        <w:spacing w:line="440" w:lineRule="exact"/>
        <w:ind w:firstLine="424" w:firstLineChars="202"/>
        <w:rPr>
          <w:rFonts w:hAnsi="宋体"/>
          <w:color w:val="auto"/>
        </w:rPr>
      </w:pPr>
      <w:r>
        <w:rPr>
          <w:rFonts w:hAnsi="宋体"/>
          <w:color w:val="auto"/>
        </w:rPr>
        <w:t>3.5.4</w:t>
      </w:r>
      <w:r>
        <w:rPr>
          <w:rFonts w:hint="eastAsia" w:hAnsi="宋体"/>
          <w:color w:val="auto"/>
        </w:rPr>
        <w:t>下列任何情况发生时，</w:t>
      </w:r>
      <w:r>
        <w:rPr>
          <w:rFonts w:hint="eastAsia" w:hAnsi="宋体" w:cs="宋体"/>
          <w:color w:val="auto"/>
          <w:szCs w:val="21"/>
        </w:rPr>
        <w:t>投标</w:t>
      </w:r>
      <w:r>
        <w:rPr>
          <w:rFonts w:hint="eastAsia" w:hAnsi="宋体"/>
          <w:color w:val="auto"/>
        </w:rPr>
        <w:t>保证金可不予退还：</w:t>
      </w:r>
    </w:p>
    <w:p>
      <w:pPr>
        <w:tabs>
          <w:tab w:val="left" w:pos="630"/>
        </w:tabs>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1）投标人在招标文件中规定的</w:t>
      </w:r>
      <w:r>
        <w:rPr>
          <w:rFonts w:hint="eastAsia" w:ascii="宋体" w:hAnsi="宋体" w:cs="宋体"/>
          <w:color w:val="auto"/>
          <w:szCs w:val="21"/>
        </w:rPr>
        <w:t>投标</w:t>
      </w:r>
      <w:r>
        <w:rPr>
          <w:rFonts w:ascii="宋体" w:hAnsi="宋体"/>
          <w:color w:val="auto"/>
        </w:rPr>
        <w:t>有效期内</w:t>
      </w:r>
      <w:r>
        <w:rPr>
          <w:rFonts w:hint="eastAsia" w:ascii="宋体" w:hAnsi="宋体"/>
          <w:color w:val="auto"/>
        </w:rPr>
        <w:t>撤销</w:t>
      </w:r>
      <w:r>
        <w:rPr>
          <w:rFonts w:hint="eastAsia" w:ascii="宋体" w:hAnsi="宋体" w:cs="宋体"/>
          <w:color w:val="auto"/>
          <w:szCs w:val="21"/>
        </w:rPr>
        <w:t>投标</w:t>
      </w:r>
      <w:r>
        <w:rPr>
          <w:rFonts w:hint="eastAsia" w:ascii="宋体" w:hAnsi="宋体"/>
          <w:color w:val="auto"/>
        </w:rPr>
        <w:t>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2）中标人无正当理由不与招标人订立合同，在签订合同时向招标人提出附加条件，或者不按照招标文件要求递交履约保证金的；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3）投标人有串通</w:t>
      </w:r>
      <w:r>
        <w:rPr>
          <w:rFonts w:hint="eastAsia" w:ascii="宋体" w:hAnsi="宋体"/>
          <w:color w:val="auto"/>
        </w:rPr>
        <w:t>投标</w:t>
      </w:r>
      <w:r>
        <w:rPr>
          <w:rFonts w:ascii="宋体" w:hAnsi="宋体"/>
          <w:color w:val="auto"/>
        </w:rPr>
        <w:t>、弄虚作假等行为的；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4）其他规定</w:t>
      </w:r>
      <w:r>
        <w:rPr>
          <w:rFonts w:hint="eastAsia" w:ascii="宋体" w:hAnsi="宋体"/>
          <w:color w:val="auto"/>
        </w:rPr>
        <w:t>见投标人须知前附表</w:t>
      </w:r>
      <w:r>
        <w:rPr>
          <w:rFonts w:ascii="宋体"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3.5.5未递交</w:t>
      </w:r>
      <w:r>
        <w:rPr>
          <w:rFonts w:hint="eastAsia" w:hAnsi="宋体" w:cs="宋体"/>
          <w:color w:val="auto"/>
          <w:szCs w:val="21"/>
        </w:rPr>
        <w:t>投标</w:t>
      </w:r>
      <w:r>
        <w:rPr>
          <w:rFonts w:hint="eastAsia" w:hAnsi="宋体"/>
          <w:color w:val="auto"/>
        </w:rPr>
        <w:t>保证金或者递交的</w:t>
      </w:r>
      <w:r>
        <w:rPr>
          <w:rFonts w:hint="eastAsia" w:hAnsi="宋体" w:cs="宋体"/>
          <w:color w:val="auto"/>
          <w:szCs w:val="21"/>
        </w:rPr>
        <w:t>投标</w:t>
      </w:r>
      <w:r>
        <w:rPr>
          <w:rFonts w:hint="eastAsia" w:hAnsi="宋体"/>
          <w:color w:val="auto"/>
        </w:rPr>
        <w:t>保证金有瑕疵的</w:t>
      </w:r>
      <w:r>
        <w:rPr>
          <w:rFonts w:hint="eastAsia" w:hAnsi="宋体" w:cs="宋体"/>
          <w:color w:val="auto"/>
          <w:szCs w:val="21"/>
        </w:rPr>
        <w:t>投标</w:t>
      </w:r>
      <w:r>
        <w:rPr>
          <w:rFonts w:hint="eastAsia" w:hAnsi="宋体"/>
          <w:color w:val="auto"/>
        </w:rPr>
        <w:t>将被否决。</w:t>
      </w:r>
    </w:p>
    <w:p>
      <w:pPr>
        <w:rPr>
          <w:b/>
          <w:bCs/>
          <w:color w:val="auto"/>
          <w:sz w:val="24"/>
          <w:szCs w:val="32"/>
        </w:rPr>
      </w:pPr>
      <w:bookmarkStart w:id="187" w:name="_Toc447265239"/>
      <w:bookmarkStart w:id="188" w:name="_Toc447265525"/>
      <w:bookmarkStart w:id="189" w:name="_Toc447188689"/>
      <w:bookmarkStart w:id="190" w:name="_Toc226969297"/>
      <w:bookmarkStart w:id="191" w:name="_Toc46496148"/>
      <w:bookmarkStart w:id="192" w:name="_Toc227057903"/>
      <w:bookmarkStart w:id="193" w:name="_Toc450489298"/>
      <w:bookmarkStart w:id="194" w:name="_Toc107822501"/>
      <w:r>
        <w:rPr>
          <w:b/>
          <w:bCs/>
          <w:color w:val="auto"/>
          <w:sz w:val="24"/>
          <w:szCs w:val="32"/>
        </w:rPr>
        <w:t>3.6</w:t>
      </w:r>
      <w:r>
        <w:rPr>
          <w:rFonts w:hint="eastAsia"/>
          <w:b/>
          <w:bCs/>
          <w:color w:val="auto"/>
          <w:sz w:val="24"/>
          <w:szCs w:val="32"/>
        </w:rPr>
        <w:t>备选投标人案</w:t>
      </w:r>
      <w:bookmarkEnd w:id="187"/>
      <w:bookmarkEnd w:id="188"/>
      <w:bookmarkEnd w:id="189"/>
      <w:bookmarkEnd w:id="190"/>
      <w:bookmarkEnd w:id="191"/>
      <w:bookmarkEnd w:id="192"/>
      <w:bookmarkEnd w:id="193"/>
    </w:p>
    <w:p>
      <w:pPr>
        <w:pStyle w:val="21"/>
        <w:tabs>
          <w:tab w:val="left" w:pos="630"/>
        </w:tabs>
        <w:snapToGrid w:val="0"/>
        <w:spacing w:line="440" w:lineRule="exact"/>
        <w:ind w:firstLine="424" w:firstLineChars="202"/>
        <w:rPr>
          <w:rFonts w:hAnsi="宋体"/>
          <w:color w:val="auto"/>
        </w:rPr>
      </w:pPr>
      <w:r>
        <w:rPr>
          <w:rFonts w:hAnsi="宋体"/>
          <w:color w:val="auto"/>
        </w:rPr>
        <w:t>3.6.1除投标人须知前附表另有规定外，投标人不得递交备选</w:t>
      </w:r>
      <w:r>
        <w:rPr>
          <w:rFonts w:hint="eastAsia" w:hAnsi="宋体" w:cs="宋体"/>
          <w:color w:val="auto"/>
          <w:szCs w:val="21"/>
        </w:rPr>
        <w:t>投标人</w:t>
      </w:r>
      <w:r>
        <w:rPr>
          <w:rFonts w:hint="eastAsia" w:hAnsi="宋体"/>
          <w:color w:val="auto"/>
        </w:rPr>
        <w:t>案。</w:t>
      </w:r>
    </w:p>
    <w:p>
      <w:pPr>
        <w:pStyle w:val="21"/>
        <w:tabs>
          <w:tab w:val="left" w:pos="630"/>
        </w:tabs>
        <w:snapToGrid w:val="0"/>
        <w:spacing w:line="440" w:lineRule="exact"/>
        <w:ind w:firstLine="424" w:firstLineChars="202"/>
        <w:rPr>
          <w:rFonts w:hAnsi="宋体"/>
          <w:color w:val="auto"/>
        </w:rPr>
      </w:pPr>
      <w:r>
        <w:rPr>
          <w:rFonts w:hAnsi="宋体"/>
          <w:color w:val="auto"/>
        </w:rPr>
        <w:t>3.6.2</w:t>
      </w:r>
      <w:r>
        <w:rPr>
          <w:rFonts w:hint="eastAsia" w:hAnsi="宋体"/>
          <w:color w:val="auto"/>
        </w:rPr>
        <w:t>若招标人在招标文件中邀请投标人递交备选方案时，则投标人除按照招标文件规定的基本方案编制和递交</w:t>
      </w:r>
      <w:r>
        <w:rPr>
          <w:rFonts w:hint="eastAsia" w:hAnsi="宋体" w:cs="宋体"/>
          <w:color w:val="auto"/>
          <w:szCs w:val="21"/>
        </w:rPr>
        <w:t>投标</w:t>
      </w:r>
      <w:r>
        <w:rPr>
          <w:rFonts w:hint="eastAsia" w:hAnsi="宋体"/>
          <w:color w:val="auto"/>
        </w:rPr>
        <w:t>文件外，可以附加递交备选</w:t>
      </w:r>
      <w:r>
        <w:rPr>
          <w:rFonts w:hint="eastAsia" w:hAnsi="宋体" w:cs="宋体"/>
          <w:color w:val="auto"/>
          <w:szCs w:val="21"/>
        </w:rPr>
        <w:t>投标人</w:t>
      </w:r>
      <w:r>
        <w:rPr>
          <w:rFonts w:hint="eastAsia" w:hAnsi="宋体"/>
          <w:color w:val="auto"/>
        </w:rPr>
        <w:t>案。</w:t>
      </w:r>
    </w:p>
    <w:p>
      <w:pPr>
        <w:pStyle w:val="21"/>
        <w:tabs>
          <w:tab w:val="left" w:pos="630"/>
        </w:tabs>
        <w:snapToGrid w:val="0"/>
        <w:spacing w:line="440" w:lineRule="exact"/>
        <w:ind w:firstLine="424" w:firstLineChars="202"/>
        <w:rPr>
          <w:rFonts w:hAnsi="宋体"/>
          <w:color w:val="auto"/>
        </w:rPr>
      </w:pPr>
      <w:r>
        <w:rPr>
          <w:rFonts w:hAnsi="宋体"/>
          <w:color w:val="auto"/>
        </w:rPr>
        <w:t>3.6.3</w:t>
      </w:r>
      <w:r>
        <w:rPr>
          <w:rFonts w:hint="eastAsia" w:hAnsi="宋体"/>
          <w:color w:val="auto"/>
        </w:rPr>
        <w:t>备选</w:t>
      </w:r>
      <w:r>
        <w:rPr>
          <w:rFonts w:hint="eastAsia" w:hAnsi="宋体" w:cs="宋体"/>
          <w:color w:val="auto"/>
          <w:szCs w:val="21"/>
        </w:rPr>
        <w:t>投标人</w:t>
      </w:r>
      <w:r>
        <w:rPr>
          <w:rFonts w:hint="eastAsia" w:hAnsi="宋体"/>
          <w:color w:val="auto"/>
        </w:rPr>
        <w:t>案应当说明其对基本方案的改进意见和带来的效益，并附必要的图纸、设计计算、技术要求及其它有关资料，在封面上应当注明“备选</w:t>
      </w:r>
      <w:r>
        <w:rPr>
          <w:rFonts w:hint="eastAsia" w:hAnsi="宋体" w:cs="宋体"/>
          <w:color w:val="auto"/>
          <w:szCs w:val="21"/>
        </w:rPr>
        <w:t>投标人</w:t>
      </w:r>
      <w:r>
        <w:rPr>
          <w:rFonts w:hint="eastAsia" w:hAnsi="宋体"/>
          <w:color w:val="auto"/>
        </w:rPr>
        <w:t>案”字样。</w:t>
      </w:r>
    </w:p>
    <w:p>
      <w:pPr>
        <w:pStyle w:val="21"/>
        <w:tabs>
          <w:tab w:val="left" w:pos="630"/>
        </w:tabs>
        <w:snapToGrid w:val="0"/>
        <w:spacing w:line="440" w:lineRule="exact"/>
        <w:ind w:firstLine="424" w:firstLineChars="202"/>
        <w:rPr>
          <w:rFonts w:hAnsi="宋体"/>
          <w:color w:val="auto"/>
        </w:rPr>
      </w:pPr>
      <w:r>
        <w:rPr>
          <w:rFonts w:hAnsi="宋体"/>
          <w:color w:val="auto"/>
        </w:rPr>
        <w:t>3.6.4允许投标人递交备选</w:t>
      </w:r>
      <w:r>
        <w:rPr>
          <w:rFonts w:hint="eastAsia" w:hAnsi="宋体" w:cs="宋体"/>
          <w:color w:val="auto"/>
          <w:szCs w:val="21"/>
        </w:rPr>
        <w:t>投标人</w:t>
      </w:r>
      <w:r>
        <w:rPr>
          <w:rFonts w:hint="eastAsia" w:hAnsi="宋体"/>
          <w:color w:val="auto"/>
        </w:rPr>
        <w:t>案的，只有符合招标文件要求且评审价最低或者综合评分最高而被推荐为中标候选人的投标人所递交的备选</w:t>
      </w:r>
      <w:r>
        <w:rPr>
          <w:rFonts w:hint="eastAsia" w:hAnsi="宋体" w:cs="宋体"/>
          <w:color w:val="auto"/>
          <w:szCs w:val="21"/>
        </w:rPr>
        <w:t>投标人</w:t>
      </w:r>
      <w:r>
        <w:rPr>
          <w:rFonts w:hint="eastAsia" w:hAnsi="宋体"/>
          <w:color w:val="auto"/>
        </w:rPr>
        <w:t>案，可予以考虑。评标委员会认为其备选</w:t>
      </w:r>
      <w:r>
        <w:rPr>
          <w:rFonts w:hint="eastAsia" w:hAnsi="宋体" w:cs="宋体"/>
          <w:color w:val="auto"/>
          <w:szCs w:val="21"/>
        </w:rPr>
        <w:t>投标人</w:t>
      </w:r>
      <w:r>
        <w:rPr>
          <w:rFonts w:hint="eastAsia" w:hAnsi="宋体"/>
          <w:color w:val="auto"/>
        </w:rPr>
        <w:t>案优于其按照招标文件要求编制的</w:t>
      </w:r>
      <w:r>
        <w:rPr>
          <w:rFonts w:hint="eastAsia" w:hAnsi="宋体" w:cs="宋体"/>
          <w:color w:val="auto"/>
          <w:szCs w:val="21"/>
        </w:rPr>
        <w:t>投标人</w:t>
      </w:r>
      <w:r>
        <w:rPr>
          <w:rFonts w:hint="eastAsia" w:hAnsi="宋体"/>
          <w:color w:val="auto"/>
        </w:rPr>
        <w:t>案的，招标人可以接受该备选</w:t>
      </w:r>
      <w:r>
        <w:rPr>
          <w:rFonts w:hint="eastAsia" w:hAnsi="宋体" w:cs="宋体"/>
          <w:color w:val="auto"/>
          <w:szCs w:val="21"/>
        </w:rPr>
        <w:t>投标人</w:t>
      </w:r>
      <w:r>
        <w:rPr>
          <w:rFonts w:hint="eastAsia" w:hAnsi="宋体"/>
          <w:color w:val="auto"/>
        </w:rPr>
        <w:t>案。</w:t>
      </w:r>
    </w:p>
    <w:p>
      <w:pPr>
        <w:rPr>
          <w:b/>
          <w:bCs/>
          <w:color w:val="auto"/>
          <w:sz w:val="24"/>
          <w:szCs w:val="32"/>
        </w:rPr>
      </w:pPr>
      <w:bookmarkStart w:id="195" w:name="_Toc226969298"/>
      <w:bookmarkStart w:id="196" w:name="_Toc227057904"/>
      <w:bookmarkStart w:id="197" w:name="_Toc450489299"/>
      <w:bookmarkStart w:id="198" w:name="_Toc447188690"/>
      <w:bookmarkStart w:id="199" w:name="_Toc46496149"/>
      <w:bookmarkStart w:id="200" w:name="_Toc447265526"/>
      <w:bookmarkStart w:id="201" w:name="_Toc447265240"/>
      <w:r>
        <w:rPr>
          <w:b/>
          <w:bCs/>
          <w:color w:val="auto"/>
          <w:sz w:val="24"/>
          <w:szCs w:val="32"/>
        </w:rPr>
        <w:t>3.7</w:t>
      </w:r>
      <w:r>
        <w:rPr>
          <w:rFonts w:hint="eastAsia"/>
          <w:b/>
          <w:bCs/>
          <w:color w:val="auto"/>
          <w:sz w:val="24"/>
          <w:szCs w:val="32"/>
        </w:rPr>
        <w:t>投标文件的式样</w:t>
      </w:r>
      <w:bookmarkEnd w:id="194"/>
      <w:bookmarkEnd w:id="195"/>
      <w:bookmarkEnd w:id="196"/>
      <w:r>
        <w:rPr>
          <w:rFonts w:hint="eastAsia"/>
          <w:b/>
          <w:bCs/>
          <w:color w:val="auto"/>
          <w:sz w:val="24"/>
          <w:szCs w:val="32"/>
        </w:rPr>
        <w:t>、密封和标记（递交纸质文件适用）</w:t>
      </w:r>
      <w:bookmarkEnd w:id="197"/>
      <w:bookmarkEnd w:id="198"/>
      <w:bookmarkEnd w:id="199"/>
      <w:bookmarkEnd w:id="200"/>
      <w:bookmarkEnd w:id="201"/>
    </w:p>
    <w:p>
      <w:pPr>
        <w:pStyle w:val="21"/>
        <w:tabs>
          <w:tab w:val="left" w:pos="630"/>
        </w:tabs>
        <w:snapToGrid w:val="0"/>
        <w:spacing w:line="440" w:lineRule="exact"/>
        <w:ind w:firstLine="424" w:firstLineChars="202"/>
        <w:rPr>
          <w:rFonts w:hAnsi="宋体"/>
          <w:color w:val="auto"/>
        </w:rPr>
      </w:pPr>
      <w:r>
        <w:rPr>
          <w:rFonts w:hAnsi="宋体"/>
          <w:color w:val="auto"/>
        </w:rPr>
        <w:t>3.7.1</w:t>
      </w:r>
      <w:r>
        <w:rPr>
          <w:rFonts w:hint="eastAsia" w:hAnsi="宋体"/>
          <w:color w:val="auto"/>
        </w:rPr>
        <w:t>投标人应当编制一份</w:t>
      </w:r>
      <w:r>
        <w:rPr>
          <w:rFonts w:hint="eastAsia" w:hAnsi="宋体" w:cs="宋体"/>
          <w:color w:val="auto"/>
          <w:szCs w:val="21"/>
        </w:rPr>
        <w:t>投标</w:t>
      </w:r>
      <w:r>
        <w:rPr>
          <w:rFonts w:hint="eastAsia" w:hAnsi="宋体"/>
          <w:color w:val="auto"/>
        </w:rPr>
        <w:t>文件“正本”和投标人须知前附表所述份数的“副本”和“电子版”，副本为正本复印件。投标文件正本和副本如有不一致之处，以正本为准；纸质版文件与电子版文件不一致时，以纸质版文件为准。</w:t>
      </w:r>
    </w:p>
    <w:p>
      <w:pPr>
        <w:pStyle w:val="21"/>
        <w:tabs>
          <w:tab w:val="left" w:pos="630"/>
        </w:tabs>
        <w:snapToGrid w:val="0"/>
        <w:spacing w:line="440" w:lineRule="exact"/>
        <w:ind w:firstLine="424" w:firstLineChars="202"/>
        <w:rPr>
          <w:rFonts w:hAnsi="宋体"/>
          <w:color w:val="auto"/>
        </w:rPr>
      </w:pPr>
      <w:r>
        <w:rPr>
          <w:rFonts w:hAnsi="宋体"/>
          <w:color w:val="auto"/>
        </w:rPr>
        <w:t>3.7.2每份</w:t>
      </w:r>
      <w:r>
        <w:rPr>
          <w:rFonts w:hint="eastAsia" w:hAnsi="宋体" w:cs="宋体"/>
          <w:color w:val="auto"/>
          <w:szCs w:val="21"/>
        </w:rPr>
        <w:t>投标</w:t>
      </w:r>
      <w:r>
        <w:rPr>
          <w:rFonts w:hint="eastAsia" w:hAnsi="宋体"/>
          <w:color w:val="auto"/>
        </w:rPr>
        <w:t>文件的正本、副本及电子版应当分别装订，并于封面上明确标明“正本”、“副本”和“电子版”字样。</w:t>
      </w:r>
    </w:p>
    <w:p>
      <w:pPr>
        <w:pStyle w:val="21"/>
        <w:tabs>
          <w:tab w:val="left" w:pos="630"/>
        </w:tabs>
        <w:snapToGrid w:val="0"/>
        <w:spacing w:line="440" w:lineRule="exact"/>
        <w:ind w:firstLine="424" w:firstLineChars="202"/>
        <w:rPr>
          <w:rFonts w:hAnsi="宋体"/>
          <w:color w:val="auto"/>
        </w:rPr>
      </w:pPr>
      <w:r>
        <w:rPr>
          <w:rFonts w:hAnsi="宋体"/>
          <w:color w:val="auto"/>
        </w:rPr>
        <w:t>3.7.3</w:t>
      </w:r>
      <w:r>
        <w:rPr>
          <w:rFonts w:hint="eastAsia" w:hAnsi="宋体" w:cs="宋体"/>
          <w:color w:val="auto"/>
          <w:szCs w:val="21"/>
        </w:rPr>
        <w:t>投标</w:t>
      </w:r>
      <w:r>
        <w:rPr>
          <w:rFonts w:hint="eastAsia" w:hAnsi="宋体"/>
          <w:color w:val="auto"/>
        </w:rPr>
        <w:t>文件应当按照招标文件规定密封包装，并于封装封面上明确标明“正本”、“副本”和“电子版”字样。密封的所有粘接缝隙必须加盖单位公章或者由投标人的法定代表人或者其委托代理人签字。</w:t>
      </w:r>
    </w:p>
    <w:p>
      <w:pPr>
        <w:pStyle w:val="21"/>
        <w:tabs>
          <w:tab w:val="left" w:pos="630"/>
        </w:tabs>
        <w:snapToGrid w:val="0"/>
        <w:spacing w:line="440" w:lineRule="exact"/>
        <w:ind w:firstLine="424" w:firstLineChars="202"/>
        <w:rPr>
          <w:rFonts w:hAnsi="宋体"/>
          <w:color w:val="auto"/>
        </w:rPr>
      </w:pPr>
      <w:r>
        <w:rPr>
          <w:rFonts w:hAnsi="宋体"/>
          <w:color w:val="auto"/>
        </w:rPr>
        <w:t>3.7.4外层包封应当写明招标人名称和地址、项目名称、招标代理编号、并注明唱价时间以前不得开封。还应当写明投标人的名称与地址、邮政编码，以便投标出现逾期送达时能原封退回。</w:t>
      </w:r>
    </w:p>
    <w:p>
      <w:pPr>
        <w:pStyle w:val="21"/>
        <w:tabs>
          <w:tab w:val="left" w:pos="630"/>
        </w:tabs>
        <w:snapToGrid w:val="0"/>
        <w:spacing w:line="440" w:lineRule="exact"/>
        <w:ind w:firstLine="424" w:firstLineChars="202"/>
        <w:rPr>
          <w:rFonts w:hAnsi="宋体"/>
          <w:color w:val="auto"/>
        </w:rPr>
      </w:pPr>
      <w:r>
        <w:rPr>
          <w:rFonts w:hAnsi="宋体"/>
          <w:color w:val="auto"/>
        </w:rPr>
        <w:t>3.7.5递交</w:t>
      </w:r>
      <w:r>
        <w:rPr>
          <w:rFonts w:hint="eastAsia" w:hAnsi="宋体" w:cs="宋体"/>
          <w:color w:val="auto"/>
          <w:szCs w:val="21"/>
        </w:rPr>
        <w:t>投标</w:t>
      </w:r>
      <w:r>
        <w:rPr>
          <w:rFonts w:hint="eastAsia" w:hAnsi="宋体"/>
          <w:color w:val="auto"/>
        </w:rPr>
        <w:t>文件时，招标人应当对符合招标文件规定密封和标记的</w:t>
      </w:r>
      <w:r>
        <w:rPr>
          <w:rFonts w:hint="eastAsia" w:hAnsi="宋体" w:cs="宋体"/>
          <w:color w:val="auto"/>
          <w:szCs w:val="21"/>
        </w:rPr>
        <w:t>投标</w:t>
      </w:r>
      <w:r>
        <w:rPr>
          <w:rFonts w:hint="eastAsia" w:hAnsi="宋体"/>
          <w:color w:val="auto"/>
        </w:rPr>
        <w:t>文件进行签收。</w:t>
      </w:r>
    </w:p>
    <w:p>
      <w:pPr>
        <w:pStyle w:val="21"/>
        <w:tabs>
          <w:tab w:val="left" w:pos="630"/>
        </w:tabs>
        <w:snapToGrid w:val="0"/>
        <w:spacing w:line="440" w:lineRule="exact"/>
        <w:ind w:firstLine="424" w:firstLineChars="202"/>
        <w:rPr>
          <w:rFonts w:hAnsi="宋体"/>
          <w:color w:val="auto"/>
        </w:rPr>
      </w:pPr>
      <w:r>
        <w:rPr>
          <w:rFonts w:hAnsi="宋体"/>
          <w:color w:val="auto"/>
        </w:rPr>
        <w:t>3.7.6</w:t>
      </w:r>
      <w:r>
        <w:rPr>
          <w:rFonts w:hint="eastAsia" w:hAnsi="宋体"/>
          <w:color w:val="auto"/>
        </w:rPr>
        <w:t>招标人对于</w:t>
      </w:r>
      <w:r>
        <w:rPr>
          <w:rFonts w:hint="eastAsia" w:hAnsi="宋体" w:cs="宋体"/>
          <w:color w:val="auto"/>
          <w:szCs w:val="21"/>
        </w:rPr>
        <w:t>投标</w:t>
      </w:r>
      <w:r>
        <w:rPr>
          <w:rFonts w:hint="eastAsia" w:hAnsi="宋体"/>
          <w:color w:val="auto"/>
        </w:rPr>
        <w:t>文件密封、标记另有要求的，见投标人须知前附表。</w:t>
      </w:r>
      <w:bookmarkEnd w:id="151"/>
      <w:bookmarkEnd w:id="152"/>
      <w:bookmarkEnd w:id="153"/>
    </w:p>
    <w:p>
      <w:pPr>
        <w:numPr>
          <w:ilvl w:val="0"/>
          <w:numId w:val="6"/>
        </w:numPr>
        <w:rPr>
          <w:b/>
          <w:bCs/>
          <w:color w:val="auto"/>
          <w:sz w:val="24"/>
          <w:szCs w:val="32"/>
        </w:rPr>
      </w:pPr>
      <w:bookmarkStart w:id="202" w:name="_Toc477190296"/>
      <w:bookmarkEnd w:id="202"/>
      <w:bookmarkStart w:id="203" w:name="_Toc477190297"/>
      <w:bookmarkEnd w:id="203"/>
      <w:r>
        <w:rPr>
          <w:rFonts w:hint="eastAsia"/>
          <w:b/>
          <w:bCs/>
          <w:color w:val="auto"/>
          <w:sz w:val="24"/>
          <w:szCs w:val="32"/>
        </w:rPr>
        <w:t>投标</w:t>
      </w:r>
    </w:p>
    <w:p>
      <w:pPr>
        <w:rPr>
          <w:b/>
          <w:bCs/>
          <w:color w:val="auto"/>
          <w:sz w:val="24"/>
          <w:szCs w:val="32"/>
        </w:rPr>
      </w:pPr>
      <w:bookmarkStart w:id="204" w:name="_Toc447265243"/>
      <w:bookmarkStart w:id="205" w:name="_Toc447188692"/>
      <w:bookmarkStart w:id="206" w:name="_Toc447265529"/>
      <w:bookmarkStart w:id="207" w:name="_Toc46496151"/>
      <w:r>
        <w:rPr>
          <w:b/>
          <w:bCs/>
          <w:color w:val="auto"/>
          <w:sz w:val="24"/>
          <w:szCs w:val="32"/>
        </w:rPr>
        <w:t>4.1</w:t>
      </w:r>
      <w:bookmarkEnd w:id="154"/>
      <w:bookmarkEnd w:id="155"/>
      <w:r>
        <w:rPr>
          <w:rFonts w:hint="eastAsia"/>
          <w:b/>
          <w:bCs/>
          <w:color w:val="auto"/>
          <w:sz w:val="24"/>
          <w:szCs w:val="32"/>
        </w:rPr>
        <w:t>投标文件的递交</w:t>
      </w:r>
      <w:bookmarkEnd w:id="156"/>
      <w:bookmarkEnd w:id="157"/>
      <w:bookmarkEnd w:id="204"/>
      <w:bookmarkEnd w:id="205"/>
      <w:bookmarkEnd w:id="206"/>
      <w:bookmarkEnd w:id="207"/>
    </w:p>
    <w:p>
      <w:pPr>
        <w:pStyle w:val="21"/>
        <w:tabs>
          <w:tab w:val="left" w:pos="630"/>
        </w:tabs>
        <w:snapToGrid w:val="0"/>
        <w:spacing w:line="440" w:lineRule="exact"/>
        <w:ind w:firstLine="424" w:firstLineChars="202"/>
        <w:rPr>
          <w:rFonts w:hAnsi="宋体"/>
          <w:color w:val="auto"/>
        </w:rPr>
      </w:pPr>
      <w:bookmarkStart w:id="208" w:name="_Toc107822504"/>
      <w:bookmarkStart w:id="209" w:name="_Toc488655849"/>
      <w:bookmarkStart w:id="210" w:name="_Toc488655850"/>
      <w:bookmarkStart w:id="211" w:name="_Toc226969301"/>
      <w:bookmarkStart w:id="212" w:name="_Toc227057907"/>
      <w:bookmarkStart w:id="213" w:name="_Toc107822505"/>
      <w:bookmarkStart w:id="214" w:name="_Toc447188693"/>
      <w:bookmarkStart w:id="215" w:name="_Toc447265244"/>
      <w:bookmarkStart w:id="216" w:name="_Toc447265530"/>
      <w:r>
        <w:rPr>
          <w:rFonts w:hAnsi="宋体"/>
          <w:color w:val="auto"/>
        </w:rPr>
        <w:t>4.1.1</w:t>
      </w:r>
      <w:r>
        <w:rPr>
          <w:rFonts w:hint="eastAsia" w:hAnsi="宋体" w:cs="宋体"/>
          <w:color w:val="auto"/>
          <w:szCs w:val="21"/>
        </w:rPr>
        <w:t>投标</w:t>
      </w:r>
      <w:r>
        <w:rPr>
          <w:rFonts w:hint="eastAsia" w:hAnsi="宋体"/>
          <w:color w:val="auto"/>
        </w:rPr>
        <w:t>文件递交截止时间：见投标人须知前附表。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4.1.2</w:t>
      </w:r>
      <w:r>
        <w:rPr>
          <w:rFonts w:hint="eastAsia" w:hAnsi="宋体" w:cs="宋体"/>
          <w:color w:val="auto"/>
          <w:szCs w:val="21"/>
        </w:rPr>
        <w:t>投标</w:t>
      </w:r>
      <w:r>
        <w:rPr>
          <w:rFonts w:hint="eastAsia" w:hAnsi="宋体"/>
          <w:color w:val="auto"/>
        </w:rPr>
        <w:t>文件递交地点：见投标人须知前附表。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4.1.3招标人收到投标文件后，向投标人出具签收凭证。</w:t>
      </w:r>
    </w:p>
    <w:p>
      <w:pPr>
        <w:pStyle w:val="21"/>
        <w:tabs>
          <w:tab w:val="left" w:pos="630"/>
        </w:tabs>
        <w:snapToGrid w:val="0"/>
        <w:spacing w:line="440" w:lineRule="exact"/>
        <w:ind w:firstLine="424" w:firstLineChars="202"/>
        <w:rPr>
          <w:rFonts w:hAnsi="宋体"/>
          <w:color w:val="auto"/>
        </w:rPr>
      </w:pPr>
      <w:r>
        <w:rPr>
          <w:rFonts w:hAnsi="宋体"/>
          <w:color w:val="auto"/>
        </w:rPr>
        <w:t>4.1.4</w:t>
      </w:r>
      <w:r>
        <w:rPr>
          <w:rFonts w:hint="eastAsia" w:hAnsi="宋体"/>
          <w:color w:val="auto"/>
        </w:rPr>
        <w:t>除投标人须知前附表另有规定外，投标人所递交的</w:t>
      </w:r>
      <w:r>
        <w:rPr>
          <w:rFonts w:hint="eastAsia" w:hAnsi="宋体" w:cs="宋体"/>
          <w:color w:val="auto"/>
          <w:szCs w:val="21"/>
        </w:rPr>
        <w:t>投标</w:t>
      </w:r>
      <w:r>
        <w:rPr>
          <w:rFonts w:hint="eastAsia" w:hAnsi="宋体"/>
          <w:color w:val="auto"/>
        </w:rPr>
        <w:t>文件不予退还。</w:t>
      </w:r>
    </w:p>
    <w:p>
      <w:pPr>
        <w:pStyle w:val="21"/>
        <w:tabs>
          <w:tab w:val="left" w:pos="630"/>
        </w:tabs>
        <w:snapToGrid w:val="0"/>
        <w:spacing w:line="440" w:lineRule="exact"/>
        <w:ind w:firstLine="424" w:firstLineChars="202"/>
        <w:rPr>
          <w:rFonts w:hAnsi="宋体"/>
          <w:color w:val="auto"/>
        </w:rPr>
      </w:pPr>
      <w:r>
        <w:rPr>
          <w:rFonts w:hAnsi="宋体"/>
          <w:color w:val="auto"/>
        </w:rPr>
        <w:t>4.1.5出现以下情形时，招标人/招标代理机构不予接收</w:t>
      </w:r>
      <w:r>
        <w:rPr>
          <w:rFonts w:hint="eastAsia" w:hAnsi="宋体" w:cs="宋体"/>
          <w:color w:val="auto"/>
          <w:szCs w:val="21"/>
        </w:rPr>
        <w:t>投标</w:t>
      </w:r>
      <w:r>
        <w:rPr>
          <w:rFonts w:hint="eastAsia" w:hAnsi="宋体"/>
          <w:color w:val="auto"/>
        </w:rPr>
        <w:t>文件：</w:t>
      </w:r>
    </w:p>
    <w:p>
      <w:pPr>
        <w:pStyle w:val="78"/>
        <w:numPr>
          <w:ilvl w:val="0"/>
          <w:numId w:val="9"/>
        </w:numPr>
        <w:tabs>
          <w:tab w:val="left" w:pos="630"/>
        </w:tabs>
        <w:spacing w:line="400" w:lineRule="exact"/>
        <w:ind w:firstLine="424" w:firstLineChars="202"/>
        <w:rPr>
          <w:rFonts w:ascii="宋体" w:hAnsi="宋体"/>
          <w:color w:val="auto"/>
        </w:rPr>
      </w:pPr>
      <w:r>
        <w:rPr>
          <w:rFonts w:hint="eastAsia" w:ascii="宋体" w:hAnsi="宋体"/>
          <w:color w:val="auto"/>
        </w:rPr>
        <w:t>逾期送达或者未送达指定地点的；</w:t>
      </w:r>
    </w:p>
    <w:p>
      <w:pPr>
        <w:pStyle w:val="78"/>
        <w:numPr>
          <w:ilvl w:val="0"/>
          <w:numId w:val="9"/>
        </w:numPr>
        <w:tabs>
          <w:tab w:val="left" w:pos="630"/>
        </w:tabs>
        <w:spacing w:line="400" w:lineRule="exact"/>
        <w:ind w:firstLine="424" w:firstLineChars="202"/>
        <w:rPr>
          <w:rFonts w:ascii="宋体" w:hAnsi="宋体"/>
          <w:color w:val="auto"/>
        </w:rPr>
      </w:pPr>
      <w:r>
        <w:rPr>
          <w:rFonts w:hint="eastAsia" w:ascii="宋体" w:hAnsi="宋体"/>
          <w:color w:val="auto"/>
        </w:rPr>
        <w:t>未按照招标文件要求密封的；</w:t>
      </w:r>
    </w:p>
    <w:p>
      <w:pPr>
        <w:pStyle w:val="78"/>
        <w:numPr>
          <w:ilvl w:val="0"/>
          <w:numId w:val="9"/>
        </w:numPr>
        <w:tabs>
          <w:tab w:val="left" w:pos="630"/>
        </w:tabs>
        <w:spacing w:line="400" w:lineRule="exact"/>
        <w:ind w:firstLine="424" w:firstLineChars="202"/>
        <w:rPr>
          <w:rFonts w:ascii="宋体" w:hAnsi="宋体"/>
          <w:color w:val="auto"/>
        </w:rPr>
      </w:pPr>
      <w:r>
        <w:rPr>
          <w:rFonts w:hint="eastAsia" w:ascii="宋体" w:hAnsi="宋体"/>
          <w:color w:val="auto"/>
        </w:rPr>
        <w:t>未通过资格预审的申请人递交的；</w:t>
      </w:r>
    </w:p>
    <w:p>
      <w:pPr>
        <w:pStyle w:val="78"/>
        <w:numPr>
          <w:ilvl w:val="0"/>
          <w:numId w:val="9"/>
        </w:numPr>
        <w:tabs>
          <w:tab w:val="left" w:pos="630"/>
        </w:tabs>
        <w:spacing w:line="400" w:lineRule="exact"/>
        <w:ind w:firstLine="424" w:firstLineChars="202"/>
        <w:rPr>
          <w:rFonts w:ascii="宋体" w:hAnsi="宋体"/>
          <w:color w:val="auto"/>
        </w:rPr>
      </w:pPr>
      <w:r>
        <w:rPr>
          <w:rFonts w:hint="eastAsia" w:ascii="宋体" w:hAnsi="宋体"/>
          <w:color w:val="auto"/>
        </w:rPr>
        <w:t>未按照第一章“招标公告”或者投标邀请书要求获得本项目招标文件的。</w:t>
      </w:r>
      <w:bookmarkEnd w:id="208"/>
      <w:bookmarkEnd w:id="209"/>
    </w:p>
    <w:p>
      <w:pPr>
        <w:rPr>
          <w:b/>
          <w:bCs/>
          <w:color w:val="auto"/>
          <w:sz w:val="24"/>
          <w:szCs w:val="32"/>
        </w:rPr>
      </w:pPr>
      <w:bookmarkStart w:id="217" w:name="_Toc46496152"/>
      <w:r>
        <w:rPr>
          <w:b/>
          <w:bCs/>
          <w:color w:val="auto"/>
          <w:sz w:val="24"/>
          <w:szCs w:val="32"/>
        </w:rPr>
        <w:t>4.2</w:t>
      </w:r>
      <w:r>
        <w:rPr>
          <w:rFonts w:hint="eastAsia"/>
          <w:b/>
          <w:bCs/>
          <w:color w:val="auto"/>
          <w:sz w:val="24"/>
          <w:szCs w:val="32"/>
        </w:rPr>
        <w:t>投标文件的修改、撤回</w:t>
      </w:r>
      <w:bookmarkEnd w:id="210"/>
      <w:bookmarkEnd w:id="211"/>
      <w:bookmarkEnd w:id="212"/>
      <w:bookmarkEnd w:id="213"/>
      <w:r>
        <w:rPr>
          <w:rFonts w:hint="eastAsia"/>
          <w:b/>
          <w:bCs/>
          <w:color w:val="auto"/>
          <w:sz w:val="24"/>
          <w:szCs w:val="32"/>
        </w:rPr>
        <w:t>和撤销</w:t>
      </w:r>
      <w:bookmarkEnd w:id="214"/>
      <w:bookmarkEnd w:id="215"/>
      <w:bookmarkEnd w:id="216"/>
      <w:bookmarkEnd w:id="217"/>
    </w:p>
    <w:p>
      <w:pPr>
        <w:pStyle w:val="21"/>
        <w:tabs>
          <w:tab w:val="left" w:pos="630"/>
        </w:tabs>
        <w:snapToGrid w:val="0"/>
        <w:spacing w:line="440" w:lineRule="exact"/>
        <w:ind w:firstLine="424" w:firstLineChars="202"/>
        <w:rPr>
          <w:rFonts w:hAnsi="宋体"/>
          <w:color w:val="auto"/>
        </w:rPr>
      </w:pPr>
      <w:bookmarkStart w:id="218" w:name="_Toc152045559"/>
      <w:bookmarkStart w:id="219" w:name="_Toc447265245"/>
      <w:bookmarkStart w:id="220" w:name="_Toc447188694"/>
      <w:bookmarkStart w:id="221" w:name="_Toc246996203"/>
      <w:bookmarkStart w:id="222" w:name="_Toc179632577"/>
      <w:bookmarkStart w:id="223" w:name="_Toc152042335"/>
      <w:bookmarkStart w:id="224" w:name="_Toc296602447"/>
      <w:bookmarkStart w:id="225" w:name="_Toc447265531"/>
      <w:bookmarkStart w:id="226" w:name="_Toc246996946"/>
      <w:bookmarkStart w:id="227" w:name="_Toc144974527"/>
      <w:bookmarkStart w:id="228" w:name="_Toc247085717"/>
      <w:bookmarkStart w:id="229" w:name="_Toc107822506"/>
      <w:bookmarkStart w:id="230" w:name="_Toc227057908"/>
      <w:bookmarkStart w:id="231" w:name="_Toc226969302"/>
      <w:bookmarkStart w:id="232" w:name="_Toc488655852"/>
      <w:r>
        <w:rPr>
          <w:rFonts w:hAnsi="宋体"/>
          <w:color w:val="auto"/>
        </w:rPr>
        <w:t>4.2.1</w:t>
      </w:r>
      <w:r>
        <w:rPr>
          <w:rFonts w:hint="eastAsia" w:hAnsi="宋体"/>
          <w:color w:val="auto"/>
        </w:rPr>
        <w:t>在规定的</w:t>
      </w:r>
      <w:r>
        <w:rPr>
          <w:rFonts w:hint="eastAsia" w:hAnsi="宋体" w:cs="宋体"/>
          <w:color w:val="auto"/>
          <w:szCs w:val="21"/>
        </w:rPr>
        <w:t>投标</w:t>
      </w:r>
      <w:r>
        <w:rPr>
          <w:rFonts w:hint="eastAsia" w:hAnsi="宋体"/>
          <w:color w:val="auto"/>
        </w:rPr>
        <w:t>截止时间前，投标人可以修改或者撤回已递交的</w:t>
      </w:r>
      <w:r>
        <w:rPr>
          <w:rFonts w:hint="eastAsia" w:hAnsi="宋体" w:cs="宋体"/>
          <w:color w:val="auto"/>
          <w:szCs w:val="21"/>
        </w:rPr>
        <w:t>投标</w:t>
      </w:r>
      <w:r>
        <w:rPr>
          <w:rFonts w:hint="eastAsia" w:hAnsi="宋体"/>
          <w:color w:val="auto"/>
        </w:rPr>
        <w:t>文件。</w:t>
      </w:r>
    </w:p>
    <w:p>
      <w:pPr>
        <w:pStyle w:val="21"/>
        <w:tabs>
          <w:tab w:val="left" w:pos="630"/>
        </w:tabs>
        <w:snapToGrid w:val="0"/>
        <w:spacing w:line="440" w:lineRule="exact"/>
        <w:ind w:firstLine="424" w:firstLineChars="202"/>
        <w:rPr>
          <w:rFonts w:hAnsi="宋体"/>
          <w:color w:val="auto"/>
        </w:rPr>
      </w:pPr>
      <w:r>
        <w:rPr>
          <w:rFonts w:hAnsi="宋体"/>
          <w:color w:val="auto"/>
        </w:rPr>
        <w:t>4.2.2</w:t>
      </w:r>
      <w:r>
        <w:rPr>
          <w:rFonts w:hint="eastAsia" w:hAnsi="宋体"/>
          <w:color w:val="auto"/>
        </w:rPr>
        <w:t>投标人修改后的</w:t>
      </w:r>
      <w:r>
        <w:rPr>
          <w:rFonts w:hint="eastAsia" w:hAnsi="宋体" w:cs="宋体"/>
          <w:color w:val="auto"/>
          <w:szCs w:val="21"/>
        </w:rPr>
        <w:t>投标</w:t>
      </w:r>
      <w:r>
        <w:rPr>
          <w:rFonts w:hint="eastAsia" w:hAnsi="宋体"/>
          <w:color w:val="auto"/>
        </w:rPr>
        <w:t>文件，应当在规定的</w:t>
      </w:r>
      <w:r>
        <w:rPr>
          <w:rFonts w:hint="eastAsia" w:hAnsi="宋体" w:cs="宋体"/>
          <w:color w:val="auto"/>
          <w:szCs w:val="21"/>
        </w:rPr>
        <w:t>投标</w:t>
      </w:r>
      <w:r>
        <w:rPr>
          <w:rFonts w:hint="eastAsia" w:hAnsi="宋体"/>
          <w:color w:val="auto"/>
        </w:rPr>
        <w:t>截止时间前按照招标文件的规定编制、密封、标记、递交。</w:t>
      </w:r>
    </w:p>
    <w:p>
      <w:pPr>
        <w:pStyle w:val="21"/>
        <w:tabs>
          <w:tab w:val="left" w:pos="630"/>
        </w:tabs>
        <w:snapToGrid w:val="0"/>
        <w:spacing w:line="440" w:lineRule="exact"/>
        <w:ind w:firstLine="424" w:firstLineChars="202"/>
        <w:rPr>
          <w:rFonts w:hAnsi="宋体"/>
          <w:color w:val="auto"/>
        </w:rPr>
      </w:pPr>
      <w:r>
        <w:rPr>
          <w:rFonts w:hAnsi="宋体"/>
          <w:color w:val="auto"/>
        </w:rPr>
        <w:t>4.2.3</w:t>
      </w:r>
      <w:r>
        <w:rPr>
          <w:rFonts w:hint="eastAsia" w:hAnsi="宋体"/>
          <w:color w:val="auto"/>
        </w:rPr>
        <w:t>投标人撤回已递交的</w:t>
      </w:r>
      <w:r>
        <w:rPr>
          <w:rFonts w:hint="eastAsia" w:hAnsi="宋体" w:cs="宋体"/>
          <w:color w:val="auto"/>
          <w:szCs w:val="21"/>
        </w:rPr>
        <w:t>投标</w:t>
      </w:r>
      <w:r>
        <w:rPr>
          <w:rFonts w:hint="eastAsia" w:hAnsi="宋体"/>
          <w:color w:val="auto"/>
        </w:rPr>
        <w:t>文件，应当书面通知招标人。招标人已收取</w:t>
      </w:r>
      <w:r>
        <w:rPr>
          <w:rFonts w:hint="eastAsia" w:hAnsi="宋体" w:cs="宋体"/>
          <w:color w:val="auto"/>
          <w:szCs w:val="21"/>
        </w:rPr>
        <w:t>投标</w:t>
      </w:r>
      <w:r>
        <w:rPr>
          <w:rFonts w:hint="eastAsia" w:hAnsi="宋体"/>
          <w:color w:val="auto"/>
        </w:rPr>
        <w:t>保证金的，应当自收到投标人书面撤回通知之日起</w:t>
      </w:r>
      <w:r>
        <w:rPr>
          <w:rFonts w:hAnsi="宋体"/>
          <w:color w:val="auto"/>
        </w:rPr>
        <w:t>5日内退还。</w:t>
      </w:r>
    </w:p>
    <w:p>
      <w:pPr>
        <w:pStyle w:val="21"/>
        <w:tabs>
          <w:tab w:val="left" w:pos="630"/>
        </w:tabs>
        <w:snapToGrid w:val="0"/>
        <w:spacing w:line="440" w:lineRule="exact"/>
        <w:ind w:firstLine="424" w:firstLineChars="202"/>
        <w:rPr>
          <w:rFonts w:hAnsi="宋体"/>
          <w:color w:val="auto"/>
        </w:rPr>
      </w:pPr>
      <w:r>
        <w:rPr>
          <w:rFonts w:hAnsi="宋体"/>
          <w:color w:val="auto"/>
        </w:rPr>
        <w:t>4.2.4投标人在规定的</w:t>
      </w:r>
      <w:r>
        <w:rPr>
          <w:rFonts w:hint="eastAsia" w:hAnsi="宋体" w:cs="宋体"/>
          <w:color w:val="auto"/>
          <w:szCs w:val="21"/>
        </w:rPr>
        <w:t>投标</w:t>
      </w:r>
      <w:r>
        <w:rPr>
          <w:rFonts w:hint="eastAsia" w:hAnsi="宋体"/>
          <w:color w:val="auto"/>
        </w:rPr>
        <w:t>截止时间后，不得在</w:t>
      </w:r>
      <w:r>
        <w:rPr>
          <w:rFonts w:hint="eastAsia" w:hAnsi="宋体" w:cs="宋体"/>
          <w:color w:val="auto"/>
          <w:szCs w:val="21"/>
        </w:rPr>
        <w:t>投标</w:t>
      </w:r>
      <w:r>
        <w:rPr>
          <w:rFonts w:hint="eastAsia" w:hAnsi="宋体"/>
          <w:color w:val="auto"/>
        </w:rPr>
        <w:t>有效期内撤销其投标。否则招标人有权不退还其</w:t>
      </w:r>
      <w:r>
        <w:rPr>
          <w:rFonts w:hint="eastAsia" w:hAnsi="宋体" w:cs="宋体"/>
          <w:color w:val="auto"/>
          <w:szCs w:val="21"/>
        </w:rPr>
        <w:t>投标</w:t>
      </w:r>
      <w:r>
        <w:rPr>
          <w:rFonts w:hint="eastAsia" w:hAnsi="宋体"/>
          <w:color w:val="auto"/>
        </w:rPr>
        <w:t>保证金。</w:t>
      </w:r>
      <w:bookmarkEnd w:id="218"/>
      <w:bookmarkEnd w:id="219"/>
      <w:bookmarkEnd w:id="220"/>
      <w:bookmarkEnd w:id="221"/>
      <w:bookmarkEnd w:id="222"/>
      <w:bookmarkEnd w:id="223"/>
      <w:bookmarkEnd w:id="224"/>
      <w:bookmarkEnd w:id="225"/>
      <w:bookmarkEnd w:id="226"/>
      <w:bookmarkEnd w:id="227"/>
      <w:bookmarkEnd w:id="228"/>
    </w:p>
    <w:p>
      <w:pPr>
        <w:numPr>
          <w:ilvl w:val="0"/>
          <w:numId w:val="6"/>
        </w:numPr>
        <w:rPr>
          <w:b/>
          <w:bCs/>
          <w:color w:val="auto"/>
          <w:sz w:val="24"/>
          <w:szCs w:val="32"/>
        </w:rPr>
      </w:pPr>
      <w:r>
        <w:rPr>
          <w:rFonts w:hint="eastAsia"/>
          <w:b/>
          <w:bCs/>
          <w:color w:val="auto"/>
          <w:sz w:val="24"/>
          <w:szCs w:val="32"/>
        </w:rPr>
        <w:t>唱价</w:t>
      </w:r>
    </w:p>
    <w:p>
      <w:pPr>
        <w:rPr>
          <w:b/>
          <w:bCs/>
          <w:color w:val="auto"/>
          <w:sz w:val="24"/>
          <w:szCs w:val="32"/>
        </w:rPr>
      </w:pPr>
      <w:bookmarkStart w:id="233" w:name="_Toc46496154"/>
      <w:bookmarkStart w:id="234" w:name="_Toc447265532"/>
      <w:bookmarkStart w:id="235" w:name="_Toc447265246"/>
      <w:bookmarkStart w:id="236" w:name="_Toc447188695"/>
      <w:r>
        <w:rPr>
          <w:b/>
          <w:bCs/>
          <w:color w:val="auto"/>
          <w:sz w:val="24"/>
          <w:szCs w:val="32"/>
        </w:rPr>
        <w:t>5.1</w:t>
      </w:r>
      <w:bookmarkEnd w:id="229"/>
      <w:bookmarkEnd w:id="230"/>
      <w:bookmarkEnd w:id="231"/>
      <w:bookmarkEnd w:id="232"/>
      <w:r>
        <w:rPr>
          <w:rFonts w:hint="eastAsia"/>
          <w:b/>
          <w:bCs/>
          <w:color w:val="auto"/>
          <w:sz w:val="24"/>
          <w:szCs w:val="32"/>
        </w:rPr>
        <w:t>唱价时间和地点</w:t>
      </w:r>
      <w:bookmarkEnd w:id="233"/>
      <w:bookmarkEnd w:id="234"/>
      <w:bookmarkEnd w:id="235"/>
      <w:bookmarkEnd w:id="236"/>
    </w:p>
    <w:p>
      <w:pPr>
        <w:pStyle w:val="21"/>
        <w:tabs>
          <w:tab w:val="left" w:pos="630"/>
        </w:tabs>
        <w:snapToGrid w:val="0"/>
        <w:spacing w:line="440" w:lineRule="exact"/>
        <w:ind w:firstLine="420" w:firstLineChars="200"/>
        <w:rPr>
          <w:rFonts w:hAnsi="宋体"/>
          <w:color w:val="auto"/>
        </w:rPr>
      </w:pPr>
      <w:r>
        <w:rPr>
          <w:rFonts w:hint="eastAsia" w:hAnsi="宋体"/>
          <w:color w:val="auto"/>
        </w:rPr>
        <w:t>招标人将按照投标人须知前附表规定的时间和地点公开唱价，参加唱价的投标人代表应当签名报到，以证明其出席唱价。唱价时间和投标截止时间应当为同一时间。</w:t>
      </w:r>
    </w:p>
    <w:p>
      <w:pPr>
        <w:rPr>
          <w:b/>
          <w:bCs/>
          <w:color w:val="auto"/>
          <w:sz w:val="24"/>
          <w:szCs w:val="32"/>
        </w:rPr>
      </w:pPr>
      <w:bookmarkStart w:id="237" w:name="_Toc447188696"/>
      <w:bookmarkStart w:id="238" w:name="_Toc447265247"/>
      <w:bookmarkStart w:id="239" w:name="_Toc46496155"/>
      <w:bookmarkStart w:id="240" w:name="_Toc447265533"/>
      <w:r>
        <w:rPr>
          <w:b/>
          <w:bCs/>
          <w:color w:val="auto"/>
          <w:sz w:val="24"/>
          <w:szCs w:val="32"/>
        </w:rPr>
        <w:t>5.2</w:t>
      </w:r>
      <w:r>
        <w:rPr>
          <w:rFonts w:hint="eastAsia"/>
          <w:b/>
          <w:bCs/>
          <w:color w:val="auto"/>
          <w:sz w:val="24"/>
          <w:szCs w:val="32"/>
        </w:rPr>
        <w:t>唱价程序</w:t>
      </w:r>
      <w:bookmarkEnd w:id="237"/>
      <w:bookmarkEnd w:id="238"/>
      <w:bookmarkEnd w:id="239"/>
      <w:bookmarkEnd w:id="240"/>
    </w:p>
    <w:p>
      <w:pPr>
        <w:pStyle w:val="21"/>
        <w:tabs>
          <w:tab w:val="left" w:pos="630"/>
        </w:tabs>
        <w:snapToGrid w:val="0"/>
        <w:spacing w:line="440" w:lineRule="exact"/>
        <w:ind w:firstLine="424" w:firstLineChars="202"/>
        <w:rPr>
          <w:rFonts w:hAnsi="宋体"/>
          <w:color w:val="auto"/>
        </w:rPr>
      </w:pPr>
      <w:bookmarkStart w:id="241" w:name="_Toc247085720"/>
      <w:bookmarkStart w:id="242" w:name="_Toc447265250"/>
      <w:bookmarkStart w:id="243" w:name="_Toc152045562"/>
      <w:bookmarkStart w:id="244" w:name="_Toc447188699"/>
      <w:bookmarkStart w:id="245" w:name="_Toc152042338"/>
      <w:bookmarkStart w:id="246" w:name="_Toc179632580"/>
      <w:bookmarkStart w:id="247" w:name="_Toc246996949"/>
      <w:bookmarkStart w:id="248" w:name="_Toc246996206"/>
      <w:bookmarkStart w:id="249" w:name="_Toc296602451"/>
      <w:bookmarkStart w:id="250" w:name="_Toc144974530"/>
      <w:bookmarkStart w:id="251" w:name="_Toc447265536"/>
      <w:bookmarkStart w:id="252" w:name="_Toc227057909"/>
      <w:bookmarkStart w:id="253" w:name="_Toc107822507"/>
      <w:bookmarkStart w:id="254" w:name="_Toc226969303"/>
      <w:r>
        <w:rPr>
          <w:rFonts w:hAnsi="宋体"/>
          <w:color w:val="auto"/>
        </w:rPr>
        <w:t>5.2.1唱价会议由招标人或者其委托的招标代理机构组织并主持，邀请所有的投标人或</w:t>
      </w:r>
      <w:r>
        <w:rPr>
          <w:rFonts w:hint="eastAsia" w:hAnsi="宋体"/>
          <w:color w:val="auto"/>
        </w:rPr>
        <w:t>者其代表出席。投标人代表或者招标人委托的公证机构对</w:t>
      </w:r>
      <w:r>
        <w:rPr>
          <w:rFonts w:hint="eastAsia" w:hAnsi="宋体" w:cs="宋体"/>
          <w:color w:val="auto"/>
          <w:szCs w:val="21"/>
        </w:rPr>
        <w:t>投标</w:t>
      </w:r>
      <w:r>
        <w:rPr>
          <w:rFonts w:hint="eastAsia" w:hAnsi="宋体"/>
          <w:color w:val="auto"/>
        </w:rPr>
        <w:t>文件密封性进行检查。</w:t>
      </w:r>
    </w:p>
    <w:p>
      <w:pPr>
        <w:pStyle w:val="21"/>
        <w:tabs>
          <w:tab w:val="left" w:pos="630"/>
        </w:tabs>
        <w:snapToGrid w:val="0"/>
        <w:spacing w:line="440" w:lineRule="exact"/>
        <w:ind w:firstLine="424" w:firstLineChars="202"/>
        <w:rPr>
          <w:rFonts w:hAnsi="宋体"/>
          <w:color w:val="auto"/>
        </w:rPr>
      </w:pPr>
      <w:r>
        <w:rPr>
          <w:rFonts w:hAnsi="宋体"/>
          <w:color w:val="auto"/>
        </w:rPr>
        <w:t>5.2.2招标人在</w:t>
      </w:r>
      <w:r>
        <w:rPr>
          <w:rFonts w:hint="eastAsia" w:hAnsi="宋体" w:cs="宋体"/>
          <w:color w:val="auto"/>
          <w:szCs w:val="21"/>
        </w:rPr>
        <w:t>投标</w:t>
      </w:r>
      <w:r>
        <w:rPr>
          <w:rFonts w:hAnsi="宋体"/>
          <w:color w:val="auto"/>
        </w:rPr>
        <w:t>文件递交截止时间前收到的所有</w:t>
      </w:r>
      <w:r>
        <w:rPr>
          <w:rFonts w:hint="eastAsia" w:hAnsi="宋体" w:cs="宋体"/>
          <w:color w:val="auto"/>
          <w:szCs w:val="21"/>
        </w:rPr>
        <w:t>投标</w:t>
      </w:r>
      <w:r>
        <w:rPr>
          <w:rFonts w:hAnsi="宋体"/>
          <w:color w:val="auto"/>
        </w:rPr>
        <w:t>文件在唱价时都应当当众予以拆封</w:t>
      </w:r>
      <w:r>
        <w:rPr>
          <w:rFonts w:hint="eastAsia" w:hAnsi="宋体"/>
          <w:color w:val="auto"/>
        </w:rPr>
        <w:t>、</w:t>
      </w:r>
      <w:r>
        <w:rPr>
          <w:rFonts w:hAnsi="宋体"/>
          <w:color w:val="auto"/>
        </w:rPr>
        <w:t>宣读</w:t>
      </w:r>
      <w:r>
        <w:rPr>
          <w:rFonts w:hint="eastAsia" w:hAnsi="宋体"/>
          <w:color w:val="auto"/>
        </w:rPr>
        <w:t>，</w:t>
      </w:r>
      <w:r>
        <w:rPr>
          <w:rFonts w:hAnsi="宋体"/>
          <w:color w:val="auto"/>
        </w:rPr>
        <w:t>但</w:t>
      </w:r>
      <w:r>
        <w:rPr>
          <w:rFonts w:hint="eastAsia" w:hAnsi="宋体"/>
          <w:color w:val="auto"/>
        </w:rPr>
        <w:t>按照招标文件规定递交合格的书面撤回通知的</w:t>
      </w:r>
      <w:r>
        <w:rPr>
          <w:rFonts w:hint="eastAsia" w:hAnsi="宋体" w:cs="宋体"/>
          <w:color w:val="auto"/>
          <w:szCs w:val="21"/>
        </w:rPr>
        <w:t>投标</w:t>
      </w:r>
      <w:r>
        <w:rPr>
          <w:rFonts w:hint="eastAsia" w:hAnsi="宋体"/>
          <w:color w:val="auto"/>
        </w:rPr>
        <w:t>文件不予开封。</w:t>
      </w:r>
    </w:p>
    <w:p>
      <w:pPr>
        <w:pStyle w:val="21"/>
        <w:tabs>
          <w:tab w:val="left" w:pos="630"/>
        </w:tabs>
        <w:snapToGrid w:val="0"/>
        <w:spacing w:line="440" w:lineRule="exact"/>
        <w:ind w:firstLine="424" w:firstLineChars="202"/>
        <w:rPr>
          <w:rFonts w:hAnsi="宋体"/>
          <w:color w:val="auto"/>
        </w:rPr>
      </w:pPr>
      <w:r>
        <w:rPr>
          <w:rFonts w:hAnsi="宋体"/>
          <w:color w:val="auto"/>
        </w:rPr>
        <w:t>5.2.3</w:t>
      </w:r>
      <w:r>
        <w:rPr>
          <w:rFonts w:hint="eastAsia" w:hAnsi="宋体"/>
          <w:color w:val="auto"/>
        </w:rPr>
        <w:t>唱价时，招标人应当当众宣布参加本项目招标的投标人个数及</w:t>
      </w:r>
      <w:r>
        <w:rPr>
          <w:rFonts w:hint="eastAsia" w:hAnsi="宋体" w:cs="宋体"/>
          <w:color w:val="auto"/>
          <w:szCs w:val="21"/>
        </w:rPr>
        <w:t>投标</w:t>
      </w:r>
      <w:r>
        <w:rPr>
          <w:rFonts w:hint="eastAsia" w:hAnsi="宋体"/>
          <w:color w:val="auto"/>
        </w:rPr>
        <w:t>文件的密封情况，并宣读有效的“报价一览表”中的内容，“报价一览表”一般包括：投标人名称、</w:t>
      </w:r>
      <w:r>
        <w:rPr>
          <w:rFonts w:hint="eastAsia" w:hAnsi="宋体" w:cs="宋体"/>
          <w:color w:val="auto"/>
          <w:szCs w:val="21"/>
        </w:rPr>
        <w:t>投标</w:t>
      </w:r>
      <w:r>
        <w:rPr>
          <w:rFonts w:hint="eastAsia" w:hAnsi="宋体"/>
          <w:color w:val="auto"/>
        </w:rPr>
        <w:t>总报价、交货期、</w:t>
      </w:r>
      <w:r>
        <w:rPr>
          <w:rFonts w:hint="eastAsia" w:hAnsi="宋体" w:cs="宋体"/>
          <w:color w:val="auto"/>
          <w:szCs w:val="21"/>
        </w:rPr>
        <w:t>投标</w:t>
      </w:r>
      <w:r>
        <w:rPr>
          <w:rFonts w:hint="eastAsia" w:hAnsi="宋体"/>
          <w:color w:val="auto"/>
        </w:rPr>
        <w:t>保证金以及招标文件中规定的其他内容。</w:t>
      </w:r>
    </w:p>
    <w:p>
      <w:pPr>
        <w:rPr>
          <w:b/>
          <w:bCs/>
          <w:color w:val="auto"/>
          <w:sz w:val="24"/>
          <w:szCs w:val="32"/>
        </w:rPr>
      </w:pPr>
      <w:bookmarkStart w:id="255" w:name="_Toc447188697"/>
      <w:bookmarkStart w:id="256" w:name="_Toc447265248"/>
      <w:bookmarkStart w:id="257" w:name="_Toc447265534"/>
      <w:bookmarkStart w:id="258" w:name="_Toc46496156"/>
      <w:bookmarkStart w:id="259" w:name="_Toc450489307"/>
      <w:r>
        <w:rPr>
          <w:b/>
          <w:bCs/>
          <w:color w:val="auto"/>
          <w:sz w:val="24"/>
          <w:szCs w:val="32"/>
        </w:rPr>
        <w:t>5.3</w:t>
      </w:r>
      <w:r>
        <w:rPr>
          <w:rFonts w:hint="eastAsia"/>
          <w:b/>
          <w:bCs/>
          <w:color w:val="auto"/>
          <w:sz w:val="24"/>
          <w:szCs w:val="32"/>
        </w:rPr>
        <w:t>异议</w:t>
      </w:r>
      <w:bookmarkEnd w:id="255"/>
      <w:bookmarkEnd w:id="256"/>
      <w:bookmarkEnd w:id="257"/>
      <w:bookmarkEnd w:id="258"/>
      <w:bookmarkEnd w:id="259"/>
    </w:p>
    <w:p>
      <w:pPr>
        <w:pStyle w:val="21"/>
        <w:tabs>
          <w:tab w:val="left" w:pos="630"/>
        </w:tabs>
        <w:snapToGrid w:val="0"/>
        <w:spacing w:line="440" w:lineRule="exact"/>
        <w:ind w:firstLine="424" w:firstLineChars="202"/>
        <w:rPr>
          <w:rFonts w:hAnsi="宋体"/>
          <w:color w:val="auto"/>
        </w:rPr>
      </w:pPr>
      <w:r>
        <w:rPr>
          <w:rFonts w:hAnsi="宋体"/>
          <w:color w:val="auto"/>
        </w:rPr>
        <w:t>5.3.1投标人对唱价有异议的，应当在唱价现场提出，招标人应当当场做出答复，并制作记录。</w:t>
      </w:r>
    </w:p>
    <w:p>
      <w:pPr>
        <w:pStyle w:val="21"/>
        <w:tabs>
          <w:tab w:val="left" w:pos="630"/>
        </w:tabs>
        <w:snapToGrid w:val="0"/>
        <w:spacing w:line="440" w:lineRule="exact"/>
        <w:ind w:firstLine="424" w:firstLineChars="202"/>
        <w:rPr>
          <w:rFonts w:hAnsi="宋体"/>
          <w:color w:val="auto"/>
        </w:rPr>
      </w:pPr>
      <w:r>
        <w:rPr>
          <w:rFonts w:hAnsi="宋体"/>
          <w:color w:val="auto"/>
        </w:rPr>
        <w:t>5.3.2</w:t>
      </w:r>
      <w:r>
        <w:rPr>
          <w:rFonts w:hint="eastAsia" w:hAnsi="宋体"/>
          <w:color w:val="auto"/>
        </w:rPr>
        <w:t>投标人认为存在低于成本价投标情形的，可以在唱价现场提出异议，并在评审完成前向招标人递交书面材料，招标人应当及时将书面材料转交评标委员会。</w:t>
      </w:r>
      <w:bookmarkEnd w:id="241"/>
      <w:bookmarkEnd w:id="242"/>
      <w:bookmarkEnd w:id="243"/>
      <w:bookmarkEnd w:id="244"/>
      <w:bookmarkEnd w:id="245"/>
      <w:bookmarkEnd w:id="246"/>
      <w:bookmarkEnd w:id="247"/>
      <w:bookmarkEnd w:id="248"/>
      <w:bookmarkEnd w:id="249"/>
      <w:bookmarkEnd w:id="250"/>
      <w:bookmarkEnd w:id="251"/>
    </w:p>
    <w:p>
      <w:pPr>
        <w:numPr>
          <w:ilvl w:val="0"/>
          <w:numId w:val="6"/>
        </w:numPr>
        <w:rPr>
          <w:b/>
          <w:bCs/>
          <w:color w:val="auto"/>
          <w:sz w:val="24"/>
          <w:szCs w:val="32"/>
        </w:rPr>
      </w:pPr>
      <w:bookmarkStart w:id="260" w:name="_Toc477190306"/>
      <w:bookmarkEnd w:id="260"/>
      <w:bookmarkStart w:id="261" w:name="_Toc477190305"/>
      <w:bookmarkEnd w:id="261"/>
      <w:r>
        <w:rPr>
          <w:rFonts w:hint="eastAsia"/>
          <w:b/>
          <w:bCs/>
          <w:color w:val="auto"/>
          <w:sz w:val="24"/>
          <w:szCs w:val="32"/>
        </w:rPr>
        <w:t>评审</w:t>
      </w:r>
    </w:p>
    <w:p>
      <w:pPr>
        <w:rPr>
          <w:b/>
          <w:bCs/>
          <w:color w:val="auto"/>
          <w:sz w:val="24"/>
          <w:szCs w:val="32"/>
        </w:rPr>
      </w:pPr>
      <w:bookmarkStart w:id="262" w:name="_Toc447188700"/>
      <w:bookmarkStart w:id="263" w:name="_Toc447265537"/>
      <w:bookmarkStart w:id="264" w:name="_Toc447265251"/>
      <w:bookmarkStart w:id="265" w:name="_Toc46496158"/>
      <w:r>
        <w:rPr>
          <w:b/>
          <w:bCs/>
          <w:color w:val="auto"/>
          <w:sz w:val="24"/>
          <w:szCs w:val="32"/>
        </w:rPr>
        <w:t>6.1</w:t>
      </w:r>
      <w:bookmarkEnd w:id="252"/>
      <w:bookmarkEnd w:id="253"/>
      <w:bookmarkEnd w:id="254"/>
      <w:bookmarkEnd w:id="262"/>
      <w:bookmarkEnd w:id="263"/>
      <w:bookmarkEnd w:id="264"/>
      <w:r>
        <w:rPr>
          <w:rFonts w:hint="eastAsia"/>
          <w:b/>
          <w:bCs/>
          <w:color w:val="auto"/>
          <w:sz w:val="24"/>
          <w:szCs w:val="32"/>
        </w:rPr>
        <w:t>评标委员会</w:t>
      </w:r>
      <w:bookmarkEnd w:id="265"/>
    </w:p>
    <w:p>
      <w:pPr>
        <w:pStyle w:val="21"/>
        <w:tabs>
          <w:tab w:val="left" w:pos="630"/>
        </w:tabs>
        <w:snapToGrid w:val="0"/>
        <w:spacing w:line="440" w:lineRule="exact"/>
        <w:ind w:firstLine="424" w:firstLineChars="202"/>
        <w:rPr>
          <w:rFonts w:hAnsi="宋体"/>
          <w:color w:val="auto"/>
        </w:rPr>
      </w:pPr>
      <w:bookmarkStart w:id="266" w:name="_Toc447188703"/>
      <w:bookmarkStart w:id="267" w:name="_Toc447265255"/>
      <w:bookmarkStart w:id="268" w:name="_Toc447265541"/>
      <w:bookmarkStart w:id="269" w:name="_Toc107822516"/>
      <w:bookmarkStart w:id="270" w:name="_Toc227057915"/>
      <w:bookmarkStart w:id="271" w:name="_Toc226969309"/>
      <w:bookmarkStart w:id="272" w:name="_Toc488655860"/>
      <w:r>
        <w:rPr>
          <w:rFonts w:hAnsi="宋体"/>
          <w:color w:val="auto"/>
        </w:rPr>
        <w:t>6.1.1评审由评标委员会负责，具体人数见投标人须知前附表。评标委员会的专家应当从</w:t>
      </w:r>
      <w:r>
        <w:rPr>
          <w:rFonts w:hint="eastAsia" w:hAnsi="宋体"/>
          <w:color w:val="auto"/>
          <w:szCs w:val="21"/>
        </w:rPr>
        <w:t>专家从评标专家库内相关专业的专家名单中采取随机抽取方式确定</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6.1.2评审期间，任何单位和个人不得非法干预或者影响评审的过程和结果。</w:t>
      </w:r>
    </w:p>
    <w:p>
      <w:pPr>
        <w:pStyle w:val="21"/>
        <w:tabs>
          <w:tab w:val="left" w:pos="630"/>
        </w:tabs>
        <w:snapToGrid w:val="0"/>
        <w:spacing w:line="440" w:lineRule="exact"/>
        <w:ind w:firstLine="424" w:firstLineChars="202"/>
        <w:rPr>
          <w:rFonts w:hAnsi="宋体"/>
          <w:color w:val="auto"/>
        </w:rPr>
      </w:pPr>
      <w:r>
        <w:rPr>
          <w:rFonts w:hAnsi="宋体"/>
          <w:color w:val="auto"/>
        </w:rPr>
        <w:t>6.1.3</w:t>
      </w:r>
      <w:r>
        <w:rPr>
          <w:rFonts w:hint="eastAsia" w:hAnsi="宋体"/>
          <w:color w:val="auto"/>
        </w:rPr>
        <w:t>评标委员会成员名单在中标结果确定前保密。</w:t>
      </w:r>
    </w:p>
    <w:p>
      <w:pPr>
        <w:rPr>
          <w:b/>
          <w:bCs/>
          <w:color w:val="auto"/>
          <w:sz w:val="24"/>
          <w:szCs w:val="32"/>
        </w:rPr>
      </w:pPr>
      <w:bookmarkStart w:id="273" w:name="_Toc144974532"/>
      <w:bookmarkStart w:id="274" w:name="_Toc296602453"/>
      <w:bookmarkStart w:id="275" w:name="_Toc246996951"/>
      <w:bookmarkStart w:id="276" w:name="_Toc179632582"/>
      <w:bookmarkStart w:id="277" w:name="_Toc447265538"/>
      <w:bookmarkStart w:id="278" w:name="_Toc447265252"/>
      <w:bookmarkStart w:id="279" w:name="_Toc246996208"/>
      <w:bookmarkStart w:id="280" w:name="_Toc46496159"/>
      <w:bookmarkStart w:id="281" w:name="_Toc247085722"/>
      <w:bookmarkStart w:id="282" w:name="_Toc152045564"/>
      <w:bookmarkStart w:id="283" w:name="_Toc152042340"/>
      <w:bookmarkStart w:id="284" w:name="_Toc450489311"/>
      <w:r>
        <w:rPr>
          <w:b/>
          <w:bCs/>
          <w:color w:val="auto"/>
          <w:sz w:val="24"/>
          <w:szCs w:val="32"/>
        </w:rPr>
        <w:t>6.2</w:t>
      </w:r>
      <w:r>
        <w:rPr>
          <w:rFonts w:hint="eastAsia"/>
          <w:b/>
          <w:bCs/>
          <w:color w:val="auto"/>
          <w:sz w:val="24"/>
          <w:szCs w:val="32"/>
        </w:rPr>
        <w:t>评审原则</w:t>
      </w:r>
      <w:bookmarkEnd w:id="273"/>
      <w:bookmarkEnd w:id="274"/>
      <w:bookmarkEnd w:id="275"/>
      <w:bookmarkEnd w:id="276"/>
      <w:bookmarkEnd w:id="277"/>
      <w:bookmarkEnd w:id="278"/>
      <w:bookmarkEnd w:id="279"/>
      <w:bookmarkEnd w:id="280"/>
      <w:bookmarkEnd w:id="281"/>
      <w:bookmarkEnd w:id="282"/>
      <w:bookmarkEnd w:id="283"/>
      <w:bookmarkEnd w:id="284"/>
    </w:p>
    <w:p>
      <w:pPr>
        <w:pStyle w:val="21"/>
        <w:tabs>
          <w:tab w:val="left" w:pos="630"/>
        </w:tabs>
        <w:snapToGrid w:val="0"/>
        <w:spacing w:line="440" w:lineRule="exact"/>
        <w:ind w:firstLine="424" w:firstLineChars="202"/>
        <w:rPr>
          <w:rFonts w:hAnsi="宋体"/>
          <w:color w:val="auto"/>
        </w:rPr>
      </w:pPr>
      <w:r>
        <w:rPr>
          <w:rFonts w:hAnsi="宋体"/>
          <w:color w:val="auto"/>
        </w:rPr>
        <w:t>6.2.1评审活动遵循公平、公正、科学和择优的原则。</w:t>
      </w:r>
    </w:p>
    <w:p>
      <w:pPr>
        <w:pStyle w:val="21"/>
        <w:tabs>
          <w:tab w:val="left" w:pos="630"/>
        </w:tabs>
        <w:snapToGrid w:val="0"/>
        <w:spacing w:line="440" w:lineRule="exact"/>
        <w:ind w:firstLine="424" w:firstLineChars="202"/>
        <w:rPr>
          <w:rFonts w:hAnsi="宋体"/>
          <w:color w:val="auto"/>
        </w:rPr>
      </w:pPr>
      <w:r>
        <w:rPr>
          <w:rFonts w:hAnsi="宋体"/>
          <w:color w:val="auto"/>
        </w:rPr>
        <w:t>6.2.2</w:t>
      </w:r>
      <w:r>
        <w:rPr>
          <w:rFonts w:hint="eastAsia" w:hAnsi="宋体"/>
          <w:color w:val="auto"/>
        </w:rPr>
        <w:t>评标委员会按照第三章“评审办法”规定的方法、评审因素、标准和程序对投标文件进行评审。第三章“评审办法”没有规定的方法、评审因素和标准，不得作为评审依据。</w:t>
      </w:r>
    </w:p>
    <w:p>
      <w:pPr>
        <w:rPr>
          <w:b/>
          <w:bCs/>
          <w:color w:val="auto"/>
          <w:sz w:val="24"/>
          <w:szCs w:val="32"/>
        </w:rPr>
      </w:pPr>
      <w:bookmarkStart w:id="285" w:name="_Toc46496160"/>
      <w:bookmarkStart w:id="286" w:name="_Toc447188701"/>
      <w:bookmarkStart w:id="287" w:name="_Toc447265253"/>
      <w:bookmarkStart w:id="288" w:name="_Toc450489312"/>
      <w:bookmarkStart w:id="289" w:name="_Toc447265539"/>
      <w:r>
        <w:rPr>
          <w:b/>
          <w:bCs/>
          <w:color w:val="auto"/>
          <w:sz w:val="24"/>
          <w:szCs w:val="32"/>
        </w:rPr>
        <w:t>6.3</w:t>
      </w:r>
      <w:r>
        <w:rPr>
          <w:rFonts w:hint="eastAsia"/>
          <w:b/>
          <w:bCs/>
          <w:color w:val="auto"/>
          <w:sz w:val="24"/>
          <w:szCs w:val="32"/>
        </w:rPr>
        <w:t>评审方法</w:t>
      </w:r>
      <w:bookmarkEnd w:id="285"/>
      <w:bookmarkEnd w:id="286"/>
      <w:bookmarkEnd w:id="287"/>
      <w:bookmarkEnd w:id="288"/>
      <w:bookmarkEnd w:id="289"/>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6.3.1招标文件中详细载明下述评审方法之一作为本项目评审所采用的评审方法。评审方法见投标人须知前附表。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6.3.2采用经评审的最低价法的，能够满足招标文件的实质性要求，并且经评审的最低价的投标，应当推荐为中标候选人，但是价格低于成本的除外。</w:t>
      </w:r>
    </w:p>
    <w:p>
      <w:pPr>
        <w:pStyle w:val="21"/>
        <w:tabs>
          <w:tab w:val="left" w:pos="630"/>
        </w:tabs>
        <w:snapToGrid w:val="0"/>
        <w:spacing w:line="440" w:lineRule="exact"/>
        <w:ind w:firstLine="424" w:firstLineChars="202"/>
        <w:rPr>
          <w:rFonts w:hAnsi="宋体"/>
          <w:color w:val="auto"/>
        </w:rPr>
      </w:pPr>
      <w:r>
        <w:rPr>
          <w:rFonts w:hint="eastAsia" w:hAnsi="宋体"/>
          <w:color w:val="auto"/>
        </w:rPr>
        <w:t>采用综合评估法的，最大限度地满足招标文件中规定的各项综合评价标准的投标，应当推荐为中标候选人，量化的标准和权重应当在招标文件中明确规定。</w:t>
      </w:r>
    </w:p>
    <w:p>
      <w:pPr>
        <w:pStyle w:val="21"/>
        <w:tabs>
          <w:tab w:val="left" w:pos="630"/>
        </w:tabs>
        <w:snapToGrid w:val="0"/>
        <w:spacing w:line="440" w:lineRule="exact"/>
        <w:ind w:firstLine="424" w:firstLineChars="202"/>
        <w:rPr>
          <w:rFonts w:hAnsi="宋体"/>
          <w:color w:val="auto"/>
        </w:rPr>
      </w:pPr>
      <w:r>
        <w:rPr>
          <w:rFonts w:hint="eastAsia" w:hAnsi="宋体"/>
          <w:color w:val="auto"/>
        </w:rPr>
        <w:t>采用多阶段</w:t>
      </w:r>
      <w:r>
        <w:rPr>
          <w:rFonts w:hAnsi="宋体"/>
          <w:color w:val="auto"/>
        </w:rPr>
        <w:t>评审</w:t>
      </w:r>
      <w:r>
        <w:rPr>
          <w:rFonts w:hint="eastAsia" w:hAnsi="宋体"/>
          <w:color w:val="auto"/>
        </w:rPr>
        <w:t>法的</w:t>
      </w:r>
      <w:r>
        <w:rPr>
          <w:rFonts w:hAnsi="宋体"/>
          <w:color w:val="auto"/>
        </w:rPr>
        <w:t>，</w:t>
      </w:r>
      <w:r>
        <w:rPr>
          <w:rFonts w:hint="eastAsia"/>
          <w:color w:val="auto"/>
        </w:rPr>
        <w:t>按照招标文件规定的量化因素和权重比值，通过商务技术评审后，价格得分最高的推荐为中标候选人，商务技术</w:t>
      </w:r>
      <w:r>
        <w:rPr>
          <w:rFonts w:hint="eastAsia" w:hAnsi="宋体"/>
          <w:color w:val="auto"/>
        </w:rPr>
        <w:t>量化的标准和权重以及</w:t>
      </w:r>
      <w:r>
        <w:rPr>
          <w:rFonts w:hAnsi="宋体"/>
          <w:color w:val="auto"/>
        </w:rPr>
        <w:t>价格得分方法</w:t>
      </w:r>
      <w:r>
        <w:rPr>
          <w:rFonts w:hint="eastAsia" w:hAnsi="宋体"/>
          <w:color w:val="auto"/>
        </w:rPr>
        <w:t>应当在招标文件中明确规定</w:t>
      </w:r>
      <w:r>
        <w:rPr>
          <w:rFonts w:hint="eastAsia"/>
          <w:color w:val="auto"/>
        </w:rPr>
        <w:t>。</w:t>
      </w:r>
    </w:p>
    <w:p>
      <w:pPr>
        <w:pStyle w:val="21"/>
        <w:tabs>
          <w:tab w:val="left" w:pos="588"/>
          <w:tab w:val="left" w:pos="630"/>
        </w:tabs>
        <w:snapToGrid w:val="0"/>
        <w:spacing w:before="120" w:after="120" w:line="440" w:lineRule="exact"/>
        <w:ind w:firstLine="424" w:firstLineChars="202"/>
        <w:jc w:val="left"/>
        <w:rPr>
          <w:rFonts w:hAnsi="宋体"/>
          <w:color w:val="auto"/>
          <w:sz w:val="24"/>
          <w:szCs w:val="24"/>
        </w:rPr>
      </w:pPr>
      <w:r>
        <w:rPr>
          <w:rFonts w:hAnsi="宋体"/>
          <w:color w:val="auto"/>
        </w:rPr>
        <w:t>6.3.3法律</w:t>
      </w:r>
      <w:r>
        <w:rPr>
          <w:rFonts w:hint="eastAsia" w:hAnsi="宋体"/>
          <w:color w:val="auto"/>
        </w:rPr>
        <w:t>、</w:t>
      </w:r>
      <w:r>
        <w:rPr>
          <w:rFonts w:hAnsi="宋体"/>
          <w:color w:val="auto"/>
        </w:rPr>
        <w:t>法规允许的其他评</w:t>
      </w:r>
      <w:r>
        <w:rPr>
          <w:rFonts w:hint="eastAsia" w:hAnsi="宋体"/>
          <w:color w:val="auto"/>
        </w:rPr>
        <w:t>审</w:t>
      </w:r>
      <w:r>
        <w:rPr>
          <w:rFonts w:hAnsi="宋体"/>
          <w:color w:val="auto"/>
        </w:rPr>
        <w:t>方法</w:t>
      </w:r>
      <w:r>
        <w:rPr>
          <w:rFonts w:hint="eastAsia" w:hAnsi="宋体"/>
          <w:color w:val="auto"/>
        </w:rPr>
        <w:t>。</w:t>
      </w:r>
      <w:bookmarkStart w:id="290" w:name="_Toc447265254"/>
      <w:bookmarkStart w:id="291" w:name="_Toc447188702"/>
      <w:bookmarkStart w:id="292" w:name="_Toc447265540"/>
      <w:bookmarkStart w:id="293" w:name="_Toc152042342"/>
      <w:bookmarkStart w:id="294" w:name="_Toc152045566"/>
      <w:bookmarkStart w:id="295" w:name="_Toc296602455"/>
      <w:bookmarkStart w:id="296" w:name="_Toc246996953"/>
      <w:bookmarkStart w:id="297" w:name="_Toc247085724"/>
      <w:bookmarkStart w:id="298" w:name="_Toc246996210"/>
      <w:bookmarkStart w:id="299" w:name="_Toc179632584"/>
      <w:bookmarkStart w:id="300" w:name="_Toc144974534"/>
    </w:p>
    <w:p>
      <w:pPr>
        <w:rPr>
          <w:b/>
          <w:bCs/>
          <w:color w:val="auto"/>
          <w:sz w:val="24"/>
          <w:szCs w:val="32"/>
        </w:rPr>
      </w:pPr>
      <w:bookmarkStart w:id="301" w:name="_Toc450489313"/>
      <w:bookmarkStart w:id="302" w:name="_Toc46496161"/>
      <w:r>
        <w:rPr>
          <w:b/>
          <w:bCs/>
          <w:color w:val="auto"/>
          <w:sz w:val="24"/>
          <w:szCs w:val="32"/>
        </w:rPr>
        <w:t>6.4</w:t>
      </w:r>
      <w:r>
        <w:rPr>
          <w:rFonts w:hint="eastAsia"/>
          <w:b/>
          <w:bCs/>
          <w:color w:val="auto"/>
          <w:sz w:val="24"/>
          <w:szCs w:val="32"/>
        </w:rPr>
        <w:t>中标候选人推荐原则</w:t>
      </w:r>
      <w:bookmarkEnd w:id="301"/>
      <w:bookmarkEnd w:id="302"/>
    </w:p>
    <w:p>
      <w:pPr>
        <w:ind w:firstLine="420" w:firstLineChars="200"/>
        <w:rPr>
          <w:color w:val="auto"/>
        </w:rPr>
      </w:pPr>
      <w:r>
        <w:rPr>
          <w:rFonts w:hint="eastAsia"/>
          <w:color w:val="auto"/>
        </w:rPr>
        <w:t>评标委员会应当根据招标文件载明的规则推荐中标候选人，具体推荐原则见投标人须知前附表。</w:t>
      </w:r>
    </w:p>
    <w:p>
      <w:pPr>
        <w:rPr>
          <w:b/>
          <w:bCs/>
          <w:color w:val="auto"/>
          <w:sz w:val="24"/>
          <w:szCs w:val="32"/>
        </w:rPr>
      </w:pPr>
      <w:bookmarkStart w:id="303" w:name="_Toc46496162"/>
      <w:bookmarkStart w:id="304" w:name="_Toc450489314"/>
      <w:r>
        <w:rPr>
          <w:b/>
          <w:bCs/>
          <w:color w:val="auto"/>
          <w:sz w:val="24"/>
          <w:szCs w:val="32"/>
        </w:rPr>
        <w:t>6.5</w:t>
      </w:r>
      <w:r>
        <w:rPr>
          <w:rFonts w:hint="eastAsia"/>
          <w:b/>
          <w:bCs/>
          <w:color w:val="auto"/>
          <w:sz w:val="24"/>
          <w:szCs w:val="32"/>
        </w:rPr>
        <w:t>评审报告</w:t>
      </w:r>
      <w:bookmarkEnd w:id="290"/>
      <w:bookmarkEnd w:id="291"/>
      <w:bookmarkEnd w:id="292"/>
      <w:bookmarkEnd w:id="303"/>
      <w:bookmarkEnd w:id="30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评审完成后，评标委员会应当根据有关规定及时向招标人提交评审报告和中标候选人名单。</w:t>
      </w:r>
      <w:bookmarkEnd w:id="266"/>
      <w:bookmarkEnd w:id="267"/>
      <w:bookmarkEnd w:id="268"/>
      <w:bookmarkEnd w:id="293"/>
      <w:bookmarkEnd w:id="294"/>
      <w:bookmarkEnd w:id="295"/>
      <w:bookmarkEnd w:id="296"/>
      <w:bookmarkEnd w:id="297"/>
      <w:bookmarkEnd w:id="298"/>
      <w:bookmarkEnd w:id="299"/>
      <w:bookmarkEnd w:id="300"/>
    </w:p>
    <w:p>
      <w:pPr>
        <w:numPr>
          <w:ilvl w:val="0"/>
          <w:numId w:val="6"/>
        </w:numPr>
        <w:rPr>
          <w:b/>
          <w:bCs/>
          <w:color w:val="auto"/>
          <w:sz w:val="24"/>
          <w:szCs w:val="32"/>
        </w:rPr>
      </w:pPr>
      <w:r>
        <w:rPr>
          <w:rFonts w:hint="eastAsia"/>
          <w:b/>
          <w:bCs/>
          <w:color w:val="auto"/>
          <w:sz w:val="24"/>
          <w:szCs w:val="32"/>
        </w:rPr>
        <w:t>中标</w:t>
      </w:r>
    </w:p>
    <w:p>
      <w:pPr>
        <w:rPr>
          <w:b/>
          <w:bCs/>
          <w:color w:val="auto"/>
          <w:sz w:val="24"/>
          <w:szCs w:val="32"/>
        </w:rPr>
      </w:pPr>
      <w:bookmarkStart w:id="305" w:name="_Toc447188704"/>
      <w:bookmarkStart w:id="306" w:name="_Toc447265542"/>
      <w:bookmarkStart w:id="307" w:name="_Toc447265256"/>
      <w:bookmarkStart w:id="308" w:name="_Toc46496164"/>
      <w:r>
        <w:rPr>
          <w:b/>
          <w:bCs/>
          <w:color w:val="auto"/>
          <w:sz w:val="24"/>
          <w:szCs w:val="32"/>
        </w:rPr>
        <w:t>7.1</w:t>
      </w:r>
      <w:bookmarkEnd w:id="305"/>
      <w:bookmarkEnd w:id="306"/>
      <w:bookmarkEnd w:id="307"/>
      <w:r>
        <w:rPr>
          <w:rFonts w:hint="eastAsia"/>
          <w:b/>
          <w:bCs/>
          <w:color w:val="auto"/>
          <w:sz w:val="24"/>
          <w:szCs w:val="32"/>
        </w:rPr>
        <w:t>确定中标人</w:t>
      </w:r>
      <w:bookmarkEnd w:id="269"/>
      <w:bookmarkEnd w:id="270"/>
      <w:bookmarkEnd w:id="271"/>
      <w:bookmarkEnd w:id="272"/>
      <w:bookmarkEnd w:id="308"/>
    </w:p>
    <w:p>
      <w:pPr>
        <w:pStyle w:val="21"/>
        <w:tabs>
          <w:tab w:val="left" w:pos="630"/>
        </w:tabs>
        <w:snapToGrid w:val="0"/>
        <w:spacing w:line="440" w:lineRule="exact"/>
        <w:ind w:firstLine="424" w:firstLineChars="202"/>
        <w:rPr>
          <w:rFonts w:hAnsi="宋体"/>
          <w:color w:val="auto"/>
        </w:rPr>
      </w:pPr>
      <w:bookmarkStart w:id="309" w:name="_Toc447265259"/>
      <w:bookmarkStart w:id="310" w:name="_Toc447265545"/>
      <w:bookmarkStart w:id="311" w:name="_Toc296602459"/>
      <w:bookmarkStart w:id="312" w:name="_Toc179632587"/>
      <w:bookmarkStart w:id="313" w:name="_Toc152045569"/>
      <w:bookmarkStart w:id="314" w:name="_Toc246996213"/>
      <w:bookmarkStart w:id="315" w:name="_Toc144974537"/>
      <w:bookmarkStart w:id="316" w:name="_Toc152042345"/>
      <w:bookmarkStart w:id="317" w:name="_Toc247085727"/>
      <w:bookmarkStart w:id="318" w:name="_Toc246996956"/>
      <w:bookmarkStart w:id="319" w:name="_Toc226969310"/>
      <w:bookmarkStart w:id="320" w:name="_Toc227057916"/>
      <w:bookmarkStart w:id="321" w:name="_Toc107822517"/>
      <w:r>
        <w:rPr>
          <w:rFonts w:hAnsi="宋体"/>
          <w:color w:val="auto"/>
        </w:rPr>
        <w:t>7.1.1</w:t>
      </w:r>
      <w:r>
        <w:rPr>
          <w:rFonts w:hint="eastAsia" w:hAnsi="宋体"/>
          <w:color w:val="auto"/>
        </w:rPr>
        <w:t>招标人依据评标委员会推荐的中标候选人确定中标人，中标人数量见投标人须知前附表。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7.1.2</w:t>
      </w:r>
      <w:r>
        <w:rPr>
          <w:rFonts w:hint="eastAsia" w:hAnsi="宋体"/>
          <w:color w:val="auto"/>
        </w:rPr>
        <w:t>招标人根据评标委员会推荐的中标候选人名单排序依次确定中标人，具体中标原则见投标人须知前附表。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7.1.3在签订合同之前</w:t>
      </w:r>
      <w:r>
        <w:rPr>
          <w:rFonts w:hint="eastAsia" w:hAnsi="宋体"/>
          <w:color w:val="auto"/>
        </w:rPr>
        <w:t>，中标人放弃中标或者不能履行合同的，招标人可以按照评标委员会提出的中标候选人名单排序依次确定其他中标候选人为中标人，也可以重新招标。</w:t>
      </w:r>
    </w:p>
    <w:p>
      <w:pPr>
        <w:rPr>
          <w:b/>
          <w:bCs/>
          <w:color w:val="auto"/>
          <w:sz w:val="24"/>
          <w:szCs w:val="32"/>
        </w:rPr>
      </w:pPr>
      <w:bookmarkStart w:id="322" w:name="_Toc450489317"/>
      <w:bookmarkStart w:id="323" w:name="_Toc447188705"/>
      <w:bookmarkStart w:id="324" w:name="_Toc447265257"/>
      <w:bookmarkStart w:id="325" w:name="_Toc46496165"/>
      <w:bookmarkStart w:id="326" w:name="_Toc447265543"/>
      <w:r>
        <w:rPr>
          <w:b/>
          <w:bCs/>
          <w:color w:val="auto"/>
          <w:sz w:val="24"/>
          <w:szCs w:val="32"/>
        </w:rPr>
        <w:t>7.2</w:t>
      </w:r>
      <w:r>
        <w:rPr>
          <w:rFonts w:hint="eastAsia"/>
          <w:b/>
          <w:bCs/>
          <w:color w:val="auto"/>
          <w:sz w:val="24"/>
          <w:szCs w:val="32"/>
        </w:rPr>
        <w:t>中标人公示</w:t>
      </w:r>
      <w:bookmarkEnd w:id="322"/>
      <w:bookmarkEnd w:id="323"/>
      <w:bookmarkEnd w:id="324"/>
      <w:bookmarkEnd w:id="325"/>
      <w:bookmarkEnd w:id="326"/>
    </w:p>
    <w:p>
      <w:pPr>
        <w:pStyle w:val="21"/>
        <w:tabs>
          <w:tab w:val="left" w:pos="630"/>
        </w:tabs>
        <w:snapToGrid w:val="0"/>
        <w:spacing w:line="440" w:lineRule="exact"/>
        <w:ind w:firstLine="424" w:firstLineChars="202"/>
        <w:rPr>
          <w:rFonts w:hAnsi="宋体"/>
          <w:color w:val="auto"/>
        </w:rPr>
      </w:pPr>
      <w:r>
        <w:rPr>
          <w:rFonts w:hAnsi="宋体"/>
          <w:color w:val="auto"/>
        </w:rPr>
        <w:t>7.2.1</w:t>
      </w:r>
      <w:r>
        <w:rPr>
          <w:rFonts w:hint="eastAsia" w:hAnsi="宋体"/>
          <w:color w:val="auto"/>
        </w:rPr>
        <w:t>采用公开招标方式的，中标结果审批通过后，招标人应</w:t>
      </w:r>
      <w:r>
        <w:rPr>
          <w:rFonts w:hAnsi="宋体"/>
          <w:color w:val="auto"/>
        </w:rPr>
        <w:t>在“资格预审公告”或者“</w:t>
      </w:r>
      <w:r>
        <w:rPr>
          <w:rFonts w:hint="eastAsia" w:hAnsi="宋体"/>
          <w:color w:val="auto"/>
        </w:rPr>
        <w:t>招标</w:t>
      </w:r>
      <w:r>
        <w:rPr>
          <w:rFonts w:hAnsi="宋体"/>
          <w:color w:val="auto"/>
        </w:rPr>
        <w:t>公告”发布媒介公示全部</w:t>
      </w:r>
      <w:r>
        <w:rPr>
          <w:rFonts w:hint="eastAsia" w:hAnsi="宋体"/>
          <w:color w:val="auto"/>
        </w:rPr>
        <w:t>中标人，公示期不少于</w:t>
      </w:r>
      <w:r>
        <w:rPr>
          <w:rFonts w:hAnsi="宋体"/>
          <w:color w:val="auto"/>
        </w:rPr>
        <w:t>3日。</w:t>
      </w:r>
    </w:p>
    <w:p>
      <w:pPr>
        <w:pStyle w:val="21"/>
        <w:tabs>
          <w:tab w:val="left" w:pos="630"/>
        </w:tabs>
        <w:snapToGrid w:val="0"/>
        <w:spacing w:line="440" w:lineRule="exact"/>
        <w:ind w:firstLine="424" w:firstLineChars="202"/>
        <w:rPr>
          <w:rFonts w:hAnsi="宋体"/>
          <w:color w:val="auto"/>
        </w:rPr>
      </w:pPr>
      <w:r>
        <w:rPr>
          <w:rFonts w:hAnsi="宋体"/>
          <w:color w:val="auto"/>
        </w:rPr>
        <w:t>7.2.2</w:t>
      </w:r>
      <w:r>
        <w:rPr>
          <w:rFonts w:hint="eastAsia" w:hAnsi="宋体"/>
          <w:color w:val="auto"/>
        </w:rPr>
        <w:t>投标人或者其他利害关系人对招标项目的评选结果有异议的，应当在中标人公示期间提出。</w:t>
      </w:r>
    </w:p>
    <w:p>
      <w:pPr>
        <w:rPr>
          <w:b/>
          <w:bCs/>
          <w:color w:val="auto"/>
          <w:sz w:val="24"/>
          <w:szCs w:val="32"/>
        </w:rPr>
      </w:pPr>
      <w:bookmarkStart w:id="327" w:name="_Toc246996212"/>
      <w:bookmarkStart w:id="328" w:name="_Toc296602458"/>
      <w:bookmarkStart w:id="329" w:name="_Toc179632586"/>
      <w:bookmarkStart w:id="330" w:name="_Toc46496166"/>
      <w:bookmarkStart w:id="331" w:name="_Toc152045568"/>
      <w:bookmarkStart w:id="332" w:name="_Toc450489318"/>
      <w:bookmarkStart w:id="333" w:name="_Toc152042344"/>
      <w:bookmarkStart w:id="334" w:name="_Toc144974536"/>
      <w:bookmarkStart w:id="335" w:name="_Toc447265258"/>
      <w:bookmarkStart w:id="336" w:name="_Toc247085726"/>
      <w:bookmarkStart w:id="337" w:name="_Toc447265544"/>
      <w:bookmarkStart w:id="338" w:name="_Toc246996955"/>
      <w:bookmarkStart w:id="339" w:name="OLE_LINK6"/>
      <w:bookmarkStart w:id="340" w:name="OLE_LINK7"/>
      <w:r>
        <w:rPr>
          <w:b/>
          <w:bCs/>
          <w:color w:val="auto"/>
          <w:sz w:val="24"/>
          <w:szCs w:val="32"/>
        </w:rPr>
        <w:t>7.3</w:t>
      </w:r>
      <w:r>
        <w:rPr>
          <w:rFonts w:hint="eastAsia"/>
          <w:b/>
          <w:bCs/>
          <w:color w:val="auto"/>
          <w:sz w:val="24"/>
          <w:szCs w:val="32"/>
        </w:rPr>
        <w:t>中标通知</w:t>
      </w:r>
      <w:bookmarkEnd w:id="327"/>
      <w:bookmarkEnd w:id="328"/>
      <w:bookmarkEnd w:id="329"/>
      <w:bookmarkEnd w:id="330"/>
      <w:bookmarkEnd w:id="331"/>
      <w:bookmarkEnd w:id="332"/>
      <w:bookmarkEnd w:id="333"/>
      <w:bookmarkEnd w:id="334"/>
      <w:bookmarkEnd w:id="335"/>
      <w:bookmarkEnd w:id="336"/>
      <w:bookmarkEnd w:id="337"/>
      <w:bookmarkEnd w:id="338"/>
    </w:p>
    <w:p>
      <w:pPr>
        <w:pStyle w:val="21"/>
        <w:tabs>
          <w:tab w:val="left" w:pos="630"/>
        </w:tabs>
        <w:snapToGrid w:val="0"/>
        <w:spacing w:line="440" w:lineRule="exact"/>
        <w:ind w:firstLine="424" w:firstLineChars="202"/>
        <w:rPr>
          <w:rFonts w:hAnsi="宋体"/>
          <w:color w:val="auto"/>
        </w:rPr>
      </w:pPr>
      <w:r>
        <w:rPr>
          <w:rFonts w:hAnsi="宋体"/>
          <w:color w:val="auto"/>
        </w:rPr>
        <w:t>7.3.1在中标通知书发出前，中标候选人的经营、财务状况发生较大变化或者存在违法行为，可能影响其履约能力的，投标人应当主动告知招标人。</w:t>
      </w:r>
      <w:bookmarkEnd w:id="339"/>
      <w:bookmarkEnd w:id="340"/>
    </w:p>
    <w:p>
      <w:pPr>
        <w:pStyle w:val="21"/>
        <w:tabs>
          <w:tab w:val="left" w:pos="630"/>
        </w:tabs>
        <w:snapToGrid w:val="0"/>
        <w:spacing w:line="440" w:lineRule="exact"/>
        <w:ind w:firstLine="424" w:firstLineChars="202"/>
        <w:rPr>
          <w:rFonts w:hAnsi="宋体"/>
          <w:color w:val="auto"/>
        </w:rPr>
      </w:pPr>
      <w:r>
        <w:rPr>
          <w:rFonts w:hAnsi="宋体"/>
          <w:color w:val="auto"/>
        </w:rPr>
        <w:t>7.3.2中标人确定后，招标人应当自行或者委托招标代理机构向中标人发出中标通知书，同时通知未中标人。</w:t>
      </w:r>
    </w:p>
    <w:p>
      <w:pPr>
        <w:pStyle w:val="21"/>
        <w:tabs>
          <w:tab w:val="left" w:pos="630"/>
        </w:tabs>
        <w:snapToGrid w:val="0"/>
        <w:spacing w:line="440" w:lineRule="exact"/>
        <w:ind w:firstLine="424" w:firstLineChars="202"/>
        <w:rPr>
          <w:rFonts w:hAnsi="宋体"/>
          <w:color w:val="auto"/>
        </w:rPr>
      </w:pPr>
      <w:r>
        <w:rPr>
          <w:rFonts w:hAnsi="宋体"/>
          <w:color w:val="auto"/>
        </w:rPr>
        <w:t>7.3.3</w:t>
      </w:r>
      <w:r>
        <w:rPr>
          <w:rFonts w:hint="eastAsia" w:hAnsi="宋体"/>
          <w:color w:val="auto"/>
        </w:rPr>
        <w:t>中标通知书是招标档案和合同的组成部分。</w:t>
      </w:r>
    </w:p>
    <w:p>
      <w:pPr>
        <w:pStyle w:val="21"/>
        <w:tabs>
          <w:tab w:val="left" w:pos="630"/>
        </w:tabs>
        <w:snapToGrid w:val="0"/>
        <w:spacing w:line="440" w:lineRule="exact"/>
        <w:ind w:firstLine="424" w:firstLineChars="202"/>
        <w:rPr>
          <w:rFonts w:hAnsi="宋体"/>
          <w:color w:val="auto"/>
        </w:rPr>
      </w:pPr>
      <w:r>
        <w:rPr>
          <w:rFonts w:hAnsi="宋体"/>
          <w:color w:val="auto"/>
        </w:rPr>
        <w:t>7.3.4</w:t>
      </w:r>
      <w:r>
        <w:rPr>
          <w:rFonts w:hint="eastAsia" w:hAnsi="宋体"/>
          <w:color w:val="auto"/>
        </w:rPr>
        <w:t>中标通知书对招标人和中标人具有法律约束力。中标通知书发出后，招标人改变中标结果或者中标人放弃中标的，应当承担法律责任。</w:t>
      </w:r>
    </w:p>
    <w:p>
      <w:pPr>
        <w:numPr>
          <w:ilvl w:val="0"/>
          <w:numId w:val="6"/>
        </w:numPr>
        <w:rPr>
          <w:b/>
          <w:bCs/>
          <w:color w:val="auto"/>
          <w:sz w:val="24"/>
          <w:szCs w:val="32"/>
        </w:rPr>
      </w:pPr>
      <w:r>
        <w:rPr>
          <w:rFonts w:hint="eastAsia"/>
          <w:b/>
          <w:bCs/>
          <w:color w:val="auto"/>
          <w:sz w:val="24"/>
          <w:szCs w:val="32"/>
        </w:rPr>
        <w:t>合同签订</w:t>
      </w:r>
      <w:bookmarkEnd w:id="309"/>
      <w:bookmarkEnd w:id="310"/>
    </w:p>
    <w:p>
      <w:pPr>
        <w:rPr>
          <w:b/>
          <w:bCs/>
          <w:color w:val="auto"/>
          <w:sz w:val="24"/>
          <w:szCs w:val="32"/>
        </w:rPr>
      </w:pPr>
      <w:bookmarkStart w:id="341" w:name="_Toc447265546"/>
      <w:bookmarkStart w:id="342" w:name="_Toc46496168"/>
      <w:bookmarkStart w:id="343" w:name="_Toc447265260"/>
      <w:r>
        <w:rPr>
          <w:b/>
          <w:bCs/>
          <w:color w:val="auto"/>
          <w:sz w:val="24"/>
          <w:szCs w:val="32"/>
        </w:rPr>
        <w:t>8.1</w:t>
      </w:r>
      <w:r>
        <w:rPr>
          <w:rFonts w:hint="eastAsia"/>
          <w:b/>
          <w:bCs/>
          <w:color w:val="auto"/>
          <w:sz w:val="24"/>
          <w:szCs w:val="32"/>
        </w:rPr>
        <w:t>履约</w:t>
      </w:r>
      <w:bookmarkEnd w:id="311"/>
      <w:bookmarkEnd w:id="312"/>
      <w:bookmarkEnd w:id="313"/>
      <w:bookmarkEnd w:id="314"/>
      <w:bookmarkEnd w:id="315"/>
      <w:bookmarkEnd w:id="316"/>
      <w:bookmarkEnd w:id="317"/>
      <w:bookmarkEnd w:id="318"/>
      <w:r>
        <w:rPr>
          <w:rFonts w:hint="eastAsia"/>
          <w:b/>
          <w:bCs/>
          <w:color w:val="auto"/>
          <w:sz w:val="24"/>
          <w:szCs w:val="32"/>
        </w:rPr>
        <w:t>保证金</w:t>
      </w:r>
      <w:bookmarkEnd w:id="319"/>
      <w:bookmarkEnd w:id="320"/>
      <w:bookmarkEnd w:id="321"/>
      <w:bookmarkEnd w:id="341"/>
      <w:bookmarkEnd w:id="342"/>
      <w:bookmarkEnd w:id="343"/>
    </w:p>
    <w:p>
      <w:pPr>
        <w:pStyle w:val="21"/>
        <w:tabs>
          <w:tab w:val="left" w:pos="630"/>
        </w:tabs>
        <w:snapToGrid w:val="0"/>
        <w:spacing w:line="440" w:lineRule="exact"/>
        <w:ind w:firstLine="424" w:firstLineChars="202"/>
        <w:rPr>
          <w:rFonts w:hAnsi="宋体"/>
          <w:color w:val="auto"/>
        </w:rPr>
      </w:pPr>
      <w:bookmarkStart w:id="344" w:name="_Toc227057918"/>
      <w:bookmarkStart w:id="345" w:name="_Toc488655867"/>
      <w:bookmarkStart w:id="346" w:name="_Toc447265263"/>
      <w:bookmarkStart w:id="347" w:name="_Toc107822519"/>
      <w:bookmarkStart w:id="348" w:name="_Toc447265549"/>
      <w:bookmarkStart w:id="349" w:name="_Toc226969312"/>
      <w:bookmarkStart w:id="350" w:name="_Toc447188707"/>
      <w:r>
        <w:rPr>
          <w:rFonts w:hAnsi="宋体"/>
          <w:color w:val="auto"/>
        </w:rPr>
        <w:t>8.1.1在签订合同前，中标人应当按照“投标人须知前附表”中规定的履约保证金的金额和形式向招标人递交履约保证金。</w:t>
      </w:r>
    </w:p>
    <w:p>
      <w:pPr>
        <w:pStyle w:val="21"/>
        <w:tabs>
          <w:tab w:val="left" w:pos="630"/>
        </w:tabs>
        <w:snapToGrid w:val="0"/>
        <w:spacing w:line="440" w:lineRule="exact"/>
        <w:ind w:firstLine="424" w:firstLineChars="202"/>
        <w:rPr>
          <w:rFonts w:hAnsi="宋体"/>
          <w:color w:val="auto"/>
        </w:rPr>
      </w:pPr>
      <w:r>
        <w:rPr>
          <w:rFonts w:hAnsi="宋体"/>
          <w:color w:val="auto"/>
        </w:rPr>
        <w:t>8.1.2</w:t>
      </w:r>
      <w:r>
        <w:rPr>
          <w:rFonts w:hint="eastAsia" w:hAnsi="宋体"/>
          <w:color w:val="auto"/>
        </w:rPr>
        <w:t>中标人不能按照招标文件要求递交履约担保的，视为放弃中标，其投标保证金不予退还，给招标人造成的损失超过投标保证金数额的，中标人还应当对超过部分予以赔偿。</w:t>
      </w:r>
    </w:p>
    <w:p>
      <w:pPr>
        <w:rPr>
          <w:b/>
          <w:bCs/>
          <w:color w:val="auto"/>
          <w:sz w:val="24"/>
          <w:szCs w:val="32"/>
        </w:rPr>
      </w:pPr>
      <w:bookmarkStart w:id="351" w:name="_Toc450489321"/>
      <w:bookmarkStart w:id="352" w:name="_Toc447265261"/>
      <w:bookmarkStart w:id="353" w:name="_Toc46496169"/>
      <w:bookmarkStart w:id="354" w:name="_Toc447265547"/>
      <w:r>
        <w:rPr>
          <w:b/>
          <w:bCs/>
          <w:color w:val="auto"/>
          <w:sz w:val="24"/>
          <w:szCs w:val="32"/>
        </w:rPr>
        <w:t>8.2</w:t>
      </w:r>
      <w:r>
        <w:rPr>
          <w:rFonts w:hint="eastAsia"/>
          <w:b/>
          <w:bCs/>
          <w:color w:val="auto"/>
          <w:sz w:val="24"/>
          <w:szCs w:val="32"/>
        </w:rPr>
        <w:t>合同签订</w:t>
      </w:r>
      <w:bookmarkEnd w:id="351"/>
      <w:bookmarkEnd w:id="352"/>
      <w:bookmarkEnd w:id="353"/>
      <w:bookmarkEnd w:id="354"/>
    </w:p>
    <w:p>
      <w:pPr>
        <w:pStyle w:val="21"/>
        <w:tabs>
          <w:tab w:val="left" w:pos="630"/>
        </w:tabs>
        <w:snapToGrid w:val="0"/>
        <w:spacing w:line="440" w:lineRule="exact"/>
        <w:ind w:firstLine="424" w:firstLineChars="202"/>
        <w:rPr>
          <w:rFonts w:hAnsi="宋体"/>
          <w:color w:val="auto"/>
        </w:rPr>
      </w:pPr>
      <w:r>
        <w:rPr>
          <w:rFonts w:hAnsi="宋体"/>
          <w:color w:val="auto"/>
        </w:rPr>
        <w:t>8.2.1</w:t>
      </w:r>
      <w:r>
        <w:rPr>
          <w:rFonts w:hint="eastAsia" w:hAnsi="宋体"/>
          <w:color w:val="auto"/>
        </w:rPr>
        <w:t>招标人和中标人应当在招标有效期内，根据招标文件和中标人的投标文件订立书面合同。招标人和中标人不得订立背离合同实质性内容的其他协议。</w:t>
      </w:r>
    </w:p>
    <w:p>
      <w:pPr>
        <w:pStyle w:val="21"/>
        <w:tabs>
          <w:tab w:val="left" w:pos="630"/>
        </w:tabs>
        <w:snapToGrid w:val="0"/>
        <w:spacing w:line="440" w:lineRule="exact"/>
        <w:ind w:firstLine="424" w:firstLineChars="202"/>
        <w:rPr>
          <w:rFonts w:hAnsi="宋体"/>
          <w:color w:val="auto"/>
        </w:rPr>
      </w:pPr>
      <w:r>
        <w:rPr>
          <w:rFonts w:hAnsi="宋体"/>
          <w:color w:val="auto"/>
        </w:rPr>
        <w:t>8.2.2中标人无正当理由拒签合同的，招标人取消其中标资格，其投标保证金不予退还；给招标人造成的损失超过投标保证金数额的，中标人还应当对超过部分予以赔偿。</w:t>
      </w:r>
    </w:p>
    <w:p>
      <w:pPr>
        <w:numPr>
          <w:ilvl w:val="0"/>
          <w:numId w:val="6"/>
        </w:numPr>
        <w:rPr>
          <w:b/>
          <w:bCs/>
          <w:color w:val="auto"/>
          <w:sz w:val="24"/>
          <w:szCs w:val="32"/>
        </w:rPr>
      </w:pPr>
      <w:r>
        <w:rPr>
          <w:rFonts w:hint="eastAsia"/>
          <w:b/>
          <w:bCs/>
          <w:color w:val="auto"/>
          <w:sz w:val="24"/>
          <w:szCs w:val="32"/>
        </w:rPr>
        <w:t>招标代理服务费</w:t>
      </w:r>
      <w:bookmarkEnd w:id="344"/>
      <w:bookmarkEnd w:id="345"/>
      <w:bookmarkEnd w:id="346"/>
      <w:bookmarkEnd w:id="347"/>
      <w:bookmarkEnd w:id="348"/>
      <w:bookmarkEnd w:id="349"/>
      <w:bookmarkEnd w:id="3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中标人应当按照招标文件规定交纳招标代理服务费，招标人和招标代理机构另有约定的从其约定。招标代理服务费的金额、交纳方式和时限见投标人须知前附表。</w:t>
      </w:r>
    </w:p>
    <w:p>
      <w:pPr>
        <w:numPr>
          <w:ilvl w:val="0"/>
          <w:numId w:val="6"/>
        </w:numPr>
        <w:rPr>
          <w:b/>
          <w:bCs/>
          <w:color w:val="auto"/>
          <w:sz w:val="24"/>
          <w:szCs w:val="32"/>
        </w:rPr>
      </w:pPr>
      <w:bookmarkStart w:id="355" w:name="_Toc447188708"/>
      <w:bookmarkStart w:id="356" w:name="_Toc447265550"/>
      <w:bookmarkStart w:id="357" w:name="_Toc296602461"/>
      <w:bookmarkStart w:id="358" w:name="_Toc447265264"/>
      <w:r>
        <w:rPr>
          <w:rFonts w:hint="eastAsia"/>
          <w:b/>
          <w:bCs/>
          <w:color w:val="auto"/>
          <w:sz w:val="24"/>
          <w:szCs w:val="32"/>
        </w:rPr>
        <w:t>纪律和监督</w:t>
      </w:r>
      <w:bookmarkEnd w:id="355"/>
      <w:bookmarkEnd w:id="356"/>
      <w:bookmarkEnd w:id="357"/>
      <w:bookmarkEnd w:id="358"/>
    </w:p>
    <w:p>
      <w:pPr>
        <w:rPr>
          <w:b/>
          <w:bCs/>
          <w:color w:val="auto"/>
          <w:sz w:val="24"/>
          <w:szCs w:val="32"/>
        </w:rPr>
      </w:pPr>
      <w:bookmarkStart w:id="359" w:name="_Toc246996219"/>
      <w:bookmarkStart w:id="360" w:name="_Toc179632593"/>
      <w:bookmarkStart w:id="361" w:name="_Toc46496172"/>
      <w:bookmarkStart w:id="362" w:name="_Toc247085733"/>
      <w:bookmarkStart w:id="363" w:name="_Toc152045575"/>
      <w:bookmarkStart w:id="364" w:name="_Toc447265551"/>
      <w:bookmarkStart w:id="365" w:name="_Toc246996962"/>
      <w:bookmarkStart w:id="366" w:name="_Toc296590983"/>
      <w:bookmarkStart w:id="367" w:name="_Toc447265265"/>
      <w:bookmarkStart w:id="368" w:name="_Toc144974543"/>
      <w:bookmarkStart w:id="369" w:name="_Toc152042351"/>
      <w:bookmarkStart w:id="370" w:name="_Toc296602462"/>
      <w:r>
        <w:rPr>
          <w:b/>
          <w:bCs/>
          <w:color w:val="auto"/>
          <w:sz w:val="24"/>
          <w:szCs w:val="32"/>
        </w:rPr>
        <w:t>10.1</w:t>
      </w:r>
      <w:r>
        <w:rPr>
          <w:rFonts w:hint="eastAsia"/>
          <w:b/>
          <w:bCs/>
          <w:color w:val="auto"/>
          <w:sz w:val="24"/>
          <w:szCs w:val="32"/>
        </w:rPr>
        <w:t>对招标人的纪律要求</w:t>
      </w:r>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招标人不得泄漏招标活动中应当保密的情况和资料，不得与投标人串通损害国家利益、社会公共利益或者他人合法权益。</w:t>
      </w:r>
    </w:p>
    <w:p>
      <w:pPr>
        <w:rPr>
          <w:b/>
          <w:bCs/>
          <w:color w:val="auto"/>
          <w:sz w:val="24"/>
          <w:szCs w:val="32"/>
        </w:rPr>
      </w:pPr>
      <w:bookmarkStart w:id="371" w:name="_Toc447265552"/>
      <w:bookmarkStart w:id="372" w:name="_Toc247085734"/>
      <w:bookmarkStart w:id="373" w:name="_Toc246996220"/>
      <w:bookmarkStart w:id="374" w:name="_Toc179632594"/>
      <w:bookmarkStart w:id="375" w:name="_Toc152045576"/>
      <w:bookmarkStart w:id="376" w:name="_Toc152042352"/>
      <w:bookmarkStart w:id="377" w:name="_Toc296602463"/>
      <w:bookmarkStart w:id="378" w:name="_Toc46496173"/>
      <w:bookmarkStart w:id="379" w:name="_Toc144974544"/>
      <w:bookmarkStart w:id="380" w:name="_Toc447265266"/>
      <w:bookmarkStart w:id="381" w:name="_Toc246996963"/>
      <w:r>
        <w:rPr>
          <w:b/>
          <w:bCs/>
          <w:color w:val="auto"/>
          <w:sz w:val="24"/>
          <w:szCs w:val="32"/>
        </w:rPr>
        <w:t>10.2</w:t>
      </w:r>
      <w:r>
        <w:rPr>
          <w:rFonts w:hint="eastAsia"/>
          <w:b/>
          <w:bCs/>
          <w:color w:val="auto"/>
          <w:sz w:val="24"/>
          <w:szCs w:val="32"/>
        </w:rPr>
        <w:t>对投标人的纪律要求</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b/>
          <w:bCs/>
          <w:color w:val="auto"/>
          <w:sz w:val="24"/>
          <w:szCs w:val="32"/>
        </w:rPr>
      </w:pPr>
      <w:bookmarkStart w:id="382" w:name="_Toc152045577"/>
      <w:bookmarkStart w:id="383" w:name="_Toc447265553"/>
      <w:bookmarkStart w:id="384" w:name="_Toc247085735"/>
      <w:bookmarkStart w:id="385" w:name="_Toc144974545"/>
      <w:bookmarkStart w:id="386" w:name="_Toc246996964"/>
      <w:bookmarkStart w:id="387" w:name="_Toc179632595"/>
      <w:bookmarkStart w:id="388" w:name="_Toc46496174"/>
      <w:bookmarkStart w:id="389" w:name="_Toc447265267"/>
      <w:bookmarkStart w:id="390" w:name="_Toc246996221"/>
      <w:bookmarkStart w:id="391" w:name="_Toc296602464"/>
      <w:bookmarkStart w:id="392" w:name="_Toc152042353"/>
      <w:r>
        <w:rPr>
          <w:b/>
          <w:bCs/>
          <w:color w:val="auto"/>
          <w:sz w:val="24"/>
          <w:szCs w:val="32"/>
        </w:rPr>
        <w:t>10.3</w:t>
      </w:r>
      <w:r>
        <w:rPr>
          <w:rFonts w:hint="eastAsia"/>
          <w:b/>
          <w:bCs/>
          <w:color w:val="auto"/>
          <w:sz w:val="24"/>
          <w:szCs w:val="32"/>
        </w:rPr>
        <w:t>对评标委员会成员的纪律要求</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b/>
          <w:bCs/>
          <w:color w:val="auto"/>
          <w:sz w:val="24"/>
          <w:szCs w:val="32"/>
        </w:rPr>
      </w:pPr>
      <w:bookmarkStart w:id="393" w:name="_Toc46496175"/>
      <w:bookmarkStart w:id="394" w:name="_Toc152045578"/>
      <w:bookmarkStart w:id="395" w:name="_Toc247085736"/>
      <w:bookmarkStart w:id="396" w:name="_Toc179632596"/>
      <w:bookmarkStart w:id="397" w:name="_Toc246996965"/>
      <w:bookmarkStart w:id="398" w:name="_Toc246996222"/>
      <w:bookmarkStart w:id="399" w:name="_Toc296602465"/>
      <w:bookmarkStart w:id="400" w:name="_Toc447265554"/>
      <w:bookmarkStart w:id="401" w:name="_Toc152042354"/>
      <w:bookmarkStart w:id="402" w:name="_Toc447265268"/>
      <w:bookmarkStart w:id="403" w:name="_Toc144974546"/>
      <w:r>
        <w:rPr>
          <w:b/>
          <w:bCs/>
          <w:color w:val="auto"/>
          <w:sz w:val="24"/>
          <w:szCs w:val="32"/>
        </w:rPr>
        <w:t>10.4</w:t>
      </w:r>
      <w:r>
        <w:rPr>
          <w:rFonts w:hint="eastAsia"/>
          <w:b/>
          <w:bCs/>
          <w:color w:val="auto"/>
          <w:sz w:val="24"/>
          <w:szCs w:val="32"/>
        </w:rPr>
        <w:t>对与评审活动有关的工作人员的纪律要求</w:t>
      </w:r>
      <w:bookmarkEnd w:id="393"/>
      <w:bookmarkEnd w:id="394"/>
      <w:bookmarkEnd w:id="395"/>
      <w:bookmarkEnd w:id="396"/>
      <w:bookmarkEnd w:id="397"/>
      <w:bookmarkEnd w:id="398"/>
      <w:bookmarkEnd w:id="399"/>
      <w:bookmarkEnd w:id="400"/>
      <w:bookmarkEnd w:id="401"/>
      <w:bookmarkEnd w:id="402"/>
    </w:p>
    <w:p>
      <w:pPr>
        <w:adjustRightInd w:val="0"/>
        <w:snapToGrid w:val="0"/>
        <w:spacing w:line="440" w:lineRule="exact"/>
        <w:ind w:firstLine="420" w:firstLineChars="200"/>
        <w:rPr>
          <w:rFonts w:ascii="宋体" w:hAnsi="宋体" w:cs="宋体"/>
          <w:color w:val="auto"/>
          <w:szCs w:val="21"/>
        </w:rPr>
      </w:pPr>
      <w:bookmarkStart w:id="404" w:name="_Toc152042355"/>
      <w:r>
        <w:rPr>
          <w:rFonts w:hint="eastAsia" w:ascii="宋体" w:hAnsi="宋体" w:cs="宋体"/>
          <w:color w:val="auto"/>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3"/>
      <w:bookmarkEnd w:id="404"/>
    </w:p>
    <w:p>
      <w:pPr>
        <w:numPr>
          <w:ilvl w:val="0"/>
          <w:numId w:val="6"/>
        </w:numPr>
        <w:rPr>
          <w:b/>
          <w:bCs/>
          <w:color w:val="auto"/>
          <w:sz w:val="24"/>
          <w:szCs w:val="32"/>
        </w:rPr>
      </w:pPr>
      <w:bookmarkStart w:id="405" w:name="_Toc477190327"/>
      <w:bookmarkEnd w:id="405"/>
      <w:bookmarkStart w:id="406" w:name="_Toc477190326"/>
      <w:bookmarkEnd w:id="406"/>
      <w:bookmarkStart w:id="407" w:name="_Toc477190328"/>
      <w:bookmarkEnd w:id="407"/>
      <w:bookmarkStart w:id="408" w:name="_Toc296602467"/>
      <w:bookmarkStart w:id="409" w:name="_Toc144974547"/>
      <w:bookmarkStart w:id="410" w:name="_Toc152045580"/>
      <w:bookmarkStart w:id="411" w:name="_Toc447265556"/>
      <w:bookmarkStart w:id="412" w:name="_Toc246996224"/>
      <w:bookmarkStart w:id="413" w:name="_Toc179632598"/>
      <w:bookmarkStart w:id="414" w:name="_Toc152042357"/>
      <w:bookmarkStart w:id="415" w:name="_Toc246996967"/>
      <w:bookmarkStart w:id="416" w:name="_Toc247085738"/>
      <w:bookmarkStart w:id="417" w:name="_Toc447265270"/>
      <w:bookmarkStart w:id="418" w:name="_Toc447188709"/>
      <w:r>
        <w:rPr>
          <w:rFonts w:hint="eastAsia"/>
          <w:b/>
          <w:bCs/>
          <w:color w:val="auto"/>
          <w:sz w:val="24"/>
          <w:szCs w:val="32"/>
        </w:rPr>
        <w:t>需要补充的其他内容</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需要补充的其他内容：见投标人须知前附表。</w:t>
      </w:r>
    </w:p>
    <w:p>
      <w:pPr>
        <w:tabs>
          <w:tab w:val="left" w:pos="851"/>
        </w:tabs>
        <w:adjustRightInd w:val="0"/>
        <w:snapToGrid w:val="0"/>
        <w:spacing w:line="440" w:lineRule="exact"/>
        <w:rPr>
          <w:rFonts w:ascii="宋体" w:hAnsi="宋体" w:cs="Arial"/>
          <w:b/>
          <w:color w:val="auto"/>
          <w:szCs w:val="21"/>
        </w:rPr>
      </w:pPr>
    </w:p>
    <w:p>
      <w:pPr>
        <w:rPr>
          <w:rFonts w:hint="eastAsia" w:ascii="宋体" w:hAnsi="宋体" w:eastAsia="宋体" w:cs="宋体"/>
          <w:b/>
          <w:bCs w:val="0"/>
          <w:color w:val="auto"/>
          <w:kern w:val="0"/>
          <w:sz w:val="28"/>
          <w:szCs w:val="28"/>
        </w:rPr>
      </w:pPr>
      <w:bookmarkStart w:id="419" w:name="_Toc16927"/>
      <w:bookmarkStart w:id="420" w:name="_Toc14006"/>
      <w:bookmarkStart w:id="421" w:name="_Toc56432213"/>
      <w:bookmarkStart w:id="422" w:name="_Toc28913"/>
      <w:bookmarkStart w:id="423" w:name="_Toc447265273"/>
      <w:bookmarkStart w:id="424" w:name="_Toc447265559"/>
      <w:r>
        <w:rPr>
          <w:rFonts w:hint="eastAsia" w:ascii="宋体" w:hAnsi="宋体" w:eastAsia="宋体" w:cs="宋体"/>
          <w:b/>
          <w:bCs w:val="0"/>
          <w:color w:val="auto"/>
          <w:kern w:val="0"/>
          <w:sz w:val="28"/>
          <w:szCs w:val="28"/>
        </w:rPr>
        <w:br w:type="page"/>
      </w:r>
    </w:p>
    <w:p>
      <w:pPr>
        <w:pStyle w:val="77"/>
        <w:spacing w:before="240" w:after="120"/>
        <w:rPr>
          <w:rFonts w:ascii="宋体" w:hAnsi="宋体" w:eastAsia="宋体" w:cs="宋体"/>
          <w:b/>
          <w:bCs w:val="0"/>
          <w:color w:val="auto"/>
          <w:kern w:val="0"/>
          <w:sz w:val="28"/>
          <w:szCs w:val="28"/>
        </w:rPr>
      </w:pPr>
      <w:bookmarkStart w:id="425" w:name="_Toc28708"/>
      <w:r>
        <w:rPr>
          <w:rFonts w:hint="eastAsia" w:ascii="宋体" w:hAnsi="宋体" w:eastAsia="宋体" w:cs="宋体"/>
          <w:b/>
          <w:bCs w:val="0"/>
          <w:color w:val="auto"/>
          <w:kern w:val="0"/>
          <w:sz w:val="28"/>
          <w:szCs w:val="28"/>
        </w:rPr>
        <w:t>第三章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评审办法（综合评估法）</w:t>
      </w:r>
      <w:bookmarkEnd w:id="419"/>
      <w:bookmarkEnd w:id="420"/>
      <w:bookmarkEnd w:id="421"/>
      <w:bookmarkEnd w:id="422"/>
      <w:bookmarkEnd w:id="423"/>
      <w:bookmarkEnd w:id="424"/>
      <w:bookmarkEnd w:id="425"/>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评审项</w:t>
            </w:r>
          </w:p>
        </w:tc>
        <w:tc>
          <w:tcPr>
            <w:tcW w:w="4261" w:type="dxa"/>
            <w:vAlign w:val="center"/>
          </w:tcPr>
          <w:p>
            <w:pPr>
              <w:jc w:val="center"/>
              <w:rPr>
                <w:b/>
                <w:color w:val="auto"/>
                <w:sz w:val="24"/>
              </w:rPr>
            </w:pPr>
            <w:r>
              <w:rPr>
                <w:rFonts w:hint="eastAsia"/>
                <w:b/>
                <w:color w:val="auto"/>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技术审查</w:t>
            </w:r>
          </w:p>
        </w:tc>
        <w:tc>
          <w:tcPr>
            <w:tcW w:w="4261" w:type="dxa"/>
            <w:vAlign w:val="center"/>
          </w:tcPr>
          <w:p>
            <w:pPr>
              <w:jc w:val="center"/>
              <w:rPr>
                <w:b/>
                <w:color w:val="auto"/>
                <w:sz w:val="24"/>
              </w:rPr>
            </w:pPr>
            <w:r>
              <w:rPr>
                <w:rFonts w:hint="eastAsia"/>
                <w:b/>
                <w:color w:val="auto"/>
                <w:sz w:val="24"/>
                <w:lang w:val="en-US" w:eastAsia="zh-CN"/>
              </w:rPr>
              <w:t>6</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商务审查</w:t>
            </w:r>
          </w:p>
        </w:tc>
        <w:tc>
          <w:tcPr>
            <w:tcW w:w="4261" w:type="dxa"/>
            <w:vAlign w:val="center"/>
          </w:tcPr>
          <w:p>
            <w:pPr>
              <w:jc w:val="center"/>
              <w:rPr>
                <w:b/>
                <w:color w:val="auto"/>
                <w:sz w:val="24"/>
              </w:rPr>
            </w:pPr>
            <w:r>
              <w:rPr>
                <w:rFonts w:hint="eastAsia"/>
                <w:b/>
                <w:color w:val="auto"/>
                <w:sz w:val="24"/>
                <w:lang w:val="en-US" w:eastAsia="zh-CN"/>
              </w:rPr>
              <w:t>2</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价格评审</w:t>
            </w:r>
          </w:p>
        </w:tc>
        <w:tc>
          <w:tcPr>
            <w:tcW w:w="4261" w:type="dxa"/>
            <w:vAlign w:val="center"/>
          </w:tcPr>
          <w:p>
            <w:pPr>
              <w:jc w:val="center"/>
              <w:rPr>
                <w:b/>
                <w:color w:val="auto"/>
                <w:sz w:val="24"/>
              </w:rPr>
            </w:pPr>
            <w:r>
              <w:rPr>
                <w:rFonts w:hint="eastAsia"/>
                <w:b/>
                <w:color w:val="auto"/>
                <w:sz w:val="24"/>
                <w:lang w:val="en-US" w:eastAsia="zh-CN"/>
              </w:rPr>
              <w:t>2</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总和</w:t>
            </w:r>
          </w:p>
        </w:tc>
        <w:tc>
          <w:tcPr>
            <w:tcW w:w="4261" w:type="dxa"/>
            <w:vAlign w:val="center"/>
          </w:tcPr>
          <w:p>
            <w:pPr>
              <w:jc w:val="center"/>
              <w:rPr>
                <w:b/>
                <w:color w:val="auto"/>
                <w:sz w:val="24"/>
              </w:rPr>
            </w:pPr>
            <w:r>
              <w:rPr>
                <w:b/>
                <w:color w:val="auto"/>
                <w:sz w:val="24"/>
              </w:rPr>
              <w:t>100</w:t>
            </w:r>
          </w:p>
        </w:tc>
      </w:tr>
    </w:tbl>
    <w:p>
      <w:pPr>
        <w:rPr>
          <w:color w:val="auto"/>
        </w:rPr>
      </w:pPr>
    </w:p>
    <w:p>
      <w:pPr>
        <w:pStyle w:val="5"/>
        <w:snapToGrid w:val="0"/>
        <w:spacing w:before="240" w:after="120" w:line="240" w:lineRule="auto"/>
        <w:jc w:val="center"/>
        <w:rPr>
          <w:rFonts w:ascii="宋体" w:hAnsi="宋体" w:eastAsia="宋体" w:cs="宋体"/>
          <w:bCs w:val="0"/>
          <w:color w:val="auto"/>
          <w:sz w:val="21"/>
          <w:szCs w:val="24"/>
        </w:rPr>
      </w:pPr>
      <w:bookmarkStart w:id="426" w:name="_Toc23646"/>
      <w:bookmarkStart w:id="427" w:name="_Toc11520"/>
      <w:bookmarkStart w:id="428" w:name="_Toc8100"/>
      <w:bookmarkStart w:id="429" w:name="_Toc56432214"/>
      <w:bookmarkStart w:id="430" w:name="_Toc11340"/>
      <w:bookmarkStart w:id="431" w:name="_Toc226969316"/>
      <w:bookmarkStart w:id="432" w:name="_Toc107822520"/>
      <w:bookmarkStart w:id="433" w:name="_Toc447265562"/>
      <w:bookmarkStart w:id="434" w:name="_Toc447265276"/>
      <w:bookmarkStart w:id="435" w:name="_Toc227057922"/>
      <w:r>
        <w:rPr>
          <w:rFonts w:hint="eastAsia" w:ascii="宋体" w:hAnsi="宋体" w:eastAsia="宋体" w:cs="宋体"/>
          <w:bCs w:val="0"/>
          <w:color w:val="auto"/>
          <w:sz w:val="21"/>
          <w:szCs w:val="24"/>
        </w:rPr>
        <w:t>评审办法前附表</w:t>
      </w:r>
      <w:bookmarkEnd w:id="426"/>
      <w:bookmarkEnd w:id="427"/>
      <w:bookmarkEnd w:id="428"/>
      <w:bookmarkEnd w:id="429"/>
      <w:bookmarkEnd w:id="430"/>
    </w:p>
    <w:p>
      <w:pPr>
        <w:pStyle w:val="5"/>
        <w:rPr>
          <w:rFonts w:asciiTheme="minorEastAsia" w:hAnsiTheme="minorEastAsia" w:eastAsiaTheme="minorEastAsia"/>
          <w:b w:val="0"/>
          <w:color w:val="auto"/>
          <w:sz w:val="24"/>
        </w:rPr>
      </w:pPr>
      <w:bookmarkStart w:id="436" w:name="_Toc24697"/>
      <w:bookmarkStart w:id="437" w:name="_Toc31133"/>
      <w:bookmarkStart w:id="438" w:name="_Toc19724"/>
      <w:bookmarkStart w:id="439" w:name="_Toc56432215"/>
      <w:bookmarkStart w:id="440" w:name="_Toc21818"/>
      <w:r>
        <w:rPr>
          <w:rFonts w:asciiTheme="minorEastAsia" w:hAnsiTheme="minorEastAsia" w:eastAsiaTheme="minorEastAsia"/>
          <w:b w:val="0"/>
          <w:color w:val="auto"/>
          <w:sz w:val="24"/>
        </w:rPr>
        <w:t>1、初步评审表</w:t>
      </w:r>
      <w:bookmarkEnd w:id="436"/>
      <w:bookmarkEnd w:id="437"/>
      <w:bookmarkEnd w:id="438"/>
      <w:bookmarkEnd w:id="439"/>
      <w:bookmarkEnd w:id="440"/>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color w:val="auto"/>
                <w:kern w:val="0"/>
                <w:szCs w:val="21"/>
              </w:rPr>
            </w:pPr>
            <w:r>
              <w:rPr>
                <w:rFonts w:hint="eastAsia" w:ascii="宋体" w:hAnsi="宋体" w:cs="宋体"/>
                <w:color w:val="auto"/>
                <w:szCs w:val="21"/>
              </w:rPr>
              <w:t>条款号</w:t>
            </w:r>
          </w:p>
        </w:tc>
        <w:tc>
          <w:tcPr>
            <w:tcW w:w="2199"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评审因素</w:t>
            </w:r>
          </w:p>
        </w:tc>
        <w:tc>
          <w:tcPr>
            <w:tcW w:w="4426"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restart"/>
            <w:vAlign w:val="center"/>
          </w:tcPr>
          <w:p>
            <w:pPr>
              <w:snapToGrid w:val="0"/>
              <w:jc w:val="center"/>
              <w:rPr>
                <w:rFonts w:ascii="宋体" w:hAnsi="宋体" w:cs="宋体"/>
                <w:color w:val="auto"/>
                <w:szCs w:val="21"/>
              </w:rPr>
            </w:pPr>
            <w:r>
              <w:rPr>
                <w:rFonts w:ascii="宋体" w:hAnsi="宋体" w:cs="宋体"/>
                <w:color w:val="auto"/>
                <w:szCs w:val="21"/>
              </w:rPr>
              <w:t>2.1</w:t>
            </w:r>
            <w:r>
              <w:rPr>
                <w:rFonts w:hint="eastAsia" w:ascii="宋体" w:hAnsi="宋体"/>
                <w:color w:val="auto"/>
                <w:szCs w:val="21"/>
              </w:rPr>
              <w:t>初步评审</w:t>
            </w:r>
          </w:p>
        </w:tc>
        <w:tc>
          <w:tcPr>
            <w:tcW w:w="1099" w:type="dxa"/>
            <w:vMerge w:val="restart"/>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形式评审</w:t>
            </w: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投标人名称</w:t>
            </w:r>
          </w:p>
        </w:tc>
        <w:tc>
          <w:tcPr>
            <w:tcW w:w="4426" w:type="dxa"/>
            <w:vAlign w:val="center"/>
          </w:tcPr>
          <w:p>
            <w:pPr>
              <w:jc w:val="left"/>
              <w:rPr>
                <w:rFonts w:ascii="宋体" w:hAnsi="宋体"/>
                <w:color w:val="auto"/>
                <w:szCs w:val="21"/>
              </w:rPr>
            </w:pPr>
            <w:r>
              <w:rPr>
                <w:rFonts w:hint="eastAsia" w:ascii="宋体" w:hAnsi="宋体"/>
                <w:color w:val="auto"/>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法人代表证明书及法人授权书</w:t>
            </w:r>
          </w:p>
        </w:tc>
        <w:tc>
          <w:tcPr>
            <w:tcW w:w="4426" w:type="dxa"/>
            <w:vAlign w:val="center"/>
          </w:tcPr>
          <w:p>
            <w:pPr>
              <w:jc w:val="left"/>
              <w:rPr>
                <w:rFonts w:ascii="宋体" w:hAnsi="宋体"/>
                <w:color w:val="auto"/>
                <w:szCs w:val="21"/>
              </w:rPr>
            </w:pPr>
            <w:r>
              <w:rPr>
                <w:rFonts w:hint="eastAsia" w:ascii="宋体" w:hAnsi="宋体"/>
                <w:color w:val="auto"/>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投标报价</w:t>
            </w:r>
          </w:p>
        </w:tc>
        <w:tc>
          <w:tcPr>
            <w:tcW w:w="4426" w:type="dxa"/>
            <w:vAlign w:val="center"/>
          </w:tcPr>
          <w:p>
            <w:pPr>
              <w:jc w:val="left"/>
              <w:rPr>
                <w:rFonts w:ascii="宋体" w:hAnsi="宋体"/>
                <w:color w:val="auto"/>
                <w:szCs w:val="21"/>
              </w:rPr>
            </w:pPr>
            <w:r>
              <w:rPr>
                <w:rFonts w:hint="eastAsia"/>
                <w:color w:val="auto"/>
                <w:szCs w:val="21"/>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投标保证金</w:t>
            </w:r>
          </w:p>
        </w:tc>
        <w:tc>
          <w:tcPr>
            <w:tcW w:w="4426" w:type="dxa"/>
            <w:vAlign w:val="center"/>
          </w:tcPr>
          <w:p>
            <w:pPr>
              <w:jc w:val="left"/>
              <w:rPr>
                <w:rFonts w:ascii="宋体" w:hAnsi="宋体"/>
                <w:color w:val="auto"/>
                <w:szCs w:val="21"/>
              </w:rPr>
            </w:pPr>
            <w:r>
              <w:rPr>
                <w:rFonts w:hint="eastAsia"/>
                <w:color w:val="auto"/>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商务合同条款偏离表</w:t>
            </w:r>
          </w:p>
        </w:tc>
        <w:tc>
          <w:tcPr>
            <w:tcW w:w="4426" w:type="dxa"/>
            <w:vAlign w:val="center"/>
          </w:tcPr>
          <w:p>
            <w:pPr>
              <w:jc w:val="left"/>
              <w:rPr>
                <w:rFonts w:ascii="宋体" w:hAnsi="宋体"/>
                <w:color w:val="auto"/>
                <w:szCs w:val="21"/>
              </w:rPr>
            </w:pPr>
            <w:r>
              <w:rPr>
                <w:rFonts w:hint="eastAsia" w:ascii="宋体" w:hAnsi="宋体"/>
                <w:color w:val="auto"/>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采购需求条款偏离表</w:t>
            </w:r>
          </w:p>
        </w:tc>
        <w:tc>
          <w:tcPr>
            <w:tcW w:w="4426" w:type="dxa"/>
            <w:vAlign w:val="center"/>
          </w:tcPr>
          <w:p>
            <w:pPr>
              <w:jc w:val="left"/>
              <w:rPr>
                <w:rFonts w:ascii="宋体" w:hAnsi="宋体"/>
                <w:color w:val="auto"/>
                <w:szCs w:val="21"/>
              </w:rPr>
            </w:pPr>
            <w:r>
              <w:rPr>
                <w:rFonts w:hint="eastAsia" w:ascii="宋体" w:hAnsi="宋体"/>
                <w:color w:val="auto"/>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投标文件的签署和盖章</w:t>
            </w:r>
          </w:p>
        </w:tc>
        <w:tc>
          <w:tcPr>
            <w:tcW w:w="4426" w:type="dxa"/>
            <w:vAlign w:val="center"/>
          </w:tcPr>
          <w:p>
            <w:pPr>
              <w:jc w:val="left"/>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jc w:val="left"/>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jc w:val="left"/>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jc w:val="left"/>
              <w:rPr>
                <w:rFonts w:ascii="宋体" w:hAnsi="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资格评审</w:t>
            </w:r>
          </w:p>
        </w:tc>
        <w:tc>
          <w:tcPr>
            <w:tcW w:w="2199" w:type="dxa"/>
            <w:vAlign w:val="center"/>
          </w:tcPr>
          <w:p>
            <w:pPr>
              <w:snapToGrid w:val="0"/>
              <w:jc w:val="center"/>
              <w:rPr>
                <w:rFonts w:ascii="宋体" w:hAnsi="宋体" w:cs="宋体"/>
                <w:color w:val="auto"/>
                <w:szCs w:val="21"/>
              </w:rPr>
            </w:pPr>
            <w:r>
              <w:rPr>
                <w:rFonts w:hint="eastAsia" w:ascii="宋体" w:hAnsi="宋体"/>
                <w:color w:val="auto"/>
                <w:szCs w:val="21"/>
              </w:rPr>
              <w:t>资格要求</w:t>
            </w:r>
          </w:p>
        </w:tc>
        <w:tc>
          <w:tcPr>
            <w:tcW w:w="4426" w:type="dxa"/>
            <w:vAlign w:val="center"/>
          </w:tcPr>
          <w:p>
            <w:pPr>
              <w:snapToGrid w:val="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1.</w:t>
            </w:r>
            <w:r>
              <w:rPr>
                <w:rFonts w:hint="eastAsia" w:ascii="宋体" w:hAnsi="宋体" w:cs="宋体"/>
                <w:color w:val="auto"/>
                <w:szCs w:val="21"/>
              </w:rPr>
              <w:t>投标人须在中华人民共和国境内注册的具有独立承担民事责任能力的法人或其他组织，提供营业执照或事业法人证书（分公司投标须得到总公司授权，同时提供总公司营业执照及盖章授权函）；</w:t>
            </w:r>
          </w:p>
          <w:p>
            <w:pPr>
              <w:snapToGrid w:val="0"/>
              <w:jc w:val="left"/>
              <w:rPr>
                <w:rFonts w:hint="eastAsia" w:ascii="宋体" w:hAnsi="宋体" w:eastAsia="宋体" w:cs="宋体"/>
                <w:color w:val="auto"/>
                <w:szCs w:val="21"/>
                <w:lang w:eastAsia="zh-CN"/>
              </w:rPr>
            </w:pPr>
            <w:r>
              <w:rPr>
                <w:rFonts w:hint="eastAsia" w:ascii="宋体" w:hAnsi="宋体" w:cs="宋体"/>
                <w:color w:val="auto"/>
                <w:szCs w:val="21"/>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p>
          <w:p>
            <w:pPr>
              <w:snapToGrid w:val="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3.</w:t>
            </w:r>
            <w:r>
              <w:rPr>
                <w:rFonts w:hint="eastAsia" w:ascii="宋体" w:hAnsi="宋体" w:cs="宋体"/>
                <w:color w:val="auto"/>
                <w:szCs w:val="21"/>
              </w:rPr>
              <w:t>单位负责人为同一人或者存在直接控股、管理关系的不同</w:t>
            </w:r>
            <w:r>
              <w:rPr>
                <w:rFonts w:hint="eastAsia" w:ascii="宋体" w:hAnsi="宋体"/>
                <w:color w:val="auto"/>
                <w:szCs w:val="21"/>
                <w:lang w:val="en-US" w:eastAsia="zh-CN"/>
              </w:rPr>
              <w:t>投标人</w:t>
            </w:r>
            <w:r>
              <w:rPr>
                <w:rFonts w:hint="eastAsia" w:ascii="宋体" w:hAnsi="宋体" w:cs="宋体"/>
                <w:color w:val="auto"/>
                <w:szCs w:val="21"/>
              </w:rPr>
              <w:t>，不得参加同一标段投标或者未划分标段的同一招标项目投标，以《投标人控股及管理关系情况申报表》填报的内容进行评审；</w:t>
            </w:r>
          </w:p>
          <w:p>
            <w:pPr>
              <w:snapToGrid w:val="0"/>
              <w:jc w:val="left"/>
              <w:rPr>
                <w:rFonts w:hint="eastAsia" w:ascii="宋体" w:hAnsi="宋体" w:eastAsia="宋体" w:cs="宋体"/>
                <w:color w:val="auto"/>
                <w:szCs w:val="21"/>
                <w:lang w:eastAsia="zh-CN"/>
              </w:rPr>
            </w:pPr>
            <w:r>
              <w:rPr>
                <w:rFonts w:hint="eastAsia" w:ascii="宋体" w:hAnsi="宋体" w:cs="宋体"/>
                <w:color w:val="auto"/>
                <w:szCs w:val="21"/>
                <w:lang w:val="en-US" w:eastAsia="zh-CN"/>
              </w:rPr>
              <w:t>4.</w:t>
            </w:r>
            <w:r>
              <w:rPr>
                <w:rFonts w:hint="eastAsia" w:ascii="宋体" w:hAnsi="宋体" w:cs="宋体"/>
                <w:color w:val="auto"/>
                <w:szCs w:val="21"/>
              </w:rPr>
              <w:t>本</w:t>
            </w:r>
            <w:r>
              <w:rPr>
                <w:rFonts w:hint="eastAsia" w:ascii="宋体" w:hAnsi="宋体" w:cs="宋体"/>
                <w:color w:val="auto"/>
                <w:szCs w:val="21"/>
                <w:lang w:val="en-US" w:eastAsia="zh-CN"/>
              </w:rPr>
              <w:t>项目</w:t>
            </w:r>
            <w:r>
              <w:rPr>
                <w:rFonts w:hint="eastAsia" w:ascii="宋体" w:hAnsi="宋体" w:cs="宋体"/>
                <w:color w:val="auto"/>
                <w:szCs w:val="21"/>
              </w:rPr>
              <w:t>不接受联合体投标，不允许转包、违法分包。</w:t>
            </w:r>
          </w:p>
        </w:tc>
      </w:tr>
    </w:tbl>
    <w:p>
      <w:pPr>
        <w:widowControl/>
        <w:jc w:val="left"/>
        <w:rPr>
          <w:rFonts w:ascii="宋体" w:hAnsi="宋体" w:cs="宋体"/>
          <w:color w:val="auto"/>
          <w:szCs w:val="21"/>
        </w:rPr>
      </w:pPr>
    </w:p>
    <w:p>
      <w:pPr>
        <w:widowControl/>
        <w:jc w:val="left"/>
        <w:rPr>
          <w:rFonts w:ascii="宋体" w:hAnsi="宋体" w:cs="宋体"/>
          <w:color w:val="auto"/>
          <w:sz w:val="28"/>
          <w:szCs w:val="28"/>
        </w:rPr>
      </w:pPr>
      <w:r>
        <w:rPr>
          <w:rFonts w:ascii="宋体" w:hAnsi="宋体" w:cs="宋体"/>
          <w:color w:val="auto"/>
          <w:sz w:val="28"/>
          <w:szCs w:val="28"/>
        </w:rPr>
        <w:br w:type="page"/>
      </w:r>
    </w:p>
    <w:p>
      <w:pPr>
        <w:pStyle w:val="5"/>
        <w:numPr>
          <w:ilvl w:val="0"/>
          <w:numId w:val="5"/>
        </w:numPr>
        <w:ind w:left="360" w:leftChars="0" w:hanging="360" w:firstLineChars="0"/>
        <w:rPr>
          <w:rFonts w:asciiTheme="minorEastAsia" w:hAnsiTheme="minorEastAsia" w:eastAsiaTheme="minorEastAsia"/>
          <w:b w:val="0"/>
          <w:color w:val="auto"/>
          <w:sz w:val="24"/>
        </w:rPr>
      </w:pPr>
      <w:bookmarkStart w:id="441" w:name="_Toc4310"/>
      <w:bookmarkStart w:id="442" w:name="_Toc30857"/>
      <w:bookmarkStart w:id="443" w:name="_Toc10134"/>
      <w:bookmarkStart w:id="444" w:name="_Toc19981"/>
      <w:bookmarkStart w:id="445" w:name="_Toc59548356"/>
      <w:r>
        <w:rPr>
          <w:rFonts w:asciiTheme="minorEastAsia" w:hAnsiTheme="minorEastAsia" w:eastAsiaTheme="minorEastAsia"/>
          <w:b w:val="0"/>
          <w:color w:val="auto"/>
          <w:sz w:val="24"/>
        </w:rPr>
        <w:t>技术评分表</w:t>
      </w:r>
      <w:bookmarkEnd w:id="441"/>
      <w:bookmarkEnd w:id="442"/>
      <w:bookmarkEnd w:id="443"/>
      <w:bookmarkEnd w:id="444"/>
      <w:bookmarkEnd w:id="445"/>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bookmarkStart w:id="446" w:name="_Toc13831"/>
            <w:bookmarkStart w:id="447" w:name="_Toc28311"/>
            <w:bookmarkStart w:id="448" w:name="_Toc59548357"/>
            <w:bookmarkStart w:id="449" w:name="_Toc2592"/>
            <w:bookmarkStart w:id="450" w:name="_Toc56432217"/>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6</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w:t>
            </w:r>
            <w:r>
              <w:rPr>
                <w:rFonts w:hint="eastAsia"/>
                <w:color w:val="auto"/>
                <w:lang w:val="en-US" w:eastAsia="zh-CN"/>
              </w:rPr>
              <w:t>招标人</w:t>
            </w:r>
            <w:r>
              <w:rPr>
                <w:rFonts w:hint="eastAsia"/>
                <w:color w:val="000000"/>
                <w:spacing w:val="0"/>
                <w:w w:val="100"/>
                <w:position w:val="0"/>
                <w:lang w:eastAsia="zh-CN"/>
              </w:rPr>
              <w:t>广告系统现状及</w:t>
            </w:r>
            <w:r>
              <w:rPr>
                <w:rFonts w:hint="eastAsia"/>
                <w:color w:val="000000"/>
                <w:spacing w:val="0"/>
                <w:w w:val="100"/>
                <w:position w:val="0"/>
                <w:lang w:val="en-US" w:eastAsia="zh-CN"/>
              </w:rPr>
              <w:t>本期项目</w:t>
            </w:r>
            <w:r>
              <w:rPr>
                <w:rFonts w:hint="eastAsia"/>
                <w:color w:val="000000"/>
                <w:spacing w:val="0"/>
                <w:w w:val="100"/>
                <w:position w:val="0"/>
                <w:lang w:eastAsia="zh-CN"/>
              </w:rPr>
              <w:t>需求理解</w:t>
            </w:r>
            <w:r>
              <w:rPr>
                <w:rFonts w:hint="eastAsia"/>
                <w:color w:val="auto"/>
              </w:rPr>
              <w:t>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widowControl/>
              <w:jc w:val="left"/>
              <w:rPr>
                <w:rFonts w:hint="default" w:ascii="宋体" w:hAnsi="宋体" w:eastAsia="宋体" w:cs="宋体"/>
                <w:color w:val="auto"/>
                <w:kern w:val="2"/>
                <w:sz w:val="21"/>
                <w:szCs w:val="21"/>
                <w:lang w:val="en-US" w:eastAsia="zh-CN"/>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25</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sz w:val="21"/>
                <w:szCs w:val="21"/>
              </w:rPr>
              <w:t>为使项目按质、按量、按时及有序实施，投标人应建立完善、稳定的项目</w:t>
            </w:r>
            <w:r>
              <w:rPr>
                <w:rFonts w:hint="eastAsia" w:ascii="宋体" w:hAnsi="宋体" w:eastAsia="宋体" w:cs="宋体"/>
                <w:sz w:val="21"/>
                <w:szCs w:val="21"/>
                <w:lang w:val="en-US" w:eastAsia="zh-CN"/>
              </w:rPr>
              <w:t>实施方案，</w:t>
            </w:r>
            <w:r>
              <w:rPr>
                <w:rFonts w:hint="eastAsia" w:ascii="宋体" w:hAnsi="宋体" w:eastAsia="宋体" w:cs="宋体"/>
                <w:sz w:val="21"/>
                <w:szCs w:val="21"/>
              </w:rPr>
              <w:t>根据投标人针对本项目拟定项目</w:t>
            </w:r>
            <w:r>
              <w:rPr>
                <w:rFonts w:hint="eastAsia" w:ascii="宋体" w:hAnsi="宋体" w:eastAsia="宋体" w:cs="宋体"/>
                <w:sz w:val="21"/>
                <w:szCs w:val="21"/>
                <w:lang w:val="en-US" w:eastAsia="zh-CN"/>
              </w:rPr>
              <w:t>整体实施方案（包含但不限于系统技术设计、系统开发、软件试运行方案、时间进度计划、验收方案等</w:t>
            </w:r>
            <w:r>
              <w:rPr>
                <w:rFonts w:hint="eastAsia" w:ascii="宋体" w:hAnsi="宋体" w:eastAsia="宋体" w:cs="宋体"/>
                <w:sz w:val="21"/>
                <w:szCs w:val="21"/>
              </w:rPr>
              <w:t>），对项目</w:t>
            </w:r>
            <w:r>
              <w:rPr>
                <w:rFonts w:hint="eastAsia" w:ascii="宋体" w:hAnsi="宋体" w:eastAsia="宋体" w:cs="宋体"/>
                <w:sz w:val="21"/>
                <w:szCs w:val="21"/>
                <w:lang w:val="en-US" w:eastAsia="zh-CN"/>
              </w:rPr>
              <w:t>整体实施方案</w:t>
            </w:r>
            <w:r>
              <w:rPr>
                <w:rFonts w:hint="eastAsia" w:ascii="宋体" w:hAnsi="宋体" w:eastAsia="宋体" w:cs="宋体"/>
                <w:sz w:val="21"/>
                <w:szCs w:val="21"/>
              </w:rPr>
              <w:t>完善性、合理性及可行性进行评审</w:t>
            </w:r>
            <w:r>
              <w:rPr>
                <w:rFonts w:hint="eastAsia" w:ascii="宋体" w:hAnsi="宋体" w:eastAsia="宋体" w:cs="宋体"/>
                <w:color w:val="auto"/>
                <w:kern w:val="2"/>
                <w:sz w:val="21"/>
                <w:szCs w:val="21"/>
                <w:lang w:val="en-US" w:eastAsia="zh-CN"/>
              </w:rPr>
              <w:t>：</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w:t>
            </w:r>
            <w:r>
              <w:t>整体实施方案可行性、针对性强，设置科学，与项目实际情况结合程度高</w:t>
            </w:r>
            <w:r>
              <w:rPr>
                <w:rFonts w:hint="eastAsia" w:ascii="宋体" w:hAnsi="宋体" w:eastAsia="宋体" w:cs="宋体"/>
                <w:color w:val="auto"/>
                <w:kern w:val="2"/>
                <w:sz w:val="21"/>
                <w:szCs w:val="21"/>
                <w:lang w:val="en-US" w:eastAsia="zh-CN"/>
              </w:rPr>
              <w:t>，得2</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t>整体实施方案可行性、针对性</w:t>
            </w:r>
            <w:r>
              <w:rPr>
                <w:rFonts w:hint="eastAsia"/>
                <w:lang w:val="en-US" w:eastAsia="zh-CN"/>
              </w:rPr>
              <w:t>较</w:t>
            </w:r>
            <w:r>
              <w:t>强，设置</w:t>
            </w:r>
            <w:r>
              <w:rPr>
                <w:rFonts w:hint="eastAsia"/>
                <w:lang w:val="en-US" w:eastAsia="zh-CN"/>
              </w:rPr>
              <w:t>比较</w:t>
            </w:r>
            <w:r>
              <w:t>科学，与项目实际情况结合程度</w:t>
            </w:r>
            <w:r>
              <w:rPr>
                <w:rFonts w:hint="eastAsia"/>
                <w:lang w:val="en-US" w:eastAsia="zh-CN"/>
              </w:rPr>
              <w:t>较好</w:t>
            </w:r>
            <w:r>
              <w:rPr>
                <w:rFonts w:hint="eastAsia" w:ascii="宋体" w:hAnsi="宋体" w:eastAsia="宋体" w:cs="宋体"/>
                <w:color w:val="auto"/>
                <w:kern w:val="2"/>
                <w:sz w:val="21"/>
                <w:szCs w:val="21"/>
                <w:lang w:val="en-US" w:eastAsia="zh-CN"/>
              </w:rPr>
              <w:t>，得</w:t>
            </w:r>
            <w:r>
              <w:rPr>
                <w:rFonts w:hint="eastAsia" w:ascii="宋体" w:hAnsi="宋体" w:cs="宋体"/>
                <w:color w:val="auto"/>
                <w:kern w:val="2"/>
                <w:sz w:val="21"/>
                <w:szCs w:val="21"/>
                <w:lang w:val="en-US" w:eastAsia="zh-CN"/>
              </w:rPr>
              <w:t>18</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t>整体实施方案可行性、针对性</w:t>
            </w:r>
            <w:r>
              <w:rPr>
                <w:rFonts w:hint="eastAsia"/>
                <w:lang w:val="en-US" w:eastAsia="zh-CN"/>
              </w:rPr>
              <w:t>一般</w:t>
            </w:r>
            <w:r>
              <w:t>，设置科学</w:t>
            </w:r>
            <w:r>
              <w:rPr>
                <w:rFonts w:hint="eastAsia"/>
                <w:lang w:val="en-US" w:eastAsia="zh-CN"/>
              </w:rPr>
              <w:t>性一般</w:t>
            </w:r>
            <w:r>
              <w:t>，与项目实际情况结合程度</w:t>
            </w:r>
            <w:r>
              <w:rPr>
                <w:rFonts w:hint="eastAsia"/>
                <w:lang w:val="en-US" w:eastAsia="zh-CN"/>
              </w:rPr>
              <w:t>一般</w:t>
            </w:r>
            <w:r>
              <w:rPr>
                <w:rFonts w:hint="eastAsia" w:ascii="宋体" w:hAnsi="宋体" w:eastAsia="宋体" w:cs="宋体"/>
                <w:color w:val="auto"/>
                <w:kern w:val="2"/>
                <w:sz w:val="21"/>
                <w:szCs w:val="21"/>
                <w:lang w:val="en-US" w:eastAsia="zh-CN"/>
              </w:rPr>
              <w:t>，得</w:t>
            </w:r>
            <w:r>
              <w:rPr>
                <w:rFonts w:hint="eastAsia" w:ascii="宋体" w:hAnsi="宋体" w:cs="宋体"/>
                <w:color w:val="auto"/>
                <w:kern w:val="2"/>
                <w:sz w:val="21"/>
                <w:szCs w:val="21"/>
                <w:lang w:val="en-US" w:eastAsia="zh-CN"/>
              </w:rPr>
              <w:t>12</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6</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lang w:val="en-US" w:eastAsia="zh-CN"/>
              </w:rPr>
            </w:pPr>
            <w:r>
              <w:t>历史数据资料迁移方案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pPr>
            <w:r>
              <w:t>根据投标人对</w:t>
            </w:r>
            <w:r>
              <w:rPr>
                <w:rFonts w:hint="eastAsia"/>
                <w:lang w:val="en-US" w:eastAsia="zh-CN"/>
              </w:rPr>
              <w:t>招标</w:t>
            </w:r>
            <w:r>
              <w:t xml:space="preserve">人现有系统中历史数据资料迁移至新系统迁移方案（包括数据迁移策略、方法、步骤，数据迁移后续的处理、数据迁移过程的风险控制措施等）进行评分： </w:t>
            </w:r>
          </w:p>
          <w:p>
            <w:pPr>
              <w:widowControl/>
              <w:numPr>
                <w:ilvl w:val="0"/>
                <w:numId w:val="0"/>
              </w:numPr>
              <w:jc w:val="left"/>
            </w:pPr>
            <w:r>
              <w:rPr>
                <w:rFonts w:hint="eastAsia"/>
                <w:lang w:val="en-US" w:eastAsia="zh-CN"/>
              </w:rPr>
              <w:t>1.</w:t>
            </w:r>
            <w:r>
              <w:t>数据迁移策略、方法、步骤的风险和难点方案合理可行，数据迁移处理、风险控制措施合理有效、应对措施和预案性强，完全符合采购人要求得10分；</w:t>
            </w:r>
          </w:p>
          <w:p>
            <w:pPr>
              <w:widowControl/>
              <w:numPr>
                <w:ilvl w:val="0"/>
                <w:numId w:val="0"/>
              </w:numPr>
              <w:jc w:val="left"/>
              <w:rPr>
                <w:rFonts w:hint="eastAsia" w:ascii="宋体" w:hAnsi="宋体" w:cs="宋体"/>
                <w:color w:val="auto"/>
                <w:kern w:val="2"/>
                <w:sz w:val="21"/>
                <w:szCs w:val="21"/>
                <w:lang w:val="en-US" w:eastAsia="zh-CN"/>
              </w:rPr>
            </w:pPr>
            <w:r>
              <w:rPr>
                <w:rFonts w:hint="eastAsia"/>
                <w:lang w:val="en-US" w:eastAsia="zh-CN"/>
              </w:rPr>
              <w:t>2.</w:t>
            </w:r>
            <w:r>
              <w:t>数据迁移策略、方法、步骤的风险和难点方案较合理可行，数据迁移处理、风险控制措施基本合理、应对措施和预案性较好，符合采购人要求得6分；</w:t>
            </w:r>
          </w:p>
          <w:p>
            <w:pPr>
              <w:widowControl/>
              <w:numPr>
                <w:ilvl w:val="0"/>
                <w:numId w:val="0"/>
              </w:numPr>
              <w:jc w:val="left"/>
              <w:rPr>
                <w:rFonts w:hint="eastAsia" w:ascii="宋体" w:hAnsi="宋体" w:cs="宋体"/>
                <w:color w:val="auto"/>
                <w:kern w:val="2"/>
                <w:sz w:val="21"/>
                <w:szCs w:val="21"/>
                <w:lang w:val="en-US" w:eastAsia="zh-CN"/>
              </w:rPr>
            </w:pPr>
            <w:r>
              <w:rPr>
                <w:rFonts w:hint="eastAsia"/>
                <w:lang w:val="en-US" w:eastAsia="zh-CN"/>
              </w:rPr>
              <w:t>3.</w:t>
            </w:r>
            <w:r>
              <w:t>数据迁移策略、方法、步骤的风险和难点方案欠缺，数据迁移处理、风险控制措施合理性、应对措施和预案性不准确，不符合采购人要求得2分；</w:t>
            </w:r>
          </w:p>
          <w:p>
            <w:pPr>
              <w:widowControl/>
              <w:numPr>
                <w:ilvl w:val="0"/>
                <w:numId w:val="0"/>
              </w:numPr>
              <w:jc w:val="left"/>
              <w:rPr>
                <w:rFonts w:hint="eastAsia" w:ascii="宋体" w:hAnsi="宋体" w:cs="宋体"/>
                <w:color w:val="auto"/>
                <w:kern w:val="2"/>
                <w:sz w:val="21"/>
                <w:szCs w:val="21"/>
                <w:lang w:val="en-US" w:eastAsia="zh-CN"/>
              </w:rPr>
            </w:pPr>
            <w:r>
              <w:rPr>
                <w:rFonts w:hint="eastAsia"/>
                <w:lang w:val="en-US" w:eastAsia="zh-CN"/>
              </w:rPr>
              <w:t>4.</w:t>
            </w:r>
            <w:r>
              <w:t>未提供历史数据资料迁移方案不得分。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eastAsia="宋体"/>
                <w:lang w:val="en-US" w:eastAsia="zh-CN"/>
              </w:rPr>
            </w:pPr>
            <w:r>
              <w:rPr>
                <w:rFonts w:hint="eastAsia"/>
                <w:lang w:val="en-US" w:eastAsia="zh-CN"/>
              </w:rPr>
              <w:t>系统集成服务方案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8</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pPr>
            <w:r>
              <w:t>根据投标人</w:t>
            </w:r>
            <w:r>
              <w:rPr>
                <w:rFonts w:hint="eastAsia"/>
                <w:lang w:val="en-US" w:eastAsia="zh-CN"/>
              </w:rPr>
              <w:t>针对实现招标</w:t>
            </w:r>
            <w:r>
              <w:t>人</w:t>
            </w:r>
            <w:r>
              <w:rPr>
                <w:rFonts w:hint="eastAsia"/>
                <w:lang w:val="en-US" w:eastAsia="zh-CN"/>
              </w:rPr>
              <w:t>本期项目系统集成需求的技术实施方案</w:t>
            </w:r>
            <w:r>
              <w:t xml:space="preserve">（包括策略、方法、步骤，风险控制措施等）进行评分： </w:t>
            </w:r>
          </w:p>
          <w:p>
            <w:pPr>
              <w:widowControl/>
              <w:numPr>
                <w:ilvl w:val="0"/>
                <w:numId w:val="0"/>
              </w:numPr>
              <w:jc w:val="left"/>
            </w:pPr>
            <w:r>
              <w:rPr>
                <w:rFonts w:hint="eastAsia"/>
                <w:lang w:val="en-US" w:eastAsia="zh-CN"/>
              </w:rPr>
              <w:t>1.</w:t>
            </w:r>
            <w:r>
              <w:t>方案合理可行、应对措施和预案性强，完全符合采购人要求得</w:t>
            </w:r>
            <w:r>
              <w:rPr>
                <w:rFonts w:hint="eastAsia"/>
                <w:lang w:val="en-US" w:eastAsia="zh-CN"/>
              </w:rPr>
              <w:t>8</w:t>
            </w:r>
            <w:r>
              <w:t>分；</w:t>
            </w:r>
          </w:p>
          <w:p>
            <w:pPr>
              <w:widowControl/>
              <w:numPr>
                <w:ilvl w:val="0"/>
                <w:numId w:val="0"/>
              </w:numPr>
              <w:jc w:val="left"/>
              <w:rPr>
                <w:rFonts w:hint="eastAsia" w:ascii="宋体" w:hAnsi="宋体" w:cs="宋体"/>
                <w:color w:val="auto"/>
                <w:kern w:val="2"/>
                <w:sz w:val="21"/>
                <w:szCs w:val="21"/>
                <w:lang w:val="en-US" w:eastAsia="zh-CN"/>
              </w:rPr>
            </w:pPr>
            <w:r>
              <w:rPr>
                <w:rFonts w:hint="eastAsia"/>
                <w:lang w:val="en-US" w:eastAsia="zh-CN"/>
              </w:rPr>
              <w:t>2.</w:t>
            </w:r>
            <w:r>
              <w:t>方案较合理可行，应对措施和预案性较好，符合采购人要求得</w:t>
            </w:r>
            <w:r>
              <w:rPr>
                <w:rFonts w:hint="eastAsia"/>
                <w:lang w:val="en-US" w:eastAsia="zh-CN"/>
              </w:rPr>
              <w:t>5</w:t>
            </w:r>
            <w:r>
              <w:t>分；</w:t>
            </w:r>
          </w:p>
          <w:p>
            <w:pPr>
              <w:widowControl/>
              <w:numPr>
                <w:ilvl w:val="0"/>
                <w:numId w:val="0"/>
              </w:numPr>
              <w:jc w:val="left"/>
              <w:rPr>
                <w:rFonts w:hint="eastAsia" w:ascii="宋体" w:hAnsi="宋体" w:cs="宋体"/>
                <w:color w:val="auto"/>
                <w:kern w:val="2"/>
                <w:sz w:val="21"/>
                <w:szCs w:val="21"/>
                <w:lang w:val="en-US" w:eastAsia="zh-CN"/>
              </w:rPr>
            </w:pPr>
            <w:r>
              <w:rPr>
                <w:rFonts w:hint="eastAsia"/>
                <w:lang w:val="en-US" w:eastAsia="zh-CN"/>
              </w:rPr>
              <w:t>3.</w:t>
            </w:r>
            <w:r>
              <w:t>方案欠缺，应对措施和预案性不准确，不符合采购人要求得2分；</w:t>
            </w:r>
          </w:p>
          <w:p>
            <w:pPr>
              <w:widowControl/>
              <w:numPr>
                <w:ilvl w:val="0"/>
                <w:numId w:val="0"/>
              </w:numPr>
              <w:jc w:val="left"/>
              <w:rPr>
                <w:rFonts w:hint="eastAsia"/>
                <w:lang w:val="en-US" w:eastAsia="zh-CN"/>
              </w:rPr>
            </w:pPr>
            <w:r>
              <w:rPr>
                <w:rFonts w:hint="eastAsia"/>
                <w:lang w:val="en-US" w:eastAsia="zh-CN"/>
              </w:rPr>
              <w:t>4.</w:t>
            </w:r>
            <w:r>
              <w:t>未提供方案不得分。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lang w:val="en-US" w:eastAsia="zh-CN"/>
              </w:rPr>
            </w:pPr>
            <w:r>
              <w:rPr>
                <w:rFonts w:hint="eastAsia"/>
                <w:lang w:val="en-US" w:eastAsia="zh-CN"/>
              </w:rPr>
              <w:t>售后</w:t>
            </w:r>
            <w:r>
              <w:t>服务方案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7</w:t>
            </w:r>
          </w:p>
        </w:tc>
        <w:tc>
          <w:tcPr>
            <w:tcW w:w="6849" w:type="dxa"/>
            <w:tcBorders>
              <w:top w:val="single" w:color="auto" w:sz="4" w:space="0"/>
              <w:left w:val="single" w:color="auto" w:sz="4" w:space="0"/>
              <w:bottom w:val="single" w:color="auto" w:sz="4" w:space="0"/>
              <w:right w:val="single" w:color="auto" w:sz="4" w:space="0"/>
            </w:tcBorders>
          </w:tcPr>
          <w:p>
            <w:pPr>
              <w:widowControl/>
              <w:jc w:val="left"/>
            </w:pPr>
            <w:r>
              <w:t>根据投标人提供的售后服务方案内容（包括但不限于培训要求、应急响应要求、质保期、维护保养方案及其他服务承诺）进行综合评价：</w:t>
            </w:r>
          </w:p>
          <w:p>
            <w:pPr>
              <w:widowControl/>
              <w:numPr>
                <w:ilvl w:val="0"/>
                <w:numId w:val="0"/>
              </w:numPr>
              <w:jc w:val="left"/>
            </w:pPr>
            <w:r>
              <w:rPr>
                <w:rFonts w:hint="eastAsia"/>
                <w:lang w:val="en-US" w:eastAsia="zh-CN"/>
              </w:rPr>
              <w:t>1.</w:t>
            </w:r>
            <w:r>
              <w:t>售后服务内容完善、方案详细，科学合理，各阶段售后服务方案内容齐全，优于用户需求得</w:t>
            </w:r>
            <w:r>
              <w:rPr>
                <w:rFonts w:hint="eastAsia"/>
                <w:lang w:val="en-US" w:eastAsia="zh-CN"/>
              </w:rPr>
              <w:t>7</w:t>
            </w:r>
            <w:r>
              <w:t>分；</w:t>
            </w:r>
          </w:p>
          <w:p>
            <w:pPr>
              <w:widowControl/>
              <w:jc w:val="left"/>
              <w:rPr>
                <w:rFonts w:hint="eastAsia" w:ascii="Times New Roman" w:hAnsi="Times New Roman" w:cs="Times New Roman"/>
                <w:lang w:val="en-US" w:eastAsia="zh-CN"/>
              </w:rPr>
            </w:pPr>
            <w:r>
              <w:rPr>
                <w:rFonts w:hint="eastAsia"/>
                <w:lang w:val="en-US" w:eastAsia="zh-CN"/>
              </w:rPr>
              <w:t>2.</w:t>
            </w:r>
            <w:r>
              <w:t>售</w:t>
            </w:r>
            <w:r>
              <w:rPr>
                <w:rFonts w:ascii="Times New Roman" w:hAnsi="Times New Roman" w:cs="Times New Roman"/>
              </w:rPr>
              <w:t>后服务内容较为完善 、方案详细，各阶段售后服务方案内容较齐全，满足用户需求得</w:t>
            </w:r>
            <w:r>
              <w:rPr>
                <w:rFonts w:hint="eastAsia" w:cs="Times New Roman"/>
                <w:lang w:val="en-US" w:eastAsia="zh-CN"/>
              </w:rPr>
              <w:t>4</w:t>
            </w:r>
            <w:r>
              <w:rPr>
                <w:rFonts w:ascii="Times New Roman" w:hAnsi="Times New Roman" w:cs="Times New Roman"/>
              </w:rPr>
              <w:t>分 ；</w:t>
            </w:r>
          </w:p>
          <w:p>
            <w:pPr>
              <w:widowControl/>
              <w:jc w:val="left"/>
              <w:rPr>
                <w:rFonts w:hint="eastAsia" w:ascii="Times New Roman" w:hAnsi="Times New Roman" w:cs="Times New Roman"/>
                <w:lang w:val="en-US" w:eastAsia="zh-CN"/>
              </w:rPr>
            </w:pPr>
            <w:r>
              <w:rPr>
                <w:rFonts w:hint="eastAsia" w:ascii="Times New Roman" w:hAnsi="Times New Roman" w:cs="Times New Roman"/>
                <w:lang w:val="en-US" w:eastAsia="zh-CN"/>
              </w:rPr>
              <w:t>3.</w:t>
            </w:r>
            <w:r>
              <w:rPr>
                <w:rFonts w:ascii="Times New Roman" w:hAnsi="Times New Roman" w:cs="Times New Roman"/>
              </w:rPr>
              <w:t>售后服务内容基本完善，各阶段售后服务内容基本齐全，基本满足用户需求，得</w:t>
            </w:r>
            <w:r>
              <w:rPr>
                <w:rFonts w:hint="eastAsia" w:cs="Times New Roman"/>
                <w:lang w:val="en-US" w:eastAsia="zh-CN"/>
              </w:rPr>
              <w:t>2</w:t>
            </w:r>
            <w:r>
              <w:rPr>
                <w:rFonts w:ascii="Times New Roman" w:hAnsi="Times New Roman" w:cs="Times New Roman"/>
              </w:rPr>
              <w:t xml:space="preserve">分； </w:t>
            </w:r>
          </w:p>
          <w:p>
            <w:pPr>
              <w:widowControl/>
              <w:jc w:val="left"/>
              <w:rPr>
                <w:rFonts w:hint="eastAsia" w:ascii="Times New Roman" w:hAnsi="Times New Roman" w:cs="Times New Roman"/>
                <w:lang w:val="en-US" w:eastAsia="zh-CN"/>
              </w:rPr>
            </w:pPr>
            <w:r>
              <w:rPr>
                <w:rFonts w:hint="eastAsia" w:ascii="Times New Roman" w:hAnsi="Times New Roman" w:cs="Times New Roman"/>
                <w:lang w:val="en-US" w:eastAsia="zh-CN"/>
              </w:rPr>
              <w:t>4.</w:t>
            </w:r>
            <w:r>
              <w:rPr>
                <w:rFonts w:ascii="Times New Roman" w:hAnsi="Times New Roman" w:cs="Times New Roman"/>
              </w:rPr>
              <w:t>售后服务内容不够完善，各阶段服务计划不够详尽，不能满足采购需求，得1分；</w:t>
            </w:r>
          </w:p>
          <w:p>
            <w:pPr>
              <w:widowControl/>
              <w:jc w:val="left"/>
              <w:rPr>
                <w:rFonts w:hint="default" w:eastAsia="楷体_GB2312"/>
                <w:lang w:val="en-US" w:eastAsia="zh-CN"/>
              </w:rPr>
            </w:pPr>
            <w:r>
              <w:rPr>
                <w:rFonts w:hint="eastAsia" w:ascii="Times New Roman" w:hAnsi="Times New Roman" w:cs="Times New Roman"/>
                <w:lang w:val="en-US" w:eastAsia="zh-CN"/>
              </w:rPr>
              <w:t>5.未提供</w:t>
            </w:r>
            <w:r>
              <w:rPr>
                <w:rFonts w:hint="eastAsia"/>
                <w:lang w:val="en-US" w:eastAsia="zh-CN"/>
              </w:rPr>
              <w:t>售后</w:t>
            </w:r>
            <w:r>
              <w:t>服务方案</w:t>
            </w:r>
            <w:r>
              <w:rPr>
                <w:rFonts w:hint="eastAsia"/>
                <w:lang w:val="en-US" w:eastAsia="zh-CN"/>
              </w:rPr>
              <w:t>不得</w:t>
            </w:r>
            <w:r>
              <w:rPr>
                <w:rFonts w:hint="eastAsia" w:ascii="Times New Roman" w:hAnsi="Times New Roman" w:cs="Times New Roman"/>
                <w:lang w:val="en-US" w:eastAsia="zh-CN"/>
              </w:rPr>
              <w:t>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pStyle w:val="5"/>
        <w:numPr>
          <w:ilvl w:val="0"/>
          <w:numId w:val="5"/>
        </w:numPr>
        <w:ind w:left="360" w:leftChars="0" w:hanging="360" w:firstLineChars="0"/>
        <w:rPr>
          <w:rFonts w:hint="eastAsia" w:asciiTheme="minorEastAsia" w:hAnsiTheme="minorEastAsia" w:eastAsiaTheme="minorEastAsia"/>
          <w:b w:val="0"/>
          <w:color w:val="auto"/>
          <w:sz w:val="24"/>
        </w:rPr>
      </w:pPr>
      <w:bookmarkStart w:id="451" w:name="_Toc5733"/>
      <w:r>
        <w:rPr>
          <w:rFonts w:hint="eastAsia" w:asciiTheme="minorEastAsia" w:hAnsiTheme="minorEastAsia" w:eastAsiaTheme="minorEastAsia"/>
          <w:b w:val="0"/>
          <w:color w:val="auto"/>
          <w:sz w:val="24"/>
        </w:rPr>
        <w:t>商务评分表</w:t>
      </w:r>
      <w:bookmarkEnd w:id="446"/>
      <w:bookmarkEnd w:id="447"/>
      <w:bookmarkEnd w:id="448"/>
      <w:bookmarkEnd w:id="449"/>
      <w:bookmarkEnd w:id="450"/>
      <w:bookmarkEnd w:id="451"/>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594" w:type="pct"/>
            <w:tcBorders>
              <w:bottom w:val="single" w:color="auto" w:sz="4" w:space="0"/>
            </w:tcBorders>
            <w:vAlign w:val="center"/>
          </w:tcPr>
          <w:p>
            <w:pPr>
              <w:spacing w:line="240" w:lineRule="exact"/>
              <w:jc w:val="center"/>
              <w:rPr>
                <w:rFonts w:hint="default" w:ascii="宋体" w:hAnsi="宋体" w:eastAsia="宋体" w:cs="宋体"/>
                <w:b w:val="0"/>
                <w:bCs w:val="0"/>
                <w:color w:val="auto"/>
                <w:szCs w:val="21"/>
                <w:lang w:val="en-US" w:eastAsia="zh-CN"/>
              </w:rPr>
            </w:pPr>
            <w:r>
              <w:rPr>
                <w:rFonts w:hint="eastAsia" w:ascii="宋体" w:hAnsi="宋体" w:cs="宋体"/>
                <w:color w:val="auto"/>
                <w:szCs w:val="21"/>
              </w:rPr>
              <w:t>企业</w:t>
            </w:r>
            <w:r>
              <w:rPr>
                <w:rFonts w:hint="eastAsia" w:ascii="宋体" w:hAnsi="宋体" w:cs="宋体"/>
                <w:color w:val="auto"/>
                <w:szCs w:val="21"/>
                <w:lang w:val="en-US" w:eastAsia="zh-CN"/>
              </w:rPr>
              <w:t>综合实力</w:t>
            </w:r>
          </w:p>
        </w:tc>
        <w:tc>
          <w:tcPr>
            <w:tcW w:w="377" w:type="pct"/>
            <w:tcBorders>
              <w:bottom w:val="single" w:color="auto" w:sz="4" w:space="0"/>
            </w:tcBorders>
            <w:vAlign w:val="center"/>
          </w:tcPr>
          <w:p>
            <w:pPr>
              <w:spacing w:line="240" w:lineRule="exact"/>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4</w:t>
            </w:r>
          </w:p>
        </w:tc>
        <w:tc>
          <w:tcPr>
            <w:tcW w:w="3650" w:type="pct"/>
            <w:tcBorders>
              <w:bottom w:val="single" w:color="auto" w:sz="4" w:space="0"/>
            </w:tcBorders>
            <w:vAlign w:val="center"/>
          </w:tcPr>
          <w:p>
            <w:pPr>
              <w:rPr>
                <w:rFonts w:ascii="宋体" w:hAnsi="宋体" w:cs="宋体"/>
                <w:color w:val="auto"/>
                <w:szCs w:val="21"/>
              </w:rPr>
            </w:pPr>
            <w:r>
              <w:rPr>
                <w:rFonts w:hint="eastAsia" w:ascii="宋体" w:hAnsi="宋体" w:cs="宋体"/>
                <w:szCs w:val="21"/>
              </w:rPr>
              <w:t>综合考察投标</w:t>
            </w:r>
            <w:r>
              <w:rPr>
                <w:rFonts w:hint="eastAsia" w:ascii="宋体" w:hAnsi="宋体" w:cs="宋体"/>
                <w:color w:val="auto"/>
                <w:szCs w:val="21"/>
              </w:rPr>
              <w:t>人具备的有效期内的管理体系认证或资质认证证书：</w:t>
            </w:r>
          </w:p>
          <w:p>
            <w:pPr>
              <w:rPr>
                <w:rFonts w:ascii="宋体" w:hAnsi="宋体" w:cs="宋体"/>
                <w:color w:val="auto"/>
                <w:szCs w:val="21"/>
              </w:rPr>
            </w:pPr>
            <w:r>
              <w:rPr>
                <w:rFonts w:hint="eastAsia" w:ascii="宋体" w:hAnsi="宋体" w:cs="宋体"/>
                <w:color w:val="auto"/>
                <w:szCs w:val="21"/>
              </w:rPr>
              <w:t>1、具有高新技术企业资质证书的，得</w:t>
            </w:r>
            <w:r>
              <w:rPr>
                <w:rFonts w:hint="eastAsia" w:ascii="宋体" w:hAnsi="宋体" w:cs="宋体"/>
                <w:color w:val="auto"/>
                <w:szCs w:val="21"/>
                <w:lang w:val="en-US" w:eastAsia="zh-CN"/>
              </w:rPr>
              <w:t>1</w:t>
            </w:r>
            <w:r>
              <w:rPr>
                <w:rFonts w:hint="eastAsia" w:ascii="宋体" w:hAnsi="宋体" w:cs="宋体"/>
                <w:color w:val="auto"/>
                <w:szCs w:val="21"/>
              </w:rPr>
              <w:t xml:space="preserve">分； </w:t>
            </w:r>
          </w:p>
          <w:p>
            <w:pPr>
              <w:rPr>
                <w:rFonts w:hint="eastAsia" w:ascii="宋体" w:hAnsi="宋体" w:eastAsia="宋体" w:cs="宋体"/>
                <w:color w:val="auto"/>
                <w:szCs w:val="21"/>
                <w:lang w:eastAsia="zh-CN"/>
              </w:rPr>
            </w:pPr>
            <w:r>
              <w:rPr>
                <w:rFonts w:hint="eastAsia" w:ascii="宋体" w:hAnsi="宋体" w:cs="宋体"/>
                <w:color w:val="auto"/>
                <w:szCs w:val="21"/>
              </w:rPr>
              <w:t>2、</w:t>
            </w:r>
            <w:r>
              <w:rPr>
                <w:rFonts w:hint="eastAsia" w:ascii="宋体" w:hAnsi="宋体" w:cs="宋体"/>
                <w:color w:val="auto"/>
                <w:szCs w:val="21"/>
                <w:lang w:val="en-US" w:eastAsia="zh-CN"/>
              </w:rPr>
              <w:t>具有</w:t>
            </w:r>
            <w:r>
              <w:rPr>
                <w:rFonts w:hint="eastAsia" w:ascii="宋体" w:hAnsi="宋体" w:cs="宋体"/>
                <w:color w:val="auto"/>
                <w:szCs w:val="21"/>
              </w:rPr>
              <w:t>ISO9001质量管理体系认证证书</w:t>
            </w:r>
            <w:r>
              <w:rPr>
                <w:rFonts w:hint="eastAsia" w:ascii="宋体" w:hAnsi="宋体" w:cs="宋体"/>
                <w:color w:val="auto"/>
                <w:szCs w:val="21"/>
                <w:lang w:val="en-US" w:eastAsia="zh-CN"/>
              </w:rPr>
              <w:t>的，</w:t>
            </w:r>
            <w:r>
              <w:rPr>
                <w:rFonts w:hint="eastAsia" w:ascii="宋体" w:hAnsi="宋体" w:cs="宋体"/>
                <w:color w:val="auto"/>
                <w:szCs w:val="21"/>
              </w:rPr>
              <w:t>得</w:t>
            </w:r>
            <w:r>
              <w:rPr>
                <w:rFonts w:hint="eastAsia" w:ascii="宋体" w:hAnsi="宋体" w:cs="宋体"/>
                <w:color w:val="auto"/>
                <w:szCs w:val="21"/>
                <w:lang w:val="en-US" w:eastAsia="zh-CN"/>
              </w:rPr>
              <w:t>1</w:t>
            </w:r>
            <w:r>
              <w:rPr>
                <w:rFonts w:hint="eastAsia" w:ascii="宋体" w:hAnsi="宋体" w:cs="宋体"/>
                <w:color w:val="auto"/>
                <w:szCs w:val="21"/>
              </w:rPr>
              <w:t>分</w:t>
            </w:r>
            <w:r>
              <w:rPr>
                <w:rFonts w:hint="eastAsia" w:ascii="宋体" w:hAnsi="宋体" w:cs="宋体"/>
                <w:color w:val="auto"/>
                <w:szCs w:val="21"/>
                <w:lang w:eastAsia="zh-CN"/>
              </w:rPr>
              <w:t>；</w:t>
            </w:r>
          </w:p>
          <w:p>
            <w:pPr>
              <w:rPr>
                <w:rFonts w:hint="eastAsia" w:ascii="宋体" w:hAnsi="宋体" w:eastAsia="宋体" w:cs="宋体"/>
                <w:szCs w:val="21"/>
                <w:lang w:eastAsia="zh-CN"/>
              </w:rPr>
            </w:pPr>
            <w:r>
              <w:rPr>
                <w:rFonts w:hint="eastAsia" w:ascii="宋体" w:hAnsi="宋体" w:cs="宋体"/>
                <w:color w:val="auto"/>
                <w:szCs w:val="21"/>
              </w:rPr>
              <w:t>3、</w:t>
            </w:r>
            <w:r>
              <w:rPr>
                <w:rFonts w:hint="eastAsia" w:ascii="宋体" w:hAnsi="宋体" w:cs="宋体"/>
                <w:szCs w:val="21"/>
              </w:rPr>
              <w:t>具有</w:t>
            </w:r>
            <w:r>
              <w:rPr>
                <w:rFonts w:hint="eastAsia" w:ascii="宋体" w:hAnsi="宋体" w:cs="宋体"/>
                <w:szCs w:val="21"/>
                <w:lang w:val="en-US" w:eastAsia="zh-CN"/>
              </w:rPr>
              <w:t>广告</w:t>
            </w:r>
            <w:r>
              <w:rPr>
                <w:rFonts w:hint="eastAsia" w:ascii="宋体" w:hAnsi="宋体" w:cs="宋体"/>
                <w:szCs w:val="21"/>
              </w:rPr>
              <w:t>管理</w:t>
            </w:r>
            <w:r>
              <w:rPr>
                <w:rFonts w:hint="eastAsia" w:ascii="宋体" w:hAnsi="宋体" w:cs="宋体"/>
                <w:szCs w:val="21"/>
                <w:lang w:val="en-US" w:eastAsia="zh-CN"/>
              </w:rPr>
              <w:t>系统</w:t>
            </w:r>
            <w:r>
              <w:rPr>
                <w:rFonts w:hint="eastAsia" w:ascii="宋体" w:hAnsi="宋体" w:cs="宋体"/>
                <w:szCs w:val="21"/>
              </w:rPr>
              <w:t>平台</w:t>
            </w:r>
            <w:r>
              <w:rPr>
                <w:rFonts w:hint="eastAsia" w:ascii="宋体" w:hAnsi="宋体" w:cs="宋体"/>
                <w:szCs w:val="21"/>
                <w:lang w:val="en-US" w:eastAsia="zh-CN"/>
              </w:rPr>
              <w:t>相关的</w:t>
            </w:r>
            <w:r>
              <w:rPr>
                <w:rFonts w:hint="eastAsia" w:ascii="宋体" w:hAnsi="宋体" w:cs="宋体"/>
                <w:szCs w:val="21"/>
              </w:rPr>
              <w:t>计算机软件著作权登记证书的，得</w:t>
            </w:r>
            <w:r>
              <w:rPr>
                <w:rFonts w:hint="eastAsia" w:ascii="宋体" w:hAnsi="宋体" w:cs="宋体"/>
                <w:szCs w:val="21"/>
                <w:lang w:val="en-US" w:eastAsia="zh-CN"/>
              </w:rPr>
              <w:t>2</w:t>
            </w:r>
            <w:r>
              <w:rPr>
                <w:rFonts w:hint="eastAsia" w:ascii="宋体" w:hAnsi="宋体" w:cs="宋体"/>
                <w:szCs w:val="21"/>
              </w:rPr>
              <w:t>分</w:t>
            </w:r>
            <w:r>
              <w:rPr>
                <w:rFonts w:hint="eastAsia" w:ascii="宋体" w:hAnsi="宋体" w:cs="宋体"/>
                <w:szCs w:val="21"/>
                <w:lang w:eastAsia="zh-CN"/>
              </w:rPr>
              <w:t>；</w:t>
            </w:r>
          </w:p>
          <w:p>
            <w:pPr>
              <w:rPr>
                <w:rFonts w:hint="eastAsia"/>
                <w:b w:val="0"/>
                <w:bCs w:val="0"/>
                <w:color w:val="auto"/>
              </w:rPr>
            </w:pPr>
            <w:r>
              <w:rPr>
                <w:rFonts w:hint="eastAsia" w:ascii="宋体" w:hAnsi="宋体" w:cs="宋体"/>
                <w:szCs w:val="21"/>
              </w:rPr>
              <w:t>注：需提交具有有效期内的相关证书证明材料扫描件</w:t>
            </w:r>
            <w:r>
              <w:rPr>
                <w:rFonts w:hint="eastAsia" w:ascii="宋体" w:hAnsi="宋体" w:cs="宋体"/>
                <w:szCs w:val="21"/>
                <w:lang w:eastAsia="zh-CN"/>
              </w:rPr>
              <w:t>。</w:t>
            </w:r>
            <w:r>
              <w:rPr>
                <w:rFonts w:hint="eastAsia" w:ascii="宋体" w:hAnsi="宋体" w:cs="宋体"/>
                <w:szCs w:val="21"/>
              </w:rPr>
              <w:t>如无证明资料，一律作不得分处理。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4" w:hRule="atLeast"/>
          <w:jc w:val="center"/>
        </w:trPr>
        <w:tc>
          <w:tcPr>
            <w:tcW w:w="377" w:type="pct"/>
            <w:tcBorders>
              <w:bottom w:val="single" w:color="auto" w:sz="4" w:space="0"/>
            </w:tcBorders>
            <w:vAlign w:val="center"/>
          </w:tcPr>
          <w:p>
            <w:pPr>
              <w:spacing w:line="240" w:lineRule="exact"/>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2</w:t>
            </w:r>
          </w:p>
        </w:tc>
        <w:tc>
          <w:tcPr>
            <w:tcW w:w="1107" w:type="dxa"/>
            <w:tcBorders>
              <w:bottom w:val="single" w:color="auto" w:sz="4" w:space="0"/>
            </w:tcBorders>
            <w:vAlign w:val="center"/>
          </w:tcPr>
          <w:p>
            <w:pPr>
              <w:spacing w:line="240" w:lineRule="exact"/>
              <w:jc w:val="center"/>
              <w:rPr>
                <w:rFonts w:hint="eastAsia" w:ascii="宋体" w:hAnsi="宋体" w:cs="宋体"/>
                <w:color w:val="auto"/>
                <w:szCs w:val="21"/>
              </w:rPr>
            </w:pPr>
            <w:r>
              <w:rPr>
                <w:rFonts w:hint="eastAsia" w:ascii="宋体" w:hAnsi="宋体" w:cs="宋体"/>
                <w:color w:val="auto"/>
                <w:szCs w:val="21"/>
              </w:rPr>
              <w:t>企业</w:t>
            </w:r>
            <w:r>
              <w:rPr>
                <w:rFonts w:hint="eastAsia" w:ascii="宋体" w:hAnsi="宋体" w:cs="宋体"/>
                <w:color w:val="auto"/>
                <w:szCs w:val="21"/>
                <w:lang w:val="en-US" w:eastAsia="zh-CN"/>
              </w:rPr>
              <w:t>同类项目经验</w:t>
            </w:r>
          </w:p>
        </w:tc>
        <w:tc>
          <w:tcPr>
            <w:tcW w:w="704" w:type="dxa"/>
            <w:tcBorders>
              <w:bottom w:val="single" w:color="auto" w:sz="4" w:space="0"/>
            </w:tcBorders>
            <w:vAlign w:val="center"/>
          </w:tcPr>
          <w:p>
            <w:pPr>
              <w:spacing w:line="240" w:lineRule="exact"/>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10</w:t>
            </w:r>
          </w:p>
        </w:tc>
        <w:tc>
          <w:tcPr>
            <w:tcW w:w="6801" w:type="dxa"/>
            <w:tcBorders>
              <w:bottom w:val="single" w:color="auto" w:sz="4" w:space="0"/>
            </w:tcBorders>
            <w:vAlign w:val="center"/>
          </w:tcPr>
          <w:p>
            <w:pPr>
              <w:adjustRightInd w:val="0"/>
              <w:snapToGrid w:val="0"/>
              <w:spacing w:line="288" w:lineRule="auto"/>
              <w:rPr>
                <w:rFonts w:hint="eastAsia"/>
                <w:lang w:val="en-US" w:eastAsia="zh-CN"/>
              </w:rPr>
            </w:pPr>
            <w:r>
              <w:rPr>
                <w:rFonts w:hint="eastAsia"/>
                <w:lang w:val="en-US" w:eastAsia="zh-CN"/>
              </w:rPr>
              <w:t>考察投标人2018年1月1日至今（以合同签订日期为准）具备的同类项目【同类项目指：管理平台类软件产品销售类或管理平台类软件研发或功能改造升级类】情况进行评分，本项最高得10分：</w:t>
            </w:r>
          </w:p>
          <w:p>
            <w:pPr>
              <w:adjustRightInd w:val="0"/>
              <w:snapToGrid w:val="0"/>
              <w:spacing w:line="288" w:lineRule="auto"/>
              <w:rPr>
                <w:rFonts w:hint="eastAsia"/>
                <w:lang w:val="en-US" w:eastAsia="zh-CN"/>
              </w:rPr>
            </w:pPr>
            <w:r>
              <w:rPr>
                <w:rFonts w:hint="eastAsia"/>
                <w:lang w:val="en-US" w:eastAsia="zh-CN"/>
              </w:rPr>
              <w:t>每具备1个相关项目业绩得2.5分，最高得10分；</w:t>
            </w:r>
          </w:p>
          <w:p>
            <w:pPr>
              <w:adjustRightInd w:val="0"/>
              <w:snapToGrid w:val="0"/>
              <w:spacing w:line="288" w:lineRule="auto"/>
              <w:rPr>
                <w:rFonts w:hint="eastAsia"/>
                <w:lang w:val="en-US" w:eastAsia="zh-CN"/>
              </w:rPr>
            </w:pPr>
            <w:r>
              <w:rPr>
                <w:rFonts w:hint="eastAsia"/>
                <w:lang w:val="en-US" w:eastAsia="zh-CN"/>
              </w:rPr>
              <w:t>注：1、每份业绩均须提供合同关键页复印件，须体现合同金额页、合同服务内容页、合同签字盖章页等。</w:t>
            </w:r>
          </w:p>
          <w:p>
            <w:pPr>
              <w:adjustRightInd w:val="0"/>
              <w:snapToGrid w:val="0"/>
              <w:spacing w:line="288" w:lineRule="auto"/>
              <w:rPr>
                <w:rFonts w:hint="eastAsia"/>
                <w:lang w:val="en-US" w:eastAsia="zh-CN"/>
              </w:rPr>
            </w:pPr>
            <w:r>
              <w:rPr>
                <w:rFonts w:hint="eastAsia"/>
                <w:lang w:val="en-US" w:eastAsia="zh-CN"/>
              </w:rPr>
              <w:t>2、软件产品销售类同类项目业绩中的软件产品须为投标人自主开发产品（投标人为制造商），须另附相关的计算机软件著作权登记证书证明材料，制造商与代理商之间的业绩不予认可。</w:t>
            </w:r>
          </w:p>
          <w:p>
            <w:pPr>
              <w:adjustRightInd w:val="0"/>
              <w:snapToGrid w:val="0"/>
              <w:spacing w:line="288" w:lineRule="auto"/>
              <w:rPr>
                <w:rFonts w:hint="default"/>
                <w:lang w:val="en-US" w:eastAsia="zh-CN"/>
              </w:rPr>
            </w:pPr>
            <w:r>
              <w:rPr>
                <w:rFonts w:hint="eastAsia"/>
                <w:lang w:val="en-US" w:eastAsia="zh-CN"/>
              </w:rPr>
              <w:t>3、证明材料提供不齐的业绩不予认可。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7" w:type="pct"/>
            <w:vAlign w:val="center"/>
          </w:tcPr>
          <w:p>
            <w:pPr>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2</w:t>
            </w:r>
          </w:p>
        </w:tc>
        <w:tc>
          <w:tcPr>
            <w:tcW w:w="594"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szCs w:val="21"/>
              </w:rPr>
              <w:t>实施团队</w:t>
            </w:r>
            <w:r>
              <w:rPr>
                <w:rFonts w:hint="eastAsia" w:ascii="宋体" w:hAnsi="宋体" w:cs="宋体"/>
                <w:szCs w:val="21"/>
                <w:lang w:val="en-US" w:eastAsia="zh-CN"/>
              </w:rPr>
              <w:t>技术服务能力</w:t>
            </w:r>
          </w:p>
        </w:tc>
        <w:tc>
          <w:tcPr>
            <w:tcW w:w="377"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6</w:t>
            </w:r>
          </w:p>
        </w:tc>
        <w:tc>
          <w:tcPr>
            <w:tcW w:w="3650" w:type="pct"/>
            <w:vAlign w:val="center"/>
          </w:tcPr>
          <w:p>
            <w:pPr>
              <w:numPr>
                <w:ilvl w:val="255"/>
                <w:numId w:val="0"/>
              </w:numPr>
              <w:rPr>
                <w:rFonts w:ascii="宋体" w:hAnsi="宋体" w:cs="宋体"/>
                <w:szCs w:val="21"/>
              </w:rPr>
            </w:pPr>
            <w:r>
              <w:rPr>
                <w:rFonts w:hint="eastAsia" w:ascii="宋体" w:hAnsi="宋体" w:cs="宋体"/>
                <w:szCs w:val="21"/>
              </w:rPr>
              <w:t>考察投标人实施团队</w:t>
            </w:r>
            <w:r>
              <w:rPr>
                <w:rFonts w:hint="eastAsia"/>
              </w:rPr>
              <w:t>的专业素质</w:t>
            </w:r>
            <w:r>
              <w:rPr>
                <w:rFonts w:hint="eastAsia" w:ascii="宋体" w:hAnsi="宋体" w:cs="宋体"/>
                <w:szCs w:val="21"/>
              </w:rPr>
              <w:t>：</w:t>
            </w:r>
          </w:p>
          <w:p>
            <w:pPr>
              <w:numPr>
                <w:ilvl w:val="0"/>
                <w:numId w:val="10"/>
              </w:numPr>
              <w:rPr>
                <w:rFonts w:ascii="宋体" w:hAnsi="宋体" w:cs="宋体"/>
                <w:szCs w:val="21"/>
              </w:rPr>
            </w:pPr>
            <w:r>
              <w:rPr>
                <w:rFonts w:hint="eastAsia" w:ascii="宋体" w:hAnsi="宋体" w:cs="宋体"/>
                <w:szCs w:val="21"/>
                <w:lang w:val="en-US" w:eastAsia="zh-CN"/>
              </w:rPr>
              <w:t>项目负责人（满分3分）：</w:t>
            </w:r>
          </w:p>
          <w:p>
            <w:pPr>
              <w:numPr>
                <w:ilvl w:val="0"/>
                <w:numId w:val="11"/>
              </w:numPr>
              <w:rPr>
                <w:rFonts w:hint="eastAsia" w:ascii="宋体" w:hAnsi="宋体" w:cs="宋体"/>
                <w:szCs w:val="21"/>
              </w:rPr>
            </w:pPr>
            <w:r>
              <w:rPr>
                <w:rFonts w:hint="eastAsia" w:ascii="宋体" w:hAnsi="宋体" w:cs="宋体"/>
                <w:szCs w:val="21"/>
              </w:rPr>
              <w:t>具有</w:t>
            </w:r>
            <w:r>
              <w:rPr>
                <w:rFonts w:hint="eastAsia" w:ascii="宋体" w:hAnsi="宋体" w:cs="宋体"/>
                <w:szCs w:val="21"/>
                <w:lang w:val="en-US" w:eastAsia="zh-CN"/>
              </w:rPr>
              <w:t>有效期内的</w:t>
            </w:r>
            <w:r>
              <w:rPr>
                <w:rFonts w:hint="eastAsia" w:ascii="宋体" w:hAnsi="宋体" w:cs="宋体"/>
                <w:szCs w:val="21"/>
              </w:rPr>
              <w:t>PMP证书，得</w:t>
            </w:r>
            <w:r>
              <w:rPr>
                <w:rFonts w:hint="eastAsia" w:ascii="宋体" w:hAnsi="宋体" w:cs="宋体"/>
                <w:szCs w:val="21"/>
                <w:lang w:val="en-US" w:eastAsia="zh-CN"/>
              </w:rPr>
              <w:t>1</w:t>
            </w:r>
            <w:r>
              <w:rPr>
                <w:rFonts w:hint="eastAsia" w:ascii="宋体" w:hAnsi="宋体" w:cs="宋体"/>
                <w:szCs w:val="21"/>
              </w:rPr>
              <w:t>分；</w:t>
            </w:r>
          </w:p>
          <w:p>
            <w:pPr>
              <w:numPr>
                <w:ilvl w:val="0"/>
                <w:numId w:val="0"/>
              </w:numPr>
              <w:rPr>
                <w:rFonts w:hint="default" w:eastAsia="宋体"/>
                <w:lang w:val="en-US" w:eastAsia="zh-CN"/>
              </w:rPr>
            </w:pPr>
            <w:r>
              <w:rPr>
                <w:rFonts w:hint="eastAsia"/>
                <w:lang w:eastAsia="zh-CN"/>
              </w:rPr>
              <w:t>（</w:t>
            </w:r>
            <w:r>
              <w:rPr>
                <w:rFonts w:hint="eastAsia"/>
                <w:lang w:val="en-US" w:eastAsia="zh-CN"/>
              </w:rPr>
              <w:t>2</w:t>
            </w:r>
            <w:r>
              <w:rPr>
                <w:rFonts w:hint="eastAsia"/>
                <w:lang w:eastAsia="zh-CN"/>
              </w:rPr>
              <w:t>）</w:t>
            </w:r>
            <w:r>
              <w:rPr>
                <w:rFonts w:hint="eastAsia"/>
                <w:lang w:val="en-US" w:eastAsia="zh-CN"/>
              </w:rPr>
              <w:t>具有计算机类或电子信息技术类高级职称证书，得2分；</w:t>
            </w:r>
          </w:p>
          <w:p>
            <w:pPr>
              <w:rPr>
                <w:rFonts w:hint="default" w:eastAsia="楷体_GB2312"/>
                <w:b w:val="0"/>
                <w:bCs w:val="0"/>
                <w:color w:val="auto"/>
                <w:lang w:val="en-US" w:eastAsia="zh-CN"/>
              </w:rPr>
            </w:pPr>
            <w:r>
              <w:rPr>
                <w:rFonts w:hint="eastAsia" w:ascii="宋体" w:hAnsi="宋体" w:cs="宋体"/>
                <w:szCs w:val="21"/>
                <w:lang w:val="en-US" w:eastAsia="zh-CN"/>
              </w:rPr>
              <w:t>2、团队成员（不含项目负责人，满分3分）：每有1人具备</w:t>
            </w:r>
            <w:r>
              <w:rPr>
                <w:rFonts w:hint="eastAsia"/>
                <w:lang w:val="en-US" w:eastAsia="zh-CN"/>
              </w:rPr>
              <w:t>计算机类或电子信息技术类</w:t>
            </w:r>
            <w:r>
              <w:rPr>
                <w:rFonts w:hint="eastAsia" w:ascii="宋体" w:hAnsi="宋体" w:cs="宋体"/>
                <w:szCs w:val="21"/>
                <w:lang w:val="en-US" w:eastAsia="zh-CN"/>
              </w:rPr>
              <w:t>中级或以上职称证书或</w:t>
            </w:r>
            <w:r>
              <w:t>工信部门、人社部门</w:t>
            </w:r>
            <w:r>
              <w:rPr>
                <w:rFonts w:hint="eastAsia" w:ascii="宋体" w:hAnsi="宋体" w:cs="宋体"/>
                <w:szCs w:val="21"/>
                <w:lang w:val="en-US" w:eastAsia="zh-CN"/>
              </w:rPr>
              <w:t>颁发的系统集成项目管理师/软件设计师证书</w:t>
            </w:r>
            <w:r>
              <w:rPr>
                <w:rFonts w:hint="eastAsia" w:ascii="宋体" w:hAnsi="宋体" w:cs="宋体"/>
                <w:szCs w:val="21"/>
              </w:rPr>
              <w:t>，</w:t>
            </w:r>
            <w:r>
              <w:rPr>
                <w:rFonts w:hint="eastAsia" w:ascii="宋体" w:hAnsi="宋体" w:cs="宋体"/>
                <w:szCs w:val="21"/>
                <w:lang w:val="en-US" w:eastAsia="zh-CN"/>
              </w:rPr>
              <w:t>得1分，本项满分3分；</w:t>
            </w:r>
            <w:r>
              <w:rPr>
                <w:rFonts w:hint="eastAsia" w:ascii="宋体" w:hAnsi="宋体" w:cs="宋体"/>
                <w:szCs w:val="21"/>
              </w:rPr>
              <w:br w:type="textWrapping"/>
            </w:r>
            <w:r>
              <w:rPr>
                <w:rFonts w:hint="eastAsia" w:ascii="宋体" w:hAnsi="宋体" w:cs="宋体"/>
                <w:szCs w:val="21"/>
              </w:rPr>
              <w:t>注：须提供实施团队有效期内的证书复印件；同时还须提供拟安排的项目</w:t>
            </w:r>
            <w:r>
              <w:rPr>
                <w:rFonts w:hint="eastAsia" w:ascii="宋体" w:hAnsi="宋体" w:cs="宋体"/>
                <w:szCs w:val="21"/>
                <w:lang w:val="en-US" w:eastAsia="zh-CN"/>
              </w:rPr>
              <w:t>实施团队</w:t>
            </w:r>
            <w:r>
              <w:rPr>
                <w:rFonts w:hint="eastAsia" w:ascii="宋体" w:hAnsi="宋体" w:cs="宋体"/>
                <w:szCs w:val="21"/>
              </w:rPr>
              <w:t>在投标人本单位购买的最近六个月中任意</w:t>
            </w:r>
            <w:r>
              <w:rPr>
                <w:rFonts w:hint="eastAsia" w:ascii="宋体" w:hAnsi="宋体" w:cs="宋体"/>
                <w:szCs w:val="21"/>
                <w:lang w:val="en-US" w:eastAsia="zh-CN"/>
              </w:rPr>
              <w:t>一</w:t>
            </w:r>
            <w:r>
              <w:rPr>
                <w:rFonts w:hint="eastAsia" w:ascii="宋体" w:hAnsi="宋体" w:cs="宋体"/>
                <w:szCs w:val="21"/>
              </w:rPr>
              <w:t>个月的社保证明复印件（须有社保管理部门盖章）加盖投标人公章；</w:t>
            </w:r>
            <w:r>
              <w:rPr>
                <w:rFonts w:hint="eastAsia" w:ascii="宋体" w:hAnsi="宋体"/>
              </w:rPr>
              <w:t>提供符合要求的证明材料的</w:t>
            </w:r>
            <w:r>
              <w:rPr>
                <w:rFonts w:hint="eastAsia" w:ascii="宋体" w:hAnsi="宋体" w:cs="宋体"/>
                <w:szCs w:val="21"/>
              </w:rPr>
              <w:t>，相关评审纬度不予认可。</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lang w:val="en-US" w:eastAsia="zh-CN"/>
        </w:rPr>
      </w:pPr>
    </w:p>
    <w:p>
      <w:pPr>
        <w:pStyle w:val="5"/>
        <w:rPr>
          <w:rFonts w:asciiTheme="minorEastAsia" w:hAnsiTheme="minorEastAsia" w:eastAsiaTheme="minorEastAsia"/>
          <w:b w:val="0"/>
          <w:color w:val="auto"/>
          <w:sz w:val="24"/>
        </w:rPr>
      </w:pPr>
      <w:bookmarkStart w:id="452" w:name="_Toc22795"/>
      <w:bookmarkStart w:id="453" w:name="_Toc59548358"/>
      <w:bookmarkStart w:id="454" w:name="_Toc3273"/>
      <w:bookmarkStart w:id="455" w:name="_Toc13412"/>
      <w:bookmarkStart w:id="456" w:name="_Toc19922"/>
      <w:r>
        <w:rPr>
          <w:rFonts w:asciiTheme="minorEastAsia" w:hAnsiTheme="minorEastAsia" w:eastAsiaTheme="minorEastAsia"/>
          <w:b w:val="0"/>
          <w:color w:val="auto"/>
          <w:sz w:val="24"/>
        </w:rPr>
        <w:t>4、价格评分表</w:t>
      </w:r>
      <w:bookmarkEnd w:id="452"/>
      <w:bookmarkEnd w:id="453"/>
      <w:bookmarkEnd w:id="454"/>
      <w:bookmarkEnd w:id="455"/>
      <w:bookmarkEnd w:id="456"/>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8" w:hRule="atLeast"/>
        </w:trPr>
        <w:tc>
          <w:tcPr>
            <w:tcW w:w="710" w:type="dxa"/>
            <w:vAlign w:val="center"/>
          </w:tcPr>
          <w:p>
            <w:pPr>
              <w:snapToGrid w:val="0"/>
              <w:jc w:val="center"/>
              <w:rPr>
                <w:rFonts w:ascii="宋体" w:hAnsi="宋体" w:cs="宋体"/>
                <w:color w:val="auto"/>
                <w:kern w:val="0"/>
                <w:sz w:val="22"/>
                <w:szCs w:val="22"/>
              </w:rPr>
            </w:pPr>
            <w:r>
              <w:rPr>
                <w:rFonts w:ascii="宋体" w:hAnsi="宋体" w:cs="宋体"/>
                <w:color w:val="auto"/>
                <w:kern w:val="0"/>
                <w:sz w:val="22"/>
                <w:szCs w:val="22"/>
              </w:rPr>
              <w:t>1</w:t>
            </w:r>
          </w:p>
        </w:tc>
        <w:tc>
          <w:tcPr>
            <w:tcW w:w="1701" w:type="dxa"/>
            <w:vAlign w:val="center"/>
          </w:tcPr>
          <w:p>
            <w:pPr>
              <w:snapToGrid w:val="0"/>
              <w:jc w:val="center"/>
              <w:rPr>
                <w:rFonts w:ascii="宋体" w:hAnsi="宋体" w:cs="宋体"/>
                <w:color w:val="auto"/>
                <w:kern w:val="0"/>
                <w:sz w:val="22"/>
                <w:szCs w:val="22"/>
              </w:rPr>
            </w:pPr>
            <w:r>
              <w:rPr>
                <w:rFonts w:hint="eastAsia" w:ascii="宋体" w:hAnsi="宋体" w:cs="宋体"/>
                <w:color w:val="auto"/>
                <w:kern w:val="0"/>
                <w:sz w:val="22"/>
                <w:szCs w:val="22"/>
              </w:rPr>
              <w:t>价格分</w:t>
            </w:r>
            <w:r>
              <w:rPr>
                <w:rFonts w:hint="eastAsia" w:ascii="宋体" w:hAnsi="宋体" w:cs="宋体"/>
                <w:b/>
                <w:color w:val="auto"/>
                <w:kern w:val="0"/>
                <w:sz w:val="22"/>
                <w:szCs w:val="22"/>
              </w:rPr>
              <w:t>（</w:t>
            </w:r>
            <w:r>
              <w:rPr>
                <w:rFonts w:hint="eastAsia" w:ascii="宋体" w:hAnsi="宋体" w:cs="宋体"/>
                <w:b/>
                <w:color w:val="auto"/>
                <w:kern w:val="0"/>
                <w:sz w:val="22"/>
                <w:szCs w:val="22"/>
                <w:lang w:val="en-US" w:eastAsia="zh-CN"/>
              </w:rPr>
              <w:t>2</w:t>
            </w:r>
            <w:r>
              <w:rPr>
                <w:rFonts w:ascii="宋体" w:hAnsi="宋体" w:cs="宋体"/>
                <w:b/>
                <w:color w:val="auto"/>
                <w:kern w:val="0"/>
                <w:sz w:val="22"/>
                <w:szCs w:val="22"/>
              </w:rPr>
              <w:t>0分）</w:t>
            </w:r>
          </w:p>
        </w:tc>
        <w:tc>
          <w:tcPr>
            <w:tcW w:w="6989" w:type="dxa"/>
            <w:vAlign w:val="center"/>
          </w:tcPr>
          <w:p>
            <w:pPr>
              <w:widowControl/>
              <w:jc w:val="left"/>
              <w:rPr>
                <w:rFonts w:hint="eastAsia"/>
                <w:color w:val="auto"/>
              </w:rPr>
            </w:pPr>
            <w:r>
              <w:rPr>
                <w:rFonts w:hint="eastAsia" w:ascii="宋体" w:hAnsi="宋体"/>
                <w:kern w:val="0"/>
                <w:szCs w:val="21"/>
              </w:rPr>
              <w:t>价格分统一采用低价优先法计算，即满足招标文件要求且最后报价最低的投标人的价格为基准价，其价格分为满分。其他投标人的价格分统一按照下列公式计算：</w:t>
            </w:r>
            <w:r>
              <w:rPr>
                <w:rFonts w:ascii="宋体" w:hAnsi="宋体"/>
                <w:kern w:val="0"/>
                <w:szCs w:val="21"/>
              </w:rPr>
              <w:t xml:space="preserve"> </w:t>
            </w:r>
            <w:r>
              <w:rPr>
                <w:rFonts w:hint="eastAsia" w:ascii="宋体" w:hAnsi="宋体"/>
                <w:kern w:val="0"/>
                <w:szCs w:val="21"/>
              </w:rPr>
              <w:t>报价得分</w:t>
            </w:r>
            <w:r>
              <w:rPr>
                <w:rFonts w:ascii="宋体" w:hAnsi="宋体"/>
                <w:kern w:val="0"/>
                <w:szCs w:val="21"/>
              </w:rPr>
              <w:t>=（基准价/评标价）×</w:t>
            </w:r>
            <w:r>
              <w:rPr>
                <w:rFonts w:hint="eastAsia" w:ascii="宋体" w:hAnsi="宋体"/>
                <w:kern w:val="0"/>
                <w:szCs w:val="21"/>
                <w:lang w:val="en-US" w:eastAsia="zh-CN"/>
              </w:rPr>
              <w:t>2</w:t>
            </w:r>
            <w:r>
              <w:rPr>
                <w:rFonts w:ascii="宋体" w:hAnsi="宋体"/>
                <w:kern w:val="0"/>
                <w:szCs w:val="21"/>
              </w:rPr>
              <w:t>0</w:t>
            </w:r>
          </w:p>
        </w:tc>
      </w:tr>
    </w:tbl>
    <w:p>
      <w:pPr>
        <w:widowControl/>
        <w:jc w:val="left"/>
        <w:rPr>
          <w:rFonts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t>备注：</w:t>
      </w:r>
    </w:p>
    <w:p>
      <w:pPr>
        <w:widowControl/>
        <w:numPr>
          <w:ilvl w:val="0"/>
          <w:numId w:val="0"/>
        </w:numPr>
        <w:jc w:val="left"/>
        <w:rPr>
          <w:rFonts w:ascii="宋体" w:hAnsi="宋体"/>
          <w:szCs w:val="21"/>
        </w:rPr>
      </w:pPr>
      <w:r>
        <w:rPr>
          <w:rFonts w:hint="eastAsia" w:ascii="宋体" w:hAnsi="宋体"/>
          <w:szCs w:val="21"/>
          <w:lang w:val="en-US" w:eastAsia="zh-CN"/>
        </w:rPr>
        <w:t>1.</w:t>
      </w:r>
      <w:r>
        <w:rPr>
          <w:rFonts w:hint="eastAsia" w:ascii="宋体" w:hAnsi="宋体"/>
          <w:szCs w:val="21"/>
        </w:rPr>
        <w:t>评标委员会各评委对有效投标文件按评审标准独立评审打分，投标人商务技术最终得分为各评委个人打分的算术平均值（四舍五入后，小数点后保留两位有效数）。</w:t>
      </w:r>
    </w:p>
    <w:p>
      <w:pPr>
        <w:widowControl/>
        <w:jc w:val="left"/>
        <w:rPr>
          <w:rFonts w:ascii="宋体" w:hAnsi="宋体"/>
          <w:color w:val="auto"/>
          <w:szCs w:val="21"/>
        </w:rPr>
      </w:pPr>
      <w:r>
        <w:rPr>
          <w:rFonts w:hint="eastAsia" w:ascii="宋体" w:hAnsi="宋体"/>
          <w:szCs w:val="21"/>
          <w:lang w:val="en-US" w:eastAsia="zh-CN"/>
        </w:rPr>
        <w:t>2.</w:t>
      </w:r>
      <w:r>
        <w:rPr>
          <w:rFonts w:hint="eastAsia" w:ascii="宋体" w:hAnsi="宋体"/>
          <w:szCs w:val="21"/>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r>
        <w:rPr>
          <w:rFonts w:hint="eastAsia" w:ascii="宋体" w:hAnsi="宋体"/>
          <w:color w:val="auto"/>
          <w:szCs w:val="21"/>
        </w:rPr>
        <w:t>。</w:t>
      </w:r>
    </w:p>
    <w:p>
      <w:pPr>
        <w:widowControl/>
        <w:jc w:val="left"/>
        <w:rPr>
          <w:rFonts w:ascii="宋体" w:hAnsi="宋体"/>
          <w:color w:val="auto"/>
          <w:sz w:val="24"/>
        </w:rPr>
      </w:pPr>
    </w:p>
    <w:p>
      <w:pPr>
        <w:rPr>
          <w:color w:val="auto"/>
        </w:rPr>
      </w:pPr>
    </w:p>
    <w:p>
      <w:pPr>
        <w:numPr>
          <w:ilvl w:val="0"/>
          <w:numId w:val="12"/>
        </w:numPr>
        <w:rPr>
          <w:b/>
          <w:bCs/>
          <w:color w:val="auto"/>
          <w:sz w:val="24"/>
          <w:szCs w:val="32"/>
        </w:rPr>
      </w:pPr>
      <w:bookmarkStart w:id="457" w:name="_Toc450489345"/>
      <w:r>
        <w:rPr>
          <w:rFonts w:hint="eastAsia"/>
          <w:b/>
          <w:bCs/>
          <w:color w:val="auto"/>
          <w:sz w:val="24"/>
          <w:szCs w:val="32"/>
        </w:rPr>
        <w:t>评审方法</w:t>
      </w:r>
      <w:bookmarkEnd w:id="457"/>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本招标项目评审采用综合评估法。评标委员会对满足招标文件实质要求的</w:t>
      </w:r>
      <w:r>
        <w:rPr>
          <w:rFonts w:hint="eastAsia" w:ascii="宋体" w:hAnsi="宋体" w:cs="宋体"/>
          <w:color w:val="auto"/>
          <w:kern w:val="0"/>
          <w:szCs w:val="21"/>
        </w:rPr>
        <w:t>投标</w:t>
      </w:r>
      <w:r>
        <w:rPr>
          <w:rFonts w:hint="eastAsia" w:ascii="宋体" w:hAnsi="宋体" w:cs="宋体"/>
          <w:color w:val="auto"/>
          <w:szCs w:val="21"/>
        </w:rPr>
        <w:t>文件，根据本章第</w:t>
      </w:r>
      <w:r>
        <w:rPr>
          <w:rFonts w:ascii="宋体" w:hAnsi="宋体" w:cs="宋体"/>
          <w:color w:val="auto"/>
          <w:szCs w:val="21"/>
        </w:rPr>
        <w:t>2.2款规定的评分因素和评分标准进行评分，按照综合评分由高到低的顺序推荐中标候选人，但</w:t>
      </w:r>
      <w:r>
        <w:rPr>
          <w:rFonts w:hint="eastAsia" w:ascii="宋体" w:hAnsi="宋体" w:cs="宋体"/>
          <w:color w:val="auto"/>
          <w:kern w:val="0"/>
          <w:szCs w:val="21"/>
        </w:rPr>
        <w:t>投标</w:t>
      </w:r>
      <w:r>
        <w:rPr>
          <w:rFonts w:hint="eastAsia" w:ascii="宋体" w:hAnsi="宋体" w:cs="宋体"/>
          <w:color w:val="auto"/>
          <w:szCs w:val="21"/>
        </w:rPr>
        <w:t>报价低于其成本的除外。</w:t>
      </w:r>
    </w:p>
    <w:p>
      <w:pPr>
        <w:numPr>
          <w:ilvl w:val="0"/>
          <w:numId w:val="12"/>
        </w:numPr>
        <w:rPr>
          <w:b/>
          <w:bCs/>
          <w:color w:val="auto"/>
          <w:sz w:val="24"/>
          <w:szCs w:val="32"/>
        </w:rPr>
      </w:pPr>
      <w:bookmarkStart w:id="458" w:name="_Toc450489346"/>
      <w:r>
        <w:rPr>
          <w:rFonts w:hint="eastAsia"/>
          <w:b/>
          <w:bCs/>
          <w:color w:val="auto"/>
          <w:sz w:val="24"/>
          <w:szCs w:val="32"/>
        </w:rPr>
        <w:t>评审标准</w:t>
      </w:r>
      <w:bookmarkEnd w:id="458"/>
    </w:p>
    <w:p>
      <w:pPr>
        <w:rPr>
          <w:b/>
          <w:bCs/>
          <w:color w:val="auto"/>
          <w:sz w:val="24"/>
          <w:szCs w:val="32"/>
        </w:rPr>
      </w:pPr>
      <w:bookmarkStart w:id="459" w:name="_Toc450489347"/>
      <w:r>
        <w:rPr>
          <w:b/>
          <w:bCs/>
          <w:color w:val="auto"/>
          <w:sz w:val="24"/>
          <w:szCs w:val="32"/>
        </w:rPr>
        <w:t>2.1</w:t>
      </w:r>
      <w:r>
        <w:rPr>
          <w:rFonts w:hint="eastAsia"/>
          <w:b/>
          <w:bCs/>
          <w:color w:val="auto"/>
          <w:sz w:val="24"/>
          <w:szCs w:val="32"/>
        </w:rPr>
        <w:t>初步评审标准</w:t>
      </w:r>
      <w:bookmarkEnd w:id="45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初步评审标准：见评审办法前附表。</w:t>
      </w:r>
    </w:p>
    <w:p>
      <w:pPr>
        <w:rPr>
          <w:b/>
          <w:bCs/>
          <w:color w:val="auto"/>
          <w:sz w:val="24"/>
          <w:szCs w:val="32"/>
        </w:rPr>
      </w:pPr>
      <w:bookmarkStart w:id="460" w:name="_Toc450489348"/>
      <w:r>
        <w:rPr>
          <w:b/>
          <w:bCs/>
          <w:color w:val="auto"/>
          <w:sz w:val="24"/>
          <w:szCs w:val="32"/>
        </w:rPr>
        <w:t>2.2</w:t>
      </w:r>
      <w:r>
        <w:rPr>
          <w:rFonts w:hint="eastAsia"/>
          <w:b/>
          <w:bCs/>
          <w:color w:val="auto"/>
          <w:sz w:val="24"/>
          <w:szCs w:val="32"/>
        </w:rPr>
        <w:t>详细评审标准</w:t>
      </w:r>
      <w:bookmarkEnd w:id="46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详细评审标准：见评审办法前附表。</w:t>
      </w:r>
    </w:p>
    <w:p>
      <w:pPr>
        <w:numPr>
          <w:ilvl w:val="0"/>
          <w:numId w:val="12"/>
        </w:numPr>
        <w:rPr>
          <w:b/>
          <w:bCs/>
          <w:color w:val="auto"/>
          <w:sz w:val="24"/>
          <w:szCs w:val="32"/>
        </w:rPr>
      </w:pPr>
      <w:bookmarkStart w:id="461" w:name="_Toc450489349"/>
      <w:r>
        <w:rPr>
          <w:rFonts w:hint="eastAsia"/>
          <w:b/>
          <w:bCs/>
          <w:color w:val="auto"/>
          <w:sz w:val="24"/>
          <w:szCs w:val="32"/>
        </w:rPr>
        <w:t>评审程序</w:t>
      </w:r>
      <w:bookmarkEnd w:id="461"/>
    </w:p>
    <w:p>
      <w:pPr>
        <w:rPr>
          <w:b/>
          <w:bCs/>
          <w:color w:val="auto"/>
          <w:sz w:val="24"/>
          <w:szCs w:val="32"/>
        </w:rPr>
      </w:pPr>
      <w:bookmarkStart w:id="462" w:name="_Toc450489350"/>
      <w:r>
        <w:rPr>
          <w:b/>
          <w:bCs/>
          <w:color w:val="auto"/>
          <w:sz w:val="24"/>
          <w:szCs w:val="32"/>
        </w:rPr>
        <w:t>3.1</w:t>
      </w:r>
      <w:r>
        <w:rPr>
          <w:rFonts w:hint="eastAsia"/>
          <w:b/>
          <w:bCs/>
          <w:color w:val="auto"/>
          <w:sz w:val="24"/>
          <w:szCs w:val="32"/>
        </w:rPr>
        <w:t>初步评审</w:t>
      </w:r>
      <w:bookmarkEnd w:id="462"/>
    </w:p>
    <w:p>
      <w:pPr>
        <w:pStyle w:val="21"/>
        <w:tabs>
          <w:tab w:val="left" w:pos="630"/>
        </w:tabs>
        <w:snapToGrid w:val="0"/>
        <w:spacing w:line="440" w:lineRule="exact"/>
        <w:ind w:firstLine="424" w:firstLineChars="202"/>
        <w:rPr>
          <w:rFonts w:hAnsi="宋体"/>
          <w:color w:val="auto"/>
        </w:rPr>
      </w:pPr>
      <w:r>
        <w:rPr>
          <w:rFonts w:hAnsi="宋体"/>
          <w:color w:val="auto"/>
        </w:rPr>
        <w:t>3.1.1评标委员会根据本章第2.1款规定的标准对</w:t>
      </w:r>
      <w:r>
        <w:rPr>
          <w:rFonts w:hint="eastAsia" w:hAnsi="宋体" w:cs="宋体"/>
          <w:color w:val="auto"/>
          <w:kern w:val="0"/>
          <w:szCs w:val="21"/>
        </w:rPr>
        <w:t>投标</w:t>
      </w:r>
      <w:r>
        <w:rPr>
          <w:rFonts w:hint="eastAsia" w:hAnsi="宋体"/>
          <w:color w:val="auto"/>
        </w:rPr>
        <w:t>文件进行初步评审。有一项不符合评审标准的，评标委员会应当否决其</w:t>
      </w:r>
      <w:r>
        <w:rPr>
          <w:rFonts w:hint="eastAsia" w:hAnsi="宋体" w:cs="宋体"/>
          <w:color w:val="auto"/>
          <w:kern w:val="0"/>
          <w:szCs w:val="21"/>
        </w:rPr>
        <w:t>投标</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3.1.2投标人有以下情形之一的，评标委员会应当否决其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1）第二章“投标人须知”第1.8款规定的任何一种情形的；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2）不按照评标委员会要求澄清、说明或者补正的；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kern w:val="0"/>
          <w:szCs w:val="21"/>
        </w:rPr>
        <w:t>投标</w:t>
      </w:r>
      <w:r>
        <w:rPr>
          <w:rFonts w:hint="eastAsia" w:ascii="宋体" w:hAnsi="宋体" w:cs="宋体"/>
          <w:color w:val="auto"/>
          <w:szCs w:val="21"/>
        </w:rPr>
        <w:t>文件未经投标单位盖章和单位负责人签字；</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4）允许联合体投标的，投标联合体没有递交联合体协议；</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5）投标人不符合国家或者招标文件规定的资格条件；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6）同一投标人递交两个以上不同的</w:t>
      </w:r>
      <w:r>
        <w:rPr>
          <w:rFonts w:hint="eastAsia" w:ascii="宋体" w:hAnsi="宋体" w:cs="宋体"/>
          <w:color w:val="auto"/>
          <w:kern w:val="0"/>
          <w:szCs w:val="21"/>
        </w:rPr>
        <w:t>投标</w:t>
      </w:r>
      <w:r>
        <w:rPr>
          <w:rFonts w:hint="eastAsia" w:ascii="宋体" w:hAnsi="宋体" w:cs="宋体"/>
          <w:color w:val="auto"/>
          <w:szCs w:val="21"/>
        </w:rPr>
        <w:t>文件或者</w:t>
      </w:r>
      <w:r>
        <w:rPr>
          <w:rFonts w:hint="eastAsia" w:ascii="宋体" w:hAnsi="宋体" w:cs="宋体"/>
          <w:color w:val="auto"/>
          <w:kern w:val="0"/>
          <w:szCs w:val="21"/>
        </w:rPr>
        <w:t>投标</w:t>
      </w:r>
      <w:r>
        <w:rPr>
          <w:rFonts w:hint="eastAsia" w:ascii="宋体" w:hAnsi="宋体" w:cs="宋体"/>
          <w:color w:val="auto"/>
          <w:szCs w:val="21"/>
        </w:rPr>
        <w:t>报价，但招标文件要求递交备选</w:t>
      </w:r>
      <w:r>
        <w:rPr>
          <w:rFonts w:hint="eastAsia" w:ascii="宋体" w:hAnsi="宋体" w:cs="宋体"/>
          <w:color w:val="auto"/>
          <w:kern w:val="0"/>
          <w:szCs w:val="21"/>
        </w:rPr>
        <w:t>投标</w:t>
      </w:r>
      <w:r>
        <w:rPr>
          <w:rFonts w:hint="eastAsia" w:ascii="宋体" w:hAnsi="宋体" w:cs="宋体"/>
          <w:color w:val="auto"/>
          <w:szCs w:val="21"/>
        </w:rPr>
        <w:t>的除外；</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kern w:val="0"/>
          <w:szCs w:val="21"/>
        </w:rPr>
        <w:t>投标</w:t>
      </w:r>
      <w:r>
        <w:rPr>
          <w:rFonts w:hint="eastAsia" w:ascii="宋体" w:hAnsi="宋体" w:cs="宋体"/>
          <w:color w:val="auto"/>
          <w:szCs w:val="21"/>
        </w:rPr>
        <w:t>报价低于成本或者高于招标文件设定的最高投标限价；</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kern w:val="0"/>
          <w:szCs w:val="21"/>
        </w:rPr>
        <w:t>投标</w:t>
      </w:r>
      <w:r>
        <w:rPr>
          <w:rFonts w:hint="eastAsia" w:ascii="宋体" w:hAnsi="宋体" w:cs="宋体"/>
          <w:color w:val="auto"/>
          <w:szCs w:val="21"/>
        </w:rPr>
        <w:t>文件没有对招标文件的实质性要求和条件做出响应；</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9）投标人有串通</w:t>
      </w:r>
      <w:r>
        <w:rPr>
          <w:rFonts w:hint="eastAsia" w:ascii="宋体" w:hAnsi="宋体" w:cs="宋体"/>
          <w:color w:val="auto"/>
          <w:kern w:val="0"/>
          <w:szCs w:val="21"/>
        </w:rPr>
        <w:t>投标</w:t>
      </w:r>
      <w:r>
        <w:rPr>
          <w:rFonts w:hint="eastAsia" w:ascii="宋体" w:hAnsi="宋体" w:cs="宋体"/>
          <w:color w:val="auto"/>
          <w:szCs w:val="21"/>
        </w:rPr>
        <w:t>、弄虚作假、行贿等违法行为；</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10）投标人以他人名义投标；</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11）没有按照招标文件要求提供</w:t>
      </w:r>
      <w:r>
        <w:rPr>
          <w:rFonts w:hint="eastAsia" w:ascii="宋体" w:hAnsi="宋体" w:cs="宋体"/>
          <w:color w:val="auto"/>
          <w:kern w:val="0"/>
          <w:szCs w:val="21"/>
        </w:rPr>
        <w:t>投标</w:t>
      </w:r>
      <w:r>
        <w:rPr>
          <w:rFonts w:hint="eastAsia" w:ascii="宋体" w:hAnsi="宋体" w:cs="宋体"/>
          <w:color w:val="auto"/>
          <w:szCs w:val="21"/>
        </w:rPr>
        <w:t>担保或者所提供的</w:t>
      </w:r>
      <w:r>
        <w:rPr>
          <w:rFonts w:hint="eastAsia" w:ascii="宋体" w:hAnsi="宋体" w:cs="宋体"/>
          <w:color w:val="auto"/>
          <w:kern w:val="0"/>
          <w:szCs w:val="21"/>
        </w:rPr>
        <w:t>投标</w:t>
      </w:r>
      <w:r>
        <w:rPr>
          <w:rFonts w:hint="eastAsia" w:ascii="宋体" w:hAnsi="宋体" w:cs="宋体"/>
          <w:color w:val="auto"/>
          <w:szCs w:val="21"/>
        </w:rPr>
        <w:t>担保有瑕疵；</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kern w:val="0"/>
          <w:szCs w:val="21"/>
        </w:rPr>
        <w:t>投标</w:t>
      </w:r>
      <w:r>
        <w:rPr>
          <w:rFonts w:hint="eastAsia" w:ascii="宋体" w:hAnsi="宋体" w:cs="宋体"/>
          <w:color w:val="auto"/>
          <w:szCs w:val="21"/>
        </w:rPr>
        <w:t>文件载明的招标项目完成期限超过招标文件规定的期限；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13）明显不符合技术规格、技术标准的要求；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kern w:val="0"/>
          <w:szCs w:val="21"/>
        </w:rPr>
        <w:t>投标</w:t>
      </w:r>
      <w:r>
        <w:rPr>
          <w:rFonts w:hint="eastAsia" w:ascii="宋体" w:hAnsi="宋体" w:cs="宋体"/>
          <w:color w:val="auto"/>
          <w:szCs w:val="21"/>
        </w:rPr>
        <w:t>文件载明的货物包装方式、检验标准和方法等不符合招标文件的要求；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15）</w:t>
      </w:r>
      <w:r>
        <w:rPr>
          <w:rFonts w:hint="eastAsia" w:ascii="宋体" w:hAnsi="宋体" w:cs="宋体"/>
          <w:color w:val="auto"/>
          <w:kern w:val="0"/>
          <w:szCs w:val="21"/>
        </w:rPr>
        <w:t>投标</w:t>
      </w:r>
      <w:r>
        <w:rPr>
          <w:rFonts w:hint="eastAsia" w:ascii="宋体" w:hAnsi="宋体" w:cs="宋体"/>
          <w:color w:val="auto"/>
          <w:szCs w:val="21"/>
        </w:rPr>
        <w:t>文件附有招标人不能接受的条件；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16）不符合招标文件中规定的其他实质性要求。</w:t>
      </w:r>
    </w:p>
    <w:p>
      <w:pPr>
        <w:pStyle w:val="21"/>
        <w:tabs>
          <w:tab w:val="left" w:pos="630"/>
        </w:tabs>
        <w:snapToGrid w:val="0"/>
        <w:spacing w:line="440" w:lineRule="exact"/>
        <w:ind w:firstLine="424" w:firstLineChars="202"/>
        <w:rPr>
          <w:rFonts w:hAnsi="宋体"/>
          <w:color w:val="auto"/>
        </w:rPr>
      </w:pPr>
      <w:r>
        <w:rPr>
          <w:rFonts w:hAnsi="宋体"/>
          <w:color w:val="auto"/>
        </w:rPr>
        <w:t>3.1.3评审过程中，评标委员会收到低于成本价</w:t>
      </w:r>
      <w:r>
        <w:rPr>
          <w:rFonts w:hint="eastAsia" w:hAnsi="宋体" w:cs="宋体"/>
          <w:color w:val="auto"/>
          <w:kern w:val="0"/>
          <w:szCs w:val="21"/>
        </w:rPr>
        <w:t>投标</w:t>
      </w:r>
      <w:r>
        <w:rPr>
          <w:rFonts w:hint="eastAsia" w:hAnsi="宋体"/>
          <w:color w:val="auto"/>
        </w:rPr>
        <w:t>的书面质疑材料、发现投标人的综合报价明显低于其他</w:t>
      </w:r>
      <w:r>
        <w:rPr>
          <w:rFonts w:hint="eastAsia" w:hAnsi="宋体" w:cs="宋体"/>
          <w:color w:val="auto"/>
          <w:kern w:val="0"/>
          <w:szCs w:val="21"/>
        </w:rPr>
        <w:t>投标</w:t>
      </w:r>
      <w:r>
        <w:rPr>
          <w:rFonts w:hint="eastAsia" w:hAnsi="宋体"/>
          <w:color w:val="auto"/>
        </w:rPr>
        <w:t>报价或者设有标底时明显低于标底，认为</w:t>
      </w:r>
      <w:r>
        <w:rPr>
          <w:rFonts w:hint="eastAsia" w:hAnsi="宋体" w:cs="宋体"/>
          <w:color w:val="auto"/>
          <w:kern w:val="0"/>
          <w:szCs w:val="21"/>
        </w:rPr>
        <w:t>投标</w:t>
      </w:r>
      <w:r>
        <w:rPr>
          <w:rFonts w:hint="eastAsia" w:hAnsi="宋体"/>
          <w:color w:val="auto"/>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hAnsi="宋体" w:cs="宋体"/>
          <w:color w:val="auto"/>
          <w:kern w:val="0"/>
          <w:szCs w:val="21"/>
        </w:rPr>
        <w:t>投标</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3.1.4</w:t>
      </w:r>
      <w:r>
        <w:rPr>
          <w:rFonts w:hint="eastAsia" w:hAnsi="宋体" w:cs="宋体"/>
          <w:color w:val="auto"/>
          <w:kern w:val="0"/>
          <w:szCs w:val="21"/>
        </w:rPr>
        <w:t>投标</w:t>
      </w:r>
      <w:r>
        <w:rPr>
          <w:rFonts w:hint="eastAsia" w:hAnsi="宋体"/>
          <w:color w:val="auto"/>
        </w:rPr>
        <w:t>报价有算术错误的，评标委员会按照以下原则对</w:t>
      </w:r>
      <w:r>
        <w:rPr>
          <w:rFonts w:hint="eastAsia" w:hAnsi="宋体" w:cs="宋体"/>
          <w:color w:val="auto"/>
          <w:kern w:val="0"/>
          <w:szCs w:val="21"/>
        </w:rPr>
        <w:t>投标</w:t>
      </w:r>
      <w:r>
        <w:rPr>
          <w:rFonts w:hint="eastAsia" w:hAnsi="宋体"/>
          <w:color w:val="auto"/>
        </w:rPr>
        <w:t>报价进行修正，修正的价格经投标人书面确认后具有约束力。投标人不接受修正价格的，评标委员会应当否决其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kern w:val="0"/>
          <w:szCs w:val="21"/>
        </w:rPr>
        <w:t>投标</w:t>
      </w:r>
      <w:r>
        <w:rPr>
          <w:rFonts w:hint="eastAsia" w:ascii="宋体" w:hAnsi="宋体" w:cs="宋体"/>
          <w:color w:val="auto"/>
          <w:szCs w:val="21"/>
        </w:rPr>
        <w:t>文件中的大写金额与小写金额不一致的，以大写金额为准；</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2）总价金额与根据单价计算出的结果不一致的，以单价金额为准修正总价，但单价金额小数点有明显错误的除外。</w:t>
      </w:r>
    </w:p>
    <w:p>
      <w:pPr>
        <w:rPr>
          <w:b/>
          <w:bCs/>
          <w:color w:val="auto"/>
          <w:sz w:val="24"/>
          <w:szCs w:val="32"/>
        </w:rPr>
      </w:pPr>
      <w:bookmarkStart w:id="463" w:name="_Toc450489351"/>
      <w:r>
        <w:rPr>
          <w:b/>
          <w:bCs/>
          <w:color w:val="auto"/>
          <w:sz w:val="24"/>
          <w:szCs w:val="32"/>
        </w:rPr>
        <w:t>3.2</w:t>
      </w:r>
      <w:r>
        <w:rPr>
          <w:rFonts w:hint="eastAsia"/>
          <w:b/>
          <w:bCs/>
          <w:color w:val="auto"/>
          <w:sz w:val="24"/>
          <w:szCs w:val="32"/>
        </w:rPr>
        <w:t>详细评审</w:t>
      </w:r>
      <w:bookmarkEnd w:id="463"/>
    </w:p>
    <w:p>
      <w:pPr>
        <w:pStyle w:val="21"/>
        <w:tabs>
          <w:tab w:val="left" w:pos="630"/>
        </w:tabs>
        <w:snapToGrid w:val="0"/>
        <w:spacing w:line="440" w:lineRule="exact"/>
        <w:ind w:firstLine="424" w:firstLineChars="202"/>
        <w:rPr>
          <w:rFonts w:hAnsi="宋体"/>
          <w:color w:val="auto"/>
        </w:rPr>
      </w:pPr>
      <w:r>
        <w:rPr>
          <w:rFonts w:hAnsi="宋体"/>
          <w:color w:val="auto"/>
        </w:rPr>
        <w:t>3.2.1</w:t>
      </w:r>
      <w:r>
        <w:rPr>
          <w:rFonts w:hint="eastAsia" w:hAnsi="宋体"/>
          <w:color w:val="auto"/>
        </w:rPr>
        <w:t>评标委员会按照本章第</w:t>
      </w:r>
      <w:r>
        <w:rPr>
          <w:rFonts w:hAnsi="宋体"/>
          <w:color w:val="auto"/>
        </w:rPr>
        <w:t>2.2款规定的评审因素和量化标准进行评分，并计算出综合评估得分。</w:t>
      </w:r>
    </w:p>
    <w:p>
      <w:pPr>
        <w:pStyle w:val="21"/>
        <w:tabs>
          <w:tab w:val="left" w:pos="630"/>
        </w:tabs>
        <w:snapToGrid w:val="0"/>
        <w:spacing w:line="440" w:lineRule="exact"/>
        <w:ind w:firstLine="424" w:firstLineChars="202"/>
        <w:rPr>
          <w:rFonts w:hAnsi="宋体"/>
          <w:color w:val="auto"/>
        </w:rPr>
      </w:pPr>
      <w:r>
        <w:rPr>
          <w:rFonts w:hAnsi="宋体"/>
          <w:color w:val="auto"/>
        </w:rPr>
        <w:t>3.2.2评分分值计算原则上保留小数点后两位，小数点后第三位“四舍五入”。另有规定的，见评审办法前附表。</w:t>
      </w:r>
    </w:p>
    <w:p>
      <w:pPr>
        <w:rPr>
          <w:b/>
          <w:bCs/>
          <w:color w:val="auto"/>
          <w:sz w:val="24"/>
          <w:szCs w:val="32"/>
        </w:rPr>
      </w:pPr>
      <w:bookmarkStart w:id="464" w:name="_Toc450489352"/>
      <w:bookmarkStart w:id="465" w:name="_Toc447265561"/>
      <w:bookmarkStart w:id="466" w:name="_Toc447265275"/>
      <w:r>
        <w:rPr>
          <w:b/>
          <w:bCs/>
          <w:color w:val="auto"/>
          <w:sz w:val="24"/>
          <w:szCs w:val="32"/>
        </w:rPr>
        <w:t>3.3</w:t>
      </w:r>
      <w:r>
        <w:rPr>
          <w:rFonts w:hint="eastAsia"/>
          <w:b/>
          <w:bCs/>
          <w:color w:val="auto"/>
          <w:sz w:val="24"/>
          <w:szCs w:val="32"/>
        </w:rPr>
        <w:t>投标文件的澄清</w:t>
      </w:r>
      <w:bookmarkEnd w:id="464"/>
      <w:bookmarkEnd w:id="465"/>
      <w:bookmarkEnd w:id="466"/>
    </w:p>
    <w:p>
      <w:pPr>
        <w:pStyle w:val="21"/>
        <w:tabs>
          <w:tab w:val="left" w:pos="630"/>
        </w:tabs>
        <w:snapToGrid w:val="0"/>
        <w:spacing w:line="440" w:lineRule="exact"/>
        <w:ind w:firstLine="424" w:firstLineChars="202"/>
        <w:rPr>
          <w:rFonts w:hAnsi="宋体"/>
          <w:color w:val="auto"/>
        </w:rPr>
      </w:pPr>
      <w:r>
        <w:rPr>
          <w:rFonts w:hAnsi="宋体"/>
          <w:color w:val="auto"/>
        </w:rPr>
        <w:t>3.3.1在评审过程中，评标委员会应当以书面形式要求投标人对所递交的</w:t>
      </w:r>
      <w:r>
        <w:rPr>
          <w:rFonts w:hint="eastAsia" w:hAnsi="宋体" w:cs="宋体"/>
          <w:color w:val="auto"/>
          <w:kern w:val="0"/>
          <w:szCs w:val="21"/>
        </w:rPr>
        <w:t>投标</w:t>
      </w:r>
      <w:r>
        <w:rPr>
          <w:rFonts w:hint="eastAsia" w:hAnsi="宋体"/>
          <w:color w:val="auto"/>
        </w:rPr>
        <w:t>文件中不明确的内容进行书面澄清、说明或者对</w:t>
      </w:r>
      <w:r>
        <w:rPr>
          <w:rFonts w:hint="eastAsia" w:hAnsi="宋体" w:cs="宋体"/>
          <w:color w:val="auto"/>
          <w:kern w:val="0"/>
          <w:szCs w:val="21"/>
        </w:rPr>
        <w:t>投标</w:t>
      </w:r>
      <w:r>
        <w:rPr>
          <w:rFonts w:hint="eastAsia" w:hAnsi="宋体"/>
          <w:color w:val="auto"/>
        </w:rPr>
        <w:t>文件中的细微偏差进行补正。评标委员会不接受投标人主动提出的澄清、说明或者补正。</w:t>
      </w:r>
    </w:p>
    <w:p>
      <w:pPr>
        <w:pStyle w:val="21"/>
        <w:tabs>
          <w:tab w:val="left" w:pos="630"/>
        </w:tabs>
        <w:snapToGrid w:val="0"/>
        <w:spacing w:line="440" w:lineRule="exact"/>
        <w:ind w:firstLine="424" w:firstLineChars="202"/>
        <w:rPr>
          <w:rFonts w:hAnsi="宋体"/>
          <w:color w:val="auto"/>
        </w:rPr>
      </w:pPr>
      <w:r>
        <w:rPr>
          <w:rFonts w:hAnsi="宋体"/>
          <w:color w:val="auto"/>
        </w:rPr>
        <w:t>3.3.2细微偏差是指</w:t>
      </w:r>
      <w:r>
        <w:rPr>
          <w:rFonts w:hint="eastAsia" w:hAnsi="宋体" w:cs="宋体"/>
          <w:color w:val="auto"/>
          <w:kern w:val="0"/>
          <w:szCs w:val="21"/>
        </w:rPr>
        <w:t>投标</w:t>
      </w:r>
      <w:r>
        <w:rPr>
          <w:rFonts w:hint="eastAsia" w:hAnsi="宋体"/>
          <w:color w:val="auto"/>
        </w:rPr>
        <w:t>文件在实质上响应招标文件要求，但个别地方存在漏项或者提供了不完整的技术信息和数据等情况，并且补正这些遗漏或者不完整不会对其他投标人造成不公平的结果。细微偏差不影响</w:t>
      </w:r>
      <w:r>
        <w:rPr>
          <w:rFonts w:hint="eastAsia" w:hAnsi="宋体" w:cs="宋体"/>
          <w:color w:val="auto"/>
          <w:kern w:val="0"/>
          <w:szCs w:val="21"/>
        </w:rPr>
        <w:t>投标</w:t>
      </w:r>
      <w:r>
        <w:rPr>
          <w:rFonts w:hint="eastAsia" w:hAnsi="宋体"/>
          <w:color w:val="auto"/>
        </w:rPr>
        <w:t>文件的有效性。</w:t>
      </w:r>
    </w:p>
    <w:p>
      <w:pPr>
        <w:pStyle w:val="21"/>
        <w:tabs>
          <w:tab w:val="left" w:pos="630"/>
        </w:tabs>
        <w:snapToGrid w:val="0"/>
        <w:spacing w:line="440" w:lineRule="exact"/>
        <w:ind w:firstLine="424" w:firstLineChars="202"/>
        <w:rPr>
          <w:rFonts w:hAnsi="宋体"/>
          <w:color w:val="auto"/>
        </w:rPr>
      </w:pPr>
      <w:r>
        <w:rPr>
          <w:rFonts w:hAnsi="宋体"/>
          <w:color w:val="auto"/>
        </w:rPr>
        <w:t>3.3.3澄清、说明和补正不得改变投标文件的实质性内容（算术性错误修正的除外）。投标人的书面澄清、说明和补正属于</w:t>
      </w:r>
      <w:r>
        <w:rPr>
          <w:rFonts w:hint="eastAsia" w:hAnsi="宋体" w:cs="宋体"/>
          <w:color w:val="auto"/>
          <w:kern w:val="0"/>
          <w:szCs w:val="21"/>
        </w:rPr>
        <w:t>投标</w:t>
      </w:r>
      <w:r>
        <w:rPr>
          <w:rFonts w:hint="eastAsia" w:hAnsi="宋体"/>
          <w:color w:val="auto"/>
        </w:rPr>
        <w:t>选文件的组成部分。</w:t>
      </w:r>
    </w:p>
    <w:p>
      <w:pPr>
        <w:pStyle w:val="21"/>
        <w:tabs>
          <w:tab w:val="left" w:pos="630"/>
        </w:tabs>
        <w:snapToGrid w:val="0"/>
        <w:spacing w:line="440" w:lineRule="exact"/>
        <w:ind w:firstLine="424" w:firstLineChars="202"/>
        <w:rPr>
          <w:rFonts w:hAnsi="宋体"/>
          <w:color w:val="auto"/>
        </w:rPr>
      </w:pPr>
      <w:r>
        <w:rPr>
          <w:rFonts w:hAnsi="宋体"/>
          <w:color w:val="auto"/>
        </w:rPr>
        <w:t>3.3.4评标委员会对投标人递交的澄清、说明或者补正有疑问的，可以要求投标人进一步澄清、说明或者补正，直至满足评标委员会的要求。</w:t>
      </w:r>
    </w:p>
    <w:p>
      <w:pPr>
        <w:pStyle w:val="21"/>
        <w:tabs>
          <w:tab w:val="left" w:pos="630"/>
        </w:tabs>
        <w:snapToGrid w:val="0"/>
        <w:spacing w:line="440" w:lineRule="exact"/>
        <w:ind w:firstLine="424" w:firstLineChars="202"/>
        <w:rPr>
          <w:rFonts w:hAnsi="宋体"/>
          <w:color w:val="auto"/>
        </w:rPr>
      </w:pPr>
      <w:r>
        <w:rPr>
          <w:rFonts w:hAnsi="宋体"/>
          <w:color w:val="auto"/>
        </w:rPr>
        <w:t>3.3.5</w:t>
      </w:r>
      <w:r>
        <w:rPr>
          <w:rFonts w:hint="eastAsia" w:hAnsi="宋体"/>
          <w:color w:val="auto"/>
        </w:rPr>
        <w:t>评标委员会必要时可以要求投标人递交有关证明和证件的原件，以便核验。</w:t>
      </w:r>
    </w:p>
    <w:p>
      <w:pPr>
        <w:rPr>
          <w:b/>
          <w:bCs/>
          <w:color w:val="auto"/>
          <w:sz w:val="24"/>
          <w:szCs w:val="32"/>
        </w:rPr>
      </w:pPr>
      <w:bookmarkStart w:id="467" w:name="_Toc450489353"/>
      <w:r>
        <w:rPr>
          <w:b/>
          <w:bCs/>
          <w:color w:val="auto"/>
          <w:sz w:val="24"/>
          <w:szCs w:val="32"/>
        </w:rPr>
        <w:t>3.4</w:t>
      </w:r>
      <w:r>
        <w:rPr>
          <w:rFonts w:hint="eastAsia"/>
          <w:b/>
          <w:bCs/>
          <w:color w:val="auto"/>
          <w:sz w:val="24"/>
          <w:szCs w:val="32"/>
        </w:rPr>
        <w:t>中标候选人推荐原则</w:t>
      </w:r>
      <w:bookmarkEnd w:id="467"/>
    </w:p>
    <w:p>
      <w:pPr>
        <w:pStyle w:val="21"/>
        <w:tabs>
          <w:tab w:val="left" w:pos="630"/>
        </w:tabs>
        <w:snapToGrid w:val="0"/>
        <w:spacing w:line="440" w:lineRule="exact"/>
        <w:ind w:firstLine="424" w:firstLineChars="202"/>
        <w:rPr>
          <w:rFonts w:hAnsi="宋体"/>
          <w:color w:val="auto"/>
        </w:rPr>
      </w:pPr>
      <w:r>
        <w:rPr>
          <w:rFonts w:hAnsi="宋体"/>
          <w:color w:val="auto"/>
        </w:rPr>
        <w:t>3.4.1评标委员会按照综合评分由高到低的顺序推荐中标候选人。综合评分相同的，处理原则见评审办法前附表。</w:t>
      </w:r>
    </w:p>
    <w:p>
      <w:pPr>
        <w:pStyle w:val="21"/>
        <w:tabs>
          <w:tab w:val="left" w:pos="630"/>
        </w:tabs>
        <w:snapToGrid w:val="0"/>
        <w:spacing w:line="440" w:lineRule="exact"/>
        <w:ind w:firstLine="424" w:firstLineChars="202"/>
        <w:rPr>
          <w:rFonts w:hAnsi="宋体"/>
          <w:color w:val="auto"/>
        </w:rPr>
      </w:pPr>
      <w:r>
        <w:rPr>
          <w:rFonts w:hAnsi="宋体"/>
          <w:color w:val="auto"/>
        </w:rPr>
        <w:t>3.4.2中标候选人推荐原则见评审办法前附表。</w:t>
      </w:r>
    </w:p>
    <w:p>
      <w:pPr>
        <w:rPr>
          <w:b/>
          <w:bCs/>
          <w:color w:val="auto"/>
          <w:sz w:val="24"/>
          <w:szCs w:val="32"/>
        </w:rPr>
      </w:pPr>
      <w:bookmarkStart w:id="468" w:name="_Toc450489354"/>
      <w:r>
        <w:rPr>
          <w:b/>
          <w:bCs/>
          <w:color w:val="auto"/>
          <w:sz w:val="24"/>
          <w:szCs w:val="32"/>
        </w:rPr>
        <w:t>3.5</w:t>
      </w:r>
      <w:r>
        <w:rPr>
          <w:rFonts w:hint="eastAsia"/>
          <w:b/>
          <w:bCs/>
          <w:color w:val="auto"/>
          <w:sz w:val="24"/>
          <w:szCs w:val="32"/>
        </w:rPr>
        <w:t>评审结果</w:t>
      </w:r>
      <w:bookmarkEnd w:id="468"/>
    </w:p>
    <w:p>
      <w:pPr>
        <w:pStyle w:val="21"/>
        <w:tabs>
          <w:tab w:val="left" w:pos="630"/>
        </w:tabs>
        <w:snapToGrid w:val="0"/>
        <w:spacing w:line="440" w:lineRule="exact"/>
        <w:ind w:firstLine="424" w:firstLineChars="202"/>
        <w:rPr>
          <w:rFonts w:hAnsi="宋体"/>
          <w:color w:val="auto"/>
        </w:rPr>
      </w:pPr>
      <w:r>
        <w:rPr>
          <w:rFonts w:hAnsi="宋体"/>
          <w:color w:val="auto"/>
        </w:rPr>
        <w:t>3.5.1评标委员会完成评审后，应当向招标人递交书面评审报告。评标委员会分组评审的，应当形成统一、完整的评审报告。</w:t>
      </w:r>
    </w:p>
    <w:p>
      <w:pPr>
        <w:pStyle w:val="77"/>
        <w:spacing w:before="240" w:after="120"/>
        <w:rPr>
          <w:rFonts w:ascii="宋体" w:hAnsi="宋体" w:cs="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color w:val="auto"/>
          <w:szCs w:val="21"/>
        </w:rPr>
        <w:br w:type="page"/>
      </w:r>
      <w:bookmarkEnd w:id="431"/>
      <w:bookmarkEnd w:id="432"/>
      <w:bookmarkEnd w:id="433"/>
      <w:bookmarkEnd w:id="434"/>
      <w:bookmarkEnd w:id="435"/>
    </w:p>
    <w:p>
      <w:pPr>
        <w:pStyle w:val="77"/>
        <w:spacing w:before="240" w:after="120"/>
        <w:rPr>
          <w:rFonts w:ascii="宋体" w:hAnsi="宋体" w:eastAsia="宋体" w:cs="宋体"/>
          <w:b/>
          <w:bCs w:val="0"/>
          <w:color w:val="auto"/>
          <w:kern w:val="0"/>
          <w:sz w:val="28"/>
          <w:szCs w:val="28"/>
        </w:rPr>
      </w:pPr>
      <w:bookmarkStart w:id="469" w:name="_Toc475472623"/>
      <w:bookmarkStart w:id="470" w:name="_Toc11830"/>
      <w:bookmarkStart w:id="471" w:name="_Toc1774"/>
      <w:bookmarkStart w:id="472" w:name="_Toc56432219"/>
      <w:bookmarkStart w:id="473" w:name="_Toc4577"/>
      <w:bookmarkStart w:id="474" w:name="_Toc14833"/>
      <w:bookmarkStart w:id="475" w:name="_Toc447265599"/>
      <w:bookmarkStart w:id="476" w:name="_Toc226969353"/>
      <w:bookmarkStart w:id="477" w:name="_Toc227057959"/>
      <w:bookmarkStart w:id="478" w:name="_Toc447265313"/>
      <w:bookmarkStart w:id="479" w:name="_Toc107822570"/>
      <w:r>
        <w:rPr>
          <w:rFonts w:hint="eastAsia" w:ascii="宋体" w:hAnsi="宋体" w:eastAsia="宋体" w:cs="宋体"/>
          <w:b/>
          <w:bCs w:val="0"/>
          <w:color w:val="auto"/>
          <w:kern w:val="0"/>
          <w:sz w:val="28"/>
          <w:szCs w:val="28"/>
        </w:rPr>
        <w:t>第四章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商务</w:t>
      </w:r>
      <w:bookmarkEnd w:id="469"/>
      <w:r>
        <w:rPr>
          <w:rFonts w:hint="eastAsia" w:ascii="宋体" w:hAnsi="宋体" w:eastAsia="宋体" w:cs="宋体"/>
          <w:b/>
          <w:bCs w:val="0"/>
          <w:color w:val="auto"/>
          <w:kern w:val="0"/>
          <w:sz w:val="28"/>
          <w:szCs w:val="28"/>
        </w:rPr>
        <w:t>合同</w:t>
      </w:r>
      <w:bookmarkEnd w:id="470"/>
      <w:bookmarkEnd w:id="471"/>
      <w:bookmarkEnd w:id="472"/>
      <w:bookmarkEnd w:id="473"/>
      <w:bookmarkEnd w:id="474"/>
    </w:p>
    <w:p>
      <w:pPr>
        <w:spacing w:line="400" w:lineRule="exact"/>
        <w:jc w:val="left"/>
        <w:rPr>
          <w:rFonts w:ascii="宋体" w:hAnsi="宋体"/>
          <w:b/>
          <w:color w:val="auto"/>
          <w:szCs w:val="21"/>
        </w:rPr>
      </w:pPr>
      <w:r>
        <w:rPr>
          <w:rFonts w:hint="eastAsia" w:ascii="宋体" w:hAnsi="宋体"/>
          <w:b/>
          <w:color w:val="auto"/>
          <w:szCs w:val="21"/>
        </w:rPr>
        <w:t>总则</w:t>
      </w:r>
    </w:p>
    <w:p>
      <w:pPr>
        <w:spacing w:line="400" w:lineRule="exact"/>
        <w:jc w:val="left"/>
        <w:rPr>
          <w:rFonts w:ascii="宋体" w:hAnsi="宋体"/>
          <w:color w:val="auto"/>
          <w:szCs w:val="21"/>
        </w:rPr>
      </w:pPr>
      <w:r>
        <w:rPr>
          <w:rFonts w:ascii="宋体" w:hAnsi="宋体"/>
          <w:color w:val="auto"/>
          <w:szCs w:val="21"/>
        </w:rPr>
        <w:t>1.1本章涉及商务合同条款要求，</w:t>
      </w:r>
      <w:r>
        <w:rPr>
          <w:rFonts w:hint="eastAsia" w:ascii="宋体" w:hAnsi="宋体"/>
          <w:color w:val="auto"/>
          <w:szCs w:val="21"/>
        </w:rPr>
        <w:t>投标人填写商务合同条款偏离表</w:t>
      </w:r>
      <w:r>
        <w:rPr>
          <w:rFonts w:ascii="宋体" w:hAnsi="宋体"/>
          <w:color w:val="auto"/>
          <w:szCs w:val="21"/>
        </w:rPr>
        <w:t>之用，并作为中标后买卖双方签订合同的基础。</w:t>
      </w:r>
    </w:p>
    <w:p>
      <w:pPr>
        <w:spacing w:line="400" w:lineRule="exact"/>
        <w:jc w:val="left"/>
        <w:rPr>
          <w:rFonts w:ascii="宋体" w:hAnsi="宋体"/>
          <w:color w:val="auto"/>
          <w:szCs w:val="21"/>
        </w:rPr>
      </w:pPr>
      <w:r>
        <w:rPr>
          <w:rFonts w:ascii="宋体" w:hAnsi="宋体"/>
          <w:color w:val="auto"/>
          <w:szCs w:val="21"/>
        </w:rPr>
        <w:t>1.2针对本章合同条款内容，</w:t>
      </w:r>
      <w:r>
        <w:rPr>
          <w:rFonts w:hint="eastAsia" w:ascii="宋体" w:hAnsi="宋体"/>
          <w:color w:val="auto"/>
          <w:szCs w:val="21"/>
        </w:rPr>
        <w:t>投标人</w:t>
      </w:r>
      <w:r>
        <w:rPr>
          <w:rFonts w:ascii="宋体" w:hAnsi="宋体"/>
          <w:color w:val="auto"/>
          <w:szCs w:val="21"/>
        </w:rPr>
        <w:t>应</w:t>
      </w:r>
      <w:r>
        <w:rPr>
          <w:rFonts w:hint="eastAsia" w:ascii="宋体" w:hAnsi="宋体"/>
          <w:color w:val="auto"/>
          <w:szCs w:val="21"/>
        </w:rPr>
        <w:t>填写“商务合同条款偏离表”。如存在偏离</w:t>
      </w:r>
      <w:r>
        <w:rPr>
          <w:rFonts w:ascii="宋体" w:hAnsi="宋体"/>
          <w:color w:val="auto"/>
          <w:szCs w:val="21"/>
        </w:rPr>
        <w:t>应提出充分理由并</w:t>
      </w:r>
      <w:r>
        <w:rPr>
          <w:rFonts w:hint="eastAsia" w:ascii="宋体" w:hAnsi="宋体"/>
          <w:color w:val="auto"/>
          <w:szCs w:val="21"/>
        </w:rPr>
        <w:t>在“合同条款偏离表”中</w:t>
      </w:r>
      <w:r>
        <w:rPr>
          <w:rFonts w:ascii="宋体" w:hAnsi="宋体"/>
          <w:color w:val="auto"/>
          <w:szCs w:val="21"/>
        </w:rPr>
        <w:t>加以详尽说明。</w:t>
      </w:r>
    </w:p>
    <w:p>
      <w:pPr>
        <w:spacing w:line="400" w:lineRule="exact"/>
        <w:jc w:val="left"/>
        <w:rPr>
          <w:rFonts w:ascii="宋体" w:hAnsi="宋体"/>
          <w:color w:val="auto"/>
          <w:szCs w:val="21"/>
        </w:rPr>
      </w:pPr>
      <w:r>
        <w:rPr>
          <w:rFonts w:ascii="宋体" w:hAnsi="宋体"/>
          <w:color w:val="auto"/>
          <w:szCs w:val="21"/>
        </w:rPr>
        <w:t>1.3本章内容根据</w:t>
      </w:r>
      <w:r>
        <w:rPr>
          <w:rFonts w:hint="eastAsia" w:ascii="宋体" w:hAnsi="宋体"/>
          <w:color w:val="auto"/>
          <w:szCs w:val="21"/>
        </w:rPr>
        <w:t>投标人</w:t>
      </w:r>
      <w:r>
        <w:rPr>
          <w:rFonts w:ascii="宋体" w:hAnsi="宋体"/>
          <w:color w:val="auto"/>
          <w:szCs w:val="21"/>
        </w:rPr>
        <w:t>的投标情况完善后，将作为</w:t>
      </w:r>
      <w:r>
        <w:rPr>
          <w:rFonts w:hint="eastAsia" w:ascii="宋体" w:hAnsi="宋体"/>
          <w:color w:val="auto"/>
          <w:szCs w:val="21"/>
        </w:rPr>
        <w:t>招标人</w:t>
      </w:r>
      <w:r>
        <w:rPr>
          <w:rFonts w:ascii="宋体" w:hAnsi="宋体"/>
          <w:color w:val="auto"/>
          <w:szCs w:val="21"/>
        </w:rPr>
        <w:t>与中标人签订合同的基础。</w:t>
      </w:r>
      <w:r>
        <w:rPr>
          <w:rFonts w:hint="eastAsia" w:ascii="宋体" w:hAnsi="宋体"/>
          <w:color w:val="auto"/>
          <w:szCs w:val="21"/>
          <w:lang w:eastAsia="zh-CN"/>
        </w:rPr>
        <w:t>广东南方日报经营有限公司</w:t>
      </w:r>
      <w:r>
        <w:rPr>
          <w:rFonts w:ascii="宋体" w:hAnsi="宋体"/>
          <w:color w:val="auto"/>
          <w:szCs w:val="21"/>
        </w:rPr>
        <w:t>为合同甲方；</w:t>
      </w:r>
      <w:r>
        <w:rPr>
          <w:rFonts w:hint="eastAsia" w:ascii="宋体" w:hAnsi="宋体"/>
          <w:color w:val="auto"/>
          <w:szCs w:val="21"/>
        </w:rPr>
        <w:t>中标</w:t>
      </w:r>
      <w:r>
        <w:rPr>
          <w:rFonts w:ascii="宋体" w:hAnsi="宋体"/>
          <w:color w:val="auto"/>
          <w:szCs w:val="21"/>
        </w:rPr>
        <w:t>人为合同乙方。</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投标人须对《商务合同书》全部条款理解清楚，并填写《合同条款偏离表》（格式见第六章）。</w:t>
      </w:r>
    </w:p>
    <w:p>
      <w:pPr>
        <w:spacing w:line="360" w:lineRule="auto"/>
        <w:ind w:firstLine="422" w:firstLineChars="200"/>
        <w:rPr>
          <w:rFonts w:ascii="宋体" w:hAnsi="宋体"/>
          <w:b/>
          <w:color w:val="auto"/>
        </w:rPr>
      </w:pPr>
      <w:r>
        <w:rPr>
          <w:rFonts w:hint="eastAsia" w:ascii="宋体" w:hAnsi="宋体"/>
          <w:b/>
          <w:color w:val="auto"/>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ascii="宋体" w:hAnsi="宋体"/>
          <w:b/>
          <w:color w:val="auto"/>
        </w:rPr>
      </w:pPr>
      <w:r>
        <w:rPr>
          <w:rFonts w:ascii="宋体" w:hAnsi="宋体"/>
          <w:b/>
          <w:color w:val="auto"/>
        </w:rPr>
        <w:br w:type="page"/>
      </w:r>
    </w:p>
    <w:bookmarkEnd w:id="475"/>
    <w:bookmarkEnd w:id="476"/>
    <w:bookmarkEnd w:id="477"/>
    <w:bookmarkEnd w:id="478"/>
    <w:bookmarkEnd w:id="479"/>
    <w:p>
      <w:pPr>
        <w:snapToGrid w:val="0"/>
        <w:spacing w:line="360" w:lineRule="auto"/>
        <w:jc w:val="center"/>
        <w:rPr>
          <w:rFonts w:ascii="宋体" w:hAnsi="宋体" w:cs="宋体"/>
          <w:b/>
          <w:sz w:val="32"/>
          <w:szCs w:val="32"/>
        </w:rPr>
      </w:pPr>
      <w:bookmarkStart w:id="480" w:name="_Toc475472662"/>
      <w:bookmarkStart w:id="481" w:name="_Toc14414"/>
      <w:bookmarkStart w:id="482" w:name="_Toc56432221"/>
      <w:bookmarkStart w:id="483" w:name="_Toc447265316"/>
      <w:bookmarkStart w:id="484" w:name="_Toc475472669"/>
      <w:bookmarkStart w:id="485" w:name="_Toc447265602"/>
      <w:r>
        <w:rPr>
          <w:rFonts w:hint="eastAsia" w:ascii="宋体" w:hAnsi="宋体" w:cs="宋体"/>
          <w:b/>
          <w:sz w:val="32"/>
          <w:szCs w:val="32"/>
          <w:lang w:val="en-US" w:eastAsia="zh-CN"/>
        </w:rPr>
        <w:t>南方日报广告业务管理平台升级改造公开招标项目</w:t>
      </w:r>
      <w:r>
        <w:rPr>
          <w:rFonts w:hint="eastAsia" w:ascii="宋体" w:hAnsi="宋体" w:cs="宋体"/>
          <w:b/>
          <w:sz w:val="32"/>
          <w:szCs w:val="32"/>
        </w:rPr>
        <w:t>服务合同</w:t>
      </w:r>
    </w:p>
    <w:p>
      <w:pPr>
        <w:snapToGrid w:val="0"/>
        <w:spacing w:line="360" w:lineRule="auto"/>
        <w:rPr>
          <w:rFonts w:ascii="宋体" w:hAnsi="宋体" w:cs="宋体"/>
          <w:sz w:val="24"/>
        </w:rPr>
      </w:pPr>
    </w:p>
    <w:p>
      <w:pPr>
        <w:autoSpaceDE w:val="0"/>
        <w:autoSpaceDN w:val="0"/>
        <w:spacing w:line="560" w:lineRule="exact"/>
        <w:ind w:firstLine="420" w:firstLineChars="200"/>
        <w:textAlignment w:val="bottom"/>
        <w:rPr>
          <w:rFonts w:hint="default" w:ascii="宋体" w:hAnsi="宋体" w:eastAsia="宋体" w:cs="宋体"/>
          <w:szCs w:val="21"/>
          <w:lang w:val="en-US" w:eastAsia="zh-CN"/>
        </w:rPr>
      </w:pPr>
      <w:r>
        <w:rPr>
          <w:rFonts w:hint="eastAsia" w:ascii="宋体" w:hAnsi="宋体" w:cs="宋体"/>
          <w:szCs w:val="21"/>
        </w:rPr>
        <w:t xml:space="preserve">甲方： </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地址：</w:t>
      </w:r>
    </w:p>
    <w:p>
      <w:pPr>
        <w:autoSpaceDE w:val="0"/>
        <w:autoSpaceDN w:val="0"/>
        <w:spacing w:line="560" w:lineRule="exact"/>
        <w:ind w:firstLine="420" w:firstLineChars="200"/>
        <w:textAlignment w:val="bottom"/>
        <w:rPr>
          <w:rFonts w:ascii="宋体" w:hAnsi="宋体" w:cs="宋体"/>
          <w:szCs w:val="21"/>
        </w:rPr>
      </w:pP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乙方：</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地址：</w:t>
      </w:r>
    </w:p>
    <w:p>
      <w:pPr>
        <w:autoSpaceDE w:val="0"/>
        <w:autoSpaceDN w:val="0"/>
        <w:spacing w:line="560" w:lineRule="exact"/>
        <w:ind w:firstLine="420" w:firstLineChars="200"/>
        <w:textAlignment w:val="bottom"/>
        <w:rPr>
          <w:rFonts w:hint="eastAsia" w:ascii="宋体" w:hAnsi="宋体" w:cs="宋体"/>
          <w:szCs w:val="21"/>
        </w:rPr>
      </w:pP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甲乙双方本着平等互利、友好协商的原则，根据《中华人民共和国民法典》有关规定及其他相关法律法规的规定，达成以下合同条款，共同信守执行。</w:t>
      </w:r>
    </w:p>
    <w:p>
      <w:pPr>
        <w:autoSpaceDE w:val="0"/>
        <w:autoSpaceDN w:val="0"/>
        <w:spacing w:line="560" w:lineRule="exact"/>
        <w:textAlignment w:val="bottom"/>
        <w:rPr>
          <w:rFonts w:ascii="宋体" w:hAnsi="宋体" w:cs="宋体"/>
          <w:sz w:val="24"/>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ascii="宋体" w:hAnsi="宋体" w:cs="宋体"/>
          <w:b/>
          <w:szCs w:val="21"/>
        </w:rPr>
      </w:pPr>
      <w:bookmarkStart w:id="486" w:name="_Toc29601"/>
      <w:r>
        <w:rPr>
          <w:rFonts w:hint="eastAsia" w:ascii="宋体" w:hAnsi="宋体" w:cs="宋体"/>
          <w:b/>
          <w:szCs w:val="21"/>
        </w:rPr>
        <w:t>第一条</w:t>
      </w:r>
      <w:r>
        <w:rPr>
          <w:rFonts w:ascii="宋体" w:hAnsi="宋体" w:cs="宋体"/>
          <w:b/>
          <w:szCs w:val="21"/>
        </w:rPr>
        <w:t xml:space="preserve"> </w:t>
      </w:r>
      <w:r>
        <w:rPr>
          <w:rFonts w:hint="eastAsia" w:ascii="宋体" w:hAnsi="宋体" w:cs="宋体"/>
          <w:b/>
          <w:szCs w:val="21"/>
        </w:rPr>
        <w:t>定义</w:t>
      </w:r>
      <w:bookmarkEnd w:id="486"/>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1.1</w:t>
      </w:r>
      <w:r>
        <w:rPr>
          <w:rFonts w:hint="eastAsia" w:ascii="宋体" w:hAnsi="宋体" w:cs="宋体"/>
          <w:szCs w:val="21"/>
        </w:rPr>
        <w:t>“本工程”或“本项目”：指[</w:t>
      </w:r>
      <w:r>
        <w:rPr>
          <w:rFonts w:hint="eastAsia" w:ascii="宋体" w:hAnsi="宋体" w:cs="宋体"/>
          <w:szCs w:val="21"/>
          <w:lang w:val="en-US" w:eastAsia="zh-CN"/>
        </w:rPr>
        <w:t>南方日报广告业务管理平台升级改造项目</w:t>
      </w:r>
      <w:r>
        <w:rPr>
          <w:rFonts w:hint="eastAsia" w:ascii="宋体" w:hAnsi="宋体" w:cs="宋体"/>
          <w:szCs w:val="21"/>
        </w:rPr>
        <w:t>]。</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1.2“技术开发测试”：指对于此项目的应用软件进行开发或测试服务。</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1.3“初步验收”或“初验”：指安装、调测、割接。甲方能够正常使用各项功能后，甲方在乙方的协助下对项目所开发的系统进行测试和验证，若达到所有相关技术要求，则双方共同签署《初验合格证书》，系统进入试运行，试运行期为初验后[</w:t>
      </w:r>
      <w:r>
        <w:rPr>
          <w:rFonts w:hint="eastAsia" w:ascii="宋体" w:hAnsi="宋体" w:cs="宋体"/>
          <w:szCs w:val="21"/>
          <w:lang w:val="en-US" w:eastAsia="zh-CN"/>
        </w:rPr>
        <w:t xml:space="preserve">    </w:t>
      </w:r>
      <w:r>
        <w:rPr>
          <w:rFonts w:hint="eastAsia" w:ascii="宋体" w:hAnsi="宋体" w:cs="宋体"/>
          <w:szCs w:val="21"/>
        </w:rPr>
        <w:t>天]。</w:t>
      </w:r>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“最终验收”或“终验”：</w:t>
      </w:r>
      <w:r>
        <w:rPr>
          <w:rFonts w:hint="eastAsia" w:ascii="宋体" w:hAnsi="宋体" w:cs="宋体"/>
          <w:szCs w:val="21"/>
        </w:rPr>
        <w:t xml:space="preserve"> 指通过试运行期后，甲方在乙方的协助下对项目所开发的系统进行全面的、最后的检验，以证明其满足技术规范书所有要求。若系统通过最终验收，则双方将签署《最终验收合格证书》。</w:t>
      </w:r>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w:t>
      </w:r>
      <w:r>
        <w:rPr>
          <w:rFonts w:hint="eastAsia" w:ascii="宋体" w:hAnsi="宋体" w:cs="宋体"/>
          <w:szCs w:val="21"/>
        </w:rPr>
        <w:t>5 “保修期内技术支持与服务”：指乙方为甲方提供的，自终验证书签发之日起为期[</w:t>
      </w:r>
      <w:r>
        <w:rPr>
          <w:rFonts w:hint="eastAsia" w:ascii="宋体" w:hAnsi="宋体" w:cs="宋体"/>
          <w:szCs w:val="21"/>
          <w:lang w:val="en-US" w:eastAsia="zh-CN"/>
        </w:rPr>
        <w:t>12</w:t>
      </w:r>
      <w:r>
        <w:rPr>
          <w:rFonts w:hint="eastAsia" w:ascii="宋体" w:hAnsi="宋体" w:cs="宋体"/>
          <w:szCs w:val="21"/>
        </w:rPr>
        <w:t>]个月的技术支持和服务。</w:t>
      </w:r>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w:t>
      </w:r>
      <w:r>
        <w:rPr>
          <w:rFonts w:hint="eastAsia" w:ascii="宋体" w:hAnsi="宋体" w:cs="宋体"/>
          <w:szCs w:val="21"/>
        </w:rPr>
        <w:t xml:space="preserve">6 </w:t>
      </w:r>
      <w:r>
        <w:rPr>
          <w:rFonts w:ascii="宋体" w:hAnsi="宋体" w:cs="宋体"/>
          <w:szCs w:val="21"/>
        </w:rPr>
        <w:t>“响应时间”：乙方就甲方提出的问题予以答复并提供可行性解决方案的时间。</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1.7“甲方”：</w:t>
      </w:r>
      <w:r>
        <w:rPr>
          <w:rFonts w:hint="eastAsia" w:ascii="宋体" w:hAnsi="宋体" w:cs="宋体"/>
          <w:szCs w:val="21"/>
          <w:lang w:val="en-US" w:eastAsia="zh-CN"/>
        </w:rPr>
        <w:t xml:space="preserve">指       </w:t>
      </w:r>
      <w:r>
        <w:rPr>
          <w:rFonts w:hint="eastAsia" w:ascii="宋体" w:hAnsi="宋体" w:cs="宋体"/>
          <w:szCs w:val="21"/>
        </w:rPr>
        <w:t>。</w:t>
      </w:r>
    </w:p>
    <w:p>
      <w:pPr>
        <w:autoSpaceDE w:val="0"/>
        <w:autoSpaceDN w:val="0"/>
        <w:spacing w:line="560" w:lineRule="exact"/>
        <w:ind w:firstLine="420" w:firstLineChars="200"/>
        <w:textAlignment w:val="bottom"/>
        <w:rPr>
          <w:rFonts w:ascii="宋体" w:hAnsi="宋体" w:cs="宋体"/>
          <w:szCs w:val="21"/>
        </w:rPr>
      </w:pPr>
      <w:r>
        <w:rPr>
          <w:rFonts w:hint="eastAsia" w:ascii="宋体" w:hAnsi="宋体" w:cs="宋体"/>
          <w:szCs w:val="21"/>
        </w:rPr>
        <w:t>1.8“乙方”：指</w:t>
      </w:r>
      <w:r>
        <w:rPr>
          <w:rFonts w:hint="eastAsia" w:ascii="宋体" w:hAnsi="宋体" w:cs="宋体"/>
          <w:szCs w:val="21"/>
          <w:lang w:val="en-US" w:eastAsia="zh-CN"/>
        </w:rPr>
        <w:t xml:space="preserve">       </w:t>
      </w:r>
      <w:r>
        <w:rPr>
          <w:rFonts w:hint="eastAsia" w:ascii="宋体" w:hAnsi="宋体" w:cs="宋体"/>
          <w:szCs w:val="21"/>
        </w:rPr>
        <w:t>。</w:t>
      </w:r>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w:t>
      </w:r>
      <w:r>
        <w:rPr>
          <w:rFonts w:hint="eastAsia" w:ascii="宋体" w:hAnsi="宋体" w:cs="宋体"/>
          <w:szCs w:val="21"/>
        </w:rPr>
        <w:t>9</w:t>
      </w:r>
      <w:r>
        <w:rPr>
          <w:rFonts w:ascii="宋体" w:hAnsi="宋体" w:cs="宋体"/>
          <w:szCs w:val="21"/>
        </w:rPr>
        <w:t>“一方”：甲方或乙方。</w:t>
      </w:r>
    </w:p>
    <w:p>
      <w:pPr>
        <w:autoSpaceDE w:val="0"/>
        <w:autoSpaceDN w:val="0"/>
        <w:spacing w:line="560" w:lineRule="exact"/>
        <w:ind w:firstLine="420" w:firstLineChars="200"/>
        <w:textAlignment w:val="bottom"/>
        <w:rPr>
          <w:rFonts w:ascii="宋体" w:hAnsi="宋体" w:cs="宋体"/>
          <w:szCs w:val="21"/>
        </w:rPr>
      </w:pPr>
      <w:r>
        <w:rPr>
          <w:rFonts w:ascii="宋体" w:hAnsi="宋体" w:cs="宋体"/>
          <w:szCs w:val="21"/>
        </w:rPr>
        <w:t>1.</w:t>
      </w:r>
      <w:r>
        <w:rPr>
          <w:rFonts w:hint="eastAsia" w:ascii="宋体" w:hAnsi="宋体" w:cs="宋体"/>
          <w:szCs w:val="21"/>
        </w:rPr>
        <w:t>10</w:t>
      </w:r>
      <w:r>
        <w:rPr>
          <w:rFonts w:ascii="宋体" w:hAnsi="宋体" w:cs="宋体"/>
          <w:szCs w:val="21"/>
        </w:rPr>
        <w:t>“双方”：甲方和乙方。</w:t>
      </w:r>
    </w:p>
    <w:p>
      <w:pPr>
        <w:autoSpaceDE w:val="0"/>
        <w:autoSpaceDN w:val="0"/>
        <w:spacing w:line="560" w:lineRule="exact"/>
        <w:textAlignment w:val="bottom"/>
        <w:rPr>
          <w:rFonts w:ascii="宋体" w:hAnsi="宋体" w:cs="宋体"/>
          <w:b/>
          <w:sz w:val="24"/>
          <w:szCs w:val="28"/>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87" w:name="_Toc15817"/>
      <w:r>
        <w:rPr>
          <w:rFonts w:hint="eastAsia" w:ascii="宋体" w:hAnsi="宋体" w:cs="宋体"/>
          <w:b/>
          <w:szCs w:val="21"/>
        </w:rPr>
        <w:t xml:space="preserve">第二条 </w:t>
      </w:r>
      <w:bookmarkStart w:id="488" w:name="_Toc33253829"/>
      <w:r>
        <w:rPr>
          <w:rFonts w:hint="eastAsia" w:ascii="宋体" w:hAnsi="宋体" w:cs="宋体"/>
          <w:b/>
          <w:szCs w:val="21"/>
        </w:rPr>
        <w:t>合同标的</w:t>
      </w:r>
      <w:bookmarkEnd w:id="487"/>
      <w:bookmarkEnd w:id="488"/>
    </w:p>
    <w:p>
      <w:pPr>
        <w:autoSpaceDE w:val="0"/>
        <w:autoSpaceDN w:val="0"/>
        <w:spacing w:line="560" w:lineRule="exact"/>
        <w:ind w:firstLine="562"/>
        <w:textAlignment w:val="bottom"/>
        <w:rPr>
          <w:rFonts w:ascii="宋体" w:hAnsi="宋体" w:cs="宋体"/>
          <w:szCs w:val="21"/>
        </w:rPr>
      </w:pPr>
      <w:bookmarkStart w:id="489" w:name="_Toc33253830"/>
      <w:r>
        <w:rPr>
          <w:rFonts w:hint="eastAsia" w:ascii="宋体" w:hAnsi="宋体" w:cs="宋体"/>
          <w:szCs w:val="21"/>
        </w:rPr>
        <w:t>2.1本合同的委托开发项目名称为：</w:t>
      </w:r>
      <w:r>
        <w:rPr>
          <w:rFonts w:hint="eastAsia" w:ascii="宋体" w:hAnsi="宋体" w:cs="宋体"/>
          <w:szCs w:val="21"/>
          <w:u w:val="single"/>
          <w:lang w:val="en-US" w:eastAsia="zh-CN"/>
        </w:rPr>
        <w:t>南方日报广告业务管理平台升级改造项目</w:t>
      </w:r>
      <w:r>
        <w:rPr>
          <w:rFonts w:hint="eastAsia" w:ascii="宋体" w:hAnsi="宋体" w:cs="宋体"/>
          <w:szCs w:val="21"/>
        </w:rPr>
        <w:t>。</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2.2开发依据：甲乙双方共同确认的《</w:t>
      </w:r>
      <w:r>
        <w:rPr>
          <w:rFonts w:hint="eastAsia" w:ascii="宋体" w:hAnsi="宋体" w:cs="宋体"/>
          <w:szCs w:val="21"/>
          <w:u w:val="single"/>
          <w:lang w:val="en-US" w:eastAsia="zh-CN"/>
        </w:rPr>
        <w:t>南方日报广告业务管理平台升级改造项目</w:t>
      </w:r>
      <w:r>
        <w:rPr>
          <w:rFonts w:hint="eastAsia" w:ascii="宋体" w:hAnsi="宋体" w:cs="宋体"/>
          <w:szCs w:val="21"/>
        </w:rPr>
        <w:t xml:space="preserve">建设范围和内容》。 </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2.3乙方应按照甲乙双方确认的开发计划，按期完成委托开发技术成果，</w:t>
      </w:r>
      <w:r>
        <w:rPr>
          <w:rFonts w:hint="eastAsia" w:ascii="宋体" w:hAnsi="宋体" w:cs="宋体"/>
          <w:kern w:val="0"/>
          <w:szCs w:val="21"/>
        </w:rPr>
        <w:t>初验、试运行和终验要求见本合同第四条</w:t>
      </w:r>
      <w:r>
        <w:rPr>
          <w:rFonts w:hint="eastAsia" w:ascii="宋体" w:hAnsi="宋体" w:cs="宋体"/>
          <w:szCs w:val="21"/>
        </w:rPr>
        <w:t>。</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2.4甲方应以书面形式详细列出未按研究开发计划或者未按照开发依据文档要求完成项目的具体内容，向乙方下达书面督促通知，乙方应按甲方要求的期限进行修改。</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2.5甲方有需求变更或责任追加，需与乙方协商制定。需求变更过大或责任追加过重的情况下，甲方应按双方协商结果向乙方追加项目开发费用。</w:t>
      </w:r>
    </w:p>
    <w:p>
      <w:pPr>
        <w:autoSpaceDE w:val="0"/>
        <w:autoSpaceDN w:val="0"/>
        <w:spacing w:line="560" w:lineRule="exact"/>
        <w:ind w:firstLine="562"/>
        <w:textAlignment w:val="bottom"/>
        <w:rPr>
          <w:rFonts w:ascii="宋体" w:hAnsi="宋体" w:cs="宋体"/>
          <w:sz w:val="24"/>
          <w:szCs w:val="28"/>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0" w:name="_Toc25986"/>
      <w:r>
        <w:rPr>
          <w:rFonts w:hint="eastAsia" w:ascii="宋体" w:hAnsi="宋体" w:cs="宋体"/>
          <w:b/>
          <w:szCs w:val="21"/>
        </w:rPr>
        <w:t>第三条 合同价格</w:t>
      </w:r>
      <w:bookmarkEnd w:id="489"/>
      <w:r>
        <w:rPr>
          <w:rFonts w:hint="eastAsia" w:ascii="宋体" w:hAnsi="宋体" w:cs="宋体"/>
          <w:b/>
          <w:szCs w:val="21"/>
        </w:rPr>
        <w:t>及支付方式</w:t>
      </w:r>
      <w:bookmarkEnd w:id="490"/>
    </w:p>
    <w:p>
      <w:pPr>
        <w:autoSpaceDE w:val="0"/>
        <w:autoSpaceDN w:val="0"/>
        <w:spacing w:line="560" w:lineRule="exact"/>
        <w:ind w:firstLine="562"/>
        <w:textAlignment w:val="bottom"/>
        <w:rPr>
          <w:rFonts w:hint="eastAsia" w:ascii="宋体" w:hAnsi="宋体" w:cs="宋体"/>
          <w:szCs w:val="21"/>
          <w:lang w:val="en-US" w:eastAsia="zh-CN"/>
        </w:rPr>
      </w:pPr>
      <w:bookmarkStart w:id="491" w:name="_Toc33253831"/>
      <w:r>
        <w:rPr>
          <w:rFonts w:ascii="宋体" w:hAnsi="宋体" w:cs="宋体"/>
          <w:szCs w:val="21"/>
        </w:rPr>
        <w:t>3.1本合同的总价格（“合同总价”）（含税价）：人民币大写</w:t>
      </w:r>
      <w:r>
        <w:rPr>
          <w:rFonts w:hint="eastAsia" w:ascii="宋体" w:hAnsi="宋体" w:cs="宋体"/>
          <w:szCs w:val="21"/>
          <w:u w:val="single"/>
          <w:lang w:val="en-US" w:eastAsia="zh-CN"/>
        </w:rPr>
        <w:t xml:space="preserve">          </w:t>
      </w:r>
      <w:r>
        <w:rPr>
          <w:rFonts w:ascii="宋体" w:hAnsi="宋体" w:cs="宋体"/>
          <w:szCs w:val="21"/>
        </w:rPr>
        <w:t>元</w:t>
      </w:r>
      <w:r>
        <w:rPr>
          <w:rFonts w:hint="eastAsia" w:ascii="宋体" w:hAnsi="宋体" w:cs="宋体"/>
          <w:szCs w:val="21"/>
        </w:rPr>
        <w:t>整，小写</w:t>
      </w:r>
      <w:r>
        <w:rPr>
          <w:rFonts w:hint="eastAsia" w:ascii="宋体" w:hAnsi="宋体" w:cs="宋体"/>
          <w:szCs w:val="21"/>
          <w:highlight w:val="lightGray"/>
          <w:u w:val="single"/>
          <w:lang w:val="en-US" w:eastAsia="zh-CN"/>
        </w:rPr>
        <w:t xml:space="preserve">          </w:t>
      </w:r>
      <w:r>
        <w:rPr>
          <w:rFonts w:ascii="宋体" w:hAnsi="宋体" w:cs="宋体"/>
          <w:szCs w:val="21"/>
        </w:rPr>
        <w:t>元</w:t>
      </w:r>
      <w:r>
        <w:rPr>
          <w:rFonts w:hint="eastAsia" w:ascii="宋体" w:hAnsi="宋体" w:cs="宋体"/>
          <w:szCs w:val="21"/>
          <w:lang w:eastAsia="zh-CN"/>
        </w:rPr>
        <w:t>，</w:t>
      </w:r>
      <w:r>
        <w:rPr>
          <w:rFonts w:hint="eastAsia" w:ascii="宋体" w:hAnsi="宋体" w:cs="宋体"/>
          <w:szCs w:val="21"/>
          <w:lang w:val="en-US" w:eastAsia="zh-CN"/>
        </w:rPr>
        <w:t>不含税总价为</w:t>
      </w:r>
      <w:r>
        <w:rPr>
          <w:rFonts w:hint="eastAsia" w:ascii="宋体" w:hAnsi="宋体" w:cs="宋体"/>
          <w:szCs w:val="21"/>
          <w:highlight w:val="lightGray"/>
          <w:u w:val="single"/>
          <w:lang w:val="en-US" w:eastAsia="zh-CN"/>
        </w:rPr>
        <w:t xml:space="preserve">            </w:t>
      </w:r>
      <w:r>
        <w:rPr>
          <w:rFonts w:hint="eastAsia" w:ascii="宋体" w:hAnsi="宋体" w:cs="宋体"/>
          <w:szCs w:val="21"/>
          <w:lang w:val="en-US" w:eastAsia="zh-CN"/>
        </w:rPr>
        <w:t xml:space="preserve"> 元(适用</w:t>
      </w:r>
      <w:r>
        <w:rPr>
          <w:rFonts w:hint="eastAsia" w:ascii="宋体" w:hAnsi="宋体" w:cs="宋体"/>
          <w:szCs w:val="21"/>
          <w:u w:val="single"/>
          <w:lang w:val="en-US" w:eastAsia="zh-CN"/>
        </w:rPr>
        <w:t xml:space="preserve">   </w:t>
      </w:r>
      <w:r>
        <w:rPr>
          <w:rFonts w:hint="eastAsia" w:ascii="宋体" w:hAnsi="宋体" w:cs="宋体"/>
          <w:szCs w:val="21"/>
          <w:lang w:val="en-US" w:eastAsia="zh-CN"/>
        </w:rPr>
        <w:t>%税率)。</w:t>
      </w:r>
    </w:p>
    <w:p>
      <w:pPr>
        <w:autoSpaceDE w:val="0"/>
        <w:autoSpaceDN w:val="0"/>
        <w:spacing w:line="560" w:lineRule="exact"/>
        <w:ind w:firstLine="562"/>
        <w:textAlignment w:val="bottom"/>
        <w:rPr>
          <w:rFonts w:ascii="宋体" w:hAnsi="宋体" w:cs="宋体"/>
          <w:szCs w:val="21"/>
        </w:rPr>
      </w:pPr>
      <w:r>
        <w:rPr>
          <w:rFonts w:ascii="宋体" w:hAnsi="宋体" w:cs="宋体"/>
          <w:szCs w:val="21"/>
        </w:rPr>
        <w:t>3.2</w:t>
      </w:r>
      <w:r>
        <w:rPr>
          <w:rFonts w:hint="eastAsia" w:ascii="宋体" w:hAnsi="宋体" w:cs="宋体"/>
          <w:szCs w:val="21"/>
        </w:rPr>
        <w:t xml:space="preserve"> 结算方式：甲方与乙方之间通过转账方式进行结算。</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3.3支付方式：</w:t>
      </w:r>
    </w:p>
    <w:p>
      <w:pPr>
        <w:autoSpaceDE w:val="0"/>
        <w:autoSpaceDN w:val="0"/>
        <w:spacing w:line="560" w:lineRule="exact"/>
        <w:ind w:firstLine="562"/>
        <w:textAlignment w:val="bottom"/>
        <w:rPr>
          <w:rFonts w:hint="eastAsia" w:ascii="宋体" w:hAnsi="宋体" w:eastAsia="宋体" w:cs="宋体"/>
          <w:szCs w:val="21"/>
          <w:lang w:val="en-US" w:eastAsia="zh-CN"/>
        </w:rPr>
      </w:pPr>
      <w:r>
        <w:rPr>
          <w:rFonts w:hint="eastAsia" w:ascii="宋体" w:hAnsi="宋体" w:cs="宋体"/>
          <w:szCs w:val="21"/>
        </w:rPr>
        <w:t>3.3.1首付款：合同生效后，且甲方收到乙方提供等值的增值税专用发票后10个工作日内，向乙方支付合同总金额的百分之</w:t>
      </w:r>
      <w:r>
        <w:rPr>
          <w:rFonts w:hint="eastAsia" w:ascii="宋体" w:hAnsi="宋体" w:cs="宋体"/>
          <w:szCs w:val="21"/>
          <w:lang w:val="en-US" w:eastAsia="zh-CN"/>
        </w:rPr>
        <w:t>三</w:t>
      </w:r>
      <w:r>
        <w:rPr>
          <w:rFonts w:hint="eastAsia" w:ascii="宋体" w:hAnsi="宋体" w:cs="宋体"/>
          <w:szCs w:val="21"/>
        </w:rPr>
        <w:t>十（</w:t>
      </w:r>
      <w:r>
        <w:rPr>
          <w:rFonts w:hint="eastAsia" w:ascii="宋体" w:hAnsi="宋体" w:cs="宋体"/>
          <w:szCs w:val="21"/>
          <w:lang w:val="en-US" w:eastAsia="zh-CN"/>
        </w:rPr>
        <w:t>3</w:t>
      </w:r>
      <w:r>
        <w:rPr>
          <w:rFonts w:hint="eastAsia" w:ascii="宋体" w:hAnsi="宋体" w:cs="宋体"/>
          <w:szCs w:val="21"/>
        </w:rPr>
        <w:t>0%）。即¥</w:t>
      </w:r>
      <w:r>
        <w:rPr>
          <w:rFonts w:hint="eastAsia" w:ascii="宋体" w:hAnsi="宋体" w:cs="宋体"/>
          <w:szCs w:val="21"/>
          <w:highlight w:val="lightGray"/>
          <w:u w:val="single"/>
          <w:lang w:val="en-US" w:eastAsia="zh-CN"/>
        </w:rPr>
        <w:t xml:space="preserve">           </w:t>
      </w:r>
      <w:r>
        <w:rPr>
          <w:rFonts w:hint="eastAsia" w:ascii="宋体" w:hAnsi="宋体" w:cs="宋体"/>
          <w:szCs w:val="21"/>
        </w:rPr>
        <w:t>（人民币大写：</w:t>
      </w:r>
      <w:r>
        <w:rPr>
          <w:rFonts w:hint="eastAsia" w:ascii="宋体" w:hAnsi="宋体" w:cs="宋体"/>
          <w:szCs w:val="21"/>
          <w:highlight w:val="lightGray"/>
          <w:lang w:val="en-US" w:eastAsia="zh-CN"/>
        </w:rPr>
        <w:t xml:space="preserve">     </w:t>
      </w:r>
      <w:r>
        <w:rPr>
          <w:rFonts w:hint="eastAsia" w:ascii="宋体" w:hAnsi="宋体" w:cs="宋体"/>
          <w:szCs w:val="21"/>
          <w:highlight w:val="lightGray"/>
        </w:rPr>
        <w:t>元整</w:t>
      </w:r>
      <w:r>
        <w:rPr>
          <w:rFonts w:hint="eastAsia" w:ascii="宋体" w:hAnsi="宋体" w:cs="宋体"/>
          <w:szCs w:val="21"/>
        </w:rPr>
        <w:t>）</w:t>
      </w:r>
      <w:r>
        <w:rPr>
          <w:rFonts w:hint="eastAsia" w:ascii="宋体" w:hAnsi="宋体" w:cs="宋体"/>
          <w:szCs w:val="21"/>
          <w:lang w:eastAsia="zh-CN"/>
        </w:rPr>
        <w:t>。</w:t>
      </w:r>
    </w:p>
    <w:p>
      <w:pPr>
        <w:autoSpaceDE w:val="0"/>
        <w:autoSpaceDN w:val="0"/>
        <w:spacing w:line="560" w:lineRule="exact"/>
        <w:ind w:firstLine="562"/>
        <w:jc w:val="left"/>
        <w:textAlignment w:val="bottom"/>
        <w:rPr>
          <w:rFonts w:hint="eastAsia" w:ascii="宋体" w:hAnsi="宋体" w:eastAsia="宋体" w:cs="宋体"/>
          <w:szCs w:val="21"/>
          <w:lang w:eastAsia="zh-CN"/>
        </w:rPr>
      </w:pPr>
      <w:r>
        <w:rPr>
          <w:rFonts w:hint="eastAsia" w:ascii="宋体" w:hAnsi="宋体" w:cs="宋体"/>
          <w:szCs w:val="21"/>
        </w:rPr>
        <w:t>3.3.2初验付款：本项目初验合格之后，由甲方收到乙方提供等值的增值税专用发票后10个工作日内，向乙方支付合同总金额的百分之三十（30%）。即¥</w:t>
      </w:r>
      <w:r>
        <w:rPr>
          <w:rFonts w:hint="eastAsia" w:ascii="宋体" w:hAnsi="宋体" w:cs="宋体"/>
          <w:szCs w:val="21"/>
          <w:highlight w:val="lightGray"/>
          <w:u w:val="single"/>
        </w:rPr>
        <w:t xml:space="preserve"> </w:t>
      </w:r>
      <w:r>
        <w:rPr>
          <w:rFonts w:hint="eastAsia" w:ascii="宋体" w:hAnsi="宋体" w:cs="宋体"/>
          <w:szCs w:val="21"/>
          <w:highlight w:val="lightGray"/>
          <w:u w:val="single"/>
          <w:lang w:val="en-US" w:eastAsia="zh-CN"/>
        </w:rPr>
        <w:t xml:space="preserve">        </w:t>
      </w:r>
      <w:r>
        <w:rPr>
          <w:rFonts w:hint="eastAsia" w:ascii="宋体" w:hAnsi="宋体" w:cs="宋体"/>
          <w:szCs w:val="21"/>
        </w:rPr>
        <w:t>(人民币大写：</w:t>
      </w:r>
      <w:r>
        <w:rPr>
          <w:rFonts w:hint="eastAsia" w:ascii="宋体" w:hAnsi="宋体" w:cs="宋体"/>
          <w:szCs w:val="21"/>
          <w:highlight w:val="lightGray"/>
          <w:lang w:val="en-US" w:eastAsia="zh-CN"/>
        </w:rPr>
        <w:t xml:space="preserve">      </w:t>
      </w:r>
      <w:r>
        <w:rPr>
          <w:rFonts w:hint="eastAsia" w:ascii="宋体" w:hAnsi="宋体" w:cs="宋体"/>
          <w:szCs w:val="21"/>
          <w:highlight w:val="lightGray"/>
        </w:rPr>
        <w:t>元整</w:t>
      </w:r>
      <w:r>
        <w:rPr>
          <w:rFonts w:hint="eastAsia" w:ascii="宋体" w:hAnsi="宋体" w:cs="宋体"/>
          <w:szCs w:val="21"/>
        </w:rPr>
        <w:t>）</w:t>
      </w:r>
      <w:r>
        <w:rPr>
          <w:rFonts w:hint="eastAsia" w:ascii="宋体" w:hAnsi="宋体" w:cs="宋体"/>
          <w:szCs w:val="21"/>
          <w:lang w:eastAsia="zh-CN"/>
        </w:rPr>
        <w:t>。</w:t>
      </w:r>
    </w:p>
    <w:p>
      <w:pPr>
        <w:autoSpaceDE w:val="0"/>
        <w:autoSpaceDN w:val="0"/>
        <w:spacing w:line="560" w:lineRule="exact"/>
        <w:ind w:firstLine="562"/>
        <w:textAlignment w:val="bottom"/>
        <w:rPr>
          <w:rFonts w:hint="eastAsia" w:ascii="宋体" w:hAnsi="宋体" w:eastAsia="宋体" w:cs="宋体"/>
          <w:szCs w:val="21"/>
          <w:lang w:eastAsia="zh-CN"/>
        </w:rPr>
      </w:pPr>
      <w:r>
        <w:rPr>
          <w:rFonts w:hint="eastAsia" w:ascii="宋体" w:hAnsi="宋体" w:cs="宋体"/>
          <w:szCs w:val="21"/>
        </w:rPr>
        <w:t>3.3.3最终验收付款：本项目最终验收合格之后，由甲方收到乙方提供等值的增值税专用发票后10个工作日内，向乙方支付合同总金额的百分之</w:t>
      </w:r>
      <w:r>
        <w:rPr>
          <w:rFonts w:hint="eastAsia" w:ascii="宋体" w:hAnsi="宋体" w:cs="宋体"/>
          <w:szCs w:val="21"/>
          <w:lang w:val="en-US" w:eastAsia="zh-CN"/>
        </w:rPr>
        <w:t>三</w:t>
      </w:r>
      <w:r>
        <w:rPr>
          <w:rFonts w:hint="eastAsia" w:ascii="宋体" w:hAnsi="宋体" w:cs="宋体"/>
          <w:szCs w:val="21"/>
        </w:rPr>
        <w:t>十（</w:t>
      </w:r>
      <w:r>
        <w:rPr>
          <w:rFonts w:hint="eastAsia" w:ascii="宋体" w:hAnsi="宋体" w:cs="宋体"/>
          <w:szCs w:val="21"/>
          <w:lang w:val="en-US" w:eastAsia="zh-CN"/>
        </w:rPr>
        <w:t>3</w:t>
      </w:r>
      <w:r>
        <w:rPr>
          <w:rFonts w:hint="eastAsia" w:ascii="宋体" w:hAnsi="宋体" w:cs="宋体"/>
          <w:szCs w:val="21"/>
        </w:rPr>
        <w:t>0%）。即¥</w:t>
      </w:r>
      <w:r>
        <w:rPr>
          <w:rFonts w:hint="eastAsia" w:ascii="宋体" w:hAnsi="宋体" w:cs="宋体"/>
          <w:szCs w:val="21"/>
          <w:highlight w:val="lightGray"/>
          <w:u w:val="single"/>
          <w:lang w:val="en-US" w:eastAsia="zh-CN"/>
        </w:rPr>
        <w:t xml:space="preserve">          </w:t>
      </w:r>
      <w:r>
        <w:rPr>
          <w:rFonts w:hint="eastAsia" w:ascii="宋体" w:hAnsi="宋体" w:cs="宋体"/>
          <w:szCs w:val="21"/>
        </w:rPr>
        <w:t>（人民币大写：</w:t>
      </w:r>
      <w:r>
        <w:rPr>
          <w:rFonts w:hint="eastAsia" w:ascii="宋体" w:hAnsi="宋体" w:cs="宋体"/>
          <w:szCs w:val="21"/>
          <w:highlight w:val="lightGray"/>
          <w:lang w:val="en-US" w:eastAsia="zh-CN"/>
        </w:rPr>
        <w:t xml:space="preserve">          </w:t>
      </w:r>
      <w:r>
        <w:rPr>
          <w:rFonts w:hint="eastAsia" w:ascii="宋体" w:hAnsi="宋体" w:cs="宋体"/>
          <w:szCs w:val="21"/>
          <w:highlight w:val="lightGray"/>
        </w:rPr>
        <w:t>元整</w:t>
      </w:r>
      <w:r>
        <w:rPr>
          <w:rFonts w:hint="eastAsia" w:ascii="宋体" w:hAnsi="宋体" w:cs="宋体"/>
          <w:szCs w:val="21"/>
        </w:rPr>
        <w:t>）</w:t>
      </w:r>
      <w:r>
        <w:rPr>
          <w:rFonts w:hint="eastAsia" w:ascii="宋体" w:hAnsi="宋体" w:cs="宋体"/>
          <w:szCs w:val="21"/>
          <w:lang w:eastAsia="zh-CN"/>
        </w:rPr>
        <w:t>。</w:t>
      </w:r>
    </w:p>
    <w:p>
      <w:pPr>
        <w:autoSpaceDE w:val="0"/>
        <w:autoSpaceDN w:val="0"/>
        <w:spacing w:line="560" w:lineRule="exact"/>
        <w:ind w:firstLine="562"/>
        <w:textAlignment w:val="bottom"/>
        <w:rPr>
          <w:rFonts w:hint="eastAsia" w:ascii="宋体" w:hAnsi="宋体" w:eastAsia="宋体" w:cs="宋体"/>
          <w:szCs w:val="21"/>
          <w:lang w:eastAsia="zh-CN"/>
        </w:rPr>
      </w:pPr>
      <w:r>
        <w:rPr>
          <w:rFonts w:hint="eastAsia" w:ascii="宋体" w:hAnsi="宋体" w:cs="宋体"/>
          <w:szCs w:val="21"/>
        </w:rPr>
        <w:t>3.3.4质保付款：本项目终验合格后一年质保期满由甲方收到乙方提供等值的增值税专用发票后10个工作日内，向乙方支付合同总金额的百分之十（10%）。即¥</w:t>
      </w:r>
      <w:r>
        <w:rPr>
          <w:rFonts w:hint="eastAsia" w:ascii="宋体" w:hAnsi="宋体" w:cs="宋体"/>
          <w:szCs w:val="21"/>
          <w:highlight w:val="lightGray"/>
          <w:u w:val="single"/>
          <w:lang w:val="en-US" w:eastAsia="zh-CN"/>
        </w:rPr>
        <w:t xml:space="preserve">         </w:t>
      </w:r>
      <w:r>
        <w:rPr>
          <w:rFonts w:hint="eastAsia" w:ascii="宋体" w:hAnsi="宋体" w:cs="宋体"/>
          <w:szCs w:val="21"/>
        </w:rPr>
        <w:t>（人民币大写：</w:t>
      </w:r>
      <w:r>
        <w:rPr>
          <w:rFonts w:hint="eastAsia" w:ascii="宋体" w:hAnsi="宋体" w:cs="宋体"/>
          <w:szCs w:val="21"/>
          <w:highlight w:val="lightGray"/>
          <w:lang w:val="en-US" w:eastAsia="zh-CN"/>
        </w:rPr>
        <w:t xml:space="preserve">          </w:t>
      </w:r>
      <w:r>
        <w:rPr>
          <w:rFonts w:hint="eastAsia" w:ascii="宋体" w:hAnsi="宋体" w:cs="宋体"/>
          <w:szCs w:val="21"/>
          <w:highlight w:val="lightGray"/>
        </w:rPr>
        <w:t>元整</w:t>
      </w:r>
      <w:r>
        <w:rPr>
          <w:rFonts w:hint="eastAsia" w:ascii="宋体" w:hAnsi="宋体" w:cs="宋体"/>
          <w:szCs w:val="21"/>
        </w:rPr>
        <w:t>）</w:t>
      </w:r>
      <w:r>
        <w:rPr>
          <w:rFonts w:hint="eastAsia" w:ascii="宋体" w:hAnsi="宋体" w:cs="宋体"/>
          <w:szCs w:val="21"/>
          <w:lang w:eastAsia="zh-CN"/>
        </w:rPr>
        <w:t>。</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4</w:t>
      </w:r>
      <w:r>
        <w:rPr>
          <w:rFonts w:ascii="宋体" w:hAnsi="宋体" w:cs="宋体"/>
          <w:szCs w:val="21"/>
        </w:rPr>
        <w:t>甲乙双方银行账户信息和纳税人信息：</w:t>
      </w:r>
    </w:p>
    <w:p>
      <w:pPr>
        <w:pStyle w:val="32"/>
        <w:ind w:left="641" w:firstLine="420" w:firstLineChars="200"/>
        <w:rPr>
          <w:rFonts w:ascii="宋体" w:cs="宋体"/>
          <w:szCs w:val="21"/>
        </w:rPr>
      </w:pPr>
      <w:r>
        <w:rPr>
          <w:rFonts w:hint="eastAsia" w:ascii="宋体" w:cs="宋体"/>
          <w:sz w:val="21"/>
          <w:szCs w:val="21"/>
        </w:rPr>
        <w:t>甲方信息如下：</w:t>
      </w:r>
    </w:p>
    <w:p>
      <w:pPr>
        <w:pStyle w:val="32"/>
        <w:spacing w:line="240" w:lineRule="auto"/>
        <w:ind w:left="641" w:firstLine="420" w:firstLineChars="200"/>
        <w:rPr>
          <w:rFonts w:ascii="宋体" w:cs="宋体"/>
          <w:szCs w:val="21"/>
        </w:rPr>
      </w:pPr>
      <w:r>
        <w:rPr>
          <w:rFonts w:hint="eastAsia" w:ascii="宋体" w:cs="宋体"/>
          <w:sz w:val="21"/>
          <w:szCs w:val="21"/>
        </w:rPr>
        <w:t>开户行：</w:t>
      </w:r>
      <w:r>
        <w:rPr>
          <w:rFonts w:ascii="宋体" w:cs="宋体"/>
          <w:sz w:val="21"/>
          <w:szCs w:val="21"/>
        </w:rPr>
        <w:t>[</w:t>
      </w:r>
      <w:r>
        <w:rPr>
          <w:rFonts w:hint="eastAsia" w:ascii="宋体" w:cs="宋体"/>
          <w:sz w:val="21"/>
          <w:szCs w:val="21"/>
        </w:rPr>
        <w:t xml:space="preserve"> </w:t>
      </w:r>
      <w:r>
        <w:rPr>
          <w:rFonts w:hint="eastAsia" w:ascii="宋体" w:cs="宋体"/>
          <w:sz w:val="21"/>
          <w:szCs w:val="21"/>
          <w:lang w:val="en-US" w:eastAsia="zh-CN"/>
        </w:rPr>
        <w:t xml:space="preserve">   </w:t>
      </w:r>
      <w:r>
        <w:rPr>
          <w:rFonts w:hint="eastAsia" w:ascii="宋体" w:cs="宋体"/>
          <w:sz w:val="21"/>
          <w:szCs w:val="21"/>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户名：</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账号：</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纳税人识别号：</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地址：</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电话：</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ind w:left="641" w:firstLine="420" w:firstLineChars="200"/>
        <w:rPr>
          <w:rFonts w:ascii="宋体" w:cs="宋体"/>
          <w:szCs w:val="21"/>
        </w:rPr>
      </w:pPr>
      <w:r>
        <w:rPr>
          <w:rFonts w:hint="eastAsia" w:ascii="宋体" w:cs="宋体"/>
          <w:sz w:val="21"/>
          <w:szCs w:val="21"/>
        </w:rPr>
        <w:t>乙方信息如下：</w:t>
      </w:r>
    </w:p>
    <w:p>
      <w:pPr>
        <w:pStyle w:val="32"/>
        <w:spacing w:line="240" w:lineRule="auto"/>
        <w:ind w:left="641" w:firstLine="420" w:firstLineChars="200"/>
        <w:rPr>
          <w:rFonts w:ascii="宋体" w:cs="宋体"/>
          <w:szCs w:val="21"/>
        </w:rPr>
      </w:pPr>
      <w:r>
        <w:rPr>
          <w:rFonts w:hint="eastAsia" w:ascii="宋体" w:cs="宋体"/>
          <w:sz w:val="21"/>
          <w:szCs w:val="21"/>
        </w:rPr>
        <w:t>开户行：</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户名：</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账号：</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纳税人识别号：</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地址：</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spacing w:line="240" w:lineRule="auto"/>
        <w:ind w:left="641" w:firstLine="420" w:firstLineChars="200"/>
        <w:rPr>
          <w:rFonts w:ascii="宋体" w:cs="宋体"/>
          <w:szCs w:val="21"/>
        </w:rPr>
      </w:pPr>
      <w:r>
        <w:rPr>
          <w:rFonts w:hint="eastAsia" w:ascii="宋体" w:cs="宋体"/>
          <w:sz w:val="21"/>
          <w:szCs w:val="21"/>
        </w:rPr>
        <w:t>电话：</w:t>
      </w:r>
      <w:r>
        <w:rPr>
          <w:rFonts w:ascii="宋体" w:cs="宋体"/>
          <w:sz w:val="21"/>
          <w:szCs w:val="21"/>
        </w:rPr>
        <w:t>[</w:t>
      </w:r>
      <w:r>
        <w:rPr>
          <w:rFonts w:hint="eastAsia" w:ascii="宋体" w:cs="宋体"/>
          <w:sz w:val="21"/>
          <w:szCs w:val="21"/>
          <w:lang w:val="en-US" w:eastAsia="zh-CN"/>
        </w:rPr>
        <w:t xml:space="preserve">            </w:t>
      </w:r>
      <w:r>
        <w:rPr>
          <w:rFonts w:ascii="宋体" w:cs="宋体"/>
          <w:sz w:val="21"/>
          <w:szCs w:val="21"/>
        </w:rPr>
        <w:t>]</w:t>
      </w:r>
    </w:p>
    <w:p>
      <w:pPr>
        <w:pStyle w:val="32"/>
        <w:ind w:firstLine="420" w:firstLineChars="200"/>
        <w:rPr>
          <w:rFonts w:ascii="宋体" w:cs="宋体"/>
          <w:szCs w:val="21"/>
        </w:rPr>
      </w:pPr>
      <w:r>
        <w:rPr>
          <w:rFonts w:hint="eastAsia" w:ascii="宋体" w:cs="宋体"/>
          <w:sz w:val="21"/>
          <w:szCs w:val="21"/>
        </w:rPr>
        <w:t>3</w:t>
      </w:r>
      <w:r>
        <w:rPr>
          <w:rFonts w:ascii="宋体" w:cs="宋体"/>
          <w:sz w:val="21"/>
          <w:szCs w:val="21"/>
        </w:rPr>
        <w:t>.</w:t>
      </w:r>
      <w:r>
        <w:rPr>
          <w:rFonts w:hint="eastAsia" w:ascii="宋体" w:cs="宋体"/>
          <w:sz w:val="21"/>
          <w:szCs w:val="21"/>
        </w:rPr>
        <w:t>5</w:t>
      </w:r>
      <w:r>
        <w:rPr>
          <w:rFonts w:ascii="宋体" w:cs="宋体"/>
          <w:sz w:val="21"/>
          <w:szCs w:val="21"/>
        </w:rPr>
        <w:t>若根据本合同规定，乙方应当支付违约金或承担赔偿责任，则甲方有权从上述任何一笔付款中直接扣除相应金额。</w:t>
      </w:r>
    </w:p>
    <w:p>
      <w:pPr>
        <w:pStyle w:val="32"/>
        <w:ind w:firstLine="420" w:firstLineChars="200"/>
        <w:rPr>
          <w:rFonts w:ascii="宋体" w:cs="宋体"/>
          <w:szCs w:val="21"/>
        </w:rPr>
      </w:pPr>
      <w:r>
        <w:rPr>
          <w:rFonts w:hint="eastAsia" w:ascii="宋体" w:cs="宋体"/>
          <w:sz w:val="21"/>
          <w:szCs w:val="21"/>
        </w:rPr>
        <w:t>3</w:t>
      </w:r>
      <w:r>
        <w:rPr>
          <w:rFonts w:ascii="宋体" w:cs="宋体"/>
          <w:sz w:val="21"/>
          <w:szCs w:val="21"/>
        </w:rPr>
        <w:t>.</w:t>
      </w:r>
      <w:r>
        <w:rPr>
          <w:rFonts w:hint="eastAsia" w:ascii="宋体" w:cs="宋体"/>
          <w:sz w:val="21"/>
          <w:szCs w:val="21"/>
        </w:rPr>
        <w:t>6</w:t>
      </w:r>
      <w:r>
        <w:rPr>
          <w:rFonts w:ascii="宋体" w:cs="宋体"/>
          <w:sz w:val="21"/>
          <w:szCs w:val="21"/>
        </w:rPr>
        <w:t>在甲方银行所发生的银行费用由甲方负担，甲方银行以外的一切银行费用由乙方负担。</w:t>
      </w:r>
      <w:bookmarkEnd w:id="491"/>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2" w:name="_Toc7798"/>
      <w:r>
        <w:rPr>
          <w:rFonts w:hint="eastAsia" w:ascii="宋体" w:hAnsi="宋体" w:cs="宋体"/>
          <w:b/>
          <w:szCs w:val="21"/>
        </w:rPr>
        <w:t>第四条 初验、试运行和终验</w:t>
      </w:r>
      <w:bookmarkEnd w:id="492"/>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4</w:t>
      </w:r>
      <w:r>
        <w:rPr>
          <w:rFonts w:ascii="宋体" w:hAnsi="宋体" w:cs="宋体"/>
          <w:szCs w:val="21"/>
        </w:rPr>
        <w:t>.1乙方保证其向甲方提供的应用软件为全新、完整的软件，并且保证其应用软件的性能、质量及运行与要求相符。双方按本条规定的程序和标准对乙方完成的应用软件进行初验、移交、试运行和终验。</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4</w:t>
      </w:r>
      <w:r>
        <w:rPr>
          <w:rFonts w:ascii="宋体" w:hAnsi="宋体" w:cs="宋体"/>
          <w:szCs w:val="21"/>
        </w:rPr>
        <w:t>.2初验</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乙方按照本合同规定在签订合同后的</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w:t>
      </w:r>
      <w:r>
        <w:rPr>
          <w:rFonts w:hint="eastAsia" w:ascii="宋体" w:hAnsi="宋体" w:cs="宋体"/>
          <w:szCs w:val="21"/>
        </w:rPr>
        <w:t>个月内完成应用软件开发并上线运行后，向甲方提交书面初验申请，甲方在收到申请后</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]个工作日内，对应用软件进行初验，乙方须提供必要的配合。如果测试结果符合</w:t>
      </w:r>
      <w:r>
        <w:rPr>
          <w:rFonts w:hint="eastAsia" w:ascii="宋体" w:hAnsi="宋体" w:cs="宋体"/>
          <w:szCs w:val="21"/>
        </w:rPr>
        <w:t>甲方规定的验收</w:t>
      </w:r>
      <w:r>
        <w:rPr>
          <w:rFonts w:ascii="宋体" w:hAnsi="宋体" w:cs="宋体"/>
          <w:szCs w:val="21"/>
        </w:rPr>
        <w:t>标准，双方将签署</w:t>
      </w:r>
      <w:r>
        <w:rPr>
          <w:rFonts w:hint="eastAsia" w:ascii="宋体" w:hAnsi="宋体" w:cs="宋体"/>
          <w:szCs w:val="21"/>
        </w:rPr>
        <w:t>《</w:t>
      </w:r>
      <w:r>
        <w:rPr>
          <w:rFonts w:ascii="宋体" w:hAnsi="宋体" w:cs="宋体"/>
          <w:szCs w:val="21"/>
        </w:rPr>
        <w:t>初验</w:t>
      </w:r>
      <w:r>
        <w:rPr>
          <w:rFonts w:hint="eastAsia" w:ascii="宋体" w:hAnsi="宋体" w:cs="宋体"/>
          <w:szCs w:val="21"/>
        </w:rPr>
        <w:t>合格</w:t>
      </w:r>
      <w:r>
        <w:rPr>
          <w:rFonts w:ascii="宋体" w:hAnsi="宋体" w:cs="宋体"/>
          <w:szCs w:val="21"/>
        </w:rPr>
        <w:t>证书</w:t>
      </w:r>
      <w:r>
        <w:rPr>
          <w:rFonts w:hint="eastAsia" w:ascii="宋体" w:hAnsi="宋体" w:cs="宋体"/>
          <w:szCs w:val="21"/>
        </w:rPr>
        <w:t>》</w:t>
      </w:r>
      <w:r>
        <w:rPr>
          <w:rFonts w:ascii="宋体" w:hAnsi="宋体" w:cs="宋体"/>
          <w:szCs w:val="21"/>
        </w:rPr>
        <w:t>。初验证书应由双方代表签字，一式二份，双方各执一份。</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如果系统中的任何部分不能按照甲方规定的验收标准通过初验，且不能通过验收的责任非因甲方原因造成，乙方应采取一切补救措施以使初步验收测试能够在甲方要求的期限内尽快再次进行。</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4</w:t>
      </w:r>
      <w:r>
        <w:rPr>
          <w:rFonts w:ascii="宋体" w:hAnsi="宋体" w:cs="宋体"/>
          <w:szCs w:val="21"/>
        </w:rPr>
        <w:t>.3试运行</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试运行期限为</w:t>
      </w:r>
      <w:r>
        <w:rPr>
          <w:rFonts w:ascii="宋体" w:hAnsi="宋体" w:cs="宋体"/>
          <w:szCs w:val="21"/>
        </w:rPr>
        <w:t>[</w:t>
      </w:r>
      <w:r>
        <w:rPr>
          <w:rFonts w:hint="eastAsia" w:ascii="宋体" w:hAnsi="宋体" w:cs="宋体"/>
          <w:szCs w:val="21"/>
          <w:lang w:val="en-US" w:eastAsia="zh-CN"/>
        </w:rPr>
        <w:t>180</w:t>
      </w:r>
      <w:r>
        <w:rPr>
          <w:rFonts w:ascii="宋体" w:hAnsi="宋体" w:cs="宋体"/>
          <w:szCs w:val="21"/>
        </w:rPr>
        <w:t>]天。试运行应表明应用软件的功能和性能符合乙方在本合同中的承诺。如果在试运行期间发现任何因乙方原因造成的与本合同规定的不符，乙方有责任对其进行修改和更正直到达到本合同中的要求</w:t>
      </w:r>
      <w:r>
        <w:rPr>
          <w:rFonts w:hint="eastAsia" w:ascii="宋体" w:hAnsi="宋体" w:cs="宋体"/>
          <w:szCs w:val="21"/>
        </w:rPr>
        <w:t>，同时，试运行期做相应顺延。</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4</w:t>
      </w:r>
      <w:r>
        <w:rPr>
          <w:rFonts w:ascii="宋体" w:hAnsi="宋体" w:cs="宋体"/>
          <w:szCs w:val="21"/>
        </w:rPr>
        <w:t>终验</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终验在试运行期届满后</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 xml:space="preserve"> ]个</w:t>
      </w:r>
      <w:r>
        <w:rPr>
          <w:rFonts w:hint="eastAsia" w:ascii="宋体" w:hAnsi="宋体" w:cs="宋体"/>
          <w:szCs w:val="21"/>
        </w:rPr>
        <w:t>工作日内由甲方指派代表进行。如果终验测试应用软件的所有功能和性能指标均与甲方规定的验收标准相符，甲方与乙方将共同签署两份《最终验收合格证书》，双方各执一份。如果系统中的任何部分不能通过最终验收，且不能通过验收的责任非因甲方原因造成，乙方应采取一切补救措施以使最终验收测试能够在甲方要求的期限内尽快再次进行，再次最终验收测试由乙方负担费用。</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5</w:t>
      </w:r>
      <w:r>
        <w:rPr>
          <w:rFonts w:ascii="宋体" w:hAnsi="宋体" w:cs="宋体"/>
          <w:szCs w:val="21"/>
        </w:rPr>
        <w:t>终验合格并不免除乙方根据本合同规定的保修责任。</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3" w:name="_Toc23347"/>
      <w:r>
        <w:rPr>
          <w:rFonts w:hint="eastAsia" w:ascii="宋体" w:hAnsi="宋体" w:cs="宋体"/>
          <w:b/>
          <w:szCs w:val="21"/>
        </w:rPr>
        <w:t>第五条 技术支持与服务、保修</w:t>
      </w:r>
      <w:bookmarkEnd w:id="493"/>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.1乙方应向甲方提供与使用应用软件相关的技术服务。乙方提供的技术支持和服务的内容包括电话支持、现场服务、软件维护支持、电子邮件支持、因特网支持和提供系统应急策略等内容。</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.2乙方自终验证书签署之日起，就所提供的应用软件乙方为甲方提供为期[</w:t>
      </w:r>
      <w:r>
        <w:rPr>
          <w:rFonts w:hint="eastAsia" w:ascii="宋体" w:hAnsi="宋体" w:cs="宋体"/>
          <w:szCs w:val="21"/>
          <w:lang w:val="en-US" w:eastAsia="zh-CN"/>
        </w:rPr>
        <w:t xml:space="preserve">   </w:t>
      </w:r>
      <w:r>
        <w:rPr>
          <w:rFonts w:ascii="宋体" w:hAnsi="宋体" w:cs="宋体"/>
          <w:szCs w:val="21"/>
        </w:rPr>
        <w:t>]个月的免费技术支持和服务（“保修期”）。</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.3在保修期内，如果乙方所提供的应用软件的性能和质量与合同规定不符，乙方负责尽快排除缺陷，所有费用由乙方承担。</w:t>
      </w:r>
    </w:p>
    <w:p>
      <w:pPr>
        <w:autoSpaceDE w:val="0"/>
        <w:autoSpaceDN w:val="0"/>
        <w:spacing w:line="560" w:lineRule="exact"/>
        <w:ind w:firstLine="562"/>
        <w:textAlignment w:val="bottom"/>
        <w:rPr>
          <w:rFonts w:hint="eastAsia" w:ascii="宋体" w:hAnsi="宋体" w:eastAsia="宋体" w:cs="宋体"/>
          <w:szCs w:val="21"/>
          <w:lang w:eastAsia="zh-CN"/>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4</w:t>
      </w:r>
      <w:r>
        <w:rPr>
          <w:rFonts w:ascii="宋体" w:hAnsi="宋体" w:cs="宋体"/>
          <w:szCs w:val="21"/>
        </w:rPr>
        <w:t>保修期内应用软件出现</w:t>
      </w:r>
      <w:r>
        <w:rPr>
          <w:rFonts w:hint="eastAsia" w:ascii="宋体" w:hAnsi="宋体" w:cs="宋体"/>
          <w:szCs w:val="21"/>
        </w:rPr>
        <w:t>一般</w:t>
      </w:r>
      <w:r>
        <w:rPr>
          <w:rFonts w:ascii="宋体" w:hAnsi="宋体" w:cs="宋体"/>
          <w:szCs w:val="21"/>
        </w:rPr>
        <w:t>问题时，乙方响应时间不得超过</w:t>
      </w:r>
      <w:r>
        <w:rPr>
          <w:rFonts w:hint="eastAsia" w:ascii="宋体" w:hAnsi="宋体" w:cs="宋体"/>
          <w:szCs w:val="21"/>
          <w:lang w:val="en-US" w:eastAsia="zh-CN"/>
        </w:rPr>
        <w:t>[   ]</w:t>
      </w:r>
      <w:r>
        <w:rPr>
          <w:rFonts w:ascii="宋体" w:hAnsi="宋体" w:cs="宋体"/>
          <w:szCs w:val="21"/>
        </w:rPr>
        <w:t>小时，故障修复时间不得超过</w:t>
      </w:r>
      <w:r>
        <w:rPr>
          <w:rFonts w:hint="eastAsia" w:ascii="宋体" w:hAnsi="宋体" w:cs="宋体"/>
          <w:szCs w:val="21"/>
          <w:lang w:val="en-US" w:eastAsia="zh-CN"/>
        </w:rPr>
        <w:t>[  ]</w:t>
      </w:r>
      <w:r>
        <w:rPr>
          <w:rFonts w:ascii="宋体" w:hAnsi="宋体" w:cs="宋体"/>
          <w:szCs w:val="21"/>
        </w:rPr>
        <w:t>小时。</w:t>
      </w:r>
      <w:r>
        <w:rPr>
          <w:rFonts w:hint="eastAsia" w:ascii="宋体" w:hAnsi="宋体" w:cs="宋体"/>
          <w:szCs w:val="21"/>
        </w:rPr>
        <w:t>对于无法解决产品问题或重大故障，要求</w:t>
      </w:r>
      <w:r>
        <w:rPr>
          <w:rFonts w:hint="eastAsia" w:ascii="宋体" w:hAnsi="宋体" w:cs="宋体"/>
          <w:szCs w:val="21"/>
          <w:lang w:val="en-US" w:eastAsia="zh-CN"/>
        </w:rPr>
        <w:t>[  ]</w:t>
      </w:r>
      <w:r>
        <w:rPr>
          <w:rFonts w:hint="eastAsia" w:ascii="宋体" w:hAnsi="宋体" w:cs="宋体"/>
          <w:szCs w:val="21"/>
        </w:rPr>
        <w:t>小时内进行现场</w:t>
      </w:r>
      <w:r>
        <w:rPr>
          <w:rFonts w:hint="eastAsia" w:ascii="宋体" w:hAnsi="宋体" w:cs="宋体"/>
          <w:szCs w:val="21"/>
          <w:lang w:val="en-US" w:eastAsia="zh-CN"/>
        </w:rPr>
        <w:t>或远程</w:t>
      </w:r>
      <w:r>
        <w:rPr>
          <w:rFonts w:hint="eastAsia" w:ascii="宋体" w:hAnsi="宋体" w:cs="宋体"/>
          <w:szCs w:val="21"/>
        </w:rPr>
        <w:t>介入或查看、定位、诊断并提供解决方案，提供预防措施和应用建议。</w:t>
      </w:r>
      <w:r>
        <w:rPr>
          <w:rFonts w:ascii="宋体" w:hAnsi="宋体" w:cs="宋体"/>
          <w:szCs w:val="21"/>
        </w:rPr>
        <w:t>如软件出现故障造成甲方损失的，由乙方承担。乙方应具备相应的通信手段，以保证能够提供</w:t>
      </w:r>
      <w:r>
        <w:rPr>
          <w:rFonts w:hint="eastAsia" w:ascii="宋体" w:hAnsi="宋体" w:cs="宋体"/>
          <w:szCs w:val="21"/>
        </w:rPr>
        <w:t xml:space="preserve"> “7</w:t>
      </w:r>
      <w:r>
        <w:rPr>
          <w:rFonts w:ascii="宋体" w:hAnsi="宋体" w:cs="宋体"/>
          <w:szCs w:val="21"/>
        </w:rPr>
        <w:t>×</w:t>
      </w:r>
      <w:r>
        <w:rPr>
          <w:rFonts w:hint="eastAsia" w:ascii="宋体" w:hAnsi="宋体" w:cs="宋体"/>
          <w:szCs w:val="21"/>
        </w:rPr>
        <w:t>24</w:t>
      </w:r>
      <w:r>
        <w:rPr>
          <w:rFonts w:ascii="宋体" w:hAnsi="宋体" w:cs="宋体"/>
          <w:szCs w:val="21"/>
        </w:rPr>
        <w:t>小时</w:t>
      </w:r>
      <w:r>
        <w:rPr>
          <w:rFonts w:hint="eastAsia" w:ascii="宋体" w:hAnsi="宋体" w:cs="宋体"/>
          <w:szCs w:val="21"/>
        </w:rPr>
        <w:t>在线</w:t>
      </w:r>
      <w:r>
        <w:rPr>
          <w:rFonts w:ascii="宋体" w:hAnsi="宋体" w:cs="宋体"/>
          <w:szCs w:val="21"/>
        </w:rPr>
        <w:t>响应服务”。</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5</w:t>
      </w:r>
      <w:r>
        <w:rPr>
          <w:rFonts w:ascii="宋体" w:hAnsi="宋体" w:cs="宋体"/>
          <w:szCs w:val="21"/>
        </w:rPr>
        <w:t>在保修期内，如果乙方进行了技术改进，且这项改进对甲方有重要意义并对软件运行维护有实用价值，乙方应免费向甲方提供与这些改进有关的详细技术资料和软件升级。</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6</w:t>
      </w:r>
      <w:r>
        <w:rPr>
          <w:rFonts w:ascii="宋体" w:hAnsi="宋体" w:cs="宋体"/>
          <w:szCs w:val="21"/>
        </w:rPr>
        <w:t>保修期届满后的升级、改造费用及继续提供服务的价格和方式，由甲、乙双方另行协商。</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7</w:t>
      </w:r>
      <w:r>
        <w:rPr>
          <w:rFonts w:ascii="宋体" w:hAnsi="宋体" w:cs="宋体"/>
          <w:szCs w:val="21"/>
        </w:rPr>
        <w:t>保修期届满后甲方在系统运行或维护过程中，乙方所提供的应用软件出现问题或故障时，应派有经验的技术人员，一般情况应在[</w:t>
      </w:r>
      <w:r>
        <w:rPr>
          <w:rFonts w:hint="eastAsia" w:ascii="宋体" w:hAnsi="宋体" w:cs="宋体"/>
          <w:szCs w:val="21"/>
          <w:lang w:val="en-US" w:eastAsia="zh-CN"/>
        </w:rPr>
        <w:t xml:space="preserve">  </w:t>
      </w:r>
      <w:r>
        <w:rPr>
          <w:rFonts w:ascii="宋体" w:hAnsi="宋体" w:cs="宋体"/>
          <w:szCs w:val="21"/>
        </w:rPr>
        <w:t>]小时</w:t>
      </w:r>
      <w:r>
        <w:rPr>
          <w:rFonts w:hint="eastAsia" w:ascii="宋体" w:hAnsi="宋体" w:cs="宋体"/>
          <w:szCs w:val="21"/>
        </w:rPr>
        <w:t>内赶到现场</w:t>
      </w:r>
      <w:r>
        <w:rPr>
          <w:rFonts w:hint="eastAsia" w:ascii="宋体" w:hAnsi="宋体" w:cs="宋体"/>
          <w:szCs w:val="21"/>
          <w:lang w:val="en-US" w:eastAsia="zh-CN"/>
        </w:rPr>
        <w:t>或远程</w:t>
      </w:r>
      <w:r>
        <w:rPr>
          <w:rFonts w:hint="eastAsia" w:ascii="宋体" w:hAnsi="宋体" w:cs="宋体"/>
          <w:szCs w:val="21"/>
        </w:rPr>
        <w:t>进行更换和维修。</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8</w:t>
      </w:r>
      <w:r>
        <w:rPr>
          <w:rFonts w:ascii="宋体" w:hAnsi="宋体" w:cs="宋体"/>
          <w:szCs w:val="21"/>
        </w:rPr>
        <w:t>保修期届满后，如发现应用软件自身存在瑕疵或缺陷，乙方应予以免费更换或修理。</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lang w:val="en-US" w:eastAsia="zh-CN"/>
        </w:rPr>
        <w:t>9</w:t>
      </w:r>
      <w:r>
        <w:rPr>
          <w:rFonts w:ascii="宋体" w:hAnsi="宋体" w:cs="宋体"/>
          <w:szCs w:val="21"/>
        </w:rPr>
        <w:t>如甲方变更本合同系统使用人、所有人和硬件所有人、持有人，书面通知乙方即可。</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4" w:name="_Toc18018"/>
      <w:r>
        <w:rPr>
          <w:rFonts w:hint="eastAsia" w:ascii="宋体" w:hAnsi="宋体" w:cs="宋体"/>
          <w:b/>
          <w:szCs w:val="21"/>
        </w:rPr>
        <w:t>第六条 培训</w:t>
      </w:r>
      <w:bookmarkEnd w:id="494"/>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.1双方确定，乙方应在向甲方移交应用软件后，根据甲方的要求，为甲方指定的人员提供技术指导和培训，使参加受训的人员理解并掌握软件的操作和维护。</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.2培训目的</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.2.1确保甲方技术人员能够熟练地对应用软件进行运行、诊断、维护和管理。</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.2.2确保甲方相关业务人员对其使用的应用软件能熟练地操作和使用。</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.3培训内容：</w:t>
      </w:r>
      <w:r>
        <w:rPr>
          <w:rFonts w:hint="eastAsia" w:ascii="宋体" w:hAnsi="宋体" w:cs="宋体"/>
          <w:szCs w:val="21"/>
        </w:rPr>
        <w:t>由甲乙双方协商确定。</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6</w:t>
      </w:r>
      <w:r>
        <w:rPr>
          <w:rFonts w:ascii="宋体" w:hAnsi="宋体" w:cs="宋体"/>
          <w:szCs w:val="21"/>
        </w:rPr>
        <w:t>.4培训时间与地点</w:t>
      </w:r>
      <w:r>
        <w:rPr>
          <w:rFonts w:hint="eastAsia" w:ascii="宋体" w:hAnsi="宋体" w:cs="宋体"/>
          <w:szCs w:val="21"/>
        </w:rPr>
        <w:t xml:space="preserve"> </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乙方为甲方提供的培训方式为集中培训与视频培训，乙方应在集中培训的基础上将培训内容制作成视频课件的形式以供此项目在今后的运营及人员变动中进行自我学习与培训。提供普通用户培训和管理员培训等两个维度，具体培训时间由双方协商决定。甲方应在培训日前</w:t>
      </w:r>
      <w:r>
        <w:rPr>
          <w:rFonts w:ascii="宋体" w:hAnsi="宋体" w:cs="宋体"/>
          <w:szCs w:val="21"/>
        </w:rPr>
        <w:t xml:space="preserve">[ </w:t>
      </w:r>
      <w:r>
        <w:rPr>
          <w:rFonts w:hint="eastAsia" w:ascii="宋体" w:hAnsi="宋体" w:cs="宋体"/>
          <w:szCs w:val="21"/>
          <w:lang w:val="en-US" w:eastAsia="zh-CN"/>
        </w:rPr>
        <w:t xml:space="preserve"> </w:t>
      </w:r>
      <w:r>
        <w:rPr>
          <w:rFonts w:ascii="宋体" w:hAnsi="宋体" w:cs="宋体"/>
          <w:szCs w:val="21"/>
        </w:rPr>
        <w:t>]日内向乙方提供参加培训的人员名单，名单中不得包括非甲方人员。</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5" w:name="_Toc22545"/>
      <w:bookmarkStart w:id="496" w:name="_Toc33253832"/>
      <w:r>
        <w:rPr>
          <w:rFonts w:hint="eastAsia" w:ascii="宋体" w:hAnsi="宋体" w:cs="宋体"/>
          <w:b/>
          <w:szCs w:val="21"/>
        </w:rPr>
        <w:t>第七条 违约责任</w:t>
      </w:r>
      <w:bookmarkEnd w:id="495"/>
      <w:bookmarkEnd w:id="496"/>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.1如乙方提供的系统软件许可使用权限、数量、范围、期限等与本合同不符，或软件介质存在瑕疵，</w:t>
      </w:r>
      <w:r>
        <w:rPr>
          <w:rFonts w:hint="eastAsia" w:ascii="宋体" w:hAnsi="宋体" w:cs="宋体"/>
          <w:szCs w:val="21"/>
        </w:rPr>
        <w:t>除非甲方书面同意按照双方协商的方式由乙方采取措施并承担责任，否则甲方有权解除本合同，乙方应在解除之日起</w:t>
      </w:r>
      <w:r>
        <w:rPr>
          <w:rFonts w:hint="eastAsia" w:ascii="宋体" w:hAnsi="宋体" w:cs="宋体"/>
          <w:szCs w:val="21"/>
          <w:lang w:val="en-US" w:eastAsia="zh-CN"/>
        </w:rPr>
        <w:t>5</w:t>
      </w:r>
      <w:r>
        <w:rPr>
          <w:rFonts w:hint="eastAsia" w:ascii="宋体" w:hAnsi="宋体" w:cs="宋体"/>
          <w:szCs w:val="21"/>
        </w:rPr>
        <w:t>个工作日内返还甲方已支付的合同款项并承担合同总价10%的违约金</w:t>
      </w:r>
      <w:r>
        <w:rPr>
          <w:rFonts w:ascii="宋体" w:hAnsi="宋体" w:cs="宋体"/>
          <w:szCs w:val="21"/>
        </w:rPr>
        <w:t>。</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.2由于乙方原因使得初验、试运行（含顺延和重新计算的试运行期）、终验（含再次终验）等任一阶段工作延误的，</w:t>
      </w:r>
      <w:r>
        <w:rPr>
          <w:rFonts w:hint="eastAsia" w:ascii="宋体" w:hAnsi="宋体" w:cs="宋体"/>
          <w:szCs w:val="21"/>
        </w:rPr>
        <w:t>每延迟1日，乙方向甲方支付违约金为合同总价的[0.03]%，如违约金不足以弥补甲方损失的，乙方还应就损失部分向甲方赔偿</w:t>
      </w:r>
      <w:r>
        <w:rPr>
          <w:rFonts w:ascii="宋体" w:hAnsi="宋体" w:cs="宋体"/>
          <w:szCs w:val="21"/>
        </w:rPr>
        <w:t>。因任一阶段工作迟延而使甲方额外增加的各项费用（包括但不限于运输及保险费用、测试费用）由乙方承担。</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.3由于甲方不能按合同规定时间付款，每延迟1个工作日，甲方向乙方支付违约金为应付未付金额的[0.</w:t>
      </w:r>
      <w:r>
        <w:rPr>
          <w:rFonts w:hint="eastAsia" w:ascii="宋体" w:hAnsi="宋体" w:cs="宋体"/>
          <w:szCs w:val="21"/>
        </w:rPr>
        <w:t>03</w:t>
      </w:r>
      <w:r>
        <w:rPr>
          <w:rFonts w:ascii="宋体" w:hAnsi="宋体" w:cs="宋体"/>
          <w:szCs w:val="21"/>
        </w:rPr>
        <w:t>]%。</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.4完全由于甲方原因使软件开发工作无法正常进行，或甲方无正当理由单方面终止协议，甲方应向乙方支付相应的违约金[</w:t>
      </w:r>
      <w:r>
        <w:rPr>
          <w:rFonts w:hint="eastAsia" w:ascii="宋体" w:hAnsi="宋体" w:cs="宋体"/>
          <w:szCs w:val="21"/>
        </w:rPr>
        <w:t>合同额10%</w:t>
      </w:r>
      <w:r>
        <w:rPr>
          <w:rFonts w:ascii="宋体" w:hAnsi="宋体" w:cs="宋体"/>
          <w:szCs w:val="21"/>
        </w:rPr>
        <w:t>]元，并赔偿由此引起的乙方的直接经济损失。</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.5对于乙方依据本合同约定应当承担的各项违约金及损失赔偿，甲方均有权从应支付乙方的款项中扣除。如乙方对前述扣款事项有异议，应在接到甲方通知后五日内提出。</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.6除非甲方解除合同，否则，乙方承担违约责任并不免除其继续履行合同的责任。</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7</w:t>
      </w:r>
      <w:r>
        <w:rPr>
          <w:rFonts w:ascii="宋体" w:hAnsi="宋体" w:cs="宋体"/>
          <w:szCs w:val="21"/>
        </w:rPr>
        <w:t>.7如果因为甲方原因使得合同时间未能得到履行，则在得到甲方书面确认后时间将相应顺延。</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7" w:name="_Toc17154"/>
      <w:r>
        <w:rPr>
          <w:rFonts w:hint="eastAsia" w:ascii="宋体" w:hAnsi="宋体" w:cs="宋体"/>
          <w:b/>
          <w:szCs w:val="21"/>
        </w:rPr>
        <w:t>第八条 不可抗力</w:t>
      </w:r>
      <w:bookmarkEnd w:id="497"/>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8</w:t>
      </w:r>
      <w:r>
        <w:rPr>
          <w:rFonts w:ascii="宋体" w:hAnsi="宋体" w:cs="宋体"/>
          <w:szCs w:val="21"/>
        </w:rPr>
        <w:t>.1本合同所称不可抗力，是指地震、台风、水灾、火灾、战争以及其它本合同各方不能预见，并且对其发生和后果不能防止或不能避免且不可克服的客观情况。</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8</w:t>
      </w:r>
      <w:r>
        <w:rPr>
          <w:rFonts w:ascii="宋体" w:hAnsi="宋体" w:cs="宋体"/>
          <w:szCs w:val="21"/>
        </w:rPr>
        <w:t>.2本合同任何一方因不可抗力不能履行或不能完全履行本合同的义务时，应在不可抗力发生之日起十日内书面通知本合同另一方，并在不可抗力发生之日起三十日内向另一方提供由有关部门出具的不可抗力证明。</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8</w:t>
      </w:r>
      <w:r>
        <w:rPr>
          <w:rFonts w:ascii="宋体" w:hAnsi="宋体" w:cs="宋体"/>
          <w:szCs w:val="21"/>
        </w:rPr>
        <w:t>.3因不可抗力不能履行合同的，根据不可抗力的影响，受影响方部分或全部免除责任，但法律另有规定的除外。迟延履行合同后发生不可抗力的，不能免除责任。</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8</w:t>
      </w:r>
      <w:r>
        <w:rPr>
          <w:rFonts w:ascii="宋体" w:hAnsi="宋体" w:cs="宋体"/>
          <w:szCs w:val="21"/>
        </w:rPr>
        <w:t>.4如果因不可抗力的影响致使本合同中止履行九十日或以上时，甲、乙双方应根据不可抗力对合同履行的影响程度，协商确定是否终止合同，或继续履行本合同。</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8" w:name="_Toc5407"/>
      <w:r>
        <w:rPr>
          <w:rFonts w:hint="eastAsia" w:ascii="宋体" w:hAnsi="宋体" w:cs="宋体"/>
          <w:b/>
          <w:szCs w:val="21"/>
        </w:rPr>
        <w:t>第九条 税收</w:t>
      </w:r>
      <w:bookmarkEnd w:id="498"/>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9</w:t>
      </w:r>
      <w:r>
        <w:rPr>
          <w:rFonts w:ascii="宋体" w:hAnsi="宋体" w:cs="宋体"/>
          <w:szCs w:val="21"/>
        </w:rPr>
        <w:t>.1双方将各自承担中国有关机构根据中国税法向其征收的所有与合同执行有关的税费。</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499" w:name="_Toc19752"/>
      <w:r>
        <w:rPr>
          <w:rFonts w:hint="eastAsia" w:ascii="宋体" w:hAnsi="宋体" w:cs="宋体"/>
          <w:b/>
          <w:szCs w:val="21"/>
        </w:rPr>
        <w:t>第十条 法律适用及争议解决</w:t>
      </w:r>
      <w:bookmarkEnd w:id="499"/>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.1本合同适用中华人民共和国法律。</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.2所有因本合同引起的或与本合同有关的任何争议将通过双方友好协商解决。如果双方不能通过友好协商解决争议，则任何一方均可采取下述第[</w:t>
      </w:r>
      <w:r>
        <w:rPr>
          <w:rFonts w:hint="eastAsia" w:ascii="宋体" w:hAnsi="宋体" w:cs="宋体"/>
          <w:szCs w:val="21"/>
        </w:rPr>
        <w:t>2</w:t>
      </w:r>
      <w:r>
        <w:rPr>
          <w:rFonts w:ascii="宋体" w:hAnsi="宋体" w:cs="宋体"/>
          <w:szCs w:val="21"/>
        </w:rPr>
        <w:t>]种争议解决方式：</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1）将该争议提交</w:t>
      </w:r>
      <w:r>
        <w:rPr>
          <w:rFonts w:hint="eastAsia" w:ascii="宋体" w:hAnsi="宋体" w:cs="宋体"/>
          <w:szCs w:val="21"/>
        </w:rPr>
        <w:t>甲方所在行政区域</w:t>
      </w:r>
      <w:r>
        <w:rPr>
          <w:rFonts w:ascii="宋体" w:hAnsi="宋体" w:cs="宋体"/>
          <w:szCs w:val="21"/>
        </w:rPr>
        <w:t>仲裁委员会，按照申请仲裁时该会的仲裁规则进行仲裁。仲裁在[</w:t>
      </w:r>
      <w:r>
        <w:rPr>
          <w:rFonts w:hint="eastAsia" w:ascii="宋体" w:hAnsi="宋体" w:cs="宋体"/>
          <w:szCs w:val="21"/>
          <w:lang w:val="en-US" w:eastAsia="zh-CN"/>
        </w:rPr>
        <w:t xml:space="preserve">  </w:t>
      </w:r>
      <w:r>
        <w:rPr>
          <w:rFonts w:ascii="宋体" w:hAnsi="宋体" w:cs="宋体"/>
          <w:szCs w:val="21"/>
        </w:rPr>
        <w:t>]进行。仲裁语言为中文。仲裁裁决是终局的，对双方均有约束力。仲裁费用由败诉方承担。</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2）向[</w:t>
      </w:r>
      <w:r>
        <w:rPr>
          <w:rFonts w:hint="eastAsia" w:ascii="宋体" w:hAnsi="宋体" w:cs="宋体"/>
          <w:szCs w:val="21"/>
        </w:rPr>
        <w:t>甲方所在地</w:t>
      </w:r>
      <w:r>
        <w:rPr>
          <w:rFonts w:ascii="宋体" w:hAnsi="宋体" w:cs="宋体"/>
          <w:szCs w:val="21"/>
        </w:rPr>
        <w:t>]有管辖权的人民法院起诉。</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0</w:t>
      </w:r>
      <w:r>
        <w:rPr>
          <w:rFonts w:ascii="宋体" w:hAnsi="宋体" w:cs="宋体"/>
          <w:szCs w:val="21"/>
        </w:rPr>
        <w:t>.3仲裁或诉讼进行过程中，双方将继续履行本合同未涉仲裁或诉讼的其它部分。</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500" w:name="_Toc9310"/>
      <w:r>
        <w:rPr>
          <w:rFonts w:hint="eastAsia" w:ascii="宋体" w:hAnsi="宋体" w:cs="宋体"/>
          <w:b/>
          <w:szCs w:val="21"/>
        </w:rPr>
        <w:t>第十一条 保密</w:t>
      </w:r>
      <w:bookmarkEnd w:id="500"/>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.1甲、乙双方共同恪守对技术及对项目工程的保密责任。所有项目相关人员不得已任何形式向第三方泄露项目合作计划和内容。所有项目相关人员，不得以任何方式向第三方泄露有关技术资料。</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2乙方对甲方所提供的所有资料以及在本合同签订、过程中所接触到的甲方及其关联公司的商业秘密、技术资料、客户信息等资料和信息（统称“保密资料”），负有保密义务。未经甲方书面许可，乙方不得向任何第三方披露，不得将保密资料的部分或全部用于本合同约定事项以外的其他用途。乙方有义务对保密资料采取不低于对其本身商业秘密所采取的保护手段予以保护。乙方可仅为本合同之目的向其确有知悉必要的雇员披露保密资料，但同时须指示其雇员遵守本条规定的保密及不披露义务。</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.3乙方仅</w:t>
      </w:r>
      <w:r>
        <w:rPr>
          <w:rFonts w:hint="eastAsia" w:ascii="宋体" w:hAnsi="宋体" w:cs="宋体"/>
          <w:szCs w:val="21"/>
        </w:rPr>
        <w:t>可为履行本合同之目的对保密资料进行复制。乙方不得以任何方式（如软硬盘、图纸、彩样、照片、菲林、光盘等）留存保密资料（包括但不限于素材、半成品、成品）。乙方应当在完成委托事项或本合同终止或解除时将保密资料原件全部返还甲方，并销毁所有复制件。乙方应当妥善保管保密资料，并对保密资料在乙方期间发生的被盗、泄露或其他有损保密资料保密性的事件承担全部责任，因此造成甲方损失的，乙方应负责赔偿。</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.4当出现下述情况时，本条对保密资料的限制不适用。当保密资料：</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1）并非乙方的过错而已经进入公有领域的。</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2）通过有关记录证明是由乙方独立开发的。</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3）由乙方从没有违反对甲方的保密义务的人合法取得的。</w:t>
      </w:r>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w:t>
      </w:r>
      <w:r>
        <w:rPr>
          <w:rFonts w:ascii="宋体" w:hAnsi="宋体" w:cs="宋体"/>
          <w:szCs w:val="21"/>
        </w:rPr>
        <w:t>4）法律要求乙方披露的，但乙方应在合理的时间提前通知甲方，使其得以采取其认为必要的保护措施。</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1</w:t>
      </w:r>
      <w:r>
        <w:rPr>
          <w:rFonts w:ascii="宋体" w:hAnsi="宋体" w:cs="宋体"/>
          <w:szCs w:val="21"/>
        </w:rPr>
        <w:t xml:space="preserve">.5本保密条款自保密资料提供或披露之日起至本合同终止或解除后[ </w:t>
      </w:r>
      <w:r>
        <w:rPr>
          <w:rFonts w:hint="eastAsia" w:ascii="宋体" w:hAnsi="宋体" w:cs="宋体"/>
          <w:szCs w:val="21"/>
        </w:rPr>
        <w:t>三</w:t>
      </w:r>
      <w:r>
        <w:rPr>
          <w:rFonts w:ascii="宋体" w:hAnsi="宋体" w:cs="宋体"/>
          <w:szCs w:val="21"/>
        </w:rPr>
        <w:t xml:space="preserve"> ]年内有效。</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501" w:name="_Toc16763"/>
      <w:r>
        <w:rPr>
          <w:rFonts w:hint="eastAsia" w:ascii="宋体" w:hAnsi="宋体" w:cs="宋体"/>
          <w:b/>
          <w:szCs w:val="21"/>
        </w:rPr>
        <w:t>第十二条 权利归属及侵权处理</w:t>
      </w:r>
      <w:bookmarkEnd w:id="501"/>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.1在本项目实施前，乙方已经拥有的知识产权仍归乙方所有，但甲方拥有永久的免费使用权</w:t>
      </w:r>
      <w:r>
        <w:rPr>
          <w:rFonts w:hint="eastAsia" w:ascii="宋体" w:hAnsi="宋体" w:cs="宋体"/>
          <w:szCs w:val="21"/>
        </w:rPr>
        <w:t>。</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2</w:t>
      </w:r>
      <w:r>
        <w:rPr>
          <w:rFonts w:ascii="宋体" w:hAnsi="宋体" w:cs="宋体"/>
          <w:szCs w:val="21"/>
        </w:rPr>
        <w:t>.</w:t>
      </w:r>
      <w:r>
        <w:rPr>
          <w:rFonts w:hint="eastAsia" w:ascii="宋体" w:hAnsi="宋体" w:cs="宋体"/>
          <w:szCs w:val="21"/>
          <w:lang w:val="en-US" w:eastAsia="zh-CN"/>
        </w:rPr>
        <w:t>2</w:t>
      </w:r>
      <w:r>
        <w:rPr>
          <w:rFonts w:ascii="宋体" w:hAnsi="宋体" w:cs="宋体"/>
          <w:kern w:val="0"/>
          <w:szCs w:val="21"/>
        </w:rPr>
        <w:t>乙方承诺，为完成本合同约定事项，乙方已从系统软件权利人处取得系统软件的许可使用权（或乙方为系统软件的著作权人），并有权许可甲方使用并用于应用软件，且该授权长期合法有效并能够满足本项目需要。</w:t>
      </w:r>
      <w:r>
        <w:rPr>
          <w:rFonts w:hint="eastAsia" w:ascii="宋体" w:hAnsi="宋体" w:cs="宋体"/>
          <w:kern w:val="0"/>
          <w:szCs w:val="21"/>
        </w:rPr>
        <w:t>否则，由于权利瑕疵而发生纠纷的，乙方应负责解决纠纷并承担相应的法律责任，因此而给甲方造成损失的，乙方应赔偿甲方的所有损失</w:t>
      </w:r>
      <w:r>
        <w:rPr>
          <w:rFonts w:ascii="宋体" w:hAnsi="宋体" w:cs="宋体"/>
          <w:kern w:val="0"/>
          <w:szCs w:val="21"/>
        </w:rPr>
        <w:t>。</w:t>
      </w:r>
      <w:r>
        <w:rPr>
          <w:rFonts w:hint="eastAsia" w:ascii="宋体" w:hAnsi="宋体" w:cs="宋体"/>
          <w:kern w:val="0"/>
          <w:szCs w:val="21"/>
        </w:rPr>
        <w:t>由</w:t>
      </w:r>
      <w:r>
        <w:rPr>
          <w:rFonts w:ascii="宋体" w:hAnsi="宋体" w:cs="宋体"/>
          <w:kern w:val="0"/>
          <w:szCs w:val="21"/>
        </w:rPr>
        <w:t>甲方指定乙方采购的第三方</w:t>
      </w:r>
      <w:r>
        <w:rPr>
          <w:rFonts w:hint="eastAsia" w:ascii="宋体" w:hAnsi="宋体" w:cs="宋体"/>
          <w:kern w:val="0"/>
          <w:szCs w:val="21"/>
        </w:rPr>
        <w:t>产品</w:t>
      </w:r>
      <w:r>
        <w:rPr>
          <w:rFonts w:ascii="宋体" w:hAnsi="宋体" w:cs="宋体"/>
          <w:kern w:val="0"/>
          <w:szCs w:val="21"/>
        </w:rPr>
        <w:t>或者服务</w:t>
      </w:r>
      <w:r>
        <w:rPr>
          <w:rFonts w:hint="eastAsia" w:ascii="宋体" w:hAnsi="宋体" w:cs="宋体"/>
          <w:kern w:val="0"/>
          <w:szCs w:val="21"/>
        </w:rPr>
        <w:t>发生</w:t>
      </w:r>
      <w:r>
        <w:rPr>
          <w:rFonts w:ascii="宋体" w:hAnsi="宋体" w:cs="宋体"/>
          <w:kern w:val="0"/>
          <w:szCs w:val="21"/>
        </w:rPr>
        <w:t>上述纠纷而导致甲方损失的，乙方不承担责任。</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502" w:name="_Toc24535"/>
      <w:bookmarkStart w:id="503" w:name="_Toc33253833"/>
      <w:r>
        <w:rPr>
          <w:rFonts w:hint="eastAsia" w:ascii="宋体" w:hAnsi="宋体" w:cs="宋体"/>
          <w:b/>
          <w:szCs w:val="21"/>
        </w:rPr>
        <w:t>第十三条 合同变更</w:t>
      </w:r>
      <w:bookmarkEnd w:id="502"/>
    </w:p>
    <w:p>
      <w:pPr>
        <w:autoSpaceDE w:val="0"/>
        <w:autoSpaceDN w:val="0"/>
        <w:spacing w:line="560" w:lineRule="exact"/>
        <w:ind w:firstLine="562"/>
        <w:textAlignment w:val="bottom"/>
        <w:rPr>
          <w:rFonts w:ascii="宋体" w:hAnsi="宋体" w:cs="宋体"/>
          <w:szCs w:val="21"/>
        </w:rPr>
      </w:pPr>
      <w:r>
        <w:rPr>
          <w:rFonts w:hint="eastAsia" w:ascii="宋体" w:hAnsi="宋体" w:cs="宋体"/>
          <w:szCs w:val="21"/>
        </w:rPr>
        <w:t>对本合同的任何变更或补充，须经甲乙双方协商一致，并另行签订书面补充协议。</w:t>
      </w:r>
    </w:p>
    <w:p>
      <w:pPr>
        <w:keepNext w:val="0"/>
        <w:keepLines w:val="0"/>
        <w:pageBreakBefore w:val="0"/>
        <w:widowControl w:val="0"/>
        <w:kinsoku/>
        <w:wordWrap/>
        <w:overflowPunct/>
        <w:topLinePunct w:val="0"/>
        <w:autoSpaceDE w:val="0"/>
        <w:autoSpaceDN w:val="0"/>
        <w:bidi w:val="0"/>
        <w:adjustRightInd/>
        <w:snapToGrid/>
        <w:spacing w:line="560" w:lineRule="exact"/>
        <w:textAlignment w:val="bottom"/>
        <w:outlineLvl w:val="1"/>
        <w:rPr>
          <w:rFonts w:hint="eastAsia" w:ascii="宋体" w:hAnsi="宋体" w:cs="宋体"/>
          <w:b/>
          <w:szCs w:val="21"/>
        </w:rPr>
      </w:pPr>
      <w:bookmarkStart w:id="504" w:name="_Toc18905"/>
      <w:r>
        <w:rPr>
          <w:rFonts w:hint="eastAsia" w:ascii="宋体" w:hAnsi="宋体" w:cs="宋体"/>
          <w:b/>
          <w:szCs w:val="21"/>
        </w:rPr>
        <w:t xml:space="preserve">第十四条 </w:t>
      </w:r>
      <w:bookmarkEnd w:id="503"/>
      <w:bookmarkStart w:id="505" w:name="_Toc33253835"/>
      <w:r>
        <w:rPr>
          <w:rFonts w:hint="eastAsia" w:ascii="宋体" w:hAnsi="宋体" w:cs="宋体"/>
          <w:b/>
          <w:szCs w:val="21"/>
        </w:rPr>
        <w:t>合同生效及其他</w:t>
      </w:r>
      <w:bookmarkEnd w:id="504"/>
      <w:bookmarkEnd w:id="505"/>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.1本合同自双方签字盖章之日起生效。</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.2本合同将保持其有效直至双方已完全履行合同项下的所有义务且双方之间的所有付款和索赔已结清。</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 xml:space="preserve">.3本合同一式[ </w:t>
      </w:r>
      <w:r>
        <w:rPr>
          <w:rFonts w:hint="eastAsia" w:ascii="宋体" w:hAnsi="宋体" w:cs="宋体"/>
          <w:szCs w:val="21"/>
        </w:rPr>
        <w:t>肆</w:t>
      </w:r>
      <w:r>
        <w:rPr>
          <w:rFonts w:ascii="宋体" w:hAnsi="宋体" w:cs="宋体"/>
          <w:szCs w:val="21"/>
        </w:rPr>
        <w:t xml:space="preserve"> ]份，双方各持[ </w:t>
      </w:r>
      <w:r>
        <w:rPr>
          <w:rFonts w:hint="eastAsia" w:ascii="宋体" w:hAnsi="宋体" w:cs="宋体"/>
          <w:szCs w:val="21"/>
        </w:rPr>
        <w:t>贰</w:t>
      </w:r>
      <w:r>
        <w:rPr>
          <w:rFonts w:ascii="宋体" w:hAnsi="宋体" w:cs="宋体"/>
          <w:szCs w:val="21"/>
        </w:rPr>
        <w:t xml:space="preserve"> ]份，具有同等法律效力。</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.4任何一方未经另一方同意不得向任何第三方透露本合同的签订及其内容。任何一方向其关联公司透露的，不受此限。</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.5对合同内容做出的任何修改和补充应为书面形式，由双方签字盖章后成为合同不可分割的部分。</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6甲方与乙方因履行本合同或与本合同有关的一切通知都必须按照本合同中的地址，以书面信函形式或双方确认的传真或类似的通讯方式进行。采用信函方式的应使用挂号信或者具有良好信誉的特快专递送达。如使用传真或类似的通讯方式，通知日期即为通讯发出日期，如使用挂号信件或特快专递，通知日期即为邮件寄出日期并以邮戳为准。</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7未得到对方的书面许可，任何一方均不得以广告或在公共场合使用或摹仿对方的商业名称、商标、图案、服务标志、符号、代码、型号或缩写，任何一方均不得声称对对方的商业名称、商标、图案、服务标志、符号、代码、型号或缩写拥有所有权。</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.8本合同各条标题仅为提示之用，应以条文内容确定各方的权利义务。</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.9如果本合同的任何条款在任何时候变成不合法、无效或不可强制执行而不从根本上影响本合同的效力时，本合同的其它条款不受影响。</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.10本合同的任何内容不应被视为或解释为双方之间具有合资、合伙、代理关系。</w:t>
      </w:r>
    </w:p>
    <w:p>
      <w:pPr>
        <w:autoSpaceDE w:val="0"/>
        <w:autoSpaceDN w:val="0"/>
        <w:spacing w:line="560" w:lineRule="exact"/>
        <w:ind w:firstLine="562"/>
        <w:textAlignment w:val="bottom"/>
        <w:rPr>
          <w:rFonts w:ascii="宋体" w:hAnsi="宋体" w:cs="宋体"/>
          <w:szCs w:val="21"/>
        </w:rPr>
      </w:pPr>
      <w:r>
        <w:rPr>
          <w:rFonts w:ascii="宋体" w:hAnsi="宋体" w:cs="宋体"/>
          <w:szCs w:val="21"/>
        </w:rPr>
        <w:t>1</w:t>
      </w:r>
      <w:r>
        <w:rPr>
          <w:rFonts w:hint="eastAsia" w:ascii="宋体" w:hAnsi="宋体" w:cs="宋体"/>
          <w:szCs w:val="21"/>
        </w:rPr>
        <w:t>4</w:t>
      </w:r>
      <w:r>
        <w:rPr>
          <w:rFonts w:ascii="宋体" w:hAnsi="宋体" w:cs="宋体"/>
          <w:szCs w:val="21"/>
        </w:rPr>
        <w:t>.11</w:t>
      </w:r>
      <w:r>
        <w:rPr>
          <w:rFonts w:hint="eastAsia" w:ascii="宋体" w:hAnsi="宋体" w:cs="宋体"/>
          <w:szCs w:val="21"/>
        </w:rPr>
        <w:t>本合同附件是本合同不可分割的部分，若附件与合同正文冲突，以本合同正文为准。</w:t>
      </w:r>
    </w:p>
    <w:p>
      <w:pPr>
        <w:autoSpaceDE w:val="0"/>
        <w:autoSpaceDN w:val="0"/>
        <w:spacing w:line="560" w:lineRule="exact"/>
        <w:ind w:firstLine="562"/>
        <w:textAlignment w:val="bottom"/>
        <w:rPr>
          <w:rFonts w:ascii="宋体" w:hAnsi="宋体" w:cs="宋体"/>
          <w:szCs w:val="21"/>
        </w:rPr>
      </w:pPr>
    </w:p>
    <w:p>
      <w:pPr>
        <w:pStyle w:val="38"/>
        <w:ind w:firstLine="210"/>
      </w:pPr>
    </w:p>
    <w:p>
      <w:pPr>
        <w:pStyle w:val="38"/>
        <w:ind w:firstLine="210"/>
      </w:pPr>
    </w:p>
    <w:p>
      <w:pPr>
        <w:autoSpaceDE w:val="0"/>
        <w:autoSpaceDN w:val="0"/>
        <w:spacing w:line="560" w:lineRule="exact"/>
        <w:ind w:firstLine="562"/>
        <w:textAlignment w:val="bottom"/>
        <w:rPr>
          <w:rFonts w:ascii="宋体" w:hAnsi="宋体" w:cs="宋体"/>
          <w:szCs w:val="21"/>
        </w:rPr>
      </w:pPr>
    </w:p>
    <w:p>
      <w:pPr>
        <w:pStyle w:val="38"/>
        <w:ind w:firstLine="210"/>
      </w:pPr>
    </w:p>
    <w:p>
      <w:pPr>
        <w:snapToGrid w:val="0"/>
        <w:spacing w:line="360" w:lineRule="auto"/>
        <w:ind w:firstLine="420" w:firstLineChars="200"/>
        <w:rPr>
          <w:rFonts w:ascii="宋体" w:hAnsi="宋体" w:cs="宋体"/>
          <w:szCs w:val="21"/>
        </w:rPr>
      </w:pPr>
      <w:r>
        <w:rPr>
          <w:rFonts w:hint="eastAsia" w:ascii="宋体" w:hAnsi="宋体" w:cs="宋体"/>
          <w:szCs w:val="21"/>
        </w:rPr>
        <w:t>甲方（盖章）：                           乙方（签章）：</w:t>
      </w:r>
    </w:p>
    <w:p>
      <w:pPr>
        <w:snapToGrid w:val="0"/>
        <w:spacing w:line="360" w:lineRule="auto"/>
        <w:ind w:firstLine="420" w:firstLineChars="200"/>
        <w:rPr>
          <w:rFonts w:ascii="宋体" w:hAnsi="宋体" w:cs="宋体"/>
          <w:szCs w:val="21"/>
        </w:rPr>
      </w:pPr>
    </w:p>
    <w:p>
      <w:pPr>
        <w:snapToGrid w:val="0"/>
        <w:spacing w:line="360" w:lineRule="auto"/>
        <w:ind w:firstLine="420" w:firstLineChars="200"/>
        <w:rPr>
          <w:rFonts w:hint="default"/>
          <w:highlight w:val="none"/>
          <w:lang w:val="en-US" w:eastAsia="zh-CN"/>
        </w:rPr>
      </w:pPr>
      <w:r>
        <w:rPr>
          <w:rFonts w:hint="eastAsia" w:ascii="宋体" w:hAnsi="宋体" w:cs="宋体"/>
          <w:szCs w:val="21"/>
        </w:rPr>
        <w:t>签署日期：                               签署日期：</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p>
    <w:p>
      <w:pPr>
        <w:snapToGrid w:val="0"/>
        <w:spacing w:line="360" w:lineRule="auto"/>
        <w:rPr>
          <w:rFonts w:ascii="宋体" w:hAnsi="宋体" w:cs="宋体"/>
          <w:color w:val="auto"/>
          <w:szCs w:val="21"/>
        </w:rPr>
      </w:pPr>
    </w:p>
    <w:p>
      <w:pPr>
        <w:rPr>
          <w:color w:val="auto"/>
        </w:rPr>
      </w:pPr>
    </w:p>
    <w:p>
      <w:pPr>
        <w:rPr>
          <w:rFonts w:ascii="宋体" w:hAnsi="宋体" w:cs="宋体"/>
          <w:b/>
          <w:color w:val="auto"/>
          <w:kern w:val="0"/>
          <w:sz w:val="28"/>
          <w:szCs w:val="28"/>
        </w:rPr>
      </w:pPr>
      <w:r>
        <w:rPr>
          <w:rFonts w:ascii="宋体" w:hAnsi="宋体" w:cs="宋体"/>
          <w:b/>
          <w:color w:val="auto"/>
          <w:kern w:val="0"/>
          <w:sz w:val="28"/>
          <w:szCs w:val="28"/>
        </w:rPr>
        <w:br w:type="page"/>
      </w:r>
    </w:p>
    <w:p>
      <w:pPr>
        <w:pStyle w:val="77"/>
        <w:spacing w:before="240" w:after="120"/>
        <w:rPr>
          <w:rFonts w:ascii="宋体" w:hAnsi="宋体" w:eastAsia="宋体" w:cs="宋体"/>
          <w:b/>
          <w:bCs w:val="0"/>
          <w:color w:val="auto"/>
          <w:kern w:val="0"/>
          <w:sz w:val="28"/>
          <w:szCs w:val="28"/>
        </w:rPr>
      </w:pPr>
      <w:bookmarkStart w:id="506" w:name="_Toc4094"/>
      <w:bookmarkStart w:id="507" w:name="_Toc20707"/>
      <w:bookmarkStart w:id="508" w:name="_Toc2566"/>
      <w:r>
        <w:rPr>
          <w:rFonts w:hint="eastAsia" w:ascii="宋体" w:hAnsi="宋体" w:eastAsia="宋体" w:cs="宋体"/>
          <w:b/>
          <w:bCs w:val="0"/>
          <w:color w:val="auto"/>
          <w:kern w:val="0"/>
          <w:sz w:val="28"/>
          <w:szCs w:val="28"/>
        </w:rPr>
        <w:t>第五章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采购需求书</w:t>
      </w:r>
      <w:bookmarkEnd w:id="480"/>
      <w:bookmarkEnd w:id="481"/>
      <w:bookmarkEnd w:id="482"/>
      <w:bookmarkEnd w:id="506"/>
      <w:bookmarkEnd w:id="507"/>
      <w:bookmarkEnd w:id="508"/>
    </w:p>
    <w:p>
      <w:pPr>
        <w:spacing w:line="400" w:lineRule="exact"/>
        <w:jc w:val="left"/>
        <w:rPr>
          <w:rFonts w:ascii="宋体" w:hAnsi="宋体"/>
          <w:b/>
          <w:color w:val="auto"/>
          <w:szCs w:val="21"/>
        </w:rPr>
      </w:pPr>
      <w:r>
        <w:rPr>
          <w:rFonts w:hint="eastAsia" w:ascii="宋体" w:hAnsi="宋体"/>
          <w:b/>
          <w:color w:val="auto"/>
          <w:szCs w:val="21"/>
        </w:rPr>
        <w:t>总则</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投标人须对《采购需求书》全部条款理解清楚，并填写《采购需求偏离表》（格式见第六章）。</w:t>
      </w:r>
    </w:p>
    <w:p>
      <w:pPr>
        <w:widowControl/>
        <w:jc w:val="left"/>
        <w:rPr>
          <w:rFonts w:ascii="宋体" w:hAnsi="宋体"/>
          <w:b/>
          <w:color w:val="auto"/>
        </w:rPr>
      </w:pPr>
      <w:r>
        <w:rPr>
          <w:rFonts w:ascii="宋体" w:hAnsi="宋体"/>
          <w:b/>
          <w:color w:val="auto"/>
        </w:rPr>
        <w:br w:type="page"/>
      </w:r>
    </w:p>
    <w:p>
      <w:pPr>
        <w:spacing w:before="156" w:beforeLines="50" w:after="156" w:afterLines="50" w:line="360" w:lineRule="auto"/>
        <w:jc w:val="center"/>
        <w:rPr>
          <w:rFonts w:asciiTheme="minorEastAsia" w:hAnsiTheme="minorEastAsia" w:eastAsiaTheme="minorEastAsia"/>
          <w:color w:val="auto"/>
          <w:sz w:val="32"/>
          <w:szCs w:val="32"/>
        </w:rPr>
      </w:pPr>
      <w:bookmarkStart w:id="509" w:name="_Toc26541"/>
      <w:bookmarkStart w:id="510" w:name="_Toc32130"/>
      <w:bookmarkStart w:id="511" w:name="_Toc68684318"/>
      <w:bookmarkStart w:id="512" w:name="_Toc70434247"/>
      <w:bookmarkStart w:id="513" w:name="_Toc5272"/>
      <w:bookmarkStart w:id="514" w:name="_Toc18739"/>
      <w:bookmarkStart w:id="515" w:name="_Toc16752"/>
      <w:r>
        <w:rPr>
          <w:rFonts w:hint="eastAsia" w:asciiTheme="minorEastAsia" w:hAnsiTheme="minorEastAsia" w:eastAsiaTheme="minorEastAsia"/>
          <w:color w:val="auto"/>
          <w:sz w:val="32"/>
          <w:szCs w:val="32"/>
          <w:lang w:eastAsia="zh-CN"/>
        </w:rPr>
        <w:t>南方日报广告业务管理平台升级改造公开招标项目</w:t>
      </w:r>
      <w:r>
        <w:rPr>
          <w:rFonts w:hint="eastAsia" w:asciiTheme="minorEastAsia" w:hAnsiTheme="minorEastAsia" w:eastAsiaTheme="minorEastAsia"/>
          <w:color w:val="auto"/>
          <w:sz w:val="32"/>
          <w:szCs w:val="32"/>
          <w:lang w:eastAsia="zh-Hans"/>
        </w:rPr>
        <w:t>采购</w:t>
      </w:r>
      <w:r>
        <w:rPr>
          <w:rFonts w:hint="eastAsia" w:asciiTheme="minorEastAsia" w:hAnsiTheme="minorEastAsia" w:eastAsiaTheme="minorEastAsia"/>
          <w:color w:val="auto"/>
          <w:sz w:val="32"/>
          <w:szCs w:val="32"/>
        </w:rPr>
        <w:t>需求</w:t>
      </w:r>
      <w:r>
        <w:rPr>
          <w:rFonts w:hint="eastAsia" w:asciiTheme="minorEastAsia" w:hAnsiTheme="minorEastAsia" w:eastAsiaTheme="minorEastAsia"/>
          <w:color w:val="auto"/>
          <w:sz w:val="32"/>
          <w:szCs w:val="32"/>
          <w:lang w:eastAsia="zh-Hans"/>
        </w:rPr>
        <w:t>书</w:t>
      </w:r>
      <w:bookmarkEnd w:id="509"/>
      <w:bookmarkEnd w:id="510"/>
      <w:bookmarkEnd w:id="511"/>
      <w:bookmarkEnd w:id="512"/>
      <w:bookmarkEnd w:id="513"/>
      <w:bookmarkEnd w:id="514"/>
    </w:p>
    <w:p>
      <w:pPr>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bookmarkStart w:id="516" w:name="_Toc46483911"/>
      <w:r>
        <w:rPr>
          <w:rFonts w:hint="eastAsia" w:ascii="宋体" w:hAnsi="宋体" w:eastAsia="宋体" w:cs="宋体"/>
          <w:b/>
          <w:bCs/>
          <w:sz w:val="21"/>
          <w:szCs w:val="21"/>
          <w:lang w:val="en-US" w:eastAsia="zh-CN"/>
        </w:rPr>
        <w:t>一、建设目标</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旨在建立一个完整统一的融合媒体广告管理控制平台，实现南方日报跨媒体订单的全生命周期管理，建设一套满足“全媒体及多元化”业务开拓需求，适合报、端和多元化的统一的广告业务经营管理平台。实现对媒体资源、客户资源、刊发流程、素材资源、媒体用户等的统一管理。重点对“项目制”模式进行汇总开发，实现项目的周期统计、费用收支、进度执行、业绩分配、资料存档的智能化管理。</w:t>
      </w:r>
    </w:p>
    <w:p>
      <w:pPr>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二、主要技术需求：</w:t>
      </w:r>
    </w:p>
    <w:p>
      <w:pPr>
        <w:keepNext w:val="0"/>
        <w:keepLines w:val="0"/>
        <w:pageBreakBefore w:val="0"/>
        <w:numPr>
          <w:ilvl w:val="1"/>
          <w:numId w:val="13"/>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平台架构</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技术架构先进、安全可靠性高。在平台设计上，采用符合新技术潮流的技术架构、开发模式和开源技术。采用基于微服务架构的机制，全面组件化、面向对象设计技术，突出系统模块的可重用性和高度的互操作性，建立技术层面上的安全管控机制，确保广告数据的安全。</w:t>
      </w:r>
    </w:p>
    <w:p>
      <w:pPr>
        <w:keepNext w:val="0"/>
        <w:keepLines w:val="0"/>
        <w:pageBreakBefore w:val="0"/>
        <w:numPr>
          <w:ilvl w:val="1"/>
          <w:numId w:val="13"/>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可靠性</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运行应稳定可靠，具备高可用架构。系统无单点风险，确保应用的安全性，支持系统7x24小时不间断工作；采用松耦合架构；服务器端程序能无间断持续工作年可用率达99.9%;具备完善的数据备份方案，保证系统故障期间数据不丢失；在系统出现故障后要能快速恢复应用；</w:t>
      </w:r>
    </w:p>
    <w:p>
      <w:pPr>
        <w:keepNext w:val="0"/>
        <w:keepLines w:val="0"/>
        <w:pageBreakBefore w:val="0"/>
        <w:numPr>
          <w:ilvl w:val="1"/>
          <w:numId w:val="13"/>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可扩展性</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系统扩展简单，可通过架设多台WEB服务器、应用服务器、数据库服务器来提高系统性能。Web服务器、应用服务器需支持在云平台虚拟化环境上搭建。</w:t>
      </w:r>
    </w:p>
    <w:p>
      <w:pPr>
        <w:keepNext w:val="0"/>
        <w:keepLines w:val="0"/>
        <w:pageBreakBefore w:val="0"/>
        <w:numPr>
          <w:ilvl w:val="1"/>
          <w:numId w:val="13"/>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系统安全性</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系统运行具备高安全性，防止恶意访问攻击。安全架构设计及实施需与集团已有安全系统共享或对接。具备完善的日志审计功能，提供安全的信息加密机制，具备可靠的权限控制体系，通过国家网络安全等级保护2.0标准二级测评并备案。</w:t>
      </w:r>
    </w:p>
    <w:p>
      <w:pPr>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三、主要功能需求</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多用户管理</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业务管理平台需满足各部门、分公司的同时使用需求。平台应提供用户隔离和管理功能，实现平台数据和资源的精细化管理。应提供用户账号管理功能，可增加、修改、删除用户账号，设置用户周期管理。支持用户的分组管理、分级管理、授权管理，提供用户账号的使用情况统计报表。</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数据处理</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提供数据服务平台的数据采集、数据存储、任务调度、数据开发、数据开放等全流程一体化能力，同时要具备数据资产目录管理、元数据管理、数据生命周期管理、主数据管理以及数据质量管理等功能。</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数据安全</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数据的录入、传输、存储、分享、使用、审计的数据全周期管理各个阶段，提供完整的数据安全解决方案。各阶段功能包括但不限于数据录入阶段的合规认证、权限管控；数据传输阶段的数据加密、数据脱敏、数据传输网络安全保护；数据存储阶段的存储策略、存储加密、操作留痕；数据分享阶段的合规管控、数据外泄风险监控；数据使用阶段的身份认证与授权、数字水印、服务签名；数据审计阶段的数据日志审计、定期监控与追溯等。</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统计分析</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数据分析功能，通过数据门户查看指定年度指标、月度指标、日指标数据。提供收入、用户等相关指标的展示，并可通过趋势、对比功能进一步分析指标的走势。同时，可以选择账期、业务板块，切换到选择业务板块的数据。提供自助分析功能，支持多样灵活的交互分析方案，帮助用户探索数据内在联系。</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提供统一的报表管理功能，支持报表目录管理、报表权限管理、报表自动配置等。支持报表转发功能，同时支持离线数据导出EXECL和在线数据直接发送到小南、微信、邮箱等。</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数据标签</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完整的数据标签功能，涵盖标签生产、标签导入、客户360视图（客户信息）、客户圈选（自定义客户属性）等功能。支持统计类、规则类、控掘类等不同标签生产方式。统计类标签指广告基本属性、状态、投放位置明细（如报纸主报、报纸特刊、报纸地方版、南方+客户端、官方双微、网站、多元化等）、归属策划项目等事实标签。规则类标签指根据业务运营的需求，在业务层面制定的业务标签，如大客户、挂牌客户、积分商城置换客户等。挖掘类标签指需求通过应用算法挖掘出来的数据预测特征，如稳定投放客户、流失客户预警、长时间欠款高风险客户、客户投放位置偏好等。</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应用平台能力</w:t>
      </w:r>
    </w:p>
    <w:p>
      <w:pPr>
        <w:keepNext w:val="0"/>
        <w:keepLines w:val="0"/>
        <w:pageBreakBefore w:val="0"/>
        <w:numPr>
          <w:ilvl w:val="0"/>
          <w:numId w:val="15"/>
        </w:numPr>
        <w:kinsoku/>
        <w:wordWrap/>
        <w:overflowPunct/>
        <w:topLinePunct w:val="0"/>
        <w:bidi w:val="0"/>
        <w:snapToGrid/>
        <w:spacing w:line="360" w:lineRule="auto"/>
        <w:ind w:left="0" w:leftChars="0" w:firstLine="42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全流程各管理环节对接能力</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基于广告业务管理制度体系，系统解决业务流程中各管理环节存在的问题，并通过与其他相关系统（南方+广告发布系统、方正飞腾排版系统、金蝶财务系统、智慧化合同管理系统）的对接，实现广告业务从意向、报价、合同、执行、结算、业绩激励、存档、反馈、分析、报表等全生命周期管理。</w:t>
      </w:r>
    </w:p>
    <w:p>
      <w:pPr>
        <w:keepNext w:val="0"/>
        <w:keepLines w:val="0"/>
        <w:pageBreakBefore w:val="0"/>
        <w:numPr>
          <w:ilvl w:val="0"/>
          <w:numId w:val="15"/>
        </w:numPr>
        <w:kinsoku/>
        <w:wordWrap/>
        <w:overflowPunct/>
        <w:topLinePunct w:val="0"/>
        <w:bidi w:val="0"/>
        <w:snapToGrid/>
        <w:spacing w:line="360" w:lineRule="auto"/>
        <w:ind w:left="0" w:leftChars="0" w:firstLine="42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高水平数字化管理能力</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构建高水平的数字化管理，常规广告纸质资料（如全媒体认刊书、流程单、客户资料和审核证明备案），统一使用全数字配套的一体化电子资料档案。建立商业广告客户信息数据库，参照“供应商入库”模式，在首时登录时完成客户基本资料（营业执照复印件、客户名片等）的收集，再次登录时直接调用数据库中的客户资料。</w:t>
      </w:r>
    </w:p>
    <w:p>
      <w:pPr>
        <w:keepNext w:val="0"/>
        <w:keepLines w:val="0"/>
        <w:pageBreakBefore w:val="0"/>
        <w:numPr>
          <w:ilvl w:val="0"/>
          <w:numId w:val="15"/>
        </w:numPr>
        <w:kinsoku/>
        <w:wordWrap/>
        <w:overflowPunct/>
        <w:topLinePunct w:val="0"/>
        <w:bidi w:val="0"/>
        <w:snapToGrid/>
        <w:spacing w:line="360" w:lineRule="auto"/>
        <w:ind w:left="0" w:leftChars="0" w:firstLine="42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业财智能化能力</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开发具备智能化处理能力的业财管理方案，在核销、开票、区域管理和项目预算等四个方面提升流程效率。具备“见报”匹配核销；预留对接转入财务金蝶系统的接口；核销回退红字冲销记录，预开发票回退返回原发票位置；判断开票主体，系统内打印电子发票，支持全电发票；支持导入银行到款流水明细的EXECL表格，</w:t>
      </w:r>
      <w:r>
        <w:rPr>
          <w:rFonts w:hint="eastAsia"/>
          <w:lang w:val="en-US" w:eastAsia="zh-CN"/>
        </w:rPr>
        <w:t>支持项目预算及进度预警，支持收入绩效考核管理；</w:t>
      </w:r>
      <w:r>
        <w:rPr>
          <w:rFonts w:hint="eastAsia" w:ascii="宋体" w:hAnsi="宋体" w:eastAsia="宋体" w:cs="宋体"/>
          <w:b w:val="0"/>
          <w:bCs w:val="0"/>
          <w:sz w:val="21"/>
          <w:szCs w:val="21"/>
          <w:lang w:val="en-US" w:eastAsia="zh-CN"/>
        </w:rPr>
        <w:t>匹配客户标签后发送提醒通知等功能。</w:t>
      </w:r>
    </w:p>
    <w:p>
      <w:pPr>
        <w:keepNext w:val="0"/>
        <w:keepLines w:val="0"/>
        <w:pageBreakBefore w:val="0"/>
        <w:numPr>
          <w:ilvl w:val="0"/>
          <w:numId w:val="15"/>
        </w:numPr>
        <w:kinsoku/>
        <w:wordWrap/>
        <w:overflowPunct/>
        <w:topLinePunct w:val="0"/>
        <w:bidi w:val="0"/>
        <w:snapToGrid/>
        <w:spacing w:line="360" w:lineRule="auto"/>
        <w:ind w:left="0" w:leftChars="0" w:firstLine="42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移动端APP数据接入能力</w:t>
      </w:r>
    </w:p>
    <w:p>
      <w:pPr>
        <w:keepNext w:val="0"/>
        <w:keepLines w:val="0"/>
        <w:pageBreakBefore w:val="0"/>
        <w:numPr>
          <w:ilvl w:val="0"/>
          <w:numId w:val="0"/>
        </w:numPr>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提供移动端APP数据接入服务，实现任何地方和任何时段的高效快速管理能力，如线上远程审批、业务数据查询、发布位置预定申请等，支持与小南APP应用的集成。</w:t>
      </w:r>
    </w:p>
    <w:p>
      <w:pPr>
        <w:keepNext w:val="0"/>
        <w:keepLines w:val="0"/>
        <w:pageBreakBefore w:val="0"/>
        <w:numPr>
          <w:ilvl w:val="1"/>
          <w:numId w:val="14"/>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需求功能清单列表</w:t>
      </w:r>
      <w:r>
        <w:rPr>
          <w:rFonts w:hint="eastAsia" w:ascii="宋体" w:hAnsi="宋体" w:cs="宋体"/>
          <w:b/>
          <w:bCs/>
          <w:sz w:val="21"/>
          <w:szCs w:val="21"/>
          <w:lang w:val="en-US" w:eastAsia="zh-CN"/>
        </w:rPr>
        <w:t>（核心功能已在“子项”列做备注）</w:t>
      </w:r>
    </w:p>
    <w:tbl>
      <w:tblPr>
        <w:tblStyle w:val="40"/>
        <w:tblW w:w="5126" w:type="pct"/>
        <w:tblInd w:w="0" w:type="dxa"/>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649"/>
        <w:gridCol w:w="1271"/>
        <w:gridCol w:w="1236"/>
        <w:gridCol w:w="5581"/>
      </w:tblGrid>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78" w:hRule="atLeast"/>
          <w:tblHeader/>
        </w:trPr>
        <w:tc>
          <w:tcPr>
            <w:tcW w:w="371" w:type="pct"/>
            <w:tcBorders>
              <w:top w:val="single" w:color="auto" w:sz="4" w:space="0"/>
              <w:left w:val="single" w:color="auto" w:sz="4" w:space="0"/>
              <w:bottom w:val="single" w:color="auto" w:sz="4" w:space="0"/>
              <w:right w:val="single" w:color="auto" w:sz="4" w:space="0"/>
            </w:tcBorders>
            <w:shd w:val="clear" w:color="000000" w:fill="A6A6A6"/>
            <w:noWrap/>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序号</w:t>
            </w:r>
          </w:p>
        </w:tc>
        <w:tc>
          <w:tcPr>
            <w:tcW w:w="727" w:type="pct"/>
            <w:tcBorders>
              <w:top w:val="single" w:color="auto" w:sz="4" w:space="0"/>
              <w:left w:val="single" w:color="auto" w:sz="4" w:space="0"/>
              <w:bottom w:val="single" w:color="auto" w:sz="4" w:space="0"/>
              <w:right w:val="single" w:color="auto" w:sz="4" w:space="0"/>
            </w:tcBorders>
            <w:shd w:val="clear" w:color="000000" w:fill="A6A6A6"/>
            <w:noWrap/>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模块/项目</w:t>
            </w:r>
          </w:p>
        </w:tc>
        <w:tc>
          <w:tcPr>
            <w:tcW w:w="707" w:type="pct"/>
            <w:tcBorders>
              <w:top w:val="single" w:color="auto" w:sz="4" w:space="0"/>
              <w:left w:val="single" w:color="auto" w:sz="4" w:space="0"/>
              <w:bottom w:val="single" w:color="auto" w:sz="4" w:space="0"/>
              <w:right w:val="single" w:color="auto" w:sz="4" w:space="0"/>
            </w:tcBorders>
            <w:shd w:val="clear" w:color="000000" w:fill="A6A6A6"/>
            <w:noWrap/>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子项</w:t>
            </w:r>
          </w:p>
        </w:tc>
        <w:tc>
          <w:tcPr>
            <w:tcW w:w="3193" w:type="pct"/>
            <w:tcBorders>
              <w:top w:val="single" w:color="auto" w:sz="4" w:space="0"/>
              <w:left w:val="single" w:color="auto" w:sz="4" w:space="0"/>
              <w:bottom w:val="single" w:color="auto" w:sz="4" w:space="0"/>
              <w:right w:val="single" w:color="auto" w:sz="4" w:space="0"/>
            </w:tcBorders>
            <w:shd w:val="clear" w:color="000000" w:fill="A6A6A6"/>
            <w:noWrap/>
            <w:vAlign w:val="center"/>
          </w:tcPr>
          <w:p>
            <w:pPr>
              <w:widowControl/>
              <w:spacing w:line="360" w:lineRule="auto"/>
              <w:jc w:val="center"/>
              <w:rPr>
                <w:rFonts w:ascii="宋体" w:hAnsi="宋体" w:cs="宋体"/>
                <w:b/>
                <w:color w:val="auto"/>
                <w:kern w:val="0"/>
                <w:szCs w:val="21"/>
              </w:rPr>
            </w:pPr>
            <w:r>
              <w:rPr>
                <w:rFonts w:hint="eastAsia" w:ascii="宋体" w:hAnsi="宋体" w:cs="宋体"/>
                <w:b/>
                <w:color w:val="auto"/>
                <w:kern w:val="0"/>
                <w:szCs w:val="21"/>
              </w:rPr>
              <w:t>说明</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w:t>
            </w:r>
          </w:p>
        </w:tc>
        <w:tc>
          <w:tcPr>
            <w:tcW w:w="72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媒体资源</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rPr>
            </w:pPr>
            <w:r>
              <w:rPr>
                <w:rFonts w:hint="eastAsia"/>
                <w:color w:val="auto"/>
              </w:rPr>
              <w:t>媒体资源</w:t>
            </w:r>
          </w:p>
          <w:p>
            <w:pPr>
              <w:widowControl/>
              <w:spacing w:line="360" w:lineRule="auto"/>
              <w:jc w:val="center"/>
              <w:rPr>
                <w:rFonts w:hint="default" w:eastAsia="楷体_GB2312"/>
                <w:color w:val="auto"/>
                <w:lang w:val="en-US" w:eastAsia="zh-CN"/>
              </w:rPr>
            </w:pPr>
            <w:r>
              <w:rPr>
                <w:rFonts w:hint="eastAsia"/>
                <w:color w:val="auto"/>
                <w:lang w:eastAsia="zh-CN"/>
              </w:rPr>
              <w:t>（</w:t>
            </w:r>
            <w:r>
              <w:rPr>
                <w:rFonts w:hint="eastAsia"/>
                <w:color w:val="auto"/>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支持对报纸版面、南方+客户端、双微广告、多元化组合等媒体资源基础数据进行管理。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2</w:t>
            </w:r>
          </w:p>
        </w:tc>
        <w:tc>
          <w:tcPr>
            <w:tcW w:w="727"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客户管理</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rPr>
            </w:pPr>
            <w:r>
              <w:rPr>
                <w:rFonts w:hint="eastAsia"/>
                <w:color w:val="auto"/>
              </w:rPr>
              <w:t>客户管理</w:t>
            </w:r>
          </w:p>
          <w:p>
            <w:pPr>
              <w:pStyle w:val="2"/>
              <w:ind w:left="0" w:leftChars="0" w:firstLine="0" w:firstLineChars="0"/>
              <w:rPr>
                <w:color w:val="auto"/>
              </w:rPr>
            </w:pPr>
            <w:r>
              <w:rPr>
                <w:rFonts w:hint="eastAsia" w:ascii="Times New Roman" w:hAnsi="Times New Roman" w:eastAsia="宋体" w:cs="Times New Roman"/>
                <w:color w:val="auto"/>
                <w:kern w:val="2"/>
                <w:sz w:val="21"/>
                <w:szCs w:val="24"/>
                <w:lang w:val="en-US" w:eastAsia="zh-CN" w:bidi="ar-SA"/>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支持对客户及联系人基础数据的管理。</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支持客户查重、合并等处理。</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支持客户备案及相关审批功能。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支持对大客户及其品牌、下级单位的管理查询分析。</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支持客户关联业务、项目\合同等执行情况跟踪分析。</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支持客户信息分级管理，可依据权限查看不同的客户。</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客户服务</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支持客户建议、客户投诉、客户调查等服务功能。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客户画像</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支持对客户画像分析，根据客户行业、品牌、属性、业绩等对客户进行全方位画像分析。</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1431"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报价管理</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价目表管理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7"/>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支持报业版面、新媒体等不同类型媒体资源的价目表、基准折扣表的管理，并可设置有效时间范围。</w:t>
            </w:r>
          </w:p>
          <w:p>
            <w:pPr>
              <w:pStyle w:val="155"/>
              <w:widowControl/>
              <w:numPr>
                <w:ilvl w:val="0"/>
                <w:numId w:val="17"/>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支持价目表复制、导入、导出功能。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8"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价格管理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7"/>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支持通过价目表进行报价设置。</w:t>
            </w:r>
          </w:p>
          <w:p>
            <w:pPr>
              <w:pStyle w:val="155"/>
              <w:widowControl/>
              <w:numPr>
                <w:ilvl w:val="0"/>
                <w:numId w:val="17"/>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支持报价的批量处理。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价格策略管理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支持灵活的报价策略，通过不同的价格组合、时间跨度设置不同的折扣及价格，以支持市场活动的销售策略。</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价格查询</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 xml:space="preserve">支持对历史价格信息进行查询，并支持通过简单的配置组合形成新的价目表。 </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4</w:t>
            </w:r>
          </w:p>
        </w:tc>
        <w:tc>
          <w:tcPr>
            <w:tcW w:w="727" w:type="pct"/>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广告管理</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合同/协议管理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支持合同/协议模板、合同立项、合同的审批、合同信息分解等管理。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项目管理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依据合同创建项目、项目审核审批、项目进度、项目查询汇总等。</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833"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订单管理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支持通过项目任务分解直接转化为订单，通过简单编辑后进行审核审批，最终形成有效订单。</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支持对订单进行人工增加、编辑、提交审核等功能。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支持所有新媒体广告形式的订单录入管理功能。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支持订单组合查询以及导出等功能。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833"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预约管理</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支持对不同媒体广告资源如：广告频道、广告时段、广告版位进行提前预约申请，经审批确认后，可对广告位进行锁定。</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支持预约查询，并对预约广告一键转为正式订单。</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支持对媒体广告资源状态进行标记和变更，锁定、解锁等状态的管理。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833"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排程排位管理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支持设置不同媒体广告资源进行计划设置，可按周月年等设置。</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支持计划编辑、复制、打印、导出等功能。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支持计划查看检索功能。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支持根据客户广告发布计划制订排期，以图表形式呈现广告排期的计划、状态，形式等，支持状态编辑。</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1110"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rPr>
              <w:t>分类广告制作与排版</w:t>
            </w: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支持纸媒分类广告的编辑制作及一键排版功能。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支持分类广告排版一键输出图片或PDF功能。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1110"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广告资源管理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支持对广告全流程过程中产生或依赖的各类资源如图片、视频、文档、数据等的存储、管理与检索功能，并能自动分析关联合同情况等。</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16"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5</w:t>
            </w:r>
          </w:p>
        </w:tc>
        <w:tc>
          <w:tcPr>
            <w:tcW w:w="727" w:type="pct"/>
            <w:tcBorders>
              <w:top w:val="single" w:color="auto" w:sz="4" w:space="0"/>
              <w:left w:val="single" w:color="auto" w:sz="4" w:space="0"/>
              <w:bottom w:val="single" w:color="auto" w:sz="4" w:space="0"/>
              <w:right w:val="single" w:color="auto" w:sz="4" w:space="0"/>
            </w:tcBorders>
            <w:vAlign w:val="center"/>
          </w:tcPr>
          <w:p>
            <w:pPr>
              <w:pStyle w:val="173"/>
              <w:numPr>
                <w:ilvl w:val="1"/>
                <w:numId w:val="0"/>
              </w:numPr>
              <w:spacing w:line="360" w:lineRule="auto"/>
              <w:rPr>
                <w:rFonts w:ascii="宋体" w:hAnsi="宋体" w:eastAsia="宋体" w:cs="宋体"/>
                <w:b w:val="0"/>
                <w:bCs/>
                <w:color w:val="auto"/>
                <w:szCs w:val="21"/>
              </w:rPr>
            </w:pPr>
            <w:r>
              <w:rPr>
                <w:rFonts w:hint="eastAsia" w:ascii="宋体" w:hAnsi="宋体" w:eastAsia="宋体" w:cs="宋体"/>
                <w:b w:val="0"/>
                <w:color w:val="auto"/>
                <w:kern w:val="0"/>
                <w:szCs w:val="21"/>
              </w:rPr>
              <w:t>财务管理</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rPr>
                <w:rFonts w:ascii="宋体" w:hAnsi="宋体" w:cs="宋体"/>
                <w:color w:val="auto"/>
                <w:kern w:val="0"/>
                <w:szCs w:val="21"/>
              </w:rPr>
            </w:pPr>
            <w:r>
              <w:rPr>
                <w:rFonts w:hint="eastAsia" w:ascii="宋体" w:hAnsi="宋体" w:cs="宋体"/>
                <w:color w:val="auto"/>
                <w:kern w:val="0"/>
                <w:szCs w:val="21"/>
              </w:rPr>
              <w:t>应收对账</w:t>
            </w:r>
          </w:p>
          <w:p>
            <w:pPr>
              <w:widowControl/>
              <w:spacing w:line="360" w:lineRule="auto"/>
              <w:rPr>
                <w:rFonts w:hint="eastAsia" w:ascii="宋体" w:hAnsi="宋体" w:cs="宋体"/>
                <w:color w:val="auto"/>
                <w:kern w:val="0"/>
                <w:szCs w:val="21"/>
              </w:rPr>
            </w:pPr>
            <w:r>
              <w:rPr>
                <w:rFonts w:hint="eastAsia" w:ascii="宋体" w:hAnsi="宋体" w:cs="宋体"/>
                <w:color w:val="auto"/>
                <w:kern w:val="0"/>
                <w:szCs w:val="21"/>
              </w:rPr>
              <w:t>提成核算</w:t>
            </w:r>
          </w:p>
          <w:p>
            <w:pPr>
              <w:widowControl/>
              <w:spacing w:line="360" w:lineRule="auto"/>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支持自动生成应收账单，并与财务系统对接数据传输，形成财务应收凭证。</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eastAsia="宋体" w:cs="宋体"/>
                <w:color w:val="auto"/>
                <w:kern w:val="0"/>
                <w:sz w:val="21"/>
                <w:szCs w:val="21"/>
              </w:rPr>
              <w:t>支持实收与财务及发票信息</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银行流水</w:t>
            </w:r>
            <w:r>
              <w:rPr>
                <w:rFonts w:hint="eastAsia" w:ascii="宋体" w:hAnsi="宋体" w:eastAsia="宋体" w:cs="宋体"/>
                <w:color w:val="auto"/>
                <w:kern w:val="0"/>
                <w:sz w:val="21"/>
                <w:szCs w:val="21"/>
              </w:rPr>
              <w:t>关联，符合条件下能自动核销</w:t>
            </w:r>
            <w:r>
              <w:rPr>
                <w:rFonts w:hint="eastAsia" w:ascii="宋体" w:hAnsi="宋体" w:cs="宋体"/>
                <w:color w:val="auto"/>
                <w:kern w:val="0"/>
                <w:sz w:val="21"/>
                <w:szCs w:val="21"/>
                <w:lang w:val="en-US" w:eastAsia="zh-CN"/>
              </w:rPr>
              <w:t>欠款</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核销明细自动形成实收凭证</w:t>
            </w:r>
            <w:r>
              <w:rPr>
                <w:rFonts w:hint="eastAsia" w:ascii="宋体" w:hAnsi="宋体" w:cs="宋体"/>
                <w:color w:val="auto"/>
                <w:kern w:val="0"/>
                <w:szCs w:val="21"/>
              </w:rPr>
              <w:t>。</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系统支持多经营主体，实现经营主体数据隔离 ，并根据不同的经营主体开具不同抬头的发票信息。</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lang w:val="en-US" w:eastAsia="zh-CN"/>
              </w:rPr>
              <w:t>支持活动、项目预算及开支管理，项目与合同号关联，并可根据实际支出进度实时提出预警</w:t>
            </w:r>
            <w:r>
              <w:rPr>
                <w:rFonts w:hint="eastAsia" w:ascii="宋体" w:hAnsi="宋体" w:cs="宋体"/>
                <w:color w:val="auto"/>
                <w:kern w:val="0"/>
                <w:szCs w:val="21"/>
              </w:rPr>
              <w:t>。</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支持业务数据变更后，能自动生成变更报告。</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支持客户预收款管理。</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支持押金管理。</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支持按个人、部门等进行提成佣金核算。</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lang w:val="en-US" w:eastAsia="zh-CN"/>
              </w:rPr>
              <w:t>支持台账管理，实现应收、收款、发票关联起来。</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lang w:val="en-US" w:eastAsia="zh-CN"/>
              </w:rPr>
              <w:t>支持收入绩效考核管理，可根据任务指标查询完成进度。</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6</w:t>
            </w:r>
          </w:p>
        </w:tc>
        <w:tc>
          <w:tcPr>
            <w:tcW w:w="727" w:type="pct"/>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任务分发管理</w:t>
            </w:r>
          </w:p>
        </w:tc>
        <w:tc>
          <w:tcPr>
            <w:tcW w:w="70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任务分发管理</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支持依据项目管理计划自动形成各形式任务。</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支持按部门、人员手工设置任务额度。</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支持查看任务进度情况。</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任务进度</w:t>
            </w:r>
          </w:p>
          <w:p>
            <w:pPr>
              <w:spacing w:line="360" w:lineRule="auto"/>
              <w:jc w:val="center"/>
              <w:rPr>
                <w:rFonts w:ascii="宋体" w:hAnsi="宋体" w:cs="宋体"/>
                <w:color w:val="auto"/>
                <w:szCs w:val="21"/>
              </w:rPr>
            </w:pPr>
            <w:r>
              <w:rPr>
                <w:rFonts w:hint="eastAsia" w:ascii="宋体" w:hAnsi="宋体" w:cs="宋体"/>
                <w:color w:val="auto"/>
                <w:szCs w:val="21"/>
              </w:rPr>
              <w:t>反馈</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支持对任务内容及状态进行编辑调整功能。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任务预警</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支持任务自动提醒功能。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szCs w:val="21"/>
              </w:rPr>
            </w:pPr>
            <w:r>
              <w:rPr>
                <w:rFonts w:hint="eastAsia" w:ascii="宋体" w:hAnsi="宋体" w:cs="宋体"/>
                <w:color w:val="auto"/>
                <w:szCs w:val="21"/>
              </w:rPr>
              <w:t>任务报表</w:t>
            </w:r>
          </w:p>
          <w:p>
            <w:pPr>
              <w:spacing w:line="360" w:lineRule="auto"/>
              <w:jc w:val="center"/>
              <w:rPr>
                <w:rFonts w:ascii="宋体" w:hAnsi="宋体" w:cs="宋体"/>
                <w:color w:val="auto"/>
                <w:szCs w:val="21"/>
              </w:rPr>
            </w:pPr>
            <w:r>
              <w:rPr>
                <w:rFonts w:hint="eastAsia" w:ascii="宋体" w:hAnsi="宋体" w:cs="宋体"/>
                <w:color w:val="auto"/>
                <w:szCs w:val="21"/>
              </w:rPr>
              <w:t>分析</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numPr>
                <w:ilvl w:val="0"/>
                <w:numId w:val="16"/>
              </w:numPr>
              <w:spacing w:line="360" w:lineRule="auto"/>
              <w:ind w:firstLineChars="0"/>
              <w:jc w:val="left"/>
              <w:rPr>
                <w:rFonts w:ascii="宋体" w:hAnsi="宋体" w:cs="宋体"/>
                <w:color w:val="auto"/>
                <w:szCs w:val="21"/>
              </w:rPr>
            </w:pPr>
            <w:r>
              <w:rPr>
                <w:rFonts w:hint="eastAsia" w:ascii="宋体" w:hAnsi="宋体" w:cs="宋体"/>
                <w:color w:val="auto"/>
                <w:kern w:val="0"/>
                <w:szCs w:val="21"/>
              </w:rPr>
              <w:t>支持按照不同维度进行任务进度查看及数据分析汇总功能。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7</w:t>
            </w:r>
          </w:p>
        </w:tc>
        <w:tc>
          <w:tcPr>
            <w:tcW w:w="7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营销管理</w:t>
            </w:r>
          </w:p>
        </w:tc>
        <w:tc>
          <w:tcPr>
            <w:tcW w:w="707" w:type="pc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hint="eastAsia"/>
                <w:color w:val="auto"/>
              </w:rPr>
            </w:pPr>
            <w:r>
              <w:rPr>
                <w:rFonts w:hint="eastAsia"/>
                <w:color w:val="auto"/>
              </w:rPr>
              <w:t>营销管理</w:t>
            </w:r>
          </w:p>
          <w:p>
            <w:pPr>
              <w:spacing w:line="360" w:lineRule="auto"/>
              <w:jc w:val="center"/>
              <w:rPr>
                <w:rFonts w:hint="default" w:eastAsia="楷体_GB2312"/>
                <w:color w:val="auto"/>
                <w:lang w:val="en-US" w:eastAsia="zh-CN"/>
              </w:rPr>
            </w:pPr>
            <w:r>
              <w:rPr>
                <w:rFonts w:hint="eastAsia"/>
                <w:color w:val="auto"/>
                <w:lang w:eastAsia="zh-CN"/>
              </w:rPr>
              <w:t>（</w:t>
            </w:r>
            <w:r>
              <w:rPr>
                <w:rFonts w:hint="eastAsia"/>
                <w:color w:val="auto"/>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支持填写日报周报月报等工作日志。</w:t>
            </w:r>
          </w:p>
          <w:p>
            <w:pPr>
              <w:pStyle w:val="155"/>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支持查看个人或有权限部门的业绩、欠款、到款等信息。</w:t>
            </w:r>
          </w:p>
          <w:p>
            <w:pPr>
              <w:pStyle w:val="155"/>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支持查看人个或有权限部门的客户信息。</w:t>
            </w:r>
          </w:p>
          <w:p>
            <w:pPr>
              <w:pStyle w:val="155"/>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支持查看我的任务或有权限的部门的任务。</w:t>
            </w:r>
          </w:p>
          <w:p>
            <w:pPr>
              <w:pStyle w:val="155"/>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支持客户服务管理。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8</w:t>
            </w:r>
          </w:p>
        </w:tc>
        <w:tc>
          <w:tcPr>
            <w:tcW w:w="727"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数据统计分析</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color w:val="auto"/>
                <w:lang w:val="en-US" w:eastAsia="zh-CN"/>
              </w:rPr>
            </w:pPr>
            <w:r>
              <w:rPr>
                <w:rFonts w:hint="eastAsia"/>
                <w:color w:val="auto"/>
              </w:rPr>
              <w:t>报表功能</w:t>
            </w:r>
            <w:r>
              <w:rPr>
                <w:rFonts w:hint="eastAsia"/>
                <w:color w:val="auto"/>
                <w:lang w:eastAsia="zh-CN"/>
              </w:rPr>
              <w:t>（</w:t>
            </w:r>
            <w:r>
              <w:rPr>
                <w:rFonts w:hint="eastAsia"/>
                <w:color w:val="auto"/>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支持广告订单数据按各类别进行汇总统计。</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支持不同维度的数据对比功能。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支持客户数据统计分析。</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支持财务各类应收、实收、欠款等的统计分析。</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0"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智能分析</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支持运营数据自动分析趋势变化。</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w:t>
            </w:r>
            <w:r>
              <w:rPr>
                <w:rFonts w:hint="eastAsia" w:ascii="宋体" w:hAnsi="宋体" w:cs="宋体"/>
                <w:color w:val="auto"/>
                <w:szCs w:val="21"/>
                <w:lang w:val="en-PH"/>
              </w:rPr>
              <w:t>终端客户行为分析、画像分析，如地域、关键词、广告点击量浏览量等数据进行分析，提供精准营销依据。</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833"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9</w:t>
            </w:r>
          </w:p>
        </w:tc>
        <w:tc>
          <w:tcPr>
            <w:tcW w:w="72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移动app</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default"/>
                <w:color w:val="auto"/>
                <w:lang w:val="en-US" w:eastAsia="zh-CN"/>
              </w:rPr>
            </w:pPr>
            <w:r>
              <w:rPr>
                <w:rFonts w:hint="eastAsia"/>
                <w:color w:val="auto"/>
              </w:rPr>
              <w:t>移动应用</w:t>
            </w:r>
            <w:r>
              <w:rPr>
                <w:rFonts w:hint="eastAsia"/>
                <w:color w:val="auto"/>
                <w:lang w:eastAsia="zh-CN"/>
              </w:rPr>
              <w:t>（</w:t>
            </w:r>
            <w:r>
              <w:rPr>
                <w:rFonts w:hint="eastAsia"/>
                <w:color w:val="auto"/>
                <w:lang w:val="en-US" w:eastAsia="zh-CN"/>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支持广告排期排位查看及预约功能。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支持客户备案功能。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支持工作报告编辑。</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支持业务审批功能。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支持各类信息查询汇总功能。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支持相关消息提醒。</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支持客户服务功能。</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支持与小南应用集成。</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16"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10</w:t>
            </w:r>
          </w:p>
        </w:tc>
        <w:tc>
          <w:tcPr>
            <w:tcW w:w="72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系统集成</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接口集成</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第三方API接口集成，支持与OA系统对接，获取或执行合同相关审批及任务分配。</w:t>
            </w:r>
          </w:p>
          <w:p>
            <w:pPr>
              <w:pStyle w:val="155"/>
              <w:widowControl/>
              <w:numPr>
                <w:ilvl w:val="0"/>
                <w:numId w:val="16"/>
              </w:numPr>
              <w:spacing w:line="360" w:lineRule="auto"/>
              <w:ind w:firstLineChars="0"/>
              <w:rPr>
                <w:rFonts w:ascii="宋体" w:hAnsi="宋体" w:cs="宋体"/>
                <w:color w:val="auto"/>
                <w:kern w:val="0"/>
                <w:szCs w:val="21"/>
              </w:rPr>
            </w:pPr>
            <w:r>
              <w:rPr>
                <w:rFonts w:hint="eastAsia" w:ascii="宋体" w:hAnsi="宋体" w:cs="宋体"/>
                <w:color w:val="auto"/>
                <w:kern w:val="0"/>
                <w:szCs w:val="21"/>
              </w:rPr>
              <w:t>对接财务管理系统，支持参照订单信息生成应收单据，应收单据可传递到财务管理平台形成应收，生成财务凭证支持参照订单信息生成应收单据，应收单据可传递到财务管理平台形成应收，并生成财务凭证，收款平账后将实收数据传递并核销对应的应收账单。</w:t>
            </w:r>
          </w:p>
          <w:p>
            <w:pPr>
              <w:pStyle w:val="155"/>
              <w:widowControl/>
              <w:numPr>
                <w:ilvl w:val="0"/>
                <w:numId w:val="16"/>
              </w:numPr>
              <w:spacing w:line="360" w:lineRule="auto"/>
              <w:ind w:firstLineChars="0"/>
              <w:rPr>
                <w:rFonts w:ascii="宋体" w:hAnsi="宋体" w:cs="宋体"/>
                <w:color w:val="auto"/>
                <w:kern w:val="0"/>
                <w:szCs w:val="21"/>
              </w:rPr>
            </w:pPr>
            <w:r>
              <w:rPr>
                <w:rFonts w:hint="eastAsia" w:ascii="宋体" w:hAnsi="宋体" w:cs="宋体"/>
                <w:color w:val="auto"/>
                <w:kern w:val="0"/>
                <w:szCs w:val="21"/>
              </w:rPr>
              <w:t>支持与税务局发票系统对接，通过广告系统实现发票开票红冲等全电发票业务。</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提供采编组版系统可调用数据接口。</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支持与南方+新媒体发布系统对接，实现新媒体广告数据推送及信息回写。</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支持与集团AD域系统对接，实现人员安全验证及部门人员数据同步。</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555" w:hRule="atLeast"/>
        </w:trPr>
        <w:tc>
          <w:tcPr>
            <w:tcW w:w="371" w:type="pct"/>
            <w:vMerge w:val="restart"/>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r>
              <w:rPr>
                <w:rFonts w:hint="eastAsia" w:ascii="宋体" w:hAnsi="宋体" w:cs="宋体"/>
                <w:color w:val="auto"/>
                <w:kern w:val="0"/>
                <w:szCs w:val="21"/>
              </w:rPr>
              <w:t>11</w:t>
            </w:r>
          </w:p>
        </w:tc>
        <w:tc>
          <w:tcPr>
            <w:tcW w:w="727" w:type="pct"/>
            <w:vMerge w:val="restar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系统设置</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color w:val="auto"/>
              </w:rPr>
            </w:pPr>
            <w:r>
              <w:rPr>
                <w:rFonts w:hint="eastAsia"/>
                <w:color w:val="auto"/>
              </w:rPr>
              <w:t>权限管理</w:t>
            </w:r>
          </w:p>
          <w:p>
            <w:pPr>
              <w:pStyle w:val="2"/>
              <w:ind w:left="0" w:leftChars="0" w:firstLine="0" w:firstLineChars="0"/>
              <w:rPr>
                <w:rFonts w:hint="default" w:eastAsia="楷体_GB2312"/>
                <w:color w:val="auto"/>
                <w:lang w:val="en-US" w:eastAsia="zh-CN"/>
              </w:rPr>
            </w:pPr>
            <w:r>
              <w:rPr>
                <w:rFonts w:hint="eastAsia" w:ascii="Times New Roman" w:hAnsi="Times New Roman" w:eastAsia="宋体" w:cs="Times New Roman"/>
                <w:color w:val="auto"/>
                <w:kern w:val="2"/>
                <w:sz w:val="21"/>
                <w:szCs w:val="24"/>
                <w:lang w:val="en-US" w:eastAsia="zh-CN" w:bidi="ar-SA"/>
              </w:rPr>
              <w:t>（核心）</w:t>
            </w:r>
          </w:p>
        </w:tc>
        <w:tc>
          <w:tcPr>
            <w:tcW w:w="3193" w:type="pct"/>
            <w:tcBorders>
              <w:top w:val="single" w:color="auto" w:sz="4" w:space="0"/>
              <w:left w:val="single" w:color="auto" w:sz="4" w:space="0"/>
              <w:bottom w:val="single" w:color="auto" w:sz="4" w:space="0"/>
              <w:right w:val="single" w:color="auto" w:sz="4" w:space="0"/>
            </w:tcBorders>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支持通过集团AD域系统同步人员及组织架构</w:t>
            </w:r>
          </w:p>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支持根据统一管控、逐级管控、本级控制和自定义权限控制等管控模式进行数据编辑、审核、查询、导出等操作动作的管理。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954"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hint="eastAsia" w:ascii="宋体" w:hAnsi="宋体" w:cs="宋体"/>
                <w:color w:val="auto"/>
                <w:kern w:val="0"/>
                <w:szCs w:val="21"/>
              </w:rPr>
            </w:pPr>
            <w:r>
              <w:rPr>
                <w:rFonts w:hint="eastAsia" w:ascii="宋体" w:hAnsi="宋体" w:cs="宋体"/>
                <w:color w:val="auto"/>
                <w:kern w:val="0"/>
                <w:szCs w:val="21"/>
              </w:rPr>
              <w:t>审批流程管理</w:t>
            </w:r>
          </w:p>
          <w:p>
            <w:pPr>
              <w:widowControl/>
              <w:spacing w:line="360" w:lineRule="auto"/>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eastAsia="zh-CN"/>
              </w:rPr>
              <w:t>（</w:t>
            </w:r>
            <w:r>
              <w:rPr>
                <w:rFonts w:hint="eastAsia" w:ascii="宋体" w:hAnsi="宋体" w:cs="宋体"/>
                <w:color w:val="auto"/>
                <w:kern w:val="0"/>
                <w:szCs w:val="21"/>
                <w:lang w:val="en-US" w:eastAsia="zh-CN"/>
              </w:rPr>
              <w:t>核心）</w:t>
            </w:r>
          </w:p>
        </w:tc>
        <w:tc>
          <w:tcPr>
            <w:tcW w:w="3193" w:type="pct"/>
            <w:tcBorders>
              <w:top w:val="single" w:color="auto" w:sz="4" w:space="0"/>
              <w:left w:val="single" w:color="auto" w:sz="4" w:space="0"/>
              <w:bottom w:val="single" w:color="auto" w:sz="4" w:space="0"/>
              <w:right w:val="single" w:color="auto" w:sz="4" w:space="0"/>
            </w:tcBorders>
            <w:noWrap/>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支持对各项业务进行工作流设置及流程监控管理。</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78" w:hRule="atLeast"/>
        </w:trPr>
        <w:tc>
          <w:tcPr>
            <w:tcW w:w="371" w:type="pct"/>
            <w:vMerge w:val="continue"/>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p>
        </w:tc>
        <w:tc>
          <w:tcPr>
            <w:tcW w:w="727" w:type="pct"/>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日志管理</w:t>
            </w:r>
          </w:p>
        </w:tc>
        <w:tc>
          <w:tcPr>
            <w:tcW w:w="3193" w:type="pct"/>
            <w:tcBorders>
              <w:top w:val="single" w:color="auto" w:sz="4" w:space="0"/>
              <w:left w:val="single" w:color="auto" w:sz="4" w:space="0"/>
              <w:bottom w:val="single" w:color="auto" w:sz="4" w:space="0"/>
              <w:right w:val="single" w:color="auto" w:sz="4" w:space="0"/>
            </w:tcBorders>
            <w:noWrap/>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系统需对各类业务操作具有详实的日志记录，并提供检索查询功能。</w:t>
            </w:r>
          </w:p>
        </w:tc>
      </w:tr>
      <w:tr>
        <w:tblPrEx>
          <w:tblBorders>
            <w:top w:val="double" w:color="auto" w:sz="4" w:space="0"/>
            <w:left w:val="double" w:color="auto" w:sz="4" w:space="0"/>
            <w:bottom w:val="double" w:color="auto" w:sz="4" w:space="0"/>
            <w:right w:val="double" w:color="auto" w:sz="4" w:space="0"/>
            <w:insideH w:val="dotted" w:color="auto" w:sz="4" w:space="0"/>
            <w:insideV w:val="dotted" w:color="auto" w:sz="4" w:space="0"/>
          </w:tblBorders>
          <w:tblCellMar>
            <w:top w:w="0" w:type="dxa"/>
            <w:left w:w="108" w:type="dxa"/>
            <w:bottom w:w="0" w:type="dxa"/>
            <w:right w:w="108" w:type="dxa"/>
          </w:tblCellMar>
        </w:tblPrEx>
        <w:trPr>
          <w:trHeight w:val="278" w:hRule="atLeast"/>
        </w:trPr>
        <w:tc>
          <w:tcPr>
            <w:tcW w:w="371"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12</w:t>
            </w:r>
          </w:p>
        </w:tc>
        <w:tc>
          <w:tcPr>
            <w:tcW w:w="72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历史数据迁移</w:t>
            </w:r>
          </w:p>
        </w:tc>
        <w:tc>
          <w:tcPr>
            <w:tcW w:w="707" w:type="pct"/>
            <w:tcBorders>
              <w:top w:val="single" w:color="auto" w:sz="4" w:space="0"/>
              <w:left w:val="single" w:color="auto" w:sz="4" w:space="0"/>
              <w:bottom w:val="single" w:color="auto" w:sz="4" w:space="0"/>
              <w:right w:val="single" w:color="auto" w:sz="4" w:space="0"/>
            </w:tcBorders>
            <w:noWrap/>
            <w:vAlign w:val="center"/>
          </w:tcPr>
          <w:p>
            <w:pPr>
              <w:widowControl/>
              <w:spacing w:line="360" w:lineRule="auto"/>
              <w:jc w:val="center"/>
              <w:rPr>
                <w:rFonts w:ascii="宋体" w:hAnsi="宋体" w:cs="宋体"/>
                <w:color w:val="auto"/>
                <w:kern w:val="0"/>
                <w:szCs w:val="21"/>
              </w:rPr>
            </w:pPr>
            <w:r>
              <w:rPr>
                <w:rFonts w:hint="eastAsia" w:ascii="宋体" w:hAnsi="宋体" w:cs="宋体"/>
                <w:color w:val="auto"/>
                <w:kern w:val="0"/>
                <w:szCs w:val="21"/>
              </w:rPr>
              <w:t>历史数据迁移</w:t>
            </w:r>
          </w:p>
        </w:tc>
        <w:tc>
          <w:tcPr>
            <w:tcW w:w="3193" w:type="pct"/>
            <w:tcBorders>
              <w:top w:val="single" w:color="auto" w:sz="4" w:space="0"/>
              <w:left w:val="single" w:color="auto" w:sz="4" w:space="0"/>
              <w:bottom w:val="single" w:color="auto" w:sz="4" w:space="0"/>
              <w:right w:val="single" w:color="auto" w:sz="4" w:space="0"/>
            </w:tcBorders>
            <w:noWrap/>
            <w:vAlign w:val="center"/>
          </w:tcPr>
          <w:p>
            <w:pPr>
              <w:pStyle w:val="155"/>
              <w:widowControl/>
              <w:numPr>
                <w:ilvl w:val="0"/>
                <w:numId w:val="16"/>
              </w:numPr>
              <w:spacing w:line="360" w:lineRule="auto"/>
              <w:ind w:firstLineChars="0"/>
              <w:jc w:val="left"/>
              <w:rPr>
                <w:rFonts w:ascii="宋体" w:hAnsi="宋体" w:cs="宋体"/>
                <w:color w:val="auto"/>
                <w:kern w:val="0"/>
                <w:szCs w:val="21"/>
              </w:rPr>
            </w:pPr>
            <w:r>
              <w:rPr>
                <w:rFonts w:hint="eastAsia" w:ascii="宋体" w:hAnsi="宋体" w:cs="宋体"/>
                <w:color w:val="auto"/>
                <w:kern w:val="0"/>
                <w:szCs w:val="21"/>
              </w:rPr>
              <w:t>实现原广告系统历史数据迁移，保证业务延续性。</w:t>
            </w:r>
          </w:p>
        </w:tc>
      </w:tr>
    </w:tbl>
    <w:p>
      <w:pPr>
        <w:keepNext w:val="0"/>
        <w:keepLines w:val="0"/>
        <w:pageBreakBefore w:val="0"/>
        <w:numPr>
          <w:ilvl w:val="0"/>
          <w:numId w:val="0"/>
        </w:numPr>
        <w:kinsoku/>
        <w:wordWrap/>
        <w:overflowPunct/>
        <w:topLinePunct w:val="0"/>
        <w:bidi w:val="0"/>
        <w:snapToGrid/>
        <w:spacing w:line="360" w:lineRule="auto"/>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三、</w:t>
      </w:r>
      <w:r>
        <w:rPr>
          <w:rFonts w:hint="eastAsia" w:ascii="宋体" w:hAnsi="宋体" w:eastAsia="宋体" w:cs="宋体"/>
          <w:b/>
          <w:bCs/>
          <w:sz w:val="21"/>
          <w:szCs w:val="21"/>
          <w:lang w:val="en-US" w:eastAsia="zh-CN"/>
        </w:rPr>
        <w:t>其他</w:t>
      </w:r>
      <w:r>
        <w:rPr>
          <w:rFonts w:hint="eastAsia" w:ascii="宋体" w:hAnsi="宋体" w:cs="宋体"/>
          <w:b/>
          <w:bCs/>
          <w:sz w:val="21"/>
          <w:szCs w:val="21"/>
          <w:lang w:val="en-US" w:eastAsia="zh-CN"/>
        </w:rPr>
        <w:t>服务要</w:t>
      </w:r>
      <w:r>
        <w:rPr>
          <w:rFonts w:hint="eastAsia" w:ascii="宋体" w:hAnsi="宋体" w:eastAsia="宋体" w:cs="宋体"/>
          <w:b/>
          <w:bCs/>
          <w:sz w:val="21"/>
          <w:szCs w:val="21"/>
          <w:lang w:val="en-US" w:eastAsia="zh-CN"/>
        </w:rPr>
        <w:t>求</w:t>
      </w:r>
    </w:p>
    <w:p>
      <w:pPr>
        <w:keepNext w:val="0"/>
        <w:keepLines w:val="0"/>
        <w:pageBreakBefore w:val="0"/>
        <w:numPr>
          <w:ilvl w:val="1"/>
          <w:numId w:val="18"/>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质保期</w:t>
      </w:r>
      <w:r>
        <w:rPr>
          <w:rFonts w:hint="eastAsia" w:ascii="宋体" w:hAnsi="宋体" w:cs="宋体"/>
          <w:b/>
          <w:bCs/>
          <w:sz w:val="21"/>
          <w:szCs w:val="21"/>
          <w:lang w:val="en-US" w:eastAsia="zh-CN"/>
        </w:rPr>
        <w:t>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质保期1年。提供1年7*24小时售后服务，从项目通过终验验收之日起开始计算。</w:t>
      </w:r>
    </w:p>
    <w:p>
      <w:pPr>
        <w:keepNext w:val="0"/>
        <w:keepLines w:val="0"/>
        <w:pageBreakBefore w:val="0"/>
        <w:numPr>
          <w:ilvl w:val="1"/>
          <w:numId w:val="18"/>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进度要求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szCs w:val="21"/>
        </w:rPr>
        <w:t>合同签订后1个月内</w:t>
      </w:r>
      <w:r>
        <w:rPr>
          <w:rFonts w:hint="eastAsia" w:ascii="宋体" w:hAnsi="宋体"/>
          <w:szCs w:val="21"/>
          <w:lang w:val="en-US" w:eastAsia="zh-CN"/>
        </w:rPr>
        <w:t>完成</w:t>
      </w:r>
      <w:r>
        <w:rPr>
          <w:rFonts w:hint="eastAsia" w:ascii="宋体" w:hAnsi="宋体"/>
          <w:szCs w:val="21"/>
        </w:rPr>
        <w:t>系统开发需求说明书</w:t>
      </w:r>
      <w:r>
        <w:rPr>
          <w:rFonts w:hint="eastAsia" w:ascii="宋体" w:hAnsi="宋体"/>
          <w:szCs w:val="21"/>
          <w:lang w:val="en-US" w:eastAsia="zh-CN"/>
        </w:rPr>
        <w:t>并</w:t>
      </w:r>
      <w:r>
        <w:rPr>
          <w:rFonts w:hint="eastAsia" w:ascii="宋体" w:hAnsi="宋体"/>
          <w:szCs w:val="21"/>
        </w:rPr>
        <w:t>经甲方确认通过；系统开发需求说明书经甲方确认通过后3个月内，系统完成核心功能开发并上线试运行；系统开发需求说明书经甲方确认通过后</w:t>
      </w:r>
      <w:r>
        <w:rPr>
          <w:rFonts w:hint="eastAsia" w:ascii="宋体" w:hAnsi="宋体"/>
          <w:szCs w:val="21"/>
          <w:lang w:val="en-US" w:eastAsia="zh-CN"/>
        </w:rPr>
        <w:t>6</w:t>
      </w:r>
      <w:r>
        <w:rPr>
          <w:rFonts w:hint="eastAsia" w:ascii="宋体" w:hAnsi="宋体"/>
          <w:szCs w:val="21"/>
        </w:rPr>
        <w:t>个月内，系统正式上线，并通过验收。</w:t>
      </w:r>
    </w:p>
    <w:p>
      <w:pPr>
        <w:keepNext w:val="0"/>
        <w:keepLines w:val="0"/>
        <w:pageBreakBefore w:val="0"/>
        <w:numPr>
          <w:ilvl w:val="1"/>
          <w:numId w:val="18"/>
        </w:numPr>
        <w:kinsoku/>
        <w:wordWrap/>
        <w:overflowPunct/>
        <w:topLinePunct w:val="0"/>
        <w:bidi w:val="0"/>
        <w:snapToGrid/>
        <w:spacing w:line="360" w:lineRule="auto"/>
        <w:ind w:left="0" w:leftChars="0" w:firstLine="0" w:firstLineChars="0"/>
        <w:jc w:val="left"/>
        <w:textAlignment w:val="auto"/>
        <w:rPr>
          <w:rFonts w:hint="eastAsia" w:ascii="宋体" w:hAnsi="宋体" w:eastAsia="宋体" w:cs="宋体"/>
          <w:b/>
          <w:bCs/>
          <w:sz w:val="21"/>
          <w:szCs w:val="21"/>
          <w:lang w:val="en-US" w:eastAsia="zh-CN"/>
        </w:rPr>
      </w:pPr>
      <w:r>
        <w:rPr>
          <w:rFonts w:hint="eastAsia" w:ascii="宋体" w:hAnsi="宋体" w:cs="宋体"/>
          <w:b/>
          <w:bCs/>
          <w:sz w:val="21"/>
          <w:szCs w:val="21"/>
          <w:lang w:val="en-US" w:eastAsia="zh-CN"/>
        </w:rPr>
        <w:t>培训服务要求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中标人</w:t>
      </w:r>
      <w:r>
        <w:rPr>
          <w:rFonts w:hint="eastAsia" w:ascii="宋体" w:hAnsi="宋体" w:eastAsia="宋体" w:cs="宋体"/>
          <w:b w:val="0"/>
          <w:bCs w:val="0"/>
          <w:sz w:val="21"/>
          <w:szCs w:val="21"/>
          <w:lang w:val="en-US" w:eastAsia="zh-CN"/>
        </w:rPr>
        <w:t>应在向</w:t>
      </w:r>
      <w:r>
        <w:rPr>
          <w:rFonts w:hint="eastAsia" w:ascii="宋体" w:hAnsi="宋体" w:cs="宋体"/>
          <w:b w:val="0"/>
          <w:bCs w:val="0"/>
          <w:sz w:val="21"/>
          <w:szCs w:val="21"/>
          <w:lang w:val="en-US" w:eastAsia="zh-CN"/>
        </w:rPr>
        <w:t>招标人</w:t>
      </w:r>
      <w:r>
        <w:rPr>
          <w:rFonts w:hint="eastAsia" w:ascii="宋体" w:hAnsi="宋体" w:eastAsia="宋体" w:cs="宋体"/>
          <w:b w:val="0"/>
          <w:bCs w:val="0"/>
          <w:sz w:val="21"/>
          <w:szCs w:val="21"/>
          <w:lang w:val="en-US" w:eastAsia="zh-CN"/>
        </w:rPr>
        <w:t>移交应用软件后，根据</w:t>
      </w:r>
      <w:r>
        <w:rPr>
          <w:rFonts w:hint="eastAsia" w:ascii="宋体" w:hAnsi="宋体" w:cs="宋体"/>
          <w:b w:val="0"/>
          <w:bCs w:val="0"/>
          <w:sz w:val="21"/>
          <w:szCs w:val="21"/>
          <w:lang w:val="en-US" w:eastAsia="zh-CN"/>
        </w:rPr>
        <w:t>招标人</w:t>
      </w:r>
      <w:r>
        <w:rPr>
          <w:rFonts w:hint="eastAsia" w:ascii="宋体" w:hAnsi="宋体" w:eastAsia="宋体" w:cs="宋体"/>
          <w:b w:val="0"/>
          <w:bCs w:val="0"/>
          <w:sz w:val="21"/>
          <w:szCs w:val="21"/>
          <w:lang w:val="en-US" w:eastAsia="zh-CN"/>
        </w:rPr>
        <w:t>的要求，为</w:t>
      </w:r>
      <w:r>
        <w:rPr>
          <w:rFonts w:hint="eastAsia" w:ascii="宋体" w:hAnsi="宋体" w:cs="宋体"/>
          <w:b w:val="0"/>
          <w:bCs w:val="0"/>
          <w:sz w:val="21"/>
          <w:szCs w:val="21"/>
          <w:lang w:val="en-US" w:eastAsia="zh-CN"/>
        </w:rPr>
        <w:t>招标人</w:t>
      </w:r>
      <w:r>
        <w:rPr>
          <w:rFonts w:hint="eastAsia" w:ascii="宋体" w:hAnsi="宋体" w:eastAsia="宋体" w:cs="宋体"/>
          <w:b w:val="0"/>
          <w:bCs w:val="0"/>
          <w:sz w:val="21"/>
          <w:szCs w:val="21"/>
          <w:lang w:val="en-US" w:eastAsia="zh-CN"/>
        </w:rPr>
        <w:t>指定的人员提供技术指导和培训，使参加受训的人员理解并掌握软件的操作和维护</w:t>
      </w:r>
      <w:r>
        <w:rPr>
          <w:rFonts w:hint="eastAsia" w:ascii="宋体" w:hAnsi="宋体" w:cs="宋体"/>
          <w:b w:val="0"/>
          <w:bCs w:val="0"/>
          <w:sz w:val="21"/>
          <w:szCs w:val="21"/>
          <w:lang w:val="en-US" w:eastAsia="zh-CN"/>
        </w:rPr>
        <w:t>。培训次数、培训时长由招标人与中标人双方协商确定，直至</w:t>
      </w:r>
      <w:r>
        <w:rPr>
          <w:rFonts w:hint="eastAsia"/>
          <w:color w:val="000000"/>
          <w:sz w:val="21"/>
          <w:szCs w:val="21"/>
          <w:u w:color="000000"/>
          <w:lang w:val="zh-TW" w:eastAsia="zh-TW"/>
        </w:rPr>
        <w:t>满足培训要求</w:t>
      </w:r>
      <w:r>
        <w:rPr>
          <w:rFonts w:hint="eastAsia"/>
          <w:color w:val="000000"/>
          <w:sz w:val="21"/>
          <w:szCs w:val="21"/>
          <w:u w:color="000000"/>
          <w:lang w:val="zh-TW" w:eastAsia="zh-CN"/>
        </w:rPr>
        <w:t>。</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（1）确保招标人技术人员能够熟练地对应用软件进行运行、诊断、维护和管理。</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（2）确保招标人相关业务人员对其使用的应用软件能熟练地操作和使用。</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（3）培训内容：由招标人与中标人双方协商确定。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 xml:space="preserve">（4）培训时间与地点 </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中标人为招标人提供的培训方式为集中培训与视频培训，中标人应在集中培训的基础上将培训内容制作成视频课件的形式以供此项目在今后的运营及人员变动中进行自我学习与培训。提供普通用户培训和管理员培训等两个维度，具体培训时间由双方协商决定。招标人应在培训日前5日内向乙方提供参加培训的人员名单，名单中不得包括非招标人人员。</w:t>
      </w:r>
    </w:p>
    <w:p>
      <w:pPr>
        <w:keepNext w:val="0"/>
        <w:keepLines w:val="0"/>
        <w:pageBreakBefore w:val="0"/>
        <w:numPr>
          <w:ilvl w:val="1"/>
          <w:numId w:val="18"/>
        </w:numPr>
        <w:kinsoku/>
        <w:wordWrap/>
        <w:overflowPunct/>
        <w:topLinePunct w:val="0"/>
        <w:bidi w:val="0"/>
        <w:snapToGrid/>
        <w:spacing w:line="360" w:lineRule="auto"/>
        <w:ind w:left="0" w:leftChars="0" w:firstLine="0" w:firstLineChars="0"/>
        <w:jc w:val="left"/>
        <w:textAlignment w:val="auto"/>
        <w:rPr>
          <w:rFonts w:hint="eastAsia" w:ascii="宋体" w:hAnsi="宋体" w:cs="宋体"/>
          <w:b/>
          <w:bCs/>
          <w:sz w:val="21"/>
          <w:szCs w:val="21"/>
          <w:lang w:val="en-US" w:eastAsia="zh-Hans"/>
        </w:rPr>
      </w:pPr>
      <w:r>
        <w:rPr>
          <w:rFonts w:hint="eastAsia" w:ascii="宋体" w:hAnsi="宋体" w:cs="宋体"/>
          <w:b/>
          <w:bCs/>
          <w:sz w:val="21"/>
          <w:szCs w:val="21"/>
          <w:lang w:val="en-US" w:eastAsia="zh-Hans"/>
        </w:rPr>
        <w:t>技术方案和服务团队配置要求</w:t>
      </w:r>
    </w:p>
    <w:p>
      <w:pPr>
        <w:spacing w:line="360" w:lineRule="auto"/>
        <w:ind w:firstLine="420" w:firstLineChars="200"/>
        <w:jc w:val="left"/>
        <w:rPr>
          <w:rFonts w:ascii="宋体" w:hAnsi="宋体"/>
          <w:szCs w:val="21"/>
          <w:lang w:eastAsia="zh-Hans"/>
        </w:rPr>
      </w:pPr>
      <w:r>
        <w:rPr>
          <w:rFonts w:ascii="宋体" w:hAnsi="宋体"/>
          <w:szCs w:val="21"/>
          <w:lang w:eastAsia="zh-Hans"/>
        </w:rPr>
        <w:t>供应商需要根据本采购需求书的项目目标</w:t>
      </w:r>
      <w:r>
        <w:rPr>
          <w:rFonts w:hint="eastAsia" w:ascii="宋体" w:hAnsi="宋体"/>
          <w:szCs w:val="21"/>
        </w:rPr>
        <w:t>、</w:t>
      </w:r>
      <w:r>
        <w:rPr>
          <w:rFonts w:ascii="宋体" w:hAnsi="宋体"/>
          <w:szCs w:val="21"/>
          <w:lang w:eastAsia="zh-Hans"/>
        </w:rPr>
        <w:t>技术要求</w:t>
      </w:r>
      <w:r>
        <w:rPr>
          <w:rFonts w:hint="eastAsia" w:ascii="宋体" w:hAnsi="宋体"/>
          <w:szCs w:val="21"/>
        </w:rPr>
        <w:t>、时间进度要求、</w:t>
      </w:r>
      <w:r>
        <w:rPr>
          <w:rFonts w:ascii="宋体" w:hAnsi="宋体"/>
          <w:szCs w:val="21"/>
          <w:lang w:eastAsia="zh-Hans"/>
        </w:rPr>
        <w:t>服务要求和用户规模等</w:t>
      </w:r>
      <w:r>
        <w:rPr>
          <w:rFonts w:hint="eastAsia" w:ascii="宋体" w:hAnsi="宋体"/>
          <w:szCs w:val="21"/>
        </w:rPr>
        <w:t>，结合自身对业务的理解，</w:t>
      </w:r>
      <w:r>
        <w:rPr>
          <w:rFonts w:ascii="宋体" w:hAnsi="宋体"/>
          <w:szCs w:val="21"/>
        </w:rPr>
        <w:t>提出针对性的技术方案和资源投入</w:t>
      </w:r>
      <w:r>
        <w:rPr>
          <w:rFonts w:hint="eastAsia" w:ascii="宋体" w:hAnsi="宋体"/>
          <w:szCs w:val="21"/>
        </w:rPr>
        <w:t>、</w:t>
      </w:r>
      <w:r>
        <w:rPr>
          <w:rFonts w:ascii="宋体" w:hAnsi="宋体"/>
          <w:szCs w:val="21"/>
        </w:rPr>
        <w:t>项目计划</w:t>
      </w:r>
      <w:r>
        <w:rPr>
          <w:rFonts w:hint="eastAsia" w:ascii="宋体" w:hAnsi="宋体"/>
          <w:szCs w:val="21"/>
        </w:rPr>
        <w:t>、</w:t>
      </w:r>
      <w:r>
        <w:rPr>
          <w:rFonts w:ascii="宋体" w:hAnsi="宋体"/>
          <w:szCs w:val="21"/>
        </w:rPr>
        <w:t>环境配置需求和部署等落地方案的输出</w:t>
      </w:r>
      <w:r>
        <w:rPr>
          <w:rFonts w:hint="eastAsia" w:ascii="宋体" w:hAnsi="宋体"/>
          <w:szCs w:val="21"/>
        </w:rPr>
        <w:t>。</w:t>
      </w:r>
    </w:p>
    <w:p>
      <w:pPr>
        <w:pStyle w:val="16"/>
        <w:spacing w:line="360" w:lineRule="auto"/>
        <w:ind w:firstLine="420" w:firstLineChars="200"/>
        <w:rPr>
          <w:rFonts w:ascii="宋体" w:hAnsi="宋体" w:cs="宋体"/>
          <w:sz w:val="21"/>
          <w:szCs w:val="21"/>
        </w:rPr>
      </w:pP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br w:type="page"/>
      </w:r>
      <w:bookmarkEnd w:id="515"/>
      <w:bookmarkEnd w:id="516"/>
      <w:bookmarkStart w:id="517" w:name="_Toc56432229"/>
    </w:p>
    <w:p>
      <w:pPr>
        <w:pStyle w:val="77"/>
        <w:spacing w:before="240" w:after="120"/>
        <w:rPr>
          <w:rFonts w:ascii="宋体" w:hAnsi="宋体" w:eastAsia="宋体" w:cs="宋体"/>
          <w:b/>
          <w:bCs w:val="0"/>
          <w:color w:val="auto"/>
          <w:kern w:val="0"/>
          <w:sz w:val="28"/>
          <w:szCs w:val="28"/>
        </w:rPr>
      </w:pPr>
      <w:bookmarkStart w:id="518" w:name="_Toc9880"/>
      <w:bookmarkStart w:id="519" w:name="_Toc22721"/>
      <w:bookmarkStart w:id="520" w:name="_Toc21679"/>
      <w:bookmarkStart w:id="521" w:name="_Toc29000"/>
      <w:r>
        <w:rPr>
          <w:rFonts w:hint="eastAsia" w:ascii="宋体" w:hAnsi="宋体" w:eastAsia="宋体" w:cs="宋体"/>
          <w:b/>
          <w:bCs w:val="0"/>
          <w:color w:val="auto"/>
          <w:kern w:val="0"/>
          <w:sz w:val="28"/>
          <w:szCs w:val="28"/>
        </w:rPr>
        <w:t>第六章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投标文件格式</w:t>
      </w:r>
      <w:bookmarkEnd w:id="483"/>
      <w:bookmarkEnd w:id="484"/>
      <w:bookmarkEnd w:id="485"/>
      <w:bookmarkEnd w:id="517"/>
      <w:bookmarkEnd w:id="518"/>
      <w:bookmarkEnd w:id="519"/>
      <w:bookmarkEnd w:id="520"/>
      <w:bookmarkEnd w:id="521"/>
    </w:p>
    <w:p>
      <w:pPr>
        <w:adjustRightInd w:val="0"/>
        <w:snapToGrid w:val="0"/>
        <w:spacing w:line="440" w:lineRule="exact"/>
        <w:jc w:val="left"/>
        <w:rPr>
          <w:rFonts w:ascii="宋体" w:hAnsi="宋体"/>
          <w:color w:val="auto"/>
          <w:szCs w:val="21"/>
        </w:rPr>
      </w:pPr>
      <w:r>
        <w:rPr>
          <w:rFonts w:ascii="宋体" w:hAnsi="宋体"/>
          <w:color w:val="auto"/>
          <w:szCs w:val="21"/>
        </w:rPr>
        <w:t>[本格式应根据第二章投标人须知前附表3.1条款中关于纸质文件提供顺序进行修改，应与投标文件组成顺序一一对应]</w:t>
      </w:r>
    </w:p>
    <w:p>
      <w:pPr>
        <w:pStyle w:val="78"/>
        <w:tabs>
          <w:tab w:val="left" w:pos="567"/>
          <w:tab w:val="left" w:pos="795"/>
        </w:tabs>
        <w:adjustRightInd w:val="0"/>
        <w:snapToGrid w:val="0"/>
        <w:spacing w:line="440" w:lineRule="exact"/>
        <w:ind w:firstLine="0" w:firstLineChars="0"/>
        <w:jc w:val="left"/>
        <w:rPr>
          <w:rFonts w:ascii="宋体" w:hAnsi="宋体"/>
          <w:b/>
          <w:color w:val="auto"/>
          <w:szCs w:val="21"/>
        </w:rPr>
      </w:pPr>
      <w:r>
        <w:rPr>
          <w:rFonts w:hint="eastAsia" w:ascii="宋体" w:hAnsi="宋体"/>
          <w:b/>
          <w:color w:val="auto"/>
          <w:szCs w:val="21"/>
        </w:rPr>
        <w:t>第一分册</w:t>
      </w:r>
      <w:r>
        <w:rPr>
          <w:rFonts w:ascii="宋体" w:hAnsi="宋体"/>
          <w:b/>
          <w:color w:val="auto"/>
          <w:szCs w:val="21"/>
        </w:rPr>
        <w:t xml:space="preserve"> </w:t>
      </w:r>
      <w:r>
        <w:rPr>
          <w:rFonts w:hint="eastAsia" w:ascii="宋体" w:hAnsi="宋体"/>
          <w:b/>
          <w:color w:val="auto"/>
          <w:szCs w:val="21"/>
        </w:rPr>
        <w:t>商务、</w:t>
      </w:r>
      <w:r>
        <w:rPr>
          <w:rFonts w:ascii="宋体" w:hAnsi="宋体"/>
          <w:b/>
          <w:color w:val="auto"/>
          <w:szCs w:val="21"/>
        </w:rPr>
        <w:t>技术</w:t>
      </w:r>
      <w:r>
        <w:rPr>
          <w:rFonts w:hint="eastAsia" w:ascii="宋体" w:hAnsi="宋体"/>
          <w:b/>
          <w:color w:val="auto"/>
          <w:szCs w:val="21"/>
        </w:rPr>
        <w:t>投标文件</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商务、技术投标文件封面</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评审索引表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投标函</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法定代表人（负责人）身份证明</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法定代表人（负责人）授权委托书</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资格审查资料</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商务合同条款偏离表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实质性条款偏离表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采购需求条款偏离表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公章对投标专用章授权说明（如有）</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lang w:val="en-US" w:eastAsia="zh-CN"/>
        </w:rPr>
        <w:t>同类业绩表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拟投入本项目服务人员明细表</w:t>
      </w:r>
    </w:p>
    <w:p>
      <w:pPr>
        <w:pStyle w:val="78"/>
        <w:numPr>
          <w:ilvl w:val="0"/>
          <w:numId w:val="19"/>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其他资料</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r>
        <w:rPr>
          <w:rFonts w:hint="eastAsia" w:ascii="宋体" w:hAnsi="宋体" w:cs="宋体"/>
          <w:b/>
          <w:color w:val="auto"/>
          <w:szCs w:val="21"/>
          <w:lang w:eastAsia="zh-CN"/>
        </w:rPr>
        <w:t>）</w:t>
      </w:r>
    </w:p>
    <w:p>
      <w:pPr>
        <w:pStyle w:val="78"/>
        <w:numPr>
          <w:ilvl w:val="0"/>
          <w:numId w:val="19"/>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服务方案（格式自拟）</w:t>
      </w:r>
    </w:p>
    <w:p>
      <w:pPr>
        <w:pStyle w:val="78"/>
        <w:numPr>
          <w:ilvl w:val="0"/>
          <w:numId w:val="19"/>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投标人认为需要提供的其他资料（格式自拟）</w:t>
      </w:r>
    </w:p>
    <w:p>
      <w:pPr>
        <w:pStyle w:val="78"/>
        <w:numPr>
          <w:ilvl w:val="255"/>
          <w:numId w:val="0"/>
        </w:numPr>
        <w:tabs>
          <w:tab w:val="left" w:pos="567"/>
        </w:tabs>
        <w:adjustRightInd w:val="0"/>
        <w:snapToGrid w:val="0"/>
        <w:spacing w:line="440" w:lineRule="exact"/>
        <w:rPr>
          <w:rFonts w:ascii="宋体" w:hAnsi="宋体" w:cs="宋体"/>
          <w:b/>
          <w:color w:val="auto"/>
          <w:szCs w:val="21"/>
        </w:rPr>
      </w:pPr>
    </w:p>
    <w:p>
      <w:pPr>
        <w:pStyle w:val="78"/>
        <w:tabs>
          <w:tab w:val="left" w:pos="567"/>
          <w:tab w:val="left" w:pos="795"/>
        </w:tabs>
        <w:adjustRightInd w:val="0"/>
        <w:snapToGrid w:val="0"/>
        <w:spacing w:line="440" w:lineRule="exact"/>
        <w:ind w:firstLine="0" w:firstLineChars="0"/>
        <w:jc w:val="left"/>
        <w:rPr>
          <w:rFonts w:ascii="宋体" w:hAnsi="宋体" w:cs="宋体"/>
          <w:b/>
          <w:color w:val="auto"/>
          <w:szCs w:val="21"/>
        </w:rPr>
      </w:pPr>
      <w:r>
        <w:rPr>
          <w:rFonts w:hint="eastAsia" w:ascii="宋体" w:hAnsi="宋体" w:cs="宋体"/>
          <w:b/>
          <w:color w:val="auto"/>
          <w:szCs w:val="21"/>
        </w:rPr>
        <w:t>第二分册</w:t>
      </w:r>
      <w:r>
        <w:rPr>
          <w:rFonts w:ascii="宋体" w:hAnsi="宋体" w:cs="宋体"/>
          <w:b/>
          <w:color w:val="auto"/>
          <w:szCs w:val="21"/>
        </w:rPr>
        <w:t xml:space="preserve"> </w:t>
      </w:r>
      <w:r>
        <w:rPr>
          <w:rFonts w:hint="eastAsia" w:ascii="宋体" w:hAnsi="宋体" w:cs="宋体"/>
          <w:b/>
          <w:color w:val="auto"/>
          <w:szCs w:val="21"/>
        </w:rPr>
        <w:t>报价文件</w:t>
      </w:r>
    </w:p>
    <w:p>
      <w:pPr>
        <w:pStyle w:val="78"/>
        <w:numPr>
          <w:ilvl w:val="0"/>
          <w:numId w:val="20"/>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报价文件封面</w:t>
      </w:r>
    </w:p>
    <w:p>
      <w:pPr>
        <w:pStyle w:val="78"/>
        <w:numPr>
          <w:ilvl w:val="0"/>
          <w:numId w:val="20"/>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报价一览表</w:t>
      </w:r>
    </w:p>
    <w:p>
      <w:pPr>
        <w:pStyle w:val="78"/>
        <w:numPr>
          <w:ilvl w:val="0"/>
          <w:numId w:val="20"/>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招标代理服务费承诺书</w:t>
      </w:r>
    </w:p>
    <w:p>
      <w:pPr>
        <w:pStyle w:val="78"/>
        <w:numPr>
          <w:ilvl w:val="0"/>
          <w:numId w:val="20"/>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投标保证金汇款凭证</w:t>
      </w:r>
    </w:p>
    <w:p>
      <w:pPr>
        <w:rPr>
          <w:rFonts w:ascii="宋体" w:hAnsi="宋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tabs>
          <w:tab w:val="left" w:pos="588"/>
        </w:tabs>
        <w:snapToGrid w:val="0"/>
        <w:spacing w:before="120" w:after="120" w:line="440" w:lineRule="exact"/>
        <w:ind w:left="425"/>
        <w:jc w:val="left"/>
        <w:rPr>
          <w:rFonts w:ascii="宋体" w:hAnsi="宋体"/>
          <w:color w:val="auto"/>
          <w:sz w:val="24"/>
          <w:szCs w:val="24"/>
        </w:rPr>
      </w:pPr>
      <w:bookmarkStart w:id="522" w:name="_Toc1651894"/>
      <w:bookmarkStart w:id="523" w:name="_Toc29317"/>
      <w:bookmarkStart w:id="524" w:name="_Toc299"/>
      <w:bookmarkStart w:id="525" w:name="_Toc9018"/>
      <w:bookmarkStart w:id="526" w:name="_Toc56432230"/>
      <w:bookmarkStart w:id="527" w:name="_Toc19267"/>
      <w:bookmarkStart w:id="528" w:name="_Toc475472670"/>
      <w:r>
        <w:rPr>
          <w:rFonts w:hint="eastAsia" w:ascii="宋体" w:hAnsi="宋体"/>
          <w:color w:val="auto"/>
          <w:sz w:val="24"/>
          <w:szCs w:val="24"/>
        </w:rPr>
        <w:t>第一分册</w:t>
      </w:r>
      <w:bookmarkEnd w:id="522"/>
      <w:bookmarkEnd w:id="523"/>
      <w:bookmarkEnd w:id="524"/>
      <w:bookmarkEnd w:id="525"/>
      <w:bookmarkEnd w:id="526"/>
      <w:bookmarkEnd w:id="527"/>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29" w:name="_Toc24350"/>
      <w:bookmarkStart w:id="530" w:name="_Toc1284"/>
      <w:bookmarkStart w:id="531" w:name="_Toc56432231"/>
      <w:bookmarkStart w:id="532" w:name="_Toc32127"/>
      <w:bookmarkStart w:id="533" w:name="_Toc1651895"/>
      <w:bookmarkStart w:id="534" w:name="_Toc16131"/>
      <w:r>
        <w:rPr>
          <w:rFonts w:hint="eastAsia" w:ascii="宋体" w:hAnsi="宋体"/>
          <w:color w:val="auto"/>
          <w:sz w:val="24"/>
          <w:szCs w:val="24"/>
        </w:rPr>
        <w:t>商务、技术投标文件封面</w:t>
      </w:r>
      <w:bookmarkEnd w:id="528"/>
      <w:bookmarkEnd w:id="529"/>
      <w:bookmarkEnd w:id="530"/>
      <w:bookmarkEnd w:id="531"/>
      <w:bookmarkEnd w:id="532"/>
      <w:bookmarkEnd w:id="533"/>
      <w:bookmarkEnd w:id="534"/>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投标文件（商务、技术投标文件）部分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s="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77"/>
        <w:snapToGrid w:val="0"/>
        <w:spacing w:before="240" w:after="120" w:line="440" w:lineRule="exact"/>
        <w:rPr>
          <w:rFonts w:ascii="宋体" w:hAnsi="宋体" w:eastAsia="宋体" w:cs="宋体"/>
          <w:b/>
          <w:bCs w:val="0"/>
          <w:color w:val="auto"/>
          <w:kern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35" w:name="_Toc475472671"/>
      <w:bookmarkStart w:id="536" w:name="_Toc438052118"/>
      <w:bookmarkStart w:id="537" w:name="_Toc56432232"/>
      <w:bookmarkStart w:id="538" w:name="_Toc1651896"/>
      <w:bookmarkStart w:id="539" w:name="_Toc27545"/>
      <w:bookmarkStart w:id="540" w:name="_Toc18730"/>
      <w:bookmarkStart w:id="541" w:name="_Toc28380"/>
      <w:bookmarkStart w:id="542" w:name="_Toc447265317"/>
      <w:bookmarkStart w:id="543" w:name="_Toc9651"/>
      <w:bookmarkStart w:id="544" w:name="_Toc447265603"/>
      <w:r>
        <w:rPr>
          <w:rFonts w:hint="eastAsia" w:ascii="宋体" w:hAnsi="宋体"/>
          <w:color w:val="auto"/>
          <w:sz w:val="24"/>
          <w:szCs w:val="24"/>
        </w:rPr>
        <w:t>评审索引表</w:t>
      </w:r>
      <w:bookmarkEnd w:id="535"/>
      <w:bookmarkEnd w:id="536"/>
      <w:bookmarkEnd w:id="537"/>
      <w:bookmarkEnd w:id="538"/>
      <w:bookmarkEnd w:id="539"/>
      <w:bookmarkEnd w:id="540"/>
      <w:bookmarkEnd w:id="541"/>
      <w:bookmarkEnd w:id="542"/>
      <w:bookmarkEnd w:id="543"/>
      <w:bookmarkEnd w:id="544"/>
    </w:p>
    <w:p>
      <w:pPr>
        <w:rPr>
          <w:rFonts w:ascii="宋体" w:hAnsi="宋体"/>
          <w:color w:val="auto"/>
        </w:rPr>
      </w:pPr>
    </w:p>
    <w:p>
      <w:pPr>
        <w:jc w:val="center"/>
        <w:rPr>
          <w:rFonts w:ascii="宋体" w:hAnsi="宋体"/>
          <w:b/>
          <w:color w:val="auto"/>
          <w:sz w:val="24"/>
        </w:rPr>
      </w:pPr>
      <w:r>
        <w:rPr>
          <w:rFonts w:hint="eastAsia" w:ascii="宋体" w:hAnsi="宋体"/>
          <w:b/>
          <w:color w:val="auto"/>
          <w:sz w:val="24"/>
        </w:rPr>
        <w:t>评审索引表</w:t>
      </w:r>
    </w:p>
    <w:p>
      <w:pPr>
        <w:jc w:val="center"/>
        <w:rPr>
          <w:rFonts w:ascii="宋体" w:hAnsi="宋体"/>
          <w:b/>
          <w:color w:val="auto"/>
        </w:rPr>
      </w:pPr>
    </w:p>
    <w:p>
      <w:pPr>
        <w:jc w:val="left"/>
        <w:rPr>
          <w:rFonts w:ascii="宋体" w:hAnsi="宋体"/>
          <w:color w:val="auto"/>
          <w:szCs w:val="21"/>
        </w:rPr>
      </w:pPr>
      <w:r>
        <w:rPr>
          <w:rFonts w:hint="eastAsia" w:ascii="宋体" w:hAnsi="宋体"/>
          <w:color w:val="auto"/>
          <w:szCs w:val="21"/>
        </w:rPr>
        <w:t>此部分内容建议按照第三章评审办法中的评审标准的顺序一一罗列</w:t>
      </w:r>
    </w:p>
    <w:p>
      <w:pPr>
        <w:jc w:val="center"/>
        <w:rPr>
          <w:rFonts w:ascii="宋体" w:hAnsi="宋体"/>
          <w:color w:val="auto"/>
          <w:sz w:val="22"/>
          <w:szCs w:val="22"/>
        </w:rPr>
      </w:pPr>
      <w:r>
        <w:rPr>
          <w:rFonts w:hint="eastAsia" w:ascii="宋体" w:hAnsi="宋体"/>
          <w:color w:val="auto"/>
          <w:sz w:val="22"/>
          <w:szCs w:val="22"/>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color w:val="auto"/>
                <w:szCs w:val="21"/>
              </w:rPr>
            </w:pPr>
            <w:r>
              <w:rPr>
                <w:rFonts w:ascii="宋体" w:hAnsi="宋体"/>
                <w:color w:val="auto"/>
                <w:szCs w:val="21"/>
              </w:rPr>
              <w:t>条款号</w:t>
            </w:r>
          </w:p>
        </w:tc>
        <w:tc>
          <w:tcPr>
            <w:tcW w:w="2506" w:type="dxa"/>
            <w:vAlign w:val="center"/>
          </w:tcPr>
          <w:p>
            <w:pPr>
              <w:jc w:val="center"/>
              <w:rPr>
                <w:rFonts w:ascii="宋体" w:hAnsi="宋体"/>
                <w:color w:val="auto"/>
                <w:szCs w:val="21"/>
              </w:rPr>
            </w:pPr>
            <w:r>
              <w:rPr>
                <w:rFonts w:ascii="宋体" w:hAnsi="宋体"/>
                <w:color w:val="auto"/>
                <w:szCs w:val="21"/>
              </w:rPr>
              <w:t>评审因素</w:t>
            </w:r>
          </w:p>
        </w:tc>
        <w:tc>
          <w:tcPr>
            <w:tcW w:w="2197" w:type="dxa"/>
            <w:vAlign w:val="center"/>
          </w:tcPr>
          <w:p>
            <w:pPr>
              <w:jc w:val="center"/>
              <w:rPr>
                <w:rFonts w:ascii="宋体" w:hAnsi="宋体"/>
                <w:color w:val="auto"/>
                <w:szCs w:val="21"/>
              </w:rPr>
            </w:pPr>
            <w:r>
              <w:rPr>
                <w:rFonts w:hint="eastAsia" w:ascii="宋体" w:hAnsi="宋体"/>
                <w:color w:val="auto"/>
                <w:szCs w:val="21"/>
              </w:rPr>
              <w:t>对应页码</w:t>
            </w:r>
          </w:p>
        </w:tc>
        <w:tc>
          <w:tcPr>
            <w:tcW w:w="2366"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2506"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投标人名称</w:t>
            </w:r>
          </w:p>
        </w:tc>
        <w:tc>
          <w:tcPr>
            <w:tcW w:w="2197"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2</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法人代表证明书及法人授权书</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3</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投标报价</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4</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投标保证金</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5</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商务合同条款偏离表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6</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采购需求条款偏离表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7</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投标文件的签署和盖章</w:t>
            </w:r>
          </w:p>
        </w:tc>
        <w:tc>
          <w:tcPr>
            <w:tcW w:w="2197" w:type="dxa"/>
            <w:vAlign w:val="center"/>
          </w:tcPr>
          <w:p>
            <w:pPr>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ind w:left="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8</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资格要求</w:t>
            </w:r>
          </w:p>
        </w:tc>
        <w:tc>
          <w:tcPr>
            <w:tcW w:w="2197" w:type="dxa"/>
            <w:vAlign w:val="center"/>
          </w:tcPr>
          <w:p>
            <w:pPr>
              <w:tabs>
                <w:tab w:val="left" w:pos="720"/>
              </w:tabs>
              <w:spacing w:line="360" w:lineRule="auto"/>
              <w:ind w:left="420"/>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sz w:val="22"/>
          <w:szCs w:val="28"/>
        </w:rPr>
      </w:pPr>
      <w:r>
        <w:rPr>
          <w:rFonts w:hint="eastAsia"/>
          <w:color w:val="auto"/>
          <w:sz w:val="22"/>
          <w:szCs w:val="28"/>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color w:val="auto"/>
                <w:szCs w:val="21"/>
              </w:rPr>
            </w:pPr>
            <w:r>
              <w:rPr>
                <w:rFonts w:ascii="宋体" w:hAnsi="宋体"/>
                <w:color w:val="auto"/>
                <w:szCs w:val="21"/>
              </w:rPr>
              <w:t>条款号</w:t>
            </w:r>
          </w:p>
        </w:tc>
        <w:tc>
          <w:tcPr>
            <w:tcW w:w="3996" w:type="dxa"/>
            <w:vAlign w:val="center"/>
          </w:tcPr>
          <w:p>
            <w:pPr>
              <w:jc w:val="center"/>
              <w:rPr>
                <w:rFonts w:ascii="宋体" w:hAnsi="宋体"/>
                <w:color w:val="auto"/>
                <w:szCs w:val="21"/>
              </w:rPr>
            </w:pPr>
            <w:r>
              <w:rPr>
                <w:rFonts w:ascii="宋体" w:hAnsi="宋体"/>
                <w:color w:val="auto"/>
                <w:szCs w:val="21"/>
              </w:rPr>
              <w:t>评审因素</w:t>
            </w:r>
          </w:p>
        </w:tc>
        <w:tc>
          <w:tcPr>
            <w:tcW w:w="1724" w:type="dxa"/>
            <w:vAlign w:val="center"/>
          </w:tcPr>
          <w:p>
            <w:pPr>
              <w:jc w:val="center"/>
              <w:rPr>
                <w:rFonts w:ascii="宋体" w:hAnsi="宋体"/>
                <w:color w:val="auto"/>
                <w:szCs w:val="21"/>
              </w:rPr>
            </w:pPr>
            <w:r>
              <w:rPr>
                <w:rFonts w:hint="eastAsia" w:ascii="宋体" w:hAnsi="宋体"/>
                <w:color w:val="auto"/>
                <w:szCs w:val="21"/>
              </w:rPr>
              <w:t>对应页码</w:t>
            </w:r>
          </w:p>
        </w:tc>
        <w:tc>
          <w:tcPr>
            <w:tcW w:w="1761"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ascii="宋体" w:hAnsi="宋体"/>
                <w:color w:val="auto"/>
                <w:szCs w:val="21"/>
              </w:rPr>
              <w:t>1</w:t>
            </w:r>
          </w:p>
        </w:tc>
        <w:tc>
          <w:tcPr>
            <w:tcW w:w="3996" w:type="dxa"/>
            <w:vAlign w:val="center"/>
          </w:tcPr>
          <w:p>
            <w:pPr>
              <w:widowControl/>
              <w:jc w:val="center"/>
              <w:rPr>
                <w:rFonts w:hint="eastAsia" w:ascii="宋体" w:hAnsi="宋体" w:eastAsia="宋体" w:cs="宋体"/>
                <w:color w:val="auto"/>
                <w:szCs w:val="21"/>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根据对应评审表“评分项-技术-内容”填写</w:t>
            </w:r>
            <w:r>
              <w:rPr>
                <w:rFonts w:hint="eastAsia" w:ascii="宋体" w:hAnsi="宋体" w:cs="宋体"/>
                <w:color w:val="auto"/>
                <w:sz w:val="18"/>
                <w:szCs w:val="18"/>
                <w:lang w:eastAsia="zh-CN"/>
              </w:rPr>
              <w:t>）</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2</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3</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4</w:t>
            </w:r>
          </w:p>
        </w:tc>
        <w:tc>
          <w:tcPr>
            <w:tcW w:w="3996" w:type="dxa"/>
            <w:vAlign w:val="center"/>
          </w:tcPr>
          <w:p>
            <w:pPr>
              <w:widowControl/>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rPr>
      </w:pPr>
    </w:p>
    <w:p>
      <w:pPr>
        <w:jc w:val="center"/>
        <w:rPr>
          <w:color w:val="auto"/>
          <w:sz w:val="22"/>
          <w:szCs w:val="28"/>
        </w:rPr>
      </w:pPr>
      <w:r>
        <w:rPr>
          <w:rFonts w:hint="eastAsia"/>
          <w:color w:val="auto"/>
          <w:sz w:val="22"/>
          <w:szCs w:val="28"/>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ascii="宋体" w:hAnsi="宋体"/>
                <w:color w:val="auto"/>
                <w:szCs w:val="21"/>
              </w:rPr>
            </w:pPr>
            <w:r>
              <w:rPr>
                <w:rFonts w:ascii="宋体" w:hAnsi="宋体"/>
                <w:color w:val="auto"/>
                <w:szCs w:val="21"/>
              </w:rPr>
              <w:t>条款号</w:t>
            </w:r>
          </w:p>
        </w:tc>
        <w:tc>
          <w:tcPr>
            <w:tcW w:w="4132" w:type="dxa"/>
            <w:vAlign w:val="center"/>
          </w:tcPr>
          <w:p>
            <w:pPr>
              <w:jc w:val="center"/>
              <w:rPr>
                <w:rFonts w:ascii="宋体" w:hAnsi="宋体"/>
                <w:color w:val="auto"/>
                <w:szCs w:val="21"/>
              </w:rPr>
            </w:pPr>
            <w:r>
              <w:rPr>
                <w:rFonts w:ascii="宋体" w:hAnsi="宋体"/>
                <w:color w:val="auto"/>
                <w:szCs w:val="21"/>
              </w:rPr>
              <w:t>评审因素</w:t>
            </w:r>
          </w:p>
        </w:tc>
        <w:tc>
          <w:tcPr>
            <w:tcW w:w="1316" w:type="dxa"/>
            <w:vAlign w:val="center"/>
          </w:tcPr>
          <w:p>
            <w:pPr>
              <w:jc w:val="center"/>
              <w:rPr>
                <w:rFonts w:ascii="宋体" w:hAnsi="宋体"/>
                <w:color w:val="auto"/>
                <w:szCs w:val="21"/>
              </w:rPr>
            </w:pPr>
            <w:r>
              <w:rPr>
                <w:rFonts w:hint="eastAsia" w:ascii="宋体" w:hAnsi="宋体"/>
                <w:color w:val="auto"/>
                <w:szCs w:val="21"/>
              </w:rPr>
              <w:t>对应页码</w:t>
            </w:r>
          </w:p>
        </w:tc>
        <w:tc>
          <w:tcPr>
            <w:tcW w:w="1887"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4132" w:type="dxa"/>
            <w:vAlign w:val="center"/>
          </w:tcPr>
          <w:p>
            <w:pPr>
              <w:jc w:val="center"/>
              <w:rPr>
                <w:rFonts w:ascii="宋体" w:hAnsi="宋体" w:cs="宋体"/>
                <w:color w:val="auto"/>
                <w:szCs w:val="21"/>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根据对应评审表“评分项-商务-内容”填写</w:t>
            </w:r>
            <w:r>
              <w:rPr>
                <w:rFonts w:hint="eastAsia" w:ascii="宋体" w:hAnsi="宋体" w:cs="宋体"/>
                <w:color w:val="auto"/>
                <w:sz w:val="18"/>
                <w:szCs w:val="18"/>
                <w:lang w:eastAsia="zh-CN"/>
              </w:rPr>
              <w:t>）</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2</w:t>
            </w:r>
          </w:p>
        </w:tc>
        <w:tc>
          <w:tcPr>
            <w:tcW w:w="4132" w:type="dxa"/>
            <w:vAlign w:val="center"/>
          </w:tcPr>
          <w:p>
            <w:pPr>
              <w:jc w:val="center"/>
              <w:rPr>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color w:val="auto"/>
                <w:szCs w:val="21"/>
              </w:rPr>
            </w:pPr>
            <w:r>
              <w:rPr>
                <w:rFonts w:hint="eastAsia" w:ascii="宋体" w:hAnsi="宋体"/>
                <w:color w:val="auto"/>
                <w:szCs w:val="21"/>
              </w:rPr>
              <w:t>3</w:t>
            </w:r>
          </w:p>
        </w:tc>
        <w:tc>
          <w:tcPr>
            <w:tcW w:w="4132" w:type="dxa"/>
            <w:vAlign w:val="center"/>
          </w:tcPr>
          <w:p>
            <w:pPr>
              <w:jc w:val="center"/>
              <w:rPr>
                <w:rFonts w:ascii="宋体" w:hAnsi="宋体" w:cs="宋体"/>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bl>
    <w:p>
      <w:pPr>
        <w:rPr>
          <w:rFonts w:ascii="Times New Roman" w:eastAsia="宋体"/>
          <w:color w:val="auto"/>
          <w:kern w:val="2"/>
          <w:sz w:val="21"/>
          <w:szCs w:val="24"/>
        </w:rPr>
      </w:pPr>
      <w:r>
        <w:rPr>
          <w:rFonts w:ascii="Times New Roman" w:eastAsia="宋体"/>
          <w:color w:val="auto"/>
          <w:kern w:val="2"/>
          <w:sz w:val="21"/>
          <w:szCs w:val="24"/>
        </w:rPr>
        <w:br w:type="page"/>
      </w:r>
    </w:p>
    <w:p>
      <w:pPr>
        <w:pStyle w:val="2"/>
        <w:ind w:firstLine="0"/>
        <w:rPr>
          <w:rFonts w:ascii="Times New Roman" w:eastAsia="宋体"/>
          <w:color w:val="auto"/>
          <w:kern w:val="2"/>
          <w:sz w:val="21"/>
          <w:szCs w:val="24"/>
        </w:rPr>
      </w:pP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45" w:name="_Toc25766"/>
      <w:bookmarkStart w:id="546" w:name="_Toc6789"/>
      <w:bookmarkStart w:id="547" w:name="_Toc56432233"/>
      <w:bookmarkStart w:id="548" w:name="_Toc5234"/>
      <w:bookmarkStart w:id="549" w:name="_Toc9656"/>
      <w:r>
        <w:rPr>
          <w:rFonts w:hint="eastAsia" w:ascii="宋体" w:hAnsi="宋体"/>
          <w:color w:val="auto"/>
          <w:sz w:val="24"/>
          <w:szCs w:val="24"/>
        </w:rPr>
        <w:t>投标函</w:t>
      </w:r>
      <w:bookmarkEnd w:id="545"/>
      <w:bookmarkEnd w:id="546"/>
      <w:bookmarkEnd w:id="547"/>
      <w:bookmarkEnd w:id="548"/>
      <w:bookmarkEnd w:id="549"/>
    </w:p>
    <w:p>
      <w:pPr>
        <w:pStyle w:val="78"/>
        <w:spacing w:line="360" w:lineRule="auto"/>
        <w:ind w:firstLine="0" w:firstLineChars="0"/>
        <w:jc w:val="center"/>
        <w:rPr>
          <w:rFonts w:ascii="宋体" w:hAnsi="宋体"/>
          <w:b/>
          <w:color w:val="auto"/>
          <w:sz w:val="24"/>
        </w:rPr>
      </w:pPr>
      <w:r>
        <w:rPr>
          <w:rFonts w:hint="eastAsia" w:ascii="宋体" w:hAnsi="宋体"/>
          <w:b/>
          <w:color w:val="auto"/>
          <w:sz w:val="24"/>
        </w:rPr>
        <w:t>投标函</w:t>
      </w:r>
    </w:p>
    <w:p>
      <w:pPr>
        <w:adjustRightInd w:val="0"/>
        <w:snapToGrid w:val="0"/>
        <w:spacing w:line="360" w:lineRule="auto"/>
        <w:jc w:val="left"/>
        <w:rPr>
          <w:rFonts w:ascii="宋体" w:hAnsi="宋体" w:cs="宋体"/>
          <w:color w:val="auto"/>
          <w:sz w:val="20"/>
          <w:szCs w:val="20"/>
        </w:rPr>
      </w:pPr>
      <w:r>
        <w:rPr>
          <w:rFonts w:hint="eastAsia" w:ascii="宋体" w:hAnsi="宋体" w:cs="宋体"/>
          <w:color w:val="auto"/>
          <w:sz w:val="20"/>
          <w:szCs w:val="20"/>
        </w:rPr>
        <w:t>致：</w:t>
      </w:r>
      <w:r>
        <w:rPr>
          <w:rFonts w:hint="eastAsia" w:ascii="宋体" w:hAnsi="宋体"/>
          <w:color w:val="auto"/>
          <w:sz w:val="20"/>
          <w:szCs w:val="22"/>
          <w:u w:val="single"/>
          <w:lang w:eastAsia="zh-CN"/>
        </w:rPr>
        <w:t>广东南方日报经营有限公司</w:t>
      </w:r>
      <w:r>
        <w:rPr>
          <w:rFonts w:ascii="宋体" w:hAnsi="宋体"/>
          <w:color w:val="auto"/>
          <w:sz w:val="20"/>
          <w:szCs w:val="22"/>
          <w:u w:val="single"/>
        </w:rPr>
        <w:t>[招标人名称]</w:t>
      </w:r>
      <w:r>
        <w:rPr>
          <w:rFonts w:ascii="宋体" w:hAnsi="宋体" w:cs="宋体"/>
          <w:color w:val="auto"/>
          <w:sz w:val="20"/>
          <w:szCs w:val="20"/>
        </w:rPr>
        <w:t>：</w:t>
      </w:r>
    </w:p>
    <w:p>
      <w:pPr>
        <w:spacing w:line="360" w:lineRule="auto"/>
        <w:ind w:firstLine="400" w:firstLineChars="200"/>
        <w:rPr>
          <w:rFonts w:ascii="宋体" w:hAnsi="宋体"/>
          <w:color w:val="auto"/>
          <w:sz w:val="20"/>
          <w:szCs w:val="20"/>
        </w:rPr>
      </w:pPr>
      <w:r>
        <w:rPr>
          <w:rFonts w:ascii="宋体" w:hAnsi="宋体"/>
          <w:color w:val="auto"/>
          <w:sz w:val="20"/>
          <w:szCs w:val="20"/>
          <w:u w:val="single"/>
        </w:rPr>
        <w:t xml:space="preserve">      （投标人名称）</w:t>
      </w:r>
      <w:r>
        <w:rPr>
          <w:rFonts w:hint="eastAsia" w:ascii="宋体" w:hAnsi="宋体"/>
          <w:color w:val="auto"/>
          <w:sz w:val="20"/>
          <w:szCs w:val="20"/>
        </w:rPr>
        <w:t>（以下称“我方”）</w:t>
      </w:r>
      <w:r>
        <w:rPr>
          <w:rFonts w:ascii="宋体" w:hAnsi="宋体"/>
          <w:color w:val="auto"/>
          <w:sz w:val="20"/>
          <w:szCs w:val="20"/>
        </w:rPr>
        <w:t>已仔细研究了</w:t>
      </w:r>
      <w:r>
        <w:rPr>
          <w:rFonts w:hint="eastAsia" w:ascii="宋体" w:hAnsi="宋体"/>
          <w:color w:val="auto"/>
          <w:sz w:val="20"/>
          <w:szCs w:val="20"/>
          <w:u w:val="single"/>
          <w:lang w:eastAsia="zh-CN"/>
        </w:rPr>
        <w:t>南方日报广告业务管理平台升级改造公开招标项目</w:t>
      </w:r>
      <w:r>
        <w:rPr>
          <w:rFonts w:hint="eastAsia" w:ascii="宋体" w:hAnsi="宋体"/>
          <w:color w:val="auto"/>
          <w:sz w:val="20"/>
          <w:szCs w:val="20"/>
        </w:rPr>
        <w:t>（招标代理编号：</w:t>
      </w:r>
      <w:r>
        <w:rPr>
          <w:rFonts w:hint="eastAsia" w:ascii="宋体" w:hAnsi="宋体"/>
          <w:color w:val="auto"/>
          <w:sz w:val="20"/>
          <w:szCs w:val="20"/>
          <w:u w:val="single"/>
          <w:lang w:eastAsia="zh-CN"/>
        </w:rPr>
        <w:t>WJS-202306280037</w:t>
      </w:r>
      <w:r>
        <w:rPr>
          <w:rFonts w:ascii="宋体" w:hAnsi="宋体"/>
          <w:color w:val="auto"/>
          <w:sz w:val="20"/>
          <w:szCs w:val="20"/>
        </w:rPr>
        <w:t>）招标文件的全部内容</w:t>
      </w:r>
      <w:r>
        <w:rPr>
          <w:rFonts w:hint="eastAsia" w:ascii="宋体" w:hAnsi="宋体"/>
          <w:color w:val="auto"/>
          <w:sz w:val="20"/>
          <w:szCs w:val="20"/>
        </w:rPr>
        <w:t>，</w:t>
      </w:r>
      <w:r>
        <w:rPr>
          <w:rFonts w:ascii="宋体" w:hAnsi="宋体"/>
          <w:bCs/>
          <w:color w:val="auto"/>
          <w:sz w:val="20"/>
          <w:szCs w:val="20"/>
        </w:rPr>
        <w:t>包括</w:t>
      </w:r>
      <w:r>
        <w:rPr>
          <w:rFonts w:hint="eastAsia" w:ascii="宋体" w:hAnsi="宋体"/>
          <w:bCs/>
          <w:color w:val="auto"/>
          <w:sz w:val="20"/>
          <w:szCs w:val="20"/>
        </w:rPr>
        <w:t>澄清或者</w:t>
      </w:r>
      <w:r>
        <w:rPr>
          <w:rFonts w:ascii="宋体" w:hAnsi="宋体"/>
          <w:bCs/>
          <w:color w:val="auto"/>
          <w:sz w:val="20"/>
          <w:szCs w:val="20"/>
        </w:rPr>
        <w:t>修改文件</w:t>
      </w:r>
      <w:r>
        <w:rPr>
          <w:rFonts w:hint="eastAsia" w:ascii="宋体" w:hAnsi="宋体"/>
          <w:bCs/>
          <w:color w:val="auto"/>
          <w:sz w:val="20"/>
          <w:szCs w:val="20"/>
        </w:rPr>
        <w:t>以及</w:t>
      </w:r>
      <w:r>
        <w:rPr>
          <w:rFonts w:ascii="宋体" w:hAnsi="宋体"/>
          <w:bCs/>
          <w:color w:val="auto"/>
          <w:sz w:val="20"/>
          <w:szCs w:val="20"/>
        </w:rPr>
        <w:t>有关附件</w:t>
      </w:r>
      <w:r>
        <w:rPr>
          <w:rFonts w:ascii="宋体" w:hAnsi="宋体"/>
          <w:color w:val="auto"/>
          <w:sz w:val="20"/>
          <w:szCs w:val="20"/>
        </w:rPr>
        <w:t>，</w:t>
      </w:r>
      <w:r>
        <w:rPr>
          <w:rFonts w:hint="eastAsia" w:ascii="宋体" w:hAnsi="宋体"/>
          <w:color w:val="auto"/>
          <w:sz w:val="20"/>
          <w:szCs w:val="20"/>
        </w:rPr>
        <w:t>我方将严格按照招标文件要求递交符合要求的全部投标文件。</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我方承诺如下内容：</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我方的投标文件包含第二章“投标人须知”第</w:t>
      </w:r>
      <w:r>
        <w:rPr>
          <w:rFonts w:ascii="宋体" w:hAnsi="宋体"/>
          <w:color w:val="auto"/>
          <w:sz w:val="20"/>
          <w:szCs w:val="20"/>
        </w:rPr>
        <w:t>3.1款规定的全部内容。</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我方承诺在</w:t>
      </w:r>
      <w:r>
        <w:rPr>
          <w:rFonts w:hint="eastAsia" w:ascii="宋体" w:hAnsi="宋体"/>
          <w:color w:val="auto"/>
          <w:sz w:val="20"/>
          <w:szCs w:val="20"/>
        </w:rPr>
        <w:t>招标文件规定的投标</w:t>
      </w:r>
      <w:r>
        <w:rPr>
          <w:rFonts w:ascii="宋体" w:hAnsi="宋体"/>
          <w:color w:val="auto"/>
          <w:sz w:val="20"/>
          <w:szCs w:val="20"/>
        </w:rPr>
        <w:t>有效期</w:t>
      </w:r>
      <w:r>
        <w:rPr>
          <w:rFonts w:hint="eastAsia" w:ascii="宋体" w:hAnsi="宋体"/>
          <w:color w:val="auto"/>
          <w:sz w:val="20"/>
          <w:szCs w:val="20"/>
        </w:rPr>
        <w:t>（投标有效期为</w:t>
      </w:r>
      <w:r>
        <w:rPr>
          <w:rFonts w:ascii="宋体" w:hAnsi="宋体"/>
          <w:color w:val="auto"/>
          <w:sz w:val="20"/>
          <w:szCs w:val="20"/>
          <w:u w:val="single"/>
        </w:rPr>
        <w:t xml:space="preserve"> </w:t>
      </w:r>
      <w:r>
        <w:rPr>
          <w:rFonts w:hint="eastAsia" w:ascii="宋体" w:hAnsi="宋体"/>
          <w:color w:val="auto"/>
          <w:sz w:val="20"/>
          <w:szCs w:val="20"/>
          <w:u w:val="single"/>
        </w:rPr>
        <w:t>90</w:t>
      </w:r>
      <w:r>
        <w:rPr>
          <w:rFonts w:hint="eastAsia" w:ascii="宋体" w:hAnsi="宋体"/>
          <w:color w:val="auto"/>
          <w:sz w:val="20"/>
          <w:szCs w:val="20"/>
        </w:rPr>
        <w:t>天）</w:t>
      </w:r>
      <w:r>
        <w:rPr>
          <w:rFonts w:ascii="宋体" w:hAnsi="宋体"/>
          <w:color w:val="auto"/>
          <w:sz w:val="20"/>
          <w:szCs w:val="20"/>
        </w:rPr>
        <w:t>内不修改、撤销</w:t>
      </w:r>
      <w:r>
        <w:rPr>
          <w:rFonts w:hint="eastAsia" w:ascii="宋体" w:hAnsi="宋体"/>
          <w:color w:val="auto"/>
          <w:sz w:val="20"/>
          <w:szCs w:val="20"/>
        </w:rPr>
        <w:t>投标</w:t>
      </w:r>
      <w:r>
        <w:rPr>
          <w:rFonts w:ascii="宋体" w:hAnsi="宋体"/>
          <w:color w:val="auto"/>
          <w:sz w:val="20"/>
          <w:szCs w:val="20"/>
        </w:rPr>
        <w:t>文件。</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随同本</w:t>
      </w:r>
      <w:r>
        <w:rPr>
          <w:rFonts w:hint="eastAsia" w:ascii="宋体" w:hAnsi="宋体"/>
          <w:color w:val="auto"/>
          <w:sz w:val="20"/>
          <w:szCs w:val="20"/>
        </w:rPr>
        <w:t>投标</w:t>
      </w:r>
      <w:r>
        <w:rPr>
          <w:rFonts w:ascii="宋体" w:hAnsi="宋体"/>
          <w:color w:val="auto"/>
          <w:sz w:val="20"/>
          <w:szCs w:val="20"/>
        </w:rPr>
        <w:t>函递交</w:t>
      </w:r>
      <w:r>
        <w:rPr>
          <w:rFonts w:hint="eastAsia" w:ascii="宋体" w:hAnsi="宋体"/>
          <w:color w:val="auto"/>
          <w:sz w:val="20"/>
          <w:szCs w:val="20"/>
        </w:rPr>
        <w:t>投标</w:t>
      </w:r>
      <w:r>
        <w:rPr>
          <w:rFonts w:ascii="宋体" w:hAnsi="宋体"/>
          <w:color w:val="auto"/>
          <w:sz w:val="20"/>
          <w:szCs w:val="20"/>
        </w:rPr>
        <w:t>保证金一份，金额为人民币（大写）</w:t>
      </w:r>
      <w:r>
        <w:rPr>
          <w:rFonts w:ascii="宋体" w:hAnsi="宋体"/>
          <w:color w:val="auto"/>
          <w:sz w:val="20"/>
          <w:szCs w:val="20"/>
          <w:u w:val="single"/>
        </w:rPr>
        <w:t xml:space="preserve">    </w:t>
      </w:r>
      <w:r>
        <w:rPr>
          <w:rFonts w:ascii="宋体" w:hAnsi="宋体"/>
          <w:color w:val="auto"/>
          <w:sz w:val="20"/>
          <w:szCs w:val="20"/>
        </w:rPr>
        <w:t>（¥</w:t>
      </w:r>
      <w:r>
        <w:rPr>
          <w:rFonts w:ascii="宋体" w:hAnsi="宋体"/>
          <w:color w:val="auto"/>
          <w:sz w:val="20"/>
          <w:szCs w:val="20"/>
          <w:u w:val="single"/>
        </w:rPr>
        <w:t xml:space="preserve">   </w:t>
      </w:r>
      <w:r>
        <w:rPr>
          <w:rFonts w:hint="eastAsia" w:ascii="宋体" w:hAnsi="宋体"/>
          <w:b/>
          <w:color w:val="auto"/>
          <w:sz w:val="20"/>
          <w:szCs w:val="20"/>
          <w:u w:val="single"/>
        </w:rPr>
        <w:t>元</w:t>
      </w:r>
      <w:r>
        <w:rPr>
          <w:rFonts w:ascii="宋体" w:hAnsi="宋体"/>
          <w:color w:val="auto"/>
          <w:sz w:val="20"/>
          <w:szCs w:val="20"/>
        </w:rPr>
        <w:t>）。</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我方承诺如果在规定的唱价时间后，在投标有效期内撤回投标文件，投标保证金将被贵方没收。</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我方已经详细地阅读了全部招标文件及其附件，包括澄清及参考文件</w:t>
      </w:r>
      <w:r>
        <w:rPr>
          <w:rFonts w:ascii="宋体" w:hAnsi="宋体"/>
          <w:color w:val="auto"/>
          <w:sz w:val="20"/>
          <w:szCs w:val="20"/>
        </w:rPr>
        <w:t>(如果有的话)。我方已完全清晰理解招标文件的要求，不存在任何含糊不清和误解之处，同意放弃对这些文件所提出的异议和质疑的权利</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我方在评审过程中根据评标委员会要求提供的符合相关规定的澄清文件，构成投标文件的组成部分。</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我方为本次报价所提交的所有证明其合格和资格的文件是真实的和正确的，并愿为其真实性和正确性承担法律责任。</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我方为中华人民共和国境内的合法经营主体，具有独立的民事行为能力；我方具备履行合同所必需的设备和专业技术能力；我方</w:t>
      </w:r>
      <w:r>
        <w:rPr>
          <w:rFonts w:hint="eastAsia"/>
          <w:color w:val="auto"/>
          <w:sz w:val="20"/>
          <w:szCs w:val="20"/>
        </w:rPr>
        <w:t>有依法缴纳税收和社会保障资金的良好记录</w:t>
      </w:r>
      <w:r>
        <w:rPr>
          <w:rFonts w:hint="eastAsia" w:ascii="宋体" w:hAnsi="宋体"/>
          <w:color w:val="auto"/>
          <w:sz w:val="20"/>
          <w:szCs w:val="20"/>
        </w:rPr>
        <w:t>。</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我方同意提供贵方可能要求的与投标有关的一切数据或者资料，并完全理解贵方不一定接受最低价的投标。</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我方承诺不向第三方透露与招标相关的所有信息。</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我方承诺不存在财产被接管或冻结或破产清算状况，遵守国家有关的法律、法令和条例。</w:t>
      </w:r>
    </w:p>
    <w:p>
      <w:pPr>
        <w:pStyle w:val="78"/>
        <w:numPr>
          <w:ilvl w:val="3"/>
          <w:numId w:val="22"/>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如我方中标：</w:t>
      </w:r>
    </w:p>
    <w:p>
      <w:pPr>
        <w:pStyle w:val="78"/>
        <w:numPr>
          <w:ilvl w:val="0"/>
          <w:numId w:val="23"/>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我方承诺在收到中标通知书后，在中标通知书规定的期限内与</w:t>
      </w:r>
      <w:r>
        <w:rPr>
          <w:rFonts w:hint="eastAsia" w:ascii="宋体" w:hAnsi="宋体"/>
          <w:color w:val="auto"/>
          <w:sz w:val="20"/>
          <w:szCs w:val="20"/>
        </w:rPr>
        <w:t>贵</w:t>
      </w:r>
      <w:r>
        <w:rPr>
          <w:rFonts w:ascii="宋体" w:hAnsi="宋体"/>
          <w:color w:val="auto"/>
          <w:sz w:val="20"/>
          <w:szCs w:val="20"/>
        </w:rPr>
        <w:t>方签订合同。</w:t>
      </w:r>
    </w:p>
    <w:p>
      <w:pPr>
        <w:pStyle w:val="78"/>
        <w:numPr>
          <w:ilvl w:val="0"/>
          <w:numId w:val="23"/>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我方承诺按照招标文件规定递交履约</w:t>
      </w:r>
      <w:r>
        <w:rPr>
          <w:rFonts w:hint="eastAsia" w:ascii="宋体" w:hAnsi="宋体"/>
          <w:color w:val="auto"/>
          <w:sz w:val="20"/>
          <w:szCs w:val="20"/>
        </w:rPr>
        <w:t>保证金、支付招标代理服务费和文交所综合服务费</w:t>
      </w:r>
      <w:r>
        <w:rPr>
          <w:rFonts w:ascii="宋体" w:hAnsi="宋体"/>
          <w:color w:val="auto"/>
          <w:sz w:val="20"/>
          <w:szCs w:val="20"/>
        </w:rPr>
        <w:t>。</w:t>
      </w:r>
    </w:p>
    <w:p>
      <w:pPr>
        <w:pStyle w:val="78"/>
        <w:numPr>
          <w:ilvl w:val="0"/>
          <w:numId w:val="23"/>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w:t>
      </w:r>
      <w:r>
        <w:rPr>
          <w:rFonts w:hint="eastAsia" w:ascii="宋体" w:hAnsi="宋体"/>
          <w:color w:val="auto"/>
          <w:sz w:val="20"/>
          <w:szCs w:val="20"/>
        </w:rPr>
        <w:t>按照招标文件的规定及合同约定履行相关责任和义务。</w:t>
      </w:r>
    </w:p>
    <w:p>
      <w:pPr>
        <w:pStyle w:val="78"/>
        <w:numPr>
          <w:ilvl w:val="0"/>
          <w:numId w:val="23"/>
        </w:numPr>
        <w:tabs>
          <w:tab w:val="left" w:pos="993"/>
        </w:tabs>
        <w:spacing w:line="360" w:lineRule="auto"/>
        <w:ind w:left="0" w:firstLine="426" w:firstLineChars="0"/>
        <w:rPr>
          <w:rFonts w:ascii="宋体" w:hAnsi="宋体"/>
          <w:color w:val="auto"/>
          <w:sz w:val="20"/>
          <w:szCs w:val="20"/>
        </w:rPr>
      </w:pPr>
      <w:r>
        <w:rPr>
          <w:rFonts w:hint="eastAsia" w:ascii="宋体" w:hAnsi="宋体"/>
          <w:color w:val="auto"/>
          <w:sz w:val="20"/>
          <w:szCs w:val="20"/>
        </w:rPr>
        <w:t>我方承诺提供的产品或服务符合国家对网络与信息安全的相关要求。如违反国家对对网络与信息安全的相关要求，责任完全由我方承担。</w:t>
      </w:r>
    </w:p>
    <w:p>
      <w:pPr>
        <w:pStyle w:val="78"/>
        <w:numPr>
          <w:ilvl w:val="0"/>
          <w:numId w:val="23"/>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我方承诺按照招标文件的规定及合同约定开具增值税发票。</w:t>
      </w:r>
    </w:p>
    <w:p>
      <w:pPr>
        <w:pStyle w:val="78"/>
        <w:numPr>
          <w:ilvl w:val="0"/>
          <w:numId w:val="23"/>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我方承诺中标后不转包、不分包。</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我方在此声明，所递交的投标文件及有关资料内容完整、真实和准确，且不存在第二章“投标人须知”第</w:t>
      </w:r>
      <w:r>
        <w:rPr>
          <w:rFonts w:ascii="宋体" w:hAnsi="宋体"/>
          <w:color w:val="auto"/>
          <w:sz w:val="20"/>
          <w:szCs w:val="20"/>
        </w:rPr>
        <w:t>1.8款规定的任何一种情形。如有弄虚作假，将承担相应的法律责任，并赔偿由此造成的一切损失。</w:t>
      </w:r>
    </w:p>
    <w:p>
      <w:pPr>
        <w:pStyle w:val="78"/>
        <w:numPr>
          <w:ilvl w:val="3"/>
          <w:numId w:val="22"/>
        </w:numPr>
        <w:tabs>
          <w:tab w:val="left" w:pos="709"/>
        </w:tabs>
        <w:spacing w:line="360" w:lineRule="auto"/>
        <w:ind w:left="851" w:firstLineChars="0"/>
        <w:rPr>
          <w:rFonts w:ascii="宋体" w:hAnsi="宋体"/>
          <w:color w:val="auto"/>
          <w:sz w:val="20"/>
          <w:szCs w:val="20"/>
        </w:rPr>
      </w:pPr>
      <w:r>
        <w:rPr>
          <w:rFonts w:hint="eastAsia" w:ascii="宋体" w:hAnsi="宋体"/>
          <w:color w:val="auto"/>
          <w:sz w:val="20"/>
          <w:szCs w:val="20"/>
        </w:rPr>
        <w:t>与本次公开招标的有关的一切正式往来通讯请寄：</w:t>
      </w:r>
    </w:p>
    <w:p>
      <w:pPr>
        <w:pStyle w:val="78"/>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地址：</w:t>
      </w:r>
      <w:r>
        <w:rPr>
          <w:rFonts w:ascii="宋体" w:hAnsi="宋体"/>
          <w:color w:val="auto"/>
          <w:sz w:val="20"/>
          <w:szCs w:val="20"/>
        </w:rPr>
        <w:t xml:space="preserve">_____________________  </w:t>
      </w:r>
      <w:r>
        <w:rPr>
          <w:rFonts w:hint="eastAsia" w:ascii="宋体" w:hAnsi="宋体"/>
          <w:color w:val="auto"/>
          <w:sz w:val="20"/>
          <w:szCs w:val="20"/>
        </w:rPr>
        <w:t>传真：</w:t>
      </w:r>
      <w:r>
        <w:rPr>
          <w:rFonts w:ascii="宋体" w:hAnsi="宋体"/>
          <w:color w:val="auto"/>
          <w:sz w:val="20"/>
          <w:szCs w:val="20"/>
        </w:rPr>
        <w:t>_________________________</w:t>
      </w:r>
    </w:p>
    <w:p>
      <w:pPr>
        <w:pStyle w:val="78"/>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电话：</w:t>
      </w:r>
      <w:r>
        <w:rPr>
          <w:rFonts w:ascii="宋体" w:hAnsi="宋体"/>
          <w:color w:val="auto"/>
          <w:sz w:val="20"/>
          <w:szCs w:val="20"/>
        </w:rPr>
        <w:t xml:space="preserve">_____________________  </w:t>
      </w:r>
      <w:r>
        <w:rPr>
          <w:rFonts w:hint="eastAsia" w:ascii="宋体" w:hAnsi="宋体"/>
          <w:color w:val="auto"/>
          <w:sz w:val="20"/>
          <w:szCs w:val="20"/>
        </w:rPr>
        <w:t>电子邮箱：</w:t>
      </w:r>
      <w:r>
        <w:rPr>
          <w:rFonts w:ascii="宋体" w:hAnsi="宋体"/>
          <w:color w:val="auto"/>
          <w:sz w:val="20"/>
          <w:szCs w:val="20"/>
        </w:rPr>
        <w:t>_____________________</w:t>
      </w:r>
    </w:p>
    <w:p>
      <w:pPr>
        <w:spacing w:line="360" w:lineRule="auto"/>
        <w:ind w:firstLine="2700" w:firstLineChars="1350"/>
        <w:rPr>
          <w:rFonts w:ascii="宋体" w:hAnsi="宋体"/>
          <w:color w:val="auto"/>
          <w:sz w:val="20"/>
          <w:szCs w:val="20"/>
        </w:rPr>
      </w:pPr>
      <w:r>
        <w:rPr>
          <w:rFonts w:ascii="宋体" w:hAnsi="宋体"/>
          <w:color w:val="auto"/>
          <w:sz w:val="20"/>
          <w:szCs w:val="20"/>
        </w:rPr>
        <w:t>投标人</w:t>
      </w:r>
      <w:r>
        <w:rPr>
          <w:rFonts w:hint="eastAsia" w:ascii="宋体" w:hAnsi="宋体"/>
          <w:color w:val="auto"/>
          <w:sz w:val="20"/>
          <w:szCs w:val="20"/>
        </w:rPr>
        <w:t>名称</w:t>
      </w:r>
      <w:r>
        <w:rPr>
          <w:rFonts w:ascii="宋体" w:hAnsi="宋体"/>
          <w:color w:val="auto"/>
          <w:sz w:val="20"/>
          <w:szCs w:val="20"/>
        </w:rPr>
        <w:t>：</w:t>
      </w:r>
      <w:r>
        <w:rPr>
          <w:rFonts w:ascii="宋体" w:hAnsi="宋体"/>
          <w:color w:val="auto"/>
          <w:sz w:val="20"/>
          <w:szCs w:val="20"/>
          <w:u w:val="single"/>
        </w:rPr>
        <w:t xml:space="preserve">                     </w:t>
      </w:r>
      <w:r>
        <w:rPr>
          <w:rFonts w:ascii="宋体" w:hAnsi="宋体"/>
          <w:color w:val="auto"/>
          <w:sz w:val="20"/>
          <w:szCs w:val="20"/>
        </w:rPr>
        <w:t>（盖单位公章）</w:t>
      </w:r>
    </w:p>
    <w:p>
      <w:pPr>
        <w:spacing w:line="360" w:lineRule="auto"/>
        <w:jc w:val="right"/>
        <w:rPr>
          <w:rFonts w:ascii="宋体" w:hAnsi="宋体"/>
          <w:color w:val="auto"/>
          <w:sz w:val="20"/>
          <w:szCs w:val="20"/>
        </w:rPr>
      </w:pPr>
      <w:r>
        <w:rPr>
          <w:rFonts w:ascii="宋体" w:hAnsi="宋体"/>
          <w:color w:val="auto"/>
          <w:sz w:val="20"/>
          <w:szCs w:val="20"/>
        </w:rPr>
        <w:t>法定代表人</w:t>
      </w:r>
      <w:r>
        <w:rPr>
          <w:rFonts w:hint="eastAsia" w:ascii="宋体" w:hAnsi="宋体"/>
          <w:color w:val="auto"/>
          <w:sz w:val="20"/>
          <w:szCs w:val="20"/>
        </w:rPr>
        <w:t>（负责人）</w:t>
      </w:r>
      <w:r>
        <w:rPr>
          <w:rFonts w:ascii="宋体" w:hAnsi="宋体"/>
          <w:color w:val="auto"/>
          <w:sz w:val="20"/>
          <w:szCs w:val="20"/>
        </w:rPr>
        <w:t>或者其委托代理人：</w:t>
      </w:r>
      <w:r>
        <w:rPr>
          <w:rFonts w:ascii="宋体" w:hAnsi="宋体"/>
          <w:color w:val="auto"/>
          <w:sz w:val="20"/>
          <w:szCs w:val="20"/>
          <w:u w:val="single"/>
        </w:rPr>
        <w:t xml:space="preserve">         </w:t>
      </w:r>
      <w:r>
        <w:rPr>
          <w:rFonts w:ascii="宋体" w:hAnsi="宋体"/>
          <w:color w:val="auto"/>
          <w:sz w:val="20"/>
          <w:szCs w:val="20"/>
        </w:rPr>
        <w:t>（签字</w:t>
      </w:r>
      <w:r>
        <w:rPr>
          <w:rFonts w:hint="eastAsia" w:ascii="宋体" w:hAnsi="宋体"/>
          <w:color w:val="auto"/>
          <w:sz w:val="20"/>
          <w:szCs w:val="20"/>
        </w:rPr>
        <w:t>或盖章</w:t>
      </w:r>
      <w:r>
        <w:rPr>
          <w:rFonts w:ascii="宋体" w:hAnsi="宋体"/>
          <w:color w:val="auto"/>
          <w:sz w:val="20"/>
          <w:szCs w:val="20"/>
        </w:rPr>
        <w:t>）</w:t>
      </w:r>
    </w:p>
    <w:p>
      <w:pPr>
        <w:topLinePunct/>
        <w:spacing w:line="360" w:lineRule="auto"/>
        <w:jc w:val="right"/>
        <w:rPr>
          <w:rFonts w:hint="eastAsia" w:ascii="宋体" w:hAnsi="宋体"/>
          <w:color w:val="auto"/>
          <w:sz w:val="20"/>
          <w:szCs w:val="22"/>
          <w:lang w:val="en-US" w:eastAsia="zh-CN"/>
        </w:rPr>
      </w:pPr>
      <w:r>
        <w:rPr>
          <w:rFonts w:hint="eastAsia" w:ascii="宋体" w:hAnsi="宋体"/>
          <w:color w:val="auto"/>
          <w:sz w:val="20"/>
          <w:szCs w:val="22"/>
        </w:rPr>
        <w:t>日期：</w:t>
      </w:r>
      <w:r>
        <w:rPr>
          <w:rFonts w:ascii="宋体" w:hAnsi="宋体"/>
          <w:color w:val="auto"/>
          <w:sz w:val="20"/>
          <w:szCs w:val="22"/>
        </w:rPr>
        <w:t>XX年XX月XX</w:t>
      </w:r>
      <w:r>
        <w:rPr>
          <w:rFonts w:hint="eastAsia" w:ascii="宋体" w:hAnsi="宋体"/>
          <w:color w:val="auto"/>
          <w:sz w:val="20"/>
          <w:szCs w:val="22"/>
          <w:lang w:val="en-US" w:eastAsia="zh-CN"/>
        </w:rPr>
        <w:t>日</w:t>
      </w:r>
    </w:p>
    <w:p>
      <w:pPr>
        <w:pStyle w:val="16"/>
        <w:rPr>
          <w:rFonts w:hint="eastAsia" w:ascii="宋体" w:hAnsi="宋体"/>
          <w:color w:val="auto"/>
          <w:sz w:val="20"/>
          <w:szCs w:val="22"/>
          <w:lang w:val="en-US" w:eastAsia="zh-CN"/>
        </w:rPr>
      </w:pPr>
    </w:p>
    <w:p>
      <w:pPr>
        <w:pStyle w:val="38"/>
        <w:rPr>
          <w:rFonts w:hint="default"/>
          <w:color w:val="auto"/>
          <w:lang w:val="en-US" w:eastAsia="zh-CN"/>
        </w:rPr>
      </w:pPr>
    </w:p>
    <w:p>
      <w:pPr>
        <w:rPr>
          <w:rFonts w:ascii="宋体" w:hAnsi="宋体"/>
          <w:color w:val="auto"/>
          <w:sz w:val="24"/>
          <w:szCs w:val="24"/>
        </w:rPr>
      </w:pPr>
      <w:bookmarkStart w:id="550" w:name="_Toc1651899"/>
      <w:bookmarkStart w:id="551" w:name="_Toc28376"/>
      <w:bookmarkStart w:id="552" w:name="_Toc29078"/>
      <w:bookmarkStart w:id="553" w:name="_Toc11519"/>
      <w:bookmarkStart w:id="554" w:name="_Toc475472674"/>
      <w:bookmarkStart w:id="555" w:name="_Toc56432234"/>
      <w:r>
        <w:rPr>
          <w:rFonts w:ascii="宋体" w:hAnsi="宋体"/>
          <w:color w:val="auto"/>
          <w:sz w:val="24"/>
          <w:szCs w:val="24"/>
        </w:rPr>
        <w:br w:type="page"/>
      </w: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56" w:name="_Toc23282"/>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身份证明</w:t>
      </w:r>
      <w:bookmarkEnd w:id="550"/>
      <w:bookmarkEnd w:id="551"/>
      <w:bookmarkEnd w:id="552"/>
      <w:bookmarkEnd w:id="553"/>
      <w:bookmarkEnd w:id="554"/>
      <w:bookmarkEnd w:id="555"/>
      <w:bookmarkEnd w:id="556"/>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法定代表人（负责人）身份证明</w:t>
      </w:r>
    </w:p>
    <w:p>
      <w:pPr>
        <w:spacing w:line="440" w:lineRule="exact"/>
        <w:rPr>
          <w:rFonts w:ascii="宋体" w:hAnsi="宋体"/>
          <w:color w:val="auto"/>
          <w:szCs w:val="21"/>
        </w:rPr>
      </w:pPr>
    </w:p>
    <w:p>
      <w:pPr>
        <w:topLinePunct/>
        <w:snapToGrid w:val="0"/>
        <w:spacing w:line="440" w:lineRule="exact"/>
        <w:rPr>
          <w:rFonts w:ascii="宋体" w:hAnsi="宋体"/>
          <w:bCs/>
          <w:color w:val="auto"/>
          <w:szCs w:val="21"/>
          <w:u w:val="single"/>
        </w:rPr>
      </w:pPr>
      <w:r>
        <w:rPr>
          <w:rFonts w:hint="eastAsia" w:ascii="宋体" w:hAnsi="宋体"/>
          <w:bCs/>
          <w:color w:val="auto"/>
          <w:szCs w:val="21"/>
        </w:rPr>
        <w:t>投标人</w:t>
      </w:r>
      <w:r>
        <w:rPr>
          <w:rFonts w:ascii="宋体" w:hAnsi="宋体"/>
          <w:bCs/>
          <w:color w:val="auto"/>
          <w:szCs w:val="21"/>
        </w:rPr>
        <w:t>名称：</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单位性质：</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成立时间：</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w:t>
      </w:r>
    </w:p>
    <w:p>
      <w:pPr>
        <w:topLinePunct/>
        <w:snapToGrid w:val="0"/>
        <w:spacing w:line="440" w:lineRule="exact"/>
        <w:rPr>
          <w:rFonts w:ascii="宋体" w:hAnsi="宋体"/>
          <w:bCs/>
          <w:color w:val="auto"/>
          <w:szCs w:val="21"/>
        </w:rPr>
      </w:pPr>
      <w:r>
        <w:rPr>
          <w:rFonts w:ascii="宋体" w:hAnsi="宋体"/>
          <w:bCs/>
          <w:color w:val="auto"/>
          <w:szCs w:val="21"/>
        </w:rPr>
        <w:t>经营期限：</w:t>
      </w:r>
      <w:r>
        <w:rPr>
          <w:rFonts w:ascii="宋体" w:hAnsi="宋体"/>
          <w:bCs/>
          <w:color w:val="auto"/>
          <w:szCs w:val="21"/>
          <w:u w:val="single"/>
        </w:rPr>
        <w:t xml:space="preserve">            </w:t>
      </w:r>
    </w:p>
    <w:p>
      <w:pPr>
        <w:topLinePunct/>
        <w:snapToGrid w:val="0"/>
        <w:spacing w:line="440" w:lineRule="exact"/>
        <w:rPr>
          <w:rFonts w:ascii="宋体" w:hAnsi="宋体"/>
          <w:bCs/>
          <w:color w:val="auto"/>
          <w:szCs w:val="21"/>
          <w:u w:val="single"/>
        </w:rPr>
      </w:pPr>
      <w:r>
        <w:rPr>
          <w:rFonts w:ascii="宋体" w:hAnsi="宋体"/>
          <w:bCs/>
          <w:color w:val="auto"/>
          <w:szCs w:val="21"/>
        </w:rPr>
        <w:t>姓名：</w:t>
      </w:r>
      <w:r>
        <w:rPr>
          <w:rFonts w:ascii="宋体" w:hAnsi="宋体"/>
          <w:bCs/>
          <w:color w:val="auto"/>
          <w:szCs w:val="21"/>
          <w:u w:val="single"/>
        </w:rPr>
        <w:t xml:space="preserve">         </w:t>
      </w:r>
      <w:r>
        <w:rPr>
          <w:rFonts w:ascii="宋体" w:hAnsi="宋体"/>
          <w:bCs/>
          <w:color w:val="auto"/>
          <w:szCs w:val="21"/>
        </w:rPr>
        <w:t>性别：</w:t>
      </w:r>
      <w:r>
        <w:rPr>
          <w:rFonts w:ascii="宋体" w:hAnsi="宋体"/>
          <w:bCs/>
          <w:color w:val="auto"/>
          <w:szCs w:val="21"/>
          <w:u w:val="single"/>
        </w:rPr>
        <w:t xml:space="preserve">          </w:t>
      </w:r>
      <w:r>
        <w:rPr>
          <w:rFonts w:ascii="宋体" w:hAnsi="宋体"/>
          <w:bCs/>
          <w:color w:val="auto"/>
          <w:szCs w:val="21"/>
        </w:rPr>
        <w:t>年龄：</w:t>
      </w:r>
      <w:r>
        <w:rPr>
          <w:rFonts w:ascii="宋体" w:hAnsi="宋体"/>
          <w:bCs/>
          <w:color w:val="auto"/>
          <w:szCs w:val="21"/>
          <w:u w:val="single"/>
        </w:rPr>
        <w:t xml:space="preserve">         </w:t>
      </w:r>
      <w:r>
        <w:rPr>
          <w:rFonts w:ascii="宋体" w:hAnsi="宋体"/>
          <w:bCs/>
          <w:color w:val="auto"/>
          <w:szCs w:val="21"/>
        </w:rPr>
        <w:t>职务：</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系</w:t>
      </w:r>
      <w:r>
        <w:rPr>
          <w:rFonts w:ascii="宋体" w:hAnsi="宋体"/>
          <w:color w:val="auto"/>
          <w:u w:val="single"/>
        </w:rPr>
        <w:t>XX公司</w:t>
      </w:r>
      <w:r>
        <w:rPr>
          <w:rFonts w:ascii="宋体" w:hAnsi="宋体"/>
          <w:color w:val="auto"/>
          <w:szCs w:val="21"/>
          <w:u w:val="single"/>
        </w:rPr>
        <w:t>[投标人单位名称]</w:t>
      </w:r>
      <w:r>
        <w:rPr>
          <w:rFonts w:ascii="宋体" w:hAnsi="宋体"/>
          <w:bCs/>
          <w:color w:val="auto"/>
          <w:szCs w:val="21"/>
        </w:rPr>
        <w:t>的法定代表人。</w:t>
      </w: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特此证明。</w:t>
      </w:r>
    </w:p>
    <w:p>
      <w:pPr>
        <w:topLinePunct/>
        <w:snapToGrid w:val="0"/>
        <w:spacing w:line="440" w:lineRule="exact"/>
        <w:ind w:firstLine="420" w:firstLineChars="200"/>
        <w:rPr>
          <w:rFonts w:ascii="宋体" w:hAnsi="宋体"/>
          <w:bCs/>
          <w:color w:val="auto"/>
          <w:szCs w:val="21"/>
        </w:rPr>
      </w:pPr>
    </w:p>
    <w:p>
      <w:pPr>
        <w:topLinePunct/>
        <w:snapToGrid w:val="0"/>
        <w:spacing w:line="440" w:lineRule="exact"/>
        <w:rPr>
          <w:rFonts w:ascii="宋体" w:hAnsi="宋体"/>
          <w:color w:val="auto"/>
        </w:rPr>
      </w:pPr>
      <w:r>
        <w:rPr>
          <w:rFonts w:ascii="宋体" w:hAnsi="宋体"/>
          <w:color w:val="auto"/>
        </w:rPr>
        <w:t>附：法定代表人身份证复印件</w:t>
      </w:r>
      <w:r>
        <w:rPr>
          <w:rFonts w:ascii="宋体" w:hAnsi="宋体"/>
          <w:bCs/>
          <w:color w:val="auto"/>
          <w:szCs w:val="21"/>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440" w:lineRule="exact"/>
        <w:jc w:val="right"/>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spacing w:line="440" w:lineRule="exact"/>
        <w:ind w:firstLine="4305" w:firstLineChars="2050"/>
        <w:rPr>
          <w:rFonts w:ascii="宋体" w:hAnsi="宋体"/>
          <w:color w:val="auto"/>
          <w:szCs w:val="21"/>
        </w:rPr>
      </w:pPr>
    </w:p>
    <w:p>
      <w:pPr>
        <w:spacing w:line="440" w:lineRule="exact"/>
        <w:jc w:val="right"/>
        <w:rPr>
          <w:rFonts w:ascii="宋体" w:hAnsi="宋体"/>
          <w:color w:val="auto"/>
          <w:szCs w:val="21"/>
        </w:rPr>
      </w:pPr>
      <w:r>
        <w:rPr>
          <w:rFonts w:ascii="宋体" w:hAnsi="宋体"/>
          <w:color w:val="auto"/>
          <w:szCs w:val="21"/>
        </w:rPr>
        <w:t xml:space="preserve">                                         </w:t>
      </w:r>
      <w:r>
        <w:rPr>
          <w:rFonts w:hint="eastAsia" w:ascii="宋体" w:hAnsi="宋体"/>
          <w:color w:val="auto"/>
        </w:rPr>
        <w:t>日期：</w:t>
      </w:r>
      <w:r>
        <w:rPr>
          <w:rFonts w:ascii="宋体" w:hAnsi="宋体"/>
          <w:color w:val="auto"/>
        </w:rPr>
        <w:t>XX年XX月XX日</w:t>
      </w:r>
    </w:p>
    <w:p>
      <w:pPr>
        <w:topLinePunct/>
        <w:spacing w:line="440" w:lineRule="exact"/>
        <w:ind w:left="422"/>
        <w:jc w:val="left"/>
        <w:rPr>
          <w:rFonts w:ascii="宋体" w:hAnsi="宋体"/>
          <w:color w:val="auto"/>
        </w:rPr>
      </w:pPr>
    </w:p>
    <w:p>
      <w:pPr>
        <w:pStyle w:val="31"/>
        <w:ind w:left="0" w:leftChars="0" w:firstLine="0" w:firstLineChars="0"/>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557" w:name="_Toc5243"/>
      <w:bookmarkStart w:id="558" w:name="_Toc29191"/>
      <w:bookmarkStart w:id="559" w:name="_Toc1651900"/>
      <w:bookmarkStart w:id="560" w:name="_Toc28517"/>
      <w:bookmarkStart w:id="561" w:name="_Toc438052122"/>
      <w:bookmarkStart w:id="562" w:name="_Toc56432235"/>
      <w:bookmarkStart w:id="563" w:name="_Toc475472675"/>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64" w:name="_Toc12382"/>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授权委托书</w:t>
      </w:r>
      <w:bookmarkEnd w:id="557"/>
      <w:bookmarkEnd w:id="558"/>
      <w:bookmarkEnd w:id="559"/>
      <w:bookmarkEnd w:id="560"/>
      <w:bookmarkEnd w:id="561"/>
      <w:bookmarkEnd w:id="562"/>
      <w:bookmarkEnd w:id="563"/>
      <w:bookmarkEnd w:id="564"/>
    </w:p>
    <w:p>
      <w:pPr>
        <w:jc w:val="center"/>
        <w:rPr>
          <w:rFonts w:ascii="宋体" w:hAnsi="宋体" w:cs="宋体"/>
          <w:b/>
          <w:color w:val="auto"/>
          <w:sz w:val="24"/>
        </w:rPr>
      </w:pPr>
      <w:r>
        <w:rPr>
          <w:rFonts w:hint="eastAsia" w:ascii="宋体" w:hAnsi="宋体" w:cs="宋体"/>
          <w:b/>
          <w:color w:val="auto"/>
          <w:sz w:val="24"/>
        </w:rPr>
        <w:t>法定代表人（负责人）授权委托书</w:t>
      </w:r>
    </w:p>
    <w:p>
      <w:pPr>
        <w:jc w:val="center"/>
        <w:rPr>
          <w:rFonts w:ascii="宋体" w:hAnsi="宋体" w:cs="宋体"/>
          <w:b/>
          <w:color w:val="auto"/>
          <w:sz w:val="24"/>
        </w:rPr>
      </w:pP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本人</w:t>
      </w:r>
      <w:r>
        <w:rPr>
          <w:rFonts w:ascii="宋体" w:hAnsi="宋体"/>
          <w:color w:val="auto"/>
          <w:u w:val="single"/>
        </w:rPr>
        <w:t>XX</w:t>
      </w:r>
      <w:r>
        <w:rPr>
          <w:rFonts w:ascii="宋体" w:hAnsi="宋体"/>
          <w:color w:val="auto"/>
          <w:szCs w:val="21"/>
          <w:u w:val="single"/>
        </w:rPr>
        <w:t xml:space="preserve"> [投标人法定代表人（负责人）姓名]</w:t>
      </w:r>
      <w:r>
        <w:rPr>
          <w:rFonts w:ascii="宋体" w:hAnsi="宋体"/>
          <w:bCs/>
          <w:color w:val="auto"/>
          <w:szCs w:val="21"/>
        </w:rPr>
        <w:t xml:space="preserve">系 </w:t>
      </w:r>
      <w:r>
        <w:rPr>
          <w:rFonts w:ascii="宋体" w:hAnsi="宋体"/>
          <w:color w:val="auto"/>
          <w:u w:val="single"/>
        </w:rPr>
        <w:t>XX公司</w:t>
      </w:r>
      <w:r>
        <w:rPr>
          <w:rFonts w:ascii="宋体" w:hAnsi="宋体"/>
          <w:color w:val="auto"/>
          <w:szCs w:val="21"/>
          <w:u w:val="single"/>
        </w:rPr>
        <w:t>[投标人名称]</w:t>
      </w:r>
      <w:r>
        <w:rPr>
          <w:rFonts w:ascii="宋体" w:hAnsi="宋体"/>
          <w:bCs/>
          <w:color w:val="auto"/>
          <w:szCs w:val="21"/>
        </w:rPr>
        <w:t>的法定代表人，现委托</w:t>
      </w:r>
      <w:r>
        <w:rPr>
          <w:rFonts w:ascii="宋体" w:hAnsi="宋体"/>
          <w:color w:val="auto"/>
          <w:u w:val="single"/>
        </w:rPr>
        <w:t>XX</w:t>
      </w:r>
      <w:r>
        <w:rPr>
          <w:rFonts w:ascii="宋体" w:hAnsi="宋体"/>
          <w:color w:val="auto"/>
          <w:szCs w:val="21"/>
          <w:u w:val="single"/>
        </w:rPr>
        <w:t xml:space="preserve"> [委托代理人姓名]</w:t>
      </w:r>
      <w:r>
        <w:rPr>
          <w:rFonts w:ascii="宋体" w:hAnsi="宋体"/>
          <w:bCs/>
          <w:color w:val="auto"/>
          <w:szCs w:val="21"/>
        </w:rPr>
        <w:t>为我方代理人。代理人根据授权，以我方名义</w:t>
      </w:r>
      <w:r>
        <w:rPr>
          <w:rFonts w:hint="eastAsia" w:ascii="宋体" w:hAnsi="宋体"/>
          <w:bCs/>
          <w:color w:val="auto"/>
          <w:szCs w:val="21"/>
        </w:rPr>
        <w:t>全权处理</w:t>
      </w:r>
      <w:r>
        <w:rPr>
          <w:rFonts w:ascii="宋体" w:hAnsi="宋体"/>
          <w:color w:val="auto"/>
          <w:u w:val="single"/>
        </w:rPr>
        <w:t>XX</w:t>
      </w:r>
      <w:r>
        <w:rPr>
          <w:rFonts w:hint="eastAsia" w:ascii="宋体" w:hAnsi="宋体"/>
          <w:color w:val="auto"/>
          <w:szCs w:val="21"/>
          <w:u w:val="single"/>
        </w:rPr>
        <w:t>项目</w:t>
      </w:r>
      <w:r>
        <w:rPr>
          <w:rFonts w:ascii="宋体" w:hAnsi="宋体"/>
          <w:color w:val="auto"/>
          <w:szCs w:val="21"/>
          <w:u w:val="single"/>
        </w:rPr>
        <w:t>[</w:t>
      </w:r>
      <w:r>
        <w:rPr>
          <w:rFonts w:ascii="宋体" w:hAnsi="宋体"/>
          <w:bCs/>
          <w:color w:val="auto"/>
          <w:szCs w:val="21"/>
          <w:u w:val="single"/>
        </w:rPr>
        <w:t>招标项目名称</w:t>
      </w:r>
      <w:r>
        <w:rPr>
          <w:rFonts w:ascii="宋体" w:hAnsi="宋体"/>
          <w:color w:val="auto"/>
          <w:szCs w:val="21"/>
          <w:u w:val="single"/>
        </w:rPr>
        <w:t>]</w:t>
      </w:r>
      <w:r>
        <w:rPr>
          <w:rFonts w:ascii="宋体" w:hAnsi="宋体"/>
          <w:bCs/>
          <w:color w:val="auto"/>
          <w:szCs w:val="21"/>
          <w:u w:val="single"/>
        </w:rPr>
        <w:t>签署、澄清</w:t>
      </w:r>
      <w:r>
        <w:rPr>
          <w:rFonts w:hint="eastAsia" w:ascii="宋体" w:hAnsi="宋体"/>
          <w:bCs/>
          <w:color w:val="auto"/>
          <w:szCs w:val="21"/>
          <w:u w:val="single"/>
        </w:rPr>
        <w:t>、说明、补正</w:t>
      </w:r>
      <w:r>
        <w:rPr>
          <w:rFonts w:ascii="宋体" w:hAnsi="宋体"/>
          <w:bCs/>
          <w:color w:val="auto"/>
          <w:szCs w:val="21"/>
          <w:u w:val="single"/>
        </w:rPr>
        <w:t>、递交、撤回、修改</w:t>
      </w:r>
      <w:r>
        <w:rPr>
          <w:rFonts w:hint="eastAsia" w:ascii="宋体" w:hAnsi="宋体"/>
          <w:bCs/>
          <w:color w:val="auto"/>
          <w:szCs w:val="21"/>
          <w:u w:val="single"/>
        </w:rPr>
        <w:t>投标</w:t>
      </w:r>
      <w:r>
        <w:rPr>
          <w:rFonts w:ascii="宋体" w:hAnsi="宋体"/>
          <w:bCs/>
          <w:color w:val="auto"/>
          <w:szCs w:val="21"/>
          <w:u w:val="single"/>
        </w:rPr>
        <w:t>文件</w:t>
      </w:r>
      <w:r>
        <w:rPr>
          <w:rFonts w:hint="eastAsia" w:ascii="宋体" w:hAnsi="宋体"/>
          <w:bCs/>
          <w:color w:val="auto"/>
          <w:szCs w:val="21"/>
          <w:u w:val="single"/>
        </w:rPr>
        <w:t>，</w:t>
      </w:r>
      <w:r>
        <w:rPr>
          <w:rFonts w:ascii="宋体" w:hAnsi="宋体"/>
          <w:bCs/>
          <w:color w:val="auto"/>
          <w:szCs w:val="21"/>
          <w:u w:val="single"/>
        </w:rPr>
        <w:t>签订合同和处理</w:t>
      </w:r>
      <w:r>
        <w:rPr>
          <w:rFonts w:hint="eastAsia" w:ascii="宋体" w:hAnsi="宋体"/>
          <w:bCs/>
          <w:color w:val="auto"/>
          <w:szCs w:val="21"/>
          <w:u w:val="single"/>
        </w:rPr>
        <w:t>一切</w:t>
      </w:r>
      <w:r>
        <w:rPr>
          <w:rFonts w:ascii="宋体" w:hAnsi="宋体"/>
          <w:bCs/>
          <w:color w:val="auto"/>
          <w:szCs w:val="21"/>
          <w:u w:val="single"/>
        </w:rPr>
        <w:t>有关事宜</w:t>
      </w:r>
      <w:r>
        <w:rPr>
          <w:rFonts w:ascii="宋体" w:hAnsi="宋体"/>
          <w:bCs/>
          <w:color w:val="auto"/>
          <w:szCs w:val="21"/>
        </w:rPr>
        <w:t xml:space="preserve">，其法律后果由我方承担。 </w:t>
      </w:r>
    </w:p>
    <w:p>
      <w:pPr>
        <w:topLinePunct/>
        <w:snapToGrid w:val="0"/>
        <w:spacing w:line="440" w:lineRule="exact"/>
        <w:ind w:firstLine="420" w:firstLineChars="200"/>
        <w:rPr>
          <w:rFonts w:ascii="宋体" w:hAnsi="宋体"/>
          <w:bCs/>
          <w:color w:val="auto"/>
          <w:szCs w:val="21"/>
        </w:rPr>
      </w:pPr>
      <w:r>
        <w:rPr>
          <w:rFonts w:hint="eastAsia" w:ascii="宋体" w:hAnsi="宋体"/>
          <w:bCs/>
          <w:color w:val="auto"/>
          <w:szCs w:val="21"/>
        </w:rPr>
        <w:t>委托</w:t>
      </w:r>
      <w:r>
        <w:rPr>
          <w:rFonts w:ascii="宋体" w:hAnsi="宋体"/>
          <w:bCs/>
          <w:color w:val="auto"/>
          <w:szCs w:val="21"/>
        </w:rPr>
        <w:t>代理人无转委托权。</w:t>
      </w:r>
    </w:p>
    <w:p>
      <w:pPr>
        <w:spacing w:line="440" w:lineRule="exact"/>
        <w:ind w:firstLine="420" w:firstLineChars="200"/>
        <w:rPr>
          <w:rFonts w:ascii="宋体" w:hAnsi="宋体"/>
          <w:color w:val="auto"/>
          <w:szCs w:val="21"/>
        </w:rPr>
      </w:pPr>
      <w:r>
        <w:rPr>
          <w:rFonts w:hint="eastAsia" w:ascii="宋体" w:hAnsi="宋体"/>
          <w:bCs/>
          <w:color w:val="auto"/>
          <w:szCs w:val="21"/>
        </w:rPr>
        <w:t>附：委托代理人身份证复印件</w:t>
      </w:r>
      <w:r>
        <w:rPr>
          <w:rFonts w:ascii="宋体" w:hAnsi="宋体"/>
          <w:bCs/>
          <w:color w:val="auto"/>
          <w:szCs w:val="21"/>
        </w:rPr>
        <w:t>(需同时提供正面及背面)</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 xml:space="preserve"> </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投标人</w:t>
      </w:r>
      <w:r>
        <w:rPr>
          <w:rFonts w:hint="eastAsia" w:ascii="宋体" w:hAnsi="宋体"/>
          <w:bCs/>
          <w:color w:val="auto"/>
          <w:szCs w:val="21"/>
        </w:rPr>
        <w:t>名称</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（盖单位公章）</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法定代表人</w:t>
      </w:r>
      <w:r>
        <w:rPr>
          <w:rFonts w:hint="eastAsia" w:ascii="宋体" w:hAnsi="宋体"/>
          <w:bCs/>
          <w:color w:val="auto"/>
          <w:szCs w:val="21"/>
        </w:rPr>
        <w:t>（负责人）</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委托代理人：</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u w:val="single"/>
        </w:rPr>
      </w:pPr>
      <w:r>
        <w:rPr>
          <w:rFonts w:hint="eastAsia" w:ascii="宋体" w:hAnsi="宋体"/>
          <w:bCs/>
          <w:color w:val="auto"/>
          <w:szCs w:val="21"/>
        </w:rPr>
        <w:t>联系方式（手机）：</w:t>
      </w:r>
      <w:r>
        <w:rPr>
          <w:rFonts w:ascii="宋体" w:hAnsi="宋体"/>
          <w:bCs/>
          <w:color w:val="auto"/>
          <w:szCs w:val="21"/>
          <w:u w:val="single"/>
        </w:rPr>
        <w:t xml:space="preserve">                     </w:t>
      </w:r>
    </w:p>
    <w:p>
      <w:pPr>
        <w:topLinePunct/>
        <w:snapToGrid w:val="0"/>
        <w:spacing w:line="440" w:lineRule="exact"/>
        <w:ind w:firstLine="420" w:firstLineChars="200"/>
        <w:rPr>
          <w:rFonts w:ascii="宋体" w:hAnsi="宋体"/>
          <w:color w:val="auto"/>
        </w:rPr>
      </w:pPr>
      <w:r>
        <w:rPr>
          <w:rFonts w:ascii="宋体" w:hAnsi="宋体"/>
          <w:bCs/>
          <w:color w:val="auto"/>
          <w:szCs w:val="21"/>
        </w:rPr>
        <w:t xml:space="preserve">                  </w:t>
      </w:r>
      <w:r>
        <w:rPr>
          <w:rFonts w:hint="eastAsia" w:ascii="宋体" w:hAnsi="宋体"/>
          <w:color w:val="auto"/>
        </w:rPr>
        <w:t>日期：</w:t>
      </w:r>
      <w:r>
        <w:rPr>
          <w:rFonts w:ascii="宋体" w:hAnsi="宋体"/>
          <w:color w:val="auto"/>
        </w:rPr>
        <w:t>XX年XX月XX日</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pStyle w:val="16"/>
        <w:rPr>
          <w:rFonts w:ascii="宋体" w:hAnsi="宋体"/>
          <w:bCs/>
          <w:color w:val="auto"/>
          <w:szCs w:val="21"/>
        </w:rPr>
      </w:pPr>
    </w:p>
    <w:p>
      <w:pPr>
        <w:pStyle w:val="38"/>
        <w:rPr>
          <w:color w:val="auto"/>
        </w:rPr>
      </w:pPr>
    </w:p>
    <w:p>
      <w:pPr>
        <w:pStyle w:val="31"/>
        <w:ind w:left="0" w:leftChars="0" w:firstLine="0" w:firstLineChars="0"/>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565" w:name="_Toc30915"/>
      <w:bookmarkStart w:id="566" w:name="_Toc1651901"/>
      <w:bookmarkStart w:id="567" w:name="_Toc3954"/>
      <w:bookmarkStart w:id="568" w:name="_Toc5310"/>
      <w:bookmarkStart w:id="569" w:name="_Toc5595"/>
      <w:bookmarkStart w:id="570" w:name="_Toc56432236"/>
      <w:bookmarkStart w:id="571" w:name="_Toc475472676"/>
      <w:r>
        <w:rPr>
          <w:rFonts w:hint="eastAsia" w:ascii="宋体" w:hAnsi="宋体"/>
          <w:color w:val="auto"/>
          <w:sz w:val="24"/>
          <w:szCs w:val="24"/>
        </w:rPr>
        <w:t>资格审查资料</w:t>
      </w:r>
      <w:bookmarkEnd w:id="565"/>
      <w:bookmarkEnd w:id="566"/>
      <w:bookmarkEnd w:id="567"/>
      <w:bookmarkEnd w:id="568"/>
      <w:bookmarkEnd w:id="569"/>
      <w:bookmarkEnd w:id="570"/>
    </w:p>
    <w:p>
      <w:pPr>
        <w:rPr>
          <w:color w:val="auto"/>
        </w:rPr>
      </w:pPr>
      <w:r>
        <w:rPr>
          <w:rFonts w:hint="eastAsia" w:ascii="宋体" w:hAnsi="宋体"/>
          <w:b/>
          <w:color w:val="auto"/>
          <w:szCs w:val="21"/>
        </w:rPr>
        <w:t>注：按照招标公告“</w:t>
      </w:r>
      <w:r>
        <w:rPr>
          <w:rFonts w:ascii="宋体" w:hAnsi="宋体"/>
          <w:b/>
          <w:color w:val="auto"/>
          <w:szCs w:val="21"/>
        </w:rPr>
        <w:t>2.投标人资格要求”资质条件中提到的资格证明文件等相关材料，提供复印件等证明文件。</w:t>
      </w:r>
    </w:p>
    <w:p>
      <w:pPr>
        <w:pStyle w:val="36"/>
        <w:numPr>
          <w:ilvl w:val="1"/>
          <w:numId w:val="21"/>
        </w:numPr>
        <w:tabs>
          <w:tab w:val="left" w:pos="588"/>
        </w:tabs>
        <w:snapToGrid w:val="0"/>
        <w:spacing w:before="120" w:after="120" w:line="440" w:lineRule="exact"/>
        <w:ind w:hanging="992"/>
        <w:jc w:val="left"/>
        <w:rPr>
          <w:rFonts w:ascii="宋体" w:hAnsi="宋体"/>
          <w:color w:val="auto"/>
          <w:sz w:val="24"/>
          <w:szCs w:val="24"/>
        </w:rPr>
      </w:pPr>
      <w:bookmarkStart w:id="572" w:name="_Toc27906"/>
      <w:bookmarkStart w:id="573" w:name="_Toc332188252"/>
      <w:bookmarkStart w:id="574" w:name="_Toc247085891"/>
      <w:bookmarkStart w:id="575" w:name="_Toc152042597"/>
      <w:bookmarkStart w:id="576" w:name="_Toc946"/>
      <w:bookmarkStart w:id="577" w:name="_Toc246997116"/>
      <w:bookmarkStart w:id="578" w:name="_Toc144974876"/>
      <w:bookmarkStart w:id="579" w:name="_Toc246996373"/>
      <w:bookmarkStart w:id="580" w:name="_Toc56432237"/>
      <w:bookmarkStart w:id="581" w:name="_Toc179632828"/>
      <w:bookmarkStart w:id="582" w:name="_Toc10715"/>
      <w:bookmarkStart w:id="583" w:name="_Toc1651902"/>
      <w:bookmarkStart w:id="584" w:name="_Toc10795"/>
      <w:bookmarkStart w:id="585" w:name="_Toc326223618"/>
      <w:bookmarkStart w:id="586" w:name="_Toc152045808"/>
      <w:bookmarkStart w:id="587" w:name="_Toc334767003"/>
      <w:r>
        <w:rPr>
          <w:rFonts w:hint="eastAsia" w:ascii="宋体" w:hAnsi="宋体"/>
          <w:color w:val="auto"/>
          <w:sz w:val="24"/>
          <w:szCs w:val="24"/>
        </w:rPr>
        <w:t>投标人</w:t>
      </w:r>
      <w:r>
        <w:rPr>
          <w:rFonts w:ascii="宋体" w:hAnsi="宋体"/>
          <w:color w:val="auto"/>
          <w:sz w:val="24"/>
          <w:szCs w:val="24"/>
        </w:rPr>
        <w:t>基本情况表</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p>
            <w:pPr>
              <w:topLinePunct/>
              <w:spacing w:line="440" w:lineRule="exact"/>
              <w:jc w:val="center"/>
              <w:rPr>
                <w:rFonts w:ascii="宋体" w:hAnsi="宋体"/>
                <w:color w:val="auto"/>
                <w:szCs w:val="21"/>
              </w:rPr>
            </w:pPr>
            <w:r>
              <w:rPr>
                <w:rFonts w:hint="eastAsia" w:ascii="宋体" w:hAnsi="宋体"/>
                <w:color w:val="auto"/>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bl>
    <w:p>
      <w:pPr>
        <w:pStyle w:val="78"/>
        <w:widowControl/>
        <w:ind w:left="425" w:firstLine="0" w:firstLineChars="0"/>
        <w:jc w:val="left"/>
        <w:rPr>
          <w:rFonts w:ascii="宋体" w:hAnsi="宋体"/>
          <w:color w:val="auto"/>
          <w:szCs w:val="21"/>
        </w:rPr>
      </w:pPr>
      <w:r>
        <w:rPr>
          <w:rFonts w:hint="eastAsia" w:ascii="宋体" w:hAnsi="宋体"/>
          <w:color w:val="auto"/>
          <w:szCs w:val="21"/>
        </w:rPr>
        <w:t>以上信息如没有的可以不填写</w:t>
      </w:r>
    </w:p>
    <w:p>
      <w:pPr>
        <w:widowControl/>
        <w:ind w:firstLine="210" w:firstLineChars="100"/>
        <w:jc w:val="left"/>
        <w:rPr>
          <w:rFonts w:hint="eastAsia" w:ascii="黑体" w:hAnsi="黑体"/>
          <w:color w:val="auto"/>
          <w:szCs w:val="28"/>
        </w:rPr>
      </w:pPr>
    </w:p>
    <w:p>
      <w:pPr>
        <w:widowControl/>
        <w:ind w:firstLine="210" w:firstLineChars="100"/>
        <w:jc w:val="left"/>
        <w:rPr>
          <w:rFonts w:ascii="宋体" w:hAnsi="宋体"/>
          <w:color w:val="auto"/>
          <w:szCs w:val="21"/>
        </w:rPr>
      </w:pPr>
      <w:r>
        <w:rPr>
          <w:rFonts w:ascii="宋体" w:hAnsi="宋体"/>
          <w:color w:val="auto"/>
          <w:szCs w:val="21"/>
        </w:rPr>
        <w:br w:type="page"/>
      </w:r>
    </w:p>
    <w:p>
      <w:pPr>
        <w:pStyle w:val="36"/>
        <w:numPr>
          <w:ilvl w:val="1"/>
          <w:numId w:val="21"/>
        </w:numPr>
        <w:tabs>
          <w:tab w:val="left" w:pos="588"/>
        </w:tabs>
        <w:snapToGrid w:val="0"/>
        <w:spacing w:before="120" w:after="120" w:line="440" w:lineRule="exact"/>
        <w:ind w:hanging="992"/>
        <w:jc w:val="left"/>
        <w:rPr>
          <w:rFonts w:ascii="宋体" w:hAnsi="宋体"/>
          <w:color w:val="auto"/>
          <w:sz w:val="24"/>
          <w:szCs w:val="24"/>
        </w:rPr>
      </w:pPr>
      <w:bookmarkStart w:id="588" w:name="_Toc8568"/>
      <w:bookmarkStart w:id="589" w:name="_Toc8061"/>
      <w:bookmarkStart w:id="590" w:name="_Toc29350"/>
      <w:bookmarkStart w:id="591" w:name="_Toc56432238"/>
      <w:bookmarkStart w:id="592" w:name="_Toc5638"/>
      <w:bookmarkStart w:id="593" w:name="_Toc34146941"/>
      <w:bookmarkStart w:id="594" w:name="_Toc1651903"/>
      <w:r>
        <w:rPr>
          <w:rFonts w:hint="eastAsia" w:ascii="宋体" w:hAnsi="宋体"/>
          <w:color w:val="auto"/>
          <w:sz w:val="24"/>
          <w:szCs w:val="24"/>
        </w:rPr>
        <w:t>资格要求材料</w:t>
      </w:r>
      <w:bookmarkEnd w:id="588"/>
      <w:bookmarkEnd w:id="589"/>
      <w:bookmarkEnd w:id="590"/>
      <w:bookmarkEnd w:id="591"/>
      <w:bookmarkEnd w:id="592"/>
    </w:p>
    <w:p>
      <w:pPr>
        <w:spacing w:line="400" w:lineRule="exact"/>
        <w:rPr>
          <w:rFonts w:ascii="宋体" w:hAnsi="宋体"/>
          <w:color w:val="auto"/>
          <w:szCs w:val="21"/>
        </w:rPr>
      </w:pPr>
      <w:r>
        <w:rPr>
          <w:rFonts w:hint="eastAsia" w:ascii="宋体" w:hAnsi="宋体"/>
          <w:color w:val="auto"/>
          <w:szCs w:val="21"/>
        </w:rPr>
        <w:t>注：按照第一章《招标公告》“</w:t>
      </w:r>
      <w:r>
        <w:rPr>
          <w:rFonts w:ascii="宋体" w:hAnsi="宋体"/>
          <w:color w:val="auto"/>
          <w:szCs w:val="21"/>
        </w:rPr>
        <w:t xml:space="preserve">2. </w:t>
      </w:r>
      <w:r>
        <w:rPr>
          <w:rFonts w:hint="eastAsia" w:ascii="宋体" w:hAnsi="宋体"/>
          <w:color w:val="auto"/>
          <w:szCs w:val="21"/>
        </w:rPr>
        <w:t>投标人资格要求”。</w:t>
      </w:r>
    </w:p>
    <w:p>
      <w:pPr>
        <w:pStyle w:val="78"/>
        <w:adjustRightInd w:val="0"/>
        <w:snapToGrid w:val="0"/>
        <w:spacing w:line="440" w:lineRule="exact"/>
        <w:rPr>
          <w:rFonts w:ascii="宋体" w:hAnsi="宋体"/>
          <w:color w:val="auto"/>
          <w:szCs w:val="21"/>
        </w:rPr>
      </w:pPr>
      <w:r>
        <w:rPr>
          <w:rFonts w:ascii="宋体" w:hAnsi="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8"/>
        <w:adjustRightInd w:val="0"/>
        <w:snapToGrid w:val="0"/>
        <w:spacing w:line="440" w:lineRule="exact"/>
        <w:rPr>
          <w:rFonts w:ascii="宋体" w:hAnsi="宋体"/>
          <w:color w:val="auto"/>
          <w:szCs w:val="21"/>
        </w:rPr>
      </w:pPr>
    </w:p>
    <w:p>
      <w:pPr>
        <w:pStyle w:val="78"/>
        <w:adjustRightInd w:val="0"/>
        <w:snapToGrid w:val="0"/>
        <w:spacing w:line="440" w:lineRule="exact"/>
        <w:rPr>
          <w:rFonts w:hint="eastAsia" w:ascii="宋体" w:hAnsi="宋体"/>
          <w:color w:val="auto"/>
          <w:szCs w:val="21"/>
          <w:lang w:val="en-US" w:eastAsia="zh-CN"/>
        </w:rPr>
      </w:pPr>
    </w:p>
    <w:p>
      <w:pPr>
        <w:pStyle w:val="78"/>
        <w:adjustRightInd w:val="0"/>
        <w:snapToGrid w:val="0"/>
        <w:spacing w:line="440" w:lineRule="exact"/>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w:t>
      </w:r>
      <w:r>
        <w:rPr>
          <w:rFonts w:hint="eastAsia" w:ascii="宋体" w:hAnsi="宋体"/>
          <w:color w:val="auto"/>
          <w:szCs w:val="21"/>
        </w:rPr>
        <w:t>投标人需提供查询截图</w:t>
      </w:r>
      <w:r>
        <w:rPr>
          <w:rFonts w:ascii="宋体" w:hAnsi="宋体"/>
          <w:color w:val="auto"/>
          <w:szCs w:val="21"/>
        </w:rPr>
        <w:t>）；</w:t>
      </w:r>
    </w:p>
    <w:p>
      <w:pPr>
        <w:pStyle w:val="78"/>
        <w:adjustRightInd w:val="0"/>
        <w:snapToGrid w:val="0"/>
        <w:spacing w:line="440" w:lineRule="exact"/>
        <w:rPr>
          <w:rFonts w:hint="eastAsia" w:ascii="宋体" w:hAnsi="宋体"/>
          <w:color w:val="auto"/>
          <w:szCs w:val="21"/>
          <w:lang w:val="en-US" w:eastAsia="zh-CN"/>
        </w:rPr>
      </w:pPr>
    </w:p>
    <w:p>
      <w:pPr>
        <w:pStyle w:val="78"/>
        <w:adjustRightInd w:val="0"/>
        <w:snapToGrid w:val="0"/>
        <w:spacing w:line="440" w:lineRule="exact"/>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w:t>
      </w:r>
      <w:r>
        <w:rPr>
          <w:rFonts w:hint="eastAsia" w:ascii="宋体" w:hAnsi="宋体"/>
          <w:color w:val="auto"/>
          <w:szCs w:val="21"/>
          <w:lang w:val="en-US" w:eastAsia="zh-CN"/>
        </w:rPr>
        <w:t>投标人</w:t>
      </w:r>
      <w:r>
        <w:rPr>
          <w:rFonts w:ascii="宋体" w:hAnsi="宋体"/>
          <w:color w:val="auto"/>
          <w:szCs w:val="21"/>
        </w:rPr>
        <w:t>，不得参加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8"/>
        <w:adjustRightInd w:val="0"/>
        <w:snapToGrid w:val="0"/>
        <w:spacing w:line="440" w:lineRule="exact"/>
        <w:rPr>
          <w:rFonts w:ascii="宋体" w:hAnsi="宋体"/>
          <w:color w:val="auto"/>
          <w:szCs w:val="21"/>
        </w:rPr>
      </w:pPr>
    </w:p>
    <w:p>
      <w:pPr>
        <w:pStyle w:val="78"/>
        <w:numPr>
          <w:ilvl w:val="0"/>
          <w:numId w:val="0"/>
        </w:numPr>
        <w:adjustRightInd w:val="0"/>
        <w:snapToGrid w:val="0"/>
        <w:spacing w:line="440" w:lineRule="exact"/>
        <w:ind w:firstLine="420" w:firstLineChars="200"/>
        <w:rPr>
          <w:rFonts w:hint="eastAsia" w:ascii="宋体" w:hAnsi="宋体"/>
          <w:b/>
          <w:bCs/>
          <w:color w:val="auto"/>
          <w:szCs w:val="21"/>
          <w:lang w:eastAsia="zh-CN"/>
        </w:rPr>
      </w:pPr>
      <w:r>
        <w:rPr>
          <w:rFonts w:hint="eastAsia" w:ascii="宋体" w:hAnsi="宋体"/>
          <w:color w:val="auto"/>
          <w:szCs w:val="21"/>
          <w:lang w:val="en-US" w:eastAsia="zh-CN"/>
        </w:rPr>
        <w:t>4、</w:t>
      </w:r>
      <w:r>
        <w:rPr>
          <w:rFonts w:ascii="宋体" w:hAnsi="宋体"/>
          <w:color w:val="auto"/>
          <w:szCs w:val="21"/>
        </w:rPr>
        <w:t>联合体情况：我司为非联合体投标。</w:t>
      </w:r>
    </w:p>
    <w:p>
      <w:pPr>
        <w:pStyle w:val="78"/>
        <w:numPr>
          <w:ilvl w:val="0"/>
          <w:numId w:val="0"/>
        </w:numPr>
        <w:adjustRightInd w:val="0"/>
        <w:snapToGrid w:val="0"/>
        <w:spacing w:line="440" w:lineRule="exact"/>
        <w:ind w:firstLine="420" w:firstLineChars="200"/>
        <w:rPr>
          <w:rFonts w:hint="eastAsia" w:ascii="宋体" w:hAnsi="宋体"/>
          <w:color w:val="auto"/>
          <w:szCs w:val="21"/>
          <w:lang w:val="en-US" w:eastAsia="zh-CN"/>
        </w:rPr>
      </w:pPr>
    </w:p>
    <w:p>
      <w:pPr>
        <w:rPr>
          <w:rFonts w:hint="eastAsia" w:ascii="宋体" w:hAnsi="宋体"/>
          <w:color w:val="auto"/>
          <w:szCs w:val="21"/>
          <w:lang w:val="en-US" w:eastAsia="zh-CN"/>
        </w:rPr>
      </w:pPr>
      <w:r>
        <w:rPr>
          <w:rFonts w:hint="eastAsia" w:ascii="宋体" w:hAnsi="宋体"/>
          <w:color w:val="auto"/>
          <w:szCs w:val="21"/>
          <w:lang w:val="en-US" w:eastAsia="zh-CN"/>
        </w:rPr>
        <w:br w:type="page"/>
      </w:r>
    </w:p>
    <w:p>
      <w:pPr>
        <w:pStyle w:val="36"/>
        <w:numPr>
          <w:ilvl w:val="1"/>
          <w:numId w:val="21"/>
        </w:numPr>
        <w:tabs>
          <w:tab w:val="left" w:pos="588"/>
        </w:tabs>
        <w:snapToGrid w:val="0"/>
        <w:spacing w:before="120" w:after="120" w:line="440" w:lineRule="exact"/>
        <w:ind w:hanging="992"/>
        <w:jc w:val="left"/>
        <w:rPr>
          <w:rFonts w:ascii="宋体" w:hAnsi="宋体"/>
          <w:color w:val="auto"/>
          <w:sz w:val="24"/>
          <w:szCs w:val="24"/>
        </w:rPr>
      </w:pPr>
      <w:bookmarkStart w:id="595" w:name="_Toc56432239"/>
      <w:bookmarkStart w:id="596" w:name="_Toc21344"/>
      <w:bookmarkStart w:id="597" w:name="_Toc18886"/>
      <w:bookmarkStart w:id="598" w:name="_Toc8068"/>
      <w:bookmarkStart w:id="599" w:name="_Toc10886"/>
      <w:r>
        <w:rPr>
          <w:rFonts w:hint="eastAsia" w:ascii="宋体" w:hAnsi="宋体"/>
          <w:color w:val="auto"/>
          <w:sz w:val="24"/>
          <w:szCs w:val="24"/>
        </w:rPr>
        <w:t>关于资格的声明函</w:t>
      </w:r>
      <w:bookmarkEnd w:id="595"/>
      <w:bookmarkEnd w:id="596"/>
      <w:bookmarkEnd w:id="597"/>
      <w:bookmarkEnd w:id="598"/>
      <w:bookmarkEnd w:id="599"/>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lang w:eastAsia="zh-CN"/>
        </w:rPr>
        <w:t>广东南方日报经营有限公司</w:t>
      </w:r>
      <w:r>
        <w:rPr>
          <w:rFonts w:hint="eastAsia" w:ascii="宋体" w:hAnsi="宋体"/>
          <w:b/>
          <w:bCs/>
          <w:color w:val="auto"/>
          <w:szCs w:val="21"/>
        </w:rPr>
        <w:t>、广东省南方文化产权交易所股份有限公司：</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日的（招标代理编号：</w:t>
      </w:r>
      <w:r>
        <w:rPr>
          <w:rFonts w:ascii="宋体" w:hAnsi="宋体"/>
          <w:color w:val="auto"/>
          <w:szCs w:val="21"/>
          <w:u w:val="single"/>
        </w:rPr>
        <w:t xml:space="preserve"> </w:t>
      </w:r>
      <w:r>
        <w:rPr>
          <w:rFonts w:hint="eastAsia" w:ascii="宋体" w:hAnsi="宋体"/>
          <w:color w:val="auto"/>
          <w:szCs w:val="21"/>
          <w:u w:val="single"/>
          <w:lang w:eastAsia="zh-CN"/>
        </w:rPr>
        <w:t>WJS-202306280037</w:t>
      </w:r>
      <w:r>
        <w:rPr>
          <w:rFonts w:hint="eastAsia" w:ascii="宋体" w:hAnsi="宋体"/>
          <w:color w:val="auto"/>
          <w:szCs w:val="21"/>
        </w:rPr>
        <w:t>）报价邀请，参与报价，提供招标人需求中规定的货物或服务，并按采购文件要求提交所附资格文件且声明和保证如下：</w:t>
      </w:r>
    </w:p>
    <w:p>
      <w:pPr>
        <w:widowControl/>
        <w:numPr>
          <w:ilvl w:val="0"/>
          <w:numId w:val="24"/>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24"/>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24"/>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24"/>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我方是依法注册的法人，在法律上、财务上和运作上完全独立于</w:t>
      </w:r>
      <w:r>
        <w:rPr>
          <w:rFonts w:hint="eastAsia" w:ascii="宋体" w:hAnsi="宋体"/>
          <w:color w:val="auto"/>
          <w:szCs w:val="21"/>
          <w:u w:val="single"/>
          <w:lang w:eastAsia="zh-CN"/>
        </w:rPr>
        <w:t>广东南方日报经营有限公司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广东省南方文化产权交易所股份有限公司</w:t>
      </w:r>
      <w:r>
        <w:rPr>
          <w:rFonts w:hint="eastAsia" w:ascii="宋体" w:hAnsi="宋体"/>
          <w:color w:val="auto"/>
          <w:szCs w:val="21"/>
        </w:rPr>
        <w:t>（采购代理机构）。</w:t>
      </w:r>
    </w:p>
    <w:p>
      <w:pPr>
        <w:widowControl/>
        <w:numPr>
          <w:ilvl w:val="0"/>
          <w:numId w:val="24"/>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我方非联合体参与本项目投标。</w:t>
      </w:r>
    </w:p>
    <w:p>
      <w:pPr>
        <w:widowControl/>
        <w:numPr>
          <w:ilvl w:val="0"/>
          <w:numId w:val="24"/>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shd w:val="clear" w:color="auto" w:fill="FFFFFF" w:themeFill="background1"/>
        <w:spacing w:line="360" w:lineRule="auto"/>
        <w:jc w:val="right"/>
        <w:rPr>
          <w:rFonts w:ascii="宋体" w:hAnsi="宋体"/>
          <w:color w:val="auto"/>
          <w:szCs w:val="21"/>
        </w:rPr>
      </w:pPr>
      <w:r>
        <w:rPr>
          <w:rFonts w:hint="eastAsia" w:ascii="宋体" w:hAnsi="宋体"/>
          <w:color w:val="auto"/>
          <w:szCs w:val="21"/>
        </w:rPr>
        <w:t>投标人名称（加盖公章）</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w:t>
      </w:r>
    </w:p>
    <w:p>
      <w:pPr>
        <w:shd w:val="clear" w:color="auto" w:fill="FFFFFF" w:themeFill="background1"/>
        <w:spacing w:line="360" w:lineRule="auto"/>
        <w:jc w:val="right"/>
        <w:rPr>
          <w:rFonts w:ascii="宋体" w:hAnsi="宋体"/>
          <w:color w:val="auto"/>
          <w:szCs w:val="21"/>
          <w:u w:val="single"/>
        </w:rPr>
      </w:pPr>
      <w:r>
        <w:rPr>
          <w:rFonts w:hint="eastAsia" w:ascii="宋体" w:hAnsi="宋体"/>
          <w:color w:val="auto"/>
          <w:szCs w:val="21"/>
        </w:rPr>
        <w:t>法定代表或其授权代表</w:t>
      </w:r>
      <w:r>
        <w:rPr>
          <w:rFonts w:ascii="宋体" w:hAnsi="宋体"/>
          <w:color w:val="auto"/>
          <w:szCs w:val="21"/>
        </w:rPr>
        <w:t>(签字或盖章)：</w:t>
      </w:r>
      <w:r>
        <w:rPr>
          <w:rFonts w:ascii="宋体" w:hAnsi="宋体"/>
          <w:color w:val="auto"/>
          <w:szCs w:val="21"/>
          <w:u w:val="single"/>
        </w:rPr>
        <w:t xml:space="preserve">              </w:t>
      </w:r>
      <w:r>
        <w:rPr>
          <w:rFonts w:ascii="宋体" w:hAnsi="宋体"/>
          <w:color w:val="auto"/>
          <w:szCs w:val="21"/>
        </w:rPr>
        <w:t>.</w:t>
      </w: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   月   日</w:t>
      </w:r>
    </w:p>
    <w:p>
      <w:pPr>
        <w:widowControl/>
        <w:jc w:val="left"/>
        <w:rPr>
          <w:rFonts w:hint="eastAsia" w:ascii="黑体" w:hAnsi="黑体"/>
          <w:color w:val="auto"/>
          <w:szCs w:val="28"/>
          <w:lang w:val="en-US" w:eastAsia="zh-CN"/>
        </w:rPr>
      </w:pPr>
    </w:p>
    <w:p>
      <w:pPr>
        <w:rPr>
          <w:rFonts w:hint="eastAsia" w:ascii="黑体" w:hAnsi="黑体"/>
          <w:color w:val="auto"/>
          <w:szCs w:val="28"/>
        </w:rPr>
      </w:pPr>
      <w:r>
        <w:rPr>
          <w:rFonts w:hint="eastAsia" w:ascii="黑体" w:hAnsi="黑体"/>
          <w:color w:val="auto"/>
          <w:szCs w:val="28"/>
        </w:rPr>
        <w:br w:type="page"/>
      </w:r>
    </w:p>
    <w:p>
      <w:pPr>
        <w:pStyle w:val="36"/>
        <w:numPr>
          <w:ilvl w:val="1"/>
          <w:numId w:val="21"/>
        </w:numPr>
        <w:tabs>
          <w:tab w:val="left" w:pos="588"/>
        </w:tabs>
        <w:snapToGrid w:val="0"/>
        <w:spacing w:before="120" w:after="120" w:line="440" w:lineRule="exact"/>
        <w:ind w:hanging="992"/>
        <w:jc w:val="left"/>
        <w:rPr>
          <w:rFonts w:ascii="宋体" w:hAnsi="宋体"/>
          <w:color w:val="auto"/>
          <w:sz w:val="24"/>
          <w:szCs w:val="24"/>
        </w:rPr>
      </w:pPr>
      <w:bookmarkStart w:id="600" w:name="_Toc56432240"/>
      <w:bookmarkStart w:id="601" w:name="_Toc18305"/>
      <w:bookmarkStart w:id="602" w:name="_Toc1421"/>
      <w:bookmarkStart w:id="603" w:name="_Toc13905"/>
      <w:bookmarkStart w:id="604" w:name="_Toc29084"/>
      <w:r>
        <w:rPr>
          <w:rFonts w:hint="eastAsia" w:ascii="宋体" w:hAnsi="宋体"/>
          <w:color w:val="auto"/>
          <w:sz w:val="24"/>
          <w:szCs w:val="24"/>
        </w:rPr>
        <w:t>投标人控股及管理关系情况申报</w:t>
      </w:r>
      <w:bookmarkEnd w:id="593"/>
      <w:bookmarkEnd w:id="594"/>
      <w:bookmarkEnd w:id="600"/>
      <w:bookmarkEnd w:id="601"/>
      <w:bookmarkEnd w:id="602"/>
      <w:bookmarkEnd w:id="603"/>
      <w:bookmarkEnd w:id="604"/>
    </w:p>
    <w:p>
      <w:pPr>
        <w:spacing w:line="360" w:lineRule="auto"/>
        <w:rPr>
          <w:rFonts w:ascii="宋体" w:hAnsi="宋体"/>
          <w:color w:val="auto"/>
          <w:szCs w:val="21"/>
        </w:rPr>
      </w:pPr>
      <w:r>
        <w:rPr>
          <w:rFonts w:ascii="宋体" w:hAnsi="宋体"/>
          <w:color w:val="auto"/>
          <w:szCs w:val="21"/>
          <w:u w:val="single"/>
        </w:rPr>
        <w:t xml:space="preserve">致：            </w:t>
      </w:r>
      <w:r>
        <w:rPr>
          <w:rFonts w:hint="eastAsia" w:ascii="宋体" w:hAnsi="宋体"/>
          <w:color w:val="auto"/>
          <w:szCs w:val="21"/>
        </w:rPr>
        <w:t>（招标人名称）：</w:t>
      </w:r>
    </w:p>
    <w:p>
      <w:pPr>
        <w:spacing w:line="440" w:lineRule="exact"/>
        <w:ind w:firstLine="420" w:firstLineChars="200"/>
        <w:rPr>
          <w:color w:val="auto"/>
        </w:rPr>
      </w:pPr>
      <w:r>
        <w:rPr>
          <w:rFonts w:hint="eastAsia"/>
          <w:color w:val="auto"/>
        </w:rPr>
        <w:t>我方参加</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申报人名称</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法定代表人</w:t>
            </w:r>
            <w:r>
              <w:rPr>
                <w:rFonts w:ascii="宋体" w:hAnsi="宋体"/>
                <w:color w:val="auto"/>
                <w:szCs w:val="21"/>
              </w:rPr>
              <w:t>/单位负责人</w:t>
            </w:r>
          </w:p>
        </w:tc>
        <w:tc>
          <w:tcPr>
            <w:tcW w:w="2245" w:type="dxa"/>
            <w:vAlign w:val="center"/>
          </w:tcPr>
          <w:p>
            <w:pPr>
              <w:spacing w:line="360" w:lineRule="auto"/>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身份证号</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非控股股东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2245" w:type="dxa"/>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被管理关系单位名称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8315" w:type="dxa"/>
            <w:gridSpan w:val="3"/>
            <w:vAlign w:val="center"/>
          </w:tcPr>
          <w:p>
            <w:pPr>
              <w:spacing w:line="360" w:lineRule="auto"/>
              <w:rPr>
                <w:rFonts w:ascii="宋体" w:hAnsi="宋体"/>
                <w:color w:val="auto"/>
                <w:szCs w:val="21"/>
              </w:rPr>
            </w:pPr>
            <w:r>
              <w:rPr>
                <w:rFonts w:hint="eastAsia" w:ascii="宋体" w:hAnsi="宋体"/>
                <w:color w:val="auto"/>
                <w:szCs w:val="21"/>
              </w:rPr>
              <w:t>备注：</w:t>
            </w:r>
          </w:p>
        </w:tc>
      </w:tr>
    </w:tbl>
    <w:p>
      <w:pPr>
        <w:spacing w:line="360" w:lineRule="auto"/>
        <w:rPr>
          <w:rFonts w:ascii="宋体" w:hAnsi="宋体"/>
          <w:color w:val="auto"/>
        </w:rPr>
      </w:pPr>
      <w:r>
        <w:rPr>
          <w:rFonts w:hint="eastAsia" w:ascii="宋体" w:hAnsi="宋体"/>
          <w:color w:val="auto"/>
        </w:rPr>
        <w:t>注：</w:t>
      </w:r>
      <w:r>
        <w:rPr>
          <w:rFonts w:ascii="宋体" w:hAnsi="宋体"/>
          <w:color w:val="auto"/>
        </w:rPr>
        <w:t>1.控股股东/投资人是指出资比例在50%以上，或者出资比例不足50%，但享有公司股东会/董事会控制权的投资方（含单位或者个人）；</w:t>
      </w:r>
    </w:p>
    <w:p>
      <w:pPr>
        <w:spacing w:line="360" w:lineRule="auto"/>
        <w:rPr>
          <w:rFonts w:ascii="宋体" w:hAnsi="宋体"/>
          <w:i/>
          <w:color w:val="auto"/>
        </w:rPr>
      </w:pPr>
      <w:r>
        <w:rPr>
          <w:rFonts w:ascii="宋体" w:hAnsi="宋体"/>
          <w:color w:val="auto"/>
        </w:rPr>
        <w:t xml:space="preserve">    2.管理关系单位是指与不具有出资持股关系的其他单位之间存在管理与被管理关系的单位；</w:t>
      </w:r>
    </w:p>
    <w:p>
      <w:pPr>
        <w:spacing w:line="360" w:lineRule="auto"/>
        <w:rPr>
          <w:rFonts w:ascii="宋体" w:hAnsi="宋体"/>
          <w:color w:val="auto"/>
          <w:kern w:val="0"/>
        </w:rPr>
      </w:pPr>
      <w:r>
        <w:rPr>
          <w:rFonts w:ascii="宋体" w:hAnsi="宋体"/>
          <w:color w:val="auto"/>
        </w:rPr>
        <w:t xml:space="preserve">    3.如未有相关情况，请在相应栏填写“无”。</w:t>
      </w: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jc w:val="right"/>
        <w:rPr>
          <w:rFonts w:ascii="宋体" w:hAnsi="宋体"/>
          <w:color w:val="auto"/>
          <w:kern w:val="0"/>
        </w:rPr>
      </w:pPr>
      <w:bookmarkStart w:id="605" w:name="_Toc334767004"/>
      <w:bookmarkStart w:id="606" w:name="_Toc152045809"/>
      <w:bookmarkStart w:id="607" w:name="_Toc144974877"/>
      <w:bookmarkStart w:id="608" w:name="_Toc247514301"/>
      <w:bookmarkStart w:id="609" w:name="_Toc326223619"/>
      <w:bookmarkStart w:id="610" w:name="_Toc152042598"/>
      <w:bookmarkStart w:id="611" w:name="_Toc247527849"/>
      <w:bookmarkStart w:id="612" w:name="_Toc332188253"/>
      <w:bookmarkStart w:id="613" w:name="_Toc265953295"/>
      <w:r>
        <w:rPr>
          <w:rFonts w:hint="eastAsia" w:ascii="宋体" w:hAnsi="宋体"/>
          <w:color w:val="auto"/>
          <w:kern w:val="0"/>
        </w:rPr>
        <w:t>投标人：</w:t>
      </w:r>
      <w:r>
        <w:rPr>
          <w:rFonts w:ascii="宋体" w:hAnsi="宋体"/>
          <w:color w:val="auto"/>
          <w:kern w:val="0"/>
          <w:u w:val="single"/>
        </w:rPr>
        <w:t xml:space="preserve">              </w:t>
      </w:r>
      <w:r>
        <w:rPr>
          <w:rFonts w:hint="eastAsia" w:ascii="宋体" w:hAnsi="宋体"/>
          <w:color w:val="auto"/>
          <w:kern w:val="0"/>
        </w:rPr>
        <w:t>（盖单位公章）</w:t>
      </w:r>
      <w:r>
        <w:rPr>
          <w:rFonts w:ascii="宋体" w:hAnsi="宋体"/>
          <w:color w:val="auto"/>
          <w:kern w:val="0"/>
        </w:rPr>
        <w:t xml:space="preserve"> </w:t>
      </w:r>
    </w:p>
    <w:p>
      <w:pPr>
        <w:spacing w:line="360" w:lineRule="auto"/>
        <w:ind w:firstLine="4200" w:firstLineChars="2000"/>
        <w:jc w:val="right"/>
        <w:rPr>
          <w:rFonts w:ascii="宋体" w:hAnsi="宋体"/>
          <w:color w:val="auto"/>
          <w:kern w:val="0"/>
        </w:rPr>
      </w:pPr>
      <w:r>
        <w:rPr>
          <w:rFonts w:ascii="宋体" w:hAnsi="宋体"/>
          <w:color w:val="auto"/>
          <w:kern w:val="0"/>
        </w:rPr>
        <w:t xml:space="preserve">                 </w:t>
      </w: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月</w:t>
      </w:r>
      <w:r>
        <w:rPr>
          <w:rFonts w:ascii="宋体" w:hAnsi="宋体"/>
          <w:color w:val="auto"/>
          <w:kern w:val="0"/>
        </w:rPr>
        <w:t xml:space="preserve">   </w:t>
      </w:r>
      <w:r>
        <w:rPr>
          <w:rFonts w:hint="eastAsia" w:ascii="宋体" w:hAnsi="宋体"/>
          <w:color w:val="auto"/>
          <w:kern w:val="0"/>
        </w:rPr>
        <w:t>日</w:t>
      </w:r>
    </w:p>
    <w:p>
      <w:pPr>
        <w:widowControl/>
        <w:jc w:val="left"/>
        <w:rPr>
          <w:color w:val="auto"/>
        </w:rPr>
      </w:pPr>
      <w:r>
        <w:rPr>
          <w:color w:val="auto"/>
        </w:rPr>
        <w:br w:type="page"/>
      </w:r>
      <w:bookmarkEnd w:id="605"/>
      <w:bookmarkEnd w:id="606"/>
      <w:bookmarkEnd w:id="607"/>
      <w:bookmarkEnd w:id="608"/>
      <w:bookmarkEnd w:id="609"/>
      <w:bookmarkEnd w:id="610"/>
      <w:bookmarkEnd w:id="611"/>
      <w:bookmarkEnd w:id="612"/>
      <w:bookmarkEnd w:id="613"/>
    </w:p>
    <w:bookmarkEnd w:id="571"/>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614" w:name="_Toc477190442"/>
      <w:bookmarkEnd w:id="614"/>
      <w:bookmarkStart w:id="615" w:name="_Toc477190435"/>
      <w:bookmarkEnd w:id="615"/>
      <w:bookmarkStart w:id="616" w:name="_Toc477190647"/>
      <w:bookmarkEnd w:id="616"/>
      <w:bookmarkStart w:id="617" w:name="_Toc477190424"/>
      <w:bookmarkEnd w:id="617"/>
      <w:bookmarkStart w:id="618" w:name="_Toc477190583"/>
      <w:bookmarkEnd w:id="618"/>
      <w:bookmarkStart w:id="619" w:name="_Toc477190446"/>
      <w:bookmarkEnd w:id="619"/>
      <w:bookmarkStart w:id="620" w:name="_Toc477190453"/>
      <w:bookmarkEnd w:id="620"/>
      <w:bookmarkStart w:id="621" w:name="_Toc477190562"/>
      <w:bookmarkEnd w:id="621"/>
      <w:bookmarkStart w:id="622" w:name="_Toc477190645"/>
      <w:bookmarkEnd w:id="622"/>
      <w:bookmarkStart w:id="623" w:name="_Toc477190482"/>
      <w:bookmarkEnd w:id="623"/>
      <w:bookmarkStart w:id="624" w:name="_Toc477190466"/>
      <w:bookmarkEnd w:id="624"/>
      <w:bookmarkStart w:id="625" w:name="_Toc477190577"/>
      <w:bookmarkEnd w:id="625"/>
      <w:bookmarkStart w:id="626" w:name="_Toc477190564"/>
      <w:bookmarkEnd w:id="626"/>
      <w:bookmarkStart w:id="627" w:name="_Toc477190572"/>
      <w:bookmarkEnd w:id="627"/>
      <w:bookmarkStart w:id="628" w:name="_Toc477190366"/>
      <w:bookmarkEnd w:id="628"/>
      <w:bookmarkStart w:id="629" w:name="_Toc477190440"/>
      <w:bookmarkEnd w:id="629"/>
      <w:bookmarkStart w:id="630" w:name="_Toc477190592"/>
      <w:bookmarkEnd w:id="630"/>
      <w:bookmarkStart w:id="631" w:name="_Toc477190421"/>
      <w:bookmarkEnd w:id="631"/>
      <w:bookmarkStart w:id="632" w:name="_Toc477190437"/>
      <w:bookmarkEnd w:id="632"/>
      <w:bookmarkStart w:id="633" w:name="_Toc477190459"/>
      <w:bookmarkEnd w:id="633"/>
      <w:bookmarkStart w:id="634" w:name="_Toc477190598"/>
      <w:bookmarkEnd w:id="634"/>
      <w:bookmarkStart w:id="635" w:name="_Toc477190511"/>
      <w:bookmarkEnd w:id="635"/>
      <w:bookmarkStart w:id="636" w:name="_Toc477190455"/>
      <w:bookmarkEnd w:id="636"/>
      <w:bookmarkStart w:id="637" w:name="_Toc477190584"/>
      <w:bookmarkEnd w:id="637"/>
      <w:bookmarkStart w:id="638" w:name="_Toc477190427"/>
      <w:bookmarkEnd w:id="638"/>
      <w:bookmarkStart w:id="639" w:name="_Toc477190594"/>
      <w:bookmarkEnd w:id="639"/>
      <w:bookmarkStart w:id="640" w:name="_Toc477190549"/>
      <w:bookmarkEnd w:id="640"/>
      <w:bookmarkStart w:id="641" w:name="_Toc477190415"/>
      <w:bookmarkEnd w:id="641"/>
      <w:bookmarkStart w:id="642" w:name="_Toc477190652"/>
      <w:bookmarkEnd w:id="642"/>
      <w:bookmarkStart w:id="643" w:name="_Toc477190513"/>
      <w:bookmarkEnd w:id="643"/>
      <w:bookmarkStart w:id="644" w:name="_Toc477190589"/>
      <w:bookmarkEnd w:id="644"/>
      <w:bookmarkStart w:id="645" w:name="_Toc477190593"/>
      <w:bookmarkEnd w:id="645"/>
      <w:bookmarkStart w:id="646" w:name="_Toc477190595"/>
      <w:bookmarkEnd w:id="646"/>
      <w:bookmarkStart w:id="647" w:name="_Toc477190569"/>
      <w:bookmarkEnd w:id="647"/>
      <w:bookmarkStart w:id="648" w:name="_Toc477190467"/>
      <w:bookmarkEnd w:id="648"/>
      <w:bookmarkStart w:id="649" w:name="_Toc477190515"/>
      <w:bookmarkEnd w:id="649"/>
      <w:bookmarkStart w:id="650" w:name="_Toc477190573"/>
      <w:bookmarkEnd w:id="650"/>
      <w:bookmarkStart w:id="651" w:name="_Toc477190445"/>
      <w:bookmarkEnd w:id="651"/>
      <w:bookmarkStart w:id="652" w:name="_Toc477190576"/>
      <w:bookmarkEnd w:id="652"/>
      <w:bookmarkStart w:id="653" w:name="_Toc477190650"/>
      <w:bookmarkEnd w:id="653"/>
      <w:bookmarkStart w:id="654" w:name="_Toc477190571"/>
      <w:bookmarkEnd w:id="654"/>
      <w:bookmarkStart w:id="655" w:name="_Toc477190531"/>
      <w:bookmarkEnd w:id="655"/>
      <w:bookmarkStart w:id="656" w:name="_Toc477190568"/>
      <w:bookmarkEnd w:id="656"/>
      <w:bookmarkStart w:id="657" w:name="_Toc477190444"/>
      <w:bookmarkEnd w:id="657"/>
      <w:bookmarkStart w:id="658" w:name="_Toc477190508"/>
      <w:bookmarkEnd w:id="658"/>
      <w:bookmarkStart w:id="659" w:name="_Toc477190498"/>
      <w:bookmarkEnd w:id="659"/>
      <w:bookmarkStart w:id="660" w:name="_Toc477190585"/>
      <w:bookmarkEnd w:id="660"/>
      <w:bookmarkStart w:id="661" w:name="_Toc477190454"/>
      <w:bookmarkEnd w:id="661"/>
      <w:bookmarkStart w:id="662" w:name="_Toc477190510"/>
      <w:bookmarkEnd w:id="662"/>
      <w:bookmarkStart w:id="663" w:name="_Toc477190570"/>
      <w:bookmarkEnd w:id="663"/>
      <w:bookmarkStart w:id="664" w:name="_Toc477190458"/>
      <w:bookmarkEnd w:id="664"/>
      <w:bookmarkStart w:id="665" w:name="_Toc477190525"/>
      <w:bookmarkEnd w:id="665"/>
      <w:bookmarkStart w:id="666" w:name="_Toc477190588"/>
      <w:bookmarkEnd w:id="666"/>
      <w:bookmarkStart w:id="667" w:name="_Toc477190590"/>
      <w:bookmarkEnd w:id="667"/>
      <w:bookmarkStart w:id="668" w:name="_Toc477190462"/>
      <w:bookmarkEnd w:id="668"/>
      <w:bookmarkStart w:id="669" w:name="_Toc477190566"/>
      <w:bookmarkEnd w:id="669"/>
      <w:bookmarkStart w:id="670" w:name="_Toc477190632"/>
      <w:bookmarkEnd w:id="670"/>
      <w:bookmarkStart w:id="671" w:name="_Toc477190591"/>
      <w:bookmarkEnd w:id="671"/>
      <w:bookmarkStart w:id="672" w:name="_Toc477190646"/>
      <w:bookmarkEnd w:id="672"/>
      <w:bookmarkStart w:id="673" w:name="_Toc477190367"/>
      <w:bookmarkEnd w:id="673"/>
      <w:bookmarkStart w:id="674" w:name="_Toc477190567"/>
      <w:bookmarkEnd w:id="674"/>
      <w:bookmarkStart w:id="675" w:name="_Toc477190512"/>
      <w:bookmarkEnd w:id="675"/>
      <w:bookmarkStart w:id="676" w:name="_Toc477190517"/>
      <w:bookmarkEnd w:id="676"/>
      <w:bookmarkStart w:id="677" w:name="_Toc477190543"/>
      <w:bookmarkEnd w:id="677"/>
      <w:bookmarkStart w:id="678" w:name="_Toc477190441"/>
      <w:bookmarkEnd w:id="678"/>
      <w:bookmarkStart w:id="679" w:name="_Toc477190587"/>
      <w:bookmarkEnd w:id="679"/>
      <w:bookmarkStart w:id="680" w:name="_Toc477190457"/>
      <w:bookmarkEnd w:id="680"/>
      <w:bookmarkStart w:id="681" w:name="_Toc477190436"/>
      <w:bookmarkEnd w:id="681"/>
      <w:bookmarkStart w:id="682" w:name="_Toc477190460"/>
      <w:bookmarkEnd w:id="682"/>
      <w:bookmarkStart w:id="683" w:name="_Toc477190431"/>
      <w:bookmarkEnd w:id="683"/>
      <w:bookmarkStart w:id="684" w:name="_Toc477190469"/>
      <w:bookmarkEnd w:id="684"/>
      <w:bookmarkStart w:id="685" w:name="_Toc477190450"/>
      <w:bookmarkEnd w:id="685"/>
      <w:bookmarkStart w:id="686" w:name="_Toc477190448"/>
      <w:bookmarkEnd w:id="686"/>
      <w:bookmarkStart w:id="687" w:name="_Toc477190582"/>
      <w:bookmarkEnd w:id="687"/>
      <w:bookmarkStart w:id="688" w:name="_Toc477190565"/>
      <w:bookmarkEnd w:id="688"/>
      <w:bookmarkStart w:id="689" w:name="_Toc477190514"/>
      <w:bookmarkEnd w:id="689"/>
      <w:bookmarkStart w:id="690" w:name="_Toc477190430"/>
      <w:bookmarkEnd w:id="690"/>
      <w:bookmarkStart w:id="691" w:name="_Toc477190581"/>
      <w:bookmarkEnd w:id="691"/>
      <w:bookmarkStart w:id="692" w:name="_Toc477190368"/>
      <w:bookmarkEnd w:id="692"/>
      <w:bookmarkStart w:id="693" w:name="_Toc477190449"/>
      <w:bookmarkEnd w:id="693"/>
      <w:bookmarkStart w:id="694" w:name="_Toc477190563"/>
      <w:bookmarkEnd w:id="694"/>
      <w:bookmarkStart w:id="695" w:name="_Toc477190451"/>
      <w:bookmarkEnd w:id="695"/>
      <w:bookmarkStart w:id="696" w:name="_Toc477190432"/>
      <w:bookmarkEnd w:id="696"/>
      <w:bookmarkStart w:id="697" w:name="_Toc477190580"/>
      <w:bookmarkEnd w:id="697"/>
      <w:bookmarkStart w:id="698" w:name="_Toc477190443"/>
      <w:bookmarkEnd w:id="698"/>
      <w:bookmarkStart w:id="699" w:name="_Toc477190464"/>
      <w:bookmarkEnd w:id="699"/>
      <w:bookmarkStart w:id="700" w:name="_Toc477190599"/>
      <w:bookmarkEnd w:id="700"/>
      <w:bookmarkStart w:id="701" w:name="_Toc477190507"/>
      <w:bookmarkEnd w:id="701"/>
      <w:bookmarkStart w:id="702" w:name="_Toc477190439"/>
      <w:bookmarkEnd w:id="702"/>
      <w:bookmarkStart w:id="703" w:name="_Toc477190612"/>
      <w:bookmarkEnd w:id="703"/>
      <w:bookmarkStart w:id="704" w:name="_Toc477190463"/>
      <w:bookmarkEnd w:id="704"/>
      <w:bookmarkStart w:id="705" w:name="_Toc477190578"/>
      <w:bookmarkEnd w:id="705"/>
      <w:bookmarkStart w:id="706" w:name="_Toc477190600"/>
      <w:bookmarkEnd w:id="706"/>
      <w:bookmarkStart w:id="707" w:name="_Toc477190648"/>
      <w:bookmarkEnd w:id="707"/>
      <w:bookmarkStart w:id="708" w:name="_Toc477190505"/>
      <w:bookmarkEnd w:id="708"/>
      <w:bookmarkStart w:id="709" w:name="_Toc477190470"/>
      <w:bookmarkEnd w:id="709"/>
      <w:bookmarkStart w:id="710" w:name="_Toc477190561"/>
      <w:bookmarkEnd w:id="710"/>
      <w:bookmarkStart w:id="711" w:name="_Toc477190452"/>
      <w:bookmarkEnd w:id="711"/>
      <w:bookmarkStart w:id="712" w:name="_Toc477190516"/>
      <w:bookmarkEnd w:id="712"/>
      <w:bookmarkStart w:id="713" w:name="_Toc477190461"/>
      <w:bookmarkEnd w:id="713"/>
      <w:bookmarkStart w:id="714" w:name="_Toc477190426"/>
      <w:bookmarkEnd w:id="714"/>
      <w:bookmarkStart w:id="715" w:name="_Toc477190468"/>
      <w:bookmarkEnd w:id="715"/>
      <w:bookmarkStart w:id="716" w:name="_Toc477190596"/>
      <w:bookmarkEnd w:id="716"/>
      <w:bookmarkStart w:id="717" w:name="_Toc477190434"/>
      <w:bookmarkEnd w:id="717"/>
      <w:bookmarkStart w:id="718" w:name="_Toc477190474"/>
      <w:bookmarkEnd w:id="718"/>
      <w:bookmarkStart w:id="719" w:name="_Toc477190472"/>
      <w:bookmarkEnd w:id="719"/>
      <w:bookmarkStart w:id="720" w:name="_Toc477190422"/>
      <w:bookmarkEnd w:id="720"/>
      <w:bookmarkStart w:id="721" w:name="_Toc477190428"/>
      <w:bookmarkEnd w:id="721"/>
      <w:bookmarkStart w:id="722" w:name="_Toc477190653"/>
      <w:bookmarkEnd w:id="722"/>
      <w:bookmarkStart w:id="723" w:name="_Toc477190429"/>
      <w:bookmarkEnd w:id="723"/>
      <w:bookmarkStart w:id="724" w:name="_Toc477190601"/>
      <w:bookmarkEnd w:id="724"/>
      <w:bookmarkStart w:id="725" w:name="_Toc477190433"/>
      <w:bookmarkEnd w:id="725"/>
      <w:bookmarkStart w:id="726" w:name="_Toc477190649"/>
      <w:bookmarkEnd w:id="726"/>
      <w:bookmarkStart w:id="727" w:name="_Toc477190574"/>
      <w:bookmarkEnd w:id="727"/>
      <w:bookmarkStart w:id="728" w:name="_Toc477190419"/>
      <w:bookmarkEnd w:id="728"/>
      <w:bookmarkStart w:id="729" w:name="_Toc477190597"/>
      <w:bookmarkEnd w:id="729"/>
      <w:bookmarkStart w:id="730" w:name="_Toc477190418"/>
      <w:bookmarkEnd w:id="730"/>
      <w:bookmarkStart w:id="731" w:name="_Toc477190651"/>
      <w:bookmarkEnd w:id="731"/>
      <w:bookmarkStart w:id="732" w:name="_Toc477190518"/>
      <w:bookmarkEnd w:id="732"/>
      <w:bookmarkStart w:id="733" w:name="_Toc477190509"/>
      <w:bookmarkEnd w:id="733"/>
      <w:bookmarkStart w:id="734" w:name="_Toc477190642"/>
      <w:bookmarkEnd w:id="734"/>
      <w:bookmarkStart w:id="735" w:name="_Toc477190654"/>
      <w:bookmarkEnd w:id="735"/>
      <w:bookmarkStart w:id="736" w:name="_Toc477190555"/>
      <w:bookmarkEnd w:id="736"/>
      <w:bookmarkStart w:id="737" w:name="_Toc477190465"/>
      <w:bookmarkEnd w:id="737"/>
      <w:bookmarkStart w:id="738" w:name="_Toc477190423"/>
      <w:bookmarkEnd w:id="738"/>
      <w:bookmarkStart w:id="739" w:name="_Toc477190504"/>
      <w:bookmarkEnd w:id="739"/>
      <w:bookmarkStart w:id="740" w:name="_Toc477190471"/>
      <w:bookmarkEnd w:id="740"/>
      <w:bookmarkStart w:id="741" w:name="_Toc477190425"/>
      <w:bookmarkEnd w:id="741"/>
      <w:bookmarkStart w:id="742" w:name="_Toc477190586"/>
      <w:bookmarkEnd w:id="742"/>
      <w:bookmarkStart w:id="743" w:name="_Toc477190506"/>
      <w:bookmarkEnd w:id="743"/>
      <w:bookmarkStart w:id="744" w:name="_Toc477190438"/>
      <w:bookmarkEnd w:id="744"/>
      <w:bookmarkStart w:id="745" w:name="_Toc477190579"/>
      <w:bookmarkEnd w:id="745"/>
      <w:bookmarkStart w:id="746" w:name="_Toc477190575"/>
      <w:bookmarkEnd w:id="746"/>
      <w:bookmarkStart w:id="747" w:name="_Toc477190414"/>
      <w:bookmarkEnd w:id="747"/>
      <w:bookmarkStart w:id="748" w:name="_Toc477190537"/>
      <w:bookmarkEnd w:id="748"/>
      <w:bookmarkStart w:id="749" w:name="_Toc477190420"/>
      <w:bookmarkEnd w:id="749"/>
      <w:bookmarkStart w:id="750" w:name="_Toc477190365"/>
      <w:bookmarkEnd w:id="750"/>
      <w:bookmarkStart w:id="751" w:name="_Toc477190416"/>
      <w:bookmarkEnd w:id="751"/>
      <w:bookmarkStart w:id="752" w:name="_Toc477190447"/>
      <w:bookmarkEnd w:id="752"/>
      <w:bookmarkStart w:id="753" w:name="_Toc477190417"/>
      <w:bookmarkEnd w:id="753"/>
      <w:bookmarkStart w:id="754" w:name="_Toc477190473"/>
      <w:bookmarkEnd w:id="754"/>
      <w:bookmarkStart w:id="755" w:name="_Toc477190456"/>
      <w:bookmarkEnd w:id="755"/>
      <w:bookmarkStart w:id="756" w:name="_Toc477190622"/>
      <w:bookmarkEnd w:id="756"/>
      <w:bookmarkStart w:id="757" w:name="_Toc6863"/>
      <w:bookmarkStart w:id="758" w:name="_Toc21327"/>
      <w:bookmarkStart w:id="759" w:name="_Toc1651912"/>
      <w:bookmarkStart w:id="760" w:name="_Toc14332"/>
      <w:bookmarkStart w:id="761" w:name="_Toc56432242"/>
      <w:bookmarkStart w:id="762" w:name="_Toc18827"/>
      <w:bookmarkStart w:id="763" w:name="_Toc475472691"/>
      <w:r>
        <w:rPr>
          <w:rFonts w:hint="eastAsia" w:ascii="宋体" w:hAnsi="宋体"/>
          <w:color w:val="auto"/>
          <w:sz w:val="24"/>
          <w:szCs w:val="24"/>
        </w:rPr>
        <w:t>商务合同条款偏离表</w:t>
      </w:r>
      <w:bookmarkEnd w:id="757"/>
      <w:bookmarkEnd w:id="758"/>
      <w:bookmarkEnd w:id="759"/>
      <w:bookmarkEnd w:id="760"/>
      <w:bookmarkEnd w:id="761"/>
      <w:bookmarkEnd w:id="762"/>
    </w:p>
    <w:p>
      <w:pPr>
        <w:pStyle w:val="2"/>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商务合同条款偏离表</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南方日报广告业务管理平台升级改造公开招标项目</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WJS-202306280037</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725"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2431"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招标文件的合同条款</w:t>
            </w: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投标文件的合同条款响应</w:t>
            </w: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jc w:val="both"/>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jc w:val="both"/>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jc w:val="both"/>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jc w:val="both"/>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rPr>
                <w:rFonts w:ascii="宋体" w:hAnsi="宋体" w:eastAsia="宋体"/>
                <w:color w:val="auto"/>
                <w:sz w:val="21"/>
                <w:szCs w:val="21"/>
              </w:rPr>
            </w:pPr>
          </w:p>
        </w:tc>
        <w:tc>
          <w:tcPr>
            <w:tcW w:w="2431" w:type="dxa"/>
            <w:vAlign w:val="center"/>
          </w:tcPr>
          <w:p>
            <w:pPr>
              <w:pStyle w:val="2"/>
              <w:spacing w:line="240" w:lineRule="auto"/>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2"/>
              <w:numPr>
                <w:ilvl w:val="0"/>
                <w:numId w:val="25"/>
              </w:numPr>
              <w:spacing w:line="240" w:lineRule="auto"/>
              <w:jc w:val="center"/>
              <w:rPr>
                <w:rFonts w:ascii="宋体" w:hAnsi="宋体" w:eastAsia="宋体"/>
                <w:color w:val="auto"/>
                <w:sz w:val="21"/>
                <w:szCs w:val="21"/>
              </w:rPr>
            </w:pPr>
          </w:p>
        </w:tc>
        <w:tc>
          <w:tcPr>
            <w:tcW w:w="1725"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（其余条款投标人可根据实际情况自行补充）</w:t>
            </w:r>
          </w:p>
        </w:tc>
        <w:tc>
          <w:tcPr>
            <w:tcW w:w="2431" w:type="dxa"/>
            <w:vAlign w:val="center"/>
          </w:tcPr>
          <w:p>
            <w:pPr>
              <w:pStyle w:val="2"/>
              <w:ind w:left="46" w:hanging="46" w:hangingChars="22"/>
              <w:rPr>
                <w:rFonts w:ascii="宋体" w:hAnsi="宋体" w:eastAsia="宋体"/>
                <w:color w:val="auto"/>
                <w:sz w:val="21"/>
                <w:szCs w:val="21"/>
              </w:rPr>
            </w:pPr>
          </w:p>
        </w:tc>
        <w:tc>
          <w:tcPr>
            <w:tcW w:w="2612" w:type="dxa"/>
            <w:vAlign w:val="center"/>
          </w:tcPr>
          <w:p>
            <w:pPr>
              <w:pStyle w:val="2"/>
              <w:spacing w:line="240" w:lineRule="auto"/>
              <w:ind w:left="46" w:hanging="46" w:hangingChars="22"/>
              <w:jc w:val="center"/>
              <w:rPr>
                <w:rFonts w:ascii="宋体" w:hAnsi="宋体" w:eastAsia="宋体"/>
                <w:color w:val="auto"/>
                <w:sz w:val="21"/>
                <w:szCs w:val="21"/>
              </w:rPr>
            </w:pPr>
          </w:p>
        </w:tc>
        <w:tc>
          <w:tcPr>
            <w:tcW w:w="1515" w:type="dxa"/>
            <w:vAlign w:val="center"/>
          </w:tcPr>
          <w:p>
            <w:pPr>
              <w:pStyle w:val="2"/>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“第四章</w:t>
      </w:r>
      <w:r>
        <w:rPr>
          <w:rFonts w:ascii="宋体" w:hAnsi="宋体"/>
          <w:b/>
          <w:bCs/>
          <w:color w:val="auto"/>
          <w:szCs w:val="21"/>
        </w:rPr>
        <w:t xml:space="preserve"> </w:t>
      </w:r>
      <w:r>
        <w:rPr>
          <w:rFonts w:hint="eastAsia" w:ascii="宋体" w:hAnsi="宋体"/>
          <w:b/>
          <w:bCs/>
          <w:color w:val="auto"/>
          <w:szCs w:val="21"/>
        </w:rPr>
        <w:t>商务合同”：</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保证：除商务</w:t>
      </w:r>
      <w:r>
        <w:rPr>
          <w:rFonts w:hint="eastAsia" w:ascii="宋体" w:hAnsi="宋体"/>
          <w:color w:val="auto"/>
          <w:spacing w:val="-2"/>
          <w:szCs w:val="21"/>
        </w:rPr>
        <w:t>合同条款偏离表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w:t>
      </w:r>
      <w:r>
        <w:rPr>
          <w:rFonts w:hint="eastAsia" w:ascii="宋体" w:hAnsi="宋体"/>
          <w:color w:val="auto"/>
          <w:spacing w:val="-2"/>
          <w:szCs w:val="21"/>
        </w:rPr>
        <w:t>商务合同</w:t>
      </w:r>
      <w:r>
        <w:rPr>
          <w:rFonts w:ascii="宋体" w:hAnsi="宋体"/>
          <w:color w:val="auto"/>
          <w:spacing w:val="-2"/>
          <w:szCs w:val="21"/>
        </w:rPr>
        <w:t>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2、如全部无偏离在“商务</w:t>
      </w:r>
      <w:r>
        <w:rPr>
          <w:rFonts w:hint="eastAsia" w:ascii="宋体" w:hAnsi="宋体"/>
          <w:b/>
          <w:color w:val="auto"/>
          <w:szCs w:val="21"/>
        </w:rPr>
        <w:t>合同条款偏离表</w:t>
      </w:r>
      <w:r>
        <w:rPr>
          <w:rFonts w:hint="eastAsia" w:ascii="宋体" w:hAnsi="宋体"/>
          <w:bCs/>
          <w:color w:val="auto"/>
          <w:szCs w:val="21"/>
        </w:rPr>
        <w:t>”中“投标</w:t>
      </w:r>
      <w:r>
        <w:rPr>
          <w:rFonts w:hint="eastAsia" w:ascii="宋体" w:hAnsi="宋体"/>
          <w:color w:val="auto"/>
          <w:szCs w:val="21"/>
        </w:rPr>
        <w:t>文件的合同条款响应</w:t>
      </w:r>
      <w:r>
        <w:rPr>
          <w:rFonts w:hint="eastAsia" w:ascii="宋体" w:hAnsi="宋体"/>
          <w:bCs/>
          <w:color w:val="auto"/>
          <w:szCs w:val="21"/>
        </w:rPr>
        <w:t>”一栏中填写“全部条款无偏离”。若投标人提供空白表格，则视为“</w:t>
      </w:r>
      <w:r>
        <w:rPr>
          <w:rFonts w:ascii="宋体" w:hAnsi="宋体"/>
          <w:b/>
          <w:color w:val="auto"/>
          <w:szCs w:val="21"/>
        </w:rPr>
        <w:t>商务</w:t>
      </w:r>
      <w:r>
        <w:rPr>
          <w:rFonts w:hint="eastAsia" w:ascii="宋体" w:hAnsi="宋体"/>
          <w:b/>
          <w:color w:val="auto"/>
          <w:szCs w:val="21"/>
        </w:rPr>
        <w:t>合同条款全部响应无偏离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
          <w:bCs/>
          <w:color w:val="auto"/>
          <w:szCs w:val="21"/>
        </w:rPr>
        <w:t>”需加盖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2"/>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2"/>
        <w:spacing w:line="240" w:lineRule="auto"/>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widowControl/>
        <w:jc w:val="left"/>
        <w:rPr>
          <w:color w:val="auto"/>
        </w:rPr>
      </w:pPr>
      <w:r>
        <w:rPr>
          <w:color w:val="auto"/>
        </w:rPr>
        <w:br w:type="page"/>
      </w: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764" w:name="_Toc9628"/>
      <w:bookmarkStart w:id="765" w:name="_Toc12113"/>
      <w:bookmarkStart w:id="766" w:name="_Toc9751"/>
      <w:bookmarkStart w:id="767" w:name="_Toc18418"/>
      <w:bookmarkStart w:id="768" w:name="_Toc56432243"/>
      <w:r>
        <w:rPr>
          <w:rFonts w:hint="eastAsia" w:ascii="宋体" w:hAnsi="宋体"/>
          <w:color w:val="auto"/>
          <w:sz w:val="24"/>
          <w:szCs w:val="24"/>
        </w:rPr>
        <w:t>实质性条款偏离表</w:t>
      </w:r>
      <w:bookmarkEnd w:id="764"/>
      <w:bookmarkEnd w:id="765"/>
      <w:bookmarkEnd w:id="766"/>
      <w:bookmarkEnd w:id="767"/>
    </w:p>
    <w:p>
      <w:pPr>
        <w:pStyle w:val="2"/>
        <w:spacing w:line="24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sz w:val="24"/>
          <w:szCs w:val="24"/>
        </w:rPr>
        <w:t>实质性条款偏离表（★条款）</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南方日报广告业务管理平台升级改造公开招标项目</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WJS-202306280037</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2"/>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招标文件的实质性采购需求条款</w:t>
            </w: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投标文件的实质性采购需求响应</w:t>
            </w: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1</w:t>
            </w:r>
          </w:p>
        </w:tc>
        <w:tc>
          <w:tcPr>
            <w:tcW w:w="1566" w:type="dxa"/>
            <w:vAlign w:val="center"/>
          </w:tcPr>
          <w:p>
            <w:pPr>
              <w:pStyle w:val="2"/>
              <w:spacing w:line="240" w:lineRule="auto"/>
              <w:ind w:left="46" w:hanging="46" w:hangingChars="22"/>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2"/>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2</w:t>
            </w: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1、如有优于招标文件★条款要求的条件或与招标文件★条款要求有偏离的条目应填写</w:t>
      </w:r>
      <w:r>
        <w:rPr>
          <w:rFonts w:hint="eastAsia" w:ascii="宋体" w:hAnsi="宋体"/>
          <w:b/>
          <w:bCs/>
          <w:color w:val="auto"/>
          <w:szCs w:val="21"/>
        </w:rPr>
        <w:t>“实质性条款偏离表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实质性条款偏离表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“实质性条款偏离表</w:t>
      </w:r>
      <w:r>
        <w:rPr>
          <w:rFonts w:hint="eastAsia" w:ascii="宋体" w:hAnsi="宋体"/>
          <w:bCs/>
          <w:color w:val="auto"/>
          <w:szCs w:val="21"/>
        </w:rPr>
        <w:t>”中“</w:t>
      </w:r>
      <w:r>
        <w:rPr>
          <w:rFonts w:hint="eastAsia" w:ascii="宋体" w:hAnsi="宋体"/>
          <w:color w:val="auto"/>
          <w:szCs w:val="21"/>
        </w:rPr>
        <w:t>投标文件的实质性采购需求响应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实质性采购需求条款全部响应无偏离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“实质性条款偏离表”需加盖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2"/>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pStyle w:val="2"/>
        <w:spacing w:line="240" w:lineRule="auto"/>
        <w:jc w:val="right"/>
        <w:rPr>
          <w:rFonts w:ascii="宋体" w:hAnsi="宋体" w:eastAsia="宋体"/>
          <w:color w:val="auto"/>
          <w:sz w:val="21"/>
          <w:szCs w:val="21"/>
          <w:u w:val="single"/>
        </w:rPr>
      </w:pPr>
    </w:p>
    <w:p>
      <w:pPr>
        <w:pStyle w:val="2"/>
        <w:spacing w:line="240" w:lineRule="auto"/>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ascii="宋体" w:hAnsi="宋体"/>
          <w:color w:val="auto"/>
          <w:sz w:val="24"/>
        </w:rPr>
      </w:pPr>
      <w:r>
        <w:rPr>
          <w:rFonts w:ascii="宋体" w:hAnsi="宋体"/>
          <w:color w:val="auto"/>
          <w:sz w:val="24"/>
        </w:rPr>
        <w:br w:type="page"/>
      </w:r>
    </w:p>
    <w:p>
      <w:pPr>
        <w:pStyle w:val="36"/>
        <w:numPr>
          <w:ilvl w:val="0"/>
          <w:numId w:val="21"/>
        </w:numPr>
        <w:tabs>
          <w:tab w:val="left" w:pos="588"/>
        </w:tabs>
        <w:snapToGrid w:val="0"/>
        <w:spacing w:before="120" w:after="120" w:line="440" w:lineRule="exact"/>
        <w:jc w:val="left"/>
        <w:rPr>
          <w:rFonts w:ascii="宋体" w:hAnsi="宋体"/>
          <w:color w:val="auto"/>
          <w:sz w:val="24"/>
          <w:szCs w:val="24"/>
        </w:rPr>
      </w:pPr>
      <w:bookmarkStart w:id="769" w:name="_Toc25312"/>
      <w:bookmarkStart w:id="770" w:name="_Toc11788"/>
      <w:bookmarkStart w:id="771" w:name="_Toc9875"/>
      <w:bookmarkStart w:id="772" w:name="_Toc31643"/>
      <w:r>
        <w:rPr>
          <w:rFonts w:hint="eastAsia" w:ascii="宋体" w:hAnsi="宋体"/>
          <w:color w:val="auto"/>
          <w:sz w:val="24"/>
          <w:szCs w:val="24"/>
        </w:rPr>
        <w:t>采购需求条款偏离表</w:t>
      </w:r>
      <w:bookmarkEnd w:id="768"/>
      <w:bookmarkEnd w:id="769"/>
      <w:bookmarkEnd w:id="770"/>
      <w:bookmarkEnd w:id="771"/>
      <w:bookmarkEnd w:id="772"/>
    </w:p>
    <w:p>
      <w:pPr>
        <w:pStyle w:val="2"/>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采购需求条款偏离表</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南方日报广告业务管理平台升级改造公开招标项目</w:t>
      </w:r>
    </w:p>
    <w:p>
      <w:pPr>
        <w:pStyle w:val="2"/>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WJS-202306280037</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2"/>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招标文件的采购需求条款</w:t>
            </w: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投标文件的采购需求响应</w:t>
            </w: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numPr>
                <w:ilvl w:val="0"/>
                <w:numId w:val="26"/>
              </w:numPr>
              <w:spacing w:line="240" w:lineRule="auto"/>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宋体" w:hAnsi="宋体" w:eastAsia="宋体"/>
                <w:color w:val="auto"/>
                <w:sz w:val="21"/>
                <w:szCs w:val="21"/>
              </w:rPr>
            </w:pPr>
          </w:p>
        </w:tc>
        <w:tc>
          <w:tcPr>
            <w:tcW w:w="3221" w:type="dxa"/>
            <w:vAlign w:val="center"/>
          </w:tcPr>
          <w:p>
            <w:pPr>
              <w:pStyle w:val="2"/>
              <w:spacing w:line="240" w:lineRule="auto"/>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2"/>
              <w:spacing w:line="240" w:lineRule="auto"/>
              <w:ind w:left="46" w:hanging="46" w:hangingChars="22"/>
              <w:jc w:val="center"/>
              <w:rPr>
                <w:rFonts w:ascii="宋体" w:hAnsi="宋体" w:eastAsia="宋体"/>
                <w:color w:val="auto"/>
                <w:sz w:val="21"/>
                <w:szCs w:val="21"/>
              </w:rPr>
            </w:pPr>
          </w:p>
        </w:tc>
        <w:tc>
          <w:tcPr>
            <w:tcW w:w="1566" w:type="dxa"/>
            <w:vAlign w:val="center"/>
          </w:tcPr>
          <w:p>
            <w:pPr>
              <w:pStyle w:val="2"/>
              <w:spacing w:line="240" w:lineRule="auto"/>
              <w:ind w:left="46" w:hanging="46" w:hangingChars="22"/>
              <w:jc w:val="center"/>
              <w:rPr>
                <w:rFonts w:asciiTheme="minorEastAsia" w:hAnsiTheme="minorEastAsia" w:eastAsiaTheme="minorEastAsia"/>
                <w:color w:val="auto"/>
                <w:sz w:val="24"/>
                <w:szCs w:val="32"/>
              </w:rPr>
            </w:pPr>
            <w:r>
              <w:rPr>
                <w:rFonts w:hint="eastAsia" w:ascii="宋体" w:hAnsi="宋体" w:eastAsia="宋体"/>
                <w:color w:val="auto"/>
                <w:sz w:val="21"/>
                <w:szCs w:val="21"/>
              </w:rPr>
              <w:t>（其余条款投标人可根据实际情况自行补充）</w:t>
            </w:r>
          </w:p>
        </w:tc>
        <w:tc>
          <w:tcPr>
            <w:tcW w:w="3221" w:type="dxa"/>
            <w:vAlign w:val="center"/>
          </w:tcPr>
          <w:p>
            <w:pPr>
              <w:pStyle w:val="2"/>
              <w:ind w:left="46" w:hanging="46" w:hangingChars="22"/>
              <w:rPr>
                <w:rFonts w:ascii="宋体" w:hAnsi="宋体" w:eastAsia="宋体"/>
                <w:color w:val="auto"/>
                <w:sz w:val="21"/>
                <w:szCs w:val="21"/>
              </w:rPr>
            </w:pPr>
          </w:p>
        </w:tc>
        <w:tc>
          <w:tcPr>
            <w:tcW w:w="2579" w:type="dxa"/>
            <w:vAlign w:val="center"/>
          </w:tcPr>
          <w:p>
            <w:pPr>
              <w:pStyle w:val="2"/>
              <w:spacing w:line="240" w:lineRule="auto"/>
              <w:ind w:left="46" w:hanging="46" w:hangingChars="22"/>
              <w:jc w:val="center"/>
              <w:rPr>
                <w:rFonts w:ascii="宋体" w:hAnsi="宋体" w:eastAsia="宋体"/>
                <w:color w:val="auto"/>
                <w:sz w:val="21"/>
                <w:szCs w:val="21"/>
              </w:rPr>
            </w:pPr>
          </w:p>
        </w:tc>
        <w:tc>
          <w:tcPr>
            <w:tcW w:w="1496" w:type="dxa"/>
            <w:vAlign w:val="center"/>
          </w:tcPr>
          <w:p>
            <w:pPr>
              <w:pStyle w:val="2"/>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“采购需求条款偏离表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采购需求条款偏离表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“采购需求条款偏离表</w:t>
      </w:r>
      <w:r>
        <w:rPr>
          <w:rFonts w:hint="eastAsia" w:ascii="宋体" w:hAnsi="宋体"/>
          <w:bCs/>
          <w:color w:val="auto"/>
          <w:szCs w:val="21"/>
        </w:rPr>
        <w:t>”中“</w:t>
      </w:r>
      <w:r>
        <w:rPr>
          <w:rFonts w:hint="eastAsia" w:ascii="宋体" w:hAnsi="宋体"/>
          <w:color w:val="auto"/>
          <w:szCs w:val="21"/>
        </w:rPr>
        <w:t>投标文件的采购需求响应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“采购需求条款偏离表”需加盖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2"/>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2"/>
        <w:spacing w:line="240" w:lineRule="auto"/>
        <w:jc w:val="right"/>
        <w:rPr>
          <w:rFonts w:hint="eastAsia"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hint="eastAsia" w:ascii="宋体" w:hAnsi="宋体"/>
          <w:bCs/>
          <w:color w:val="auto"/>
          <w:szCs w:val="21"/>
        </w:rPr>
      </w:pPr>
    </w:p>
    <w:p>
      <w:pPr>
        <w:widowControl/>
        <w:jc w:val="left"/>
        <w:rPr>
          <w:rFonts w:ascii="宋体" w:hAnsi="宋体"/>
          <w:color w:val="auto"/>
          <w:kern w:val="0"/>
          <w:szCs w:val="21"/>
        </w:rPr>
      </w:pPr>
      <w:r>
        <w:rPr>
          <w:rFonts w:ascii="宋体" w:hAnsi="宋体"/>
          <w:color w:val="auto"/>
          <w:szCs w:val="21"/>
        </w:rPr>
        <w:br w:type="page"/>
      </w:r>
    </w:p>
    <w:p>
      <w:pPr>
        <w:pStyle w:val="36"/>
        <w:numPr>
          <w:ilvl w:val="0"/>
          <w:numId w:val="21"/>
        </w:numPr>
        <w:tabs>
          <w:tab w:val="left" w:pos="588"/>
        </w:tabs>
        <w:snapToGrid w:val="0"/>
        <w:spacing w:before="120" w:after="120" w:line="440" w:lineRule="exact"/>
        <w:jc w:val="left"/>
        <w:rPr>
          <w:rFonts w:ascii="宋体" w:hAnsi="宋体"/>
          <w:color w:val="auto"/>
          <w:sz w:val="24"/>
        </w:rPr>
      </w:pPr>
      <w:bookmarkStart w:id="773" w:name="_Toc16427"/>
      <w:bookmarkStart w:id="774" w:name="_Toc56432244"/>
      <w:bookmarkStart w:id="775" w:name="_Toc13963"/>
      <w:bookmarkStart w:id="776" w:name="_Toc13150"/>
      <w:bookmarkStart w:id="777" w:name="_Toc19736"/>
      <w:r>
        <w:rPr>
          <w:rFonts w:hint="eastAsia" w:ascii="宋体" w:hAnsi="宋体"/>
          <w:color w:val="auto"/>
          <w:sz w:val="24"/>
        </w:rPr>
        <w:t>公章对投标专用章授权说明（如有）</w:t>
      </w:r>
      <w:bookmarkEnd w:id="773"/>
      <w:bookmarkEnd w:id="774"/>
      <w:bookmarkEnd w:id="775"/>
      <w:bookmarkEnd w:id="776"/>
      <w:bookmarkEnd w:id="777"/>
    </w:p>
    <w:p>
      <w:pPr>
        <w:rPr>
          <w:rFonts w:ascii="宋体" w:hAnsi="宋体"/>
          <w:b/>
          <w:bCs/>
          <w:color w:val="auto"/>
          <w:sz w:val="24"/>
        </w:rPr>
      </w:pPr>
    </w:p>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u w:val="single"/>
        </w:rPr>
        <w:t>招标人</w:t>
      </w:r>
      <w:r>
        <w:rPr>
          <w:rFonts w:ascii="宋体" w:hAnsi="宋体" w:cs="宋体"/>
          <w:color w:val="auto"/>
          <w:szCs w:val="21"/>
          <w:u w:val="single"/>
        </w:rPr>
        <w:t xml:space="preserve">名称）        </w:t>
      </w:r>
      <w:r>
        <w:rPr>
          <w:rFonts w:ascii="宋体" w:hAnsi="宋体" w:cs="宋体"/>
          <w:color w:val="auto"/>
          <w:szCs w:val="21"/>
        </w:rPr>
        <w:t>：</w:t>
      </w:r>
    </w:p>
    <w:p>
      <w:pPr>
        <w:spacing w:line="360" w:lineRule="auto"/>
        <w:ind w:firstLine="420" w:firstLineChars="200"/>
        <w:rPr>
          <w:color w:val="auto"/>
        </w:rPr>
      </w:pPr>
      <w:r>
        <w:rPr>
          <w:rFonts w:hint="eastAsia"/>
          <w:color w:val="auto"/>
          <w:u w:val="single"/>
        </w:rPr>
        <w:t>（投标单位）</w:t>
      </w:r>
      <w:r>
        <w:rPr>
          <w:rFonts w:hint="eastAsia"/>
          <w:color w:val="auto"/>
        </w:rPr>
        <w:t>，是中华人民共和国依法登记注册的合法企业，注册地址：</w:t>
      </w:r>
      <w:r>
        <w:rPr>
          <w:color w:val="auto"/>
          <w:u w:val="single"/>
        </w:rPr>
        <w:t xml:space="preserve">          </w:t>
      </w:r>
      <w:r>
        <w:rPr>
          <w:rFonts w:hint="eastAsia"/>
          <w:color w:val="auto"/>
        </w:rPr>
        <w:t>，法定代表人：</w:t>
      </w:r>
      <w:r>
        <w:rPr>
          <w:color w:val="auto"/>
        </w:rPr>
        <w:t>__________</w:t>
      </w:r>
      <w:r>
        <w:rPr>
          <w:rFonts w:hint="eastAsia"/>
          <w:color w:val="auto"/>
        </w:rPr>
        <w:t>。</w:t>
      </w:r>
    </w:p>
    <w:p>
      <w:pPr>
        <w:spacing w:line="360" w:lineRule="auto"/>
        <w:ind w:firstLine="420" w:firstLineChars="200"/>
        <w:rPr>
          <w:color w:val="auto"/>
        </w:rPr>
      </w:pPr>
      <w:r>
        <w:rPr>
          <w:rFonts w:hint="eastAsia"/>
          <w:color w:val="auto"/>
        </w:rPr>
        <w:t>在贵单位采购项目：</w:t>
      </w:r>
      <w:r>
        <w:rPr>
          <w:color w:val="auto"/>
        </w:rPr>
        <w:t>_____________________</w:t>
      </w:r>
      <w:r>
        <w:rPr>
          <w:rFonts w:hint="eastAsia"/>
          <w:color w:val="auto"/>
        </w:rPr>
        <w:t>，招标代理编号：</w:t>
      </w:r>
      <w:r>
        <w:rPr>
          <w:color w:val="auto"/>
        </w:rPr>
        <w:t>___________</w:t>
      </w:r>
      <w:r>
        <w:rPr>
          <w:rFonts w:hint="eastAsia"/>
          <w:color w:val="auto"/>
        </w:rPr>
        <w:t>，投标单位针对以上招投标项目活动，在此作如下说明： </w:t>
      </w:r>
    </w:p>
    <w:p>
      <w:pPr>
        <w:spacing w:line="360" w:lineRule="auto"/>
        <w:ind w:firstLine="420" w:firstLineChars="200"/>
        <w:rPr>
          <w:color w:val="auto"/>
        </w:rPr>
      </w:pPr>
      <w:r>
        <w:rPr>
          <w:rFonts w:hint="eastAsia"/>
          <w:color w:val="auto"/>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color w:val="auto"/>
        </w:rPr>
      </w:pPr>
      <w:r>
        <w:rPr>
          <w:rFonts w:hint="eastAsia"/>
          <w:b/>
          <w:color w:val="auto"/>
        </w:rPr>
        <w:t>投标单位（单位公章）：</w:t>
      </w:r>
    </w:p>
    <w:p>
      <w:pPr>
        <w:spacing w:line="360" w:lineRule="auto"/>
        <w:ind w:firstLine="4620" w:firstLineChars="2200"/>
        <w:rPr>
          <w:color w:val="auto"/>
        </w:rPr>
      </w:pPr>
      <w:r>
        <w:rPr>
          <w:rFonts w:hint="eastAsia"/>
          <w:color w:val="auto"/>
        </w:rPr>
        <w:t>法定代表人签字或盖章：</w:t>
      </w:r>
    </w:p>
    <w:p>
      <w:pPr>
        <w:spacing w:line="360" w:lineRule="auto"/>
        <w:ind w:firstLine="4620" w:firstLineChars="22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spacing w:line="360" w:lineRule="auto"/>
        <w:rPr>
          <w:color w:val="auto"/>
        </w:rPr>
      </w:pPr>
      <w:r>
        <w:rPr>
          <w:rFonts w:hint="eastAsia"/>
          <w:color w:val="auto"/>
        </w:rPr>
        <w:t>附：</w:t>
      </w:r>
    </w:p>
    <w:p>
      <w:pPr>
        <w:spacing w:line="360" w:lineRule="auto"/>
        <w:rPr>
          <w:color w:val="auto"/>
        </w:rPr>
      </w:pPr>
      <w:r>
        <w:rPr>
          <w:rFonts w:hint="eastAsia" w:ascii="宋体" w:hAnsi="宋体"/>
          <w:b/>
          <w:color w:val="auto"/>
          <w:szCs w:val="21"/>
        </w:rPr>
        <w:t>同时</w:t>
      </w:r>
      <w:r>
        <w:rPr>
          <w:rFonts w:hint="eastAsia"/>
          <w:b/>
          <w:color w:val="auto"/>
        </w:rPr>
        <w:t>提供投标专用章在公安、工商等部门的备案手续复印件（加盖单位公章）</w:t>
      </w:r>
    </w:p>
    <w:p>
      <w:pPr>
        <w:spacing w:line="360" w:lineRule="auto"/>
        <w:rPr>
          <w:color w:val="auto"/>
        </w:rPr>
      </w:pPr>
      <w:r>
        <w:rPr>
          <w:rFonts w:hint="eastAsia"/>
          <w:color w:val="auto"/>
        </w:rPr>
        <w:t>投标单位公章（印模）</w:t>
      </w:r>
      <w:r>
        <w:rPr>
          <w:color w:val="auto"/>
        </w:rPr>
        <w:t xml:space="preserve">                             </w:t>
      </w:r>
      <w:r>
        <w:rPr>
          <w:rFonts w:hint="eastAsia"/>
          <w:color w:val="auto"/>
        </w:rPr>
        <w:t>投标单位投标专用章（印模）</w:t>
      </w:r>
      <w:r>
        <w:rPr>
          <w:color w:val="auto"/>
        </w:rP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rPr>
          <w:color w:val="auto"/>
        </w:rPr>
      </w:pPr>
    </w:p>
    <w:p>
      <w:pPr>
        <w:pStyle w:val="2"/>
        <w:spacing w:line="360" w:lineRule="auto"/>
        <w:rPr>
          <w:rFonts w:ascii="仿宋_GB2312" w:hAnsi="宋体" w:eastAsia="仿宋_GB2312"/>
          <w:bCs/>
          <w:color w:val="auto"/>
          <w:szCs w:val="21"/>
        </w:rPr>
      </w:pPr>
    </w:p>
    <w:p>
      <w:pPr>
        <w:spacing w:line="360" w:lineRule="auto"/>
        <w:rPr>
          <w:color w:val="auto"/>
          <w:kern w:val="0"/>
        </w:rPr>
      </w:pPr>
    </w:p>
    <w:p>
      <w:pPr>
        <w:spacing w:line="360" w:lineRule="auto"/>
        <w:ind w:left="2879" w:leftChars="1371"/>
        <w:jc w:val="right"/>
        <w:rPr>
          <w:rFonts w:ascii="宋体" w:hAnsi="宋体"/>
          <w:color w:val="auto"/>
          <w:sz w:val="24"/>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rPr>
          <w:rFonts w:hint="eastAsia" w:ascii="宋体" w:hAnsi="宋体" w:eastAsia="宋体"/>
          <w:bCs/>
          <w:color w:val="auto"/>
          <w:szCs w:val="21"/>
          <w:lang w:eastAsia="zh-CN"/>
        </w:rPr>
      </w:pPr>
    </w:p>
    <w:p>
      <w:pPr>
        <w:widowControl/>
        <w:jc w:val="left"/>
        <w:rPr>
          <w:rFonts w:ascii="宋体" w:hAnsi="宋体" w:cs="宋体"/>
          <w:color w:val="auto"/>
          <w:szCs w:val="21"/>
        </w:rPr>
      </w:pPr>
      <w:r>
        <w:rPr>
          <w:color w:val="auto"/>
        </w:rPr>
        <w:br w:type="page"/>
      </w:r>
    </w:p>
    <w:p>
      <w:pPr>
        <w:pStyle w:val="36"/>
        <w:numPr>
          <w:ilvl w:val="0"/>
          <w:numId w:val="0"/>
        </w:numPr>
        <w:tabs>
          <w:tab w:val="left" w:pos="588"/>
        </w:tabs>
        <w:snapToGrid w:val="0"/>
        <w:spacing w:before="120" w:after="120" w:line="440" w:lineRule="exact"/>
        <w:ind w:leftChars="0"/>
        <w:jc w:val="left"/>
        <w:rPr>
          <w:rFonts w:ascii="宋体" w:hAnsi="宋体"/>
          <w:color w:val="auto"/>
          <w:sz w:val="24"/>
          <w:szCs w:val="24"/>
        </w:rPr>
      </w:pPr>
      <w:bookmarkStart w:id="778" w:name="_Toc22292"/>
      <w:bookmarkStart w:id="779" w:name="_Toc20183"/>
      <w:bookmarkStart w:id="780" w:name="_Toc8874"/>
      <w:bookmarkStart w:id="781" w:name="_Toc2178"/>
      <w:bookmarkStart w:id="782" w:name="_Toc1651914"/>
      <w:r>
        <w:rPr>
          <w:rFonts w:hint="eastAsia" w:ascii="宋体" w:hAnsi="宋体"/>
          <w:color w:val="auto"/>
          <w:sz w:val="24"/>
          <w:szCs w:val="24"/>
        </w:rPr>
        <w:t>11.</w:t>
      </w:r>
      <w:bookmarkEnd w:id="778"/>
      <w:bookmarkEnd w:id="779"/>
      <w:bookmarkStart w:id="783" w:name="_Toc3790"/>
      <w:r>
        <w:rPr>
          <w:rFonts w:hint="eastAsia" w:ascii="宋体" w:hAnsi="宋体"/>
          <w:color w:val="auto"/>
          <w:sz w:val="24"/>
          <w:szCs w:val="24"/>
        </w:rPr>
        <w:t>同类业绩表</w:t>
      </w:r>
      <w:bookmarkEnd w:id="780"/>
      <w:bookmarkEnd w:id="783"/>
    </w:p>
    <w:p>
      <w:pPr>
        <w:jc w:val="center"/>
        <w:rPr>
          <w:color w:val="auto"/>
        </w:rPr>
      </w:pPr>
      <w:r>
        <w:rPr>
          <w:color w:val="auto"/>
        </w:rPr>
        <w:t>20</w:t>
      </w:r>
      <w:r>
        <w:rPr>
          <w:rFonts w:hint="eastAsia"/>
          <w:color w:val="auto"/>
          <w:lang w:val="en-US" w:eastAsia="zh-CN"/>
        </w:rPr>
        <w:t>20</w:t>
      </w:r>
      <w:r>
        <w:rPr>
          <w:rFonts w:hint="eastAsia"/>
          <w:color w:val="auto"/>
        </w:rPr>
        <w:t>年</w:t>
      </w:r>
      <w:r>
        <w:rPr>
          <w:color w:val="auto"/>
        </w:rPr>
        <w:t>1</w:t>
      </w:r>
      <w:r>
        <w:rPr>
          <w:rFonts w:hint="eastAsia"/>
          <w:color w:val="auto"/>
        </w:rPr>
        <w:t>月</w:t>
      </w:r>
      <w:r>
        <w:rPr>
          <w:color w:val="auto"/>
        </w:rPr>
        <w:t>1</w:t>
      </w:r>
      <w:r>
        <w:rPr>
          <w:rFonts w:hint="eastAsia"/>
          <w:color w:val="auto"/>
        </w:rPr>
        <w:t>日（含）至今具备的同类项目情况表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254"/>
        <w:gridCol w:w="1254"/>
        <w:gridCol w:w="1254"/>
        <w:gridCol w:w="1754"/>
        <w:gridCol w:w="2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2" w:type="pct"/>
            <w:vAlign w:val="center"/>
          </w:tcPr>
          <w:p>
            <w:pPr>
              <w:jc w:val="center"/>
              <w:rPr>
                <w:rFonts w:ascii="宋体" w:hAnsi="宋体"/>
                <w:bCs/>
                <w:color w:val="auto"/>
                <w:szCs w:val="21"/>
              </w:rPr>
            </w:pPr>
            <w:r>
              <w:rPr>
                <w:rFonts w:hint="eastAsia" w:ascii="宋体" w:hAnsi="宋体"/>
                <w:bCs/>
                <w:color w:val="auto"/>
                <w:szCs w:val="21"/>
              </w:rPr>
              <w:t>序号</w:t>
            </w:r>
          </w:p>
        </w:tc>
        <w:tc>
          <w:tcPr>
            <w:tcW w:w="735" w:type="pct"/>
            <w:vAlign w:val="center"/>
          </w:tcPr>
          <w:p>
            <w:pPr>
              <w:jc w:val="center"/>
              <w:rPr>
                <w:rFonts w:ascii="宋体" w:hAnsi="宋体"/>
                <w:bCs/>
                <w:color w:val="auto"/>
                <w:szCs w:val="21"/>
              </w:rPr>
            </w:pPr>
            <w:r>
              <w:rPr>
                <w:rFonts w:hint="eastAsia" w:ascii="宋体" w:hAnsi="宋体"/>
                <w:bCs/>
                <w:color w:val="auto"/>
                <w:szCs w:val="21"/>
                <w:lang w:val="en-US" w:eastAsia="zh-CN"/>
              </w:rPr>
              <w:t>合同</w:t>
            </w:r>
            <w:r>
              <w:rPr>
                <w:rFonts w:hint="eastAsia" w:ascii="宋体" w:hAnsi="宋体"/>
                <w:bCs/>
                <w:color w:val="auto"/>
                <w:szCs w:val="21"/>
              </w:rPr>
              <w:t>名称</w:t>
            </w:r>
          </w:p>
        </w:tc>
        <w:tc>
          <w:tcPr>
            <w:tcW w:w="735" w:type="pct"/>
            <w:vAlign w:val="center"/>
          </w:tcPr>
          <w:p>
            <w:pPr>
              <w:jc w:val="center"/>
              <w:rPr>
                <w:rFonts w:ascii="宋体" w:hAnsi="宋体"/>
                <w:bCs/>
                <w:color w:val="auto"/>
                <w:szCs w:val="21"/>
              </w:rPr>
            </w:pPr>
            <w:r>
              <w:rPr>
                <w:rFonts w:hint="eastAsia" w:ascii="宋体" w:hAnsi="宋体"/>
                <w:bCs/>
                <w:color w:val="auto"/>
                <w:szCs w:val="21"/>
              </w:rPr>
              <w:t>合同金额</w:t>
            </w:r>
          </w:p>
        </w:tc>
        <w:tc>
          <w:tcPr>
            <w:tcW w:w="735" w:type="pct"/>
            <w:vAlign w:val="center"/>
          </w:tcPr>
          <w:p>
            <w:pPr>
              <w:jc w:val="center"/>
              <w:rPr>
                <w:rFonts w:ascii="宋体" w:hAnsi="宋体"/>
                <w:bCs/>
                <w:color w:val="auto"/>
                <w:szCs w:val="21"/>
              </w:rPr>
            </w:pPr>
            <w:r>
              <w:rPr>
                <w:rFonts w:hint="eastAsia" w:ascii="宋体" w:hAnsi="宋体"/>
                <w:bCs/>
                <w:color w:val="auto"/>
                <w:szCs w:val="21"/>
              </w:rPr>
              <w:t>甲方名称</w:t>
            </w:r>
          </w:p>
        </w:tc>
        <w:tc>
          <w:tcPr>
            <w:tcW w:w="1028" w:type="pct"/>
            <w:vAlign w:val="center"/>
          </w:tcPr>
          <w:p>
            <w:pPr>
              <w:jc w:val="center"/>
              <w:rPr>
                <w:rFonts w:ascii="宋体" w:hAnsi="宋体"/>
                <w:bCs/>
                <w:color w:val="auto"/>
                <w:szCs w:val="21"/>
              </w:rPr>
            </w:pPr>
            <w:r>
              <w:rPr>
                <w:rFonts w:hint="eastAsia" w:ascii="宋体" w:hAnsi="宋体"/>
                <w:bCs/>
                <w:color w:val="auto"/>
                <w:szCs w:val="21"/>
              </w:rPr>
              <w:t>签订合同时间</w:t>
            </w:r>
          </w:p>
        </w:tc>
        <w:tc>
          <w:tcPr>
            <w:tcW w:w="1321"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vAlign w:val="center"/>
          </w:tcPr>
          <w:p>
            <w:pPr>
              <w:jc w:val="center"/>
              <w:rPr>
                <w:rFonts w:ascii="宋体" w:hAnsi="宋体"/>
                <w:color w:val="auto"/>
                <w:szCs w:val="21"/>
              </w:rPr>
            </w:pPr>
          </w:p>
          <w:p>
            <w:pPr>
              <w:jc w:val="center"/>
              <w:rPr>
                <w:rFonts w:ascii="宋体" w:hAnsi="宋体"/>
                <w:color w:val="auto"/>
                <w:szCs w:val="21"/>
              </w:rPr>
            </w:pPr>
          </w:p>
        </w:tc>
        <w:tc>
          <w:tcPr>
            <w:tcW w:w="73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35" w:type="pct"/>
          </w:tcPr>
          <w:p>
            <w:pPr>
              <w:jc w:val="center"/>
              <w:rPr>
                <w:rFonts w:ascii="宋体" w:hAnsi="宋体"/>
                <w:color w:val="auto"/>
                <w:szCs w:val="21"/>
              </w:rPr>
            </w:pPr>
          </w:p>
        </w:tc>
        <w:tc>
          <w:tcPr>
            <w:tcW w:w="735" w:type="pct"/>
          </w:tcPr>
          <w:p>
            <w:pPr>
              <w:jc w:val="center"/>
              <w:rPr>
                <w:rFonts w:ascii="宋体" w:hAnsi="宋体"/>
                <w:color w:val="auto"/>
                <w:szCs w:val="21"/>
              </w:rPr>
            </w:pPr>
          </w:p>
        </w:tc>
        <w:tc>
          <w:tcPr>
            <w:tcW w:w="1028" w:type="pct"/>
          </w:tcPr>
          <w:p>
            <w:pPr>
              <w:jc w:val="center"/>
              <w:rPr>
                <w:rFonts w:ascii="宋体" w:hAnsi="宋体"/>
                <w:color w:val="auto"/>
                <w:szCs w:val="21"/>
              </w:rPr>
            </w:pPr>
          </w:p>
        </w:tc>
        <w:tc>
          <w:tcPr>
            <w:tcW w:w="132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2" w:type="pct"/>
            <w:vAlign w:val="center"/>
          </w:tcPr>
          <w:p>
            <w:pPr>
              <w:jc w:val="center"/>
              <w:rPr>
                <w:rFonts w:ascii="宋体" w:hAnsi="宋体"/>
                <w:color w:val="auto"/>
                <w:szCs w:val="21"/>
              </w:rPr>
            </w:pPr>
          </w:p>
          <w:p>
            <w:pPr>
              <w:jc w:val="center"/>
              <w:rPr>
                <w:rFonts w:ascii="宋体" w:hAnsi="宋体"/>
                <w:color w:val="auto"/>
                <w:szCs w:val="21"/>
              </w:rPr>
            </w:pPr>
          </w:p>
        </w:tc>
        <w:tc>
          <w:tcPr>
            <w:tcW w:w="73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35" w:type="pct"/>
          </w:tcPr>
          <w:p>
            <w:pPr>
              <w:jc w:val="center"/>
              <w:rPr>
                <w:rFonts w:ascii="宋体" w:hAnsi="宋体"/>
                <w:color w:val="auto"/>
                <w:szCs w:val="21"/>
              </w:rPr>
            </w:pPr>
          </w:p>
        </w:tc>
        <w:tc>
          <w:tcPr>
            <w:tcW w:w="735" w:type="pct"/>
          </w:tcPr>
          <w:p>
            <w:pPr>
              <w:jc w:val="center"/>
              <w:rPr>
                <w:rFonts w:ascii="宋体" w:hAnsi="宋体"/>
                <w:color w:val="auto"/>
                <w:szCs w:val="21"/>
              </w:rPr>
            </w:pPr>
          </w:p>
        </w:tc>
        <w:tc>
          <w:tcPr>
            <w:tcW w:w="1028" w:type="pct"/>
          </w:tcPr>
          <w:p>
            <w:pPr>
              <w:jc w:val="center"/>
              <w:rPr>
                <w:rFonts w:ascii="宋体" w:hAnsi="宋体"/>
                <w:color w:val="auto"/>
                <w:szCs w:val="21"/>
              </w:rPr>
            </w:pPr>
          </w:p>
        </w:tc>
        <w:tc>
          <w:tcPr>
            <w:tcW w:w="132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pct"/>
            <w:vAlign w:val="center"/>
          </w:tcPr>
          <w:p>
            <w:pPr>
              <w:jc w:val="center"/>
              <w:rPr>
                <w:rFonts w:ascii="宋体" w:hAnsi="宋体"/>
                <w:color w:val="auto"/>
                <w:szCs w:val="21"/>
              </w:rPr>
            </w:pPr>
          </w:p>
          <w:p>
            <w:pPr>
              <w:jc w:val="center"/>
              <w:rPr>
                <w:rFonts w:ascii="宋体" w:hAnsi="宋体"/>
                <w:color w:val="auto"/>
                <w:szCs w:val="21"/>
              </w:rPr>
            </w:pPr>
          </w:p>
        </w:tc>
        <w:tc>
          <w:tcPr>
            <w:tcW w:w="73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35" w:type="pct"/>
          </w:tcPr>
          <w:p>
            <w:pPr>
              <w:jc w:val="center"/>
              <w:rPr>
                <w:rFonts w:ascii="宋体" w:hAnsi="宋体"/>
                <w:color w:val="auto"/>
                <w:szCs w:val="21"/>
              </w:rPr>
            </w:pPr>
          </w:p>
        </w:tc>
        <w:tc>
          <w:tcPr>
            <w:tcW w:w="735" w:type="pct"/>
          </w:tcPr>
          <w:p>
            <w:pPr>
              <w:jc w:val="center"/>
              <w:rPr>
                <w:rFonts w:ascii="宋体" w:hAnsi="宋体"/>
                <w:color w:val="auto"/>
                <w:szCs w:val="21"/>
              </w:rPr>
            </w:pPr>
          </w:p>
        </w:tc>
        <w:tc>
          <w:tcPr>
            <w:tcW w:w="1028" w:type="pct"/>
          </w:tcPr>
          <w:p>
            <w:pPr>
              <w:jc w:val="center"/>
              <w:rPr>
                <w:rFonts w:ascii="宋体" w:hAnsi="宋体"/>
                <w:color w:val="auto"/>
                <w:szCs w:val="21"/>
              </w:rPr>
            </w:pPr>
          </w:p>
        </w:tc>
        <w:tc>
          <w:tcPr>
            <w:tcW w:w="132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2" w:type="pct"/>
            <w:vAlign w:val="center"/>
          </w:tcPr>
          <w:p>
            <w:pPr>
              <w:jc w:val="center"/>
              <w:rPr>
                <w:rFonts w:ascii="宋体" w:hAnsi="宋体"/>
                <w:color w:val="auto"/>
                <w:szCs w:val="21"/>
              </w:rPr>
            </w:pPr>
          </w:p>
          <w:p>
            <w:pPr>
              <w:jc w:val="center"/>
              <w:rPr>
                <w:rFonts w:ascii="宋体" w:hAnsi="宋体"/>
                <w:color w:val="auto"/>
                <w:szCs w:val="21"/>
              </w:rPr>
            </w:pPr>
          </w:p>
        </w:tc>
        <w:tc>
          <w:tcPr>
            <w:tcW w:w="73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35" w:type="pct"/>
          </w:tcPr>
          <w:p>
            <w:pPr>
              <w:jc w:val="center"/>
              <w:rPr>
                <w:rFonts w:ascii="宋体" w:hAnsi="宋体"/>
                <w:color w:val="auto"/>
                <w:szCs w:val="21"/>
              </w:rPr>
            </w:pPr>
          </w:p>
        </w:tc>
        <w:tc>
          <w:tcPr>
            <w:tcW w:w="735" w:type="pct"/>
          </w:tcPr>
          <w:p>
            <w:pPr>
              <w:jc w:val="center"/>
              <w:rPr>
                <w:rFonts w:ascii="宋体" w:hAnsi="宋体"/>
                <w:color w:val="auto"/>
                <w:szCs w:val="21"/>
              </w:rPr>
            </w:pPr>
          </w:p>
        </w:tc>
        <w:tc>
          <w:tcPr>
            <w:tcW w:w="1028" w:type="pct"/>
          </w:tcPr>
          <w:p>
            <w:pPr>
              <w:jc w:val="center"/>
              <w:rPr>
                <w:rFonts w:ascii="宋体" w:hAnsi="宋体"/>
                <w:color w:val="auto"/>
                <w:szCs w:val="21"/>
              </w:rPr>
            </w:pPr>
          </w:p>
        </w:tc>
        <w:tc>
          <w:tcPr>
            <w:tcW w:w="132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2" w:type="pct"/>
            <w:vAlign w:val="center"/>
          </w:tcPr>
          <w:p>
            <w:pPr>
              <w:jc w:val="center"/>
              <w:rPr>
                <w:rFonts w:ascii="宋体" w:hAnsi="宋体"/>
                <w:color w:val="auto"/>
                <w:szCs w:val="21"/>
              </w:rPr>
            </w:pPr>
          </w:p>
          <w:p>
            <w:pPr>
              <w:jc w:val="center"/>
              <w:rPr>
                <w:rFonts w:ascii="宋体" w:hAnsi="宋体"/>
                <w:color w:val="auto"/>
                <w:szCs w:val="21"/>
              </w:rPr>
            </w:pPr>
          </w:p>
        </w:tc>
        <w:tc>
          <w:tcPr>
            <w:tcW w:w="735" w:type="pct"/>
            <w:vAlign w:val="center"/>
          </w:tcPr>
          <w:p>
            <w:pPr>
              <w:widowControl/>
              <w:jc w:val="center"/>
              <w:rPr>
                <w:rFonts w:ascii="宋体" w:hAnsi="宋体"/>
                <w:color w:val="auto"/>
                <w:szCs w:val="21"/>
              </w:rPr>
            </w:pPr>
          </w:p>
          <w:p>
            <w:pPr>
              <w:jc w:val="center"/>
              <w:rPr>
                <w:rFonts w:ascii="宋体" w:hAnsi="宋体"/>
                <w:color w:val="auto"/>
                <w:szCs w:val="21"/>
              </w:rPr>
            </w:pPr>
          </w:p>
        </w:tc>
        <w:tc>
          <w:tcPr>
            <w:tcW w:w="735" w:type="pct"/>
          </w:tcPr>
          <w:p>
            <w:pPr>
              <w:jc w:val="center"/>
              <w:rPr>
                <w:rFonts w:ascii="宋体" w:hAnsi="宋体"/>
                <w:color w:val="auto"/>
                <w:szCs w:val="21"/>
              </w:rPr>
            </w:pPr>
          </w:p>
        </w:tc>
        <w:tc>
          <w:tcPr>
            <w:tcW w:w="735" w:type="pct"/>
          </w:tcPr>
          <w:p>
            <w:pPr>
              <w:jc w:val="center"/>
              <w:rPr>
                <w:rFonts w:ascii="宋体" w:hAnsi="宋体"/>
                <w:color w:val="auto"/>
                <w:szCs w:val="21"/>
              </w:rPr>
            </w:pPr>
          </w:p>
        </w:tc>
        <w:tc>
          <w:tcPr>
            <w:tcW w:w="1028" w:type="pct"/>
          </w:tcPr>
          <w:p>
            <w:pPr>
              <w:jc w:val="center"/>
              <w:rPr>
                <w:rFonts w:ascii="宋体" w:hAnsi="宋体"/>
                <w:color w:val="auto"/>
                <w:szCs w:val="21"/>
              </w:rPr>
            </w:pPr>
          </w:p>
        </w:tc>
        <w:tc>
          <w:tcPr>
            <w:tcW w:w="1321" w:type="pct"/>
          </w:tcPr>
          <w:p>
            <w:pPr>
              <w:jc w:val="center"/>
              <w:rPr>
                <w:rFonts w:ascii="宋体" w:hAnsi="宋体"/>
                <w:color w:val="auto"/>
                <w:szCs w:val="21"/>
              </w:rPr>
            </w:pPr>
          </w:p>
        </w:tc>
      </w:tr>
    </w:tbl>
    <w:p>
      <w:pPr>
        <w:rPr>
          <w:rFonts w:hint="eastAsia" w:ascii="宋体" w:hAnsi="宋体" w:eastAsia="宋体" w:cs="Times New Roman"/>
          <w:bCs/>
          <w:color w:val="auto"/>
          <w:szCs w:val="21"/>
          <w:u w:val="single"/>
        </w:rPr>
      </w:pPr>
      <w:r>
        <w:rPr>
          <w:rFonts w:hint="eastAsia" w:ascii="宋体" w:hAnsi="宋体" w:eastAsia="宋体" w:cs="Times New Roman"/>
          <w:bCs/>
          <w:color w:val="auto"/>
          <w:szCs w:val="21"/>
          <w:u w:val="single"/>
        </w:rPr>
        <w:t>备注：投标人必须如实填写，须按第三章评审办法中的“商务评分表”评审纬度的要求提供证明材料，否则不予认可。</w:t>
      </w:r>
    </w:p>
    <w:p>
      <w:pPr>
        <w:rPr>
          <w:rFonts w:hint="eastAsia" w:ascii="宋体" w:hAnsi="宋体"/>
          <w:color w:val="auto"/>
          <w:sz w:val="24"/>
          <w:szCs w:val="24"/>
        </w:rPr>
      </w:pPr>
      <w:r>
        <w:rPr>
          <w:rFonts w:hint="eastAsia" w:ascii="宋体" w:hAnsi="宋体"/>
          <w:color w:val="auto"/>
          <w:sz w:val="24"/>
          <w:szCs w:val="24"/>
        </w:rPr>
        <w:br w:type="page"/>
      </w:r>
    </w:p>
    <w:p>
      <w:pPr>
        <w:pStyle w:val="36"/>
        <w:tabs>
          <w:tab w:val="left" w:pos="588"/>
        </w:tabs>
        <w:snapToGrid w:val="0"/>
        <w:spacing w:before="120" w:after="120" w:line="440" w:lineRule="exact"/>
        <w:ind w:left="142"/>
        <w:jc w:val="left"/>
        <w:rPr>
          <w:rFonts w:ascii="宋体" w:hAnsi="宋体"/>
          <w:color w:val="auto"/>
          <w:sz w:val="24"/>
          <w:szCs w:val="24"/>
        </w:rPr>
      </w:pPr>
      <w:bookmarkStart w:id="784" w:name="_Toc21097"/>
      <w:bookmarkStart w:id="785" w:name="_Toc2233"/>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.拟投入本项目服务人员明细表</w:t>
      </w:r>
      <w:bookmarkEnd w:id="781"/>
      <w:bookmarkEnd w:id="784"/>
      <w:bookmarkEnd w:id="785"/>
    </w:p>
    <w:p>
      <w:pPr>
        <w:spacing w:line="360" w:lineRule="auto"/>
        <w:rPr>
          <w:rFonts w:asciiTheme="minorEastAsia" w:hAnsiTheme="minorEastAsia"/>
          <w:color w:val="auto"/>
        </w:rPr>
      </w:pPr>
      <w:r>
        <w:rPr>
          <w:rFonts w:hint="eastAsia" w:asciiTheme="minorEastAsia" w:hAnsiTheme="minorEastAsia"/>
          <w:color w:val="auto"/>
        </w:rPr>
        <w:t>投标人名称：</w:t>
      </w:r>
      <w:r>
        <w:rPr>
          <w:rFonts w:asciiTheme="minorEastAsia" w:hAnsiTheme="minorEastAsia"/>
          <w:color w:val="auto"/>
        </w:rPr>
        <w:t xml:space="preserve">                                                </w:t>
      </w:r>
      <w:r>
        <w:rPr>
          <w:rFonts w:hint="eastAsia" w:asciiTheme="minorEastAsia" w:hAnsiTheme="minorEastAsia"/>
          <w:color w:val="auto"/>
        </w:rPr>
        <w:t>招标代理编号：</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71"/>
        <w:gridCol w:w="672"/>
        <w:gridCol w:w="793"/>
        <w:gridCol w:w="1036"/>
        <w:gridCol w:w="1471"/>
        <w:gridCol w:w="1471"/>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94" w:hRule="atLeast"/>
          <w:jc w:val="center"/>
        </w:trPr>
        <w:tc>
          <w:tcPr>
            <w:tcW w:w="47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569"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姓名</w:t>
            </w:r>
          </w:p>
        </w:tc>
        <w:tc>
          <w:tcPr>
            <w:tcW w:w="39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性别</w:t>
            </w:r>
          </w:p>
        </w:tc>
        <w:tc>
          <w:tcPr>
            <w:tcW w:w="465" w:type="pct"/>
            <w:tcBorders>
              <w:top w:val="single" w:color="auto" w:sz="12" w:space="0"/>
              <w:bottom w:val="double" w:color="auto" w:sz="4" w:space="0"/>
            </w:tcBorders>
            <w:shd w:val="clear" w:color="auto" w:fill="EEECE1"/>
            <w:vAlign w:val="center"/>
          </w:tcPr>
          <w:p>
            <w:pPr>
              <w:spacing w:line="400" w:lineRule="exact"/>
              <w:jc w:val="center"/>
              <w:rPr>
                <w:rFonts w:hint="default" w:eastAsia="宋体" w:asciiTheme="minorEastAsia" w:hAnsiTheme="minorEastAsia"/>
                <w:color w:val="auto"/>
                <w:lang w:val="en-US" w:eastAsia="zh-CN"/>
              </w:rPr>
            </w:pPr>
            <w:r>
              <w:rPr>
                <w:rFonts w:hint="eastAsia" w:asciiTheme="minorEastAsia" w:hAnsiTheme="minorEastAsia"/>
                <w:color w:val="auto"/>
                <w:lang w:val="en-US" w:eastAsia="zh-CN"/>
              </w:rPr>
              <w:t>身份证号</w:t>
            </w:r>
          </w:p>
        </w:tc>
        <w:tc>
          <w:tcPr>
            <w:tcW w:w="607"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学历、专业</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default" w:eastAsia="宋体" w:cs="Arial" w:asciiTheme="minorEastAsia" w:hAnsiTheme="minorEastAsia"/>
                <w:color w:val="auto"/>
                <w:szCs w:val="21"/>
                <w:lang w:val="en-US" w:eastAsia="zh-CN"/>
              </w:rPr>
            </w:pPr>
            <w:r>
              <w:rPr>
                <w:rFonts w:hint="eastAsia" w:cs="Arial" w:asciiTheme="minorEastAsia" w:hAnsiTheme="minorEastAsia"/>
                <w:color w:val="auto"/>
                <w:szCs w:val="21"/>
                <w:lang w:val="en-US" w:eastAsia="zh-CN"/>
              </w:rPr>
              <w:t>相关行业从业时长</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cs="Arial" w:asciiTheme="minorEastAsia" w:hAnsiTheme="minorEastAsia"/>
                <w:color w:val="auto"/>
                <w:szCs w:val="21"/>
              </w:rPr>
              <w:t>参与过的同类</w:t>
            </w:r>
            <w:r>
              <w:rPr>
                <w:rFonts w:cs="Arial" w:asciiTheme="minorEastAsia" w:hAnsiTheme="minorEastAsia"/>
                <w:color w:val="auto"/>
                <w:szCs w:val="21"/>
              </w:rPr>
              <w:t>项目</w:t>
            </w:r>
            <w:r>
              <w:rPr>
                <w:rFonts w:hint="eastAsia" w:cs="Arial" w:asciiTheme="minorEastAsia" w:hAnsiTheme="minorEastAsia"/>
                <w:color w:val="auto"/>
                <w:szCs w:val="21"/>
              </w:rPr>
              <w:t>名称</w:t>
            </w:r>
          </w:p>
        </w:tc>
        <w:tc>
          <w:tcPr>
            <w:tcW w:w="7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tcBorders>
              <w:top w:val="double" w:color="auto" w:sz="4" w:space="0"/>
            </w:tcBorders>
            <w:vAlign w:val="center"/>
          </w:tcPr>
          <w:p>
            <w:pPr>
              <w:spacing w:line="400" w:lineRule="exact"/>
              <w:jc w:val="center"/>
              <w:rPr>
                <w:rFonts w:asciiTheme="minorEastAsia" w:hAnsiTheme="minorEastAsia"/>
                <w:color w:val="auto"/>
              </w:rPr>
            </w:pPr>
          </w:p>
        </w:tc>
        <w:tc>
          <w:tcPr>
            <w:tcW w:w="569" w:type="pct"/>
            <w:tcBorders>
              <w:top w:val="double" w:color="auto" w:sz="4" w:space="0"/>
            </w:tcBorders>
            <w:vAlign w:val="center"/>
          </w:tcPr>
          <w:p>
            <w:pPr>
              <w:spacing w:line="400" w:lineRule="exact"/>
              <w:jc w:val="center"/>
              <w:rPr>
                <w:rFonts w:asciiTheme="minorEastAsia" w:hAnsiTheme="minorEastAsia"/>
                <w:color w:val="auto"/>
              </w:rPr>
            </w:pPr>
          </w:p>
        </w:tc>
        <w:tc>
          <w:tcPr>
            <w:tcW w:w="394" w:type="pct"/>
            <w:tcBorders>
              <w:top w:val="double" w:color="auto" w:sz="4" w:space="0"/>
            </w:tcBorders>
            <w:vAlign w:val="center"/>
          </w:tcPr>
          <w:p>
            <w:pPr>
              <w:spacing w:line="400" w:lineRule="exact"/>
              <w:jc w:val="center"/>
              <w:rPr>
                <w:rFonts w:asciiTheme="minorEastAsia" w:hAnsiTheme="minorEastAsia"/>
                <w:color w:val="auto"/>
              </w:rPr>
            </w:pPr>
          </w:p>
        </w:tc>
        <w:tc>
          <w:tcPr>
            <w:tcW w:w="465" w:type="pct"/>
            <w:tcBorders>
              <w:top w:val="double" w:color="auto" w:sz="4" w:space="0"/>
            </w:tcBorders>
            <w:vAlign w:val="center"/>
          </w:tcPr>
          <w:p>
            <w:pPr>
              <w:spacing w:line="400" w:lineRule="exact"/>
              <w:jc w:val="center"/>
              <w:rPr>
                <w:rFonts w:asciiTheme="minorEastAsia" w:hAnsiTheme="minorEastAsia"/>
                <w:color w:val="auto"/>
              </w:rPr>
            </w:pPr>
          </w:p>
        </w:tc>
        <w:tc>
          <w:tcPr>
            <w:tcW w:w="607"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762" w:type="pct"/>
            <w:tcBorders>
              <w:top w:val="double" w:color="auto" w:sz="4" w:space="0"/>
            </w:tcBorders>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bl>
    <w:p>
      <w:pPr>
        <w:spacing w:line="500" w:lineRule="exact"/>
        <w:ind w:left="413" w:hanging="413" w:hangingChars="196"/>
        <w:rPr>
          <w:rFonts w:asciiTheme="minorEastAsia" w:hAnsiTheme="minorEastAsia"/>
          <w:b/>
          <w:bCs/>
          <w:color w:val="auto"/>
        </w:rPr>
      </w:pPr>
      <w:r>
        <w:rPr>
          <w:rFonts w:hint="eastAsia" w:asciiTheme="minorEastAsia" w:hAnsiTheme="minorEastAsia"/>
          <w:b/>
          <w:bCs/>
          <w:color w:val="auto"/>
        </w:rPr>
        <w:t>注：</w:t>
      </w:r>
      <w:r>
        <w:rPr>
          <w:rFonts w:hint="eastAsia" w:asciiTheme="minorEastAsia" w:hAnsiTheme="minorEastAsia"/>
          <w:b/>
          <w:bCs/>
          <w:color w:val="auto"/>
          <w:u w:val="double"/>
        </w:rPr>
        <w:t>投标人</w:t>
      </w:r>
      <w:r>
        <w:rPr>
          <w:rFonts w:hint="eastAsia" w:asciiTheme="minorEastAsia" w:hAnsiTheme="minorEastAsia"/>
          <w:b/>
          <w:bCs/>
          <w:color w:val="auto"/>
          <w:u w:val="double"/>
          <w:lang w:val="en-US" w:eastAsia="zh-CN"/>
        </w:rPr>
        <w:t>可根据需要</w:t>
      </w:r>
      <w:r>
        <w:rPr>
          <w:rFonts w:hint="eastAsia" w:asciiTheme="minorEastAsia" w:hAnsiTheme="minorEastAsia"/>
          <w:b/>
          <w:bCs/>
          <w:color w:val="auto"/>
          <w:u w:val="double"/>
        </w:rPr>
        <w:t>附上</w:t>
      </w:r>
      <w:r>
        <w:rPr>
          <w:rFonts w:hint="eastAsia" w:asciiTheme="minorEastAsia" w:hAnsiTheme="minorEastAsia"/>
          <w:b/>
          <w:bCs/>
          <w:color w:val="auto"/>
          <w:u w:val="double"/>
          <w:lang w:val="en-US" w:eastAsia="zh-CN"/>
        </w:rPr>
        <w:t>相关团队</w:t>
      </w:r>
      <w:r>
        <w:rPr>
          <w:rFonts w:hint="eastAsia" w:asciiTheme="minorEastAsia" w:hAnsiTheme="minorEastAsia"/>
          <w:b/>
          <w:bCs/>
          <w:color w:val="auto"/>
          <w:u w:val="double"/>
        </w:rPr>
        <w:t>人员的学历、社保证明</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投标人可根据自身为采购需求的理解自主提供团队人员</w:t>
      </w:r>
      <w:r>
        <w:rPr>
          <w:rFonts w:hint="eastAsia" w:asciiTheme="minorEastAsia" w:hAnsiTheme="minorEastAsia"/>
          <w:b/>
          <w:bCs/>
          <w:color w:val="auto"/>
          <w:u w:val="double"/>
        </w:rPr>
        <w:t>参与过的同类项目合同关键页</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项目验收或结算证明材料</w:t>
      </w:r>
      <w:r>
        <w:rPr>
          <w:rFonts w:hint="eastAsia" w:asciiTheme="minorEastAsia" w:hAnsiTheme="minorEastAsia"/>
          <w:b/>
          <w:bCs/>
          <w:color w:val="auto"/>
          <w:u w:val="double"/>
        </w:rPr>
        <w:t>等证明文件</w:t>
      </w:r>
      <w:r>
        <w:rPr>
          <w:rFonts w:hint="eastAsia" w:asciiTheme="minorEastAsia" w:hAnsiTheme="minorEastAsia"/>
          <w:b/>
          <w:bCs/>
          <w:color w:val="auto"/>
        </w:rPr>
        <w:t>（复印件</w:t>
      </w:r>
      <w:r>
        <w:rPr>
          <w:rFonts w:hint="eastAsia" w:asciiTheme="minorEastAsia" w:hAnsiTheme="minorEastAsia"/>
          <w:b/>
          <w:bCs/>
          <w:color w:val="auto"/>
          <w:lang w:eastAsia="zh-CN"/>
        </w:rPr>
        <w:t>，</w:t>
      </w:r>
      <w:r>
        <w:rPr>
          <w:rFonts w:hint="eastAsia" w:asciiTheme="minorEastAsia" w:hAnsiTheme="minorEastAsia"/>
          <w:b/>
          <w:bCs/>
          <w:color w:val="auto"/>
          <w:lang w:val="en-US" w:eastAsia="zh-CN"/>
        </w:rPr>
        <w:t>若有</w:t>
      </w:r>
      <w:r>
        <w:rPr>
          <w:rFonts w:hint="eastAsia" w:asciiTheme="minorEastAsia" w:hAnsiTheme="minorEastAsia"/>
          <w:b/>
          <w:bCs/>
          <w:color w:val="auto"/>
        </w:rPr>
        <w:t>）。</w:t>
      </w:r>
    </w:p>
    <w:p>
      <w:pPr>
        <w:spacing w:line="500" w:lineRule="exact"/>
        <w:rPr>
          <w:rFonts w:asciiTheme="minorEastAsia" w:hAnsiTheme="minorEastAsia"/>
          <w:b/>
          <w:bCs/>
          <w:color w:val="auto"/>
          <w:u w:val="double"/>
        </w:rPr>
      </w:pPr>
      <w:r>
        <w:rPr>
          <w:rFonts w:hint="eastAsia" w:asciiTheme="minorEastAsia" w:hAnsiTheme="minorEastAsia"/>
          <w:b/>
          <w:bCs/>
          <w:color w:val="auto"/>
          <w:u w:val="double"/>
        </w:rPr>
        <w:t>以上人员将作为本次项目实施人员，未经招标人项目负责人签名确认，不允许随意变更。</w:t>
      </w:r>
    </w:p>
    <w:p>
      <w:pPr>
        <w:spacing w:line="500" w:lineRule="exact"/>
        <w:jc w:val="right"/>
        <w:rPr>
          <w:rFonts w:asciiTheme="minorEastAsia" w:hAnsiTheme="minorEastAsia"/>
          <w:color w:val="auto"/>
        </w:rPr>
      </w:pPr>
      <w:r>
        <w:rPr>
          <w:rFonts w:hint="eastAsia" w:asciiTheme="minorEastAsia" w:hAnsiTheme="minorEastAsia"/>
          <w:color w:val="auto"/>
        </w:rPr>
        <w:t>投标人全称（盖章）：</w:t>
      </w:r>
    </w:p>
    <w:p>
      <w:pPr>
        <w:spacing w:line="500" w:lineRule="exact"/>
        <w:jc w:val="right"/>
        <w:rPr>
          <w:rFonts w:asciiTheme="minorEastAsia" w:hAnsiTheme="minorEastAsia"/>
          <w:color w:val="auto"/>
        </w:rPr>
      </w:pPr>
      <w:r>
        <w:rPr>
          <w:rFonts w:hint="eastAsia" w:asciiTheme="minorEastAsia" w:hAnsiTheme="minorEastAsia"/>
          <w:color w:val="auto"/>
        </w:rPr>
        <w:t>投标人授权代表</w:t>
      </w:r>
      <w:r>
        <w:rPr>
          <w:rFonts w:hint="eastAsia" w:asciiTheme="minorEastAsia" w:hAnsiTheme="minorEastAsia"/>
          <w:color w:val="auto"/>
          <w:spacing w:val="4"/>
        </w:rPr>
        <w:t>（签字或盖章）</w:t>
      </w:r>
      <w:r>
        <w:rPr>
          <w:rFonts w:hint="eastAsia" w:asciiTheme="minorEastAsia" w:hAnsiTheme="minorEastAsia"/>
          <w:color w:val="auto"/>
        </w:rPr>
        <w:t>：</w:t>
      </w:r>
    </w:p>
    <w:p>
      <w:pPr>
        <w:widowControl/>
        <w:jc w:val="right"/>
        <w:rPr>
          <w:rFonts w:asciiTheme="minorEastAsia" w:hAnsiTheme="minorEastAsia"/>
          <w:color w:val="auto"/>
        </w:rPr>
      </w:pPr>
      <w:r>
        <w:rPr>
          <w:rFonts w:hint="eastAsia" w:asciiTheme="minorEastAsia" w:hAnsiTheme="minorEastAsia"/>
          <w:color w:val="auto"/>
        </w:rPr>
        <w:t>日</w:t>
      </w:r>
      <w:r>
        <w:rPr>
          <w:rFonts w:asciiTheme="minorEastAsia" w:hAnsiTheme="minorEastAsia"/>
          <w:color w:val="auto"/>
        </w:rPr>
        <w:t xml:space="preserve">    </w:t>
      </w:r>
      <w:r>
        <w:rPr>
          <w:rFonts w:hint="eastAsia" w:asciiTheme="minorEastAsia" w:hAnsiTheme="minorEastAsia"/>
          <w:color w:val="auto"/>
        </w:rPr>
        <w:t>期：</w:t>
      </w:r>
      <w:r>
        <w:rPr>
          <w:rFonts w:asciiTheme="minorEastAsia" w:hAnsiTheme="minorEastAsia"/>
          <w:color w:val="auto"/>
        </w:rPr>
        <w:t xml:space="preserve">     </w:t>
      </w:r>
      <w:r>
        <w:rPr>
          <w:rFonts w:hint="eastAsia" w:asciiTheme="minorEastAsia" w:hAnsiTheme="minorEastAsia"/>
          <w:color w:val="auto"/>
        </w:rPr>
        <w:t>年</w:t>
      </w:r>
      <w:r>
        <w:rPr>
          <w:rFonts w:asciiTheme="minorEastAsia" w:hAnsiTheme="minorEastAsia"/>
          <w:color w:val="auto"/>
        </w:rPr>
        <w:t xml:space="preserve">   </w:t>
      </w:r>
      <w:r>
        <w:rPr>
          <w:rFonts w:hint="eastAsia" w:asciiTheme="minorEastAsia" w:hAnsiTheme="minorEastAsia"/>
          <w:color w:val="auto"/>
        </w:rPr>
        <w:t>月</w:t>
      </w:r>
      <w:r>
        <w:rPr>
          <w:rFonts w:asciiTheme="minorEastAsia" w:hAnsiTheme="minorEastAsia"/>
          <w:color w:val="auto"/>
        </w:rPr>
        <w:t xml:space="preserve">   </w:t>
      </w:r>
      <w:r>
        <w:rPr>
          <w:rFonts w:hint="eastAsia" w:asciiTheme="minorEastAsia" w:hAnsiTheme="minorEastAsia"/>
          <w:color w:val="auto"/>
        </w:rPr>
        <w:t>日</w:t>
      </w:r>
    </w:p>
    <w:p>
      <w:pPr>
        <w:widowControl/>
        <w:jc w:val="right"/>
        <w:rPr>
          <w:rFonts w:asciiTheme="minorEastAsia" w:hAnsiTheme="minorEastAsia"/>
          <w:color w:val="auto"/>
        </w:rPr>
      </w:pPr>
    </w:p>
    <w:p>
      <w:pPr>
        <w:rPr>
          <w:rFonts w:hint="eastAsia" w:ascii="宋体" w:hAnsi="宋体"/>
          <w:bCs/>
          <w:color w:val="auto"/>
          <w:szCs w:val="21"/>
          <w:u w:val="none"/>
        </w:rPr>
      </w:pPr>
      <w:bookmarkStart w:id="786" w:name="_Toc56432246"/>
      <w:r>
        <w:rPr>
          <w:rFonts w:hint="eastAsia" w:ascii="宋体" w:hAnsi="宋体"/>
          <w:bCs/>
          <w:color w:val="auto"/>
          <w:szCs w:val="21"/>
          <w:u w:val="none"/>
        </w:rPr>
        <w:br w:type="page"/>
      </w:r>
    </w:p>
    <w:p>
      <w:pPr>
        <w:pStyle w:val="36"/>
        <w:tabs>
          <w:tab w:val="left" w:pos="588"/>
        </w:tabs>
        <w:snapToGrid w:val="0"/>
        <w:spacing w:before="120" w:after="120" w:line="440" w:lineRule="exact"/>
        <w:ind w:left="142"/>
        <w:jc w:val="left"/>
        <w:rPr>
          <w:rFonts w:ascii="宋体" w:hAnsi="宋体"/>
          <w:color w:val="auto"/>
          <w:sz w:val="24"/>
          <w:szCs w:val="24"/>
        </w:rPr>
      </w:pPr>
      <w:bookmarkStart w:id="787" w:name="_Toc808"/>
      <w:bookmarkStart w:id="788" w:name="_Toc9929"/>
      <w:bookmarkStart w:id="789" w:name="_Toc6155"/>
      <w:bookmarkStart w:id="790" w:name="_Toc25632"/>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.其他资料</w:t>
      </w:r>
      <w:bookmarkEnd w:id="782"/>
      <w:bookmarkEnd w:id="786"/>
      <w:bookmarkEnd w:id="787"/>
      <w:bookmarkEnd w:id="788"/>
      <w:r>
        <w:rPr>
          <w:rFonts w:hint="eastAsia" w:ascii="宋体" w:hAnsi="宋体"/>
          <w:color w:val="auto"/>
          <w:sz w:val="24"/>
          <w:szCs w:val="24"/>
        </w:rPr>
        <w:t>（若有）</w:t>
      </w:r>
      <w:bookmarkEnd w:id="789"/>
      <w:bookmarkEnd w:id="790"/>
    </w:p>
    <w:p>
      <w:pPr>
        <w:ind w:firstLine="420" w:firstLineChars="200"/>
        <w:outlineLvl w:val="1"/>
        <w:rPr>
          <w:color w:val="auto"/>
        </w:rPr>
      </w:pPr>
      <w:bookmarkStart w:id="791" w:name="_Toc18074"/>
      <w:bookmarkStart w:id="792" w:name="_Toc528"/>
      <w:bookmarkStart w:id="793" w:name="_Toc29941"/>
      <w:r>
        <w:rPr>
          <w:color w:val="auto"/>
        </w:rPr>
        <w:t>1</w:t>
      </w:r>
      <w:r>
        <w:rPr>
          <w:rFonts w:hint="eastAsia"/>
          <w:color w:val="auto"/>
          <w:lang w:val="en-US" w:eastAsia="zh-CN"/>
        </w:rPr>
        <w:t>3</w:t>
      </w:r>
      <w:r>
        <w:rPr>
          <w:color w:val="auto"/>
        </w:rPr>
        <w:t>.</w:t>
      </w:r>
      <w:r>
        <w:rPr>
          <w:rFonts w:hint="eastAsia"/>
          <w:color w:val="auto"/>
          <w:lang w:val="en-US" w:eastAsia="zh-CN"/>
        </w:rPr>
        <w:t>1 企业认证、资质、荣誉</w:t>
      </w:r>
      <w:r>
        <w:rPr>
          <w:rFonts w:hint="eastAsia"/>
          <w:color w:val="auto"/>
        </w:rPr>
        <w:t>证书（若有）</w:t>
      </w:r>
      <w:bookmarkEnd w:id="791"/>
      <w:bookmarkEnd w:id="792"/>
      <w:bookmarkEnd w:id="793"/>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color w:val="auto"/>
                <w:lang w:val="en-US" w:eastAsia="zh-CN"/>
              </w:rPr>
              <w:t>认证</w:t>
            </w:r>
            <w:r>
              <w:rPr>
                <w:rFonts w:hint="eastAsia" w:asciiTheme="minorEastAsia" w:hAnsiTheme="minorEastAsia"/>
                <w:color w:val="auto"/>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Verdana" w:hAnsi="Verdana"/>
                <w:color w:val="auto"/>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bl>
    <w:p>
      <w:pPr>
        <w:ind w:firstLine="420" w:firstLineChars="200"/>
        <w:rPr>
          <w:color w:val="auto"/>
        </w:rPr>
      </w:pPr>
      <w:r>
        <w:rPr>
          <w:rFonts w:hint="eastAsia"/>
          <w:color w:val="auto"/>
        </w:rPr>
        <w:t>注：须提供相关证书证明材料复印件。</w:t>
      </w:r>
    </w:p>
    <w:p>
      <w:pPr>
        <w:ind w:firstLine="420" w:firstLineChars="200"/>
        <w:rPr>
          <w:color w:val="auto"/>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bookmarkEnd w:id="763"/>
    <w:p>
      <w:pPr>
        <w:pStyle w:val="36"/>
        <w:tabs>
          <w:tab w:val="left" w:pos="588"/>
        </w:tabs>
        <w:snapToGrid w:val="0"/>
        <w:spacing w:before="120" w:after="120" w:line="440" w:lineRule="exact"/>
        <w:jc w:val="left"/>
        <w:rPr>
          <w:rFonts w:ascii="宋体" w:hAnsi="宋体"/>
          <w:color w:val="auto"/>
          <w:sz w:val="24"/>
          <w:szCs w:val="24"/>
        </w:rPr>
      </w:pPr>
      <w:bookmarkStart w:id="794" w:name="_Toc18931"/>
      <w:bookmarkStart w:id="795" w:name="_Toc32536"/>
      <w:bookmarkStart w:id="796" w:name="_Toc13366"/>
      <w:bookmarkStart w:id="797" w:name="_Toc3961"/>
      <w:bookmarkStart w:id="798" w:name="_Toc56432248"/>
      <w:bookmarkStart w:id="799" w:name="_Toc475472692"/>
      <w:bookmarkStart w:id="800" w:name="_Toc1651920"/>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服务方案</w:t>
      </w:r>
      <w:bookmarkEnd w:id="794"/>
      <w:bookmarkEnd w:id="795"/>
      <w:r>
        <w:rPr>
          <w:rFonts w:hint="eastAsia" w:ascii="宋体" w:hAnsi="宋体"/>
          <w:color w:val="auto"/>
          <w:sz w:val="24"/>
          <w:szCs w:val="24"/>
        </w:rPr>
        <w:t>（格式自拟）</w:t>
      </w:r>
      <w:bookmarkEnd w:id="796"/>
      <w:bookmarkEnd w:id="797"/>
    </w:p>
    <w:p>
      <w:pPr>
        <w:rPr>
          <w:rFonts w:ascii="宋体" w:hAnsi="宋体"/>
          <w:color w:val="auto"/>
          <w:szCs w:val="21"/>
        </w:rPr>
      </w:pPr>
      <w:r>
        <w:rPr>
          <w:rFonts w:ascii="宋体" w:hAnsi="宋体"/>
          <w:color w:val="auto"/>
          <w:szCs w:val="21"/>
        </w:rPr>
        <w:t>(</w:t>
      </w:r>
      <w:r>
        <w:rPr>
          <w:rFonts w:hint="eastAsia" w:ascii="宋体" w:hAnsi="宋体"/>
          <w:color w:val="auto"/>
          <w:szCs w:val="21"/>
        </w:rPr>
        <w:t>建议按第三章 评审办法“技术评分表”纬度编制相关内容，投标人也</w:t>
      </w:r>
      <w:r>
        <w:rPr>
          <w:rFonts w:ascii="宋体" w:hAnsi="宋体"/>
          <w:color w:val="auto"/>
          <w:szCs w:val="21"/>
        </w:rPr>
        <w:t>可自行根据实际情况补充)</w:t>
      </w:r>
      <w:bookmarkEnd w:id="798"/>
    </w:p>
    <w:p>
      <w:pPr>
        <w:rPr>
          <w:rFonts w:ascii="宋体" w:hAnsi="宋体"/>
          <w:color w:val="auto"/>
          <w:szCs w:val="21"/>
        </w:rPr>
      </w:pPr>
    </w:p>
    <w:p>
      <w:pPr>
        <w:rPr>
          <w:rFonts w:ascii="宋体" w:hAnsi="宋体"/>
          <w:color w:val="auto"/>
          <w:sz w:val="24"/>
        </w:rPr>
      </w:pPr>
    </w:p>
    <w:p>
      <w:pPr>
        <w:pStyle w:val="36"/>
        <w:tabs>
          <w:tab w:val="left" w:pos="588"/>
        </w:tabs>
        <w:snapToGrid w:val="0"/>
        <w:spacing w:before="120" w:after="120" w:line="440" w:lineRule="exact"/>
        <w:jc w:val="left"/>
        <w:rPr>
          <w:rFonts w:hint="eastAsia" w:ascii="宋体" w:hAnsi="宋体"/>
          <w:color w:val="auto"/>
          <w:sz w:val="24"/>
          <w:szCs w:val="24"/>
        </w:rPr>
      </w:pPr>
      <w:bookmarkStart w:id="801" w:name="_Toc15381"/>
      <w:bookmarkStart w:id="802" w:name="_Toc19613"/>
      <w:r>
        <w:rPr>
          <w:rFonts w:hint="eastAsia" w:ascii="宋体" w:hAnsi="宋体"/>
          <w:color w:val="auto"/>
          <w:sz w:val="24"/>
          <w:szCs w:val="24"/>
          <w:lang w:val="en-US" w:eastAsia="zh-CN"/>
        </w:rPr>
        <w:t>15.</w:t>
      </w:r>
      <w:r>
        <w:rPr>
          <w:rFonts w:hint="eastAsia" w:ascii="宋体" w:hAnsi="宋体"/>
          <w:color w:val="auto"/>
          <w:sz w:val="24"/>
          <w:szCs w:val="24"/>
        </w:rPr>
        <w:t>投标人认为需要提供的其他资料</w:t>
      </w:r>
      <w:bookmarkEnd w:id="801"/>
    </w:p>
    <w:p>
      <w:pPr>
        <w:pStyle w:val="36"/>
        <w:keepNext w:val="0"/>
        <w:keepLines w:val="0"/>
        <w:pageBreakBefore w:val="0"/>
        <w:widowControl w:val="0"/>
        <w:numPr>
          <w:ilvl w:val="0"/>
          <w:numId w:val="0"/>
        </w:numPr>
        <w:tabs>
          <w:tab w:val="left" w:pos="588"/>
        </w:tabs>
        <w:kinsoku/>
        <w:wordWrap/>
        <w:overflowPunct/>
        <w:topLinePunct w:val="0"/>
        <w:autoSpaceDE/>
        <w:autoSpaceDN/>
        <w:bidi w:val="0"/>
        <w:adjustRightInd/>
        <w:snapToGrid w:val="0"/>
        <w:spacing w:before="120" w:after="120" w:line="440" w:lineRule="exact"/>
        <w:ind w:left="431" w:leftChars="0" w:firstLine="420" w:firstLineChars="200"/>
        <w:jc w:val="left"/>
        <w:textAlignment w:val="auto"/>
        <w:outlineLvl w:val="9"/>
        <w:rPr>
          <w:rFonts w:ascii="宋体" w:hAnsi="宋体"/>
          <w:b w:val="0"/>
          <w:bCs w:val="0"/>
          <w:color w:val="auto"/>
          <w:sz w:val="21"/>
          <w:szCs w:val="21"/>
        </w:rPr>
      </w:pPr>
      <w:r>
        <w:rPr>
          <w:rFonts w:hint="eastAsia" w:ascii="宋体" w:hAnsi="宋体"/>
          <w:b w:val="0"/>
          <w:bCs w:val="0"/>
          <w:color w:val="auto"/>
          <w:sz w:val="21"/>
          <w:szCs w:val="21"/>
        </w:rPr>
        <w:br w:type="page"/>
      </w:r>
      <w:bookmarkEnd w:id="802"/>
    </w:p>
    <w:bookmarkEnd w:id="799"/>
    <w:bookmarkEnd w:id="800"/>
    <w:p>
      <w:pPr>
        <w:pStyle w:val="36"/>
        <w:tabs>
          <w:tab w:val="left" w:pos="588"/>
        </w:tabs>
        <w:snapToGrid w:val="0"/>
        <w:spacing w:before="120" w:after="120" w:line="440" w:lineRule="exact"/>
        <w:ind w:left="425"/>
        <w:jc w:val="left"/>
        <w:rPr>
          <w:rFonts w:ascii="宋体" w:hAnsi="宋体"/>
          <w:color w:val="auto"/>
          <w:sz w:val="24"/>
          <w:szCs w:val="24"/>
        </w:rPr>
      </w:pPr>
      <w:bookmarkStart w:id="803" w:name="_Toc8581"/>
      <w:bookmarkStart w:id="804" w:name="_Toc9532"/>
      <w:bookmarkStart w:id="805" w:name="_Toc24158"/>
      <w:bookmarkStart w:id="806" w:name="_Toc20989"/>
      <w:bookmarkStart w:id="807" w:name="_Toc56432252"/>
      <w:bookmarkStart w:id="808" w:name="_Toc1651921"/>
      <w:bookmarkStart w:id="809" w:name="_Toc475472693"/>
      <w:r>
        <w:rPr>
          <w:rFonts w:hint="eastAsia" w:ascii="宋体" w:hAnsi="宋体"/>
          <w:color w:val="auto"/>
          <w:sz w:val="24"/>
          <w:szCs w:val="24"/>
        </w:rPr>
        <w:t>第二分册</w:t>
      </w:r>
      <w:bookmarkEnd w:id="803"/>
      <w:bookmarkEnd w:id="804"/>
      <w:bookmarkEnd w:id="805"/>
      <w:bookmarkEnd w:id="806"/>
      <w:bookmarkEnd w:id="807"/>
      <w:bookmarkEnd w:id="808"/>
    </w:p>
    <w:p>
      <w:pPr>
        <w:pStyle w:val="36"/>
        <w:numPr>
          <w:ilvl w:val="0"/>
          <w:numId w:val="27"/>
        </w:numPr>
        <w:tabs>
          <w:tab w:val="left" w:pos="588"/>
        </w:tabs>
        <w:snapToGrid w:val="0"/>
        <w:spacing w:before="120" w:after="120" w:line="440" w:lineRule="exact"/>
        <w:jc w:val="left"/>
        <w:rPr>
          <w:rFonts w:ascii="宋体" w:hAnsi="宋体"/>
          <w:color w:val="auto"/>
          <w:sz w:val="24"/>
          <w:szCs w:val="24"/>
        </w:rPr>
      </w:pPr>
      <w:bookmarkStart w:id="810" w:name="_Toc3918"/>
      <w:bookmarkStart w:id="811" w:name="_Toc25187"/>
      <w:bookmarkStart w:id="812" w:name="_Toc25276"/>
      <w:bookmarkStart w:id="813" w:name="_Toc56432253"/>
      <w:bookmarkStart w:id="814" w:name="_Toc1651922"/>
      <w:bookmarkStart w:id="815" w:name="_Toc19580"/>
      <w:r>
        <w:rPr>
          <w:rFonts w:hint="eastAsia" w:ascii="宋体" w:hAnsi="宋体"/>
          <w:color w:val="auto"/>
          <w:sz w:val="24"/>
          <w:szCs w:val="24"/>
          <w:lang w:val="en-US" w:eastAsia="zh-CN"/>
        </w:rPr>
        <w:t>经济投标</w:t>
      </w:r>
      <w:r>
        <w:rPr>
          <w:rFonts w:hint="eastAsia" w:ascii="宋体" w:hAnsi="宋体"/>
          <w:color w:val="auto"/>
          <w:sz w:val="24"/>
          <w:szCs w:val="24"/>
        </w:rPr>
        <w:t>文件封面</w:t>
      </w:r>
      <w:bookmarkEnd w:id="809"/>
      <w:bookmarkEnd w:id="810"/>
      <w:bookmarkEnd w:id="811"/>
      <w:bookmarkEnd w:id="812"/>
      <w:bookmarkEnd w:id="813"/>
      <w:bookmarkEnd w:id="814"/>
      <w:bookmarkEnd w:id="815"/>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投标文件（经济文件）部分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36"/>
        <w:tabs>
          <w:tab w:val="left" w:pos="588"/>
        </w:tabs>
        <w:snapToGrid w:val="0"/>
        <w:spacing w:before="120" w:after="120" w:line="440" w:lineRule="exact"/>
        <w:ind w:left="425"/>
        <w:jc w:val="left"/>
        <w:rPr>
          <w:rFonts w:ascii="宋体" w:hAnsi="宋体"/>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27"/>
        </w:numPr>
        <w:tabs>
          <w:tab w:val="left" w:pos="588"/>
        </w:tabs>
        <w:snapToGrid w:val="0"/>
        <w:spacing w:before="120" w:after="120" w:line="440" w:lineRule="exact"/>
        <w:jc w:val="left"/>
        <w:rPr>
          <w:rFonts w:ascii="宋体" w:hAnsi="宋体"/>
          <w:color w:val="auto"/>
          <w:sz w:val="24"/>
          <w:szCs w:val="24"/>
        </w:rPr>
      </w:pPr>
      <w:bookmarkStart w:id="816" w:name="_Toc14853"/>
      <w:bookmarkStart w:id="817" w:name="_Toc28564"/>
      <w:bookmarkStart w:id="818" w:name="_Toc29538"/>
      <w:bookmarkStart w:id="819" w:name="_Toc1651923"/>
      <w:bookmarkStart w:id="820" w:name="_Toc56432254"/>
      <w:bookmarkStart w:id="821" w:name="_Toc21302"/>
      <w:bookmarkStart w:id="822" w:name="_Toc10481"/>
      <w:bookmarkStart w:id="823" w:name="_Toc2828"/>
      <w:bookmarkStart w:id="824" w:name="_Toc1651925"/>
      <w:bookmarkStart w:id="825" w:name="_Toc56432256"/>
      <w:r>
        <w:rPr>
          <w:rFonts w:hint="eastAsia" w:ascii="宋体" w:hAnsi="宋体"/>
          <w:color w:val="auto"/>
          <w:sz w:val="24"/>
          <w:szCs w:val="24"/>
        </w:rPr>
        <w:t>报价一览表</w:t>
      </w:r>
      <w:bookmarkEnd w:id="816"/>
      <w:bookmarkEnd w:id="817"/>
      <w:bookmarkEnd w:id="818"/>
      <w:bookmarkEnd w:id="819"/>
      <w:bookmarkEnd w:id="820"/>
      <w:bookmarkEnd w:id="821"/>
    </w:p>
    <w:p>
      <w:pPr>
        <w:topLinePunct/>
        <w:spacing w:line="440" w:lineRule="exact"/>
        <w:jc w:val="left"/>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南方日报广告业务管理平台升级改造公开招标项目</w:t>
      </w:r>
    </w:p>
    <w:p>
      <w:pPr>
        <w:topLinePunct/>
        <w:spacing w:line="440" w:lineRule="exact"/>
        <w:jc w:val="left"/>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WJS-202306280037</w:t>
      </w:r>
      <w:r>
        <w:rPr>
          <w:rFonts w:ascii="宋体" w:hAnsi="宋体" w:cs="宋体"/>
          <w:color w:val="auto"/>
          <w:szCs w:val="21"/>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报价内容</w:t>
            </w:r>
          </w:p>
        </w:tc>
        <w:tc>
          <w:tcPr>
            <w:tcW w:w="3254"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cs="宋体"/>
                <w:color w:val="auto"/>
                <w:kern w:val="0"/>
                <w:szCs w:val="21"/>
              </w:rPr>
              <w:t>含税总报价（元）</w:t>
            </w:r>
          </w:p>
        </w:tc>
        <w:tc>
          <w:tcPr>
            <w:tcW w:w="1886"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lang w:eastAsia="zh-CN"/>
              </w:rPr>
            </w:pPr>
            <w:r>
              <w:rPr>
                <w:rFonts w:hint="eastAsia" w:ascii="宋体" w:hAnsi="宋体" w:cs="宋体"/>
                <w:color w:val="auto"/>
                <w:szCs w:val="21"/>
                <w:lang w:eastAsia="zh-CN"/>
              </w:rPr>
              <w:t>南方日报广告业务管理平台升级改造公开招标项目</w:t>
            </w:r>
          </w:p>
        </w:tc>
        <w:tc>
          <w:tcPr>
            <w:tcW w:w="3254" w:type="dxa"/>
            <w:shd w:val="clear" w:color="auto" w:fill="auto"/>
            <w:vAlign w:val="center"/>
          </w:tcPr>
          <w:p>
            <w:pPr>
              <w:shd w:val="clear" w:color="auto" w:fill="FFFFFF" w:themeFill="background1"/>
              <w:jc w:val="left"/>
              <w:rPr>
                <w:color w:val="auto"/>
              </w:rPr>
            </w:pPr>
            <w:r>
              <w:rPr>
                <w:rFonts w:hint="eastAsia"/>
                <w:color w:val="auto"/>
                <w:lang w:val="en-US" w:eastAsia="zh-CN"/>
              </w:rPr>
              <w:t>大写</w:t>
            </w:r>
            <w:r>
              <w:rPr>
                <w:rFonts w:hint="eastAsia"/>
                <w:color w:val="auto"/>
              </w:rPr>
              <w:t>：</w:t>
            </w:r>
          </w:p>
          <w:p>
            <w:pPr>
              <w:pStyle w:val="2"/>
              <w:ind w:firstLine="0"/>
              <w:rPr>
                <w:color w:val="auto"/>
              </w:rPr>
            </w:pPr>
            <w:r>
              <w:rPr>
                <w:rFonts w:hint="eastAsia" w:ascii="Times New Roman" w:eastAsia="宋体"/>
                <w:color w:val="auto"/>
                <w:kern w:val="2"/>
                <w:sz w:val="21"/>
                <w:szCs w:val="24"/>
              </w:rPr>
              <w:t>小写：</w:t>
            </w:r>
          </w:p>
        </w:tc>
        <w:tc>
          <w:tcPr>
            <w:tcW w:w="1886" w:type="dxa"/>
            <w:shd w:val="clear" w:color="auto" w:fill="auto"/>
            <w:vAlign w:val="center"/>
          </w:tcPr>
          <w:p>
            <w:pPr>
              <w:shd w:val="clear" w:color="auto" w:fill="FFFFFF" w:themeFill="background1"/>
              <w:jc w:val="center"/>
              <w:rPr>
                <w:rFonts w:ascii="宋体" w:hAnsi="宋体" w:cs="宋体"/>
                <w:color w:val="auto"/>
                <w:kern w:val="0"/>
                <w:szCs w:val="21"/>
              </w:rPr>
            </w:pPr>
          </w:p>
        </w:tc>
      </w:tr>
    </w:tbl>
    <w:p>
      <w:pPr>
        <w:rPr>
          <w:rFonts w:hAnsi="宋体"/>
          <w:bCs/>
          <w:color w:val="auto"/>
          <w:szCs w:val="21"/>
        </w:rPr>
      </w:pPr>
    </w:p>
    <w:p>
      <w:pPr>
        <w:rPr>
          <w:bCs/>
          <w:color w:val="auto"/>
          <w:szCs w:val="21"/>
        </w:rPr>
      </w:pPr>
      <w:r>
        <w:rPr>
          <w:rFonts w:hAnsi="宋体"/>
          <w:bCs/>
          <w:color w:val="auto"/>
          <w:szCs w:val="21"/>
        </w:rPr>
        <w:t>说明：</w:t>
      </w:r>
    </w:p>
    <w:p>
      <w:pPr>
        <w:spacing w:line="440" w:lineRule="exact"/>
        <w:rPr>
          <w:bCs/>
          <w:color w:val="auto"/>
          <w:szCs w:val="21"/>
        </w:rPr>
      </w:pPr>
      <w:r>
        <w:rPr>
          <w:bCs/>
          <w:color w:val="auto"/>
          <w:szCs w:val="21"/>
        </w:rPr>
        <w:t>1</w:t>
      </w:r>
      <w:r>
        <w:rPr>
          <w:rFonts w:hint="eastAsia" w:hAnsi="宋体"/>
          <w:bCs/>
          <w:color w:val="auto"/>
          <w:szCs w:val="21"/>
        </w:rPr>
        <w:t>．</w:t>
      </w:r>
      <w:r>
        <w:rPr>
          <w:rFonts w:hAnsi="宋体"/>
          <w:bCs/>
          <w:color w:val="auto"/>
          <w:szCs w:val="21"/>
        </w:rPr>
        <w:t>以上内容为实质性响应内容，投标人漏写或</w:t>
      </w:r>
      <w:r>
        <w:rPr>
          <w:rFonts w:hint="eastAsia" w:hAnsi="宋体"/>
          <w:bCs/>
          <w:color w:val="auto"/>
          <w:szCs w:val="21"/>
        </w:rPr>
        <w:t>者</w:t>
      </w:r>
      <w:r>
        <w:rPr>
          <w:rFonts w:hAnsi="宋体"/>
          <w:bCs/>
          <w:color w:val="auto"/>
          <w:szCs w:val="21"/>
        </w:rPr>
        <w:t>错写，将导致</w:t>
      </w:r>
      <w:r>
        <w:rPr>
          <w:rFonts w:hint="eastAsia" w:hAnsi="宋体"/>
          <w:bCs/>
          <w:color w:val="auto"/>
          <w:szCs w:val="21"/>
        </w:rPr>
        <w:t>被否决投标；</w:t>
      </w:r>
    </w:p>
    <w:p>
      <w:pPr>
        <w:spacing w:line="440" w:lineRule="exact"/>
        <w:rPr>
          <w:rFonts w:hAnsi="宋体"/>
          <w:color w:val="auto"/>
          <w:szCs w:val="21"/>
        </w:rPr>
      </w:pPr>
      <w:r>
        <w:rPr>
          <w:bCs/>
          <w:color w:val="auto"/>
          <w:szCs w:val="21"/>
        </w:rPr>
        <w:t>2</w:t>
      </w:r>
      <w:r>
        <w:rPr>
          <w:rFonts w:hint="eastAsia" w:hAnsi="宋体"/>
          <w:bCs/>
          <w:color w:val="auto"/>
          <w:szCs w:val="21"/>
        </w:rPr>
        <w:t>．</w:t>
      </w:r>
      <w:r>
        <w:rPr>
          <w:rFonts w:hAnsi="宋体"/>
          <w:bCs/>
          <w:color w:val="auto"/>
          <w:szCs w:val="21"/>
        </w:rPr>
        <w:t>投标总报价</w:t>
      </w:r>
      <w:r>
        <w:rPr>
          <w:rFonts w:hint="eastAsia" w:hAnsi="宋体"/>
          <w:bCs/>
          <w:color w:val="auto"/>
          <w:szCs w:val="21"/>
        </w:rPr>
        <w:t>（含税）元应与报价明细中的总价一致，</w:t>
      </w:r>
      <w:r>
        <w:rPr>
          <w:rFonts w:hint="eastAsia" w:ascii="宋体" w:hAnsi="宋体" w:cs="宋体"/>
          <w:b/>
          <w:bCs/>
          <w:color w:val="auto"/>
          <w:szCs w:val="21"/>
        </w:rPr>
        <w:t>本项目含税最高限价</w:t>
      </w:r>
      <w:r>
        <w:rPr>
          <w:rFonts w:hint="eastAsia" w:ascii="宋体" w:hAnsi="宋体" w:cs="宋体"/>
          <w:b/>
          <w:bCs/>
          <w:color w:val="auto"/>
          <w:szCs w:val="21"/>
          <w:lang w:eastAsia="zh-CN"/>
        </w:rPr>
        <w:t>1850000.00元</w:t>
      </w:r>
      <w:r>
        <w:rPr>
          <w:rFonts w:hint="eastAsia" w:ascii="宋体" w:hAnsi="宋体" w:cs="宋体"/>
          <w:b/>
          <w:bCs/>
          <w:color w:val="auto"/>
          <w:szCs w:val="21"/>
        </w:rPr>
        <w:t>人民币，</w:t>
      </w:r>
      <w:r>
        <w:rPr>
          <w:rFonts w:hint="eastAsia" w:ascii="宋体" w:hAnsi="宋体"/>
          <w:b/>
          <w:bCs/>
          <w:color w:val="auto"/>
          <w:szCs w:val="21"/>
        </w:rPr>
        <w:t>投标人</w:t>
      </w:r>
      <w:r>
        <w:rPr>
          <w:rFonts w:hint="eastAsia" w:ascii="宋体" w:hAnsi="宋体" w:cs="宋体"/>
          <w:b/>
          <w:bCs/>
          <w:color w:val="auto"/>
          <w:szCs w:val="21"/>
        </w:rPr>
        <w:t>报价</w:t>
      </w:r>
      <w:r>
        <w:rPr>
          <w:rFonts w:hint="eastAsia" w:ascii="宋体" w:hAnsi="宋体" w:cs="宋体"/>
          <w:b/>
          <w:bCs/>
          <w:color w:val="auto"/>
          <w:szCs w:val="21"/>
          <w:lang w:val="en-US" w:eastAsia="zh-CN"/>
        </w:rPr>
        <w:t>不得</w:t>
      </w:r>
      <w:r>
        <w:rPr>
          <w:rFonts w:hint="eastAsia" w:ascii="宋体" w:hAnsi="宋体" w:cs="宋体"/>
          <w:b/>
          <w:bCs/>
          <w:color w:val="auto"/>
          <w:szCs w:val="21"/>
        </w:rPr>
        <w:t>超过</w:t>
      </w:r>
      <w:r>
        <w:rPr>
          <w:rFonts w:hint="eastAsia" w:ascii="宋体" w:hAnsi="宋体" w:cs="宋体"/>
          <w:b/>
          <w:bCs/>
          <w:color w:val="auto"/>
          <w:szCs w:val="21"/>
          <w:lang w:val="en-US" w:eastAsia="zh-CN"/>
        </w:rPr>
        <w:t>含税最高</w:t>
      </w:r>
      <w:r>
        <w:rPr>
          <w:rFonts w:hint="eastAsia" w:ascii="宋体" w:hAnsi="宋体" w:cs="宋体"/>
          <w:b/>
          <w:bCs/>
          <w:color w:val="auto"/>
          <w:szCs w:val="21"/>
        </w:rPr>
        <w:t>限价，</w:t>
      </w:r>
      <w:r>
        <w:rPr>
          <w:rFonts w:hint="eastAsia" w:ascii="宋体" w:hAnsi="宋体" w:cs="宋体"/>
          <w:b/>
          <w:bCs/>
          <w:color w:val="auto"/>
          <w:szCs w:val="21"/>
          <w:lang w:val="en-US" w:eastAsia="zh-CN"/>
        </w:rPr>
        <w:t>否则</w:t>
      </w:r>
      <w:r>
        <w:rPr>
          <w:rFonts w:hint="eastAsia" w:ascii="宋体" w:hAnsi="宋体" w:cs="宋体"/>
          <w:b/>
          <w:bCs/>
          <w:color w:val="auto"/>
          <w:szCs w:val="21"/>
        </w:rPr>
        <w:t>将被否决投标</w:t>
      </w:r>
      <w:r>
        <w:rPr>
          <w:rFonts w:hAnsi="宋体"/>
          <w:color w:val="auto"/>
          <w:szCs w:val="21"/>
        </w:rPr>
        <w:t>。</w:t>
      </w:r>
    </w:p>
    <w:p>
      <w:pPr>
        <w:spacing w:line="440" w:lineRule="exact"/>
        <w:rPr>
          <w:rFonts w:hAnsi="宋体"/>
          <w:bCs/>
          <w:color w:val="auto"/>
          <w:szCs w:val="21"/>
        </w:rPr>
      </w:pPr>
    </w:p>
    <w:p>
      <w:pPr>
        <w:snapToGrid w:val="0"/>
        <w:spacing w:line="440" w:lineRule="exact"/>
        <w:jc w:val="right"/>
        <w:rPr>
          <w:rFonts w:ascii="宋体" w:hAnsi="宋体" w:cs="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盖单位公章</w:t>
      </w:r>
      <w:r>
        <w:rPr>
          <w:rFonts w:ascii="宋体" w:hAnsi="宋体" w:cs="宋体"/>
          <w:color w:val="auto"/>
          <w:szCs w:val="21"/>
        </w:rPr>
        <w:t>）</w:t>
      </w:r>
    </w:p>
    <w:p>
      <w:pPr>
        <w:widowControl/>
        <w:snapToGrid w:val="0"/>
        <w:spacing w:line="440" w:lineRule="exact"/>
        <w:ind w:right="420" w:firstLine="1260" w:firstLineChars="600"/>
        <w:jc w:val="right"/>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或者其委托代理人：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pPr>
        <w:widowControl/>
        <w:snapToGrid w:val="0"/>
        <w:spacing w:line="440" w:lineRule="exact"/>
        <w:ind w:right="420" w:firstLine="1260" w:firstLineChars="600"/>
        <w:jc w:val="right"/>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topLinePunct/>
        <w:spacing w:line="440" w:lineRule="exact"/>
        <w:jc w:val="left"/>
        <w:rPr>
          <w:rFonts w:ascii="宋体" w:hAnsi="宋体" w:cs="宋体"/>
          <w:color w:val="auto"/>
          <w:szCs w:val="21"/>
        </w:rPr>
      </w:pPr>
    </w:p>
    <w:p>
      <w:pPr>
        <w:rPr>
          <w:rFonts w:hint="eastAsia" w:ascii="宋体" w:hAnsi="宋体" w:eastAsia="宋体"/>
          <w:bCs/>
          <w:color w:val="auto"/>
          <w:szCs w:val="21"/>
          <w:lang w:eastAsia="zh-CN"/>
        </w:rPr>
      </w:pPr>
    </w:p>
    <w:p>
      <w:pPr>
        <w:topLinePunct/>
        <w:spacing w:line="440" w:lineRule="exact"/>
        <w:jc w:val="left"/>
        <w:rPr>
          <w:rFonts w:ascii="宋体" w:hAnsi="宋体" w:cs="宋体"/>
          <w:color w:val="auto"/>
          <w:szCs w:val="21"/>
        </w:rPr>
      </w:pPr>
    </w:p>
    <w:p>
      <w:pPr>
        <w:topLinePunct/>
        <w:spacing w:line="440" w:lineRule="exact"/>
        <w:jc w:val="left"/>
        <w:rPr>
          <w:rFonts w:ascii="宋体" w:hAnsi="宋体" w:cs="宋体"/>
          <w:color w:val="auto"/>
          <w:szCs w:val="21"/>
        </w:rPr>
      </w:pPr>
    </w:p>
    <w:p>
      <w:pPr>
        <w:widowControl/>
        <w:jc w:val="left"/>
        <w:rPr>
          <w:rFonts w:ascii="宋体" w:hAnsi="宋体" w:cs="宋体"/>
          <w:color w:val="auto"/>
          <w:szCs w:val="21"/>
        </w:rPr>
      </w:pPr>
      <w:r>
        <w:rPr>
          <w:rFonts w:ascii="宋体" w:hAnsi="宋体" w:cs="宋体"/>
          <w:color w:val="auto"/>
          <w:szCs w:val="21"/>
        </w:rPr>
        <w:br w:type="page"/>
      </w:r>
    </w:p>
    <w:p>
      <w:pPr>
        <w:pStyle w:val="36"/>
        <w:numPr>
          <w:ilvl w:val="0"/>
          <w:numId w:val="27"/>
        </w:numPr>
        <w:tabs>
          <w:tab w:val="left" w:pos="588"/>
        </w:tabs>
        <w:snapToGrid w:val="0"/>
        <w:spacing w:before="120" w:after="120" w:line="440" w:lineRule="exact"/>
        <w:jc w:val="left"/>
        <w:rPr>
          <w:rFonts w:ascii="宋体" w:hAnsi="宋体"/>
          <w:color w:val="auto"/>
          <w:sz w:val="24"/>
          <w:szCs w:val="24"/>
        </w:rPr>
      </w:pPr>
      <w:bookmarkStart w:id="826" w:name="_Toc20456"/>
      <w:bookmarkStart w:id="827" w:name="_Toc25930"/>
      <w:r>
        <w:rPr>
          <w:rFonts w:hint="eastAsia" w:ascii="宋体" w:hAnsi="宋体"/>
          <w:color w:val="auto"/>
          <w:sz w:val="24"/>
          <w:szCs w:val="24"/>
        </w:rPr>
        <w:t>分项一览表（格式</w:t>
      </w:r>
      <w:r>
        <w:rPr>
          <w:rFonts w:hint="eastAsia" w:ascii="宋体" w:hAnsi="宋体"/>
          <w:color w:val="auto"/>
          <w:sz w:val="24"/>
          <w:szCs w:val="24"/>
          <w:lang w:val="en-US" w:eastAsia="zh-CN"/>
        </w:rPr>
        <w:t>详见附表1</w:t>
      </w:r>
      <w:r>
        <w:rPr>
          <w:rFonts w:hint="eastAsia" w:ascii="宋体" w:hAnsi="宋体"/>
          <w:color w:val="auto"/>
          <w:sz w:val="24"/>
          <w:szCs w:val="24"/>
        </w:rPr>
        <w:t>）</w:t>
      </w:r>
      <w:bookmarkEnd w:id="822"/>
      <w:bookmarkEnd w:id="826"/>
      <w:bookmarkEnd w:id="827"/>
    </w:p>
    <w:p>
      <w:pPr>
        <w:spacing w:line="360" w:lineRule="auto"/>
        <w:rPr>
          <w:rFonts w:hint="eastAsia" w:ascii="宋体" w:hAnsi="宋体" w:eastAsia="宋体"/>
          <w:color w:val="auto"/>
          <w:u w:val="single"/>
          <w:lang w:eastAsia="zh-CN"/>
        </w:rPr>
      </w:pPr>
      <w:r>
        <w:rPr>
          <w:rFonts w:hint="eastAsia" w:ascii="宋体" w:hAnsi="宋体"/>
          <w:color w:val="auto"/>
        </w:rPr>
        <w:t>项目名称：</w:t>
      </w:r>
      <w:r>
        <w:rPr>
          <w:rFonts w:hint="eastAsia" w:ascii="宋体" w:hAnsi="宋体" w:cs="宋体"/>
          <w:color w:val="auto"/>
          <w:szCs w:val="21"/>
          <w:lang w:eastAsia="zh-CN"/>
        </w:rPr>
        <w:t>南方日报广告业务管理平台升级改造公开招标项目</w:t>
      </w:r>
    </w:p>
    <w:p>
      <w:pPr>
        <w:autoSpaceDE w:val="0"/>
        <w:autoSpaceDN w:val="0"/>
        <w:adjustRightInd w:val="0"/>
        <w:ind w:left="424" w:hanging="424" w:hangingChars="202"/>
        <w:jc w:val="left"/>
        <w:rPr>
          <w:rFonts w:hint="eastAsia" w:ascii="宋体" w:hAnsi="宋体" w:eastAsia="宋体"/>
          <w:color w:val="auto"/>
          <w:szCs w:val="21"/>
          <w:lang w:eastAsia="zh-CN"/>
        </w:rPr>
      </w:pPr>
      <w:r>
        <w:rPr>
          <w:rFonts w:hint="eastAsia" w:ascii="宋体" w:hAnsi="宋体"/>
          <w:color w:val="auto"/>
        </w:rPr>
        <w:t>招标代理机构编号：</w:t>
      </w:r>
      <w:r>
        <w:rPr>
          <w:rFonts w:hint="eastAsia" w:ascii="宋体" w:hAnsi="宋体" w:cs="宋体"/>
          <w:color w:val="auto"/>
          <w:szCs w:val="21"/>
          <w:lang w:eastAsia="zh-CN"/>
        </w:rPr>
        <w:t>WJS-202306280037</w:t>
      </w:r>
    </w:p>
    <w:p>
      <w:pPr>
        <w:pStyle w:val="16"/>
        <w:rPr>
          <w:color w:val="auto"/>
          <w:sz w:val="21"/>
          <w:szCs w:val="21"/>
        </w:rPr>
      </w:pPr>
    </w:p>
    <w:p>
      <w:pPr>
        <w:pStyle w:val="38"/>
      </w:pPr>
    </w:p>
    <w:p>
      <w:pPr>
        <w:pStyle w:val="16"/>
        <w:rPr>
          <w:color w:val="auto"/>
        </w:rPr>
      </w:pPr>
    </w:p>
    <w:p>
      <w:pPr>
        <w:pStyle w:val="16"/>
        <w:rPr>
          <w:color w:val="auto"/>
        </w:rPr>
      </w:pPr>
    </w:p>
    <w:p>
      <w:pPr>
        <w:pStyle w:val="16"/>
        <w:rPr>
          <w:rFonts w:ascii="宋体" w:hAnsi="宋体"/>
          <w:color w:val="auto"/>
          <w:sz w:val="21"/>
          <w:szCs w:val="21"/>
        </w:rPr>
      </w:pPr>
      <w:r>
        <w:rPr>
          <w:rFonts w:ascii="宋体" w:hAnsi="宋体"/>
          <w:color w:val="auto"/>
          <w:sz w:val="21"/>
          <w:szCs w:val="21"/>
        </w:rPr>
        <w:t xml:space="preserve">1、投标报价为投标人最终的投标报价，包含《第五章 </w:t>
      </w:r>
      <w:r>
        <w:rPr>
          <w:rFonts w:hint="eastAsia" w:ascii="宋体" w:hAnsi="宋体"/>
          <w:color w:val="auto"/>
          <w:sz w:val="21"/>
          <w:szCs w:val="21"/>
        </w:rPr>
        <w:t>采购需求书》所述服务需要的全部费用。如果投标人在中标并签署合同后，在项目实施过程中出现任何遗漏，均由中标单位免费提供，</w:t>
      </w:r>
      <w:r>
        <w:rPr>
          <w:rFonts w:hint="eastAsia" w:ascii="宋体" w:hAnsi="宋体"/>
          <w:color w:val="auto"/>
          <w:sz w:val="21"/>
          <w:szCs w:val="21"/>
          <w:lang w:eastAsia="zh-CN"/>
        </w:rPr>
        <w:t>招标人</w:t>
      </w:r>
      <w:r>
        <w:rPr>
          <w:rFonts w:hint="eastAsia" w:ascii="宋体" w:hAnsi="宋体"/>
          <w:color w:val="auto"/>
          <w:sz w:val="21"/>
          <w:szCs w:val="21"/>
        </w:rPr>
        <w:t>将不再支付任何费用。</w:t>
      </w:r>
    </w:p>
    <w:p>
      <w:pPr>
        <w:pStyle w:val="16"/>
        <w:rPr>
          <w:rFonts w:ascii="宋体" w:hAnsi="宋体"/>
          <w:color w:val="auto"/>
          <w:sz w:val="21"/>
          <w:szCs w:val="21"/>
        </w:rPr>
      </w:pPr>
      <w:r>
        <w:rPr>
          <w:rFonts w:ascii="宋体" w:hAnsi="宋体"/>
          <w:color w:val="auto"/>
          <w:sz w:val="21"/>
          <w:szCs w:val="21"/>
        </w:rPr>
        <w:t>2、请投标人进行详细的报价分析</w:t>
      </w:r>
      <w:r>
        <w:rPr>
          <w:rFonts w:hint="eastAsia" w:ascii="宋体" w:hAnsi="宋体"/>
          <w:color w:val="auto"/>
          <w:sz w:val="21"/>
          <w:szCs w:val="21"/>
        </w:rPr>
        <w:t>。</w:t>
      </w:r>
    </w:p>
    <w:p>
      <w:pPr>
        <w:pStyle w:val="16"/>
        <w:rPr>
          <w:rFonts w:ascii="宋体" w:hAnsi="宋体"/>
          <w:color w:val="auto"/>
          <w:sz w:val="21"/>
          <w:szCs w:val="21"/>
        </w:rPr>
      </w:pPr>
      <w:r>
        <w:rPr>
          <w:rFonts w:ascii="宋体" w:hAnsi="宋体"/>
          <w:color w:val="auto"/>
          <w:sz w:val="21"/>
          <w:szCs w:val="21"/>
        </w:rPr>
        <w:t>3、分项报价表合计总价应与报价一览表的含税总报价一致。</w:t>
      </w:r>
    </w:p>
    <w:p>
      <w:pPr>
        <w:pStyle w:val="16"/>
        <w:rPr>
          <w:rFonts w:ascii="宋体" w:hAnsi="宋体"/>
          <w:color w:val="auto"/>
          <w:sz w:val="21"/>
          <w:szCs w:val="21"/>
        </w:rPr>
      </w:pPr>
    </w:p>
    <w:p>
      <w:pPr>
        <w:pStyle w:val="16"/>
        <w:rPr>
          <w:rFonts w:ascii="宋体" w:hAnsi="宋体"/>
          <w:color w:val="auto"/>
          <w:sz w:val="21"/>
          <w:szCs w:val="21"/>
        </w:rPr>
      </w:pPr>
    </w:p>
    <w:p>
      <w:pPr>
        <w:pStyle w:val="16"/>
        <w:rPr>
          <w:rFonts w:ascii="宋体" w:hAnsi="宋体"/>
          <w:color w:val="auto"/>
          <w:sz w:val="21"/>
          <w:szCs w:val="21"/>
        </w:rPr>
      </w:pPr>
    </w:p>
    <w:p>
      <w:pPr>
        <w:pStyle w:val="16"/>
        <w:rPr>
          <w:color w:val="auto"/>
        </w:rPr>
      </w:pPr>
    </w:p>
    <w:p>
      <w:pPr>
        <w:pStyle w:val="16"/>
        <w:rPr>
          <w:color w:val="auto"/>
        </w:rPr>
      </w:pPr>
    </w:p>
    <w:p>
      <w:pPr>
        <w:wordWrap w:val="0"/>
        <w:spacing w:line="300" w:lineRule="auto"/>
        <w:ind w:right="120"/>
        <w:jc w:val="right"/>
        <w:rPr>
          <w:color w:val="auto"/>
          <w:szCs w:val="21"/>
        </w:rPr>
      </w:pPr>
      <w:r>
        <w:rPr>
          <w:color w:val="auto"/>
          <w:sz w:val="24"/>
          <w:szCs w:val="21"/>
        </w:rPr>
        <w:t xml:space="preserve"> </w:t>
      </w:r>
      <w:r>
        <w:rPr>
          <w:rFonts w:hint="eastAsia"/>
          <w:color w:val="auto"/>
          <w:szCs w:val="21"/>
        </w:rPr>
        <w:t>投标人名称：</w:t>
      </w:r>
      <w:r>
        <w:rPr>
          <w:color w:val="auto"/>
          <w:szCs w:val="21"/>
          <w:u w:val="single"/>
        </w:rPr>
        <w:t xml:space="preserve">                           </w:t>
      </w:r>
      <w:r>
        <w:rPr>
          <w:rFonts w:hint="eastAsia"/>
          <w:color w:val="auto"/>
          <w:szCs w:val="21"/>
        </w:rPr>
        <w:t>（盖单位公章）</w:t>
      </w:r>
    </w:p>
    <w:p>
      <w:pPr>
        <w:spacing w:line="300" w:lineRule="auto"/>
        <w:ind w:right="120"/>
        <w:jc w:val="right"/>
        <w:rPr>
          <w:color w:val="auto"/>
          <w:szCs w:val="21"/>
        </w:rPr>
      </w:pPr>
      <w:r>
        <w:rPr>
          <w:rFonts w:hint="eastAsia"/>
          <w:color w:val="auto"/>
          <w:szCs w:val="21"/>
        </w:rPr>
        <w:t>法定代表人或者其委托代理人：</w:t>
      </w:r>
      <w:r>
        <w:rPr>
          <w:color w:val="auto"/>
          <w:szCs w:val="21"/>
          <w:u w:val="single"/>
        </w:rPr>
        <w:t xml:space="preserve">               </w:t>
      </w:r>
      <w:r>
        <w:rPr>
          <w:rFonts w:hint="eastAsia"/>
          <w:color w:val="auto"/>
          <w:szCs w:val="21"/>
        </w:rPr>
        <w:t>（签字或盖章）</w:t>
      </w:r>
    </w:p>
    <w:p>
      <w:pPr>
        <w:spacing w:line="300" w:lineRule="auto"/>
        <w:ind w:right="12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rPr>
          <w:rFonts w:ascii="宋体" w:hAnsi="宋体"/>
          <w:color w:val="auto"/>
          <w:sz w:val="24"/>
        </w:rPr>
      </w:pPr>
    </w:p>
    <w:p>
      <w:pPr>
        <w:rPr>
          <w:rFonts w:hint="eastAsia" w:ascii="宋体" w:hAnsi="宋体" w:eastAsia="宋体"/>
          <w:bCs/>
          <w:color w:val="auto"/>
          <w:szCs w:val="21"/>
          <w:lang w:eastAsia="zh-CN"/>
        </w:rPr>
      </w:pPr>
    </w:p>
    <w:p>
      <w:pPr>
        <w:rPr>
          <w:rFonts w:ascii="宋体" w:hAnsi="宋体"/>
          <w:color w:val="auto"/>
          <w:sz w:val="24"/>
        </w:rPr>
      </w:pPr>
      <w:r>
        <w:rPr>
          <w:rFonts w:ascii="宋体" w:hAnsi="宋体"/>
          <w:color w:val="auto"/>
          <w:sz w:val="24"/>
        </w:rPr>
        <w:br w:type="page"/>
      </w:r>
    </w:p>
    <w:p>
      <w:pPr>
        <w:pStyle w:val="36"/>
        <w:numPr>
          <w:ilvl w:val="0"/>
          <w:numId w:val="27"/>
        </w:numPr>
        <w:tabs>
          <w:tab w:val="left" w:pos="588"/>
        </w:tabs>
        <w:snapToGrid w:val="0"/>
        <w:spacing w:before="120" w:after="120" w:line="440" w:lineRule="exact"/>
        <w:jc w:val="left"/>
        <w:rPr>
          <w:rFonts w:ascii="宋体" w:hAnsi="宋体"/>
          <w:color w:val="auto"/>
          <w:sz w:val="24"/>
          <w:szCs w:val="24"/>
        </w:rPr>
      </w:pPr>
      <w:bookmarkStart w:id="828" w:name="_Toc28667"/>
      <w:bookmarkStart w:id="829" w:name="_Toc10001"/>
      <w:bookmarkStart w:id="830" w:name="_Toc5120"/>
      <w:r>
        <w:rPr>
          <w:rFonts w:hint="eastAsia" w:ascii="宋体" w:hAnsi="宋体"/>
          <w:color w:val="auto"/>
          <w:sz w:val="24"/>
          <w:szCs w:val="24"/>
        </w:rPr>
        <w:t>招标代理服务费承诺书</w:t>
      </w:r>
      <w:bookmarkEnd w:id="823"/>
      <w:bookmarkEnd w:id="824"/>
      <w:bookmarkEnd w:id="825"/>
      <w:bookmarkEnd w:id="828"/>
      <w:bookmarkEnd w:id="829"/>
      <w:bookmarkEnd w:id="830"/>
    </w:p>
    <w:p>
      <w:pPr>
        <w:spacing w:line="360" w:lineRule="auto"/>
        <w:rPr>
          <w:rFonts w:hint="eastAsia" w:ascii="宋体" w:hAnsi="宋体" w:eastAsia="宋体"/>
          <w:color w:val="auto"/>
          <w:szCs w:val="21"/>
          <w:lang w:eastAsia="zh-CN"/>
        </w:rPr>
      </w:pPr>
      <w:bookmarkStart w:id="831" w:name="_Toc1651926"/>
      <w:r>
        <w:rPr>
          <w:rFonts w:hint="eastAsia" w:ascii="宋体" w:hAnsi="宋体"/>
          <w:color w:val="auto"/>
          <w:szCs w:val="21"/>
        </w:rPr>
        <w:t>致：广东省南方文化产权交易所股份有限公司、</w:t>
      </w:r>
      <w:r>
        <w:rPr>
          <w:rFonts w:hint="eastAsia" w:ascii="宋体" w:hAnsi="宋体"/>
          <w:color w:val="auto"/>
          <w:szCs w:val="21"/>
          <w:lang w:eastAsia="zh-CN"/>
        </w:rPr>
        <w:t>广东南方日报经营有限公司</w:t>
      </w:r>
    </w:p>
    <w:p>
      <w:pPr>
        <w:spacing w:line="360" w:lineRule="auto"/>
        <w:ind w:firstLine="420" w:firstLineChars="200"/>
        <w:rPr>
          <w:rFonts w:ascii="宋体" w:hAnsi="宋体"/>
          <w:color w:val="auto"/>
          <w:szCs w:val="21"/>
        </w:rPr>
      </w:pPr>
      <w:r>
        <w:rPr>
          <w:rFonts w:hint="eastAsia" w:ascii="宋体" w:hAnsi="宋体"/>
          <w:color w:val="auto"/>
          <w:szCs w:val="21"/>
        </w:rPr>
        <w:t>我公司同意招标人不向贵公司支付任何费用，而由中标人向贵公司支付招标代理服务费。我公司承诺如下：</w:t>
      </w:r>
    </w:p>
    <w:p>
      <w:pPr>
        <w:spacing w:line="360" w:lineRule="auto"/>
        <w:ind w:firstLine="420" w:firstLineChars="200"/>
        <w:rPr>
          <w:rFonts w:ascii="宋体" w:hAnsi="宋体"/>
          <w:color w:val="auto"/>
          <w:szCs w:val="21"/>
        </w:rPr>
      </w:pPr>
      <w:r>
        <w:rPr>
          <w:rFonts w:hint="eastAsia" w:ascii="宋体" w:hAnsi="宋体"/>
          <w:color w:val="auto"/>
        </w:rPr>
        <w:t>如若我司在</w:t>
      </w:r>
      <w:r>
        <w:rPr>
          <w:rFonts w:hint="eastAsia" w:ascii="宋体" w:hAnsi="宋体"/>
          <w:color w:val="auto"/>
          <w:szCs w:val="21"/>
        </w:rPr>
        <w:t>广东省南方文化产权交易所股份有限公司</w:t>
      </w:r>
      <w:r>
        <w:rPr>
          <w:rFonts w:hint="eastAsia" w:ascii="宋体" w:hAnsi="宋体"/>
          <w:color w:val="auto"/>
        </w:rPr>
        <w:t>组织的“</w:t>
      </w:r>
      <w:r>
        <w:rPr>
          <w:rFonts w:hint="eastAsia" w:ascii="宋体" w:hAnsi="宋体"/>
          <w:color w:val="auto"/>
          <w:lang w:eastAsia="zh-CN"/>
        </w:rPr>
        <w:t>南方日报广告业务管理平台升级改造公开招标项目</w:t>
      </w:r>
      <w:r>
        <w:rPr>
          <w:rFonts w:hint="eastAsia" w:ascii="宋体" w:hAnsi="宋体"/>
          <w:color w:val="auto"/>
        </w:rPr>
        <w:t>”招标中获中标（招标代理编号：</w:t>
      </w:r>
      <w:r>
        <w:rPr>
          <w:rFonts w:hint="eastAsia" w:ascii="宋体" w:hAnsi="宋体"/>
          <w:color w:val="auto"/>
          <w:lang w:eastAsia="zh-CN"/>
        </w:rPr>
        <w:t>WJS-202306280037</w:t>
      </w:r>
      <w:r>
        <w:rPr>
          <w:rFonts w:ascii="宋体" w:hAnsi="宋体"/>
          <w:color w:val="auto"/>
        </w:rPr>
        <w:t>）。我公司保证在贵公司发出中标通知书15天内按以下方式“备注（3）”向贵公司，即向</w:t>
      </w:r>
      <w:r>
        <w:rPr>
          <w:rFonts w:hint="eastAsia" w:ascii="宋体" w:hAnsi="宋体"/>
          <w:color w:val="auto"/>
          <w:szCs w:val="21"/>
        </w:rPr>
        <w:t>广东省南方文化产权交易所股份有限公司</w:t>
      </w:r>
      <w:r>
        <w:rPr>
          <w:rFonts w:hint="eastAsia" w:ascii="宋体" w:hAnsi="宋体"/>
          <w:color w:val="auto"/>
        </w:rPr>
        <w:t>缴交按招标文件规定的招标代理服务费。</w:t>
      </w:r>
    </w:p>
    <w:p>
      <w:pPr>
        <w:spacing w:line="360" w:lineRule="auto"/>
        <w:ind w:firstLine="420" w:firstLineChars="200"/>
        <w:rPr>
          <w:rFonts w:ascii="宋体" w:hAnsi="宋体"/>
          <w:color w:val="auto"/>
        </w:rPr>
      </w:pPr>
      <w:r>
        <w:rPr>
          <w:rFonts w:hint="eastAsia" w:ascii="宋体" w:hAnsi="宋体"/>
          <w:color w:val="auto"/>
        </w:rPr>
        <w:t>特此承诺！</w:t>
      </w:r>
    </w:p>
    <w:p>
      <w:pPr>
        <w:spacing w:line="360" w:lineRule="auto"/>
        <w:rPr>
          <w:rFonts w:ascii="宋体" w:hAnsi="宋体"/>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color w:val="auto"/>
        </w:rPr>
        <w:t xml:space="preserve">  备注（</w:t>
      </w:r>
      <w:r>
        <w:rPr>
          <w:rFonts w:ascii="宋体" w:hAnsi="宋体"/>
          <w:color w:val="auto"/>
        </w:rPr>
        <w:t>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szCs w:val="21"/>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w:t>
            </w:r>
            <w:r>
              <w:rPr>
                <w:rFonts w:ascii="宋体" w:hAnsi="宋体"/>
                <w:color w:val="auto"/>
                <w:szCs w:val="21"/>
              </w:rPr>
              <w:t xml:space="preserve"> </w:t>
            </w:r>
            <w:r>
              <w:rPr>
                <w:rFonts w:hint="eastAsia" w:ascii="宋体" w:hAnsi="宋体"/>
                <w:color w:val="auto"/>
                <w:szCs w:val="21"/>
              </w:rPr>
              <w:t>户</w:t>
            </w:r>
            <w:r>
              <w:rPr>
                <w:rFonts w:ascii="宋体" w:hAnsi="宋体"/>
                <w:color w:val="auto"/>
                <w:szCs w:val="21"/>
              </w:rPr>
              <w:t xml:space="preserve"> </w:t>
            </w:r>
            <w:r>
              <w:rPr>
                <w:rFonts w:hint="eastAsia" w:ascii="宋体" w:hAnsi="宋体"/>
                <w:color w:val="auto"/>
                <w:szCs w:val="21"/>
              </w:rPr>
              <w:t>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ascii="宋体" w:hAnsi="宋体"/>
                <w:color w:val="auto"/>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color w:val="auto"/>
        </w:rPr>
      </w:pPr>
      <w:r>
        <w:rPr>
          <w:rFonts w:hint="eastAsia" w:ascii="宋体" w:hAnsi="宋体"/>
          <w:color w:val="auto"/>
        </w:rPr>
        <w:t>备注（</w:t>
      </w:r>
      <w:r>
        <w:rPr>
          <w:rFonts w:ascii="宋体" w:hAnsi="宋体"/>
          <w:color w:val="auto"/>
        </w:rPr>
        <w:t>2）如需邮寄服务费发票，请填写以下信息：</w:t>
      </w:r>
    </w:p>
    <w:p>
      <w:pPr>
        <w:rPr>
          <w:rFonts w:ascii="宋体" w:hAnsi="宋体"/>
          <w:color w:val="auto"/>
          <w:szCs w:val="21"/>
          <w:u w:val="single"/>
        </w:rPr>
      </w:pPr>
      <w:r>
        <w:rPr>
          <w:rFonts w:hint="eastAsia" w:ascii="宋体" w:hAnsi="宋体"/>
          <w:color w:val="auto"/>
          <w:szCs w:val="21"/>
        </w:rPr>
        <w:t>收件人姓名及电话：</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szCs w:val="21"/>
        </w:rPr>
        <w:t>收</w:t>
      </w:r>
      <w:r>
        <w:rPr>
          <w:rFonts w:ascii="宋体" w:hAnsi="宋体"/>
          <w:color w:val="auto"/>
          <w:szCs w:val="21"/>
        </w:rPr>
        <w:t xml:space="preserve">  </w:t>
      </w:r>
      <w:r>
        <w:rPr>
          <w:rFonts w:hint="eastAsia" w:ascii="宋体" w:hAnsi="宋体"/>
          <w:color w:val="auto"/>
          <w:szCs w:val="21"/>
        </w:rPr>
        <w:t>件</w:t>
      </w:r>
      <w:r>
        <w:rPr>
          <w:rFonts w:ascii="宋体" w:hAnsi="宋体"/>
          <w:color w:val="auto"/>
          <w:szCs w:val="21"/>
        </w:rPr>
        <w:t xml:space="preserve">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  </w:t>
      </w:r>
      <w:r>
        <w:rPr>
          <w:rFonts w:hint="eastAsia" w:ascii="宋体" w:hAnsi="宋体"/>
          <w:color w:val="auto"/>
          <w:szCs w:val="21"/>
        </w:rPr>
        <w:t>：</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rPr>
        <w:t>备注（</w:t>
      </w:r>
      <w:r>
        <w:rPr>
          <w:rFonts w:ascii="宋体" w:hAnsi="宋体"/>
          <w:color w:val="auto"/>
        </w:rPr>
        <w:t>3）</w:t>
      </w:r>
    </w:p>
    <w:p>
      <w:pPr>
        <w:spacing w:line="360" w:lineRule="auto"/>
        <w:rPr>
          <w:rFonts w:ascii="宋体" w:hAnsi="宋体"/>
          <w:color w:val="auto"/>
          <w:u w:val="single"/>
        </w:rPr>
      </w:pPr>
      <w:r>
        <w:rPr>
          <w:rFonts w:hint="eastAsia" w:ascii="宋体" w:hAnsi="宋体"/>
          <w:color w:val="auto"/>
        </w:rPr>
        <w:t>中标服务费收取方式（必须且只能选择其中一种，否则默认同意第一种收取方式）：</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A：直接抵扣方式-在本次招标项目的投标保证金中直接扣除（如扣除服务费后仍有余款，将在开具发票后退还）；</w:t>
      </w:r>
    </w:p>
    <w:p>
      <w:pPr>
        <w:spacing w:line="360" w:lineRule="auto"/>
        <w:rPr>
          <w:rFonts w:ascii="宋体" w:hAnsi="宋体"/>
          <w:color w:val="auto"/>
        </w:rPr>
      </w:pPr>
      <w:r>
        <w:rPr>
          <w:rFonts w:ascii="宋体" w:hAnsi="宋体"/>
          <w:color w:val="auto"/>
        </w:rPr>
        <w:t>B：另外支付方式（银行电汇）-不在投标保证金中抵扣（投标保证金将在中标服务费交纳后退还）。</w:t>
      </w:r>
    </w:p>
    <w:p>
      <w:pPr>
        <w:spacing w:line="360" w:lineRule="auto"/>
        <w:ind w:right="840" w:firstLine="4620" w:firstLineChars="2200"/>
        <w:rPr>
          <w:rFonts w:ascii="宋体" w:hAnsi="宋体"/>
          <w:color w:val="auto"/>
        </w:rPr>
      </w:pPr>
      <w:r>
        <w:rPr>
          <w:rFonts w:hint="eastAsia" w:ascii="宋体" w:hAnsi="宋体"/>
          <w:color w:val="auto"/>
        </w:rPr>
        <w:t>承诺方授权代表签字：</w:t>
      </w:r>
      <w:r>
        <w:rPr>
          <w:rFonts w:ascii="宋体" w:hAnsi="宋体"/>
          <w:color w:val="auto"/>
          <w:u w:val="single"/>
        </w:rPr>
        <w:t xml:space="preserve">               </w:t>
      </w:r>
    </w:p>
    <w:p>
      <w:pPr>
        <w:spacing w:line="360" w:lineRule="auto"/>
        <w:ind w:right="840"/>
        <w:jc w:val="center"/>
        <w:rPr>
          <w:rFonts w:ascii="宋体" w:hAnsi="宋体"/>
          <w:color w:val="auto"/>
          <w:u w:val="single"/>
        </w:rPr>
      </w:pPr>
      <w:r>
        <w:rPr>
          <w:rFonts w:ascii="宋体" w:hAnsi="宋体"/>
          <w:color w:val="auto"/>
        </w:rPr>
        <w:t xml:space="preserve">                           </w:t>
      </w:r>
      <w:r>
        <w:rPr>
          <w:rFonts w:hint="eastAsia" w:ascii="宋体" w:hAnsi="宋体"/>
          <w:color w:val="auto"/>
        </w:rPr>
        <w:t>承诺日期：</w:t>
      </w:r>
      <w:r>
        <w:rPr>
          <w:rFonts w:ascii="宋体" w:hAnsi="宋体"/>
          <w:color w:val="auto"/>
          <w:u w:val="single"/>
        </w:rPr>
        <w:t xml:space="preserve">             </w:t>
      </w:r>
    </w:p>
    <w:p>
      <w:pPr>
        <w:spacing w:line="360" w:lineRule="auto"/>
        <w:ind w:right="840" w:firstLine="4620" w:firstLineChars="2200"/>
        <w:rPr>
          <w:rFonts w:ascii="宋体" w:hAnsi="宋体"/>
          <w:color w:val="auto"/>
          <w:u w:val="single"/>
        </w:rPr>
      </w:pPr>
      <w:r>
        <w:rPr>
          <w:rFonts w:hint="eastAsia" w:ascii="宋体" w:hAnsi="宋体"/>
          <w:color w:val="auto"/>
        </w:rPr>
        <w:t>承诺方盖章：</w:t>
      </w:r>
      <w:r>
        <w:rPr>
          <w:rFonts w:ascii="宋体" w:hAnsi="宋体"/>
          <w:color w:val="auto"/>
          <w:u w:val="single"/>
        </w:rPr>
        <w:t xml:space="preserve">               </w:t>
      </w:r>
    </w:p>
    <w:p>
      <w:pPr>
        <w:ind w:right="840"/>
        <w:rPr>
          <w:color w:val="auto"/>
        </w:rPr>
      </w:pPr>
      <w:r>
        <w:rPr>
          <w:rFonts w:hint="eastAsia" w:ascii="宋体" w:hAnsi="宋体"/>
          <w:color w:val="auto"/>
          <w:szCs w:val="21"/>
          <w:u w:val="single"/>
        </w:rPr>
        <w:t>注：承诺书内容必须填写，否则视为非响应性投标。</w:t>
      </w:r>
    </w:p>
    <w:p>
      <w:pPr>
        <w:spacing w:line="360" w:lineRule="auto"/>
        <w:rPr>
          <w:rFonts w:ascii="宋体" w:hAnsi="宋体"/>
          <w:color w:val="auto"/>
        </w:rPr>
      </w:pPr>
      <w:r>
        <w:rPr>
          <w:rFonts w:hint="eastAsia" w:ascii="宋体" w:hAnsi="宋体"/>
          <w:color w:val="auto"/>
        </w:rPr>
        <w:t>若我司未按前述期限支付服务费，贵司有权直接在应付我司任何一笔款项中直接扣除。</w:t>
      </w:r>
    </w:p>
    <w:p>
      <w:pPr>
        <w:rPr>
          <w:rFonts w:ascii="宋体" w:hAnsi="宋体"/>
          <w:color w:val="auto"/>
        </w:rPr>
      </w:pPr>
      <w:r>
        <w:rPr>
          <w:rFonts w:hint="eastAsia" w:ascii="宋体" w:hAnsi="宋体"/>
          <w:color w:val="auto"/>
        </w:rPr>
        <w:t>因前述事项发生争议，我方同意将争议提交法院仲裁解决。</w:t>
      </w:r>
    </w:p>
    <w:p>
      <w:pPr>
        <w:rPr>
          <w:rFonts w:hint="eastAsia" w:ascii="宋体" w:hAnsi="宋体"/>
          <w:bCs/>
          <w:color w:val="auto"/>
          <w:szCs w:val="21"/>
          <w:lang w:val="en-US" w:eastAsia="zh-CN"/>
        </w:rPr>
      </w:pPr>
    </w:p>
    <w:p>
      <w:pPr>
        <w:rPr>
          <w:rFonts w:hint="eastAsia" w:ascii="宋体" w:hAnsi="宋体" w:eastAsia="宋体"/>
          <w:bCs/>
          <w:color w:val="auto"/>
          <w:szCs w:val="21"/>
          <w:lang w:eastAsia="zh-CN"/>
        </w:rPr>
      </w:pPr>
    </w:p>
    <w:p>
      <w:pPr>
        <w:rPr>
          <w:rFonts w:ascii="宋体" w:hAnsi="宋体"/>
          <w:color w:val="auto"/>
          <w:sz w:val="22"/>
        </w:rPr>
      </w:pPr>
    </w:p>
    <w:p>
      <w:pPr>
        <w:pStyle w:val="36"/>
        <w:numPr>
          <w:ilvl w:val="0"/>
          <w:numId w:val="27"/>
        </w:numPr>
        <w:tabs>
          <w:tab w:val="left" w:pos="588"/>
        </w:tabs>
        <w:snapToGrid w:val="0"/>
        <w:spacing w:before="120" w:after="120" w:line="440" w:lineRule="exact"/>
        <w:jc w:val="left"/>
        <w:rPr>
          <w:rFonts w:ascii="宋体" w:hAnsi="宋体"/>
          <w:color w:val="auto"/>
          <w:sz w:val="24"/>
          <w:szCs w:val="24"/>
        </w:rPr>
      </w:pPr>
      <w:bookmarkStart w:id="832" w:name="_Toc56432257"/>
      <w:bookmarkStart w:id="833" w:name="_Toc17761"/>
      <w:bookmarkStart w:id="834" w:name="_Toc23630"/>
      <w:bookmarkStart w:id="835" w:name="_Toc571"/>
      <w:bookmarkStart w:id="836" w:name="_Toc31081"/>
      <w:r>
        <w:rPr>
          <w:rFonts w:hint="eastAsia" w:ascii="宋体" w:hAnsi="宋体"/>
          <w:color w:val="auto"/>
          <w:sz w:val="24"/>
          <w:szCs w:val="24"/>
        </w:rPr>
        <w:t>投标保证金汇款凭证</w:t>
      </w:r>
      <w:bookmarkEnd w:id="831"/>
      <w:bookmarkEnd w:id="832"/>
      <w:bookmarkEnd w:id="833"/>
      <w:bookmarkEnd w:id="834"/>
      <w:bookmarkEnd w:id="835"/>
      <w:bookmarkEnd w:id="836"/>
    </w:p>
    <w:p>
      <w:pPr>
        <w:rPr>
          <w:color w:val="auto"/>
        </w:rPr>
      </w:pPr>
      <w:r>
        <w:rPr>
          <w:rFonts w:hint="eastAsia"/>
          <w:color w:val="auto"/>
        </w:rPr>
        <w:t>清晰的投标保证金付款凭证</w:t>
      </w:r>
    </w:p>
    <w:p>
      <w:pPr>
        <w:spacing w:line="360" w:lineRule="auto"/>
        <w:ind w:firstLine="420" w:firstLineChars="200"/>
        <w:rPr>
          <w:rFonts w:ascii="宋体" w:hAnsi="宋体"/>
          <w:color w:val="auto"/>
        </w:rPr>
      </w:pPr>
    </w:p>
    <w:p>
      <w:pPr>
        <w:rPr>
          <w:rFonts w:hint="eastAsia" w:ascii="宋体" w:hAnsi="宋体" w:eastAsia="宋体"/>
          <w:bCs/>
          <w:color w:val="auto"/>
          <w:szCs w:val="21"/>
          <w:lang w:eastAsia="zh-CN"/>
        </w:rPr>
      </w:pPr>
    </w:p>
    <w:p>
      <w:pPr>
        <w:spacing w:line="360" w:lineRule="auto"/>
        <w:ind w:firstLine="420" w:firstLineChars="200"/>
        <w:rPr>
          <w:rFonts w:ascii="宋体" w:hAnsi="宋体"/>
          <w:color w:val="auto"/>
        </w:rPr>
      </w:pPr>
    </w:p>
    <w:p>
      <w:pPr>
        <w:spacing w:line="360" w:lineRule="auto"/>
        <w:rPr>
          <w:rFonts w:ascii="宋体" w:hAnsi="宋体"/>
          <w:color w:val="auto"/>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070F694-BC44-4E36-88EB-EEE9713E21D7}"/>
  </w:font>
  <w:font w:name="黑体">
    <w:panose1 w:val="02010609060101010101"/>
    <w:charset w:val="86"/>
    <w:family w:val="auto"/>
    <w:pitch w:val="default"/>
    <w:sig w:usb0="800002BF" w:usb1="38CF7CFA" w:usb2="00000016" w:usb3="00000000" w:csb0="00040001" w:csb1="00000000"/>
    <w:embedRegular r:id="rId2" w:fontKey="{99DCA807-2856-4D86-BA55-D7D12E00EC9E}"/>
  </w:font>
  <w:font w:name="Courier New">
    <w:panose1 w:val="02070309020205020404"/>
    <w:charset w:val="01"/>
    <w:family w:val="modern"/>
    <w:pitch w:val="default"/>
    <w:sig w:usb0="E0002EFF" w:usb1="C0007843" w:usb2="00000009" w:usb3="00000000" w:csb0="400001FF" w:csb1="FFFF0000"/>
    <w:embedRegular r:id="rId3" w:fontKey="{EE27EB12-E148-48E7-A017-CE0B38FF98E5}"/>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4" w:fontKey="{8FF8686F-A845-44FD-9A9F-598B8F30348F}"/>
  </w:font>
  <w:font w:name="仿宋_GB2312">
    <w:panose1 w:val="02010609030101010101"/>
    <w:charset w:val="86"/>
    <w:family w:val="modern"/>
    <w:pitch w:val="default"/>
    <w:sig w:usb0="00000001" w:usb1="080E0000" w:usb2="00000000" w:usb3="00000000" w:csb0="00040000" w:csb1="00000000"/>
    <w:embedRegular r:id="rId5" w:fontKey="{838F732B-39BC-4356-85B7-09D005DA1B9A}"/>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embedRegular r:id="rId6" w:fontKey="{05EB0CAD-73D3-471B-A871-D29387515CB7}"/>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6"/>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9A399"/>
    <w:multiLevelType w:val="singleLevel"/>
    <w:tmpl w:val="88C9A399"/>
    <w:lvl w:ilvl="0" w:tentative="0">
      <w:start w:val="1"/>
      <w:numFmt w:val="decimal"/>
      <w:suff w:val="nothing"/>
      <w:lvlText w:val="%1、"/>
      <w:lvlJc w:val="left"/>
    </w:lvl>
  </w:abstractNum>
  <w:abstractNum w:abstractNumId="1">
    <w:nsid w:val="8CC19EC3"/>
    <w:multiLevelType w:val="multilevel"/>
    <w:tmpl w:val="8CC19EC3"/>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2">
    <w:nsid w:val="C461DB73"/>
    <w:multiLevelType w:val="singleLevel"/>
    <w:tmpl w:val="C461DB73"/>
    <w:lvl w:ilvl="0" w:tentative="0">
      <w:start w:val="1"/>
      <w:numFmt w:val="decimal"/>
      <w:lvlText w:val="%1."/>
      <w:lvlJc w:val="left"/>
      <w:pPr>
        <w:ind w:left="425" w:hanging="425"/>
      </w:pPr>
      <w:rPr>
        <w:rFonts w:hint="default"/>
      </w:rPr>
    </w:lvl>
  </w:abstractNum>
  <w:abstractNum w:abstractNumId="3">
    <w:nsid w:val="CB0B489A"/>
    <w:multiLevelType w:val="multilevel"/>
    <w:tmpl w:val="CB0B489A"/>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4">
    <w:nsid w:val="D0147B26"/>
    <w:multiLevelType w:val="multilevel"/>
    <w:tmpl w:val="D0147B26"/>
    <w:lvl w:ilvl="0" w:tentative="0">
      <w:start w:val="1"/>
      <w:numFmt w:val="chineseCounting"/>
      <w:suff w:val="nothing"/>
      <w:lvlText w:val="%1、"/>
      <w:lvlJc w:val="left"/>
      <w:rPr>
        <w:rFonts w:hint="eastAsia"/>
      </w:rPr>
    </w:lvl>
    <w:lvl w:ilvl="1" w:tentative="0">
      <w:start w:val="1"/>
      <w:numFmt w:val="decimal"/>
      <w:suff w:val="nothing"/>
      <w:lvlText w:val="%2．"/>
      <w:lvlJc w:val="left"/>
      <w:rPr>
        <w:rFonts w:hint="eastAsia"/>
      </w:rPr>
    </w:lvl>
    <w:lvl w:ilvl="2" w:tentative="0">
      <w:start w:val="1"/>
      <w:numFmt w:val="decimal"/>
      <w:suff w:val="nothing"/>
      <w:lvlText w:val="（%3）"/>
      <w:lvlJc w:val="left"/>
      <w:rPr>
        <w:rFonts w:hint="eastAsia"/>
      </w:rPr>
    </w:lvl>
    <w:lvl w:ilvl="3" w:tentative="0">
      <w:start w:val="1"/>
      <w:numFmt w:val="decimalEnclosedCircleChinese"/>
      <w:suff w:val="nothing"/>
      <w:lvlText w:val="%4"/>
      <w:lvlJc w:val="left"/>
      <w:rPr>
        <w:rFonts w:hint="eastAsia"/>
      </w:rPr>
    </w:lvl>
    <w:lvl w:ilvl="4" w:tentative="0">
      <w:start w:val="1"/>
      <w:numFmt w:val="decimal"/>
      <w:suff w:val="nothing"/>
      <w:lvlText w:val="%5）"/>
      <w:lvlJc w:val="left"/>
      <w:rPr>
        <w:rFonts w:hint="eastAsia"/>
      </w:rPr>
    </w:lvl>
    <w:lvl w:ilvl="5" w:tentative="0">
      <w:start w:val="1"/>
      <w:numFmt w:val="lowerLetter"/>
      <w:suff w:val="nothing"/>
      <w:lvlText w:val="%6．"/>
      <w:lvlJc w:val="left"/>
      <w:rPr>
        <w:rFonts w:hint="eastAsia"/>
      </w:rPr>
    </w:lvl>
    <w:lvl w:ilvl="6" w:tentative="0">
      <w:start w:val="1"/>
      <w:numFmt w:val="lowerLetter"/>
      <w:suff w:val="nothing"/>
      <w:lvlText w:val="%7）"/>
      <w:lvlJc w:val="left"/>
      <w:rPr>
        <w:rFonts w:hint="eastAsia"/>
      </w:rPr>
    </w:lvl>
    <w:lvl w:ilvl="7" w:tentative="0">
      <w:start w:val="1"/>
      <w:numFmt w:val="lowerRoman"/>
      <w:suff w:val="nothing"/>
      <w:lvlText w:val="%8．"/>
      <w:lvlJc w:val="left"/>
      <w:rPr>
        <w:rFonts w:hint="eastAsia"/>
      </w:rPr>
    </w:lvl>
    <w:lvl w:ilvl="8" w:tentative="0">
      <w:start w:val="1"/>
      <w:numFmt w:val="lowerRoman"/>
      <w:suff w:val="nothing"/>
      <w:lvlText w:val="%9）"/>
      <w:lvlJc w:val="left"/>
      <w:rPr>
        <w:rFonts w:hint="eastAsia"/>
      </w:rPr>
    </w:lvl>
  </w:abstractNum>
  <w:abstractNum w:abstractNumId="5">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6">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7">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8">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5DD9B99"/>
    <w:multiLevelType w:val="singleLevel"/>
    <w:tmpl w:val="25DD9B99"/>
    <w:lvl w:ilvl="0" w:tentative="0">
      <w:start w:val="1"/>
      <w:numFmt w:val="chineseCounting"/>
      <w:suff w:val="nothing"/>
      <w:lvlText w:val="（%1）"/>
      <w:lvlJc w:val="left"/>
      <w:pPr>
        <w:ind w:left="0" w:firstLine="420"/>
      </w:pPr>
      <w:rPr>
        <w:rFonts w:hint="eastAsia"/>
      </w:rPr>
    </w:lvl>
  </w:abstractNum>
  <w:abstractNum w:abstractNumId="11">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32816ED"/>
    <w:multiLevelType w:val="multilevel"/>
    <w:tmpl w:val="432816E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5">
    <w:nsid w:val="51D05023"/>
    <w:multiLevelType w:val="multilevel"/>
    <w:tmpl w:val="51D05023"/>
    <w:lvl w:ilvl="0" w:tentative="0">
      <w:start w:val="1"/>
      <w:numFmt w:val="decimal"/>
      <w:lvlText w:val="%1."/>
      <w:lvlJc w:val="left"/>
      <w:pPr>
        <w:tabs>
          <w:tab w:val="left" w:pos="360"/>
        </w:tabs>
        <w:ind w:left="113" w:hanging="113"/>
      </w:pPr>
      <w:rPr>
        <w:b/>
        <w:i w:val="0"/>
        <w:sz w:val="13"/>
      </w:rPr>
    </w:lvl>
    <w:lvl w:ilvl="1" w:tentative="0">
      <w:start w:val="1"/>
      <w:numFmt w:val="decimal"/>
      <w:pStyle w:val="173"/>
      <w:lvlText w:val="%1.%2"/>
      <w:lvlJc w:val="left"/>
      <w:pPr>
        <w:tabs>
          <w:tab w:val="left" w:pos="567"/>
        </w:tabs>
        <w:ind w:left="567" w:hanging="567"/>
      </w:pPr>
      <w:rPr>
        <w:rFonts w:hint="default" w:ascii="Arial" w:hAnsi="Arial" w:eastAsia="宋体" w:cs="Times New Roman"/>
        <w:b w:val="0"/>
        <w:i w:val="0"/>
        <w:sz w:val="13"/>
      </w:rPr>
    </w:lvl>
    <w:lvl w:ilvl="2" w:tentative="0">
      <w:start w:val="1"/>
      <w:numFmt w:val="bullet"/>
      <w:lvlText w:val=""/>
      <w:lvlJc w:val="left"/>
      <w:pPr>
        <w:tabs>
          <w:tab w:val="left" w:pos="1418"/>
        </w:tabs>
        <w:ind w:left="1418" w:hanging="567"/>
      </w:pPr>
      <w:rPr>
        <w:rFonts w:hint="default" w:ascii="Wingdings" w:hAnsi="Wingdings"/>
        <w:b w:val="0"/>
        <w:i w:val="0"/>
        <w:sz w:val="13"/>
      </w:rPr>
    </w:lvl>
    <w:lvl w:ilvl="3" w:tentative="0">
      <w:start w:val="3"/>
      <w:numFmt w:val="decimal"/>
      <w:lvlText w:val="%1.%2.%3.%4"/>
      <w:lvlJc w:val="left"/>
      <w:pPr>
        <w:tabs>
          <w:tab w:val="left" w:pos="1984"/>
        </w:tabs>
        <w:ind w:left="1984" w:hanging="708"/>
      </w:pPr>
      <w:rPr>
        <w:rFonts w:hint="default" w:ascii="Arial" w:hAnsi="Arial" w:cs="Times New Roman"/>
        <w:sz w:val="13"/>
      </w:r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435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562"/>
        </w:tabs>
        <w:ind w:left="5102" w:hanging="1700"/>
      </w:pPr>
    </w:lvl>
  </w:abstractNum>
  <w:abstractNum w:abstractNumId="16">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7">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A0754D2"/>
    <w:multiLevelType w:val="multilevel"/>
    <w:tmpl w:val="6A0754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8"/>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21">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2">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3">
    <w:nsid w:val="739B461F"/>
    <w:multiLevelType w:val="singleLevel"/>
    <w:tmpl w:val="739B461F"/>
    <w:lvl w:ilvl="0" w:tentative="0">
      <w:start w:val="1"/>
      <w:numFmt w:val="decimal"/>
      <w:lvlText w:val="%1."/>
      <w:lvlJc w:val="left"/>
      <w:pPr>
        <w:ind w:left="425" w:hanging="425"/>
      </w:pPr>
      <w:rPr>
        <w:rFonts w:hint="default"/>
      </w:rPr>
    </w:lvl>
  </w:abstractNum>
  <w:abstractNum w:abstractNumId="24">
    <w:nsid w:val="74730BF9"/>
    <w:multiLevelType w:val="singleLevel"/>
    <w:tmpl w:val="74730BF9"/>
    <w:lvl w:ilvl="0" w:tentative="0">
      <w:start w:val="1"/>
      <w:numFmt w:val="decimal"/>
      <w:suff w:val="nothing"/>
      <w:lvlText w:val="（%1）"/>
      <w:lvlJc w:val="left"/>
    </w:lvl>
  </w:abstractNum>
  <w:abstractNum w:abstractNumId="25">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0"/>
  </w:num>
  <w:num w:numId="2">
    <w:abstractNumId w:val="15"/>
    <w:lvlOverride w:ilvl="0">
      <w:startOverride w:val="1"/>
    </w:lvlOverride>
    <w:lvlOverride w:ilvl="1">
      <w:startOverride w:val="1"/>
    </w:lvlOverride>
  </w:num>
  <w:num w:numId="3">
    <w:abstractNumId w:val="11"/>
  </w:num>
  <w:num w:numId="4">
    <w:abstractNumId w:val="25"/>
  </w:num>
  <w:num w:numId="5">
    <w:abstractNumId w:val="12"/>
  </w:num>
  <w:num w:numId="6">
    <w:abstractNumId w:val="14"/>
  </w:num>
  <w:num w:numId="7">
    <w:abstractNumId w:val="9"/>
  </w:num>
  <w:num w:numId="8">
    <w:abstractNumId w:val="26"/>
  </w:num>
  <w:num w:numId="9">
    <w:abstractNumId w:val="17"/>
  </w:num>
  <w:num w:numId="10">
    <w:abstractNumId w:val="0"/>
  </w:num>
  <w:num w:numId="11">
    <w:abstractNumId w:val="24"/>
  </w:num>
  <w:num w:numId="12">
    <w:abstractNumId w:val="7"/>
  </w:num>
  <w:num w:numId="13">
    <w:abstractNumId w:val="1"/>
  </w:num>
  <w:num w:numId="14">
    <w:abstractNumId w:val="3"/>
  </w:num>
  <w:num w:numId="15">
    <w:abstractNumId w:val="10"/>
  </w:num>
  <w:num w:numId="16">
    <w:abstractNumId w:val="13"/>
  </w:num>
  <w:num w:numId="17">
    <w:abstractNumId w:val="19"/>
  </w:num>
  <w:num w:numId="18">
    <w:abstractNumId w:val="4"/>
  </w:num>
  <w:num w:numId="19">
    <w:abstractNumId w:val="6"/>
  </w:num>
  <w:num w:numId="20">
    <w:abstractNumId w:val="21"/>
  </w:num>
  <w:num w:numId="21">
    <w:abstractNumId w:val="16"/>
  </w:num>
  <w:num w:numId="22">
    <w:abstractNumId w:val="18"/>
  </w:num>
  <w:num w:numId="23">
    <w:abstractNumId w:val="8"/>
  </w:num>
  <w:num w:numId="24">
    <w:abstractNumId w:val="5"/>
  </w:num>
  <w:num w:numId="25">
    <w:abstractNumId w:val="23"/>
  </w:num>
  <w:num w:numId="26">
    <w:abstractNumId w:val="2"/>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0AE"/>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700"/>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3E0B"/>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52DD"/>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4FF9"/>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0EC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97BDF"/>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7834BC"/>
    <w:rsid w:val="019B6E5B"/>
    <w:rsid w:val="01A572C2"/>
    <w:rsid w:val="01AA7E2D"/>
    <w:rsid w:val="0223372C"/>
    <w:rsid w:val="024E7BB8"/>
    <w:rsid w:val="02724107"/>
    <w:rsid w:val="02873BB9"/>
    <w:rsid w:val="028B00DF"/>
    <w:rsid w:val="02A12EA7"/>
    <w:rsid w:val="03134554"/>
    <w:rsid w:val="036411A9"/>
    <w:rsid w:val="036909A2"/>
    <w:rsid w:val="03770B2F"/>
    <w:rsid w:val="037E62D4"/>
    <w:rsid w:val="03A109C8"/>
    <w:rsid w:val="03B32626"/>
    <w:rsid w:val="03C44E26"/>
    <w:rsid w:val="044847DB"/>
    <w:rsid w:val="044E4D07"/>
    <w:rsid w:val="048E4E2C"/>
    <w:rsid w:val="04920992"/>
    <w:rsid w:val="04A520D3"/>
    <w:rsid w:val="055F2BD0"/>
    <w:rsid w:val="05812923"/>
    <w:rsid w:val="05876C93"/>
    <w:rsid w:val="05CE051B"/>
    <w:rsid w:val="05F186D1"/>
    <w:rsid w:val="05F53D8C"/>
    <w:rsid w:val="06073BB9"/>
    <w:rsid w:val="061C162C"/>
    <w:rsid w:val="061C7244"/>
    <w:rsid w:val="066D02E7"/>
    <w:rsid w:val="069C239B"/>
    <w:rsid w:val="07240178"/>
    <w:rsid w:val="073A3B94"/>
    <w:rsid w:val="073D00B1"/>
    <w:rsid w:val="07517424"/>
    <w:rsid w:val="078C5B39"/>
    <w:rsid w:val="07BA496F"/>
    <w:rsid w:val="07D7585B"/>
    <w:rsid w:val="07FE3355"/>
    <w:rsid w:val="083C630F"/>
    <w:rsid w:val="0842770C"/>
    <w:rsid w:val="08795FD3"/>
    <w:rsid w:val="0880670A"/>
    <w:rsid w:val="088F70EF"/>
    <w:rsid w:val="08C25FDC"/>
    <w:rsid w:val="08F905C3"/>
    <w:rsid w:val="09372EA4"/>
    <w:rsid w:val="09991DF2"/>
    <w:rsid w:val="0A305AF7"/>
    <w:rsid w:val="0A3D0E73"/>
    <w:rsid w:val="0AB045B2"/>
    <w:rsid w:val="0AC576BE"/>
    <w:rsid w:val="0AEF24C8"/>
    <w:rsid w:val="0B515336"/>
    <w:rsid w:val="0B660459"/>
    <w:rsid w:val="0B7E6A92"/>
    <w:rsid w:val="0B8C1EB1"/>
    <w:rsid w:val="0BA76793"/>
    <w:rsid w:val="0C0B1806"/>
    <w:rsid w:val="0C4B4CC5"/>
    <w:rsid w:val="0C6002A2"/>
    <w:rsid w:val="0C7F00FE"/>
    <w:rsid w:val="0C803340"/>
    <w:rsid w:val="0CE11D04"/>
    <w:rsid w:val="0CE403CA"/>
    <w:rsid w:val="0D66338C"/>
    <w:rsid w:val="0D83493F"/>
    <w:rsid w:val="0DA60AB5"/>
    <w:rsid w:val="0DAA0122"/>
    <w:rsid w:val="0DAA7F6A"/>
    <w:rsid w:val="0DAD20B0"/>
    <w:rsid w:val="0E2B27FF"/>
    <w:rsid w:val="0EEE3A8A"/>
    <w:rsid w:val="0F1738A1"/>
    <w:rsid w:val="0F653D3B"/>
    <w:rsid w:val="0F7C18C3"/>
    <w:rsid w:val="0F8A0EB4"/>
    <w:rsid w:val="0FB16810"/>
    <w:rsid w:val="0FC301A2"/>
    <w:rsid w:val="102B2AA8"/>
    <w:rsid w:val="106B4B1A"/>
    <w:rsid w:val="10714446"/>
    <w:rsid w:val="107E671F"/>
    <w:rsid w:val="10B03A48"/>
    <w:rsid w:val="11294667"/>
    <w:rsid w:val="113E2276"/>
    <w:rsid w:val="11904724"/>
    <w:rsid w:val="11A025A1"/>
    <w:rsid w:val="11A45C3D"/>
    <w:rsid w:val="11C25DB7"/>
    <w:rsid w:val="11E55183"/>
    <w:rsid w:val="121D7032"/>
    <w:rsid w:val="124401BA"/>
    <w:rsid w:val="125D3136"/>
    <w:rsid w:val="125E66E4"/>
    <w:rsid w:val="12BF1861"/>
    <w:rsid w:val="13000B05"/>
    <w:rsid w:val="136C166A"/>
    <w:rsid w:val="13793BFE"/>
    <w:rsid w:val="13881016"/>
    <w:rsid w:val="1393078D"/>
    <w:rsid w:val="13A75F56"/>
    <w:rsid w:val="13AC16D1"/>
    <w:rsid w:val="13AC7923"/>
    <w:rsid w:val="13BC5284"/>
    <w:rsid w:val="14277A2E"/>
    <w:rsid w:val="145A16C6"/>
    <w:rsid w:val="14B3232E"/>
    <w:rsid w:val="14E607E9"/>
    <w:rsid w:val="15556A44"/>
    <w:rsid w:val="156D7617"/>
    <w:rsid w:val="15782045"/>
    <w:rsid w:val="15AF35F5"/>
    <w:rsid w:val="15FE489C"/>
    <w:rsid w:val="161F4683"/>
    <w:rsid w:val="165C75B9"/>
    <w:rsid w:val="167116DE"/>
    <w:rsid w:val="167D4E04"/>
    <w:rsid w:val="167D7483"/>
    <w:rsid w:val="16B52C7E"/>
    <w:rsid w:val="177E673D"/>
    <w:rsid w:val="17B02D5B"/>
    <w:rsid w:val="17D276F8"/>
    <w:rsid w:val="17F27F0E"/>
    <w:rsid w:val="184A3AAF"/>
    <w:rsid w:val="187D5CFC"/>
    <w:rsid w:val="188361BF"/>
    <w:rsid w:val="188400AA"/>
    <w:rsid w:val="18B31A1A"/>
    <w:rsid w:val="19477264"/>
    <w:rsid w:val="195E21C5"/>
    <w:rsid w:val="19A42F63"/>
    <w:rsid w:val="19C46D56"/>
    <w:rsid w:val="19D90D46"/>
    <w:rsid w:val="19E53D51"/>
    <w:rsid w:val="19F23FD0"/>
    <w:rsid w:val="1A0E783C"/>
    <w:rsid w:val="1A2024D1"/>
    <w:rsid w:val="1A8353BC"/>
    <w:rsid w:val="1AB10FCD"/>
    <w:rsid w:val="1ACE4F42"/>
    <w:rsid w:val="1AE53164"/>
    <w:rsid w:val="1AFD0547"/>
    <w:rsid w:val="1B101C96"/>
    <w:rsid w:val="1B231BC3"/>
    <w:rsid w:val="1B372A94"/>
    <w:rsid w:val="1B3939DF"/>
    <w:rsid w:val="1B744A16"/>
    <w:rsid w:val="1B8B2B71"/>
    <w:rsid w:val="1BAD66BE"/>
    <w:rsid w:val="1BBC1952"/>
    <w:rsid w:val="1BDA3F76"/>
    <w:rsid w:val="1BE36C4D"/>
    <w:rsid w:val="1C1C5CEC"/>
    <w:rsid w:val="1C5706D9"/>
    <w:rsid w:val="1CD8293A"/>
    <w:rsid w:val="1CD96BE2"/>
    <w:rsid w:val="1CF45F16"/>
    <w:rsid w:val="1D2812AE"/>
    <w:rsid w:val="1D4D5877"/>
    <w:rsid w:val="1D590B44"/>
    <w:rsid w:val="1DDC7B43"/>
    <w:rsid w:val="1DEC9A83"/>
    <w:rsid w:val="1E4D32E3"/>
    <w:rsid w:val="1E5C118E"/>
    <w:rsid w:val="1E5E3272"/>
    <w:rsid w:val="1E875225"/>
    <w:rsid w:val="1EAC10F5"/>
    <w:rsid w:val="1EAE123E"/>
    <w:rsid w:val="1EB97598"/>
    <w:rsid w:val="1F07796A"/>
    <w:rsid w:val="1F54662A"/>
    <w:rsid w:val="1FA56B94"/>
    <w:rsid w:val="1FD97001"/>
    <w:rsid w:val="201B00B0"/>
    <w:rsid w:val="20571A9E"/>
    <w:rsid w:val="205A2AE6"/>
    <w:rsid w:val="20A4177A"/>
    <w:rsid w:val="20AA0BD6"/>
    <w:rsid w:val="20BF70D3"/>
    <w:rsid w:val="20E7310B"/>
    <w:rsid w:val="21343C17"/>
    <w:rsid w:val="21874AFF"/>
    <w:rsid w:val="21AE40F9"/>
    <w:rsid w:val="221067E5"/>
    <w:rsid w:val="22B04D29"/>
    <w:rsid w:val="22F10571"/>
    <w:rsid w:val="233A315C"/>
    <w:rsid w:val="236D2D45"/>
    <w:rsid w:val="239E30F5"/>
    <w:rsid w:val="23CA4AEC"/>
    <w:rsid w:val="23DC2E61"/>
    <w:rsid w:val="24036136"/>
    <w:rsid w:val="24A00DDE"/>
    <w:rsid w:val="24D92454"/>
    <w:rsid w:val="24EB799F"/>
    <w:rsid w:val="2516466B"/>
    <w:rsid w:val="252A07EB"/>
    <w:rsid w:val="2535371B"/>
    <w:rsid w:val="25450FC9"/>
    <w:rsid w:val="254A6A83"/>
    <w:rsid w:val="25CB11E0"/>
    <w:rsid w:val="25D54FCA"/>
    <w:rsid w:val="25E31726"/>
    <w:rsid w:val="26166BD4"/>
    <w:rsid w:val="267454C1"/>
    <w:rsid w:val="26B22BED"/>
    <w:rsid w:val="26D94183"/>
    <w:rsid w:val="26D97B7D"/>
    <w:rsid w:val="26FD297B"/>
    <w:rsid w:val="272F17CB"/>
    <w:rsid w:val="27315DD3"/>
    <w:rsid w:val="275013D5"/>
    <w:rsid w:val="27A977C5"/>
    <w:rsid w:val="28390822"/>
    <w:rsid w:val="289664D5"/>
    <w:rsid w:val="28D24539"/>
    <w:rsid w:val="2947366F"/>
    <w:rsid w:val="29B6081C"/>
    <w:rsid w:val="2A092A3C"/>
    <w:rsid w:val="2A2C58AE"/>
    <w:rsid w:val="2A577D69"/>
    <w:rsid w:val="2A88580B"/>
    <w:rsid w:val="2A9F5945"/>
    <w:rsid w:val="2AA00F59"/>
    <w:rsid w:val="2AD920D9"/>
    <w:rsid w:val="2B6A7885"/>
    <w:rsid w:val="2BC57D4F"/>
    <w:rsid w:val="2BE41B4A"/>
    <w:rsid w:val="2BF00B4C"/>
    <w:rsid w:val="2C137599"/>
    <w:rsid w:val="2C9A52DB"/>
    <w:rsid w:val="2CD234CF"/>
    <w:rsid w:val="2D1C25B9"/>
    <w:rsid w:val="2D224814"/>
    <w:rsid w:val="2D290A26"/>
    <w:rsid w:val="2D3B1ABA"/>
    <w:rsid w:val="2D995012"/>
    <w:rsid w:val="2DC2552C"/>
    <w:rsid w:val="2DD77B0B"/>
    <w:rsid w:val="2E167AB8"/>
    <w:rsid w:val="2E416E2A"/>
    <w:rsid w:val="2E6D24D3"/>
    <w:rsid w:val="2E7B70DC"/>
    <w:rsid w:val="2EDD5573"/>
    <w:rsid w:val="2F554382"/>
    <w:rsid w:val="2F707A67"/>
    <w:rsid w:val="2FA72901"/>
    <w:rsid w:val="2FAE1404"/>
    <w:rsid w:val="2FAE2AF9"/>
    <w:rsid w:val="2FB7186F"/>
    <w:rsid w:val="2FCA7E7D"/>
    <w:rsid w:val="2FF84ACE"/>
    <w:rsid w:val="301B6F89"/>
    <w:rsid w:val="30234019"/>
    <w:rsid w:val="30C45EC8"/>
    <w:rsid w:val="30E772EF"/>
    <w:rsid w:val="30F4754C"/>
    <w:rsid w:val="312F5073"/>
    <w:rsid w:val="3172701E"/>
    <w:rsid w:val="317E6003"/>
    <w:rsid w:val="318F1CB4"/>
    <w:rsid w:val="31BB1DAB"/>
    <w:rsid w:val="31CD7699"/>
    <w:rsid w:val="320F2A7B"/>
    <w:rsid w:val="324C3F04"/>
    <w:rsid w:val="326B5D90"/>
    <w:rsid w:val="328021DE"/>
    <w:rsid w:val="328107C5"/>
    <w:rsid w:val="328323C6"/>
    <w:rsid w:val="3286219E"/>
    <w:rsid w:val="32BC205E"/>
    <w:rsid w:val="337D24B6"/>
    <w:rsid w:val="33863EA5"/>
    <w:rsid w:val="33AC21EB"/>
    <w:rsid w:val="33E42A56"/>
    <w:rsid w:val="341A77C9"/>
    <w:rsid w:val="345362A0"/>
    <w:rsid w:val="345C685D"/>
    <w:rsid w:val="34F503D1"/>
    <w:rsid w:val="35104918"/>
    <w:rsid w:val="351C0EE5"/>
    <w:rsid w:val="3545073D"/>
    <w:rsid w:val="356E45E1"/>
    <w:rsid w:val="35867B7C"/>
    <w:rsid w:val="35A320ED"/>
    <w:rsid w:val="360B4F40"/>
    <w:rsid w:val="3610620E"/>
    <w:rsid w:val="363B3D8B"/>
    <w:rsid w:val="36AF433D"/>
    <w:rsid w:val="36B43330"/>
    <w:rsid w:val="371A6C37"/>
    <w:rsid w:val="376D3D8A"/>
    <w:rsid w:val="377F85F7"/>
    <w:rsid w:val="3796167F"/>
    <w:rsid w:val="37A313FC"/>
    <w:rsid w:val="37C67E4C"/>
    <w:rsid w:val="37D10366"/>
    <w:rsid w:val="38563836"/>
    <w:rsid w:val="38634262"/>
    <w:rsid w:val="386C7793"/>
    <w:rsid w:val="39361621"/>
    <w:rsid w:val="39A03481"/>
    <w:rsid w:val="3A0A5A94"/>
    <w:rsid w:val="3A0E6C6E"/>
    <w:rsid w:val="3A2122C5"/>
    <w:rsid w:val="3A2908E1"/>
    <w:rsid w:val="3A2E75F3"/>
    <w:rsid w:val="3A3A3961"/>
    <w:rsid w:val="3A3DCE49"/>
    <w:rsid w:val="3A5E059F"/>
    <w:rsid w:val="3A712BA9"/>
    <w:rsid w:val="3AF51D2E"/>
    <w:rsid w:val="3B023329"/>
    <w:rsid w:val="3B0502BE"/>
    <w:rsid w:val="3B1E672F"/>
    <w:rsid w:val="3B7F431D"/>
    <w:rsid w:val="3B7F5CF5"/>
    <w:rsid w:val="3B8B3A23"/>
    <w:rsid w:val="3B990D34"/>
    <w:rsid w:val="3BF10E30"/>
    <w:rsid w:val="3C213FF7"/>
    <w:rsid w:val="3C30419D"/>
    <w:rsid w:val="3C3834BC"/>
    <w:rsid w:val="3C616837"/>
    <w:rsid w:val="3C8D17F0"/>
    <w:rsid w:val="3CE24B4C"/>
    <w:rsid w:val="3D73A09B"/>
    <w:rsid w:val="3D8F4E1F"/>
    <w:rsid w:val="3DD901D8"/>
    <w:rsid w:val="3DDE3401"/>
    <w:rsid w:val="3E025257"/>
    <w:rsid w:val="3E3F2FCA"/>
    <w:rsid w:val="3E8A2508"/>
    <w:rsid w:val="3E98686A"/>
    <w:rsid w:val="3EAC3B39"/>
    <w:rsid w:val="3EE17BD1"/>
    <w:rsid w:val="3EE86984"/>
    <w:rsid w:val="3F11417D"/>
    <w:rsid w:val="3F1B309B"/>
    <w:rsid w:val="3F2160B7"/>
    <w:rsid w:val="3F3361BD"/>
    <w:rsid w:val="3F3436FB"/>
    <w:rsid w:val="3F6648D9"/>
    <w:rsid w:val="3F755890"/>
    <w:rsid w:val="3F9C4EB3"/>
    <w:rsid w:val="3FE33CB2"/>
    <w:rsid w:val="3FEF8F70"/>
    <w:rsid w:val="40037ECA"/>
    <w:rsid w:val="402A221D"/>
    <w:rsid w:val="40733E91"/>
    <w:rsid w:val="40766E08"/>
    <w:rsid w:val="40B83554"/>
    <w:rsid w:val="40DB4042"/>
    <w:rsid w:val="40E373B2"/>
    <w:rsid w:val="40F45458"/>
    <w:rsid w:val="40FD63BF"/>
    <w:rsid w:val="411419D0"/>
    <w:rsid w:val="416D20C1"/>
    <w:rsid w:val="41744039"/>
    <w:rsid w:val="4220325F"/>
    <w:rsid w:val="424A3412"/>
    <w:rsid w:val="427C6750"/>
    <w:rsid w:val="428A71F0"/>
    <w:rsid w:val="4294306C"/>
    <w:rsid w:val="42AD5460"/>
    <w:rsid w:val="42BA6C0A"/>
    <w:rsid w:val="42D71A17"/>
    <w:rsid w:val="42E64558"/>
    <w:rsid w:val="43153834"/>
    <w:rsid w:val="43226E7B"/>
    <w:rsid w:val="434F77FF"/>
    <w:rsid w:val="43672D9B"/>
    <w:rsid w:val="437C064B"/>
    <w:rsid w:val="43950263"/>
    <w:rsid w:val="43964FA2"/>
    <w:rsid w:val="43C053B1"/>
    <w:rsid w:val="443C5B8E"/>
    <w:rsid w:val="448771F8"/>
    <w:rsid w:val="44BC72E2"/>
    <w:rsid w:val="44E956C1"/>
    <w:rsid w:val="44EE7AE3"/>
    <w:rsid w:val="451929A3"/>
    <w:rsid w:val="454C34AC"/>
    <w:rsid w:val="45902473"/>
    <w:rsid w:val="45AF66F3"/>
    <w:rsid w:val="45F020BA"/>
    <w:rsid w:val="45F67B77"/>
    <w:rsid w:val="4614088C"/>
    <w:rsid w:val="461F261F"/>
    <w:rsid w:val="463D180C"/>
    <w:rsid w:val="465157C7"/>
    <w:rsid w:val="46524C3B"/>
    <w:rsid w:val="46A43BC1"/>
    <w:rsid w:val="476A6995"/>
    <w:rsid w:val="47DD590B"/>
    <w:rsid w:val="47E063AC"/>
    <w:rsid w:val="47E61E54"/>
    <w:rsid w:val="47EE579B"/>
    <w:rsid w:val="481351B0"/>
    <w:rsid w:val="48622A3D"/>
    <w:rsid w:val="4867497F"/>
    <w:rsid w:val="487E577F"/>
    <w:rsid w:val="48857B56"/>
    <w:rsid w:val="48A40D33"/>
    <w:rsid w:val="48CC36A0"/>
    <w:rsid w:val="49071B2A"/>
    <w:rsid w:val="490B2684"/>
    <w:rsid w:val="491054AA"/>
    <w:rsid w:val="491A508E"/>
    <w:rsid w:val="4974451A"/>
    <w:rsid w:val="499A63B7"/>
    <w:rsid w:val="49E7590E"/>
    <w:rsid w:val="4A037229"/>
    <w:rsid w:val="4A070D3E"/>
    <w:rsid w:val="4A14355C"/>
    <w:rsid w:val="4A3D1F42"/>
    <w:rsid w:val="4A523EC6"/>
    <w:rsid w:val="4A8600EE"/>
    <w:rsid w:val="4AAA0E60"/>
    <w:rsid w:val="4AC01B20"/>
    <w:rsid w:val="4AEA6C89"/>
    <w:rsid w:val="4AEC533E"/>
    <w:rsid w:val="4B3D39E3"/>
    <w:rsid w:val="4B402DCD"/>
    <w:rsid w:val="4B977F95"/>
    <w:rsid w:val="4B9832C2"/>
    <w:rsid w:val="4BE54CF1"/>
    <w:rsid w:val="4BF432B8"/>
    <w:rsid w:val="4C0203D7"/>
    <w:rsid w:val="4C2265CD"/>
    <w:rsid w:val="4C3A5D98"/>
    <w:rsid w:val="4C4D2D4A"/>
    <w:rsid w:val="4C8011B4"/>
    <w:rsid w:val="4CA31E28"/>
    <w:rsid w:val="4CB7107B"/>
    <w:rsid w:val="4CBB7E1C"/>
    <w:rsid w:val="4DD17574"/>
    <w:rsid w:val="4DE12E32"/>
    <w:rsid w:val="4E0D565D"/>
    <w:rsid w:val="4E302DA4"/>
    <w:rsid w:val="4ECC7EDB"/>
    <w:rsid w:val="4EFA3E33"/>
    <w:rsid w:val="4F741450"/>
    <w:rsid w:val="4F74614D"/>
    <w:rsid w:val="4F8E54C1"/>
    <w:rsid w:val="4F8E5B53"/>
    <w:rsid w:val="4FA47EEA"/>
    <w:rsid w:val="505521CD"/>
    <w:rsid w:val="50F25217"/>
    <w:rsid w:val="51251E41"/>
    <w:rsid w:val="514900B1"/>
    <w:rsid w:val="515208AC"/>
    <w:rsid w:val="517250FA"/>
    <w:rsid w:val="51726126"/>
    <w:rsid w:val="51A63CB5"/>
    <w:rsid w:val="51C16649"/>
    <w:rsid w:val="51C56629"/>
    <w:rsid w:val="52484CBE"/>
    <w:rsid w:val="52575082"/>
    <w:rsid w:val="52B7373D"/>
    <w:rsid w:val="52D244AD"/>
    <w:rsid w:val="52D57838"/>
    <w:rsid w:val="52D844E6"/>
    <w:rsid w:val="52DB26BC"/>
    <w:rsid w:val="52EB05A3"/>
    <w:rsid w:val="52FA2008"/>
    <w:rsid w:val="53072C41"/>
    <w:rsid w:val="53195C0E"/>
    <w:rsid w:val="53472D43"/>
    <w:rsid w:val="537E7E86"/>
    <w:rsid w:val="53802D48"/>
    <w:rsid w:val="53CB4850"/>
    <w:rsid w:val="540C7B20"/>
    <w:rsid w:val="54275FF2"/>
    <w:rsid w:val="545E7027"/>
    <w:rsid w:val="54653E38"/>
    <w:rsid w:val="54884F56"/>
    <w:rsid w:val="550C76BF"/>
    <w:rsid w:val="551A298B"/>
    <w:rsid w:val="555F21B0"/>
    <w:rsid w:val="557B10EC"/>
    <w:rsid w:val="559F7783"/>
    <w:rsid w:val="55C904F4"/>
    <w:rsid w:val="55D31C6A"/>
    <w:rsid w:val="55E036B6"/>
    <w:rsid w:val="55E17DAE"/>
    <w:rsid w:val="564B3B0F"/>
    <w:rsid w:val="566102F3"/>
    <w:rsid w:val="566F44BB"/>
    <w:rsid w:val="56A81994"/>
    <w:rsid w:val="56DF6C36"/>
    <w:rsid w:val="56EE4CE0"/>
    <w:rsid w:val="56FD550F"/>
    <w:rsid w:val="57672288"/>
    <w:rsid w:val="5831467E"/>
    <w:rsid w:val="58435433"/>
    <w:rsid w:val="58746757"/>
    <w:rsid w:val="5885204F"/>
    <w:rsid w:val="58BB08ED"/>
    <w:rsid w:val="59043705"/>
    <w:rsid w:val="59070F51"/>
    <w:rsid w:val="591E5B38"/>
    <w:rsid w:val="593503BB"/>
    <w:rsid w:val="594124FF"/>
    <w:rsid w:val="594B2301"/>
    <w:rsid w:val="59961C59"/>
    <w:rsid w:val="5A146C55"/>
    <w:rsid w:val="5A783781"/>
    <w:rsid w:val="5A7A6B08"/>
    <w:rsid w:val="5AEA4FB7"/>
    <w:rsid w:val="5AF55AF0"/>
    <w:rsid w:val="5B1000D8"/>
    <w:rsid w:val="5B123B5B"/>
    <w:rsid w:val="5B57B184"/>
    <w:rsid w:val="5B621759"/>
    <w:rsid w:val="5B6323FC"/>
    <w:rsid w:val="5B6634E0"/>
    <w:rsid w:val="5BD333AC"/>
    <w:rsid w:val="5BF30816"/>
    <w:rsid w:val="5C3D3EC6"/>
    <w:rsid w:val="5CC93458"/>
    <w:rsid w:val="5CE31760"/>
    <w:rsid w:val="5DF83818"/>
    <w:rsid w:val="5E2B3502"/>
    <w:rsid w:val="5E5A46B1"/>
    <w:rsid w:val="5E5B259F"/>
    <w:rsid w:val="5EAE7D77"/>
    <w:rsid w:val="5ECB5C87"/>
    <w:rsid w:val="5EDC3512"/>
    <w:rsid w:val="5F3C79EC"/>
    <w:rsid w:val="5F963E59"/>
    <w:rsid w:val="5FAA7CB5"/>
    <w:rsid w:val="5FC16BA1"/>
    <w:rsid w:val="5FCF0583"/>
    <w:rsid w:val="5FEF52B2"/>
    <w:rsid w:val="5FF98581"/>
    <w:rsid w:val="5FFEFAAF"/>
    <w:rsid w:val="600A2A58"/>
    <w:rsid w:val="603A0EE5"/>
    <w:rsid w:val="60413A17"/>
    <w:rsid w:val="605A3989"/>
    <w:rsid w:val="60A65EA0"/>
    <w:rsid w:val="60B57EE1"/>
    <w:rsid w:val="6116361C"/>
    <w:rsid w:val="61556215"/>
    <w:rsid w:val="615A17F1"/>
    <w:rsid w:val="61883264"/>
    <w:rsid w:val="61C12720"/>
    <w:rsid w:val="61CA776D"/>
    <w:rsid w:val="62606AC0"/>
    <w:rsid w:val="627E0812"/>
    <w:rsid w:val="62E02AF7"/>
    <w:rsid w:val="62E14864"/>
    <w:rsid w:val="6305308B"/>
    <w:rsid w:val="63420E44"/>
    <w:rsid w:val="63D47AF2"/>
    <w:rsid w:val="63E213BE"/>
    <w:rsid w:val="64891552"/>
    <w:rsid w:val="64942F87"/>
    <w:rsid w:val="64C60513"/>
    <w:rsid w:val="64D4770D"/>
    <w:rsid w:val="64DE257D"/>
    <w:rsid w:val="64F6698C"/>
    <w:rsid w:val="65327C0A"/>
    <w:rsid w:val="654E7056"/>
    <w:rsid w:val="65673DF2"/>
    <w:rsid w:val="657C687A"/>
    <w:rsid w:val="65965811"/>
    <w:rsid w:val="65B5656A"/>
    <w:rsid w:val="65CB3E5D"/>
    <w:rsid w:val="65D73942"/>
    <w:rsid w:val="65DB7995"/>
    <w:rsid w:val="66112875"/>
    <w:rsid w:val="661D24AB"/>
    <w:rsid w:val="6621763B"/>
    <w:rsid w:val="66237382"/>
    <w:rsid w:val="66577AE6"/>
    <w:rsid w:val="666201D0"/>
    <w:rsid w:val="666530F7"/>
    <w:rsid w:val="66A41664"/>
    <w:rsid w:val="66A67B24"/>
    <w:rsid w:val="66C664AB"/>
    <w:rsid w:val="66DF3E29"/>
    <w:rsid w:val="67064B36"/>
    <w:rsid w:val="67146BDD"/>
    <w:rsid w:val="673F3E2C"/>
    <w:rsid w:val="674E6179"/>
    <w:rsid w:val="67530EA0"/>
    <w:rsid w:val="677683B7"/>
    <w:rsid w:val="678021DF"/>
    <w:rsid w:val="678E4F5D"/>
    <w:rsid w:val="67A02363"/>
    <w:rsid w:val="67A17048"/>
    <w:rsid w:val="67A81B24"/>
    <w:rsid w:val="67B35234"/>
    <w:rsid w:val="67C37D5D"/>
    <w:rsid w:val="67D93482"/>
    <w:rsid w:val="67DE5B76"/>
    <w:rsid w:val="67FC34BB"/>
    <w:rsid w:val="681442AE"/>
    <w:rsid w:val="681F736B"/>
    <w:rsid w:val="68334494"/>
    <w:rsid w:val="68335FDC"/>
    <w:rsid w:val="68406237"/>
    <w:rsid w:val="686434FE"/>
    <w:rsid w:val="68795E76"/>
    <w:rsid w:val="68BF68A9"/>
    <w:rsid w:val="68D32C1E"/>
    <w:rsid w:val="68E96ECE"/>
    <w:rsid w:val="691E3ADB"/>
    <w:rsid w:val="696D6A24"/>
    <w:rsid w:val="69CC2DAC"/>
    <w:rsid w:val="6A131E06"/>
    <w:rsid w:val="6A2D5507"/>
    <w:rsid w:val="6A3A4C5F"/>
    <w:rsid w:val="6A4414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CDE381E"/>
    <w:rsid w:val="6D1159A2"/>
    <w:rsid w:val="6D3F74CE"/>
    <w:rsid w:val="6D455012"/>
    <w:rsid w:val="6D4B0377"/>
    <w:rsid w:val="6D605399"/>
    <w:rsid w:val="6DB84C76"/>
    <w:rsid w:val="6DCF434C"/>
    <w:rsid w:val="6DEA03C6"/>
    <w:rsid w:val="6E4E5C51"/>
    <w:rsid w:val="6EB410D5"/>
    <w:rsid w:val="6ED1430D"/>
    <w:rsid w:val="6F1F54DB"/>
    <w:rsid w:val="6F5B358B"/>
    <w:rsid w:val="6F5F4320"/>
    <w:rsid w:val="6F96850C"/>
    <w:rsid w:val="700F4FBB"/>
    <w:rsid w:val="70620BD3"/>
    <w:rsid w:val="707556A3"/>
    <w:rsid w:val="70891654"/>
    <w:rsid w:val="70B04F4F"/>
    <w:rsid w:val="70C8281B"/>
    <w:rsid w:val="711B149B"/>
    <w:rsid w:val="715700E9"/>
    <w:rsid w:val="719C4070"/>
    <w:rsid w:val="71AA030C"/>
    <w:rsid w:val="71DB02E2"/>
    <w:rsid w:val="72062ED0"/>
    <w:rsid w:val="721647D0"/>
    <w:rsid w:val="721F523C"/>
    <w:rsid w:val="726F3674"/>
    <w:rsid w:val="72796507"/>
    <w:rsid w:val="728E701B"/>
    <w:rsid w:val="72925A66"/>
    <w:rsid w:val="729279B1"/>
    <w:rsid w:val="72BF552A"/>
    <w:rsid w:val="731B5CAB"/>
    <w:rsid w:val="731F2A10"/>
    <w:rsid w:val="732771E1"/>
    <w:rsid w:val="73883560"/>
    <w:rsid w:val="738A2DE8"/>
    <w:rsid w:val="73CF54FE"/>
    <w:rsid w:val="73D75975"/>
    <w:rsid w:val="740022F2"/>
    <w:rsid w:val="74012145"/>
    <w:rsid w:val="74416441"/>
    <w:rsid w:val="747D61D5"/>
    <w:rsid w:val="74C81746"/>
    <w:rsid w:val="74DC173A"/>
    <w:rsid w:val="74E91185"/>
    <w:rsid w:val="750207E3"/>
    <w:rsid w:val="75273484"/>
    <w:rsid w:val="752B5AB4"/>
    <w:rsid w:val="75B13CF6"/>
    <w:rsid w:val="75F50690"/>
    <w:rsid w:val="76387F19"/>
    <w:rsid w:val="765244C3"/>
    <w:rsid w:val="76AA3287"/>
    <w:rsid w:val="77395ACF"/>
    <w:rsid w:val="773B0084"/>
    <w:rsid w:val="777E0893"/>
    <w:rsid w:val="77C17DA0"/>
    <w:rsid w:val="77E054E8"/>
    <w:rsid w:val="77ECA3E2"/>
    <w:rsid w:val="77ED70D9"/>
    <w:rsid w:val="77F22A44"/>
    <w:rsid w:val="780530EF"/>
    <w:rsid w:val="78316DBD"/>
    <w:rsid w:val="78A70C8B"/>
    <w:rsid w:val="78C625DB"/>
    <w:rsid w:val="78F40B19"/>
    <w:rsid w:val="78FE38F8"/>
    <w:rsid w:val="790931EB"/>
    <w:rsid w:val="791E11CD"/>
    <w:rsid w:val="7945606C"/>
    <w:rsid w:val="795C1CE8"/>
    <w:rsid w:val="796D21F3"/>
    <w:rsid w:val="7976556D"/>
    <w:rsid w:val="797A7BCD"/>
    <w:rsid w:val="79B74816"/>
    <w:rsid w:val="79D35595"/>
    <w:rsid w:val="79EF5E1E"/>
    <w:rsid w:val="7A1D5443"/>
    <w:rsid w:val="7A2F1E3C"/>
    <w:rsid w:val="7A317BB9"/>
    <w:rsid w:val="7A47390F"/>
    <w:rsid w:val="7A60326D"/>
    <w:rsid w:val="7A835A05"/>
    <w:rsid w:val="7AB47064"/>
    <w:rsid w:val="7AF44B97"/>
    <w:rsid w:val="7B306C2F"/>
    <w:rsid w:val="7BBD4F42"/>
    <w:rsid w:val="7BF22823"/>
    <w:rsid w:val="7BFB4E3F"/>
    <w:rsid w:val="7C225B08"/>
    <w:rsid w:val="7C36A8BC"/>
    <w:rsid w:val="7C514068"/>
    <w:rsid w:val="7C535A68"/>
    <w:rsid w:val="7CD65A9A"/>
    <w:rsid w:val="7CE73AD5"/>
    <w:rsid w:val="7D124412"/>
    <w:rsid w:val="7D1A3E96"/>
    <w:rsid w:val="7D294122"/>
    <w:rsid w:val="7D615DB9"/>
    <w:rsid w:val="7D6D409B"/>
    <w:rsid w:val="7D747B49"/>
    <w:rsid w:val="7D792FD6"/>
    <w:rsid w:val="7DA3099F"/>
    <w:rsid w:val="7DF696FE"/>
    <w:rsid w:val="7DFF7D24"/>
    <w:rsid w:val="7E7D2889"/>
    <w:rsid w:val="7EA74C91"/>
    <w:rsid w:val="7EA77352"/>
    <w:rsid w:val="7EEF521D"/>
    <w:rsid w:val="7EEF9A6F"/>
    <w:rsid w:val="7F22122D"/>
    <w:rsid w:val="7F2A517E"/>
    <w:rsid w:val="7F5F2709"/>
    <w:rsid w:val="7F693A59"/>
    <w:rsid w:val="7F7B3B0F"/>
    <w:rsid w:val="7F877DCD"/>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52"/>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64"/>
    <w:qFormat/>
    <w:uiPriority w:val="0"/>
    <w:pPr>
      <w:autoSpaceDE w:val="0"/>
      <w:autoSpaceDN w:val="0"/>
      <w:adjustRightInd w:val="0"/>
      <w:spacing w:before="120" w:after="120" w:line="416" w:lineRule="atLeast"/>
      <w:outlineLvl w:val="2"/>
    </w:pPr>
    <w:rPr>
      <w:rFonts w:ascii="黑体"/>
      <w:kern w:val="0"/>
      <w:sz w:val="28"/>
      <w:szCs w:val="20"/>
    </w:rPr>
  </w:style>
  <w:style w:type="paragraph" w:styleId="6">
    <w:name w:val="heading 4"/>
    <w:basedOn w:val="1"/>
    <w:next w:val="1"/>
    <w:link w:val="56"/>
    <w:qFormat/>
    <w:uiPriority w:val="0"/>
    <w:pPr>
      <w:keepNext/>
      <w:outlineLvl w:val="3"/>
    </w:pPr>
    <w:rPr>
      <w:sz w:val="28"/>
      <w:szCs w:val="20"/>
    </w:rPr>
  </w:style>
  <w:style w:type="paragraph" w:styleId="7">
    <w:name w:val="heading 5"/>
    <w:basedOn w:val="1"/>
    <w:next w:val="1"/>
    <w:link w:val="57"/>
    <w:qFormat/>
    <w:uiPriority w:val="0"/>
    <w:pPr>
      <w:keepNext/>
      <w:keepLines/>
      <w:spacing w:before="280" w:after="290" w:line="376" w:lineRule="auto"/>
      <w:outlineLvl w:val="4"/>
    </w:pPr>
    <w:rPr>
      <w:b/>
      <w:bCs/>
      <w:sz w:val="28"/>
      <w:szCs w:val="28"/>
    </w:rPr>
  </w:style>
  <w:style w:type="paragraph" w:styleId="8">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59"/>
    <w:qFormat/>
    <w:uiPriority w:val="0"/>
    <w:pPr>
      <w:keepNext/>
      <w:keepLines/>
      <w:spacing w:before="240" w:after="64" w:line="320" w:lineRule="auto"/>
      <w:outlineLvl w:val="6"/>
    </w:pPr>
    <w:rPr>
      <w:b/>
      <w:bCs/>
      <w:sz w:val="24"/>
    </w:rPr>
  </w:style>
  <w:style w:type="paragraph" w:styleId="10">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4"/>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2">
    <w:name w:val="toc 7"/>
    <w:basedOn w:val="1"/>
    <w:next w:val="1"/>
    <w:unhideWhenUsed/>
    <w:qFormat/>
    <w:uiPriority w:val="39"/>
    <w:pPr>
      <w:ind w:left="2520" w:leftChars="1200"/>
    </w:pPr>
    <w:rPr>
      <w:rFonts w:ascii="Calibri" w:hAnsi="Calibri"/>
      <w:szCs w:val="22"/>
    </w:rPr>
  </w:style>
  <w:style w:type="paragraph" w:styleId="13">
    <w:name w:val="Document Map"/>
    <w:basedOn w:val="1"/>
    <w:link w:val="64"/>
    <w:semiHidden/>
    <w:qFormat/>
    <w:uiPriority w:val="0"/>
    <w:rPr>
      <w:rFonts w:ascii="宋体"/>
      <w:sz w:val="18"/>
      <w:szCs w:val="18"/>
    </w:rPr>
  </w:style>
  <w:style w:type="paragraph" w:styleId="14">
    <w:name w:val="annotation text"/>
    <w:basedOn w:val="1"/>
    <w:link w:val="62"/>
    <w:unhideWhenUsed/>
    <w:qFormat/>
    <w:uiPriority w:val="99"/>
    <w:pPr>
      <w:jc w:val="left"/>
    </w:pPr>
  </w:style>
  <w:style w:type="paragraph" w:styleId="15">
    <w:name w:val="Body Text 3"/>
    <w:basedOn w:val="1"/>
    <w:link w:val="65"/>
    <w:unhideWhenUsed/>
    <w:qFormat/>
    <w:uiPriority w:val="99"/>
    <w:pPr>
      <w:spacing w:after="120"/>
    </w:pPr>
    <w:rPr>
      <w:sz w:val="16"/>
      <w:szCs w:val="16"/>
    </w:rPr>
  </w:style>
  <w:style w:type="paragraph" w:styleId="16">
    <w:name w:val="Body Text"/>
    <w:basedOn w:val="1"/>
    <w:next w:val="17"/>
    <w:link w:val="66"/>
    <w:qFormat/>
    <w:uiPriority w:val="99"/>
    <w:rPr>
      <w:sz w:val="28"/>
      <w:szCs w:val="20"/>
    </w:rPr>
  </w:style>
  <w:style w:type="paragraph" w:styleId="17">
    <w:name w:val="Body Text Indent"/>
    <w:basedOn w:val="1"/>
    <w:link w:val="67"/>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8"/>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9"/>
    <w:qFormat/>
    <w:uiPriority w:val="0"/>
    <w:pPr>
      <w:ind w:left="100" w:leftChars="2500"/>
    </w:pPr>
    <w:rPr>
      <w:szCs w:val="20"/>
    </w:rPr>
  </w:style>
  <w:style w:type="paragraph" w:styleId="24">
    <w:name w:val="Body Text Indent 2"/>
    <w:basedOn w:val="1"/>
    <w:link w:val="70"/>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71"/>
    <w:unhideWhenUsed/>
    <w:qFormat/>
    <w:uiPriority w:val="0"/>
    <w:rPr>
      <w:sz w:val="18"/>
      <w:szCs w:val="18"/>
    </w:rPr>
  </w:style>
  <w:style w:type="paragraph" w:styleId="26">
    <w:name w:val="footer"/>
    <w:basedOn w:val="1"/>
    <w:link w:val="72"/>
    <w:unhideWhenUsed/>
    <w:qFormat/>
    <w:uiPriority w:val="0"/>
    <w:pPr>
      <w:tabs>
        <w:tab w:val="center" w:pos="4153"/>
        <w:tab w:val="right" w:pos="8306"/>
      </w:tabs>
      <w:snapToGrid w:val="0"/>
      <w:jc w:val="left"/>
    </w:pPr>
    <w:rPr>
      <w:sz w:val="18"/>
      <w:szCs w:val="18"/>
    </w:rPr>
  </w:style>
  <w:style w:type="paragraph" w:styleId="27">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74"/>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75"/>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6"/>
    <w:qFormat/>
    <w:uiPriority w:val="0"/>
    <w:pPr>
      <w:spacing w:before="240" w:after="60"/>
      <w:jc w:val="center"/>
      <w:outlineLvl w:val="0"/>
    </w:pPr>
    <w:rPr>
      <w:rFonts w:ascii="Cambria" w:hAnsi="Cambria"/>
      <w:b/>
      <w:bCs/>
      <w:sz w:val="32"/>
      <w:szCs w:val="32"/>
    </w:rPr>
  </w:style>
  <w:style w:type="paragraph" w:styleId="37">
    <w:name w:val="annotation subject"/>
    <w:basedOn w:val="14"/>
    <w:next w:val="14"/>
    <w:link w:val="63"/>
    <w:semiHidden/>
    <w:qFormat/>
    <w:uiPriority w:val="0"/>
    <w:rPr>
      <w:b/>
      <w:bCs/>
      <w:szCs w:val="20"/>
    </w:rPr>
  </w:style>
  <w:style w:type="paragraph" w:styleId="38">
    <w:name w:val="Body Text First Indent"/>
    <w:basedOn w:val="1"/>
    <w:next w:val="31"/>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styleId="39">
    <w:name w:val="Body Text First Indent 2"/>
    <w:basedOn w:val="17"/>
    <w:next w:val="1"/>
    <w:qFormat/>
    <w:uiPriority w:val="0"/>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标书正文1"/>
    <w:basedOn w:val="1"/>
    <w:qFormat/>
    <w:uiPriority w:val="0"/>
    <w:pPr>
      <w:spacing w:line="520" w:lineRule="exact"/>
      <w:ind w:firstLine="640" w:firstLineChars="200"/>
    </w:p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_Style 2"/>
    <w:basedOn w:val="1"/>
    <w:qFormat/>
    <w:uiPriority w:val="0"/>
    <w:pPr>
      <w:widowControl/>
      <w:ind w:firstLine="420"/>
    </w:pPr>
    <w:rPr>
      <w:kern w:val="0"/>
      <w:szCs w:val="21"/>
    </w:rPr>
  </w:style>
  <w:style w:type="paragraph" w:customStyle="1" w:styleId="51">
    <w:name w:val="标题 60"/>
    <w:basedOn w:val="8"/>
    <w:qFormat/>
    <w:uiPriority w:val="0"/>
    <w:pPr>
      <w:spacing w:line="319" w:lineRule="auto"/>
      <w:ind w:firstLine="200" w:firstLineChars="200"/>
    </w:pPr>
    <w:rPr>
      <w:b w:val="0"/>
      <w:bCs w:val="0"/>
    </w:rPr>
  </w:style>
  <w:style w:type="character" w:customStyle="1" w:styleId="52">
    <w:name w:val="标题 1 字符"/>
    <w:basedOn w:val="42"/>
    <w:link w:val="3"/>
    <w:qFormat/>
    <w:uiPriority w:val="0"/>
    <w:rPr>
      <w:rFonts w:ascii="Times New Roman" w:hAnsi="Times New Roman" w:eastAsia="宋体" w:cs="Times New Roman"/>
      <w:b/>
      <w:bCs/>
      <w:kern w:val="44"/>
      <w:sz w:val="44"/>
      <w:szCs w:val="44"/>
    </w:rPr>
  </w:style>
  <w:style w:type="character" w:customStyle="1" w:styleId="53">
    <w:name w:val="标题 2 字符"/>
    <w:basedOn w:val="42"/>
    <w:link w:val="5"/>
    <w:qFormat/>
    <w:uiPriority w:val="0"/>
    <w:rPr>
      <w:rFonts w:ascii="Arial" w:hAnsi="Arial" w:eastAsia="黑体"/>
      <w:b/>
      <w:bCs/>
      <w:kern w:val="2"/>
      <w:sz w:val="32"/>
      <w:szCs w:val="32"/>
    </w:rPr>
  </w:style>
  <w:style w:type="character" w:customStyle="1" w:styleId="54">
    <w:name w:val="正文缩进 字符"/>
    <w:link w:val="2"/>
    <w:qFormat/>
    <w:uiPriority w:val="0"/>
    <w:rPr>
      <w:rFonts w:ascii="楷体_GB2312" w:eastAsia="楷体_GB2312"/>
      <w:sz w:val="28"/>
    </w:rPr>
  </w:style>
  <w:style w:type="character" w:customStyle="1" w:styleId="55">
    <w:name w:val="标题 3 字符"/>
    <w:basedOn w:val="42"/>
    <w:qFormat/>
    <w:uiPriority w:val="0"/>
    <w:rPr>
      <w:rFonts w:ascii="黑体" w:eastAsia="黑体"/>
      <w:sz w:val="28"/>
    </w:rPr>
  </w:style>
  <w:style w:type="character" w:customStyle="1" w:styleId="56">
    <w:name w:val="标题 4 字符"/>
    <w:basedOn w:val="42"/>
    <w:link w:val="6"/>
    <w:qFormat/>
    <w:uiPriority w:val="0"/>
    <w:rPr>
      <w:rFonts w:ascii="Times New Roman" w:hAnsi="Times New Roman" w:eastAsia="宋体" w:cs="Times New Roman"/>
      <w:sz w:val="28"/>
      <w:szCs w:val="20"/>
    </w:rPr>
  </w:style>
  <w:style w:type="character" w:customStyle="1" w:styleId="57">
    <w:name w:val="标题 5 字符"/>
    <w:basedOn w:val="42"/>
    <w:link w:val="7"/>
    <w:qFormat/>
    <w:uiPriority w:val="0"/>
    <w:rPr>
      <w:rFonts w:ascii="Times New Roman" w:hAnsi="Times New Roman" w:eastAsia="宋体" w:cs="Times New Roman"/>
      <w:b/>
      <w:bCs/>
      <w:sz w:val="28"/>
      <w:szCs w:val="28"/>
    </w:rPr>
  </w:style>
  <w:style w:type="character" w:customStyle="1" w:styleId="58">
    <w:name w:val="标题 6 字符"/>
    <w:basedOn w:val="42"/>
    <w:link w:val="8"/>
    <w:qFormat/>
    <w:uiPriority w:val="0"/>
    <w:rPr>
      <w:rFonts w:ascii="Arial" w:hAnsi="Arial" w:eastAsia="黑体" w:cs="Times New Roman"/>
      <w:b/>
      <w:bCs/>
      <w:sz w:val="24"/>
      <w:szCs w:val="24"/>
    </w:rPr>
  </w:style>
  <w:style w:type="character" w:customStyle="1" w:styleId="59">
    <w:name w:val="标题 7 字符"/>
    <w:basedOn w:val="42"/>
    <w:link w:val="9"/>
    <w:qFormat/>
    <w:uiPriority w:val="0"/>
    <w:rPr>
      <w:rFonts w:ascii="Times New Roman" w:hAnsi="Times New Roman" w:eastAsia="宋体" w:cs="Times New Roman"/>
      <w:b/>
      <w:bCs/>
      <w:sz w:val="24"/>
      <w:szCs w:val="24"/>
    </w:rPr>
  </w:style>
  <w:style w:type="character" w:customStyle="1" w:styleId="60">
    <w:name w:val="标题 8 字符"/>
    <w:basedOn w:val="42"/>
    <w:link w:val="10"/>
    <w:qFormat/>
    <w:uiPriority w:val="0"/>
    <w:rPr>
      <w:rFonts w:ascii="Arial" w:hAnsi="Arial" w:eastAsia="黑体" w:cs="Times New Roman"/>
      <w:sz w:val="24"/>
      <w:szCs w:val="24"/>
    </w:rPr>
  </w:style>
  <w:style w:type="character" w:customStyle="1" w:styleId="61">
    <w:name w:val="标题 9 字符"/>
    <w:basedOn w:val="42"/>
    <w:link w:val="11"/>
    <w:qFormat/>
    <w:uiPriority w:val="0"/>
    <w:rPr>
      <w:rFonts w:ascii="Arial" w:hAnsi="Arial" w:eastAsia="黑体" w:cs="Times New Roman"/>
      <w:szCs w:val="21"/>
    </w:rPr>
  </w:style>
  <w:style w:type="character" w:customStyle="1" w:styleId="62">
    <w:name w:val="批注文字 字符"/>
    <w:basedOn w:val="42"/>
    <w:link w:val="14"/>
    <w:qFormat/>
    <w:uiPriority w:val="99"/>
    <w:rPr>
      <w:rFonts w:ascii="Times New Roman" w:hAnsi="Times New Roman" w:eastAsia="宋体" w:cs="Times New Roman"/>
      <w:szCs w:val="24"/>
    </w:rPr>
  </w:style>
  <w:style w:type="character" w:customStyle="1" w:styleId="63">
    <w:name w:val="批注主题 字符"/>
    <w:basedOn w:val="62"/>
    <w:link w:val="37"/>
    <w:semiHidden/>
    <w:qFormat/>
    <w:uiPriority w:val="0"/>
    <w:rPr>
      <w:rFonts w:ascii="Times New Roman" w:hAnsi="Times New Roman" w:eastAsia="宋体" w:cs="Times New Roman"/>
      <w:b/>
      <w:bCs/>
      <w:szCs w:val="20"/>
    </w:rPr>
  </w:style>
  <w:style w:type="character" w:customStyle="1" w:styleId="64">
    <w:name w:val="文档结构图 字符"/>
    <w:basedOn w:val="42"/>
    <w:link w:val="13"/>
    <w:semiHidden/>
    <w:qFormat/>
    <w:uiPriority w:val="0"/>
    <w:rPr>
      <w:rFonts w:ascii="宋体" w:hAnsi="Times New Roman" w:eastAsia="宋体" w:cs="Times New Roman"/>
      <w:sz w:val="18"/>
      <w:szCs w:val="18"/>
    </w:rPr>
  </w:style>
  <w:style w:type="character" w:customStyle="1" w:styleId="65">
    <w:name w:val="正文文本 3 字符"/>
    <w:basedOn w:val="42"/>
    <w:link w:val="15"/>
    <w:semiHidden/>
    <w:qFormat/>
    <w:uiPriority w:val="99"/>
    <w:rPr>
      <w:rFonts w:ascii="Times New Roman" w:hAnsi="Times New Roman" w:eastAsia="宋体" w:cs="Times New Roman"/>
      <w:sz w:val="16"/>
      <w:szCs w:val="16"/>
    </w:rPr>
  </w:style>
  <w:style w:type="character" w:customStyle="1" w:styleId="66">
    <w:name w:val="正文文本 字符"/>
    <w:basedOn w:val="42"/>
    <w:link w:val="16"/>
    <w:qFormat/>
    <w:uiPriority w:val="0"/>
    <w:rPr>
      <w:rFonts w:ascii="Times New Roman" w:hAnsi="Times New Roman" w:eastAsia="宋体" w:cs="Times New Roman"/>
      <w:sz w:val="28"/>
      <w:szCs w:val="20"/>
    </w:rPr>
  </w:style>
  <w:style w:type="character" w:customStyle="1" w:styleId="67">
    <w:name w:val="正文文本缩进 字符"/>
    <w:basedOn w:val="42"/>
    <w:link w:val="17"/>
    <w:qFormat/>
    <w:uiPriority w:val="0"/>
    <w:rPr>
      <w:rFonts w:ascii="楷体_GB2312" w:hAnsi="Times New Roman" w:eastAsia="楷体_GB2312" w:cs="Times New Roman"/>
      <w:kern w:val="0"/>
      <w:sz w:val="28"/>
      <w:szCs w:val="20"/>
    </w:rPr>
  </w:style>
  <w:style w:type="character" w:customStyle="1" w:styleId="68">
    <w:name w:val="纯文本 字符"/>
    <w:basedOn w:val="42"/>
    <w:link w:val="21"/>
    <w:qFormat/>
    <w:uiPriority w:val="0"/>
    <w:rPr>
      <w:rFonts w:ascii="宋体" w:hAnsi="Courier New" w:eastAsia="宋体" w:cs="Times New Roman"/>
      <w:szCs w:val="20"/>
    </w:rPr>
  </w:style>
  <w:style w:type="character" w:customStyle="1" w:styleId="69">
    <w:name w:val="日期 字符"/>
    <w:basedOn w:val="42"/>
    <w:link w:val="23"/>
    <w:qFormat/>
    <w:uiPriority w:val="0"/>
    <w:rPr>
      <w:rFonts w:ascii="Times New Roman" w:hAnsi="Times New Roman" w:eastAsia="宋体" w:cs="Times New Roman"/>
      <w:szCs w:val="20"/>
    </w:rPr>
  </w:style>
  <w:style w:type="character" w:customStyle="1" w:styleId="70">
    <w:name w:val="正文文本缩进 2 字符"/>
    <w:basedOn w:val="42"/>
    <w:link w:val="24"/>
    <w:qFormat/>
    <w:uiPriority w:val="0"/>
    <w:rPr>
      <w:rFonts w:ascii="仿宋_GB2312" w:hAnsi="宋体" w:eastAsia="仿宋_GB2312" w:cs="Times New Roman"/>
      <w:sz w:val="24"/>
      <w:szCs w:val="24"/>
    </w:rPr>
  </w:style>
  <w:style w:type="character" w:customStyle="1" w:styleId="71">
    <w:name w:val="批注框文本 字符"/>
    <w:basedOn w:val="42"/>
    <w:link w:val="25"/>
    <w:semiHidden/>
    <w:qFormat/>
    <w:uiPriority w:val="0"/>
    <w:rPr>
      <w:rFonts w:ascii="Times New Roman" w:hAnsi="Times New Roman" w:eastAsia="宋体" w:cs="Times New Roman"/>
      <w:sz w:val="18"/>
      <w:szCs w:val="18"/>
    </w:rPr>
  </w:style>
  <w:style w:type="character" w:customStyle="1" w:styleId="72">
    <w:name w:val="页脚 字符"/>
    <w:basedOn w:val="42"/>
    <w:link w:val="26"/>
    <w:qFormat/>
    <w:uiPriority w:val="0"/>
    <w:rPr>
      <w:rFonts w:ascii="Times New Roman" w:hAnsi="Times New Roman" w:eastAsia="宋体" w:cs="Times New Roman"/>
      <w:sz w:val="18"/>
      <w:szCs w:val="18"/>
    </w:rPr>
  </w:style>
  <w:style w:type="character" w:customStyle="1" w:styleId="73">
    <w:name w:val="页眉 字符"/>
    <w:basedOn w:val="42"/>
    <w:link w:val="27"/>
    <w:qFormat/>
    <w:uiPriority w:val="0"/>
    <w:rPr>
      <w:rFonts w:ascii="Times New Roman" w:hAnsi="Times New Roman" w:eastAsia="宋体" w:cs="Times New Roman"/>
      <w:sz w:val="18"/>
      <w:szCs w:val="18"/>
    </w:rPr>
  </w:style>
  <w:style w:type="character" w:customStyle="1" w:styleId="74">
    <w:name w:val="副标题 字符"/>
    <w:basedOn w:val="42"/>
    <w:link w:val="30"/>
    <w:qFormat/>
    <w:uiPriority w:val="0"/>
    <w:rPr>
      <w:rFonts w:ascii="Cambria" w:hAnsi="Cambria" w:eastAsia="宋体" w:cs="黑体"/>
      <w:b/>
      <w:bCs/>
      <w:kern w:val="28"/>
      <w:sz w:val="32"/>
      <w:szCs w:val="32"/>
    </w:rPr>
  </w:style>
  <w:style w:type="character" w:customStyle="1" w:styleId="75">
    <w:name w:val="正文文本缩进 3 字符"/>
    <w:basedOn w:val="42"/>
    <w:link w:val="32"/>
    <w:qFormat/>
    <w:uiPriority w:val="0"/>
    <w:rPr>
      <w:rFonts w:ascii="Times New Roman" w:hAnsi="Times New Roman" w:eastAsia="宋体" w:cs="Times New Roman"/>
      <w:sz w:val="24"/>
      <w:szCs w:val="20"/>
    </w:rPr>
  </w:style>
  <w:style w:type="character" w:customStyle="1" w:styleId="76">
    <w:name w:val="标题 字符"/>
    <w:basedOn w:val="42"/>
    <w:link w:val="36"/>
    <w:qFormat/>
    <w:uiPriority w:val="0"/>
    <w:rPr>
      <w:rFonts w:ascii="Cambria" w:hAnsi="Cambria" w:eastAsia="宋体" w:cs="Times New Roman"/>
      <w:b/>
      <w:bCs/>
      <w:sz w:val="32"/>
      <w:szCs w:val="32"/>
    </w:rPr>
  </w:style>
  <w:style w:type="paragraph" w:customStyle="1" w:styleId="77">
    <w:name w:val="bt1bt1"/>
    <w:basedOn w:val="3"/>
    <w:qFormat/>
    <w:uiPriority w:val="0"/>
    <w:pPr>
      <w:spacing w:line="240" w:lineRule="auto"/>
      <w:jc w:val="center"/>
    </w:pPr>
    <w:rPr>
      <w:rFonts w:eastAsia="黑体"/>
      <w:b w:val="0"/>
      <w:sz w:val="36"/>
      <w:szCs w:val="36"/>
    </w:rPr>
  </w:style>
  <w:style w:type="paragraph" w:customStyle="1" w:styleId="78">
    <w:name w:val="列出段落1"/>
    <w:basedOn w:val="1"/>
    <w:link w:val="79"/>
    <w:unhideWhenUsed/>
    <w:qFormat/>
    <w:uiPriority w:val="0"/>
    <w:pPr>
      <w:ind w:firstLine="420" w:firstLineChars="200"/>
    </w:pPr>
  </w:style>
  <w:style w:type="character" w:customStyle="1" w:styleId="79">
    <w:name w:val="列表段落 字符"/>
    <w:link w:val="78"/>
    <w:qFormat/>
    <w:uiPriority w:val="0"/>
    <w:rPr>
      <w:rFonts w:ascii="Times New Roman" w:hAnsi="Times New Roman" w:eastAsia="宋体" w:cs="Times New Roman"/>
      <w:szCs w:val="24"/>
    </w:rPr>
  </w:style>
  <w:style w:type="paragraph" w:customStyle="1" w:styleId="8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1">
    <w:name w:val="TOC 标题11"/>
    <w:basedOn w:val="3"/>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2">
    <w:name w:val="_Style 36"/>
    <w:basedOn w:val="1"/>
    <w:qFormat/>
    <w:uiPriority w:val="34"/>
    <w:pPr>
      <w:ind w:firstLine="420" w:firstLineChars="200"/>
    </w:pPr>
    <w:rPr>
      <w:szCs w:val="20"/>
    </w:rPr>
  </w:style>
  <w:style w:type="paragraph" w:customStyle="1" w:styleId="83">
    <w:name w:val="Char Char Char Char Char Char Char Char Char Char Char Char Char"/>
    <w:basedOn w:val="13"/>
    <w:qFormat/>
    <w:uiPriority w:val="0"/>
    <w:pPr>
      <w:shd w:val="clear" w:color="auto" w:fill="000080"/>
    </w:pPr>
    <w:rPr>
      <w:rFonts w:ascii="Tahoma" w:hAnsi="Tahoma"/>
      <w:sz w:val="24"/>
      <w:szCs w:val="24"/>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新定义正文"/>
    <w:basedOn w:val="1"/>
    <w:qFormat/>
    <w:uiPriority w:val="0"/>
    <w:pPr>
      <w:widowControl/>
    </w:pPr>
    <w:rPr>
      <w:color w:val="000000"/>
      <w:szCs w:val="21"/>
    </w:rPr>
  </w:style>
  <w:style w:type="paragraph" w:customStyle="1" w:styleId="86">
    <w:name w:val="节"/>
    <w:basedOn w:val="5"/>
    <w:qFormat/>
    <w:uiPriority w:val="0"/>
    <w:pPr>
      <w:tabs>
        <w:tab w:val="left" w:pos="432"/>
        <w:tab w:val="left" w:pos="576"/>
      </w:tabs>
      <w:spacing w:line="240" w:lineRule="auto"/>
    </w:pPr>
    <w:rPr>
      <w:rFonts w:ascii="黑体"/>
      <w:b w:val="0"/>
      <w:sz w:val="28"/>
      <w:szCs w:val="28"/>
    </w:rPr>
  </w:style>
  <w:style w:type="paragraph" w:customStyle="1" w:styleId="87">
    <w:name w:val="TOC 标题2"/>
    <w:basedOn w:val="3"/>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8">
    <w:name w:val="列出段落11"/>
    <w:basedOn w:val="1"/>
    <w:qFormat/>
    <w:uiPriority w:val="34"/>
    <w:pPr>
      <w:ind w:firstLine="420" w:firstLineChars="200"/>
    </w:pPr>
    <w:rPr>
      <w:szCs w:val="20"/>
    </w:rPr>
  </w:style>
  <w:style w:type="paragraph" w:customStyle="1" w:styleId="8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Char Char1"/>
    <w:qFormat/>
    <w:uiPriority w:val="0"/>
    <w:rPr>
      <w:rFonts w:ascii="楷体_GB2312" w:eastAsia="楷体_GB2312"/>
      <w:sz w:val="28"/>
    </w:rPr>
  </w:style>
  <w:style w:type="character" w:customStyle="1" w:styleId="91">
    <w:name w:val="Char Char"/>
    <w:qFormat/>
    <w:uiPriority w:val="0"/>
    <w:rPr>
      <w:rFonts w:ascii="宋体"/>
      <w:kern w:val="2"/>
      <w:sz w:val="18"/>
      <w:szCs w:val="18"/>
    </w:r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4"/>
    <w:qFormat/>
    <w:uiPriority w:val="0"/>
    <w:pPr>
      <w:autoSpaceDE/>
      <w:autoSpaceDN/>
      <w:adjustRightInd/>
      <w:spacing w:before="0" w:after="0" w:line="400" w:lineRule="exact"/>
    </w:pPr>
    <w:rPr>
      <w:rFonts w:ascii="Times New Roman" w:cs="宋体"/>
      <w:kern w:val="2"/>
      <w:sz w:val="24"/>
    </w:rPr>
  </w:style>
  <w:style w:type="character" w:customStyle="1" w:styleId="94">
    <w:name w:val="批注文字 Char1"/>
    <w:qFormat/>
    <w:uiPriority w:val="99"/>
    <w:rPr>
      <w:kern w:val="2"/>
      <w:sz w:val="21"/>
    </w:rPr>
  </w:style>
  <w:style w:type="paragraph" w:customStyle="1" w:styleId="95">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96">
    <w:name w:val="p0"/>
    <w:basedOn w:val="1"/>
    <w:qFormat/>
    <w:uiPriority w:val="0"/>
    <w:rPr>
      <w:szCs w:val="20"/>
    </w:rPr>
  </w:style>
  <w:style w:type="paragraph" w:customStyle="1" w:styleId="9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normaltextrun"/>
    <w:basedOn w:val="42"/>
    <w:qFormat/>
    <w:uiPriority w:val="0"/>
  </w:style>
  <w:style w:type="character" w:customStyle="1" w:styleId="99">
    <w:name w:val="eop"/>
    <w:basedOn w:val="42"/>
    <w:qFormat/>
    <w:uiPriority w:val="0"/>
  </w:style>
  <w:style w:type="character" w:customStyle="1" w:styleId="100">
    <w:name w:val="列出段落 Char"/>
    <w:qFormat/>
    <w:uiPriority w:val="34"/>
    <w:rPr>
      <w:kern w:val="2"/>
      <w:sz w:val="21"/>
      <w:szCs w:val="24"/>
    </w:rPr>
  </w:style>
  <w:style w:type="character" w:customStyle="1" w:styleId="101">
    <w:name w:val="未处理的提及1"/>
    <w:basedOn w:val="42"/>
    <w:unhideWhenUsed/>
    <w:qFormat/>
    <w:uiPriority w:val="99"/>
    <w:rPr>
      <w:color w:val="605E5C"/>
      <w:shd w:val="clear" w:color="auto" w:fill="E1DFDD"/>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文一 Char"/>
    <w:link w:val="105"/>
    <w:qFormat/>
    <w:locked/>
    <w:uiPriority w:val="0"/>
    <w:rPr>
      <w:spacing w:val="4"/>
      <w:sz w:val="24"/>
      <w:szCs w:val="24"/>
    </w:rPr>
  </w:style>
  <w:style w:type="paragraph" w:customStyle="1" w:styleId="105">
    <w:name w:val="文一"/>
    <w:basedOn w:val="1"/>
    <w:link w:val="104"/>
    <w:qFormat/>
    <w:uiPriority w:val="0"/>
    <w:pPr>
      <w:topLinePunct/>
      <w:adjustRightInd w:val="0"/>
      <w:snapToGrid w:val="0"/>
      <w:spacing w:line="360" w:lineRule="auto"/>
      <w:ind w:firstLine="200" w:firstLineChars="200"/>
    </w:pPr>
    <w:rPr>
      <w:spacing w:val="4"/>
      <w:kern w:val="0"/>
      <w:sz w:val="24"/>
    </w:rPr>
  </w:style>
  <w:style w:type="character" w:customStyle="1" w:styleId="106">
    <w:name w:val="未处理的提及2"/>
    <w:basedOn w:val="42"/>
    <w:unhideWhenUsed/>
    <w:qFormat/>
    <w:uiPriority w:val="99"/>
    <w:rPr>
      <w:color w:val="605E5C"/>
      <w:shd w:val="clear" w:color="auto" w:fill="E1DFDD"/>
    </w:rPr>
  </w:style>
  <w:style w:type="character" w:customStyle="1" w:styleId="107">
    <w:name w:val="p141"/>
    <w:qFormat/>
    <w:uiPriority w:val="0"/>
    <w:rPr>
      <w:sz w:val="21"/>
      <w:szCs w:val="21"/>
    </w:rPr>
  </w:style>
  <w:style w:type="paragraph" w:customStyle="1" w:styleId="108">
    <w:name w:val="列表段落1"/>
    <w:basedOn w:val="1"/>
    <w:unhideWhenUsed/>
    <w:qFormat/>
    <w:uiPriority w:val="34"/>
    <w:pPr>
      <w:ind w:firstLine="420" w:firstLineChars="200"/>
    </w:pPr>
  </w:style>
  <w:style w:type="paragraph" w:customStyle="1" w:styleId="10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段"/>
    <w:link w:val="1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1">
    <w:name w:val="段 Char"/>
    <w:link w:val="110"/>
    <w:qFormat/>
    <w:uiPriority w:val="0"/>
    <w:rPr>
      <w:rFonts w:ascii="宋体"/>
      <w:sz w:val="21"/>
    </w:rPr>
  </w:style>
  <w:style w:type="paragraph" w:customStyle="1" w:styleId="112">
    <w:name w:val="列出段落2"/>
    <w:basedOn w:val="1"/>
    <w:unhideWhenUsed/>
    <w:qFormat/>
    <w:uiPriority w:val="34"/>
    <w:pPr>
      <w:ind w:firstLine="420" w:firstLineChars="200"/>
    </w:pPr>
  </w:style>
  <w:style w:type="table" w:customStyle="1" w:styleId="113">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H正_1"/>
    <w:basedOn w:val="116"/>
    <w:qFormat/>
    <w:uiPriority w:val="0"/>
    <w:pPr>
      <w:spacing w:after="0" w:line="420" w:lineRule="auto"/>
      <w:ind w:firstLine="200" w:firstLineChars="200"/>
      <w:jc w:val="left"/>
    </w:pPr>
    <w:rPr>
      <w:bCs/>
      <w:spacing w:val="0"/>
      <w:kern w:val="2"/>
      <w:szCs w:val="24"/>
    </w:rPr>
  </w:style>
  <w:style w:type="paragraph" w:customStyle="1" w:styleId="116">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7">
    <w:name w:val="H标_1"/>
    <w:basedOn w:val="118"/>
    <w:qFormat/>
    <w:uiPriority w:val="0"/>
    <w:pPr>
      <w:keepNext/>
      <w:keepLines/>
      <w:tabs>
        <w:tab w:val="left" w:pos="1300"/>
        <w:tab w:val="left" w:pos="1440"/>
        <w:tab w:val="left" w:pos="1932"/>
        <w:tab w:val="left" w:pos="6184"/>
      </w:tabs>
    </w:pPr>
    <w:rPr>
      <w:sz w:val="32"/>
    </w:rPr>
  </w:style>
  <w:style w:type="paragraph" w:customStyle="1" w:styleId="118">
    <w:name w:val="标题 1_0"/>
    <w:basedOn w:val="116"/>
    <w:next w:val="119"/>
    <w:qFormat/>
    <w:uiPriority w:val="0"/>
    <w:pPr>
      <w:pageBreakBefore/>
      <w:spacing w:before="120" w:after="60"/>
      <w:ind w:firstLine="0"/>
      <w:jc w:val="center"/>
      <w:outlineLvl w:val="0"/>
    </w:pPr>
    <w:rPr>
      <w:rFonts w:eastAsia="黑体"/>
      <w:b/>
      <w:sz w:val="36"/>
    </w:rPr>
  </w:style>
  <w:style w:type="paragraph" w:customStyle="1" w:styleId="119">
    <w:name w:val="方案正文"/>
    <w:basedOn w:val="116"/>
    <w:qFormat/>
    <w:uiPriority w:val="0"/>
    <w:pPr>
      <w:ind w:firstLine="200" w:firstLineChars="200"/>
    </w:pPr>
    <w:rPr>
      <w:bCs/>
    </w:rPr>
  </w:style>
  <w:style w:type="paragraph" w:customStyle="1" w:styleId="120">
    <w:name w:val="H表_1"/>
    <w:basedOn w:val="121"/>
    <w:qFormat/>
    <w:uiPriority w:val="0"/>
    <w:pPr>
      <w:widowControl/>
      <w:spacing w:line="240" w:lineRule="auto"/>
      <w:jc w:val="center"/>
    </w:pPr>
    <w:rPr>
      <w:rFonts w:ascii="宋体" w:hAnsi="宋体"/>
      <w:kern w:val="0"/>
      <w:sz w:val="20"/>
      <w:szCs w:val="20"/>
    </w:rPr>
  </w:style>
  <w:style w:type="paragraph" w:customStyle="1" w:styleId="121">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3">
    <w:name w:val="文本"/>
    <w:basedOn w:val="116"/>
    <w:qFormat/>
    <w:uiPriority w:val="0"/>
    <w:pPr>
      <w:spacing w:after="0"/>
      <w:ind w:firstLine="420" w:firstLineChars="200"/>
      <w:jc w:val="left"/>
    </w:pPr>
    <w:rPr>
      <w:rFonts w:ascii="宋体" w:hAnsi="宋体"/>
      <w:spacing w:val="0"/>
      <w:kern w:val="2"/>
      <w:sz w:val="21"/>
      <w:szCs w:val="22"/>
    </w:rPr>
  </w:style>
  <w:style w:type="paragraph" w:customStyle="1" w:styleId="124">
    <w:name w:val="Table Paragraph"/>
    <w:basedOn w:val="122"/>
    <w:qFormat/>
    <w:uiPriority w:val="1"/>
    <w:pPr>
      <w:wordWrap/>
      <w:spacing w:line="240" w:lineRule="auto"/>
      <w:jc w:val="left"/>
    </w:pPr>
    <w:rPr>
      <w:rFonts w:ascii="等线" w:hAnsi="等线" w:eastAsia="等线"/>
      <w:kern w:val="0"/>
      <w:sz w:val="22"/>
      <w:lang w:eastAsia="en-US"/>
    </w:rPr>
  </w:style>
  <w:style w:type="paragraph" w:customStyle="1" w:styleId="125">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H表正"/>
    <w:basedOn w:val="116"/>
    <w:qFormat/>
    <w:uiPriority w:val="0"/>
    <w:pPr>
      <w:widowControl/>
      <w:spacing w:after="0" w:line="240" w:lineRule="auto"/>
      <w:ind w:firstLine="0"/>
    </w:pPr>
    <w:rPr>
      <w:rFonts w:ascii="宋体" w:hAnsi="宋体"/>
      <w:color w:val="000000"/>
      <w:spacing w:val="0"/>
      <w:sz w:val="21"/>
      <w:szCs w:val="21"/>
    </w:rPr>
  </w:style>
  <w:style w:type="paragraph" w:customStyle="1" w:styleId="128">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9">
    <w:name w:val="正文缩进_0"/>
    <w:basedOn w:val="121"/>
    <w:qFormat/>
    <w:uiPriority w:val="0"/>
    <w:pPr>
      <w:wordWrap/>
      <w:autoSpaceDE w:val="0"/>
      <w:autoSpaceDN w:val="0"/>
      <w:spacing w:line="360" w:lineRule="auto"/>
      <w:ind w:left="181" w:firstLine="420"/>
    </w:pPr>
    <w:rPr>
      <w:kern w:val="0"/>
      <w:sz w:val="24"/>
      <w:szCs w:val="20"/>
    </w:rPr>
  </w:style>
  <w:style w:type="paragraph" w:customStyle="1" w:styleId="13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缩进_1"/>
    <w:basedOn w:val="116"/>
    <w:qFormat/>
    <w:uiPriority w:val="0"/>
    <w:pPr>
      <w:spacing w:before="60" w:after="60"/>
      <w:ind w:firstLine="420"/>
    </w:pPr>
    <w:rPr>
      <w:rFonts w:ascii="宋体"/>
      <w:color w:val="000000"/>
      <w:spacing w:val="0"/>
      <w:kern w:val="2"/>
    </w:rPr>
  </w:style>
  <w:style w:type="paragraph" w:customStyle="1" w:styleId="132">
    <w:name w:val="正文首行缩进1"/>
    <w:basedOn w:val="133"/>
    <w:qFormat/>
    <w:uiPriority w:val="0"/>
    <w:pPr>
      <w:spacing w:after="60" w:line="400" w:lineRule="exact"/>
      <w:ind w:firstLine="476"/>
    </w:pPr>
    <w:rPr>
      <w:kern w:val="2"/>
    </w:rPr>
  </w:style>
  <w:style w:type="paragraph" w:customStyle="1" w:styleId="133">
    <w:name w:val="正文文本_0"/>
    <w:basedOn w:val="116"/>
    <w:qFormat/>
    <w:uiPriority w:val="99"/>
  </w:style>
  <w:style w:type="paragraph" w:customStyle="1" w:styleId="134">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列出段落_1"/>
    <w:basedOn w:val="138"/>
    <w:qFormat/>
    <w:uiPriority w:val="0"/>
    <w:pPr>
      <w:ind w:firstLine="420" w:firstLineChars="200"/>
    </w:pPr>
    <w:rPr>
      <w:rFonts w:ascii="Times New Roman" w:hAnsi="Times New Roman"/>
      <w:sz w:val="20"/>
      <w:szCs w:val="24"/>
    </w:rPr>
  </w:style>
  <w:style w:type="paragraph" w:customStyle="1" w:styleId="138">
    <w:name w:val="正文_1_2"/>
    <w:qFormat/>
    <w:uiPriority w:val="0"/>
    <w:rPr>
      <w:rFonts w:ascii="Calibri" w:hAnsi="Calibri" w:eastAsia="宋体" w:cs="Times New Roman"/>
      <w:sz w:val="21"/>
      <w:lang w:val="en-US" w:eastAsia="zh-CN" w:bidi="ar-SA"/>
    </w:rPr>
  </w:style>
  <w:style w:type="paragraph" w:customStyle="1" w:styleId="13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列出段落_0"/>
    <w:basedOn w:val="138"/>
    <w:qFormat/>
    <w:uiPriority w:val="0"/>
    <w:pPr>
      <w:ind w:firstLine="420" w:firstLineChars="200"/>
    </w:pPr>
    <w:rPr>
      <w:rFonts w:ascii="Times New Roman" w:hAnsi="Times New Roman"/>
      <w:sz w:val="20"/>
      <w:szCs w:val="24"/>
    </w:rPr>
  </w:style>
  <w:style w:type="paragraph" w:customStyle="1" w:styleId="141">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3">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列出段落3"/>
    <w:basedOn w:val="1"/>
    <w:unhideWhenUsed/>
    <w:qFormat/>
    <w:uiPriority w:val="99"/>
    <w:pPr>
      <w:ind w:firstLine="420" w:firstLineChars="200"/>
    </w:pPr>
  </w:style>
  <w:style w:type="paragraph" w:customStyle="1" w:styleId="146">
    <w:name w:val="列出段落4"/>
    <w:basedOn w:val="1"/>
    <w:unhideWhenUsed/>
    <w:qFormat/>
    <w:uiPriority w:val="99"/>
    <w:pPr>
      <w:ind w:firstLine="420" w:firstLineChars="200"/>
    </w:pPr>
  </w:style>
  <w:style w:type="paragraph" w:customStyle="1" w:styleId="147">
    <w:name w:val="符号列表"/>
    <w:basedOn w:val="1"/>
    <w:next w:val="78"/>
    <w:qFormat/>
    <w:uiPriority w:val="34"/>
    <w:pPr>
      <w:spacing w:line="500" w:lineRule="exact"/>
      <w:ind w:firstLine="480" w:firstLineChars="200"/>
    </w:pPr>
    <w:rPr>
      <w:rFonts w:eastAsia="仿宋_GB2312"/>
      <w:sz w:val="24"/>
      <w:szCs w:val="20"/>
    </w:rPr>
  </w:style>
  <w:style w:type="paragraph" w:customStyle="1" w:styleId="148">
    <w:name w:val="标题 3_0"/>
    <w:basedOn w:val="118"/>
    <w:next w:val="119"/>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9">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50">
    <w:name w:val="正文缩进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正文缩进1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2">
    <w:name w:val="列出段落5"/>
    <w:basedOn w:val="1"/>
    <w:unhideWhenUsed/>
    <w:qFormat/>
    <w:uiPriority w:val="99"/>
    <w:pPr>
      <w:ind w:firstLine="420" w:firstLineChars="200"/>
    </w:pPr>
  </w:style>
  <w:style w:type="paragraph" w:customStyle="1" w:styleId="153">
    <w:name w:val="列出段落6"/>
    <w:basedOn w:val="1"/>
    <w:unhideWhenUsed/>
    <w:qFormat/>
    <w:uiPriority w:val="99"/>
    <w:pPr>
      <w:ind w:firstLine="420" w:firstLineChars="200"/>
    </w:pPr>
  </w:style>
  <w:style w:type="paragraph" w:customStyle="1" w:styleId="154">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5">
    <w:name w:val="List Paragraph"/>
    <w:basedOn w:val="1"/>
    <w:unhideWhenUsed/>
    <w:qFormat/>
    <w:uiPriority w:val="0"/>
    <w:pPr>
      <w:ind w:firstLine="420" w:firstLineChars="200"/>
    </w:pPr>
  </w:style>
  <w:style w:type="paragraph" w:customStyle="1" w:styleId="15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s11"/>
    <w:qFormat/>
    <w:uiPriority w:val="0"/>
    <w:rPr>
      <w:rFonts w:ascii="ˎ̥" w:hAnsi="ˎ̥" w:cs="宋体"/>
      <w:b/>
      <w:color w:val="51585D"/>
      <w:kern w:val="0"/>
      <w:sz w:val="24"/>
      <w:szCs w:val="18"/>
    </w:rPr>
  </w:style>
  <w:style w:type="character" w:customStyle="1" w:styleId="159">
    <w:name w:val="s41"/>
    <w:basedOn w:val="42"/>
    <w:qFormat/>
    <w:uiPriority w:val="0"/>
    <w:rPr>
      <w:rFonts w:ascii="ˎ̥" w:hAnsi="ˎ̥" w:cs="宋体"/>
      <w:color w:val="51585D"/>
      <w:kern w:val="0"/>
      <w:sz w:val="24"/>
      <w:szCs w:val="18"/>
    </w:rPr>
  </w:style>
  <w:style w:type="paragraph" w:customStyle="1" w:styleId="1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1">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2">
    <w:name w:val="缺省文本"/>
    <w:basedOn w:val="1"/>
    <w:qFormat/>
    <w:uiPriority w:val="0"/>
    <w:pPr>
      <w:autoSpaceDE w:val="0"/>
      <w:autoSpaceDN w:val="0"/>
      <w:adjustRightInd w:val="0"/>
      <w:jc w:val="left"/>
    </w:pPr>
    <w:rPr>
      <w:kern w:val="0"/>
      <w:sz w:val="24"/>
    </w:rPr>
  </w:style>
  <w:style w:type="character" w:customStyle="1" w:styleId="163">
    <w:name w:val="无"/>
    <w:qFormat/>
    <w:uiPriority w:val="0"/>
  </w:style>
  <w:style w:type="character" w:customStyle="1" w:styleId="164">
    <w:name w:val="标题 3 字符1"/>
    <w:link w:val="4"/>
    <w:qFormat/>
    <w:uiPriority w:val="0"/>
    <w:rPr>
      <w:b/>
    </w:rPr>
  </w:style>
  <w:style w:type="character" w:customStyle="1" w:styleId="165">
    <w:name w:val="font51"/>
    <w:basedOn w:val="42"/>
    <w:qFormat/>
    <w:uiPriority w:val="0"/>
    <w:rPr>
      <w:rFonts w:hint="eastAsia" w:ascii="宋体" w:hAnsi="宋体" w:eastAsia="宋体" w:cs="宋体"/>
      <w:color w:val="000000"/>
      <w:sz w:val="22"/>
      <w:szCs w:val="22"/>
      <w:u w:val="none"/>
      <w:vertAlign w:val="superscript"/>
    </w:rPr>
  </w:style>
  <w:style w:type="character" w:customStyle="1" w:styleId="166">
    <w:name w:val="p141_0"/>
    <w:qFormat/>
    <w:uiPriority w:val="0"/>
    <w:rPr>
      <w:rFonts w:ascii="Calibri" w:hAnsi="Calibri"/>
      <w:sz w:val="21"/>
      <w:szCs w:val="21"/>
    </w:rPr>
  </w:style>
  <w:style w:type="character" w:customStyle="1" w:styleId="167">
    <w:name w:val="ca-2"/>
    <w:basedOn w:val="42"/>
    <w:qFormat/>
    <w:uiPriority w:val="0"/>
  </w:style>
  <w:style w:type="paragraph" w:customStyle="1" w:styleId="168">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9">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70">
    <w:name w:val="_Style 3"/>
    <w:basedOn w:val="1"/>
    <w:qFormat/>
    <w:uiPriority w:val="0"/>
    <w:pPr>
      <w:ind w:firstLine="420" w:firstLineChars="200"/>
    </w:pPr>
    <w:rPr>
      <w:rFonts w:ascii="Calibri" w:hAnsi="Calibri"/>
      <w:sz w:val="20"/>
    </w:rPr>
  </w:style>
  <w:style w:type="paragraph" w:customStyle="1" w:styleId="171">
    <w:name w:val="List Paragraph1"/>
    <w:basedOn w:val="1"/>
    <w:qFormat/>
    <w:uiPriority w:val="99"/>
    <w:pPr>
      <w:ind w:firstLine="420" w:firstLineChars="200"/>
    </w:pPr>
  </w:style>
  <w:style w:type="paragraph" w:customStyle="1" w:styleId="172">
    <w:name w:val="Body text|1"/>
    <w:basedOn w:val="1"/>
    <w:qFormat/>
    <w:uiPriority w:val="0"/>
    <w:pPr>
      <w:widowControl w:val="0"/>
      <w:shd w:val="clear" w:color="auto" w:fill="auto"/>
      <w:spacing w:after="180"/>
      <w:ind w:firstLine="340"/>
    </w:pPr>
    <w:rPr>
      <w:rFonts w:ascii="宋体" w:hAnsi="宋体" w:eastAsia="宋体" w:cs="宋体"/>
      <w:sz w:val="22"/>
      <w:szCs w:val="22"/>
      <w:u w:val="none"/>
      <w:shd w:val="clear" w:color="auto" w:fill="auto"/>
      <w:lang w:val="zh-TW" w:eastAsia="zh-TW" w:bidi="zh-TW"/>
    </w:rPr>
  </w:style>
  <w:style w:type="paragraph" w:customStyle="1" w:styleId="173">
    <w:name w:val="引言二级条标题"/>
    <w:basedOn w:val="1"/>
    <w:next w:val="1"/>
    <w:qFormat/>
    <w:uiPriority w:val="0"/>
    <w:pPr>
      <w:numPr>
        <w:ilvl w:val="1"/>
        <w:numId w:val="2"/>
      </w:numPr>
      <w:tabs>
        <w:tab w:val="left" w:pos="360"/>
      </w:tabs>
      <w:ind w:firstLine="0"/>
    </w:pPr>
    <w:rPr>
      <w:rFonts w:eastAsia="黑体"/>
      <w: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70</Pages>
  <Words>34750</Words>
  <Characters>36822</Characters>
  <Lines>270</Lines>
  <Paragraphs>76</Paragraphs>
  <TotalTime>19</TotalTime>
  <ScaleCrop>false</ScaleCrop>
  <LinksUpToDate>false</LinksUpToDate>
  <CharactersWithSpaces>38729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MIIT</dc:creator>
  <cp:lastModifiedBy>张雪健</cp:lastModifiedBy>
  <cp:lastPrinted>2023-06-26T02:12:00Z</cp:lastPrinted>
  <dcterms:modified xsi:type="dcterms:W3CDTF">2023-07-06T08:48:24Z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23022BB839D84EC8A7CE8CC4788D2402_13</vt:lpwstr>
  </property>
</Properties>
</file>