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default" w:ascii="方正小标宋_GBK" w:hAnsi="方正小标宋_GBK" w:eastAsia="方正小标宋_GBK" w:cs="方正小标宋_GBK"/>
          <w:b w:val="0"/>
          <w:bCs/>
          <w:sz w:val="44"/>
          <w:szCs w:val="44"/>
          <w:lang w:val="en-US"/>
        </w:rPr>
      </w:pPr>
      <w:r>
        <w:rPr>
          <w:rStyle w:val="11"/>
          <w:rFonts w:hint="eastAsia" w:ascii="方正小标宋_GBK" w:hAnsi="方正小标宋_GBK" w:eastAsia="方正小标宋_GBK" w:cs="方正小标宋_GBK"/>
          <w:bCs/>
          <w:color w:val="000000"/>
          <w:sz w:val="44"/>
          <w:szCs w:val="44"/>
          <w:lang w:val="en-US" w:eastAsia="zh-CN"/>
        </w:rPr>
        <w:t>办</w:t>
      </w:r>
      <w:r>
        <w:rPr>
          <w:rStyle w:val="11"/>
          <w:rFonts w:hint="eastAsia" w:ascii="方正小标宋_GBK" w:hAnsi="方正小标宋_GBK" w:eastAsia="方正小标宋_GBK" w:cs="方正小标宋_GBK"/>
          <w:bCs/>
          <w:color w:val="000000"/>
          <w:sz w:val="44"/>
          <w:szCs w:val="44"/>
          <w:lang w:eastAsia="zh-CN"/>
        </w:rPr>
        <w:t>公室前台及会议室屏幕项目</w:t>
      </w:r>
      <w:r>
        <w:rPr>
          <w:rStyle w:val="11"/>
          <w:rFonts w:hint="eastAsia" w:ascii="方正小标宋_GBK" w:hAnsi="方正小标宋_GBK" w:eastAsia="方正小标宋_GBK" w:cs="方正小标宋_GBK"/>
          <w:bCs/>
          <w:color w:val="000000"/>
          <w:sz w:val="44"/>
          <w:szCs w:val="44"/>
          <w:lang w:val="en-US" w:eastAsia="zh-CN"/>
        </w:rPr>
        <w:t>采购报价函</w:t>
      </w:r>
    </w:p>
    <w:p>
      <w:pPr>
        <w:rPr>
          <w:rFonts w:ascii="仿宋" w:hAnsi="仿宋" w:eastAsia="仿宋" w:cs="仿宋"/>
          <w:b/>
          <w:sz w:val="24"/>
        </w:rPr>
      </w:pPr>
    </w:p>
    <w:p>
      <w:pPr>
        <w:rPr>
          <w:rFonts w:ascii="仿宋" w:hAnsi="仿宋" w:eastAsia="仿宋" w:cs="仿宋"/>
          <w:b/>
          <w:sz w:val="24"/>
        </w:rPr>
      </w:pPr>
      <w:r>
        <w:rPr>
          <w:rFonts w:hint="eastAsia" w:ascii="仿宋" w:hAnsi="仿宋" w:eastAsia="仿宋" w:cs="仿宋"/>
          <w:b/>
          <w:sz w:val="24"/>
        </w:rPr>
        <w:t>广东南方日报经营有限公司：</w:t>
      </w:r>
    </w:p>
    <w:p>
      <w:pPr>
        <w:ind w:firstLine="480" w:firstLineChars="200"/>
        <w:rPr>
          <w:rFonts w:hint="eastAsia" w:ascii="仿宋" w:hAnsi="仿宋" w:eastAsia="仿宋" w:cs="仿宋"/>
          <w:bCs/>
          <w:sz w:val="24"/>
        </w:rPr>
      </w:pPr>
      <w:r>
        <w:rPr>
          <w:rFonts w:hint="eastAsia" w:ascii="仿宋" w:hAnsi="仿宋" w:eastAsia="仿宋" w:cs="仿宋"/>
          <w:bCs/>
          <w:sz w:val="24"/>
        </w:rPr>
        <w:t>经认真阅读“办公室前台及会议室屏幕项目采购公告”，我司符合本项目</w:t>
      </w:r>
      <w:r>
        <w:rPr>
          <w:rFonts w:hint="eastAsia" w:ascii="仿宋" w:hAnsi="仿宋" w:eastAsia="仿宋" w:cs="仿宋"/>
          <w:bCs/>
          <w:sz w:val="24"/>
          <w:lang w:val="en-US" w:eastAsia="zh-CN"/>
        </w:rPr>
        <w:t>要求</w:t>
      </w:r>
      <w:r>
        <w:rPr>
          <w:rFonts w:hint="eastAsia" w:ascii="仿宋" w:hAnsi="仿宋" w:eastAsia="仿宋" w:cs="仿宋"/>
          <w:bCs/>
          <w:sz w:val="24"/>
        </w:rPr>
        <w:t>的资格条件，已完全了解采购公告相关内容，承诺</w:t>
      </w:r>
      <w:r>
        <w:rPr>
          <w:rFonts w:hint="eastAsia" w:ascii="仿宋" w:hAnsi="仿宋" w:eastAsia="仿宋" w:cs="仿宋"/>
          <w:bCs/>
          <w:sz w:val="24"/>
          <w:lang w:val="en-US" w:eastAsia="zh-CN"/>
        </w:rPr>
        <w:t>完全满足</w:t>
      </w:r>
      <w:r>
        <w:rPr>
          <w:rFonts w:hint="eastAsia" w:ascii="仿宋" w:hAnsi="仿宋" w:eastAsia="仿宋" w:cs="仿宋"/>
          <w:bCs/>
          <w:sz w:val="24"/>
        </w:rPr>
        <w:t>采购公告</w:t>
      </w:r>
      <w:r>
        <w:rPr>
          <w:rFonts w:hint="eastAsia" w:ascii="仿宋" w:hAnsi="仿宋" w:eastAsia="仿宋" w:cs="仿宋"/>
          <w:bCs/>
          <w:sz w:val="24"/>
          <w:lang w:val="en-US" w:eastAsia="zh-CN"/>
        </w:rPr>
        <w:t>中</w:t>
      </w:r>
      <w:r>
        <w:rPr>
          <w:rFonts w:hint="eastAsia" w:ascii="仿宋" w:hAnsi="仿宋" w:eastAsia="仿宋" w:cs="仿宋"/>
          <w:bCs/>
          <w:sz w:val="24"/>
        </w:rPr>
        <w:t>的</w:t>
      </w:r>
      <w:r>
        <w:rPr>
          <w:rFonts w:hint="eastAsia" w:ascii="仿宋" w:hAnsi="仿宋" w:eastAsia="仿宋" w:cs="仿宋"/>
          <w:bCs/>
          <w:sz w:val="24"/>
          <w:lang w:val="en-US" w:eastAsia="zh-CN"/>
        </w:rPr>
        <w:t>技术参数</w:t>
      </w:r>
      <w:r>
        <w:rPr>
          <w:rFonts w:hint="eastAsia" w:ascii="仿宋" w:hAnsi="仿宋" w:eastAsia="仿宋" w:cs="仿宋"/>
          <w:bCs/>
          <w:sz w:val="24"/>
        </w:rPr>
        <w:t>要求</w:t>
      </w:r>
      <w:r>
        <w:rPr>
          <w:rFonts w:hint="eastAsia" w:ascii="仿宋" w:hAnsi="仿宋" w:eastAsia="仿宋" w:cs="仿宋"/>
          <w:bCs/>
          <w:sz w:val="24"/>
          <w:lang w:eastAsia="zh-CN"/>
        </w:rPr>
        <w:t>，</w:t>
      </w:r>
      <w:r>
        <w:rPr>
          <w:rFonts w:hint="eastAsia" w:ascii="仿宋" w:hAnsi="仿宋" w:eastAsia="仿宋" w:cs="仿宋"/>
          <w:bCs/>
          <w:sz w:val="24"/>
          <w:lang w:val="en-US" w:eastAsia="zh-CN"/>
        </w:rPr>
        <w:t>并</w:t>
      </w:r>
      <w:r>
        <w:rPr>
          <w:rFonts w:hint="eastAsia" w:ascii="仿宋" w:hAnsi="仿宋" w:eastAsia="仿宋" w:cs="仿宋"/>
          <w:bCs/>
          <w:sz w:val="24"/>
        </w:rPr>
        <w:t>提供产品和服务。报价如下：</w:t>
      </w:r>
    </w:p>
    <w:tbl>
      <w:tblPr>
        <w:tblStyle w:val="9"/>
        <w:tblpPr w:leftFromText="180" w:rightFromText="180" w:vertAnchor="text" w:horzAnchor="page" w:tblpX="846" w:tblpY="308"/>
        <w:tblOverlap w:val="never"/>
        <w:tblW w:w="11017" w:type="dxa"/>
        <w:tblInd w:w="0" w:type="dxa"/>
        <w:tblLayout w:type="fixed"/>
        <w:tblCellMar>
          <w:top w:w="0" w:type="dxa"/>
          <w:left w:w="108" w:type="dxa"/>
          <w:bottom w:w="0" w:type="dxa"/>
          <w:right w:w="108" w:type="dxa"/>
        </w:tblCellMar>
      </w:tblPr>
      <w:tblGrid>
        <w:gridCol w:w="643"/>
        <w:gridCol w:w="801"/>
        <w:gridCol w:w="1175"/>
        <w:gridCol w:w="5346"/>
        <w:gridCol w:w="720"/>
        <w:gridCol w:w="972"/>
        <w:gridCol w:w="1360"/>
      </w:tblGrid>
      <w:tr>
        <w:tblPrEx>
          <w:tblLayout w:type="fixed"/>
          <w:tblCellMar>
            <w:top w:w="0" w:type="dxa"/>
            <w:left w:w="108" w:type="dxa"/>
            <w:bottom w:w="0" w:type="dxa"/>
            <w:right w:w="108" w:type="dxa"/>
          </w:tblCellMar>
        </w:tblPrEx>
        <w:trPr>
          <w:trHeight w:val="1048" w:hRule="atLeast"/>
        </w:trPr>
        <w:tc>
          <w:tcPr>
            <w:tcW w:w="643" w:type="dxa"/>
            <w:tcBorders>
              <w:top w:val="single" w:color="000000" w:sz="4" w:space="0"/>
              <w:left w:val="single" w:color="000000" w:sz="4" w:space="0"/>
              <w:bottom w:val="single" w:color="000000" w:sz="4" w:space="0"/>
              <w:right w:val="single" w:color="000000" w:sz="4" w:space="0"/>
            </w:tcBorders>
            <w:shd w:val="clear" w:color="auto" w:fill="D7D7D7"/>
            <w:noWrap w:val="0"/>
            <w:vAlign w:val="center"/>
          </w:tcPr>
          <w:p>
            <w:pPr>
              <w:widowControl/>
              <w:jc w:val="left"/>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rPr>
              <w:t>序号</w:t>
            </w:r>
          </w:p>
        </w:tc>
        <w:tc>
          <w:tcPr>
            <w:tcW w:w="801" w:type="dxa"/>
            <w:tcBorders>
              <w:top w:val="single" w:color="000000" w:sz="4" w:space="0"/>
              <w:left w:val="single" w:color="000000" w:sz="4" w:space="0"/>
              <w:bottom w:val="single" w:color="000000" w:sz="4" w:space="0"/>
              <w:right w:val="single" w:color="000000" w:sz="4" w:space="0"/>
            </w:tcBorders>
            <w:shd w:val="clear" w:color="auto" w:fill="D7D7D7"/>
            <w:noWrap w:val="0"/>
            <w:vAlign w:val="center"/>
          </w:tcPr>
          <w:p>
            <w:pPr>
              <w:jc w:val="center"/>
              <w:rPr>
                <w:rFonts w:hint="eastAsia" w:ascii="仿宋" w:hAnsi="仿宋" w:eastAsia="仿宋" w:cs="仿宋"/>
                <w:b/>
                <w:bCs/>
                <w:color w:val="000000"/>
                <w:kern w:val="0"/>
                <w:sz w:val="24"/>
                <w:szCs w:val="24"/>
                <w:lang w:eastAsia="zh-CN"/>
              </w:rPr>
            </w:pPr>
            <w:r>
              <w:rPr>
                <w:rFonts w:hint="eastAsia" w:ascii="仿宋" w:hAnsi="仿宋" w:eastAsia="仿宋" w:cs="仿宋"/>
                <w:b/>
                <w:bCs/>
                <w:color w:val="000000"/>
                <w:kern w:val="0"/>
                <w:sz w:val="24"/>
                <w:szCs w:val="24"/>
                <w:lang w:eastAsia="zh-CN"/>
              </w:rPr>
              <w:t>项目</w:t>
            </w:r>
          </w:p>
        </w:tc>
        <w:tc>
          <w:tcPr>
            <w:tcW w:w="1175" w:type="dxa"/>
            <w:tcBorders>
              <w:top w:val="single" w:color="000000" w:sz="4" w:space="0"/>
              <w:left w:val="single" w:color="000000" w:sz="4" w:space="0"/>
              <w:bottom w:val="single" w:color="000000" w:sz="4" w:space="0"/>
              <w:right w:val="single" w:color="000000" w:sz="4" w:space="0"/>
            </w:tcBorders>
            <w:shd w:val="clear" w:color="auto" w:fill="D7D7D7"/>
            <w:noWrap w:val="0"/>
            <w:vAlign w:val="center"/>
          </w:tcPr>
          <w:p>
            <w:pPr>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服务</w:t>
            </w:r>
          </w:p>
          <w:p>
            <w:pPr>
              <w:jc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rPr>
              <w:t>内容</w:t>
            </w:r>
          </w:p>
        </w:tc>
        <w:tc>
          <w:tcPr>
            <w:tcW w:w="5346" w:type="dxa"/>
            <w:tcBorders>
              <w:top w:val="single" w:color="000000" w:sz="4" w:space="0"/>
              <w:left w:val="single" w:color="000000" w:sz="4" w:space="0"/>
              <w:bottom w:val="single" w:color="000000" w:sz="4" w:space="0"/>
              <w:right w:val="single" w:color="000000" w:sz="4" w:space="0"/>
            </w:tcBorders>
            <w:shd w:val="clear" w:color="auto" w:fill="D7D7D7"/>
            <w:noWrap w:val="0"/>
            <w:vAlign w:val="center"/>
          </w:tcPr>
          <w:p>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rPr>
              <w:t>服务指标</w:t>
            </w:r>
          </w:p>
        </w:tc>
        <w:tc>
          <w:tcPr>
            <w:tcW w:w="720" w:type="dxa"/>
            <w:tcBorders>
              <w:top w:val="single" w:color="000000" w:sz="4" w:space="0"/>
              <w:left w:val="single" w:color="000000" w:sz="4" w:space="0"/>
              <w:bottom w:val="single" w:color="000000" w:sz="4" w:space="0"/>
              <w:right w:val="single" w:color="000000" w:sz="4" w:space="0"/>
            </w:tcBorders>
            <w:shd w:val="clear" w:color="auto" w:fill="D7D7D7"/>
            <w:noWrap w:val="0"/>
            <w:vAlign w:val="center"/>
          </w:tcPr>
          <w:p>
            <w:pPr>
              <w:widowControl/>
              <w:jc w:val="center"/>
              <w:textAlignment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数量</w:t>
            </w:r>
          </w:p>
        </w:tc>
        <w:tc>
          <w:tcPr>
            <w:tcW w:w="972" w:type="dxa"/>
            <w:tcBorders>
              <w:top w:val="single" w:color="000000" w:sz="4" w:space="0"/>
              <w:left w:val="single" w:color="000000" w:sz="4" w:space="0"/>
              <w:bottom w:val="single" w:color="000000" w:sz="4" w:space="0"/>
              <w:right w:val="single" w:color="000000" w:sz="4" w:space="0"/>
            </w:tcBorders>
            <w:shd w:val="clear" w:color="auto" w:fill="D7D7D7"/>
            <w:noWrap w:val="0"/>
            <w:vAlign w:val="center"/>
          </w:tcPr>
          <w:p>
            <w:pPr>
              <w:widowControl/>
              <w:jc w:val="center"/>
              <w:textAlignment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单价（元）</w:t>
            </w:r>
          </w:p>
        </w:tc>
        <w:tc>
          <w:tcPr>
            <w:tcW w:w="1360" w:type="dxa"/>
            <w:tcBorders>
              <w:top w:val="single" w:color="000000" w:sz="4" w:space="0"/>
              <w:left w:val="single" w:color="000000" w:sz="4" w:space="0"/>
              <w:bottom w:val="single" w:color="000000" w:sz="4" w:space="0"/>
              <w:right w:val="single" w:color="000000" w:sz="4" w:space="0"/>
            </w:tcBorders>
            <w:shd w:val="clear" w:color="auto" w:fill="D7D7D7"/>
            <w:noWrap w:val="0"/>
            <w:vAlign w:val="center"/>
          </w:tcPr>
          <w:p>
            <w:pPr>
              <w:widowControl/>
              <w:jc w:val="center"/>
              <w:textAlignment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小计（元）</w:t>
            </w:r>
          </w:p>
        </w:tc>
      </w:tr>
      <w:tr>
        <w:tblPrEx>
          <w:tblLayout w:type="fixed"/>
          <w:tblCellMar>
            <w:top w:w="0" w:type="dxa"/>
            <w:left w:w="108" w:type="dxa"/>
            <w:bottom w:w="0" w:type="dxa"/>
            <w:right w:w="108" w:type="dxa"/>
          </w:tblCellMar>
        </w:tblPrEx>
        <w:trPr>
          <w:trHeight w:val="5899" w:hRule="atLeast"/>
        </w:trPr>
        <w:tc>
          <w:tcPr>
            <w:tcW w:w="643" w:type="dxa"/>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left"/>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w:t>
            </w:r>
          </w:p>
        </w:tc>
        <w:tc>
          <w:tcPr>
            <w:tcW w:w="801"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12楼液晶显示屏</w:t>
            </w:r>
          </w:p>
        </w:tc>
        <w:tc>
          <w:tcPr>
            <w:tcW w:w="1175" w:type="dxa"/>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98寸液晶显示屏</w:t>
            </w:r>
          </w:p>
        </w:tc>
        <w:tc>
          <w:tcPr>
            <w:tcW w:w="5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CPU T972, 四核，主频最高可达 1.9GHz， Android 9.0</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GPU Mali-G31 GPU 四核GPU</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存储配置： 2GB+32GB</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支持RJ45 R/A 百兆以太网，支持Ethernet；支持2.4GHz Wi-Fi，可选配5GHz；支持Wi-Fi </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802.11b/g/n 协议；支持蓝牙4.2</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显示接口</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1路LVDS接口，支持1080P输出，适配3.3V/5V/12V供电</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1路V-By-One接口，支持4K输出</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2路HDMI IN，支持4K@30Hz点对点输入</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图像旋转 支持0 度，90 度，180 度，270 度手动旋转，可选配重力感应模块实现自动旋转</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音频 支持标准左右声道线路输出；支持3.5mm音频输出接口</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功放 2路输出（8欧5瓦双路音频功放输出）</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麦克风 差分MIC输入</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触摸屏</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支持USB 多点红外触摸，多点电容触摸,多点纳米膜触摸,多点声波</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触摸，多点光学触摸等等。</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RTC 内置实时时钟功能</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USB 1路USB-2.0 HOST , 1路USB2.0 OTG, 3路扩展USB口(其中1路与4G模块共用)</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红外 红外接收座,支持红外遥控功能</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LED 1*电源状态LED（绿色）,1*系统LED（绿色,默认闪烁）</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按键 1*升级键</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串口</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3路串口（UART1可通过硬件调整RS485、UART2可通过硬件调整RS232、MCU_UART</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串口与MCU烧录口共用），1路DEBUG</w:t>
            </w:r>
          </w:p>
          <w:p>
            <w:pPr>
              <w:keepNext w:val="0"/>
              <w:keepLines w:val="0"/>
              <w:pageBreakBefore w:val="0"/>
              <w:widowControl/>
              <w:tabs>
                <w:tab w:val="left" w:pos="1123"/>
              </w:tabs>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GPIO 5路IO输入输出控制，可做key扫描控制</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1台</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90" w:hRule="atLeast"/>
        </w:trPr>
        <w:tc>
          <w:tcPr>
            <w:tcW w:w="643" w:type="dxa"/>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left"/>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w:t>
            </w:r>
          </w:p>
        </w:tc>
        <w:tc>
          <w:tcPr>
            <w:tcW w:w="801"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firstLine="320" w:firstLineChars="200"/>
              <w:jc w:val="both"/>
              <w:textAlignment w:val="baseline"/>
              <w:rPr>
                <w:rFonts w:hint="eastAsia" w:ascii="宋体" w:hAnsi="宋体" w:eastAsia="宋体" w:cs="宋体"/>
                <w:i w:val="0"/>
                <w:iCs w:val="0"/>
                <w:color w:val="000000"/>
                <w:kern w:val="0"/>
                <w:sz w:val="16"/>
                <w:szCs w:val="16"/>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工程结构</w:t>
            </w:r>
          </w:p>
        </w:tc>
        <w:tc>
          <w:tcPr>
            <w:tcW w:w="5346"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1.结构承受力应大于显示屏本身重量的20%及以上。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2.壁挂结构，内部采用顶天立地结构支架，壁挂效果好。安装简单，美观轻巧。</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1项</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90" w:hRule="atLeast"/>
        </w:trPr>
        <w:tc>
          <w:tcPr>
            <w:tcW w:w="643" w:type="dxa"/>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left"/>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w:t>
            </w:r>
          </w:p>
        </w:tc>
        <w:tc>
          <w:tcPr>
            <w:tcW w:w="801"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firstLine="320" w:firstLineChars="200"/>
              <w:jc w:val="both"/>
              <w:textAlignment w:val="baseline"/>
              <w:rPr>
                <w:rFonts w:hint="eastAsia" w:ascii="宋体" w:hAnsi="宋体" w:eastAsia="宋体" w:cs="宋体"/>
                <w:i w:val="0"/>
                <w:iCs w:val="0"/>
                <w:color w:val="000000"/>
                <w:kern w:val="0"/>
                <w:sz w:val="16"/>
                <w:szCs w:val="16"/>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包装运输</w:t>
            </w:r>
          </w:p>
        </w:tc>
        <w:tc>
          <w:tcPr>
            <w:tcW w:w="5346"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大屏出货后运输到安装地点</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1项</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819" w:hRule="atLeast"/>
        </w:trPr>
        <w:tc>
          <w:tcPr>
            <w:tcW w:w="643" w:type="dxa"/>
            <w:tcBorders>
              <w:top w:val="single" w:color="000000" w:sz="4" w:space="0"/>
              <w:left w:val="single" w:color="000000" w:sz="4" w:space="0"/>
              <w:right w:val="single" w:color="000000" w:sz="4" w:space="0"/>
            </w:tcBorders>
            <w:noWrap w:val="0"/>
            <w:vAlign w:val="center"/>
          </w:tcPr>
          <w:p>
            <w:pPr>
              <w:widowControl/>
              <w:jc w:val="left"/>
              <w:textAlignment w:val="center"/>
              <w:rPr>
                <w:rFonts w:hint="default"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4</w:t>
            </w:r>
          </w:p>
        </w:tc>
        <w:tc>
          <w:tcPr>
            <w:tcW w:w="80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default" w:ascii="宋体" w:hAnsi="宋体" w:eastAsia="宋体" w:cs="宋体"/>
                <w:i w:val="0"/>
                <w:color w:val="000000"/>
                <w:kern w:val="0"/>
                <w:sz w:val="15"/>
                <w:szCs w:val="15"/>
                <w:u w:val="none"/>
                <w:lang w:val="en-US" w:eastAsia="zh-CN" w:bidi="ar"/>
              </w:rPr>
            </w:pPr>
            <w:r>
              <w:rPr>
                <w:rFonts w:hint="eastAsia" w:ascii="宋体" w:hAnsi="宋体" w:cs="宋体"/>
                <w:i w:val="0"/>
                <w:color w:val="000000"/>
                <w:kern w:val="0"/>
                <w:sz w:val="15"/>
                <w:szCs w:val="15"/>
                <w:u w:val="none"/>
                <w:lang w:val="en-US" w:eastAsia="zh-CN" w:bidi="ar"/>
              </w:rPr>
              <w:t>13楼会议室大屏项目</w:t>
            </w:r>
          </w:p>
        </w:tc>
        <w:tc>
          <w:tcPr>
            <w:tcW w:w="117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sz w:val="15"/>
                <w:szCs w:val="15"/>
                <w:lang w:eastAsia="zh-CN"/>
              </w:rPr>
            </w:pPr>
            <w:r>
              <w:rPr>
                <w:rFonts w:hint="eastAsia" w:ascii="宋体" w:hAnsi="宋体" w:cs="宋体"/>
                <w:sz w:val="15"/>
                <w:szCs w:val="15"/>
                <w:lang w:eastAsia="zh-CN"/>
              </w:rPr>
              <w:t>（</w:t>
            </w:r>
            <w:r>
              <w:rPr>
                <w:rFonts w:hint="eastAsia" w:ascii="宋体" w:hAnsi="宋体" w:cs="宋体"/>
                <w:sz w:val="15"/>
                <w:szCs w:val="15"/>
                <w:lang w:val="en-US" w:eastAsia="zh-CN"/>
              </w:rPr>
              <w:t>利亚德、洲明或雷曼品牌</w:t>
            </w:r>
            <w:r>
              <w:rPr>
                <w:rFonts w:hint="eastAsia" w:ascii="宋体" w:hAnsi="宋体" w:cs="宋体"/>
                <w:sz w:val="15"/>
                <w:szCs w:val="15"/>
                <w:lang w:eastAsia="zh-CN"/>
              </w:rPr>
              <w:t>）</w:t>
            </w:r>
          </w:p>
          <w:p>
            <w:pPr>
              <w:keepNext w:val="0"/>
              <w:keepLines w:val="0"/>
              <w:widowControl/>
              <w:suppressLineNumbers w:val="0"/>
              <w:jc w:val="left"/>
              <w:textAlignment w:val="top"/>
              <w:rPr>
                <w:rFonts w:hint="eastAsia" w:ascii="宋体" w:hAnsi="宋体" w:eastAsia="宋体" w:cs="宋体"/>
                <w:i w:val="0"/>
                <w:color w:val="000000"/>
                <w:kern w:val="0"/>
                <w:sz w:val="15"/>
                <w:szCs w:val="15"/>
                <w:u w:val="none"/>
                <w:lang w:val="en-US" w:eastAsia="zh-CN" w:bidi="ar"/>
              </w:rPr>
            </w:pPr>
            <w:r>
              <w:rPr>
                <w:rFonts w:hint="eastAsia" w:ascii="宋体" w:hAnsi="宋体" w:eastAsia="宋体" w:cs="宋体"/>
                <w:sz w:val="15"/>
                <w:szCs w:val="15"/>
              </w:rPr>
              <w:t>室内LED显示屏</w:t>
            </w:r>
          </w:p>
        </w:tc>
        <w:tc>
          <w:tcPr>
            <w:tcW w:w="5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★1.屏体尺寸：（4.16米*2.24米），大屏要求全彩LED小间距，像素间距≤1.538m，像素密度≤422500点/㎡，屏幕分辨率不低于2704*1456；LED采用表贴三合一，提供制造商盖章证明函。</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★2.灯珠封装品牌：国星、美卡乐、兆驰。</w:t>
            </w:r>
          </w:p>
          <w:p>
            <w:pPr>
              <w:keepNext w:val="0"/>
              <w:keepLines w:val="0"/>
              <w:pageBreakBefore w:val="0"/>
              <w:widowControl/>
              <w:kinsoku/>
              <w:wordWrap/>
              <w:overflowPunct/>
              <w:topLinePunct w:val="0"/>
              <w:autoSpaceDE w:val="0"/>
              <w:autoSpaceDN w:val="0"/>
              <w:bidi w:val="0"/>
              <w:adjustRightInd w:val="0"/>
              <w:snapToGrid w:val="0"/>
              <w:spacing w:line="288" w:lineRule="auto"/>
              <w:ind w:right="102" w:rightChars="0"/>
              <w:jc w:val="both"/>
              <w:textAlignment w:val="baseline"/>
              <w:rPr>
                <w:rFonts w:hint="eastAsia" w:ascii="仿宋" w:hAnsi="仿宋" w:eastAsia="仿宋" w:cs="仿宋"/>
                <w:color w:val="000000"/>
                <w:kern w:val="2"/>
                <w:sz w:val="20"/>
                <w:szCs w:val="20"/>
                <w:lang w:val="en-US" w:eastAsia="zh-CN" w:bidi="ar-SA"/>
              </w:rPr>
            </w:pPr>
            <w:r>
              <w:rPr>
                <w:rFonts w:hint="eastAsia" w:ascii="宋体" w:hAnsi="宋体" w:eastAsia="宋体" w:cs="宋体"/>
                <w:i w:val="0"/>
                <w:iCs w:val="0"/>
                <w:color w:val="000000"/>
                <w:kern w:val="0"/>
                <w:sz w:val="16"/>
                <w:szCs w:val="16"/>
                <w:u w:val="none"/>
                <w:lang w:val="en-US" w:eastAsia="zh-CN" w:bidi="ar"/>
              </w:rPr>
              <w:t>★3.色温≥2000-10000K可调，色温误差：色温为6500K时，100%，75%，50%，25%四挡电平白场调节色温误差≤200K；提供第三方检验检测机构出具的带CNAS、MRA标识的检测报告复印件，加盖制造商公章；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★4.水平视角≥160°，垂直视角≥140°；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单元拼接间隙≤0.05mm，相邻像素之间平整度≤0.05mm，发光点中心距偏差≤1%，刷新频率≥4000Hz，换帧频率：50&amp;60Hz&amp;120Hz，LED像素失控率：≤0.000001，区域像素失控率≤0.000003，无连续失控点；提供第三方检验检测机构出具的带CNAS、MRA标识的检测报告复印件，加盖制造商公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★6.LED显示屏供电电源功率因数≥98%，转换效率≥90%;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★7.支持单点亮度色度校正功能，校正后亮度损失&lt;10%，屏体正面为亚黑处理，反光率≤1.5%；去除100%紫外线，消除80%摩尔纹，基本无疲劳感；提供第三方出具的CNAS、MRA认可的检测报告，加盖制造商公章；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★8.为体现LED显示屏制造商控制软件二次开发能力，LED显示屏制造商应通过CMMI5级认证； 提供证书复印件并加盖LED生产厂家公章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★9.投标人所投LED显示屏制造商具备高光效长寿命半导体照明关键技术与产业化相关证书，提供国家级证明材料并加盖制造商公章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★10.投标人所投LED显示屏制造商应通过ISO56005:2020标准要求的创新与知识产权管理能力3级或以上认证，评价范围应包含LED显示产品创新过程中的知识产权管理，提供证明材料并加盖制造商公章</w:t>
            </w:r>
            <w:r>
              <w:rPr>
                <w:rFonts w:hint="eastAsia" w:ascii="宋体" w:hAnsi="宋体" w:cs="宋体"/>
                <w:i w:val="0"/>
                <w:iCs w:val="0"/>
                <w:color w:val="000000"/>
                <w:kern w:val="0"/>
                <w:sz w:val="16"/>
                <w:szCs w:val="16"/>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9.32㎡</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819" w:hRule="atLeast"/>
        </w:trPr>
        <w:tc>
          <w:tcPr>
            <w:tcW w:w="643" w:type="dxa"/>
            <w:tcBorders>
              <w:top w:val="single" w:color="000000" w:sz="4" w:space="0"/>
              <w:left w:val="single" w:color="000000" w:sz="4" w:space="0"/>
              <w:right w:val="single" w:color="000000" w:sz="4" w:space="0"/>
            </w:tcBorders>
            <w:noWrap w:val="0"/>
            <w:vAlign w:val="center"/>
          </w:tcPr>
          <w:p>
            <w:pPr>
              <w:widowControl/>
              <w:jc w:val="left"/>
              <w:textAlignment w:val="center"/>
              <w:rPr>
                <w:rFonts w:hint="default" w:ascii="宋体" w:hAnsi="宋体" w:eastAsia="宋体" w:cs="宋体"/>
                <w:color w:val="000000"/>
                <w:kern w:val="0"/>
                <w:sz w:val="15"/>
                <w:szCs w:val="15"/>
                <w:lang w:val="en-US" w:eastAsia="zh-CN"/>
              </w:rPr>
            </w:pPr>
            <w:r>
              <w:rPr>
                <w:rFonts w:hint="eastAsia" w:ascii="宋体" w:hAnsi="宋体" w:cs="宋体"/>
                <w:color w:val="000000"/>
                <w:kern w:val="0"/>
                <w:sz w:val="15"/>
                <w:szCs w:val="15"/>
                <w:lang w:val="en-US" w:eastAsia="zh-CN"/>
              </w:rPr>
              <w:t>5</w:t>
            </w:r>
          </w:p>
        </w:tc>
        <w:tc>
          <w:tcPr>
            <w:tcW w:w="801"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color w:val="000000"/>
                <w:kern w:val="0"/>
                <w:sz w:val="15"/>
                <w:szCs w:val="15"/>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15"/>
                <w:szCs w:val="15"/>
                <w:u w:val="none"/>
                <w:lang w:val="en-US" w:eastAsia="zh-CN" w:bidi="ar"/>
              </w:rPr>
            </w:pPr>
            <w:r>
              <w:rPr>
                <w:rFonts w:hint="eastAsia" w:ascii="宋体" w:hAnsi="宋体" w:eastAsia="宋体" w:cs="宋体"/>
                <w:i w:val="0"/>
                <w:color w:val="000000"/>
                <w:kern w:val="0"/>
                <w:sz w:val="15"/>
                <w:szCs w:val="15"/>
                <w:u w:val="none"/>
                <w:lang w:val="en-US" w:eastAsia="zh-CN" w:bidi="ar"/>
              </w:rPr>
              <w:t>二合一屏体控制器</w:t>
            </w:r>
          </w:p>
        </w:tc>
        <w:tc>
          <w:tcPr>
            <w:tcW w:w="5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★1、不少于以下信号输出：12路网口输出，整机分辨率可达720万像素，最宽可达12000像素，最高可达4000像素。</w:t>
            </w:r>
          </w:p>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★2、支持USB、RS232(RJ11)控制端口与RJ45以太网控制端口；支持局域网控制。</w:t>
            </w:r>
          </w:p>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3、支持三画面显示，这些画面可以是相同或不同的信号，画面可任意漫游、叠加。</w:t>
            </w:r>
          </w:p>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★4、能够对图像进行实时处理，提升其动态范围，使得显示屏在播放普通SDR图像素材时可以实现HDR显示效果。（需提供CNAS、ilac-MRA认可机构出具的检测报告）</w:t>
            </w:r>
          </w:p>
          <w:p>
            <w:pPr>
              <w:keepNext w:val="0"/>
              <w:keepLines w:val="0"/>
              <w:widowControl/>
              <w:suppressLineNumbers w:val="0"/>
              <w:jc w:val="left"/>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6"/>
                <w:szCs w:val="16"/>
                <w:u w:val="none"/>
                <w:lang w:val="en-US" w:eastAsia="zh-CN" w:bidi="ar"/>
              </w:rPr>
              <w:t>★5、支持通道保护：对设备输入、输出I/O接口进行保护，避免过电压、过电流的冲击；通道间相互独立，且彼此互补。（需提供CNAS、ilac-MRA认可机构出具的检测报告）</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1台</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468" w:hRule="atLeast"/>
        </w:trPr>
        <w:tc>
          <w:tcPr>
            <w:tcW w:w="643" w:type="dxa"/>
            <w:tcBorders>
              <w:top w:val="single" w:color="000000" w:sz="4" w:space="0"/>
              <w:left w:val="single" w:color="000000" w:sz="4" w:space="0"/>
              <w:right w:val="single" w:color="000000" w:sz="4" w:space="0"/>
            </w:tcBorders>
            <w:noWrap w:val="0"/>
            <w:vAlign w:val="center"/>
          </w:tcPr>
          <w:p>
            <w:pPr>
              <w:widowControl/>
              <w:jc w:val="left"/>
              <w:textAlignment w:val="center"/>
              <w:rPr>
                <w:rFonts w:hint="default" w:ascii="宋体" w:hAnsi="宋体" w:eastAsia="宋体" w:cs="宋体"/>
                <w:color w:val="000000"/>
                <w:kern w:val="0"/>
                <w:sz w:val="15"/>
                <w:szCs w:val="15"/>
                <w:lang w:val="en-US" w:eastAsia="zh-CN"/>
              </w:rPr>
            </w:pPr>
            <w:r>
              <w:rPr>
                <w:rFonts w:hint="eastAsia" w:ascii="宋体" w:hAnsi="宋体" w:eastAsia="宋体" w:cs="宋体"/>
                <w:color w:val="000000"/>
                <w:kern w:val="0"/>
                <w:sz w:val="15"/>
                <w:szCs w:val="15"/>
                <w:lang w:val="en-US" w:eastAsia="zh-CN"/>
              </w:rPr>
              <w:t>6</w:t>
            </w:r>
          </w:p>
        </w:tc>
        <w:tc>
          <w:tcPr>
            <w:tcW w:w="801"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color w:val="000000"/>
                <w:kern w:val="0"/>
                <w:sz w:val="15"/>
                <w:szCs w:val="15"/>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15"/>
                <w:szCs w:val="15"/>
                <w:u w:val="none"/>
                <w:lang w:val="en-US" w:eastAsia="zh-CN" w:bidi="ar"/>
              </w:rPr>
            </w:pPr>
            <w:r>
              <w:rPr>
                <w:rFonts w:hint="eastAsia" w:ascii="宋体" w:hAnsi="宋体" w:eastAsia="宋体" w:cs="宋体"/>
                <w:i w:val="0"/>
                <w:color w:val="000000"/>
                <w:kern w:val="0"/>
                <w:sz w:val="15"/>
                <w:szCs w:val="15"/>
                <w:u w:val="none"/>
                <w:lang w:val="en-US" w:eastAsia="zh-CN" w:bidi="ar"/>
              </w:rPr>
              <w:t>控制软件</w:t>
            </w:r>
          </w:p>
        </w:tc>
        <w:tc>
          <w:tcPr>
            <w:tcW w:w="5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屏体播控软件</w:t>
            </w:r>
            <w:r>
              <w:rPr>
                <w:rFonts w:hint="eastAsia" w:ascii="宋体" w:hAnsi="宋体" w:cs="宋体"/>
                <w:i w:val="0"/>
                <w:iCs w:val="0"/>
                <w:color w:val="000000"/>
                <w:kern w:val="0"/>
                <w:sz w:val="15"/>
                <w:szCs w:val="15"/>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1项</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309" w:hRule="atLeast"/>
        </w:trPr>
        <w:tc>
          <w:tcPr>
            <w:tcW w:w="643" w:type="dxa"/>
            <w:tcBorders>
              <w:top w:val="single" w:color="000000" w:sz="4" w:space="0"/>
              <w:left w:val="single" w:color="000000" w:sz="4" w:space="0"/>
              <w:right w:val="single" w:color="000000" w:sz="4" w:space="0"/>
            </w:tcBorders>
            <w:noWrap w:val="0"/>
            <w:vAlign w:val="center"/>
          </w:tcPr>
          <w:p>
            <w:pPr>
              <w:widowControl/>
              <w:jc w:val="left"/>
              <w:textAlignment w:val="center"/>
              <w:rPr>
                <w:rFonts w:hint="default" w:ascii="宋体" w:hAnsi="宋体" w:eastAsia="宋体" w:cs="宋体"/>
                <w:color w:val="000000"/>
                <w:kern w:val="0"/>
                <w:sz w:val="15"/>
                <w:szCs w:val="15"/>
                <w:lang w:val="en-US" w:eastAsia="zh-CN"/>
              </w:rPr>
            </w:pPr>
            <w:r>
              <w:rPr>
                <w:rFonts w:hint="eastAsia" w:ascii="宋体" w:hAnsi="宋体" w:eastAsia="宋体" w:cs="宋体"/>
                <w:color w:val="000000"/>
                <w:kern w:val="0"/>
                <w:sz w:val="15"/>
                <w:szCs w:val="15"/>
                <w:lang w:val="en-US" w:eastAsia="zh-CN"/>
              </w:rPr>
              <w:t>7</w:t>
            </w:r>
          </w:p>
        </w:tc>
        <w:tc>
          <w:tcPr>
            <w:tcW w:w="801"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color w:val="000000"/>
                <w:kern w:val="0"/>
                <w:sz w:val="15"/>
                <w:szCs w:val="15"/>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color w:val="000000"/>
                <w:kern w:val="0"/>
                <w:sz w:val="15"/>
                <w:szCs w:val="15"/>
                <w:u w:val="none"/>
                <w:lang w:val="en-US" w:eastAsia="zh-CN" w:bidi="ar"/>
              </w:rPr>
            </w:pPr>
            <w:r>
              <w:rPr>
                <w:rFonts w:hint="eastAsia" w:ascii="宋体" w:hAnsi="宋体" w:cs="宋体"/>
                <w:i w:val="0"/>
                <w:color w:val="000000"/>
                <w:kern w:val="0"/>
                <w:sz w:val="15"/>
                <w:szCs w:val="15"/>
                <w:u w:val="none"/>
                <w:lang w:val="en-US" w:eastAsia="zh-CN" w:bidi="ar"/>
              </w:rPr>
              <w:t>无线投屏器</w:t>
            </w:r>
          </w:p>
        </w:tc>
        <w:tc>
          <w:tcPr>
            <w:tcW w:w="5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国产优质无线投屏器。</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w:t>
            </w:r>
            <w:r>
              <w:rPr>
                <w:rFonts w:hint="eastAsia" w:ascii="宋体" w:hAnsi="宋体" w:cs="宋体"/>
                <w:i w:val="0"/>
                <w:iCs w:val="0"/>
                <w:color w:val="000000"/>
                <w:kern w:val="0"/>
                <w:sz w:val="15"/>
                <w:szCs w:val="15"/>
                <w:u w:val="none"/>
                <w:lang w:val="en-US" w:eastAsia="zh-CN" w:bidi="ar"/>
              </w:rPr>
              <w:t>台</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450" w:hRule="atLeast"/>
        </w:trPr>
        <w:tc>
          <w:tcPr>
            <w:tcW w:w="643" w:type="dxa"/>
            <w:tcBorders>
              <w:top w:val="single" w:color="000000" w:sz="4" w:space="0"/>
              <w:left w:val="single" w:color="000000" w:sz="4" w:space="0"/>
              <w:right w:val="single" w:color="000000" w:sz="4" w:space="0"/>
            </w:tcBorders>
            <w:noWrap w:val="0"/>
            <w:vAlign w:val="center"/>
          </w:tcPr>
          <w:p>
            <w:pPr>
              <w:widowControl/>
              <w:jc w:val="left"/>
              <w:textAlignment w:val="center"/>
              <w:rPr>
                <w:rFonts w:hint="default" w:ascii="宋体" w:hAnsi="宋体" w:eastAsia="宋体" w:cs="宋体"/>
                <w:color w:val="000000"/>
                <w:kern w:val="0"/>
                <w:sz w:val="15"/>
                <w:szCs w:val="15"/>
                <w:lang w:val="en-US" w:eastAsia="zh-CN"/>
              </w:rPr>
            </w:pPr>
            <w:r>
              <w:rPr>
                <w:rFonts w:hint="eastAsia" w:ascii="宋体" w:hAnsi="宋体" w:eastAsia="宋体" w:cs="宋体"/>
                <w:color w:val="000000"/>
                <w:kern w:val="0"/>
                <w:sz w:val="15"/>
                <w:szCs w:val="15"/>
                <w:lang w:val="en-US" w:eastAsia="zh-CN"/>
              </w:rPr>
              <w:t>8</w:t>
            </w:r>
          </w:p>
        </w:tc>
        <w:tc>
          <w:tcPr>
            <w:tcW w:w="801"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color w:val="000000"/>
                <w:kern w:val="0"/>
                <w:sz w:val="15"/>
                <w:szCs w:val="15"/>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color w:val="000000"/>
                <w:kern w:val="0"/>
                <w:sz w:val="15"/>
                <w:szCs w:val="15"/>
                <w:u w:val="none"/>
                <w:lang w:val="en-US" w:eastAsia="zh-CN" w:bidi="ar"/>
              </w:rPr>
              <w:t>配电柜</w:t>
            </w:r>
          </w:p>
        </w:tc>
        <w:tc>
          <w:tcPr>
            <w:tcW w:w="5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6"/>
                <w:szCs w:val="16"/>
                <w:u w:val="none"/>
                <w:lang w:val="en-US" w:eastAsia="zh-CN" w:bidi="ar"/>
              </w:rPr>
              <w:t>★1.采用隐藏式配电柜，功率满足屏体使用，需隐藏在屏体内部，无外置电箱。</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★2.支持远程PLC控制，及遥控开关控制屏幕。</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2套</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960" w:hRule="atLeast"/>
        </w:trPr>
        <w:tc>
          <w:tcPr>
            <w:tcW w:w="643"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w:t>
            </w:r>
          </w:p>
        </w:tc>
        <w:tc>
          <w:tcPr>
            <w:tcW w:w="801"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控制电脑</w:t>
            </w:r>
          </w:p>
        </w:tc>
        <w:tc>
          <w:tcPr>
            <w:tcW w:w="5346"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6核12线程处理器，32G内存，1TB高速固态硬盘，专业视频图形处理卡，27寸2K显示器，</w:t>
            </w:r>
          </w:p>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品牌：联想/戴尔</w:t>
            </w:r>
            <w:r>
              <w:rPr>
                <w:rFonts w:hint="eastAsia" w:ascii="宋体" w:hAnsi="宋体" w:cs="宋体"/>
                <w:i w:val="0"/>
                <w:iCs w:val="0"/>
                <w:color w:val="000000"/>
                <w:kern w:val="0"/>
                <w:sz w:val="15"/>
                <w:szCs w:val="15"/>
                <w:u w:val="none"/>
                <w:lang w:val="en-US" w:eastAsia="zh-CN" w:bidi="ar"/>
              </w:rPr>
              <w:t>（具体参数见招标文件项目技术需求）</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1台</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437" w:hRule="atLeast"/>
        </w:trPr>
        <w:tc>
          <w:tcPr>
            <w:tcW w:w="643"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w:t>
            </w:r>
          </w:p>
        </w:tc>
        <w:tc>
          <w:tcPr>
            <w:tcW w:w="801"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悬挂式音箱</w:t>
            </w:r>
          </w:p>
          <w:p>
            <w:pPr>
              <w:keepNext w:val="0"/>
              <w:keepLines w:val="0"/>
              <w:widowControl/>
              <w:suppressLineNumbers w:val="0"/>
              <w:jc w:val="left"/>
              <w:textAlignment w:val="top"/>
              <w:rPr>
                <w:rFonts w:hint="eastAsia"/>
                <w:lang w:val="en-US" w:eastAsia="zh-CN"/>
              </w:rPr>
            </w:pPr>
            <w:r>
              <w:rPr>
                <w:rFonts w:hint="eastAsia" w:ascii="宋体" w:hAnsi="宋体" w:eastAsia="宋体" w:cs="宋体"/>
                <w:i w:val="0"/>
                <w:iCs w:val="0"/>
                <w:color w:val="000000"/>
                <w:kern w:val="0"/>
                <w:sz w:val="15"/>
                <w:szCs w:val="15"/>
                <w:u w:val="none"/>
                <w:lang w:val="en-US" w:eastAsia="zh-CN" w:bidi="ar"/>
              </w:rPr>
              <w:t>（海康 、舒尔、JBL同等级或更高等级品牌）</w:t>
            </w:r>
          </w:p>
        </w:tc>
        <w:tc>
          <w:tcPr>
            <w:tcW w:w="5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6"/>
                <w:szCs w:val="16"/>
                <w:u w:val="none"/>
                <w:lang w:val="en-US" w:eastAsia="zh-CN" w:bidi="ar"/>
              </w:rPr>
            </w:pPr>
            <w:r>
              <w:rPr>
                <w:rFonts w:hint="default" w:ascii="宋体" w:hAnsi="宋体" w:eastAsia="宋体" w:cs="宋体"/>
                <w:i w:val="0"/>
                <w:iCs w:val="0"/>
                <w:color w:val="000000"/>
                <w:kern w:val="0"/>
                <w:sz w:val="16"/>
                <w:szCs w:val="16"/>
                <w:u w:val="none"/>
                <w:lang w:val="en-US" w:eastAsia="zh-CN" w:bidi="ar"/>
              </w:rPr>
              <w:t>3寸专业线性音柱</w:t>
            </w:r>
          </w:p>
          <w:p>
            <w:pPr>
              <w:keepNext w:val="0"/>
              <w:keepLines w:val="0"/>
              <w:widowControl/>
              <w:suppressLineNumbers w:val="0"/>
              <w:jc w:val="left"/>
              <w:textAlignment w:val="center"/>
              <w:rPr>
                <w:rFonts w:hint="default" w:ascii="宋体" w:hAnsi="宋体" w:eastAsia="宋体" w:cs="宋体"/>
                <w:i w:val="0"/>
                <w:iCs w:val="0"/>
                <w:color w:val="000000"/>
                <w:kern w:val="0"/>
                <w:sz w:val="16"/>
                <w:szCs w:val="16"/>
                <w:u w:val="none"/>
                <w:lang w:val="en-US" w:eastAsia="zh-CN" w:bidi="ar"/>
              </w:rPr>
            </w:pPr>
            <w:r>
              <w:rPr>
                <w:rFonts w:hint="default" w:ascii="宋体" w:hAnsi="宋体" w:eastAsia="宋体" w:cs="宋体"/>
                <w:i w:val="0"/>
                <w:iCs w:val="0"/>
                <w:color w:val="000000"/>
                <w:kern w:val="0"/>
                <w:sz w:val="16"/>
                <w:szCs w:val="16"/>
                <w:u w:val="none"/>
                <w:lang w:val="en-US" w:eastAsia="zh-CN" w:bidi="ar"/>
              </w:rPr>
              <w:t>4x3.5"宽频线性音柱全频音箱</w:t>
            </w:r>
          </w:p>
          <w:p>
            <w:pPr>
              <w:keepNext w:val="0"/>
              <w:keepLines w:val="0"/>
              <w:widowControl/>
              <w:suppressLineNumbers w:val="0"/>
              <w:jc w:val="left"/>
              <w:textAlignment w:val="center"/>
              <w:rPr>
                <w:rFonts w:hint="default" w:ascii="宋体" w:hAnsi="宋体" w:eastAsia="宋体" w:cs="宋体"/>
                <w:i w:val="0"/>
                <w:iCs w:val="0"/>
                <w:color w:val="000000"/>
                <w:kern w:val="0"/>
                <w:sz w:val="16"/>
                <w:szCs w:val="16"/>
                <w:u w:val="none"/>
                <w:lang w:val="en-US" w:eastAsia="zh-CN" w:bidi="ar"/>
              </w:rPr>
            </w:pPr>
            <w:r>
              <w:rPr>
                <w:rFonts w:hint="default" w:ascii="宋体" w:hAnsi="宋体" w:eastAsia="宋体" w:cs="宋体"/>
                <w:i w:val="0"/>
                <w:iCs w:val="0"/>
                <w:color w:val="000000"/>
                <w:kern w:val="0"/>
                <w:sz w:val="16"/>
                <w:szCs w:val="16"/>
                <w:u w:val="none"/>
                <w:lang w:val="en-US" w:eastAsia="zh-CN" w:bidi="ar"/>
              </w:rPr>
              <w:t>频率响应: 60Hz-20KHz（-10dB） 低音单元:4 x 3.5" 低音/2"音圈</w:t>
            </w:r>
          </w:p>
          <w:p>
            <w:pPr>
              <w:keepNext w:val="0"/>
              <w:keepLines w:val="0"/>
              <w:widowControl/>
              <w:suppressLineNumbers w:val="0"/>
              <w:jc w:val="left"/>
              <w:textAlignment w:val="center"/>
              <w:rPr>
                <w:rFonts w:hint="default" w:ascii="宋体" w:hAnsi="宋体" w:eastAsia="宋体" w:cs="宋体"/>
                <w:i w:val="0"/>
                <w:iCs w:val="0"/>
                <w:color w:val="000000"/>
                <w:kern w:val="0"/>
                <w:sz w:val="16"/>
                <w:szCs w:val="16"/>
                <w:u w:val="none"/>
                <w:lang w:val="en-US" w:eastAsia="zh-CN" w:bidi="ar"/>
              </w:rPr>
            </w:pPr>
            <w:r>
              <w:rPr>
                <w:rFonts w:hint="default" w:ascii="宋体" w:hAnsi="宋体" w:eastAsia="宋体" w:cs="宋体"/>
                <w:i w:val="0"/>
                <w:iCs w:val="0"/>
                <w:color w:val="000000"/>
                <w:kern w:val="0"/>
                <w:sz w:val="16"/>
                <w:szCs w:val="16"/>
                <w:u w:val="none"/>
                <w:lang w:val="en-US" w:eastAsia="zh-CN" w:bidi="ar"/>
              </w:rPr>
              <w:t>灵敏度（1w@1m）: 98dB</w:t>
            </w:r>
          </w:p>
          <w:p>
            <w:pPr>
              <w:keepNext w:val="0"/>
              <w:keepLines w:val="0"/>
              <w:widowControl/>
              <w:suppressLineNumbers w:val="0"/>
              <w:jc w:val="left"/>
              <w:textAlignment w:val="center"/>
              <w:rPr>
                <w:rFonts w:hint="default" w:ascii="宋体" w:hAnsi="宋体" w:eastAsia="宋体" w:cs="宋体"/>
                <w:i w:val="0"/>
                <w:iCs w:val="0"/>
                <w:color w:val="000000"/>
                <w:kern w:val="0"/>
                <w:sz w:val="16"/>
                <w:szCs w:val="16"/>
                <w:u w:val="none"/>
                <w:lang w:val="en-US" w:eastAsia="zh-CN" w:bidi="ar"/>
              </w:rPr>
            </w:pPr>
            <w:r>
              <w:rPr>
                <w:rFonts w:hint="default" w:ascii="宋体" w:hAnsi="宋体" w:eastAsia="宋体" w:cs="宋体"/>
                <w:i w:val="0"/>
                <w:iCs w:val="0"/>
                <w:color w:val="000000"/>
                <w:kern w:val="0"/>
                <w:sz w:val="16"/>
                <w:szCs w:val="16"/>
                <w:u w:val="none"/>
                <w:lang w:val="en-US" w:eastAsia="zh-CN" w:bidi="ar"/>
              </w:rPr>
              <w:t>输入功率：160W(额定)/320W(峰值) 标称阻抗 : 8Ω</w:t>
            </w:r>
          </w:p>
          <w:p>
            <w:pPr>
              <w:keepNext w:val="0"/>
              <w:keepLines w:val="0"/>
              <w:widowControl/>
              <w:suppressLineNumbers w:val="0"/>
              <w:jc w:val="left"/>
              <w:textAlignment w:val="center"/>
              <w:rPr>
                <w:rFonts w:hint="default" w:ascii="宋体" w:hAnsi="宋体" w:eastAsia="宋体" w:cs="宋体"/>
                <w:i w:val="0"/>
                <w:iCs w:val="0"/>
                <w:color w:val="000000"/>
                <w:kern w:val="0"/>
                <w:sz w:val="16"/>
                <w:szCs w:val="16"/>
                <w:u w:val="none"/>
                <w:lang w:val="en-US" w:eastAsia="zh-CN" w:bidi="ar"/>
              </w:rPr>
            </w:pPr>
            <w:r>
              <w:rPr>
                <w:rFonts w:hint="default" w:ascii="宋体" w:hAnsi="宋体" w:eastAsia="宋体" w:cs="宋体"/>
                <w:i w:val="0"/>
                <w:iCs w:val="0"/>
                <w:color w:val="000000"/>
                <w:kern w:val="0"/>
                <w:sz w:val="16"/>
                <w:szCs w:val="16"/>
                <w:u w:val="none"/>
                <w:lang w:val="en-US" w:eastAsia="zh-CN" w:bidi="ar"/>
              </w:rPr>
              <w:t>连续声压级:118dB； 峰值声压级:124dB；</w:t>
            </w:r>
          </w:p>
          <w:p>
            <w:pPr>
              <w:keepNext w:val="0"/>
              <w:keepLines w:val="0"/>
              <w:widowControl/>
              <w:suppressLineNumbers w:val="0"/>
              <w:jc w:val="left"/>
              <w:textAlignment w:val="center"/>
              <w:rPr>
                <w:rFonts w:hint="default" w:ascii="宋体" w:hAnsi="宋体" w:eastAsia="宋体" w:cs="宋体"/>
                <w:i w:val="0"/>
                <w:iCs w:val="0"/>
                <w:color w:val="000000"/>
                <w:kern w:val="0"/>
                <w:sz w:val="16"/>
                <w:szCs w:val="16"/>
                <w:u w:val="none"/>
                <w:lang w:val="en-US" w:eastAsia="zh-CN" w:bidi="ar"/>
              </w:rPr>
            </w:pPr>
            <w:r>
              <w:rPr>
                <w:rFonts w:hint="default" w:ascii="宋体" w:hAnsi="宋体" w:eastAsia="宋体" w:cs="宋体"/>
                <w:i w:val="0"/>
                <w:iCs w:val="0"/>
                <w:color w:val="000000"/>
                <w:kern w:val="0"/>
                <w:sz w:val="16"/>
                <w:szCs w:val="16"/>
                <w:u w:val="none"/>
                <w:lang w:val="en-US" w:eastAsia="zh-CN" w:bidi="ar"/>
              </w:rPr>
              <w:t>标称覆盖角（HxV）: 80x70  吊挂硬件:带壁挂吊架</w:t>
            </w:r>
          </w:p>
          <w:p>
            <w:pPr>
              <w:keepNext w:val="0"/>
              <w:keepLines w:val="0"/>
              <w:widowControl/>
              <w:suppressLineNumbers w:val="0"/>
              <w:jc w:val="left"/>
              <w:textAlignment w:val="center"/>
              <w:rPr>
                <w:rFonts w:hint="default" w:ascii="宋体" w:hAnsi="宋体" w:eastAsia="宋体" w:cs="宋体"/>
                <w:i w:val="0"/>
                <w:iCs w:val="0"/>
                <w:color w:val="000000"/>
                <w:kern w:val="0"/>
                <w:sz w:val="16"/>
                <w:szCs w:val="16"/>
                <w:u w:val="none"/>
                <w:lang w:val="en-US" w:eastAsia="zh-CN" w:bidi="ar"/>
              </w:rPr>
            </w:pPr>
            <w:r>
              <w:rPr>
                <w:rFonts w:hint="default" w:ascii="宋体" w:hAnsi="宋体" w:eastAsia="宋体" w:cs="宋体"/>
                <w:i w:val="0"/>
                <w:iCs w:val="0"/>
                <w:color w:val="000000"/>
                <w:kern w:val="0"/>
                <w:sz w:val="16"/>
                <w:szCs w:val="16"/>
                <w:u w:val="none"/>
                <w:lang w:val="en-US" w:eastAsia="zh-CN" w:bidi="ar"/>
              </w:rPr>
              <w:t>外形尺寸(WxDxH):108x135x360mm</w:t>
            </w:r>
          </w:p>
          <w:p>
            <w:pPr>
              <w:keepNext w:val="0"/>
              <w:keepLines w:val="0"/>
              <w:widowControl/>
              <w:suppressLineNumbers w:val="0"/>
              <w:jc w:val="left"/>
              <w:textAlignment w:val="top"/>
              <w:rPr>
                <w:rFonts w:hint="default" w:ascii="宋体" w:hAnsi="宋体" w:eastAsia="宋体" w:cs="宋体"/>
                <w:i w:val="0"/>
                <w:iCs w:val="0"/>
                <w:color w:val="000000"/>
                <w:kern w:val="0"/>
                <w:sz w:val="15"/>
                <w:szCs w:val="15"/>
                <w:u w:val="none"/>
                <w:lang w:val="en-US" w:eastAsia="zh-CN" w:bidi="ar"/>
              </w:rPr>
            </w:pPr>
            <w:r>
              <w:rPr>
                <w:rFonts w:hint="default" w:ascii="宋体" w:hAnsi="宋体" w:eastAsia="宋体" w:cs="宋体"/>
                <w:i w:val="0"/>
                <w:iCs w:val="0"/>
                <w:color w:val="000000"/>
                <w:kern w:val="0"/>
                <w:sz w:val="16"/>
                <w:szCs w:val="16"/>
                <w:u w:val="none"/>
                <w:lang w:val="en-US" w:eastAsia="zh-CN" w:bidi="ar"/>
              </w:rPr>
              <w:t xml:space="preserve">输出功率：最大功率320W额定功率（PHC）160W </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2只</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bookmarkStart w:id="1" w:name="_GoBack"/>
            <w:bookmarkEnd w:id="1"/>
          </w:p>
        </w:tc>
      </w:tr>
      <w:tr>
        <w:tblPrEx>
          <w:tblLayout w:type="fixed"/>
          <w:tblCellMar>
            <w:top w:w="0" w:type="dxa"/>
            <w:left w:w="108" w:type="dxa"/>
            <w:bottom w:w="0" w:type="dxa"/>
            <w:right w:w="108" w:type="dxa"/>
          </w:tblCellMar>
        </w:tblPrEx>
        <w:trPr>
          <w:trHeight w:val="436" w:hRule="atLeast"/>
        </w:trPr>
        <w:tc>
          <w:tcPr>
            <w:tcW w:w="643"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w:t>
            </w:r>
          </w:p>
        </w:tc>
        <w:tc>
          <w:tcPr>
            <w:tcW w:w="801"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功放</w:t>
            </w:r>
          </w:p>
        </w:tc>
        <w:tc>
          <w:tcPr>
            <w:tcW w:w="5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额定功率：立体声道模式8Ω：2×200W</w:t>
            </w:r>
          </w:p>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立体声道模式4Ω：2×300W</w:t>
            </w:r>
          </w:p>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桥接声道模式8Ω：1×600W</w:t>
            </w:r>
          </w:p>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电压增益：37dB</w:t>
            </w:r>
          </w:p>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输入灵敏度（额定功率8 Ω）：420mV/600mV</w:t>
            </w:r>
          </w:p>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6"/>
                <w:szCs w:val="16"/>
                <w:u w:val="none"/>
                <w:lang w:val="en-US" w:eastAsia="zh-CN" w:bidi="ar"/>
              </w:rPr>
              <w:t>串扰：-75dB(1KHz)/-58dB(20KHz)</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1台</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469" w:hRule="atLeast"/>
        </w:trPr>
        <w:tc>
          <w:tcPr>
            <w:tcW w:w="643"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12</w:t>
            </w:r>
          </w:p>
        </w:tc>
        <w:tc>
          <w:tcPr>
            <w:tcW w:w="801"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6"/>
                <w:szCs w:val="16"/>
                <w:u w:val="none"/>
                <w:lang w:val="en-US" w:eastAsia="zh-CN" w:bidi="ar"/>
              </w:rPr>
              <w:t>模拟调音台</w:t>
            </w:r>
          </w:p>
        </w:tc>
        <w:tc>
          <w:tcPr>
            <w:tcW w:w="5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3.2寸lcd液晶显示屏，实时提供DSP效果器参数和USB Media播音 信息，操作一目了</w:t>
            </w:r>
          </w:p>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配置1个专业DSP效果器( FX )，14种效果类型，共120种的效果预置</w:t>
            </w:r>
          </w:p>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USB Media播音，支持MP3﹑AAC﹑WAV﹑AIFF﹑APE或FLAC文件格式，直接使用外部U盘录音。或外接电脑Media播音和录音</w:t>
            </w:r>
          </w:p>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配置蓝牙功能，可以连接手机等蓝牙设备，实现无线音乐播放</w:t>
            </w:r>
          </w:p>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独立脚踏开关，控制效果器输出关闭或打开</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kern w:val="0"/>
                <w:sz w:val="15"/>
                <w:szCs w:val="15"/>
                <w:u w:val="none"/>
                <w:lang w:val="en-US" w:eastAsia="zh-CN" w:bidi="ar"/>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469" w:hRule="atLeast"/>
        </w:trPr>
        <w:tc>
          <w:tcPr>
            <w:tcW w:w="643"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13</w:t>
            </w:r>
          </w:p>
        </w:tc>
        <w:tc>
          <w:tcPr>
            <w:tcW w:w="801"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无线手持话筒</w:t>
            </w:r>
          </w:p>
        </w:tc>
        <w:tc>
          <w:tcPr>
            <w:tcW w:w="5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载波频率范围：630~698MHz</w:t>
            </w:r>
          </w:p>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频带宽度：200kHz</w:t>
            </w:r>
          </w:p>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有效工作距离：100m（空旷无遮挡）</w:t>
            </w:r>
          </w:p>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天线接口：BNC</w:t>
            </w:r>
          </w:p>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天线阻抗：50Ω</w:t>
            </w:r>
          </w:p>
          <w:p>
            <w:pPr>
              <w:keepNext w:val="0"/>
              <w:keepLines w:val="0"/>
              <w:widowControl/>
              <w:suppressLineNumbers w:val="0"/>
              <w:jc w:val="left"/>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供电电压：DC12V </w:t>
            </w:r>
          </w:p>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连续工作时间：8h（原装电池） </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4只</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562" w:hRule="atLeast"/>
        </w:trPr>
        <w:tc>
          <w:tcPr>
            <w:tcW w:w="643"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14</w:t>
            </w:r>
          </w:p>
        </w:tc>
        <w:tc>
          <w:tcPr>
            <w:tcW w:w="801"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机柜</w:t>
            </w:r>
          </w:p>
        </w:tc>
        <w:tc>
          <w:tcPr>
            <w:tcW w:w="5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top"/>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600*600*1200mm机柜</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w:t>
            </w:r>
            <w:r>
              <w:rPr>
                <w:rFonts w:hint="eastAsia" w:ascii="宋体" w:hAnsi="宋体" w:cs="宋体"/>
                <w:i w:val="0"/>
                <w:iCs w:val="0"/>
                <w:color w:val="000000"/>
                <w:kern w:val="0"/>
                <w:sz w:val="15"/>
                <w:szCs w:val="15"/>
                <w:u w:val="none"/>
                <w:lang w:val="en-US" w:eastAsia="zh-CN" w:bidi="ar"/>
              </w:rPr>
              <w:t>台</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1258" w:hRule="atLeast"/>
        </w:trPr>
        <w:tc>
          <w:tcPr>
            <w:tcW w:w="643"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15</w:t>
            </w:r>
          </w:p>
        </w:tc>
        <w:tc>
          <w:tcPr>
            <w:tcW w:w="801"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工程结构</w:t>
            </w:r>
          </w:p>
        </w:tc>
        <w:tc>
          <w:tcPr>
            <w:tcW w:w="5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1.结构承受力应大于显示屏体本身重量的20%及以上。</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2.钢结构，采用专用钢结构支架，拼接效果好，安装简单，美观轻巧。包含内工程部线材。</w:t>
            </w:r>
          </w:p>
          <w:p>
            <w:pPr>
              <w:keepNext w:val="0"/>
              <w:keepLines w:val="0"/>
              <w:widowControl/>
              <w:suppressLineNumbers w:val="0"/>
              <w:jc w:val="left"/>
              <w:textAlignment w:val="top"/>
              <w:rPr>
                <w:rFonts w:hint="eastAsia"/>
                <w:sz w:val="18"/>
                <w:szCs w:val="20"/>
                <w:lang w:val="en-US" w:eastAsia="zh-CN"/>
              </w:rPr>
            </w:pPr>
            <w:r>
              <w:rPr>
                <w:rFonts w:hint="eastAsia" w:ascii="宋体" w:hAnsi="宋体" w:eastAsia="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5"/>
                <w:szCs w:val="15"/>
                <w:u w:val="none"/>
                <w:lang w:val="en-US" w:eastAsia="zh-CN" w:bidi="ar"/>
              </w:rPr>
              <w:t>3.为确保钢结构施工安全性和屏体安装工艺，钢结构须由LED制造商或授权代理商安装并提供服务,LED显示屏厂家具有钢结构三级或以上资质</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9.32</w:t>
            </w:r>
            <w:r>
              <w:rPr>
                <w:rFonts w:hint="eastAsia" w:ascii="宋体" w:hAnsi="宋体" w:eastAsia="宋体" w:cs="宋体"/>
                <w:i w:val="0"/>
                <w:iCs w:val="0"/>
                <w:color w:val="000000"/>
                <w:kern w:val="0"/>
                <w:sz w:val="15"/>
                <w:szCs w:val="15"/>
                <w:u w:val="none"/>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445" w:hRule="atLeast"/>
        </w:trPr>
        <w:tc>
          <w:tcPr>
            <w:tcW w:w="643"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16</w:t>
            </w:r>
          </w:p>
        </w:tc>
        <w:tc>
          <w:tcPr>
            <w:tcW w:w="801"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安装调试</w:t>
            </w:r>
          </w:p>
        </w:tc>
        <w:tc>
          <w:tcPr>
            <w:tcW w:w="5346"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屏体安装及安装完成后的设备运行调试</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bookmarkStart w:id="0" w:name="OLE_LINK1"/>
            <w:r>
              <w:rPr>
                <w:rFonts w:hint="eastAsia" w:ascii="宋体" w:hAnsi="宋体" w:eastAsia="宋体" w:cs="宋体"/>
                <w:i w:val="0"/>
                <w:iCs w:val="0"/>
                <w:color w:val="000000"/>
                <w:kern w:val="0"/>
                <w:sz w:val="15"/>
                <w:szCs w:val="15"/>
                <w:u w:val="none"/>
                <w:lang w:val="en-US" w:eastAsia="zh-CN" w:bidi="ar"/>
              </w:rPr>
              <w:t>1项</w:t>
            </w:r>
            <w:bookmarkEnd w:id="0"/>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399" w:hRule="atLeast"/>
        </w:trPr>
        <w:tc>
          <w:tcPr>
            <w:tcW w:w="643"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17</w:t>
            </w:r>
          </w:p>
        </w:tc>
        <w:tc>
          <w:tcPr>
            <w:tcW w:w="801" w:type="dxa"/>
            <w:tcBorders>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包装运输</w:t>
            </w:r>
          </w:p>
        </w:tc>
        <w:tc>
          <w:tcPr>
            <w:tcW w:w="5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6"/>
                <w:szCs w:val="16"/>
                <w:u w:val="none"/>
                <w:lang w:val="en-US" w:eastAsia="zh-CN" w:bidi="ar"/>
              </w:rPr>
              <w:t>大屏出货后运输到安装地点</w:t>
            </w:r>
          </w:p>
        </w:tc>
        <w:tc>
          <w:tcPr>
            <w:tcW w:w="72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1项</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399" w:hRule="atLeast"/>
        </w:trPr>
        <w:tc>
          <w:tcPr>
            <w:tcW w:w="643"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18</w:t>
            </w:r>
          </w:p>
        </w:tc>
        <w:tc>
          <w:tcPr>
            <w:tcW w:w="801" w:type="dxa"/>
            <w:tcBorders>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p>
        </w:tc>
        <w:tc>
          <w:tcPr>
            <w:tcW w:w="117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备件</w:t>
            </w:r>
          </w:p>
        </w:tc>
        <w:tc>
          <w:tcPr>
            <w:tcW w:w="5346"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4张模组\2个电源等备品备件</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1项</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15"/>
                <w:szCs w:val="15"/>
                <w:lang w:val="en-US" w:eastAsia="zh-CN"/>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5"/>
                <w:szCs w:val="15"/>
                <w:lang w:val="en-US" w:eastAsia="zh-CN"/>
              </w:rPr>
            </w:pPr>
          </w:p>
        </w:tc>
      </w:tr>
      <w:tr>
        <w:tblPrEx>
          <w:tblLayout w:type="fixed"/>
          <w:tblCellMar>
            <w:top w:w="0" w:type="dxa"/>
            <w:left w:w="108" w:type="dxa"/>
            <w:bottom w:w="0" w:type="dxa"/>
            <w:right w:w="108" w:type="dxa"/>
          </w:tblCellMar>
        </w:tblPrEx>
        <w:trPr>
          <w:trHeight w:val="705" w:hRule="atLeast"/>
        </w:trPr>
        <w:tc>
          <w:tcPr>
            <w:tcW w:w="64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rPr>
            </w:pP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sz w:val="24"/>
                <w:szCs w:val="24"/>
                <w:lang w:val="en-US" w:eastAsia="zh-CN"/>
              </w:rPr>
            </w:pPr>
          </w:p>
        </w:tc>
        <w:tc>
          <w:tcPr>
            <w:tcW w:w="6521"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含税合计 ：</w:t>
            </w:r>
          </w:p>
        </w:tc>
        <w:tc>
          <w:tcPr>
            <w:tcW w:w="3052"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kern w:val="0"/>
                <w:sz w:val="24"/>
                <w:szCs w:val="24"/>
                <w:lang w:val="en-US" w:eastAsia="zh-CN"/>
              </w:rPr>
            </w:pPr>
            <w:r>
              <w:rPr>
                <w:rFonts w:hint="eastAsia" w:ascii="仿宋" w:hAnsi="仿宋" w:eastAsia="仿宋" w:cs="仿宋"/>
                <w:b/>
                <w:bCs/>
                <w:sz w:val="24"/>
                <w:szCs w:val="24"/>
                <w:lang w:val="en-US" w:eastAsia="zh-CN"/>
              </w:rPr>
              <w:t xml:space="preserve"> （税率   %）</w:t>
            </w:r>
          </w:p>
        </w:tc>
      </w:tr>
    </w:tbl>
    <w:p>
      <w:pPr>
        <w:pStyle w:val="8"/>
        <w:rPr>
          <w:sz w:val="20"/>
          <w:szCs w:val="22"/>
        </w:rPr>
      </w:pPr>
    </w:p>
    <w:p>
      <w:pPr>
        <w:shd w:val="clear" w:color="auto" w:fill="FFFFFF"/>
        <w:spacing w:line="360" w:lineRule="auto"/>
        <w:jc w:val="left"/>
        <w:rPr>
          <w:rFonts w:hint="eastAsia" w:ascii="宋体" w:hAnsi="宋体" w:eastAsia="宋体" w:cs="宋体"/>
          <w:sz w:val="20"/>
          <w:szCs w:val="20"/>
        </w:rPr>
      </w:pPr>
      <w:r>
        <w:rPr>
          <w:rFonts w:hint="eastAsia" w:ascii="宋体" w:hAnsi="宋体" w:eastAsia="宋体" w:cs="宋体"/>
          <w:sz w:val="20"/>
          <w:szCs w:val="20"/>
        </w:rPr>
        <w:t>供应商名称（每页加盖公章）：</w:t>
      </w:r>
    </w:p>
    <w:p>
      <w:pPr>
        <w:shd w:val="clear" w:color="auto" w:fill="FFFFFF"/>
        <w:spacing w:line="360" w:lineRule="auto"/>
        <w:jc w:val="left"/>
        <w:rPr>
          <w:rFonts w:ascii="宋体" w:hAnsi="宋体" w:eastAsia="宋体" w:cs="宋体"/>
          <w:sz w:val="20"/>
          <w:szCs w:val="20"/>
          <w:u w:val="single"/>
        </w:rPr>
      </w:pPr>
      <w:r>
        <w:rPr>
          <w:rFonts w:hint="eastAsia" w:ascii="宋体" w:hAnsi="宋体" w:eastAsia="宋体" w:cs="宋体"/>
          <w:sz w:val="20"/>
          <w:szCs w:val="20"/>
        </w:rPr>
        <w:t>法定代表人或其委托代理人(签字)：</w:t>
      </w:r>
    </w:p>
    <w:p>
      <w:pPr>
        <w:shd w:val="clear" w:color="auto" w:fill="FFFFFF"/>
        <w:spacing w:line="360" w:lineRule="auto"/>
        <w:jc w:val="left"/>
        <w:rPr>
          <w:rFonts w:hint="eastAsia" w:ascii="宋体" w:hAnsi="宋体" w:eastAsia="宋体" w:cs="宋体"/>
          <w:sz w:val="20"/>
          <w:szCs w:val="20"/>
        </w:rPr>
      </w:pPr>
      <w:r>
        <w:rPr>
          <w:rFonts w:hint="eastAsia" w:ascii="宋体" w:hAnsi="宋体" w:eastAsia="宋体" w:cs="宋体"/>
          <w:sz w:val="20"/>
          <w:szCs w:val="20"/>
        </w:rPr>
        <w:t>联系电话：</w:t>
      </w:r>
    </w:p>
    <w:p>
      <w:pPr>
        <w:shd w:val="clear" w:color="auto" w:fill="FFFFFF"/>
        <w:spacing w:line="360" w:lineRule="auto"/>
        <w:jc w:val="left"/>
        <w:rPr>
          <w:rFonts w:hint="default" w:ascii="仿宋" w:hAnsi="仿宋" w:eastAsia="宋体" w:cs="仿宋"/>
          <w:sz w:val="24"/>
          <w:lang w:val="en-US" w:eastAsia="zh-CN"/>
        </w:rPr>
      </w:pPr>
      <w:r>
        <w:rPr>
          <w:rFonts w:hint="eastAsia" w:ascii="宋体" w:hAnsi="宋体" w:eastAsia="宋体" w:cs="宋体"/>
          <w:sz w:val="20"/>
          <w:szCs w:val="20"/>
        </w:rPr>
        <w:t>报价时间：</w:t>
      </w:r>
    </w:p>
    <w:p/>
    <w:sectPr>
      <w:footerReference r:id="rId3" w:type="default"/>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DC6047"/>
    <w:multiLevelType w:val="multilevel"/>
    <w:tmpl w:val="80DC6047"/>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pStyle w:val="6"/>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2E0F90"/>
    <w:rsid w:val="06A774B2"/>
    <w:rsid w:val="1A954633"/>
    <w:rsid w:val="26512215"/>
    <w:rsid w:val="2FAB038F"/>
    <w:rsid w:val="382E0F90"/>
    <w:rsid w:val="3E1A6AC7"/>
    <w:rsid w:val="3ED0657B"/>
    <w:rsid w:val="40A8647F"/>
    <w:rsid w:val="46F73428"/>
    <w:rsid w:val="55FD5522"/>
    <w:rsid w:val="564275E2"/>
    <w:rsid w:val="5CD952DC"/>
    <w:rsid w:val="6C6F504F"/>
    <w:rsid w:val="6E5D2F3A"/>
    <w:rsid w:val="6EA3128E"/>
    <w:rsid w:val="74E06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6">
    <w:name w:val="heading 4"/>
    <w:basedOn w:val="1"/>
    <w:next w:val="1"/>
    <w:unhideWhenUsed/>
    <w:qFormat/>
    <w:uiPriority w:val="9"/>
    <w:pPr>
      <w:keepNext/>
      <w:keepLines/>
      <w:numPr>
        <w:ilvl w:val="3"/>
        <w:numId w:val="1"/>
      </w:numPr>
      <w:spacing w:before="280" w:beforeLines="0" w:beforeAutospacing="0" w:after="290" w:afterLines="0" w:afterAutospacing="0" w:line="372" w:lineRule="auto"/>
      <w:ind w:left="0" w:firstLine="402"/>
      <w:jc w:val="left"/>
      <w:outlineLvl w:val="3"/>
    </w:pPr>
    <w:rPr>
      <w:rFonts w:ascii="Arial" w:hAnsi="Arial" w:eastAsia="宋体"/>
      <w:b/>
      <w:sz w:val="21"/>
      <w:lang w:eastAsia="zh-TW"/>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5"/>
    <w:unhideWhenUsed/>
    <w:qFormat/>
    <w:uiPriority w:val="99"/>
    <w:pPr>
      <w:keepNext w:val="0"/>
      <w:keepLines w:val="0"/>
      <w:widowControl/>
      <w:suppressLineNumbers w:val="0"/>
      <w:autoSpaceDE w:val="0"/>
      <w:autoSpaceDN w:val="0"/>
      <w:adjustRightInd w:val="0"/>
      <w:spacing w:before="0" w:beforeAutospacing="0" w:after="120" w:afterAutospacing="0"/>
      <w:ind w:left="420" w:leftChars="200" w:right="0" w:firstLine="420"/>
      <w:jc w:val="left"/>
    </w:pPr>
    <w:rPr>
      <w:rFonts w:hint="default" w:ascii="Times New Roman" w:hAnsi="Times New Roman" w:eastAsia="宋体" w:cs="Times New Roman"/>
      <w:kern w:val="0"/>
      <w:sz w:val="20"/>
      <w:szCs w:val="21"/>
      <w:lang w:val="en-US" w:eastAsia="zh-CN" w:bidi="ar"/>
    </w:rPr>
  </w:style>
  <w:style w:type="paragraph" w:styleId="3">
    <w:name w:val="Body Text Indent"/>
    <w:basedOn w:val="1"/>
    <w:next w:val="4"/>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4">
    <w:name w:val="envelope return"/>
    <w:basedOn w:val="1"/>
    <w:qFormat/>
    <w:uiPriority w:val="0"/>
    <w:pPr>
      <w:snapToGrid w:val="0"/>
    </w:pPr>
    <w:rPr>
      <w:rFonts w:ascii="Arial" w:hAnsi="Arial"/>
      <w:szCs w:val="24"/>
    </w:rPr>
  </w:style>
  <w:style w:type="paragraph" w:styleId="5">
    <w:name w:val="Body Text"/>
    <w:basedOn w:val="1"/>
    <w:next w:val="6"/>
    <w:qFormat/>
    <w:uiPriority w:val="99"/>
    <w:rPr>
      <w:sz w:val="28"/>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Body Text First Indent"/>
    <w:basedOn w:val="1"/>
    <w:qFormat/>
    <w:uiPriority w:val="0"/>
    <w:pPr>
      <w:ind w:firstLine="200" w:firstLineChars="200"/>
    </w:pPr>
  </w:style>
  <w:style w:type="character" w:customStyle="1" w:styleId="11">
    <w:name w:val="要点1"/>
    <w:qFormat/>
    <w:uiPriority w:val="0"/>
    <w:rPr>
      <w:rFonts w:ascii="Calibri" w:hAnsi="Calibri" w:eastAsia="宋体" w:cs="Times New Roman"/>
      <w:kern w:val="2"/>
      <w:sz w:val="21"/>
      <w:szCs w:val="22"/>
      <w:lang w:val="en-US" w:eastAsia="zh-CN" w:bidi="ar-SA"/>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2025-09-02T02:31:00Z</dcterms:created>
  <dc:creator>liulj</dc:creator>
  <cp:lastModifiedBy>liulj</cp:lastModifiedBy>
  <cp:lastPrinted>2025-09-10T09:14:00Z</cp:lastPrinted>
  <dcterms:modified xsi:type="dcterms:W3CDTF">2025-09-11T03:50:30Z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