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</w:pPr>
      <w:bookmarkStart w:id="18" w:name="_GoBack"/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  <w:lang w:val="en-US" w:eastAsia="zh-CN"/>
        </w:rPr>
        <w:t>附件三：评分标准</w:t>
      </w:r>
    </w:p>
    <w:bookmarkEnd w:id="18"/>
    <w:p>
      <w:pPr>
        <w:pStyle w:val="3"/>
        <w:spacing w:before="91" w:line="223" w:lineRule="auto"/>
        <w:ind w:left="558"/>
        <w:outlineLvl w:val="1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（1）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分权值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sz w:val="28"/>
          <w:szCs w:val="28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5"/>
          <w:sz w:val="28"/>
          <w:szCs w:val="28"/>
        </w:rPr>
        <w:t>总分为</w:t>
      </w:r>
      <w:r>
        <w:rPr>
          <w:rFonts w:hint="eastAsia" w:ascii="仿宋_GB2312" w:hAnsi="仿宋_GB2312" w:eastAsia="仿宋_GB2312" w:cs="仿宋_GB2312"/>
          <w:b w:val="0"/>
          <w:bCs w:val="0"/>
          <w:spacing w:val="-37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pacing w:val="-5"/>
          <w:sz w:val="28"/>
          <w:szCs w:val="28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spacing w:val="-48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pacing w:val="-5"/>
          <w:sz w:val="28"/>
          <w:szCs w:val="28"/>
        </w:rPr>
        <w:t>分，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评分分值分配如下：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2237"/>
        <w:gridCol w:w="2237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237" w:type="dxa"/>
            <w:vAlign w:val="center"/>
          </w:tcPr>
          <w:p>
            <w:pPr>
              <w:spacing w:before="201" w:line="223" w:lineRule="auto"/>
              <w:ind w:left="432" w:left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评分项目</w:t>
            </w:r>
          </w:p>
        </w:tc>
        <w:tc>
          <w:tcPr>
            <w:tcW w:w="2237" w:type="dxa"/>
            <w:vAlign w:val="center"/>
          </w:tcPr>
          <w:p>
            <w:pPr>
              <w:spacing w:before="201" w:line="223" w:lineRule="auto"/>
              <w:ind w:left="533" w:left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商务评分</w:t>
            </w:r>
          </w:p>
        </w:tc>
        <w:tc>
          <w:tcPr>
            <w:tcW w:w="2237" w:type="dxa"/>
            <w:vAlign w:val="center"/>
          </w:tcPr>
          <w:p>
            <w:pPr>
              <w:spacing w:before="201" w:line="223" w:lineRule="auto"/>
              <w:ind w:left="586" w:left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技术评分</w:t>
            </w:r>
          </w:p>
        </w:tc>
        <w:tc>
          <w:tcPr>
            <w:tcW w:w="2237" w:type="dxa"/>
            <w:vAlign w:val="center"/>
          </w:tcPr>
          <w:p>
            <w:pPr>
              <w:spacing w:before="201" w:line="223" w:lineRule="auto"/>
              <w:ind w:left="517" w:left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价格评分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237" w:type="dxa"/>
            <w:vAlign w:val="center"/>
          </w:tcPr>
          <w:p>
            <w:pPr>
              <w:spacing w:before="200" w:line="224" w:lineRule="auto"/>
              <w:ind w:left="481" w:left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8"/>
                <w:szCs w:val="28"/>
              </w:rPr>
              <w:t>100</w:t>
            </w:r>
            <w:r>
              <w:rPr>
                <w:rFonts w:hint="eastAsia" w:ascii="仿宋_GB2312" w:hAnsi="仿宋_GB2312" w:eastAsia="仿宋_GB2312" w:cs="仿宋_GB2312"/>
                <w:spacing w:val="-5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0"/>
                <w:sz w:val="28"/>
                <w:szCs w:val="28"/>
              </w:rPr>
              <w:t>分值</w:t>
            </w:r>
          </w:p>
        </w:tc>
        <w:tc>
          <w:tcPr>
            <w:tcW w:w="2237" w:type="dxa"/>
            <w:vAlign w:val="center"/>
          </w:tcPr>
          <w:p>
            <w:pPr>
              <w:spacing w:before="202" w:line="224" w:lineRule="auto"/>
              <w:ind w:left="767" w:left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pacing w:val="-50"/>
                <w:sz w:val="28"/>
                <w:szCs w:val="28"/>
                <w:u w:val="single" w:color="auto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spacing w:val="-50"/>
                <w:sz w:val="28"/>
                <w:szCs w:val="28"/>
                <w:u w:val="single" w:color="auto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分</w:t>
            </w:r>
          </w:p>
        </w:tc>
        <w:tc>
          <w:tcPr>
            <w:tcW w:w="2237" w:type="dxa"/>
            <w:vAlign w:val="center"/>
          </w:tcPr>
          <w:p>
            <w:pPr>
              <w:spacing w:before="202" w:line="224" w:lineRule="auto"/>
              <w:ind w:left="829" w:left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pacing w:val="-50"/>
                <w:sz w:val="28"/>
                <w:szCs w:val="28"/>
                <w:u w:val="single" w:color="auto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分</w:t>
            </w:r>
          </w:p>
        </w:tc>
        <w:tc>
          <w:tcPr>
            <w:tcW w:w="2237" w:type="dxa"/>
            <w:vAlign w:val="center"/>
          </w:tcPr>
          <w:p>
            <w:pPr>
              <w:spacing w:before="202" w:line="224" w:lineRule="auto"/>
              <w:ind w:left="775" w:left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pacing w:val="-50"/>
                <w:sz w:val="28"/>
                <w:szCs w:val="28"/>
                <w:u w:val="single" w:color="auto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分</w:t>
            </w:r>
          </w:p>
        </w:tc>
      </w:tr>
    </w:tbl>
    <w:p>
      <w:pPr>
        <w:pStyle w:val="2"/>
      </w:pPr>
    </w:p>
    <w:p>
      <w:pPr>
        <w:pStyle w:val="3"/>
        <w:spacing w:before="91" w:line="223" w:lineRule="auto"/>
        <w:ind w:left="558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Toc24782"/>
      <w:bookmarkStart w:id="1" w:name="_Toc27606"/>
      <w:r>
        <w:rPr>
          <w:rFonts w:hint="eastAsia" w:ascii="仿宋_GB2312" w:hAnsi="仿宋_GB2312" w:eastAsia="仿宋_GB2312" w:cs="仿宋_GB2312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商务评分表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7"/>
        <w:gridCol w:w="4733"/>
        <w:gridCol w:w="1167"/>
        <w:gridCol w:w="1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2" w:name="_Toc7853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评审项目</w:t>
            </w:r>
            <w:bookmarkEnd w:id="2"/>
          </w:p>
        </w:tc>
        <w:tc>
          <w:tcPr>
            <w:tcW w:w="47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3" w:name="_Toc17395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评分标准</w:t>
            </w:r>
            <w:bookmarkEnd w:id="3"/>
          </w:p>
        </w:tc>
        <w:tc>
          <w:tcPr>
            <w:tcW w:w="11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4" w:name="_Toc16603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分值</w:t>
            </w:r>
            <w:bookmarkEnd w:id="4"/>
          </w:p>
        </w:tc>
        <w:tc>
          <w:tcPr>
            <w:tcW w:w="10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5" w:name="_Toc14247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评分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6" w:name="_Toc12198"/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  <w:lang w:val="en-US" w:eastAsia="zh-CN"/>
              </w:rPr>
              <w:t>服务团队情况</w:t>
            </w:r>
            <w:bookmarkEnd w:id="6"/>
          </w:p>
        </w:tc>
        <w:tc>
          <w:tcPr>
            <w:tcW w:w="4733" w:type="dxa"/>
          </w:tcPr>
          <w:p>
            <w:pPr>
              <w:numPr>
                <w:ilvl w:val="0"/>
                <w:numId w:val="0"/>
              </w:numPr>
              <w:spacing w:before="46" w:line="234" w:lineRule="auto"/>
              <w:ind w:right="183" w:rightChars="0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安排项目经理1人，服务团队总人数(含项目经理)不少于3人，每提供1人得2分，最高得6分;</w:t>
            </w:r>
          </w:p>
          <w:p>
            <w:pPr>
              <w:numPr>
                <w:ilvl w:val="0"/>
                <w:numId w:val="0"/>
              </w:numPr>
              <w:spacing w:before="46" w:line="234" w:lineRule="auto"/>
              <w:ind w:right="183" w:rightChars="0"/>
              <w:jc w:val="both"/>
              <w:rPr>
                <w:rFonts w:hint="default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2.团队成员中具有硕士研究生及以上学历，每提供1个，得2分，最高得2分；</w:t>
            </w:r>
          </w:p>
          <w:p>
            <w:pPr>
              <w:numPr>
                <w:ilvl w:val="0"/>
                <w:numId w:val="0"/>
              </w:numPr>
              <w:spacing w:before="46" w:line="234" w:lineRule="auto"/>
              <w:ind w:right="183" w:rightChars="0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3.团队成员中具有艺术类相关专业（美术学、艺术管理、音乐学）、视觉传达设计专业本科及以上学历，每提供1个，得2分，最高得4分。</w:t>
            </w:r>
          </w:p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（注：提供上述人员学历证书复印件或学信网查询截图，以及在供应商单位交纳近6个月内任意一个月的社保证明）</w:t>
            </w:r>
          </w:p>
        </w:tc>
        <w:tc>
          <w:tcPr>
            <w:tcW w:w="11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0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  <w:lang w:val="en-US" w:eastAsia="zh-CN"/>
              </w:rPr>
              <w:t>团队作品证明</w:t>
            </w:r>
          </w:p>
        </w:tc>
        <w:tc>
          <w:tcPr>
            <w:tcW w:w="4733" w:type="dxa"/>
          </w:tcPr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团队成员作品证明。提供画册书籍设计类、动漫（漫画）海报设计类、动漫（漫画）文创设计类、影视动漫制作类相关作品，每提供一个作品得2分，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最高得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分。</w:t>
            </w:r>
          </w:p>
          <w:p>
            <w:pPr>
              <w:spacing w:before="46" w:line="234" w:lineRule="auto"/>
              <w:ind w:right="183"/>
              <w:jc w:val="both"/>
              <w:rPr>
                <w:rFonts w:hint="default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注：需提供项目有效合同证明（扫描件需有甲乙双方公章）。扫描件需要清晰可辨，并提供团队成员参与项目工作的承诺函，不清晰或不提供不得分。</w:t>
            </w:r>
          </w:p>
        </w:tc>
        <w:tc>
          <w:tcPr>
            <w:tcW w:w="11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0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037" w:type="dxa"/>
          </w:tcPr>
          <w:p>
            <w:pPr>
              <w:spacing w:before="91" w:line="461" w:lineRule="exact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同类业绩情况</w:t>
            </w:r>
          </w:p>
        </w:tc>
        <w:tc>
          <w:tcPr>
            <w:tcW w:w="4733" w:type="dxa"/>
          </w:tcPr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执行团队需有丰富的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设计类、动漫制作类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项目（包括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国企单位、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政务单位、媒体单位大型活动项目等）。要求提供合作金额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万元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以上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的类似项目合同，每提供1个得4分，合作金额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在10万元以下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的类似项目合同（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最低金额不得低于5万），每提供1个得2分，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最高得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分；不提供不得分。</w:t>
            </w:r>
          </w:p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（需至少提供合同内容页及盖章页）</w:t>
            </w:r>
          </w:p>
        </w:tc>
        <w:tc>
          <w:tcPr>
            <w:tcW w:w="11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0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037" w:type="dxa"/>
            <w:vAlign w:val="center"/>
          </w:tcPr>
          <w:p>
            <w:pPr>
              <w:spacing w:before="91" w:line="461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bookmarkStart w:id="7" w:name="_Toc8168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本地化服务支撑能力</w:t>
            </w:r>
          </w:p>
          <w:p>
            <w:pPr>
              <w:snapToGrid w:val="0"/>
              <w:spacing w:line="4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733" w:type="dxa"/>
            <w:vAlign w:val="center"/>
          </w:tcPr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具有本地服务支撑能力。响应人总部、分公司或服务团队在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广东省内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 xml:space="preserve">的，提供承诺函承诺成交后在项目实施地成立本地服务团队的，得10分，否则不得分。 </w:t>
            </w:r>
          </w:p>
          <w:p>
            <w:pPr>
              <w:spacing w:before="46" w:line="234" w:lineRule="auto"/>
              <w:ind w:right="183"/>
              <w:jc w:val="both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注：提供营业执照复印件，或有效期内的办公室租赁合同复印件（租赁合同租赁方须为响应人或其分支机构，租赁合同内容须体现租赁用途为写字楼或办公用途），或承诺函等证明文件</w:t>
            </w:r>
          </w:p>
        </w:tc>
        <w:tc>
          <w:tcPr>
            <w:tcW w:w="1167" w:type="dxa"/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0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合计</w:t>
            </w:r>
            <w:bookmarkEnd w:id="7"/>
          </w:p>
        </w:tc>
        <w:tc>
          <w:tcPr>
            <w:tcW w:w="6911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40</w:t>
            </w:r>
          </w:p>
        </w:tc>
      </w:tr>
    </w:tbl>
    <w:p>
      <w:pPr>
        <w:pStyle w:val="3"/>
        <w:spacing w:before="91" w:line="223" w:lineRule="auto"/>
        <w:ind w:left="558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技术评分表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4748"/>
        <w:gridCol w:w="1167"/>
        <w:gridCol w:w="1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8" w:name="_Toc8398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评审项目</w:t>
            </w:r>
            <w:bookmarkEnd w:id="8"/>
          </w:p>
        </w:tc>
        <w:tc>
          <w:tcPr>
            <w:tcW w:w="47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9" w:name="_Toc5264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评分标准</w:t>
            </w:r>
            <w:bookmarkEnd w:id="9"/>
          </w:p>
        </w:tc>
        <w:tc>
          <w:tcPr>
            <w:tcW w:w="11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10" w:name="_Toc10890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分值</w:t>
            </w:r>
            <w:bookmarkEnd w:id="10"/>
          </w:p>
        </w:tc>
        <w:tc>
          <w:tcPr>
            <w:tcW w:w="10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11" w:name="_Toc18057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评分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12" w:name="_Toc946"/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  <w:lang w:val="en-US" w:eastAsia="zh-CN"/>
              </w:rPr>
              <w:t>项目服务方案</w:t>
            </w:r>
            <w:bookmarkEnd w:id="12"/>
          </w:p>
        </w:tc>
        <w:tc>
          <w:tcPr>
            <w:tcW w:w="4748" w:type="dxa"/>
          </w:tcPr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供应商需按照对项目需求的理解，制定详细可靠的原创动漫作品策划制作服务方案。</w:t>
            </w:r>
          </w:p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1.完全满足并优于采购需求，得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分；</w:t>
            </w:r>
          </w:p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2.满足采购需求，得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分；</w:t>
            </w:r>
          </w:p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3.基本满足采购需求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，得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分</w:t>
            </w:r>
          </w:p>
          <w:p>
            <w:pPr>
              <w:spacing w:before="46" w:line="234" w:lineRule="auto"/>
              <w:ind w:right="183"/>
              <w:jc w:val="both"/>
              <w:rPr>
                <w:rFonts w:hint="default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.不能完全满足采购需求，得0-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11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10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022" w:type="dxa"/>
          </w:tcPr>
          <w:p>
            <w:pPr>
              <w:spacing w:before="91" w:line="461" w:lineRule="exact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项目执行进度计划安排</w:t>
            </w:r>
          </w:p>
        </w:tc>
        <w:tc>
          <w:tcPr>
            <w:tcW w:w="4748" w:type="dxa"/>
          </w:tcPr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供应商需根据项目需求，制定详细可靠的项目计划安排，从前期策划、中期执行到后期成果验收的整体实施进度。</w:t>
            </w:r>
          </w:p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完全满足并优于采购需求，得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分；</w:t>
            </w:r>
          </w:p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2.满足采购需求，得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分；</w:t>
            </w:r>
          </w:p>
          <w:p>
            <w:pPr>
              <w:spacing w:before="46" w:line="234" w:lineRule="auto"/>
              <w:ind w:right="183"/>
              <w:jc w:val="both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3.不能完全满足采购需求，得0-5分</w:t>
            </w:r>
          </w:p>
        </w:tc>
        <w:tc>
          <w:tcPr>
            <w:tcW w:w="11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10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13" w:name="_Toc14945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合计</w:t>
            </w:r>
            <w:bookmarkEnd w:id="13"/>
          </w:p>
        </w:tc>
        <w:tc>
          <w:tcPr>
            <w:tcW w:w="6926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40</w:t>
            </w:r>
          </w:p>
        </w:tc>
      </w:tr>
    </w:tbl>
    <w:p>
      <w:pPr>
        <w:pStyle w:val="3"/>
        <w:spacing w:before="91" w:line="223" w:lineRule="auto"/>
        <w:ind w:left="558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价格评分表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7"/>
        <w:gridCol w:w="4750"/>
        <w:gridCol w:w="1167"/>
        <w:gridCol w:w="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14" w:name="_Toc6039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评审项目</w:t>
            </w:r>
            <w:bookmarkEnd w:id="14"/>
          </w:p>
        </w:tc>
        <w:tc>
          <w:tcPr>
            <w:tcW w:w="47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15" w:name="_Toc2856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评分标准</w:t>
            </w:r>
            <w:bookmarkEnd w:id="15"/>
          </w:p>
        </w:tc>
        <w:tc>
          <w:tcPr>
            <w:tcW w:w="11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16" w:name="_Toc26221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分值</w:t>
            </w:r>
            <w:bookmarkEnd w:id="16"/>
          </w:p>
        </w:tc>
        <w:tc>
          <w:tcPr>
            <w:tcW w:w="9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1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17" w:name="_Toc8804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评分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7" w:type="dxa"/>
            <w:vAlign w:val="center"/>
          </w:tcPr>
          <w:p>
            <w:pPr>
              <w:spacing w:before="91" w:line="223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价格部分</w:t>
            </w:r>
          </w:p>
        </w:tc>
        <w:tc>
          <w:tcPr>
            <w:tcW w:w="4750" w:type="dxa"/>
            <w:vAlign w:val="center"/>
          </w:tcPr>
          <w:p>
            <w:pPr>
              <w:spacing w:before="46" w:line="234" w:lineRule="auto"/>
              <w:ind w:right="183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计算价格评分：各有效投标供应商的评标</w:t>
            </w:r>
            <w:r>
              <w:rPr>
                <w:rFonts w:hint="eastAsia" w:ascii="仿宋_GB2312" w:hAnsi="仿宋_GB2312" w:eastAsia="仿宋_GB2312" w:cs="仿宋_GB2312"/>
                <w:spacing w:val="16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价中，取得最低者作为基准价，各有效投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标供应商的价格评分统一按照下列公式计</w:t>
            </w:r>
            <w:r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</w:rPr>
              <w:t>算：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价格评分=（基准价／评标价）</w:t>
            </w:r>
            <w:r>
              <w:rPr>
                <w:rFonts w:hint="eastAsia" w:ascii="仿宋_GB2312" w:hAnsi="仿宋_GB2312" w:eastAsia="仿宋_GB2312" w:cs="仿宋_GB2312"/>
                <w:spacing w:val="-73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167" w:type="dxa"/>
            <w:vAlign w:val="center"/>
          </w:tcPr>
          <w:p>
            <w:pPr>
              <w:spacing w:before="91" w:line="181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bookmarkEnd w:id="0"/>
      <w:bookmarkEnd w:id="1"/>
    </w:tbl>
    <w:p>
      <w:pPr>
        <w:spacing w:line="360" w:lineRule="auto"/>
        <w:jc w:val="both"/>
        <w:rPr>
          <w:rFonts w:hint="eastAsia" w:ascii="方正小标宋简体" w:hAnsi="方正小标宋简体" w:eastAsia="方正小标宋简体" w:cs="方正小标宋简体"/>
          <w:b/>
          <w:sz w:val="32"/>
          <w:szCs w:val="32"/>
          <w:lang w:val="en-US" w:eastAsia="zh-CN"/>
        </w:rPr>
      </w:pPr>
    </w:p>
    <w:p/>
    <w:sectPr>
      <w:footerReference r:id="rId3" w:type="default"/>
      <w:pgSz w:w="11906" w:h="16838"/>
      <w:pgMar w:top="2098" w:right="1587" w:bottom="1984" w:left="1587" w:header="851" w:footer="709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719A93C-F8EF-44A3-803E-B891856617C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62997B9-FE0D-4512-AF7C-FE66CF22F4C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E276BC9-AAA0-4D1F-BC8B-4D318D96C57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C0AC007-1946-4E84-8E1F-39ED0C4D83B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1YThjMWI2ZjYyNjkyZWFmMTk2N2Y3NGM0ODJkNzkifQ=="/>
  </w:docVars>
  <w:rsids>
    <w:rsidRoot w:val="381D3551"/>
    <w:rsid w:val="381D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2024-05-30T06:14:00Z</dcterms:created>
  <dc:creator>Kiko.希</dc:creator>
  <cp:lastModifiedBy>Kiko.希</cp:lastModifiedBy>
  <dcterms:modified xsi:type="dcterms:W3CDTF">2024-05-30T06:15:11Z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0DBAF89CB9E84BFAA1321FB38C52E7EB_11</vt:lpwstr>
  </property>
</Properties>
</file>