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p>
    <w:p>
      <w:pPr>
        <w:spacing w:line="400" w:lineRule="exact"/>
        <w:jc w:val="center"/>
        <w:rPr>
          <w:rFonts w:ascii="宋体" w:hAnsi="宋体"/>
          <w:b/>
          <w:color w:val="auto"/>
          <w:u w:val="single"/>
        </w:rPr>
      </w:pPr>
      <w:bookmarkStart w:id="0" w:name="_Hlk46473036"/>
      <w:bookmarkEnd w:id="0"/>
    </w:p>
    <w:p>
      <w:pPr>
        <w:jc w:val="center"/>
        <w:rPr>
          <w:rFonts w:ascii="宋体" w:hAnsi="宋体"/>
          <w:b/>
          <w:color w:val="auto"/>
          <w:u w:val="single"/>
        </w:rPr>
      </w:pPr>
    </w:p>
    <w:p>
      <w:pPr>
        <w:jc w:val="center"/>
        <w:rPr>
          <w:rFonts w:ascii="宋体" w:hAnsi="宋体"/>
          <w:b/>
          <w:color w:val="auto"/>
          <w:u w:val="single"/>
        </w:rPr>
      </w:pPr>
    </w:p>
    <w:p>
      <w:pPr>
        <w:jc w:val="center"/>
        <w:rPr>
          <w:rFonts w:hint="eastAsia" w:ascii="黑体" w:hAnsi="黑体" w:eastAsia="黑体"/>
          <w:color w:val="auto"/>
          <w:spacing w:val="40"/>
          <w:sz w:val="44"/>
          <w:szCs w:val="32"/>
          <w:lang w:eastAsia="zh-CN"/>
        </w:rPr>
      </w:pPr>
      <w:r>
        <w:rPr>
          <w:rFonts w:hint="eastAsia" w:ascii="黑体" w:hAnsi="黑体" w:eastAsia="黑体"/>
          <w:color w:val="auto"/>
          <w:spacing w:val="40"/>
          <w:sz w:val="44"/>
          <w:szCs w:val="32"/>
          <w:lang w:eastAsia="zh-CN"/>
        </w:rPr>
        <w:t>主题展厅多媒体设备及互动展项定制安装服务项目</w:t>
      </w:r>
    </w:p>
    <w:p>
      <w:pPr>
        <w:pStyle w:val="49"/>
        <w:rPr>
          <w:rFonts w:hint="eastAsia" w:ascii="黑体" w:hAnsi="黑体" w:eastAsia="黑体"/>
          <w:color w:val="auto"/>
          <w:spacing w:val="40"/>
          <w:sz w:val="44"/>
          <w:szCs w:val="32"/>
          <w:lang w:eastAsia="zh-CN"/>
        </w:rPr>
      </w:pPr>
    </w:p>
    <w:p>
      <w:pPr>
        <w:pStyle w:val="49"/>
        <w:rPr>
          <w:rFonts w:hint="eastAsia" w:ascii="黑体" w:hAnsi="黑体" w:eastAsia="黑体"/>
          <w:color w:val="auto"/>
          <w:spacing w:val="40"/>
          <w:sz w:val="44"/>
          <w:szCs w:val="32"/>
          <w:lang w:eastAsia="zh-CN"/>
        </w:rPr>
      </w:pPr>
    </w:p>
    <w:p>
      <w:pPr>
        <w:jc w:val="center"/>
        <w:rPr>
          <w:rFonts w:ascii="黑体" w:hAnsi="黑体" w:eastAsia="黑体"/>
          <w:color w:val="auto"/>
          <w:spacing w:val="40"/>
          <w:sz w:val="52"/>
        </w:rPr>
      </w:pPr>
      <w:r>
        <w:rPr>
          <w:rFonts w:hint="eastAsia" w:ascii="黑体" w:hAnsi="黑体" w:eastAsia="黑体"/>
          <w:color w:val="auto"/>
          <w:spacing w:val="40"/>
          <w:sz w:val="52"/>
        </w:rPr>
        <w:t>招标文件</w:t>
      </w: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jc w:val="center"/>
        <w:rPr>
          <w:rFonts w:ascii="宋体" w:hAnsi="宋体"/>
          <w:b/>
          <w:color w:val="auto"/>
        </w:rPr>
      </w:pPr>
    </w:p>
    <w:p>
      <w:pPr>
        <w:spacing w:after="120" w:line="400" w:lineRule="exact"/>
        <w:jc w:val="center"/>
        <w:rPr>
          <w:rFonts w:hint="eastAsia" w:ascii="黑体" w:hAnsi="黑体" w:eastAsia="黑体"/>
          <w:color w:val="auto"/>
          <w:sz w:val="32"/>
          <w:lang w:eastAsia="zh-CN"/>
        </w:rPr>
      </w:pPr>
      <w:r>
        <w:rPr>
          <w:rFonts w:hint="eastAsia" w:ascii="黑体" w:hAnsi="黑体" w:eastAsia="黑体"/>
          <w:color w:val="auto"/>
          <w:sz w:val="32"/>
        </w:rPr>
        <w:t>招标代理编号：</w:t>
      </w:r>
      <w:r>
        <w:rPr>
          <w:rFonts w:hint="eastAsia" w:ascii="黑体" w:hAnsi="黑体" w:eastAsia="黑体"/>
          <w:color w:val="auto"/>
          <w:sz w:val="32"/>
          <w:lang w:eastAsia="zh-CN"/>
        </w:rPr>
        <w:t>WJS-202304070019</w:t>
      </w:r>
    </w:p>
    <w:p>
      <w:pPr>
        <w:spacing w:after="120" w:line="400" w:lineRule="exact"/>
        <w:jc w:val="center"/>
        <w:rPr>
          <w:rFonts w:ascii="宋体" w:hAnsi="宋体"/>
          <w:b/>
          <w:color w:val="auto"/>
          <w:sz w:val="30"/>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jc w:val="center"/>
        <w:rPr>
          <w:rFonts w:ascii="宋体" w:hAnsi="宋体"/>
          <w:b/>
          <w:color w:val="auto"/>
          <w:sz w:val="24"/>
        </w:rPr>
      </w:pPr>
    </w:p>
    <w:p>
      <w:pPr>
        <w:spacing w:after="120" w:line="400" w:lineRule="exact"/>
        <w:rPr>
          <w:rFonts w:ascii="宋体" w:hAnsi="宋体"/>
          <w:b/>
          <w:color w:val="auto"/>
          <w:sz w:val="24"/>
        </w:rPr>
      </w:pPr>
    </w:p>
    <w:p>
      <w:pPr>
        <w:spacing w:after="120" w:line="400" w:lineRule="exact"/>
        <w:jc w:val="center"/>
        <w:rPr>
          <w:rFonts w:hint="eastAsia" w:ascii="黑体" w:hAnsi="黑体" w:eastAsia="黑体"/>
          <w:color w:val="auto"/>
          <w:sz w:val="24"/>
          <w:lang w:eastAsia="zh-CN"/>
        </w:rPr>
      </w:pPr>
      <w:r>
        <w:rPr>
          <w:rFonts w:hint="eastAsia" w:ascii="黑体" w:hAnsi="黑体" w:eastAsia="黑体"/>
          <w:color w:val="auto"/>
          <w:sz w:val="24"/>
        </w:rPr>
        <w:t>招标人：</w:t>
      </w:r>
      <w:r>
        <w:rPr>
          <w:rFonts w:hint="eastAsia" w:ascii="黑体" w:hAnsi="黑体" w:eastAsia="黑体"/>
          <w:color w:val="auto"/>
          <w:sz w:val="24"/>
          <w:lang w:eastAsia="zh-CN"/>
        </w:rPr>
        <w:t>广东南方日报展示有限公司</w:t>
      </w:r>
    </w:p>
    <w:p>
      <w:pPr>
        <w:spacing w:after="120" w:line="400" w:lineRule="exact"/>
        <w:rPr>
          <w:rFonts w:ascii="黑体" w:hAnsi="黑体" w:eastAsia="黑体"/>
          <w:color w:val="auto"/>
          <w:sz w:val="24"/>
        </w:rPr>
      </w:pPr>
      <w:r>
        <w:rPr>
          <w:rFonts w:ascii="黑体" w:hAnsi="黑体" w:eastAsia="黑体"/>
          <w:color w:val="auto"/>
          <w:sz w:val="24"/>
        </w:rPr>
        <w:t xml:space="preserve">           招标代理机构：广东省南方文化产权交易所股份有限公司</w:t>
      </w:r>
    </w:p>
    <w:p>
      <w:pPr>
        <w:spacing w:after="120" w:line="400" w:lineRule="exact"/>
        <w:jc w:val="center"/>
        <w:rPr>
          <w:rFonts w:ascii="黑体" w:hAnsi="黑体" w:eastAsia="黑体"/>
          <w:color w:val="auto"/>
          <w:sz w:val="24"/>
        </w:rPr>
      </w:pPr>
      <w:r>
        <w:rPr>
          <w:rFonts w:hint="eastAsia" w:ascii="黑体" w:hAnsi="黑体" w:eastAsia="黑体"/>
          <w:color w:val="auto"/>
          <w:sz w:val="24"/>
        </w:rPr>
        <w:t>日期：</w:t>
      </w:r>
      <w:r>
        <w:rPr>
          <w:rFonts w:ascii="黑体" w:hAnsi="黑体" w:eastAsia="黑体"/>
          <w:color w:val="auto"/>
          <w:sz w:val="24"/>
        </w:rPr>
        <w:t>202</w:t>
      </w:r>
      <w:r>
        <w:rPr>
          <w:rFonts w:hint="eastAsia" w:ascii="黑体" w:hAnsi="黑体" w:eastAsia="黑体"/>
          <w:color w:val="auto"/>
          <w:sz w:val="24"/>
          <w:lang w:val="en-US" w:eastAsia="zh-CN"/>
        </w:rPr>
        <w:t>3</w:t>
      </w:r>
      <w:r>
        <w:rPr>
          <w:rFonts w:ascii="黑体" w:hAnsi="黑体" w:eastAsia="黑体"/>
          <w:color w:val="auto"/>
          <w:sz w:val="24"/>
        </w:rPr>
        <w:t>年</w:t>
      </w:r>
      <w:r>
        <w:rPr>
          <w:rFonts w:hint="eastAsia" w:ascii="黑体" w:hAnsi="黑体" w:eastAsia="黑体"/>
          <w:color w:val="auto"/>
          <w:sz w:val="24"/>
          <w:lang w:val="en-US" w:eastAsia="zh-CN"/>
        </w:rPr>
        <w:t>4</w:t>
      </w:r>
      <w:r>
        <w:rPr>
          <w:rFonts w:ascii="黑体" w:hAnsi="黑体" w:eastAsia="黑体"/>
          <w:color w:val="auto"/>
          <w:sz w:val="24"/>
        </w:rPr>
        <w:t>月</w:t>
      </w:r>
    </w:p>
    <w:p>
      <w:pPr>
        <w:widowControl/>
        <w:jc w:val="left"/>
        <w:rPr>
          <w:rFonts w:ascii="黑体" w:hAnsi="黑体" w:eastAsia="黑体"/>
          <w:color w:val="auto"/>
          <w:sz w:val="24"/>
        </w:rPr>
      </w:pPr>
      <w:r>
        <w:rPr>
          <w:rFonts w:ascii="黑体" w:hAnsi="黑体" w:eastAsia="黑体"/>
          <w:color w:val="auto"/>
          <w:sz w:val="24"/>
        </w:rPr>
        <w:br w:type="page"/>
      </w:r>
    </w:p>
    <w:p>
      <w:pPr>
        <w:spacing w:after="120" w:line="400" w:lineRule="exact"/>
        <w:jc w:val="center"/>
        <w:rPr>
          <w:rFonts w:ascii="黑体" w:hAnsi="黑体" w:eastAsia="黑体"/>
          <w:color w:val="auto"/>
          <w:sz w:val="24"/>
        </w:rPr>
      </w:pPr>
    </w:p>
    <w:p>
      <w:pPr>
        <w:spacing w:after="120" w:line="360" w:lineRule="atLeast"/>
        <w:jc w:val="center"/>
        <w:rPr>
          <w:rFonts w:ascii="宋体" w:hAnsi="宋体" w:cs="宋体"/>
          <w:b/>
          <w:color w:val="auto"/>
          <w:sz w:val="32"/>
          <w:szCs w:val="32"/>
        </w:rPr>
      </w:pPr>
      <w:r>
        <w:rPr>
          <w:rFonts w:hint="eastAsia" w:ascii="宋体" w:hAnsi="宋体" w:cs="宋体"/>
          <w:b/>
          <w:color w:val="auto"/>
          <w:sz w:val="32"/>
          <w:szCs w:val="32"/>
        </w:rPr>
        <w:t>目</w:t>
      </w:r>
      <w:r>
        <w:rPr>
          <w:rFonts w:ascii="宋体" w:hAnsi="宋体" w:cs="宋体"/>
          <w:b/>
          <w:color w:val="auto"/>
          <w:sz w:val="32"/>
          <w:szCs w:val="32"/>
        </w:rPr>
        <w:t xml:space="preserve">  </w:t>
      </w:r>
      <w:r>
        <w:rPr>
          <w:rFonts w:hint="eastAsia" w:ascii="宋体" w:hAnsi="宋体" w:cs="宋体"/>
          <w:b/>
          <w:color w:val="auto"/>
          <w:sz w:val="32"/>
          <w:szCs w:val="32"/>
        </w:rPr>
        <w:t>录</w:t>
      </w:r>
    </w:p>
    <w:p>
      <w:pPr>
        <w:pStyle w:val="28"/>
        <w:tabs>
          <w:tab w:val="right" w:leader="hyphen" w:pos="8504"/>
          <w:tab w:val="clear" w:pos="567"/>
          <w:tab w:val="clear" w:pos="709"/>
          <w:tab w:val="clear" w:pos="8505"/>
        </w:tabs>
      </w:pPr>
      <w:r>
        <w:rPr>
          <w:bCs/>
          <w:color w:val="auto"/>
          <w:sz w:val="20"/>
          <w:szCs w:val="22"/>
        </w:rPr>
        <w:fldChar w:fldCharType="begin"/>
      </w:r>
      <w:r>
        <w:rPr>
          <w:bCs/>
          <w:color w:val="auto"/>
          <w:sz w:val="20"/>
          <w:szCs w:val="22"/>
        </w:rPr>
        <w:instrText xml:space="preserve"> TOC \o "1-3" \h \z \u </w:instrText>
      </w:r>
      <w:r>
        <w:rPr>
          <w:bCs/>
          <w:color w:val="auto"/>
          <w:sz w:val="20"/>
          <w:szCs w:val="22"/>
        </w:rPr>
        <w:fldChar w:fldCharType="separate"/>
      </w:r>
      <w:r>
        <w:rPr>
          <w:bCs/>
          <w:color w:val="auto"/>
          <w:szCs w:val="22"/>
        </w:rPr>
        <w:fldChar w:fldCharType="begin"/>
      </w:r>
      <w:r>
        <w:rPr>
          <w:bCs/>
          <w:szCs w:val="22"/>
        </w:rPr>
        <w:instrText xml:space="preserve"> HYPERLINK \l _Toc3011 </w:instrText>
      </w:r>
      <w:r>
        <w:rPr>
          <w:bCs/>
          <w:szCs w:val="22"/>
        </w:rPr>
        <w:fldChar w:fldCharType="separate"/>
      </w:r>
      <w:r>
        <w:rPr>
          <w:rFonts w:hint="eastAsia" w:ascii="宋体" w:hAnsi="宋体" w:eastAsia="宋体" w:cs="宋体"/>
          <w:bCs w:val="0"/>
          <w:kern w:val="0"/>
          <w:szCs w:val="28"/>
        </w:rPr>
        <w:t>第一章</w:t>
      </w:r>
      <w:r>
        <w:rPr>
          <w:rFonts w:ascii="宋体" w:hAnsi="宋体" w:eastAsia="宋体" w:cs="宋体"/>
          <w:bCs w:val="0"/>
          <w:kern w:val="0"/>
          <w:szCs w:val="28"/>
        </w:rPr>
        <w:t xml:space="preserve">  招标公告</w:t>
      </w:r>
      <w:r>
        <w:tab/>
      </w:r>
      <w:r>
        <w:fldChar w:fldCharType="begin"/>
      </w:r>
      <w:r>
        <w:instrText xml:space="preserve"> PAGEREF _Toc3011 \h </w:instrText>
      </w:r>
      <w:r>
        <w:fldChar w:fldCharType="separate"/>
      </w:r>
      <w:r>
        <w:t>1</w:t>
      </w:r>
      <w:r>
        <w:fldChar w:fldCharType="end"/>
      </w:r>
      <w:r>
        <w:rPr>
          <w:bCs/>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_Toc29571 </w:instrText>
      </w:r>
      <w:r>
        <w:rPr>
          <w:rFonts w:ascii="宋体" w:hAnsi="宋体"/>
          <w:szCs w:val="22"/>
        </w:rPr>
        <w:fldChar w:fldCharType="separate"/>
      </w:r>
      <w:r>
        <w:rPr>
          <w:rFonts w:hint="eastAsia" w:ascii="宋体" w:hAnsi="宋体" w:eastAsia="宋体" w:cs="宋体"/>
          <w:bCs w:val="0"/>
          <w:kern w:val="0"/>
          <w:szCs w:val="28"/>
        </w:rPr>
        <w:t>第二章</w:t>
      </w:r>
      <w:r>
        <w:rPr>
          <w:rFonts w:ascii="宋体" w:hAnsi="宋体" w:eastAsia="宋体" w:cs="宋体"/>
          <w:bCs w:val="0"/>
          <w:kern w:val="0"/>
          <w:szCs w:val="28"/>
        </w:rPr>
        <w:t xml:space="preserve">  </w:t>
      </w:r>
      <w:r>
        <w:rPr>
          <w:rFonts w:hint="eastAsia" w:ascii="宋体" w:hAnsi="宋体" w:eastAsia="宋体" w:cs="宋体"/>
          <w:bCs w:val="0"/>
          <w:kern w:val="0"/>
          <w:szCs w:val="28"/>
        </w:rPr>
        <w:t>投标人须知</w:t>
      </w:r>
      <w:r>
        <w:tab/>
      </w:r>
      <w:r>
        <w:fldChar w:fldCharType="begin"/>
      </w:r>
      <w:r>
        <w:instrText xml:space="preserve"> PAGEREF _Toc29571 \h </w:instrText>
      </w:r>
      <w:r>
        <w:fldChar w:fldCharType="separate"/>
      </w:r>
      <w:r>
        <w:t>4</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_Toc9546 </w:instrText>
      </w:r>
      <w:r>
        <w:rPr>
          <w:rFonts w:ascii="宋体" w:hAnsi="宋体"/>
          <w:szCs w:val="22"/>
        </w:rPr>
        <w:fldChar w:fldCharType="separate"/>
      </w:r>
      <w:r>
        <w:rPr>
          <w:rFonts w:hint="eastAsia" w:ascii="宋体" w:hAnsi="宋体" w:eastAsia="宋体" w:cs="宋体"/>
          <w:bCs w:val="0"/>
          <w:szCs w:val="24"/>
        </w:rPr>
        <w:t>投标人须知前附表</w:t>
      </w:r>
      <w:r>
        <w:tab/>
      </w:r>
      <w:r>
        <w:fldChar w:fldCharType="begin"/>
      </w:r>
      <w:r>
        <w:instrText xml:space="preserve"> PAGEREF _Toc9546 \h </w:instrText>
      </w:r>
      <w:r>
        <w:fldChar w:fldCharType="separate"/>
      </w:r>
      <w:r>
        <w:t>4</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_Toc27218 </w:instrText>
      </w:r>
      <w:r>
        <w:rPr>
          <w:rFonts w:ascii="宋体" w:hAnsi="宋体"/>
          <w:szCs w:val="22"/>
        </w:rPr>
        <w:fldChar w:fldCharType="separate"/>
      </w:r>
      <w:r>
        <w:rPr>
          <w:rFonts w:hint="eastAsia" w:ascii="宋体" w:hAnsi="宋体" w:eastAsia="宋体" w:cs="宋体"/>
          <w:bCs w:val="0"/>
          <w:kern w:val="0"/>
          <w:szCs w:val="28"/>
        </w:rPr>
        <w:t>第三章</w:t>
      </w:r>
      <w:r>
        <w:rPr>
          <w:rFonts w:ascii="宋体" w:hAnsi="宋体" w:eastAsia="宋体" w:cs="宋体"/>
          <w:bCs w:val="0"/>
          <w:kern w:val="0"/>
          <w:szCs w:val="28"/>
        </w:rPr>
        <w:t xml:space="preserve"> </w:t>
      </w:r>
      <w:r>
        <w:rPr>
          <w:rFonts w:hint="eastAsia" w:ascii="宋体" w:hAnsi="宋体" w:eastAsia="宋体" w:cs="宋体"/>
          <w:bCs w:val="0"/>
          <w:kern w:val="0"/>
          <w:szCs w:val="28"/>
        </w:rPr>
        <w:t>评审办法（综合评估法）</w:t>
      </w:r>
      <w:r>
        <w:tab/>
      </w:r>
      <w:r>
        <w:fldChar w:fldCharType="begin"/>
      </w:r>
      <w:r>
        <w:instrText xml:space="preserve"> PAGEREF _Toc27218 \h </w:instrText>
      </w:r>
      <w:r>
        <w:fldChar w:fldCharType="separate"/>
      </w:r>
      <w:r>
        <w:t>19</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_Toc3029 </w:instrText>
      </w:r>
      <w:r>
        <w:rPr>
          <w:rFonts w:ascii="宋体" w:hAnsi="宋体"/>
          <w:szCs w:val="22"/>
        </w:rPr>
        <w:fldChar w:fldCharType="separate"/>
      </w:r>
      <w:r>
        <w:rPr>
          <w:rFonts w:hint="eastAsia" w:ascii="宋体" w:hAnsi="宋体" w:eastAsia="宋体" w:cs="宋体"/>
          <w:bCs w:val="0"/>
          <w:szCs w:val="24"/>
        </w:rPr>
        <w:t>评审办法前附表</w:t>
      </w:r>
      <w:r>
        <w:tab/>
      </w:r>
      <w:r>
        <w:fldChar w:fldCharType="begin"/>
      </w:r>
      <w:r>
        <w:instrText xml:space="preserve"> PAGEREF _Toc3029 \h </w:instrText>
      </w:r>
      <w:r>
        <w:fldChar w:fldCharType="separate"/>
      </w:r>
      <w:r>
        <w:t>19</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_Toc5737 </w:instrText>
      </w:r>
      <w:r>
        <w:rPr>
          <w:rFonts w:ascii="宋体" w:hAnsi="宋体"/>
          <w:szCs w:val="22"/>
        </w:rPr>
        <w:fldChar w:fldCharType="separate"/>
      </w:r>
      <w:r>
        <w:rPr>
          <w:rFonts w:asciiTheme="minorEastAsia" w:hAnsiTheme="minorEastAsia" w:eastAsiaTheme="minorEastAsia"/>
        </w:rPr>
        <w:t>1、初步评审表</w:t>
      </w:r>
      <w:r>
        <w:tab/>
      </w:r>
      <w:r>
        <w:fldChar w:fldCharType="begin"/>
      </w:r>
      <w:r>
        <w:instrText xml:space="preserve"> PAGEREF _Toc5737 \h </w:instrText>
      </w:r>
      <w:r>
        <w:fldChar w:fldCharType="separate"/>
      </w:r>
      <w:r>
        <w:t>19</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_Toc9860 </w:instrText>
      </w:r>
      <w:r>
        <w:rPr>
          <w:rFonts w:ascii="宋体" w:hAnsi="宋体"/>
          <w:szCs w:val="22"/>
        </w:rPr>
        <w:fldChar w:fldCharType="separate"/>
      </w:r>
      <w:r>
        <w:rPr>
          <w:rFonts w:hint="default" w:asciiTheme="minorEastAsia" w:hAnsiTheme="minorEastAsia" w:eastAsiaTheme="minorEastAsia"/>
        </w:rPr>
        <w:t xml:space="preserve">2、 </w:t>
      </w:r>
      <w:r>
        <w:rPr>
          <w:rFonts w:asciiTheme="minorEastAsia" w:hAnsiTheme="minorEastAsia" w:eastAsiaTheme="minorEastAsia"/>
        </w:rPr>
        <w:t>技术评分表</w:t>
      </w:r>
      <w:r>
        <w:tab/>
      </w:r>
      <w:r>
        <w:fldChar w:fldCharType="begin"/>
      </w:r>
      <w:r>
        <w:instrText xml:space="preserve"> PAGEREF _Toc9860 \h </w:instrText>
      </w:r>
      <w:r>
        <w:fldChar w:fldCharType="separate"/>
      </w:r>
      <w:r>
        <w:t>21</w:t>
      </w:r>
      <w:r>
        <w:fldChar w:fldCharType="end"/>
      </w:r>
      <w:r>
        <w:rPr>
          <w:rFonts w:ascii="宋体" w:hAnsi="宋体"/>
          <w:color w:val="auto"/>
          <w:szCs w:val="22"/>
        </w:rPr>
        <w:fldChar w:fldCharType="end"/>
      </w:r>
    </w:p>
    <w:p>
      <w:pPr>
        <w:pStyle w:val="20"/>
        <w:tabs>
          <w:tab w:val="right" w:leader="hyphen" w:pos="8504"/>
        </w:tabs>
      </w:pPr>
      <w:r>
        <w:rPr>
          <w:rFonts w:ascii="宋体" w:hAnsi="宋体"/>
          <w:color w:val="auto"/>
          <w:szCs w:val="22"/>
        </w:rPr>
        <w:fldChar w:fldCharType="begin"/>
      </w:r>
      <w:r>
        <w:rPr>
          <w:rFonts w:ascii="宋体" w:hAnsi="宋体"/>
          <w:szCs w:val="22"/>
        </w:rPr>
        <w:instrText xml:space="preserve"> HYPERLINK \l _Toc12060 </w:instrText>
      </w:r>
      <w:r>
        <w:rPr>
          <w:rFonts w:ascii="宋体" w:hAnsi="宋体"/>
          <w:szCs w:val="22"/>
        </w:rPr>
        <w:fldChar w:fldCharType="separate"/>
      </w:r>
      <w:r>
        <w:rPr>
          <w:rFonts w:hint="eastAsia"/>
          <w:bCs/>
          <w:lang w:val="en-US" w:eastAsia="zh-CN"/>
        </w:rPr>
        <w:t>标段1：</w:t>
      </w:r>
      <w:r>
        <w:rPr>
          <w:rFonts w:hint="eastAsia" w:ascii="宋体" w:hAnsi="宋体"/>
          <w:bCs/>
          <w:szCs w:val="21"/>
        </w:rPr>
        <w:t>多媒体设备定制及安装服务</w:t>
      </w:r>
      <w:r>
        <w:tab/>
      </w:r>
      <w:r>
        <w:fldChar w:fldCharType="begin"/>
      </w:r>
      <w:r>
        <w:instrText xml:space="preserve"> PAGEREF _Toc12060 \h </w:instrText>
      </w:r>
      <w:r>
        <w:fldChar w:fldCharType="separate"/>
      </w:r>
      <w:r>
        <w:t>21</w:t>
      </w:r>
      <w:r>
        <w:fldChar w:fldCharType="end"/>
      </w:r>
      <w:r>
        <w:rPr>
          <w:rFonts w:ascii="宋体" w:hAnsi="宋体"/>
          <w:color w:val="auto"/>
          <w:szCs w:val="22"/>
        </w:rPr>
        <w:fldChar w:fldCharType="end"/>
      </w:r>
    </w:p>
    <w:p>
      <w:pPr>
        <w:pStyle w:val="20"/>
        <w:tabs>
          <w:tab w:val="right" w:leader="hyphen" w:pos="8504"/>
        </w:tabs>
      </w:pPr>
      <w:r>
        <w:rPr>
          <w:rFonts w:ascii="宋体" w:hAnsi="宋体"/>
          <w:color w:val="auto"/>
          <w:szCs w:val="22"/>
        </w:rPr>
        <w:fldChar w:fldCharType="begin"/>
      </w:r>
      <w:r>
        <w:rPr>
          <w:rFonts w:ascii="宋体" w:hAnsi="宋体"/>
          <w:szCs w:val="22"/>
        </w:rPr>
        <w:instrText xml:space="preserve"> HYPERLINK \l _Toc20808 </w:instrText>
      </w:r>
      <w:r>
        <w:rPr>
          <w:rFonts w:ascii="宋体" w:hAnsi="宋体"/>
          <w:szCs w:val="22"/>
        </w:rPr>
        <w:fldChar w:fldCharType="separate"/>
      </w:r>
      <w:r>
        <w:rPr>
          <w:rFonts w:hint="eastAsia"/>
          <w:bCs/>
          <w:lang w:val="en-US" w:eastAsia="zh-CN"/>
        </w:rPr>
        <w:t>标段2：互动展项定制及安装服务</w:t>
      </w:r>
      <w:r>
        <w:tab/>
      </w:r>
      <w:r>
        <w:fldChar w:fldCharType="begin"/>
      </w:r>
      <w:r>
        <w:instrText xml:space="preserve"> PAGEREF _Toc20808 \h </w:instrText>
      </w:r>
      <w:r>
        <w:fldChar w:fldCharType="separate"/>
      </w:r>
      <w:r>
        <w:t>26</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_Toc17118 </w:instrText>
      </w:r>
      <w:r>
        <w:rPr>
          <w:rFonts w:ascii="宋体" w:hAnsi="宋体"/>
          <w:szCs w:val="22"/>
        </w:rPr>
        <w:fldChar w:fldCharType="separate"/>
      </w:r>
      <w:r>
        <w:rPr>
          <w:rFonts w:hint="default" w:asciiTheme="minorEastAsia" w:hAnsiTheme="minorEastAsia" w:eastAsiaTheme="minorEastAsia"/>
        </w:rPr>
        <w:t xml:space="preserve">3、 </w:t>
      </w:r>
      <w:r>
        <w:rPr>
          <w:rFonts w:hint="eastAsia" w:asciiTheme="minorEastAsia" w:hAnsiTheme="minorEastAsia" w:eastAsiaTheme="minorEastAsia"/>
        </w:rPr>
        <w:t>商务评分表</w:t>
      </w:r>
      <w:r>
        <w:tab/>
      </w:r>
      <w:r>
        <w:fldChar w:fldCharType="begin"/>
      </w:r>
      <w:r>
        <w:instrText xml:space="preserve"> PAGEREF _Toc17118 \h </w:instrText>
      </w:r>
      <w:r>
        <w:fldChar w:fldCharType="separate"/>
      </w:r>
      <w:r>
        <w:t>27</w:t>
      </w:r>
      <w:r>
        <w:fldChar w:fldCharType="end"/>
      </w:r>
      <w:r>
        <w:rPr>
          <w:rFonts w:ascii="宋体" w:hAnsi="宋体"/>
          <w:color w:val="auto"/>
          <w:szCs w:val="22"/>
        </w:rPr>
        <w:fldChar w:fldCharType="end"/>
      </w:r>
    </w:p>
    <w:p>
      <w:pPr>
        <w:pStyle w:val="20"/>
        <w:tabs>
          <w:tab w:val="right" w:leader="hyphen" w:pos="8504"/>
        </w:tabs>
      </w:pPr>
      <w:r>
        <w:rPr>
          <w:rFonts w:ascii="宋体" w:hAnsi="宋体"/>
          <w:color w:val="auto"/>
          <w:szCs w:val="22"/>
        </w:rPr>
        <w:fldChar w:fldCharType="begin"/>
      </w:r>
      <w:r>
        <w:rPr>
          <w:rFonts w:ascii="宋体" w:hAnsi="宋体"/>
          <w:szCs w:val="22"/>
        </w:rPr>
        <w:instrText xml:space="preserve"> HYPERLINK \l _Toc512 </w:instrText>
      </w:r>
      <w:r>
        <w:rPr>
          <w:rFonts w:ascii="宋体" w:hAnsi="宋体"/>
          <w:szCs w:val="22"/>
        </w:rPr>
        <w:fldChar w:fldCharType="separate"/>
      </w:r>
      <w:r>
        <w:rPr>
          <w:rFonts w:hint="eastAsia"/>
          <w:bCs/>
          <w:lang w:val="en-US" w:eastAsia="zh-CN"/>
        </w:rPr>
        <w:t>标段1：多媒体设备定制及安装服务</w:t>
      </w:r>
      <w:r>
        <w:tab/>
      </w:r>
      <w:r>
        <w:fldChar w:fldCharType="begin"/>
      </w:r>
      <w:r>
        <w:instrText xml:space="preserve"> PAGEREF _Toc512 \h </w:instrText>
      </w:r>
      <w:r>
        <w:fldChar w:fldCharType="separate"/>
      </w:r>
      <w:r>
        <w:t>27</w:t>
      </w:r>
      <w:r>
        <w:fldChar w:fldCharType="end"/>
      </w:r>
      <w:r>
        <w:rPr>
          <w:rFonts w:ascii="宋体" w:hAnsi="宋体"/>
          <w:color w:val="auto"/>
          <w:szCs w:val="22"/>
        </w:rPr>
        <w:fldChar w:fldCharType="end"/>
      </w:r>
    </w:p>
    <w:p>
      <w:pPr>
        <w:pStyle w:val="20"/>
        <w:tabs>
          <w:tab w:val="right" w:leader="hyphen" w:pos="8504"/>
        </w:tabs>
      </w:pPr>
      <w:r>
        <w:rPr>
          <w:rFonts w:ascii="宋体" w:hAnsi="宋体"/>
          <w:color w:val="auto"/>
          <w:szCs w:val="22"/>
        </w:rPr>
        <w:fldChar w:fldCharType="begin"/>
      </w:r>
      <w:r>
        <w:rPr>
          <w:rFonts w:ascii="宋体" w:hAnsi="宋体"/>
          <w:szCs w:val="22"/>
        </w:rPr>
        <w:instrText xml:space="preserve"> HYPERLINK \l _Toc29790 </w:instrText>
      </w:r>
      <w:r>
        <w:rPr>
          <w:rFonts w:ascii="宋体" w:hAnsi="宋体"/>
          <w:szCs w:val="22"/>
        </w:rPr>
        <w:fldChar w:fldCharType="separate"/>
      </w:r>
      <w:r>
        <w:rPr>
          <w:rFonts w:hint="eastAsia"/>
          <w:bCs/>
          <w:lang w:val="en-US" w:eastAsia="zh-CN"/>
        </w:rPr>
        <w:t>标段2：互动展项定制及安装服务</w:t>
      </w:r>
      <w:r>
        <w:tab/>
      </w:r>
      <w:r>
        <w:fldChar w:fldCharType="begin"/>
      </w:r>
      <w:r>
        <w:instrText xml:space="preserve"> PAGEREF _Toc29790 \h </w:instrText>
      </w:r>
      <w:r>
        <w:fldChar w:fldCharType="separate"/>
      </w:r>
      <w:r>
        <w:t>27</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_Toc2985 </w:instrText>
      </w:r>
      <w:r>
        <w:rPr>
          <w:rFonts w:ascii="宋体" w:hAnsi="宋体"/>
          <w:szCs w:val="22"/>
        </w:rPr>
        <w:fldChar w:fldCharType="separate"/>
      </w:r>
      <w:r>
        <w:rPr>
          <w:rFonts w:asciiTheme="minorEastAsia" w:hAnsiTheme="minorEastAsia" w:eastAsiaTheme="minorEastAsia"/>
        </w:rPr>
        <w:t>4、价格评分表</w:t>
      </w:r>
      <w:r>
        <w:tab/>
      </w:r>
      <w:r>
        <w:fldChar w:fldCharType="begin"/>
      </w:r>
      <w:r>
        <w:instrText xml:space="preserve"> PAGEREF _Toc2985 \h </w:instrText>
      </w:r>
      <w:r>
        <w:fldChar w:fldCharType="separate"/>
      </w:r>
      <w:r>
        <w:t>28</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_Toc16777 </w:instrText>
      </w:r>
      <w:r>
        <w:rPr>
          <w:rFonts w:ascii="宋体" w:hAnsi="宋体"/>
          <w:szCs w:val="22"/>
        </w:rPr>
        <w:fldChar w:fldCharType="separate"/>
      </w:r>
      <w:r>
        <w:rPr>
          <w:rFonts w:hint="eastAsia" w:ascii="宋体" w:hAnsi="宋体" w:eastAsia="宋体" w:cs="宋体"/>
          <w:bCs w:val="0"/>
          <w:kern w:val="0"/>
          <w:szCs w:val="28"/>
        </w:rPr>
        <w:t>第四章</w:t>
      </w:r>
      <w:r>
        <w:rPr>
          <w:rFonts w:ascii="宋体" w:hAnsi="宋体" w:eastAsia="宋体" w:cs="宋体"/>
          <w:bCs w:val="0"/>
          <w:kern w:val="0"/>
          <w:szCs w:val="28"/>
        </w:rPr>
        <w:t xml:space="preserve">  </w:t>
      </w:r>
      <w:r>
        <w:rPr>
          <w:rFonts w:hint="eastAsia" w:ascii="宋体" w:hAnsi="宋体" w:eastAsia="宋体" w:cs="宋体"/>
          <w:bCs w:val="0"/>
          <w:kern w:val="0"/>
          <w:szCs w:val="28"/>
        </w:rPr>
        <w:t>商务合同</w:t>
      </w:r>
      <w:r>
        <w:tab/>
      </w:r>
      <w:r>
        <w:fldChar w:fldCharType="begin"/>
      </w:r>
      <w:r>
        <w:instrText xml:space="preserve"> PAGEREF _Toc16777 \h </w:instrText>
      </w:r>
      <w:r>
        <w:fldChar w:fldCharType="separate"/>
      </w:r>
      <w:r>
        <w:t>31</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_Toc6102 </w:instrText>
      </w:r>
      <w:r>
        <w:rPr>
          <w:rFonts w:ascii="宋体" w:hAnsi="宋体"/>
          <w:szCs w:val="22"/>
        </w:rPr>
        <w:fldChar w:fldCharType="separate"/>
      </w:r>
      <w:r>
        <w:rPr>
          <w:rFonts w:hint="eastAsia" w:ascii="宋体" w:hAnsi="宋体" w:eastAsia="宋体" w:cs="宋体"/>
          <w:bCs w:val="0"/>
          <w:kern w:val="0"/>
          <w:szCs w:val="28"/>
        </w:rPr>
        <w:t>第五章</w:t>
      </w:r>
      <w:r>
        <w:rPr>
          <w:rFonts w:ascii="宋体" w:hAnsi="宋体" w:eastAsia="宋体" w:cs="宋体"/>
          <w:bCs w:val="0"/>
          <w:kern w:val="0"/>
          <w:szCs w:val="28"/>
        </w:rPr>
        <w:t xml:space="preserve">  </w:t>
      </w:r>
      <w:r>
        <w:rPr>
          <w:rFonts w:hint="eastAsia" w:ascii="宋体" w:hAnsi="宋体" w:eastAsia="宋体" w:cs="宋体"/>
          <w:bCs w:val="0"/>
          <w:kern w:val="0"/>
          <w:szCs w:val="28"/>
        </w:rPr>
        <w:t>采购需求书</w:t>
      </w:r>
      <w:r>
        <w:tab/>
      </w:r>
      <w:r>
        <w:fldChar w:fldCharType="begin"/>
      </w:r>
      <w:r>
        <w:instrText xml:space="preserve"> PAGEREF _Toc6102 \h </w:instrText>
      </w:r>
      <w:r>
        <w:fldChar w:fldCharType="separate"/>
      </w:r>
      <w:r>
        <w:t>37</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_Toc11160 </w:instrText>
      </w:r>
      <w:r>
        <w:rPr>
          <w:rFonts w:ascii="宋体" w:hAnsi="宋体"/>
          <w:szCs w:val="22"/>
        </w:rPr>
        <w:fldChar w:fldCharType="separate"/>
      </w:r>
      <w:r>
        <w:rPr>
          <w:rFonts w:hint="eastAsia" w:ascii="宋体" w:hAnsi="宋体" w:cs="宋体"/>
          <w:bCs/>
          <w:szCs w:val="21"/>
          <w:lang w:val="en-US" w:eastAsia="zh-CN"/>
        </w:rPr>
        <w:t>标段1：多媒体设备定制及安装服务</w:t>
      </w:r>
      <w:r>
        <w:tab/>
      </w:r>
      <w:r>
        <w:fldChar w:fldCharType="begin"/>
      </w:r>
      <w:r>
        <w:instrText xml:space="preserve"> PAGEREF _Toc11160 \h </w:instrText>
      </w:r>
      <w:r>
        <w:fldChar w:fldCharType="separate"/>
      </w:r>
      <w:r>
        <w:t>38</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_Toc28932 </w:instrText>
      </w:r>
      <w:r>
        <w:rPr>
          <w:rFonts w:ascii="宋体" w:hAnsi="宋体"/>
          <w:szCs w:val="22"/>
        </w:rPr>
        <w:fldChar w:fldCharType="separate"/>
      </w:r>
      <w:r>
        <w:rPr>
          <w:rFonts w:hint="eastAsia" w:ascii="宋体" w:hAnsi="宋体" w:cs="宋体"/>
          <w:bCs/>
          <w:szCs w:val="21"/>
          <w:lang w:val="en-US" w:eastAsia="zh-CN"/>
        </w:rPr>
        <w:t>标段2：互动展项定制及安装服务</w:t>
      </w:r>
      <w:r>
        <w:tab/>
      </w:r>
      <w:r>
        <w:fldChar w:fldCharType="begin"/>
      </w:r>
      <w:r>
        <w:instrText xml:space="preserve"> PAGEREF _Toc28932 \h </w:instrText>
      </w:r>
      <w:r>
        <w:fldChar w:fldCharType="separate"/>
      </w:r>
      <w:r>
        <w:t>54</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_Toc4246 </w:instrText>
      </w:r>
      <w:r>
        <w:rPr>
          <w:rFonts w:ascii="宋体" w:hAnsi="宋体"/>
          <w:szCs w:val="22"/>
        </w:rPr>
        <w:fldChar w:fldCharType="separate"/>
      </w:r>
      <w:r>
        <w:rPr>
          <w:rFonts w:hint="eastAsia" w:ascii="宋体" w:hAnsi="宋体" w:eastAsia="宋体" w:cs="宋体"/>
          <w:bCs w:val="0"/>
          <w:kern w:val="0"/>
          <w:szCs w:val="28"/>
        </w:rPr>
        <w:t>第六章</w:t>
      </w:r>
      <w:r>
        <w:rPr>
          <w:rFonts w:ascii="宋体" w:hAnsi="宋体" w:eastAsia="宋体" w:cs="宋体"/>
          <w:bCs w:val="0"/>
          <w:kern w:val="0"/>
          <w:szCs w:val="28"/>
        </w:rPr>
        <w:t xml:space="preserve">  </w:t>
      </w:r>
      <w:r>
        <w:rPr>
          <w:rFonts w:hint="eastAsia" w:ascii="宋体" w:hAnsi="宋体" w:eastAsia="宋体" w:cs="宋体"/>
          <w:bCs w:val="0"/>
          <w:kern w:val="0"/>
          <w:szCs w:val="28"/>
        </w:rPr>
        <w:t>投标文件格式</w:t>
      </w:r>
      <w:r>
        <w:tab/>
      </w:r>
      <w:r>
        <w:fldChar w:fldCharType="begin"/>
      </w:r>
      <w:r>
        <w:instrText xml:space="preserve"> PAGEREF _Toc4246 \h </w:instrText>
      </w:r>
      <w:r>
        <w:fldChar w:fldCharType="separate"/>
      </w:r>
      <w:r>
        <w:t>59</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_Toc19601 </w:instrText>
      </w:r>
      <w:r>
        <w:rPr>
          <w:rFonts w:ascii="宋体" w:hAnsi="宋体"/>
          <w:szCs w:val="22"/>
        </w:rPr>
        <w:fldChar w:fldCharType="separate"/>
      </w:r>
      <w:r>
        <w:rPr>
          <w:rFonts w:hint="eastAsia" w:ascii="宋体" w:hAnsi="宋体"/>
          <w:szCs w:val="24"/>
        </w:rPr>
        <w:t>第一分册</w:t>
      </w:r>
      <w:r>
        <w:tab/>
      </w:r>
      <w:r>
        <w:fldChar w:fldCharType="begin"/>
      </w:r>
      <w:r>
        <w:instrText xml:space="preserve"> PAGEREF _Toc19601 \h </w:instrText>
      </w:r>
      <w:r>
        <w:fldChar w:fldCharType="separate"/>
      </w:r>
      <w:r>
        <w:t>60</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_Toc18941 </w:instrText>
      </w:r>
      <w:r>
        <w:rPr>
          <w:rFonts w:ascii="宋体" w:hAnsi="宋体"/>
          <w:szCs w:val="22"/>
        </w:rPr>
        <w:fldChar w:fldCharType="separate"/>
      </w:r>
      <w:r>
        <w:rPr>
          <w:rFonts w:hint="eastAsia" w:ascii="宋体" w:hAnsi="宋体"/>
          <w:szCs w:val="24"/>
        </w:rPr>
        <w:t>1. 商务、技术投标文件封面</w:t>
      </w:r>
      <w:r>
        <w:tab/>
      </w:r>
      <w:r>
        <w:fldChar w:fldCharType="begin"/>
      </w:r>
      <w:r>
        <w:instrText xml:space="preserve"> PAGEREF _Toc18941 \h </w:instrText>
      </w:r>
      <w:r>
        <w:fldChar w:fldCharType="separate"/>
      </w:r>
      <w:r>
        <w:t>60</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_Toc31063 </w:instrText>
      </w:r>
      <w:r>
        <w:rPr>
          <w:rFonts w:ascii="宋体" w:hAnsi="宋体"/>
          <w:szCs w:val="22"/>
        </w:rPr>
        <w:fldChar w:fldCharType="separate"/>
      </w:r>
      <w:r>
        <w:rPr>
          <w:rFonts w:hint="eastAsia" w:ascii="宋体" w:hAnsi="宋体"/>
          <w:szCs w:val="24"/>
        </w:rPr>
        <w:t>2. 评审索引表</w:t>
      </w:r>
      <w:r>
        <w:tab/>
      </w:r>
      <w:r>
        <w:fldChar w:fldCharType="begin"/>
      </w:r>
      <w:r>
        <w:instrText xml:space="preserve"> PAGEREF _Toc31063 \h </w:instrText>
      </w:r>
      <w:r>
        <w:fldChar w:fldCharType="separate"/>
      </w:r>
      <w:r>
        <w:t>61</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_Toc348 </w:instrText>
      </w:r>
      <w:r>
        <w:rPr>
          <w:rFonts w:ascii="宋体" w:hAnsi="宋体"/>
          <w:szCs w:val="22"/>
        </w:rPr>
        <w:fldChar w:fldCharType="separate"/>
      </w:r>
      <w:r>
        <w:rPr>
          <w:rFonts w:hint="eastAsia" w:ascii="宋体" w:hAnsi="宋体"/>
          <w:szCs w:val="24"/>
        </w:rPr>
        <w:t>3. 投标函</w:t>
      </w:r>
      <w:r>
        <w:tab/>
      </w:r>
      <w:r>
        <w:fldChar w:fldCharType="begin"/>
      </w:r>
      <w:r>
        <w:instrText xml:space="preserve"> PAGEREF _Toc348 \h </w:instrText>
      </w:r>
      <w:r>
        <w:fldChar w:fldCharType="separate"/>
      </w:r>
      <w:r>
        <w:t>62</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_Toc16447 </w:instrText>
      </w:r>
      <w:r>
        <w:rPr>
          <w:rFonts w:ascii="宋体" w:hAnsi="宋体"/>
          <w:szCs w:val="22"/>
        </w:rPr>
        <w:fldChar w:fldCharType="separate"/>
      </w:r>
      <w:r>
        <w:rPr>
          <w:rFonts w:hint="eastAsia" w:ascii="宋体" w:hAnsi="宋体"/>
          <w:szCs w:val="24"/>
        </w:rPr>
        <w:t xml:space="preserve">4. </w:t>
      </w:r>
      <w:r>
        <w:rPr>
          <w:rFonts w:ascii="宋体" w:hAnsi="宋体"/>
          <w:szCs w:val="24"/>
        </w:rPr>
        <w:t>法定代表人</w:t>
      </w:r>
      <w:r>
        <w:rPr>
          <w:rFonts w:hint="eastAsia" w:ascii="宋体" w:hAnsi="宋体"/>
          <w:szCs w:val="24"/>
        </w:rPr>
        <w:t>（负责人）</w:t>
      </w:r>
      <w:r>
        <w:rPr>
          <w:rFonts w:ascii="宋体" w:hAnsi="宋体"/>
          <w:szCs w:val="24"/>
        </w:rPr>
        <w:t>身份证明</w:t>
      </w:r>
      <w:r>
        <w:tab/>
      </w:r>
      <w:r>
        <w:fldChar w:fldCharType="begin"/>
      </w:r>
      <w:r>
        <w:instrText xml:space="preserve"> PAGEREF _Toc16447 \h </w:instrText>
      </w:r>
      <w:r>
        <w:fldChar w:fldCharType="separate"/>
      </w:r>
      <w:r>
        <w:t>64</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_Toc29486 </w:instrText>
      </w:r>
      <w:r>
        <w:rPr>
          <w:rFonts w:ascii="宋体" w:hAnsi="宋体"/>
          <w:szCs w:val="22"/>
        </w:rPr>
        <w:fldChar w:fldCharType="separate"/>
      </w:r>
      <w:r>
        <w:rPr>
          <w:rFonts w:hint="eastAsia" w:ascii="宋体" w:hAnsi="宋体"/>
          <w:szCs w:val="24"/>
        </w:rPr>
        <w:t xml:space="preserve">5. </w:t>
      </w:r>
      <w:r>
        <w:rPr>
          <w:rFonts w:ascii="宋体" w:hAnsi="宋体"/>
          <w:szCs w:val="24"/>
        </w:rPr>
        <w:t>法定代表人</w:t>
      </w:r>
      <w:r>
        <w:rPr>
          <w:rFonts w:hint="eastAsia" w:ascii="宋体" w:hAnsi="宋体"/>
          <w:szCs w:val="24"/>
        </w:rPr>
        <w:t>（负责人）</w:t>
      </w:r>
      <w:r>
        <w:rPr>
          <w:rFonts w:ascii="宋体" w:hAnsi="宋体"/>
          <w:szCs w:val="24"/>
        </w:rPr>
        <w:t>授权委托书</w:t>
      </w:r>
      <w:r>
        <w:tab/>
      </w:r>
      <w:r>
        <w:fldChar w:fldCharType="begin"/>
      </w:r>
      <w:r>
        <w:instrText xml:space="preserve"> PAGEREF _Toc29486 \h </w:instrText>
      </w:r>
      <w:r>
        <w:fldChar w:fldCharType="separate"/>
      </w:r>
      <w:r>
        <w:t>65</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_Toc28231 </w:instrText>
      </w:r>
      <w:r>
        <w:rPr>
          <w:rFonts w:ascii="宋体" w:hAnsi="宋体"/>
          <w:szCs w:val="22"/>
        </w:rPr>
        <w:fldChar w:fldCharType="separate"/>
      </w:r>
      <w:r>
        <w:rPr>
          <w:rFonts w:hint="eastAsia" w:ascii="宋体" w:hAnsi="宋体"/>
          <w:szCs w:val="24"/>
        </w:rPr>
        <w:t>6. 资格审查资料</w:t>
      </w:r>
      <w:r>
        <w:tab/>
      </w:r>
      <w:r>
        <w:fldChar w:fldCharType="begin"/>
      </w:r>
      <w:r>
        <w:instrText xml:space="preserve"> PAGEREF _Toc28231 \h </w:instrText>
      </w:r>
      <w:r>
        <w:fldChar w:fldCharType="separate"/>
      </w:r>
      <w:r>
        <w:t>66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_Toc22845 </w:instrText>
      </w:r>
      <w:r>
        <w:rPr>
          <w:rFonts w:ascii="宋体" w:hAnsi="宋体"/>
          <w:szCs w:val="22"/>
        </w:rPr>
        <w:fldChar w:fldCharType="separate"/>
      </w:r>
      <w:r>
        <w:rPr>
          <w:rFonts w:hint="eastAsia" w:ascii="宋体" w:hAnsi="宋体"/>
          <w:szCs w:val="24"/>
        </w:rPr>
        <w:t>6.1 投标人</w:t>
      </w:r>
      <w:r>
        <w:rPr>
          <w:rFonts w:ascii="宋体" w:hAnsi="宋体"/>
          <w:szCs w:val="24"/>
        </w:rPr>
        <w:t>基本情况表</w:t>
      </w:r>
      <w:r>
        <w:tab/>
      </w:r>
      <w:r>
        <w:fldChar w:fldCharType="begin"/>
      </w:r>
      <w:r>
        <w:instrText xml:space="preserve"> PAGEREF _Toc22845 \h </w:instrText>
      </w:r>
      <w:r>
        <w:fldChar w:fldCharType="separate"/>
      </w:r>
      <w:r>
        <w:t>66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_Toc31689 </w:instrText>
      </w:r>
      <w:r>
        <w:rPr>
          <w:rFonts w:ascii="宋体" w:hAnsi="宋体"/>
          <w:szCs w:val="22"/>
        </w:rPr>
        <w:fldChar w:fldCharType="separate"/>
      </w:r>
      <w:r>
        <w:rPr>
          <w:rFonts w:hint="eastAsia" w:ascii="宋体" w:hAnsi="宋体"/>
          <w:szCs w:val="24"/>
        </w:rPr>
        <w:t>6.2 资格要求材料</w:t>
      </w:r>
      <w:r>
        <w:tab/>
      </w:r>
      <w:r>
        <w:fldChar w:fldCharType="begin"/>
      </w:r>
      <w:r>
        <w:instrText xml:space="preserve"> PAGEREF _Toc31689 \h </w:instrText>
      </w:r>
      <w:r>
        <w:fldChar w:fldCharType="separate"/>
      </w:r>
      <w:r>
        <w:t>67</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_Toc16713 </w:instrText>
      </w:r>
      <w:r>
        <w:rPr>
          <w:rFonts w:ascii="宋体" w:hAnsi="宋体"/>
          <w:szCs w:val="22"/>
        </w:rPr>
        <w:fldChar w:fldCharType="separate"/>
      </w:r>
      <w:r>
        <w:rPr>
          <w:rFonts w:hint="eastAsia" w:ascii="宋体" w:hAnsi="宋体"/>
          <w:szCs w:val="24"/>
        </w:rPr>
        <w:t>6.3 关于资格的声明函</w:t>
      </w:r>
      <w:r>
        <w:tab/>
      </w:r>
      <w:r>
        <w:fldChar w:fldCharType="begin"/>
      </w:r>
      <w:r>
        <w:instrText xml:space="preserve"> PAGEREF _Toc16713 \h </w:instrText>
      </w:r>
      <w:r>
        <w:fldChar w:fldCharType="separate"/>
      </w:r>
      <w:r>
        <w:t>68</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_Toc8978 </w:instrText>
      </w:r>
      <w:r>
        <w:rPr>
          <w:rFonts w:ascii="宋体" w:hAnsi="宋体"/>
          <w:szCs w:val="22"/>
        </w:rPr>
        <w:fldChar w:fldCharType="separate"/>
      </w:r>
      <w:r>
        <w:rPr>
          <w:rFonts w:hint="eastAsia" w:ascii="宋体" w:hAnsi="宋体"/>
          <w:szCs w:val="24"/>
        </w:rPr>
        <w:t>6.4 投标人控股及管理关系情况申报</w:t>
      </w:r>
      <w:r>
        <w:tab/>
      </w:r>
      <w:r>
        <w:fldChar w:fldCharType="begin"/>
      </w:r>
      <w:r>
        <w:instrText xml:space="preserve"> PAGEREF _Toc8978 \h </w:instrText>
      </w:r>
      <w:r>
        <w:fldChar w:fldCharType="separate"/>
      </w:r>
      <w:r>
        <w:t>69</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_Toc31182 </w:instrText>
      </w:r>
      <w:r>
        <w:rPr>
          <w:rFonts w:ascii="宋体" w:hAnsi="宋体"/>
          <w:szCs w:val="22"/>
        </w:rPr>
        <w:fldChar w:fldCharType="separate"/>
      </w:r>
      <w:r>
        <w:rPr>
          <w:rFonts w:hint="eastAsia" w:ascii="宋体" w:hAnsi="宋体"/>
          <w:szCs w:val="24"/>
        </w:rPr>
        <w:t>7. 商务合同条款偏离表</w:t>
      </w:r>
      <w:r>
        <w:tab/>
      </w:r>
      <w:r>
        <w:fldChar w:fldCharType="begin"/>
      </w:r>
      <w:r>
        <w:instrText xml:space="preserve"> PAGEREF _Toc31182 \h </w:instrText>
      </w:r>
      <w:r>
        <w:fldChar w:fldCharType="separate"/>
      </w:r>
      <w:r>
        <w:t>70</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_Toc2177 </w:instrText>
      </w:r>
      <w:r>
        <w:rPr>
          <w:rFonts w:ascii="宋体" w:hAnsi="宋体"/>
          <w:szCs w:val="22"/>
        </w:rPr>
        <w:fldChar w:fldCharType="separate"/>
      </w:r>
      <w:r>
        <w:rPr>
          <w:rFonts w:hint="eastAsia" w:ascii="宋体" w:hAnsi="宋体"/>
          <w:szCs w:val="24"/>
        </w:rPr>
        <w:t>8. 实质性条款偏离表</w:t>
      </w:r>
      <w:r>
        <w:tab/>
      </w:r>
      <w:r>
        <w:fldChar w:fldCharType="begin"/>
      </w:r>
      <w:r>
        <w:instrText xml:space="preserve"> PAGEREF _Toc2177 \h </w:instrText>
      </w:r>
      <w:r>
        <w:fldChar w:fldCharType="separate"/>
      </w:r>
      <w:r>
        <w:t>71</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_Toc20002 </w:instrText>
      </w:r>
      <w:r>
        <w:rPr>
          <w:rFonts w:ascii="宋体" w:hAnsi="宋体"/>
          <w:szCs w:val="22"/>
        </w:rPr>
        <w:fldChar w:fldCharType="separate"/>
      </w:r>
      <w:r>
        <w:rPr>
          <w:rFonts w:hint="eastAsia" w:ascii="宋体" w:hAnsi="宋体"/>
          <w:szCs w:val="24"/>
        </w:rPr>
        <w:t>9. 采购需求条款偏离表</w:t>
      </w:r>
      <w:r>
        <w:tab/>
      </w:r>
      <w:r>
        <w:fldChar w:fldCharType="begin"/>
      </w:r>
      <w:r>
        <w:instrText xml:space="preserve"> PAGEREF _Toc20002 \h </w:instrText>
      </w:r>
      <w:r>
        <w:fldChar w:fldCharType="separate"/>
      </w:r>
      <w:r>
        <w:t>72</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_Toc26821 </w:instrText>
      </w:r>
      <w:r>
        <w:rPr>
          <w:rFonts w:ascii="宋体" w:hAnsi="宋体"/>
          <w:szCs w:val="22"/>
        </w:rPr>
        <w:fldChar w:fldCharType="separate"/>
      </w:r>
      <w:r>
        <w:rPr>
          <w:rFonts w:hint="eastAsia" w:ascii="宋体" w:hAnsi="宋体"/>
        </w:rPr>
        <w:t>10. 公章对投标专用章授权说明（如有）</w:t>
      </w:r>
      <w:r>
        <w:tab/>
      </w:r>
      <w:r>
        <w:fldChar w:fldCharType="begin"/>
      </w:r>
      <w:r>
        <w:instrText xml:space="preserve"> PAGEREF _Toc26821 \h </w:instrText>
      </w:r>
      <w:r>
        <w:fldChar w:fldCharType="separate"/>
      </w:r>
      <w:r>
        <w:t>73</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_Toc21560 </w:instrText>
      </w:r>
      <w:r>
        <w:rPr>
          <w:rFonts w:ascii="宋体" w:hAnsi="宋体"/>
          <w:szCs w:val="22"/>
        </w:rPr>
        <w:fldChar w:fldCharType="separate"/>
      </w:r>
      <w:r>
        <w:rPr>
          <w:rFonts w:hint="eastAsia" w:ascii="宋体" w:hAnsi="宋体"/>
          <w:szCs w:val="24"/>
        </w:rPr>
        <w:t>11.同类业绩表</w:t>
      </w:r>
      <w:r>
        <w:tab/>
      </w:r>
      <w:r>
        <w:fldChar w:fldCharType="begin"/>
      </w:r>
      <w:r>
        <w:instrText xml:space="preserve"> PAGEREF _Toc21560 \h </w:instrText>
      </w:r>
      <w:r>
        <w:fldChar w:fldCharType="separate"/>
      </w:r>
      <w:r>
        <w:t>74</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_Toc9722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2</w:t>
      </w:r>
      <w:r>
        <w:rPr>
          <w:rFonts w:hint="eastAsia" w:ascii="宋体" w:hAnsi="宋体"/>
          <w:szCs w:val="24"/>
        </w:rPr>
        <w:t>.拟投入本项目服务人员明细表</w:t>
      </w:r>
      <w:r>
        <w:tab/>
      </w:r>
      <w:r>
        <w:fldChar w:fldCharType="begin"/>
      </w:r>
      <w:r>
        <w:instrText xml:space="preserve"> PAGEREF _Toc9722 \h </w:instrText>
      </w:r>
      <w:r>
        <w:fldChar w:fldCharType="separate"/>
      </w:r>
      <w:r>
        <w:t>75</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_Toc25040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3</w:t>
      </w:r>
      <w:r>
        <w:rPr>
          <w:rFonts w:hint="eastAsia" w:ascii="宋体" w:hAnsi="宋体"/>
          <w:szCs w:val="24"/>
        </w:rPr>
        <w:t>.其他资料（若有）</w:t>
      </w:r>
      <w:r>
        <w:tab/>
      </w:r>
      <w:r>
        <w:fldChar w:fldCharType="begin"/>
      </w:r>
      <w:r>
        <w:instrText xml:space="preserve"> PAGEREF _Toc25040 \h </w:instrText>
      </w:r>
      <w:r>
        <w:fldChar w:fldCharType="separate"/>
      </w:r>
      <w:r>
        <w:t>76</w:t>
      </w:r>
      <w:r>
        <w:fldChar w:fldCharType="end"/>
      </w:r>
      <w:r>
        <w:rPr>
          <w:rFonts w:ascii="宋体" w:hAnsi="宋体"/>
          <w:color w:val="auto"/>
          <w:szCs w:val="22"/>
        </w:rPr>
        <w:fldChar w:fldCharType="end"/>
      </w:r>
    </w:p>
    <w:p>
      <w:pPr>
        <w:pStyle w:val="33"/>
        <w:tabs>
          <w:tab w:val="right" w:leader="hyphen" w:pos="8504"/>
          <w:tab w:val="clear" w:pos="567"/>
          <w:tab w:val="clear" w:pos="8505"/>
          <w:tab w:val="clear" w:pos="9628"/>
        </w:tabs>
      </w:pPr>
      <w:r>
        <w:rPr>
          <w:rFonts w:ascii="宋体" w:hAnsi="宋体"/>
          <w:color w:val="auto"/>
          <w:szCs w:val="22"/>
        </w:rPr>
        <w:fldChar w:fldCharType="begin"/>
      </w:r>
      <w:r>
        <w:rPr>
          <w:rFonts w:ascii="宋体" w:hAnsi="宋体"/>
          <w:szCs w:val="22"/>
        </w:rPr>
        <w:instrText xml:space="preserve"> HYPERLINK \l _Toc4783 </w:instrText>
      </w:r>
      <w:r>
        <w:rPr>
          <w:rFonts w:ascii="宋体" w:hAnsi="宋体"/>
          <w:szCs w:val="22"/>
        </w:rPr>
        <w:fldChar w:fldCharType="separate"/>
      </w:r>
      <w:r>
        <w:t>1</w:t>
      </w:r>
      <w:r>
        <w:rPr>
          <w:rFonts w:hint="eastAsia"/>
          <w:lang w:val="en-US" w:eastAsia="zh-CN"/>
        </w:rPr>
        <w:t>3</w:t>
      </w:r>
      <w:r>
        <w:t>.</w:t>
      </w:r>
      <w:r>
        <w:rPr>
          <w:rFonts w:hint="eastAsia"/>
          <w:lang w:val="en-US" w:eastAsia="zh-CN"/>
        </w:rPr>
        <w:t>1 企业认证、资质、荣誉</w:t>
      </w:r>
      <w:r>
        <w:rPr>
          <w:rFonts w:hint="eastAsia"/>
        </w:rPr>
        <w:t>证书（若有）</w:t>
      </w:r>
      <w:r>
        <w:tab/>
      </w:r>
      <w:r>
        <w:fldChar w:fldCharType="begin"/>
      </w:r>
      <w:r>
        <w:instrText xml:space="preserve"> PAGEREF _Toc4783 \h </w:instrText>
      </w:r>
      <w:r>
        <w:fldChar w:fldCharType="separate"/>
      </w:r>
      <w:r>
        <w:t>76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_Toc11231 </w:instrText>
      </w:r>
      <w:r>
        <w:rPr>
          <w:rFonts w:ascii="宋体" w:hAnsi="宋体"/>
          <w:szCs w:val="22"/>
        </w:rPr>
        <w:fldChar w:fldCharType="separate"/>
      </w:r>
      <w:r>
        <w:rPr>
          <w:rFonts w:hint="eastAsia" w:ascii="宋体" w:hAnsi="宋体"/>
          <w:szCs w:val="24"/>
        </w:rPr>
        <w:t>1</w:t>
      </w:r>
      <w:r>
        <w:rPr>
          <w:rFonts w:hint="eastAsia" w:ascii="宋体" w:hAnsi="宋体"/>
          <w:szCs w:val="24"/>
          <w:lang w:val="en-US" w:eastAsia="zh-CN"/>
        </w:rPr>
        <w:t>4</w:t>
      </w:r>
      <w:r>
        <w:rPr>
          <w:rFonts w:hint="eastAsia" w:ascii="宋体" w:hAnsi="宋体"/>
          <w:szCs w:val="24"/>
        </w:rPr>
        <w:t>.</w:t>
      </w:r>
      <w:r>
        <w:rPr>
          <w:rFonts w:ascii="宋体" w:hAnsi="宋体"/>
          <w:szCs w:val="24"/>
        </w:rPr>
        <w:t>服务方案</w:t>
      </w:r>
      <w:r>
        <w:rPr>
          <w:rFonts w:hint="eastAsia" w:ascii="宋体" w:hAnsi="宋体"/>
          <w:szCs w:val="24"/>
        </w:rPr>
        <w:t>（格式自拟）</w:t>
      </w:r>
      <w:r>
        <w:tab/>
      </w:r>
      <w:r>
        <w:fldChar w:fldCharType="begin"/>
      </w:r>
      <w:r>
        <w:instrText xml:space="preserve"> PAGEREF _Toc11231 \h </w:instrText>
      </w:r>
      <w:r>
        <w:fldChar w:fldCharType="separate"/>
      </w:r>
      <w:r>
        <w:t>76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_Toc4636 </w:instrText>
      </w:r>
      <w:r>
        <w:rPr>
          <w:rFonts w:ascii="宋体" w:hAnsi="宋体"/>
          <w:szCs w:val="22"/>
        </w:rPr>
        <w:fldChar w:fldCharType="separate"/>
      </w:r>
      <w:r>
        <w:rPr>
          <w:rFonts w:hint="eastAsia" w:ascii="宋体" w:hAnsi="宋体"/>
          <w:szCs w:val="24"/>
          <w:lang w:val="en-US" w:eastAsia="zh-CN"/>
        </w:rPr>
        <w:t>15.</w:t>
      </w:r>
      <w:r>
        <w:rPr>
          <w:rFonts w:hint="eastAsia" w:ascii="宋体" w:hAnsi="宋体"/>
          <w:szCs w:val="24"/>
        </w:rPr>
        <w:t>投标人认为需要提供的其他资料</w:t>
      </w:r>
      <w:r>
        <w:tab/>
      </w:r>
      <w:r>
        <w:fldChar w:fldCharType="begin"/>
      </w:r>
      <w:r>
        <w:instrText xml:space="preserve"> PAGEREF _Toc4636 \h </w:instrText>
      </w:r>
      <w:r>
        <w:fldChar w:fldCharType="separate"/>
      </w:r>
      <w:r>
        <w:t>76</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_Toc27244 </w:instrText>
      </w:r>
      <w:r>
        <w:rPr>
          <w:rFonts w:ascii="宋体" w:hAnsi="宋体"/>
          <w:szCs w:val="22"/>
        </w:rPr>
        <w:fldChar w:fldCharType="separate"/>
      </w:r>
      <w:r>
        <w:rPr>
          <w:rFonts w:hint="eastAsia" w:ascii="宋体" w:hAnsi="宋体"/>
          <w:szCs w:val="24"/>
        </w:rPr>
        <w:t>第二分册</w:t>
      </w:r>
      <w:r>
        <w:tab/>
      </w:r>
      <w:r>
        <w:fldChar w:fldCharType="begin"/>
      </w:r>
      <w:r>
        <w:instrText xml:space="preserve"> PAGEREF _Toc27244 \h </w:instrText>
      </w:r>
      <w:r>
        <w:fldChar w:fldCharType="separate"/>
      </w:r>
      <w:r>
        <w:t>77</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_Toc7957 </w:instrText>
      </w:r>
      <w:r>
        <w:rPr>
          <w:rFonts w:ascii="宋体" w:hAnsi="宋体"/>
          <w:szCs w:val="22"/>
        </w:rPr>
        <w:fldChar w:fldCharType="separate"/>
      </w:r>
      <w:r>
        <w:rPr>
          <w:rFonts w:hint="eastAsia" w:ascii="宋体" w:hAnsi="宋体"/>
          <w:szCs w:val="24"/>
        </w:rPr>
        <w:t xml:space="preserve">1. </w:t>
      </w:r>
      <w:r>
        <w:rPr>
          <w:rFonts w:hint="eastAsia" w:ascii="宋体" w:hAnsi="宋体"/>
          <w:szCs w:val="24"/>
          <w:lang w:val="en-US" w:eastAsia="zh-CN"/>
        </w:rPr>
        <w:t>经济投标</w:t>
      </w:r>
      <w:r>
        <w:rPr>
          <w:rFonts w:hint="eastAsia" w:ascii="宋体" w:hAnsi="宋体"/>
          <w:szCs w:val="24"/>
        </w:rPr>
        <w:t>文件封面</w:t>
      </w:r>
      <w:r>
        <w:tab/>
      </w:r>
      <w:r>
        <w:fldChar w:fldCharType="begin"/>
      </w:r>
      <w:r>
        <w:instrText xml:space="preserve"> PAGEREF _Toc7957 \h </w:instrText>
      </w:r>
      <w:r>
        <w:fldChar w:fldCharType="separate"/>
      </w:r>
      <w:r>
        <w:t>77</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_Toc27713 </w:instrText>
      </w:r>
      <w:r>
        <w:rPr>
          <w:rFonts w:ascii="宋体" w:hAnsi="宋体"/>
          <w:szCs w:val="22"/>
        </w:rPr>
        <w:fldChar w:fldCharType="separate"/>
      </w:r>
      <w:r>
        <w:rPr>
          <w:rFonts w:hint="eastAsia" w:ascii="宋体" w:hAnsi="宋体"/>
          <w:szCs w:val="24"/>
        </w:rPr>
        <w:t>2. 报价一览表</w:t>
      </w:r>
      <w:r>
        <w:tab/>
      </w:r>
      <w:r>
        <w:fldChar w:fldCharType="begin"/>
      </w:r>
      <w:r>
        <w:instrText xml:space="preserve"> PAGEREF _Toc27713 \h </w:instrText>
      </w:r>
      <w:r>
        <w:fldChar w:fldCharType="separate"/>
      </w:r>
      <w:r>
        <w:t>78</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_Toc6007 </w:instrText>
      </w:r>
      <w:r>
        <w:rPr>
          <w:rFonts w:ascii="宋体" w:hAnsi="宋体"/>
          <w:szCs w:val="22"/>
        </w:rPr>
        <w:fldChar w:fldCharType="separate"/>
      </w:r>
      <w:r>
        <w:rPr>
          <w:rFonts w:hint="eastAsia" w:ascii="宋体" w:hAnsi="宋体"/>
          <w:szCs w:val="24"/>
        </w:rPr>
        <w:t>3. 分项一览表（格式自拟）</w:t>
      </w:r>
      <w:r>
        <w:tab/>
      </w:r>
      <w:r>
        <w:fldChar w:fldCharType="begin"/>
      </w:r>
      <w:r>
        <w:instrText xml:space="preserve"> PAGEREF _Toc6007 \h </w:instrText>
      </w:r>
      <w:r>
        <w:fldChar w:fldCharType="separate"/>
      </w:r>
      <w:r>
        <w:t>79</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_Toc8469 </w:instrText>
      </w:r>
      <w:r>
        <w:rPr>
          <w:rFonts w:ascii="宋体" w:hAnsi="宋体"/>
          <w:szCs w:val="22"/>
        </w:rPr>
        <w:fldChar w:fldCharType="separate"/>
      </w:r>
      <w:r>
        <w:rPr>
          <w:rFonts w:hint="eastAsia" w:ascii="宋体" w:hAnsi="宋体"/>
          <w:szCs w:val="24"/>
        </w:rPr>
        <w:t>4. 招标代理服务费承诺书</w:t>
      </w:r>
      <w:r>
        <w:tab/>
      </w:r>
      <w:r>
        <w:fldChar w:fldCharType="begin"/>
      </w:r>
      <w:r>
        <w:instrText xml:space="preserve"> PAGEREF _Toc8469 \h </w:instrText>
      </w:r>
      <w:r>
        <w:fldChar w:fldCharType="separate"/>
      </w:r>
      <w:r>
        <w:t>80</w:t>
      </w:r>
      <w:r>
        <w:fldChar w:fldCharType="end"/>
      </w:r>
      <w:r>
        <w:rPr>
          <w:rFonts w:ascii="宋体" w:hAnsi="宋体"/>
          <w:color w:val="auto"/>
          <w:szCs w:val="22"/>
        </w:rPr>
        <w:fldChar w:fldCharType="end"/>
      </w:r>
    </w:p>
    <w:p>
      <w:pPr>
        <w:pStyle w:val="28"/>
        <w:tabs>
          <w:tab w:val="right" w:leader="hyphen" w:pos="8504"/>
          <w:tab w:val="clear" w:pos="567"/>
          <w:tab w:val="clear" w:pos="709"/>
          <w:tab w:val="clear" w:pos="8505"/>
        </w:tabs>
      </w:pPr>
      <w:r>
        <w:rPr>
          <w:rFonts w:ascii="宋体" w:hAnsi="宋体"/>
          <w:color w:val="auto"/>
          <w:szCs w:val="22"/>
        </w:rPr>
        <w:fldChar w:fldCharType="begin"/>
      </w:r>
      <w:r>
        <w:rPr>
          <w:rFonts w:ascii="宋体" w:hAnsi="宋体"/>
          <w:szCs w:val="22"/>
        </w:rPr>
        <w:instrText xml:space="preserve"> HYPERLINK \l _Toc22567 </w:instrText>
      </w:r>
      <w:r>
        <w:rPr>
          <w:rFonts w:ascii="宋体" w:hAnsi="宋体"/>
          <w:szCs w:val="22"/>
        </w:rPr>
        <w:fldChar w:fldCharType="separate"/>
      </w:r>
      <w:r>
        <w:rPr>
          <w:rFonts w:hint="eastAsia" w:ascii="宋体" w:hAnsi="宋体"/>
          <w:szCs w:val="24"/>
        </w:rPr>
        <w:t>5. 投标保证金汇款凭证</w:t>
      </w:r>
      <w:r>
        <w:tab/>
      </w:r>
      <w:r>
        <w:fldChar w:fldCharType="begin"/>
      </w:r>
      <w:r>
        <w:instrText xml:space="preserve"> PAGEREF _Toc22567 \h </w:instrText>
      </w:r>
      <w:r>
        <w:fldChar w:fldCharType="separate"/>
      </w:r>
      <w:r>
        <w:t>81</w:t>
      </w:r>
      <w:r>
        <w:fldChar w:fldCharType="end"/>
      </w:r>
      <w:r>
        <w:rPr>
          <w:rFonts w:ascii="宋体" w:hAnsi="宋体"/>
          <w:color w:val="auto"/>
          <w:szCs w:val="22"/>
        </w:rPr>
        <w:fldChar w:fldCharType="end"/>
      </w:r>
    </w:p>
    <w:p>
      <w:pPr>
        <w:spacing w:after="120" w:line="360" w:lineRule="auto"/>
        <w:rPr>
          <w:rFonts w:ascii="宋体" w:hAnsi="宋体" w:cs="宋体"/>
          <w:color w:val="auto"/>
          <w:sz w:val="24"/>
        </w:rPr>
        <w:sectPr>
          <w:footerReference r:id="rId3" w:type="default"/>
          <w:pgSz w:w="11906" w:h="16838"/>
          <w:pgMar w:top="1440" w:right="1701" w:bottom="1440" w:left="1701" w:header="851" w:footer="992" w:gutter="0"/>
          <w:pgBorders>
            <w:top w:val="none" w:sz="0" w:space="0"/>
            <w:left w:val="none" w:sz="0" w:space="0"/>
            <w:bottom w:val="none" w:sz="0" w:space="0"/>
            <w:right w:val="none" w:sz="0" w:space="0"/>
          </w:pgBorders>
          <w:pgNumType w:start="1"/>
          <w:cols w:space="720" w:num="1"/>
          <w:docGrid w:type="linesAndChars" w:linePitch="380" w:charSpace="0"/>
        </w:sectPr>
      </w:pPr>
      <w:r>
        <w:rPr>
          <w:rFonts w:ascii="宋体" w:hAnsi="宋体"/>
          <w:color w:val="auto"/>
          <w:szCs w:val="22"/>
        </w:rPr>
        <w:fldChar w:fldCharType="end"/>
      </w:r>
    </w:p>
    <w:p>
      <w:pPr>
        <w:pStyle w:val="77"/>
        <w:spacing w:before="240" w:after="120"/>
        <w:rPr>
          <w:rFonts w:ascii="宋体" w:hAnsi="宋体" w:eastAsia="宋体" w:cs="宋体"/>
          <w:b/>
          <w:bCs w:val="0"/>
          <w:color w:val="auto"/>
          <w:kern w:val="0"/>
          <w:sz w:val="28"/>
          <w:szCs w:val="28"/>
        </w:rPr>
      </w:pPr>
      <w:bookmarkStart w:id="1" w:name="_Toc23697"/>
      <w:bookmarkStart w:id="2" w:name="_Toc3011"/>
      <w:bookmarkStart w:id="3" w:name="_Toc7924"/>
      <w:bookmarkStart w:id="4" w:name="_Toc447265797"/>
      <w:bookmarkStart w:id="5" w:name="_Toc56432210"/>
      <w:bookmarkStart w:id="6" w:name="_Toc447188662"/>
      <w:bookmarkStart w:id="7" w:name="_Toc447265211"/>
      <w:bookmarkStart w:id="8" w:name="_Toc2882"/>
      <w:bookmarkStart w:id="9" w:name="_Toc447265497"/>
      <w:r>
        <w:rPr>
          <w:rFonts w:hint="eastAsia" w:ascii="宋体" w:hAnsi="宋体" w:eastAsia="宋体" w:cs="宋体"/>
          <w:b/>
          <w:bCs w:val="0"/>
          <w:color w:val="auto"/>
          <w:kern w:val="0"/>
          <w:sz w:val="28"/>
          <w:szCs w:val="28"/>
        </w:rPr>
        <w:t>第一章</w:t>
      </w:r>
      <w:r>
        <w:rPr>
          <w:rFonts w:ascii="宋体" w:hAnsi="宋体" w:eastAsia="宋体" w:cs="宋体"/>
          <w:b/>
          <w:bCs w:val="0"/>
          <w:color w:val="auto"/>
          <w:kern w:val="0"/>
          <w:sz w:val="28"/>
          <w:szCs w:val="28"/>
        </w:rPr>
        <w:t xml:space="preserve">  招标公告</w:t>
      </w:r>
      <w:bookmarkEnd w:id="1"/>
      <w:bookmarkEnd w:id="2"/>
      <w:bookmarkEnd w:id="3"/>
      <w:bookmarkEnd w:id="4"/>
      <w:bookmarkEnd w:id="5"/>
      <w:bookmarkEnd w:id="6"/>
      <w:bookmarkEnd w:id="7"/>
      <w:bookmarkEnd w:id="8"/>
      <w:bookmarkEnd w:id="9"/>
    </w:p>
    <w:p>
      <w:pPr>
        <w:adjustRightInd w:val="0"/>
        <w:snapToGrid w:val="0"/>
        <w:spacing w:line="440" w:lineRule="exact"/>
        <w:ind w:firstLine="482" w:firstLineChars="200"/>
        <w:jc w:val="center"/>
        <w:rPr>
          <w:rFonts w:ascii="宋体" w:hAnsi="宋体"/>
          <w:b/>
          <w:bCs/>
          <w:color w:val="auto"/>
          <w:sz w:val="24"/>
        </w:rPr>
      </w:pPr>
      <w:r>
        <w:rPr>
          <w:rFonts w:hint="eastAsia" w:ascii="宋体" w:hAnsi="宋体"/>
          <w:b/>
          <w:bCs/>
          <w:color w:val="auto"/>
          <w:sz w:val="24"/>
          <w:szCs w:val="32"/>
          <w:u w:val="single"/>
          <w:lang w:eastAsia="zh-CN"/>
        </w:rPr>
        <w:t>主题展厅多媒体设备及互动展项定制安装服务项目</w:t>
      </w:r>
      <w:r>
        <w:rPr>
          <w:rFonts w:hint="eastAsia" w:ascii="宋体" w:hAnsi="宋体"/>
          <w:b/>
          <w:bCs/>
          <w:color w:val="auto"/>
          <w:sz w:val="24"/>
          <w:szCs w:val="32"/>
          <w:u w:val="single"/>
        </w:rPr>
        <w:t>招标公告</w:t>
      </w:r>
    </w:p>
    <w:p>
      <w:pPr>
        <w:adjustRightInd w:val="0"/>
        <w:snapToGrid w:val="0"/>
        <w:spacing w:line="440" w:lineRule="exact"/>
        <w:ind w:firstLine="420" w:firstLineChars="200"/>
        <w:rPr>
          <w:rFonts w:ascii="宋体" w:hAnsi="宋体"/>
          <w:color w:val="auto"/>
          <w:szCs w:val="21"/>
        </w:rPr>
      </w:pPr>
      <w:r>
        <w:rPr>
          <w:rFonts w:hint="eastAsia" w:ascii="宋体" w:hAnsi="宋体"/>
          <w:color w:val="auto"/>
          <w:szCs w:val="21"/>
        </w:rPr>
        <w:t>本招标项目为</w:t>
      </w:r>
      <w:r>
        <w:rPr>
          <w:rFonts w:hint="eastAsia" w:ascii="宋体" w:hAnsi="宋体"/>
          <w:color w:val="auto"/>
          <w:szCs w:val="21"/>
          <w:u w:val="single"/>
          <w:lang w:eastAsia="zh-CN"/>
        </w:rPr>
        <w:t>主题展厅多媒体设备及互动展项定制安装服务项目</w:t>
      </w:r>
      <w:r>
        <w:rPr>
          <w:rFonts w:hint="eastAsia" w:ascii="宋体" w:hAnsi="宋体"/>
          <w:color w:val="auto"/>
          <w:szCs w:val="21"/>
        </w:rPr>
        <w:t>，</w:t>
      </w:r>
      <w:r>
        <w:rPr>
          <w:rFonts w:hint="eastAsia" w:ascii="宋体" w:hAnsi="宋体"/>
          <w:color w:val="auto"/>
          <w:szCs w:val="21"/>
          <w:u w:val="single"/>
        </w:rPr>
        <w:t>（招标代理编号：</w:t>
      </w:r>
      <w:r>
        <w:rPr>
          <w:rFonts w:hint="eastAsia" w:ascii="宋体" w:hAnsi="宋体"/>
          <w:color w:val="auto"/>
          <w:szCs w:val="21"/>
          <w:u w:val="single"/>
          <w:lang w:eastAsia="zh-CN"/>
        </w:rPr>
        <w:t>WJS-202304070019</w:t>
      </w:r>
      <w:r>
        <w:rPr>
          <w:rFonts w:ascii="宋体" w:hAnsi="宋体"/>
          <w:color w:val="auto"/>
          <w:szCs w:val="21"/>
          <w:u w:val="single"/>
        </w:rPr>
        <w:t>）</w:t>
      </w:r>
      <w:r>
        <w:rPr>
          <w:rFonts w:hint="eastAsia" w:ascii="宋体" w:hAnsi="宋体"/>
          <w:color w:val="auto"/>
          <w:szCs w:val="21"/>
        </w:rPr>
        <w:t>，招标人为</w:t>
      </w:r>
      <w:r>
        <w:rPr>
          <w:rFonts w:hint="eastAsia" w:ascii="宋体" w:hAnsi="宋体"/>
          <w:color w:val="auto"/>
          <w:szCs w:val="21"/>
          <w:u w:val="single"/>
          <w:lang w:eastAsia="zh-CN"/>
        </w:rPr>
        <w:t>广东南方日报展示有限公司</w:t>
      </w:r>
      <w:r>
        <w:rPr>
          <w:rFonts w:hint="eastAsia" w:ascii="宋体" w:hAnsi="宋体"/>
          <w:color w:val="auto"/>
          <w:szCs w:val="21"/>
        </w:rPr>
        <w:t>，招标代理机构为</w:t>
      </w:r>
      <w:r>
        <w:rPr>
          <w:rFonts w:hint="eastAsia" w:ascii="宋体" w:hAnsi="宋体"/>
          <w:color w:val="auto"/>
          <w:u w:val="single"/>
        </w:rPr>
        <w:t>广东省南方文化产权交易所股份有限公司</w:t>
      </w:r>
      <w:r>
        <w:rPr>
          <w:rFonts w:hint="eastAsia" w:ascii="宋体" w:hAnsi="宋体"/>
          <w:color w:val="auto"/>
          <w:szCs w:val="21"/>
        </w:rPr>
        <w:t>。项目资金已落实，具备招标条件，现进行公开招标，特邀请有意向的且具有提供标的物能力的潜在投标人（以下简称投标人）投标。</w:t>
      </w:r>
    </w:p>
    <w:p>
      <w:pPr>
        <w:pStyle w:val="78"/>
        <w:numPr>
          <w:ilvl w:val="0"/>
          <w:numId w:val="2"/>
        </w:numPr>
        <w:adjustRightInd w:val="0"/>
        <w:snapToGrid w:val="0"/>
        <w:spacing w:line="440" w:lineRule="exact"/>
        <w:ind w:firstLineChars="0"/>
        <w:rPr>
          <w:rFonts w:ascii="宋体" w:hAnsi="宋体"/>
          <w:b/>
          <w:color w:val="auto"/>
          <w:szCs w:val="21"/>
        </w:rPr>
      </w:pPr>
      <w:r>
        <w:rPr>
          <w:rFonts w:hint="eastAsia" w:ascii="宋体" w:hAnsi="宋体"/>
          <w:b/>
          <w:color w:val="auto"/>
          <w:szCs w:val="21"/>
        </w:rPr>
        <w:t>项目概况与采购内容</w:t>
      </w:r>
    </w:p>
    <w:p>
      <w:pPr>
        <w:pStyle w:val="78"/>
        <w:adjustRightInd w:val="0"/>
        <w:snapToGrid w:val="0"/>
        <w:spacing w:line="440" w:lineRule="exact"/>
        <w:rPr>
          <w:rFonts w:hint="eastAsia" w:ascii="宋体" w:hAnsi="宋体"/>
          <w:color w:val="auto"/>
          <w:szCs w:val="21"/>
          <w:lang w:val="en-US" w:eastAsia="zh-CN"/>
        </w:rPr>
      </w:pPr>
      <w:r>
        <w:rPr>
          <w:rFonts w:ascii="宋体" w:hAnsi="宋体"/>
          <w:color w:val="auto"/>
          <w:szCs w:val="21"/>
        </w:rPr>
        <w:t>1.1</w:t>
      </w:r>
      <w:r>
        <w:rPr>
          <w:rFonts w:hint="eastAsia" w:ascii="宋体" w:hAnsi="宋体"/>
          <w:color w:val="auto"/>
          <w:szCs w:val="21"/>
          <w:lang w:val="en-US" w:eastAsia="zh-CN"/>
        </w:rPr>
        <w:t>项目预算及标段划分</w:t>
      </w:r>
      <w:r>
        <w:rPr>
          <w:rFonts w:hint="eastAsia" w:ascii="宋体" w:hAnsi="宋体"/>
          <w:color w:val="auto"/>
          <w:szCs w:val="21"/>
        </w:rPr>
        <w:t>：</w:t>
      </w:r>
      <w:r>
        <w:rPr>
          <w:rFonts w:hint="eastAsia" w:ascii="宋体" w:hAnsi="宋体"/>
          <w:color w:val="auto"/>
          <w:szCs w:val="21"/>
          <w:lang w:eastAsia="zh-CN"/>
        </w:rPr>
        <w:t>主题展厅多媒体设备及互动展项定制安装服务项目</w:t>
      </w:r>
      <w:r>
        <w:rPr>
          <w:rFonts w:hint="eastAsia" w:ascii="宋体" w:hAnsi="宋体"/>
          <w:color w:val="auto"/>
          <w:szCs w:val="21"/>
          <w:lang w:val="en-US" w:eastAsia="zh-CN"/>
        </w:rPr>
        <w:t>总预算为164.20万</w:t>
      </w:r>
      <w:r>
        <w:rPr>
          <w:rFonts w:hint="eastAsia" w:ascii="宋体" w:hAnsi="宋体"/>
          <w:color w:val="auto"/>
          <w:szCs w:val="21"/>
          <w:lang w:eastAsia="zh-CN"/>
        </w:rPr>
        <w:t>元</w:t>
      </w:r>
      <w:r>
        <w:rPr>
          <w:rFonts w:hint="eastAsia" w:ascii="宋体" w:hAnsi="宋体"/>
          <w:color w:val="auto"/>
          <w:szCs w:val="21"/>
        </w:rPr>
        <w:t>人民币（含税）</w:t>
      </w:r>
      <w:r>
        <w:rPr>
          <w:rFonts w:hint="eastAsia" w:ascii="宋体" w:hAnsi="宋体"/>
          <w:color w:val="auto"/>
          <w:szCs w:val="21"/>
          <w:lang w:eastAsia="zh-CN"/>
        </w:rPr>
        <w:t>，</w:t>
      </w:r>
      <w:r>
        <w:rPr>
          <w:rFonts w:hint="eastAsia" w:ascii="宋体" w:hAnsi="宋体"/>
          <w:color w:val="auto"/>
          <w:szCs w:val="21"/>
          <w:lang w:val="en-US" w:eastAsia="zh-CN"/>
        </w:rPr>
        <w:t>共2个标段，</w:t>
      </w:r>
      <w:r>
        <w:rPr>
          <w:rFonts w:hint="eastAsia" w:ascii="宋体" w:hAnsi="宋体"/>
          <w:color w:val="000000" w:themeColor="text1"/>
          <w:szCs w:val="21"/>
          <w:lang w:val="en-US" w:eastAsia="zh-CN"/>
          <w14:textFill>
            <w14:solidFill>
              <w14:schemeClr w14:val="tx1"/>
            </w14:solidFill>
          </w14:textFill>
        </w:rPr>
        <w:t>标段间互斥，允许投标人兼投但不得兼中</w:t>
      </w:r>
      <w:r>
        <w:rPr>
          <w:rFonts w:hint="eastAsia" w:ascii="宋体" w:hAnsi="宋体"/>
          <w:color w:val="auto"/>
          <w:szCs w:val="21"/>
          <w:lang w:val="en-US" w:eastAsia="zh-CN"/>
        </w:rPr>
        <w:t>，具体标段信息及标段预算金额如下：</w:t>
      </w:r>
    </w:p>
    <w:tbl>
      <w:tblPr>
        <w:tblStyle w:val="4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24" w:type="dxa"/>
          <w:left w:w="24" w:type="dxa"/>
          <w:bottom w:w="24" w:type="dxa"/>
          <w:right w:w="24" w:type="dxa"/>
        </w:tblCellMar>
      </w:tblPr>
      <w:tblGrid>
        <w:gridCol w:w="809"/>
        <w:gridCol w:w="4486"/>
        <w:gridCol w:w="3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24" w:type="dxa"/>
            <w:bottom w:w="24" w:type="dxa"/>
            <w:right w:w="24" w:type="dxa"/>
          </w:tblCellMar>
        </w:tblPrEx>
        <w:tc>
          <w:tcPr>
            <w:tcW w:w="484" w:type="pct"/>
            <w:tcBorders>
              <w:top w:val="single" w:color="auto" w:sz="4" w:space="0"/>
              <w:left w:val="single" w:color="auto" w:sz="4" w:space="0"/>
              <w:bottom w:val="single" w:color="auto" w:sz="4" w:space="0"/>
              <w:right w:val="single" w:color="auto" w:sz="4" w:space="0"/>
            </w:tcBorders>
            <w:noWrap w:val="0"/>
            <w:vAlign w:val="center"/>
          </w:tcPr>
          <w:p>
            <w:pPr>
              <w:autoSpaceDE w:val="0"/>
              <w:spacing w:line="360" w:lineRule="auto"/>
              <w:jc w:val="center"/>
              <w:rPr>
                <w:rFonts w:hint="eastAsia" w:ascii="宋体" w:hAnsi="宋体" w:eastAsia="宋体"/>
                <w:b/>
                <w:bCs/>
                <w:color w:val="auto"/>
                <w:sz w:val="21"/>
                <w:szCs w:val="21"/>
                <w:lang w:val="en-US" w:eastAsia="zh-CN"/>
              </w:rPr>
            </w:pPr>
            <w:r>
              <w:rPr>
                <w:rFonts w:hint="eastAsia" w:ascii="宋体" w:hAnsi="宋体"/>
                <w:b/>
                <w:bCs/>
                <w:color w:val="auto"/>
                <w:sz w:val="21"/>
                <w:szCs w:val="21"/>
              </w:rPr>
              <w:t>标段</w:t>
            </w:r>
          </w:p>
        </w:tc>
        <w:tc>
          <w:tcPr>
            <w:tcW w:w="2685" w:type="pct"/>
            <w:tcBorders>
              <w:top w:val="single" w:color="auto" w:sz="4" w:space="0"/>
              <w:left w:val="nil"/>
              <w:bottom w:val="single" w:color="auto" w:sz="4" w:space="0"/>
              <w:right w:val="single" w:color="auto" w:sz="4" w:space="0"/>
            </w:tcBorders>
            <w:noWrap w:val="0"/>
            <w:vAlign w:val="center"/>
          </w:tcPr>
          <w:p>
            <w:pPr>
              <w:autoSpaceDE w:val="0"/>
              <w:spacing w:line="360" w:lineRule="auto"/>
              <w:jc w:val="center"/>
              <w:rPr>
                <w:rFonts w:hint="default" w:ascii="宋体" w:hAnsi="宋体" w:eastAsia="宋体"/>
                <w:b/>
                <w:bCs/>
                <w:color w:val="auto"/>
                <w:sz w:val="21"/>
                <w:szCs w:val="21"/>
                <w:lang w:val="en-US" w:eastAsia="zh-CN"/>
              </w:rPr>
            </w:pPr>
            <w:r>
              <w:rPr>
                <w:rFonts w:hint="eastAsia" w:ascii="宋体" w:hAnsi="宋体"/>
                <w:b/>
                <w:bCs/>
                <w:color w:val="auto"/>
                <w:sz w:val="21"/>
                <w:szCs w:val="21"/>
                <w:lang w:val="en-US" w:eastAsia="zh-CN"/>
              </w:rPr>
              <w:t>标</w:t>
            </w:r>
            <w:r>
              <w:rPr>
                <w:rFonts w:hint="eastAsia" w:ascii="宋体" w:hAnsi="宋体"/>
                <w:b/>
                <w:bCs/>
                <w:color w:val="auto"/>
                <w:sz w:val="21"/>
                <w:szCs w:val="21"/>
              </w:rPr>
              <w:t>段</w:t>
            </w:r>
            <w:r>
              <w:rPr>
                <w:rFonts w:hint="eastAsia" w:ascii="宋体" w:hAnsi="宋体"/>
                <w:b/>
                <w:bCs/>
                <w:color w:val="auto"/>
                <w:sz w:val="21"/>
                <w:szCs w:val="21"/>
                <w:lang w:val="en-US" w:eastAsia="zh-CN"/>
              </w:rPr>
              <w:t>名称</w:t>
            </w:r>
          </w:p>
        </w:tc>
        <w:tc>
          <w:tcPr>
            <w:tcW w:w="1829" w:type="pct"/>
            <w:tcBorders>
              <w:top w:val="single" w:color="auto" w:sz="4" w:space="0"/>
              <w:left w:val="nil"/>
              <w:bottom w:val="single" w:color="auto" w:sz="4" w:space="0"/>
              <w:right w:val="single" w:color="auto" w:sz="4" w:space="0"/>
            </w:tcBorders>
            <w:noWrap w:val="0"/>
            <w:vAlign w:val="center"/>
          </w:tcPr>
          <w:p>
            <w:pPr>
              <w:widowControl/>
              <w:topLinePunct w:val="0"/>
              <w:spacing w:line="360" w:lineRule="auto"/>
              <w:jc w:val="center"/>
              <w:rPr>
                <w:rFonts w:ascii="宋体" w:hAnsi="宋体"/>
                <w:color w:val="auto"/>
                <w:kern w:val="0"/>
                <w:sz w:val="21"/>
                <w:szCs w:val="21"/>
              </w:rPr>
            </w:pPr>
            <w:r>
              <w:rPr>
                <w:rFonts w:hint="eastAsia" w:ascii="宋体" w:hAnsi="宋体"/>
                <w:color w:val="auto"/>
                <w:sz w:val="21"/>
                <w:szCs w:val="21"/>
              </w:rPr>
              <w:t>标</w:t>
            </w:r>
            <w:r>
              <w:rPr>
                <w:rFonts w:hint="eastAsia" w:ascii="宋体" w:hAnsi="宋体"/>
                <w:color w:val="auto"/>
                <w:sz w:val="21"/>
                <w:szCs w:val="21"/>
                <w:lang w:val="en-US" w:eastAsia="zh-CN"/>
              </w:rPr>
              <w:t>包</w:t>
            </w:r>
            <w:r>
              <w:rPr>
                <w:rFonts w:hint="eastAsia" w:ascii="宋体" w:hAnsi="宋体"/>
                <w:color w:val="auto"/>
                <w:sz w:val="21"/>
                <w:szCs w:val="21"/>
              </w:rPr>
              <w:t>预算（含税，</w:t>
            </w:r>
            <w:r>
              <w:rPr>
                <w:rFonts w:hint="eastAsia" w:ascii="宋体" w:hAnsi="宋体"/>
                <w:color w:val="auto"/>
                <w:sz w:val="21"/>
                <w:szCs w:val="21"/>
                <w:lang w:val="en-US" w:eastAsia="zh-CN"/>
              </w:rPr>
              <w:t>万</w:t>
            </w:r>
            <w:r>
              <w:rPr>
                <w:rFonts w:hint="eastAsia" w:ascii="宋体" w:hAnsi="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24" w:type="dxa"/>
            <w:bottom w:w="24" w:type="dxa"/>
            <w:right w:w="24" w:type="dxa"/>
          </w:tblCellMar>
        </w:tblPrEx>
        <w:tc>
          <w:tcPr>
            <w:tcW w:w="484" w:type="pct"/>
            <w:tcBorders>
              <w:top w:val="single" w:color="auto" w:sz="4" w:space="0"/>
              <w:left w:val="single" w:color="auto" w:sz="4" w:space="0"/>
              <w:bottom w:val="single" w:color="auto" w:sz="4" w:space="0"/>
              <w:right w:val="single" w:color="auto" w:sz="4" w:space="0"/>
            </w:tcBorders>
            <w:noWrap w:val="0"/>
            <w:vAlign w:val="center"/>
          </w:tcPr>
          <w:p>
            <w:pPr>
              <w:widowControl/>
              <w:topLinePunct w:val="0"/>
              <w:spacing w:line="360" w:lineRule="auto"/>
              <w:jc w:val="center"/>
              <w:rPr>
                <w:rFonts w:ascii="宋体" w:hAnsi="宋体"/>
                <w:b w:val="0"/>
                <w:bCs w:val="0"/>
                <w:color w:val="auto"/>
                <w:kern w:val="0"/>
                <w:sz w:val="21"/>
                <w:szCs w:val="21"/>
              </w:rPr>
            </w:pPr>
            <w:r>
              <w:rPr>
                <w:rFonts w:hint="eastAsia" w:ascii="宋体" w:hAnsi="宋体"/>
                <w:b w:val="0"/>
                <w:bCs w:val="0"/>
                <w:color w:val="auto"/>
                <w:sz w:val="21"/>
                <w:szCs w:val="21"/>
              </w:rPr>
              <w:t>标段1</w:t>
            </w:r>
          </w:p>
        </w:tc>
        <w:tc>
          <w:tcPr>
            <w:tcW w:w="268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rPr>
              <w:t>多媒体设备</w:t>
            </w:r>
            <w:r>
              <w:rPr>
                <w:rFonts w:hint="eastAsia" w:ascii="宋体" w:hAnsi="宋体"/>
                <w:color w:val="auto"/>
                <w:sz w:val="21"/>
                <w:szCs w:val="21"/>
                <w:lang w:val="en-US" w:eastAsia="zh-CN"/>
              </w:rPr>
              <w:t>定制及安装服务</w:t>
            </w:r>
          </w:p>
        </w:tc>
        <w:tc>
          <w:tcPr>
            <w:tcW w:w="1829"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4" w:type="dxa"/>
            <w:left w:w="24" w:type="dxa"/>
            <w:bottom w:w="24" w:type="dxa"/>
            <w:right w:w="24" w:type="dxa"/>
          </w:tblCellMar>
        </w:tblPrEx>
        <w:tc>
          <w:tcPr>
            <w:tcW w:w="48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b w:val="0"/>
                <w:bCs w:val="0"/>
                <w:color w:val="auto"/>
                <w:sz w:val="21"/>
                <w:szCs w:val="21"/>
                <w:lang w:eastAsia="zh-CN"/>
              </w:rPr>
            </w:pPr>
            <w:r>
              <w:rPr>
                <w:rFonts w:hint="eastAsia" w:ascii="宋体" w:hAnsi="宋体"/>
                <w:b w:val="0"/>
                <w:bCs w:val="0"/>
                <w:color w:val="auto"/>
                <w:sz w:val="21"/>
                <w:szCs w:val="21"/>
              </w:rPr>
              <w:t>标段</w:t>
            </w:r>
            <w:r>
              <w:rPr>
                <w:rFonts w:hint="eastAsia" w:ascii="宋体" w:hAnsi="宋体"/>
                <w:b w:val="0"/>
                <w:bCs w:val="0"/>
                <w:color w:val="auto"/>
                <w:sz w:val="21"/>
                <w:szCs w:val="21"/>
                <w:lang w:val="en-US" w:eastAsia="zh-CN"/>
              </w:rPr>
              <w:t>2</w:t>
            </w:r>
          </w:p>
        </w:tc>
        <w:tc>
          <w:tcPr>
            <w:tcW w:w="2685" w:type="pct"/>
            <w:tcBorders>
              <w:top w:val="single" w:color="auto" w:sz="4" w:space="0"/>
              <w:left w:val="nil"/>
              <w:bottom w:val="single" w:color="auto" w:sz="4" w:space="0"/>
              <w:right w:val="single" w:color="auto" w:sz="4" w:space="0"/>
            </w:tcBorders>
            <w:noWrap w:val="0"/>
            <w:vAlign w:val="center"/>
          </w:tcPr>
          <w:p>
            <w:pPr>
              <w:spacing w:line="360" w:lineRule="auto"/>
              <w:jc w:val="center"/>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互动展项定制及安装服务</w:t>
            </w:r>
          </w:p>
        </w:tc>
        <w:tc>
          <w:tcPr>
            <w:tcW w:w="1829"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olor w:val="auto"/>
                <w:sz w:val="21"/>
                <w:szCs w:val="21"/>
              </w:rPr>
            </w:pPr>
            <w:r>
              <w:rPr>
                <w:rFonts w:hint="eastAsia" w:ascii="宋体" w:hAnsi="宋体"/>
                <w:color w:val="auto"/>
                <w:sz w:val="21"/>
                <w:szCs w:val="21"/>
                <w:lang w:val="en-US" w:eastAsia="zh-CN"/>
              </w:rPr>
              <w:t>69.20</w:t>
            </w:r>
          </w:p>
        </w:tc>
      </w:tr>
    </w:tbl>
    <w:p>
      <w:pPr>
        <w:pStyle w:val="78"/>
        <w:adjustRightInd w:val="0"/>
        <w:snapToGrid w:val="0"/>
        <w:spacing w:line="440" w:lineRule="exact"/>
        <w:rPr>
          <w:rFonts w:hint="default" w:ascii="宋体" w:hAnsi="宋体" w:eastAsia="宋体"/>
          <w:color w:val="auto"/>
          <w:szCs w:val="21"/>
          <w:lang w:val="en-US" w:eastAsia="zh-CN"/>
        </w:rPr>
      </w:pPr>
      <w:r>
        <w:rPr>
          <w:rFonts w:ascii="宋体" w:hAnsi="宋体"/>
          <w:color w:val="auto"/>
          <w:szCs w:val="21"/>
        </w:rPr>
        <w:t xml:space="preserve">1.2项目概况: </w:t>
      </w:r>
      <w:r>
        <w:rPr>
          <w:rFonts w:hint="eastAsia" w:ascii="宋体" w:hAnsi="宋体"/>
          <w:color w:val="auto"/>
          <w:szCs w:val="21"/>
        </w:rPr>
        <w:t>本项目拟通过公开招标的方式</w:t>
      </w:r>
      <w:r>
        <w:rPr>
          <w:rFonts w:hint="eastAsia" w:ascii="宋体" w:hAnsi="宋体"/>
          <w:color w:val="auto"/>
          <w:szCs w:val="21"/>
          <w:lang w:val="en-US" w:eastAsia="zh-CN"/>
        </w:rPr>
        <w:t>对2个标段分别选取1名中标人，</w:t>
      </w:r>
      <w:r>
        <w:rPr>
          <w:rFonts w:hint="eastAsia" w:ascii="宋体" w:hAnsi="宋体"/>
          <w:color w:val="auto"/>
          <w:szCs w:val="21"/>
        </w:rPr>
        <w:t>中标人根据招标人要求在</w:t>
      </w:r>
      <w:r>
        <w:rPr>
          <w:rFonts w:hint="eastAsia" w:ascii="宋体" w:hAnsi="宋体"/>
          <w:color w:val="auto"/>
          <w:szCs w:val="21"/>
          <w:lang w:val="en-US" w:eastAsia="zh-CN"/>
        </w:rPr>
        <w:t>提供对应标段具体服务</w:t>
      </w:r>
      <w:r>
        <w:rPr>
          <w:rFonts w:hint="eastAsia" w:ascii="宋体" w:hAnsi="宋体"/>
          <w:color w:val="auto"/>
          <w:szCs w:val="21"/>
        </w:rPr>
        <w:t>。</w:t>
      </w:r>
      <w:r>
        <w:rPr>
          <w:rFonts w:hint="eastAsia" w:ascii="宋体" w:hAnsi="宋体"/>
          <w:color w:val="auto"/>
          <w:szCs w:val="21"/>
          <w:lang w:val="en-US" w:eastAsia="zh-CN"/>
        </w:rPr>
        <w:t>具体服务要求详见第五章《采购需求书》。</w:t>
      </w:r>
    </w:p>
    <w:p>
      <w:pPr>
        <w:pStyle w:val="78"/>
        <w:adjustRightInd w:val="0"/>
        <w:snapToGrid w:val="0"/>
        <w:spacing w:line="440" w:lineRule="exact"/>
        <w:ind w:firstLine="420" w:firstLineChars="200"/>
        <w:rPr>
          <w:rFonts w:hint="eastAsia" w:ascii="宋体" w:hAnsi="宋体"/>
          <w:color w:val="auto"/>
          <w:szCs w:val="21"/>
        </w:rPr>
      </w:pPr>
      <w:r>
        <w:rPr>
          <w:rFonts w:ascii="宋体" w:hAnsi="宋体"/>
          <w:color w:val="auto"/>
          <w:szCs w:val="21"/>
        </w:rPr>
        <w:t xml:space="preserve">1.3 </w:t>
      </w:r>
      <w:r>
        <w:rPr>
          <w:rFonts w:hint="eastAsia" w:ascii="宋体" w:hAnsi="宋体"/>
          <w:color w:val="auto"/>
          <w:szCs w:val="21"/>
          <w:lang w:val="en-US" w:eastAsia="zh-CN"/>
        </w:rPr>
        <w:t>交货期</w:t>
      </w:r>
      <w:r>
        <w:rPr>
          <w:rFonts w:hint="eastAsia" w:ascii="宋体" w:hAnsi="宋体"/>
          <w:color w:val="auto"/>
          <w:szCs w:val="21"/>
        </w:rPr>
        <w:t>：</w:t>
      </w:r>
    </w:p>
    <w:p>
      <w:pPr>
        <w:pStyle w:val="78"/>
        <w:adjustRightInd w:val="0"/>
        <w:snapToGrid w:val="0"/>
        <w:spacing w:line="440" w:lineRule="exact"/>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标段1：</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合同签订之日起至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2023年5月31日</w:t>
      </w:r>
      <w:r>
        <w:rPr>
          <w:rFonts w:hint="eastAsia" w:ascii="宋体" w:hAnsi="宋体" w:eastAsia="宋体" w:cs="宋体"/>
          <w:color w:val="000000" w:themeColor="text1"/>
          <w:szCs w:val="21"/>
          <w:highlight w:val="none"/>
          <w14:textFill>
            <w14:solidFill>
              <w14:schemeClr w14:val="tx1"/>
            </w14:solidFill>
          </w14:textFill>
        </w:rPr>
        <w:t>完成供货、安装和调试并交付使用</w:t>
      </w:r>
      <w:r>
        <w:rPr>
          <w:rFonts w:hint="eastAsia" w:ascii="宋体" w:hAnsi="宋体" w:cs="宋体"/>
          <w:color w:val="000000" w:themeColor="text1"/>
          <w:szCs w:val="21"/>
          <w:highlight w:val="none"/>
          <w:lang w:val="en-US" w:eastAsia="zh-CN"/>
          <w14:textFill>
            <w14:solidFill>
              <w14:schemeClr w14:val="tx1"/>
            </w14:solidFill>
          </w14:textFill>
        </w:rPr>
        <w:t>；验收合格后免费质保期不少于24个月。</w:t>
      </w:r>
    </w:p>
    <w:p>
      <w:pPr>
        <w:pStyle w:val="78"/>
        <w:adjustRightInd w:val="0"/>
        <w:snapToGrid w:val="0"/>
        <w:spacing w:line="440" w:lineRule="exact"/>
        <w:ind w:firstLine="420" w:firstLineChars="200"/>
        <w:rPr>
          <w:rFonts w:hint="default" w:ascii="宋体" w:hAnsi="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标段2：</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合同签订之日起至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2023年5月31日完成集成服务并交付使用；</w:t>
      </w:r>
      <w:r>
        <w:rPr>
          <w:rFonts w:hint="eastAsia" w:ascii="宋体" w:hAnsi="宋体"/>
          <w:color w:val="000000" w:themeColor="text1"/>
          <w:szCs w:val="21"/>
          <w:lang w:val="en-US" w:eastAsia="zh-CN"/>
          <w14:textFill>
            <w14:solidFill>
              <w14:schemeClr w14:val="tx1"/>
            </w14:solidFill>
          </w14:textFill>
        </w:rPr>
        <w:t>验收合格后免费质保期不少于24个月。</w:t>
      </w:r>
    </w:p>
    <w:p>
      <w:pPr>
        <w:pStyle w:val="78"/>
        <w:numPr>
          <w:ilvl w:val="0"/>
          <w:numId w:val="2"/>
        </w:numPr>
        <w:adjustRightInd w:val="0"/>
        <w:snapToGrid w:val="0"/>
        <w:spacing w:line="440" w:lineRule="exact"/>
        <w:ind w:firstLineChars="0"/>
        <w:rPr>
          <w:rFonts w:ascii="宋体" w:hAnsi="宋体"/>
          <w:b/>
          <w:color w:val="auto"/>
          <w:szCs w:val="21"/>
        </w:rPr>
      </w:pPr>
      <w:bookmarkStart w:id="10" w:name="_Toc184704555"/>
      <w:bookmarkStart w:id="11" w:name="_Toc319769473"/>
      <w:bookmarkStart w:id="12" w:name="_Toc319394714"/>
      <w:r>
        <w:rPr>
          <w:rFonts w:hint="eastAsia" w:ascii="宋体" w:hAnsi="宋体"/>
          <w:b/>
          <w:color w:val="auto"/>
          <w:szCs w:val="21"/>
        </w:rPr>
        <w:t>投标人资格要求</w:t>
      </w:r>
      <w:bookmarkEnd w:id="10"/>
      <w:bookmarkEnd w:id="11"/>
      <w:bookmarkEnd w:id="12"/>
      <w:r>
        <w:rPr>
          <w:rFonts w:ascii="宋体" w:hAnsi="宋体"/>
          <w:b/>
          <w:color w:val="auto"/>
          <w:szCs w:val="21"/>
        </w:rPr>
        <w:t xml:space="preserve"> </w:t>
      </w:r>
    </w:p>
    <w:p>
      <w:pPr>
        <w:pStyle w:val="78"/>
        <w:adjustRightInd w:val="0"/>
        <w:snapToGrid w:val="0"/>
        <w:spacing w:line="440" w:lineRule="exact"/>
        <w:rPr>
          <w:rFonts w:hint="eastAsia" w:ascii="宋体" w:hAnsi="宋体"/>
          <w:b/>
          <w:bCs/>
          <w:color w:val="auto"/>
          <w:szCs w:val="21"/>
          <w:lang w:eastAsia="zh-CN"/>
        </w:rPr>
      </w:pPr>
      <w:bookmarkStart w:id="13" w:name="_Toc319394715"/>
      <w:bookmarkStart w:id="14" w:name="_Toc184704556"/>
      <w:bookmarkStart w:id="15" w:name="_Toc319769474"/>
      <w:r>
        <w:rPr>
          <w:rFonts w:ascii="宋体" w:hAnsi="宋体"/>
          <w:color w:val="auto"/>
          <w:szCs w:val="21"/>
        </w:rPr>
        <w:t>2.1投标人须在中华人民共和国境内注册的具有独立承担民事责任能力的法人或其他组织，提供营业执照或事业法人证书（分公司投标须得到总公司授权，同时提供总公司营业执照及盖章授权函）；</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w:t>
      </w:r>
      <w:r>
        <w:rPr>
          <w:rFonts w:hint="eastAsia" w:ascii="宋体" w:hAnsi="宋体"/>
          <w:b/>
          <w:bCs/>
          <w:color w:val="auto"/>
          <w:szCs w:val="21"/>
          <w:lang w:eastAsia="zh-CN"/>
        </w:rPr>
        <w:t>）</w:t>
      </w:r>
    </w:p>
    <w:p>
      <w:pPr>
        <w:pStyle w:val="78"/>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2</w:t>
      </w:r>
      <w:r>
        <w:rPr>
          <w:rFonts w:ascii="宋体" w:hAnsi="宋体"/>
          <w:color w:val="auto"/>
          <w:szCs w:val="21"/>
        </w:rPr>
        <w:t>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w:t>
      </w:r>
      <w:r>
        <w:rPr>
          <w:rFonts w:hint="eastAsia" w:ascii="宋体" w:hAnsi="宋体"/>
          <w:b/>
          <w:bCs/>
          <w:color w:val="auto"/>
          <w:szCs w:val="21"/>
          <w:lang w:eastAsia="zh-CN"/>
        </w:rPr>
        <w:t>）</w:t>
      </w:r>
    </w:p>
    <w:p>
      <w:pPr>
        <w:pStyle w:val="78"/>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3</w:t>
      </w:r>
      <w:r>
        <w:rPr>
          <w:rFonts w:ascii="宋体" w:hAnsi="宋体"/>
          <w:color w:val="auto"/>
          <w:szCs w:val="21"/>
        </w:rPr>
        <w:t>单位负责人为同一人或者存在直接控股、管理关系的不同供应商，不得参加</w:t>
      </w:r>
      <w:r>
        <w:rPr>
          <w:rFonts w:hint="eastAsia" w:ascii="宋体" w:hAnsi="宋体"/>
          <w:color w:val="auto"/>
          <w:sz w:val="21"/>
          <w:szCs w:val="21"/>
        </w:rPr>
        <w:t>同一标段投标或者未划分标段的同一招标项目投标</w:t>
      </w:r>
      <w:r>
        <w:rPr>
          <w:rFonts w:ascii="宋体" w:hAnsi="宋体"/>
          <w:color w:val="auto"/>
          <w:szCs w:val="21"/>
        </w:rPr>
        <w:t>，以《</w:t>
      </w:r>
      <w:r>
        <w:rPr>
          <w:rFonts w:hint="eastAsia" w:ascii="宋体" w:hAnsi="宋体"/>
          <w:color w:val="auto"/>
          <w:szCs w:val="21"/>
        </w:rPr>
        <w:t>投标人控股及管理关系情况申报表</w:t>
      </w:r>
      <w:r>
        <w:rPr>
          <w:rFonts w:ascii="宋体" w:hAnsi="宋体"/>
          <w:color w:val="auto"/>
          <w:szCs w:val="21"/>
        </w:rPr>
        <w:t>》填报的内容进行评审；</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w:t>
      </w:r>
      <w:r>
        <w:rPr>
          <w:rFonts w:hint="eastAsia" w:ascii="宋体" w:hAnsi="宋体"/>
          <w:b/>
          <w:bCs/>
          <w:color w:val="auto"/>
          <w:szCs w:val="21"/>
          <w:lang w:eastAsia="zh-CN"/>
        </w:rPr>
        <w:t>）</w:t>
      </w:r>
    </w:p>
    <w:p>
      <w:pPr>
        <w:pStyle w:val="78"/>
        <w:adjustRightInd w:val="0"/>
        <w:snapToGrid w:val="0"/>
        <w:spacing w:line="440" w:lineRule="exact"/>
        <w:rPr>
          <w:rFonts w:ascii="宋体" w:hAnsi="宋体"/>
          <w:color w:val="auto"/>
          <w:szCs w:val="21"/>
        </w:rPr>
      </w:pPr>
      <w:r>
        <w:rPr>
          <w:rFonts w:ascii="宋体" w:hAnsi="宋体"/>
          <w:color w:val="auto"/>
          <w:szCs w:val="21"/>
        </w:rPr>
        <w:t>2.</w:t>
      </w:r>
      <w:r>
        <w:rPr>
          <w:rFonts w:hint="eastAsia" w:ascii="宋体" w:hAnsi="宋体"/>
          <w:color w:val="auto"/>
          <w:szCs w:val="21"/>
          <w:lang w:val="en-US" w:eastAsia="zh-CN"/>
        </w:rPr>
        <w:t>4</w:t>
      </w:r>
      <w:r>
        <w:rPr>
          <w:rFonts w:ascii="宋体" w:hAnsi="宋体"/>
          <w:color w:val="auto"/>
          <w:szCs w:val="21"/>
        </w:rPr>
        <w:t>本</w:t>
      </w:r>
      <w:r>
        <w:rPr>
          <w:rFonts w:hint="eastAsia" w:ascii="宋体" w:hAnsi="宋体"/>
          <w:color w:val="auto"/>
          <w:szCs w:val="21"/>
          <w:lang w:val="en-US" w:eastAsia="zh-CN"/>
        </w:rPr>
        <w:t>标段</w:t>
      </w:r>
      <w:r>
        <w:rPr>
          <w:rFonts w:ascii="宋体" w:hAnsi="宋体"/>
          <w:color w:val="auto"/>
          <w:szCs w:val="21"/>
        </w:rPr>
        <w:t>不接受联合体投标，不允许转包、违法分包。</w:t>
      </w:r>
      <w:r>
        <w:rPr>
          <w:rFonts w:hint="eastAsia" w:ascii="宋体" w:hAnsi="宋体"/>
          <w:b/>
          <w:bCs/>
          <w:color w:val="auto"/>
          <w:szCs w:val="21"/>
          <w:lang w:eastAsia="zh-CN"/>
        </w:rPr>
        <w:t>（</w:t>
      </w:r>
      <w:r>
        <w:rPr>
          <w:rFonts w:hint="eastAsia" w:ascii="宋体" w:hAnsi="宋体"/>
          <w:b/>
          <w:bCs/>
          <w:color w:val="auto"/>
          <w:szCs w:val="21"/>
          <w:lang w:val="en-US" w:eastAsia="zh-CN"/>
        </w:rPr>
        <w:t>适用于标段1、标段2</w:t>
      </w:r>
      <w:r>
        <w:rPr>
          <w:rFonts w:hint="eastAsia" w:ascii="宋体" w:hAnsi="宋体"/>
          <w:b/>
          <w:bCs/>
          <w:color w:val="auto"/>
          <w:szCs w:val="21"/>
          <w:lang w:eastAsia="zh-CN"/>
        </w:rPr>
        <w:t>）</w:t>
      </w:r>
    </w:p>
    <w:p>
      <w:pPr>
        <w:pStyle w:val="78"/>
        <w:numPr>
          <w:ilvl w:val="0"/>
          <w:numId w:val="2"/>
        </w:numPr>
        <w:adjustRightInd w:val="0"/>
        <w:snapToGrid w:val="0"/>
        <w:spacing w:line="440" w:lineRule="exact"/>
        <w:ind w:firstLineChars="0"/>
        <w:rPr>
          <w:rFonts w:ascii="宋体" w:hAnsi="宋体"/>
          <w:b/>
          <w:color w:val="auto"/>
          <w:szCs w:val="21"/>
        </w:rPr>
      </w:pPr>
      <w:r>
        <w:rPr>
          <w:rFonts w:hint="eastAsia" w:ascii="宋体" w:hAnsi="宋体"/>
          <w:b/>
          <w:color w:val="auto"/>
          <w:szCs w:val="21"/>
        </w:rPr>
        <w:t>资格审查方法</w:t>
      </w:r>
      <w:bookmarkEnd w:id="13"/>
      <w:bookmarkEnd w:id="14"/>
      <w:bookmarkEnd w:id="15"/>
    </w:p>
    <w:p>
      <w:pPr>
        <w:pStyle w:val="78"/>
        <w:adjustRightInd w:val="0"/>
        <w:snapToGrid w:val="0"/>
        <w:spacing w:line="440" w:lineRule="exact"/>
        <w:rPr>
          <w:rFonts w:ascii="宋体" w:hAnsi="宋体"/>
          <w:color w:val="auto"/>
          <w:szCs w:val="21"/>
        </w:rPr>
      </w:pPr>
      <w:r>
        <w:rPr>
          <w:rFonts w:hint="eastAsia" w:ascii="宋体" w:hAnsi="宋体"/>
          <w:color w:val="auto"/>
          <w:szCs w:val="21"/>
        </w:rPr>
        <w:t>本项目将进行资格后审，资格审查标准和内容见招标文件第三章“评审办法”，凡未通过资格后审的投标人，其投标文件将被否决。</w:t>
      </w:r>
    </w:p>
    <w:p>
      <w:pPr>
        <w:pStyle w:val="78"/>
        <w:numPr>
          <w:ilvl w:val="0"/>
          <w:numId w:val="2"/>
        </w:numPr>
        <w:adjustRightInd w:val="0"/>
        <w:snapToGrid w:val="0"/>
        <w:spacing w:line="440" w:lineRule="exact"/>
        <w:ind w:firstLineChars="0"/>
        <w:rPr>
          <w:rFonts w:ascii="宋体" w:hAnsi="宋体"/>
          <w:b/>
          <w:color w:val="auto"/>
          <w:szCs w:val="21"/>
        </w:rPr>
      </w:pPr>
      <w:r>
        <w:rPr>
          <w:rFonts w:hint="eastAsia" w:ascii="宋体" w:hAnsi="宋体"/>
          <w:b/>
          <w:color w:val="auto"/>
          <w:szCs w:val="21"/>
        </w:rPr>
        <w:t>招标文件获取</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4.1获取时间：</w:t>
      </w:r>
      <w:r>
        <w:rPr>
          <w:rFonts w:hint="eastAsia" w:ascii="宋体" w:hAnsi="宋体"/>
          <w:color w:val="auto"/>
          <w:szCs w:val="21"/>
        </w:rPr>
        <w:t>凡有意参加投标人，从</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12</w:t>
      </w:r>
      <w:r>
        <w:rPr>
          <w:rFonts w:ascii="宋体" w:hAnsi="宋体"/>
          <w:color w:val="auto"/>
          <w:szCs w:val="21"/>
        </w:rPr>
        <w:t>日8时30分到202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19</w:t>
      </w:r>
      <w:r>
        <w:rPr>
          <w:rFonts w:ascii="宋体" w:hAnsi="宋体"/>
          <w:color w:val="auto"/>
          <w:szCs w:val="21"/>
        </w:rPr>
        <w:t>日17时30分</w:t>
      </w:r>
      <w:r>
        <w:rPr>
          <w:rFonts w:hint="eastAsia" w:ascii="宋体" w:hAnsi="宋体"/>
          <w:color w:val="auto"/>
          <w:szCs w:val="21"/>
        </w:rPr>
        <w:t>，通过“广东省文化公共资源服务平台</w:t>
      </w:r>
      <w:r>
        <w:rPr>
          <w:rFonts w:ascii="宋体" w:hAnsi="宋体"/>
          <w:color w:val="auto"/>
          <w:szCs w:val="21"/>
        </w:rPr>
        <w:t>-电子采购交易平台”（网址：https://whggzy.cnscee.com/）获取招</w:t>
      </w:r>
      <w:bookmarkStart w:id="824" w:name="_GoBack"/>
      <w:bookmarkEnd w:id="824"/>
      <w:r>
        <w:rPr>
          <w:rFonts w:ascii="宋体" w:hAnsi="宋体"/>
          <w:color w:val="auto"/>
          <w:szCs w:val="21"/>
        </w:rPr>
        <w:t>标文件。</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4.2</w:t>
      </w:r>
      <w:r>
        <w:rPr>
          <w:rFonts w:hint="eastAsia" w:ascii="宋体" w:hAnsi="宋体"/>
          <w:color w:val="auto"/>
          <w:szCs w:val="21"/>
        </w:rPr>
        <w:t>注册：输入网址，点击【新用户注册】。登陆账号后点击【常用文件】，下载《供应商</w:t>
      </w:r>
      <w:r>
        <w:rPr>
          <w:rFonts w:ascii="宋体" w:hAnsi="宋体"/>
          <w:color w:val="auto"/>
          <w:szCs w:val="21"/>
        </w:rPr>
        <w:t>&amp;供应商操作手册》。</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4.3</w:t>
      </w:r>
      <w:r>
        <w:rPr>
          <w:rFonts w:hint="eastAsia" w:ascii="宋体" w:hAnsi="宋体"/>
          <w:color w:val="auto"/>
          <w:szCs w:val="21"/>
        </w:rPr>
        <w:t>招标文件费支付与下载：</w:t>
      </w:r>
      <w:r>
        <w:rPr>
          <w:rFonts w:ascii="宋体" w:hAnsi="宋体"/>
          <w:color w:val="auto"/>
          <w:szCs w:val="21"/>
        </w:rPr>
        <w:t xml:space="preserve"> </w:t>
      </w:r>
      <w:r>
        <w:rPr>
          <w:rFonts w:hint="eastAsia" w:ascii="宋体" w:hAnsi="宋体"/>
          <w:color w:val="auto"/>
          <w:szCs w:val="21"/>
        </w:rPr>
        <w:t>注册成功后登录平台，点击【商机发现】，检索本项目；</w:t>
      </w:r>
    </w:p>
    <w:p>
      <w:pPr>
        <w:pStyle w:val="78"/>
        <w:adjustRightInd w:val="0"/>
        <w:snapToGrid w:val="0"/>
        <w:spacing w:line="440" w:lineRule="exact"/>
        <w:ind w:left="424" w:leftChars="202" w:firstLine="0" w:firstLineChars="0"/>
        <w:rPr>
          <w:rFonts w:ascii="宋体" w:hAnsi="宋体"/>
          <w:color w:val="auto"/>
          <w:szCs w:val="21"/>
        </w:rPr>
      </w:pPr>
      <w:r>
        <w:rPr>
          <w:rFonts w:ascii="宋体" w:hAnsi="宋体"/>
          <w:color w:val="auto"/>
          <w:szCs w:val="21"/>
        </w:rPr>
        <w:t>4.4</w:t>
      </w:r>
      <w:r>
        <w:rPr>
          <w:rFonts w:hint="eastAsia" w:ascii="宋体" w:hAnsi="宋体"/>
          <w:color w:val="auto"/>
          <w:szCs w:val="21"/>
        </w:rPr>
        <w:t>招标文件费：</w:t>
      </w:r>
      <w:r>
        <w:rPr>
          <w:rFonts w:hint="eastAsia" w:ascii="宋体" w:hAnsi="宋体"/>
          <w:color w:val="auto"/>
          <w:szCs w:val="21"/>
          <w:lang w:val="en-US" w:eastAsia="zh-CN"/>
        </w:rPr>
        <w:t>15</w:t>
      </w:r>
      <w:r>
        <w:rPr>
          <w:rFonts w:ascii="宋体" w:hAnsi="宋体"/>
          <w:color w:val="auto"/>
          <w:szCs w:val="21"/>
        </w:rPr>
        <w:t>0元人民币</w:t>
      </w:r>
      <w:r>
        <w:rPr>
          <w:rFonts w:hint="eastAsia" w:ascii="宋体" w:hAnsi="宋体"/>
          <w:color w:val="auto"/>
          <w:szCs w:val="21"/>
          <w:lang w:val="en-US" w:eastAsia="zh-CN"/>
        </w:rPr>
        <w:t>/标段</w:t>
      </w:r>
      <w:r>
        <w:rPr>
          <w:rFonts w:ascii="宋体" w:hAnsi="宋体"/>
          <w:color w:val="auto"/>
          <w:szCs w:val="21"/>
        </w:rPr>
        <w:t>，支付不退。</w:t>
      </w:r>
    </w:p>
    <w:p>
      <w:pPr>
        <w:pStyle w:val="78"/>
        <w:adjustRightInd w:val="0"/>
        <w:snapToGrid w:val="0"/>
        <w:spacing w:line="440" w:lineRule="exact"/>
        <w:rPr>
          <w:rFonts w:ascii="宋体" w:hAnsi="宋体"/>
          <w:color w:val="auto"/>
          <w:szCs w:val="21"/>
        </w:rPr>
      </w:pPr>
      <w:r>
        <w:rPr>
          <w:rFonts w:hint="eastAsia" w:ascii="宋体" w:hAnsi="宋体"/>
          <w:color w:val="auto"/>
          <w:szCs w:val="21"/>
        </w:rPr>
        <w:t>支付方式：银行转账，转账完成后将汇款凭证及时上传平台，通过审核后可下载招标文件。转账账号信息如下：</w:t>
      </w:r>
    </w:p>
    <w:p>
      <w:pPr>
        <w:pStyle w:val="78"/>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公司名称：广东省南方文化产权交易所股份有限公司</w:t>
      </w:r>
    </w:p>
    <w:p>
      <w:pPr>
        <w:pStyle w:val="78"/>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银行名称：民生银行广州环市支行</w:t>
      </w:r>
    </w:p>
    <w:p>
      <w:pPr>
        <w:pStyle w:val="78"/>
        <w:adjustRightInd w:val="0"/>
        <w:snapToGrid w:val="0"/>
        <w:spacing w:line="440" w:lineRule="exact"/>
        <w:ind w:left="424" w:firstLine="0" w:firstLineChars="0"/>
        <w:rPr>
          <w:rFonts w:ascii="宋体" w:hAnsi="宋体"/>
          <w:color w:val="auto"/>
          <w:szCs w:val="21"/>
        </w:rPr>
      </w:pPr>
      <w:r>
        <w:rPr>
          <w:rFonts w:hint="eastAsia" w:ascii="宋体" w:hAnsi="宋体"/>
          <w:color w:val="auto"/>
          <w:szCs w:val="21"/>
        </w:rPr>
        <w:t>银行账号：</w:t>
      </w:r>
      <w:r>
        <w:rPr>
          <w:rFonts w:ascii="宋体" w:hAnsi="宋体"/>
          <w:color w:val="auto"/>
          <w:szCs w:val="21"/>
        </w:rPr>
        <w:t>683001288</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4.5疑问反馈：具体操作若有疑问，可致电客服热线：020-89524219。服务时间8:30-17:30（工作日）。</w:t>
      </w:r>
    </w:p>
    <w:p>
      <w:pPr>
        <w:pStyle w:val="78"/>
        <w:tabs>
          <w:tab w:val="left" w:pos="1440"/>
        </w:tabs>
        <w:adjustRightInd w:val="0"/>
        <w:snapToGrid w:val="0"/>
        <w:spacing w:line="440" w:lineRule="exact"/>
        <w:rPr>
          <w:rFonts w:ascii="宋体" w:hAnsi="宋体"/>
          <w:color w:val="auto"/>
          <w:szCs w:val="21"/>
        </w:rPr>
      </w:pPr>
      <w:r>
        <w:rPr>
          <w:rFonts w:ascii="宋体" w:hAnsi="宋体"/>
          <w:color w:val="auto"/>
          <w:szCs w:val="21"/>
        </w:rPr>
        <w:t>4.6免责声明：“广东省文化公共资源服务平台-电子采购交易平台”（网址：</w:t>
      </w:r>
      <w:r>
        <w:rPr>
          <w:color w:val="auto"/>
        </w:rPr>
        <w:fldChar w:fldCharType="begin"/>
      </w:r>
      <w:r>
        <w:rPr>
          <w:color w:val="auto"/>
        </w:rPr>
        <w:instrText xml:space="preserve"> HYPERLINK "https://whggzy.cnscee.com/））为本项目获取文件的唯一渠道，其他平台的获取及支付均属无效。" </w:instrText>
      </w:r>
      <w:r>
        <w:rPr>
          <w:color w:val="auto"/>
        </w:rPr>
        <w:fldChar w:fldCharType="separate"/>
      </w:r>
      <w:r>
        <w:rPr>
          <w:rFonts w:ascii="宋体" w:hAnsi="宋体"/>
          <w:color w:val="auto"/>
          <w:szCs w:val="21"/>
        </w:rPr>
        <w:t>https://whggzy.cnscee.com/））为本项目获取文件的唯一渠道，其他平台的获取及支付均属无效。</w:t>
      </w:r>
      <w:r>
        <w:rPr>
          <w:rFonts w:ascii="宋体" w:hAnsi="宋体"/>
          <w:color w:val="auto"/>
          <w:szCs w:val="21"/>
        </w:rPr>
        <w:fldChar w:fldCharType="end"/>
      </w:r>
    </w:p>
    <w:p>
      <w:pPr>
        <w:pStyle w:val="78"/>
        <w:adjustRightInd w:val="0"/>
        <w:snapToGrid w:val="0"/>
        <w:spacing w:line="440" w:lineRule="exact"/>
        <w:ind w:left="424" w:leftChars="202" w:firstLine="0" w:firstLineChars="0"/>
        <w:rPr>
          <w:rFonts w:ascii="宋体" w:hAnsi="宋体"/>
          <w:color w:val="auto"/>
          <w:szCs w:val="21"/>
        </w:rPr>
      </w:pPr>
      <w:r>
        <w:rPr>
          <w:rFonts w:ascii="宋体" w:hAnsi="宋体"/>
          <w:color w:val="auto"/>
          <w:szCs w:val="21"/>
        </w:rPr>
        <w:t>4.7审核联系人：陈女士，电话：18102224947</w:t>
      </w:r>
    </w:p>
    <w:p>
      <w:pPr>
        <w:numPr>
          <w:ilvl w:val="0"/>
          <w:numId w:val="2"/>
        </w:numPr>
        <w:spacing w:line="440" w:lineRule="exact"/>
        <w:ind w:left="0" w:firstLine="424" w:firstLineChars="201"/>
        <w:rPr>
          <w:rFonts w:ascii="宋体" w:hAnsi="宋体"/>
          <w:b/>
          <w:color w:val="auto"/>
          <w:szCs w:val="21"/>
        </w:rPr>
      </w:pPr>
      <w:r>
        <w:rPr>
          <w:rFonts w:hint="eastAsia" w:ascii="宋体" w:hAnsi="宋体"/>
          <w:b/>
          <w:color w:val="auto"/>
          <w:szCs w:val="21"/>
        </w:rPr>
        <w:t>投标文件的递交</w:t>
      </w:r>
    </w:p>
    <w:p>
      <w:pPr>
        <w:pStyle w:val="78"/>
        <w:numPr>
          <w:ilvl w:val="1"/>
          <w:numId w:val="2"/>
        </w:numPr>
        <w:adjustRightInd w:val="0"/>
        <w:snapToGrid w:val="0"/>
        <w:spacing w:line="440" w:lineRule="exact"/>
        <w:ind w:left="0" w:firstLine="424" w:firstLineChars="202"/>
        <w:rPr>
          <w:rFonts w:ascii="宋体" w:hAnsi="宋体"/>
          <w:color w:val="auto"/>
          <w:szCs w:val="21"/>
        </w:rPr>
      </w:pPr>
      <w:r>
        <w:rPr>
          <w:rFonts w:hint="eastAsia" w:ascii="宋体" w:hAnsi="宋体"/>
          <w:color w:val="auto"/>
          <w:szCs w:val="21"/>
        </w:rPr>
        <w:t>投标文件</w:t>
      </w:r>
      <w:r>
        <w:rPr>
          <w:rFonts w:hint="eastAsia" w:ascii="宋体" w:hAnsi="宋体"/>
          <w:color w:val="auto"/>
        </w:rPr>
        <w:t>递交截止时间</w:t>
      </w:r>
      <w:r>
        <w:rPr>
          <w:rFonts w:hint="eastAsia" w:ascii="宋体" w:hAnsi="宋体"/>
          <w:color w:val="auto"/>
          <w:szCs w:val="21"/>
        </w:rPr>
        <w:t>（即投标截止时间）：</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5</w:t>
      </w:r>
      <w:r>
        <w:rPr>
          <w:rFonts w:ascii="宋体" w:hAnsi="宋体"/>
          <w:color w:val="auto"/>
          <w:szCs w:val="21"/>
        </w:rPr>
        <w:t>月</w:t>
      </w:r>
      <w:r>
        <w:rPr>
          <w:rFonts w:hint="eastAsia" w:ascii="宋体" w:hAnsi="宋体"/>
          <w:color w:val="auto"/>
          <w:szCs w:val="21"/>
          <w:lang w:val="en-US" w:eastAsia="zh-CN"/>
        </w:rPr>
        <w:t>5</w:t>
      </w:r>
      <w:r>
        <w:rPr>
          <w:rFonts w:ascii="宋体" w:hAnsi="宋体"/>
          <w:color w:val="auto"/>
          <w:szCs w:val="21"/>
        </w:rPr>
        <w:t>日</w:t>
      </w:r>
      <w:r>
        <w:rPr>
          <w:rFonts w:hint="eastAsia" w:ascii="宋体" w:hAnsi="宋体"/>
          <w:color w:val="auto"/>
          <w:szCs w:val="21"/>
          <w:lang w:val="en-US" w:eastAsia="zh-CN"/>
        </w:rPr>
        <w:t>09</w:t>
      </w:r>
      <w:r>
        <w:rPr>
          <w:rFonts w:hint="eastAsia" w:ascii="宋体" w:hAnsi="宋体"/>
          <w:color w:val="auto"/>
          <w:szCs w:val="21"/>
        </w:rPr>
        <w:t>时</w:t>
      </w:r>
      <w:r>
        <w:rPr>
          <w:rFonts w:ascii="宋体" w:hAnsi="宋体"/>
          <w:color w:val="auto"/>
          <w:szCs w:val="21"/>
        </w:rPr>
        <w:t>30分</w:t>
      </w:r>
    </w:p>
    <w:p>
      <w:pPr>
        <w:pStyle w:val="78"/>
        <w:numPr>
          <w:ilvl w:val="1"/>
          <w:numId w:val="2"/>
        </w:numPr>
        <w:adjustRightInd w:val="0"/>
        <w:snapToGrid w:val="0"/>
        <w:spacing w:line="440" w:lineRule="exact"/>
        <w:ind w:left="0" w:firstLine="424" w:firstLineChars="202"/>
        <w:rPr>
          <w:color w:val="auto"/>
          <w:szCs w:val="21"/>
        </w:rPr>
      </w:pPr>
      <w:r>
        <w:rPr>
          <w:rFonts w:hint="eastAsia" w:ascii="宋体" w:hAnsi="宋体"/>
          <w:color w:val="auto"/>
          <w:szCs w:val="21"/>
        </w:rPr>
        <w:t>地点：广州市越秀区广州大道中</w:t>
      </w:r>
      <w:r>
        <w:rPr>
          <w:rFonts w:ascii="宋体" w:hAnsi="宋体"/>
          <w:color w:val="auto"/>
          <w:szCs w:val="21"/>
        </w:rPr>
        <w:t>289号南方报业传媒集团艺术园区生活综合楼三楼</w:t>
      </w:r>
      <w:r>
        <w:rPr>
          <w:color w:val="auto"/>
          <w:szCs w:val="21"/>
        </w:rPr>
        <w:t xml:space="preserve"> </w:t>
      </w:r>
    </w:p>
    <w:p>
      <w:pPr>
        <w:pStyle w:val="78"/>
        <w:adjustRightInd w:val="0"/>
        <w:snapToGrid w:val="0"/>
        <w:spacing w:line="440" w:lineRule="exact"/>
        <w:ind w:firstLine="426" w:firstLineChars="0"/>
        <w:jc w:val="left"/>
        <w:rPr>
          <w:color w:val="auto"/>
          <w:szCs w:val="21"/>
        </w:rPr>
      </w:pPr>
      <w:r>
        <w:rPr>
          <w:color w:val="auto"/>
          <w:szCs w:val="21"/>
        </w:rPr>
        <w:t>5.3</w:t>
      </w:r>
      <w:r>
        <w:rPr>
          <w:rFonts w:hint="eastAsia"/>
          <w:color w:val="auto"/>
          <w:szCs w:val="21"/>
        </w:rPr>
        <w:t>递交方式：</w:t>
      </w:r>
      <w:r>
        <w:rPr>
          <w:rFonts w:hint="eastAsia"/>
          <w:b/>
          <w:color w:val="auto"/>
          <w:szCs w:val="21"/>
        </w:rPr>
        <w:t>线下投标文件</w:t>
      </w:r>
    </w:p>
    <w:p>
      <w:pPr>
        <w:pStyle w:val="78"/>
        <w:adjustRightInd w:val="0"/>
        <w:snapToGrid w:val="0"/>
        <w:spacing w:line="440" w:lineRule="exact"/>
        <w:ind w:firstLine="426" w:firstLineChars="0"/>
        <w:jc w:val="left"/>
        <w:rPr>
          <w:color w:val="auto"/>
          <w:szCs w:val="21"/>
        </w:rPr>
      </w:pPr>
      <w:r>
        <w:rPr>
          <w:color w:val="auto"/>
          <w:szCs w:val="21"/>
        </w:rPr>
        <w:t>5.4</w:t>
      </w:r>
      <w:r>
        <w:rPr>
          <w:rFonts w:hint="eastAsia"/>
          <w:color w:val="auto"/>
          <w:szCs w:val="21"/>
        </w:rPr>
        <w:t>本项目将于上述同一时间、地点进行开标，逾期送达的或者未送达指定地点的投标文件，招标人不予受理。</w:t>
      </w:r>
    </w:p>
    <w:p>
      <w:pPr>
        <w:numPr>
          <w:ilvl w:val="0"/>
          <w:numId w:val="2"/>
        </w:numPr>
        <w:spacing w:line="440" w:lineRule="exact"/>
        <w:ind w:left="0" w:firstLine="424" w:firstLineChars="201"/>
        <w:rPr>
          <w:rFonts w:ascii="宋体" w:hAnsi="宋体"/>
          <w:b/>
          <w:color w:val="auto"/>
          <w:szCs w:val="21"/>
        </w:rPr>
      </w:pPr>
      <w:r>
        <w:rPr>
          <w:rFonts w:hint="eastAsia" w:ascii="宋体" w:hAnsi="宋体"/>
          <w:b/>
          <w:color w:val="auto"/>
          <w:szCs w:val="21"/>
        </w:rPr>
        <w:t>发布公告的媒介</w:t>
      </w:r>
    </w:p>
    <w:p>
      <w:pPr>
        <w:pStyle w:val="78"/>
        <w:adjustRightInd w:val="0"/>
        <w:snapToGrid w:val="0"/>
        <w:spacing w:line="440" w:lineRule="exact"/>
        <w:jc w:val="left"/>
        <w:rPr>
          <w:rFonts w:ascii="宋体" w:hAnsi="宋体"/>
          <w:color w:val="auto"/>
          <w:szCs w:val="21"/>
        </w:rPr>
      </w:pPr>
      <w:r>
        <w:rPr>
          <w:rFonts w:hint="eastAsia"/>
          <w:color w:val="auto"/>
        </w:rPr>
        <w:t>本次招标公告同时在南方日报、招标人网站（</w:t>
      </w:r>
      <w:r>
        <w:rPr>
          <w:color w:val="auto"/>
        </w:rPr>
        <w:t>http://www.southcn.com/zbtb/zbgg/node_374095.htm</w:t>
      </w:r>
      <w:r>
        <w:rPr>
          <w:rFonts w:hint="eastAsia"/>
          <w:color w:val="auto"/>
        </w:rPr>
        <w:t>）、南方文交所官网（</w:t>
      </w:r>
      <w:r>
        <w:rPr>
          <w:color w:val="auto"/>
        </w:rPr>
        <w:t>http://www.cnscee.com/</w:t>
      </w:r>
      <w:r>
        <w:rPr>
          <w:rFonts w:hint="eastAsia"/>
          <w:color w:val="auto"/>
        </w:rPr>
        <w:t>）、广东省文化公共资源服务平台（</w:t>
      </w:r>
      <w:r>
        <w:rPr>
          <w:color w:val="auto"/>
        </w:rPr>
        <w:t>https://zb.cnscee.com/</w:t>
      </w:r>
      <w:r>
        <w:rPr>
          <w:rFonts w:hint="eastAsia"/>
          <w:color w:val="auto"/>
        </w:rPr>
        <w:t>）、中国招投标公共服务平台（</w:t>
      </w:r>
      <w:r>
        <w:rPr>
          <w:color w:val="auto"/>
        </w:rPr>
        <w:t>http://www.cebpubservice.com/</w:t>
      </w:r>
      <w:r>
        <w:rPr>
          <w:rFonts w:hint="eastAsia"/>
          <w:color w:val="auto"/>
        </w:rPr>
        <w:t>）发布，其他媒体转载无效。</w:t>
      </w:r>
    </w:p>
    <w:p>
      <w:pPr>
        <w:numPr>
          <w:ilvl w:val="0"/>
          <w:numId w:val="2"/>
        </w:numPr>
        <w:spacing w:line="440" w:lineRule="exact"/>
        <w:ind w:left="0" w:firstLine="424" w:firstLineChars="201"/>
        <w:rPr>
          <w:rFonts w:ascii="宋体" w:hAnsi="宋体"/>
          <w:b/>
          <w:color w:val="auto"/>
          <w:szCs w:val="21"/>
        </w:rPr>
      </w:pPr>
      <w:r>
        <w:rPr>
          <w:rFonts w:hint="eastAsia" w:ascii="宋体" w:hAnsi="宋体"/>
          <w:b/>
          <w:color w:val="auto"/>
          <w:szCs w:val="21"/>
        </w:rPr>
        <w:t>联系方式</w:t>
      </w:r>
    </w:p>
    <w:p>
      <w:pPr>
        <w:tabs>
          <w:tab w:val="left" w:pos="360"/>
        </w:tabs>
        <w:spacing w:line="440" w:lineRule="exact"/>
        <w:ind w:firstLine="420" w:firstLineChars="200"/>
        <w:rPr>
          <w:rFonts w:ascii="宋体" w:hAnsi="宋体"/>
          <w:color w:val="auto"/>
          <w:szCs w:val="21"/>
        </w:rPr>
      </w:pPr>
      <w:r>
        <w:rPr>
          <w:rFonts w:ascii="宋体" w:hAnsi="宋体"/>
          <w:color w:val="auto"/>
          <w:szCs w:val="21"/>
        </w:rPr>
        <w:t>7.1</w:t>
      </w:r>
      <w:r>
        <w:rPr>
          <w:rFonts w:hint="eastAsia" w:ascii="宋体" w:hAnsi="宋体"/>
          <w:color w:val="auto"/>
          <w:szCs w:val="21"/>
        </w:rPr>
        <w:t>招标代理机构</w:t>
      </w:r>
      <w:r>
        <w:rPr>
          <w:rFonts w:ascii="宋体" w:hAnsi="宋体"/>
          <w:color w:val="auto"/>
          <w:szCs w:val="21"/>
        </w:rPr>
        <w:t xml:space="preserve"> </w:t>
      </w:r>
      <w:r>
        <w:rPr>
          <w:rFonts w:hint="eastAsia" w:ascii="宋体" w:hAnsi="宋体"/>
          <w:color w:val="auto"/>
          <w:szCs w:val="21"/>
        </w:rPr>
        <w:t>：广东省南方文化产权交易所股份有限公司</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地址：广州越秀区广州大道中</w:t>
      </w:r>
      <w:r>
        <w:rPr>
          <w:rFonts w:ascii="宋体" w:hAnsi="宋体"/>
          <w:color w:val="auto"/>
          <w:szCs w:val="21"/>
        </w:rPr>
        <w:t>289号南方报业传媒集团艺术园区生活综合楼三楼</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邮编：</w:t>
      </w:r>
      <w:r>
        <w:rPr>
          <w:rFonts w:ascii="宋体" w:hAnsi="宋体"/>
          <w:color w:val="auto"/>
          <w:szCs w:val="21"/>
        </w:rPr>
        <w:t>510601</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联系人：张先生、陈女士</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电话：</w:t>
      </w:r>
      <w:r>
        <w:rPr>
          <w:rFonts w:ascii="宋体" w:hAnsi="宋体"/>
          <w:color w:val="auto"/>
          <w:szCs w:val="21"/>
        </w:rPr>
        <w:t>13500226498、18102224947（审核电话）</w:t>
      </w:r>
    </w:p>
    <w:p>
      <w:pPr>
        <w:tabs>
          <w:tab w:val="left" w:pos="360"/>
        </w:tabs>
        <w:spacing w:line="440" w:lineRule="exact"/>
        <w:ind w:firstLine="420" w:firstLineChars="200"/>
        <w:rPr>
          <w:rFonts w:ascii="宋体" w:hAnsi="宋体"/>
          <w:color w:val="auto"/>
          <w:szCs w:val="21"/>
        </w:rPr>
      </w:pPr>
      <w:r>
        <w:rPr>
          <w:rFonts w:ascii="宋体" w:hAnsi="宋体"/>
          <w:color w:val="auto"/>
          <w:szCs w:val="21"/>
        </w:rPr>
        <w:t>电子邮箱：13500226498@139.com</w:t>
      </w:r>
    </w:p>
    <w:p>
      <w:pPr>
        <w:spacing w:line="420" w:lineRule="exact"/>
        <w:ind w:firstLine="411" w:firstLineChars="196"/>
        <w:rPr>
          <w:rFonts w:hint="eastAsia" w:ascii="宋体" w:hAnsi="宋体" w:eastAsia="宋体"/>
          <w:color w:val="auto"/>
          <w:szCs w:val="21"/>
          <w:lang w:eastAsia="zh-CN"/>
        </w:rPr>
      </w:pPr>
      <w:r>
        <w:rPr>
          <w:rFonts w:ascii="宋体" w:hAnsi="宋体"/>
          <w:color w:val="auto"/>
          <w:szCs w:val="21"/>
        </w:rPr>
        <w:t>7.2</w:t>
      </w:r>
      <w:r>
        <w:rPr>
          <w:rFonts w:hint="eastAsia" w:ascii="宋体" w:hAnsi="宋体"/>
          <w:color w:val="auto"/>
          <w:szCs w:val="21"/>
        </w:rPr>
        <w:t>招标人：</w:t>
      </w:r>
      <w:r>
        <w:rPr>
          <w:rFonts w:hint="eastAsia" w:ascii="宋体" w:hAnsi="宋体"/>
          <w:color w:val="auto"/>
          <w:szCs w:val="21"/>
          <w:lang w:eastAsia="zh-CN"/>
        </w:rPr>
        <w:t>广东南方日报展示有限公司</w:t>
      </w:r>
    </w:p>
    <w:p>
      <w:pPr>
        <w:spacing w:line="420" w:lineRule="exact"/>
        <w:ind w:firstLine="420" w:firstLineChars="200"/>
        <w:rPr>
          <w:rFonts w:hint="eastAsia" w:ascii="宋体" w:hAnsi="宋体" w:eastAsia="宋体"/>
          <w:color w:val="auto"/>
          <w:szCs w:val="21"/>
          <w:lang w:val="en-US" w:eastAsia="zh-CN"/>
        </w:rPr>
      </w:pPr>
      <w:r>
        <w:rPr>
          <w:rFonts w:hint="eastAsia" w:ascii="宋体" w:hAnsi="宋体"/>
          <w:color w:val="auto"/>
          <w:szCs w:val="21"/>
        </w:rPr>
        <w:t>招标人地址：</w:t>
      </w:r>
      <w:r>
        <w:rPr>
          <w:rFonts w:hint="eastAsia" w:ascii="宋体" w:hAnsi="宋体"/>
          <w:color w:val="auto"/>
          <w:szCs w:val="21"/>
          <w:highlight w:val="none"/>
          <w:lang w:eastAsia="zh-CN"/>
        </w:rPr>
        <w:t>广州大道中 289 号南方报业传媒集团 1 号楼27 楼</w:t>
      </w:r>
    </w:p>
    <w:p>
      <w:pPr>
        <w:tabs>
          <w:tab w:val="left" w:pos="360"/>
        </w:tabs>
        <w:spacing w:line="440" w:lineRule="exact"/>
        <w:ind w:firstLine="420" w:firstLineChars="200"/>
        <w:rPr>
          <w:rFonts w:hint="default" w:ascii="宋体" w:hAnsi="宋体" w:eastAsia="宋体"/>
          <w:color w:val="auto"/>
          <w:szCs w:val="21"/>
          <w:lang w:val="en-US" w:eastAsia="zh-CN"/>
        </w:rPr>
      </w:pPr>
      <w:r>
        <w:rPr>
          <w:rFonts w:hint="eastAsia" w:ascii="宋体" w:hAnsi="宋体"/>
          <w:color w:val="auto"/>
          <w:szCs w:val="21"/>
        </w:rPr>
        <w:t>联系人：</w:t>
      </w:r>
      <w:r>
        <w:rPr>
          <w:rFonts w:hint="eastAsia" w:ascii="宋体" w:hAnsi="宋体"/>
          <w:color w:val="auto"/>
          <w:szCs w:val="21"/>
          <w:lang w:val="en-US" w:eastAsia="zh-CN"/>
        </w:rPr>
        <w:t>李女士</w:t>
      </w:r>
    </w:p>
    <w:p>
      <w:pPr>
        <w:tabs>
          <w:tab w:val="left" w:pos="360"/>
        </w:tabs>
        <w:spacing w:line="440" w:lineRule="exact"/>
        <w:ind w:firstLine="420" w:firstLineChars="200"/>
        <w:rPr>
          <w:rFonts w:ascii="宋体" w:hAnsi="宋体"/>
          <w:color w:val="auto"/>
          <w:szCs w:val="21"/>
        </w:rPr>
      </w:pPr>
      <w:r>
        <w:rPr>
          <w:rFonts w:hint="eastAsia" w:ascii="宋体" w:hAnsi="宋体"/>
          <w:color w:val="auto"/>
          <w:szCs w:val="21"/>
        </w:rPr>
        <w:t>联系电话：</w:t>
      </w:r>
      <w:r>
        <w:rPr>
          <w:rFonts w:hint="eastAsia" w:ascii="宋体" w:hAnsi="宋体" w:cs="宋体"/>
          <w:color w:val="auto"/>
          <w:sz w:val="21"/>
          <w:szCs w:val="22"/>
          <w:lang w:val="en-US" w:eastAsia="zh-CN" w:bidi="ar-SA"/>
        </w:rPr>
        <w:t>13432029035/020-87397888</w:t>
      </w:r>
    </w:p>
    <w:p>
      <w:pPr>
        <w:tabs>
          <w:tab w:val="left" w:pos="360"/>
        </w:tabs>
        <w:spacing w:line="440" w:lineRule="exact"/>
        <w:ind w:firstLine="420" w:firstLineChars="200"/>
        <w:rPr>
          <w:rFonts w:ascii="宋体" w:hAnsi="宋体"/>
          <w:color w:val="auto"/>
          <w:szCs w:val="21"/>
        </w:rPr>
      </w:pPr>
    </w:p>
    <w:p>
      <w:pPr>
        <w:pStyle w:val="78"/>
        <w:spacing w:line="400" w:lineRule="exact"/>
        <w:ind w:left="425" w:right="84" w:firstLine="2692" w:firstLineChars="1282"/>
        <w:jc w:val="right"/>
        <w:rPr>
          <w:rFonts w:hint="eastAsia" w:ascii="宋体" w:hAnsi="宋体" w:eastAsia="宋体"/>
          <w:color w:val="auto"/>
          <w:lang w:eastAsia="zh-CN"/>
        </w:rPr>
      </w:pPr>
      <w:r>
        <w:rPr>
          <w:rFonts w:hint="eastAsia" w:ascii="宋体" w:hAnsi="宋体"/>
          <w:color w:val="auto"/>
        </w:rPr>
        <w:t>招标人：</w:t>
      </w:r>
      <w:r>
        <w:rPr>
          <w:rFonts w:hint="eastAsia" w:ascii="宋体" w:hAnsi="宋体"/>
          <w:color w:val="auto"/>
          <w:szCs w:val="21"/>
          <w:u w:val="single"/>
          <w:lang w:eastAsia="zh-CN"/>
        </w:rPr>
        <w:t>广东南方日报展示有限公司</w:t>
      </w:r>
    </w:p>
    <w:p>
      <w:pPr>
        <w:pStyle w:val="78"/>
        <w:spacing w:line="360" w:lineRule="auto"/>
        <w:ind w:left="425" w:right="84" w:firstLine="0" w:firstLineChars="0"/>
        <w:jc w:val="right"/>
        <w:rPr>
          <w:rFonts w:ascii="宋体" w:hAnsi="宋体"/>
          <w:color w:val="auto"/>
          <w:szCs w:val="21"/>
        </w:rPr>
      </w:pPr>
      <w:r>
        <w:rPr>
          <w:rFonts w:hint="eastAsia" w:ascii="宋体" w:hAnsi="宋体"/>
          <w:color w:val="auto"/>
          <w:szCs w:val="21"/>
        </w:rPr>
        <w:t>招标代理机构：</w:t>
      </w:r>
      <w:r>
        <w:rPr>
          <w:rFonts w:hint="eastAsia" w:ascii="宋体" w:hAnsi="宋体"/>
          <w:color w:val="auto"/>
          <w:szCs w:val="21"/>
          <w:u w:val="single"/>
        </w:rPr>
        <w:t>广东省南方文化产权交易所股份有限公司</w:t>
      </w:r>
    </w:p>
    <w:p>
      <w:pPr>
        <w:pStyle w:val="78"/>
        <w:spacing w:line="400" w:lineRule="exact"/>
        <w:ind w:firstLine="3920" w:firstLineChars="1867"/>
        <w:jc w:val="right"/>
        <w:rPr>
          <w:rFonts w:ascii="宋体" w:hAnsi="宋体"/>
          <w:color w:val="auto"/>
          <w:szCs w:val="21"/>
        </w:rPr>
      </w:pP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w:t>
      </w:r>
      <w:r>
        <w:rPr>
          <w:rFonts w:hint="eastAsia" w:ascii="宋体" w:hAnsi="宋体"/>
          <w:color w:val="auto"/>
          <w:szCs w:val="21"/>
          <w:lang w:val="en-US" w:eastAsia="zh-CN"/>
        </w:rPr>
        <w:t>4</w:t>
      </w:r>
      <w:r>
        <w:rPr>
          <w:rFonts w:ascii="宋体" w:hAnsi="宋体"/>
          <w:color w:val="auto"/>
          <w:szCs w:val="21"/>
        </w:rPr>
        <w:t>月</w:t>
      </w:r>
      <w:r>
        <w:rPr>
          <w:rFonts w:hint="eastAsia" w:ascii="宋体" w:hAnsi="宋体"/>
          <w:color w:val="auto"/>
          <w:szCs w:val="21"/>
          <w:lang w:val="en-US" w:eastAsia="zh-CN"/>
        </w:rPr>
        <w:t>12</w:t>
      </w:r>
      <w:r>
        <w:rPr>
          <w:rFonts w:ascii="宋体" w:hAnsi="宋体"/>
          <w:color w:val="auto"/>
          <w:szCs w:val="21"/>
        </w:rPr>
        <w:t>日</w:t>
      </w:r>
    </w:p>
    <w:p>
      <w:pPr>
        <w:pStyle w:val="78"/>
        <w:spacing w:line="400" w:lineRule="exact"/>
        <w:ind w:left="425" w:firstLine="5040" w:firstLineChars="2400"/>
        <w:rPr>
          <w:rFonts w:ascii="宋体" w:hAnsi="宋体"/>
          <w:color w:val="auto"/>
          <w:szCs w:val="21"/>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bookmarkStart w:id="16" w:name="_Toc447265214"/>
      <w:bookmarkStart w:id="17" w:name="_Toc447265500"/>
      <w:bookmarkStart w:id="18" w:name="_Toc447188665"/>
    </w:p>
    <w:p>
      <w:pPr>
        <w:pStyle w:val="77"/>
        <w:spacing w:before="240" w:after="120"/>
        <w:rPr>
          <w:rFonts w:ascii="宋体" w:hAnsi="宋体" w:eastAsia="宋体" w:cs="宋体"/>
          <w:b/>
          <w:color w:val="auto"/>
          <w:sz w:val="28"/>
          <w:szCs w:val="28"/>
        </w:rPr>
      </w:pPr>
      <w:bookmarkStart w:id="19" w:name="_Toc56432211"/>
      <w:bookmarkStart w:id="20" w:name="_Toc29571"/>
      <w:bookmarkStart w:id="21" w:name="_Toc3672"/>
      <w:bookmarkStart w:id="22" w:name="_Toc31813"/>
      <w:bookmarkStart w:id="23" w:name="_Toc869"/>
      <w:r>
        <w:rPr>
          <w:rFonts w:hint="eastAsia" w:ascii="宋体" w:hAnsi="宋体" w:eastAsia="宋体" w:cs="宋体"/>
          <w:b/>
          <w:bCs w:val="0"/>
          <w:color w:val="auto"/>
          <w:kern w:val="0"/>
          <w:sz w:val="28"/>
          <w:szCs w:val="28"/>
        </w:rPr>
        <w:t>第二章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投标人须知</w:t>
      </w:r>
      <w:bookmarkEnd w:id="16"/>
      <w:bookmarkEnd w:id="17"/>
      <w:bookmarkEnd w:id="18"/>
      <w:bookmarkEnd w:id="19"/>
      <w:bookmarkEnd w:id="20"/>
      <w:bookmarkEnd w:id="21"/>
      <w:bookmarkEnd w:id="22"/>
      <w:bookmarkEnd w:id="23"/>
    </w:p>
    <w:p>
      <w:pPr>
        <w:pStyle w:val="6"/>
        <w:snapToGrid w:val="0"/>
        <w:spacing w:before="240" w:after="120" w:line="240" w:lineRule="auto"/>
        <w:jc w:val="center"/>
        <w:rPr>
          <w:rFonts w:ascii="宋体" w:hAnsi="宋体" w:eastAsia="宋体" w:cs="宋体"/>
          <w:color w:val="auto"/>
          <w:sz w:val="24"/>
          <w:szCs w:val="24"/>
        </w:rPr>
      </w:pPr>
      <w:bookmarkStart w:id="24" w:name="_Toc447265501"/>
      <w:bookmarkStart w:id="25" w:name="_Toc28624"/>
      <w:bookmarkStart w:id="26" w:name="_Toc9546"/>
      <w:bookmarkStart w:id="27" w:name="_Toc56432212"/>
      <w:bookmarkStart w:id="28" w:name="_Toc447188666"/>
      <w:bookmarkStart w:id="29" w:name="_Toc13217"/>
      <w:bookmarkStart w:id="30" w:name="_Toc227057884"/>
      <w:bookmarkStart w:id="31" w:name="_Toc447265215"/>
      <w:bookmarkStart w:id="32" w:name="_Toc226969277"/>
      <w:bookmarkStart w:id="33" w:name="_Toc15274"/>
      <w:r>
        <w:rPr>
          <w:rFonts w:hint="eastAsia" w:ascii="宋体" w:hAnsi="宋体" w:eastAsia="宋体" w:cs="宋体"/>
          <w:bCs w:val="0"/>
          <w:color w:val="auto"/>
          <w:sz w:val="24"/>
          <w:szCs w:val="24"/>
        </w:rPr>
        <w:t>投标人须知前附表</w:t>
      </w:r>
      <w:bookmarkEnd w:id="24"/>
      <w:bookmarkEnd w:id="25"/>
      <w:bookmarkEnd w:id="26"/>
      <w:bookmarkEnd w:id="27"/>
      <w:bookmarkEnd w:id="28"/>
      <w:bookmarkEnd w:id="29"/>
      <w:bookmarkEnd w:id="30"/>
      <w:bookmarkEnd w:id="31"/>
      <w:bookmarkEnd w:id="32"/>
      <w:bookmarkEnd w:id="33"/>
    </w:p>
    <w:p>
      <w:pPr>
        <w:autoSpaceDE w:val="0"/>
        <w:autoSpaceDN w:val="0"/>
        <w:ind w:firstLine="420" w:firstLineChars="200"/>
        <w:rPr>
          <w:rFonts w:ascii="宋体" w:hAnsi="宋体" w:cs="宋体"/>
          <w:color w:val="auto"/>
        </w:rPr>
      </w:pPr>
      <w:r>
        <w:rPr>
          <w:rFonts w:hint="eastAsia" w:ascii="宋体" w:hAnsi="宋体" w:cs="宋体"/>
          <w:color w:val="auto"/>
          <w:szCs w:val="21"/>
        </w:rPr>
        <w:t>本投标人须知前附表是对投标人须知正文的具体补充和修改，如有矛盾，以本前附表为准。</w:t>
      </w:r>
    </w:p>
    <w:tbl>
      <w:tblPr>
        <w:tblStyle w:val="40"/>
        <w:tblW w:w="830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40"/>
        <w:gridCol w:w="1666"/>
        <w:gridCol w:w="5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 w:hRule="atLeast"/>
          <w:tblHeader/>
        </w:trPr>
        <w:tc>
          <w:tcPr>
            <w:tcW w:w="840"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条款号</w:t>
            </w:r>
          </w:p>
        </w:tc>
        <w:tc>
          <w:tcPr>
            <w:tcW w:w="1666"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条款名称</w:t>
            </w:r>
          </w:p>
        </w:tc>
        <w:tc>
          <w:tcPr>
            <w:tcW w:w="5795" w:type="dxa"/>
            <w:shd w:val="clear" w:color="auto" w:fill="auto"/>
            <w:vAlign w:val="center"/>
          </w:tcPr>
          <w:p>
            <w:pPr>
              <w:autoSpaceDE w:val="0"/>
              <w:autoSpaceDN w:val="0"/>
              <w:jc w:val="center"/>
              <w:rPr>
                <w:rFonts w:ascii="宋体" w:hAnsi="宋体" w:cs="宋体"/>
                <w:b/>
                <w:color w:val="auto"/>
                <w:szCs w:val="21"/>
              </w:rPr>
            </w:pPr>
            <w:r>
              <w:rPr>
                <w:rFonts w:hint="eastAsia" w:ascii="宋体" w:hAnsi="宋体" w:cs="宋体"/>
                <w:b/>
                <w:color w:val="auto"/>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招标人</w:t>
            </w:r>
          </w:p>
        </w:tc>
        <w:tc>
          <w:tcPr>
            <w:tcW w:w="5795" w:type="dxa"/>
            <w:shd w:val="clear" w:color="auto" w:fill="auto"/>
            <w:vAlign w:val="center"/>
          </w:tcPr>
          <w:p>
            <w:pPr>
              <w:autoSpaceDE w:val="0"/>
              <w:autoSpaceDN w:val="0"/>
              <w:rPr>
                <w:rFonts w:hint="eastAsia" w:ascii="宋体" w:hAnsi="宋体" w:eastAsia="宋体" w:cs="宋体"/>
                <w:color w:val="auto"/>
                <w:szCs w:val="21"/>
                <w:lang w:eastAsia="zh-CN"/>
              </w:rPr>
            </w:pPr>
            <w:r>
              <w:rPr>
                <w:rFonts w:hint="eastAsia" w:ascii="宋体" w:hAnsi="宋体" w:cs="宋体"/>
                <w:color w:val="auto"/>
                <w:szCs w:val="21"/>
              </w:rPr>
              <w:t>招标人名称：</w:t>
            </w:r>
            <w:r>
              <w:rPr>
                <w:rFonts w:hint="eastAsia" w:ascii="宋体" w:hAnsi="宋体"/>
                <w:color w:val="auto"/>
                <w:szCs w:val="21"/>
                <w:lang w:eastAsia="zh-CN"/>
              </w:rPr>
              <w:t>广东南方日报展示有限公司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招标项目名称</w:t>
            </w:r>
          </w:p>
        </w:tc>
        <w:tc>
          <w:tcPr>
            <w:tcW w:w="5795" w:type="dxa"/>
            <w:shd w:val="clear" w:color="auto" w:fill="auto"/>
            <w:vAlign w:val="center"/>
          </w:tcPr>
          <w:p>
            <w:pPr>
              <w:autoSpaceDE w:val="0"/>
              <w:autoSpaceDN w:val="0"/>
              <w:rPr>
                <w:rFonts w:hint="eastAsia" w:ascii="宋体" w:hAnsi="宋体" w:eastAsia="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主题展厅多媒体设备及互动展项定制安装服务项目</w:t>
            </w:r>
          </w:p>
          <w:p>
            <w:pPr>
              <w:autoSpaceDE w:val="0"/>
              <w:autoSpaceDN w:val="0"/>
              <w:rPr>
                <w:rFonts w:ascii="宋体" w:hAnsi="宋体" w:cs="宋体"/>
                <w:color w:val="auto"/>
                <w:szCs w:val="21"/>
              </w:rPr>
            </w:pPr>
            <w:r>
              <w:rPr>
                <w:rFonts w:hint="eastAsia" w:ascii="宋体" w:hAnsi="宋体" w:cs="宋体"/>
                <w:color w:val="auto"/>
                <w:szCs w:val="21"/>
              </w:rPr>
              <w:t>招标代理编号：</w:t>
            </w:r>
            <w:r>
              <w:rPr>
                <w:rFonts w:hint="eastAsia" w:ascii="宋体" w:hAnsi="宋体" w:cs="宋体"/>
                <w:color w:val="auto"/>
                <w:szCs w:val="21"/>
                <w:lang w:eastAsia="zh-CN"/>
              </w:rPr>
              <w:t>WJS-202304070019</w:t>
            </w:r>
            <w:r>
              <w:rPr>
                <w:rFonts w:ascii="宋体" w:hAnsi="宋体" w:cs="宋体"/>
                <w:color w:val="auto"/>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资金来源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■招标人自筹</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使用财政资金</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银行贷款</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国家融资</w:t>
            </w:r>
          </w:p>
          <w:p>
            <w:pPr>
              <w:autoSpaceDE w:val="0"/>
              <w:autoSpaceDN w:val="0"/>
              <w:rPr>
                <w:rFonts w:ascii="宋体" w:hAnsi="宋体" w:cs="宋体"/>
                <w:color w:val="auto"/>
                <w:szCs w:val="21"/>
                <w:u w:val="single"/>
              </w:rPr>
            </w:pPr>
            <w:r>
              <w:rPr>
                <w:rFonts w:hint="eastAsia" w:ascii="宋体" w:hAnsi="宋体" w:cs="宋体"/>
                <w:color w:val="auto"/>
                <w:szCs w:val="21"/>
              </w:rPr>
              <w:t>□其他：</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采购范围</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olor w:val="auto"/>
                <w:szCs w:val="21"/>
              </w:rPr>
              <w:t>详见第一章招标公告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采购包划分</w:t>
            </w:r>
          </w:p>
        </w:tc>
        <w:tc>
          <w:tcPr>
            <w:tcW w:w="5795"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■不划分采购包</w:t>
            </w:r>
          </w:p>
          <w:p>
            <w:pPr>
              <w:autoSpaceDE w:val="0"/>
              <w:autoSpaceDN w:val="0"/>
              <w:rPr>
                <w:rFonts w:ascii="宋体" w:hAnsi="宋体" w:cs="宋体"/>
                <w:color w:val="auto"/>
                <w:szCs w:val="21"/>
              </w:rPr>
            </w:pPr>
            <w:r>
              <w:rPr>
                <w:rFonts w:hint="eastAsia" w:ascii="宋体" w:hAnsi="宋体" w:cs="宋体"/>
                <w:color w:val="auto"/>
                <w:szCs w:val="21"/>
              </w:rPr>
              <w:t>□划分</w:t>
            </w:r>
            <w:r>
              <w:rPr>
                <w:rFonts w:hint="eastAsia" w:ascii="宋体" w:hAnsi="宋体"/>
                <w:color w:val="auto"/>
              </w:rPr>
              <w:t>采购包（采购包划分情况详见</w:t>
            </w:r>
            <w:r>
              <w:rPr>
                <w:rFonts w:hint="eastAsia" w:ascii="宋体" w:hAnsi="宋体"/>
                <w:color w:val="auto"/>
                <w:szCs w:val="21"/>
              </w:rPr>
              <w:t>第一章招标公告</w:t>
            </w:r>
            <w:r>
              <w:rPr>
                <w:rFonts w:hint="eastAsia" w:ascii="宋体" w:hAnsi="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■公开招标</w:t>
            </w:r>
          </w:p>
          <w:p>
            <w:pPr>
              <w:autoSpaceDE w:val="0"/>
              <w:autoSpaceDN w:val="0"/>
              <w:rPr>
                <w:rFonts w:ascii="宋体" w:hAnsi="宋体" w:cs="宋体"/>
                <w:color w:val="auto"/>
                <w:szCs w:val="21"/>
              </w:rPr>
            </w:pPr>
            <w:r>
              <w:rPr>
                <w:rFonts w:hint="eastAsia" w:ascii="宋体" w:hAnsi="宋体" w:cs="宋体"/>
                <w:color w:val="auto"/>
                <w:szCs w:val="21"/>
              </w:rPr>
              <w:t>□邀请招标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招标组织形式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□自行招标采购</w:t>
            </w:r>
          </w:p>
          <w:p>
            <w:pPr>
              <w:autoSpaceDE w:val="0"/>
              <w:autoSpaceDN w:val="0"/>
              <w:rPr>
                <w:rFonts w:ascii="宋体" w:hAnsi="宋体" w:cs="宋体"/>
                <w:color w:val="auto"/>
                <w:szCs w:val="21"/>
              </w:rPr>
            </w:pPr>
            <w:r>
              <w:rPr>
                <w:rFonts w:hint="eastAsia" w:ascii="宋体" w:hAnsi="宋体" w:cs="宋体"/>
                <w:color w:val="auto"/>
                <w:szCs w:val="21"/>
              </w:rPr>
              <w:t>■委托招标代理机构代理</w:t>
            </w:r>
          </w:p>
          <w:p>
            <w:pPr>
              <w:autoSpaceDE w:val="0"/>
              <w:autoSpaceDN w:val="0"/>
              <w:rPr>
                <w:rFonts w:ascii="宋体" w:hAnsi="宋体" w:cs="宋体"/>
                <w:color w:val="auto"/>
                <w:szCs w:val="21"/>
              </w:rPr>
            </w:pPr>
            <w:r>
              <w:rPr>
                <w:rFonts w:hint="eastAsia" w:ascii="宋体" w:hAnsi="宋体" w:cs="宋体"/>
                <w:color w:val="auto"/>
                <w:szCs w:val="21"/>
              </w:rPr>
              <w:t>招标代理机构名称：</w:t>
            </w:r>
            <w:r>
              <w:rPr>
                <w:rFonts w:hint="eastAsia" w:ascii="宋体" w:hAnsi="宋体"/>
                <w:color w:val="auto"/>
                <w:szCs w:val="21"/>
              </w:rPr>
              <w:t>广东省南方文化产权交易所股份有限公司</w:t>
            </w:r>
          </w:p>
          <w:p>
            <w:pPr>
              <w:autoSpaceDE w:val="0"/>
              <w:autoSpaceDN w:val="0"/>
              <w:rPr>
                <w:rFonts w:ascii="宋体" w:hAnsi="宋体" w:cs="宋体"/>
                <w:color w:val="auto"/>
                <w:szCs w:val="21"/>
              </w:rPr>
            </w:pPr>
            <w:r>
              <w:rPr>
                <w:rFonts w:hint="eastAsia" w:ascii="宋体" w:hAnsi="宋体" w:cs="宋体"/>
                <w:color w:val="auto"/>
                <w:szCs w:val="21"/>
              </w:rPr>
              <w:t>联系人：张先生</w:t>
            </w:r>
          </w:p>
          <w:p>
            <w:pPr>
              <w:autoSpaceDE w:val="0"/>
              <w:autoSpaceDN w:val="0"/>
              <w:rPr>
                <w:rFonts w:ascii="宋体" w:hAnsi="宋体" w:cs="宋体"/>
                <w:color w:val="auto"/>
                <w:szCs w:val="21"/>
              </w:rPr>
            </w:pPr>
            <w:r>
              <w:rPr>
                <w:rFonts w:hint="eastAsia" w:ascii="宋体" w:hAnsi="宋体" w:cs="宋体"/>
                <w:color w:val="auto"/>
                <w:szCs w:val="21"/>
              </w:rPr>
              <w:t>电话：</w:t>
            </w:r>
            <w:r>
              <w:rPr>
                <w:rFonts w:ascii="宋体" w:hAnsi="宋体" w:cs="宋体"/>
                <w:color w:val="auto"/>
                <w:szCs w:val="21"/>
              </w:rPr>
              <w:t>13500226498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1.7</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资格审查方式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□资格预审，本项目已完成资格预审。</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资格后审</w:t>
            </w:r>
            <w:r>
              <w:rPr>
                <w:rFonts w:hint="eastAsia" w:ascii="宋体" w:hAnsi="宋体" w:cs="宋体"/>
                <w:color w:val="auto"/>
                <w:szCs w:val="21"/>
              </w:rPr>
              <w:t>，资格条件详见第一章招标公告“</w:t>
            </w:r>
            <w:r>
              <w:rPr>
                <w:rFonts w:ascii="宋体" w:hAnsi="宋体" w:cs="宋体"/>
                <w:color w:val="auto"/>
                <w:szCs w:val="21"/>
              </w:rPr>
              <w:t>2.投标人资格要求”。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1.8.1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投标人不得存在的情形</w:t>
            </w:r>
          </w:p>
        </w:tc>
        <w:tc>
          <w:tcPr>
            <w:tcW w:w="5795" w:type="dxa"/>
            <w:shd w:val="clear" w:color="auto" w:fill="auto"/>
            <w:vAlign w:val="center"/>
          </w:tcPr>
          <w:p>
            <w:pPr>
              <w:tabs>
                <w:tab w:val="left" w:pos="585"/>
              </w:tabs>
              <w:spacing w:line="440" w:lineRule="exact"/>
              <w:ind w:left="18"/>
              <w:rPr>
                <w:rFonts w:ascii="宋体" w:hAnsi="宋体"/>
                <w:color w:val="auto"/>
                <w:szCs w:val="21"/>
              </w:rPr>
            </w:pPr>
            <w:r>
              <w:rPr>
                <w:rFonts w:hint="eastAsia" w:ascii="宋体" w:hAnsi="宋体" w:cs="宋体"/>
                <w:color w:val="auto"/>
                <w:szCs w:val="21"/>
              </w:rPr>
              <w:t>本条款增加以下规定：</w:t>
            </w:r>
            <w:r>
              <w:rPr>
                <w:rFonts w:ascii="宋体" w:hAnsi="宋体" w:cs="宋体"/>
                <w:color w:val="auto"/>
                <w:szCs w:val="21"/>
              </w:rPr>
              <w:t>/</w:t>
            </w:r>
          </w:p>
          <w:p>
            <w:pPr>
              <w:ind w:firstLine="420" w:firstLineChars="200"/>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招标文件的组成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本条款替换为：</w:t>
            </w:r>
          </w:p>
          <w:p>
            <w:pPr>
              <w:autoSpaceDE w:val="0"/>
              <w:autoSpaceDN w:val="0"/>
              <w:rPr>
                <w:rFonts w:ascii="宋体" w:hAnsi="宋体" w:cs="宋体"/>
                <w:color w:val="auto"/>
                <w:szCs w:val="21"/>
              </w:rPr>
            </w:pPr>
            <w:r>
              <w:rPr>
                <w:rFonts w:hint="eastAsia" w:ascii="宋体" w:hAnsi="宋体" w:cs="宋体"/>
                <w:color w:val="auto"/>
                <w:szCs w:val="21"/>
              </w:rPr>
              <w:t>第一章</w:t>
            </w:r>
            <w:r>
              <w:rPr>
                <w:rFonts w:ascii="宋体" w:hAnsi="宋体" w:cs="宋体"/>
                <w:color w:val="auto"/>
                <w:szCs w:val="21"/>
              </w:rPr>
              <w:t xml:space="preserve"> </w:t>
            </w:r>
            <w:r>
              <w:rPr>
                <w:rFonts w:hint="eastAsia" w:ascii="宋体" w:hAnsi="宋体" w:cs="宋体"/>
                <w:color w:val="auto"/>
                <w:szCs w:val="21"/>
              </w:rPr>
              <w:t>招标公告</w:t>
            </w:r>
          </w:p>
          <w:p>
            <w:pPr>
              <w:autoSpaceDE w:val="0"/>
              <w:autoSpaceDN w:val="0"/>
              <w:rPr>
                <w:rFonts w:ascii="宋体" w:hAnsi="宋体" w:cs="宋体"/>
                <w:color w:val="auto"/>
                <w:szCs w:val="21"/>
              </w:rPr>
            </w:pPr>
            <w:r>
              <w:rPr>
                <w:rFonts w:hint="eastAsia" w:ascii="宋体" w:hAnsi="宋体" w:cs="宋体"/>
                <w:color w:val="auto"/>
                <w:szCs w:val="21"/>
              </w:rPr>
              <w:t>第二章</w:t>
            </w:r>
            <w:r>
              <w:rPr>
                <w:rFonts w:ascii="宋体" w:hAnsi="宋体" w:cs="宋体"/>
                <w:color w:val="auto"/>
                <w:szCs w:val="21"/>
              </w:rPr>
              <w:t xml:space="preserve"> </w:t>
            </w:r>
            <w:r>
              <w:rPr>
                <w:rFonts w:hint="eastAsia" w:ascii="宋体" w:hAnsi="宋体" w:cs="宋体"/>
                <w:color w:val="auto"/>
                <w:szCs w:val="21"/>
              </w:rPr>
              <w:t>投标人须知</w:t>
            </w:r>
          </w:p>
          <w:p>
            <w:pPr>
              <w:autoSpaceDE w:val="0"/>
              <w:autoSpaceDN w:val="0"/>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评审办法</w:t>
            </w:r>
          </w:p>
          <w:p>
            <w:pPr>
              <w:autoSpaceDE w:val="0"/>
              <w:autoSpaceDN w:val="0"/>
              <w:rPr>
                <w:rFonts w:ascii="宋体" w:hAnsi="宋体" w:cs="宋体"/>
                <w:color w:val="auto"/>
                <w:szCs w:val="21"/>
              </w:rPr>
            </w:pP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商务合同</w:t>
            </w:r>
          </w:p>
          <w:p>
            <w:pPr>
              <w:autoSpaceDE w:val="0"/>
              <w:autoSpaceDN w:val="0"/>
              <w:rPr>
                <w:rFonts w:ascii="宋体" w:hAnsi="宋体" w:cs="宋体"/>
                <w:color w:val="auto"/>
                <w:szCs w:val="21"/>
              </w:rPr>
            </w:pPr>
            <w:r>
              <w:rPr>
                <w:rFonts w:hint="eastAsia" w:ascii="宋体" w:hAnsi="宋体" w:cs="宋体"/>
                <w:color w:val="auto"/>
                <w:szCs w:val="21"/>
              </w:rPr>
              <w:t>第五章</w:t>
            </w:r>
            <w:r>
              <w:rPr>
                <w:rFonts w:ascii="宋体" w:hAnsi="宋体" w:cs="宋体"/>
                <w:color w:val="auto"/>
                <w:szCs w:val="21"/>
              </w:rPr>
              <w:t xml:space="preserve"> </w:t>
            </w:r>
            <w:r>
              <w:rPr>
                <w:rFonts w:hint="eastAsia" w:ascii="宋体" w:hAnsi="宋体" w:cs="宋体"/>
                <w:color w:val="auto"/>
                <w:szCs w:val="21"/>
              </w:rPr>
              <w:t>采购需求书</w:t>
            </w:r>
          </w:p>
          <w:p>
            <w:pPr>
              <w:autoSpaceDE w:val="0"/>
              <w:autoSpaceDN w:val="0"/>
              <w:rPr>
                <w:rFonts w:ascii="宋体" w:hAnsi="宋体" w:cs="宋体"/>
                <w:color w:val="auto"/>
                <w:szCs w:val="21"/>
              </w:rPr>
            </w:pPr>
            <w:r>
              <w:rPr>
                <w:rFonts w:hint="eastAsia" w:ascii="宋体" w:hAnsi="宋体" w:cs="宋体"/>
                <w:color w:val="auto"/>
                <w:szCs w:val="21"/>
              </w:rPr>
              <w:t>第六章</w:t>
            </w:r>
            <w:r>
              <w:rPr>
                <w:rFonts w:ascii="宋体" w:hAnsi="宋体" w:cs="宋体"/>
                <w:color w:val="auto"/>
                <w:szCs w:val="21"/>
              </w:rPr>
              <w:t xml:space="preserve"> </w:t>
            </w:r>
            <w:r>
              <w:rPr>
                <w:rFonts w:hint="eastAsia" w:ascii="宋体" w:hAnsi="宋体" w:cs="宋体"/>
                <w:color w:val="auto"/>
                <w:szCs w:val="21"/>
              </w:rPr>
              <w:t>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招标文件实质性要求的标识及非实质性要求的偏离要求</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1）招标文件中标识“</w:t>
            </w:r>
            <w:r>
              <w:rPr>
                <w:rFonts w:hint="eastAsia" w:ascii="宋体" w:hAnsi="宋体"/>
                <w:color w:val="auto"/>
                <w:szCs w:val="21"/>
              </w:rPr>
              <w:t>★</w:t>
            </w:r>
            <w:r>
              <w:rPr>
                <w:rFonts w:hint="eastAsia" w:ascii="宋体" w:hAnsi="宋体" w:cs="宋体"/>
                <w:color w:val="auto"/>
                <w:szCs w:val="21"/>
              </w:rPr>
              <w:t>”的条款，均为实质性条款，投标人任何不满足实质性条款的投标或负偏离均将被否决。</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2）非实质性要求的偏离要求：</w:t>
            </w:r>
            <w:r>
              <w:rPr>
                <w:rFonts w:hint="eastAsia" w:ascii="宋体" w:hAnsi="宋体"/>
                <w:color w:val="auto"/>
              </w:rPr>
              <w:t>允许偏差的最大范围</w:t>
            </w:r>
            <w:r>
              <w:rPr>
                <w:rFonts w:ascii="宋体" w:hAnsi="宋体"/>
                <w:color w:val="auto"/>
                <w:u w:val="single"/>
              </w:rPr>
              <w:t>/</w:t>
            </w:r>
            <w:r>
              <w:rPr>
                <w:rFonts w:hint="eastAsia" w:ascii="宋体" w:hAnsi="宋体"/>
                <w:color w:val="auto"/>
              </w:rPr>
              <w:t>、最高项数</w:t>
            </w:r>
            <w:r>
              <w:rPr>
                <w:rFonts w:ascii="宋体" w:hAnsi="宋体"/>
                <w:color w:val="auto"/>
                <w:u w:val="single"/>
              </w:rPr>
              <w:t>/</w:t>
            </w:r>
            <w:r>
              <w:rPr>
                <w:rFonts w:hint="eastAsia" w:ascii="宋体" w:hAnsi="宋体"/>
                <w:color w:val="auto"/>
              </w:rPr>
              <w:t>，超出最大范围、最高项数视为重大偏离，</w:t>
            </w:r>
            <w:r>
              <w:rPr>
                <w:rFonts w:hint="eastAsia" w:ascii="宋体" w:hAnsi="宋体" w:cs="宋体"/>
                <w:color w:val="auto"/>
                <w:szCs w:val="21"/>
              </w:rPr>
              <w:t>将被否决投标</w:t>
            </w:r>
            <w:r>
              <w:rPr>
                <w:rFonts w:hint="eastAsia" w:ascii="宋体" w:hAnsi="宋体"/>
                <w:color w:val="auto"/>
              </w:rPr>
              <w:t>。调整偏差的方法</w:t>
            </w:r>
            <w:r>
              <w:rPr>
                <w:rFonts w:ascii="宋体" w:hAnsi="宋体"/>
                <w:color w:val="auto"/>
                <w:u w:val="single"/>
              </w:rPr>
              <w:t>/</w:t>
            </w:r>
            <w:r>
              <w:rPr>
                <w:rFonts w:ascii="宋体" w:hAnsi="宋体"/>
                <w:color w:val="auto"/>
              </w:rPr>
              <w:t xml:space="preserve"> [如无要求标“/”]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2.1.4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是否以单项报价核定低于成本</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■不要求</w:t>
            </w:r>
          </w:p>
          <w:p>
            <w:pPr>
              <w:autoSpaceDE w:val="0"/>
              <w:autoSpaceDN w:val="0"/>
              <w:rPr>
                <w:rFonts w:ascii="宋体" w:hAnsi="宋体" w:cs="宋体"/>
                <w:color w:val="auto"/>
                <w:szCs w:val="21"/>
              </w:rPr>
            </w:pPr>
            <w:r>
              <w:rPr>
                <w:rFonts w:hint="eastAsia" w:ascii="宋体" w:hAnsi="宋体" w:cs="宋体"/>
                <w:color w:val="auto"/>
                <w:szCs w:val="21"/>
              </w:rPr>
              <w:t>□要求，具体要求如下：</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2.2.1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踏勘现场</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■不组织</w:t>
            </w:r>
          </w:p>
          <w:p>
            <w:pPr>
              <w:autoSpaceDE w:val="0"/>
              <w:autoSpaceDN w:val="0"/>
              <w:rPr>
                <w:rFonts w:ascii="宋体" w:hAnsi="宋体" w:cs="宋体"/>
                <w:color w:val="auto"/>
                <w:szCs w:val="21"/>
              </w:rPr>
            </w:pPr>
            <w:r>
              <w:rPr>
                <w:rFonts w:hint="eastAsia" w:ascii="宋体" w:hAnsi="宋体" w:cs="宋体"/>
                <w:color w:val="auto"/>
                <w:szCs w:val="21"/>
              </w:rPr>
              <w:t>□组织，踏勘现场的时间、地点：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投标预备会</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■不召开</w:t>
            </w:r>
          </w:p>
          <w:p>
            <w:pPr>
              <w:autoSpaceDE w:val="0"/>
              <w:autoSpaceDN w:val="0"/>
              <w:rPr>
                <w:rFonts w:ascii="宋体" w:hAnsi="宋体" w:cs="宋体"/>
                <w:color w:val="auto"/>
                <w:szCs w:val="21"/>
              </w:rPr>
            </w:pPr>
            <w:r>
              <w:rPr>
                <w:rFonts w:hint="eastAsia" w:ascii="宋体" w:hAnsi="宋体" w:cs="宋体"/>
                <w:color w:val="auto"/>
                <w:szCs w:val="21"/>
              </w:rPr>
              <w:t>□召开，召开投标预备会时间、地点：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2.4.1</w:t>
            </w:r>
          </w:p>
        </w:tc>
        <w:tc>
          <w:tcPr>
            <w:tcW w:w="1666" w:type="dxa"/>
            <w:shd w:val="clear" w:color="auto" w:fill="auto"/>
            <w:vAlign w:val="center"/>
          </w:tcPr>
          <w:p>
            <w:pPr>
              <w:autoSpaceDE w:val="0"/>
              <w:autoSpaceDN w:val="0"/>
              <w:rPr>
                <w:rFonts w:ascii="宋体" w:hAnsi="宋体" w:cs="宋体"/>
                <w:color w:val="auto"/>
                <w:szCs w:val="21"/>
              </w:rPr>
            </w:pPr>
            <w:r>
              <w:rPr>
                <w:rFonts w:hint="eastAsia"/>
                <w:color w:val="auto"/>
              </w:rPr>
              <w:t>投标人提出澄清问题的截止时间和方式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1）截止时间：</w:t>
            </w:r>
            <w:r>
              <w:rPr>
                <w:rFonts w:ascii="宋体" w:hAnsi="宋体" w:cs="宋体"/>
                <w:color w:val="auto"/>
                <w:szCs w:val="21"/>
                <w:u w:val="single"/>
              </w:rPr>
              <w:t xml:space="preserve"> 202</w:t>
            </w:r>
            <w:r>
              <w:rPr>
                <w:rFonts w:hint="eastAsia" w:ascii="宋体" w:hAnsi="宋体" w:cs="宋体"/>
                <w:color w:val="auto"/>
                <w:szCs w:val="21"/>
                <w:u w:val="single"/>
                <w:lang w:val="en-US" w:eastAsia="zh-CN"/>
              </w:rPr>
              <w:t>3</w:t>
            </w:r>
            <w:r>
              <w:rPr>
                <w:rFonts w:ascii="宋体" w:hAnsi="宋体" w:cs="宋体"/>
                <w:color w:val="auto"/>
                <w:szCs w:val="21"/>
                <w:u w:val="single"/>
              </w:rPr>
              <w:t xml:space="preserve"> </w:t>
            </w:r>
            <w:r>
              <w:rPr>
                <w:rFonts w:hint="eastAsia" w:ascii="宋体" w:hAnsi="宋体" w:cs="宋体"/>
                <w:color w:val="auto"/>
                <w:szCs w:val="21"/>
              </w:rPr>
              <w:t>年</w:t>
            </w:r>
            <w:r>
              <w:rPr>
                <w:rFonts w:ascii="宋体" w:hAnsi="宋体" w:cs="宋体"/>
                <w:color w:val="auto"/>
                <w:szCs w:val="21"/>
                <w:u w:val="single"/>
              </w:rPr>
              <w:t xml:space="preserve"> </w:t>
            </w:r>
            <w:r>
              <w:rPr>
                <w:rFonts w:hint="eastAsia" w:ascii="宋体" w:hAnsi="宋体" w:cs="宋体"/>
                <w:color w:val="auto"/>
                <w:szCs w:val="21"/>
                <w:u w:val="single"/>
                <w:lang w:val="en-US" w:eastAsia="zh-CN"/>
              </w:rPr>
              <w:t xml:space="preserve">4 </w:t>
            </w:r>
            <w:r>
              <w:rPr>
                <w:rFonts w:hint="eastAsia" w:ascii="宋体" w:hAnsi="宋体" w:cs="宋体"/>
                <w:color w:val="auto"/>
                <w:szCs w:val="21"/>
              </w:rPr>
              <w:t>月</w:t>
            </w:r>
            <w:r>
              <w:rPr>
                <w:rFonts w:ascii="宋体" w:hAnsi="宋体" w:cs="宋体"/>
                <w:color w:val="auto"/>
                <w:szCs w:val="21"/>
                <w:u w:val="single"/>
              </w:rPr>
              <w:t xml:space="preserve"> </w:t>
            </w:r>
            <w:r>
              <w:rPr>
                <w:rFonts w:hint="eastAsia" w:ascii="宋体" w:hAnsi="宋体" w:cs="宋体"/>
                <w:color w:val="auto"/>
                <w:szCs w:val="21"/>
                <w:u w:val="single"/>
                <w:lang w:val="en-US" w:eastAsia="zh-CN"/>
              </w:rPr>
              <w:t>20</w:t>
            </w:r>
            <w:r>
              <w:rPr>
                <w:rFonts w:ascii="宋体" w:hAnsi="宋体" w:cs="宋体"/>
                <w:color w:val="auto"/>
                <w:szCs w:val="21"/>
                <w:u w:val="single"/>
              </w:rPr>
              <w:t xml:space="preserve"> </w:t>
            </w:r>
            <w:r>
              <w:rPr>
                <w:rFonts w:hint="eastAsia" w:ascii="宋体" w:hAnsi="宋体" w:cs="宋体"/>
                <w:color w:val="auto"/>
                <w:szCs w:val="21"/>
              </w:rPr>
              <w:t>日</w:t>
            </w:r>
            <w:r>
              <w:rPr>
                <w:rFonts w:ascii="宋体" w:hAnsi="宋体" w:cs="宋体"/>
                <w:color w:val="auto"/>
                <w:szCs w:val="21"/>
                <w:u w:val="single"/>
              </w:rPr>
              <w:t xml:space="preserve"> 1</w:t>
            </w:r>
            <w:r>
              <w:rPr>
                <w:rFonts w:hint="eastAsia" w:ascii="宋体" w:hAnsi="宋体" w:cs="宋体"/>
                <w:color w:val="auto"/>
                <w:szCs w:val="21"/>
                <w:u w:val="single"/>
                <w:lang w:val="en-US" w:eastAsia="zh-CN"/>
              </w:rPr>
              <w:t>2</w:t>
            </w:r>
            <w:r>
              <w:rPr>
                <w:rFonts w:ascii="宋体" w:hAnsi="宋体" w:cs="宋体"/>
                <w:color w:val="auto"/>
                <w:szCs w:val="21"/>
                <w:u w:val="single"/>
              </w:rPr>
              <w:t xml:space="preserve"> </w:t>
            </w:r>
            <w:r>
              <w:rPr>
                <w:rFonts w:hint="eastAsia" w:ascii="宋体" w:hAnsi="宋体" w:cs="宋体"/>
                <w:color w:val="auto"/>
                <w:szCs w:val="21"/>
              </w:rPr>
              <w:t>时</w:t>
            </w:r>
            <w:r>
              <w:rPr>
                <w:rFonts w:ascii="宋体" w:hAnsi="宋体" w:cs="宋体"/>
                <w:color w:val="auto"/>
                <w:szCs w:val="21"/>
                <w:u w:val="single"/>
              </w:rPr>
              <w:t xml:space="preserve"> 00 </w:t>
            </w:r>
            <w:r>
              <w:rPr>
                <w:rFonts w:hint="eastAsia" w:ascii="宋体" w:hAnsi="宋体" w:cs="宋体"/>
                <w:color w:val="auto"/>
                <w:szCs w:val="21"/>
              </w:rPr>
              <w:t>分（北京时间）。</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2）提出澄清的方式：通过邮件方式提出澄清疑问（澄清问题接收邮箱：</w:t>
            </w:r>
            <w:r>
              <w:rPr>
                <w:rFonts w:ascii="宋体" w:hAnsi="宋体"/>
                <w:color w:val="auto"/>
                <w:szCs w:val="21"/>
                <w:u w:val="single"/>
              </w:rPr>
              <w:t>13500226498@139.com</w:t>
            </w:r>
            <w:r>
              <w:rPr>
                <w:rFonts w:hint="eastAsia" w:ascii="宋体" w:hAnsi="宋体" w:cs="宋体"/>
                <w:color w:val="auto"/>
                <w:szCs w:val="21"/>
              </w:rPr>
              <w:t>），并将纸质版疑问文件盖章，经扫描后与疑问文件电子版（须为可编辑的</w:t>
            </w:r>
            <w:r>
              <w:rPr>
                <w:rFonts w:ascii="宋体" w:hAnsi="宋体" w:cs="宋体"/>
                <w:color w:val="auto"/>
                <w:szCs w:val="21"/>
              </w:rPr>
              <w:t>WORD文档）一起以附件形式上传，如正文内容与盖章扫描件内容不一致的，以盖章扫描件内容为准。</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3）招标文件异议：潜在投标人或者其他利害关系人对招标文件有异议的，应当在提交投标文件截止时间10日前提出。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2.4.2</w:t>
            </w:r>
          </w:p>
        </w:tc>
        <w:tc>
          <w:tcPr>
            <w:tcW w:w="1666" w:type="dxa"/>
            <w:shd w:val="clear" w:color="auto" w:fill="auto"/>
            <w:vAlign w:val="center"/>
          </w:tcPr>
          <w:p>
            <w:pPr>
              <w:spacing w:line="276" w:lineRule="auto"/>
              <w:rPr>
                <w:rFonts w:ascii="宋体" w:hAnsi="宋体" w:cs="宋体"/>
                <w:color w:val="auto"/>
                <w:szCs w:val="21"/>
              </w:rPr>
            </w:pPr>
            <w:r>
              <w:rPr>
                <w:rFonts w:hint="eastAsia"/>
                <w:color w:val="auto"/>
              </w:rPr>
              <w:t>招标人发出招标文件澄清或者修改的截止时间和方式</w:t>
            </w:r>
          </w:p>
        </w:tc>
        <w:tc>
          <w:tcPr>
            <w:tcW w:w="5795" w:type="dxa"/>
            <w:shd w:val="clear" w:color="auto" w:fill="auto"/>
            <w:vAlign w:val="center"/>
          </w:tcPr>
          <w:p>
            <w:pPr>
              <w:spacing w:line="276" w:lineRule="auto"/>
              <w:rPr>
                <w:color w:val="auto"/>
              </w:rPr>
            </w:pPr>
            <w:r>
              <w:rPr>
                <w:rFonts w:hint="eastAsia"/>
                <w:color w:val="auto"/>
              </w:rPr>
              <w:t>（</w:t>
            </w:r>
            <w:r>
              <w:rPr>
                <w:color w:val="auto"/>
              </w:rPr>
              <w:t>1</w:t>
            </w:r>
            <w:r>
              <w:rPr>
                <w:rFonts w:hint="eastAsia"/>
                <w:color w:val="auto"/>
              </w:rPr>
              <w:t>）如果招标文件澄清或者修改</w:t>
            </w:r>
            <w:r>
              <w:rPr>
                <w:rFonts w:hint="eastAsia" w:ascii="宋体" w:hAnsi="宋体" w:cs="宋体"/>
                <w:color w:val="auto"/>
                <w:szCs w:val="21"/>
              </w:rPr>
              <w:t>影响投标文件编制的，应当在</w:t>
            </w:r>
            <w:r>
              <w:rPr>
                <w:rFonts w:hint="eastAsia"/>
                <w:color w:val="auto"/>
              </w:rPr>
              <w:t>招标文件要求提交投标文件截止时间至少十五日前，以书面形式通知所有投标人。</w:t>
            </w:r>
          </w:p>
          <w:p>
            <w:pPr>
              <w:spacing w:line="276" w:lineRule="auto"/>
              <w:rPr>
                <w:rFonts w:ascii="宋体" w:hAnsi="宋体" w:cs="宋体"/>
                <w:color w:val="auto"/>
                <w:szCs w:val="21"/>
              </w:rPr>
            </w:pPr>
            <w:r>
              <w:rPr>
                <w:rFonts w:hint="eastAsia"/>
                <w:color w:val="auto"/>
              </w:rPr>
              <w:t>（</w:t>
            </w:r>
            <w:r>
              <w:rPr>
                <w:color w:val="auto"/>
              </w:rPr>
              <w:t>2</w:t>
            </w:r>
            <w:r>
              <w:rPr>
                <w:rFonts w:hint="eastAsia"/>
                <w:color w:val="auto"/>
              </w:rPr>
              <w:t>）发出招标文件澄清或者修改的方式：通过</w:t>
            </w:r>
            <w:r>
              <w:rPr>
                <w:rFonts w:hint="eastAsia" w:ascii="宋体" w:hAnsi="宋体" w:cs="宋体"/>
                <w:color w:val="auto"/>
                <w:szCs w:val="21"/>
              </w:rPr>
              <w:t>邮件方式</w:t>
            </w:r>
            <w:r>
              <w:rPr>
                <w:rFonts w:hint="eastAsia"/>
                <w:color w:val="auto"/>
              </w:rPr>
              <w:t>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投标文件组成</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投标文件必须按照以下顺序编制：详见</w:t>
            </w:r>
            <w:r>
              <w:rPr>
                <w:rFonts w:hint="eastAsia" w:ascii="宋体" w:hAnsi="宋体"/>
                <w:color w:val="auto"/>
                <w:szCs w:val="21"/>
              </w:rPr>
              <w:t>第六章投标文件格式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3.2.2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投标文件投标和编写</w:t>
            </w:r>
          </w:p>
        </w:tc>
        <w:tc>
          <w:tcPr>
            <w:tcW w:w="5795" w:type="dxa"/>
            <w:shd w:val="clear" w:color="auto" w:fill="auto"/>
            <w:vAlign w:val="center"/>
          </w:tcPr>
          <w:p>
            <w:pPr>
              <w:autoSpaceDE w:val="0"/>
              <w:autoSpaceDN w:val="0"/>
              <w:rPr>
                <w:rFonts w:ascii="宋体" w:hAnsi="宋体"/>
                <w:color w:val="auto"/>
              </w:rPr>
            </w:pPr>
            <w:r>
              <w:rPr>
                <w:rFonts w:hint="eastAsia" w:ascii="宋体" w:hAnsi="宋体"/>
                <w:color w:val="auto"/>
              </w:rPr>
              <w:t>投标文件投标和编写的具体要求如下：</w:t>
            </w:r>
          </w:p>
          <w:p>
            <w:pPr>
              <w:autoSpaceDE w:val="0"/>
              <w:autoSpaceDN w:val="0"/>
              <w:rPr>
                <w:rFonts w:ascii="宋体" w:hAnsi="宋体" w:cs="宋体"/>
                <w:color w:val="auto"/>
                <w:szCs w:val="21"/>
              </w:rPr>
            </w:pPr>
            <w:r>
              <w:rPr>
                <w:rFonts w:hint="eastAsia" w:ascii="宋体" w:hAnsi="宋体" w:cs="宋体"/>
                <w:color w:val="auto"/>
                <w:szCs w:val="21"/>
              </w:rPr>
              <w:t>投标人应针</w:t>
            </w:r>
            <w:r>
              <w:rPr>
                <w:rFonts w:ascii="宋体" w:hAnsi="宋体" w:cs="宋体"/>
                <w:color w:val="auto"/>
                <w:szCs w:val="21"/>
              </w:rPr>
              <w:t>对</w:t>
            </w:r>
            <w:r>
              <w:rPr>
                <w:rFonts w:hint="eastAsia" w:ascii="宋体" w:hAnsi="宋体" w:cs="宋体"/>
                <w:color w:val="auto"/>
                <w:szCs w:val="21"/>
              </w:rPr>
              <w:t>招标文件</w:t>
            </w:r>
            <w:r>
              <w:rPr>
                <w:rFonts w:ascii="宋体" w:hAnsi="宋体" w:cs="宋体"/>
                <w:color w:val="auto"/>
                <w:szCs w:val="21"/>
              </w:rPr>
              <w:t>中的</w:t>
            </w:r>
            <w:r>
              <w:rPr>
                <w:rFonts w:hint="eastAsia" w:ascii="宋体" w:hAnsi="宋体" w:cs="宋体"/>
                <w:color w:val="auto"/>
                <w:szCs w:val="21"/>
              </w:rPr>
              <w:t>第四章</w:t>
            </w:r>
            <w:r>
              <w:rPr>
                <w:rFonts w:ascii="宋体" w:hAnsi="宋体" w:cs="宋体"/>
                <w:color w:val="auto"/>
                <w:szCs w:val="21"/>
              </w:rPr>
              <w:t>“</w:t>
            </w:r>
            <w:r>
              <w:rPr>
                <w:rFonts w:hint="eastAsia" w:ascii="宋体" w:hAnsi="宋体" w:cs="宋体"/>
                <w:color w:val="auto"/>
                <w:szCs w:val="21"/>
              </w:rPr>
              <w:t>商务合同</w:t>
            </w:r>
            <w:r>
              <w:rPr>
                <w:rFonts w:ascii="宋体" w:hAnsi="宋体" w:cs="宋体"/>
                <w:color w:val="auto"/>
                <w:szCs w:val="21"/>
              </w:rPr>
              <w:t>”</w:t>
            </w:r>
            <w:r>
              <w:rPr>
                <w:rFonts w:hint="eastAsia" w:ascii="宋体" w:hAnsi="宋体" w:cs="宋体"/>
                <w:color w:val="auto"/>
                <w:szCs w:val="21"/>
              </w:rPr>
              <w:t>和第五章“采购需求书”填写偏离表。无偏离表的将</w:t>
            </w:r>
            <w:r>
              <w:rPr>
                <w:rFonts w:ascii="宋体" w:hAnsi="宋体" w:cs="宋体"/>
                <w:color w:val="auto"/>
                <w:szCs w:val="21"/>
              </w:rPr>
              <w:t>导致其</w:t>
            </w:r>
            <w:r>
              <w:rPr>
                <w:rFonts w:hint="eastAsia" w:ascii="宋体" w:hAnsi="宋体" w:cs="宋体"/>
                <w:color w:val="auto"/>
                <w:szCs w:val="21"/>
              </w:rPr>
              <w:t>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3.2.4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投标文件的盖章或者签字</w:t>
            </w:r>
          </w:p>
        </w:tc>
        <w:tc>
          <w:tcPr>
            <w:tcW w:w="5795" w:type="dxa"/>
            <w:shd w:val="clear" w:color="auto" w:fill="auto"/>
            <w:vAlign w:val="center"/>
          </w:tcPr>
          <w:p>
            <w:pPr>
              <w:rPr>
                <w:rFonts w:ascii="宋体" w:hAnsi="宋体"/>
                <w:color w:val="auto"/>
                <w:szCs w:val="21"/>
              </w:rPr>
            </w:pPr>
            <w:r>
              <w:rPr>
                <w:rFonts w:hint="eastAsia" w:ascii="宋体" w:hAnsi="宋体"/>
                <w:color w:val="auto"/>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ascii="宋体" w:hAnsi="宋体"/>
                <w:color w:val="auto"/>
                <w:szCs w:val="21"/>
              </w:rPr>
            </w:pPr>
            <w:r>
              <w:rPr>
                <w:rFonts w:ascii="宋体" w:hAnsi="宋体"/>
                <w:color w:val="auto"/>
                <w:szCs w:val="21"/>
              </w:rPr>
              <w:t>1)</w:t>
            </w:r>
            <w:r>
              <w:rPr>
                <w:rFonts w:ascii="宋体" w:hAnsi="宋体"/>
                <w:color w:val="auto"/>
                <w:szCs w:val="21"/>
              </w:rPr>
              <w:tab/>
            </w:r>
            <w:r>
              <w:rPr>
                <w:rFonts w:hint="eastAsia" w:ascii="宋体" w:hAnsi="宋体"/>
                <w:color w:val="auto"/>
                <w:szCs w:val="21"/>
              </w:rPr>
              <w:t>投标人的法定代表人（负责人）或其授权的代理人逐页签字或加盖签字章；</w:t>
            </w:r>
          </w:p>
          <w:p>
            <w:pPr>
              <w:rPr>
                <w:rFonts w:ascii="宋体" w:hAnsi="宋体"/>
                <w:color w:val="auto"/>
                <w:szCs w:val="21"/>
              </w:rPr>
            </w:pPr>
            <w:r>
              <w:rPr>
                <w:rFonts w:ascii="宋体" w:hAnsi="宋体"/>
                <w:color w:val="auto"/>
                <w:szCs w:val="21"/>
              </w:rPr>
              <w:t>2)</w:t>
            </w:r>
            <w:r>
              <w:rPr>
                <w:rFonts w:ascii="宋体" w:hAnsi="宋体"/>
                <w:color w:val="auto"/>
                <w:szCs w:val="21"/>
              </w:rPr>
              <w:tab/>
            </w:r>
            <w:r>
              <w:rPr>
                <w:rFonts w:hint="eastAsia" w:ascii="宋体" w:hAnsi="宋体"/>
                <w:color w:val="auto"/>
                <w:szCs w:val="21"/>
              </w:rPr>
              <w:t>加盖投标人单位骑缝章；</w:t>
            </w:r>
          </w:p>
          <w:p>
            <w:pPr>
              <w:autoSpaceDE w:val="0"/>
              <w:autoSpaceDN w:val="0"/>
              <w:rPr>
                <w:rFonts w:ascii="宋体" w:hAnsi="宋体" w:cs="宋体"/>
                <w:color w:val="auto"/>
                <w:szCs w:val="21"/>
              </w:rPr>
            </w:pPr>
            <w:r>
              <w:rPr>
                <w:rFonts w:ascii="宋体" w:hAnsi="宋体"/>
                <w:color w:val="auto"/>
                <w:szCs w:val="21"/>
              </w:rPr>
              <w:t>3)</w:t>
            </w:r>
            <w:r>
              <w:rPr>
                <w:rFonts w:ascii="宋体" w:hAnsi="宋体"/>
                <w:color w:val="auto"/>
                <w:szCs w:val="21"/>
              </w:rPr>
              <w:tab/>
            </w:r>
            <w:r>
              <w:rPr>
                <w:rFonts w:hint="eastAsia" w:ascii="宋体" w:hAnsi="宋体"/>
                <w:color w:val="auto"/>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olor w:val="auto"/>
              </w:rPr>
              <w:t>最高投标限价或者其计算方法</w:t>
            </w:r>
          </w:p>
        </w:tc>
        <w:tc>
          <w:tcPr>
            <w:tcW w:w="5795" w:type="dxa"/>
            <w:shd w:val="clear" w:color="auto" w:fill="auto"/>
            <w:vAlign w:val="center"/>
          </w:tcPr>
          <w:p>
            <w:pPr>
              <w:autoSpaceDE w:val="0"/>
              <w:autoSpaceDN w:val="0"/>
              <w:jc w:val="left"/>
              <w:rPr>
                <w:rFonts w:ascii="宋体" w:hAnsi="宋体" w:cs="宋体"/>
                <w:color w:val="auto"/>
                <w:szCs w:val="21"/>
              </w:rPr>
            </w:pPr>
            <w:r>
              <w:rPr>
                <w:rFonts w:hint="eastAsia" w:ascii="宋体" w:hAnsi="宋体" w:cs="宋体"/>
                <w:color w:val="auto"/>
                <w:szCs w:val="21"/>
              </w:rPr>
              <w:t>□不设置最高投标限价</w:t>
            </w:r>
          </w:p>
          <w:p>
            <w:pPr>
              <w:autoSpaceDE w:val="0"/>
              <w:autoSpaceDN w:val="0"/>
              <w:jc w:val="left"/>
              <w:rPr>
                <w:rFonts w:ascii="宋体" w:hAnsi="宋体"/>
                <w:color w:val="auto"/>
                <w:szCs w:val="21"/>
              </w:rPr>
            </w:pPr>
            <w:r>
              <w:rPr>
                <w:rFonts w:hint="eastAsia" w:ascii="宋体" w:hAnsi="宋体" w:cs="宋体"/>
                <w:color w:val="auto"/>
                <w:sz w:val="24"/>
              </w:rPr>
              <w:t>★</w:t>
            </w:r>
            <w:r>
              <w:rPr>
                <w:rFonts w:hint="eastAsia" w:ascii="宋体" w:hAnsi="宋体" w:cs="宋体"/>
                <w:color w:val="auto"/>
                <w:szCs w:val="21"/>
              </w:rPr>
              <w:t>■设置最高投标限价，</w:t>
            </w:r>
            <w:r>
              <w:rPr>
                <w:rFonts w:hint="eastAsia" w:ascii="宋体" w:hAnsi="宋体" w:cs="宋体"/>
                <w:b/>
                <w:bCs/>
                <w:color w:val="auto"/>
                <w:szCs w:val="21"/>
              </w:rPr>
              <w:t>本项目</w:t>
            </w:r>
            <w:r>
              <w:rPr>
                <w:rFonts w:hint="eastAsia" w:ascii="宋体" w:hAnsi="宋体" w:cs="宋体"/>
                <w:b/>
                <w:bCs/>
                <w:color w:val="auto"/>
                <w:szCs w:val="21"/>
                <w:lang w:val="en-US" w:eastAsia="zh-CN"/>
              </w:rPr>
              <w:t>标段1</w:t>
            </w:r>
            <w:r>
              <w:rPr>
                <w:rFonts w:hint="eastAsia" w:ascii="宋体" w:hAnsi="宋体" w:cs="宋体"/>
                <w:b/>
                <w:bCs/>
                <w:color w:val="auto"/>
                <w:szCs w:val="21"/>
              </w:rPr>
              <w:t>含税最高限价</w:t>
            </w:r>
            <w:r>
              <w:rPr>
                <w:rFonts w:hint="eastAsia" w:ascii="宋体" w:hAnsi="宋体" w:cs="宋体"/>
                <w:b/>
                <w:bCs/>
                <w:color w:val="auto"/>
                <w:szCs w:val="21"/>
                <w:lang w:val="en-US" w:eastAsia="zh-CN"/>
              </w:rPr>
              <w:t>95</w:t>
            </w:r>
            <w:r>
              <w:rPr>
                <w:rFonts w:hint="eastAsia" w:ascii="宋体" w:hAnsi="宋体" w:cs="宋体"/>
                <w:b/>
                <w:bCs/>
                <w:color w:val="auto"/>
                <w:szCs w:val="21"/>
              </w:rPr>
              <w:t>0000.00</w:t>
            </w:r>
            <w:r>
              <w:rPr>
                <w:rFonts w:hint="eastAsia" w:ascii="宋体" w:hAnsi="宋体" w:cs="宋体"/>
                <w:b/>
                <w:bCs/>
                <w:color w:val="auto"/>
                <w:szCs w:val="21"/>
                <w:lang w:eastAsia="zh-CN"/>
              </w:rPr>
              <w:t>元</w:t>
            </w:r>
            <w:r>
              <w:rPr>
                <w:rFonts w:hint="eastAsia" w:ascii="宋体" w:hAnsi="宋体" w:cs="宋体"/>
                <w:b/>
                <w:bCs/>
                <w:color w:val="auto"/>
                <w:szCs w:val="21"/>
              </w:rPr>
              <w:t>，</w:t>
            </w:r>
            <w:r>
              <w:rPr>
                <w:rFonts w:hint="eastAsia" w:ascii="宋体" w:hAnsi="宋体" w:cs="宋体"/>
                <w:b/>
                <w:bCs/>
                <w:color w:val="auto"/>
                <w:szCs w:val="21"/>
                <w:lang w:val="en-US" w:eastAsia="zh-CN"/>
              </w:rPr>
              <w:t>标段2</w:t>
            </w:r>
            <w:r>
              <w:rPr>
                <w:rFonts w:hint="eastAsia" w:ascii="宋体" w:hAnsi="宋体" w:cs="宋体"/>
                <w:b/>
                <w:bCs/>
                <w:color w:val="auto"/>
                <w:szCs w:val="21"/>
              </w:rPr>
              <w:t>含税最高限价</w:t>
            </w:r>
            <w:r>
              <w:rPr>
                <w:rFonts w:hint="eastAsia" w:ascii="宋体" w:hAnsi="宋体" w:cs="宋体"/>
                <w:b/>
                <w:bCs/>
                <w:color w:val="auto"/>
                <w:szCs w:val="21"/>
                <w:lang w:val="en-US" w:eastAsia="zh-CN"/>
              </w:rPr>
              <w:t>692</w:t>
            </w:r>
            <w:r>
              <w:rPr>
                <w:rFonts w:hint="eastAsia" w:ascii="宋体" w:hAnsi="宋体" w:cs="宋体"/>
                <w:b/>
                <w:bCs/>
                <w:color w:val="auto"/>
                <w:szCs w:val="21"/>
              </w:rPr>
              <w:t>000.00</w:t>
            </w:r>
            <w:r>
              <w:rPr>
                <w:rFonts w:hint="eastAsia" w:ascii="宋体" w:hAnsi="宋体" w:cs="宋体"/>
                <w:b/>
                <w:bCs/>
                <w:color w:val="auto"/>
                <w:szCs w:val="21"/>
                <w:lang w:eastAsia="zh-CN"/>
              </w:rPr>
              <w:t>元，</w:t>
            </w:r>
            <w:r>
              <w:rPr>
                <w:rFonts w:hint="eastAsia" w:ascii="宋体" w:hAnsi="宋体"/>
                <w:b/>
                <w:bCs/>
                <w:color w:val="auto"/>
                <w:szCs w:val="21"/>
              </w:rPr>
              <w:t>若投标人</w:t>
            </w:r>
            <w:r>
              <w:rPr>
                <w:rFonts w:hint="eastAsia" w:ascii="宋体" w:hAnsi="宋体" w:cs="宋体"/>
                <w:b/>
                <w:bCs/>
                <w:color w:val="auto"/>
                <w:szCs w:val="21"/>
              </w:rPr>
              <w:t>报价超过</w:t>
            </w:r>
            <w:r>
              <w:rPr>
                <w:rFonts w:hint="eastAsia" w:ascii="宋体" w:hAnsi="宋体" w:cs="宋体"/>
                <w:b/>
                <w:bCs/>
                <w:color w:val="auto"/>
                <w:szCs w:val="21"/>
                <w:lang w:val="en-US" w:eastAsia="zh-CN"/>
              </w:rPr>
              <w:t>标段最高</w:t>
            </w:r>
            <w:r>
              <w:rPr>
                <w:rFonts w:hint="eastAsia" w:ascii="宋体" w:hAnsi="宋体" w:cs="宋体"/>
                <w:b/>
                <w:bCs/>
                <w:color w:val="auto"/>
                <w:szCs w:val="21"/>
              </w:rPr>
              <w:t>限价的报价无效，</w:t>
            </w:r>
            <w:r>
              <w:rPr>
                <w:rFonts w:hint="eastAsia" w:ascii="宋体" w:hAnsi="宋体" w:cs="宋体"/>
                <w:b/>
                <w:bCs/>
                <w:color w:val="auto"/>
                <w:szCs w:val="21"/>
                <w:lang w:val="en-US" w:eastAsia="zh-CN"/>
              </w:rPr>
              <w:t>该标段</w:t>
            </w:r>
            <w:r>
              <w:rPr>
                <w:rFonts w:hint="eastAsia" w:ascii="宋体" w:hAnsi="宋体" w:cs="宋体"/>
                <w:b/>
                <w:bCs/>
                <w:color w:val="auto"/>
                <w:szCs w:val="21"/>
              </w:rPr>
              <w:t>将被否决投标</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3.3.5</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投标报价</w:t>
            </w:r>
            <w:r>
              <w:rPr>
                <w:rFonts w:hint="eastAsia" w:ascii="宋体" w:hAnsi="宋体"/>
                <w:color w:val="auto"/>
              </w:rPr>
              <w:t>优惠条件</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□报优惠价</w:t>
            </w:r>
          </w:p>
          <w:p>
            <w:pPr>
              <w:autoSpaceDE w:val="0"/>
              <w:autoSpaceDN w:val="0"/>
              <w:rPr>
                <w:rFonts w:ascii="宋体" w:hAnsi="宋体" w:cs="宋体"/>
                <w:color w:val="auto"/>
                <w:szCs w:val="21"/>
              </w:rPr>
            </w:pPr>
            <w:r>
              <w:rPr>
                <w:rFonts w:hint="eastAsia" w:ascii="宋体" w:hAnsi="宋体" w:cs="宋体"/>
                <w:color w:val="auto"/>
                <w:szCs w:val="21"/>
              </w:rPr>
              <w:t>■不接受报优惠价</w:t>
            </w:r>
          </w:p>
          <w:p>
            <w:pPr>
              <w:autoSpaceDE w:val="0"/>
              <w:autoSpaceDN w:val="0"/>
              <w:rPr>
                <w:rFonts w:ascii="宋体" w:hAnsi="宋体" w:cs="宋体"/>
                <w:color w:val="auto"/>
                <w:szCs w:val="21"/>
                <w:u w:val="single"/>
              </w:rPr>
            </w:pPr>
            <w:r>
              <w:rPr>
                <w:rFonts w:hint="eastAsia" w:ascii="宋体" w:hAnsi="宋体" w:cs="宋体"/>
                <w:color w:val="auto"/>
                <w:szCs w:val="21"/>
              </w:rPr>
              <w:t>□报优惠价的其他方式：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3.3.6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投标报价具体要求</w:t>
            </w:r>
          </w:p>
        </w:tc>
        <w:tc>
          <w:tcPr>
            <w:tcW w:w="5795" w:type="dxa"/>
            <w:shd w:val="clear" w:color="auto" w:fill="auto"/>
            <w:vAlign w:val="center"/>
          </w:tcPr>
          <w:p>
            <w:pPr>
              <w:jc w:val="left"/>
              <w:rPr>
                <w:rFonts w:ascii="宋体" w:hAnsi="宋体"/>
                <w:color w:val="auto"/>
                <w:szCs w:val="21"/>
              </w:rPr>
            </w:pPr>
            <w:r>
              <w:rPr>
                <w:rFonts w:ascii="宋体" w:hAnsi="宋体"/>
                <w:color w:val="auto"/>
                <w:szCs w:val="21"/>
              </w:rPr>
              <w:t>1.</w:t>
            </w:r>
            <w:r>
              <w:rPr>
                <w:rFonts w:hint="eastAsia" w:ascii="宋体" w:hAnsi="宋体"/>
                <w:color w:val="auto"/>
                <w:szCs w:val="21"/>
              </w:rPr>
              <w:t>本项目</w:t>
            </w:r>
            <w:r>
              <w:rPr>
                <w:rFonts w:ascii="宋体" w:hAnsi="宋体"/>
                <w:color w:val="auto"/>
                <w:szCs w:val="21"/>
              </w:rPr>
              <w:t>按照国家和行业现行规定</w:t>
            </w:r>
            <w:r>
              <w:rPr>
                <w:rFonts w:hint="eastAsia" w:ascii="宋体" w:hAnsi="宋体"/>
                <w:color w:val="auto"/>
                <w:szCs w:val="21"/>
              </w:rPr>
              <w:t>及第四章合同条款的规定</w:t>
            </w:r>
            <w:r>
              <w:rPr>
                <w:rFonts w:ascii="宋体" w:hAnsi="宋体"/>
                <w:color w:val="auto"/>
                <w:szCs w:val="21"/>
              </w:rPr>
              <w:t>进行报价。</w:t>
            </w:r>
          </w:p>
          <w:p>
            <w:pPr>
              <w:jc w:val="left"/>
              <w:rPr>
                <w:rFonts w:ascii="宋体" w:hAnsi="宋体"/>
                <w:bCs/>
                <w:color w:val="auto"/>
                <w:szCs w:val="21"/>
              </w:rPr>
            </w:pPr>
            <w:r>
              <w:rPr>
                <w:rFonts w:ascii="宋体" w:hAnsi="宋体"/>
                <w:color w:val="auto"/>
                <w:szCs w:val="21"/>
              </w:rPr>
              <w:t>2.</w:t>
            </w:r>
            <w:r>
              <w:rPr>
                <w:rFonts w:hint="eastAsia" w:ascii="宋体" w:hAnsi="宋体"/>
                <w:bCs/>
                <w:color w:val="auto"/>
                <w:szCs w:val="21"/>
              </w:rPr>
              <w:t>投标报价应包括所有材料、人工、服务、利润及相关税费等完成项目所需的全部费用。</w:t>
            </w:r>
          </w:p>
          <w:p>
            <w:pPr>
              <w:jc w:val="left"/>
              <w:rPr>
                <w:rFonts w:ascii="宋体" w:hAnsi="宋体"/>
                <w:bCs/>
                <w:color w:val="auto"/>
                <w:szCs w:val="21"/>
              </w:rPr>
            </w:pPr>
            <w:r>
              <w:rPr>
                <w:rFonts w:ascii="宋体" w:hAnsi="宋体"/>
                <w:bCs/>
                <w:color w:val="auto"/>
                <w:szCs w:val="21"/>
              </w:rPr>
              <w:t>3.对应采购需求书的每一条款，供应商在投标文件中所作的所有承诺包含部分承诺，以及供应商在投标文件中所做的建议和列出的附加条件，除非供应商在经济分册中特别注明其价值不包含在基本报价中，招标人将认为其价值已全部包含在基本报价中。</w:t>
            </w:r>
          </w:p>
          <w:p>
            <w:pPr>
              <w:jc w:val="left"/>
              <w:rPr>
                <w:rFonts w:ascii="宋体" w:hAnsi="宋体"/>
                <w:bCs/>
                <w:color w:val="auto"/>
                <w:szCs w:val="21"/>
              </w:rPr>
            </w:pPr>
            <w:r>
              <w:rPr>
                <w:rFonts w:ascii="宋体" w:hAnsi="宋体"/>
                <w:bCs/>
                <w:color w:val="auto"/>
                <w:szCs w:val="21"/>
              </w:rPr>
              <w:t>4.</w:t>
            </w:r>
            <w:r>
              <w:rPr>
                <w:rFonts w:hint="eastAsia" w:ascii="宋体" w:hAnsi="宋体"/>
                <w:bCs/>
                <w:color w:val="auto"/>
                <w:szCs w:val="21"/>
              </w:rPr>
              <w:t>投标人应开具符合国家税率规定的增值税专用发票。</w:t>
            </w:r>
          </w:p>
          <w:p>
            <w:pPr>
              <w:autoSpaceDE w:val="0"/>
              <w:autoSpaceDN w:val="0"/>
              <w:rPr>
                <w:rFonts w:ascii="宋体" w:hAnsi="宋体" w:cs="宋体"/>
                <w:color w:val="auto"/>
                <w:szCs w:val="21"/>
              </w:rPr>
            </w:pPr>
            <w:r>
              <w:rPr>
                <w:rFonts w:ascii="宋体" w:hAnsi="宋体" w:cs="宋体"/>
                <w:color w:val="auto"/>
                <w:szCs w:val="21"/>
              </w:rPr>
              <w:t>5.</w:t>
            </w:r>
            <w:r>
              <w:rPr>
                <w:rFonts w:hint="eastAsia" w:ascii="宋体" w:hAnsi="宋体" w:cs="宋体"/>
                <w:color w:val="auto"/>
                <w:szCs w:val="21"/>
              </w:rPr>
              <w:t>报价表见第六章格式部分，不得更改报价表格式。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3.4.1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投标有效期</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投标有效期：90天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投标保证金金额</w:t>
            </w:r>
          </w:p>
        </w:tc>
        <w:tc>
          <w:tcPr>
            <w:tcW w:w="5795" w:type="dxa"/>
            <w:shd w:val="clear" w:color="auto" w:fill="auto"/>
            <w:vAlign w:val="center"/>
          </w:tcPr>
          <w:p>
            <w:pPr>
              <w:numPr>
                <w:ilvl w:val="0"/>
                <w:numId w:val="3"/>
              </w:numPr>
              <w:ind w:left="0" w:firstLine="0"/>
              <w:rPr>
                <w:rFonts w:ascii="宋体" w:hAnsi="宋体"/>
                <w:color w:val="auto"/>
                <w:szCs w:val="21"/>
                <w:u w:val="single"/>
              </w:rPr>
            </w:pPr>
            <w:r>
              <w:rPr>
                <w:rFonts w:hint="eastAsia" w:ascii="宋体" w:hAnsi="宋体"/>
                <w:color w:val="auto"/>
                <w:szCs w:val="21"/>
              </w:rPr>
              <w:t>要求递交投标保证金，投标保证金的</w:t>
            </w:r>
            <w:r>
              <w:rPr>
                <w:rFonts w:ascii="宋体" w:hAnsi="宋体"/>
                <w:color w:val="auto"/>
                <w:szCs w:val="21"/>
              </w:rPr>
              <w:t>金额：</w:t>
            </w:r>
          </w:p>
          <w:p>
            <w:pPr>
              <w:numPr>
                <w:ilvl w:val="0"/>
                <w:numId w:val="0"/>
              </w:numPr>
              <w:ind w:leftChars="0" w:firstLine="420" w:firstLineChars="200"/>
              <w:rPr>
                <w:rFonts w:hint="eastAsia" w:ascii="宋体" w:hAnsi="宋体"/>
                <w:b w:val="0"/>
                <w:bCs/>
                <w:color w:val="auto"/>
                <w:szCs w:val="21"/>
                <w:u w:val="none"/>
                <w:lang w:eastAsia="zh-CN"/>
              </w:rPr>
            </w:pPr>
            <w:r>
              <w:rPr>
                <w:rFonts w:hint="eastAsia" w:ascii="宋体" w:hAnsi="宋体"/>
                <w:color w:val="auto"/>
                <w:szCs w:val="21"/>
                <w:lang w:val="en-US" w:eastAsia="zh-CN"/>
              </w:rPr>
              <w:t>标段1：</w:t>
            </w:r>
            <w:r>
              <w:rPr>
                <w:rFonts w:hint="eastAsia" w:ascii="宋体" w:hAnsi="宋体"/>
                <w:color w:val="auto"/>
                <w:szCs w:val="21"/>
              </w:rPr>
              <w:t>人民币</w:t>
            </w:r>
            <w:r>
              <w:rPr>
                <w:rFonts w:hint="eastAsia" w:ascii="宋体" w:hAnsi="宋体"/>
                <w:b/>
                <w:bCs/>
                <w:color w:val="auto"/>
                <w:szCs w:val="21"/>
                <w:u w:val="single"/>
                <w:lang w:val="en-US" w:eastAsia="zh-CN"/>
              </w:rPr>
              <w:t>80</w:t>
            </w:r>
            <w:r>
              <w:rPr>
                <w:rFonts w:ascii="宋体" w:hAnsi="宋体"/>
                <w:b/>
                <w:color w:val="auto"/>
                <w:szCs w:val="21"/>
                <w:u w:val="single"/>
              </w:rPr>
              <w:t>00.00元</w:t>
            </w:r>
            <w:r>
              <w:rPr>
                <w:rFonts w:hint="eastAsia" w:ascii="宋体" w:hAnsi="宋体"/>
                <w:b w:val="0"/>
                <w:bCs/>
                <w:color w:val="auto"/>
                <w:szCs w:val="21"/>
                <w:u w:val="none"/>
                <w:lang w:eastAsia="zh-CN"/>
              </w:rPr>
              <w:t>；</w:t>
            </w:r>
          </w:p>
          <w:p>
            <w:pPr>
              <w:numPr>
                <w:ilvl w:val="0"/>
                <w:numId w:val="0"/>
              </w:numPr>
              <w:ind w:leftChars="0" w:firstLine="420" w:firstLineChars="200"/>
              <w:rPr>
                <w:rFonts w:hint="eastAsia" w:ascii="宋体" w:hAnsi="宋体"/>
                <w:b w:val="0"/>
                <w:bCs/>
                <w:color w:val="auto"/>
                <w:szCs w:val="21"/>
                <w:u w:val="none"/>
                <w:lang w:eastAsia="zh-CN"/>
              </w:rPr>
            </w:pPr>
            <w:r>
              <w:rPr>
                <w:rFonts w:hint="eastAsia" w:ascii="宋体" w:hAnsi="宋体"/>
                <w:color w:val="auto"/>
                <w:szCs w:val="21"/>
                <w:lang w:val="en-US" w:eastAsia="zh-CN"/>
              </w:rPr>
              <w:t>标段2：</w:t>
            </w:r>
            <w:r>
              <w:rPr>
                <w:rFonts w:hint="eastAsia" w:ascii="宋体" w:hAnsi="宋体"/>
                <w:color w:val="auto"/>
                <w:szCs w:val="21"/>
              </w:rPr>
              <w:t>人民币</w:t>
            </w:r>
            <w:r>
              <w:rPr>
                <w:rFonts w:hint="eastAsia" w:ascii="宋体" w:hAnsi="宋体"/>
                <w:b/>
                <w:bCs/>
                <w:color w:val="auto"/>
                <w:szCs w:val="21"/>
                <w:u w:val="single"/>
                <w:lang w:val="en-US" w:eastAsia="zh-CN"/>
              </w:rPr>
              <w:t>60</w:t>
            </w:r>
            <w:r>
              <w:rPr>
                <w:rFonts w:ascii="宋体" w:hAnsi="宋体"/>
                <w:b/>
                <w:color w:val="auto"/>
                <w:szCs w:val="21"/>
                <w:u w:val="single"/>
              </w:rPr>
              <w:t>00.00元</w:t>
            </w:r>
            <w:r>
              <w:rPr>
                <w:rFonts w:hint="eastAsia" w:ascii="宋体" w:hAnsi="宋体"/>
                <w:b w:val="0"/>
                <w:bCs/>
                <w:color w:val="auto"/>
                <w:szCs w:val="21"/>
                <w:u w:val="none"/>
                <w:lang w:eastAsia="zh-CN"/>
              </w:rPr>
              <w:t>；</w:t>
            </w:r>
          </w:p>
          <w:p>
            <w:pPr>
              <w:numPr>
                <w:ilvl w:val="0"/>
                <w:numId w:val="3"/>
              </w:numPr>
              <w:rPr>
                <w:rFonts w:ascii="宋体" w:hAnsi="宋体"/>
                <w:color w:val="auto"/>
                <w:szCs w:val="21"/>
                <w:u w:val="single"/>
              </w:rPr>
            </w:pPr>
            <w:r>
              <w:rPr>
                <w:rFonts w:hint="eastAsia" w:ascii="宋体" w:hAnsi="宋体"/>
                <w:color w:val="auto"/>
                <w:szCs w:val="21"/>
              </w:rPr>
              <w:t>投标保证金的</w:t>
            </w:r>
            <w:r>
              <w:rPr>
                <w:rFonts w:ascii="宋体" w:hAnsi="宋体"/>
                <w:color w:val="auto"/>
                <w:szCs w:val="21"/>
              </w:rPr>
              <w:t>形式：</w:t>
            </w:r>
            <w:r>
              <w:rPr>
                <w:rFonts w:hint="eastAsia" w:ascii="宋体" w:hAnsi="宋体"/>
                <w:color w:val="auto"/>
                <w:szCs w:val="21"/>
              </w:rPr>
              <w:t>银行电汇（凭证的备注栏须注明招标代理编号后</w:t>
            </w:r>
            <w:r>
              <w:rPr>
                <w:rFonts w:ascii="宋体" w:hAnsi="宋体"/>
                <w:color w:val="auto"/>
                <w:szCs w:val="21"/>
              </w:rPr>
              <w:t>6</w:t>
            </w:r>
            <w:r>
              <w:rPr>
                <w:rFonts w:hint="eastAsia" w:ascii="宋体" w:hAnsi="宋体"/>
                <w:color w:val="auto"/>
                <w:szCs w:val="21"/>
              </w:rPr>
              <w:t>位</w:t>
            </w:r>
            <w:r>
              <w:rPr>
                <w:rFonts w:ascii="宋体" w:hAnsi="宋体"/>
                <w:color w:val="auto"/>
                <w:szCs w:val="21"/>
              </w:rPr>
              <w:t>+公司名称简写+</w:t>
            </w:r>
            <w:r>
              <w:rPr>
                <w:rFonts w:hint="eastAsia" w:ascii="宋体" w:hAnsi="宋体"/>
                <w:color w:val="auto"/>
                <w:szCs w:val="21"/>
                <w:lang w:val="en-US" w:eastAsia="zh-CN"/>
              </w:rPr>
              <w:t>标段X</w:t>
            </w:r>
            <w:r>
              <w:rPr>
                <w:rFonts w:ascii="宋体" w:hAnsi="宋体"/>
                <w:color w:val="auto"/>
                <w:szCs w:val="21"/>
              </w:rPr>
              <w:t>）</w:t>
            </w:r>
          </w:p>
          <w:p>
            <w:pPr>
              <w:ind w:firstLine="420" w:firstLineChars="200"/>
              <w:rPr>
                <w:rFonts w:ascii="宋体" w:hAnsi="宋体"/>
                <w:color w:val="auto"/>
                <w:szCs w:val="21"/>
              </w:rPr>
            </w:pPr>
            <w:r>
              <w:rPr>
                <w:rFonts w:hint="eastAsia" w:ascii="宋体" w:hAnsi="宋体"/>
                <w:color w:val="auto"/>
                <w:szCs w:val="21"/>
                <w:lang w:val="en-US" w:eastAsia="zh-CN"/>
              </w:rPr>
              <w:t>注：</w:t>
            </w:r>
            <w:r>
              <w:rPr>
                <w:rFonts w:hint="eastAsia" w:ascii="宋体" w:hAnsi="宋体"/>
                <w:color w:val="auto"/>
                <w:szCs w:val="21"/>
              </w:rPr>
              <w:t>以电汇形式提交的，提交的投标保证金应当从投标人公司账户转出。</w:t>
            </w:r>
          </w:p>
          <w:p>
            <w:pPr>
              <w:numPr>
                <w:ilvl w:val="0"/>
                <w:numId w:val="3"/>
              </w:numPr>
              <w:rPr>
                <w:rFonts w:ascii="宋体" w:hAnsi="宋体"/>
                <w:color w:val="auto"/>
                <w:szCs w:val="21"/>
              </w:rPr>
            </w:pPr>
            <w:r>
              <w:rPr>
                <w:rFonts w:ascii="宋体" w:hAnsi="宋体"/>
                <w:color w:val="auto"/>
                <w:szCs w:val="21"/>
              </w:rPr>
              <w:t>投标保证金有效期与投标有效期一致。</w:t>
            </w:r>
          </w:p>
          <w:p>
            <w:pPr>
              <w:numPr>
                <w:ilvl w:val="0"/>
                <w:numId w:val="3"/>
              </w:numPr>
              <w:rPr>
                <w:rFonts w:ascii="宋体" w:hAnsi="宋体"/>
                <w:color w:val="auto"/>
                <w:szCs w:val="21"/>
              </w:rPr>
            </w:pPr>
            <w:r>
              <w:rPr>
                <w:rFonts w:hint="eastAsia" w:ascii="宋体" w:hAnsi="宋体"/>
                <w:color w:val="auto"/>
                <w:szCs w:val="21"/>
              </w:rPr>
              <w:t>提交投标保证金帐户信息：</w:t>
            </w:r>
          </w:p>
          <w:p>
            <w:pPr>
              <w:autoSpaceDE w:val="0"/>
              <w:autoSpaceDN w:val="0"/>
              <w:jc w:val="left"/>
              <w:rPr>
                <w:rFonts w:ascii="宋体" w:hAnsi="宋体" w:cs="宋体"/>
                <w:color w:val="auto"/>
                <w:szCs w:val="21"/>
              </w:rPr>
            </w:pPr>
            <w:r>
              <w:rPr>
                <w:rFonts w:hint="eastAsia" w:ascii="宋体" w:hAnsi="宋体" w:cs="宋体"/>
                <w:color w:val="auto"/>
                <w:szCs w:val="21"/>
              </w:rPr>
              <w:t>公司名称：广东省南方文化产权交易所股份有限公司</w:t>
            </w:r>
          </w:p>
          <w:p>
            <w:pPr>
              <w:autoSpaceDE w:val="0"/>
              <w:autoSpaceDN w:val="0"/>
              <w:jc w:val="left"/>
              <w:rPr>
                <w:rFonts w:ascii="宋体" w:hAnsi="宋体" w:cs="宋体"/>
                <w:color w:val="auto"/>
                <w:szCs w:val="21"/>
              </w:rPr>
            </w:pPr>
            <w:r>
              <w:rPr>
                <w:rFonts w:hint="eastAsia" w:ascii="宋体" w:hAnsi="宋体" w:cs="宋体"/>
                <w:color w:val="auto"/>
                <w:szCs w:val="21"/>
              </w:rPr>
              <w:t>银行名称：民生银行广州环市支行</w:t>
            </w:r>
          </w:p>
          <w:p>
            <w:pPr>
              <w:autoSpaceDE w:val="0"/>
              <w:autoSpaceDN w:val="0"/>
              <w:jc w:val="left"/>
              <w:rPr>
                <w:rFonts w:ascii="宋体" w:hAnsi="宋体" w:cs="宋体"/>
                <w:color w:val="auto"/>
                <w:szCs w:val="21"/>
              </w:rPr>
            </w:pPr>
            <w:r>
              <w:rPr>
                <w:rFonts w:hint="eastAsia" w:ascii="宋体" w:hAnsi="宋体" w:cs="宋体"/>
                <w:color w:val="auto"/>
                <w:szCs w:val="21"/>
              </w:rPr>
              <w:t>银行账号：</w:t>
            </w:r>
            <w:r>
              <w:rPr>
                <w:rFonts w:ascii="宋体" w:hAnsi="宋体" w:cs="宋体"/>
                <w:color w:val="auto"/>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投标保证金形式</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投标保证金形式：银行电汇</w:t>
            </w:r>
          </w:p>
          <w:p>
            <w:pPr>
              <w:autoSpaceDE w:val="0"/>
              <w:autoSpaceDN w:val="0"/>
              <w:rPr>
                <w:rFonts w:ascii="宋体" w:hAnsi="宋体" w:cs="宋体"/>
                <w:color w:val="auto"/>
                <w:szCs w:val="21"/>
              </w:rPr>
            </w:pPr>
            <w:r>
              <w:rPr>
                <w:rFonts w:hint="eastAsia" w:ascii="宋体" w:hAnsi="宋体" w:cs="宋体"/>
                <w:color w:val="auto"/>
                <w:szCs w:val="21"/>
              </w:rPr>
              <w:t>投标保证金有效期与投标有效期一致。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3.5.4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投标保证金不予退还的其他规定</w:t>
            </w:r>
          </w:p>
        </w:tc>
        <w:tc>
          <w:tcPr>
            <w:tcW w:w="5795" w:type="dxa"/>
            <w:shd w:val="clear" w:color="auto" w:fill="auto"/>
            <w:vAlign w:val="center"/>
          </w:tcPr>
          <w:p>
            <w:pPr>
              <w:autoSpaceDE w:val="0"/>
              <w:autoSpaceDN w:val="0"/>
              <w:jc w:val="left"/>
              <w:rPr>
                <w:rFonts w:ascii="宋体" w:hAnsi="宋体" w:cs="宋体"/>
                <w:color w:val="auto"/>
                <w:szCs w:val="21"/>
              </w:rPr>
            </w:pPr>
            <w:r>
              <w:rPr>
                <w:rFonts w:hint="eastAsia" w:ascii="宋体" w:hAnsi="宋体" w:cs="宋体"/>
                <w:color w:val="auto"/>
                <w:szCs w:val="21"/>
              </w:rPr>
              <w:t>有下列情形之一的，投标保证金将不予退还：</w:t>
            </w:r>
            <w:r>
              <w:rPr>
                <w:rFonts w:ascii="宋体" w:hAnsi="宋体" w:cs="宋体"/>
                <w:color w:val="auto"/>
                <w:szCs w:val="21"/>
              </w:rPr>
              <w:t xml:space="preserve"> </w:t>
            </w:r>
          </w:p>
          <w:p>
            <w:pPr>
              <w:autoSpaceDE w:val="0"/>
              <w:autoSpaceDN w:val="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 xml:space="preserve">1）投标人在招标文件中规定的投标有效期内撤销投标的； </w:t>
            </w:r>
          </w:p>
          <w:p>
            <w:pPr>
              <w:autoSpaceDE w:val="0"/>
              <w:autoSpaceDN w:val="0"/>
              <w:jc w:val="left"/>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 xml:space="preserve">2）中标人无正当理由不与招标人订立合同，或在签订合同时向招标人提出附加条件，或者不按照招标文件要求递交履约保证金的； </w:t>
            </w:r>
          </w:p>
          <w:p>
            <w:pPr>
              <w:autoSpaceDE w:val="0"/>
              <w:autoSpaceDN w:val="0"/>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3）投标人有围标、串通投标、弄虚作假、向招标人或者评标委员会成员行贿谋取中标等行为的；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3.6.1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备选投标方案</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■不允许</w:t>
            </w:r>
          </w:p>
          <w:p>
            <w:pPr>
              <w:autoSpaceDE w:val="0"/>
              <w:autoSpaceDN w:val="0"/>
              <w:rPr>
                <w:rFonts w:ascii="宋体" w:hAnsi="宋体" w:cs="宋体"/>
                <w:color w:val="auto"/>
                <w:szCs w:val="21"/>
              </w:rPr>
            </w:pPr>
            <w:r>
              <w:rPr>
                <w:rFonts w:hint="eastAsia" w:ascii="宋体" w:hAnsi="宋体" w:cs="宋体"/>
                <w:color w:val="auto"/>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投标文件份数</w:t>
            </w:r>
          </w:p>
        </w:tc>
        <w:tc>
          <w:tcPr>
            <w:tcW w:w="5795" w:type="dxa"/>
            <w:shd w:val="clear" w:color="auto" w:fill="auto"/>
            <w:vAlign w:val="center"/>
          </w:tcPr>
          <w:p>
            <w:pPr>
              <w:jc w:val="left"/>
              <w:rPr>
                <w:rFonts w:ascii="宋体" w:hAnsi="宋体" w:cs="宋体"/>
                <w:color w:val="auto"/>
                <w:szCs w:val="21"/>
              </w:rPr>
            </w:pPr>
            <w:r>
              <w:rPr>
                <w:rFonts w:ascii="宋体" w:hAnsi="宋体" w:cs="宋体"/>
                <w:color w:val="auto"/>
                <w:szCs w:val="21"/>
              </w:rPr>
              <w:t xml:space="preserve">1． </w:t>
            </w:r>
            <w:r>
              <w:rPr>
                <w:rFonts w:hint="eastAsia" w:ascii="宋体" w:hAnsi="宋体" w:cs="宋体"/>
                <w:color w:val="auto"/>
                <w:szCs w:val="21"/>
              </w:rPr>
              <w:t>投标文件（含商务技术投标文件及经济投标文件）</w:t>
            </w:r>
            <w:r>
              <w:rPr>
                <w:rFonts w:ascii="宋体" w:hAnsi="宋体" w:cs="宋体"/>
                <w:color w:val="auto"/>
                <w:szCs w:val="21"/>
              </w:rPr>
              <w:t>1式2份，1份正本和1份副本。</w:t>
            </w:r>
          </w:p>
          <w:p>
            <w:pPr>
              <w:jc w:val="left"/>
              <w:rPr>
                <w:rFonts w:ascii="宋体" w:hAnsi="宋体" w:cs="宋体"/>
                <w:color w:val="auto"/>
                <w:szCs w:val="21"/>
              </w:rPr>
            </w:pPr>
            <w:r>
              <w:rPr>
                <w:rFonts w:ascii="宋体" w:hAnsi="宋体" w:cs="宋体"/>
                <w:color w:val="auto"/>
                <w:szCs w:val="21"/>
              </w:rPr>
              <w:t xml:space="preserve">2． </w:t>
            </w:r>
            <w:r>
              <w:rPr>
                <w:rFonts w:hint="eastAsia" w:ascii="宋体" w:hAnsi="宋体" w:cs="宋体"/>
                <w:color w:val="auto"/>
                <w:szCs w:val="21"/>
              </w:rPr>
              <w:t>按项目制作投标文件成册，建议双面打印，并提供</w:t>
            </w:r>
            <w:r>
              <w:rPr>
                <w:rFonts w:ascii="宋体" w:hAnsi="宋体" w:cs="宋体"/>
                <w:color w:val="auto"/>
                <w:szCs w:val="21"/>
              </w:rPr>
              <w:t>1套电子版（要求同时提供必须包含开标一览表(报价表）、投标分项报价表（报价明细表）（如有）、商务技术标、经济标可编辑电子版本，经济标盖章扫描版），投标文件电子版可同刻在一个U盘里，电子版内容需与投标文件纸质内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3.7.4</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投标文件的外层包封</w:t>
            </w:r>
          </w:p>
        </w:tc>
        <w:tc>
          <w:tcPr>
            <w:tcW w:w="5795" w:type="dxa"/>
            <w:shd w:val="clear" w:color="auto" w:fill="auto"/>
            <w:vAlign w:val="center"/>
          </w:tcPr>
          <w:p>
            <w:pPr>
              <w:autoSpaceDE w:val="0"/>
              <w:autoSpaceDN w:val="0"/>
              <w:rPr>
                <w:rFonts w:ascii="宋体" w:hAnsi="宋体" w:cs="宋体"/>
                <w:color w:val="auto"/>
                <w:szCs w:val="21"/>
              </w:rPr>
            </w:pPr>
            <w:r>
              <w:rPr>
                <w:rFonts w:ascii="宋体" w:hAnsi="宋体" w:cs="宋体"/>
                <w:color w:val="auto"/>
                <w:szCs w:val="21"/>
              </w:rPr>
              <w:t>1．</w:t>
            </w:r>
            <w:r>
              <w:rPr>
                <w:rFonts w:ascii="宋体" w:hAnsi="宋体" w:cs="宋体"/>
                <w:color w:val="auto"/>
                <w:szCs w:val="21"/>
              </w:rPr>
              <w:tab/>
            </w:r>
            <w:r>
              <w:rPr>
                <w:rFonts w:hint="eastAsia" w:ascii="宋体" w:hAnsi="宋体" w:cs="宋体"/>
                <w:b/>
                <w:bCs/>
                <w:color w:val="auto"/>
                <w:szCs w:val="21"/>
              </w:rPr>
              <w:t>商务技术投标文件及经济投标文件应分别装订并单独密封并在封口加盖骑缝章。</w:t>
            </w:r>
          </w:p>
          <w:p>
            <w:pPr>
              <w:autoSpaceDE w:val="0"/>
              <w:autoSpaceDN w:val="0"/>
              <w:rPr>
                <w:rFonts w:ascii="宋体" w:hAnsi="宋体" w:cs="宋体"/>
                <w:color w:val="auto"/>
                <w:szCs w:val="21"/>
              </w:rPr>
            </w:pPr>
            <w:r>
              <w:rPr>
                <w:rFonts w:ascii="宋体" w:hAnsi="宋体" w:cs="宋体"/>
                <w:color w:val="auto"/>
                <w:szCs w:val="21"/>
              </w:rPr>
              <w:t>2．</w:t>
            </w:r>
            <w:r>
              <w:rPr>
                <w:rFonts w:ascii="宋体" w:hAnsi="宋体" w:cs="宋体"/>
                <w:color w:val="auto"/>
                <w:szCs w:val="21"/>
              </w:rPr>
              <w:tab/>
            </w:r>
            <w:r>
              <w:rPr>
                <w:rFonts w:hint="eastAsia" w:ascii="宋体" w:hAnsi="宋体" w:cs="宋体"/>
                <w:color w:val="auto"/>
                <w:szCs w:val="21"/>
              </w:rPr>
              <w:t>商务技术标书里不能含有任何有关投标报价信息。</w:t>
            </w:r>
          </w:p>
          <w:p>
            <w:pPr>
              <w:autoSpaceDE w:val="0"/>
              <w:autoSpaceDN w:val="0"/>
              <w:rPr>
                <w:rFonts w:ascii="宋体" w:hAnsi="宋体" w:cs="宋体"/>
                <w:color w:val="auto"/>
                <w:szCs w:val="21"/>
              </w:rPr>
            </w:pPr>
            <w:r>
              <w:rPr>
                <w:rFonts w:ascii="宋体" w:hAnsi="宋体" w:cs="宋体"/>
                <w:color w:val="auto"/>
                <w:szCs w:val="21"/>
              </w:rPr>
              <w:t>3．</w:t>
            </w:r>
            <w:r>
              <w:rPr>
                <w:rFonts w:ascii="宋体" w:hAnsi="宋体" w:cs="宋体"/>
                <w:color w:val="auto"/>
                <w:szCs w:val="21"/>
              </w:rPr>
              <w:tab/>
            </w:r>
            <w:r>
              <w:rPr>
                <w:rFonts w:hint="eastAsia" w:ascii="宋体" w:hAnsi="宋体" w:cs="宋体"/>
                <w:color w:val="auto"/>
                <w:szCs w:val="21"/>
              </w:rPr>
              <w:t>投标人应在每份投标文件的正本、副本和电子文件封面上明确标明“正本”、“副本”或“电子文件”。包封的所有粘接缝隙必须加盖单位章或由投标人的法定代表人或其授权的代表人签字。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3.7.6</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投标文件的密封和标记要求</w:t>
            </w:r>
          </w:p>
        </w:tc>
        <w:tc>
          <w:tcPr>
            <w:tcW w:w="5795" w:type="dxa"/>
            <w:shd w:val="clear" w:color="auto" w:fill="auto"/>
            <w:vAlign w:val="center"/>
          </w:tcPr>
          <w:p>
            <w:pPr>
              <w:autoSpaceDE w:val="0"/>
              <w:autoSpaceDN w:val="0"/>
              <w:rPr>
                <w:rFonts w:ascii="宋体" w:hAnsi="宋体"/>
                <w:color w:val="auto"/>
                <w:szCs w:val="21"/>
              </w:rPr>
            </w:pPr>
            <w:r>
              <w:rPr>
                <w:rFonts w:hint="eastAsia" w:ascii="宋体" w:hAnsi="宋体"/>
                <w:color w:val="auto"/>
                <w:szCs w:val="21"/>
              </w:rPr>
              <w:t>本条款增加如下规定：</w:t>
            </w:r>
          </w:p>
          <w:p>
            <w:pPr>
              <w:tabs>
                <w:tab w:val="left" w:pos="318"/>
              </w:tabs>
              <w:jc w:val="left"/>
              <w:rPr>
                <w:rFonts w:ascii="宋体" w:hAnsi="宋体" w:cs="宋体"/>
                <w:color w:val="auto"/>
                <w:szCs w:val="21"/>
              </w:rPr>
            </w:pPr>
            <w:r>
              <w:rPr>
                <w:rFonts w:hint="eastAsia" w:ascii="宋体" w:hAnsi="宋体" w:cs="宋体"/>
                <w:color w:val="auto"/>
                <w:szCs w:val="21"/>
              </w:rPr>
              <w:t>密封的所有黏接缝隙必须加盖单位公章或者由投标人的法定代表人（负责人）或者其委托代理人签字。外层包封应当写明招标人名称、投标人名称和地址、项目名称、招标代理编号、并注明开标时间以前不得开封。</w:t>
            </w:r>
          </w:p>
          <w:p>
            <w:pPr>
              <w:tabs>
                <w:tab w:val="left" w:pos="318"/>
              </w:tabs>
              <w:jc w:val="left"/>
              <w:rPr>
                <w:rFonts w:ascii="宋体" w:hAnsi="宋体" w:cs="宋体"/>
                <w:color w:val="auto"/>
                <w:szCs w:val="21"/>
              </w:rPr>
            </w:pPr>
            <w:r>
              <w:rPr>
                <w:rFonts w:hint="eastAsia" w:ascii="宋体" w:hAnsi="宋体" w:cs="宋体"/>
                <w:color w:val="auto"/>
                <w:szCs w:val="21"/>
              </w:rPr>
              <w:t>封套上应载明的信息：</w:t>
            </w:r>
          </w:p>
          <w:p>
            <w:pPr>
              <w:tabs>
                <w:tab w:val="left" w:pos="318"/>
              </w:tabs>
              <w:jc w:val="left"/>
              <w:rPr>
                <w:rFonts w:hint="eastAsia" w:ascii="宋体" w:hAnsi="宋体" w:eastAsia="宋体" w:cs="宋体"/>
                <w:color w:val="auto"/>
                <w:szCs w:val="21"/>
                <w:lang w:eastAsia="zh-CN"/>
              </w:rPr>
            </w:pPr>
            <w:r>
              <w:rPr>
                <w:rFonts w:hint="eastAsia" w:ascii="宋体" w:hAnsi="宋体" w:cs="宋体"/>
                <w:color w:val="auto"/>
                <w:szCs w:val="21"/>
              </w:rPr>
              <w:t>招标人名称：</w:t>
            </w:r>
            <w:r>
              <w:rPr>
                <w:rFonts w:hint="eastAsia" w:ascii="宋体" w:hAnsi="宋体" w:cs="宋体"/>
                <w:color w:val="auto"/>
                <w:szCs w:val="21"/>
                <w:lang w:eastAsia="zh-CN"/>
              </w:rPr>
              <w:t>广东南方日报展示有限公司</w:t>
            </w:r>
          </w:p>
          <w:p>
            <w:pPr>
              <w:tabs>
                <w:tab w:val="left" w:pos="318"/>
              </w:tabs>
              <w:jc w:val="left"/>
              <w:rPr>
                <w:rFonts w:ascii="宋体" w:hAnsi="宋体" w:cs="宋体"/>
                <w:color w:val="auto"/>
                <w:szCs w:val="21"/>
              </w:rPr>
            </w:pPr>
            <w:r>
              <w:rPr>
                <w:rFonts w:hint="eastAsia" w:ascii="宋体" w:hAnsi="宋体" w:cs="宋体"/>
                <w:color w:val="auto"/>
                <w:szCs w:val="21"/>
              </w:rPr>
              <w:t>投标人名称：</w:t>
            </w:r>
          </w:p>
          <w:p>
            <w:pPr>
              <w:tabs>
                <w:tab w:val="left" w:pos="318"/>
              </w:tabs>
              <w:jc w:val="left"/>
              <w:rPr>
                <w:rFonts w:ascii="宋体" w:hAnsi="宋体" w:cs="宋体"/>
                <w:color w:val="auto"/>
                <w:szCs w:val="21"/>
              </w:rPr>
            </w:pPr>
            <w:r>
              <w:rPr>
                <w:rFonts w:hint="eastAsia" w:ascii="宋体" w:hAnsi="宋体" w:cs="宋体"/>
                <w:color w:val="auto"/>
                <w:szCs w:val="21"/>
              </w:rPr>
              <w:t>投标人地址：</w:t>
            </w:r>
          </w:p>
          <w:p>
            <w:pPr>
              <w:tabs>
                <w:tab w:val="left" w:pos="318"/>
              </w:tabs>
              <w:jc w:val="left"/>
              <w:rPr>
                <w:rFonts w:hint="default" w:ascii="宋体" w:hAnsi="宋体" w:cs="宋体"/>
                <w:color w:val="auto"/>
                <w:szCs w:val="21"/>
                <w:lang w:val="en-US" w:eastAsia="zh-CN"/>
              </w:rPr>
            </w:pPr>
            <w:r>
              <w:rPr>
                <w:rFonts w:hint="eastAsia" w:ascii="宋体" w:hAnsi="宋体" w:cs="宋体"/>
                <w:color w:val="auto"/>
                <w:szCs w:val="21"/>
              </w:rPr>
              <w:t>项目名称：</w:t>
            </w:r>
            <w:r>
              <w:rPr>
                <w:rFonts w:ascii="宋体" w:hAnsi="宋体" w:cs="宋体"/>
                <w:color w:val="auto"/>
                <w:szCs w:val="21"/>
              </w:rPr>
              <w:t xml:space="preserve"> </w:t>
            </w:r>
          </w:p>
          <w:p>
            <w:pPr>
              <w:tabs>
                <w:tab w:val="left" w:pos="318"/>
              </w:tabs>
              <w:jc w:val="left"/>
              <w:rPr>
                <w:rFonts w:hint="eastAsia" w:ascii="宋体" w:hAnsi="宋体" w:cs="宋体"/>
                <w:color w:val="auto"/>
                <w:szCs w:val="21"/>
              </w:rPr>
            </w:pPr>
            <w:r>
              <w:rPr>
                <w:rFonts w:hint="eastAsia" w:ascii="宋体" w:hAnsi="宋体" w:cs="宋体"/>
                <w:color w:val="auto"/>
                <w:szCs w:val="21"/>
              </w:rPr>
              <w:t>招标代理编号：</w:t>
            </w:r>
          </w:p>
          <w:p>
            <w:pPr>
              <w:tabs>
                <w:tab w:val="left" w:pos="318"/>
              </w:tabs>
              <w:jc w:val="left"/>
              <w:rPr>
                <w:rFonts w:ascii="宋体" w:hAnsi="宋体" w:cs="宋体"/>
                <w:color w:val="auto"/>
                <w:szCs w:val="21"/>
              </w:rPr>
            </w:pPr>
            <w:r>
              <w:rPr>
                <w:rFonts w:hint="eastAsia" w:ascii="宋体" w:hAnsi="宋体" w:cs="宋体"/>
                <w:color w:val="auto"/>
                <w:szCs w:val="21"/>
                <w:lang w:val="en-US" w:eastAsia="zh-CN"/>
              </w:rPr>
              <w:t>标段X：标段名称</w:t>
            </w:r>
          </w:p>
          <w:p>
            <w:pPr>
              <w:tabs>
                <w:tab w:val="left" w:pos="318"/>
              </w:tabs>
              <w:jc w:val="left"/>
              <w:rPr>
                <w:rFonts w:ascii="宋体" w:hAnsi="宋体" w:cs="宋体"/>
                <w:color w:val="auto"/>
                <w:szCs w:val="21"/>
              </w:rPr>
            </w:pPr>
            <w:r>
              <w:rPr>
                <w:rFonts w:hint="eastAsia" w:ascii="宋体" w:hAnsi="宋体" w:cs="宋体"/>
                <w:color w:val="auto"/>
                <w:szCs w:val="21"/>
              </w:rPr>
              <w:t>在</w:t>
            </w:r>
            <w:r>
              <w:rPr>
                <w:rFonts w:ascii="宋体" w:hAnsi="宋体" w:cs="宋体"/>
                <w:color w:val="auto"/>
                <w:szCs w:val="21"/>
              </w:rPr>
              <w:tab/>
            </w:r>
            <w:r>
              <w:rPr>
                <w:rFonts w:hint="eastAsia" w:ascii="宋体" w:hAnsi="宋体" w:cs="宋体"/>
                <w:color w:val="auto"/>
                <w:szCs w:val="21"/>
              </w:rPr>
              <w:t>年</w:t>
            </w:r>
            <w:r>
              <w:rPr>
                <w:rFonts w:ascii="宋体" w:hAnsi="宋体" w:cs="宋体"/>
                <w:color w:val="auto"/>
                <w:szCs w:val="21"/>
              </w:rPr>
              <w:tab/>
            </w:r>
            <w:r>
              <w:rPr>
                <w:rFonts w:hint="eastAsia" w:ascii="宋体" w:hAnsi="宋体" w:cs="宋体"/>
                <w:color w:val="auto"/>
                <w:szCs w:val="21"/>
              </w:rPr>
              <w:t>月</w:t>
            </w:r>
            <w:r>
              <w:rPr>
                <w:rFonts w:ascii="宋体" w:hAnsi="宋体" w:cs="宋体"/>
                <w:color w:val="auto"/>
                <w:szCs w:val="21"/>
              </w:rPr>
              <w:tab/>
            </w:r>
            <w:r>
              <w:rPr>
                <w:rFonts w:hint="eastAsia" w:ascii="宋体" w:hAnsi="宋体" w:cs="宋体"/>
                <w:color w:val="auto"/>
                <w:szCs w:val="21"/>
              </w:rPr>
              <w:t>日</w:t>
            </w:r>
            <w:r>
              <w:rPr>
                <w:rFonts w:ascii="宋体" w:hAnsi="宋体" w:cs="宋体"/>
                <w:color w:val="auto"/>
                <w:szCs w:val="21"/>
              </w:rPr>
              <w:tab/>
            </w:r>
            <w:r>
              <w:rPr>
                <w:rFonts w:hint="eastAsia" w:ascii="宋体" w:hAnsi="宋体" w:cs="宋体"/>
                <w:color w:val="auto"/>
                <w:szCs w:val="21"/>
              </w:rPr>
              <w:t>时前不得开启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投标</w:t>
            </w:r>
            <w:r>
              <w:rPr>
                <w:rFonts w:hint="eastAsia" w:ascii="宋体" w:hAnsi="宋体"/>
                <w:color w:val="auto"/>
              </w:rPr>
              <w:t>文件递交截止时间</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详见第一章</w:t>
            </w:r>
            <w:r>
              <w:rPr>
                <w:rFonts w:ascii="宋体" w:hAnsi="宋体" w:cs="宋体"/>
                <w:color w:val="auto"/>
                <w:szCs w:val="21"/>
              </w:rPr>
              <w:t xml:space="preserve"> </w:t>
            </w:r>
            <w:r>
              <w:rPr>
                <w:rFonts w:hint="eastAsia" w:ascii="宋体" w:hAnsi="宋体" w:cs="宋体"/>
                <w:color w:val="auto"/>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4.1.2</w:t>
            </w:r>
          </w:p>
        </w:tc>
        <w:tc>
          <w:tcPr>
            <w:tcW w:w="1666"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投标</w:t>
            </w:r>
            <w:r>
              <w:rPr>
                <w:rFonts w:hint="eastAsia" w:ascii="宋体" w:hAnsi="宋体"/>
                <w:color w:val="auto"/>
              </w:rPr>
              <w:t>文件递交地点</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详见第一章</w:t>
            </w:r>
            <w:r>
              <w:rPr>
                <w:rFonts w:ascii="宋体" w:hAnsi="宋体" w:cs="宋体"/>
                <w:color w:val="auto"/>
                <w:szCs w:val="21"/>
              </w:rPr>
              <w:t xml:space="preserve"> </w:t>
            </w:r>
            <w:r>
              <w:rPr>
                <w:rFonts w:hint="eastAsia" w:ascii="宋体" w:hAnsi="宋体" w:cs="宋体"/>
                <w:color w:val="auto"/>
                <w:szCs w:val="21"/>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4.1.4</w:t>
            </w:r>
          </w:p>
        </w:tc>
        <w:tc>
          <w:tcPr>
            <w:tcW w:w="1666" w:type="dxa"/>
            <w:shd w:val="clear" w:color="auto" w:fill="auto"/>
            <w:vAlign w:val="center"/>
          </w:tcPr>
          <w:p>
            <w:pPr>
              <w:autoSpaceDE w:val="0"/>
              <w:autoSpaceDN w:val="0"/>
              <w:rPr>
                <w:rFonts w:ascii="宋体" w:hAnsi="宋体"/>
                <w:color w:val="auto"/>
              </w:rPr>
            </w:pPr>
            <w:r>
              <w:rPr>
                <w:rFonts w:hint="eastAsia" w:ascii="宋体" w:hAnsi="宋体" w:cs="宋体"/>
                <w:color w:val="auto"/>
                <w:szCs w:val="21"/>
              </w:rPr>
              <w:t>投标</w:t>
            </w:r>
            <w:r>
              <w:rPr>
                <w:rFonts w:hint="eastAsia" w:ascii="宋体" w:hAnsi="宋体"/>
                <w:color w:val="auto"/>
              </w:rPr>
              <w:t>文件退还</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■不退还</w:t>
            </w:r>
          </w:p>
          <w:p>
            <w:pPr>
              <w:autoSpaceDE w:val="0"/>
              <w:autoSpaceDN w:val="0"/>
              <w:rPr>
                <w:rFonts w:ascii="宋体" w:hAnsi="宋体" w:cs="宋体"/>
                <w:color w:val="auto"/>
                <w:szCs w:val="21"/>
              </w:rPr>
            </w:pPr>
            <w:r>
              <w:rPr>
                <w:rFonts w:hint="eastAsia" w:ascii="宋体" w:hAnsi="宋体" w:cs="宋体"/>
                <w:color w:val="auto"/>
                <w:szCs w:val="21"/>
              </w:rPr>
              <w:t>□退还，</w:t>
            </w:r>
            <w:r>
              <w:rPr>
                <w:rFonts w:hint="eastAsia" w:ascii="宋体" w:hAnsi="宋体"/>
                <w:color w:val="auto"/>
                <w:szCs w:val="21"/>
              </w:rPr>
              <w:t>投标</w:t>
            </w:r>
            <w:r>
              <w:rPr>
                <w:rFonts w:hint="eastAsia" w:ascii="宋体" w:hAnsi="宋体"/>
                <w:color w:val="auto"/>
                <w:szCs w:val="21"/>
                <w:u w:val="single"/>
              </w:rPr>
              <w:t>文件退还的具体要求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5.1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唱价时间和地点</w:t>
            </w:r>
          </w:p>
        </w:tc>
        <w:tc>
          <w:tcPr>
            <w:tcW w:w="5795" w:type="dxa"/>
            <w:shd w:val="clear" w:color="auto" w:fill="auto"/>
            <w:vAlign w:val="center"/>
          </w:tcPr>
          <w:p>
            <w:pPr>
              <w:ind w:left="15" w:leftChars="7"/>
              <w:jc w:val="left"/>
              <w:rPr>
                <w:rFonts w:ascii="宋体" w:hAnsi="宋体"/>
                <w:color w:val="auto"/>
                <w:szCs w:val="21"/>
              </w:rPr>
            </w:pPr>
            <w:r>
              <w:rPr>
                <w:rFonts w:hint="eastAsia" w:ascii="宋体" w:hAnsi="宋体" w:cs="宋体"/>
                <w:color w:val="auto"/>
                <w:szCs w:val="21"/>
              </w:rPr>
              <w:t>同投标文件递交截止时间和地点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6.1.1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评标委员会组成人数</w:t>
            </w:r>
          </w:p>
        </w:tc>
        <w:tc>
          <w:tcPr>
            <w:tcW w:w="5795" w:type="dxa"/>
            <w:shd w:val="clear" w:color="auto" w:fill="auto"/>
            <w:vAlign w:val="center"/>
          </w:tcPr>
          <w:p>
            <w:pPr>
              <w:autoSpaceDE w:val="0"/>
              <w:autoSpaceDN w:val="0"/>
              <w:rPr>
                <w:rFonts w:ascii="宋体" w:hAnsi="宋体" w:cs="宋体"/>
                <w:color w:val="auto"/>
                <w:szCs w:val="21"/>
              </w:rPr>
            </w:pPr>
            <w:r>
              <w:rPr>
                <w:rFonts w:ascii="宋体" w:hAnsi="宋体"/>
                <w:color w:val="auto"/>
                <w:szCs w:val="21"/>
                <w:u w:val="single"/>
              </w:rPr>
              <w:t>5</w:t>
            </w:r>
            <w:r>
              <w:rPr>
                <w:rFonts w:hint="eastAsia" w:ascii="宋体" w:hAnsi="宋体" w:cs="宋体"/>
                <w:color w:val="auto"/>
                <w:szCs w:val="21"/>
              </w:rPr>
              <w:t>人或以上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6.3</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评审方法</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□经评审的最低价法</w:t>
            </w:r>
          </w:p>
          <w:p>
            <w:pPr>
              <w:autoSpaceDE w:val="0"/>
              <w:autoSpaceDN w:val="0"/>
              <w:rPr>
                <w:rFonts w:ascii="宋体" w:hAnsi="宋体" w:cs="宋体"/>
                <w:color w:val="auto"/>
                <w:szCs w:val="21"/>
              </w:rPr>
            </w:pPr>
            <w:r>
              <w:rPr>
                <w:rFonts w:hint="eastAsia" w:ascii="宋体" w:hAnsi="宋体" w:cs="宋体"/>
                <w:color w:val="auto"/>
                <w:szCs w:val="21"/>
              </w:rPr>
              <w:t>■综合评估法</w:t>
            </w:r>
          </w:p>
          <w:p>
            <w:pPr>
              <w:autoSpaceDE w:val="0"/>
              <w:autoSpaceDN w:val="0"/>
              <w:rPr>
                <w:rFonts w:ascii="宋体" w:hAnsi="宋体" w:cs="宋体"/>
                <w:color w:val="auto"/>
                <w:szCs w:val="21"/>
                <w:u w:val="single"/>
              </w:rPr>
            </w:pPr>
            <w:r>
              <w:rPr>
                <w:rFonts w:hint="eastAsia" w:ascii="宋体" w:hAnsi="宋体" w:cs="宋体"/>
                <w:color w:val="auto"/>
                <w:szCs w:val="21"/>
              </w:rPr>
              <w:t>□其他：</w:t>
            </w:r>
            <w:r>
              <w:rPr>
                <w:rFonts w:ascii="宋体" w:hAnsi="宋体" w:cs="宋体"/>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 xml:space="preserve">6.4 </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中标候选人推荐原则</w:t>
            </w:r>
          </w:p>
        </w:tc>
        <w:tc>
          <w:tcPr>
            <w:tcW w:w="5795" w:type="dxa"/>
            <w:shd w:val="clear" w:color="auto" w:fill="auto"/>
            <w:vAlign w:val="center"/>
          </w:tcPr>
          <w:p>
            <w:pPr>
              <w:autoSpaceDE w:val="0"/>
              <w:autoSpaceDN w:val="0"/>
              <w:rPr>
                <w:rFonts w:hint="eastAsia"/>
                <w:color w:val="auto"/>
              </w:rPr>
            </w:pPr>
            <w:bookmarkStart w:id="34" w:name="_Toc346159396"/>
            <w:r>
              <w:rPr>
                <w:rFonts w:hint="eastAsia"/>
                <w:color w:val="auto"/>
              </w:rPr>
              <w:t>推荐原则如下：</w:t>
            </w:r>
            <w:bookmarkEnd w:id="34"/>
          </w:p>
          <w:p>
            <w:pPr>
              <w:numPr>
                <w:ilvl w:val="0"/>
                <w:numId w:val="0"/>
              </w:numPr>
              <w:autoSpaceDE w:val="0"/>
              <w:autoSpaceDN w:val="0"/>
              <w:rPr>
                <w:rFonts w:hint="eastAsia"/>
                <w:color w:val="auto"/>
              </w:rPr>
            </w:pPr>
            <w:r>
              <w:rPr>
                <w:rFonts w:hint="eastAsia"/>
                <w:color w:val="auto"/>
                <w:lang w:val="en-US" w:eastAsia="zh-CN"/>
              </w:rPr>
              <w:t>1.每个标段</w:t>
            </w:r>
            <w:r>
              <w:rPr>
                <w:rFonts w:hint="eastAsia"/>
                <w:color w:val="auto"/>
              </w:rPr>
              <w:t>推荐两名中标候选人，根据综合得分由高到低排名，第一名为第一中标候选人，第二名为第二中标候选人。</w:t>
            </w:r>
          </w:p>
          <w:p>
            <w:pPr>
              <w:widowControl w:val="0"/>
              <w:numPr>
                <w:ilvl w:val="0"/>
                <w:numId w:val="0"/>
              </w:numPr>
              <w:tabs>
                <w:tab w:val="left" w:pos="312"/>
              </w:tabs>
              <w:autoSpaceDE w:val="0"/>
              <w:autoSpaceDN w:val="0"/>
              <w:jc w:val="both"/>
              <w:rPr>
                <w:rFonts w:hint="default"/>
                <w:color w:val="auto"/>
                <w:lang w:val="en-US" w:eastAsia="zh-CN"/>
              </w:rPr>
            </w:pPr>
            <w:r>
              <w:rPr>
                <w:rFonts w:hint="eastAsia"/>
                <w:color w:val="auto"/>
                <w:lang w:val="en-US" w:eastAsia="zh-CN"/>
              </w:rPr>
              <w:t>2.若存在投标人在本项目多个标段综合得分排名第一的情形，则按标段1至标段2顺序确认其中标候选人推荐标段，后续标段不参与综合得分排名。（举例：投标人A参投本项目标段1、标段2，综合得分均排名各标段第一，则投标人A为标段1第一中标候选人，其余标段不参与综合得分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7.1.1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中标人数量</w:t>
            </w:r>
          </w:p>
        </w:tc>
        <w:tc>
          <w:tcPr>
            <w:tcW w:w="5795" w:type="dxa"/>
            <w:shd w:val="clear" w:color="auto" w:fill="auto"/>
            <w:vAlign w:val="center"/>
          </w:tcPr>
          <w:p>
            <w:pPr>
              <w:autoSpaceDE w:val="0"/>
              <w:autoSpaceDN w:val="0"/>
              <w:rPr>
                <w:rFonts w:hint="default" w:ascii="宋体" w:hAnsi="宋体" w:eastAsia="宋体" w:cs="宋体"/>
                <w:color w:val="auto"/>
                <w:szCs w:val="21"/>
                <w:lang w:val="en-US" w:eastAsia="zh-CN"/>
              </w:rPr>
            </w:pPr>
            <w:r>
              <w:rPr>
                <w:rFonts w:hint="eastAsia" w:ascii="宋体" w:hAnsi="宋体"/>
                <w:color w:val="auto"/>
              </w:rPr>
              <w:t>中标人数量：</w:t>
            </w:r>
            <w:r>
              <w:rPr>
                <w:rFonts w:hint="eastAsia" w:ascii="宋体" w:hAnsi="宋体"/>
                <w:color w:val="auto"/>
                <w:lang w:val="en-US" w:eastAsia="zh-CN"/>
              </w:rPr>
              <w:t>各标段分别选取</w:t>
            </w:r>
            <w:r>
              <w:rPr>
                <w:rFonts w:ascii="宋体" w:hAnsi="宋体"/>
                <w:color w:val="auto"/>
                <w:szCs w:val="21"/>
                <w:u w:val="single"/>
              </w:rPr>
              <w:t>1</w:t>
            </w:r>
            <w:r>
              <w:rPr>
                <w:rFonts w:hint="eastAsia" w:ascii="宋体" w:hAnsi="宋体"/>
                <w:color w:val="auto"/>
                <w:szCs w:val="21"/>
                <w:u w:val="none"/>
                <w:lang w:val="en-US" w:eastAsia="zh-CN"/>
              </w:rPr>
              <w:t>家中标人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7.1.2</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中标原则</w:t>
            </w:r>
          </w:p>
        </w:tc>
        <w:tc>
          <w:tcPr>
            <w:tcW w:w="5795" w:type="dxa"/>
            <w:shd w:val="clear" w:color="auto" w:fill="auto"/>
            <w:vAlign w:val="center"/>
          </w:tcPr>
          <w:p>
            <w:pPr>
              <w:autoSpaceDE w:val="0"/>
              <w:autoSpaceDN w:val="0"/>
              <w:rPr>
                <w:rFonts w:ascii="宋体" w:hAnsi="宋体" w:cs="宋体"/>
                <w:color w:val="auto"/>
                <w:szCs w:val="21"/>
              </w:rPr>
            </w:pPr>
            <w:r>
              <w:rPr>
                <w:rFonts w:hint="eastAsia" w:ascii="宋体" w:hAnsi="宋体"/>
                <w:color w:val="auto"/>
                <w:szCs w:val="21"/>
              </w:rPr>
              <w:t>中标原则如下：</w:t>
            </w:r>
            <w:r>
              <w:rPr>
                <w:rFonts w:hint="eastAsia" w:ascii="宋体" w:hAnsi="宋体"/>
                <w:color w:val="auto"/>
                <w:szCs w:val="21"/>
                <w:lang w:val="en-US" w:eastAsia="zh-CN"/>
              </w:rPr>
              <w:t>各标段</w:t>
            </w:r>
            <w:r>
              <w:rPr>
                <w:rFonts w:hint="eastAsia" w:ascii="宋体" w:hAnsi="宋体"/>
                <w:color w:val="auto"/>
                <w:szCs w:val="21"/>
              </w:rPr>
              <w:t>综合得分排名第一名为中标人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7.2.2</w:t>
            </w:r>
          </w:p>
        </w:tc>
        <w:tc>
          <w:tcPr>
            <w:tcW w:w="1666" w:type="dxa"/>
            <w:tcBorders>
              <w:bottom w:val="single" w:color="auto" w:sz="4" w:space="0"/>
            </w:tcBorders>
            <w:shd w:val="clear" w:color="auto" w:fill="auto"/>
            <w:vAlign w:val="center"/>
          </w:tcPr>
          <w:p>
            <w:pPr>
              <w:autoSpaceDE w:val="0"/>
              <w:autoSpaceDN w:val="0"/>
              <w:rPr>
                <w:rFonts w:ascii="宋体" w:hAnsi="宋体" w:cs="宋体"/>
                <w:color w:val="auto"/>
                <w:szCs w:val="21"/>
              </w:rPr>
            </w:pPr>
            <w:r>
              <w:rPr>
                <w:rFonts w:hint="eastAsia" w:ascii="宋体" w:hAnsi="宋体"/>
                <w:color w:val="auto"/>
              </w:rPr>
              <w:t>异议受理</w:t>
            </w:r>
          </w:p>
        </w:tc>
        <w:tc>
          <w:tcPr>
            <w:tcW w:w="5795" w:type="dxa"/>
            <w:shd w:val="clear" w:color="auto" w:fill="auto"/>
            <w:vAlign w:val="center"/>
          </w:tcPr>
          <w:p>
            <w:pPr>
              <w:autoSpaceDE w:val="0"/>
              <w:autoSpaceDN w:val="0"/>
              <w:rPr>
                <w:rFonts w:ascii="宋体" w:hAnsi="宋体"/>
                <w:color w:val="auto"/>
                <w:szCs w:val="21"/>
              </w:rPr>
            </w:pPr>
            <w:r>
              <w:rPr>
                <w:rFonts w:hint="eastAsia" w:ascii="宋体" w:hAnsi="宋体"/>
                <w:color w:val="auto"/>
                <w:szCs w:val="21"/>
              </w:rPr>
              <w:t>投标人如对本次招标持有异议的，可以在相应期限内向招标人或招标代理人提出实名书面质疑，对质疑回复不满意的，可提出实名书面投诉，质疑为投诉的前置程序。</w:t>
            </w:r>
          </w:p>
          <w:p>
            <w:pPr>
              <w:autoSpaceDE w:val="0"/>
              <w:autoSpaceDN w:val="0"/>
              <w:rPr>
                <w:color w:val="auto"/>
              </w:rPr>
            </w:pPr>
            <w:r>
              <w:rPr>
                <w:rFonts w:hint="eastAsia" w:ascii="宋体" w:hAnsi="宋体"/>
                <w:color w:val="auto"/>
                <w:szCs w:val="21"/>
              </w:rPr>
              <w:t>招标人或招标代理人联系方式详见第一章 招标公告“7.联系方式”。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8.1</w:t>
            </w:r>
          </w:p>
        </w:tc>
        <w:tc>
          <w:tcPr>
            <w:tcW w:w="1666" w:type="dxa"/>
            <w:tcBorders>
              <w:bottom w:val="single" w:color="auto" w:sz="4" w:space="0"/>
            </w:tcBorders>
            <w:shd w:val="clear" w:color="auto" w:fill="auto"/>
            <w:vAlign w:val="center"/>
          </w:tcPr>
          <w:p>
            <w:pPr>
              <w:autoSpaceDE w:val="0"/>
              <w:autoSpaceDN w:val="0"/>
              <w:rPr>
                <w:rFonts w:ascii="宋体" w:hAnsi="宋体"/>
                <w:color w:val="auto"/>
              </w:rPr>
            </w:pPr>
            <w:r>
              <w:rPr>
                <w:rFonts w:hint="eastAsia" w:ascii="宋体" w:hAnsi="宋体"/>
                <w:color w:val="auto"/>
              </w:rPr>
              <w:t>履约担保</w:t>
            </w:r>
          </w:p>
        </w:tc>
        <w:tc>
          <w:tcPr>
            <w:tcW w:w="5795" w:type="dxa"/>
            <w:shd w:val="clear" w:color="auto" w:fill="auto"/>
            <w:vAlign w:val="center"/>
          </w:tcPr>
          <w:p>
            <w:pPr>
              <w:autoSpaceDE w:val="0"/>
              <w:autoSpaceDN w:val="0"/>
              <w:rPr>
                <w:rFonts w:hint="default" w:eastAsia="宋体"/>
                <w:color w:val="auto"/>
                <w:lang w:val="en-US" w:eastAsia="zh-CN"/>
              </w:rPr>
            </w:pPr>
            <w:r>
              <w:rPr>
                <w:rFonts w:hint="eastAsia"/>
                <w:color w:val="auto"/>
                <w:lang w:val="en-US"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9（1）</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招标代理服务费金额、交纳方式和时限</w:t>
            </w:r>
          </w:p>
        </w:tc>
        <w:tc>
          <w:tcPr>
            <w:tcW w:w="5795" w:type="dxa"/>
            <w:shd w:val="clear" w:color="auto" w:fill="auto"/>
            <w:vAlign w:val="center"/>
          </w:tcPr>
          <w:p>
            <w:pPr>
              <w:adjustRightInd w:val="0"/>
              <w:rPr>
                <w:rFonts w:ascii="宋体" w:hAnsi="宋体"/>
                <w:color w:val="auto"/>
                <w:szCs w:val="21"/>
              </w:rPr>
            </w:pPr>
            <w:r>
              <w:rPr>
                <w:rFonts w:hint="eastAsia" w:ascii="宋体" w:hAnsi="宋体"/>
                <w:color w:val="auto"/>
                <w:szCs w:val="21"/>
              </w:rPr>
              <w:t>招标代理服务费约定由中标人支付，代理服务费金额</w:t>
            </w:r>
            <w:r>
              <w:rPr>
                <w:rFonts w:ascii="宋体" w:hAnsi="宋体"/>
                <w:color w:val="auto"/>
                <w:szCs w:val="21"/>
              </w:rPr>
              <w:t>以中标金额为基准进行计算，参照国家计委《招</w:t>
            </w:r>
            <w:r>
              <w:rPr>
                <w:rFonts w:hint="eastAsia" w:ascii="宋体" w:hAnsi="宋体"/>
                <w:color w:val="auto"/>
                <w:szCs w:val="21"/>
              </w:rPr>
              <w:t>标代理服务收费管理暂行办法》（计价格</w:t>
            </w:r>
            <w:r>
              <w:rPr>
                <w:rFonts w:ascii="宋体" w:hAnsi="宋体"/>
                <w:color w:val="auto"/>
                <w:szCs w:val="21"/>
              </w:rPr>
              <w:t>[2002]1980号）规定的收费标准下浮</w:t>
            </w:r>
            <w:r>
              <w:rPr>
                <w:rFonts w:ascii="宋体" w:hAnsi="宋体"/>
                <w:color w:val="auto"/>
                <w:szCs w:val="21"/>
                <w:u w:val="single"/>
              </w:rPr>
              <w:t xml:space="preserve"> </w:t>
            </w:r>
            <w:r>
              <w:rPr>
                <w:rFonts w:hint="eastAsia" w:ascii="宋体" w:hAnsi="宋体"/>
                <w:color w:val="auto"/>
                <w:szCs w:val="21"/>
                <w:u w:val="single"/>
                <w:lang w:val="en-US" w:eastAsia="zh-CN"/>
              </w:rPr>
              <w:t>45</w:t>
            </w:r>
            <w:r>
              <w:rPr>
                <w:rFonts w:ascii="宋体" w:hAnsi="宋体"/>
                <w:color w:val="auto"/>
                <w:szCs w:val="21"/>
                <w:u w:val="single"/>
              </w:rPr>
              <w:t xml:space="preserve">% </w:t>
            </w:r>
            <w:r>
              <w:rPr>
                <w:rFonts w:hint="eastAsia" w:ascii="宋体" w:hAnsi="宋体"/>
                <w:color w:val="auto"/>
                <w:szCs w:val="21"/>
              </w:rPr>
              <w:t>，采用差额定率累进计费。</w:t>
            </w:r>
          </w:p>
          <w:p>
            <w:pPr>
              <w:adjustRightInd w:val="0"/>
              <w:rPr>
                <w:rFonts w:ascii="宋体" w:hAnsi="宋体"/>
                <w:color w:val="auto"/>
                <w:szCs w:val="21"/>
              </w:rPr>
            </w:pPr>
            <w:r>
              <w:rPr>
                <w:rFonts w:hint="eastAsia" w:ascii="宋体" w:hAnsi="宋体"/>
                <w:color w:val="auto"/>
                <w:szCs w:val="21"/>
              </w:rPr>
              <w:t>公司名称：广东省南方文化产权交易所股份有限公司</w:t>
            </w:r>
          </w:p>
          <w:p>
            <w:pPr>
              <w:adjustRightInd w:val="0"/>
              <w:rPr>
                <w:rFonts w:ascii="宋体" w:hAnsi="宋体"/>
                <w:color w:val="auto"/>
                <w:szCs w:val="21"/>
              </w:rPr>
            </w:pPr>
            <w:r>
              <w:rPr>
                <w:rFonts w:hint="eastAsia" w:ascii="宋体" w:hAnsi="宋体"/>
                <w:color w:val="auto"/>
                <w:szCs w:val="21"/>
              </w:rPr>
              <w:t>银行名称：民生银行广州环市支行</w:t>
            </w:r>
          </w:p>
          <w:p>
            <w:pPr>
              <w:adjustRightInd w:val="0"/>
              <w:rPr>
                <w:rFonts w:ascii="宋体" w:hAnsi="宋体"/>
                <w:color w:val="auto"/>
                <w:szCs w:val="21"/>
              </w:rPr>
            </w:pPr>
            <w:r>
              <w:rPr>
                <w:rFonts w:hint="eastAsia" w:ascii="宋体" w:hAnsi="宋体"/>
                <w:color w:val="auto"/>
                <w:szCs w:val="21"/>
              </w:rPr>
              <w:t>银行账号：</w:t>
            </w:r>
            <w:r>
              <w:rPr>
                <w:rFonts w:ascii="宋体" w:hAnsi="宋体"/>
                <w:color w:val="auto"/>
                <w:szCs w:val="21"/>
              </w:rPr>
              <w:t>683001288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color w:val="auto"/>
                <w:szCs w:val="21"/>
              </w:rPr>
            </w:pPr>
            <w:r>
              <w:rPr>
                <w:rFonts w:ascii="宋体" w:hAnsi="宋体" w:cs="宋体"/>
                <w:color w:val="auto"/>
                <w:szCs w:val="21"/>
              </w:rPr>
              <w:t>11.1</w:t>
            </w:r>
          </w:p>
        </w:tc>
        <w:tc>
          <w:tcPr>
            <w:tcW w:w="1666" w:type="dxa"/>
            <w:shd w:val="clear" w:color="auto" w:fill="auto"/>
            <w:vAlign w:val="center"/>
          </w:tcPr>
          <w:p>
            <w:pPr>
              <w:autoSpaceDE w:val="0"/>
              <w:autoSpaceDN w:val="0"/>
              <w:rPr>
                <w:color w:val="auto"/>
              </w:rPr>
            </w:pPr>
            <w:r>
              <w:rPr>
                <w:rFonts w:hint="eastAsia"/>
                <w:color w:val="auto"/>
                <w:szCs w:val="21"/>
              </w:rPr>
              <w:t>中标人放弃中标或者不能履行合同的处理</w:t>
            </w:r>
          </w:p>
        </w:tc>
        <w:tc>
          <w:tcPr>
            <w:tcW w:w="5795" w:type="dxa"/>
            <w:shd w:val="clear" w:color="auto" w:fill="auto"/>
            <w:vAlign w:val="center"/>
          </w:tcPr>
          <w:p>
            <w:pPr>
              <w:jc w:val="left"/>
              <w:rPr>
                <w:color w:val="auto"/>
                <w:szCs w:val="21"/>
              </w:rPr>
            </w:pPr>
            <w:r>
              <w:rPr>
                <w:rFonts w:hint="eastAsia"/>
                <w:color w:val="auto"/>
                <w:szCs w:val="21"/>
              </w:rPr>
              <w:t>二种方式可选：</w:t>
            </w:r>
          </w:p>
          <w:p>
            <w:pPr>
              <w:pStyle w:val="78"/>
              <w:numPr>
                <w:ilvl w:val="0"/>
                <w:numId w:val="4"/>
              </w:numPr>
              <w:ind w:firstLineChars="0"/>
              <w:rPr>
                <w:color w:val="auto"/>
                <w:szCs w:val="21"/>
              </w:rPr>
            </w:pPr>
            <w:r>
              <w:rPr>
                <w:rFonts w:hint="eastAsia"/>
                <w:color w:val="auto"/>
                <w:szCs w:val="21"/>
              </w:rPr>
              <w:t>按照评审委员会提出的中标候选人名单排序依次确定其他中标候选人为中标人；</w:t>
            </w:r>
          </w:p>
          <w:p>
            <w:pPr>
              <w:jc w:val="left"/>
              <w:rPr>
                <w:color w:val="auto"/>
                <w:szCs w:val="21"/>
              </w:rPr>
            </w:pPr>
            <w:r>
              <w:rPr>
                <w:color w:val="auto"/>
                <w:szCs w:val="21"/>
              </w:rPr>
              <w:t>2</w:t>
            </w:r>
            <w:r>
              <w:rPr>
                <w:rFonts w:hint="eastAsia"/>
                <w:color w:val="auto"/>
                <w:szCs w:val="21"/>
              </w:rPr>
              <w:t>、重新招标；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11.2</w:t>
            </w:r>
          </w:p>
        </w:tc>
        <w:tc>
          <w:tcPr>
            <w:tcW w:w="1666" w:type="dxa"/>
            <w:shd w:val="clear" w:color="auto" w:fill="auto"/>
            <w:vAlign w:val="center"/>
          </w:tcPr>
          <w:p>
            <w:pPr>
              <w:autoSpaceDE w:val="0"/>
              <w:autoSpaceDN w:val="0"/>
              <w:rPr>
                <w:color w:val="auto"/>
                <w:szCs w:val="21"/>
              </w:rPr>
            </w:pPr>
            <w:r>
              <w:rPr>
                <w:rFonts w:hint="eastAsia" w:ascii="宋体" w:hAnsi="宋体"/>
                <w:color w:val="auto"/>
                <w:szCs w:val="21"/>
              </w:rPr>
              <w:t>投标货币</w:t>
            </w:r>
          </w:p>
        </w:tc>
        <w:tc>
          <w:tcPr>
            <w:tcW w:w="5795" w:type="dxa"/>
            <w:shd w:val="clear" w:color="auto" w:fill="auto"/>
            <w:vAlign w:val="center"/>
          </w:tcPr>
          <w:p>
            <w:pPr>
              <w:rPr>
                <w:color w:val="auto"/>
                <w:szCs w:val="21"/>
              </w:rPr>
            </w:pPr>
            <w:r>
              <w:rPr>
                <w:rFonts w:hint="eastAsia" w:ascii="宋体" w:hAnsi="宋体"/>
                <w:color w:val="auto"/>
                <w:szCs w:val="21"/>
              </w:rPr>
              <w:t>招标文件和投标文件中未明确币种的，均以人民币进行核算；投标文件中如出现其他币种，</w:t>
            </w:r>
            <w:r>
              <w:rPr>
                <w:rFonts w:hint="eastAsia" w:ascii="Courier New" w:hAnsi="Courier New"/>
                <w:color w:val="auto"/>
                <w:kern w:val="0"/>
                <w:szCs w:val="21"/>
              </w:rPr>
              <w:t>按照投标文件递交截止之日中国人民银行公布的银行间外汇市场人民币汇率中间价折算为等值人民币（属于企业</w:t>
            </w:r>
            <w:r>
              <w:rPr>
                <w:rFonts w:hint="eastAsia"/>
                <w:color w:val="auto"/>
                <w:kern w:val="0"/>
                <w:szCs w:val="21"/>
              </w:rPr>
              <w:t>注册资本金范畴的，</w:t>
            </w:r>
            <w:r>
              <w:rPr>
                <w:rFonts w:hint="eastAsia" w:ascii="Courier New" w:hAnsi="Courier New"/>
                <w:color w:val="auto"/>
                <w:kern w:val="0"/>
                <w:szCs w:val="21"/>
              </w:rPr>
              <w:t>按</w:t>
            </w:r>
            <w:r>
              <w:rPr>
                <w:rFonts w:hint="eastAsia"/>
                <w:color w:val="auto"/>
                <w:kern w:val="0"/>
                <w:szCs w:val="21"/>
              </w:rPr>
              <w:t>发生（</w:t>
            </w:r>
            <w:r>
              <w:rPr>
                <w:rFonts w:hint="eastAsia" w:ascii="宋体" w:hAnsi="宋体"/>
                <w:color w:val="auto"/>
                <w:szCs w:val="21"/>
              </w:rPr>
              <w:t>营业执照标注的成立日期</w:t>
            </w:r>
            <w:r>
              <w:rPr>
                <w:rFonts w:hint="eastAsia"/>
                <w:color w:val="auto"/>
                <w:kern w:val="0"/>
                <w:szCs w:val="21"/>
              </w:rPr>
              <w:t>）当日中国人民银行公布的汇率的中间价计算</w:t>
            </w:r>
            <w:r>
              <w:rPr>
                <w:rFonts w:hint="eastAsia" w:ascii="Courier New" w:hAnsi="Courier New"/>
                <w:color w:val="auto"/>
                <w:kern w:val="0"/>
                <w:szCs w:val="21"/>
              </w:rPr>
              <w:t>为等值人民币</w:t>
            </w:r>
            <w:r>
              <w:rPr>
                <w:rFonts w:hint="eastAsia"/>
                <w:color w:val="auto"/>
                <w:kern w:val="0"/>
                <w:szCs w:val="21"/>
              </w:rPr>
              <w:t>）</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11.3</w:t>
            </w:r>
          </w:p>
        </w:tc>
        <w:tc>
          <w:tcPr>
            <w:tcW w:w="1666" w:type="dxa"/>
            <w:shd w:val="clear" w:color="auto" w:fill="auto"/>
            <w:vAlign w:val="center"/>
          </w:tcPr>
          <w:p>
            <w:pPr>
              <w:autoSpaceDE w:val="0"/>
              <w:autoSpaceDN w:val="0"/>
              <w:rPr>
                <w:rFonts w:ascii="宋体" w:hAnsi="宋体"/>
                <w:color w:val="auto"/>
                <w:szCs w:val="21"/>
              </w:rPr>
            </w:pPr>
            <w:r>
              <w:rPr>
                <w:rFonts w:hint="eastAsia"/>
                <w:bCs/>
                <w:color w:val="auto"/>
                <w:szCs w:val="21"/>
              </w:rPr>
              <w:t>网络与信息安全</w:t>
            </w:r>
          </w:p>
        </w:tc>
        <w:tc>
          <w:tcPr>
            <w:tcW w:w="5795" w:type="dxa"/>
            <w:shd w:val="clear" w:color="auto" w:fill="auto"/>
            <w:vAlign w:val="center"/>
          </w:tcPr>
          <w:p>
            <w:pPr>
              <w:rPr>
                <w:rFonts w:ascii="宋体" w:hAnsi="宋体"/>
                <w:color w:val="auto"/>
                <w:szCs w:val="21"/>
              </w:rPr>
            </w:pPr>
            <w:r>
              <w:rPr>
                <w:rFonts w:hint="eastAsia"/>
                <w:bCs/>
                <w:color w:val="auto"/>
                <w:szCs w:val="21"/>
              </w:rPr>
              <w:t>投标人提供的产品或服务必须符合国家对网络与信息安全的相关要求。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11.4</w:t>
            </w:r>
          </w:p>
        </w:tc>
        <w:tc>
          <w:tcPr>
            <w:tcW w:w="1666" w:type="dxa"/>
            <w:shd w:val="clear" w:color="auto" w:fill="auto"/>
            <w:vAlign w:val="center"/>
          </w:tcPr>
          <w:p>
            <w:pPr>
              <w:autoSpaceDE w:val="0"/>
              <w:autoSpaceDN w:val="0"/>
              <w:rPr>
                <w:rFonts w:ascii="宋体" w:hAnsi="宋体"/>
                <w:color w:val="auto"/>
                <w:szCs w:val="21"/>
              </w:rPr>
            </w:pPr>
            <w:r>
              <w:rPr>
                <w:rFonts w:hint="eastAsia"/>
                <w:bCs/>
                <w:color w:val="auto"/>
                <w:szCs w:val="21"/>
              </w:rPr>
              <w:t>发票要求</w:t>
            </w:r>
          </w:p>
        </w:tc>
        <w:tc>
          <w:tcPr>
            <w:tcW w:w="5795" w:type="dxa"/>
            <w:shd w:val="clear" w:color="auto" w:fill="auto"/>
            <w:vAlign w:val="center"/>
          </w:tcPr>
          <w:p>
            <w:pPr>
              <w:rPr>
                <w:rFonts w:ascii="宋体" w:hAnsi="宋体"/>
                <w:color w:val="auto"/>
                <w:szCs w:val="21"/>
              </w:rPr>
            </w:pPr>
            <w:r>
              <w:rPr>
                <w:rFonts w:hint="eastAsia"/>
                <w:bCs/>
                <w:color w:val="auto"/>
                <w:szCs w:val="21"/>
              </w:rPr>
              <w:t>投标人须提供符合国家税率规定的增值税专用发票。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40" w:type="dxa"/>
            <w:shd w:val="clear" w:color="auto" w:fill="auto"/>
            <w:vAlign w:val="center"/>
          </w:tcPr>
          <w:p>
            <w:pPr>
              <w:autoSpaceDE w:val="0"/>
              <w:autoSpaceDN w:val="0"/>
              <w:jc w:val="center"/>
              <w:rPr>
                <w:rFonts w:ascii="宋体" w:hAnsi="宋体" w:cs="宋体"/>
                <w:color w:val="auto"/>
                <w:szCs w:val="21"/>
              </w:rPr>
            </w:pPr>
            <w:r>
              <w:rPr>
                <w:rFonts w:ascii="宋体" w:hAnsi="宋体" w:cs="宋体"/>
                <w:color w:val="auto"/>
                <w:szCs w:val="21"/>
              </w:rPr>
              <w:t>11.5</w:t>
            </w:r>
          </w:p>
        </w:tc>
        <w:tc>
          <w:tcPr>
            <w:tcW w:w="1666" w:type="dxa"/>
            <w:shd w:val="clear" w:color="auto" w:fill="auto"/>
            <w:vAlign w:val="center"/>
          </w:tcPr>
          <w:p>
            <w:pPr>
              <w:autoSpaceDE w:val="0"/>
              <w:autoSpaceDN w:val="0"/>
              <w:rPr>
                <w:rFonts w:ascii="宋体" w:hAnsi="宋体" w:cs="宋体"/>
                <w:color w:val="auto"/>
                <w:szCs w:val="21"/>
              </w:rPr>
            </w:pPr>
            <w:r>
              <w:rPr>
                <w:rFonts w:hint="eastAsia" w:ascii="宋体" w:hAnsi="宋体" w:cs="宋体"/>
                <w:color w:val="auto"/>
                <w:szCs w:val="21"/>
              </w:rPr>
              <w:t>电子招标投标</w:t>
            </w:r>
          </w:p>
        </w:tc>
        <w:tc>
          <w:tcPr>
            <w:tcW w:w="5795" w:type="dxa"/>
            <w:shd w:val="clear" w:color="auto" w:fill="auto"/>
            <w:vAlign w:val="center"/>
          </w:tcPr>
          <w:p>
            <w:pPr>
              <w:rPr>
                <w:rFonts w:ascii="宋体" w:hAnsi="宋体" w:cs="宋体"/>
                <w:color w:val="auto"/>
                <w:szCs w:val="21"/>
              </w:rPr>
            </w:pPr>
            <w:r>
              <w:rPr>
                <w:rFonts w:hint="eastAsia" w:ascii="宋体" w:hAnsi="宋体" w:cs="宋体"/>
                <w:color w:val="auto"/>
                <w:szCs w:val="21"/>
              </w:rPr>
              <w:t>否</w:t>
            </w:r>
          </w:p>
        </w:tc>
      </w:tr>
    </w:tbl>
    <w:p>
      <w:pPr>
        <w:pStyle w:val="36"/>
        <w:tabs>
          <w:tab w:val="left" w:pos="602"/>
        </w:tabs>
        <w:snapToGrid w:val="0"/>
        <w:spacing w:before="120" w:after="120" w:line="440" w:lineRule="exact"/>
        <w:jc w:val="left"/>
        <w:rPr>
          <w:rFonts w:ascii="宋体" w:hAnsi="宋体"/>
          <w:color w:val="auto"/>
          <w:sz w:val="28"/>
          <w:szCs w:val="28"/>
        </w:rPr>
        <w:sectPr>
          <w:footerReference r:id="rId6" w:type="first"/>
          <w:foot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titlePg/>
          <w:docGrid w:type="lines" w:linePitch="312" w:charSpace="0"/>
        </w:sectPr>
      </w:pPr>
      <w:bookmarkStart w:id="35" w:name="_Toc447188667"/>
      <w:bookmarkStart w:id="36" w:name="_Toc227057885"/>
      <w:bookmarkStart w:id="37" w:name="_Toc226969278"/>
      <w:bookmarkStart w:id="38" w:name="_Toc107822484"/>
      <w:bookmarkStart w:id="39" w:name="_Toc488655831"/>
    </w:p>
    <w:p>
      <w:pPr>
        <w:numPr>
          <w:ilvl w:val="0"/>
          <w:numId w:val="5"/>
        </w:numPr>
        <w:rPr>
          <w:b/>
          <w:bCs/>
          <w:color w:val="auto"/>
          <w:sz w:val="24"/>
          <w:szCs w:val="32"/>
        </w:rPr>
      </w:pPr>
      <w:bookmarkStart w:id="40" w:name="_Toc447265216"/>
      <w:bookmarkStart w:id="41" w:name="_Toc447265502"/>
      <w:r>
        <w:rPr>
          <w:rFonts w:hint="eastAsia"/>
          <w:b/>
          <w:bCs/>
          <w:color w:val="auto"/>
          <w:sz w:val="24"/>
          <w:szCs w:val="32"/>
        </w:rPr>
        <w:t>总则</w:t>
      </w:r>
      <w:bookmarkEnd w:id="35"/>
      <w:bookmarkEnd w:id="40"/>
      <w:bookmarkEnd w:id="41"/>
    </w:p>
    <w:p>
      <w:pPr>
        <w:rPr>
          <w:b/>
          <w:bCs/>
          <w:color w:val="auto"/>
          <w:sz w:val="24"/>
          <w:szCs w:val="32"/>
        </w:rPr>
      </w:pPr>
      <w:bookmarkStart w:id="42" w:name="_Toc152042306"/>
      <w:bookmarkStart w:id="43" w:name="_Toc247085690"/>
      <w:bookmarkStart w:id="44" w:name="_Toc246996919"/>
      <w:bookmarkStart w:id="45" w:name="_Toc296602421"/>
      <w:bookmarkStart w:id="46" w:name="_Toc447265503"/>
      <w:bookmarkStart w:id="47" w:name="_Toc144974498"/>
      <w:bookmarkStart w:id="48" w:name="_Toc179632547"/>
      <w:bookmarkStart w:id="49" w:name="_Toc447188668"/>
      <w:bookmarkStart w:id="50" w:name="_Toc447265217"/>
      <w:bookmarkStart w:id="51" w:name="_Toc152045530"/>
      <w:bookmarkStart w:id="52" w:name="_Toc246996176"/>
      <w:bookmarkStart w:id="53" w:name="_Toc46496126"/>
      <w:r>
        <w:rPr>
          <w:b/>
          <w:bCs/>
          <w:color w:val="auto"/>
          <w:sz w:val="24"/>
          <w:szCs w:val="32"/>
        </w:rPr>
        <w:t>1.1</w:t>
      </w:r>
      <w:r>
        <w:rPr>
          <w:rFonts w:hint="eastAsia"/>
          <w:b/>
          <w:bCs/>
          <w:color w:val="auto"/>
          <w:sz w:val="24"/>
          <w:szCs w:val="32"/>
        </w:rPr>
        <w:t>项目概况</w:t>
      </w:r>
      <w:bookmarkEnd w:id="36"/>
      <w:bookmarkEnd w:id="37"/>
      <w:bookmarkEnd w:id="42"/>
      <w:bookmarkEnd w:id="43"/>
      <w:bookmarkEnd w:id="44"/>
      <w:bookmarkEnd w:id="45"/>
      <w:bookmarkEnd w:id="46"/>
      <w:bookmarkEnd w:id="47"/>
      <w:bookmarkEnd w:id="48"/>
      <w:bookmarkEnd w:id="49"/>
      <w:bookmarkEnd w:id="50"/>
      <w:bookmarkEnd w:id="51"/>
      <w:bookmarkEnd w:id="52"/>
      <w:bookmarkEnd w:id="53"/>
    </w:p>
    <w:p>
      <w:pPr>
        <w:pStyle w:val="21"/>
        <w:tabs>
          <w:tab w:val="left" w:pos="630"/>
        </w:tabs>
        <w:snapToGrid w:val="0"/>
        <w:spacing w:line="440" w:lineRule="exact"/>
        <w:ind w:firstLine="424" w:firstLineChars="202"/>
        <w:rPr>
          <w:rFonts w:hAnsi="宋体" w:cs="宋体"/>
          <w:color w:val="auto"/>
        </w:rPr>
      </w:pPr>
      <w:r>
        <w:rPr>
          <w:rFonts w:hAnsi="宋体"/>
          <w:color w:val="auto"/>
        </w:rPr>
        <w:t>1.1.1</w:t>
      </w:r>
      <w:r>
        <w:rPr>
          <w:rFonts w:hint="eastAsia" w:hAnsi="宋体"/>
          <w:color w:val="auto"/>
        </w:rPr>
        <w:t>本招标项目已具备招标条件，现对本项目进行招标。</w:t>
      </w:r>
    </w:p>
    <w:p>
      <w:pPr>
        <w:pStyle w:val="21"/>
        <w:tabs>
          <w:tab w:val="left" w:pos="630"/>
        </w:tabs>
        <w:snapToGrid w:val="0"/>
        <w:spacing w:line="440" w:lineRule="exact"/>
        <w:ind w:firstLine="424" w:firstLineChars="202"/>
        <w:rPr>
          <w:rFonts w:hAnsi="宋体"/>
          <w:color w:val="auto"/>
        </w:rPr>
      </w:pPr>
      <w:r>
        <w:rPr>
          <w:rFonts w:hAnsi="宋体"/>
          <w:color w:val="auto"/>
        </w:rPr>
        <w:t>1.1.2</w:t>
      </w:r>
      <w:r>
        <w:rPr>
          <w:rFonts w:hint="eastAsia" w:hAnsi="宋体"/>
          <w:color w:val="auto"/>
        </w:rPr>
        <w:t>招标人：招标人单位名称及联系方式见投标人须知前附表。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1.1.3项目名称：项目名称及招标代理编号见投标人须知前附表。</w:t>
      </w:r>
    </w:p>
    <w:p>
      <w:pPr>
        <w:rPr>
          <w:b/>
          <w:bCs/>
          <w:color w:val="auto"/>
          <w:sz w:val="24"/>
          <w:szCs w:val="32"/>
        </w:rPr>
      </w:pPr>
      <w:bookmarkStart w:id="54" w:name="_Toc226969279"/>
      <w:bookmarkStart w:id="55" w:name="_Toc227057886"/>
      <w:bookmarkStart w:id="56" w:name="_Toc447188669"/>
      <w:bookmarkStart w:id="57" w:name="_Toc447265504"/>
      <w:bookmarkStart w:id="58" w:name="_Toc46496127"/>
      <w:bookmarkStart w:id="59" w:name="_Toc447265218"/>
      <w:r>
        <w:rPr>
          <w:b/>
          <w:bCs/>
          <w:color w:val="auto"/>
          <w:sz w:val="24"/>
          <w:szCs w:val="32"/>
        </w:rPr>
        <w:t>1.2</w:t>
      </w:r>
      <w:r>
        <w:rPr>
          <w:rFonts w:hint="eastAsia"/>
          <w:b/>
          <w:bCs/>
          <w:color w:val="auto"/>
          <w:sz w:val="24"/>
          <w:szCs w:val="32"/>
        </w:rPr>
        <w:t>资金来源</w:t>
      </w:r>
      <w:bookmarkEnd w:id="54"/>
      <w:bookmarkEnd w:id="55"/>
      <w:bookmarkEnd w:id="56"/>
      <w:r>
        <w:rPr>
          <w:rFonts w:hint="eastAsia"/>
          <w:b/>
          <w:bCs/>
          <w:color w:val="auto"/>
          <w:sz w:val="24"/>
          <w:szCs w:val="32"/>
        </w:rPr>
        <w:t>和落实情况</w:t>
      </w:r>
      <w:bookmarkEnd w:id="57"/>
      <w:bookmarkEnd w:id="58"/>
      <w:bookmarkEnd w:id="59"/>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本项目资金已落实，资金来源见投标人须知前附表。</w:t>
      </w:r>
    </w:p>
    <w:p>
      <w:pPr>
        <w:rPr>
          <w:b/>
          <w:bCs/>
          <w:color w:val="auto"/>
          <w:sz w:val="24"/>
          <w:szCs w:val="32"/>
        </w:rPr>
      </w:pPr>
      <w:bookmarkStart w:id="60" w:name="_Toc46496128"/>
      <w:bookmarkStart w:id="61" w:name="_Toc447188670"/>
      <w:bookmarkStart w:id="62" w:name="_Toc447265505"/>
      <w:bookmarkStart w:id="63" w:name="_Toc447265219"/>
      <w:r>
        <w:rPr>
          <w:b/>
          <w:bCs/>
          <w:color w:val="auto"/>
          <w:sz w:val="24"/>
          <w:szCs w:val="32"/>
        </w:rPr>
        <w:t>1.3</w:t>
      </w:r>
      <w:r>
        <w:rPr>
          <w:rFonts w:hint="eastAsia"/>
          <w:b/>
          <w:bCs/>
          <w:color w:val="auto"/>
          <w:sz w:val="24"/>
          <w:szCs w:val="32"/>
        </w:rPr>
        <w:t>采购范围</w:t>
      </w:r>
      <w:bookmarkEnd w:id="60"/>
      <w:bookmarkEnd w:id="61"/>
      <w:bookmarkEnd w:id="62"/>
      <w:bookmarkEnd w:id="63"/>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本项目采购范围：见投标人须知前附表。</w:t>
      </w:r>
    </w:p>
    <w:p>
      <w:pPr>
        <w:rPr>
          <w:b/>
          <w:bCs/>
          <w:color w:val="auto"/>
          <w:sz w:val="24"/>
          <w:szCs w:val="32"/>
        </w:rPr>
      </w:pPr>
      <w:bookmarkStart w:id="64" w:name="_Toc46496129"/>
      <w:r>
        <w:rPr>
          <w:b/>
          <w:bCs/>
          <w:color w:val="auto"/>
          <w:sz w:val="24"/>
          <w:szCs w:val="32"/>
        </w:rPr>
        <w:t>1.4</w:t>
      </w:r>
      <w:r>
        <w:rPr>
          <w:rFonts w:hint="eastAsia"/>
          <w:b/>
          <w:bCs/>
          <w:color w:val="auto"/>
          <w:sz w:val="24"/>
          <w:szCs w:val="32"/>
        </w:rPr>
        <w:t>采购包划分</w:t>
      </w:r>
      <w:bookmarkEnd w:id="64"/>
    </w:p>
    <w:p>
      <w:pPr>
        <w:pStyle w:val="21"/>
        <w:tabs>
          <w:tab w:val="left" w:pos="630"/>
        </w:tabs>
        <w:snapToGrid w:val="0"/>
        <w:spacing w:line="440" w:lineRule="exact"/>
        <w:ind w:firstLine="420" w:firstLineChars="200"/>
        <w:rPr>
          <w:rFonts w:hAnsi="宋体"/>
          <w:color w:val="auto"/>
        </w:rPr>
      </w:pPr>
      <w:r>
        <w:rPr>
          <w:rFonts w:hint="eastAsia" w:hAnsi="宋体"/>
          <w:color w:val="auto"/>
        </w:rPr>
        <w:t>本项目采购包划分情况见投标人须知前附表。</w:t>
      </w:r>
      <w:bookmarkEnd w:id="38"/>
    </w:p>
    <w:p>
      <w:pPr>
        <w:rPr>
          <w:b/>
          <w:bCs/>
          <w:color w:val="auto"/>
          <w:sz w:val="24"/>
          <w:szCs w:val="32"/>
        </w:rPr>
      </w:pPr>
      <w:bookmarkStart w:id="65" w:name="_Toc226969281"/>
      <w:bookmarkStart w:id="66" w:name="_Toc447188672"/>
      <w:bookmarkStart w:id="67" w:name="_Toc447265507"/>
      <w:bookmarkStart w:id="68" w:name="_Toc46496130"/>
      <w:bookmarkStart w:id="69" w:name="_Toc107822486"/>
      <w:bookmarkStart w:id="70" w:name="_Toc227057888"/>
      <w:bookmarkStart w:id="71" w:name="_Toc447265221"/>
      <w:r>
        <w:rPr>
          <w:b/>
          <w:bCs/>
          <w:color w:val="auto"/>
          <w:sz w:val="24"/>
          <w:szCs w:val="32"/>
        </w:rPr>
        <w:t>1.5</w:t>
      </w:r>
      <w:r>
        <w:rPr>
          <w:rFonts w:hint="eastAsia"/>
          <w:b/>
          <w:bCs/>
          <w:color w:val="auto"/>
          <w:sz w:val="24"/>
          <w:szCs w:val="32"/>
        </w:rPr>
        <w:t>招标方式</w:t>
      </w:r>
      <w:bookmarkEnd w:id="65"/>
      <w:bookmarkEnd w:id="66"/>
      <w:bookmarkEnd w:id="67"/>
      <w:bookmarkEnd w:id="68"/>
      <w:bookmarkEnd w:id="69"/>
      <w:bookmarkEnd w:id="70"/>
      <w:bookmarkEnd w:id="71"/>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1.5.1招标方式见投标人须知前附表。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1.5.2公开招标，是指招标人以招标公告的方式邀请不特定的法人或者其他组织投标。</w:t>
      </w:r>
    </w:p>
    <w:p>
      <w:pPr>
        <w:pStyle w:val="21"/>
        <w:tabs>
          <w:tab w:val="left" w:pos="630"/>
        </w:tabs>
        <w:snapToGrid w:val="0"/>
        <w:spacing w:line="440" w:lineRule="exact"/>
        <w:ind w:firstLine="424" w:firstLineChars="202"/>
        <w:rPr>
          <w:rFonts w:hAnsi="宋体"/>
          <w:color w:val="auto"/>
        </w:rPr>
      </w:pPr>
      <w:r>
        <w:rPr>
          <w:rFonts w:hAnsi="宋体"/>
          <w:color w:val="auto"/>
        </w:rPr>
        <w:t>1.5.3</w:t>
      </w:r>
      <w:r>
        <w:rPr>
          <w:rFonts w:hint="eastAsia" w:hAnsi="宋体"/>
          <w:color w:val="auto"/>
        </w:rPr>
        <w:t>邀请招标，是指招标人以投标邀请书的方式邀请特定的法人或者其他组织投标。</w:t>
      </w:r>
    </w:p>
    <w:p>
      <w:pPr>
        <w:rPr>
          <w:b/>
          <w:bCs/>
          <w:color w:val="auto"/>
          <w:sz w:val="24"/>
          <w:szCs w:val="32"/>
        </w:rPr>
      </w:pPr>
      <w:bookmarkStart w:id="72" w:name="_Toc447188673"/>
      <w:bookmarkStart w:id="73" w:name="_Toc107822485"/>
      <w:bookmarkStart w:id="74" w:name="_Toc46496131"/>
      <w:bookmarkStart w:id="75" w:name="_Toc447265222"/>
      <w:bookmarkStart w:id="76" w:name="_Toc227057887"/>
      <w:bookmarkStart w:id="77" w:name="_Toc226969280"/>
      <w:bookmarkStart w:id="78" w:name="_Toc447265508"/>
      <w:bookmarkStart w:id="79" w:name="_Toc226969282"/>
      <w:bookmarkStart w:id="80" w:name="_Toc227057889"/>
      <w:r>
        <w:rPr>
          <w:b/>
          <w:bCs/>
          <w:color w:val="auto"/>
          <w:sz w:val="24"/>
          <w:szCs w:val="32"/>
        </w:rPr>
        <w:t>1.6</w:t>
      </w:r>
      <w:r>
        <w:rPr>
          <w:rFonts w:hint="eastAsia"/>
          <w:b/>
          <w:bCs/>
          <w:color w:val="auto"/>
          <w:sz w:val="24"/>
          <w:szCs w:val="32"/>
        </w:rPr>
        <w:t>招标组织形式</w:t>
      </w:r>
      <w:bookmarkEnd w:id="72"/>
      <w:bookmarkEnd w:id="73"/>
      <w:bookmarkEnd w:id="74"/>
      <w:bookmarkEnd w:id="75"/>
      <w:bookmarkEnd w:id="76"/>
      <w:bookmarkEnd w:id="77"/>
      <w:bookmarkEnd w:id="78"/>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本项目由招标人自行组织</w:t>
      </w:r>
      <w:r>
        <w:rPr>
          <w:rFonts w:ascii="宋体" w:hAnsi="宋体" w:cs="宋体"/>
          <w:color w:val="auto"/>
          <w:szCs w:val="21"/>
        </w:rPr>
        <w:t>/委托</w:t>
      </w:r>
      <w:r>
        <w:rPr>
          <w:rFonts w:hint="eastAsia" w:ascii="宋体" w:hAnsi="宋体" w:cs="宋体"/>
          <w:color w:val="auto"/>
          <w:szCs w:val="21"/>
        </w:rPr>
        <w:t>招标代理机构采用代理招标的方式进行，招标组织形式、招标代理机构名称及联系方式见投标人须知前附表。</w:t>
      </w:r>
    </w:p>
    <w:p>
      <w:pPr>
        <w:rPr>
          <w:b/>
          <w:bCs/>
          <w:color w:val="auto"/>
          <w:sz w:val="24"/>
          <w:szCs w:val="32"/>
        </w:rPr>
      </w:pPr>
      <w:bookmarkStart w:id="81" w:name="_Toc447265223"/>
      <w:bookmarkStart w:id="82" w:name="_Toc447265509"/>
      <w:bookmarkStart w:id="83" w:name="_Toc447188674"/>
      <w:bookmarkStart w:id="84" w:name="_Toc46496132"/>
      <w:r>
        <w:rPr>
          <w:b/>
          <w:bCs/>
          <w:color w:val="auto"/>
          <w:sz w:val="24"/>
          <w:szCs w:val="32"/>
        </w:rPr>
        <w:t>1.7</w:t>
      </w:r>
      <w:r>
        <w:rPr>
          <w:rFonts w:hint="eastAsia"/>
          <w:b/>
          <w:bCs/>
          <w:color w:val="auto"/>
          <w:sz w:val="24"/>
          <w:szCs w:val="32"/>
        </w:rPr>
        <w:t>资格审查</w:t>
      </w:r>
      <w:bookmarkEnd w:id="79"/>
      <w:bookmarkEnd w:id="80"/>
      <w:bookmarkEnd w:id="81"/>
      <w:bookmarkEnd w:id="82"/>
      <w:bookmarkEnd w:id="83"/>
      <w:bookmarkEnd w:id="84"/>
    </w:p>
    <w:p>
      <w:pPr>
        <w:adjustRightInd w:val="0"/>
        <w:snapToGrid w:val="0"/>
        <w:spacing w:line="440" w:lineRule="exact"/>
        <w:ind w:firstLine="424" w:firstLineChars="202"/>
        <w:rPr>
          <w:rFonts w:ascii="宋体" w:hAnsi="宋体" w:cs="宋体"/>
          <w:color w:val="auto"/>
          <w:szCs w:val="21"/>
        </w:rPr>
      </w:pPr>
      <w:bookmarkStart w:id="85" w:name="_Toc447265510"/>
      <w:bookmarkStart w:id="86" w:name="_Toc447188675"/>
      <w:bookmarkStart w:id="87" w:name="_Toc447265224"/>
      <w:r>
        <w:rPr>
          <w:rFonts w:ascii="宋体" w:hAnsi="宋体" w:cs="宋体"/>
          <w:color w:val="auto"/>
          <w:szCs w:val="21"/>
        </w:rPr>
        <w:t>1.7.1本招标项目资格审查方式见投标人须知前附表。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1.7.2资格预审是指在投标前对投标人进行的资格审查。采用资格预审方式的，资格条件已经在招标文件发出前的“资格预审文件”中做出规定。</w:t>
      </w:r>
    </w:p>
    <w:p>
      <w:pPr>
        <w:pStyle w:val="21"/>
        <w:tabs>
          <w:tab w:val="left" w:pos="630"/>
        </w:tabs>
        <w:snapToGrid w:val="0"/>
        <w:spacing w:line="440" w:lineRule="exact"/>
        <w:ind w:firstLine="424" w:firstLineChars="202"/>
        <w:rPr>
          <w:rFonts w:hAnsi="宋体"/>
          <w:color w:val="auto"/>
        </w:rPr>
      </w:pPr>
      <w:bookmarkStart w:id="88" w:name="_Toc226969283"/>
      <w:r>
        <w:rPr>
          <w:rFonts w:hint="eastAsia" w:hAnsi="宋体"/>
          <w:color w:val="auto"/>
        </w:rPr>
        <w:t>资格后审是指在唱价后由评标委员会根据招标文件的规定对投标人进行的资格审查。</w:t>
      </w:r>
      <w:bookmarkEnd w:id="88"/>
      <w:r>
        <w:rPr>
          <w:rFonts w:hint="eastAsia" w:hAnsi="宋体"/>
          <w:color w:val="auto"/>
        </w:rPr>
        <w:t>采用资格后审方式的，投标人应当具备的资格条件见投标人须知前附表。</w:t>
      </w:r>
    </w:p>
    <w:p>
      <w:pPr>
        <w:pStyle w:val="21"/>
        <w:tabs>
          <w:tab w:val="left" w:pos="630"/>
        </w:tabs>
        <w:snapToGrid w:val="0"/>
        <w:spacing w:line="440" w:lineRule="exact"/>
        <w:ind w:firstLine="424" w:firstLineChars="202"/>
        <w:rPr>
          <w:rFonts w:hAnsi="宋体"/>
          <w:color w:val="auto"/>
        </w:rPr>
      </w:pPr>
      <w:r>
        <w:rPr>
          <w:rFonts w:hint="eastAsia" w:hAnsi="宋体"/>
          <w:color w:val="auto"/>
        </w:rPr>
        <w:t>采用资格后审的，招标人必须在招标文件中详细规定资格审查标准和方法。</w:t>
      </w:r>
    </w:p>
    <w:p>
      <w:pPr>
        <w:pStyle w:val="21"/>
        <w:tabs>
          <w:tab w:val="left" w:pos="630"/>
        </w:tabs>
        <w:snapToGrid w:val="0"/>
        <w:spacing w:line="440" w:lineRule="exact"/>
        <w:ind w:firstLine="424" w:firstLineChars="202"/>
        <w:rPr>
          <w:rFonts w:hAnsi="宋体"/>
          <w:color w:val="auto"/>
        </w:rPr>
      </w:pPr>
      <w:r>
        <w:rPr>
          <w:rFonts w:hint="eastAsia" w:hAnsi="宋体"/>
          <w:color w:val="auto"/>
        </w:rPr>
        <w:t>资格后审一般包括下列内容：</w:t>
      </w:r>
    </w:p>
    <w:p>
      <w:pPr>
        <w:numPr>
          <w:ilvl w:val="0"/>
          <w:numId w:val="6"/>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资格要求；</w:t>
      </w:r>
    </w:p>
    <w:p>
      <w:pPr>
        <w:numPr>
          <w:ilvl w:val="0"/>
          <w:numId w:val="6"/>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其他业绩要求；</w:t>
      </w:r>
    </w:p>
    <w:p>
      <w:pPr>
        <w:numPr>
          <w:ilvl w:val="0"/>
          <w:numId w:val="6"/>
        </w:numPr>
        <w:tabs>
          <w:tab w:val="left" w:pos="644"/>
        </w:tabs>
        <w:snapToGrid w:val="0"/>
        <w:spacing w:line="440" w:lineRule="exact"/>
        <w:ind w:left="0" w:firstLine="424" w:firstLineChars="202"/>
        <w:rPr>
          <w:rFonts w:ascii="宋体" w:hAnsi="宋体" w:cs="宋体"/>
          <w:color w:val="auto"/>
          <w:szCs w:val="21"/>
        </w:rPr>
      </w:pPr>
      <w:r>
        <w:rPr>
          <w:rFonts w:hint="eastAsia" w:ascii="宋体" w:hAnsi="宋体" w:cs="宋体"/>
          <w:color w:val="auto"/>
          <w:szCs w:val="21"/>
        </w:rPr>
        <w:t>审查标准和方法。</w:t>
      </w:r>
    </w:p>
    <w:p>
      <w:pPr>
        <w:pStyle w:val="21"/>
        <w:tabs>
          <w:tab w:val="left" w:pos="630"/>
        </w:tabs>
        <w:snapToGrid w:val="0"/>
        <w:spacing w:line="440" w:lineRule="exact"/>
        <w:ind w:firstLine="424" w:firstLineChars="202"/>
        <w:rPr>
          <w:rFonts w:hAnsi="宋体"/>
          <w:color w:val="auto"/>
        </w:rPr>
      </w:pPr>
      <w:r>
        <w:rPr>
          <w:rFonts w:hint="eastAsia" w:hAnsi="宋体"/>
          <w:color w:val="auto"/>
        </w:rPr>
        <w:t>资格后审不合格的投标人，评标委员会应当否决其投标。</w:t>
      </w:r>
    </w:p>
    <w:p>
      <w:pPr>
        <w:rPr>
          <w:b/>
          <w:bCs/>
          <w:color w:val="auto"/>
          <w:sz w:val="24"/>
          <w:szCs w:val="32"/>
        </w:rPr>
      </w:pPr>
      <w:bookmarkStart w:id="89" w:name="_Toc46496133"/>
      <w:r>
        <w:rPr>
          <w:b/>
          <w:bCs/>
          <w:color w:val="auto"/>
          <w:sz w:val="24"/>
          <w:szCs w:val="32"/>
        </w:rPr>
        <w:t>1.8</w:t>
      </w:r>
      <w:r>
        <w:rPr>
          <w:rFonts w:hint="eastAsia"/>
          <w:b/>
          <w:bCs/>
          <w:color w:val="auto"/>
          <w:sz w:val="24"/>
          <w:szCs w:val="32"/>
        </w:rPr>
        <w:t>投标人不得存在的情形</w:t>
      </w:r>
      <w:bookmarkEnd w:id="85"/>
      <w:bookmarkEnd w:id="86"/>
      <w:bookmarkEnd w:id="87"/>
      <w:bookmarkEnd w:id="89"/>
    </w:p>
    <w:p>
      <w:pPr>
        <w:pStyle w:val="21"/>
        <w:tabs>
          <w:tab w:val="left" w:pos="630"/>
        </w:tabs>
        <w:snapToGrid w:val="0"/>
        <w:spacing w:line="440" w:lineRule="exact"/>
        <w:ind w:firstLine="424" w:firstLineChars="202"/>
        <w:rPr>
          <w:rFonts w:hAnsi="宋体"/>
          <w:color w:val="auto"/>
        </w:rPr>
      </w:pPr>
      <w:r>
        <w:rPr>
          <w:rFonts w:hAnsi="宋体"/>
          <w:color w:val="auto"/>
        </w:rPr>
        <w:t>1.8.1投标人不得存在下列情形之一</w:t>
      </w:r>
    </w:p>
    <w:p>
      <w:pPr>
        <w:pStyle w:val="78"/>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为招标人不具有独立法人资格的附属机构（单位）；</w:t>
      </w:r>
      <w:r>
        <w:rPr>
          <w:rFonts w:ascii="宋体" w:hAnsi="宋体"/>
          <w:color w:val="auto"/>
        </w:rPr>
        <w:t xml:space="preserve"> </w:t>
      </w:r>
    </w:p>
    <w:p>
      <w:pPr>
        <w:pStyle w:val="78"/>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被责令停业的；</w:t>
      </w:r>
      <w:r>
        <w:rPr>
          <w:rFonts w:ascii="宋体" w:hAnsi="宋体"/>
          <w:color w:val="auto"/>
        </w:rPr>
        <w:t xml:space="preserve"> </w:t>
      </w:r>
    </w:p>
    <w:p>
      <w:pPr>
        <w:pStyle w:val="78"/>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被暂停或者取消投标资格的；</w:t>
      </w:r>
      <w:r>
        <w:rPr>
          <w:rFonts w:ascii="宋体" w:hAnsi="宋体"/>
          <w:color w:val="auto"/>
        </w:rPr>
        <w:t xml:space="preserve"> </w:t>
      </w:r>
    </w:p>
    <w:p>
      <w:pPr>
        <w:pStyle w:val="78"/>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财产被接管或者冻结的；</w:t>
      </w:r>
    </w:p>
    <w:p>
      <w:pPr>
        <w:pStyle w:val="78"/>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在最近三年内有骗取中标、严重违约、重大工程质量或者安全问题的；</w:t>
      </w:r>
    </w:p>
    <w:p>
      <w:pPr>
        <w:pStyle w:val="78"/>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法律法规限定的其他情形；</w:t>
      </w:r>
    </w:p>
    <w:p>
      <w:pPr>
        <w:pStyle w:val="78"/>
        <w:numPr>
          <w:ilvl w:val="0"/>
          <w:numId w:val="7"/>
        </w:numPr>
        <w:tabs>
          <w:tab w:val="left" w:pos="630"/>
        </w:tabs>
        <w:spacing w:line="400" w:lineRule="exact"/>
        <w:ind w:left="0" w:firstLine="424" w:firstLineChars="202"/>
        <w:rPr>
          <w:rFonts w:ascii="宋体" w:hAnsi="宋体"/>
          <w:color w:val="auto"/>
        </w:rPr>
      </w:pPr>
      <w:r>
        <w:rPr>
          <w:rFonts w:hint="eastAsia" w:ascii="宋体" w:hAnsi="宋体"/>
          <w:color w:val="auto"/>
        </w:rPr>
        <w:t>招标文件规定的其他情形：见投标人须知前附表。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1.8.2单位负责人为同一人或者存在控股、管理关系的不同单位，不得同时投标本项目中同一采购包或者投标未划分采购包的同一项目。</w:t>
      </w:r>
    </w:p>
    <w:p>
      <w:pPr>
        <w:rPr>
          <w:b/>
          <w:bCs/>
          <w:color w:val="auto"/>
          <w:sz w:val="24"/>
          <w:szCs w:val="32"/>
        </w:rPr>
      </w:pPr>
      <w:bookmarkStart w:id="90" w:name="_Toc447188676"/>
      <w:bookmarkStart w:id="91" w:name="_Toc107822487"/>
      <w:bookmarkStart w:id="92" w:name="_Toc447265225"/>
      <w:bookmarkStart w:id="93" w:name="_Toc227057890"/>
      <w:bookmarkStart w:id="94" w:name="_Toc46496134"/>
      <w:bookmarkStart w:id="95" w:name="_Toc226969284"/>
      <w:bookmarkStart w:id="96" w:name="_Toc447265511"/>
      <w:r>
        <w:rPr>
          <w:b/>
          <w:bCs/>
          <w:color w:val="auto"/>
          <w:sz w:val="24"/>
          <w:szCs w:val="32"/>
        </w:rPr>
        <w:t>1.9</w:t>
      </w:r>
      <w:r>
        <w:rPr>
          <w:rFonts w:hint="eastAsia"/>
          <w:b/>
          <w:bCs/>
          <w:color w:val="auto"/>
          <w:sz w:val="24"/>
          <w:szCs w:val="32"/>
        </w:rPr>
        <w:t>合格的货物和服务</w:t>
      </w:r>
      <w:bookmarkEnd w:id="90"/>
      <w:bookmarkEnd w:id="91"/>
      <w:bookmarkEnd w:id="92"/>
      <w:bookmarkEnd w:id="93"/>
      <w:bookmarkEnd w:id="94"/>
      <w:bookmarkEnd w:id="95"/>
      <w:bookmarkEnd w:id="96"/>
    </w:p>
    <w:p>
      <w:pPr>
        <w:pStyle w:val="21"/>
        <w:tabs>
          <w:tab w:val="left" w:pos="630"/>
        </w:tabs>
        <w:snapToGrid w:val="0"/>
        <w:spacing w:line="440" w:lineRule="exact"/>
        <w:ind w:firstLine="283" w:firstLineChars="135"/>
        <w:rPr>
          <w:rFonts w:hAnsi="宋体"/>
          <w:color w:val="auto"/>
        </w:rPr>
      </w:pPr>
      <w:r>
        <w:rPr>
          <w:rFonts w:hAnsi="宋体"/>
          <w:color w:val="auto"/>
        </w:rPr>
        <w:t>1.9.1投标人提供的所有货物及其有关服务的原产地，均应当来自中国或者是与中国有正常贸易往来的国家或者地区。招标人的支付也仅限于这些货物和服务。</w:t>
      </w:r>
    </w:p>
    <w:p>
      <w:pPr>
        <w:pStyle w:val="21"/>
        <w:tabs>
          <w:tab w:val="left" w:pos="630"/>
        </w:tabs>
        <w:snapToGrid w:val="0"/>
        <w:spacing w:line="440" w:lineRule="exact"/>
        <w:ind w:firstLine="283" w:firstLineChars="135"/>
        <w:rPr>
          <w:rFonts w:hAnsi="宋体"/>
          <w:color w:val="auto"/>
        </w:rPr>
      </w:pPr>
      <w:r>
        <w:rPr>
          <w:rFonts w:hAnsi="宋体"/>
          <w:color w:val="auto"/>
        </w:rPr>
        <w:t>1.9.2本招标文件所属的“原产地”是指货物开采、生长、生产或者提供有关服务的来源地。所述的“货物”是指制造、加工或者实质上装配了主要部件而形成的货物。商业上公认的产品是指基本特征、性能或者功能上与部件有着实质性区别的产品。</w:t>
      </w:r>
    </w:p>
    <w:p>
      <w:pPr>
        <w:pStyle w:val="21"/>
        <w:tabs>
          <w:tab w:val="left" w:pos="630"/>
        </w:tabs>
        <w:snapToGrid w:val="0"/>
        <w:spacing w:line="440" w:lineRule="exact"/>
        <w:ind w:firstLine="283" w:firstLineChars="135"/>
        <w:rPr>
          <w:rFonts w:hAnsi="宋体"/>
          <w:color w:val="auto"/>
        </w:rPr>
      </w:pPr>
      <w:r>
        <w:rPr>
          <w:rFonts w:hAnsi="宋体"/>
          <w:color w:val="auto"/>
        </w:rPr>
        <w:t>1.9.3投标人提供的所有货物及其有关服务应当符合国家规定的资格条件。</w:t>
      </w:r>
    </w:p>
    <w:p>
      <w:pPr>
        <w:rPr>
          <w:b/>
          <w:bCs/>
          <w:color w:val="auto"/>
          <w:sz w:val="24"/>
          <w:szCs w:val="32"/>
        </w:rPr>
      </w:pPr>
      <w:bookmarkStart w:id="97" w:name="_Toc107822488"/>
      <w:bookmarkStart w:id="98" w:name="_Toc447265226"/>
      <w:bookmarkStart w:id="99" w:name="_Toc226969285"/>
      <w:bookmarkStart w:id="100" w:name="_Toc447265512"/>
      <w:bookmarkStart w:id="101" w:name="_Toc447188677"/>
      <w:bookmarkStart w:id="102" w:name="_Toc227057891"/>
      <w:bookmarkStart w:id="103" w:name="_Toc46496135"/>
      <w:r>
        <w:rPr>
          <w:b/>
          <w:bCs/>
          <w:color w:val="auto"/>
          <w:sz w:val="24"/>
          <w:szCs w:val="32"/>
        </w:rPr>
        <w:t>1.10</w:t>
      </w:r>
      <w:r>
        <w:rPr>
          <w:rFonts w:hint="eastAsia"/>
          <w:b/>
          <w:bCs/>
          <w:color w:val="auto"/>
          <w:sz w:val="24"/>
          <w:szCs w:val="32"/>
        </w:rPr>
        <w:t>投标费用</w:t>
      </w:r>
      <w:bookmarkEnd w:id="97"/>
      <w:bookmarkEnd w:id="98"/>
      <w:bookmarkEnd w:id="99"/>
      <w:bookmarkEnd w:id="100"/>
      <w:bookmarkEnd w:id="101"/>
      <w:bookmarkEnd w:id="102"/>
      <w:bookmarkEnd w:id="103"/>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不论结果如何，投标人自行承担所有准备和参与招标有关的费用。</w:t>
      </w:r>
      <w:bookmarkStart w:id="104" w:name="_Toc107822489"/>
      <w:bookmarkStart w:id="105" w:name="_Toc226969286"/>
      <w:bookmarkStart w:id="106" w:name="_Toc227057892"/>
    </w:p>
    <w:p>
      <w:pPr>
        <w:rPr>
          <w:b/>
          <w:bCs/>
          <w:color w:val="auto"/>
          <w:sz w:val="24"/>
          <w:szCs w:val="32"/>
        </w:rPr>
      </w:pPr>
      <w:bookmarkStart w:id="107" w:name="_Toc447265513"/>
      <w:bookmarkStart w:id="108" w:name="_Toc447265227"/>
      <w:bookmarkStart w:id="109" w:name="_Toc46496136"/>
      <w:r>
        <w:rPr>
          <w:b/>
          <w:bCs/>
          <w:color w:val="auto"/>
          <w:sz w:val="24"/>
          <w:szCs w:val="32"/>
        </w:rPr>
        <w:t>1.11</w:t>
      </w:r>
      <w:r>
        <w:rPr>
          <w:rFonts w:hint="eastAsia"/>
          <w:b/>
          <w:bCs/>
          <w:color w:val="auto"/>
          <w:sz w:val="24"/>
          <w:szCs w:val="32"/>
        </w:rPr>
        <w:t>保密</w:t>
      </w:r>
      <w:bookmarkEnd w:id="107"/>
      <w:bookmarkEnd w:id="108"/>
      <w:bookmarkEnd w:id="109"/>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参与招标活动的各方应当对招标文件和投标文件中的商业和技术等秘密保密，违者应当对由此造成的后果承担法律责任。</w:t>
      </w:r>
    </w:p>
    <w:p>
      <w:pPr>
        <w:numPr>
          <w:ilvl w:val="0"/>
          <w:numId w:val="5"/>
        </w:numPr>
        <w:rPr>
          <w:b/>
          <w:bCs/>
          <w:color w:val="auto"/>
          <w:sz w:val="24"/>
          <w:szCs w:val="32"/>
        </w:rPr>
      </w:pPr>
      <w:r>
        <w:rPr>
          <w:rFonts w:hint="eastAsia"/>
          <w:b/>
          <w:bCs/>
          <w:color w:val="auto"/>
          <w:sz w:val="24"/>
          <w:szCs w:val="32"/>
        </w:rPr>
        <w:t>招标文件</w:t>
      </w:r>
      <w:r>
        <w:rPr>
          <w:b/>
          <w:bCs/>
          <w:color w:val="auto"/>
          <w:sz w:val="24"/>
          <w:szCs w:val="32"/>
        </w:rPr>
        <w:t xml:space="preserve"> </w:t>
      </w:r>
    </w:p>
    <w:p>
      <w:pPr>
        <w:rPr>
          <w:b/>
          <w:bCs/>
          <w:color w:val="auto"/>
          <w:sz w:val="24"/>
          <w:szCs w:val="32"/>
        </w:rPr>
      </w:pPr>
      <w:bookmarkStart w:id="110" w:name="_Toc46496138"/>
      <w:bookmarkStart w:id="111" w:name="_Toc447265229"/>
      <w:bookmarkStart w:id="112" w:name="_Toc447188679"/>
      <w:bookmarkStart w:id="113" w:name="_Toc447265515"/>
      <w:r>
        <w:rPr>
          <w:b/>
          <w:bCs/>
          <w:color w:val="auto"/>
          <w:sz w:val="24"/>
          <w:szCs w:val="32"/>
        </w:rPr>
        <w:t>2.1</w:t>
      </w:r>
      <w:r>
        <w:rPr>
          <w:rFonts w:hint="eastAsia"/>
          <w:b/>
          <w:bCs/>
          <w:color w:val="auto"/>
          <w:sz w:val="24"/>
          <w:szCs w:val="32"/>
        </w:rPr>
        <w:t>招标文件</w:t>
      </w:r>
      <w:bookmarkEnd w:id="104"/>
      <w:r>
        <w:rPr>
          <w:rFonts w:hint="eastAsia"/>
          <w:b/>
          <w:bCs/>
          <w:color w:val="auto"/>
          <w:sz w:val="24"/>
          <w:szCs w:val="32"/>
        </w:rPr>
        <w:t>的组成</w:t>
      </w:r>
      <w:bookmarkEnd w:id="105"/>
      <w:bookmarkEnd w:id="106"/>
      <w:bookmarkEnd w:id="110"/>
      <w:bookmarkEnd w:id="111"/>
      <w:bookmarkEnd w:id="112"/>
      <w:bookmarkEnd w:id="113"/>
    </w:p>
    <w:p>
      <w:pPr>
        <w:pStyle w:val="21"/>
        <w:tabs>
          <w:tab w:val="left" w:pos="630"/>
        </w:tabs>
        <w:snapToGrid w:val="0"/>
        <w:spacing w:line="440" w:lineRule="exact"/>
        <w:ind w:firstLine="424" w:firstLineChars="202"/>
        <w:rPr>
          <w:rFonts w:hAnsi="宋体"/>
          <w:color w:val="auto"/>
        </w:rPr>
      </w:pPr>
      <w:r>
        <w:rPr>
          <w:rFonts w:hAnsi="宋体"/>
          <w:color w:val="auto"/>
        </w:rPr>
        <w:t>2.1.1招标文件一般由以下部分组成：</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第一章</w:t>
      </w:r>
      <w:r>
        <w:rPr>
          <w:rFonts w:ascii="宋体" w:hAnsi="宋体" w:cs="宋体"/>
          <w:color w:val="auto"/>
          <w:szCs w:val="21"/>
        </w:rPr>
        <w:t xml:space="preserve"> </w:t>
      </w:r>
      <w:r>
        <w:rPr>
          <w:rFonts w:hint="eastAsia" w:ascii="宋体" w:hAnsi="宋体" w:cs="宋体"/>
          <w:color w:val="auto"/>
          <w:szCs w:val="21"/>
        </w:rPr>
        <w:t>招标公告</w:t>
      </w:r>
      <w:r>
        <w:rPr>
          <w:rFonts w:ascii="宋体" w:hAnsi="宋体" w:cs="宋体"/>
          <w:color w:val="auto"/>
          <w:szCs w:val="21"/>
        </w:rPr>
        <w:t>/投标邀请书</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第二章</w:t>
      </w:r>
      <w:r>
        <w:rPr>
          <w:rFonts w:ascii="宋体" w:hAnsi="宋体" w:cs="宋体"/>
          <w:color w:val="auto"/>
          <w:szCs w:val="21"/>
        </w:rPr>
        <w:t xml:space="preserve"> </w:t>
      </w:r>
      <w:r>
        <w:rPr>
          <w:rFonts w:hint="eastAsia" w:ascii="宋体" w:hAnsi="宋体" w:cs="宋体"/>
          <w:color w:val="auto"/>
          <w:szCs w:val="21"/>
        </w:rPr>
        <w:t>投标人须知</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第三章</w:t>
      </w:r>
      <w:r>
        <w:rPr>
          <w:rFonts w:ascii="宋体" w:hAnsi="宋体" w:cs="宋体"/>
          <w:color w:val="auto"/>
          <w:szCs w:val="21"/>
        </w:rPr>
        <w:t xml:space="preserve"> </w:t>
      </w:r>
      <w:r>
        <w:rPr>
          <w:rFonts w:hint="eastAsia" w:ascii="宋体" w:hAnsi="宋体" w:cs="宋体"/>
          <w:color w:val="auto"/>
          <w:szCs w:val="21"/>
        </w:rPr>
        <w:t>评审办法</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第四章</w:t>
      </w:r>
      <w:r>
        <w:rPr>
          <w:rFonts w:ascii="宋体" w:hAnsi="宋体" w:cs="宋体"/>
          <w:color w:val="auto"/>
          <w:szCs w:val="21"/>
        </w:rPr>
        <w:t xml:space="preserve"> </w:t>
      </w:r>
      <w:r>
        <w:rPr>
          <w:rFonts w:hint="eastAsia" w:ascii="宋体" w:hAnsi="宋体" w:cs="宋体"/>
          <w:color w:val="auto"/>
          <w:szCs w:val="21"/>
        </w:rPr>
        <w:t>合同条款</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第五章</w:t>
      </w:r>
      <w:r>
        <w:rPr>
          <w:rFonts w:ascii="宋体" w:hAnsi="宋体" w:cs="宋体"/>
          <w:color w:val="auto"/>
          <w:szCs w:val="21"/>
        </w:rPr>
        <w:t xml:space="preserve"> </w:t>
      </w:r>
      <w:r>
        <w:rPr>
          <w:rFonts w:hint="eastAsia" w:ascii="宋体" w:hAnsi="宋体" w:cs="宋体"/>
          <w:color w:val="auto"/>
          <w:szCs w:val="21"/>
        </w:rPr>
        <w:t>采购需求书</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第六章</w:t>
      </w:r>
      <w:r>
        <w:rPr>
          <w:rFonts w:ascii="宋体" w:hAnsi="宋体" w:cs="宋体"/>
          <w:color w:val="auto"/>
          <w:szCs w:val="21"/>
        </w:rPr>
        <w:t xml:space="preserve"> </w:t>
      </w:r>
      <w:r>
        <w:rPr>
          <w:rFonts w:hint="eastAsia" w:ascii="宋体" w:hAnsi="宋体" w:cs="宋体"/>
          <w:color w:val="auto"/>
          <w:szCs w:val="21"/>
        </w:rPr>
        <w:t>投标文件格式</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第七章</w:t>
      </w:r>
      <w:r>
        <w:rPr>
          <w:rFonts w:ascii="宋体" w:hAnsi="宋体" w:cs="宋体"/>
          <w:color w:val="auto"/>
          <w:szCs w:val="21"/>
        </w:rPr>
        <w:t xml:space="preserve"> </w:t>
      </w:r>
      <w:r>
        <w:rPr>
          <w:rFonts w:hint="eastAsia" w:ascii="宋体" w:hAnsi="宋体" w:cs="宋体"/>
          <w:color w:val="auto"/>
          <w:szCs w:val="21"/>
        </w:rPr>
        <w:t>其他</w:t>
      </w:r>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招标人另有规定的</w:t>
      </w:r>
      <w:r>
        <w:rPr>
          <w:rFonts w:hint="eastAsia" w:ascii="宋体" w:hAnsi="宋体" w:cs="宋体"/>
          <w:color w:val="auto"/>
          <w:szCs w:val="21"/>
        </w:rPr>
        <w:t>，</w:t>
      </w:r>
      <w:r>
        <w:rPr>
          <w:rFonts w:ascii="宋体" w:hAnsi="宋体" w:cs="宋体"/>
          <w:color w:val="auto"/>
          <w:szCs w:val="21"/>
        </w:rPr>
        <w:t>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2.1.2招标文件对同一内容的表述应当一致。第一章“招标公告”或者“投标邀请书”与招标文件在同一内容的表述上有矛盾或者冲突时，以第一章“招标公告”或者“投标邀请</w:t>
      </w:r>
      <w:r>
        <w:rPr>
          <w:rFonts w:hint="eastAsia" w:hAnsi="宋体"/>
          <w:color w:val="auto"/>
        </w:rPr>
        <w:t>书”为准；投标人须知前附表与投标人须知正文在同一内容的表述上有矛盾或者冲突时，以投标人须知前附表为准。</w:t>
      </w:r>
    </w:p>
    <w:p>
      <w:pPr>
        <w:pStyle w:val="21"/>
        <w:tabs>
          <w:tab w:val="left" w:pos="630"/>
        </w:tabs>
        <w:snapToGrid w:val="0"/>
        <w:spacing w:line="440" w:lineRule="exact"/>
        <w:ind w:firstLine="424" w:firstLineChars="202"/>
        <w:rPr>
          <w:rFonts w:hAnsi="宋体"/>
          <w:color w:val="auto"/>
        </w:rPr>
      </w:pPr>
      <w:r>
        <w:rPr>
          <w:rFonts w:hAnsi="宋体"/>
          <w:color w:val="auto"/>
        </w:rPr>
        <w:t>2.1.3招标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2.1.4招标人可要求以某一单项报价核定是否低于成本，具体要求见投标人须知前附表。</w:t>
      </w:r>
    </w:p>
    <w:p>
      <w:pPr>
        <w:rPr>
          <w:b/>
          <w:bCs/>
          <w:color w:val="auto"/>
          <w:sz w:val="24"/>
          <w:szCs w:val="32"/>
        </w:rPr>
      </w:pPr>
      <w:bookmarkStart w:id="114" w:name="_Toc447265516"/>
      <w:bookmarkStart w:id="115" w:name="_Toc46496139"/>
      <w:bookmarkStart w:id="116" w:name="_Toc447265230"/>
      <w:bookmarkStart w:id="117" w:name="_Toc447188680"/>
      <w:bookmarkStart w:id="118" w:name="_Toc226969287"/>
      <w:bookmarkStart w:id="119" w:name="_Toc227057893"/>
      <w:bookmarkStart w:id="120" w:name="_Toc107822490"/>
      <w:r>
        <w:rPr>
          <w:b/>
          <w:bCs/>
          <w:color w:val="auto"/>
          <w:sz w:val="24"/>
          <w:szCs w:val="32"/>
        </w:rPr>
        <w:t>2.2</w:t>
      </w:r>
      <w:r>
        <w:rPr>
          <w:rFonts w:hint="eastAsia"/>
          <w:b/>
          <w:bCs/>
          <w:color w:val="auto"/>
          <w:sz w:val="24"/>
          <w:szCs w:val="32"/>
        </w:rPr>
        <w:t>踏勘现场</w:t>
      </w:r>
      <w:bookmarkEnd w:id="114"/>
      <w:bookmarkEnd w:id="115"/>
      <w:bookmarkEnd w:id="116"/>
      <w:bookmarkEnd w:id="117"/>
    </w:p>
    <w:p>
      <w:pPr>
        <w:pStyle w:val="21"/>
        <w:tabs>
          <w:tab w:val="left" w:pos="630"/>
        </w:tabs>
        <w:snapToGrid w:val="0"/>
        <w:spacing w:line="440" w:lineRule="exact"/>
        <w:ind w:firstLine="283" w:firstLineChars="135"/>
        <w:rPr>
          <w:rFonts w:hAnsi="宋体"/>
          <w:color w:val="auto"/>
        </w:rPr>
      </w:pPr>
      <w:r>
        <w:rPr>
          <w:rFonts w:hAnsi="宋体"/>
          <w:color w:val="auto"/>
        </w:rPr>
        <w:t xml:space="preserve">2.2.1投标人须知前附表规定组织踏勘现场的，招标人按照投标人须知前附表规定的时间、地点组织投标人踏勘项目现场。 </w:t>
      </w:r>
    </w:p>
    <w:p>
      <w:pPr>
        <w:pStyle w:val="21"/>
        <w:tabs>
          <w:tab w:val="left" w:pos="630"/>
        </w:tabs>
        <w:snapToGrid w:val="0"/>
        <w:spacing w:line="440" w:lineRule="exact"/>
        <w:ind w:firstLine="283" w:firstLineChars="135"/>
        <w:rPr>
          <w:rFonts w:hAnsi="宋体"/>
          <w:color w:val="auto"/>
        </w:rPr>
      </w:pPr>
      <w:r>
        <w:rPr>
          <w:rFonts w:hAnsi="宋体"/>
          <w:color w:val="auto"/>
        </w:rPr>
        <w:t>2.2.2</w:t>
      </w:r>
      <w:r>
        <w:rPr>
          <w:rFonts w:hint="eastAsia" w:hAnsi="宋体"/>
          <w:color w:val="auto"/>
        </w:rPr>
        <w:t>潜在投标人踏勘现场发生的费用自理。</w:t>
      </w:r>
    </w:p>
    <w:p>
      <w:pPr>
        <w:pStyle w:val="21"/>
        <w:tabs>
          <w:tab w:val="left" w:pos="630"/>
        </w:tabs>
        <w:snapToGrid w:val="0"/>
        <w:spacing w:line="440" w:lineRule="exact"/>
        <w:ind w:firstLine="283" w:firstLineChars="135"/>
        <w:rPr>
          <w:rFonts w:hAnsi="宋体"/>
          <w:color w:val="auto"/>
        </w:rPr>
      </w:pPr>
      <w:r>
        <w:rPr>
          <w:rFonts w:hAnsi="宋体"/>
          <w:color w:val="auto"/>
        </w:rPr>
        <w:t>2.2.3</w:t>
      </w:r>
      <w:r>
        <w:rPr>
          <w:rFonts w:hint="eastAsia" w:hAnsi="宋体"/>
          <w:color w:val="auto"/>
        </w:rPr>
        <w:t>除招标人的原因外，潜在投标人自行负责在踏勘现场中所发生的人员伤亡和财产损失。</w:t>
      </w:r>
    </w:p>
    <w:p>
      <w:pPr>
        <w:pStyle w:val="21"/>
        <w:tabs>
          <w:tab w:val="left" w:pos="630"/>
        </w:tabs>
        <w:snapToGrid w:val="0"/>
        <w:spacing w:line="440" w:lineRule="exact"/>
        <w:ind w:firstLine="283" w:firstLineChars="135"/>
        <w:rPr>
          <w:rFonts w:hAnsi="宋体"/>
          <w:color w:val="auto"/>
        </w:rPr>
      </w:pPr>
      <w:r>
        <w:rPr>
          <w:rFonts w:hAnsi="宋体"/>
          <w:color w:val="auto"/>
        </w:rPr>
        <w:t>2.2.4</w:t>
      </w:r>
      <w:r>
        <w:rPr>
          <w:rFonts w:hint="eastAsia" w:hAnsi="宋体"/>
          <w:color w:val="auto"/>
        </w:rPr>
        <w:t>招标人在踏勘现场中介绍的项目现场和相关的周边环境情况，供潜在投标人在编制投标文件时参考，招标人不对投标人据此作出的判断和决策负责。</w:t>
      </w:r>
    </w:p>
    <w:p>
      <w:pPr>
        <w:rPr>
          <w:b/>
          <w:bCs/>
          <w:color w:val="auto"/>
          <w:sz w:val="24"/>
          <w:szCs w:val="32"/>
        </w:rPr>
      </w:pPr>
      <w:bookmarkStart w:id="121" w:name="_Toc447188681"/>
      <w:bookmarkStart w:id="122" w:name="_Toc46496140"/>
      <w:bookmarkStart w:id="123" w:name="_Toc447265517"/>
      <w:bookmarkStart w:id="124" w:name="_Toc447265231"/>
      <w:r>
        <w:rPr>
          <w:b/>
          <w:bCs/>
          <w:color w:val="auto"/>
          <w:sz w:val="24"/>
          <w:szCs w:val="32"/>
        </w:rPr>
        <w:t>2.3</w:t>
      </w:r>
      <w:r>
        <w:rPr>
          <w:rFonts w:hint="eastAsia"/>
          <w:b/>
          <w:bCs/>
          <w:color w:val="auto"/>
          <w:sz w:val="24"/>
          <w:szCs w:val="32"/>
        </w:rPr>
        <w:t>投标预备会</w:t>
      </w:r>
      <w:bookmarkEnd w:id="121"/>
      <w:bookmarkEnd w:id="122"/>
      <w:bookmarkEnd w:id="123"/>
      <w:bookmarkEnd w:id="124"/>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投标人须知前附表规定召开投标预备会的，招标人按照投标人须知前附表规定的时间和地点召开投标预备会，澄清潜在投标人提出的问题。</w:t>
      </w:r>
    </w:p>
    <w:p>
      <w:pPr>
        <w:rPr>
          <w:b/>
          <w:bCs/>
          <w:color w:val="auto"/>
          <w:sz w:val="24"/>
          <w:szCs w:val="32"/>
        </w:rPr>
      </w:pPr>
      <w:bookmarkStart w:id="125" w:name="_Toc447188682"/>
      <w:bookmarkStart w:id="126" w:name="_Toc447265232"/>
      <w:bookmarkStart w:id="127" w:name="_Toc447265518"/>
      <w:bookmarkStart w:id="128" w:name="_Toc46496141"/>
      <w:r>
        <w:rPr>
          <w:b/>
          <w:bCs/>
          <w:color w:val="auto"/>
          <w:sz w:val="24"/>
          <w:szCs w:val="32"/>
        </w:rPr>
        <w:t>2.4</w:t>
      </w:r>
      <w:r>
        <w:rPr>
          <w:rFonts w:hint="eastAsia"/>
          <w:b/>
          <w:bCs/>
          <w:color w:val="auto"/>
          <w:sz w:val="24"/>
          <w:szCs w:val="32"/>
        </w:rPr>
        <w:t>招标文件的澄清</w:t>
      </w:r>
      <w:bookmarkEnd w:id="118"/>
      <w:bookmarkEnd w:id="119"/>
      <w:bookmarkEnd w:id="120"/>
      <w:r>
        <w:rPr>
          <w:rFonts w:hint="eastAsia"/>
          <w:b/>
          <w:bCs/>
          <w:color w:val="auto"/>
          <w:sz w:val="24"/>
          <w:szCs w:val="32"/>
        </w:rPr>
        <w:t>和修改</w:t>
      </w:r>
      <w:bookmarkEnd w:id="125"/>
      <w:bookmarkEnd w:id="126"/>
      <w:bookmarkEnd w:id="127"/>
      <w:bookmarkEnd w:id="128"/>
    </w:p>
    <w:p>
      <w:pPr>
        <w:pStyle w:val="21"/>
        <w:tabs>
          <w:tab w:val="left" w:pos="630"/>
        </w:tabs>
        <w:snapToGrid w:val="0"/>
        <w:spacing w:line="440" w:lineRule="exact"/>
        <w:ind w:firstLine="283" w:firstLineChars="135"/>
        <w:rPr>
          <w:rFonts w:hAnsi="宋体"/>
          <w:color w:val="auto"/>
        </w:rPr>
      </w:pPr>
      <w:bookmarkStart w:id="129" w:name="_Toc107822492"/>
      <w:bookmarkStart w:id="130" w:name="_Toc246996191"/>
      <w:bookmarkStart w:id="131" w:name="_Toc226969289"/>
      <w:bookmarkStart w:id="132" w:name="_Toc179632564"/>
      <w:bookmarkStart w:id="133" w:name="_Toc227057895"/>
      <w:bookmarkStart w:id="134" w:name="_Toc152042322"/>
      <w:bookmarkStart w:id="135" w:name="_Toc447188683"/>
      <w:bookmarkStart w:id="136" w:name="_Toc296602436"/>
      <w:bookmarkStart w:id="137" w:name="_Toc152045546"/>
      <w:bookmarkStart w:id="138" w:name="_Toc447265519"/>
      <w:bookmarkStart w:id="139" w:name="_Toc144974514"/>
      <w:bookmarkStart w:id="140" w:name="_Toc247085705"/>
      <w:bookmarkStart w:id="141" w:name="_Toc246996934"/>
      <w:bookmarkStart w:id="142" w:name="_Toc447265233"/>
      <w:r>
        <w:rPr>
          <w:rFonts w:hAnsi="宋体"/>
          <w:color w:val="auto"/>
        </w:rPr>
        <w:t>2.4.1投标人对招标文件有疑问的，应当按照投标人须知前附表规定的时间和方式，要求招标人对招标文件进行澄清。</w:t>
      </w:r>
    </w:p>
    <w:p>
      <w:pPr>
        <w:pStyle w:val="21"/>
        <w:tabs>
          <w:tab w:val="left" w:pos="630"/>
        </w:tabs>
        <w:snapToGrid w:val="0"/>
        <w:spacing w:line="440" w:lineRule="exact"/>
        <w:ind w:firstLine="283" w:firstLineChars="135"/>
        <w:rPr>
          <w:rFonts w:hAnsi="宋体"/>
          <w:color w:val="auto"/>
        </w:rPr>
      </w:pPr>
      <w:r>
        <w:rPr>
          <w:rFonts w:hAnsi="宋体"/>
          <w:color w:val="auto"/>
        </w:rPr>
        <w:t>2.4.2</w:t>
      </w:r>
      <w:r>
        <w:rPr>
          <w:rFonts w:hint="eastAsia" w:hAnsi="宋体"/>
          <w:color w:val="auto"/>
        </w:rPr>
        <w:t>招标人应当按照投标人须知前附表规定的时间和方式，将澄清或者修改内容发给所有购买招标文件的投标人，但不指明问题的来源。</w:t>
      </w:r>
    </w:p>
    <w:p>
      <w:pPr>
        <w:pStyle w:val="21"/>
        <w:tabs>
          <w:tab w:val="left" w:pos="630"/>
        </w:tabs>
        <w:snapToGrid w:val="0"/>
        <w:spacing w:line="440" w:lineRule="exact"/>
        <w:ind w:firstLine="283" w:firstLineChars="135"/>
        <w:rPr>
          <w:rFonts w:hAnsi="宋体"/>
          <w:color w:val="auto"/>
        </w:rPr>
      </w:pPr>
      <w:r>
        <w:rPr>
          <w:rFonts w:hAnsi="宋体"/>
          <w:color w:val="auto"/>
        </w:rPr>
        <w:t>2.4.4投标人收到澄清或者修改后，应当按照投标人须知前附表规定的时间和方式通知招标人，确认已收到该澄清或者修改。</w:t>
      </w:r>
    </w:p>
    <w:p>
      <w:pPr>
        <w:pStyle w:val="21"/>
        <w:tabs>
          <w:tab w:val="left" w:pos="630"/>
        </w:tabs>
        <w:snapToGrid w:val="0"/>
        <w:spacing w:line="440" w:lineRule="exact"/>
        <w:ind w:firstLine="283" w:firstLineChars="135"/>
        <w:rPr>
          <w:rFonts w:hAnsi="宋体"/>
          <w:color w:val="auto"/>
        </w:rPr>
      </w:pPr>
      <w:r>
        <w:rPr>
          <w:rFonts w:hAnsi="宋体"/>
          <w:color w:val="auto"/>
        </w:rPr>
        <w:t>2.4.5所有关于招标文件的澄清和修改均作为招标文件的补充部分。当招标文件、招标文件的澄清或者修改等在同一内容的表述上不一致时，以最后发出的书面文件为准。</w:t>
      </w:r>
    </w:p>
    <w:p>
      <w:pPr>
        <w:numPr>
          <w:ilvl w:val="0"/>
          <w:numId w:val="5"/>
        </w:numPr>
        <w:rPr>
          <w:b/>
          <w:bCs/>
          <w:color w:val="auto"/>
          <w:sz w:val="24"/>
          <w:szCs w:val="32"/>
        </w:rPr>
      </w:pPr>
      <w:r>
        <w:rPr>
          <w:rFonts w:hint="eastAsia"/>
          <w:b/>
          <w:bCs/>
          <w:color w:val="auto"/>
          <w:sz w:val="24"/>
          <w:szCs w:val="32"/>
        </w:rPr>
        <w:t>投标文件</w:t>
      </w:r>
      <w:bookmarkEnd w:id="39"/>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pPr>
        <w:rPr>
          <w:b/>
          <w:bCs/>
          <w:color w:val="auto"/>
          <w:sz w:val="24"/>
          <w:szCs w:val="32"/>
        </w:rPr>
      </w:pPr>
      <w:bookmarkStart w:id="143" w:name="_Toc226969290"/>
      <w:bookmarkStart w:id="144" w:name="_Toc227057896"/>
      <w:bookmarkStart w:id="145" w:name="_Toc107822493"/>
      <w:bookmarkStart w:id="146" w:name="_Toc447265234"/>
      <w:bookmarkStart w:id="147" w:name="_Toc46496143"/>
      <w:bookmarkStart w:id="148" w:name="_Toc450489293"/>
      <w:bookmarkStart w:id="149" w:name="_Toc447188684"/>
      <w:bookmarkStart w:id="150" w:name="_Toc447265520"/>
      <w:bookmarkStart w:id="151" w:name="_Toc447265242"/>
      <w:bookmarkStart w:id="152" w:name="_Toc447265528"/>
      <w:bookmarkStart w:id="153" w:name="_Toc184635074"/>
      <w:bookmarkStart w:id="154" w:name="_Toc488655848"/>
      <w:bookmarkStart w:id="155" w:name="_Toc107822503"/>
      <w:bookmarkStart w:id="156" w:name="_Toc226969300"/>
      <w:bookmarkStart w:id="157" w:name="_Toc227057906"/>
      <w:r>
        <w:rPr>
          <w:b/>
          <w:bCs/>
          <w:color w:val="auto"/>
          <w:sz w:val="24"/>
          <w:szCs w:val="32"/>
        </w:rPr>
        <w:t>3.1</w:t>
      </w:r>
      <w:r>
        <w:rPr>
          <w:rFonts w:hint="eastAsia"/>
          <w:b/>
          <w:bCs/>
          <w:color w:val="auto"/>
          <w:sz w:val="24"/>
          <w:szCs w:val="32"/>
        </w:rPr>
        <w:t>投标文件的</w:t>
      </w:r>
      <w:bookmarkEnd w:id="143"/>
      <w:bookmarkEnd w:id="144"/>
      <w:bookmarkEnd w:id="145"/>
      <w:r>
        <w:rPr>
          <w:rFonts w:hint="eastAsia"/>
          <w:b/>
          <w:bCs/>
          <w:color w:val="auto"/>
          <w:sz w:val="24"/>
          <w:szCs w:val="32"/>
        </w:rPr>
        <w:t>组成</w:t>
      </w:r>
      <w:bookmarkEnd w:id="146"/>
      <w:bookmarkEnd w:id="147"/>
      <w:bookmarkEnd w:id="148"/>
      <w:bookmarkEnd w:id="149"/>
      <w:bookmarkEnd w:id="15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投标人应当按照投标人须知前附表的要求制作并递交投标文件。投标文件组成见投标人须知前附表。</w:t>
      </w:r>
    </w:p>
    <w:p>
      <w:pPr>
        <w:rPr>
          <w:b/>
          <w:bCs/>
          <w:color w:val="auto"/>
          <w:sz w:val="24"/>
          <w:szCs w:val="32"/>
        </w:rPr>
      </w:pPr>
      <w:bookmarkStart w:id="158" w:name="_Toc447188685"/>
      <w:bookmarkStart w:id="159" w:name="_Toc447265235"/>
      <w:bookmarkStart w:id="160" w:name="_Toc447265521"/>
      <w:bookmarkStart w:id="161" w:name="_Toc46496144"/>
      <w:bookmarkStart w:id="162" w:name="_Toc450489294"/>
      <w:r>
        <w:rPr>
          <w:b/>
          <w:bCs/>
          <w:color w:val="auto"/>
          <w:sz w:val="24"/>
          <w:szCs w:val="32"/>
        </w:rPr>
        <w:t>3.2</w:t>
      </w:r>
      <w:r>
        <w:rPr>
          <w:rFonts w:hint="eastAsia"/>
          <w:b/>
          <w:bCs/>
          <w:color w:val="auto"/>
          <w:sz w:val="24"/>
          <w:szCs w:val="32"/>
        </w:rPr>
        <w:t>投标文件的编制</w:t>
      </w:r>
      <w:bookmarkEnd w:id="158"/>
      <w:bookmarkEnd w:id="159"/>
      <w:bookmarkEnd w:id="160"/>
      <w:bookmarkEnd w:id="161"/>
      <w:bookmarkEnd w:id="162"/>
    </w:p>
    <w:p>
      <w:pPr>
        <w:pStyle w:val="21"/>
        <w:tabs>
          <w:tab w:val="left" w:pos="630"/>
        </w:tabs>
        <w:snapToGrid w:val="0"/>
        <w:spacing w:line="440" w:lineRule="exact"/>
        <w:ind w:firstLine="424" w:firstLineChars="202"/>
        <w:rPr>
          <w:rFonts w:hAnsi="宋体"/>
          <w:color w:val="auto"/>
        </w:rPr>
      </w:pPr>
      <w:r>
        <w:rPr>
          <w:rFonts w:hAnsi="宋体"/>
          <w:color w:val="auto"/>
        </w:rPr>
        <w:t>3.2.1投标人应当按照招标文件的要求编制</w:t>
      </w:r>
      <w:r>
        <w:rPr>
          <w:rFonts w:hint="eastAsia" w:hAnsi="宋体" w:cs="宋体"/>
          <w:color w:val="auto"/>
          <w:szCs w:val="21"/>
        </w:rPr>
        <w:t>投标</w:t>
      </w:r>
      <w:r>
        <w:rPr>
          <w:rFonts w:hint="eastAsia" w:hAnsi="宋体"/>
          <w:color w:val="auto"/>
        </w:rPr>
        <w:t>文件，</w:t>
      </w:r>
      <w:r>
        <w:rPr>
          <w:rFonts w:hint="eastAsia" w:hAnsi="宋体" w:cs="宋体"/>
          <w:color w:val="auto"/>
          <w:szCs w:val="21"/>
        </w:rPr>
        <w:t>投标</w:t>
      </w:r>
      <w:r>
        <w:rPr>
          <w:rFonts w:hint="eastAsia" w:hAnsi="宋体"/>
          <w:color w:val="auto"/>
        </w:rPr>
        <w:t>文件应当对招标文件提出的实质性要求和条件作出响应。</w:t>
      </w:r>
    </w:p>
    <w:p>
      <w:pPr>
        <w:pStyle w:val="21"/>
        <w:tabs>
          <w:tab w:val="left" w:pos="630"/>
        </w:tabs>
        <w:snapToGrid w:val="0"/>
        <w:spacing w:line="440" w:lineRule="exact"/>
        <w:ind w:firstLine="424" w:firstLineChars="202"/>
        <w:rPr>
          <w:rFonts w:hAnsi="宋体"/>
          <w:color w:val="auto"/>
        </w:rPr>
      </w:pPr>
      <w:r>
        <w:rPr>
          <w:rFonts w:hAnsi="宋体"/>
          <w:color w:val="auto"/>
        </w:rPr>
        <w:t>3.2.2</w:t>
      </w:r>
      <w:r>
        <w:rPr>
          <w:rFonts w:hint="eastAsia" w:hAnsi="宋体"/>
          <w:color w:val="auto"/>
        </w:rPr>
        <w:t>投标人应当认真阅读招标文件中所有的事项、格式、条款和技术规范等。投标人没有按照招标文件要求递交全部资料或者投标人没有对招标文件在各方面都作出实质性响应是投标人的风险，并可能导致其投标被否决。</w:t>
      </w:r>
      <w:r>
        <w:rPr>
          <w:rFonts w:hint="eastAsia" w:hAnsi="宋体" w:cs="宋体"/>
          <w:color w:val="auto"/>
          <w:szCs w:val="21"/>
        </w:rPr>
        <w:t>投标</w:t>
      </w:r>
      <w:r>
        <w:rPr>
          <w:rFonts w:hint="eastAsia" w:hAnsi="宋体"/>
          <w:color w:val="auto"/>
        </w:rPr>
        <w:t>文件投标和编写的具体要求见投标人须知前附表。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3.2.3投标人递交的</w:t>
      </w:r>
      <w:r>
        <w:rPr>
          <w:rFonts w:hint="eastAsia" w:hAnsi="宋体" w:cs="宋体"/>
          <w:color w:val="auto"/>
          <w:szCs w:val="21"/>
        </w:rPr>
        <w:t>投标</w:t>
      </w:r>
      <w:r>
        <w:rPr>
          <w:rFonts w:hint="eastAsia" w:hAnsi="宋体"/>
          <w:color w:val="auto"/>
        </w:rPr>
        <w:t>文件以及投标人与招标人就有关投标的所有往来函电均应当使用中文。投标人递交的证明文件和文献可以使用另一种语言，但相应内容应当译成中文，在解释</w:t>
      </w:r>
      <w:r>
        <w:rPr>
          <w:rFonts w:hint="eastAsia" w:hAnsi="宋体" w:cs="宋体"/>
          <w:color w:val="auto"/>
          <w:szCs w:val="21"/>
        </w:rPr>
        <w:t>投标</w:t>
      </w:r>
      <w:r>
        <w:rPr>
          <w:rFonts w:hint="eastAsia" w:hAnsi="宋体"/>
          <w:color w:val="auto"/>
        </w:rPr>
        <w:t>文件时以中文译本为准。</w:t>
      </w:r>
    </w:p>
    <w:p>
      <w:pPr>
        <w:pStyle w:val="21"/>
        <w:tabs>
          <w:tab w:val="left" w:pos="630"/>
        </w:tabs>
        <w:snapToGrid w:val="0"/>
        <w:spacing w:line="440" w:lineRule="exact"/>
        <w:ind w:firstLine="424" w:firstLineChars="202"/>
        <w:rPr>
          <w:rFonts w:hAnsi="宋体"/>
          <w:color w:val="auto"/>
        </w:rPr>
      </w:pPr>
      <w:r>
        <w:rPr>
          <w:rFonts w:hAnsi="宋体"/>
          <w:color w:val="auto"/>
        </w:rPr>
        <w:t>3.2.4</w:t>
      </w:r>
      <w:r>
        <w:rPr>
          <w:rFonts w:hint="eastAsia" w:hAnsi="宋体" w:cs="宋体"/>
          <w:color w:val="auto"/>
          <w:szCs w:val="21"/>
        </w:rPr>
        <w:t>投标</w:t>
      </w:r>
      <w:r>
        <w:rPr>
          <w:rFonts w:hint="eastAsia" w:hAnsi="宋体"/>
          <w:color w:val="auto"/>
        </w:rPr>
        <w:t>文件应当使用不褪色的材料书写或者打印，并加盖单位公章或者由投标人的法定代表人或者其委托代理人签字。委托代理人签字的，</w:t>
      </w:r>
      <w:r>
        <w:rPr>
          <w:rFonts w:hint="eastAsia" w:hAnsi="宋体" w:cs="宋体"/>
          <w:color w:val="auto"/>
          <w:szCs w:val="21"/>
        </w:rPr>
        <w:t>投标</w:t>
      </w:r>
      <w:r>
        <w:rPr>
          <w:rFonts w:hint="eastAsia" w:hAnsi="宋体"/>
          <w:color w:val="auto"/>
        </w:rPr>
        <w:t>文件应当附法定代表人签署的授权委托书。</w:t>
      </w:r>
      <w:r>
        <w:rPr>
          <w:rFonts w:hint="eastAsia" w:hAnsi="宋体" w:cs="宋体"/>
          <w:color w:val="auto"/>
          <w:szCs w:val="21"/>
        </w:rPr>
        <w:t>投标</w:t>
      </w:r>
      <w:r>
        <w:rPr>
          <w:rFonts w:hint="eastAsia" w:hAnsi="宋体"/>
          <w:color w:val="auto"/>
        </w:rPr>
        <w:t>文件应当尽量避免涂改、行间插字或者删除。如果出现上述情况，改动之处应当加盖单位公章或者由投标人的法定代表人或者其委托代理人签字确认。盖章或者签字另有要求的，见投标人须知前附表。</w:t>
      </w:r>
    </w:p>
    <w:p>
      <w:pPr>
        <w:rPr>
          <w:b/>
          <w:bCs/>
          <w:color w:val="auto"/>
          <w:sz w:val="24"/>
          <w:szCs w:val="32"/>
        </w:rPr>
      </w:pPr>
      <w:bookmarkStart w:id="163" w:name="_Toc107822495"/>
      <w:bookmarkStart w:id="164" w:name="_Toc227057898"/>
      <w:bookmarkStart w:id="165" w:name="_Toc447265236"/>
      <w:bookmarkStart w:id="166" w:name="_Toc450489295"/>
      <w:bookmarkStart w:id="167" w:name="_Toc447265522"/>
      <w:bookmarkStart w:id="168" w:name="_Toc46496145"/>
      <w:bookmarkStart w:id="169" w:name="_Toc226969292"/>
      <w:bookmarkStart w:id="170" w:name="_Toc447188686"/>
      <w:r>
        <w:rPr>
          <w:b/>
          <w:bCs/>
          <w:color w:val="auto"/>
          <w:sz w:val="24"/>
          <w:szCs w:val="32"/>
        </w:rPr>
        <w:t>3.3</w:t>
      </w:r>
      <w:r>
        <w:rPr>
          <w:rFonts w:hint="eastAsia"/>
          <w:b/>
          <w:bCs/>
          <w:color w:val="auto"/>
          <w:sz w:val="24"/>
          <w:szCs w:val="32"/>
        </w:rPr>
        <w:t>投标报价</w:t>
      </w:r>
      <w:bookmarkEnd w:id="163"/>
      <w:bookmarkEnd w:id="164"/>
      <w:bookmarkEnd w:id="165"/>
      <w:bookmarkEnd w:id="166"/>
      <w:bookmarkEnd w:id="167"/>
      <w:bookmarkEnd w:id="168"/>
      <w:bookmarkEnd w:id="169"/>
      <w:bookmarkEnd w:id="170"/>
    </w:p>
    <w:p>
      <w:pPr>
        <w:pStyle w:val="21"/>
        <w:tabs>
          <w:tab w:val="left" w:pos="630"/>
        </w:tabs>
        <w:snapToGrid w:val="0"/>
        <w:spacing w:line="440" w:lineRule="exact"/>
        <w:ind w:firstLine="424" w:firstLineChars="202"/>
        <w:rPr>
          <w:rFonts w:hAnsi="宋体"/>
          <w:color w:val="auto"/>
        </w:rPr>
      </w:pPr>
      <w:r>
        <w:rPr>
          <w:rFonts w:hAnsi="宋体"/>
          <w:color w:val="auto"/>
        </w:rPr>
        <w:t>3.3.1投标人应当根据招标文件要求进行报价，投标人应当报出符合招标文件要求的拟提供投标货物的单价（如适用）和总价。</w:t>
      </w:r>
    </w:p>
    <w:p>
      <w:pPr>
        <w:pStyle w:val="21"/>
        <w:tabs>
          <w:tab w:val="left" w:pos="630"/>
        </w:tabs>
        <w:snapToGrid w:val="0"/>
        <w:spacing w:line="440" w:lineRule="exact"/>
        <w:ind w:firstLine="424" w:firstLineChars="202"/>
        <w:rPr>
          <w:rFonts w:hAnsi="宋体"/>
          <w:color w:val="auto"/>
        </w:rPr>
      </w:pPr>
      <w:r>
        <w:rPr>
          <w:rFonts w:hAnsi="宋体"/>
          <w:color w:val="auto"/>
        </w:rPr>
        <w:t>3.3.2</w:t>
      </w:r>
      <w:r>
        <w:rPr>
          <w:rFonts w:hint="eastAsia" w:hAnsi="宋体"/>
          <w:color w:val="auto"/>
        </w:rPr>
        <w:t>投标货币：人民币。</w:t>
      </w:r>
    </w:p>
    <w:p>
      <w:pPr>
        <w:pStyle w:val="21"/>
        <w:tabs>
          <w:tab w:val="left" w:pos="630"/>
        </w:tabs>
        <w:snapToGrid w:val="0"/>
        <w:spacing w:line="440" w:lineRule="exact"/>
        <w:ind w:firstLine="424" w:firstLineChars="202"/>
        <w:rPr>
          <w:rFonts w:hAnsi="宋体"/>
          <w:color w:val="auto"/>
        </w:rPr>
      </w:pPr>
      <w:r>
        <w:rPr>
          <w:rFonts w:hAnsi="宋体"/>
          <w:color w:val="auto"/>
        </w:rPr>
        <w:t>3.3.3招标人设有最高限价的，投标人的</w:t>
      </w:r>
      <w:r>
        <w:rPr>
          <w:rFonts w:hint="eastAsia" w:hAnsi="宋体" w:cs="宋体"/>
          <w:color w:val="auto"/>
          <w:szCs w:val="21"/>
        </w:rPr>
        <w:t>投标</w:t>
      </w:r>
      <w:r>
        <w:rPr>
          <w:rFonts w:hint="eastAsia" w:hAnsi="宋体"/>
          <w:color w:val="auto"/>
        </w:rPr>
        <w:t>报价不得超过最高限价，否则其</w:t>
      </w:r>
      <w:r>
        <w:rPr>
          <w:rFonts w:hint="eastAsia" w:hAnsi="宋体" w:cs="宋体"/>
          <w:color w:val="auto"/>
          <w:szCs w:val="21"/>
        </w:rPr>
        <w:t>投标</w:t>
      </w:r>
      <w:r>
        <w:rPr>
          <w:rFonts w:hint="eastAsia" w:hAnsi="宋体"/>
          <w:color w:val="auto"/>
        </w:rPr>
        <w:t>将被否决。最高限价或者其计算方法见投标人须知前附表。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3.3.4招标人不接受投标人的任何低于成本报价的不正当竞争方式。</w:t>
      </w:r>
    </w:p>
    <w:p>
      <w:pPr>
        <w:pStyle w:val="21"/>
        <w:tabs>
          <w:tab w:val="left" w:pos="630"/>
        </w:tabs>
        <w:snapToGrid w:val="0"/>
        <w:spacing w:line="440" w:lineRule="exact"/>
        <w:ind w:firstLine="424" w:firstLineChars="202"/>
        <w:rPr>
          <w:rFonts w:hAnsi="宋体"/>
          <w:color w:val="auto"/>
        </w:rPr>
      </w:pPr>
      <w:r>
        <w:rPr>
          <w:rFonts w:hAnsi="宋体"/>
          <w:color w:val="auto"/>
        </w:rPr>
        <w:t>3.3.5只有在招标文件要求或者允许报优惠价时，投标人才可以报出。投标人优惠报价的数额，唱价时也必须当众宣读。关于优惠条件的规定见投标人须知前附表。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3.3.6</w:t>
      </w:r>
      <w:r>
        <w:rPr>
          <w:rFonts w:hint="eastAsia" w:hAnsi="宋体" w:cs="宋体"/>
          <w:color w:val="auto"/>
          <w:szCs w:val="21"/>
        </w:rPr>
        <w:t>投标</w:t>
      </w:r>
      <w:r>
        <w:rPr>
          <w:rFonts w:hint="eastAsia" w:hAnsi="宋体"/>
          <w:color w:val="auto"/>
        </w:rPr>
        <w:t>报价的具体要求见投标人须知前附表。</w:t>
      </w:r>
    </w:p>
    <w:p>
      <w:pPr>
        <w:rPr>
          <w:b/>
          <w:bCs/>
          <w:color w:val="auto"/>
          <w:sz w:val="24"/>
          <w:szCs w:val="32"/>
        </w:rPr>
      </w:pPr>
      <w:bookmarkStart w:id="171" w:name="_Toc447265237"/>
      <w:bookmarkStart w:id="172" w:name="_Toc227057902"/>
      <w:bookmarkStart w:id="173" w:name="_Toc46496146"/>
      <w:bookmarkStart w:id="174" w:name="_Toc450489296"/>
      <w:bookmarkStart w:id="175" w:name="_Toc447188687"/>
      <w:bookmarkStart w:id="176" w:name="_Toc226969296"/>
      <w:bookmarkStart w:id="177" w:name="_Toc107822500"/>
      <w:bookmarkStart w:id="178" w:name="_Toc447265523"/>
      <w:bookmarkStart w:id="179" w:name="_Toc107822499"/>
      <w:bookmarkStart w:id="180" w:name="_Toc227057901"/>
      <w:bookmarkStart w:id="181" w:name="_Toc226969295"/>
      <w:r>
        <w:rPr>
          <w:b/>
          <w:bCs/>
          <w:color w:val="auto"/>
          <w:sz w:val="24"/>
          <w:szCs w:val="32"/>
        </w:rPr>
        <w:t>3.4</w:t>
      </w:r>
      <w:r>
        <w:rPr>
          <w:rFonts w:hint="eastAsia"/>
          <w:b/>
          <w:bCs/>
          <w:color w:val="auto"/>
          <w:sz w:val="24"/>
          <w:szCs w:val="32"/>
        </w:rPr>
        <w:t>投标有效期</w:t>
      </w:r>
      <w:bookmarkEnd w:id="171"/>
      <w:bookmarkEnd w:id="172"/>
      <w:bookmarkEnd w:id="173"/>
      <w:bookmarkEnd w:id="174"/>
      <w:bookmarkEnd w:id="175"/>
      <w:bookmarkEnd w:id="176"/>
      <w:bookmarkEnd w:id="177"/>
      <w:bookmarkEnd w:id="178"/>
    </w:p>
    <w:p>
      <w:pPr>
        <w:pStyle w:val="21"/>
        <w:tabs>
          <w:tab w:val="left" w:pos="630"/>
        </w:tabs>
        <w:snapToGrid w:val="0"/>
        <w:spacing w:line="440" w:lineRule="exact"/>
        <w:ind w:firstLine="424" w:firstLineChars="202"/>
        <w:rPr>
          <w:rFonts w:hAnsi="宋体"/>
          <w:color w:val="auto"/>
        </w:rPr>
      </w:pPr>
      <w:r>
        <w:rPr>
          <w:rFonts w:hAnsi="宋体"/>
          <w:color w:val="auto"/>
        </w:rPr>
        <w:t>3.4.1</w:t>
      </w:r>
      <w:r>
        <w:rPr>
          <w:rFonts w:hint="eastAsia" w:hAnsi="宋体" w:cs="宋体"/>
          <w:color w:val="auto"/>
          <w:szCs w:val="21"/>
        </w:rPr>
        <w:t>投标</w:t>
      </w:r>
      <w:r>
        <w:rPr>
          <w:rFonts w:hint="eastAsia" w:hAnsi="宋体"/>
          <w:color w:val="auto"/>
        </w:rPr>
        <w:t>有效期从递交</w:t>
      </w:r>
      <w:r>
        <w:rPr>
          <w:rFonts w:hint="eastAsia" w:hAnsi="宋体" w:cs="宋体"/>
          <w:color w:val="auto"/>
          <w:szCs w:val="21"/>
        </w:rPr>
        <w:t>投标</w:t>
      </w:r>
      <w:r>
        <w:rPr>
          <w:rFonts w:hint="eastAsia" w:hAnsi="宋体"/>
          <w:color w:val="auto"/>
        </w:rPr>
        <w:t>文件截止日起计算。</w:t>
      </w:r>
      <w:r>
        <w:rPr>
          <w:rFonts w:hint="eastAsia" w:hAnsi="宋体" w:cs="宋体"/>
          <w:color w:val="auto"/>
          <w:szCs w:val="21"/>
        </w:rPr>
        <w:t>投标</w:t>
      </w:r>
      <w:r>
        <w:rPr>
          <w:rFonts w:hint="eastAsia" w:hAnsi="宋体"/>
          <w:color w:val="auto"/>
        </w:rPr>
        <w:t>有效期的具体时间见投标人须知前附表。在此期间，投标人不得要求撤销或者修改其</w:t>
      </w:r>
      <w:r>
        <w:rPr>
          <w:rFonts w:hint="eastAsia" w:hAnsi="宋体" w:cs="宋体"/>
          <w:color w:val="auto"/>
          <w:szCs w:val="21"/>
        </w:rPr>
        <w:t>投标</w:t>
      </w:r>
      <w:r>
        <w:rPr>
          <w:rFonts w:hint="eastAsia" w:hAnsi="宋体"/>
          <w:color w:val="auto"/>
        </w:rPr>
        <w:t>文件。</w:t>
      </w:r>
      <w:r>
        <w:rPr>
          <w:rFonts w:hint="eastAsia" w:hAnsi="宋体" w:cs="宋体"/>
          <w:color w:val="auto"/>
          <w:szCs w:val="21"/>
        </w:rPr>
        <w:t>投标</w:t>
      </w:r>
      <w:r>
        <w:rPr>
          <w:rFonts w:hint="eastAsia" w:hAnsi="宋体"/>
          <w:color w:val="auto"/>
        </w:rPr>
        <w:t>有效期不满足招标文件要求的</w:t>
      </w:r>
      <w:r>
        <w:rPr>
          <w:rFonts w:hint="eastAsia" w:hAnsi="宋体" w:cs="宋体"/>
          <w:color w:val="auto"/>
          <w:szCs w:val="21"/>
        </w:rPr>
        <w:t>投标</w:t>
      </w:r>
      <w:r>
        <w:rPr>
          <w:rFonts w:hint="eastAsia" w:hAnsi="宋体"/>
          <w:color w:val="auto"/>
        </w:rPr>
        <w:t>将被否决。</w:t>
      </w:r>
    </w:p>
    <w:p>
      <w:pPr>
        <w:pStyle w:val="21"/>
        <w:tabs>
          <w:tab w:val="left" w:pos="630"/>
        </w:tabs>
        <w:snapToGrid w:val="0"/>
        <w:spacing w:line="440" w:lineRule="exact"/>
        <w:ind w:firstLine="424" w:firstLineChars="202"/>
        <w:rPr>
          <w:rFonts w:hAnsi="宋体"/>
          <w:color w:val="auto"/>
        </w:rPr>
      </w:pPr>
      <w:r>
        <w:rPr>
          <w:rFonts w:hAnsi="宋体"/>
          <w:color w:val="auto"/>
        </w:rPr>
        <w:t>3.4.2</w:t>
      </w:r>
      <w:r>
        <w:rPr>
          <w:rFonts w:hint="eastAsia" w:hAnsi="宋体"/>
          <w:color w:val="auto"/>
        </w:rPr>
        <w:t>在原定</w:t>
      </w:r>
      <w:r>
        <w:rPr>
          <w:rFonts w:hint="eastAsia" w:hAnsi="宋体" w:cs="宋体"/>
          <w:color w:val="auto"/>
          <w:szCs w:val="21"/>
        </w:rPr>
        <w:t>投标</w:t>
      </w:r>
      <w:r>
        <w:rPr>
          <w:rFonts w:hint="eastAsia" w:hAnsi="宋体"/>
          <w:color w:val="auto"/>
        </w:rPr>
        <w:t>有效期满之前，如果出现特殊情况，招标人决定延长</w:t>
      </w:r>
      <w:r>
        <w:rPr>
          <w:rFonts w:hint="eastAsia" w:hAnsi="宋体" w:cs="宋体"/>
          <w:color w:val="auto"/>
          <w:szCs w:val="21"/>
        </w:rPr>
        <w:t>投标</w:t>
      </w:r>
      <w:r>
        <w:rPr>
          <w:rFonts w:hint="eastAsia" w:hAnsi="宋体"/>
          <w:color w:val="auto"/>
        </w:rPr>
        <w:t>有效期的，应当以书面形式向投标人提出延长</w:t>
      </w:r>
      <w:r>
        <w:rPr>
          <w:rFonts w:hint="eastAsia" w:hAnsi="宋体" w:cs="宋体"/>
          <w:color w:val="auto"/>
          <w:szCs w:val="21"/>
        </w:rPr>
        <w:t>投标</w:t>
      </w:r>
      <w:r>
        <w:rPr>
          <w:rFonts w:hint="eastAsia" w:hAnsi="宋体"/>
          <w:color w:val="auto"/>
        </w:rPr>
        <w:t>有效期的要求，投标人须以书面形式予以答复。投标人同意延长</w:t>
      </w:r>
      <w:r>
        <w:rPr>
          <w:rFonts w:hint="eastAsia" w:hAnsi="宋体" w:cs="宋体"/>
          <w:color w:val="auto"/>
          <w:szCs w:val="21"/>
        </w:rPr>
        <w:t>投标</w:t>
      </w:r>
      <w:r>
        <w:rPr>
          <w:rFonts w:hint="eastAsia" w:hAnsi="宋体"/>
          <w:color w:val="auto"/>
        </w:rPr>
        <w:t>有效期的，不得修改其</w:t>
      </w:r>
      <w:r>
        <w:rPr>
          <w:rFonts w:hint="eastAsia" w:hAnsi="宋体" w:cs="宋体"/>
          <w:color w:val="auto"/>
          <w:szCs w:val="21"/>
        </w:rPr>
        <w:t>投标</w:t>
      </w:r>
      <w:r>
        <w:rPr>
          <w:rFonts w:hint="eastAsia" w:hAnsi="宋体"/>
          <w:color w:val="auto"/>
        </w:rPr>
        <w:t>文件的实质性内容，但应当相应延长其</w:t>
      </w:r>
      <w:r>
        <w:rPr>
          <w:rFonts w:hint="eastAsia" w:hAnsi="宋体" w:cs="宋体"/>
          <w:color w:val="auto"/>
          <w:szCs w:val="21"/>
        </w:rPr>
        <w:t>投标</w:t>
      </w:r>
      <w:r>
        <w:rPr>
          <w:rFonts w:hint="eastAsia" w:hAnsi="宋体"/>
          <w:color w:val="auto"/>
        </w:rPr>
        <w:t>保证金有效期；投标人拒绝延长</w:t>
      </w:r>
      <w:r>
        <w:rPr>
          <w:rFonts w:hint="eastAsia" w:hAnsi="宋体" w:cs="宋体"/>
          <w:color w:val="auto"/>
          <w:szCs w:val="21"/>
        </w:rPr>
        <w:t>投标</w:t>
      </w:r>
      <w:r>
        <w:rPr>
          <w:rFonts w:hint="eastAsia" w:hAnsi="宋体"/>
          <w:color w:val="auto"/>
        </w:rPr>
        <w:t>有效期的，其</w:t>
      </w:r>
      <w:r>
        <w:rPr>
          <w:rFonts w:hint="eastAsia" w:hAnsi="宋体" w:cs="宋体"/>
          <w:color w:val="auto"/>
          <w:szCs w:val="21"/>
        </w:rPr>
        <w:t>投标</w:t>
      </w:r>
      <w:r>
        <w:rPr>
          <w:rFonts w:hint="eastAsia" w:hAnsi="宋体"/>
          <w:color w:val="auto"/>
        </w:rPr>
        <w:t>失效，投标人有权收回其</w:t>
      </w:r>
      <w:r>
        <w:rPr>
          <w:rFonts w:hint="eastAsia" w:hAnsi="宋体" w:cs="宋体"/>
          <w:color w:val="auto"/>
          <w:szCs w:val="21"/>
        </w:rPr>
        <w:t>投标</w:t>
      </w:r>
      <w:r>
        <w:rPr>
          <w:rFonts w:hint="eastAsia" w:hAnsi="宋体"/>
          <w:color w:val="auto"/>
        </w:rPr>
        <w:t>保证金。</w:t>
      </w:r>
    </w:p>
    <w:p>
      <w:pPr>
        <w:rPr>
          <w:b/>
          <w:bCs/>
          <w:color w:val="auto"/>
          <w:sz w:val="24"/>
          <w:szCs w:val="32"/>
        </w:rPr>
      </w:pPr>
      <w:bookmarkStart w:id="182" w:name="_Toc447188688"/>
      <w:bookmarkStart w:id="183" w:name="_Toc447265524"/>
      <w:bookmarkStart w:id="184" w:name="_Toc447265238"/>
      <w:bookmarkStart w:id="185" w:name="_Toc450489297"/>
      <w:bookmarkStart w:id="186" w:name="_Toc46496147"/>
      <w:r>
        <w:rPr>
          <w:b/>
          <w:bCs/>
          <w:color w:val="auto"/>
          <w:sz w:val="24"/>
          <w:szCs w:val="32"/>
        </w:rPr>
        <w:t>3.5</w:t>
      </w:r>
      <w:r>
        <w:rPr>
          <w:rFonts w:hint="eastAsia"/>
          <w:b/>
          <w:bCs/>
          <w:color w:val="auto"/>
          <w:sz w:val="24"/>
          <w:szCs w:val="32"/>
        </w:rPr>
        <w:t>投标保证金</w:t>
      </w:r>
      <w:bookmarkEnd w:id="179"/>
      <w:bookmarkEnd w:id="180"/>
      <w:bookmarkEnd w:id="181"/>
      <w:bookmarkEnd w:id="182"/>
      <w:bookmarkEnd w:id="183"/>
      <w:bookmarkEnd w:id="184"/>
      <w:bookmarkEnd w:id="185"/>
      <w:bookmarkEnd w:id="186"/>
    </w:p>
    <w:p>
      <w:pPr>
        <w:pStyle w:val="21"/>
        <w:tabs>
          <w:tab w:val="left" w:pos="630"/>
        </w:tabs>
        <w:snapToGrid w:val="0"/>
        <w:spacing w:line="440" w:lineRule="exact"/>
        <w:ind w:firstLine="424" w:firstLineChars="202"/>
        <w:rPr>
          <w:rFonts w:hAnsi="宋体"/>
          <w:color w:val="auto"/>
        </w:rPr>
      </w:pPr>
      <w:r>
        <w:rPr>
          <w:rFonts w:hAnsi="宋体"/>
          <w:color w:val="auto"/>
        </w:rPr>
        <w:t>3.5.1招标人要求投标人递交</w:t>
      </w:r>
      <w:r>
        <w:rPr>
          <w:rFonts w:hint="eastAsia" w:hAnsi="宋体" w:cs="宋体"/>
          <w:color w:val="auto"/>
          <w:szCs w:val="21"/>
        </w:rPr>
        <w:t>投标</w:t>
      </w:r>
      <w:r>
        <w:rPr>
          <w:rFonts w:hint="eastAsia" w:hAnsi="宋体"/>
          <w:color w:val="auto"/>
        </w:rPr>
        <w:t>保证金的，投标人必须在递交</w:t>
      </w:r>
      <w:r>
        <w:rPr>
          <w:rFonts w:hint="eastAsia" w:hAnsi="宋体" w:cs="宋体"/>
          <w:color w:val="auto"/>
          <w:szCs w:val="21"/>
        </w:rPr>
        <w:t>投标</w:t>
      </w:r>
      <w:r>
        <w:rPr>
          <w:rFonts w:hint="eastAsia" w:hAnsi="宋体"/>
          <w:color w:val="auto"/>
        </w:rPr>
        <w:t>文件的同时，按照投标人须知前附表的规定递交</w:t>
      </w:r>
      <w:r>
        <w:rPr>
          <w:rFonts w:hint="eastAsia" w:hAnsi="宋体" w:cs="宋体"/>
          <w:color w:val="auto"/>
          <w:szCs w:val="21"/>
        </w:rPr>
        <w:t>投标</w:t>
      </w:r>
      <w:r>
        <w:rPr>
          <w:rFonts w:hint="eastAsia" w:hAnsi="宋体"/>
          <w:color w:val="auto"/>
        </w:rPr>
        <w:t>保证金。</w:t>
      </w:r>
    </w:p>
    <w:p>
      <w:pPr>
        <w:pStyle w:val="21"/>
        <w:tabs>
          <w:tab w:val="left" w:pos="630"/>
        </w:tabs>
        <w:snapToGrid w:val="0"/>
        <w:spacing w:line="440" w:lineRule="exact"/>
        <w:ind w:firstLine="424" w:firstLineChars="202"/>
        <w:rPr>
          <w:rFonts w:hAnsi="宋体"/>
          <w:color w:val="auto"/>
        </w:rPr>
      </w:pPr>
      <w:r>
        <w:rPr>
          <w:rFonts w:hAnsi="宋体"/>
          <w:color w:val="auto"/>
        </w:rPr>
        <w:t>3.5.2招标人可以规定</w:t>
      </w:r>
      <w:r>
        <w:rPr>
          <w:rFonts w:hint="eastAsia" w:hAnsi="宋体" w:cs="宋体"/>
          <w:color w:val="auto"/>
          <w:szCs w:val="21"/>
        </w:rPr>
        <w:t>投标</w:t>
      </w:r>
      <w:r>
        <w:rPr>
          <w:rFonts w:hint="eastAsia" w:hAnsi="宋体"/>
          <w:color w:val="auto"/>
        </w:rPr>
        <w:t>保证金是以现金、支票、银行汇票、在中国注册的银行出具的银行保函等方式递交，以现金或者支票形式递交的</w:t>
      </w:r>
      <w:r>
        <w:rPr>
          <w:rFonts w:hint="eastAsia" w:hAnsi="宋体" w:cs="宋体"/>
          <w:color w:val="auto"/>
          <w:szCs w:val="21"/>
        </w:rPr>
        <w:t>投标</w:t>
      </w:r>
      <w:r>
        <w:rPr>
          <w:rFonts w:hint="eastAsia" w:hAnsi="宋体"/>
          <w:color w:val="auto"/>
        </w:rPr>
        <w:t>保证金应当从其基本账户转出。</w:t>
      </w:r>
      <w:r>
        <w:rPr>
          <w:rFonts w:hint="eastAsia" w:hAnsi="宋体" w:cs="宋体"/>
          <w:color w:val="auto"/>
          <w:szCs w:val="21"/>
        </w:rPr>
        <w:t>投标</w:t>
      </w:r>
      <w:r>
        <w:rPr>
          <w:rFonts w:hint="eastAsia" w:hAnsi="宋体"/>
          <w:color w:val="auto"/>
        </w:rPr>
        <w:t>保证金有效期应当与</w:t>
      </w:r>
      <w:r>
        <w:rPr>
          <w:rFonts w:hint="eastAsia" w:hAnsi="宋体" w:cs="宋体"/>
          <w:color w:val="auto"/>
          <w:szCs w:val="21"/>
        </w:rPr>
        <w:t>投标</w:t>
      </w:r>
      <w:r>
        <w:rPr>
          <w:rFonts w:hint="eastAsia" w:hAnsi="宋体"/>
          <w:color w:val="auto"/>
        </w:rPr>
        <w:t>有效期一致。</w:t>
      </w:r>
      <w:r>
        <w:rPr>
          <w:rFonts w:hint="eastAsia" w:hAnsi="宋体" w:cs="宋体"/>
          <w:color w:val="auto"/>
          <w:szCs w:val="21"/>
        </w:rPr>
        <w:t>投标</w:t>
      </w:r>
      <w:r>
        <w:rPr>
          <w:rFonts w:hint="eastAsia" w:hAnsi="宋体"/>
          <w:color w:val="auto"/>
        </w:rPr>
        <w:t>保证金的形式见投标人须知前附表。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3.5.3招标人最迟应当在书面合同签订后5日内向中标人和未中标的投标人退还</w:t>
      </w:r>
      <w:r>
        <w:rPr>
          <w:rFonts w:hint="eastAsia" w:hAnsi="宋体" w:cs="宋体"/>
          <w:color w:val="auto"/>
          <w:szCs w:val="21"/>
        </w:rPr>
        <w:t>投标</w:t>
      </w:r>
      <w:r>
        <w:rPr>
          <w:rFonts w:hint="eastAsia" w:hAnsi="宋体"/>
          <w:color w:val="auto"/>
        </w:rPr>
        <w:t>保证金及银行同期存款利息。</w:t>
      </w:r>
    </w:p>
    <w:p>
      <w:pPr>
        <w:pStyle w:val="21"/>
        <w:tabs>
          <w:tab w:val="left" w:pos="630"/>
        </w:tabs>
        <w:snapToGrid w:val="0"/>
        <w:spacing w:line="440" w:lineRule="exact"/>
        <w:ind w:firstLine="424" w:firstLineChars="202"/>
        <w:rPr>
          <w:rFonts w:hAnsi="宋体"/>
          <w:color w:val="auto"/>
        </w:rPr>
      </w:pPr>
      <w:r>
        <w:rPr>
          <w:rFonts w:hAnsi="宋体"/>
          <w:color w:val="auto"/>
        </w:rPr>
        <w:t>3.5.4</w:t>
      </w:r>
      <w:r>
        <w:rPr>
          <w:rFonts w:hint="eastAsia" w:hAnsi="宋体"/>
          <w:color w:val="auto"/>
        </w:rPr>
        <w:t>下列任何情况发生时，</w:t>
      </w:r>
      <w:r>
        <w:rPr>
          <w:rFonts w:hint="eastAsia" w:hAnsi="宋体" w:cs="宋体"/>
          <w:color w:val="auto"/>
          <w:szCs w:val="21"/>
        </w:rPr>
        <w:t>投标</w:t>
      </w:r>
      <w:r>
        <w:rPr>
          <w:rFonts w:hint="eastAsia" w:hAnsi="宋体"/>
          <w:color w:val="auto"/>
        </w:rPr>
        <w:t>保证金可不予退还：</w:t>
      </w:r>
    </w:p>
    <w:p>
      <w:pPr>
        <w:tabs>
          <w:tab w:val="left" w:pos="630"/>
        </w:tabs>
        <w:spacing w:line="400" w:lineRule="exact"/>
        <w:ind w:firstLine="420" w:firstLineChars="200"/>
        <w:rPr>
          <w:rFonts w:ascii="宋体" w:hAnsi="宋体"/>
          <w:color w:val="auto"/>
        </w:rPr>
      </w:pPr>
      <w:r>
        <w:rPr>
          <w:rFonts w:hint="eastAsia" w:ascii="宋体" w:hAnsi="宋体"/>
          <w:color w:val="auto"/>
        </w:rPr>
        <w:t>（</w:t>
      </w:r>
      <w:r>
        <w:rPr>
          <w:rFonts w:ascii="宋体" w:hAnsi="宋体"/>
          <w:color w:val="auto"/>
        </w:rPr>
        <w:t>1）投标人在招标文件中规定的</w:t>
      </w:r>
      <w:r>
        <w:rPr>
          <w:rFonts w:hint="eastAsia" w:ascii="宋体" w:hAnsi="宋体" w:cs="宋体"/>
          <w:color w:val="auto"/>
          <w:szCs w:val="21"/>
        </w:rPr>
        <w:t>投标</w:t>
      </w:r>
      <w:r>
        <w:rPr>
          <w:rFonts w:ascii="宋体" w:hAnsi="宋体"/>
          <w:color w:val="auto"/>
        </w:rPr>
        <w:t>有效期内</w:t>
      </w:r>
      <w:r>
        <w:rPr>
          <w:rFonts w:hint="eastAsia" w:ascii="宋体" w:hAnsi="宋体"/>
          <w:color w:val="auto"/>
        </w:rPr>
        <w:t>撤销</w:t>
      </w:r>
      <w:r>
        <w:rPr>
          <w:rFonts w:hint="eastAsia" w:ascii="宋体" w:hAnsi="宋体" w:cs="宋体"/>
          <w:color w:val="auto"/>
          <w:szCs w:val="21"/>
        </w:rPr>
        <w:t>投标</w:t>
      </w:r>
      <w:r>
        <w:rPr>
          <w:rFonts w:hint="eastAsia" w:ascii="宋体" w:hAnsi="宋体"/>
          <w:color w:val="auto"/>
        </w:rPr>
        <w:t>的；</w:t>
      </w:r>
    </w:p>
    <w:p>
      <w:pPr>
        <w:pStyle w:val="78"/>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2）中标人无正当理由不与招标人订立合同，在签订合同时向招标人提出附加条件，或者不按照招标文件要求递交履约保证金的；</w:t>
      </w:r>
    </w:p>
    <w:p>
      <w:pPr>
        <w:pStyle w:val="78"/>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3）投标人有串通</w:t>
      </w:r>
      <w:r>
        <w:rPr>
          <w:rFonts w:hint="eastAsia" w:ascii="宋体" w:hAnsi="宋体"/>
          <w:color w:val="auto"/>
        </w:rPr>
        <w:t>投标</w:t>
      </w:r>
      <w:r>
        <w:rPr>
          <w:rFonts w:ascii="宋体" w:hAnsi="宋体"/>
          <w:color w:val="auto"/>
        </w:rPr>
        <w:t>、弄虚作假等行为的；</w:t>
      </w:r>
    </w:p>
    <w:p>
      <w:pPr>
        <w:pStyle w:val="78"/>
        <w:tabs>
          <w:tab w:val="left" w:pos="630"/>
        </w:tabs>
        <w:spacing w:line="400" w:lineRule="exact"/>
        <w:ind w:left="424" w:firstLine="0" w:firstLineChars="0"/>
        <w:rPr>
          <w:rFonts w:ascii="宋体" w:hAnsi="宋体"/>
          <w:color w:val="auto"/>
        </w:rPr>
      </w:pPr>
      <w:r>
        <w:rPr>
          <w:rFonts w:hint="eastAsia" w:ascii="宋体" w:hAnsi="宋体"/>
          <w:color w:val="auto"/>
        </w:rPr>
        <w:t>（</w:t>
      </w:r>
      <w:r>
        <w:rPr>
          <w:rFonts w:ascii="宋体" w:hAnsi="宋体"/>
          <w:color w:val="auto"/>
        </w:rPr>
        <w:t>4）其他规定</w:t>
      </w:r>
      <w:r>
        <w:rPr>
          <w:rFonts w:hint="eastAsia" w:ascii="宋体" w:hAnsi="宋体"/>
          <w:color w:val="auto"/>
        </w:rPr>
        <w:t>见投标人须知前附表</w:t>
      </w:r>
      <w:r>
        <w:rPr>
          <w:rFonts w:ascii="宋体" w:hAnsi="宋体"/>
          <w:color w:val="auto"/>
        </w:rPr>
        <w:t>。</w:t>
      </w:r>
    </w:p>
    <w:p>
      <w:pPr>
        <w:pStyle w:val="21"/>
        <w:tabs>
          <w:tab w:val="left" w:pos="630"/>
        </w:tabs>
        <w:snapToGrid w:val="0"/>
        <w:spacing w:line="440" w:lineRule="exact"/>
        <w:ind w:firstLine="424" w:firstLineChars="202"/>
        <w:rPr>
          <w:rFonts w:hAnsi="宋体"/>
          <w:color w:val="auto"/>
        </w:rPr>
      </w:pPr>
      <w:r>
        <w:rPr>
          <w:rFonts w:hAnsi="宋体"/>
          <w:color w:val="auto"/>
        </w:rPr>
        <w:t>3.5.5未递交</w:t>
      </w:r>
      <w:r>
        <w:rPr>
          <w:rFonts w:hint="eastAsia" w:hAnsi="宋体" w:cs="宋体"/>
          <w:color w:val="auto"/>
          <w:szCs w:val="21"/>
        </w:rPr>
        <w:t>投标</w:t>
      </w:r>
      <w:r>
        <w:rPr>
          <w:rFonts w:hint="eastAsia" w:hAnsi="宋体"/>
          <w:color w:val="auto"/>
        </w:rPr>
        <w:t>保证金或者递交的</w:t>
      </w:r>
      <w:r>
        <w:rPr>
          <w:rFonts w:hint="eastAsia" w:hAnsi="宋体" w:cs="宋体"/>
          <w:color w:val="auto"/>
          <w:szCs w:val="21"/>
        </w:rPr>
        <w:t>投标</w:t>
      </w:r>
      <w:r>
        <w:rPr>
          <w:rFonts w:hint="eastAsia" w:hAnsi="宋体"/>
          <w:color w:val="auto"/>
        </w:rPr>
        <w:t>保证金有瑕疵的</w:t>
      </w:r>
      <w:r>
        <w:rPr>
          <w:rFonts w:hint="eastAsia" w:hAnsi="宋体" w:cs="宋体"/>
          <w:color w:val="auto"/>
          <w:szCs w:val="21"/>
        </w:rPr>
        <w:t>投标</w:t>
      </w:r>
      <w:r>
        <w:rPr>
          <w:rFonts w:hint="eastAsia" w:hAnsi="宋体"/>
          <w:color w:val="auto"/>
        </w:rPr>
        <w:t>将被否决。</w:t>
      </w:r>
    </w:p>
    <w:p>
      <w:pPr>
        <w:rPr>
          <w:b/>
          <w:bCs/>
          <w:color w:val="auto"/>
          <w:sz w:val="24"/>
          <w:szCs w:val="32"/>
        </w:rPr>
      </w:pPr>
      <w:bookmarkStart w:id="187" w:name="_Toc227057903"/>
      <w:bookmarkStart w:id="188" w:name="_Toc450489298"/>
      <w:bookmarkStart w:id="189" w:name="_Toc447265525"/>
      <w:bookmarkStart w:id="190" w:name="_Toc447188689"/>
      <w:bookmarkStart w:id="191" w:name="_Toc46496148"/>
      <w:bookmarkStart w:id="192" w:name="_Toc226969297"/>
      <w:bookmarkStart w:id="193" w:name="_Toc447265239"/>
      <w:bookmarkStart w:id="194" w:name="_Toc107822501"/>
      <w:r>
        <w:rPr>
          <w:b/>
          <w:bCs/>
          <w:color w:val="auto"/>
          <w:sz w:val="24"/>
          <w:szCs w:val="32"/>
        </w:rPr>
        <w:t>3.6</w:t>
      </w:r>
      <w:r>
        <w:rPr>
          <w:rFonts w:hint="eastAsia"/>
          <w:b/>
          <w:bCs/>
          <w:color w:val="auto"/>
          <w:sz w:val="24"/>
          <w:szCs w:val="32"/>
        </w:rPr>
        <w:t>备选投标人案</w:t>
      </w:r>
      <w:bookmarkEnd w:id="187"/>
      <w:bookmarkEnd w:id="188"/>
      <w:bookmarkEnd w:id="189"/>
      <w:bookmarkEnd w:id="190"/>
      <w:bookmarkEnd w:id="191"/>
      <w:bookmarkEnd w:id="192"/>
      <w:bookmarkEnd w:id="193"/>
    </w:p>
    <w:p>
      <w:pPr>
        <w:pStyle w:val="21"/>
        <w:tabs>
          <w:tab w:val="left" w:pos="630"/>
        </w:tabs>
        <w:snapToGrid w:val="0"/>
        <w:spacing w:line="440" w:lineRule="exact"/>
        <w:ind w:firstLine="424" w:firstLineChars="202"/>
        <w:rPr>
          <w:rFonts w:hAnsi="宋体"/>
          <w:color w:val="auto"/>
        </w:rPr>
      </w:pPr>
      <w:r>
        <w:rPr>
          <w:rFonts w:hAnsi="宋体"/>
          <w:color w:val="auto"/>
        </w:rPr>
        <w:t>3.6.1除投标人须知前附表另有规定外，投标人不得递交备选</w:t>
      </w:r>
      <w:r>
        <w:rPr>
          <w:rFonts w:hint="eastAsia" w:hAnsi="宋体" w:cs="宋体"/>
          <w:color w:val="auto"/>
          <w:szCs w:val="21"/>
        </w:rPr>
        <w:t>投标人</w:t>
      </w:r>
      <w:r>
        <w:rPr>
          <w:rFonts w:hint="eastAsia" w:hAnsi="宋体"/>
          <w:color w:val="auto"/>
        </w:rPr>
        <w:t>案。</w:t>
      </w:r>
    </w:p>
    <w:p>
      <w:pPr>
        <w:pStyle w:val="21"/>
        <w:tabs>
          <w:tab w:val="left" w:pos="630"/>
        </w:tabs>
        <w:snapToGrid w:val="0"/>
        <w:spacing w:line="440" w:lineRule="exact"/>
        <w:ind w:firstLine="424" w:firstLineChars="202"/>
        <w:rPr>
          <w:rFonts w:hAnsi="宋体"/>
          <w:color w:val="auto"/>
        </w:rPr>
      </w:pPr>
      <w:r>
        <w:rPr>
          <w:rFonts w:hAnsi="宋体"/>
          <w:color w:val="auto"/>
        </w:rPr>
        <w:t>3.6.2</w:t>
      </w:r>
      <w:r>
        <w:rPr>
          <w:rFonts w:hint="eastAsia" w:hAnsi="宋体"/>
          <w:color w:val="auto"/>
        </w:rPr>
        <w:t>若招标人在招标文件中邀请投标人递交备选方案时，则投标人除按照招标文件规定的基本方案编制和递交</w:t>
      </w:r>
      <w:r>
        <w:rPr>
          <w:rFonts w:hint="eastAsia" w:hAnsi="宋体" w:cs="宋体"/>
          <w:color w:val="auto"/>
          <w:szCs w:val="21"/>
        </w:rPr>
        <w:t>投标</w:t>
      </w:r>
      <w:r>
        <w:rPr>
          <w:rFonts w:hint="eastAsia" w:hAnsi="宋体"/>
          <w:color w:val="auto"/>
        </w:rPr>
        <w:t>文件外，可以附加递交备选</w:t>
      </w:r>
      <w:r>
        <w:rPr>
          <w:rFonts w:hint="eastAsia" w:hAnsi="宋体" w:cs="宋体"/>
          <w:color w:val="auto"/>
          <w:szCs w:val="21"/>
        </w:rPr>
        <w:t>投标人</w:t>
      </w:r>
      <w:r>
        <w:rPr>
          <w:rFonts w:hint="eastAsia" w:hAnsi="宋体"/>
          <w:color w:val="auto"/>
        </w:rPr>
        <w:t>案。</w:t>
      </w:r>
    </w:p>
    <w:p>
      <w:pPr>
        <w:pStyle w:val="21"/>
        <w:tabs>
          <w:tab w:val="left" w:pos="630"/>
        </w:tabs>
        <w:snapToGrid w:val="0"/>
        <w:spacing w:line="440" w:lineRule="exact"/>
        <w:ind w:firstLine="424" w:firstLineChars="202"/>
        <w:rPr>
          <w:rFonts w:hAnsi="宋体"/>
          <w:color w:val="auto"/>
        </w:rPr>
      </w:pPr>
      <w:r>
        <w:rPr>
          <w:rFonts w:hAnsi="宋体"/>
          <w:color w:val="auto"/>
        </w:rPr>
        <w:t>3.6.3</w:t>
      </w:r>
      <w:r>
        <w:rPr>
          <w:rFonts w:hint="eastAsia" w:hAnsi="宋体"/>
          <w:color w:val="auto"/>
        </w:rPr>
        <w:t>备选</w:t>
      </w:r>
      <w:r>
        <w:rPr>
          <w:rFonts w:hint="eastAsia" w:hAnsi="宋体" w:cs="宋体"/>
          <w:color w:val="auto"/>
          <w:szCs w:val="21"/>
        </w:rPr>
        <w:t>投标人</w:t>
      </w:r>
      <w:r>
        <w:rPr>
          <w:rFonts w:hint="eastAsia" w:hAnsi="宋体"/>
          <w:color w:val="auto"/>
        </w:rPr>
        <w:t>案应当说明其对基本方案的改进意见和带来的效益，并附必要的图纸、设计计算、技术要求及其它有关资料，在封面上应当注明“备选</w:t>
      </w:r>
      <w:r>
        <w:rPr>
          <w:rFonts w:hint="eastAsia" w:hAnsi="宋体" w:cs="宋体"/>
          <w:color w:val="auto"/>
          <w:szCs w:val="21"/>
        </w:rPr>
        <w:t>投标人</w:t>
      </w:r>
      <w:r>
        <w:rPr>
          <w:rFonts w:hint="eastAsia" w:hAnsi="宋体"/>
          <w:color w:val="auto"/>
        </w:rPr>
        <w:t>案”字样。</w:t>
      </w:r>
    </w:p>
    <w:p>
      <w:pPr>
        <w:pStyle w:val="21"/>
        <w:tabs>
          <w:tab w:val="left" w:pos="630"/>
        </w:tabs>
        <w:snapToGrid w:val="0"/>
        <w:spacing w:line="440" w:lineRule="exact"/>
        <w:ind w:firstLine="424" w:firstLineChars="202"/>
        <w:rPr>
          <w:rFonts w:hAnsi="宋体"/>
          <w:color w:val="auto"/>
        </w:rPr>
      </w:pPr>
      <w:r>
        <w:rPr>
          <w:rFonts w:hAnsi="宋体"/>
          <w:color w:val="auto"/>
        </w:rPr>
        <w:t>3.6.4允许投标人递交备选</w:t>
      </w:r>
      <w:r>
        <w:rPr>
          <w:rFonts w:hint="eastAsia" w:hAnsi="宋体" w:cs="宋体"/>
          <w:color w:val="auto"/>
          <w:szCs w:val="21"/>
        </w:rPr>
        <w:t>投标人</w:t>
      </w:r>
      <w:r>
        <w:rPr>
          <w:rFonts w:hint="eastAsia" w:hAnsi="宋体"/>
          <w:color w:val="auto"/>
        </w:rPr>
        <w:t>案的，只有符合招标文件要求且评审价最低或者综合评分最高而被推荐为中标候选人的投标人所递交的备选</w:t>
      </w:r>
      <w:r>
        <w:rPr>
          <w:rFonts w:hint="eastAsia" w:hAnsi="宋体" w:cs="宋体"/>
          <w:color w:val="auto"/>
          <w:szCs w:val="21"/>
        </w:rPr>
        <w:t>投标人</w:t>
      </w:r>
      <w:r>
        <w:rPr>
          <w:rFonts w:hint="eastAsia" w:hAnsi="宋体"/>
          <w:color w:val="auto"/>
        </w:rPr>
        <w:t>案，可予以考虑。评标委员会认为其备选</w:t>
      </w:r>
      <w:r>
        <w:rPr>
          <w:rFonts w:hint="eastAsia" w:hAnsi="宋体" w:cs="宋体"/>
          <w:color w:val="auto"/>
          <w:szCs w:val="21"/>
        </w:rPr>
        <w:t>投标人</w:t>
      </w:r>
      <w:r>
        <w:rPr>
          <w:rFonts w:hint="eastAsia" w:hAnsi="宋体"/>
          <w:color w:val="auto"/>
        </w:rPr>
        <w:t>案优于其按照招标文件要求编制的</w:t>
      </w:r>
      <w:r>
        <w:rPr>
          <w:rFonts w:hint="eastAsia" w:hAnsi="宋体" w:cs="宋体"/>
          <w:color w:val="auto"/>
          <w:szCs w:val="21"/>
        </w:rPr>
        <w:t>投标人</w:t>
      </w:r>
      <w:r>
        <w:rPr>
          <w:rFonts w:hint="eastAsia" w:hAnsi="宋体"/>
          <w:color w:val="auto"/>
        </w:rPr>
        <w:t>案的，招标人可以接受该备选</w:t>
      </w:r>
      <w:r>
        <w:rPr>
          <w:rFonts w:hint="eastAsia" w:hAnsi="宋体" w:cs="宋体"/>
          <w:color w:val="auto"/>
          <w:szCs w:val="21"/>
        </w:rPr>
        <w:t>投标人</w:t>
      </w:r>
      <w:r>
        <w:rPr>
          <w:rFonts w:hint="eastAsia" w:hAnsi="宋体"/>
          <w:color w:val="auto"/>
        </w:rPr>
        <w:t>案。</w:t>
      </w:r>
    </w:p>
    <w:p>
      <w:pPr>
        <w:rPr>
          <w:b/>
          <w:bCs/>
          <w:color w:val="auto"/>
          <w:sz w:val="24"/>
          <w:szCs w:val="32"/>
        </w:rPr>
      </w:pPr>
      <w:bookmarkStart w:id="195" w:name="_Toc226969298"/>
      <w:bookmarkStart w:id="196" w:name="_Toc227057904"/>
      <w:bookmarkStart w:id="197" w:name="_Toc46496149"/>
      <w:bookmarkStart w:id="198" w:name="_Toc447188690"/>
      <w:bookmarkStart w:id="199" w:name="_Toc450489299"/>
      <w:bookmarkStart w:id="200" w:name="_Toc447265240"/>
      <w:bookmarkStart w:id="201" w:name="_Toc447265526"/>
      <w:r>
        <w:rPr>
          <w:b/>
          <w:bCs/>
          <w:color w:val="auto"/>
          <w:sz w:val="24"/>
          <w:szCs w:val="32"/>
        </w:rPr>
        <w:t>3.7</w:t>
      </w:r>
      <w:r>
        <w:rPr>
          <w:rFonts w:hint="eastAsia"/>
          <w:b/>
          <w:bCs/>
          <w:color w:val="auto"/>
          <w:sz w:val="24"/>
          <w:szCs w:val="32"/>
        </w:rPr>
        <w:t>投标文件的式样</w:t>
      </w:r>
      <w:bookmarkEnd w:id="194"/>
      <w:bookmarkEnd w:id="195"/>
      <w:bookmarkEnd w:id="196"/>
      <w:r>
        <w:rPr>
          <w:rFonts w:hint="eastAsia"/>
          <w:b/>
          <w:bCs/>
          <w:color w:val="auto"/>
          <w:sz w:val="24"/>
          <w:szCs w:val="32"/>
        </w:rPr>
        <w:t>、密封和标记（递交纸质文件适用）</w:t>
      </w:r>
      <w:bookmarkEnd w:id="197"/>
      <w:bookmarkEnd w:id="198"/>
      <w:bookmarkEnd w:id="199"/>
      <w:bookmarkEnd w:id="200"/>
      <w:bookmarkEnd w:id="201"/>
    </w:p>
    <w:p>
      <w:pPr>
        <w:pStyle w:val="21"/>
        <w:tabs>
          <w:tab w:val="left" w:pos="630"/>
        </w:tabs>
        <w:snapToGrid w:val="0"/>
        <w:spacing w:line="440" w:lineRule="exact"/>
        <w:ind w:firstLine="424" w:firstLineChars="202"/>
        <w:rPr>
          <w:rFonts w:hAnsi="宋体"/>
          <w:color w:val="auto"/>
        </w:rPr>
      </w:pPr>
      <w:r>
        <w:rPr>
          <w:rFonts w:hAnsi="宋体"/>
          <w:color w:val="auto"/>
        </w:rPr>
        <w:t>3.7.1</w:t>
      </w:r>
      <w:r>
        <w:rPr>
          <w:rFonts w:hint="eastAsia" w:hAnsi="宋体"/>
          <w:color w:val="auto"/>
        </w:rPr>
        <w:t>投标人应当编制一份</w:t>
      </w:r>
      <w:r>
        <w:rPr>
          <w:rFonts w:hint="eastAsia" w:hAnsi="宋体" w:cs="宋体"/>
          <w:color w:val="auto"/>
          <w:szCs w:val="21"/>
        </w:rPr>
        <w:t>投标</w:t>
      </w:r>
      <w:r>
        <w:rPr>
          <w:rFonts w:hint="eastAsia" w:hAnsi="宋体"/>
          <w:color w:val="auto"/>
        </w:rPr>
        <w:t>文件“正本”和投标人须知前附表所述份数的“副本”和“电子版”，副本为正本复印件。投标文件正本和副本如有不一致之处，以正本为准；纸质版文件与电子版文件不一致时，以纸质版文件为准。</w:t>
      </w:r>
    </w:p>
    <w:p>
      <w:pPr>
        <w:pStyle w:val="21"/>
        <w:tabs>
          <w:tab w:val="left" w:pos="630"/>
        </w:tabs>
        <w:snapToGrid w:val="0"/>
        <w:spacing w:line="440" w:lineRule="exact"/>
        <w:ind w:firstLine="424" w:firstLineChars="202"/>
        <w:rPr>
          <w:rFonts w:hAnsi="宋体"/>
          <w:color w:val="auto"/>
        </w:rPr>
      </w:pPr>
      <w:r>
        <w:rPr>
          <w:rFonts w:hAnsi="宋体"/>
          <w:color w:val="auto"/>
        </w:rPr>
        <w:t>3.7.2每份</w:t>
      </w:r>
      <w:r>
        <w:rPr>
          <w:rFonts w:hint="eastAsia" w:hAnsi="宋体" w:cs="宋体"/>
          <w:color w:val="auto"/>
          <w:szCs w:val="21"/>
        </w:rPr>
        <w:t>投标</w:t>
      </w:r>
      <w:r>
        <w:rPr>
          <w:rFonts w:hint="eastAsia" w:hAnsi="宋体"/>
          <w:color w:val="auto"/>
        </w:rPr>
        <w:t>文件的正本、副本及电子版应当分别装订，并于封面上明确标明“正本”、“副本”和“电子版”字样。</w:t>
      </w:r>
    </w:p>
    <w:p>
      <w:pPr>
        <w:pStyle w:val="21"/>
        <w:tabs>
          <w:tab w:val="left" w:pos="630"/>
        </w:tabs>
        <w:snapToGrid w:val="0"/>
        <w:spacing w:line="440" w:lineRule="exact"/>
        <w:ind w:firstLine="424" w:firstLineChars="202"/>
        <w:rPr>
          <w:rFonts w:hAnsi="宋体"/>
          <w:color w:val="auto"/>
        </w:rPr>
      </w:pPr>
      <w:r>
        <w:rPr>
          <w:rFonts w:hAnsi="宋体"/>
          <w:color w:val="auto"/>
        </w:rPr>
        <w:t>3.7.3</w:t>
      </w:r>
      <w:r>
        <w:rPr>
          <w:rFonts w:hint="eastAsia" w:hAnsi="宋体" w:cs="宋体"/>
          <w:color w:val="auto"/>
          <w:szCs w:val="21"/>
        </w:rPr>
        <w:t>投标</w:t>
      </w:r>
      <w:r>
        <w:rPr>
          <w:rFonts w:hint="eastAsia" w:hAnsi="宋体"/>
          <w:color w:val="auto"/>
        </w:rPr>
        <w:t>文件应当按照招标文件规定密封包装，并于封装封面上明确标明“正本”、“副本”和“电子版”字样。密封的所有粘接缝隙必须加盖单位公章或者由投标人的法定代表人或者其委托代理人签字。</w:t>
      </w:r>
    </w:p>
    <w:p>
      <w:pPr>
        <w:pStyle w:val="21"/>
        <w:tabs>
          <w:tab w:val="left" w:pos="630"/>
        </w:tabs>
        <w:snapToGrid w:val="0"/>
        <w:spacing w:line="440" w:lineRule="exact"/>
        <w:ind w:firstLine="424" w:firstLineChars="202"/>
        <w:rPr>
          <w:rFonts w:hAnsi="宋体"/>
          <w:color w:val="auto"/>
        </w:rPr>
      </w:pPr>
      <w:r>
        <w:rPr>
          <w:rFonts w:hAnsi="宋体"/>
          <w:color w:val="auto"/>
        </w:rPr>
        <w:t>3.7.4外层包封应当写明招标人名称和地址、项目名称、招标代理编号、并注明唱价时间以前不得开封。还应当写明投标人的名称与地址、邮政编码，以便投标出现逾期送达时能原封退回。</w:t>
      </w:r>
    </w:p>
    <w:p>
      <w:pPr>
        <w:pStyle w:val="21"/>
        <w:tabs>
          <w:tab w:val="left" w:pos="630"/>
        </w:tabs>
        <w:snapToGrid w:val="0"/>
        <w:spacing w:line="440" w:lineRule="exact"/>
        <w:ind w:firstLine="424" w:firstLineChars="202"/>
        <w:rPr>
          <w:rFonts w:hAnsi="宋体"/>
          <w:color w:val="auto"/>
        </w:rPr>
      </w:pPr>
      <w:r>
        <w:rPr>
          <w:rFonts w:hAnsi="宋体"/>
          <w:color w:val="auto"/>
        </w:rPr>
        <w:t>3.7.5递交</w:t>
      </w:r>
      <w:r>
        <w:rPr>
          <w:rFonts w:hint="eastAsia" w:hAnsi="宋体" w:cs="宋体"/>
          <w:color w:val="auto"/>
          <w:szCs w:val="21"/>
        </w:rPr>
        <w:t>投标</w:t>
      </w:r>
      <w:r>
        <w:rPr>
          <w:rFonts w:hint="eastAsia" w:hAnsi="宋体"/>
          <w:color w:val="auto"/>
        </w:rPr>
        <w:t>文件时，招标人应当对符合招标文件规定密封和标记的</w:t>
      </w:r>
      <w:r>
        <w:rPr>
          <w:rFonts w:hint="eastAsia" w:hAnsi="宋体" w:cs="宋体"/>
          <w:color w:val="auto"/>
          <w:szCs w:val="21"/>
        </w:rPr>
        <w:t>投标</w:t>
      </w:r>
      <w:r>
        <w:rPr>
          <w:rFonts w:hint="eastAsia" w:hAnsi="宋体"/>
          <w:color w:val="auto"/>
        </w:rPr>
        <w:t>文件进行签收。</w:t>
      </w:r>
    </w:p>
    <w:p>
      <w:pPr>
        <w:pStyle w:val="21"/>
        <w:tabs>
          <w:tab w:val="left" w:pos="630"/>
        </w:tabs>
        <w:snapToGrid w:val="0"/>
        <w:spacing w:line="440" w:lineRule="exact"/>
        <w:ind w:firstLine="424" w:firstLineChars="202"/>
        <w:rPr>
          <w:rFonts w:hAnsi="宋体"/>
          <w:color w:val="auto"/>
        </w:rPr>
      </w:pPr>
      <w:r>
        <w:rPr>
          <w:rFonts w:hAnsi="宋体"/>
          <w:color w:val="auto"/>
        </w:rPr>
        <w:t>3.7.6</w:t>
      </w:r>
      <w:r>
        <w:rPr>
          <w:rFonts w:hint="eastAsia" w:hAnsi="宋体"/>
          <w:color w:val="auto"/>
        </w:rPr>
        <w:t>招标人对于</w:t>
      </w:r>
      <w:r>
        <w:rPr>
          <w:rFonts w:hint="eastAsia" w:hAnsi="宋体" w:cs="宋体"/>
          <w:color w:val="auto"/>
          <w:szCs w:val="21"/>
        </w:rPr>
        <w:t>投标</w:t>
      </w:r>
      <w:r>
        <w:rPr>
          <w:rFonts w:hint="eastAsia" w:hAnsi="宋体"/>
          <w:color w:val="auto"/>
        </w:rPr>
        <w:t>文件密封、标记另有要求的，见投标人须知前附表。</w:t>
      </w:r>
      <w:bookmarkEnd w:id="151"/>
      <w:bookmarkEnd w:id="152"/>
      <w:bookmarkEnd w:id="153"/>
    </w:p>
    <w:p>
      <w:pPr>
        <w:numPr>
          <w:ilvl w:val="0"/>
          <w:numId w:val="5"/>
        </w:numPr>
        <w:rPr>
          <w:b/>
          <w:bCs/>
          <w:color w:val="auto"/>
          <w:sz w:val="24"/>
          <w:szCs w:val="32"/>
        </w:rPr>
      </w:pPr>
      <w:bookmarkStart w:id="202" w:name="_Toc477190296"/>
      <w:bookmarkEnd w:id="202"/>
      <w:bookmarkStart w:id="203" w:name="_Toc477190297"/>
      <w:bookmarkEnd w:id="203"/>
      <w:r>
        <w:rPr>
          <w:rFonts w:hint="eastAsia"/>
          <w:b/>
          <w:bCs/>
          <w:color w:val="auto"/>
          <w:sz w:val="24"/>
          <w:szCs w:val="32"/>
        </w:rPr>
        <w:t>投标</w:t>
      </w:r>
    </w:p>
    <w:p>
      <w:pPr>
        <w:rPr>
          <w:b/>
          <w:bCs/>
          <w:color w:val="auto"/>
          <w:sz w:val="24"/>
          <w:szCs w:val="32"/>
        </w:rPr>
      </w:pPr>
      <w:bookmarkStart w:id="204" w:name="_Toc447188692"/>
      <w:bookmarkStart w:id="205" w:name="_Toc46496151"/>
      <w:bookmarkStart w:id="206" w:name="_Toc447265529"/>
      <w:bookmarkStart w:id="207" w:name="_Toc447265243"/>
      <w:r>
        <w:rPr>
          <w:b/>
          <w:bCs/>
          <w:color w:val="auto"/>
          <w:sz w:val="24"/>
          <w:szCs w:val="32"/>
        </w:rPr>
        <w:t>4.1</w:t>
      </w:r>
      <w:bookmarkEnd w:id="154"/>
      <w:bookmarkEnd w:id="155"/>
      <w:r>
        <w:rPr>
          <w:rFonts w:hint="eastAsia"/>
          <w:b/>
          <w:bCs/>
          <w:color w:val="auto"/>
          <w:sz w:val="24"/>
          <w:szCs w:val="32"/>
        </w:rPr>
        <w:t>投标文件的递交</w:t>
      </w:r>
      <w:bookmarkEnd w:id="156"/>
      <w:bookmarkEnd w:id="157"/>
      <w:bookmarkEnd w:id="204"/>
      <w:bookmarkEnd w:id="205"/>
      <w:bookmarkEnd w:id="206"/>
      <w:bookmarkEnd w:id="207"/>
    </w:p>
    <w:p>
      <w:pPr>
        <w:pStyle w:val="21"/>
        <w:tabs>
          <w:tab w:val="left" w:pos="630"/>
        </w:tabs>
        <w:snapToGrid w:val="0"/>
        <w:spacing w:line="440" w:lineRule="exact"/>
        <w:ind w:firstLine="424" w:firstLineChars="202"/>
        <w:rPr>
          <w:rFonts w:hAnsi="宋体"/>
          <w:color w:val="auto"/>
        </w:rPr>
      </w:pPr>
      <w:bookmarkStart w:id="208" w:name="_Toc107822504"/>
      <w:bookmarkStart w:id="209" w:name="_Toc488655849"/>
      <w:bookmarkStart w:id="210" w:name="_Toc227057907"/>
      <w:bookmarkStart w:id="211" w:name="_Toc488655850"/>
      <w:bookmarkStart w:id="212" w:name="_Toc226969301"/>
      <w:bookmarkStart w:id="213" w:name="_Toc107822505"/>
      <w:bookmarkStart w:id="214" w:name="_Toc447188693"/>
      <w:bookmarkStart w:id="215" w:name="_Toc447265530"/>
      <w:bookmarkStart w:id="216" w:name="_Toc447265244"/>
      <w:r>
        <w:rPr>
          <w:rFonts w:hAnsi="宋体"/>
          <w:color w:val="auto"/>
        </w:rPr>
        <w:t>4.1.1</w:t>
      </w:r>
      <w:r>
        <w:rPr>
          <w:rFonts w:hint="eastAsia" w:hAnsi="宋体" w:cs="宋体"/>
          <w:color w:val="auto"/>
          <w:szCs w:val="21"/>
        </w:rPr>
        <w:t>投标</w:t>
      </w:r>
      <w:r>
        <w:rPr>
          <w:rFonts w:hint="eastAsia" w:hAnsi="宋体"/>
          <w:color w:val="auto"/>
        </w:rPr>
        <w:t>文件递交截止时间：见投标人须知前附表。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4.1.2</w:t>
      </w:r>
      <w:r>
        <w:rPr>
          <w:rFonts w:hint="eastAsia" w:hAnsi="宋体" w:cs="宋体"/>
          <w:color w:val="auto"/>
          <w:szCs w:val="21"/>
        </w:rPr>
        <w:t>投标</w:t>
      </w:r>
      <w:r>
        <w:rPr>
          <w:rFonts w:hint="eastAsia" w:hAnsi="宋体"/>
          <w:color w:val="auto"/>
        </w:rPr>
        <w:t>文件递交地点：见投标人须知前附表。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4.1.3招标人收到投标文件后，向投标人出具签收凭证。</w:t>
      </w:r>
    </w:p>
    <w:p>
      <w:pPr>
        <w:pStyle w:val="21"/>
        <w:tabs>
          <w:tab w:val="left" w:pos="630"/>
        </w:tabs>
        <w:snapToGrid w:val="0"/>
        <w:spacing w:line="440" w:lineRule="exact"/>
        <w:ind w:firstLine="424" w:firstLineChars="202"/>
        <w:rPr>
          <w:rFonts w:hAnsi="宋体"/>
          <w:color w:val="auto"/>
        </w:rPr>
      </w:pPr>
      <w:r>
        <w:rPr>
          <w:rFonts w:hAnsi="宋体"/>
          <w:color w:val="auto"/>
        </w:rPr>
        <w:t>4.1.4</w:t>
      </w:r>
      <w:r>
        <w:rPr>
          <w:rFonts w:hint="eastAsia" w:hAnsi="宋体"/>
          <w:color w:val="auto"/>
        </w:rPr>
        <w:t>除投标人须知前附表另有规定外，投标人所递交的</w:t>
      </w:r>
      <w:r>
        <w:rPr>
          <w:rFonts w:hint="eastAsia" w:hAnsi="宋体" w:cs="宋体"/>
          <w:color w:val="auto"/>
          <w:szCs w:val="21"/>
        </w:rPr>
        <w:t>投标</w:t>
      </w:r>
      <w:r>
        <w:rPr>
          <w:rFonts w:hint="eastAsia" w:hAnsi="宋体"/>
          <w:color w:val="auto"/>
        </w:rPr>
        <w:t>文件不予退还。</w:t>
      </w:r>
    </w:p>
    <w:p>
      <w:pPr>
        <w:pStyle w:val="21"/>
        <w:tabs>
          <w:tab w:val="left" w:pos="630"/>
        </w:tabs>
        <w:snapToGrid w:val="0"/>
        <w:spacing w:line="440" w:lineRule="exact"/>
        <w:ind w:firstLine="424" w:firstLineChars="202"/>
        <w:rPr>
          <w:rFonts w:hAnsi="宋体"/>
          <w:color w:val="auto"/>
        </w:rPr>
      </w:pPr>
      <w:r>
        <w:rPr>
          <w:rFonts w:hAnsi="宋体"/>
          <w:color w:val="auto"/>
        </w:rPr>
        <w:t>4.1.5出现以下情形时，招标人/招标代理机构不予接收</w:t>
      </w:r>
      <w:r>
        <w:rPr>
          <w:rFonts w:hint="eastAsia" w:hAnsi="宋体" w:cs="宋体"/>
          <w:color w:val="auto"/>
          <w:szCs w:val="21"/>
        </w:rPr>
        <w:t>投标</w:t>
      </w:r>
      <w:r>
        <w:rPr>
          <w:rFonts w:hint="eastAsia" w:hAnsi="宋体"/>
          <w:color w:val="auto"/>
        </w:rPr>
        <w:t>文件：</w:t>
      </w:r>
    </w:p>
    <w:p>
      <w:pPr>
        <w:pStyle w:val="78"/>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逾期送达或者未送达指定地点的；</w:t>
      </w:r>
    </w:p>
    <w:p>
      <w:pPr>
        <w:pStyle w:val="78"/>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未按照招标文件要求密封的；</w:t>
      </w:r>
    </w:p>
    <w:p>
      <w:pPr>
        <w:pStyle w:val="78"/>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未通过资格预审的申请人递交的；</w:t>
      </w:r>
    </w:p>
    <w:p>
      <w:pPr>
        <w:pStyle w:val="78"/>
        <w:numPr>
          <w:ilvl w:val="0"/>
          <w:numId w:val="8"/>
        </w:numPr>
        <w:tabs>
          <w:tab w:val="left" w:pos="630"/>
        </w:tabs>
        <w:spacing w:line="400" w:lineRule="exact"/>
        <w:ind w:firstLine="424" w:firstLineChars="202"/>
        <w:rPr>
          <w:rFonts w:ascii="宋体" w:hAnsi="宋体"/>
          <w:color w:val="auto"/>
        </w:rPr>
      </w:pPr>
      <w:r>
        <w:rPr>
          <w:rFonts w:hint="eastAsia" w:ascii="宋体" w:hAnsi="宋体"/>
          <w:color w:val="auto"/>
        </w:rPr>
        <w:t>未按照第一章“招标公告”或者投标邀请书要求获得本项目招标文件的。</w:t>
      </w:r>
      <w:bookmarkEnd w:id="208"/>
      <w:bookmarkEnd w:id="209"/>
    </w:p>
    <w:p>
      <w:pPr>
        <w:rPr>
          <w:b/>
          <w:bCs/>
          <w:color w:val="auto"/>
          <w:sz w:val="24"/>
          <w:szCs w:val="32"/>
        </w:rPr>
      </w:pPr>
      <w:bookmarkStart w:id="217" w:name="_Toc46496152"/>
      <w:r>
        <w:rPr>
          <w:b/>
          <w:bCs/>
          <w:color w:val="auto"/>
          <w:sz w:val="24"/>
          <w:szCs w:val="32"/>
        </w:rPr>
        <w:t>4.2</w:t>
      </w:r>
      <w:r>
        <w:rPr>
          <w:rFonts w:hint="eastAsia"/>
          <w:b/>
          <w:bCs/>
          <w:color w:val="auto"/>
          <w:sz w:val="24"/>
          <w:szCs w:val="32"/>
        </w:rPr>
        <w:t>投标文件的修改、撤回</w:t>
      </w:r>
      <w:bookmarkEnd w:id="210"/>
      <w:bookmarkEnd w:id="211"/>
      <w:bookmarkEnd w:id="212"/>
      <w:bookmarkEnd w:id="213"/>
      <w:r>
        <w:rPr>
          <w:rFonts w:hint="eastAsia"/>
          <w:b/>
          <w:bCs/>
          <w:color w:val="auto"/>
          <w:sz w:val="24"/>
          <w:szCs w:val="32"/>
        </w:rPr>
        <w:t>和撤销</w:t>
      </w:r>
      <w:bookmarkEnd w:id="214"/>
      <w:bookmarkEnd w:id="215"/>
      <w:bookmarkEnd w:id="216"/>
      <w:bookmarkEnd w:id="217"/>
    </w:p>
    <w:p>
      <w:pPr>
        <w:pStyle w:val="21"/>
        <w:tabs>
          <w:tab w:val="left" w:pos="630"/>
        </w:tabs>
        <w:snapToGrid w:val="0"/>
        <w:spacing w:line="440" w:lineRule="exact"/>
        <w:ind w:firstLine="424" w:firstLineChars="202"/>
        <w:rPr>
          <w:rFonts w:hAnsi="宋体"/>
          <w:color w:val="auto"/>
        </w:rPr>
      </w:pPr>
      <w:bookmarkStart w:id="218" w:name="_Toc152045559"/>
      <w:bookmarkStart w:id="219" w:name="_Toc447265531"/>
      <w:bookmarkStart w:id="220" w:name="_Toc152042335"/>
      <w:bookmarkStart w:id="221" w:name="_Toc144974527"/>
      <w:bookmarkStart w:id="222" w:name="_Toc447188694"/>
      <w:bookmarkStart w:id="223" w:name="_Toc296602447"/>
      <w:bookmarkStart w:id="224" w:name="_Toc247085717"/>
      <w:bookmarkStart w:id="225" w:name="_Toc246996946"/>
      <w:bookmarkStart w:id="226" w:name="_Toc246996203"/>
      <w:bookmarkStart w:id="227" w:name="_Toc447265245"/>
      <w:bookmarkStart w:id="228" w:name="_Toc179632577"/>
      <w:bookmarkStart w:id="229" w:name="_Toc226969302"/>
      <w:bookmarkStart w:id="230" w:name="_Toc488655852"/>
      <w:bookmarkStart w:id="231" w:name="_Toc107822506"/>
      <w:bookmarkStart w:id="232" w:name="_Toc227057908"/>
      <w:r>
        <w:rPr>
          <w:rFonts w:hAnsi="宋体"/>
          <w:color w:val="auto"/>
        </w:rPr>
        <w:t>4.2.1</w:t>
      </w:r>
      <w:r>
        <w:rPr>
          <w:rFonts w:hint="eastAsia" w:hAnsi="宋体"/>
          <w:color w:val="auto"/>
        </w:rPr>
        <w:t>在规定的</w:t>
      </w:r>
      <w:r>
        <w:rPr>
          <w:rFonts w:hint="eastAsia" w:hAnsi="宋体" w:cs="宋体"/>
          <w:color w:val="auto"/>
          <w:szCs w:val="21"/>
        </w:rPr>
        <w:t>投标</w:t>
      </w:r>
      <w:r>
        <w:rPr>
          <w:rFonts w:hint="eastAsia" w:hAnsi="宋体"/>
          <w:color w:val="auto"/>
        </w:rPr>
        <w:t>截止时间前，投标人可以修改或者撤回已递交的</w:t>
      </w:r>
      <w:r>
        <w:rPr>
          <w:rFonts w:hint="eastAsia" w:hAnsi="宋体" w:cs="宋体"/>
          <w:color w:val="auto"/>
          <w:szCs w:val="21"/>
        </w:rPr>
        <w:t>投标</w:t>
      </w:r>
      <w:r>
        <w:rPr>
          <w:rFonts w:hint="eastAsia" w:hAnsi="宋体"/>
          <w:color w:val="auto"/>
        </w:rPr>
        <w:t>文件。</w:t>
      </w:r>
    </w:p>
    <w:p>
      <w:pPr>
        <w:pStyle w:val="21"/>
        <w:tabs>
          <w:tab w:val="left" w:pos="630"/>
        </w:tabs>
        <w:snapToGrid w:val="0"/>
        <w:spacing w:line="440" w:lineRule="exact"/>
        <w:ind w:firstLine="424" w:firstLineChars="202"/>
        <w:rPr>
          <w:rFonts w:hAnsi="宋体"/>
          <w:color w:val="auto"/>
        </w:rPr>
      </w:pPr>
      <w:r>
        <w:rPr>
          <w:rFonts w:hAnsi="宋体"/>
          <w:color w:val="auto"/>
        </w:rPr>
        <w:t>4.2.2</w:t>
      </w:r>
      <w:r>
        <w:rPr>
          <w:rFonts w:hint="eastAsia" w:hAnsi="宋体"/>
          <w:color w:val="auto"/>
        </w:rPr>
        <w:t>投标人修改后的</w:t>
      </w:r>
      <w:r>
        <w:rPr>
          <w:rFonts w:hint="eastAsia" w:hAnsi="宋体" w:cs="宋体"/>
          <w:color w:val="auto"/>
          <w:szCs w:val="21"/>
        </w:rPr>
        <w:t>投标</w:t>
      </w:r>
      <w:r>
        <w:rPr>
          <w:rFonts w:hint="eastAsia" w:hAnsi="宋体"/>
          <w:color w:val="auto"/>
        </w:rPr>
        <w:t>文件，应当在规定的</w:t>
      </w:r>
      <w:r>
        <w:rPr>
          <w:rFonts w:hint="eastAsia" w:hAnsi="宋体" w:cs="宋体"/>
          <w:color w:val="auto"/>
          <w:szCs w:val="21"/>
        </w:rPr>
        <w:t>投标</w:t>
      </w:r>
      <w:r>
        <w:rPr>
          <w:rFonts w:hint="eastAsia" w:hAnsi="宋体"/>
          <w:color w:val="auto"/>
        </w:rPr>
        <w:t>截止时间前按照招标文件的规定编制、密封、标记、递交。</w:t>
      </w:r>
    </w:p>
    <w:p>
      <w:pPr>
        <w:pStyle w:val="21"/>
        <w:tabs>
          <w:tab w:val="left" w:pos="630"/>
        </w:tabs>
        <w:snapToGrid w:val="0"/>
        <w:spacing w:line="440" w:lineRule="exact"/>
        <w:ind w:firstLine="424" w:firstLineChars="202"/>
        <w:rPr>
          <w:rFonts w:hAnsi="宋体"/>
          <w:color w:val="auto"/>
        </w:rPr>
      </w:pPr>
      <w:r>
        <w:rPr>
          <w:rFonts w:hAnsi="宋体"/>
          <w:color w:val="auto"/>
        </w:rPr>
        <w:t>4.2.3</w:t>
      </w:r>
      <w:r>
        <w:rPr>
          <w:rFonts w:hint="eastAsia" w:hAnsi="宋体"/>
          <w:color w:val="auto"/>
        </w:rPr>
        <w:t>投标人撤回已递交的</w:t>
      </w:r>
      <w:r>
        <w:rPr>
          <w:rFonts w:hint="eastAsia" w:hAnsi="宋体" w:cs="宋体"/>
          <w:color w:val="auto"/>
          <w:szCs w:val="21"/>
        </w:rPr>
        <w:t>投标</w:t>
      </w:r>
      <w:r>
        <w:rPr>
          <w:rFonts w:hint="eastAsia" w:hAnsi="宋体"/>
          <w:color w:val="auto"/>
        </w:rPr>
        <w:t>文件，应当书面通知招标人。招标人已收取</w:t>
      </w:r>
      <w:r>
        <w:rPr>
          <w:rFonts w:hint="eastAsia" w:hAnsi="宋体" w:cs="宋体"/>
          <w:color w:val="auto"/>
          <w:szCs w:val="21"/>
        </w:rPr>
        <w:t>投标</w:t>
      </w:r>
      <w:r>
        <w:rPr>
          <w:rFonts w:hint="eastAsia" w:hAnsi="宋体"/>
          <w:color w:val="auto"/>
        </w:rPr>
        <w:t>保证金的，应当自收到投标人书面撤回通知之日起</w:t>
      </w:r>
      <w:r>
        <w:rPr>
          <w:rFonts w:hAnsi="宋体"/>
          <w:color w:val="auto"/>
        </w:rPr>
        <w:t>5日内退还。</w:t>
      </w:r>
    </w:p>
    <w:p>
      <w:pPr>
        <w:pStyle w:val="21"/>
        <w:tabs>
          <w:tab w:val="left" w:pos="630"/>
        </w:tabs>
        <w:snapToGrid w:val="0"/>
        <w:spacing w:line="440" w:lineRule="exact"/>
        <w:ind w:firstLine="424" w:firstLineChars="202"/>
        <w:rPr>
          <w:rFonts w:hAnsi="宋体"/>
          <w:color w:val="auto"/>
        </w:rPr>
      </w:pPr>
      <w:r>
        <w:rPr>
          <w:rFonts w:hAnsi="宋体"/>
          <w:color w:val="auto"/>
        </w:rPr>
        <w:t>4.2.4投标人在规定的</w:t>
      </w:r>
      <w:r>
        <w:rPr>
          <w:rFonts w:hint="eastAsia" w:hAnsi="宋体" w:cs="宋体"/>
          <w:color w:val="auto"/>
          <w:szCs w:val="21"/>
        </w:rPr>
        <w:t>投标</w:t>
      </w:r>
      <w:r>
        <w:rPr>
          <w:rFonts w:hint="eastAsia" w:hAnsi="宋体"/>
          <w:color w:val="auto"/>
        </w:rPr>
        <w:t>截止时间后，不得在</w:t>
      </w:r>
      <w:r>
        <w:rPr>
          <w:rFonts w:hint="eastAsia" w:hAnsi="宋体" w:cs="宋体"/>
          <w:color w:val="auto"/>
          <w:szCs w:val="21"/>
        </w:rPr>
        <w:t>投标</w:t>
      </w:r>
      <w:r>
        <w:rPr>
          <w:rFonts w:hint="eastAsia" w:hAnsi="宋体"/>
          <w:color w:val="auto"/>
        </w:rPr>
        <w:t>有效期内撤销其投标。否则招标人有权不退还其</w:t>
      </w:r>
      <w:r>
        <w:rPr>
          <w:rFonts w:hint="eastAsia" w:hAnsi="宋体" w:cs="宋体"/>
          <w:color w:val="auto"/>
          <w:szCs w:val="21"/>
        </w:rPr>
        <w:t>投标</w:t>
      </w:r>
      <w:r>
        <w:rPr>
          <w:rFonts w:hint="eastAsia" w:hAnsi="宋体"/>
          <w:color w:val="auto"/>
        </w:rPr>
        <w:t>保证金。</w:t>
      </w:r>
      <w:bookmarkEnd w:id="218"/>
      <w:bookmarkEnd w:id="219"/>
      <w:bookmarkEnd w:id="220"/>
      <w:bookmarkEnd w:id="221"/>
      <w:bookmarkEnd w:id="222"/>
      <w:bookmarkEnd w:id="223"/>
      <w:bookmarkEnd w:id="224"/>
      <w:bookmarkEnd w:id="225"/>
      <w:bookmarkEnd w:id="226"/>
      <w:bookmarkEnd w:id="227"/>
      <w:bookmarkEnd w:id="228"/>
    </w:p>
    <w:p>
      <w:pPr>
        <w:numPr>
          <w:ilvl w:val="0"/>
          <w:numId w:val="5"/>
        </w:numPr>
        <w:rPr>
          <w:b/>
          <w:bCs/>
          <w:color w:val="auto"/>
          <w:sz w:val="24"/>
          <w:szCs w:val="32"/>
        </w:rPr>
      </w:pPr>
      <w:r>
        <w:rPr>
          <w:rFonts w:hint="eastAsia"/>
          <w:b/>
          <w:bCs/>
          <w:color w:val="auto"/>
          <w:sz w:val="24"/>
          <w:szCs w:val="32"/>
        </w:rPr>
        <w:t>唱价</w:t>
      </w:r>
    </w:p>
    <w:p>
      <w:pPr>
        <w:rPr>
          <w:b/>
          <w:bCs/>
          <w:color w:val="auto"/>
          <w:sz w:val="24"/>
          <w:szCs w:val="32"/>
        </w:rPr>
      </w:pPr>
      <w:bookmarkStart w:id="233" w:name="_Toc46496154"/>
      <w:bookmarkStart w:id="234" w:name="_Toc447265532"/>
      <w:bookmarkStart w:id="235" w:name="_Toc447265246"/>
      <w:bookmarkStart w:id="236" w:name="_Toc447188695"/>
      <w:r>
        <w:rPr>
          <w:b/>
          <w:bCs/>
          <w:color w:val="auto"/>
          <w:sz w:val="24"/>
          <w:szCs w:val="32"/>
        </w:rPr>
        <w:t>5.1</w:t>
      </w:r>
      <w:bookmarkEnd w:id="229"/>
      <w:bookmarkEnd w:id="230"/>
      <w:bookmarkEnd w:id="231"/>
      <w:bookmarkEnd w:id="232"/>
      <w:r>
        <w:rPr>
          <w:rFonts w:hint="eastAsia"/>
          <w:b/>
          <w:bCs/>
          <w:color w:val="auto"/>
          <w:sz w:val="24"/>
          <w:szCs w:val="32"/>
        </w:rPr>
        <w:t>唱价时间和地点</w:t>
      </w:r>
      <w:bookmarkEnd w:id="233"/>
      <w:bookmarkEnd w:id="234"/>
      <w:bookmarkEnd w:id="235"/>
      <w:bookmarkEnd w:id="236"/>
    </w:p>
    <w:p>
      <w:pPr>
        <w:pStyle w:val="21"/>
        <w:tabs>
          <w:tab w:val="left" w:pos="630"/>
        </w:tabs>
        <w:snapToGrid w:val="0"/>
        <w:spacing w:line="440" w:lineRule="exact"/>
        <w:ind w:firstLine="420" w:firstLineChars="200"/>
        <w:rPr>
          <w:rFonts w:hAnsi="宋体"/>
          <w:color w:val="auto"/>
        </w:rPr>
      </w:pPr>
      <w:r>
        <w:rPr>
          <w:rFonts w:hint="eastAsia" w:hAnsi="宋体"/>
          <w:color w:val="auto"/>
        </w:rPr>
        <w:t>招标人将按照投标人须知前附表规定的时间和地点公开唱价，参加唱价的投标人代表应当签名报到，以证明其出席唱价。唱价时间和投标截止时间应当为同一时间。</w:t>
      </w:r>
    </w:p>
    <w:p>
      <w:pPr>
        <w:rPr>
          <w:b/>
          <w:bCs/>
          <w:color w:val="auto"/>
          <w:sz w:val="24"/>
          <w:szCs w:val="32"/>
        </w:rPr>
      </w:pPr>
      <w:bookmarkStart w:id="237" w:name="_Toc447265533"/>
      <w:bookmarkStart w:id="238" w:name="_Toc46496155"/>
      <w:bookmarkStart w:id="239" w:name="_Toc447188696"/>
      <w:bookmarkStart w:id="240" w:name="_Toc447265247"/>
      <w:r>
        <w:rPr>
          <w:b/>
          <w:bCs/>
          <w:color w:val="auto"/>
          <w:sz w:val="24"/>
          <w:szCs w:val="32"/>
        </w:rPr>
        <w:t>5.2</w:t>
      </w:r>
      <w:r>
        <w:rPr>
          <w:rFonts w:hint="eastAsia"/>
          <w:b/>
          <w:bCs/>
          <w:color w:val="auto"/>
          <w:sz w:val="24"/>
          <w:szCs w:val="32"/>
        </w:rPr>
        <w:t>唱价程序</w:t>
      </w:r>
      <w:bookmarkEnd w:id="237"/>
      <w:bookmarkEnd w:id="238"/>
      <w:bookmarkEnd w:id="239"/>
      <w:bookmarkEnd w:id="240"/>
    </w:p>
    <w:p>
      <w:pPr>
        <w:pStyle w:val="21"/>
        <w:tabs>
          <w:tab w:val="left" w:pos="630"/>
        </w:tabs>
        <w:snapToGrid w:val="0"/>
        <w:spacing w:line="440" w:lineRule="exact"/>
        <w:ind w:firstLine="424" w:firstLineChars="202"/>
        <w:rPr>
          <w:rFonts w:hAnsi="宋体"/>
          <w:color w:val="auto"/>
        </w:rPr>
      </w:pPr>
      <w:bookmarkStart w:id="241" w:name="_Toc247085720"/>
      <w:bookmarkStart w:id="242" w:name="_Toc447265250"/>
      <w:bookmarkStart w:id="243" w:name="_Toc296602451"/>
      <w:bookmarkStart w:id="244" w:name="_Toc179632580"/>
      <w:bookmarkStart w:id="245" w:name="_Toc447188699"/>
      <w:bookmarkStart w:id="246" w:name="_Toc246996206"/>
      <w:bookmarkStart w:id="247" w:name="_Toc152045562"/>
      <w:bookmarkStart w:id="248" w:name="_Toc152042338"/>
      <w:bookmarkStart w:id="249" w:name="_Toc447265536"/>
      <w:bookmarkStart w:id="250" w:name="_Toc144974530"/>
      <w:bookmarkStart w:id="251" w:name="_Toc246996949"/>
      <w:bookmarkStart w:id="252" w:name="_Toc227057909"/>
      <w:bookmarkStart w:id="253" w:name="_Toc226969303"/>
      <w:bookmarkStart w:id="254" w:name="_Toc107822507"/>
      <w:r>
        <w:rPr>
          <w:rFonts w:hAnsi="宋体"/>
          <w:color w:val="auto"/>
        </w:rPr>
        <w:t>5.2.1唱价会议由招标人或者其委托的招标代理机构组织并主持，邀请所有的投标人或</w:t>
      </w:r>
      <w:r>
        <w:rPr>
          <w:rFonts w:hint="eastAsia" w:hAnsi="宋体"/>
          <w:color w:val="auto"/>
        </w:rPr>
        <w:t>者其代表出席。投标人代表或者招标人委托的公证机构对</w:t>
      </w:r>
      <w:r>
        <w:rPr>
          <w:rFonts w:hint="eastAsia" w:hAnsi="宋体" w:cs="宋体"/>
          <w:color w:val="auto"/>
          <w:szCs w:val="21"/>
        </w:rPr>
        <w:t>投标</w:t>
      </w:r>
      <w:r>
        <w:rPr>
          <w:rFonts w:hint="eastAsia" w:hAnsi="宋体"/>
          <w:color w:val="auto"/>
        </w:rPr>
        <w:t>文件密封性进行检查。</w:t>
      </w:r>
    </w:p>
    <w:p>
      <w:pPr>
        <w:pStyle w:val="21"/>
        <w:tabs>
          <w:tab w:val="left" w:pos="630"/>
        </w:tabs>
        <w:snapToGrid w:val="0"/>
        <w:spacing w:line="440" w:lineRule="exact"/>
        <w:ind w:firstLine="424" w:firstLineChars="202"/>
        <w:rPr>
          <w:rFonts w:hAnsi="宋体"/>
          <w:color w:val="auto"/>
        </w:rPr>
      </w:pPr>
      <w:r>
        <w:rPr>
          <w:rFonts w:hAnsi="宋体"/>
          <w:color w:val="auto"/>
        </w:rPr>
        <w:t>5.2.2招标人在</w:t>
      </w:r>
      <w:r>
        <w:rPr>
          <w:rFonts w:hint="eastAsia" w:hAnsi="宋体" w:cs="宋体"/>
          <w:color w:val="auto"/>
          <w:szCs w:val="21"/>
        </w:rPr>
        <w:t>投标</w:t>
      </w:r>
      <w:r>
        <w:rPr>
          <w:rFonts w:hAnsi="宋体"/>
          <w:color w:val="auto"/>
        </w:rPr>
        <w:t>文件递交截止时间前收到的所有</w:t>
      </w:r>
      <w:r>
        <w:rPr>
          <w:rFonts w:hint="eastAsia" w:hAnsi="宋体" w:cs="宋体"/>
          <w:color w:val="auto"/>
          <w:szCs w:val="21"/>
        </w:rPr>
        <w:t>投标</w:t>
      </w:r>
      <w:r>
        <w:rPr>
          <w:rFonts w:hAnsi="宋体"/>
          <w:color w:val="auto"/>
        </w:rPr>
        <w:t>文件在唱价时都应当当众予以拆封</w:t>
      </w:r>
      <w:r>
        <w:rPr>
          <w:rFonts w:hint="eastAsia" w:hAnsi="宋体"/>
          <w:color w:val="auto"/>
        </w:rPr>
        <w:t>、</w:t>
      </w:r>
      <w:r>
        <w:rPr>
          <w:rFonts w:hAnsi="宋体"/>
          <w:color w:val="auto"/>
        </w:rPr>
        <w:t>宣读</w:t>
      </w:r>
      <w:r>
        <w:rPr>
          <w:rFonts w:hint="eastAsia" w:hAnsi="宋体"/>
          <w:color w:val="auto"/>
        </w:rPr>
        <w:t>，</w:t>
      </w:r>
      <w:r>
        <w:rPr>
          <w:rFonts w:hAnsi="宋体"/>
          <w:color w:val="auto"/>
        </w:rPr>
        <w:t>但</w:t>
      </w:r>
      <w:r>
        <w:rPr>
          <w:rFonts w:hint="eastAsia" w:hAnsi="宋体"/>
          <w:color w:val="auto"/>
        </w:rPr>
        <w:t>按照招标文件规定递交合格的书面撤回通知的</w:t>
      </w:r>
      <w:r>
        <w:rPr>
          <w:rFonts w:hint="eastAsia" w:hAnsi="宋体" w:cs="宋体"/>
          <w:color w:val="auto"/>
          <w:szCs w:val="21"/>
        </w:rPr>
        <w:t>投标</w:t>
      </w:r>
      <w:r>
        <w:rPr>
          <w:rFonts w:hint="eastAsia" w:hAnsi="宋体"/>
          <w:color w:val="auto"/>
        </w:rPr>
        <w:t>文件不予开封。</w:t>
      </w:r>
    </w:p>
    <w:p>
      <w:pPr>
        <w:pStyle w:val="21"/>
        <w:tabs>
          <w:tab w:val="left" w:pos="630"/>
        </w:tabs>
        <w:snapToGrid w:val="0"/>
        <w:spacing w:line="440" w:lineRule="exact"/>
        <w:ind w:firstLine="424" w:firstLineChars="202"/>
        <w:rPr>
          <w:rFonts w:hAnsi="宋体"/>
          <w:color w:val="auto"/>
        </w:rPr>
      </w:pPr>
      <w:r>
        <w:rPr>
          <w:rFonts w:hAnsi="宋体"/>
          <w:color w:val="auto"/>
        </w:rPr>
        <w:t>5.2.3</w:t>
      </w:r>
      <w:r>
        <w:rPr>
          <w:rFonts w:hint="eastAsia" w:hAnsi="宋体"/>
          <w:color w:val="auto"/>
        </w:rPr>
        <w:t>唱价时，招标人应当当众宣布参加本项目招标的投标人个数及</w:t>
      </w:r>
      <w:r>
        <w:rPr>
          <w:rFonts w:hint="eastAsia" w:hAnsi="宋体" w:cs="宋体"/>
          <w:color w:val="auto"/>
          <w:szCs w:val="21"/>
        </w:rPr>
        <w:t>投标</w:t>
      </w:r>
      <w:r>
        <w:rPr>
          <w:rFonts w:hint="eastAsia" w:hAnsi="宋体"/>
          <w:color w:val="auto"/>
        </w:rPr>
        <w:t>文件的密封情况，并宣读有效的“报价一览表”中的内容，“报价一览表”一般包括：投标人名称、</w:t>
      </w:r>
      <w:r>
        <w:rPr>
          <w:rFonts w:hint="eastAsia" w:hAnsi="宋体" w:cs="宋体"/>
          <w:color w:val="auto"/>
          <w:szCs w:val="21"/>
        </w:rPr>
        <w:t>投标</w:t>
      </w:r>
      <w:r>
        <w:rPr>
          <w:rFonts w:hint="eastAsia" w:hAnsi="宋体"/>
          <w:color w:val="auto"/>
        </w:rPr>
        <w:t>总报价、交货期、</w:t>
      </w:r>
      <w:r>
        <w:rPr>
          <w:rFonts w:hint="eastAsia" w:hAnsi="宋体" w:cs="宋体"/>
          <w:color w:val="auto"/>
          <w:szCs w:val="21"/>
        </w:rPr>
        <w:t>投标</w:t>
      </w:r>
      <w:r>
        <w:rPr>
          <w:rFonts w:hint="eastAsia" w:hAnsi="宋体"/>
          <w:color w:val="auto"/>
        </w:rPr>
        <w:t>保证金以及招标文件中规定的其他内容。</w:t>
      </w:r>
    </w:p>
    <w:p>
      <w:pPr>
        <w:rPr>
          <w:b/>
          <w:bCs/>
          <w:color w:val="auto"/>
          <w:sz w:val="24"/>
          <w:szCs w:val="32"/>
        </w:rPr>
      </w:pPr>
      <w:bookmarkStart w:id="255" w:name="_Toc450489307"/>
      <w:bookmarkStart w:id="256" w:name="_Toc447188697"/>
      <w:bookmarkStart w:id="257" w:name="_Toc447265248"/>
      <w:bookmarkStart w:id="258" w:name="_Toc447265534"/>
      <w:bookmarkStart w:id="259" w:name="_Toc46496156"/>
      <w:r>
        <w:rPr>
          <w:b/>
          <w:bCs/>
          <w:color w:val="auto"/>
          <w:sz w:val="24"/>
          <w:szCs w:val="32"/>
        </w:rPr>
        <w:t>5.3</w:t>
      </w:r>
      <w:r>
        <w:rPr>
          <w:rFonts w:hint="eastAsia"/>
          <w:b/>
          <w:bCs/>
          <w:color w:val="auto"/>
          <w:sz w:val="24"/>
          <w:szCs w:val="32"/>
        </w:rPr>
        <w:t>异议</w:t>
      </w:r>
      <w:bookmarkEnd w:id="255"/>
      <w:bookmarkEnd w:id="256"/>
      <w:bookmarkEnd w:id="257"/>
      <w:bookmarkEnd w:id="258"/>
      <w:bookmarkEnd w:id="259"/>
    </w:p>
    <w:p>
      <w:pPr>
        <w:pStyle w:val="21"/>
        <w:tabs>
          <w:tab w:val="left" w:pos="630"/>
        </w:tabs>
        <w:snapToGrid w:val="0"/>
        <w:spacing w:line="440" w:lineRule="exact"/>
        <w:ind w:firstLine="424" w:firstLineChars="202"/>
        <w:rPr>
          <w:rFonts w:hAnsi="宋体"/>
          <w:color w:val="auto"/>
        </w:rPr>
      </w:pPr>
      <w:r>
        <w:rPr>
          <w:rFonts w:hAnsi="宋体"/>
          <w:color w:val="auto"/>
        </w:rPr>
        <w:t>5.3.1投标人对唱价有异议的，应当在唱价现场提出，招标人应当当场做出答复，并制作记录。</w:t>
      </w:r>
    </w:p>
    <w:p>
      <w:pPr>
        <w:pStyle w:val="21"/>
        <w:tabs>
          <w:tab w:val="left" w:pos="630"/>
        </w:tabs>
        <w:snapToGrid w:val="0"/>
        <w:spacing w:line="440" w:lineRule="exact"/>
        <w:ind w:firstLine="424" w:firstLineChars="202"/>
        <w:rPr>
          <w:rFonts w:hAnsi="宋体"/>
          <w:color w:val="auto"/>
        </w:rPr>
      </w:pPr>
      <w:r>
        <w:rPr>
          <w:rFonts w:hAnsi="宋体"/>
          <w:color w:val="auto"/>
        </w:rPr>
        <w:t>5.3.2</w:t>
      </w:r>
      <w:r>
        <w:rPr>
          <w:rFonts w:hint="eastAsia" w:hAnsi="宋体"/>
          <w:color w:val="auto"/>
        </w:rPr>
        <w:t>投标人认为存在低于成本价投标情形的，可以在唱价现场提出异议，并在评审完成前向招标人递交书面材料，招标人应当及时将书面材料转交评标委员会。</w:t>
      </w:r>
      <w:bookmarkEnd w:id="241"/>
      <w:bookmarkEnd w:id="242"/>
      <w:bookmarkEnd w:id="243"/>
      <w:bookmarkEnd w:id="244"/>
      <w:bookmarkEnd w:id="245"/>
      <w:bookmarkEnd w:id="246"/>
      <w:bookmarkEnd w:id="247"/>
      <w:bookmarkEnd w:id="248"/>
      <w:bookmarkEnd w:id="249"/>
      <w:bookmarkEnd w:id="250"/>
      <w:bookmarkEnd w:id="251"/>
    </w:p>
    <w:p>
      <w:pPr>
        <w:numPr>
          <w:ilvl w:val="0"/>
          <w:numId w:val="5"/>
        </w:numPr>
        <w:rPr>
          <w:b/>
          <w:bCs/>
          <w:color w:val="auto"/>
          <w:sz w:val="24"/>
          <w:szCs w:val="32"/>
        </w:rPr>
      </w:pPr>
      <w:bookmarkStart w:id="260" w:name="_Toc477190306"/>
      <w:bookmarkEnd w:id="260"/>
      <w:bookmarkStart w:id="261" w:name="_Toc477190305"/>
      <w:bookmarkEnd w:id="261"/>
      <w:r>
        <w:rPr>
          <w:rFonts w:hint="eastAsia"/>
          <w:b/>
          <w:bCs/>
          <w:color w:val="auto"/>
          <w:sz w:val="24"/>
          <w:szCs w:val="32"/>
        </w:rPr>
        <w:t>评审</w:t>
      </w:r>
    </w:p>
    <w:p>
      <w:pPr>
        <w:rPr>
          <w:b/>
          <w:bCs/>
          <w:color w:val="auto"/>
          <w:sz w:val="24"/>
          <w:szCs w:val="32"/>
        </w:rPr>
      </w:pPr>
      <w:bookmarkStart w:id="262" w:name="_Toc447265537"/>
      <w:bookmarkStart w:id="263" w:name="_Toc447265251"/>
      <w:bookmarkStart w:id="264" w:name="_Toc447188700"/>
      <w:bookmarkStart w:id="265" w:name="_Toc46496158"/>
      <w:r>
        <w:rPr>
          <w:b/>
          <w:bCs/>
          <w:color w:val="auto"/>
          <w:sz w:val="24"/>
          <w:szCs w:val="32"/>
        </w:rPr>
        <w:t>6.1</w:t>
      </w:r>
      <w:bookmarkEnd w:id="252"/>
      <w:bookmarkEnd w:id="253"/>
      <w:bookmarkEnd w:id="254"/>
      <w:bookmarkEnd w:id="262"/>
      <w:bookmarkEnd w:id="263"/>
      <w:bookmarkEnd w:id="264"/>
      <w:r>
        <w:rPr>
          <w:rFonts w:hint="eastAsia"/>
          <w:b/>
          <w:bCs/>
          <w:color w:val="auto"/>
          <w:sz w:val="24"/>
          <w:szCs w:val="32"/>
        </w:rPr>
        <w:t>评标委员会</w:t>
      </w:r>
      <w:bookmarkEnd w:id="265"/>
    </w:p>
    <w:p>
      <w:pPr>
        <w:pStyle w:val="21"/>
        <w:tabs>
          <w:tab w:val="left" w:pos="630"/>
        </w:tabs>
        <w:snapToGrid w:val="0"/>
        <w:spacing w:line="440" w:lineRule="exact"/>
        <w:ind w:firstLine="424" w:firstLineChars="202"/>
        <w:rPr>
          <w:rFonts w:hAnsi="宋体"/>
          <w:color w:val="auto"/>
        </w:rPr>
      </w:pPr>
      <w:bookmarkStart w:id="266" w:name="_Toc447265541"/>
      <w:bookmarkStart w:id="267" w:name="_Toc447265255"/>
      <w:bookmarkStart w:id="268" w:name="_Toc447188703"/>
      <w:bookmarkStart w:id="269" w:name="_Toc107822516"/>
      <w:bookmarkStart w:id="270" w:name="_Toc227057915"/>
      <w:bookmarkStart w:id="271" w:name="_Toc488655860"/>
      <w:bookmarkStart w:id="272" w:name="_Toc226969309"/>
      <w:r>
        <w:rPr>
          <w:rFonts w:hAnsi="宋体"/>
          <w:color w:val="auto"/>
        </w:rPr>
        <w:t>6.1.1评审由评标委员会负责，具体人数见投标人须知前附表。评标委员会的专家应当从</w:t>
      </w:r>
      <w:r>
        <w:rPr>
          <w:rFonts w:hint="eastAsia" w:hAnsi="宋体"/>
          <w:color w:val="auto"/>
          <w:szCs w:val="21"/>
        </w:rPr>
        <w:t>专家从评标专家库内相关专业的专家名单中采取随机抽取方式确定</w:t>
      </w:r>
      <w:r>
        <w:rPr>
          <w:rFonts w:hint="eastAsia" w:hAnsi="宋体"/>
          <w:color w:val="auto"/>
        </w:rPr>
        <w:t>。</w:t>
      </w:r>
    </w:p>
    <w:p>
      <w:pPr>
        <w:pStyle w:val="21"/>
        <w:tabs>
          <w:tab w:val="left" w:pos="630"/>
        </w:tabs>
        <w:snapToGrid w:val="0"/>
        <w:spacing w:line="440" w:lineRule="exact"/>
        <w:ind w:firstLine="424" w:firstLineChars="202"/>
        <w:rPr>
          <w:rFonts w:hAnsi="宋体"/>
          <w:color w:val="auto"/>
        </w:rPr>
      </w:pPr>
      <w:r>
        <w:rPr>
          <w:rFonts w:hAnsi="宋体"/>
          <w:color w:val="auto"/>
        </w:rPr>
        <w:t>6.1.2评审期间，任何单位和个人不得非法干预或者影响评审的过程和结果。</w:t>
      </w:r>
    </w:p>
    <w:p>
      <w:pPr>
        <w:pStyle w:val="21"/>
        <w:tabs>
          <w:tab w:val="left" w:pos="630"/>
        </w:tabs>
        <w:snapToGrid w:val="0"/>
        <w:spacing w:line="440" w:lineRule="exact"/>
        <w:ind w:firstLine="424" w:firstLineChars="202"/>
        <w:rPr>
          <w:rFonts w:hAnsi="宋体"/>
          <w:color w:val="auto"/>
        </w:rPr>
      </w:pPr>
      <w:r>
        <w:rPr>
          <w:rFonts w:hAnsi="宋体"/>
          <w:color w:val="auto"/>
        </w:rPr>
        <w:t>6.1.3</w:t>
      </w:r>
      <w:r>
        <w:rPr>
          <w:rFonts w:hint="eastAsia" w:hAnsi="宋体"/>
          <w:color w:val="auto"/>
        </w:rPr>
        <w:t>评标委员会成员名单在中标结果确定前保密。</w:t>
      </w:r>
    </w:p>
    <w:p>
      <w:pPr>
        <w:rPr>
          <w:b/>
          <w:bCs/>
          <w:color w:val="auto"/>
          <w:sz w:val="24"/>
          <w:szCs w:val="32"/>
        </w:rPr>
      </w:pPr>
      <w:bookmarkStart w:id="273" w:name="_Toc46496159"/>
      <w:bookmarkStart w:id="274" w:name="_Toc447265538"/>
      <w:bookmarkStart w:id="275" w:name="_Toc246996208"/>
      <w:bookmarkStart w:id="276" w:name="_Toc246996951"/>
      <w:bookmarkStart w:id="277" w:name="_Toc450489311"/>
      <w:bookmarkStart w:id="278" w:name="_Toc447265252"/>
      <w:bookmarkStart w:id="279" w:name="_Toc296602453"/>
      <w:bookmarkStart w:id="280" w:name="_Toc179632582"/>
      <w:bookmarkStart w:id="281" w:name="_Toc152045564"/>
      <w:bookmarkStart w:id="282" w:name="_Toc144974532"/>
      <w:bookmarkStart w:id="283" w:name="_Toc247085722"/>
      <w:bookmarkStart w:id="284" w:name="_Toc152042340"/>
      <w:r>
        <w:rPr>
          <w:b/>
          <w:bCs/>
          <w:color w:val="auto"/>
          <w:sz w:val="24"/>
          <w:szCs w:val="32"/>
        </w:rPr>
        <w:t>6.2</w:t>
      </w:r>
      <w:r>
        <w:rPr>
          <w:rFonts w:hint="eastAsia"/>
          <w:b/>
          <w:bCs/>
          <w:color w:val="auto"/>
          <w:sz w:val="24"/>
          <w:szCs w:val="32"/>
        </w:rPr>
        <w:t>评审原则</w:t>
      </w:r>
      <w:bookmarkEnd w:id="273"/>
      <w:bookmarkEnd w:id="274"/>
      <w:bookmarkEnd w:id="275"/>
      <w:bookmarkEnd w:id="276"/>
      <w:bookmarkEnd w:id="277"/>
      <w:bookmarkEnd w:id="278"/>
      <w:bookmarkEnd w:id="279"/>
      <w:bookmarkEnd w:id="280"/>
      <w:bookmarkEnd w:id="281"/>
      <w:bookmarkEnd w:id="282"/>
      <w:bookmarkEnd w:id="283"/>
      <w:bookmarkEnd w:id="284"/>
    </w:p>
    <w:p>
      <w:pPr>
        <w:pStyle w:val="21"/>
        <w:tabs>
          <w:tab w:val="left" w:pos="630"/>
        </w:tabs>
        <w:snapToGrid w:val="0"/>
        <w:spacing w:line="440" w:lineRule="exact"/>
        <w:ind w:firstLine="424" w:firstLineChars="202"/>
        <w:rPr>
          <w:rFonts w:hAnsi="宋体"/>
          <w:color w:val="auto"/>
        </w:rPr>
      </w:pPr>
      <w:r>
        <w:rPr>
          <w:rFonts w:hAnsi="宋体"/>
          <w:color w:val="auto"/>
        </w:rPr>
        <w:t>6.2.1评审活动遵循公平、公正、科学和择优的原则。</w:t>
      </w:r>
    </w:p>
    <w:p>
      <w:pPr>
        <w:pStyle w:val="21"/>
        <w:tabs>
          <w:tab w:val="left" w:pos="630"/>
        </w:tabs>
        <w:snapToGrid w:val="0"/>
        <w:spacing w:line="440" w:lineRule="exact"/>
        <w:ind w:firstLine="424" w:firstLineChars="202"/>
        <w:rPr>
          <w:rFonts w:hAnsi="宋体"/>
          <w:color w:val="auto"/>
        </w:rPr>
      </w:pPr>
      <w:r>
        <w:rPr>
          <w:rFonts w:hAnsi="宋体"/>
          <w:color w:val="auto"/>
        </w:rPr>
        <w:t>6.2.2</w:t>
      </w:r>
      <w:r>
        <w:rPr>
          <w:rFonts w:hint="eastAsia" w:hAnsi="宋体"/>
          <w:color w:val="auto"/>
        </w:rPr>
        <w:t>评标委员会按照第三章“评审办法”规定的方法、评审因素、标准和程序对投标文件进行评审。第三章“评审办法”没有规定的方法、评审因素和标准，不得作为评审依据。</w:t>
      </w:r>
    </w:p>
    <w:p>
      <w:pPr>
        <w:rPr>
          <w:b/>
          <w:bCs/>
          <w:color w:val="auto"/>
          <w:sz w:val="24"/>
          <w:szCs w:val="32"/>
        </w:rPr>
      </w:pPr>
      <w:bookmarkStart w:id="285" w:name="_Toc450489312"/>
      <w:bookmarkStart w:id="286" w:name="_Toc46496160"/>
      <w:bookmarkStart w:id="287" w:name="_Toc447265253"/>
      <w:bookmarkStart w:id="288" w:name="_Toc447188701"/>
      <w:bookmarkStart w:id="289" w:name="_Toc447265539"/>
      <w:r>
        <w:rPr>
          <w:b/>
          <w:bCs/>
          <w:color w:val="auto"/>
          <w:sz w:val="24"/>
          <w:szCs w:val="32"/>
        </w:rPr>
        <w:t>6.3</w:t>
      </w:r>
      <w:r>
        <w:rPr>
          <w:rFonts w:hint="eastAsia"/>
          <w:b/>
          <w:bCs/>
          <w:color w:val="auto"/>
          <w:sz w:val="24"/>
          <w:szCs w:val="32"/>
        </w:rPr>
        <w:t>评审方法</w:t>
      </w:r>
      <w:bookmarkEnd w:id="285"/>
      <w:bookmarkEnd w:id="286"/>
      <w:bookmarkEnd w:id="287"/>
      <w:bookmarkEnd w:id="288"/>
      <w:bookmarkEnd w:id="289"/>
    </w:p>
    <w:p>
      <w:pPr>
        <w:adjustRightInd w:val="0"/>
        <w:snapToGrid w:val="0"/>
        <w:spacing w:line="440" w:lineRule="exact"/>
        <w:ind w:firstLine="424" w:firstLineChars="202"/>
        <w:rPr>
          <w:rFonts w:ascii="宋体" w:hAnsi="宋体" w:cs="宋体"/>
          <w:color w:val="auto"/>
          <w:szCs w:val="21"/>
        </w:rPr>
      </w:pPr>
      <w:r>
        <w:rPr>
          <w:rFonts w:ascii="宋体" w:hAnsi="宋体" w:cs="宋体"/>
          <w:color w:val="auto"/>
          <w:szCs w:val="21"/>
        </w:rPr>
        <w:t>6.3.1招标文件中详细载明下述评审方法之一作为本项目评审所采用的评审方法。评审方法见投标人须知前附表。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6.3.2采用经评审的最低价法的，能够满足招标文件的实质性要求，并且经评审的最低价的投标，应当推荐为中标候选人，但是价格低于成本的除外。</w:t>
      </w:r>
    </w:p>
    <w:p>
      <w:pPr>
        <w:pStyle w:val="21"/>
        <w:tabs>
          <w:tab w:val="left" w:pos="630"/>
        </w:tabs>
        <w:snapToGrid w:val="0"/>
        <w:spacing w:line="440" w:lineRule="exact"/>
        <w:ind w:firstLine="424" w:firstLineChars="202"/>
        <w:rPr>
          <w:rFonts w:hAnsi="宋体"/>
          <w:color w:val="auto"/>
        </w:rPr>
      </w:pPr>
      <w:r>
        <w:rPr>
          <w:rFonts w:hint="eastAsia" w:hAnsi="宋体"/>
          <w:color w:val="auto"/>
        </w:rPr>
        <w:t>采用综合评估法的，最大限度地满足招标文件中规定的各项综合评价标准的投标，应当推荐为中标候选人，量化的标准和权重应当在招标文件中明确规定。</w:t>
      </w:r>
    </w:p>
    <w:p>
      <w:pPr>
        <w:pStyle w:val="21"/>
        <w:tabs>
          <w:tab w:val="left" w:pos="630"/>
        </w:tabs>
        <w:snapToGrid w:val="0"/>
        <w:spacing w:line="440" w:lineRule="exact"/>
        <w:ind w:firstLine="424" w:firstLineChars="202"/>
        <w:rPr>
          <w:rFonts w:hAnsi="宋体"/>
          <w:color w:val="auto"/>
        </w:rPr>
      </w:pPr>
      <w:r>
        <w:rPr>
          <w:rFonts w:hint="eastAsia" w:hAnsi="宋体"/>
          <w:color w:val="auto"/>
        </w:rPr>
        <w:t>采用多阶段</w:t>
      </w:r>
      <w:r>
        <w:rPr>
          <w:rFonts w:hAnsi="宋体"/>
          <w:color w:val="auto"/>
        </w:rPr>
        <w:t>评审</w:t>
      </w:r>
      <w:r>
        <w:rPr>
          <w:rFonts w:hint="eastAsia" w:hAnsi="宋体"/>
          <w:color w:val="auto"/>
        </w:rPr>
        <w:t>法的</w:t>
      </w:r>
      <w:r>
        <w:rPr>
          <w:rFonts w:hAnsi="宋体"/>
          <w:color w:val="auto"/>
        </w:rPr>
        <w:t>，</w:t>
      </w:r>
      <w:r>
        <w:rPr>
          <w:rFonts w:hint="eastAsia"/>
          <w:color w:val="auto"/>
        </w:rPr>
        <w:t>按照招标文件规定的量化因素和权重比值，通过商务技术评审后，价格得分最高的推荐为中标候选人，商务技术</w:t>
      </w:r>
      <w:r>
        <w:rPr>
          <w:rFonts w:hint="eastAsia" w:hAnsi="宋体"/>
          <w:color w:val="auto"/>
        </w:rPr>
        <w:t>量化的标准和权重以及</w:t>
      </w:r>
      <w:r>
        <w:rPr>
          <w:rFonts w:hAnsi="宋体"/>
          <w:color w:val="auto"/>
        </w:rPr>
        <w:t>价格得分方法</w:t>
      </w:r>
      <w:r>
        <w:rPr>
          <w:rFonts w:hint="eastAsia" w:hAnsi="宋体"/>
          <w:color w:val="auto"/>
        </w:rPr>
        <w:t>应当在招标文件中明确规定</w:t>
      </w:r>
      <w:r>
        <w:rPr>
          <w:rFonts w:hint="eastAsia"/>
          <w:color w:val="auto"/>
        </w:rPr>
        <w:t>。</w:t>
      </w:r>
    </w:p>
    <w:p>
      <w:pPr>
        <w:pStyle w:val="21"/>
        <w:tabs>
          <w:tab w:val="left" w:pos="588"/>
          <w:tab w:val="left" w:pos="630"/>
        </w:tabs>
        <w:snapToGrid w:val="0"/>
        <w:spacing w:before="120" w:after="120" w:line="440" w:lineRule="exact"/>
        <w:ind w:firstLine="424" w:firstLineChars="202"/>
        <w:jc w:val="left"/>
        <w:rPr>
          <w:rFonts w:hAnsi="宋体"/>
          <w:color w:val="auto"/>
          <w:sz w:val="24"/>
          <w:szCs w:val="24"/>
        </w:rPr>
      </w:pPr>
      <w:r>
        <w:rPr>
          <w:rFonts w:hAnsi="宋体"/>
          <w:color w:val="auto"/>
        </w:rPr>
        <w:t>6.3.3法律</w:t>
      </w:r>
      <w:r>
        <w:rPr>
          <w:rFonts w:hint="eastAsia" w:hAnsi="宋体"/>
          <w:color w:val="auto"/>
        </w:rPr>
        <w:t>、</w:t>
      </w:r>
      <w:r>
        <w:rPr>
          <w:rFonts w:hAnsi="宋体"/>
          <w:color w:val="auto"/>
        </w:rPr>
        <w:t>法规允许的其他评</w:t>
      </w:r>
      <w:r>
        <w:rPr>
          <w:rFonts w:hint="eastAsia" w:hAnsi="宋体"/>
          <w:color w:val="auto"/>
        </w:rPr>
        <w:t>审</w:t>
      </w:r>
      <w:r>
        <w:rPr>
          <w:rFonts w:hAnsi="宋体"/>
          <w:color w:val="auto"/>
        </w:rPr>
        <w:t>方法</w:t>
      </w:r>
      <w:r>
        <w:rPr>
          <w:rFonts w:hint="eastAsia" w:hAnsi="宋体"/>
          <w:color w:val="auto"/>
        </w:rPr>
        <w:t>。</w:t>
      </w:r>
      <w:bookmarkStart w:id="290" w:name="_Toc447265540"/>
      <w:bookmarkStart w:id="291" w:name="_Toc447188702"/>
      <w:bookmarkStart w:id="292" w:name="_Toc447265254"/>
      <w:bookmarkStart w:id="293" w:name="_Toc246996210"/>
      <w:bookmarkStart w:id="294" w:name="_Toc296602455"/>
      <w:bookmarkStart w:id="295" w:name="_Toc152045566"/>
      <w:bookmarkStart w:id="296" w:name="_Toc247085724"/>
      <w:bookmarkStart w:id="297" w:name="_Toc179632584"/>
      <w:bookmarkStart w:id="298" w:name="_Toc144974534"/>
      <w:bookmarkStart w:id="299" w:name="_Toc246996953"/>
      <w:bookmarkStart w:id="300" w:name="_Toc152042342"/>
    </w:p>
    <w:p>
      <w:pPr>
        <w:rPr>
          <w:b/>
          <w:bCs/>
          <w:color w:val="auto"/>
          <w:sz w:val="24"/>
          <w:szCs w:val="32"/>
        </w:rPr>
      </w:pPr>
      <w:bookmarkStart w:id="301" w:name="_Toc46496161"/>
      <w:bookmarkStart w:id="302" w:name="_Toc450489313"/>
      <w:r>
        <w:rPr>
          <w:b/>
          <w:bCs/>
          <w:color w:val="auto"/>
          <w:sz w:val="24"/>
          <w:szCs w:val="32"/>
        </w:rPr>
        <w:t>6.4</w:t>
      </w:r>
      <w:r>
        <w:rPr>
          <w:rFonts w:hint="eastAsia"/>
          <w:b/>
          <w:bCs/>
          <w:color w:val="auto"/>
          <w:sz w:val="24"/>
          <w:szCs w:val="32"/>
        </w:rPr>
        <w:t>中标候选人推荐原则</w:t>
      </w:r>
      <w:bookmarkEnd w:id="301"/>
      <w:bookmarkEnd w:id="302"/>
    </w:p>
    <w:p>
      <w:pPr>
        <w:ind w:firstLine="420" w:firstLineChars="200"/>
        <w:rPr>
          <w:color w:val="auto"/>
        </w:rPr>
      </w:pPr>
      <w:r>
        <w:rPr>
          <w:rFonts w:hint="eastAsia"/>
          <w:color w:val="auto"/>
        </w:rPr>
        <w:t>评标委员会应当根据招标文件载明的规则推荐中标候选人，具体推荐原则见投标人须知前附表。</w:t>
      </w:r>
    </w:p>
    <w:p>
      <w:pPr>
        <w:rPr>
          <w:b/>
          <w:bCs/>
          <w:color w:val="auto"/>
          <w:sz w:val="24"/>
          <w:szCs w:val="32"/>
        </w:rPr>
      </w:pPr>
      <w:bookmarkStart w:id="303" w:name="_Toc46496162"/>
      <w:bookmarkStart w:id="304" w:name="_Toc450489314"/>
      <w:r>
        <w:rPr>
          <w:b/>
          <w:bCs/>
          <w:color w:val="auto"/>
          <w:sz w:val="24"/>
          <w:szCs w:val="32"/>
        </w:rPr>
        <w:t>6.5</w:t>
      </w:r>
      <w:r>
        <w:rPr>
          <w:rFonts w:hint="eastAsia"/>
          <w:b/>
          <w:bCs/>
          <w:color w:val="auto"/>
          <w:sz w:val="24"/>
          <w:szCs w:val="32"/>
        </w:rPr>
        <w:t>评审报告</w:t>
      </w:r>
      <w:bookmarkEnd w:id="290"/>
      <w:bookmarkEnd w:id="291"/>
      <w:bookmarkEnd w:id="292"/>
      <w:bookmarkEnd w:id="303"/>
      <w:bookmarkEnd w:id="304"/>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评审完成后，评标委员会应当根据有关规定及时向招标人提交评审报告和中标候选人名单。</w:t>
      </w:r>
      <w:bookmarkEnd w:id="266"/>
      <w:bookmarkEnd w:id="267"/>
      <w:bookmarkEnd w:id="268"/>
      <w:bookmarkEnd w:id="293"/>
      <w:bookmarkEnd w:id="294"/>
      <w:bookmarkEnd w:id="295"/>
      <w:bookmarkEnd w:id="296"/>
      <w:bookmarkEnd w:id="297"/>
      <w:bookmarkEnd w:id="298"/>
      <w:bookmarkEnd w:id="299"/>
      <w:bookmarkEnd w:id="300"/>
    </w:p>
    <w:p>
      <w:pPr>
        <w:numPr>
          <w:ilvl w:val="0"/>
          <w:numId w:val="5"/>
        </w:numPr>
        <w:rPr>
          <w:b/>
          <w:bCs/>
          <w:color w:val="auto"/>
          <w:sz w:val="24"/>
          <w:szCs w:val="32"/>
        </w:rPr>
      </w:pPr>
      <w:r>
        <w:rPr>
          <w:rFonts w:hint="eastAsia"/>
          <w:b/>
          <w:bCs/>
          <w:color w:val="auto"/>
          <w:sz w:val="24"/>
          <w:szCs w:val="32"/>
        </w:rPr>
        <w:t>中标</w:t>
      </w:r>
    </w:p>
    <w:p>
      <w:pPr>
        <w:rPr>
          <w:b/>
          <w:bCs/>
          <w:color w:val="auto"/>
          <w:sz w:val="24"/>
          <w:szCs w:val="32"/>
        </w:rPr>
      </w:pPr>
      <w:bookmarkStart w:id="305" w:name="_Toc447265542"/>
      <w:bookmarkStart w:id="306" w:name="_Toc447265256"/>
      <w:bookmarkStart w:id="307" w:name="_Toc447188704"/>
      <w:bookmarkStart w:id="308" w:name="_Toc46496164"/>
      <w:r>
        <w:rPr>
          <w:b/>
          <w:bCs/>
          <w:color w:val="auto"/>
          <w:sz w:val="24"/>
          <w:szCs w:val="32"/>
        </w:rPr>
        <w:t>7.1</w:t>
      </w:r>
      <w:bookmarkEnd w:id="305"/>
      <w:bookmarkEnd w:id="306"/>
      <w:bookmarkEnd w:id="307"/>
      <w:r>
        <w:rPr>
          <w:rFonts w:hint="eastAsia"/>
          <w:b/>
          <w:bCs/>
          <w:color w:val="auto"/>
          <w:sz w:val="24"/>
          <w:szCs w:val="32"/>
        </w:rPr>
        <w:t>确定中标人</w:t>
      </w:r>
      <w:bookmarkEnd w:id="269"/>
      <w:bookmarkEnd w:id="270"/>
      <w:bookmarkEnd w:id="271"/>
      <w:bookmarkEnd w:id="272"/>
      <w:bookmarkEnd w:id="308"/>
    </w:p>
    <w:p>
      <w:pPr>
        <w:pStyle w:val="21"/>
        <w:tabs>
          <w:tab w:val="left" w:pos="630"/>
        </w:tabs>
        <w:snapToGrid w:val="0"/>
        <w:spacing w:line="440" w:lineRule="exact"/>
        <w:ind w:firstLine="424" w:firstLineChars="202"/>
        <w:rPr>
          <w:rFonts w:hAnsi="宋体"/>
          <w:color w:val="auto"/>
        </w:rPr>
      </w:pPr>
      <w:bookmarkStart w:id="309" w:name="_Toc447265259"/>
      <w:bookmarkStart w:id="310" w:name="_Toc447265545"/>
      <w:bookmarkStart w:id="311" w:name="_Toc246996213"/>
      <w:bookmarkStart w:id="312" w:name="_Toc179632587"/>
      <w:bookmarkStart w:id="313" w:name="_Toc152042345"/>
      <w:bookmarkStart w:id="314" w:name="_Toc144974537"/>
      <w:bookmarkStart w:id="315" w:name="_Toc152045569"/>
      <w:bookmarkStart w:id="316" w:name="_Toc296602459"/>
      <w:bookmarkStart w:id="317" w:name="_Toc247085727"/>
      <w:bookmarkStart w:id="318" w:name="_Toc246996956"/>
      <w:bookmarkStart w:id="319" w:name="_Toc227057916"/>
      <w:bookmarkStart w:id="320" w:name="_Toc107822517"/>
      <w:bookmarkStart w:id="321" w:name="_Toc226969310"/>
      <w:r>
        <w:rPr>
          <w:rFonts w:hAnsi="宋体"/>
          <w:color w:val="auto"/>
        </w:rPr>
        <w:t>7.1.1</w:t>
      </w:r>
      <w:r>
        <w:rPr>
          <w:rFonts w:hint="eastAsia" w:hAnsi="宋体"/>
          <w:color w:val="auto"/>
        </w:rPr>
        <w:t>招标人依据评标委员会推荐的中标候选人确定中标人，中标人数量见投标人须知前附表。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7.1.2</w:t>
      </w:r>
      <w:r>
        <w:rPr>
          <w:rFonts w:hint="eastAsia" w:hAnsi="宋体"/>
          <w:color w:val="auto"/>
        </w:rPr>
        <w:t>招标人根据评标委员会推荐的中标候选人名单排序依次确定中标人，具体中标原则见投标人须知前附表。</w:t>
      </w:r>
    </w:p>
    <w:p>
      <w:pPr>
        <w:pStyle w:val="21"/>
        <w:tabs>
          <w:tab w:val="left" w:pos="630"/>
        </w:tabs>
        <w:snapToGrid w:val="0"/>
        <w:spacing w:line="440" w:lineRule="exact"/>
        <w:ind w:firstLine="424" w:firstLineChars="202"/>
        <w:rPr>
          <w:rFonts w:hAnsi="宋体"/>
          <w:color w:val="auto"/>
        </w:rPr>
      </w:pPr>
      <w:r>
        <w:rPr>
          <w:rFonts w:hAnsi="宋体"/>
          <w:color w:val="auto"/>
        </w:rPr>
        <w:t>7.1.3在签订合同之前</w:t>
      </w:r>
      <w:r>
        <w:rPr>
          <w:rFonts w:hint="eastAsia" w:hAnsi="宋体"/>
          <w:color w:val="auto"/>
        </w:rPr>
        <w:t>，中标人放弃中标或者不能履行合同的，招标人可以按照评标委员会提出的中标候选人名单排序依次确定其他中标候选人为中标人，也可以重新招标。</w:t>
      </w:r>
    </w:p>
    <w:p>
      <w:pPr>
        <w:rPr>
          <w:b/>
          <w:bCs/>
          <w:color w:val="auto"/>
          <w:sz w:val="24"/>
          <w:szCs w:val="32"/>
        </w:rPr>
      </w:pPr>
      <w:bookmarkStart w:id="322" w:name="_Toc447265543"/>
      <w:bookmarkStart w:id="323" w:name="_Toc450489317"/>
      <w:bookmarkStart w:id="324" w:name="_Toc447188705"/>
      <w:bookmarkStart w:id="325" w:name="_Toc447265257"/>
      <w:bookmarkStart w:id="326" w:name="_Toc46496165"/>
      <w:r>
        <w:rPr>
          <w:b/>
          <w:bCs/>
          <w:color w:val="auto"/>
          <w:sz w:val="24"/>
          <w:szCs w:val="32"/>
        </w:rPr>
        <w:t>7.2</w:t>
      </w:r>
      <w:r>
        <w:rPr>
          <w:rFonts w:hint="eastAsia"/>
          <w:b/>
          <w:bCs/>
          <w:color w:val="auto"/>
          <w:sz w:val="24"/>
          <w:szCs w:val="32"/>
        </w:rPr>
        <w:t>中标人公示</w:t>
      </w:r>
      <w:bookmarkEnd w:id="322"/>
      <w:bookmarkEnd w:id="323"/>
      <w:bookmarkEnd w:id="324"/>
      <w:bookmarkEnd w:id="325"/>
      <w:bookmarkEnd w:id="326"/>
    </w:p>
    <w:p>
      <w:pPr>
        <w:pStyle w:val="21"/>
        <w:tabs>
          <w:tab w:val="left" w:pos="630"/>
        </w:tabs>
        <w:snapToGrid w:val="0"/>
        <w:spacing w:line="440" w:lineRule="exact"/>
        <w:ind w:firstLine="424" w:firstLineChars="202"/>
        <w:rPr>
          <w:rFonts w:hAnsi="宋体"/>
          <w:color w:val="auto"/>
        </w:rPr>
      </w:pPr>
      <w:r>
        <w:rPr>
          <w:rFonts w:hAnsi="宋体"/>
          <w:color w:val="auto"/>
        </w:rPr>
        <w:t>7.2.1</w:t>
      </w:r>
      <w:r>
        <w:rPr>
          <w:rFonts w:hint="eastAsia" w:hAnsi="宋体"/>
          <w:color w:val="auto"/>
        </w:rPr>
        <w:t>采用公开招标方式的，中标结果审批通过后，招标人应</w:t>
      </w:r>
      <w:r>
        <w:rPr>
          <w:rFonts w:hAnsi="宋体"/>
          <w:color w:val="auto"/>
        </w:rPr>
        <w:t>在“资格预审公告”或者“</w:t>
      </w:r>
      <w:r>
        <w:rPr>
          <w:rFonts w:hint="eastAsia" w:hAnsi="宋体"/>
          <w:color w:val="auto"/>
        </w:rPr>
        <w:t>招标</w:t>
      </w:r>
      <w:r>
        <w:rPr>
          <w:rFonts w:hAnsi="宋体"/>
          <w:color w:val="auto"/>
        </w:rPr>
        <w:t>公告”发布媒介公示全部</w:t>
      </w:r>
      <w:r>
        <w:rPr>
          <w:rFonts w:hint="eastAsia" w:hAnsi="宋体"/>
          <w:color w:val="auto"/>
        </w:rPr>
        <w:t>中标人，公示期不少于</w:t>
      </w:r>
      <w:r>
        <w:rPr>
          <w:rFonts w:hAnsi="宋体"/>
          <w:color w:val="auto"/>
        </w:rPr>
        <w:t>3日。</w:t>
      </w:r>
    </w:p>
    <w:p>
      <w:pPr>
        <w:pStyle w:val="21"/>
        <w:tabs>
          <w:tab w:val="left" w:pos="630"/>
        </w:tabs>
        <w:snapToGrid w:val="0"/>
        <w:spacing w:line="440" w:lineRule="exact"/>
        <w:ind w:firstLine="424" w:firstLineChars="202"/>
        <w:rPr>
          <w:rFonts w:hAnsi="宋体"/>
          <w:color w:val="auto"/>
        </w:rPr>
      </w:pPr>
      <w:r>
        <w:rPr>
          <w:rFonts w:hAnsi="宋体"/>
          <w:color w:val="auto"/>
        </w:rPr>
        <w:t>7.2.2</w:t>
      </w:r>
      <w:r>
        <w:rPr>
          <w:rFonts w:hint="eastAsia" w:hAnsi="宋体"/>
          <w:color w:val="auto"/>
        </w:rPr>
        <w:t>投标人或者其他利害关系人对招标项目的评选结果有异议的，应当在中标人公示期间提出。</w:t>
      </w:r>
    </w:p>
    <w:p>
      <w:pPr>
        <w:rPr>
          <w:b/>
          <w:bCs/>
          <w:color w:val="auto"/>
          <w:sz w:val="24"/>
          <w:szCs w:val="32"/>
        </w:rPr>
      </w:pPr>
      <w:bookmarkStart w:id="327" w:name="_Toc152042344"/>
      <w:bookmarkStart w:id="328" w:name="_Toc246996212"/>
      <w:bookmarkStart w:id="329" w:name="_Toc447265544"/>
      <w:bookmarkStart w:id="330" w:name="_Toc247085726"/>
      <w:bookmarkStart w:id="331" w:name="_Toc144974536"/>
      <w:bookmarkStart w:id="332" w:name="_Toc447265258"/>
      <w:bookmarkStart w:id="333" w:name="_Toc450489318"/>
      <w:bookmarkStart w:id="334" w:name="_Toc152045568"/>
      <w:bookmarkStart w:id="335" w:name="_Toc179632586"/>
      <w:bookmarkStart w:id="336" w:name="_Toc296602458"/>
      <w:bookmarkStart w:id="337" w:name="_Toc246996955"/>
      <w:bookmarkStart w:id="338" w:name="_Toc46496166"/>
      <w:bookmarkStart w:id="339" w:name="OLE_LINK7"/>
      <w:bookmarkStart w:id="340" w:name="OLE_LINK6"/>
      <w:r>
        <w:rPr>
          <w:b/>
          <w:bCs/>
          <w:color w:val="auto"/>
          <w:sz w:val="24"/>
          <w:szCs w:val="32"/>
        </w:rPr>
        <w:t>7.3</w:t>
      </w:r>
      <w:r>
        <w:rPr>
          <w:rFonts w:hint="eastAsia"/>
          <w:b/>
          <w:bCs/>
          <w:color w:val="auto"/>
          <w:sz w:val="24"/>
          <w:szCs w:val="32"/>
        </w:rPr>
        <w:t>中标通知</w:t>
      </w:r>
      <w:bookmarkEnd w:id="327"/>
      <w:bookmarkEnd w:id="328"/>
      <w:bookmarkEnd w:id="329"/>
      <w:bookmarkEnd w:id="330"/>
      <w:bookmarkEnd w:id="331"/>
      <w:bookmarkEnd w:id="332"/>
      <w:bookmarkEnd w:id="333"/>
      <w:bookmarkEnd w:id="334"/>
      <w:bookmarkEnd w:id="335"/>
      <w:bookmarkEnd w:id="336"/>
      <w:bookmarkEnd w:id="337"/>
      <w:bookmarkEnd w:id="338"/>
    </w:p>
    <w:p>
      <w:pPr>
        <w:pStyle w:val="21"/>
        <w:tabs>
          <w:tab w:val="left" w:pos="630"/>
        </w:tabs>
        <w:snapToGrid w:val="0"/>
        <w:spacing w:line="440" w:lineRule="exact"/>
        <w:ind w:firstLine="424" w:firstLineChars="202"/>
        <w:rPr>
          <w:rFonts w:hAnsi="宋体"/>
          <w:color w:val="auto"/>
        </w:rPr>
      </w:pPr>
      <w:r>
        <w:rPr>
          <w:rFonts w:hAnsi="宋体"/>
          <w:color w:val="auto"/>
        </w:rPr>
        <w:t>7.3.1在中标通知书发出前，中标候选人的经营、财务状况发生较大变化或者存在违法行为，可能影响其履约能力的，投标人应当主动告知招标人。</w:t>
      </w:r>
      <w:bookmarkEnd w:id="339"/>
      <w:bookmarkEnd w:id="340"/>
    </w:p>
    <w:p>
      <w:pPr>
        <w:pStyle w:val="21"/>
        <w:tabs>
          <w:tab w:val="left" w:pos="630"/>
        </w:tabs>
        <w:snapToGrid w:val="0"/>
        <w:spacing w:line="440" w:lineRule="exact"/>
        <w:ind w:firstLine="424" w:firstLineChars="202"/>
        <w:rPr>
          <w:rFonts w:hAnsi="宋体"/>
          <w:color w:val="auto"/>
        </w:rPr>
      </w:pPr>
      <w:r>
        <w:rPr>
          <w:rFonts w:hAnsi="宋体"/>
          <w:color w:val="auto"/>
        </w:rPr>
        <w:t>7.3.2中标人确定后，招标人应当自行或者委托招标代理机构向中标人发出中标通知书，同时通知未中标人。</w:t>
      </w:r>
    </w:p>
    <w:p>
      <w:pPr>
        <w:pStyle w:val="21"/>
        <w:tabs>
          <w:tab w:val="left" w:pos="630"/>
        </w:tabs>
        <w:snapToGrid w:val="0"/>
        <w:spacing w:line="440" w:lineRule="exact"/>
        <w:ind w:firstLine="424" w:firstLineChars="202"/>
        <w:rPr>
          <w:rFonts w:hAnsi="宋体"/>
          <w:color w:val="auto"/>
        </w:rPr>
      </w:pPr>
      <w:r>
        <w:rPr>
          <w:rFonts w:hAnsi="宋体"/>
          <w:color w:val="auto"/>
        </w:rPr>
        <w:t>7.3.3</w:t>
      </w:r>
      <w:r>
        <w:rPr>
          <w:rFonts w:hint="eastAsia" w:hAnsi="宋体"/>
          <w:color w:val="auto"/>
        </w:rPr>
        <w:t>中标通知书是招标档案和合同的组成部分。</w:t>
      </w:r>
    </w:p>
    <w:p>
      <w:pPr>
        <w:pStyle w:val="21"/>
        <w:tabs>
          <w:tab w:val="left" w:pos="630"/>
        </w:tabs>
        <w:snapToGrid w:val="0"/>
        <w:spacing w:line="440" w:lineRule="exact"/>
        <w:ind w:firstLine="424" w:firstLineChars="202"/>
        <w:rPr>
          <w:rFonts w:hAnsi="宋体"/>
          <w:color w:val="auto"/>
        </w:rPr>
      </w:pPr>
      <w:r>
        <w:rPr>
          <w:rFonts w:hAnsi="宋体"/>
          <w:color w:val="auto"/>
        </w:rPr>
        <w:t>7.3.4</w:t>
      </w:r>
      <w:r>
        <w:rPr>
          <w:rFonts w:hint="eastAsia" w:hAnsi="宋体"/>
          <w:color w:val="auto"/>
        </w:rPr>
        <w:t>中标通知书对招标人和中标人具有法律约束力。中标通知书发出后，招标人改变中标结果或者中标人放弃中标的，应当承担法律责任。</w:t>
      </w:r>
    </w:p>
    <w:p>
      <w:pPr>
        <w:numPr>
          <w:ilvl w:val="0"/>
          <w:numId w:val="5"/>
        </w:numPr>
        <w:rPr>
          <w:b/>
          <w:bCs/>
          <w:color w:val="auto"/>
          <w:sz w:val="24"/>
          <w:szCs w:val="32"/>
        </w:rPr>
      </w:pPr>
      <w:r>
        <w:rPr>
          <w:rFonts w:hint="eastAsia"/>
          <w:b/>
          <w:bCs/>
          <w:color w:val="auto"/>
          <w:sz w:val="24"/>
          <w:szCs w:val="32"/>
        </w:rPr>
        <w:t>合同签订</w:t>
      </w:r>
      <w:bookmarkEnd w:id="309"/>
      <w:bookmarkEnd w:id="310"/>
    </w:p>
    <w:p>
      <w:pPr>
        <w:rPr>
          <w:b/>
          <w:bCs/>
          <w:color w:val="auto"/>
          <w:sz w:val="24"/>
          <w:szCs w:val="32"/>
        </w:rPr>
      </w:pPr>
      <w:bookmarkStart w:id="341" w:name="_Toc447265546"/>
      <w:bookmarkStart w:id="342" w:name="_Toc46496168"/>
      <w:bookmarkStart w:id="343" w:name="_Toc447265260"/>
      <w:r>
        <w:rPr>
          <w:b/>
          <w:bCs/>
          <w:color w:val="auto"/>
          <w:sz w:val="24"/>
          <w:szCs w:val="32"/>
        </w:rPr>
        <w:t>8.1</w:t>
      </w:r>
      <w:r>
        <w:rPr>
          <w:rFonts w:hint="eastAsia"/>
          <w:b/>
          <w:bCs/>
          <w:color w:val="auto"/>
          <w:sz w:val="24"/>
          <w:szCs w:val="32"/>
        </w:rPr>
        <w:t>履约</w:t>
      </w:r>
      <w:bookmarkEnd w:id="311"/>
      <w:bookmarkEnd w:id="312"/>
      <w:bookmarkEnd w:id="313"/>
      <w:bookmarkEnd w:id="314"/>
      <w:bookmarkEnd w:id="315"/>
      <w:bookmarkEnd w:id="316"/>
      <w:bookmarkEnd w:id="317"/>
      <w:bookmarkEnd w:id="318"/>
      <w:r>
        <w:rPr>
          <w:rFonts w:hint="eastAsia"/>
          <w:b/>
          <w:bCs/>
          <w:color w:val="auto"/>
          <w:sz w:val="24"/>
          <w:szCs w:val="32"/>
        </w:rPr>
        <w:t>保证金</w:t>
      </w:r>
      <w:bookmarkEnd w:id="319"/>
      <w:bookmarkEnd w:id="320"/>
      <w:bookmarkEnd w:id="321"/>
      <w:bookmarkEnd w:id="341"/>
      <w:bookmarkEnd w:id="342"/>
      <w:bookmarkEnd w:id="343"/>
    </w:p>
    <w:p>
      <w:pPr>
        <w:pStyle w:val="21"/>
        <w:tabs>
          <w:tab w:val="left" w:pos="630"/>
        </w:tabs>
        <w:snapToGrid w:val="0"/>
        <w:spacing w:line="440" w:lineRule="exact"/>
        <w:ind w:firstLine="424" w:firstLineChars="202"/>
        <w:rPr>
          <w:rFonts w:hAnsi="宋体"/>
          <w:color w:val="auto"/>
        </w:rPr>
      </w:pPr>
      <w:bookmarkStart w:id="344" w:name="_Toc488655867"/>
      <w:bookmarkStart w:id="345" w:name="_Toc107822519"/>
      <w:bookmarkStart w:id="346" w:name="_Toc226969312"/>
      <w:bookmarkStart w:id="347" w:name="_Toc447265263"/>
      <w:bookmarkStart w:id="348" w:name="_Toc447188707"/>
      <w:bookmarkStart w:id="349" w:name="_Toc447265549"/>
      <w:bookmarkStart w:id="350" w:name="_Toc227057918"/>
      <w:r>
        <w:rPr>
          <w:rFonts w:hAnsi="宋体"/>
          <w:color w:val="auto"/>
        </w:rPr>
        <w:t>8.1.1在签订合同前，中标人应当按照“投标人须知前附表”中规定的履约保证金的金额和形式向招标人递交履约保证金。</w:t>
      </w:r>
    </w:p>
    <w:p>
      <w:pPr>
        <w:pStyle w:val="21"/>
        <w:tabs>
          <w:tab w:val="left" w:pos="630"/>
        </w:tabs>
        <w:snapToGrid w:val="0"/>
        <w:spacing w:line="440" w:lineRule="exact"/>
        <w:ind w:firstLine="424" w:firstLineChars="202"/>
        <w:rPr>
          <w:rFonts w:hAnsi="宋体"/>
          <w:color w:val="auto"/>
        </w:rPr>
      </w:pPr>
      <w:r>
        <w:rPr>
          <w:rFonts w:hAnsi="宋体"/>
          <w:color w:val="auto"/>
        </w:rPr>
        <w:t>8.1.2</w:t>
      </w:r>
      <w:r>
        <w:rPr>
          <w:rFonts w:hint="eastAsia" w:hAnsi="宋体"/>
          <w:color w:val="auto"/>
        </w:rPr>
        <w:t>中标人不能按照招标文件要求递交履约担保的，视为放弃中标，其投标保证金不予退还，给招标人造成的损失超过投标保证金数额的，中标人还应当对超过部分予以赔偿。</w:t>
      </w:r>
    </w:p>
    <w:p>
      <w:pPr>
        <w:rPr>
          <w:b/>
          <w:bCs/>
          <w:color w:val="auto"/>
          <w:sz w:val="24"/>
          <w:szCs w:val="32"/>
        </w:rPr>
      </w:pPr>
      <w:bookmarkStart w:id="351" w:name="_Toc447265547"/>
      <w:bookmarkStart w:id="352" w:name="_Toc450489321"/>
      <w:bookmarkStart w:id="353" w:name="_Toc447265261"/>
      <w:bookmarkStart w:id="354" w:name="_Toc46496169"/>
      <w:r>
        <w:rPr>
          <w:b/>
          <w:bCs/>
          <w:color w:val="auto"/>
          <w:sz w:val="24"/>
          <w:szCs w:val="32"/>
        </w:rPr>
        <w:t>8.2</w:t>
      </w:r>
      <w:r>
        <w:rPr>
          <w:rFonts w:hint="eastAsia"/>
          <w:b/>
          <w:bCs/>
          <w:color w:val="auto"/>
          <w:sz w:val="24"/>
          <w:szCs w:val="32"/>
        </w:rPr>
        <w:t>合同签订</w:t>
      </w:r>
      <w:bookmarkEnd w:id="351"/>
      <w:bookmarkEnd w:id="352"/>
      <w:bookmarkEnd w:id="353"/>
      <w:bookmarkEnd w:id="354"/>
    </w:p>
    <w:p>
      <w:pPr>
        <w:pStyle w:val="21"/>
        <w:tabs>
          <w:tab w:val="left" w:pos="630"/>
        </w:tabs>
        <w:snapToGrid w:val="0"/>
        <w:spacing w:line="440" w:lineRule="exact"/>
        <w:ind w:firstLine="424" w:firstLineChars="202"/>
        <w:rPr>
          <w:rFonts w:hAnsi="宋体"/>
          <w:color w:val="auto"/>
        </w:rPr>
      </w:pPr>
      <w:r>
        <w:rPr>
          <w:rFonts w:hAnsi="宋体"/>
          <w:color w:val="auto"/>
        </w:rPr>
        <w:t>8.2.1</w:t>
      </w:r>
      <w:r>
        <w:rPr>
          <w:rFonts w:hint="eastAsia" w:hAnsi="宋体"/>
          <w:color w:val="auto"/>
        </w:rPr>
        <w:t>招标人和中标人应当在招标有效期内，根据招标文件和中标人的投标文件订立书面合同。招标人和中标人不得订立背离合同实质性内容的其他协议。</w:t>
      </w:r>
    </w:p>
    <w:p>
      <w:pPr>
        <w:pStyle w:val="21"/>
        <w:tabs>
          <w:tab w:val="left" w:pos="630"/>
        </w:tabs>
        <w:snapToGrid w:val="0"/>
        <w:spacing w:line="440" w:lineRule="exact"/>
        <w:ind w:firstLine="424" w:firstLineChars="202"/>
        <w:rPr>
          <w:rFonts w:hAnsi="宋体"/>
          <w:color w:val="auto"/>
        </w:rPr>
      </w:pPr>
      <w:r>
        <w:rPr>
          <w:rFonts w:hAnsi="宋体"/>
          <w:color w:val="auto"/>
        </w:rPr>
        <w:t>8.2.2中标人无正当理由拒签合同的，招标人取消其中标资格，其投标保证金不予退还；给招标人造成的损失超过投标保证金数额的，中标人还应当对超过部分予以赔偿。</w:t>
      </w:r>
    </w:p>
    <w:p>
      <w:pPr>
        <w:numPr>
          <w:ilvl w:val="0"/>
          <w:numId w:val="5"/>
        </w:numPr>
        <w:rPr>
          <w:b/>
          <w:bCs/>
          <w:color w:val="auto"/>
          <w:sz w:val="24"/>
          <w:szCs w:val="32"/>
        </w:rPr>
      </w:pPr>
      <w:r>
        <w:rPr>
          <w:rFonts w:hint="eastAsia"/>
          <w:b/>
          <w:bCs/>
          <w:color w:val="auto"/>
          <w:sz w:val="24"/>
          <w:szCs w:val="32"/>
        </w:rPr>
        <w:t>招标代理服务费</w:t>
      </w:r>
      <w:bookmarkEnd w:id="344"/>
      <w:bookmarkEnd w:id="345"/>
      <w:bookmarkEnd w:id="346"/>
      <w:bookmarkEnd w:id="347"/>
      <w:bookmarkEnd w:id="348"/>
      <w:bookmarkEnd w:id="349"/>
      <w:bookmarkEnd w:id="35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中标人应当按照招标文件规定交纳招标代理服务费，招标人和招标代理机构另有约定的从其约定。招标代理服务费的金额、交纳方式和时限见投标人须知前附表。</w:t>
      </w:r>
    </w:p>
    <w:p>
      <w:pPr>
        <w:numPr>
          <w:ilvl w:val="0"/>
          <w:numId w:val="5"/>
        </w:numPr>
        <w:rPr>
          <w:b/>
          <w:bCs/>
          <w:color w:val="auto"/>
          <w:sz w:val="24"/>
          <w:szCs w:val="32"/>
        </w:rPr>
      </w:pPr>
      <w:bookmarkStart w:id="355" w:name="_Toc296602461"/>
      <w:bookmarkStart w:id="356" w:name="_Toc447188708"/>
      <w:bookmarkStart w:id="357" w:name="_Toc447265550"/>
      <w:bookmarkStart w:id="358" w:name="_Toc447265264"/>
      <w:r>
        <w:rPr>
          <w:rFonts w:hint="eastAsia"/>
          <w:b/>
          <w:bCs/>
          <w:color w:val="auto"/>
          <w:sz w:val="24"/>
          <w:szCs w:val="32"/>
        </w:rPr>
        <w:t>纪律和监督</w:t>
      </w:r>
      <w:bookmarkEnd w:id="355"/>
      <w:bookmarkEnd w:id="356"/>
      <w:bookmarkEnd w:id="357"/>
      <w:bookmarkEnd w:id="358"/>
    </w:p>
    <w:p>
      <w:pPr>
        <w:rPr>
          <w:b/>
          <w:bCs/>
          <w:color w:val="auto"/>
          <w:sz w:val="24"/>
          <w:szCs w:val="32"/>
        </w:rPr>
      </w:pPr>
      <w:bookmarkStart w:id="359" w:name="_Toc46496172"/>
      <w:bookmarkStart w:id="360" w:name="_Toc179632593"/>
      <w:bookmarkStart w:id="361" w:name="_Toc152042351"/>
      <w:bookmarkStart w:id="362" w:name="_Toc447265551"/>
      <w:bookmarkStart w:id="363" w:name="_Toc447265265"/>
      <w:bookmarkStart w:id="364" w:name="_Toc247085733"/>
      <w:bookmarkStart w:id="365" w:name="_Toc296590983"/>
      <w:bookmarkStart w:id="366" w:name="_Toc246996219"/>
      <w:bookmarkStart w:id="367" w:name="_Toc296602462"/>
      <w:bookmarkStart w:id="368" w:name="_Toc144974543"/>
      <w:bookmarkStart w:id="369" w:name="_Toc152045575"/>
      <w:bookmarkStart w:id="370" w:name="_Toc246996962"/>
      <w:r>
        <w:rPr>
          <w:b/>
          <w:bCs/>
          <w:color w:val="auto"/>
          <w:sz w:val="24"/>
          <w:szCs w:val="32"/>
        </w:rPr>
        <w:t>10.1</w:t>
      </w:r>
      <w:r>
        <w:rPr>
          <w:rFonts w:hint="eastAsia"/>
          <w:b/>
          <w:bCs/>
          <w:color w:val="auto"/>
          <w:sz w:val="24"/>
          <w:szCs w:val="32"/>
        </w:rPr>
        <w:t>对招标人的纪律要求</w:t>
      </w:r>
      <w:bookmarkEnd w:id="359"/>
      <w:bookmarkEnd w:id="360"/>
      <w:bookmarkEnd w:id="361"/>
      <w:bookmarkEnd w:id="362"/>
      <w:bookmarkEnd w:id="363"/>
      <w:bookmarkEnd w:id="364"/>
      <w:bookmarkEnd w:id="365"/>
      <w:bookmarkEnd w:id="366"/>
      <w:bookmarkEnd w:id="367"/>
      <w:bookmarkEnd w:id="368"/>
      <w:bookmarkEnd w:id="369"/>
      <w:bookmarkEnd w:id="370"/>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招标人不得泄漏招标活动中应当保密的情况和资料，不得与投标人串通损害国家利益、社会公共利益或者他人合法权益。</w:t>
      </w:r>
    </w:p>
    <w:p>
      <w:pPr>
        <w:rPr>
          <w:b/>
          <w:bCs/>
          <w:color w:val="auto"/>
          <w:sz w:val="24"/>
          <w:szCs w:val="32"/>
        </w:rPr>
      </w:pPr>
      <w:bookmarkStart w:id="371" w:name="_Toc246996220"/>
      <w:bookmarkStart w:id="372" w:name="_Toc152045576"/>
      <w:bookmarkStart w:id="373" w:name="_Toc296602463"/>
      <w:bookmarkStart w:id="374" w:name="_Toc46496173"/>
      <w:bookmarkStart w:id="375" w:name="_Toc179632594"/>
      <w:bookmarkStart w:id="376" w:name="_Toc447265552"/>
      <w:bookmarkStart w:id="377" w:name="_Toc152042352"/>
      <w:bookmarkStart w:id="378" w:name="_Toc447265266"/>
      <w:bookmarkStart w:id="379" w:name="_Toc144974544"/>
      <w:bookmarkStart w:id="380" w:name="_Toc246996963"/>
      <w:bookmarkStart w:id="381" w:name="_Toc247085734"/>
      <w:r>
        <w:rPr>
          <w:b/>
          <w:bCs/>
          <w:color w:val="auto"/>
          <w:sz w:val="24"/>
          <w:szCs w:val="32"/>
        </w:rPr>
        <w:t>10.2</w:t>
      </w:r>
      <w:r>
        <w:rPr>
          <w:rFonts w:hint="eastAsia"/>
          <w:b/>
          <w:bCs/>
          <w:color w:val="auto"/>
          <w:sz w:val="24"/>
          <w:szCs w:val="32"/>
        </w:rPr>
        <w:t>对投标人的纪律要求</w:t>
      </w:r>
      <w:bookmarkEnd w:id="371"/>
      <w:bookmarkEnd w:id="372"/>
      <w:bookmarkEnd w:id="373"/>
      <w:bookmarkEnd w:id="374"/>
      <w:bookmarkEnd w:id="375"/>
      <w:bookmarkEnd w:id="376"/>
      <w:bookmarkEnd w:id="377"/>
      <w:bookmarkEnd w:id="378"/>
      <w:bookmarkEnd w:id="379"/>
      <w:bookmarkEnd w:id="380"/>
      <w:bookmarkEnd w:id="381"/>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投标人不得相互串通投标或者与招标人串通投标，不得向招标人或者评标委员会成员行贿谋取中标，不得以他人名义投标或者以其他方式弄虚作假骗取中标；投标人不得以任何方式干扰、影响评审工作。</w:t>
      </w:r>
    </w:p>
    <w:p>
      <w:pPr>
        <w:rPr>
          <w:b/>
          <w:bCs/>
          <w:color w:val="auto"/>
          <w:sz w:val="24"/>
          <w:szCs w:val="32"/>
        </w:rPr>
      </w:pPr>
      <w:bookmarkStart w:id="382" w:name="_Toc447265267"/>
      <w:bookmarkStart w:id="383" w:name="_Toc447265553"/>
      <w:bookmarkStart w:id="384" w:name="_Toc152042353"/>
      <w:bookmarkStart w:id="385" w:name="_Toc247085735"/>
      <w:bookmarkStart w:id="386" w:name="_Toc46496174"/>
      <w:bookmarkStart w:id="387" w:name="_Toc179632595"/>
      <w:bookmarkStart w:id="388" w:name="_Toc246996221"/>
      <w:bookmarkStart w:id="389" w:name="_Toc246996964"/>
      <w:bookmarkStart w:id="390" w:name="_Toc296602464"/>
      <w:bookmarkStart w:id="391" w:name="_Toc152045577"/>
      <w:bookmarkStart w:id="392" w:name="_Toc144974545"/>
      <w:r>
        <w:rPr>
          <w:b/>
          <w:bCs/>
          <w:color w:val="auto"/>
          <w:sz w:val="24"/>
          <w:szCs w:val="32"/>
        </w:rPr>
        <w:t>10.3</w:t>
      </w:r>
      <w:r>
        <w:rPr>
          <w:rFonts w:hint="eastAsia"/>
          <w:b/>
          <w:bCs/>
          <w:color w:val="auto"/>
          <w:sz w:val="24"/>
          <w:szCs w:val="32"/>
        </w:rPr>
        <w:t>对评标委员会成员的纪律要求</w:t>
      </w:r>
      <w:bookmarkEnd w:id="382"/>
      <w:bookmarkEnd w:id="383"/>
      <w:bookmarkEnd w:id="384"/>
      <w:bookmarkEnd w:id="385"/>
      <w:bookmarkEnd w:id="386"/>
      <w:bookmarkEnd w:id="387"/>
      <w:bookmarkEnd w:id="388"/>
      <w:bookmarkEnd w:id="389"/>
      <w:bookmarkEnd w:id="390"/>
      <w:bookmarkEnd w:id="391"/>
      <w:bookmarkEnd w:id="392"/>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评标委员会成员不得收受他人的财物或者其他好处，不得向他人透漏对投标文件的评审和比较、中标候选人的推荐情况以及评审有关的其他情况。在评审活动中，评标委员会成员应当客观、公正地履行职责，遵守职业道德，不得擅离职守，影响评选程序正常进行，不得使用第三章“评审办法”没有规定的评审因素和标准进行评审。</w:t>
      </w:r>
    </w:p>
    <w:p>
      <w:pPr>
        <w:rPr>
          <w:b/>
          <w:bCs/>
          <w:color w:val="auto"/>
          <w:sz w:val="24"/>
          <w:szCs w:val="32"/>
        </w:rPr>
      </w:pPr>
      <w:bookmarkStart w:id="393" w:name="_Toc247085736"/>
      <w:bookmarkStart w:id="394" w:name="_Toc296602465"/>
      <w:bookmarkStart w:id="395" w:name="_Toc46496175"/>
      <w:bookmarkStart w:id="396" w:name="_Toc179632596"/>
      <w:bookmarkStart w:id="397" w:name="_Toc152045578"/>
      <w:bookmarkStart w:id="398" w:name="_Toc447265554"/>
      <w:bookmarkStart w:id="399" w:name="_Toc447265268"/>
      <w:bookmarkStart w:id="400" w:name="_Toc152042354"/>
      <w:bookmarkStart w:id="401" w:name="_Toc246996965"/>
      <w:bookmarkStart w:id="402" w:name="_Toc246996222"/>
      <w:bookmarkStart w:id="403" w:name="_Toc144974546"/>
      <w:r>
        <w:rPr>
          <w:b/>
          <w:bCs/>
          <w:color w:val="auto"/>
          <w:sz w:val="24"/>
          <w:szCs w:val="32"/>
        </w:rPr>
        <w:t>10.4</w:t>
      </w:r>
      <w:r>
        <w:rPr>
          <w:rFonts w:hint="eastAsia"/>
          <w:b/>
          <w:bCs/>
          <w:color w:val="auto"/>
          <w:sz w:val="24"/>
          <w:szCs w:val="32"/>
        </w:rPr>
        <w:t>对与评审活动有关的工作人员的纪律要求</w:t>
      </w:r>
      <w:bookmarkEnd w:id="393"/>
      <w:bookmarkEnd w:id="394"/>
      <w:bookmarkEnd w:id="395"/>
      <w:bookmarkEnd w:id="396"/>
      <w:bookmarkEnd w:id="397"/>
      <w:bookmarkEnd w:id="398"/>
      <w:bookmarkEnd w:id="399"/>
      <w:bookmarkEnd w:id="400"/>
      <w:bookmarkEnd w:id="401"/>
      <w:bookmarkEnd w:id="402"/>
    </w:p>
    <w:p>
      <w:pPr>
        <w:adjustRightInd w:val="0"/>
        <w:snapToGrid w:val="0"/>
        <w:spacing w:line="440" w:lineRule="exact"/>
        <w:ind w:firstLine="420" w:firstLineChars="200"/>
        <w:rPr>
          <w:rFonts w:ascii="宋体" w:hAnsi="宋体" w:cs="宋体"/>
          <w:color w:val="auto"/>
          <w:szCs w:val="21"/>
        </w:rPr>
      </w:pPr>
      <w:bookmarkStart w:id="404" w:name="_Toc152042355"/>
      <w:r>
        <w:rPr>
          <w:rFonts w:hint="eastAsia" w:ascii="宋体" w:hAnsi="宋体" w:cs="宋体"/>
          <w:color w:val="auto"/>
          <w:szCs w:val="21"/>
        </w:rPr>
        <w:t>与评审活动有关的工作人员不得收受他人的财物或者其他好处，不得向他人透漏对投标文件的评审和比较、中标候选人的推荐情况以及评审有关的其他情况。在评审活动中，与评审活动有关的工作人员不得擅离职守，影响评审程序正常进行。</w:t>
      </w:r>
      <w:bookmarkEnd w:id="403"/>
      <w:bookmarkEnd w:id="404"/>
    </w:p>
    <w:p>
      <w:pPr>
        <w:numPr>
          <w:ilvl w:val="0"/>
          <w:numId w:val="5"/>
        </w:numPr>
        <w:rPr>
          <w:b/>
          <w:bCs/>
          <w:color w:val="auto"/>
          <w:sz w:val="24"/>
          <w:szCs w:val="32"/>
        </w:rPr>
      </w:pPr>
      <w:bookmarkStart w:id="405" w:name="_Toc477190326"/>
      <w:bookmarkEnd w:id="405"/>
      <w:bookmarkStart w:id="406" w:name="_Toc477190327"/>
      <w:bookmarkEnd w:id="406"/>
      <w:bookmarkStart w:id="407" w:name="_Toc477190328"/>
      <w:bookmarkEnd w:id="407"/>
      <w:bookmarkStart w:id="408" w:name="_Toc247085738"/>
      <w:bookmarkStart w:id="409" w:name="_Toc296602467"/>
      <w:bookmarkStart w:id="410" w:name="_Toc246996967"/>
      <w:bookmarkStart w:id="411" w:name="_Toc246996224"/>
      <w:bookmarkStart w:id="412" w:name="_Toc144974547"/>
      <w:bookmarkStart w:id="413" w:name="_Toc447265270"/>
      <w:bookmarkStart w:id="414" w:name="_Toc152042357"/>
      <w:bookmarkStart w:id="415" w:name="_Toc152045580"/>
      <w:bookmarkStart w:id="416" w:name="_Toc447188709"/>
      <w:bookmarkStart w:id="417" w:name="_Toc447265556"/>
      <w:bookmarkStart w:id="418" w:name="_Toc179632598"/>
      <w:r>
        <w:rPr>
          <w:rFonts w:hint="eastAsia"/>
          <w:b/>
          <w:bCs/>
          <w:color w:val="auto"/>
          <w:sz w:val="24"/>
          <w:szCs w:val="32"/>
        </w:rPr>
        <w:t>需要补充的其他内容</w:t>
      </w:r>
      <w:bookmarkEnd w:id="408"/>
      <w:bookmarkEnd w:id="409"/>
      <w:bookmarkEnd w:id="410"/>
      <w:bookmarkEnd w:id="411"/>
      <w:bookmarkEnd w:id="412"/>
      <w:bookmarkEnd w:id="413"/>
      <w:bookmarkEnd w:id="414"/>
      <w:bookmarkEnd w:id="415"/>
      <w:bookmarkEnd w:id="416"/>
      <w:bookmarkEnd w:id="417"/>
      <w:bookmarkEnd w:id="418"/>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需要补充的其他内容：见投标人须知前附表。</w:t>
      </w:r>
    </w:p>
    <w:p>
      <w:pPr>
        <w:tabs>
          <w:tab w:val="left" w:pos="851"/>
        </w:tabs>
        <w:adjustRightInd w:val="0"/>
        <w:snapToGrid w:val="0"/>
        <w:spacing w:line="440" w:lineRule="exact"/>
        <w:rPr>
          <w:rFonts w:ascii="宋体" w:hAnsi="宋体" w:cs="Arial"/>
          <w:b/>
          <w:color w:val="auto"/>
          <w:szCs w:val="21"/>
        </w:rPr>
      </w:pPr>
    </w:p>
    <w:p>
      <w:pPr>
        <w:spacing w:line="400" w:lineRule="exact"/>
        <w:rPr>
          <w:rFonts w:ascii="宋体" w:hAnsi="宋体" w:cs="Arial"/>
          <w:color w:val="auto"/>
          <w:sz w:val="32"/>
          <w:szCs w:val="32"/>
        </w:rPr>
      </w:pPr>
      <w:r>
        <w:rPr>
          <w:rFonts w:hint="eastAsia" w:ascii="宋体" w:hAnsi="宋体" w:cs="Arial"/>
          <w:color w:val="auto"/>
          <w:sz w:val="32"/>
          <w:szCs w:val="32"/>
        </w:rPr>
        <w:t>附件：招标代理服务费的计算方式及价格</w:t>
      </w:r>
    </w:p>
    <w:p>
      <w:pPr>
        <w:widowControl/>
        <w:spacing w:before="100" w:after="156" w:afterLines="50" w:line="400" w:lineRule="exact"/>
        <w:rPr>
          <w:rFonts w:ascii="宋体" w:hAnsi="宋体"/>
          <w:color w:val="auto"/>
        </w:rPr>
      </w:pPr>
      <w:r>
        <w:rPr>
          <w:rFonts w:ascii="宋体" w:hAnsi="宋体"/>
          <w:color w:val="auto"/>
        </w:rPr>
        <w:t>1、本项目按中标金额收取代理服务费，只对中标人收取服务费；</w:t>
      </w:r>
    </w:p>
    <w:p>
      <w:pPr>
        <w:spacing w:line="400" w:lineRule="exact"/>
        <w:rPr>
          <w:rFonts w:ascii="宋体" w:hAnsi="宋体"/>
          <w:b/>
          <w:bCs/>
          <w:color w:val="auto"/>
          <w:szCs w:val="21"/>
        </w:rPr>
      </w:pPr>
      <w:r>
        <w:rPr>
          <w:rFonts w:hint="eastAsia" w:ascii="宋体" w:hAnsi="宋体"/>
          <w:b/>
          <w:bCs/>
          <w:color w:val="auto"/>
          <w:szCs w:val="21"/>
        </w:rPr>
        <w:t>招标代理费费率：</w:t>
      </w:r>
    </w:p>
    <w:tbl>
      <w:tblPr>
        <w:tblStyle w:val="40"/>
        <w:tblW w:w="87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5"/>
        <w:gridCol w:w="1718"/>
        <w:gridCol w:w="1636"/>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3895" w:type="dxa"/>
            <w:tcBorders>
              <w:tl2br w:val="single" w:color="auto" w:sz="2" w:space="0"/>
            </w:tcBorders>
            <w:vAlign w:val="center"/>
          </w:tcPr>
          <w:p>
            <w:pPr>
              <w:spacing w:line="360" w:lineRule="auto"/>
              <w:ind w:firstLine="2730" w:firstLineChars="1300"/>
              <w:rPr>
                <w:rFonts w:ascii="宋体" w:hAnsi="宋体"/>
                <w:color w:val="auto"/>
              </w:rPr>
            </w:pPr>
            <w:r>
              <w:rPr>
                <w:rFonts w:hint="eastAsia" w:ascii="宋体" w:hAnsi="宋体"/>
                <w:color w:val="auto"/>
              </w:rPr>
              <w:t>费率类别</w:t>
            </w:r>
          </w:p>
          <w:p>
            <w:pPr>
              <w:spacing w:line="360" w:lineRule="auto"/>
              <w:rPr>
                <w:rFonts w:ascii="宋体" w:hAnsi="宋体"/>
                <w:color w:val="auto"/>
              </w:rPr>
            </w:pPr>
            <w:r>
              <w:rPr>
                <w:rFonts w:hint="eastAsia" w:ascii="宋体" w:hAnsi="宋体"/>
                <w:color w:val="auto"/>
              </w:rPr>
              <w:t>成交金额（万元人民币）</w:t>
            </w:r>
          </w:p>
        </w:tc>
        <w:tc>
          <w:tcPr>
            <w:tcW w:w="1718" w:type="dxa"/>
            <w:vAlign w:val="center"/>
          </w:tcPr>
          <w:p>
            <w:pPr>
              <w:spacing w:line="340" w:lineRule="exact"/>
              <w:ind w:firstLine="420" w:firstLineChars="200"/>
              <w:jc w:val="center"/>
              <w:rPr>
                <w:rFonts w:ascii="宋体" w:hAnsi="宋体"/>
                <w:bCs/>
                <w:color w:val="auto"/>
                <w:szCs w:val="21"/>
              </w:rPr>
            </w:pPr>
            <w:r>
              <w:rPr>
                <w:rFonts w:hint="eastAsia" w:ascii="宋体" w:hAnsi="宋体"/>
                <w:bCs/>
                <w:color w:val="auto"/>
                <w:szCs w:val="21"/>
              </w:rPr>
              <w:t>货物类</w:t>
            </w:r>
          </w:p>
        </w:tc>
        <w:tc>
          <w:tcPr>
            <w:tcW w:w="1636" w:type="dxa"/>
            <w:vAlign w:val="center"/>
          </w:tcPr>
          <w:p>
            <w:pPr>
              <w:spacing w:line="360" w:lineRule="auto"/>
              <w:jc w:val="center"/>
              <w:rPr>
                <w:rFonts w:ascii="宋体" w:hAnsi="宋体"/>
                <w:color w:val="auto"/>
              </w:rPr>
            </w:pPr>
            <w:r>
              <w:rPr>
                <w:rFonts w:hint="eastAsia" w:ascii="宋体" w:hAnsi="宋体"/>
                <w:color w:val="auto"/>
              </w:rPr>
              <w:t>服务类</w:t>
            </w:r>
          </w:p>
        </w:tc>
        <w:tc>
          <w:tcPr>
            <w:tcW w:w="1465" w:type="dxa"/>
            <w:vAlign w:val="center"/>
          </w:tcPr>
          <w:p>
            <w:pPr>
              <w:spacing w:line="340" w:lineRule="exact"/>
              <w:ind w:firstLine="420" w:firstLineChars="200"/>
              <w:jc w:val="center"/>
              <w:rPr>
                <w:rFonts w:ascii="宋体" w:hAnsi="宋体"/>
                <w:bCs/>
                <w:color w:val="auto"/>
                <w:szCs w:val="21"/>
              </w:rPr>
            </w:pPr>
            <w:r>
              <w:rPr>
                <w:rFonts w:hint="eastAsia" w:ascii="宋体" w:hAnsi="宋体"/>
                <w:bCs/>
                <w:color w:val="auto"/>
                <w:szCs w:val="21"/>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95" w:type="dxa"/>
            <w:vAlign w:val="center"/>
          </w:tcPr>
          <w:p>
            <w:pPr>
              <w:jc w:val="center"/>
              <w:rPr>
                <w:rFonts w:ascii="宋体" w:hAnsi="宋体"/>
                <w:color w:val="auto"/>
              </w:rPr>
            </w:pPr>
            <w:r>
              <w:rPr>
                <w:rFonts w:ascii="宋体" w:hAnsi="宋体"/>
                <w:color w:val="auto"/>
              </w:rPr>
              <w:t>100以下</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1.5%</w:t>
            </w:r>
          </w:p>
        </w:tc>
        <w:tc>
          <w:tcPr>
            <w:tcW w:w="1636" w:type="dxa"/>
            <w:vAlign w:val="center"/>
          </w:tcPr>
          <w:p>
            <w:pPr>
              <w:jc w:val="center"/>
              <w:rPr>
                <w:rFonts w:ascii="宋体" w:hAnsi="宋体"/>
                <w:color w:val="auto"/>
              </w:rPr>
            </w:pPr>
            <w:r>
              <w:rPr>
                <w:rFonts w:ascii="宋体" w:hAnsi="宋体"/>
                <w:color w:val="auto"/>
              </w:rPr>
              <w:t>1.5%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100-500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1.1%</w:t>
            </w:r>
          </w:p>
        </w:tc>
        <w:tc>
          <w:tcPr>
            <w:tcW w:w="1636" w:type="dxa"/>
            <w:vAlign w:val="center"/>
          </w:tcPr>
          <w:p>
            <w:pPr>
              <w:jc w:val="center"/>
              <w:rPr>
                <w:rFonts w:ascii="宋体" w:hAnsi="宋体"/>
                <w:color w:val="auto"/>
              </w:rPr>
            </w:pPr>
            <w:r>
              <w:rPr>
                <w:rFonts w:ascii="宋体" w:hAnsi="宋体"/>
                <w:color w:val="auto"/>
              </w:rPr>
              <w:t>0.8%</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500-1000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0.8%</w:t>
            </w:r>
          </w:p>
        </w:tc>
        <w:tc>
          <w:tcPr>
            <w:tcW w:w="1636" w:type="dxa"/>
            <w:vAlign w:val="center"/>
          </w:tcPr>
          <w:p>
            <w:pPr>
              <w:jc w:val="center"/>
              <w:rPr>
                <w:rFonts w:ascii="宋体" w:hAnsi="宋体"/>
                <w:color w:val="auto"/>
              </w:rPr>
            </w:pPr>
            <w:r>
              <w:rPr>
                <w:rFonts w:ascii="宋体" w:hAnsi="宋体"/>
                <w:color w:val="auto"/>
              </w:rPr>
              <w:t>0.45%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1000-5000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0.5%</w:t>
            </w:r>
          </w:p>
        </w:tc>
        <w:tc>
          <w:tcPr>
            <w:tcW w:w="1636" w:type="dxa"/>
            <w:vAlign w:val="center"/>
          </w:tcPr>
          <w:p>
            <w:pPr>
              <w:jc w:val="center"/>
              <w:rPr>
                <w:rFonts w:ascii="宋体" w:hAnsi="宋体"/>
                <w:color w:val="auto"/>
              </w:rPr>
            </w:pPr>
            <w:r>
              <w:rPr>
                <w:rFonts w:ascii="宋体" w:hAnsi="宋体"/>
                <w:color w:val="auto"/>
              </w:rPr>
              <w:t>0.25%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5000-10000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0.25%</w:t>
            </w:r>
          </w:p>
        </w:tc>
        <w:tc>
          <w:tcPr>
            <w:tcW w:w="1636" w:type="dxa"/>
            <w:vAlign w:val="center"/>
          </w:tcPr>
          <w:p>
            <w:pPr>
              <w:jc w:val="center"/>
              <w:rPr>
                <w:rFonts w:ascii="宋体" w:hAnsi="宋体"/>
                <w:color w:val="auto"/>
              </w:rPr>
            </w:pPr>
            <w:r>
              <w:rPr>
                <w:rFonts w:ascii="宋体" w:hAnsi="宋体"/>
                <w:color w:val="auto"/>
              </w:rPr>
              <w:t>0.1%</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3895" w:type="dxa"/>
            <w:vAlign w:val="center"/>
          </w:tcPr>
          <w:p>
            <w:pPr>
              <w:jc w:val="center"/>
              <w:rPr>
                <w:rFonts w:ascii="宋体" w:hAnsi="宋体"/>
                <w:color w:val="auto"/>
              </w:rPr>
            </w:pPr>
            <w:r>
              <w:rPr>
                <w:rFonts w:ascii="宋体" w:hAnsi="宋体"/>
                <w:color w:val="auto"/>
              </w:rPr>
              <w:t>10000-50000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0.05%</w:t>
            </w:r>
          </w:p>
        </w:tc>
        <w:tc>
          <w:tcPr>
            <w:tcW w:w="1636" w:type="dxa"/>
            <w:vAlign w:val="center"/>
          </w:tcPr>
          <w:p>
            <w:pPr>
              <w:jc w:val="center"/>
              <w:rPr>
                <w:rFonts w:ascii="宋体" w:hAnsi="宋体"/>
                <w:color w:val="auto"/>
              </w:rPr>
            </w:pPr>
            <w:r>
              <w:rPr>
                <w:rFonts w:ascii="宋体" w:hAnsi="宋体"/>
                <w:color w:val="auto"/>
              </w:rPr>
              <w:t>0.05%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3895" w:type="dxa"/>
            <w:vAlign w:val="center"/>
          </w:tcPr>
          <w:p>
            <w:pPr>
              <w:jc w:val="center"/>
              <w:rPr>
                <w:rFonts w:ascii="宋体" w:hAnsi="宋体"/>
                <w:color w:val="auto"/>
              </w:rPr>
            </w:pPr>
            <w:r>
              <w:rPr>
                <w:rFonts w:ascii="宋体" w:hAnsi="宋体"/>
                <w:color w:val="auto"/>
              </w:rPr>
              <w:t>50000-100000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0.035%</w:t>
            </w:r>
          </w:p>
        </w:tc>
        <w:tc>
          <w:tcPr>
            <w:tcW w:w="1636" w:type="dxa"/>
            <w:vAlign w:val="center"/>
          </w:tcPr>
          <w:p>
            <w:pPr>
              <w:jc w:val="center"/>
              <w:rPr>
                <w:rFonts w:ascii="宋体" w:hAnsi="宋体"/>
                <w:color w:val="auto"/>
              </w:rPr>
            </w:pPr>
            <w:r>
              <w:rPr>
                <w:rFonts w:ascii="宋体" w:hAnsi="宋体"/>
                <w:color w:val="auto"/>
              </w:rPr>
              <w:t>0.035%</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3895" w:type="dxa"/>
            <w:vAlign w:val="center"/>
          </w:tcPr>
          <w:p>
            <w:pPr>
              <w:jc w:val="center"/>
              <w:rPr>
                <w:rFonts w:ascii="宋体" w:hAnsi="宋体"/>
                <w:color w:val="auto"/>
              </w:rPr>
            </w:pPr>
            <w:r>
              <w:rPr>
                <w:rFonts w:ascii="宋体" w:hAnsi="宋体"/>
                <w:color w:val="auto"/>
              </w:rPr>
              <w:t>100000-500000</w:t>
            </w:r>
            <w:r>
              <w:rPr>
                <w:rFonts w:hint="eastAsia" w:ascii="宋体" w:hAnsi="宋体"/>
                <w:color w:val="auto"/>
              </w:rPr>
              <w:t>部分</w:t>
            </w:r>
          </w:p>
        </w:tc>
        <w:tc>
          <w:tcPr>
            <w:tcW w:w="1718"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0.008%</w:t>
            </w:r>
          </w:p>
        </w:tc>
        <w:tc>
          <w:tcPr>
            <w:tcW w:w="1636" w:type="dxa"/>
            <w:vAlign w:val="center"/>
          </w:tcPr>
          <w:p>
            <w:pPr>
              <w:jc w:val="center"/>
              <w:rPr>
                <w:rFonts w:ascii="宋体" w:hAnsi="宋体"/>
                <w:color w:val="auto"/>
              </w:rPr>
            </w:pPr>
            <w:r>
              <w:rPr>
                <w:rFonts w:ascii="宋体" w:hAnsi="宋体"/>
                <w:color w:val="auto"/>
              </w:rPr>
              <w:t>0.008%</w:t>
            </w:r>
          </w:p>
        </w:tc>
        <w:tc>
          <w:tcPr>
            <w:tcW w:w="1465" w:type="dxa"/>
            <w:vAlign w:val="center"/>
          </w:tcPr>
          <w:p>
            <w:pPr>
              <w:spacing w:line="340" w:lineRule="exact"/>
              <w:ind w:firstLine="420" w:firstLineChars="200"/>
              <w:jc w:val="center"/>
              <w:rPr>
                <w:rFonts w:ascii="宋体" w:hAnsi="宋体"/>
                <w:bCs/>
                <w:color w:val="auto"/>
                <w:szCs w:val="21"/>
              </w:rPr>
            </w:pPr>
            <w:r>
              <w:rPr>
                <w:rFonts w:ascii="宋体" w:hAnsi="宋体"/>
                <w:bCs/>
                <w:color w:val="auto"/>
                <w:szCs w:val="21"/>
              </w:rPr>
              <w:t>0.008%</w:t>
            </w:r>
          </w:p>
        </w:tc>
      </w:tr>
    </w:tbl>
    <w:p>
      <w:pPr>
        <w:spacing w:line="400" w:lineRule="exact"/>
        <w:rPr>
          <w:rFonts w:ascii="宋体" w:hAnsi="宋体"/>
          <w:b/>
          <w:bCs/>
          <w:color w:val="auto"/>
          <w:szCs w:val="21"/>
        </w:rPr>
      </w:pPr>
      <w:r>
        <w:rPr>
          <w:rFonts w:hint="eastAsia" w:ascii="宋体" w:hAnsi="宋体"/>
          <w:b/>
          <w:bCs/>
          <w:color w:val="auto"/>
          <w:szCs w:val="21"/>
        </w:rPr>
        <w:t>说明：</w:t>
      </w:r>
    </w:p>
    <w:p>
      <w:pPr>
        <w:spacing w:line="400" w:lineRule="exact"/>
        <w:rPr>
          <w:rFonts w:ascii="宋体" w:hAnsi="宋体"/>
          <w:color w:val="auto"/>
          <w:szCs w:val="21"/>
        </w:rPr>
      </w:pPr>
      <w:r>
        <w:rPr>
          <w:rFonts w:ascii="宋体" w:hAnsi="宋体"/>
          <w:color w:val="auto"/>
          <w:szCs w:val="21"/>
        </w:rPr>
        <w:t>1</w:t>
      </w:r>
      <w:r>
        <w:rPr>
          <w:rFonts w:hint="eastAsia" w:ascii="宋体" w:hAnsi="宋体"/>
          <w:color w:val="auto"/>
          <w:szCs w:val="21"/>
        </w:rPr>
        <w:t>、按照计价格</w:t>
      </w:r>
      <w:r>
        <w:rPr>
          <w:rFonts w:ascii="宋体" w:hAnsi="宋体"/>
          <w:color w:val="auto"/>
          <w:szCs w:val="21"/>
        </w:rPr>
        <w:t>[2002]1980</w:t>
      </w:r>
      <w:r>
        <w:rPr>
          <w:rFonts w:hint="eastAsia" w:ascii="宋体" w:hAnsi="宋体"/>
          <w:color w:val="auto"/>
          <w:szCs w:val="21"/>
        </w:rPr>
        <w:t>号、发改办价格</w:t>
      </w:r>
      <w:r>
        <w:rPr>
          <w:rFonts w:ascii="宋体" w:hAnsi="宋体"/>
          <w:color w:val="auto"/>
          <w:szCs w:val="21"/>
        </w:rPr>
        <w:t>[2003]857</w:t>
      </w:r>
      <w:r>
        <w:rPr>
          <w:rFonts w:hint="eastAsia" w:ascii="宋体" w:hAnsi="宋体"/>
          <w:color w:val="auto"/>
          <w:szCs w:val="21"/>
        </w:rPr>
        <w:t>号及《国家发展改革委关于降低部分建设项目收费标准规范收费行为等有关问题的通知》（发改价格</w:t>
      </w:r>
      <w:r>
        <w:rPr>
          <w:rFonts w:ascii="宋体" w:hAnsi="宋体"/>
          <w:color w:val="auto"/>
          <w:szCs w:val="21"/>
        </w:rPr>
        <w:t>[2011]534</w:t>
      </w:r>
      <w:r>
        <w:rPr>
          <w:rFonts w:hint="eastAsia" w:ascii="宋体" w:hAnsi="宋体"/>
          <w:color w:val="auto"/>
          <w:szCs w:val="21"/>
        </w:rPr>
        <w:t>号）</w:t>
      </w:r>
      <w:r>
        <w:rPr>
          <w:rFonts w:hint="eastAsia" w:ascii="宋体" w:hAnsi="宋体"/>
          <w:color w:val="auto"/>
          <w:kern w:val="11"/>
          <w:szCs w:val="21"/>
        </w:rPr>
        <w:t>、发改价格〔</w:t>
      </w:r>
      <w:r>
        <w:rPr>
          <w:rFonts w:ascii="宋体" w:hAnsi="宋体"/>
          <w:color w:val="auto"/>
          <w:kern w:val="11"/>
          <w:szCs w:val="21"/>
        </w:rPr>
        <w:t>2015〕299号</w:t>
      </w:r>
      <w:r>
        <w:rPr>
          <w:rFonts w:hint="eastAsia" w:ascii="宋体" w:hAnsi="宋体"/>
          <w:color w:val="auto"/>
          <w:szCs w:val="21"/>
        </w:rPr>
        <w:t>等依据文件计算计取。</w:t>
      </w:r>
    </w:p>
    <w:p>
      <w:pPr>
        <w:spacing w:line="400" w:lineRule="exact"/>
        <w:rPr>
          <w:rFonts w:ascii="宋体" w:hAnsi="宋体"/>
          <w:b/>
          <w:bCs/>
          <w:color w:val="auto"/>
          <w:szCs w:val="21"/>
        </w:rPr>
      </w:pPr>
      <w:r>
        <w:rPr>
          <w:rFonts w:ascii="宋体" w:hAnsi="宋体"/>
          <w:color w:val="auto"/>
          <w:szCs w:val="21"/>
        </w:rPr>
        <w:t xml:space="preserve">2. </w:t>
      </w:r>
      <w:r>
        <w:rPr>
          <w:rFonts w:hint="eastAsia" w:ascii="宋体" w:hAnsi="宋体"/>
          <w:color w:val="auto"/>
          <w:szCs w:val="21"/>
        </w:rPr>
        <w:t>根据《国家发展改革委关于降低部分建设项目收费标准规范收费行为等有关问题的通知》（发改价格</w:t>
      </w:r>
      <w:r>
        <w:rPr>
          <w:rFonts w:ascii="宋体" w:hAnsi="宋体"/>
          <w:color w:val="auto"/>
          <w:szCs w:val="21"/>
        </w:rPr>
        <w:t>[2011]534</w:t>
      </w:r>
      <w:r>
        <w:rPr>
          <w:rFonts w:hint="eastAsia" w:ascii="宋体" w:hAnsi="宋体"/>
          <w:color w:val="auto"/>
          <w:szCs w:val="21"/>
        </w:rPr>
        <w:t>号）中第四条规定。货物、服务、工程一次招标（完成一次招标投标全流程）代理服务费最高限额分别为</w:t>
      </w:r>
      <w:r>
        <w:rPr>
          <w:rFonts w:ascii="宋体" w:hAnsi="宋体"/>
          <w:color w:val="auto"/>
          <w:szCs w:val="21"/>
        </w:rPr>
        <w:t>350</w:t>
      </w:r>
      <w:r>
        <w:rPr>
          <w:rFonts w:hint="eastAsia" w:ascii="宋体" w:hAnsi="宋体"/>
          <w:color w:val="auto"/>
          <w:szCs w:val="21"/>
        </w:rPr>
        <w:t>万元、</w:t>
      </w:r>
      <w:r>
        <w:rPr>
          <w:rFonts w:ascii="宋体" w:hAnsi="宋体"/>
          <w:color w:val="auto"/>
          <w:szCs w:val="21"/>
        </w:rPr>
        <w:t>300</w:t>
      </w:r>
      <w:r>
        <w:rPr>
          <w:rFonts w:hint="eastAsia" w:ascii="宋体" w:hAnsi="宋体"/>
          <w:color w:val="auto"/>
          <w:szCs w:val="21"/>
        </w:rPr>
        <w:t>万元和</w:t>
      </w:r>
      <w:r>
        <w:rPr>
          <w:rFonts w:ascii="宋体" w:hAnsi="宋体"/>
          <w:color w:val="auto"/>
          <w:szCs w:val="21"/>
        </w:rPr>
        <w:t>450</w:t>
      </w:r>
      <w:r>
        <w:rPr>
          <w:rFonts w:hint="eastAsia" w:ascii="宋体" w:hAnsi="宋体"/>
          <w:color w:val="auto"/>
          <w:szCs w:val="21"/>
        </w:rPr>
        <w:t>万元，</w:t>
      </w:r>
      <w:r>
        <w:rPr>
          <w:rFonts w:hint="eastAsia" w:ascii="宋体" w:hAnsi="宋体"/>
          <w:bCs/>
          <w:color w:val="auto"/>
          <w:szCs w:val="21"/>
        </w:rPr>
        <w:t>并按各标中标标的计算各标段招标代理服务费</w:t>
      </w:r>
      <w:r>
        <w:rPr>
          <w:rFonts w:hint="eastAsia" w:ascii="宋体" w:hAnsi="宋体"/>
          <w:b/>
          <w:bCs/>
          <w:color w:val="auto"/>
          <w:szCs w:val="21"/>
        </w:rPr>
        <w:t>。</w:t>
      </w:r>
    </w:p>
    <w:p>
      <w:pPr>
        <w:spacing w:line="400" w:lineRule="exact"/>
        <w:rPr>
          <w:rFonts w:ascii="宋体" w:hAnsi="宋体"/>
          <w:color w:val="auto"/>
          <w:szCs w:val="21"/>
        </w:rPr>
      </w:pPr>
      <w:r>
        <w:rPr>
          <w:rFonts w:ascii="宋体" w:hAnsi="宋体"/>
          <w:color w:val="auto"/>
          <w:szCs w:val="21"/>
        </w:rPr>
        <w:t>3. 1</w:t>
      </w:r>
      <w:r>
        <w:rPr>
          <w:rFonts w:hint="eastAsia" w:ascii="宋体" w:hAnsi="宋体"/>
          <w:color w:val="auto"/>
          <w:szCs w:val="21"/>
        </w:rPr>
        <w:t>亿以上项目的按</w:t>
      </w:r>
      <w:r>
        <w:rPr>
          <w:rFonts w:ascii="宋体" w:hAnsi="宋体"/>
          <w:color w:val="auto"/>
          <w:szCs w:val="21"/>
        </w:rPr>
        <w:t>1亿收取费用。</w:t>
      </w:r>
    </w:p>
    <w:p>
      <w:pPr>
        <w:rPr>
          <w:color w:val="auto"/>
        </w:rPr>
      </w:pPr>
      <w:r>
        <w:rPr>
          <w:color w:val="auto"/>
        </w:rPr>
        <w:br w:type="page"/>
      </w:r>
    </w:p>
    <w:p>
      <w:pPr>
        <w:pStyle w:val="77"/>
        <w:spacing w:before="240" w:after="120"/>
        <w:rPr>
          <w:rFonts w:ascii="宋体" w:hAnsi="宋体" w:eastAsia="宋体" w:cs="宋体"/>
          <w:b/>
          <w:bCs w:val="0"/>
          <w:color w:val="auto"/>
          <w:kern w:val="0"/>
          <w:sz w:val="28"/>
          <w:szCs w:val="28"/>
        </w:rPr>
      </w:pPr>
      <w:bookmarkStart w:id="419" w:name="_Toc447265559"/>
      <w:bookmarkStart w:id="420" w:name="_Toc56432213"/>
      <w:bookmarkStart w:id="421" w:name="_Toc28913"/>
      <w:bookmarkStart w:id="422" w:name="_Toc14006"/>
      <w:bookmarkStart w:id="423" w:name="_Toc27218"/>
      <w:bookmarkStart w:id="424" w:name="_Toc16927"/>
      <w:bookmarkStart w:id="425" w:name="_Toc447265273"/>
      <w:r>
        <w:rPr>
          <w:rFonts w:hint="eastAsia" w:ascii="宋体" w:hAnsi="宋体" w:eastAsia="宋体" w:cs="宋体"/>
          <w:b/>
          <w:bCs w:val="0"/>
          <w:color w:val="auto"/>
          <w:kern w:val="0"/>
          <w:sz w:val="28"/>
          <w:szCs w:val="28"/>
        </w:rPr>
        <w:t>第三章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评审办法（综合评估法）</w:t>
      </w:r>
      <w:bookmarkEnd w:id="419"/>
      <w:bookmarkEnd w:id="420"/>
      <w:bookmarkEnd w:id="421"/>
      <w:bookmarkEnd w:id="422"/>
      <w:bookmarkEnd w:id="423"/>
      <w:bookmarkEnd w:id="424"/>
      <w:bookmarkEnd w:id="425"/>
    </w:p>
    <w:tbl>
      <w:tblPr>
        <w:tblStyle w:val="4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评审项</w:t>
            </w:r>
          </w:p>
        </w:tc>
        <w:tc>
          <w:tcPr>
            <w:tcW w:w="4261" w:type="dxa"/>
            <w:vAlign w:val="center"/>
          </w:tcPr>
          <w:p>
            <w:pPr>
              <w:jc w:val="center"/>
              <w:rPr>
                <w:b/>
                <w:color w:val="auto"/>
                <w:sz w:val="24"/>
              </w:rPr>
            </w:pPr>
            <w:r>
              <w:rPr>
                <w:rFonts w:hint="eastAsia"/>
                <w:b/>
                <w:color w:val="auto"/>
                <w:sz w:val="24"/>
              </w:rPr>
              <w:t>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技术审查</w:t>
            </w:r>
          </w:p>
        </w:tc>
        <w:tc>
          <w:tcPr>
            <w:tcW w:w="4261" w:type="dxa"/>
            <w:vAlign w:val="center"/>
          </w:tcPr>
          <w:p>
            <w:pPr>
              <w:jc w:val="center"/>
              <w:rPr>
                <w:b/>
                <w:color w:val="auto"/>
                <w:sz w:val="24"/>
              </w:rPr>
            </w:pPr>
            <w:r>
              <w:rPr>
                <w:rFonts w:hint="eastAsia"/>
                <w:b/>
                <w:color w:val="auto"/>
                <w:sz w:val="24"/>
                <w:lang w:val="en-US" w:eastAsia="zh-CN"/>
              </w:rPr>
              <w:t>5</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商务审查</w:t>
            </w:r>
          </w:p>
        </w:tc>
        <w:tc>
          <w:tcPr>
            <w:tcW w:w="4261" w:type="dxa"/>
            <w:vAlign w:val="center"/>
          </w:tcPr>
          <w:p>
            <w:pPr>
              <w:jc w:val="center"/>
              <w:rPr>
                <w:b/>
                <w:color w:val="auto"/>
                <w:sz w:val="24"/>
              </w:rPr>
            </w:pPr>
            <w:r>
              <w:rPr>
                <w:rFonts w:hint="eastAsia"/>
                <w:b/>
                <w:color w:val="auto"/>
                <w:sz w:val="24"/>
                <w:lang w:val="en-US" w:eastAsia="zh-CN"/>
              </w:rPr>
              <w:t>3</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价格评审</w:t>
            </w:r>
          </w:p>
        </w:tc>
        <w:tc>
          <w:tcPr>
            <w:tcW w:w="4261" w:type="dxa"/>
            <w:vAlign w:val="center"/>
          </w:tcPr>
          <w:p>
            <w:pPr>
              <w:jc w:val="center"/>
              <w:rPr>
                <w:b/>
                <w:color w:val="auto"/>
                <w:sz w:val="24"/>
              </w:rPr>
            </w:pPr>
            <w:r>
              <w:rPr>
                <w:rFonts w:hint="eastAsia"/>
                <w:b/>
                <w:color w:val="auto"/>
                <w:sz w:val="24"/>
                <w:lang w:val="en-US" w:eastAsia="zh-CN"/>
              </w:rPr>
              <w:t>2</w:t>
            </w:r>
            <w:r>
              <w:rPr>
                <w:b/>
                <w:color w:val="auto"/>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261" w:type="dxa"/>
            <w:vAlign w:val="center"/>
          </w:tcPr>
          <w:p>
            <w:pPr>
              <w:jc w:val="center"/>
              <w:rPr>
                <w:b/>
                <w:color w:val="auto"/>
                <w:sz w:val="24"/>
              </w:rPr>
            </w:pPr>
            <w:r>
              <w:rPr>
                <w:rFonts w:hint="eastAsia"/>
                <w:b/>
                <w:color w:val="auto"/>
                <w:sz w:val="24"/>
              </w:rPr>
              <w:t>总和</w:t>
            </w:r>
          </w:p>
        </w:tc>
        <w:tc>
          <w:tcPr>
            <w:tcW w:w="4261" w:type="dxa"/>
            <w:vAlign w:val="center"/>
          </w:tcPr>
          <w:p>
            <w:pPr>
              <w:jc w:val="center"/>
              <w:rPr>
                <w:b/>
                <w:color w:val="auto"/>
                <w:sz w:val="24"/>
              </w:rPr>
            </w:pPr>
            <w:r>
              <w:rPr>
                <w:b/>
                <w:color w:val="auto"/>
                <w:sz w:val="24"/>
              </w:rPr>
              <w:t>100</w:t>
            </w:r>
          </w:p>
        </w:tc>
      </w:tr>
    </w:tbl>
    <w:p>
      <w:pPr>
        <w:rPr>
          <w:color w:val="auto"/>
        </w:rPr>
      </w:pPr>
    </w:p>
    <w:p>
      <w:pPr>
        <w:pStyle w:val="6"/>
        <w:snapToGrid w:val="0"/>
        <w:spacing w:before="240" w:after="120" w:line="240" w:lineRule="auto"/>
        <w:jc w:val="center"/>
        <w:rPr>
          <w:rFonts w:ascii="宋体" w:hAnsi="宋体" w:eastAsia="宋体" w:cs="宋体"/>
          <w:bCs w:val="0"/>
          <w:color w:val="auto"/>
          <w:sz w:val="21"/>
          <w:szCs w:val="24"/>
        </w:rPr>
      </w:pPr>
      <w:bookmarkStart w:id="426" w:name="_Toc11340"/>
      <w:bookmarkStart w:id="427" w:name="_Toc56432214"/>
      <w:bookmarkStart w:id="428" w:name="_Toc8100"/>
      <w:bookmarkStart w:id="429" w:name="_Toc3029"/>
      <w:bookmarkStart w:id="430" w:name="_Toc11520"/>
      <w:bookmarkStart w:id="431" w:name="_Toc107822520"/>
      <w:bookmarkStart w:id="432" w:name="_Toc447265276"/>
      <w:bookmarkStart w:id="433" w:name="_Toc227057922"/>
      <w:bookmarkStart w:id="434" w:name="_Toc226969316"/>
      <w:bookmarkStart w:id="435" w:name="_Toc447265562"/>
      <w:r>
        <w:rPr>
          <w:rFonts w:hint="eastAsia" w:ascii="宋体" w:hAnsi="宋体" w:eastAsia="宋体" w:cs="宋体"/>
          <w:bCs w:val="0"/>
          <w:color w:val="auto"/>
          <w:sz w:val="21"/>
          <w:szCs w:val="24"/>
        </w:rPr>
        <w:t>评审办法前附表</w:t>
      </w:r>
      <w:bookmarkEnd w:id="426"/>
      <w:bookmarkEnd w:id="427"/>
      <w:bookmarkEnd w:id="428"/>
      <w:bookmarkEnd w:id="429"/>
      <w:bookmarkEnd w:id="430"/>
    </w:p>
    <w:p>
      <w:pPr>
        <w:pStyle w:val="6"/>
        <w:rPr>
          <w:rFonts w:asciiTheme="minorEastAsia" w:hAnsiTheme="minorEastAsia" w:eastAsiaTheme="minorEastAsia"/>
          <w:b w:val="0"/>
          <w:color w:val="auto"/>
          <w:sz w:val="24"/>
        </w:rPr>
      </w:pPr>
      <w:bookmarkStart w:id="436" w:name="_Toc19724"/>
      <w:bookmarkStart w:id="437" w:name="_Toc56432215"/>
      <w:bookmarkStart w:id="438" w:name="_Toc21818"/>
      <w:bookmarkStart w:id="439" w:name="_Toc24697"/>
      <w:bookmarkStart w:id="440" w:name="_Toc5737"/>
      <w:r>
        <w:rPr>
          <w:rFonts w:asciiTheme="minorEastAsia" w:hAnsiTheme="minorEastAsia" w:eastAsiaTheme="minorEastAsia"/>
          <w:b w:val="0"/>
          <w:color w:val="auto"/>
          <w:sz w:val="24"/>
        </w:rPr>
        <w:t>1、初步评审表</w:t>
      </w:r>
      <w:bookmarkEnd w:id="436"/>
      <w:bookmarkEnd w:id="437"/>
      <w:bookmarkEnd w:id="438"/>
      <w:bookmarkEnd w:id="439"/>
      <w:bookmarkEnd w:id="440"/>
    </w:p>
    <w:tbl>
      <w:tblPr>
        <w:tblStyle w:val="4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099"/>
        <w:gridCol w:w="2199"/>
        <w:gridCol w:w="4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897" w:type="dxa"/>
            <w:gridSpan w:val="2"/>
            <w:vAlign w:val="center"/>
          </w:tcPr>
          <w:p>
            <w:pPr>
              <w:snapToGrid w:val="0"/>
              <w:jc w:val="center"/>
              <w:rPr>
                <w:rFonts w:ascii="宋体" w:hAnsi="宋体" w:cs="宋体"/>
                <w:color w:val="auto"/>
                <w:kern w:val="0"/>
                <w:szCs w:val="21"/>
              </w:rPr>
            </w:pPr>
            <w:r>
              <w:rPr>
                <w:rFonts w:hint="eastAsia" w:ascii="宋体" w:hAnsi="宋体" w:cs="宋体"/>
                <w:color w:val="auto"/>
                <w:szCs w:val="21"/>
              </w:rPr>
              <w:t>条款号</w:t>
            </w:r>
          </w:p>
        </w:tc>
        <w:tc>
          <w:tcPr>
            <w:tcW w:w="2199" w:type="dxa"/>
            <w:vAlign w:val="center"/>
          </w:tcPr>
          <w:p>
            <w:pPr>
              <w:snapToGrid w:val="0"/>
              <w:jc w:val="center"/>
              <w:rPr>
                <w:rFonts w:ascii="宋体" w:hAnsi="宋体" w:cs="宋体"/>
                <w:color w:val="auto"/>
                <w:szCs w:val="21"/>
              </w:rPr>
            </w:pPr>
            <w:r>
              <w:rPr>
                <w:rFonts w:hint="eastAsia" w:ascii="宋体" w:hAnsi="宋体" w:cs="宋体"/>
                <w:color w:val="auto"/>
                <w:kern w:val="0"/>
                <w:szCs w:val="21"/>
              </w:rPr>
              <w:t>评审因素</w:t>
            </w:r>
          </w:p>
        </w:tc>
        <w:tc>
          <w:tcPr>
            <w:tcW w:w="4426" w:type="dxa"/>
            <w:vAlign w:val="center"/>
          </w:tcPr>
          <w:p>
            <w:pPr>
              <w:snapToGrid w:val="0"/>
              <w:jc w:val="center"/>
              <w:rPr>
                <w:rFonts w:ascii="宋体" w:hAnsi="宋体" w:cs="宋体"/>
                <w:color w:val="auto"/>
                <w:szCs w:val="21"/>
              </w:rPr>
            </w:pPr>
            <w:r>
              <w:rPr>
                <w:rFonts w:hint="eastAsia" w:ascii="宋体" w:hAnsi="宋体" w:cs="宋体"/>
                <w:color w:val="auto"/>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798" w:type="dxa"/>
            <w:vMerge w:val="restart"/>
            <w:vAlign w:val="center"/>
          </w:tcPr>
          <w:p>
            <w:pPr>
              <w:snapToGrid w:val="0"/>
              <w:jc w:val="center"/>
              <w:rPr>
                <w:rFonts w:ascii="宋体" w:hAnsi="宋体" w:cs="宋体"/>
                <w:color w:val="auto"/>
                <w:szCs w:val="21"/>
              </w:rPr>
            </w:pPr>
            <w:r>
              <w:rPr>
                <w:rFonts w:ascii="宋体" w:hAnsi="宋体" w:cs="宋体"/>
                <w:color w:val="auto"/>
                <w:szCs w:val="21"/>
              </w:rPr>
              <w:t>2.1</w:t>
            </w:r>
            <w:r>
              <w:rPr>
                <w:rFonts w:hint="eastAsia" w:ascii="宋体" w:hAnsi="宋体"/>
                <w:color w:val="auto"/>
                <w:szCs w:val="21"/>
              </w:rPr>
              <w:t>初步评审</w:t>
            </w:r>
          </w:p>
        </w:tc>
        <w:tc>
          <w:tcPr>
            <w:tcW w:w="1099" w:type="dxa"/>
            <w:vMerge w:val="restart"/>
            <w:vAlign w:val="center"/>
          </w:tcPr>
          <w:p>
            <w:pPr>
              <w:snapToGrid w:val="0"/>
              <w:jc w:val="center"/>
              <w:rPr>
                <w:rFonts w:ascii="宋体" w:hAnsi="宋体" w:cs="宋体"/>
                <w:color w:val="auto"/>
                <w:kern w:val="0"/>
                <w:szCs w:val="21"/>
              </w:rPr>
            </w:pPr>
            <w:r>
              <w:rPr>
                <w:rFonts w:hint="eastAsia" w:ascii="宋体" w:hAnsi="宋体" w:cs="宋体"/>
                <w:color w:val="auto"/>
                <w:kern w:val="0"/>
                <w:szCs w:val="21"/>
              </w:rPr>
              <w:t>形式评审</w:t>
            </w: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投标人名称</w:t>
            </w:r>
          </w:p>
        </w:tc>
        <w:tc>
          <w:tcPr>
            <w:tcW w:w="4426" w:type="dxa"/>
          </w:tcPr>
          <w:p>
            <w:pPr>
              <w:rPr>
                <w:rFonts w:ascii="宋体" w:hAnsi="宋体"/>
                <w:color w:val="auto"/>
                <w:szCs w:val="21"/>
              </w:rPr>
            </w:pPr>
            <w:r>
              <w:rPr>
                <w:rFonts w:hint="eastAsia" w:ascii="宋体" w:hAnsi="宋体"/>
                <w:color w:val="auto"/>
                <w:szCs w:val="21"/>
              </w:rPr>
              <w:t>与营业执照、盖章落款一致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法人代表证明书及法人授权书</w:t>
            </w:r>
          </w:p>
        </w:tc>
        <w:tc>
          <w:tcPr>
            <w:tcW w:w="4426" w:type="dxa"/>
          </w:tcPr>
          <w:p>
            <w:pPr>
              <w:jc w:val="left"/>
              <w:rPr>
                <w:rFonts w:ascii="宋体" w:hAnsi="宋体"/>
                <w:color w:val="auto"/>
                <w:szCs w:val="21"/>
              </w:rPr>
            </w:pPr>
            <w:r>
              <w:rPr>
                <w:rFonts w:hint="eastAsia" w:ascii="宋体" w:hAnsi="宋体"/>
                <w:color w:val="auto"/>
                <w:szCs w:val="21"/>
              </w:rPr>
              <w:t>符合第六章“投标文件格式”要求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投标报价</w:t>
            </w:r>
          </w:p>
        </w:tc>
        <w:tc>
          <w:tcPr>
            <w:tcW w:w="4426" w:type="dxa"/>
          </w:tcPr>
          <w:p>
            <w:pPr>
              <w:rPr>
                <w:rFonts w:ascii="宋体" w:hAnsi="宋体"/>
                <w:color w:val="auto"/>
                <w:szCs w:val="21"/>
              </w:rPr>
            </w:pPr>
            <w:r>
              <w:rPr>
                <w:rFonts w:hint="eastAsia"/>
                <w:color w:val="auto"/>
                <w:szCs w:val="21"/>
              </w:rPr>
              <w:t>按照招标文件要求进行报价，不超过项目预算。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vAlign w:val="center"/>
          </w:tcPr>
          <w:p>
            <w:pPr>
              <w:spacing w:line="440" w:lineRule="exact"/>
              <w:jc w:val="center"/>
              <w:rPr>
                <w:rFonts w:ascii="宋体" w:hAnsi="宋体"/>
                <w:color w:val="auto"/>
                <w:szCs w:val="21"/>
              </w:rPr>
            </w:pPr>
            <w:r>
              <w:rPr>
                <w:rFonts w:hint="eastAsia" w:ascii="宋体" w:hAnsi="宋体"/>
                <w:color w:val="auto"/>
                <w:szCs w:val="21"/>
              </w:rPr>
              <w:t>投标保证金</w:t>
            </w:r>
          </w:p>
        </w:tc>
        <w:tc>
          <w:tcPr>
            <w:tcW w:w="4426" w:type="dxa"/>
          </w:tcPr>
          <w:p>
            <w:pPr>
              <w:rPr>
                <w:rFonts w:ascii="宋体" w:hAnsi="宋体"/>
                <w:color w:val="auto"/>
                <w:szCs w:val="21"/>
              </w:rPr>
            </w:pPr>
            <w:r>
              <w:rPr>
                <w:rFonts w:hint="eastAsia"/>
                <w:color w:val="auto"/>
                <w:szCs w:val="21"/>
              </w:rPr>
              <w:t>按照招标文件要求的金额及形式提交投标保证金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tcPr>
          <w:p>
            <w:pPr>
              <w:spacing w:line="440" w:lineRule="exact"/>
              <w:jc w:val="center"/>
              <w:rPr>
                <w:rFonts w:ascii="宋体" w:hAnsi="宋体"/>
                <w:color w:val="auto"/>
                <w:szCs w:val="21"/>
              </w:rPr>
            </w:pPr>
            <w:r>
              <w:rPr>
                <w:rFonts w:hint="eastAsia" w:ascii="宋体" w:hAnsi="宋体"/>
                <w:color w:val="auto"/>
                <w:szCs w:val="21"/>
              </w:rPr>
              <w:t>商务合同条款偏离表</w:t>
            </w:r>
          </w:p>
        </w:tc>
        <w:tc>
          <w:tcPr>
            <w:tcW w:w="4426" w:type="dxa"/>
          </w:tcPr>
          <w:p>
            <w:pPr>
              <w:rPr>
                <w:rFonts w:ascii="宋体" w:hAnsi="宋体"/>
                <w:color w:val="auto"/>
                <w:szCs w:val="21"/>
              </w:rPr>
            </w:pPr>
            <w:r>
              <w:rPr>
                <w:rFonts w:hint="eastAsia" w:ascii="宋体" w:hAnsi="宋体"/>
                <w:color w:val="auto"/>
                <w:szCs w:val="21"/>
              </w:rPr>
              <w:t>填写《商务合同条款偏离表》，且对加“★”条款不存在负偏离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tcPr>
          <w:p>
            <w:pPr>
              <w:spacing w:line="440" w:lineRule="exact"/>
              <w:jc w:val="center"/>
              <w:rPr>
                <w:rFonts w:ascii="宋体" w:hAnsi="宋体"/>
                <w:color w:val="auto"/>
                <w:szCs w:val="21"/>
              </w:rPr>
            </w:pPr>
            <w:r>
              <w:rPr>
                <w:rFonts w:hint="eastAsia" w:ascii="宋体" w:hAnsi="宋体"/>
                <w:color w:val="auto"/>
                <w:szCs w:val="21"/>
              </w:rPr>
              <w:t>采购需求条款偏离表</w:t>
            </w:r>
          </w:p>
        </w:tc>
        <w:tc>
          <w:tcPr>
            <w:tcW w:w="4426" w:type="dxa"/>
          </w:tcPr>
          <w:p>
            <w:pPr>
              <w:rPr>
                <w:rFonts w:ascii="宋体" w:hAnsi="宋体"/>
                <w:color w:val="auto"/>
                <w:szCs w:val="21"/>
              </w:rPr>
            </w:pPr>
            <w:r>
              <w:rPr>
                <w:rFonts w:hint="eastAsia" w:ascii="宋体" w:hAnsi="宋体"/>
                <w:color w:val="auto"/>
                <w:szCs w:val="21"/>
              </w:rPr>
              <w:t>填写《采购需求条款偏离表》，且对加“★”条款不存在负偏离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Merge w:val="continue"/>
          </w:tcPr>
          <w:p>
            <w:pPr>
              <w:snapToGrid w:val="0"/>
              <w:jc w:val="center"/>
              <w:rPr>
                <w:rFonts w:ascii="宋体" w:hAnsi="宋体" w:cs="宋体"/>
                <w:color w:val="auto"/>
                <w:szCs w:val="21"/>
              </w:rPr>
            </w:pPr>
          </w:p>
        </w:tc>
        <w:tc>
          <w:tcPr>
            <w:tcW w:w="2199" w:type="dxa"/>
          </w:tcPr>
          <w:p>
            <w:pPr>
              <w:spacing w:line="440" w:lineRule="exact"/>
              <w:jc w:val="center"/>
              <w:rPr>
                <w:rFonts w:ascii="宋体" w:hAnsi="宋体"/>
                <w:color w:val="auto"/>
                <w:szCs w:val="21"/>
              </w:rPr>
            </w:pPr>
            <w:r>
              <w:rPr>
                <w:rFonts w:hint="eastAsia" w:ascii="宋体" w:hAnsi="宋体"/>
                <w:color w:val="auto"/>
                <w:szCs w:val="21"/>
              </w:rPr>
              <w:t>投标文件的签署和盖章</w:t>
            </w:r>
          </w:p>
        </w:tc>
        <w:tc>
          <w:tcPr>
            <w:tcW w:w="4426" w:type="dxa"/>
          </w:tcPr>
          <w:p>
            <w:pPr>
              <w:rPr>
                <w:rFonts w:ascii="宋体" w:hAnsi="宋体"/>
                <w:color w:val="auto"/>
                <w:szCs w:val="21"/>
              </w:rPr>
            </w:pPr>
            <w:r>
              <w:rPr>
                <w:rFonts w:hint="eastAsia" w:ascii="宋体" w:hAnsi="宋体"/>
                <w:color w:val="auto"/>
                <w:szCs w:val="21"/>
              </w:rPr>
              <w:t>投标文件中凡出现投标人单位落款的地方应盖单位公章，如使用依照国家行政部门要求已备案的投标专用章、业务专用章的，应提供所使用印章的合法备案证明（复印件需加盖公章）。同时投标文件签字盖章必须符合以下其中一种：</w:t>
            </w:r>
          </w:p>
          <w:p>
            <w:pPr>
              <w:rPr>
                <w:rFonts w:ascii="宋体" w:hAnsi="宋体"/>
                <w:color w:val="auto"/>
                <w:szCs w:val="21"/>
              </w:rPr>
            </w:pPr>
            <w:r>
              <w:rPr>
                <w:rFonts w:ascii="宋体" w:hAnsi="宋体"/>
                <w:color w:val="auto"/>
                <w:szCs w:val="21"/>
              </w:rPr>
              <w:t>1)</w:t>
            </w:r>
            <w:r>
              <w:rPr>
                <w:rFonts w:ascii="宋体" w:hAnsi="宋体"/>
                <w:color w:val="auto"/>
                <w:szCs w:val="21"/>
              </w:rPr>
              <w:tab/>
            </w:r>
            <w:r>
              <w:rPr>
                <w:rFonts w:hint="eastAsia" w:ascii="宋体" w:hAnsi="宋体"/>
                <w:color w:val="auto"/>
                <w:szCs w:val="21"/>
              </w:rPr>
              <w:t>投标人的法定代表人（负责人）或其授权的代理人逐页签字或加盖签字章；</w:t>
            </w:r>
          </w:p>
          <w:p>
            <w:pPr>
              <w:rPr>
                <w:rFonts w:ascii="宋体" w:hAnsi="宋体"/>
                <w:color w:val="auto"/>
                <w:szCs w:val="21"/>
              </w:rPr>
            </w:pPr>
            <w:r>
              <w:rPr>
                <w:rFonts w:ascii="宋体" w:hAnsi="宋体"/>
                <w:color w:val="auto"/>
                <w:szCs w:val="21"/>
              </w:rPr>
              <w:t>2)</w:t>
            </w:r>
            <w:r>
              <w:rPr>
                <w:rFonts w:ascii="宋体" w:hAnsi="宋体"/>
                <w:color w:val="auto"/>
                <w:szCs w:val="21"/>
              </w:rPr>
              <w:tab/>
            </w:r>
            <w:r>
              <w:rPr>
                <w:rFonts w:hint="eastAsia" w:ascii="宋体" w:hAnsi="宋体"/>
                <w:color w:val="auto"/>
                <w:szCs w:val="21"/>
              </w:rPr>
              <w:t>加盖投标人单位骑缝章；</w:t>
            </w:r>
          </w:p>
          <w:p>
            <w:pPr>
              <w:rPr>
                <w:rFonts w:ascii="宋体" w:hAnsi="宋体"/>
                <w:color w:val="auto"/>
                <w:szCs w:val="21"/>
              </w:rPr>
            </w:pPr>
            <w:r>
              <w:rPr>
                <w:rFonts w:ascii="宋体" w:hAnsi="宋体"/>
                <w:color w:val="auto"/>
                <w:szCs w:val="21"/>
              </w:rPr>
              <w:t>3)</w:t>
            </w:r>
            <w:r>
              <w:rPr>
                <w:rFonts w:ascii="宋体" w:hAnsi="宋体"/>
                <w:color w:val="auto"/>
                <w:szCs w:val="21"/>
              </w:rPr>
              <w:tab/>
            </w:r>
            <w:r>
              <w:rPr>
                <w:rFonts w:hint="eastAsia" w:ascii="宋体" w:hAnsi="宋体"/>
                <w:color w:val="auto"/>
                <w:szCs w:val="21"/>
              </w:rPr>
              <w:t>逐页加盖投标人单位印章。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798" w:type="dxa"/>
            <w:vMerge w:val="continue"/>
            <w:vAlign w:val="center"/>
          </w:tcPr>
          <w:p>
            <w:pPr>
              <w:snapToGrid w:val="0"/>
              <w:ind w:firstLine="420" w:firstLineChars="200"/>
              <w:jc w:val="center"/>
              <w:rPr>
                <w:rFonts w:ascii="宋体" w:hAnsi="宋体" w:cs="宋体"/>
                <w:color w:val="auto"/>
                <w:szCs w:val="21"/>
              </w:rPr>
            </w:pPr>
          </w:p>
        </w:tc>
        <w:tc>
          <w:tcPr>
            <w:tcW w:w="1099" w:type="dxa"/>
            <w:vAlign w:val="center"/>
          </w:tcPr>
          <w:p>
            <w:pPr>
              <w:snapToGrid w:val="0"/>
              <w:jc w:val="center"/>
              <w:rPr>
                <w:rFonts w:ascii="宋体" w:hAnsi="宋体" w:cs="宋体"/>
                <w:color w:val="auto"/>
                <w:szCs w:val="21"/>
              </w:rPr>
            </w:pPr>
            <w:r>
              <w:rPr>
                <w:rFonts w:hint="eastAsia" w:ascii="宋体" w:hAnsi="宋体" w:cs="宋体"/>
                <w:color w:val="auto"/>
                <w:szCs w:val="21"/>
              </w:rPr>
              <w:t>资格评审</w:t>
            </w:r>
          </w:p>
        </w:tc>
        <w:tc>
          <w:tcPr>
            <w:tcW w:w="2199" w:type="dxa"/>
            <w:vAlign w:val="center"/>
          </w:tcPr>
          <w:p>
            <w:pPr>
              <w:snapToGrid w:val="0"/>
              <w:jc w:val="center"/>
              <w:rPr>
                <w:rFonts w:ascii="宋体" w:hAnsi="宋体" w:cs="宋体"/>
                <w:color w:val="auto"/>
                <w:szCs w:val="21"/>
              </w:rPr>
            </w:pPr>
            <w:r>
              <w:rPr>
                <w:rFonts w:hint="eastAsia" w:ascii="宋体" w:hAnsi="宋体"/>
                <w:color w:val="auto"/>
                <w:szCs w:val="21"/>
              </w:rPr>
              <w:t>资格要求</w:t>
            </w:r>
          </w:p>
        </w:tc>
        <w:tc>
          <w:tcPr>
            <w:tcW w:w="4426" w:type="dxa"/>
            <w:vAlign w:val="center"/>
          </w:tcPr>
          <w:p>
            <w:pPr>
              <w:snapToGrid w:val="0"/>
              <w:jc w:val="left"/>
              <w:rPr>
                <w:rFonts w:hint="eastAsia" w:ascii="宋体" w:hAnsi="宋体" w:cs="宋体"/>
                <w:color w:val="auto"/>
                <w:szCs w:val="21"/>
              </w:rPr>
            </w:pPr>
            <w:r>
              <w:rPr>
                <w:rFonts w:hint="eastAsia" w:ascii="宋体" w:hAnsi="宋体" w:cs="宋体"/>
                <w:color w:val="auto"/>
                <w:szCs w:val="21"/>
                <w:lang w:val="en-US" w:eastAsia="zh-CN"/>
              </w:rPr>
              <w:t>1.</w:t>
            </w:r>
            <w:r>
              <w:rPr>
                <w:rFonts w:hint="eastAsia" w:ascii="宋体" w:hAnsi="宋体" w:cs="宋体"/>
                <w:color w:val="auto"/>
                <w:szCs w:val="21"/>
              </w:rPr>
              <w:t>投标人须在中华人民共和国境内注册的具有独立承担民事责任能力的法人或其他组织，提供营业执照或事业法人证书（分公司投标须得到总公司授权，同时提供总公司营业执照及盖章授权函）；（适用于标段1、标段2）</w:t>
            </w:r>
          </w:p>
          <w:p>
            <w:pPr>
              <w:snapToGrid w:val="0"/>
              <w:jc w:val="left"/>
              <w:rPr>
                <w:rFonts w:hint="eastAsia" w:ascii="宋体" w:hAnsi="宋体" w:cs="宋体"/>
                <w:color w:val="auto"/>
                <w:szCs w:val="21"/>
              </w:rPr>
            </w:pPr>
            <w:r>
              <w:rPr>
                <w:rFonts w:hint="eastAsia" w:ascii="宋体" w:hAnsi="宋体" w:cs="宋体"/>
                <w:color w:val="auto"/>
                <w:szCs w:val="21"/>
              </w:rPr>
              <w:t>2.投标人在“信用中国”网站（www.creditchina.gov.cn）、中国政府采购网（www.ccgp.gov.cn）没有被列入失信被执行人、重大税收违法失信主体、政府采购严重违法失信行为记录名单（以开标时在“信用中国”网站（www.creditchina.gov.cn）及中国政府采购网(www.ccgp.gov.cn)查询结果为准，如相关失信记录已失效，投标人需提供相关证明资料）；（适用于标段1、标段2）</w:t>
            </w:r>
          </w:p>
          <w:p>
            <w:pPr>
              <w:snapToGrid w:val="0"/>
              <w:jc w:val="left"/>
              <w:rPr>
                <w:rFonts w:hint="eastAsia" w:ascii="宋体" w:hAnsi="宋体" w:cs="宋体"/>
                <w:color w:val="auto"/>
                <w:szCs w:val="21"/>
              </w:rPr>
            </w:pPr>
            <w:r>
              <w:rPr>
                <w:rFonts w:hint="eastAsia" w:ascii="宋体" w:hAnsi="宋体" w:cs="宋体"/>
                <w:color w:val="auto"/>
                <w:szCs w:val="21"/>
                <w:lang w:val="en-US" w:eastAsia="zh-CN"/>
              </w:rPr>
              <w:t>3.</w:t>
            </w:r>
            <w:r>
              <w:rPr>
                <w:rFonts w:hint="eastAsia" w:ascii="宋体" w:hAnsi="宋体" w:cs="宋体"/>
                <w:color w:val="auto"/>
                <w:szCs w:val="21"/>
              </w:rPr>
              <w:t>单位负责人为同一人或者存在直接控股、管理关系的不同供应商，不得参加同一标段投标或者未划分标段的同一招标项目投标，以《投标人控股及管理关系情况申报表》填报的内容进行评审；（适用于标段1、标段2）</w:t>
            </w:r>
          </w:p>
          <w:p>
            <w:pPr>
              <w:snapToGrid w:val="0"/>
              <w:jc w:val="left"/>
              <w:rPr>
                <w:rFonts w:ascii="宋体" w:hAnsi="宋体" w:cs="宋体"/>
                <w:color w:val="auto"/>
                <w:szCs w:val="21"/>
              </w:rPr>
            </w:pPr>
            <w:r>
              <w:rPr>
                <w:rFonts w:hint="eastAsia" w:ascii="宋体" w:hAnsi="宋体" w:cs="宋体"/>
                <w:color w:val="auto"/>
                <w:szCs w:val="21"/>
                <w:lang w:val="en-US" w:eastAsia="zh-CN"/>
              </w:rPr>
              <w:t>4.</w:t>
            </w:r>
            <w:r>
              <w:rPr>
                <w:rFonts w:hint="eastAsia" w:ascii="宋体" w:hAnsi="宋体" w:cs="宋体"/>
                <w:color w:val="auto"/>
                <w:szCs w:val="21"/>
              </w:rPr>
              <w:t>本标段不接受联合体投标，不允许转包、违法分包。（适用于标段1、标段2）</w:t>
            </w:r>
          </w:p>
        </w:tc>
      </w:tr>
    </w:tbl>
    <w:p>
      <w:pPr>
        <w:widowControl/>
        <w:jc w:val="left"/>
        <w:rPr>
          <w:rFonts w:ascii="宋体" w:hAnsi="宋体" w:cs="宋体"/>
          <w:color w:val="auto"/>
          <w:szCs w:val="21"/>
        </w:rPr>
      </w:pPr>
    </w:p>
    <w:p>
      <w:pPr>
        <w:widowControl/>
        <w:jc w:val="left"/>
        <w:rPr>
          <w:rFonts w:ascii="宋体" w:hAnsi="宋体" w:cs="宋体"/>
          <w:color w:val="auto"/>
          <w:sz w:val="28"/>
          <w:szCs w:val="28"/>
        </w:rPr>
      </w:pPr>
      <w:r>
        <w:rPr>
          <w:rFonts w:ascii="宋体" w:hAnsi="宋体" w:cs="宋体"/>
          <w:color w:val="auto"/>
          <w:sz w:val="28"/>
          <w:szCs w:val="28"/>
        </w:rPr>
        <w:br w:type="page"/>
      </w:r>
    </w:p>
    <w:p>
      <w:pPr>
        <w:pStyle w:val="6"/>
        <w:numPr>
          <w:ilvl w:val="0"/>
          <w:numId w:val="4"/>
        </w:numPr>
        <w:ind w:left="360" w:leftChars="0" w:hanging="360" w:firstLineChars="0"/>
        <w:rPr>
          <w:rFonts w:asciiTheme="minorEastAsia" w:hAnsiTheme="minorEastAsia" w:eastAsiaTheme="minorEastAsia"/>
          <w:b w:val="0"/>
          <w:color w:val="auto"/>
          <w:sz w:val="24"/>
        </w:rPr>
      </w:pPr>
      <w:bookmarkStart w:id="441" w:name="_Toc59548356"/>
      <w:bookmarkStart w:id="442" w:name="_Toc30857"/>
      <w:bookmarkStart w:id="443" w:name="_Toc9860"/>
      <w:bookmarkStart w:id="444" w:name="_Toc10134"/>
      <w:bookmarkStart w:id="445" w:name="_Toc4310"/>
      <w:r>
        <w:rPr>
          <w:rFonts w:asciiTheme="minorEastAsia" w:hAnsiTheme="minorEastAsia" w:eastAsiaTheme="minorEastAsia"/>
          <w:b w:val="0"/>
          <w:color w:val="auto"/>
          <w:sz w:val="24"/>
        </w:rPr>
        <w:t>技术评分表</w:t>
      </w:r>
      <w:bookmarkEnd w:id="441"/>
      <w:bookmarkEnd w:id="442"/>
      <w:bookmarkEnd w:id="443"/>
      <w:bookmarkEnd w:id="444"/>
      <w:bookmarkEnd w:id="445"/>
    </w:p>
    <w:p>
      <w:pPr>
        <w:keepNext w:val="0"/>
        <w:keepLines w:val="0"/>
        <w:pageBreakBefore w:val="0"/>
        <w:widowControl w:val="0"/>
        <w:numPr>
          <w:ilvl w:val="0"/>
          <w:numId w:val="0"/>
        </w:numPr>
        <w:kinsoku/>
        <w:wordWrap/>
        <w:overflowPunct/>
        <w:topLinePunct w:val="0"/>
        <w:autoSpaceDE/>
        <w:autoSpaceDN/>
        <w:bidi w:val="0"/>
        <w:adjustRightInd/>
        <w:snapToGrid/>
        <w:ind w:leftChars="0"/>
        <w:textAlignment w:val="auto"/>
        <w:outlineLvl w:val="2"/>
        <w:rPr>
          <w:rFonts w:hint="default" w:eastAsia="宋体"/>
          <w:b/>
          <w:bCs/>
          <w:color w:val="auto"/>
          <w:lang w:val="en-US" w:eastAsia="zh-CN"/>
        </w:rPr>
      </w:pPr>
      <w:bookmarkStart w:id="446" w:name="_Toc12060"/>
      <w:r>
        <w:rPr>
          <w:rFonts w:hint="eastAsia"/>
          <w:b/>
          <w:bCs/>
          <w:color w:val="auto"/>
          <w:lang w:val="en-US" w:eastAsia="zh-CN"/>
        </w:rPr>
        <w:t>标段1：</w:t>
      </w:r>
      <w:r>
        <w:rPr>
          <w:rFonts w:hint="eastAsia" w:ascii="宋体" w:hAnsi="宋体"/>
          <w:b/>
          <w:bCs/>
          <w:color w:val="auto"/>
          <w:sz w:val="21"/>
          <w:szCs w:val="21"/>
        </w:rPr>
        <w:t>多媒体设备定制及安装服务</w:t>
      </w:r>
      <w:bookmarkEnd w:id="446"/>
    </w:p>
    <w:tbl>
      <w:tblPr>
        <w:tblStyle w:val="4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7"/>
        <w:gridCol w:w="752"/>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bookmarkStart w:id="447" w:name="_Toc2592"/>
            <w:bookmarkStart w:id="448" w:name="_Toc13831"/>
            <w:bookmarkStart w:id="449" w:name="_Toc59548357"/>
            <w:bookmarkStart w:id="450" w:name="_Toc28311"/>
            <w:bookmarkStart w:id="451" w:name="_Toc56432217"/>
            <w:r>
              <w:rPr>
                <w:rFonts w:hint="eastAsia" w:ascii="宋体" w:hAnsi="宋体" w:cs="宋体"/>
                <w:b/>
                <w:bCs/>
                <w:color w:val="auto"/>
                <w:szCs w:val="21"/>
              </w:rPr>
              <w:t>评分项</w:t>
            </w:r>
          </w:p>
        </w:tc>
        <w:tc>
          <w:tcPr>
            <w:tcW w:w="6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技术</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lang w:val="en-US" w:eastAsia="zh-CN"/>
              </w:rPr>
              <w:t>5</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内容</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分值</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1</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val="0"/>
                <w:bCs w:val="0"/>
                <w:color w:val="auto"/>
                <w:szCs w:val="21"/>
                <w:lang w:val="en-US" w:eastAsia="zh-CN"/>
              </w:rPr>
            </w:pPr>
            <w:r>
              <w:rPr>
                <w:color w:val="auto"/>
              </w:rPr>
              <w:t>“▲”技术指标响应情况</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center"/>
          </w:tcPr>
          <w:p>
            <w:pPr>
              <w:jc w:val="left"/>
            </w:pPr>
            <w:r>
              <w:t>根据</w:t>
            </w:r>
            <w:r>
              <w:rPr>
                <w:rFonts w:hint="eastAsia"/>
              </w:rPr>
              <w:t>招标</w:t>
            </w:r>
            <w:r>
              <w:t>文件“第</w:t>
            </w:r>
            <w:r>
              <w:rPr>
                <w:rFonts w:hint="eastAsia"/>
              </w:rPr>
              <w:t>五</w:t>
            </w:r>
            <w:r>
              <w:t>部分 采购需求</w:t>
            </w:r>
            <w:r>
              <w:rPr>
                <w:rFonts w:hint="eastAsia"/>
              </w:rPr>
              <w:t>书</w:t>
            </w:r>
            <w:r>
              <w:t>”中标识“▲”的重要技术参数的响应情况进行评分：本</w:t>
            </w:r>
            <w:r>
              <w:rPr>
                <w:rFonts w:hint="eastAsia"/>
              </w:rPr>
              <w:t>项满分</w:t>
            </w:r>
            <w:r>
              <w:t>为</w:t>
            </w:r>
            <w:r>
              <w:rPr>
                <w:rFonts w:hint="eastAsia"/>
                <w:lang w:val="en-US" w:eastAsia="zh-CN"/>
              </w:rPr>
              <w:t>1</w:t>
            </w:r>
            <w:r>
              <w:rPr>
                <w:rFonts w:hint="eastAsia"/>
              </w:rPr>
              <w:t>0</w:t>
            </w:r>
            <w:r>
              <w:t xml:space="preserve">分，每有一项“▲”的重要技术参数不满足扣1分，扣完即止。 </w:t>
            </w:r>
          </w:p>
          <w:p>
            <w:pPr>
              <w:jc w:val="left"/>
            </w:pPr>
            <w:r>
              <w:t>注：</w:t>
            </w:r>
            <w:r>
              <w:rPr>
                <w:rFonts w:hint="eastAsia"/>
                <w:lang w:val="en-US" w:eastAsia="zh-CN"/>
              </w:rPr>
              <w:t>1、</w:t>
            </w:r>
            <w:r>
              <w:t>投标文件中提供“▲”号技术指标相应的</w:t>
            </w:r>
            <w:r>
              <w:rPr>
                <w:rFonts w:hint="eastAsia"/>
              </w:rPr>
              <w:t>证明</w:t>
            </w:r>
            <w:r>
              <w:t>文件的复印件加盖投标人公章（</w:t>
            </w:r>
            <w:r>
              <w:rPr>
                <w:rFonts w:hint="eastAsia"/>
              </w:rPr>
              <w:t>证明</w:t>
            </w:r>
            <w:r>
              <w:t>文件不限于产品说明书、产品说明手册、产品功能界面截图、检测报告或制造商出具的参数证明文件），若“▲”号指标有具体要求，以具体要求为准。未提供或未按要求提供相关证明材料的相应“▲”号指标视为负偏离作扣分处理。</w:t>
            </w:r>
          </w:p>
          <w:p>
            <w:pPr>
              <w:jc w:val="left"/>
              <w:rPr>
                <w:rFonts w:hint="eastAsia" w:eastAsia="宋体"/>
                <w:lang w:val="en-US" w:eastAsia="zh-CN"/>
              </w:rPr>
            </w:pPr>
            <w:r>
              <w:rPr>
                <w:rFonts w:hint="eastAsia"/>
                <w:lang w:val="en-US" w:eastAsia="zh-CN"/>
              </w:rPr>
              <w:t>2、需要提供相关证明材料的</w:t>
            </w:r>
            <w:r>
              <w:rPr>
                <w:rFonts w:hint="eastAsia"/>
              </w:rPr>
              <w:t>标</w:t>
            </w:r>
            <w:r>
              <w:rPr>
                <w:rFonts w:hint="eastAsia"/>
                <w:lang w:val="en-US" w:eastAsia="zh-CN"/>
              </w:rPr>
              <w:t>识为</w:t>
            </w:r>
            <w:r>
              <w:rPr>
                <w:rFonts w:hint="eastAsia"/>
              </w:rPr>
              <w:t>“▲”</w:t>
            </w:r>
            <w:r>
              <w:t>的</w:t>
            </w:r>
            <w:r>
              <w:rPr>
                <w:rFonts w:hint="eastAsia"/>
                <w:lang w:val="en-US" w:eastAsia="zh-CN"/>
              </w:rPr>
              <w:t>重要</w:t>
            </w:r>
            <w:r>
              <w:t>技术参数</w:t>
            </w:r>
            <w:r>
              <w:rPr>
                <w:rFonts w:hint="eastAsia"/>
                <w:lang w:val="en-US" w:eastAsia="zh-CN"/>
              </w:rPr>
              <w:t>条款详见《附表1：标识“▲”的重要技术参数条款》。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2</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color w:val="auto"/>
                <w:highlight w:val="none"/>
              </w:rPr>
            </w:pPr>
            <w:r>
              <w:rPr>
                <w:rFonts w:hint="eastAsia"/>
                <w:color w:val="auto"/>
                <w:highlight w:val="none"/>
              </w:rPr>
              <w:t>一般技术指标响应情况</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6849" w:type="dxa"/>
            <w:tcBorders>
              <w:top w:val="single" w:color="auto" w:sz="4" w:space="0"/>
              <w:left w:val="single" w:color="auto" w:sz="4" w:space="0"/>
              <w:bottom w:val="single" w:color="auto" w:sz="4" w:space="0"/>
              <w:right w:val="single" w:color="auto" w:sz="4" w:space="0"/>
            </w:tcBorders>
            <w:vAlign w:val="center"/>
          </w:tcPr>
          <w:p>
            <w:pPr>
              <w:jc w:val="left"/>
            </w:pPr>
            <w:r>
              <w:t>根据</w:t>
            </w:r>
            <w:r>
              <w:rPr>
                <w:rFonts w:hint="eastAsia"/>
              </w:rPr>
              <w:t>招标</w:t>
            </w:r>
            <w:r>
              <w:t>文件“第</w:t>
            </w:r>
            <w:r>
              <w:rPr>
                <w:rFonts w:hint="eastAsia"/>
              </w:rPr>
              <w:t>五</w:t>
            </w:r>
            <w:r>
              <w:t>部分 采购需求</w:t>
            </w:r>
            <w:r>
              <w:rPr>
                <w:rFonts w:hint="eastAsia"/>
              </w:rPr>
              <w:t>书</w:t>
            </w:r>
            <w:r>
              <w:t>”中</w:t>
            </w:r>
            <w:r>
              <w:rPr>
                <w:rFonts w:hint="eastAsia"/>
                <w:lang w:val="en-US" w:eastAsia="zh-CN"/>
              </w:rPr>
              <w:t>需要提供相关证明材料的</w:t>
            </w:r>
            <w:r>
              <w:rPr>
                <w:rFonts w:hint="eastAsia"/>
              </w:rPr>
              <w:t>未标</w:t>
            </w:r>
            <w:r>
              <w:rPr>
                <w:rFonts w:hint="eastAsia"/>
                <w:lang w:val="en-US" w:eastAsia="zh-CN"/>
              </w:rPr>
              <w:t>识</w:t>
            </w:r>
            <w:r>
              <w:rPr>
                <w:rFonts w:hint="eastAsia"/>
              </w:rPr>
              <w:t>“▲”</w:t>
            </w:r>
            <w:r>
              <w:t>的</w:t>
            </w:r>
            <w:r>
              <w:rPr>
                <w:rFonts w:hint="eastAsia"/>
              </w:rPr>
              <w:t>一般</w:t>
            </w:r>
            <w:r>
              <w:t>技术参数的响应情况进行评分：本</w:t>
            </w:r>
            <w:r>
              <w:rPr>
                <w:rFonts w:hint="eastAsia"/>
              </w:rPr>
              <w:t>项满分</w:t>
            </w:r>
            <w:r>
              <w:t>为</w:t>
            </w:r>
            <w:r>
              <w:rPr>
                <w:rFonts w:hint="eastAsia"/>
                <w:lang w:val="en-US" w:eastAsia="zh-CN"/>
              </w:rPr>
              <w:t>5</w:t>
            </w:r>
            <w:r>
              <w:t>分，每有一项的</w:t>
            </w:r>
            <w:r>
              <w:rPr>
                <w:rFonts w:hint="eastAsia"/>
              </w:rPr>
              <w:t>一般</w:t>
            </w:r>
            <w:r>
              <w:t>技术参数不满足扣</w:t>
            </w:r>
            <w:r>
              <w:rPr>
                <w:rFonts w:hint="eastAsia"/>
              </w:rPr>
              <w:t>0.5</w:t>
            </w:r>
            <w:r>
              <w:t xml:space="preserve">分，扣完即止。 </w:t>
            </w:r>
          </w:p>
          <w:p>
            <w:pPr>
              <w:jc w:val="left"/>
            </w:pPr>
            <w:r>
              <w:t>注：</w:t>
            </w:r>
            <w:r>
              <w:rPr>
                <w:rFonts w:hint="eastAsia"/>
                <w:lang w:val="en-US" w:eastAsia="zh-CN"/>
              </w:rPr>
              <w:t>1、</w:t>
            </w:r>
            <w:r>
              <w:t>投标文件中提供技术指标相应的</w:t>
            </w:r>
            <w:r>
              <w:rPr>
                <w:rFonts w:hint="eastAsia"/>
              </w:rPr>
              <w:t>证明</w:t>
            </w:r>
            <w:r>
              <w:t>文件的复印件加盖投标人公章（</w:t>
            </w:r>
            <w:r>
              <w:rPr>
                <w:rFonts w:hint="eastAsia"/>
              </w:rPr>
              <w:t>证明</w:t>
            </w:r>
            <w:r>
              <w:t>文件不限于产品说明书、产品说明手册、产品功能界面截图、检测报告或制造商出具的参数证明文件），若</w:t>
            </w:r>
            <w:r>
              <w:rPr>
                <w:rFonts w:hint="eastAsia"/>
              </w:rPr>
              <w:t>一般</w:t>
            </w:r>
            <w:r>
              <w:t>指标有具体要求，以具体要求为准。未提供或未按要求提供相关证明材料的相应</w:t>
            </w:r>
            <w:r>
              <w:rPr>
                <w:rFonts w:hint="eastAsia"/>
              </w:rPr>
              <w:t>一般</w:t>
            </w:r>
            <w:r>
              <w:t>指标视为负偏离作扣分处理。</w:t>
            </w:r>
          </w:p>
          <w:p>
            <w:pPr>
              <w:jc w:val="left"/>
              <w:rPr>
                <w:rFonts w:hint="default" w:eastAsia="宋体"/>
                <w:lang w:val="en-US" w:eastAsia="zh-CN"/>
              </w:rPr>
            </w:pPr>
            <w:r>
              <w:rPr>
                <w:rFonts w:hint="eastAsia"/>
                <w:lang w:val="en-US" w:eastAsia="zh-CN"/>
              </w:rPr>
              <w:t>2、需要提供相关证明材料的</w:t>
            </w:r>
            <w:r>
              <w:rPr>
                <w:rFonts w:hint="eastAsia"/>
              </w:rPr>
              <w:t>未标</w:t>
            </w:r>
            <w:r>
              <w:rPr>
                <w:rFonts w:hint="eastAsia"/>
                <w:lang w:val="en-US" w:eastAsia="zh-CN"/>
              </w:rPr>
              <w:t>识</w:t>
            </w:r>
            <w:r>
              <w:rPr>
                <w:rFonts w:hint="eastAsia"/>
              </w:rPr>
              <w:t>“▲”</w:t>
            </w:r>
            <w:r>
              <w:t>的</w:t>
            </w:r>
            <w:r>
              <w:rPr>
                <w:rFonts w:hint="eastAsia"/>
              </w:rPr>
              <w:t>一般</w:t>
            </w:r>
            <w:r>
              <w:t>技术参数</w:t>
            </w:r>
            <w:r>
              <w:rPr>
                <w:rFonts w:hint="eastAsia"/>
                <w:lang w:val="en-US" w:eastAsia="zh-CN"/>
              </w:rPr>
              <w:t>条款详见《附表2：需要提供相关证明材料的未标识“▲”的一般技术参数》。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3</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rPr>
            </w:pPr>
            <w:r>
              <w:rPr>
                <w:rFonts w:hint="eastAsia" w:ascii="宋体" w:hAnsi="宋体" w:cs="宋体"/>
                <w:color w:val="auto"/>
                <w:szCs w:val="21"/>
                <w:lang w:val="en-US" w:eastAsia="zh-CN"/>
              </w:rPr>
              <w:t>项目</w:t>
            </w:r>
            <w:r>
              <w:rPr>
                <w:rFonts w:hint="eastAsia" w:ascii="宋体" w:hAnsi="宋体" w:cs="宋体"/>
                <w:color w:val="auto"/>
                <w:szCs w:val="21"/>
              </w:rPr>
              <w:t>整体实施方案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bCs/>
                <w:color w:val="auto"/>
                <w:szCs w:val="21"/>
                <w:lang w:val="en-US" w:eastAsia="zh-CN"/>
              </w:rPr>
            </w:pPr>
            <w:r>
              <w:rPr>
                <w:rFonts w:hint="eastAsia" w:ascii="宋体" w:hAnsi="宋体" w:cs="宋体"/>
                <w:b w:val="0"/>
                <w:bCs w:val="0"/>
                <w:color w:val="auto"/>
                <w:szCs w:val="21"/>
                <w:lang w:val="en-US" w:eastAsia="zh-CN"/>
              </w:rPr>
              <w:t>15</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w:t>
            </w:r>
            <w:r>
              <w:rPr>
                <w:rFonts w:hint="eastAsia" w:ascii="宋体" w:hAnsi="宋体" w:cs="宋体"/>
                <w:color w:val="auto"/>
                <w:kern w:val="2"/>
                <w:sz w:val="21"/>
                <w:szCs w:val="21"/>
                <w:lang w:val="en-US" w:eastAsia="zh-CN"/>
              </w:rPr>
              <w:t>投标人</w:t>
            </w:r>
            <w:r>
              <w:rPr>
                <w:rFonts w:hint="eastAsia" w:ascii="宋体" w:hAnsi="宋体" w:eastAsia="宋体" w:cs="宋体"/>
                <w:color w:val="auto"/>
                <w:kern w:val="2"/>
                <w:sz w:val="21"/>
                <w:szCs w:val="21"/>
                <w:lang w:val="en-US" w:eastAsia="zh-CN"/>
              </w:rPr>
              <w:t>的整体实施方案（</w:t>
            </w:r>
            <w:r>
              <w:t>包括遵循的技术规范的合理性，实施计划、人员配置、产品质量技术保证措施等方面</w:t>
            </w:r>
            <w:r>
              <w:rPr>
                <w:rFonts w:hint="eastAsia" w:ascii="宋体" w:hAnsi="宋体" w:eastAsia="宋体" w:cs="宋体"/>
                <w:color w:val="auto"/>
                <w:kern w:val="2"/>
                <w:sz w:val="21"/>
                <w:szCs w:val="21"/>
                <w:lang w:val="en-US" w:eastAsia="zh-CN"/>
              </w:rPr>
              <w:t>）进行评审：</w:t>
            </w:r>
          </w:p>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w:t>
            </w:r>
            <w:r>
              <w:t>整体实施方案可行性、针对性强，设置科学，与项目</w:t>
            </w:r>
            <w:r>
              <w:rPr>
                <w:rFonts w:hint="eastAsia"/>
                <w:lang w:val="en-US" w:eastAsia="zh-CN"/>
              </w:rPr>
              <w:t>需求</w:t>
            </w:r>
            <w:r>
              <w:t>情况结合程度高</w:t>
            </w:r>
            <w:r>
              <w:rPr>
                <w:rFonts w:hint="eastAsia" w:ascii="宋体" w:hAnsi="宋体" w:eastAsia="宋体" w:cs="宋体"/>
                <w:color w:val="auto"/>
                <w:kern w:val="2"/>
                <w:sz w:val="21"/>
                <w:szCs w:val="21"/>
                <w:lang w:val="en-US" w:eastAsia="zh-CN"/>
              </w:rPr>
              <w:t>，得</w:t>
            </w:r>
            <w:r>
              <w:rPr>
                <w:rFonts w:hint="eastAsia" w:ascii="宋体" w:hAnsi="宋体" w:cs="宋体"/>
                <w:color w:val="auto"/>
                <w:kern w:val="2"/>
                <w:sz w:val="21"/>
                <w:szCs w:val="21"/>
                <w:lang w:val="en-US" w:eastAsia="zh-CN"/>
              </w:rPr>
              <w:t>15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2.</w:t>
            </w:r>
            <w:r>
              <w:t>整体实施方案可行性、针对性</w:t>
            </w:r>
            <w:r>
              <w:rPr>
                <w:rFonts w:hint="eastAsia"/>
                <w:lang w:val="en-US" w:eastAsia="zh-CN"/>
              </w:rPr>
              <w:t>较</w:t>
            </w:r>
            <w:r>
              <w:t>强，设置</w:t>
            </w:r>
            <w:r>
              <w:rPr>
                <w:rFonts w:hint="eastAsia"/>
                <w:lang w:val="en-US" w:eastAsia="zh-CN"/>
              </w:rPr>
              <w:t>比较</w:t>
            </w:r>
            <w:r>
              <w:t>科学，与项目</w:t>
            </w:r>
            <w:r>
              <w:rPr>
                <w:rFonts w:hint="eastAsia"/>
                <w:lang w:val="en-US" w:eastAsia="zh-CN"/>
              </w:rPr>
              <w:t>需求</w:t>
            </w:r>
            <w:r>
              <w:t>情况结合程度</w:t>
            </w:r>
            <w:r>
              <w:rPr>
                <w:rFonts w:hint="eastAsia"/>
                <w:lang w:val="en-US" w:eastAsia="zh-CN"/>
              </w:rPr>
              <w:t>较好</w:t>
            </w:r>
            <w:r>
              <w:rPr>
                <w:rFonts w:hint="eastAsia" w:ascii="宋体" w:hAnsi="宋体" w:eastAsia="宋体" w:cs="宋体"/>
                <w:color w:val="auto"/>
                <w:kern w:val="2"/>
                <w:sz w:val="21"/>
                <w:szCs w:val="21"/>
                <w:lang w:val="en-US" w:eastAsia="zh-CN"/>
              </w:rPr>
              <w:t>，得1</w:t>
            </w:r>
            <w:r>
              <w:rPr>
                <w:rFonts w:hint="eastAsia" w:ascii="宋体" w:hAnsi="宋体" w:cs="宋体"/>
                <w:color w:val="auto"/>
                <w:kern w:val="2"/>
                <w:sz w:val="21"/>
                <w:szCs w:val="21"/>
                <w:lang w:val="en-US" w:eastAsia="zh-CN"/>
              </w:rPr>
              <w:t>0</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3.</w:t>
            </w:r>
            <w:r>
              <w:t>整体实施方案可行性、针对性</w:t>
            </w:r>
            <w:r>
              <w:rPr>
                <w:rFonts w:hint="eastAsia"/>
                <w:lang w:val="en-US" w:eastAsia="zh-CN"/>
              </w:rPr>
              <w:t>一般</w:t>
            </w:r>
            <w:r>
              <w:t>，设置科学</w:t>
            </w:r>
            <w:r>
              <w:rPr>
                <w:rFonts w:hint="eastAsia"/>
                <w:lang w:val="en-US" w:eastAsia="zh-CN"/>
              </w:rPr>
              <w:t>性一般</w:t>
            </w:r>
            <w:r>
              <w:t>，与项目</w:t>
            </w:r>
            <w:r>
              <w:rPr>
                <w:rFonts w:hint="eastAsia"/>
                <w:lang w:val="en-US" w:eastAsia="zh-CN"/>
              </w:rPr>
              <w:t>需求</w:t>
            </w:r>
            <w:r>
              <w:t>情况结合程度</w:t>
            </w:r>
            <w:r>
              <w:rPr>
                <w:rFonts w:hint="eastAsia"/>
                <w:lang w:val="en-US" w:eastAsia="zh-CN"/>
              </w:rPr>
              <w:t>一般</w:t>
            </w:r>
            <w:r>
              <w:rPr>
                <w:rFonts w:hint="eastAsia" w:ascii="宋体" w:hAnsi="宋体" w:eastAsia="宋体" w:cs="宋体"/>
                <w:color w:val="auto"/>
                <w:kern w:val="2"/>
                <w:sz w:val="21"/>
                <w:szCs w:val="21"/>
                <w:lang w:val="en-US" w:eastAsia="zh-CN"/>
              </w:rPr>
              <w:t>，得</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lang w:val="en-US" w:eastAsia="zh-CN"/>
              </w:rPr>
              <w:t>实施方案详细性、合理性、可操作性较差的，得</w:t>
            </w:r>
            <w:r>
              <w:rPr>
                <w:rFonts w:hint="eastAsia" w:ascii="宋体" w:hAnsi="宋体" w:cs="宋体"/>
                <w:color w:val="auto"/>
                <w:kern w:val="2"/>
                <w:sz w:val="21"/>
                <w:szCs w:val="21"/>
                <w:lang w:val="en-US" w:eastAsia="zh-CN"/>
              </w:rPr>
              <w:t>1</w:t>
            </w:r>
            <w:r>
              <w:rPr>
                <w:rFonts w:hint="eastAsia" w:ascii="宋体" w:hAnsi="宋体" w:eastAsia="宋体" w:cs="宋体"/>
                <w:color w:val="auto"/>
                <w:kern w:val="2"/>
                <w:sz w:val="21"/>
                <w:szCs w:val="21"/>
                <w:lang w:val="en-US" w:eastAsia="zh-CN"/>
              </w:rPr>
              <w:t>分。</w:t>
            </w:r>
          </w:p>
          <w:p>
            <w:pPr>
              <w:widowControl/>
              <w:jc w:val="left"/>
              <w:rPr>
                <w:rFonts w:hint="eastAsia" w:ascii="宋体" w:hAnsi="宋体" w:cs="宋体"/>
                <w:b/>
                <w:bCs/>
                <w:color w:val="auto"/>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未提供不得分</w:t>
            </w:r>
            <w:r>
              <w:rPr>
                <w:rFonts w:hint="eastAsia" w:ascii="宋体" w:hAnsi="宋体" w:cs="宋体"/>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人员培训和技术支持方案 </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pPr>
            <w:r>
              <w:t>根据投标人提供的人员培训和技术支持方案进行综合评审：</w:t>
            </w:r>
          </w:p>
          <w:p>
            <w:pPr>
              <w:widowControl/>
              <w:numPr>
                <w:ilvl w:val="0"/>
                <w:numId w:val="0"/>
              </w:numPr>
              <w:jc w:val="left"/>
            </w:pPr>
            <w:r>
              <w:rPr>
                <w:rFonts w:hint="eastAsia"/>
                <w:lang w:val="en-US" w:eastAsia="zh-CN"/>
              </w:rPr>
              <w:t>1.</w:t>
            </w:r>
            <w:r>
              <w:t>人员的培训和技术支持方案详细、合理</w:t>
            </w:r>
            <w:r>
              <w:rPr>
                <w:rFonts w:hint="eastAsia"/>
                <w:lang w:eastAsia="zh-CN"/>
              </w:rPr>
              <w:t>，</w:t>
            </w:r>
            <w:r>
              <w:t>方案可实施性强、针对性强</w:t>
            </w:r>
            <w:r>
              <w:rPr>
                <w:rFonts w:hint="eastAsia"/>
                <w:lang w:eastAsia="zh-CN"/>
              </w:rPr>
              <w:t>，</w:t>
            </w:r>
            <w:r>
              <w:t>突发情况及应对措施科学合理</w:t>
            </w:r>
            <w:r>
              <w:rPr>
                <w:rFonts w:hint="eastAsia"/>
                <w:lang w:eastAsia="zh-CN"/>
              </w:rPr>
              <w:t>，</w:t>
            </w:r>
            <w:r>
              <w:rPr>
                <w:rFonts w:hint="eastAsia"/>
                <w:lang w:val="en-US" w:eastAsia="zh-CN"/>
              </w:rPr>
              <w:t>得10分</w:t>
            </w:r>
            <w:r>
              <w:t>；</w:t>
            </w:r>
          </w:p>
          <w:p>
            <w:pPr>
              <w:widowControl/>
              <w:numPr>
                <w:ilvl w:val="0"/>
                <w:numId w:val="0"/>
              </w:numPr>
              <w:jc w:val="left"/>
              <w:rPr>
                <w:rFonts w:hint="eastAsia"/>
                <w:lang w:val="en-US" w:eastAsia="zh-CN"/>
              </w:rPr>
            </w:pPr>
            <w:r>
              <w:rPr>
                <w:rFonts w:hint="eastAsia"/>
                <w:lang w:val="en-US" w:eastAsia="zh-CN"/>
              </w:rPr>
              <w:t>2.</w:t>
            </w:r>
            <w:r>
              <w:t>人员的培训和技术支持方案</w:t>
            </w:r>
            <w:r>
              <w:rPr>
                <w:rFonts w:hint="eastAsia"/>
                <w:lang w:val="en-US" w:eastAsia="zh-CN"/>
              </w:rPr>
              <w:t>比较详细、合理，方案可实施性较强、针对性较强、突发情况及应对措施比较科学合理，得6分；</w:t>
            </w:r>
          </w:p>
          <w:p>
            <w:pPr>
              <w:widowControl/>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ascii="Times New Roman" w:hAnsi="Times New Roman" w:eastAsia="宋体" w:cs="Times New Roman"/>
              </w:rPr>
              <w:t>人员的培训和技术支持方案</w:t>
            </w:r>
            <w:r>
              <w:rPr>
                <w:rFonts w:hint="eastAsia" w:ascii="Times New Roman" w:hAnsi="Times New Roman" w:eastAsia="宋体" w:cs="Times New Roman"/>
                <w:lang w:val="en-US" w:eastAsia="zh-CN"/>
              </w:rPr>
              <w:t>比较简单、合理性一般，方案可实施性一般、针对性一般，突发情况及应对措施一般，得3分；</w:t>
            </w:r>
          </w:p>
          <w:p>
            <w:pPr>
              <w:widowControl/>
              <w:numPr>
                <w:ilvl w:val="0"/>
                <w:numId w:val="0"/>
              </w:numPr>
              <w:jc w:val="left"/>
              <w:rPr>
                <w:rFonts w:hint="default"/>
                <w:lang w:val="en-US" w:eastAsia="zh-CN"/>
              </w:rPr>
            </w:pPr>
            <w:r>
              <w:rPr>
                <w:rFonts w:hint="eastAsia" w:ascii="Times New Roman" w:hAnsi="Times New Roman" w:eastAsia="宋体" w:cs="Times New Roman"/>
                <w:lang w:val="en-US" w:eastAsia="zh-CN"/>
              </w:rPr>
              <w:t>4.其他或不提供不得分。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5</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auto"/>
                <w:lang w:val="en-US" w:eastAsia="zh-CN"/>
              </w:rPr>
            </w:pPr>
            <w:r>
              <w:t>服务保障方案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根据投标人提出的</w:t>
            </w:r>
            <w:r>
              <w:t>售后服务保障方案（包括但不限于供货期保障措施、项目质量保证及售后服务方案等）</w:t>
            </w:r>
            <w:r>
              <w:rPr>
                <w:rFonts w:hint="eastAsia" w:ascii="宋体" w:hAnsi="宋体" w:eastAsia="宋体" w:cs="宋体"/>
                <w:color w:val="auto"/>
                <w:kern w:val="0"/>
                <w:sz w:val="21"/>
                <w:szCs w:val="21"/>
                <w:lang w:val="en-US" w:eastAsia="zh-CN" w:bidi="ar"/>
              </w:rPr>
              <w:t>进行综合评审:</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质量保障措施详细具体、措施切实可行，服务管理承诺、目标明确，有针对性，得1</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val="en-US" w:eastAsia="zh-CN" w:bidi="ar"/>
              </w:rPr>
              <w:t>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质量保障措施基本可行，服务管理承诺、目标不够明确，有一定针对性，得</w:t>
            </w:r>
            <w:r>
              <w:rPr>
                <w:rFonts w:hint="eastAsia" w:ascii="宋体" w:hAnsi="宋体" w:cs="宋体"/>
                <w:color w:val="auto"/>
                <w:kern w:val="0"/>
                <w:sz w:val="21"/>
                <w:szCs w:val="21"/>
                <w:lang w:val="en-US" w:eastAsia="zh-CN" w:bidi="ar"/>
              </w:rPr>
              <w:t>6</w:t>
            </w:r>
            <w:r>
              <w:rPr>
                <w:rFonts w:hint="eastAsia" w:ascii="宋体" w:hAnsi="宋体" w:eastAsia="宋体" w:cs="宋体"/>
                <w:color w:val="auto"/>
                <w:kern w:val="0"/>
                <w:sz w:val="21"/>
                <w:szCs w:val="21"/>
                <w:lang w:val="en-US" w:eastAsia="zh-CN" w:bidi="ar"/>
              </w:rPr>
              <w:t>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质量保障措施简单，相关服务管理承诺、目标不明确，针对性较差，得</w:t>
            </w: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其他或不提供不得分。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3"/>
        <w:rPr>
          <w:rFonts w:hint="eastAsia"/>
          <w:lang w:val="en-US" w:eastAsia="zh-CN"/>
        </w:rPr>
      </w:pPr>
      <w:r>
        <w:rPr>
          <w:rFonts w:hint="eastAsia"/>
          <w:b/>
          <w:bCs/>
          <w:color w:val="auto"/>
          <w:lang w:val="en-US" w:eastAsia="zh-CN"/>
        </w:rPr>
        <w:t>附表1：</w:t>
      </w:r>
      <w:r>
        <w:rPr>
          <w:b/>
          <w:bCs/>
        </w:rPr>
        <w:t>标识“▲”的重要技术参数</w:t>
      </w:r>
      <w:r>
        <w:rPr>
          <w:rFonts w:hint="eastAsia"/>
          <w:b/>
          <w:bCs/>
          <w:lang w:val="en-US" w:eastAsia="zh-CN"/>
        </w:rPr>
        <w:t>条款</w:t>
      </w:r>
    </w:p>
    <w:tbl>
      <w:tblPr>
        <w:tblStyle w:val="40"/>
        <w:tblW w:w="792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4"/>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3221"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招标文件的采购需求条款</w:t>
            </w:r>
          </w:p>
        </w:tc>
        <w:tc>
          <w:tcPr>
            <w:tcW w:w="2579" w:type="dxa"/>
            <w:vAlign w:val="center"/>
          </w:tcPr>
          <w:p>
            <w:pPr>
              <w:pStyle w:val="14"/>
              <w:spacing w:line="240" w:lineRule="auto"/>
              <w:ind w:left="46" w:hanging="46" w:hangingChars="22"/>
              <w:jc w:val="center"/>
              <w:rPr>
                <w:rFonts w:hint="default" w:ascii="宋体" w:hAnsi="宋体" w:eastAsia="宋体"/>
                <w:color w:val="auto"/>
                <w:sz w:val="21"/>
                <w:szCs w:val="21"/>
                <w:lang w:val="en-US"/>
              </w:rPr>
            </w:pPr>
            <w:r>
              <w:rPr>
                <w:rFonts w:hint="eastAsia" w:ascii="宋体" w:hAnsi="宋体" w:eastAsia="宋体"/>
                <w:color w:val="auto"/>
                <w:sz w:val="21"/>
                <w:szCs w:val="21"/>
                <w:lang w:val="en-US" w:eastAsia="zh-CN"/>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w:t>
            </w:r>
          </w:p>
        </w:tc>
        <w:tc>
          <w:tcPr>
            <w:tcW w:w="1566" w:type="dxa"/>
            <w:vMerge w:val="restart"/>
            <w:vAlign w:val="center"/>
          </w:tcPr>
          <w:p>
            <w:pPr>
              <w:pStyle w:val="14"/>
              <w:spacing w:line="240" w:lineRule="auto"/>
              <w:ind w:left="46"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LED显示屏（一）</w:t>
            </w:r>
          </w:p>
        </w:tc>
        <w:tc>
          <w:tcPr>
            <w:tcW w:w="3221" w:type="dxa"/>
            <w:vAlign w:val="center"/>
          </w:tcPr>
          <w:p>
            <w:pPr>
              <w:pStyle w:val="14"/>
              <w:spacing w:line="240" w:lineRule="auto"/>
              <w:ind w:left="46"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6、▲响应时间：纳秒级，极速响应不拖尾、无鬼影</w:t>
            </w:r>
          </w:p>
        </w:tc>
        <w:tc>
          <w:tcPr>
            <w:tcW w:w="2579" w:type="dxa"/>
            <w:vAlign w:val="center"/>
          </w:tcPr>
          <w:p>
            <w:pPr>
              <w:pStyle w:val="14"/>
              <w:spacing w:line="240" w:lineRule="auto"/>
              <w:ind w:left="46" w:hanging="46" w:hangingChars="22"/>
              <w:jc w:val="center"/>
              <w:rPr>
                <w:rFonts w:ascii="宋体" w:hAnsi="宋体" w:eastAsia="宋体"/>
                <w:b w:val="0"/>
                <w:bCs w:val="0"/>
                <w:color w:val="auto"/>
                <w:sz w:val="21"/>
                <w:szCs w:val="21"/>
              </w:rPr>
            </w:pPr>
            <w:r>
              <w:rPr>
                <w:rFonts w:hint="eastAsia" w:ascii="宋体" w:hAnsi="宋体" w:eastAsia="宋体"/>
                <w:b w:val="0"/>
                <w:bCs w:val="0"/>
                <w:color w:val="auto"/>
                <w:sz w:val="21"/>
                <w:szCs w:val="21"/>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w:t>
            </w:r>
          </w:p>
        </w:tc>
        <w:tc>
          <w:tcPr>
            <w:tcW w:w="1566" w:type="dxa"/>
            <w:vMerge w:val="continue"/>
            <w:vAlign w:val="center"/>
          </w:tcPr>
          <w:p>
            <w:pPr>
              <w:pStyle w:val="14"/>
              <w:spacing w:line="240" w:lineRule="auto"/>
              <w:ind w:left="46" w:hanging="46" w:hangingChars="22"/>
              <w:jc w:val="center"/>
              <w:rPr>
                <w:rFonts w:ascii="宋体" w:hAnsi="宋体" w:eastAsia="宋体"/>
                <w:b w:val="0"/>
                <w:bCs w:val="0"/>
                <w:color w:val="auto"/>
                <w:sz w:val="21"/>
                <w:szCs w:val="21"/>
              </w:rPr>
            </w:pPr>
          </w:p>
        </w:tc>
        <w:tc>
          <w:tcPr>
            <w:tcW w:w="3221" w:type="dxa"/>
            <w:vAlign w:val="center"/>
          </w:tcPr>
          <w:p>
            <w:pPr>
              <w:pStyle w:val="14"/>
              <w:spacing w:line="240" w:lineRule="auto"/>
              <w:ind w:left="46"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18、▲模组设计：共阳极和共阴极接法的设计，可匹配相应LED、IC来做出共阳极产品或是共阴极产品；电路板多层工艺设计，同时具有独特的消隐、EMC处理、存储功能</w:t>
            </w:r>
          </w:p>
        </w:tc>
        <w:tc>
          <w:tcPr>
            <w:tcW w:w="2579" w:type="dxa"/>
            <w:vAlign w:val="center"/>
          </w:tcPr>
          <w:p>
            <w:pPr>
              <w:pStyle w:val="14"/>
              <w:spacing w:line="240" w:lineRule="auto"/>
              <w:ind w:left="46"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提供相关证明材料，并加盖制造商公章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3</w:t>
            </w:r>
          </w:p>
        </w:tc>
        <w:tc>
          <w:tcPr>
            <w:tcW w:w="1566" w:type="dxa"/>
            <w:vMerge w:val="continue"/>
            <w:vAlign w:val="center"/>
          </w:tcPr>
          <w:p>
            <w:pPr>
              <w:pStyle w:val="14"/>
              <w:spacing w:line="240" w:lineRule="auto"/>
              <w:ind w:left="46" w:hanging="46" w:hangingChars="22"/>
              <w:jc w:val="both"/>
              <w:rPr>
                <w:rFonts w:ascii="宋体" w:hAnsi="宋体" w:eastAsia="宋体"/>
                <w:b w:val="0"/>
                <w:bCs w:val="0"/>
                <w:color w:val="auto"/>
                <w:sz w:val="21"/>
                <w:szCs w:val="21"/>
              </w:rPr>
            </w:pPr>
          </w:p>
        </w:tc>
        <w:tc>
          <w:tcPr>
            <w:tcW w:w="3221" w:type="dxa"/>
            <w:vAlign w:val="center"/>
          </w:tcPr>
          <w:p>
            <w:pPr>
              <w:pStyle w:val="14"/>
              <w:spacing w:line="240" w:lineRule="auto"/>
              <w:ind w:left="46"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▲2</w:t>
            </w:r>
            <w:r>
              <w:rPr>
                <w:rFonts w:ascii="宋体" w:hAnsi="宋体" w:cs="宋体"/>
                <w:b w:val="0"/>
                <w:bCs w:val="0"/>
                <w:color w:val="auto"/>
                <w:kern w:val="0"/>
                <w:sz w:val="22"/>
                <w:szCs w:val="22"/>
              </w:rPr>
              <w:t>3</w:t>
            </w:r>
            <w:r>
              <w:rPr>
                <w:rFonts w:hint="eastAsia" w:ascii="宋体" w:hAnsi="宋体" w:cs="宋体"/>
                <w:b w:val="0"/>
                <w:bCs w:val="0"/>
                <w:color w:val="auto"/>
                <w:kern w:val="0"/>
                <w:sz w:val="22"/>
                <w:szCs w:val="22"/>
              </w:rPr>
              <w:t>、LED显示屏通过CCC认证</w:t>
            </w:r>
          </w:p>
        </w:tc>
        <w:tc>
          <w:tcPr>
            <w:tcW w:w="2579" w:type="dxa"/>
            <w:vAlign w:val="center"/>
          </w:tcPr>
          <w:p>
            <w:pPr>
              <w:pStyle w:val="14"/>
              <w:spacing w:line="240" w:lineRule="auto"/>
              <w:ind w:left="46"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提供相关证明材料，并加盖制造商公章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4</w:t>
            </w:r>
          </w:p>
        </w:tc>
        <w:tc>
          <w:tcPr>
            <w:tcW w:w="1566" w:type="dxa"/>
            <w:vMerge w:val="continue"/>
            <w:vAlign w:val="center"/>
          </w:tcPr>
          <w:p>
            <w:pPr>
              <w:pStyle w:val="14"/>
              <w:spacing w:line="240" w:lineRule="auto"/>
              <w:ind w:left="46" w:hanging="46" w:hangingChars="22"/>
              <w:jc w:val="both"/>
              <w:rPr>
                <w:rFonts w:ascii="宋体" w:hAnsi="宋体" w:eastAsia="宋体"/>
                <w:b w:val="0"/>
                <w:bCs w:val="0"/>
                <w:color w:val="auto"/>
                <w:sz w:val="21"/>
                <w:szCs w:val="21"/>
              </w:rPr>
            </w:pPr>
          </w:p>
        </w:tc>
        <w:tc>
          <w:tcPr>
            <w:tcW w:w="3221" w:type="dxa"/>
            <w:vAlign w:val="center"/>
          </w:tcPr>
          <w:p>
            <w:pPr>
              <w:pStyle w:val="14"/>
              <w:spacing w:line="240" w:lineRule="auto"/>
              <w:ind w:left="46"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▲2</w:t>
            </w:r>
            <w:r>
              <w:rPr>
                <w:rFonts w:ascii="宋体" w:hAnsi="宋体" w:cs="宋体"/>
                <w:b w:val="0"/>
                <w:bCs w:val="0"/>
                <w:color w:val="auto"/>
                <w:kern w:val="0"/>
                <w:sz w:val="22"/>
                <w:szCs w:val="22"/>
              </w:rPr>
              <w:t>4</w:t>
            </w:r>
            <w:r>
              <w:rPr>
                <w:rFonts w:hint="eastAsia" w:ascii="宋体" w:hAnsi="宋体" w:cs="宋体"/>
                <w:b w:val="0"/>
                <w:bCs w:val="0"/>
                <w:color w:val="auto"/>
                <w:kern w:val="0"/>
                <w:sz w:val="22"/>
                <w:szCs w:val="22"/>
              </w:rPr>
              <w:t>、为保证显示系统兼容性和稳定性，LED全彩显示屏、视频处理器、电源、需为同一品牌</w:t>
            </w:r>
          </w:p>
        </w:tc>
        <w:tc>
          <w:tcPr>
            <w:tcW w:w="2579" w:type="dxa"/>
            <w:vAlign w:val="center"/>
          </w:tcPr>
          <w:p>
            <w:pPr>
              <w:pStyle w:val="14"/>
              <w:spacing w:line="240" w:lineRule="auto"/>
              <w:ind w:left="46"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5</w:t>
            </w:r>
          </w:p>
        </w:tc>
        <w:tc>
          <w:tcPr>
            <w:tcW w:w="1566" w:type="dxa"/>
            <w:vMerge w:val="continue"/>
            <w:vAlign w:val="center"/>
          </w:tcPr>
          <w:p>
            <w:pPr>
              <w:pStyle w:val="14"/>
              <w:spacing w:line="240" w:lineRule="auto"/>
              <w:ind w:left="46" w:leftChars="0" w:hanging="46" w:hangingChars="22"/>
              <w:jc w:val="center"/>
              <w:rPr>
                <w:rFonts w:ascii="宋体" w:hAnsi="宋体" w:eastAsia="宋体"/>
                <w:b w:val="0"/>
                <w:bCs w:val="0"/>
                <w:color w:val="auto"/>
                <w:sz w:val="21"/>
                <w:szCs w:val="21"/>
              </w:rPr>
            </w:pPr>
          </w:p>
        </w:tc>
        <w:tc>
          <w:tcPr>
            <w:tcW w:w="3221" w:type="dxa"/>
            <w:vAlign w:val="center"/>
          </w:tcPr>
          <w:p>
            <w:pPr>
              <w:pStyle w:val="14"/>
              <w:spacing w:line="240" w:lineRule="auto"/>
              <w:ind w:left="48" w:leftChars="0"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▲2</w:t>
            </w:r>
            <w:r>
              <w:rPr>
                <w:rFonts w:ascii="宋体" w:hAnsi="宋体" w:cs="宋体"/>
                <w:b w:val="0"/>
                <w:bCs w:val="0"/>
                <w:color w:val="auto"/>
                <w:kern w:val="0"/>
                <w:sz w:val="22"/>
                <w:szCs w:val="22"/>
              </w:rPr>
              <w:t>5</w:t>
            </w:r>
            <w:r>
              <w:rPr>
                <w:rFonts w:hint="eastAsia" w:ascii="宋体" w:hAnsi="宋体" w:cs="宋体"/>
                <w:b w:val="0"/>
                <w:bCs w:val="0"/>
                <w:color w:val="auto"/>
                <w:kern w:val="0"/>
                <w:sz w:val="22"/>
                <w:szCs w:val="22"/>
              </w:rPr>
              <w:t>、为保障产品品质与售后服务，所投标产品须有生产厂家针对本项目的原厂出厂证明及售后服务承诺函</w:t>
            </w:r>
            <w:r>
              <w:rPr>
                <w:rFonts w:hint="eastAsia" w:ascii="宋体" w:hAnsi="宋体" w:eastAsia="宋体" w:cs="宋体"/>
                <w:b w:val="0"/>
                <w:bCs w:val="0"/>
                <w:color w:val="auto"/>
                <w:kern w:val="0"/>
                <w:sz w:val="22"/>
                <w:szCs w:val="22"/>
              </w:rPr>
              <w:t>并加盖制造商公章</w:t>
            </w:r>
          </w:p>
        </w:tc>
        <w:tc>
          <w:tcPr>
            <w:tcW w:w="2579" w:type="dxa"/>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生产厂家针对本项目的原厂出厂证明及售后服务承诺函</w:t>
            </w:r>
            <w:r>
              <w:rPr>
                <w:rFonts w:hint="eastAsia" w:ascii="宋体" w:hAnsi="宋体" w:eastAsia="宋体" w:cs="宋体"/>
                <w:b w:val="0"/>
                <w:bCs w:val="0"/>
                <w:color w:val="auto"/>
                <w:kern w:val="0"/>
                <w:sz w:val="22"/>
                <w:szCs w:val="22"/>
              </w:rPr>
              <w:t>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6</w:t>
            </w:r>
          </w:p>
        </w:tc>
        <w:tc>
          <w:tcPr>
            <w:tcW w:w="1566" w:type="dxa"/>
            <w:vMerge w:val="restart"/>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LED显示屏（二）</w:t>
            </w:r>
          </w:p>
        </w:tc>
        <w:tc>
          <w:tcPr>
            <w:tcW w:w="3221" w:type="dxa"/>
            <w:vAlign w:val="center"/>
          </w:tcPr>
          <w:p>
            <w:pPr>
              <w:pStyle w:val="14"/>
              <w:spacing w:line="240" w:lineRule="auto"/>
              <w:ind w:left="48" w:leftChars="0"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6、▲响应时间：纳秒级，极速响应不拖尾、无鬼影</w:t>
            </w:r>
          </w:p>
        </w:tc>
        <w:tc>
          <w:tcPr>
            <w:tcW w:w="2579" w:type="dxa"/>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7</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18、▲模组设计：共阳极和共阴极接法的设计，可匹配相应LED、IC来做出共阳极产品或是共阴极产品；电路板多层工艺设计，同时具有独特的消隐、EMC处理、存储功能</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8</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w:t>
            </w:r>
            <w:r>
              <w:rPr>
                <w:rFonts w:ascii="宋体" w:hAnsi="宋体" w:cs="宋体"/>
                <w:b w:val="0"/>
                <w:bCs w:val="0"/>
                <w:color w:val="auto"/>
                <w:kern w:val="0"/>
                <w:sz w:val="22"/>
                <w:szCs w:val="22"/>
              </w:rPr>
              <w:t>3</w:t>
            </w:r>
            <w:r>
              <w:rPr>
                <w:rFonts w:hint="eastAsia" w:ascii="宋体" w:hAnsi="宋体" w:cs="宋体"/>
                <w:b w:val="0"/>
                <w:bCs w:val="0"/>
                <w:color w:val="auto"/>
                <w:kern w:val="0"/>
                <w:sz w:val="22"/>
                <w:szCs w:val="22"/>
              </w:rPr>
              <w:t>、LED显示屏通过CCC认证</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9</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w:t>
            </w:r>
            <w:r>
              <w:rPr>
                <w:rFonts w:ascii="宋体" w:hAnsi="宋体" w:cs="宋体"/>
                <w:b w:val="0"/>
                <w:bCs w:val="0"/>
                <w:color w:val="auto"/>
                <w:kern w:val="0"/>
                <w:sz w:val="22"/>
                <w:szCs w:val="22"/>
              </w:rPr>
              <w:t>4</w:t>
            </w:r>
            <w:r>
              <w:rPr>
                <w:rFonts w:hint="eastAsia" w:ascii="宋体" w:hAnsi="宋体" w:cs="宋体"/>
                <w:b w:val="0"/>
                <w:bCs w:val="0"/>
                <w:color w:val="auto"/>
                <w:kern w:val="0"/>
                <w:sz w:val="22"/>
                <w:szCs w:val="22"/>
              </w:rPr>
              <w:t>、为保证显示系统兼容性和稳定性，LED全彩显示屏、视频处理器、电源、需为同一品牌</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10</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w:t>
            </w:r>
            <w:r>
              <w:rPr>
                <w:rFonts w:ascii="宋体" w:hAnsi="宋体" w:cs="宋体"/>
                <w:b w:val="0"/>
                <w:bCs w:val="0"/>
                <w:color w:val="auto"/>
                <w:kern w:val="0"/>
                <w:sz w:val="22"/>
                <w:szCs w:val="22"/>
              </w:rPr>
              <w:t>5</w:t>
            </w:r>
            <w:r>
              <w:rPr>
                <w:rFonts w:hint="eastAsia" w:ascii="宋体" w:hAnsi="宋体" w:cs="宋体"/>
                <w:b w:val="0"/>
                <w:bCs w:val="0"/>
                <w:color w:val="auto"/>
                <w:kern w:val="0"/>
                <w:sz w:val="22"/>
                <w:szCs w:val="22"/>
              </w:rPr>
              <w:t>、为保障产品品质与售后服务，所投标产品须有生产厂家针对本项目的原厂出厂证明及售后服务承诺函</w:t>
            </w:r>
            <w:r>
              <w:rPr>
                <w:rFonts w:hint="eastAsia" w:ascii="宋体" w:hAnsi="宋体" w:eastAsia="宋体" w:cs="宋体"/>
                <w:b w:val="0"/>
                <w:bCs w:val="0"/>
                <w:color w:val="auto"/>
                <w:kern w:val="0"/>
                <w:sz w:val="22"/>
                <w:szCs w:val="22"/>
              </w:rPr>
              <w:t>并加盖制造商公章</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生产厂家针对本项目的原厂出厂证明及售后服务承诺函</w:t>
            </w:r>
            <w:r>
              <w:rPr>
                <w:rFonts w:hint="eastAsia" w:ascii="宋体" w:hAnsi="宋体" w:eastAsia="宋体" w:cs="宋体"/>
                <w:b w:val="0"/>
                <w:bCs w:val="0"/>
                <w:color w:val="auto"/>
                <w:kern w:val="0"/>
                <w:sz w:val="22"/>
                <w:szCs w:val="22"/>
              </w:rPr>
              <w:t>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11</w:t>
            </w:r>
          </w:p>
        </w:tc>
        <w:tc>
          <w:tcPr>
            <w:tcW w:w="1566" w:type="dxa"/>
            <w:vMerge w:val="restart"/>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LED显示屏（三）</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6、▲响应时间：纳秒级，极速响应不拖尾、无鬼影</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12</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18、▲模组设计：共阳极和共阴极接法的设计，可匹配相应LED、IC来做出共阳极产品或是共阴极产品；电路板多层工艺设计，同时具有独特的消隐、EMC处理、存储功能；</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13</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w:t>
            </w:r>
            <w:r>
              <w:rPr>
                <w:rFonts w:ascii="宋体" w:hAnsi="宋体" w:cs="宋体"/>
                <w:b w:val="0"/>
                <w:bCs w:val="0"/>
                <w:color w:val="auto"/>
                <w:kern w:val="0"/>
                <w:sz w:val="22"/>
                <w:szCs w:val="22"/>
              </w:rPr>
              <w:t>3</w:t>
            </w:r>
            <w:r>
              <w:rPr>
                <w:rFonts w:hint="eastAsia" w:ascii="宋体" w:hAnsi="宋体" w:cs="宋体"/>
                <w:b w:val="0"/>
                <w:bCs w:val="0"/>
                <w:color w:val="auto"/>
                <w:kern w:val="0"/>
                <w:sz w:val="22"/>
                <w:szCs w:val="22"/>
              </w:rPr>
              <w:t>、LED显示屏通过CCC认证</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14</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w:t>
            </w:r>
            <w:r>
              <w:rPr>
                <w:rFonts w:ascii="宋体" w:hAnsi="宋体" w:cs="宋体"/>
                <w:b w:val="0"/>
                <w:bCs w:val="0"/>
                <w:color w:val="auto"/>
                <w:kern w:val="0"/>
                <w:sz w:val="22"/>
                <w:szCs w:val="22"/>
              </w:rPr>
              <w:t>4</w:t>
            </w:r>
            <w:r>
              <w:rPr>
                <w:rFonts w:hint="eastAsia" w:ascii="宋体" w:hAnsi="宋体" w:cs="宋体"/>
                <w:b w:val="0"/>
                <w:bCs w:val="0"/>
                <w:color w:val="auto"/>
                <w:kern w:val="0"/>
                <w:sz w:val="22"/>
                <w:szCs w:val="22"/>
              </w:rPr>
              <w:t>、为保证显示系统兼容性和稳定性，LED全彩显示屏、视频处理器、电源、需为同一品牌</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15</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w:t>
            </w:r>
            <w:r>
              <w:rPr>
                <w:rFonts w:ascii="宋体" w:hAnsi="宋体" w:cs="宋体"/>
                <w:b w:val="0"/>
                <w:bCs w:val="0"/>
                <w:color w:val="auto"/>
                <w:kern w:val="0"/>
                <w:sz w:val="22"/>
                <w:szCs w:val="22"/>
              </w:rPr>
              <w:t>5</w:t>
            </w:r>
            <w:r>
              <w:rPr>
                <w:rFonts w:hint="eastAsia" w:ascii="宋体" w:hAnsi="宋体" w:cs="宋体"/>
                <w:b w:val="0"/>
                <w:bCs w:val="0"/>
                <w:color w:val="auto"/>
                <w:kern w:val="0"/>
                <w:sz w:val="22"/>
                <w:szCs w:val="22"/>
              </w:rPr>
              <w:t>、为保障产品品质与售后服务，所投标产品须有生产厂家针对本项目的原厂出厂证明及售后服务承诺函</w:t>
            </w:r>
            <w:r>
              <w:rPr>
                <w:rFonts w:hint="eastAsia" w:ascii="宋体" w:hAnsi="宋体" w:eastAsia="宋体" w:cs="宋体"/>
                <w:b w:val="0"/>
                <w:bCs w:val="0"/>
                <w:color w:val="auto"/>
                <w:kern w:val="0"/>
                <w:sz w:val="22"/>
                <w:szCs w:val="22"/>
              </w:rPr>
              <w:t>并加盖制造商公章</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生产厂家针对本项目的原厂出厂证明及售后服务承诺函</w:t>
            </w:r>
            <w:r>
              <w:rPr>
                <w:rFonts w:hint="eastAsia" w:ascii="宋体" w:hAnsi="宋体" w:eastAsia="宋体" w:cs="宋体"/>
                <w:b w:val="0"/>
                <w:bCs w:val="0"/>
                <w:color w:val="auto"/>
                <w:kern w:val="0"/>
                <w:sz w:val="22"/>
                <w:szCs w:val="22"/>
              </w:rPr>
              <w:t>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16</w:t>
            </w:r>
          </w:p>
        </w:tc>
        <w:tc>
          <w:tcPr>
            <w:tcW w:w="1566"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21.5寸门牌一体机</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15、▲操作系统：提供正版Windows 10专业版</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lang w:val="en-US" w:eastAsia="zh-CN"/>
              </w:rPr>
              <w:t>正版软件</w:t>
            </w:r>
            <w:r>
              <w:rPr>
                <w:rFonts w:hint="eastAsia" w:ascii="宋体" w:hAnsi="宋体" w:cs="宋体"/>
                <w:b w:val="0"/>
                <w:bCs w:val="0"/>
                <w:color w:val="auto"/>
                <w:kern w:val="0"/>
                <w:sz w:val="22"/>
                <w:szCs w:val="22"/>
              </w:rPr>
              <w:t>相关渠道证明文件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17</w:t>
            </w:r>
          </w:p>
        </w:tc>
        <w:tc>
          <w:tcPr>
            <w:tcW w:w="1566"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55寸翻书屏</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16、▲操作系统：提供正版Windows 10专业版</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正版软件</w:t>
            </w:r>
            <w:r>
              <w:rPr>
                <w:rFonts w:hint="eastAsia" w:ascii="宋体" w:hAnsi="宋体" w:cs="宋体"/>
                <w:b w:val="0"/>
                <w:bCs w:val="0"/>
                <w:color w:val="auto"/>
                <w:kern w:val="0"/>
                <w:sz w:val="22"/>
                <w:szCs w:val="22"/>
              </w:rPr>
              <w:t>相关渠道证明文件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18</w:t>
            </w:r>
          </w:p>
        </w:tc>
        <w:tc>
          <w:tcPr>
            <w:tcW w:w="1566"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55寸触控一体机</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16、▲操作系统：提供正版Windows 10专业版</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正版软件</w:t>
            </w:r>
            <w:r>
              <w:rPr>
                <w:rFonts w:hint="eastAsia" w:ascii="宋体" w:hAnsi="宋体" w:cs="宋体"/>
                <w:b w:val="0"/>
                <w:bCs w:val="0"/>
                <w:color w:val="auto"/>
                <w:kern w:val="0"/>
                <w:sz w:val="22"/>
                <w:szCs w:val="22"/>
              </w:rPr>
              <w:t>相关渠道证明文件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19</w:t>
            </w:r>
          </w:p>
        </w:tc>
        <w:tc>
          <w:tcPr>
            <w:tcW w:w="1566"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55寸触控一体机（落地移动）</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17、▲操作系统：提供正版Windows 10专业版</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正版软件</w:t>
            </w:r>
            <w:r>
              <w:rPr>
                <w:rFonts w:hint="eastAsia" w:ascii="宋体" w:hAnsi="宋体" w:cs="宋体"/>
                <w:b w:val="0"/>
                <w:bCs w:val="0"/>
                <w:color w:val="auto"/>
                <w:kern w:val="0"/>
                <w:sz w:val="22"/>
                <w:szCs w:val="22"/>
              </w:rPr>
              <w:t>相关渠道证明文件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20</w:t>
            </w:r>
          </w:p>
        </w:tc>
        <w:tc>
          <w:tcPr>
            <w:tcW w:w="1566"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65寸触控一体机</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16、▲操作系统：提供正版Windows 10专业版</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lang w:val="en-US" w:eastAsia="zh-CN"/>
              </w:rPr>
            </w:pPr>
            <w:r>
              <w:rPr>
                <w:rFonts w:hint="eastAsia" w:ascii="宋体" w:hAnsi="宋体" w:cs="宋体"/>
                <w:b w:val="0"/>
                <w:bCs w:val="0"/>
                <w:color w:val="auto"/>
                <w:kern w:val="0"/>
                <w:sz w:val="22"/>
                <w:szCs w:val="22"/>
                <w:lang w:val="en-US" w:eastAsia="zh-CN"/>
              </w:rPr>
              <w:t>正版软件</w:t>
            </w:r>
            <w:r>
              <w:rPr>
                <w:rFonts w:hint="eastAsia" w:ascii="宋体" w:hAnsi="宋体" w:cs="宋体"/>
                <w:b w:val="0"/>
                <w:bCs w:val="0"/>
                <w:color w:val="auto"/>
                <w:kern w:val="0"/>
                <w:sz w:val="22"/>
                <w:szCs w:val="22"/>
              </w:rPr>
              <w:t>相关渠道证明文件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21</w:t>
            </w:r>
          </w:p>
        </w:tc>
        <w:tc>
          <w:tcPr>
            <w:tcW w:w="1566" w:type="dxa"/>
            <w:vMerge w:val="restart"/>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75寸会议一体机</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6.▲整机表面采用3.2mm防眩光钢化玻璃，莫式7级硬度，可承受（1.0±0.04）kg钢球1.5m高度自由下落撞击玻璃表面无损伤破裂，确保使用安全</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lang w:val="en-US" w:eastAsia="zh-CN"/>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22</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7.▲整机具备防强光干扰性能，整机面板表面具备防眩光涂层，在100K LUX的强光照射下，产品各项书写、触控功能正常</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23</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8. ▲产品符合4级防雷要求，符合GB/T17626.2-2018防静电干扰要求，符合GB/T9254-2008防辐射B级要求，设备外壳金属表面防腐蚀，整机具备防火功能</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24</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24.▲可通过飞享应用，实现手机传输图片、视频、文档等给会议平板，并可在会议平板进行打开、保存、插入白板等操作</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25</w:t>
            </w:r>
          </w:p>
        </w:tc>
        <w:tc>
          <w:tcPr>
            <w:tcW w:w="1566" w:type="dxa"/>
            <w:vMerge w:val="restart"/>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86寸会议一体机</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6.▲整机表面采用3.2mm防眩光钢化玻璃，莫式7级硬度，可承受（1.0±0.04）kg钢球1.5m高度自由下落撞击玻璃表面无损伤破裂，确保使用安全</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26</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7.▲整机具备防强光干扰性能，整机面板表面具备防眩光涂层，在100K LUX的强光照射下，产品各项书写、触控功能正常</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27</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8. ▲产品符合4级防雷要求，符合GB/T17626.2-2018防静电干扰要求，符合GB/T9254-2008防辐射B级要求，设备外壳金属表面防腐蚀，整机具备防火功能</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28</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24.▲可通过飞享应用，实现手机传输图片、视频、文档等给会议平板，并可在会议平板进行打开、保存、插入白板等操作</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bl>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3"/>
        <w:rPr>
          <w:rFonts w:hint="eastAsia"/>
          <w:b/>
          <w:bCs/>
          <w:color w:val="auto"/>
          <w:lang w:val="en-US" w:eastAsia="zh-CN"/>
        </w:rPr>
      </w:pPr>
      <w:r>
        <w:rPr>
          <w:rFonts w:hint="eastAsia"/>
          <w:b/>
          <w:bCs/>
          <w:color w:val="auto"/>
          <w:lang w:val="en-US" w:eastAsia="zh-CN"/>
        </w:rPr>
        <w:t>附表2：需要提供相关证明材料的未标识“▲”的一般技术参数</w:t>
      </w:r>
    </w:p>
    <w:tbl>
      <w:tblPr>
        <w:tblStyle w:val="40"/>
        <w:tblW w:w="792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4"/>
              <w:spacing w:line="240" w:lineRule="auto"/>
              <w:ind w:left="46" w:right="-139" w:rightChars="-66" w:hanging="46" w:hangingChars="22"/>
              <w:rPr>
                <w:rFonts w:ascii="宋体" w:hAnsi="宋体" w:eastAsia="宋体"/>
                <w:b w:val="0"/>
                <w:bCs w:val="0"/>
                <w:color w:val="auto"/>
                <w:sz w:val="21"/>
                <w:szCs w:val="21"/>
              </w:rPr>
            </w:pPr>
            <w:r>
              <w:rPr>
                <w:rFonts w:hint="eastAsia" w:ascii="宋体" w:hAnsi="宋体" w:eastAsia="宋体"/>
                <w:b w:val="0"/>
                <w:bCs w:val="0"/>
                <w:color w:val="auto"/>
                <w:sz w:val="21"/>
                <w:szCs w:val="21"/>
              </w:rPr>
              <w:t>序号</w:t>
            </w:r>
          </w:p>
        </w:tc>
        <w:tc>
          <w:tcPr>
            <w:tcW w:w="1566" w:type="dxa"/>
            <w:vAlign w:val="center"/>
          </w:tcPr>
          <w:p>
            <w:pPr>
              <w:pStyle w:val="14"/>
              <w:spacing w:line="240" w:lineRule="auto"/>
              <w:ind w:left="46" w:hanging="46" w:hangingChars="22"/>
              <w:jc w:val="center"/>
              <w:rPr>
                <w:rFonts w:ascii="宋体" w:hAnsi="宋体" w:eastAsia="宋体"/>
                <w:b w:val="0"/>
                <w:bCs w:val="0"/>
                <w:color w:val="auto"/>
                <w:sz w:val="21"/>
                <w:szCs w:val="21"/>
              </w:rPr>
            </w:pPr>
            <w:r>
              <w:rPr>
                <w:rFonts w:hint="eastAsia" w:ascii="宋体" w:hAnsi="宋体" w:eastAsia="宋体"/>
                <w:b w:val="0"/>
                <w:bCs w:val="0"/>
                <w:color w:val="auto"/>
                <w:sz w:val="21"/>
                <w:szCs w:val="21"/>
              </w:rPr>
              <w:t>招标文件条目号</w:t>
            </w:r>
          </w:p>
        </w:tc>
        <w:tc>
          <w:tcPr>
            <w:tcW w:w="3221" w:type="dxa"/>
            <w:vAlign w:val="center"/>
          </w:tcPr>
          <w:p>
            <w:pPr>
              <w:pStyle w:val="14"/>
              <w:spacing w:line="240" w:lineRule="auto"/>
              <w:ind w:left="46" w:hanging="46" w:hangingChars="22"/>
              <w:jc w:val="center"/>
              <w:rPr>
                <w:rFonts w:ascii="宋体" w:hAnsi="宋体" w:eastAsia="宋体"/>
                <w:b w:val="0"/>
                <w:bCs w:val="0"/>
                <w:color w:val="auto"/>
                <w:sz w:val="21"/>
                <w:szCs w:val="21"/>
              </w:rPr>
            </w:pPr>
            <w:r>
              <w:rPr>
                <w:rFonts w:hint="eastAsia" w:ascii="宋体" w:hAnsi="宋体" w:eastAsia="宋体"/>
                <w:b w:val="0"/>
                <w:bCs w:val="0"/>
                <w:color w:val="auto"/>
                <w:sz w:val="21"/>
                <w:szCs w:val="21"/>
              </w:rPr>
              <w:t>招标文件的采购需求条款</w:t>
            </w:r>
          </w:p>
        </w:tc>
        <w:tc>
          <w:tcPr>
            <w:tcW w:w="2579" w:type="dxa"/>
            <w:vAlign w:val="center"/>
          </w:tcPr>
          <w:p>
            <w:pPr>
              <w:pStyle w:val="14"/>
              <w:spacing w:line="240" w:lineRule="auto"/>
              <w:ind w:left="46" w:hanging="46" w:hangingChars="22"/>
              <w:jc w:val="center"/>
              <w:rPr>
                <w:rFonts w:ascii="宋体" w:hAnsi="宋体" w:eastAsia="宋体"/>
                <w:b w:val="0"/>
                <w:bCs w:val="0"/>
                <w:color w:val="auto"/>
                <w:sz w:val="21"/>
                <w:szCs w:val="21"/>
              </w:rPr>
            </w:pPr>
            <w:r>
              <w:rPr>
                <w:rFonts w:hint="eastAsia" w:ascii="宋体" w:hAnsi="宋体" w:eastAsia="宋体"/>
                <w:b w:val="0"/>
                <w:bCs w:val="0"/>
                <w:color w:val="auto"/>
                <w:sz w:val="21"/>
                <w:szCs w:val="21"/>
                <w:lang w:val="en-US" w:eastAsia="zh-CN"/>
              </w:rPr>
              <w:t>要求提供的证明材料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w:t>
            </w:r>
          </w:p>
        </w:tc>
        <w:tc>
          <w:tcPr>
            <w:tcW w:w="1566" w:type="dxa"/>
            <w:vMerge w:val="restart"/>
            <w:vAlign w:val="center"/>
          </w:tcPr>
          <w:p>
            <w:pPr>
              <w:pStyle w:val="14"/>
              <w:spacing w:line="240" w:lineRule="auto"/>
              <w:ind w:left="46"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LED显示屏（一）</w:t>
            </w:r>
          </w:p>
        </w:tc>
        <w:tc>
          <w:tcPr>
            <w:tcW w:w="3221" w:type="dxa"/>
            <w:vAlign w:val="center"/>
          </w:tcPr>
          <w:p>
            <w:pPr>
              <w:pStyle w:val="14"/>
              <w:spacing w:line="240" w:lineRule="auto"/>
              <w:ind w:left="46"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10、PC控制：可通过控制PC实现联网控制，远程开机唤醒、关闭等功能。可同时控制多个屏</w:t>
            </w:r>
          </w:p>
        </w:tc>
        <w:tc>
          <w:tcPr>
            <w:tcW w:w="2579" w:type="dxa"/>
            <w:vAlign w:val="center"/>
          </w:tcPr>
          <w:p>
            <w:pPr>
              <w:pStyle w:val="14"/>
              <w:spacing w:line="240" w:lineRule="auto"/>
              <w:ind w:left="46"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2</w:t>
            </w:r>
          </w:p>
        </w:tc>
        <w:tc>
          <w:tcPr>
            <w:tcW w:w="1566" w:type="dxa"/>
            <w:vMerge w:val="continue"/>
            <w:vAlign w:val="center"/>
          </w:tcPr>
          <w:p>
            <w:pPr>
              <w:pStyle w:val="14"/>
              <w:spacing w:line="240" w:lineRule="auto"/>
              <w:ind w:left="46" w:leftChars="0" w:hanging="46" w:hangingChars="22"/>
              <w:jc w:val="center"/>
              <w:rPr>
                <w:rFonts w:ascii="宋体" w:hAnsi="宋体" w:eastAsia="宋体"/>
                <w:b w:val="0"/>
                <w:bCs w:val="0"/>
                <w:color w:val="auto"/>
                <w:sz w:val="21"/>
                <w:szCs w:val="21"/>
              </w:rPr>
            </w:pPr>
          </w:p>
        </w:tc>
        <w:tc>
          <w:tcPr>
            <w:tcW w:w="3221" w:type="dxa"/>
            <w:vAlign w:val="center"/>
          </w:tcPr>
          <w:p>
            <w:pPr>
              <w:pStyle w:val="14"/>
              <w:spacing w:line="240" w:lineRule="auto"/>
              <w:ind w:left="48" w:leftChars="0"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17、软件亮、暗线功能：支持模组件亮暗线修复功能，可从软、硬两方面彻底改善困扰小间距LED安装精度造成的亮、暗线问题</w:t>
            </w:r>
          </w:p>
        </w:tc>
        <w:tc>
          <w:tcPr>
            <w:tcW w:w="2579" w:type="dxa"/>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提供相关证明材料，并加盖制造商公章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3</w:t>
            </w:r>
          </w:p>
        </w:tc>
        <w:tc>
          <w:tcPr>
            <w:tcW w:w="1566" w:type="dxa"/>
            <w:vMerge w:val="restart"/>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LED显示屏（二）</w:t>
            </w:r>
          </w:p>
        </w:tc>
        <w:tc>
          <w:tcPr>
            <w:tcW w:w="3221" w:type="dxa"/>
            <w:vAlign w:val="center"/>
          </w:tcPr>
          <w:p>
            <w:pPr>
              <w:pStyle w:val="14"/>
              <w:spacing w:line="240" w:lineRule="auto"/>
              <w:ind w:left="48" w:leftChars="0"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10、PC控制：可通过控制PC实现联网控制，远程开机唤醒、关闭等功能。可同时控制多个屏</w:t>
            </w:r>
          </w:p>
        </w:tc>
        <w:tc>
          <w:tcPr>
            <w:tcW w:w="2579" w:type="dxa"/>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4</w:t>
            </w:r>
          </w:p>
        </w:tc>
        <w:tc>
          <w:tcPr>
            <w:tcW w:w="1566" w:type="dxa"/>
            <w:vMerge w:val="continue"/>
            <w:vAlign w:val="center"/>
          </w:tcPr>
          <w:p>
            <w:pPr>
              <w:pStyle w:val="14"/>
              <w:spacing w:line="240" w:lineRule="auto"/>
              <w:ind w:left="46" w:leftChars="0" w:hanging="46" w:hangingChars="22"/>
              <w:jc w:val="center"/>
              <w:rPr>
                <w:rFonts w:ascii="宋体" w:hAnsi="宋体" w:eastAsia="宋体"/>
                <w:b w:val="0"/>
                <w:bCs w:val="0"/>
                <w:color w:val="auto"/>
                <w:sz w:val="21"/>
                <w:szCs w:val="21"/>
              </w:rPr>
            </w:pPr>
          </w:p>
        </w:tc>
        <w:tc>
          <w:tcPr>
            <w:tcW w:w="3221" w:type="dxa"/>
            <w:vAlign w:val="center"/>
          </w:tcPr>
          <w:p>
            <w:pPr>
              <w:pStyle w:val="14"/>
              <w:spacing w:line="240" w:lineRule="auto"/>
              <w:ind w:left="48" w:leftChars="0"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17、软件亮、暗线功能：支持模组件亮暗线修复功能，可从软、硬两方面彻底改善困扰小间距LED安装精度造成的亮、暗线问题</w:t>
            </w:r>
          </w:p>
        </w:tc>
        <w:tc>
          <w:tcPr>
            <w:tcW w:w="2579" w:type="dxa"/>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5</w:t>
            </w:r>
          </w:p>
        </w:tc>
        <w:tc>
          <w:tcPr>
            <w:tcW w:w="1566" w:type="dxa"/>
            <w:vMerge w:val="restart"/>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LED显示屏（三）</w:t>
            </w:r>
          </w:p>
        </w:tc>
        <w:tc>
          <w:tcPr>
            <w:tcW w:w="3221" w:type="dxa"/>
            <w:vAlign w:val="center"/>
          </w:tcPr>
          <w:p>
            <w:pPr>
              <w:pStyle w:val="14"/>
              <w:spacing w:line="240" w:lineRule="auto"/>
              <w:ind w:left="48" w:leftChars="0"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10、PC控制：可通过控制PC实现联网控制，远程开机唤醒、关闭等功能。可同时控制多个屏</w:t>
            </w:r>
          </w:p>
        </w:tc>
        <w:tc>
          <w:tcPr>
            <w:tcW w:w="2579" w:type="dxa"/>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6</w:t>
            </w:r>
          </w:p>
        </w:tc>
        <w:tc>
          <w:tcPr>
            <w:tcW w:w="1566" w:type="dxa"/>
            <w:vMerge w:val="continue"/>
            <w:vAlign w:val="center"/>
          </w:tcPr>
          <w:p>
            <w:pPr>
              <w:pStyle w:val="14"/>
              <w:spacing w:line="240" w:lineRule="auto"/>
              <w:ind w:left="46" w:leftChars="0" w:hanging="46" w:hangingChars="22"/>
              <w:jc w:val="center"/>
              <w:rPr>
                <w:rFonts w:ascii="宋体" w:hAnsi="宋体" w:eastAsia="宋体"/>
                <w:b w:val="0"/>
                <w:bCs w:val="0"/>
                <w:color w:val="auto"/>
                <w:sz w:val="21"/>
                <w:szCs w:val="21"/>
              </w:rPr>
            </w:pPr>
          </w:p>
        </w:tc>
        <w:tc>
          <w:tcPr>
            <w:tcW w:w="3221" w:type="dxa"/>
            <w:vAlign w:val="center"/>
          </w:tcPr>
          <w:p>
            <w:pPr>
              <w:pStyle w:val="14"/>
              <w:spacing w:line="240" w:lineRule="auto"/>
              <w:ind w:left="48" w:leftChars="0" w:hanging="48" w:hangingChars="22"/>
              <w:rPr>
                <w:rFonts w:ascii="宋体" w:hAnsi="宋体" w:eastAsia="宋体"/>
                <w:b w:val="0"/>
                <w:bCs w:val="0"/>
                <w:color w:val="auto"/>
                <w:sz w:val="21"/>
                <w:szCs w:val="21"/>
              </w:rPr>
            </w:pPr>
            <w:r>
              <w:rPr>
                <w:rFonts w:hint="eastAsia" w:ascii="宋体" w:hAnsi="宋体" w:cs="宋体"/>
                <w:b w:val="0"/>
                <w:bCs w:val="0"/>
                <w:color w:val="auto"/>
                <w:kern w:val="0"/>
                <w:sz w:val="22"/>
                <w:szCs w:val="22"/>
              </w:rPr>
              <w:t>17、软件亮、暗线功能：支持模组件亮暗线修复功能，可从软、硬两方面彻底改善困扰小间距LED安装精度造成的亮、暗线问题</w:t>
            </w:r>
          </w:p>
        </w:tc>
        <w:tc>
          <w:tcPr>
            <w:tcW w:w="2579" w:type="dxa"/>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7</w:t>
            </w:r>
          </w:p>
        </w:tc>
        <w:tc>
          <w:tcPr>
            <w:tcW w:w="1566" w:type="dxa"/>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55寸翻书屏</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18、含翻书软件，通过触摸屏结合传统翻书体验，支持手在设备上方空中做一个左右滑动翻书动作，眼前的虚拟图书会跟实际中翻书效果一样，同时伴随着清脆的翻书音效，生动立体，栩栩如生，形象逼真的展现出来。展示的资料支持图片或是pdf文件格式，放入后台对应的文件夹里，软件自动生成翻页的效果展示</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相关互动软件著作权证书证明文件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8</w:t>
            </w:r>
          </w:p>
        </w:tc>
        <w:tc>
          <w:tcPr>
            <w:tcW w:w="1566" w:type="dxa"/>
            <w:vMerge w:val="restart"/>
            <w:vAlign w:val="center"/>
          </w:tcPr>
          <w:p>
            <w:pPr>
              <w:pStyle w:val="14"/>
              <w:spacing w:line="240" w:lineRule="auto"/>
              <w:ind w:left="48" w:leftChars="0" w:hanging="48" w:hangingChars="22"/>
              <w:jc w:val="center"/>
              <w:rPr>
                <w:rFonts w:ascii="宋体" w:hAnsi="宋体" w:eastAsia="宋体"/>
                <w:b w:val="0"/>
                <w:bCs w:val="0"/>
                <w:color w:val="auto"/>
                <w:sz w:val="21"/>
                <w:szCs w:val="21"/>
              </w:rPr>
            </w:pPr>
            <w:r>
              <w:rPr>
                <w:rFonts w:hint="eastAsia" w:ascii="宋体" w:hAnsi="宋体" w:cs="宋体"/>
                <w:b w:val="0"/>
                <w:bCs w:val="0"/>
                <w:color w:val="auto"/>
                <w:kern w:val="0"/>
                <w:sz w:val="22"/>
                <w:szCs w:val="22"/>
              </w:rPr>
              <w:t>75寸会议一体机</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9.一键息屏：产品短时间不使用或休息时可以一键关闭液晶屏背光，有效降低功耗超过80%</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eastAsia"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9</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11.用Andriod8.0触控大屏操作系统，支持多任务分屏协作一屏双显功能</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10</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14.整机支持蓝牙功能，通过外接蓝牙设备实现蓝牙传输</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11</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22.支持自定义开机logo</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12</w:t>
            </w:r>
          </w:p>
        </w:tc>
        <w:tc>
          <w:tcPr>
            <w:tcW w:w="1566" w:type="dxa"/>
            <w:vMerge w:val="restart"/>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86寸会议一体机</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9.一键息屏：产品短时间不使用或休息时可以一键关闭液晶屏背光，有效降低功耗超过80%</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13</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11.用Andriod8.0触控大屏操作系统，支持多任务分屏协作一屏双显功能</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14</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14.整机支持蓝牙功能，通过外接蓝牙设备实现蓝牙传输</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15</w:t>
            </w:r>
          </w:p>
        </w:tc>
        <w:tc>
          <w:tcPr>
            <w:tcW w:w="1566" w:type="dxa"/>
            <w:vMerge w:val="continue"/>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22.支持自定义开机logo</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相关证明材料，并加盖制造商公章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0"/>
              </w:numPr>
              <w:spacing w:line="240" w:lineRule="auto"/>
              <w:ind w:left="0" w:leftChars="0" w:firstLine="0" w:firstLineChars="0"/>
              <w:jc w:val="both"/>
              <w:rPr>
                <w:rFonts w:hint="default" w:ascii="宋体" w:hAnsi="宋体" w:eastAsia="宋体"/>
                <w:b w:val="0"/>
                <w:bCs w:val="0"/>
                <w:color w:val="auto"/>
                <w:sz w:val="21"/>
                <w:szCs w:val="21"/>
                <w:lang w:val="en-US" w:eastAsia="zh-CN"/>
              </w:rPr>
            </w:pPr>
            <w:r>
              <w:rPr>
                <w:rFonts w:hint="eastAsia" w:ascii="宋体" w:hAnsi="宋体" w:eastAsia="宋体"/>
                <w:b w:val="0"/>
                <w:bCs w:val="0"/>
                <w:color w:val="auto"/>
                <w:sz w:val="21"/>
                <w:szCs w:val="21"/>
                <w:lang w:val="en-US" w:eastAsia="zh-CN"/>
              </w:rPr>
              <w:t>16</w:t>
            </w:r>
          </w:p>
        </w:tc>
        <w:tc>
          <w:tcPr>
            <w:tcW w:w="1566"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kern w:val="0"/>
                <w:sz w:val="22"/>
                <w:szCs w:val="22"/>
              </w:rPr>
              <w:t>展厅中控系统</w:t>
            </w:r>
          </w:p>
        </w:tc>
        <w:tc>
          <w:tcPr>
            <w:tcW w:w="3221" w:type="dxa"/>
            <w:vAlign w:val="center"/>
          </w:tcPr>
          <w:p>
            <w:pPr>
              <w:pStyle w:val="14"/>
              <w:spacing w:line="240" w:lineRule="auto"/>
              <w:ind w:left="48" w:leftChars="0" w:hanging="48" w:hangingChars="22"/>
              <w:rPr>
                <w:rFonts w:hint="eastAsia" w:ascii="宋体" w:hAnsi="宋体" w:cs="宋体"/>
                <w:b w:val="0"/>
                <w:bCs w:val="0"/>
                <w:color w:val="auto"/>
                <w:kern w:val="0"/>
                <w:sz w:val="22"/>
                <w:szCs w:val="22"/>
              </w:rPr>
            </w:pPr>
            <w:r>
              <w:rPr>
                <w:rFonts w:hint="eastAsia" w:ascii="宋体" w:hAnsi="宋体" w:cs="宋体"/>
                <w:b w:val="0"/>
                <w:bCs w:val="0"/>
                <w:color w:val="auto"/>
                <w:sz w:val="22"/>
                <w:szCs w:val="22"/>
              </w:rPr>
              <w:t>20、投标时提供原厂中控软件著作权证明文件</w:t>
            </w:r>
          </w:p>
        </w:tc>
        <w:tc>
          <w:tcPr>
            <w:tcW w:w="2579" w:type="dxa"/>
            <w:vAlign w:val="center"/>
          </w:tcPr>
          <w:p>
            <w:pPr>
              <w:pStyle w:val="14"/>
              <w:spacing w:line="240" w:lineRule="auto"/>
              <w:ind w:left="48" w:leftChars="0" w:hanging="48" w:hangingChars="22"/>
              <w:jc w:val="center"/>
              <w:rPr>
                <w:rFonts w:hint="eastAsia" w:ascii="宋体" w:hAnsi="宋体" w:cs="宋体"/>
                <w:b w:val="0"/>
                <w:bCs w:val="0"/>
                <w:color w:val="auto"/>
                <w:kern w:val="0"/>
                <w:sz w:val="22"/>
                <w:szCs w:val="22"/>
              </w:rPr>
            </w:pPr>
            <w:r>
              <w:rPr>
                <w:rFonts w:hint="eastAsia" w:ascii="宋体" w:hAnsi="宋体" w:cs="宋体"/>
                <w:b w:val="0"/>
                <w:bCs w:val="0"/>
                <w:color w:val="auto"/>
                <w:sz w:val="22"/>
                <w:szCs w:val="22"/>
              </w:rPr>
              <w:t>原厂中控软件著作权证明文件</w:t>
            </w:r>
          </w:p>
        </w:tc>
      </w:tr>
    </w:tbl>
    <w:p>
      <w:pPr>
        <w:pStyle w:val="2"/>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b/>
          <w:bCs/>
          <w:color w:val="auto"/>
          <w:lang w:val="en-US" w:eastAsia="zh-CN"/>
        </w:rPr>
      </w:pPr>
      <w:bookmarkStart w:id="452" w:name="_Toc20808"/>
      <w:r>
        <w:rPr>
          <w:rFonts w:hint="eastAsia"/>
          <w:b/>
          <w:bCs/>
          <w:color w:val="auto"/>
          <w:lang w:val="en-US" w:eastAsia="zh-CN"/>
        </w:rPr>
        <w:t>标段2：互动展项定制及安装服务</w:t>
      </w:r>
      <w:bookmarkEnd w:id="452"/>
    </w:p>
    <w:tbl>
      <w:tblPr>
        <w:tblStyle w:val="4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57"/>
        <w:gridCol w:w="752"/>
        <w:gridCol w:w="6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评分项</w:t>
            </w:r>
          </w:p>
        </w:tc>
        <w:tc>
          <w:tcPr>
            <w:tcW w:w="684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技术</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lang w:val="en-US" w:eastAsia="zh-CN"/>
              </w:rPr>
              <w:t>5</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序号</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内容</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color w:val="auto"/>
                <w:szCs w:val="21"/>
              </w:rPr>
            </w:pPr>
            <w:r>
              <w:rPr>
                <w:rFonts w:hint="eastAsia" w:ascii="宋体" w:hAnsi="宋体" w:cs="宋体"/>
                <w:b/>
                <w:bCs/>
                <w:color w:val="auto"/>
                <w:szCs w:val="21"/>
              </w:rPr>
              <w:t>分值</w:t>
            </w:r>
          </w:p>
        </w:tc>
        <w:tc>
          <w:tcPr>
            <w:tcW w:w="6849"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color w:val="auto"/>
                <w:szCs w:val="21"/>
              </w:rPr>
            </w:pPr>
            <w:r>
              <w:rPr>
                <w:rFonts w:hint="eastAsia" w:ascii="宋体" w:hAnsi="宋体" w:cs="宋体"/>
                <w:b/>
                <w:bCs/>
                <w:color w:val="auto"/>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w:t>
            </w:r>
          </w:p>
        </w:tc>
        <w:tc>
          <w:tcPr>
            <w:tcW w:w="7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项目理解分析</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tcPr>
          <w:p>
            <w:pPr>
              <w:jc w:val="left"/>
              <w:rPr>
                <w:rFonts w:hint="eastAsia"/>
                <w:color w:val="auto"/>
              </w:rPr>
            </w:pPr>
            <w:r>
              <w:rPr>
                <w:rFonts w:hint="eastAsia"/>
                <w:color w:val="auto"/>
              </w:rPr>
              <w:t>根据</w:t>
            </w:r>
            <w:r>
              <w:rPr>
                <w:rFonts w:hint="eastAsia"/>
                <w:color w:val="auto"/>
                <w:lang w:val="en-US" w:eastAsia="zh-CN"/>
              </w:rPr>
              <w:t>投标人</w:t>
            </w:r>
            <w:r>
              <w:rPr>
                <w:rFonts w:hint="eastAsia"/>
                <w:color w:val="auto"/>
              </w:rPr>
              <w:t>对项目</w:t>
            </w:r>
            <w:r>
              <w:rPr>
                <w:rFonts w:hint="eastAsia"/>
                <w:color w:val="auto"/>
                <w:lang w:val="en-US" w:eastAsia="zh-CN"/>
              </w:rPr>
              <w:t>需求</w:t>
            </w:r>
            <w:r>
              <w:rPr>
                <w:rFonts w:hint="eastAsia"/>
                <w:color w:val="auto"/>
              </w:rPr>
              <w:t>理解的情况进行评审：</w:t>
            </w:r>
          </w:p>
          <w:p>
            <w:pPr>
              <w:jc w:val="left"/>
              <w:rPr>
                <w:rFonts w:hint="eastAsia"/>
                <w:color w:val="auto"/>
              </w:rPr>
            </w:pPr>
            <w:r>
              <w:rPr>
                <w:rFonts w:hint="eastAsia"/>
                <w:color w:val="auto"/>
              </w:rPr>
              <w:t>1. 准确把握项目目标，对项目重点难点分析到位，并能对项目要求进行正确和合理的阐述，完全满足且优于用户需求，得</w:t>
            </w:r>
            <w:r>
              <w:rPr>
                <w:rFonts w:hint="eastAsia"/>
                <w:color w:val="auto"/>
                <w:lang w:val="en-US" w:eastAsia="zh-CN"/>
              </w:rPr>
              <w:t>10</w:t>
            </w:r>
            <w:r>
              <w:rPr>
                <w:rFonts w:hint="eastAsia"/>
                <w:color w:val="auto"/>
              </w:rPr>
              <w:t>分；</w:t>
            </w:r>
          </w:p>
          <w:p>
            <w:pPr>
              <w:jc w:val="left"/>
              <w:rPr>
                <w:rFonts w:hint="eastAsia"/>
                <w:color w:val="auto"/>
              </w:rPr>
            </w:pPr>
            <w:r>
              <w:rPr>
                <w:rFonts w:hint="eastAsia"/>
                <w:color w:val="auto"/>
              </w:rPr>
              <w:t>2. 基本把握项目目标，对项目重点难点进行分析，并能对项目要求进行基本阐述， 满足用户需求得</w:t>
            </w:r>
            <w:r>
              <w:rPr>
                <w:rFonts w:hint="eastAsia"/>
                <w:color w:val="auto"/>
                <w:lang w:val="en-US" w:eastAsia="zh-CN"/>
              </w:rPr>
              <w:t>6</w:t>
            </w:r>
            <w:r>
              <w:rPr>
                <w:rFonts w:hint="eastAsia"/>
                <w:color w:val="auto"/>
              </w:rPr>
              <w:t>分；</w:t>
            </w:r>
          </w:p>
          <w:p>
            <w:pPr>
              <w:jc w:val="left"/>
              <w:rPr>
                <w:rFonts w:hint="eastAsia"/>
                <w:color w:val="auto"/>
              </w:rPr>
            </w:pPr>
            <w:r>
              <w:rPr>
                <w:rFonts w:hint="eastAsia"/>
                <w:color w:val="auto"/>
              </w:rPr>
              <w:t>3. 对项目理解一般，认识一般,未能对项目要求进行简单阐述，基本满足用户需求，得</w:t>
            </w:r>
            <w:r>
              <w:rPr>
                <w:rFonts w:hint="eastAsia"/>
                <w:color w:val="auto"/>
                <w:lang w:val="en-US" w:eastAsia="zh-CN"/>
              </w:rPr>
              <w:t>2</w:t>
            </w:r>
            <w:r>
              <w:rPr>
                <w:rFonts w:hint="eastAsia"/>
                <w:color w:val="auto"/>
              </w:rPr>
              <w:t xml:space="preserve">分。 </w:t>
            </w:r>
          </w:p>
          <w:p>
            <w:pPr>
              <w:widowControl/>
              <w:jc w:val="left"/>
              <w:rPr>
                <w:rFonts w:hint="default" w:ascii="宋体" w:hAnsi="宋体" w:eastAsia="宋体" w:cs="宋体"/>
                <w:color w:val="auto"/>
                <w:kern w:val="2"/>
                <w:sz w:val="21"/>
                <w:szCs w:val="21"/>
                <w:lang w:val="en-US" w:eastAsia="zh-CN"/>
              </w:rPr>
            </w:pPr>
            <w:r>
              <w:rPr>
                <w:rFonts w:hint="eastAsia"/>
                <w:color w:val="auto"/>
              </w:rPr>
              <w:t>4. 完全没有相关内容的，不得分。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color w:val="auto"/>
                <w:szCs w:val="21"/>
              </w:rPr>
            </w:pPr>
            <w:r>
              <w:rPr>
                <w:rFonts w:hint="eastAsia" w:ascii="宋体" w:hAnsi="宋体" w:cs="宋体"/>
                <w:color w:val="auto"/>
                <w:szCs w:val="21"/>
                <w:lang w:val="en-US" w:eastAsia="zh-CN"/>
              </w:rPr>
              <w:t>2</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b/>
                <w:bCs/>
                <w:color w:val="auto"/>
                <w:szCs w:val="21"/>
              </w:rPr>
            </w:pPr>
            <w:r>
              <w:rPr>
                <w:rFonts w:hint="eastAsia" w:ascii="宋体" w:hAnsi="宋体" w:cs="宋体"/>
                <w:color w:val="auto"/>
                <w:szCs w:val="21"/>
                <w:lang w:val="en-US" w:eastAsia="zh-CN"/>
              </w:rPr>
              <w:t>项目</w:t>
            </w:r>
            <w:r>
              <w:rPr>
                <w:rFonts w:hint="eastAsia" w:ascii="宋体" w:hAnsi="宋体" w:cs="宋体"/>
                <w:color w:val="auto"/>
                <w:szCs w:val="21"/>
              </w:rPr>
              <w:t>整体实施方案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
                <w:bCs/>
                <w:color w:val="auto"/>
                <w:szCs w:val="21"/>
                <w:lang w:val="en-US"/>
              </w:rPr>
            </w:pPr>
            <w:r>
              <w:rPr>
                <w:rFonts w:hint="eastAsia" w:ascii="宋体" w:hAnsi="宋体" w:cs="宋体"/>
                <w:color w:val="auto"/>
                <w:szCs w:val="21"/>
                <w:lang w:val="en-US" w:eastAsia="zh-CN"/>
              </w:rPr>
              <w:t>20</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根据</w:t>
            </w:r>
            <w:r>
              <w:rPr>
                <w:rFonts w:hint="eastAsia" w:ascii="宋体" w:hAnsi="宋体" w:cs="宋体"/>
                <w:color w:val="auto"/>
                <w:kern w:val="2"/>
                <w:sz w:val="21"/>
                <w:szCs w:val="21"/>
                <w:lang w:val="en-US" w:eastAsia="zh-CN"/>
              </w:rPr>
              <w:t>投标人</w:t>
            </w:r>
            <w:r>
              <w:rPr>
                <w:rFonts w:hint="eastAsia" w:ascii="宋体" w:hAnsi="宋体" w:eastAsia="宋体" w:cs="宋体"/>
                <w:color w:val="auto"/>
                <w:kern w:val="2"/>
                <w:sz w:val="21"/>
                <w:szCs w:val="21"/>
                <w:lang w:val="en-US" w:eastAsia="zh-CN"/>
              </w:rPr>
              <w:t>的整体实施方案（</w:t>
            </w:r>
            <w:r>
              <w:t>包括遵循的技术规范的合理性，实施计划、人员配置、产品质量</w:t>
            </w:r>
            <w:r>
              <w:rPr>
                <w:rFonts w:hint="eastAsia"/>
                <w:lang w:val="en-US" w:eastAsia="zh-CN"/>
              </w:rPr>
              <w:t>性能、</w:t>
            </w:r>
            <w:r>
              <w:t>技术</w:t>
            </w:r>
            <w:r>
              <w:rPr>
                <w:rFonts w:hint="eastAsia"/>
                <w:lang w:val="en-US" w:eastAsia="zh-CN"/>
              </w:rPr>
              <w:t>保障</w:t>
            </w:r>
            <w:r>
              <w:t>措施等方面</w:t>
            </w:r>
            <w:r>
              <w:rPr>
                <w:rFonts w:hint="eastAsia" w:ascii="宋体" w:hAnsi="宋体" w:eastAsia="宋体" w:cs="宋体"/>
                <w:color w:val="auto"/>
                <w:kern w:val="2"/>
                <w:sz w:val="21"/>
                <w:szCs w:val="21"/>
                <w:lang w:val="en-US" w:eastAsia="zh-CN"/>
              </w:rPr>
              <w:t>）进行评审：</w:t>
            </w:r>
          </w:p>
          <w:p>
            <w:pPr>
              <w:widowControl/>
              <w:jc w:val="lef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1.</w:t>
            </w:r>
            <w:r>
              <w:t>整体实施方案可行性、针对性强，设置科学，与项目实际情况结合程度高</w:t>
            </w:r>
            <w:r>
              <w:rPr>
                <w:rFonts w:hint="eastAsia" w:ascii="宋体" w:hAnsi="宋体" w:eastAsia="宋体" w:cs="宋体"/>
                <w:color w:val="auto"/>
                <w:kern w:val="2"/>
                <w:sz w:val="21"/>
                <w:szCs w:val="21"/>
                <w:lang w:val="en-US" w:eastAsia="zh-CN"/>
              </w:rPr>
              <w:t>，得20分；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2.</w:t>
            </w:r>
            <w:r>
              <w:t>整体实施方案可行性、针对性</w:t>
            </w:r>
            <w:r>
              <w:rPr>
                <w:rFonts w:hint="eastAsia"/>
                <w:lang w:val="en-US" w:eastAsia="zh-CN"/>
              </w:rPr>
              <w:t>较</w:t>
            </w:r>
            <w:r>
              <w:t>强，设置</w:t>
            </w:r>
            <w:r>
              <w:rPr>
                <w:rFonts w:hint="eastAsia"/>
                <w:lang w:val="en-US" w:eastAsia="zh-CN"/>
              </w:rPr>
              <w:t>比较</w:t>
            </w:r>
            <w:r>
              <w:t>科学，与项目实际情况结合程度</w:t>
            </w:r>
            <w:r>
              <w:rPr>
                <w:rFonts w:hint="eastAsia"/>
                <w:lang w:val="en-US" w:eastAsia="zh-CN"/>
              </w:rPr>
              <w:t>较好</w:t>
            </w:r>
            <w:r>
              <w:rPr>
                <w:rFonts w:hint="eastAsia" w:ascii="宋体" w:hAnsi="宋体" w:eastAsia="宋体" w:cs="宋体"/>
                <w:color w:val="auto"/>
                <w:kern w:val="2"/>
                <w:sz w:val="21"/>
                <w:szCs w:val="21"/>
                <w:lang w:val="en-US" w:eastAsia="zh-CN"/>
              </w:rPr>
              <w:t>，得1</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3.</w:t>
            </w:r>
            <w:r>
              <w:t>整体实施方案可行性、针对性</w:t>
            </w:r>
            <w:r>
              <w:rPr>
                <w:rFonts w:hint="eastAsia"/>
                <w:lang w:val="en-US" w:eastAsia="zh-CN"/>
              </w:rPr>
              <w:t>一般</w:t>
            </w:r>
            <w:r>
              <w:t>，设置科学</w:t>
            </w:r>
            <w:r>
              <w:rPr>
                <w:rFonts w:hint="eastAsia"/>
                <w:lang w:val="en-US" w:eastAsia="zh-CN"/>
              </w:rPr>
              <w:t>性一般</w:t>
            </w:r>
            <w:r>
              <w:t>，与项目实际情况结合程度</w:t>
            </w:r>
            <w:r>
              <w:rPr>
                <w:rFonts w:hint="eastAsia"/>
                <w:lang w:val="en-US" w:eastAsia="zh-CN"/>
              </w:rPr>
              <w:t>一般</w:t>
            </w:r>
            <w:r>
              <w:rPr>
                <w:rFonts w:hint="eastAsia" w:ascii="宋体" w:hAnsi="宋体" w:eastAsia="宋体" w:cs="宋体"/>
                <w:color w:val="auto"/>
                <w:kern w:val="2"/>
                <w:sz w:val="21"/>
                <w:szCs w:val="21"/>
                <w:lang w:val="en-US" w:eastAsia="zh-CN"/>
              </w:rPr>
              <w:t>，得</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分；</w:t>
            </w:r>
          </w:p>
          <w:p>
            <w:pPr>
              <w:widowControl/>
              <w:jc w:val="left"/>
              <w:rPr>
                <w:rFonts w:hint="eastAsia" w:ascii="宋体" w:hAnsi="宋体" w:eastAsia="宋体" w:cs="宋体"/>
                <w:color w:val="auto"/>
                <w:kern w:val="2"/>
                <w:sz w:val="21"/>
                <w:szCs w:val="21"/>
                <w:lang w:val="en-US" w:eastAsia="zh-CN"/>
              </w:rPr>
            </w:pPr>
            <w:r>
              <w:rPr>
                <w:rFonts w:hint="eastAsia" w:ascii="宋体" w:hAnsi="宋体" w:cs="宋体"/>
                <w:color w:val="auto"/>
                <w:kern w:val="2"/>
                <w:sz w:val="21"/>
                <w:szCs w:val="21"/>
                <w:lang w:val="en-US" w:eastAsia="zh-CN"/>
              </w:rPr>
              <w:t>4.</w:t>
            </w:r>
            <w:r>
              <w:rPr>
                <w:rFonts w:hint="eastAsia" w:ascii="宋体" w:hAnsi="宋体" w:eastAsia="宋体" w:cs="宋体"/>
                <w:color w:val="auto"/>
                <w:kern w:val="2"/>
                <w:sz w:val="21"/>
                <w:szCs w:val="21"/>
                <w:lang w:val="en-US" w:eastAsia="zh-CN"/>
              </w:rPr>
              <w:t>实施方案详细性、合理性、可操作性较差的，得</w:t>
            </w: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分。</w:t>
            </w:r>
          </w:p>
          <w:p>
            <w:pPr>
              <w:widowControl/>
              <w:jc w:val="left"/>
              <w:rPr>
                <w:rFonts w:hint="eastAsia" w:ascii="宋体" w:hAnsi="宋体" w:cs="宋体"/>
                <w:b/>
                <w:bCs/>
                <w:color w:val="auto"/>
                <w:szCs w:val="21"/>
              </w:rPr>
            </w:pPr>
            <w:r>
              <w:rPr>
                <w:rFonts w:hint="eastAsia" w:ascii="宋体" w:hAnsi="宋体" w:cs="宋体"/>
                <w:color w:val="auto"/>
                <w:kern w:val="2"/>
                <w:sz w:val="21"/>
                <w:szCs w:val="21"/>
                <w:lang w:val="en-US" w:eastAsia="zh-CN"/>
              </w:rPr>
              <w:t>5.</w:t>
            </w:r>
            <w:r>
              <w:rPr>
                <w:rFonts w:hint="eastAsia" w:ascii="宋体" w:hAnsi="宋体" w:eastAsia="宋体" w:cs="宋体"/>
                <w:color w:val="auto"/>
                <w:kern w:val="2"/>
                <w:sz w:val="21"/>
                <w:szCs w:val="21"/>
                <w:lang w:val="en-US" w:eastAsia="zh-CN"/>
              </w:rPr>
              <w:t>未提供不得分</w:t>
            </w:r>
            <w:r>
              <w:rPr>
                <w:rFonts w:hint="eastAsia" w:ascii="宋体" w:hAnsi="宋体" w:cs="宋体"/>
                <w:color w:val="auto"/>
                <w:kern w:val="2"/>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3</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auto"/>
                <w:szCs w:val="21"/>
                <w:lang w:val="en-US" w:eastAsia="zh-CN"/>
              </w:rPr>
            </w:pPr>
            <w:r>
              <w:rPr>
                <w:rFonts w:hint="eastAsia" w:ascii="宋体" w:hAnsi="宋体" w:cs="宋体"/>
                <w:color w:val="auto"/>
                <w:szCs w:val="21"/>
                <w:lang w:val="en-US" w:eastAsia="zh-CN"/>
              </w:rPr>
              <w:t xml:space="preserve">人员培训和技术支持方案 </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vAlign w:val="center"/>
          </w:tcPr>
          <w:p>
            <w:pPr>
              <w:widowControl/>
              <w:jc w:val="left"/>
            </w:pPr>
            <w:r>
              <w:t>根据投标人提供的人员培训和技术支持方案进行综合评审：</w:t>
            </w:r>
          </w:p>
          <w:p>
            <w:pPr>
              <w:widowControl/>
              <w:numPr>
                <w:ilvl w:val="0"/>
                <w:numId w:val="0"/>
              </w:numPr>
              <w:jc w:val="left"/>
            </w:pPr>
            <w:r>
              <w:rPr>
                <w:rFonts w:hint="eastAsia"/>
                <w:lang w:val="en-US" w:eastAsia="zh-CN"/>
              </w:rPr>
              <w:t>1.</w:t>
            </w:r>
            <w:r>
              <w:t>人员的培训和技术支持方案详细、合理</w:t>
            </w:r>
            <w:r>
              <w:rPr>
                <w:rFonts w:hint="eastAsia"/>
                <w:lang w:eastAsia="zh-CN"/>
              </w:rPr>
              <w:t>，</w:t>
            </w:r>
            <w:r>
              <w:t>方案可实施性强、针对性强</w:t>
            </w:r>
            <w:r>
              <w:rPr>
                <w:rFonts w:hint="eastAsia"/>
                <w:lang w:eastAsia="zh-CN"/>
              </w:rPr>
              <w:t>，</w:t>
            </w:r>
            <w:r>
              <w:t>突发情况及应对措施科学合理</w:t>
            </w:r>
            <w:r>
              <w:rPr>
                <w:rFonts w:hint="eastAsia"/>
                <w:lang w:eastAsia="zh-CN"/>
              </w:rPr>
              <w:t>，</w:t>
            </w:r>
            <w:r>
              <w:rPr>
                <w:rFonts w:hint="eastAsia"/>
                <w:lang w:val="en-US" w:eastAsia="zh-CN"/>
              </w:rPr>
              <w:t>得10分</w:t>
            </w:r>
            <w:r>
              <w:t>；</w:t>
            </w:r>
          </w:p>
          <w:p>
            <w:pPr>
              <w:widowControl/>
              <w:numPr>
                <w:ilvl w:val="0"/>
                <w:numId w:val="0"/>
              </w:numPr>
              <w:jc w:val="left"/>
              <w:rPr>
                <w:rFonts w:hint="eastAsia"/>
                <w:lang w:val="en-US" w:eastAsia="zh-CN"/>
              </w:rPr>
            </w:pPr>
            <w:r>
              <w:rPr>
                <w:rFonts w:hint="eastAsia"/>
                <w:lang w:val="en-US" w:eastAsia="zh-CN"/>
              </w:rPr>
              <w:t>2.</w:t>
            </w:r>
            <w:r>
              <w:t>人员的培训和技术支持方案</w:t>
            </w:r>
            <w:r>
              <w:rPr>
                <w:rFonts w:hint="eastAsia"/>
                <w:lang w:val="en-US" w:eastAsia="zh-CN"/>
              </w:rPr>
              <w:t>比较详细、合理，方案可实施性较强、针对性较强、突发情况及应对措施比较科学合理，得7分；</w:t>
            </w:r>
          </w:p>
          <w:p>
            <w:pPr>
              <w:widowControl/>
              <w:numPr>
                <w:ilvl w:val="0"/>
                <w:numId w:val="0"/>
              </w:numPr>
              <w:jc w:val="left"/>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w:t>
            </w:r>
            <w:r>
              <w:rPr>
                <w:rFonts w:ascii="Times New Roman" w:hAnsi="Times New Roman" w:eastAsia="宋体" w:cs="Times New Roman"/>
              </w:rPr>
              <w:t>人员的培训和技术支持方案</w:t>
            </w:r>
            <w:r>
              <w:rPr>
                <w:rFonts w:hint="eastAsia" w:ascii="Times New Roman" w:hAnsi="Times New Roman" w:eastAsia="宋体" w:cs="Times New Roman"/>
                <w:lang w:val="en-US" w:eastAsia="zh-CN"/>
              </w:rPr>
              <w:t>比较简单、合理性一般，方案可实施性一般、针对性一般，突发情况及应对措施一般，得</w:t>
            </w:r>
            <w:r>
              <w:rPr>
                <w:rFonts w:hint="eastAsia" w:cs="Times New Roman"/>
                <w:lang w:val="en-US" w:eastAsia="zh-CN"/>
              </w:rPr>
              <w:t>3</w:t>
            </w:r>
            <w:r>
              <w:rPr>
                <w:rFonts w:hint="eastAsia" w:ascii="Times New Roman" w:hAnsi="Times New Roman" w:eastAsia="宋体" w:cs="Times New Roman"/>
                <w:lang w:val="en-US" w:eastAsia="zh-CN"/>
              </w:rPr>
              <w:t>分；</w:t>
            </w:r>
          </w:p>
          <w:p>
            <w:pPr>
              <w:widowControl/>
              <w:numPr>
                <w:ilvl w:val="0"/>
                <w:numId w:val="0"/>
              </w:numPr>
              <w:jc w:val="left"/>
              <w:rPr>
                <w:rFonts w:hint="default"/>
                <w:lang w:val="en-US" w:eastAsia="zh-CN"/>
              </w:rPr>
            </w:pPr>
            <w:r>
              <w:rPr>
                <w:rFonts w:hint="eastAsia" w:ascii="Times New Roman" w:hAnsi="Times New Roman" w:eastAsia="宋体" w:cs="Times New Roman"/>
                <w:lang w:val="en-US" w:eastAsia="zh-CN"/>
              </w:rPr>
              <w:t>4.其他或不提供不得分。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Cs w:val="21"/>
                <w:lang w:val="en-US" w:eastAsia="zh-CN"/>
              </w:rPr>
            </w:pPr>
            <w:r>
              <w:rPr>
                <w:rFonts w:hint="eastAsia" w:ascii="宋体" w:hAnsi="宋体" w:cs="宋体"/>
                <w:color w:val="auto"/>
                <w:szCs w:val="21"/>
                <w:lang w:val="en-US" w:eastAsia="zh-CN"/>
              </w:rPr>
              <w:t>4</w:t>
            </w:r>
          </w:p>
        </w:tc>
        <w:tc>
          <w:tcPr>
            <w:tcW w:w="7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color w:val="auto"/>
                <w:lang w:val="en-US" w:eastAsia="zh-CN"/>
              </w:rPr>
            </w:pPr>
            <w:r>
              <w:t>服务保障方案</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w:t>
            </w:r>
          </w:p>
        </w:tc>
        <w:tc>
          <w:tcPr>
            <w:tcW w:w="6849" w:type="dxa"/>
            <w:tcBorders>
              <w:top w:val="single" w:color="auto" w:sz="4" w:space="0"/>
              <w:left w:val="single" w:color="auto" w:sz="4" w:space="0"/>
              <w:bottom w:val="single" w:color="auto" w:sz="4" w:space="0"/>
              <w:right w:val="single" w:color="auto" w:sz="4" w:space="0"/>
            </w:tcBorders>
          </w:tcPr>
          <w:p>
            <w:pPr>
              <w:widowControl/>
              <w:jc w:val="left"/>
              <w:rPr>
                <w:rFonts w:hint="default"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根据投标人提出的</w:t>
            </w:r>
            <w:r>
              <w:t>售后服务保障方案（包括但不限于供货期保障措施、项目质量保证及售后服务方案等）</w:t>
            </w:r>
            <w:r>
              <w:rPr>
                <w:rFonts w:hint="eastAsia" w:ascii="宋体" w:hAnsi="宋体" w:eastAsia="宋体" w:cs="宋体"/>
                <w:color w:val="auto"/>
                <w:kern w:val="0"/>
                <w:sz w:val="21"/>
                <w:szCs w:val="21"/>
                <w:lang w:val="en-US" w:eastAsia="zh-CN" w:bidi="ar"/>
              </w:rPr>
              <w:t>进行综合评审:</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r>
              <w:rPr>
                <w:rFonts w:hint="eastAsia" w:ascii="宋体" w:hAnsi="宋体" w:eastAsia="宋体" w:cs="宋体"/>
                <w:color w:val="auto"/>
                <w:kern w:val="0"/>
                <w:sz w:val="21"/>
                <w:szCs w:val="21"/>
                <w:lang w:val="en-US" w:eastAsia="zh-CN" w:bidi="ar"/>
              </w:rPr>
              <w:t>质量保障措施详细具体、措施切实可行，服务管理承诺、目标明确，有针对性，得1</w:t>
            </w:r>
            <w:r>
              <w:rPr>
                <w:rFonts w:hint="eastAsia" w:ascii="宋体" w:hAnsi="宋体" w:cs="宋体"/>
                <w:color w:val="auto"/>
                <w:kern w:val="0"/>
                <w:sz w:val="21"/>
                <w:szCs w:val="21"/>
                <w:lang w:val="en-US" w:eastAsia="zh-CN" w:bidi="ar"/>
              </w:rPr>
              <w:t>0</w:t>
            </w:r>
            <w:r>
              <w:rPr>
                <w:rFonts w:hint="eastAsia" w:ascii="宋体" w:hAnsi="宋体" w:eastAsia="宋体" w:cs="宋体"/>
                <w:color w:val="auto"/>
                <w:kern w:val="0"/>
                <w:sz w:val="21"/>
                <w:szCs w:val="21"/>
                <w:lang w:val="en-US" w:eastAsia="zh-CN" w:bidi="ar"/>
              </w:rPr>
              <w:t>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r>
              <w:rPr>
                <w:rFonts w:hint="eastAsia" w:ascii="宋体" w:hAnsi="宋体" w:eastAsia="宋体" w:cs="宋体"/>
                <w:color w:val="auto"/>
                <w:kern w:val="0"/>
                <w:sz w:val="21"/>
                <w:szCs w:val="21"/>
                <w:lang w:val="en-US" w:eastAsia="zh-CN" w:bidi="ar"/>
              </w:rPr>
              <w:t>质量保障措施基本可行，服务管理承诺、目标不够明确，有一定针对性，得</w:t>
            </w:r>
            <w:r>
              <w:rPr>
                <w:rFonts w:hint="eastAsia" w:ascii="宋体" w:hAnsi="宋体" w:cs="宋体"/>
                <w:color w:val="auto"/>
                <w:kern w:val="0"/>
                <w:sz w:val="21"/>
                <w:szCs w:val="21"/>
                <w:lang w:val="en-US" w:eastAsia="zh-CN" w:bidi="ar"/>
              </w:rPr>
              <w:t>7</w:t>
            </w:r>
            <w:r>
              <w:rPr>
                <w:rFonts w:hint="eastAsia" w:ascii="宋体" w:hAnsi="宋体" w:eastAsia="宋体" w:cs="宋体"/>
                <w:color w:val="auto"/>
                <w:kern w:val="0"/>
                <w:sz w:val="21"/>
                <w:szCs w:val="21"/>
                <w:lang w:val="en-US" w:eastAsia="zh-CN" w:bidi="ar"/>
              </w:rPr>
              <w:t>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质量保障措施简单，相关服务管理承诺、目标不明确，针对性较差，得</w:t>
            </w:r>
            <w:r>
              <w:rPr>
                <w:rFonts w:hint="eastAsia" w:ascii="宋体" w:hAnsi="宋体" w:cs="宋体"/>
                <w:color w:val="auto"/>
                <w:kern w:val="0"/>
                <w:sz w:val="21"/>
                <w:szCs w:val="21"/>
                <w:lang w:val="en-US" w:eastAsia="zh-CN" w:bidi="ar"/>
              </w:rPr>
              <w:t>3</w:t>
            </w:r>
            <w:r>
              <w:rPr>
                <w:rFonts w:hint="eastAsia" w:ascii="宋体" w:hAnsi="宋体" w:eastAsia="宋体" w:cs="宋体"/>
                <w:color w:val="auto"/>
                <w:kern w:val="0"/>
                <w:sz w:val="21"/>
                <w:szCs w:val="21"/>
                <w:lang w:val="en-US" w:eastAsia="zh-CN" w:bidi="ar"/>
              </w:rPr>
              <w:t>分；</w:t>
            </w:r>
          </w:p>
          <w:p>
            <w:pPr>
              <w:widowControl/>
              <w:jc w:val="left"/>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4.</w:t>
            </w:r>
            <w:r>
              <w:rPr>
                <w:rFonts w:hint="eastAsia" w:ascii="宋体" w:hAnsi="宋体" w:eastAsia="宋体" w:cs="宋体"/>
                <w:color w:val="auto"/>
                <w:kern w:val="0"/>
                <w:sz w:val="21"/>
                <w:szCs w:val="21"/>
                <w:lang w:val="en-US" w:eastAsia="zh-CN" w:bidi="ar"/>
              </w:rPr>
              <w:t>其他或不提供不得分。</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bCs/>
          <w:color w:val="auto"/>
          <w:lang w:val="en-US" w:eastAsia="zh-CN"/>
        </w:rPr>
      </w:pPr>
    </w:p>
    <w:p>
      <w:pPr>
        <w:pStyle w:val="6"/>
        <w:numPr>
          <w:ilvl w:val="0"/>
          <w:numId w:val="4"/>
        </w:numPr>
        <w:ind w:left="360" w:leftChars="0" w:hanging="360" w:firstLineChars="0"/>
        <w:rPr>
          <w:rFonts w:hint="eastAsia" w:asciiTheme="minorEastAsia" w:hAnsiTheme="minorEastAsia" w:eastAsiaTheme="minorEastAsia"/>
          <w:b w:val="0"/>
          <w:color w:val="auto"/>
          <w:sz w:val="24"/>
        </w:rPr>
      </w:pPr>
      <w:bookmarkStart w:id="453" w:name="_Toc17118"/>
      <w:r>
        <w:rPr>
          <w:rFonts w:hint="eastAsia" w:asciiTheme="minorEastAsia" w:hAnsiTheme="minorEastAsia" w:eastAsiaTheme="minorEastAsia"/>
          <w:b w:val="0"/>
          <w:color w:val="auto"/>
          <w:sz w:val="24"/>
        </w:rPr>
        <w:t>商务评分表</w:t>
      </w:r>
      <w:bookmarkEnd w:id="447"/>
      <w:bookmarkEnd w:id="448"/>
      <w:bookmarkEnd w:id="449"/>
      <w:bookmarkEnd w:id="450"/>
      <w:bookmarkEnd w:id="451"/>
      <w:bookmarkEnd w:id="453"/>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b/>
          <w:bCs/>
          <w:color w:val="auto"/>
          <w:lang w:val="en-US" w:eastAsia="zh-CN"/>
        </w:rPr>
      </w:pPr>
      <w:bookmarkStart w:id="454" w:name="_Toc512"/>
      <w:r>
        <w:rPr>
          <w:rFonts w:hint="eastAsia"/>
          <w:b/>
          <w:bCs/>
          <w:color w:val="auto"/>
          <w:lang w:val="en-US" w:eastAsia="zh-CN"/>
        </w:rPr>
        <w:t>标段1：多媒体设备定制及安装服务</w:t>
      </w:r>
      <w:bookmarkEnd w:id="454"/>
    </w:p>
    <w:tbl>
      <w:tblPr>
        <w:tblStyle w:val="4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07"/>
        <w:gridCol w:w="704"/>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评分项</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商务</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序号</w:t>
            </w:r>
          </w:p>
        </w:tc>
        <w:tc>
          <w:tcPr>
            <w:tcW w:w="594"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内容</w:t>
            </w:r>
          </w:p>
        </w:tc>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分值</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w:t>
            </w:r>
          </w:p>
        </w:tc>
        <w:tc>
          <w:tcPr>
            <w:tcW w:w="594" w:type="pct"/>
            <w:tcBorders>
              <w:bottom w:val="single" w:color="auto" w:sz="4" w:space="0"/>
            </w:tcBorders>
            <w:vAlign w:val="center"/>
          </w:tcPr>
          <w:p>
            <w:pPr>
              <w:spacing w:line="240" w:lineRule="exact"/>
              <w:jc w:val="center"/>
              <w:rPr>
                <w:rFonts w:hint="default" w:ascii="宋体" w:hAnsi="宋体" w:eastAsia="宋体" w:cs="宋体"/>
                <w:b w:val="0"/>
                <w:bCs w:val="0"/>
                <w:color w:val="auto"/>
                <w:szCs w:val="21"/>
                <w:lang w:val="en-US" w:eastAsia="zh-CN"/>
              </w:rPr>
            </w:pPr>
            <w:r>
              <w:rPr>
                <w:rFonts w:hint="eastAsia" w:ascii="宋体" w:hAnsi="宋体" w:cs="宋体"/>
                <w:color w:val="auto"/>
                <w:szCs w:val="21"/>
              </w:rPr>
              <w:t>企业综合实力</w:t>
            </w:r>
          </w:p>
        </w:tc>
        <w:tc>
          <w:tcPr>
            <w:tcW w:w="377" w:type="pct"/>
            <w:tcBorders>
              <w:bottom w:val="single" w:color="auto" w:sz="4" w:space="0"/>
            </w:tcBorders>
            <w:vAlign w:val="center"/>
          </w:tcPr>
          <w:p>
            <w:pPr>
              <w:spacing w:line="240" w:lineRule="exact"/>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10</w:t>
            </w:r>
          </w:p>
        </w:tc>
        <w:tc>
          <w:tcPr>
            <w:tcW w:w="3650" w:type="pct"/>
            <w:tcBorders>
              <w:bottom w:val="single" w:color="auto" w:sz="4" w:space="0"/>
            </w:tcBorders>
            <w:vAlign w:val="center"/>
          </w:tcPr>
          <w:p>
            <w:pPr>
              <w:rPr>
                <w:rFonts w:hint="default"/>
                <w:b w:val="0"/>
                <w:bCs w:val="0"/>
                <w:color w:val="auto"/>
                <w:lang w:val="en-US" w:eastAsia="zh-CN"/>
              </w:rPr>
            </w:pPr>
            <w:r>
              <w:rPr>
                <w:rFonts w:hint="eastAsia"/>
                <w:b w:val="0"/>
                <w:bCs w:val="0"/>
                <w:color w:val="auto"/>
              </w:rPr>
              <w:t>考察投标人的管理体系认证及资质认证情况</w:t>
            </w:r>
            <w:r>
              <w:rPr>
                <w:rFonts w:hint="eastAsia"/>
                <w:b w:val="0"/>
                <w:bCs w:val="0"/>
                <w:color w:val="auto"/>
                <w:lang w:eastAsia="zh-CN"/>
              </w:rPr>
              <w:t>，</w:t>
            </w:r>
            <w:r>
              <w:rPr>
                <w:rFonts w:hint="eastAsia"/>
                <w:b w:val="0"/>
                <w:bCs w:val="0"/>
                <w:color w:val="auto"/>
                <w:lang w:val="en-US" w:eastAsia="zh-CN"/>
              </w:rPr>
              <w:t>本项满分10分：</w:t>
            </w:r>
          </w:p>
          <w:p>
            <w:pPr>
              <w:rPr>
                <w:rFonts w:hint="eastAsia"/>
                <w:b w:val="0"/>
                <w:bCs w:val="0"/>
                <w:color w:val="auto"/>
                <w:lang w:val="en-US" w:eastAsia="zh-CN"/>
              </w:rPr>
            </w:pPr>
            <w:r>
              <w:rPr>
                <w:rFonts w:hint="eastAsia"/>
                <w:b w:val="0"/>
                <w:bCs w:val="0"/>
                <w:color w:val="auto"/>
                <w:lang w:val="en-US" w:eastAsia="zh-CN"/>
              </w:rPr>
              <w:t>1.具有</w:t>
            </w:r>
            <w:r>
              <w:rPr>
                <w:rFonts w:hint="eastAsia"/>
                <w:b w:val="0"/>
                <w:bCs w:val="0"/>
                <w:color w:val="auto"/>
              </w:rPr>
              <w:t>ISO9000</w:t>
            </w:r>
            <w:r>
              <w:rPr>
                <w:rFonts w:hint="eastAsia"/>
                <w:b w:val="0"/>
                <w:bCs w:val="0"/>
                <w:color w:val="auto"/>
                <w:lang w:val="en-US" w:eastAsia="zh-CN"/>
              </w:rPr>
              <w:t>族</w:t>
            </w:r>
            <w:r>
              <w:rPr>
                <w:rFonts w:hint="eastAsia"/>
                <w:b w:val="0"/>
                <w:bCs w:val="0"/>
                <w:color w:val="auto"/>
              </w:rPr>
              <w:t>质量管理体系</w:t>
            </w:r>
            <w:r>
              <w:rPr>
                <w:rFonts w:hint="eastAsia"/>
                <w:b w:val="0"/>
                <w:bCs w:val="0"/>
                <w:color w:val="auto"/>
                <w:lang w:val="en-US" w:eastAsia="zh-CN"/>
              </w:rPr>
              <w:t>证书，得2分；</w:t>
            </w:r>
          </w:p>
          <w:p>
            <w:pPr>
              <w:rPr>
                <w:rFonts w:hint="eastAsia"/>
                <w:b w:val="0"/>
                <w:bCs w:val="0"/>
                <w:color w:val="auto"/>
              </w:rPr>
            </w:pPr>
            <w:r>
              <w:rPr>
                <w:rFonts w:hint="eastAsia"/>
                <w:b w:val="0"/>
                <w:bCs w:val="0"/>
                <w:color w:val="auto"/>
                <w:lang w:val="en-US" w:eastAsia="zh-CN"/>
              </w:rPr>
              <w:t>2.具有ISO45000族职业健康管理体系证书，得2分；</w:t>
            </w:r>
          </w:p>
          <w:p>
            <w:pPr>
              <w:rPr>
                <w:rFonts w:hint="eastAsia"/>
                <w:b w:val="0"/>
                <w:bCs w:val="0"/>
                <w:color w:val="auto"/>
              </w:rPr>
            </w:pPr>
            <w:r>
              <w:rPr>
                <w:rFonts w:hint="eastAsia"/>
                <w:b w:val="0"/>
                <w:bCs w:val="0"/>
                <w:color w:val="auto"/>
                <w:lang w:val="en-US" w:eastAsia="zh-CN"/>
              </w:rPr>
              <w:t>3.具有</w:t>
            </w:r>
            <w:r>
              <w:rPr>
                <w:rFonts w:hint="eastAsia"/>
                <w:b w:val="0"/>
                <w:bCs w:val="0"/>
                <w:color w:val="auto"/>
              </w:rPr>
              <w:t>ISO14000族环境管理体系认证</w:t>
            </w:r>
            <w:r>
              <w:rPr>
                <w:rFonts w:hint="eastAsia"/>
                <w:b w:val="0"/>
                <w:bCs w:val="0"/>
                <w:color w:val="auto"/>
                <w:lang w:val="en-US" w:eastAsia="zh-CN"/>
              </w:rPr>
              <w:t>证书，得2分</w:t>
            </w:r>
            <w:r>
              <w:rPr>
                <w:rFonts w:hint="eastAsia"/>
                <w:b w:val="0"/>
                <w:bCs w:val="0"/>
                <w:color w:val="auto"/>
              </w:rPr>
              <w:t>；</w:t>
            </w:r>
          </w:p>
          <w:p>
            <w:pPr>
              <w:rPr>
                <w:rFonts w:hint="eastAsia"/>
                <w:b w:val="0"/>
                <w:bCs w:val="0"/>
                <w:color w:val="auto"/>
                <w:lang w:val="en-US" w:eastAsia="zh-CN"/>
              </w:rPr>
            </w:pPr>
            <w:r>
              <w:rPr>
                <w:rFonts w:hint="eastAsia"/>
                <w:b w:val="0"/>
                <w:bCs w:val="0"/>
                <w:color w:val="auto"/>
                <w:lang w:val="en-US" w:eastAsia="zh-CN"/>
              </w:rPr>
              <w:t>4.具有</w:t>
            </w:r>
            <w:r>
              <w:rPr>
                <w:rFonts w:hint="eastAsia" w:ascii="宋体" w:hAnsi="宋体" w:eastAsia="宋体" w:cs="宋体"/>
                <w:sz w:val="21"/>
                <w:szCs w:val="21"/>
                <w:lang w:val="en-US" w:eastAsia="zh-CN"/>
              </w:rPr>
              <w:t>高新技术企业认证证书</w:t>
            </w:r>
            <w:r>
              <w:rPr>
                <w:rFonts w:hint="eastAsia"/>
                <w:b w:val="0"/>
                <w:bCs w:val="0"/>
                <w:color w:val="auto"/>
                <w:lang w:val="en-US" w:eastAsia="zh-CN"/>
              </w:rPr>
              <w:t>，得2分</w:t>
            </w:r>
            <w:r>
              <w:rPr>
                <w:rFonts w:hint="eastAsia" w:ascii="宋体" w:hAnsi="宋体" w:cs="宋体"/>
                <w:sz w:val="21"/>
                <w:szCs w:val="21"/>
                <w:lang w:val="en-US" w:eastAsia="zh-CN"/>
              </w:rPr>
              <w:t>；</w:t>
            </w:r>
          </w:p>
          <w:p>
            <w:pPr>
              <w:rPr>
                <w:rFonts w:hint="default"/>
                <w:b w:val="0"/>
                <w:bCs w:val="0"/>
                <w:color w:val="auto"/>
                <w:lang w:val="en-US" w:eastAsia="zh-CN"/>
              </w:rPr>
            </w:pPr>
            <w:r>
              <w:rPr>
                <w:rFonts w:hint="eastAsia"/>
                <w:b w:val="0"/>
                <w:bCs w:val="0"/>
                <w:color w:val="auto"/>
                <w:lang w:val="en-US" w:eastAsia="zh-CN"/>
              </w:rPr>
              <w:t>5.具有</w:t>
            </w:r>
            <w:r>
              <w:rPr>
                <w:rFonts w:hint="eastAsia" w:ascii="宋体" w:hAnsi="宋体" w:eastAsia="宋体" w:cs="宋体"/>
                <w:color w:val="auto"/>
                <w:sz w:val="21"/>
                <w:szCs w:val="21"/>
                <w:lang w:val="en-US" w:eastAsia="zh-CN"/>
              </w:rPr>
              <w:t>市场监督管理部门颁发的“守合同重信用”证书，连续三年及以上得2分；连续二年得1分；1年及不提供得0分</w:t>
            </w:r>
            <w:r>
              <w:rPr>
                <w:rFonts w:hint="eastAsia" w:ascii="宋体" w:hAnsi="宋体" w:cs="宋体"/>
                <w:color w:val="auto"/>
                <w:sz w:val="21"/>
                <w:szCs w:val="21"/>
                <w:lang w:val="en-US" w:eastAsia="zh-CN"/>
              </w:rPr>
              <w:t>；</w:t>
            </w:r>
          </w:p>
          <w:p>
            <w:pPr>
              <w:rPr>
                <w:rFonts w:hint="eastAsia"/>
                <w:b w:val="0"/>
                <w:bCs w:val="0"/>
                <w:color w:val="auto"/>
              </w:rPr>
            </w:pPr>
            <w:r>
              <w:rPr>
                <w:rFonts w:hint="eastAsia"/>
                <w:b w:val="0"/>
                <w:bCs w:val="0"/>
                <w:color w:val="auto"/>
              </w:rPr>
              <w:t>注：需提供有效期内的证书复印件并加盖公章，不提供不得分。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2" w:hRule="atLeast"/>
          <w:jc w:val="center"/>
        </w:trPr>
        <w:tc>
          <w:tcPr>
            <w:tcW w:w="377" w:type="pct"/>
            <w:vAlign w:val="center"/>
          </w:tcPr>
          <w:p>
            <w:pPr>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2</w:t>
            </w:r>
          </w:p>
        </w:tc>
        <w:tc>
          <w:tcPr>
            <w:tcW w:w="594" w:type="pct"/>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同类项目经验</w:t>
            </w:r>
          </w:p>
        </w:tc>
        <w:tc>
          <w:tcPr>
            <w:tcW w:w="377" w:type="pct"/>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20</w:t>
            </w:r>
          </w:p>
        </w:tc>
        <w:tc>
          <w:tcPr>
            <w:tcW w:w="3650" w:type="pct"/>
            <w:vAlign w:val="center"/>
          </w:tcPr>
          <w:p>
            <w:pPr>
              <w:rPr>
                <w:rFonts w:hint="eastAsia"/>
                <w:b w:val="0"/>
                <w:bCs w:val="0"/>
                <w:color w:val="auto"/>
                <w:lang w:val="en-US" w:eastAsia="zh-CN"/>
              </w:rPr>
            </w:pPr>
            <w:r>
              <w:rPr>
                <w:rFonts w:hint="eastAsia"/>
                <w:b w:val="0"/>
                <w:bCs w:val="0"/>
                <w:color w:val="auto"/>
              </w:rPr>
              <w:t>考察投标人的</w:t>
            </w:r>
            <w:r>
              <w:rPr>
                <w:rFonts w:hint="eastAsia"/>
                <w:b w:val="0"/>
                <w:bCs w:val="0"/>
                <w:color w:val="auto"/>
                <w:lang w:val="en-US" w:eastAsia="zh-CN"/>
              </w:rPr>
              <w:t>2020年1月1日（以合同签订日期为准）至今同类项目【同类项目指：</w:t>
            </w:r>
            <w:r>
              <w:rPr>
                <w:rFonts w:hint="eastAsia"/>
                <w:color w:val="auto"/>
                <w:highlight w:val="none"/>
              </w:rPr>
              <w:t>多媒体硬件设备采购及安装服务或展厅展馆类布展服务的软硬件系统集成服务或信息化系统集成服务项目</w:t>
            </w:r>
            <w:r>
              <w:rPr>
                <w:rFonts w:hint="eastAsia"/>
                <w:b w:val="0"/>
                <w:bCs w:val="0"/>
                <w:color w:val="auto"/>
                <w:lang w:val="en-US" w:eastAsia="zh-CN"/>
              </w:rPr>
              <w:t>】经验：</w:t>
            </w:r>
          </w:p>
          <w:p>
            <w:pPr>
              <w:rPr>
                <w:rFonts w:hint="default"/>
                <w:b w:val="0"/>
                <w:bCs w:val="0"/>
                <w:color w:val="auto"/>
                <w:lang w:val="en-US" w:eastAsia="zh-CN"/>
              </w:rPr>
            </w:pPr>
            <w:r>
              <w:rPr>
                <w:rFonts w:hint="eastAsia"/>
                <w:b w:val="0"/>
                <w:bCs w:val="0"/>
                <w:color w:val="auto"/>
                <w:lang w:val="en-US" w:eastAsia="zh-CN"/>
              </w:rPr>
              <w:t>每具备1个同类项目业绩，得4分，本项满分20分；</w:t>
            </w:r>
          </w:p>
          <w:p>
            <w:pPr>
              <w:rPr>
                <w:rFonts w:hint="default" w:eastAsia="楷体_GB2312"/>
                <w:b w:val="0"/>
                <w:bCs w:val="0"/>
                <w:color w:val="auto"/>
                <w:lang w:val="en-US" w:eastAsia="zh-CN"/>
              </w:rPr>
            </w:pPr>
            <w:r>
              <w:rPr>
                <w:rFonts w:hint="eastAsia"/>
                <w:b w:val="0"/>
                <w:bCs w:val="0"/>
                <w:color w:val="auto"/>
              </w:rPr>
              <w:t>注：每份业绩均须提供合同关键页复印件、合同服务内容等，证明材料提供不齐的不予认可。</w:t>
            </w:r>
          </w:p>
        </w:tc>
      </w:tr>
    </w:tbl>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9"/>
        <w:rPr>
          <w:rFonts w:hint="eastAsia"/>
          <w:b/>
          <w:bCs/>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textAlignment w:val="auto"/>
        <w:outlineLvl w:val="2"/>
        <w:rPr>
          <w:rFonts w:hint="eastAsia"/>
          <w:b/>
          <w:bCs/>
          <w:color w:val="auto"/>
          <w:lang w:val="en-US" w:eastAsia="zh-CN"/>
        </w:rPr>
      </w:pPr>
      <w:bookmarkStart w:id="455" w:name="_Toc29790"/>
      <w:r>
        <w:rPr>
          <w:rFonts w:hint="eastAsia"/>
          <w:b/>
          <w:bCs/>
          <w:color w:val="auto"/>
          <w:lang w:val="en-US" w:eastAsia="zh-CN"/>
        </w:rPr>
        <w:t>标段2：互动展项定制及安装服务</w:t>
      </w:r>
      <w:bookmarkEnd w:id="455"/>
    </w:p>
    <w:tbl>
      <w:tblPr>
        <w:tblStyle w:val="40"/>
        <w:tblW w:w="54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107"/>
        <w:gridCol w:w="704"/>
        <w:gridCol w:w="6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评分项</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349" w:type="pct"/>
            <w:gridSpan w:val="3"/>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商务</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lang w:val="en-US" w:eastAsia="zh-CN"/>
              </w:rPr>
              <w:t>3</w:t>
            </w:r>
            <w:r>
              <w:rPr>
                <w:rFonts w:hint="eastAsia" w:ascii="宋体" w:hAnsi="宋体" w:cs="宋体"/>
                <w:b/>
                <w:bCs/>
                <w:color w:val="auto"/>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序号</w:t>
            </w:r>
          </w:p>
        </w:tc>
        <w:tc>
          <w:tcPr>
            <w:tcW w:w="594"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内容</w:t>
            </w:r>
          </w:p>
        </w:tc>
        <w:tc>
          <w:tcPr>
            <w:tcW w:w="377"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分值</w:t>
            </w:r>
          </w:p>
        </w:tc>
        <w:tc>
          <w:tcPr>
            <w:tcW w:w="3650" w:type="pct"/>
            <w:tcBorders>
              <w:bottom w:val="single" w:color="auto" w:sz="4" w:space="0"/>
            </w:tcBorders>
            <w:vAlign w:val="center"/>
          </w:tcPr>
          <w:p>
            <w:pPr>
              <w:spacing w:line="240" w:lineRule="exact"/>
              <w:jc w:val="center"/>
              <w:rPr>
                <w:rFonts w:ascii="宋体" w:hAnsi="宋体" w:cs="宋体"/>
                <w:b/>
                <w:bCs/>
                <w:color w:val="auto"/>
                <w:szCs w:val="21"/>
              </w:rPr>
            </w:pPr>
            <w:r>
              <w:rPr>
                <w:rFonts w:hint="eastAsia" w:ascii="宋体" w:hAnsi="宋体" w:cs="宋体"/>
                <w:b/>
                <w:bCs/>
                <w:color w:val="auto"/>
                <w:szCs w:val="21"/>
              </w:rPr>
              <w:t>评 分 细 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377" w:type="pct"/>
            <w:tcBorders>
              <w:bottom w:val="single" w:color="auto" w:sz="4" w:space="0"/>
            </w:tcBorders>
            <w:vAlign w:val="center"/>
          </w:tcPr>
          <w:p>
            <w:pPr>
              <w:spacing w:line="240" w:lineRule="exact"/>
              <w:jc w:val="center"/>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1</w:t>
            </w:r>
          </w:p>
        </w:tc>
        <w:tc>
          <w:tcPr>
            <w:tcW w:w="594" w:type="pct"/>
            <w:tcBorders>
              <w:bottom w:val="single" w:color="auto" w:sz="4" w:space="0"/>
            </w:tcBorders>
            <w:vAlign w:val="center"/>
          </w:tcPr>
          <w:p>
            <w:pPr>
              <w:spacing w:line="240" w:lineRule="exact"/>
              <w:jc w:val="center"/>
              <w:rPr>
                <w:rFonts w:hint="default" w:ascii="宋体" w:hAnsi="宋体" w:eastAsia="宋体" w:cs="宋体"/>
                <w:b w:val="0"/>
                <w:bCs w:val="0"/>
                <w:color w:val="auto"/>
                <w:szCs w:val="21"/>
                <w:lang w:val="en-US" w:eastAsia="zh-CN"/>
              </w:rPr>
            </w:pPr>
            <w:r>
              <w:rPr>
                <w:rFonts w:hint="eastAsia" w:ascii="宋体" w:hAnsi="宋体" w:cs="宋体"/>
                <w:color w:val="auto"/>
                <w:szCs w:val="21"/>
              </w:rPr>
              <w:t>企业综合实力</w:t>
            </w:r>
          </w:p>
        </w:tc>
        <w:tc>
          <w:tcPr>
            <w:tcW w:w="377" w:type="pct"/>
            <w:tcBorders>
              <w:bottom w:val="single" w:color="auto" w:sz="4" w:space="0"/>
            </w:tcBorders>
            <w:vAlign w:val="center"/>
          </w:tcPr>
          <w:p>
            <w:pPr>
              <w:spacing w:line="240" w:lineRule="exact"/>
              <w:jc w:val="center"/>
              <w:rPr>
                <w:rFonts w:hint="eastAsia"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6</w:t>
            </w:r>
          </w:p>
        </w:tc>
        <w:tc>
          <w:tcPr>
            <w:tcW w:w="3650" w:type="pct"/>
            <w:tcBorders>
              <w:bottom w:val="single" w:color="auto" w:sz="4" w:space="0"/>
            </w:tcBorders>
            <w:vAlign w:val="center"/>
          </w:tcPr>
          <w:p>
            <w:pPr>
              <w:rPr>
                <w:rFonts w:hint="default" w:ascii="宋体" w:hAnsi="宋体" w:eastAsia="宋体" w:cs="宋体"/>
                <w:color w:val="auto"/>
                <w:szCs w:val="21"/>
                <w:lang w:val="en-US" w:eastAsia="zh-CN"/>
              </w:rPr>
            </w:pPr>
            <w:r>
              <w:rPr>
                <w:rFonts w:hint="eastAsia" w:ascii="宋体" w:hAnsi="宋体" w:cs="宋体"/>
                <w:color w:val="auto"/>
                <w:szCs w:val="21"/>
              </w:rPr>
              <w:t>考察投标人</w:t>
            </w:r>
            <w:r>
              <w:rPr>
                <w:rFonts w:hint="eastAsia" w:ascii="宋体" w:hAnsi="宋体" w:cs="宋体"/>
                <w:color w:val="auto"/>
                <w:szCs w:val="21"/>
                <w:lang w:val="en-US" w:eastAsia="zh-CN"/>
              </w:rPr>
              <w:t>有效期内</w:t>
            </w:r>
            <w:r>
              <w:rPr>
                <w:rFonts w:hint="eastAsia" w:ascii="宋体" w:hAnsi="宋体" w:cs="宋体"/>
                <w:color w:val="auto"/>
                <w:szCs w:val="21"/>
              </w:rPr>
              <w:t>的管理体系认证及资质认证情况</w:t>
            </w:r>
            <w:r>
              <w:rPr>
                <w:rFonts w:hint="eastAsia" w:ascii="宋体" w:hAnsi="宋体" w:cs="宋体"/>
                <w:color w:val="auto"/>
                <w:szCs w:val="21"/>
                <w:lang w:val="en-US" w:eastAsia="zh-CN"/>
              </w:rPr>
              <w:t>：</w:t>
            </w:r>
          </w:p>
          <w:p>
            <w:pPr>
              <w:numPr>
                <w:ilvl w:val="0"/>
                <w:numId w:val="0"/>
              </w:numPr>
              <w:rPr>
                <w:rFonts w:hint="eastAsia" w:ascii="宋体" w:hAnsi="宋体" w:cs="宋体"/>
                <w:color w:val="auto"/>
                <w:szCs w:val="21"/>
                <w:lang w:val="en-US" w:eastAsia="zh-CN"/>
              </w:rPr>
            </w:pPr>
            <w:r>
              <w:rPr>
                <w:rFonts w:hint="eastAsia" w:ascii="宋体" w:hAnsi="宋体" w:cs="宋体"/>
                <w:color w:val="auto"/>
                <w:szCs w:val="21"/>
                <w:lang w:val="en-US" w:eastAsia="zh-CN"/>
              </w:rPr>
              <w:t>1.具有</w:t>
            </w:r>
            <w:r>
              <w:rPr>
                <w:rFonts w:hint="eastAsia" w:ascii="宋体" w:hAnsi="宋体" w:cs="宋体"/>
                <w:color w:val="auto"/>
                <w:szCs w:val="21"/>
              </w:rPr>
              <w:t>ISO9000</w:t>
            </w:r>
            <w:r>
              <w:rPr>
                <w:rFonts w:hint="eastAsia" w:ascii="宋体" w:hAnsi="宋体" w:cs="宋体"/>
                <w:color w:val="auto"/>
                <w:szCs w:val="21"/>
                <w:lang w:val="en-US" w:eastAsia="zh-CN"/>
              </w:rPr>
              <w:t>族</w:t>
            </w:r>
            <w:r>
              <w:rPr>
                <w:rFonts w:hint="eastAsia" w:ascii="宋体" w:hAnsi="宋体" w:cs="宋体"/>
                <w:color w:val="auto"/>
                <w:szCs w:val="21"/>
              </w:rPr>
              <w:t>质量管理体系</w:t>
            </w:r>
            <w:r>
              <w:rPr>
                <w:rFonts w:hint="eastAsia" w:ascii="宋体" w:hAnsi="宋体" w:cs="宋体"/>
                <w:color w:val="auto"/>
                <w:szCs w:val="21"/>
                <w:lang w:val="en-US" w:eastAsia="zh-CN"/>
              </w:rPr>
              <w:t>证书，得1分；</w:t>
            </w:r>
          </w:p>
          <w:p>
            <w:pPr>
              <w:numPr>
                <w:ilvl w:val="0"/>
                <w:numId w:val="0"/>
              </w:numPr>
              <w:rPr>
                <w:rFonts w:ascii="宋体" w:hAnsi="宋体" w:cs="宋体"/>
                <w:color w:val="auto"/>
                <w:szCs w:val="21"/>
              </w:rPr>
            </w:pPr>
            <w:r>
              <w:rPr>
                <w:rFonts w:hint="eastAsia" w:ascii="宋体" w:hAnsi="宋体" w:cs="宋体"/>
                <w:color w:val="auto"/>
                <w:szCs w:val="21"/>
                <w:lang w:val="en-US" w:eastAsia="zh-CN"/>
              </w:rPr>
              <w:t>2.具有</w:t>
            </w:r>
            <w:r>
              <w:rPr>
                <w:rFonts w:hint="eastAsia" w:ascii="宋体" w:hAnsi="宋体" w:cs="宋体"/>
                <w:color w:val="auto"/>
                <w:szCs w:val="21"/>
              </w:rPr>
              <w:t>ISO14000族环境管理体系</w:t>
            </w:r>
            <w:r>
              <w:rPr>
                <w:rFonts w:hint="eastAsia" w:ascii="宋体" w:hAnsi="宋体" w:cs="宋体"/>
                <w:color w:val="auto"/>
                <w:szCs w:val="21"/>
                <w:lang w:val="en-US" w:eastAsia="zh-CN"/>
              </w:rPr>
              <w:t>证书，得1分</w:t>
            </w:r>
            <w:r>
              <w:rPr>
                <w:rFonts w:hint="eastAsia" w:ascii="宋体" w:hAnsi="宋体" w:cs="宋体"/>
                <w:color w:val="auto"/>
                <w:szCs w:val="21"/>
              </w:rPr>
              <w:t>；</w:t>
            </w:r>
          </w:p>
          <w:p>
            <w:pPr>
              <w:rPr>
                <w:rFonts w:hint="default" w:ascii="宋体" w:hAnsi="宋体" w:cs="宋体"/>
                <w:color w:val="auto"/>
                <w:szCs w:val="21"/>
                <w:lang w:val="en-US" w:eastAsia="zh-CN"/>
              </w:rPr>
            </w:pPr>
            <w:r>
              <w:rPr>
                <w:rFonts w:hint="eastAsia" w:ascii="宋体" w:hAnsi="宋体" w:cs="宋体"/>
                <w:color w:val="auto"/>
                <w:szCs w:val="21"/>
                <w:lang w:val="en-US" w:eastAsia="zh-CN"/>
              </w:rPr>
              <w:t>3.具有ISO27000族信息安全管理体系证书，得1分</w:t>
            </w:r>
            <w:r>
              <w:rPr>
                <w:rFonts w:hint="eastAsia" w:ascii="宋体" w:hAnsi="宋体" w:eastAsia="宋体" w:cs="宋体"/>
                <w:sz w:val="21"/>
                <w:szCs w:val="21"/>
                <w:lang w:val="en-US" w:eastAsia="zh-CN"/>
              </w:rPr>
              <w:t>；</w:t>
            </w:r>
          </w:p>
          <w:p>
            <w:pPr>
              <w:rPr>
                <w:rFonts w:hint="eastAsia" w:ascii="宋体" w:hAnsi="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eastAsia="宋体" w:cs="宋体"/>
                <w:sz w:val="21"/>
                <w:szCs w:val="21"/>
                <w:lang w:val="en-US" w:eastAsia="zh-CN"/>
              </w:rPr>
              <w:t>具有高新技术企业认证证书，得1分</w:t>
            </w:r>
            <w:r>
              <w:rPr>
                <w:rFonts w:hint="eastAsia" w:ascii="宋体" w:hAnsi="宋体" w:cs="宋体"/>
                <w:sz w:val="21"/>
                <w:szCs w:val="21"/>
                <w:lang w:val="en-US" w:eastAsia="zh-CN"/>
              </w:rPr>
              <w:t>；</w:t>
            </w:r>
          </w:p>
          <w:p>
            <w:pPr>
              <w:rPr>
                <w:rFonts w:hint="default" w:ascii="宋体" w:hAnsi="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eastAsia="宋体" w:cs="宋体"/>
                <w:color w:val="auto"/>
                <w:sz w:val="21"/>
                <w:szCs w:val="21"/>
                <w:lang w:val="en-US" w:eastAsia="zh-CN"/>
              </w:rPr>
              <w:t>具有市场监督管理部门颁发的“守合同重信用”证书，连续三年及以上得2分；连续二年得1分；1年及不提供得0分；</w:t>
            </w:r>
          </w:p>
          <w:p>
            <w:pPr>
              <w:spacing w:line="240" w:lineRule="exact"/>
              <w:jc w:val="both"/>
              <w:rPr>
                <w:rFonts w:hint="eastAsia" w:ascii="宋体" w:hAnsi="宋体" w:cs="宋体"/>
                <w:b w:val="0"/>
                <w:bCs w:val="0"/>
                <w:color w:val="auto"/>
                <w:szCs w:val="21"/>
              </w:rPr>
            </w:pPr>
            <w:r>
              <w:rPr>
                <w:rFonts w:hint="eastAsia" w:ascii="宋体" w:hAnsi="宋体" w:cs="宋体"/>
                <w:color w:val="auto"/>
                <w:szCs w:val="21"/>
              </w:rPr>
              <w:t>注：需提供有效期内的证书复印件并加盖公章，不提供不得分。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7" w:hRule="atLeast"/>
          <w:jc w:val="center"/>
        </w:trPr>
        <w:tc>
          <w:tcPr>
            <w:tcW w:w="377" w:type="pct"/>
            <w:tcBorders>
              <w:bottom w:val="single" w:color="auto" w:sz="4" w:space="0"/>
            </w:tcBorders>
            <w:vAlign w:val="center"/>
          </w:tcPr>
          <w:p>
            <w:pPr>
              <w:spacing w:line="240" w:lineRule="exact"/>
              <w:jc w:val="center"/>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2</w:t>
            </w:r>
          </w:p>
        </w:tc>
        <w:tc>
          <w:tcPr>
            <w:tcW w:w="594" w:type="pct"/>
            <w:tcBorders>
              <w:bottom w:val="single" w:color="auto" w:sz="4" w:space="0"/>
            </w:tcBorders>
            <w:vAlign w:val="center"/>
          </w:tcPr>
          <w:p>
            <w:pPr>
              <w:spacing w:line="240" w:lineRule="exact"/>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企业荣誉</w:t>
            </w:r>
          </w:p>
        </w:tc>
        <w:tc>
          <w:tcPr>
            <w:tcW w:w="377" w:type="pct"/>
            <w:tcBorders>
              <w:bottom w:val="single" w:color="auto" w:sz="4" w:space="0"/>
            </w:tcBorders>
            <w:vAlign w:val="center"/>
          </w:tcPr>
          <w:p>
            <w:pPr>
              <w:spacing w:line="240" w:lineRule="exact"/>
              <w:jc w:val="center"/>
              <w:rPr>
                <w:rFonts w:hint="default" w:ascii="宋体" w:hAnsi="宋体" w:cs="宋体"/>
                <w:b w:val="0"/>
                <w:bCs w:val="0"/>
                <w:color w:val="auto"/>
                <w:szCs w:val="21"/>
                <w:lang w:val="en-US" w:eastAsia="zh-CN"/>
              </w:rPr>
            </w:pPr>
            <w:r>
              <w:rPr>
                <w:rFonts w:hint="eastAsia" w:ascii="宋体" w:hAnsi="宋体" w:cs="宋体"/>
                <w:b w:val="0"/>
                <w:bCs w:val="0"/>
                <w:color w:val="auto"/>
                <w:szCs w:val="21"/>
                <w:lang w:val="en-US" w:eastAsia="zh-CN"/>
              </w:rPr>
              <w:t>4</w:t>
            </w:r>
          </w:p>
        </w:tc>
        <w:tc>
          <w:tcPr>
            <w:tcW w:w="3650" w:type="pct"/>
            <w:tcBorders>
              <w:bottom w:val="single" w:color="auto" w:sz="4" w:space="0"/>
            </w:tcBorders>
            <w:vAlign w:val="center"/>
          </w:tcPr>
          <w:p>
            <w:pPr>
              <w:rPr>
                <w:rFonts w:hint="eastAsia"/>
                <w:lang w:val="en-US" w:eastAsia="zh-CN"/>
              </w:rPr>
            </w:pPr>
            <w:r>
              <w:rPr>
                <w:rFonts w:hint="eastAsia"/>
                <w:lang w:val="en-US" w:eastAsia="zh-CN"/>
              </w:rPr>
              <w:t>考察投</w:t>
            </w:r>
            <w:r>
              <w:rPr>
                <w:rFonts w:hint="eastAsia"/>
                <w:color w:val="auto"/>
                <w:lang w:val="en-US" w:eastAsia="zh-CN"/>
              </w:rPr>
              <w:t>标人2020年1月1日（以相</w:t>
            </w:r>
            <w:r>
              <w:rPr>
                <w:rFonts w:hint="eastAsia"/>
                <w:lang w:val="en-US" w:eastAsia="zh-CN"/>
              </w:rPr>
              <w:t>关材料落款时间为准）至今承建过的展览展厅类型项目获得行政主管部门或经民政部门登记备案的行业协会颁发的省级或国家级奖项的每个得2分，本项满分4分。</w:t>
            </w:r>
          </w:p>
          <w:p>
            <w:pPr>
              <w:rPr>
                <w:rFonts w:hint="default"/>
                <w:lang w:val="en-US" w:eastAsia="zh-CN"/>
              </w:rPr>
            </w:pPr>
            <w:r>
              <w:rPr>
                <w:rFonts w:hint="eastAsia"/>
                <w:lang w:val="en-US" w:eastAsia="zh-CN"/>
              </w:rPr>
              <w:t>注：需提供相关企业荣誉证明材料复印件加盖公章，企业荣誉证明材料应体现投标人信息及获奖项目信息。未按要求提供的不得分。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4" w:hRule="atLeast"/>
          <w:jc w:val="center"/>
        </w:trPr>
        <w:tc>
          <w:tcPr>
            <w:tcW w:w="377" w:type="pct"/>
            <w:vAlign w:val="center"/>
          </w:tcPr>
          <w:p>
            <w:pPr>
              <w:jc w:val="center"/>
              <w:rPr>
                <w:rFonts w:hint="eastAsia" w:ascii="宋体" w:hAnsi="宋体" w:eastAsia="宋体" w:cs="宋体"/>
                <w:b w:val="0"/>
                <w:bCs w:val="0"/>
                <w:color w:val="auto"/>
                <w:szCs w:val="21"/>
                <w:lang w:eastAsia="zh-CN"/>
              </w:rPr>
            </w:pPr>
            <w:r>
              <w:rPr>
                <w:rFonts w:hint="eastAsia" w:ascii="宋体" w:hAnsi="宋体" w:cs="宋体"/>
                <w:b w:val="0"/>
                <w:bCs w:val="0"/>
                <w:color w:val="auto"/>
                <w:szCs w:val="21"/>
                <w:lang w:val="en-US" w:eastAsia="zh-CN"/>
              </w:rPr>
              <w:t>3</w:t>
            </w:r>
          </w:p>
        </w:tc>
        <w:tc>
          <w:tcPr>
            <w:tcW w:w="594" w:type="pct"/>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同类项目经验</w:t>
            </w:r>
          </w:p>
        </w:tc>
        <w:tc>
          <w:tcPr>
            <w:tcW w:w="377" w:type="pct"/>
            <w:vAlign w:val="center"/>
          </w:tcPr>
          <w:p>
            <w:pPr>
              <w:jc w:val="center"/>
              <w:rPr>
                <w:rFonts w:hint="default" w:ascii="宋体" w:hAnsi="宋体" w:eastAsia="宋体" w:cs="宋体"/>
                <w:b w:val="0"/>
                <w:bCs w:val="0"/>
                <w:color w:val="auto"/>
                <w:szCs w:val="21"/>
                <w:lang w:val="en-US" w:eastAsia="zh-CN"/>
              </w:rPr>
            </w:pPr>
            <w:r>
              <w:rPr>
                <w:rFonts w:hint="eastAsia" w:ascii="宋体" w:hAnsi="宋体" w:cs="宋体"/>
                <w:b w:val="0"/>
                <w:bCs w:val="0"/>
                <w:color w:val="auto"/>
                <w:szCs w:val="21"/>
                <w:lang w:val="en-US" w:eastAsia="zh-CN"/>
              </w:rPr>
              <w:t>20</w:t>
            </w:r>
          </w:p>
        </w:tc>
        <w:tc>
          <w:tcPr>
            <w:tcW w:w="3650" w:type="pct"/>
            <w:vAlign w:val="center"/>
          </w:tcPr>
          <w:p>
            <w:pPr>
              <w:rPr>
                <w:rFonts w:hint="eastAsia"/>
                <w:b w:val="0"/>
                <w:bCs w:val="0"/>
                <w:color w:val="auto"/>
                <w:lang w:val="en-US" w:eastAsia="zh-CN"/>
              </w:rPr>
            </w:pPr>
            <w:r>
              <w:rPr>
                <w:rFonts w:hint="eastAsia"/>
                <w:b w:val="0"/>
                <w:bCs w:val="0"/>
                <w:color w:val="auto"/>
              </w:rPr>
              <w:t>考察投标人的</w:t>
            </w:r>
            <w:r>
              <w:rPr>
                <w:rFonts w:hint="eastAsia"/>
                <w:b w:val="0"/>
                <w:bCs w:val="0"/>
                <w:color w:val="auto"/>
                <w:lang w:val="en-US" w:eastAsia="zh-CN"/>
              </w:rPr>
              <w:t>2020年1月1日（以合同签订日期为准）至今同类项目【同类项目指：含有虚拟数字人/VR/双屏互动/网上展馆/拍照打卡/互动程序等互动展项的展览展厅多媒体服务项目】经验：</w:t>
            </w:r>
          </w:p>
          <w:p>
            <w:pPr>
              <w:rPr>
                <w:rFonts w:hint="default"/>
                <w:b w:val="0"/>
                <w:bCs w:val="0"/>
                <w:color w:val="auto"/>
                <w:lang w:val="en-US" w:eastAsia="zh-CN"/>
              </w:rPr>
            </w:pPr>
            <w:r>
              <w:rPr>
                <w:rFonts w:hint="eastAsia"/>
                <w:b w:val="0"/>
                <w:bCs w:val="0"/>
                <w:color w:val="auto"/>
                <w:lang w:val="en-US" w:eastAsia="zh-CN"/>
              </w:rPr>
              <w:t>每具备1个合同金额不少于50万元的同类项目业绩，得4分，本项满分20分；</w:t>
            </w:r>
          </w:p>
          <w:p>
            <w:pPr>
              <w:rPr>
                <w:rFonts w:hint="default" w:eastAsia="楷体_GB2312"/>
                <w:b w:val="0"/>
                <w:bCs w:val="0"/>
                <w:color w:val="auto"/>
                <w:lang w:val="en-US" w:eastAsia="zh-CN"/>
              </w:rPr>
            </w:pPr>
            <w:r>
              <w:rPr>
                <w:rFonts w:hint="eastAsia"/>
                <w:b w:val="0"/>
                <w:bCs w:val="0"/>
                <w:color w:val="auto"/>
              </w:rPr>
              <w:t>注：每份业绩均须提供合同关键页复印件</w:t>
            </w:r>
            <w:r>
              <w:rPr>
                <w:rFonts w:hint="eastAsia"/>
                <w:b w:val="0"/>
                <w:bCs w:val="0"/>
                <w:color w:val="auto"/>
                <w:lang w:eastAsia="zh-CN"/>
              </w:rPr>
              <w:t>（</w:t>
            </w:r>
            <w:r>
              <w:rPr>
                <w:rFonts w:hint="eastAsia"/>
                <w:b w:val="0"/>
                <w:bCs w:val="0"/>
                <w:color w:val="auto"/>
                <w:lang w:val="en-US" w:eastAsia="zh-CN"/>
              </w:rPr>
              <w:t>封面页、内容页、合同金额页、签字盖章页</w:t>
            </w:r>
            <w:r>
              <w:rPr>
                <w:rFonts w:hint="eastAsia"/>
                <w:b w:val="0"/>
                <w:bCs w:val="0"/>
                <w:color w:val="auto"/>
                <w:lang w:eastAsia="zh-CN"/>
              </w:rPr>
              <w:t>）</w:t>
            </w:r>
            <w:r>
              <w:rPr>
                <w:rFonts w:hint="eastAsia"/>
                <w:b w:val="0"/>
                <w:bCs w:val="0"/>
                <w:color w:val="auto"/>
              </w:rPr>
              <w:t>，证明材料提供不齐的不予认可。</w:t>
            </w:r>
          </w:p>
        </w:tc>
      </w:tr>
    </w:tbl>
    <w:p>
      <w:pPr>
        <w:keepNext w:val="0"/>
        <w:keepLines w:val="0"/>
        <w:pageBreakBefore w:val="0"/>
        <w:widowControl w:val="0"/>
        <w:kinsoku/>
        <w:wordWrap/>
        <w:overflowPunct/>
        <w:topLinePunct w:val="0"/>
        <w:autoSpaceDE/>
        <w:autoSpaceDN/>
        <w:bidi w:val="0"/>
        <w:adjustRightInd/>
        <w:snapToGrid/>
        <w:textAlignment w:val="auto"/>
        <w:outlineLvl w:val="9"/>
        <w:rPr>
          <w:rFonts w:hint="eastAsia"/>
          <w:color w:val="auto"/>
          <w:lang w:val="en-US" w:eastAsia="zh-CN"/>
        </w:rPr>
      </w:pPr>
    </w:p>
    <w:p>
      <w:pPr>
        <w:pStyle w:val="6"/>
        <w:rPr>
          <w:rFonts w:asciiTheme="minorEastAsia" w:hAnsiTheme="minorEastAsia" w:eastAsiaTheme="minorEastAsia"/>
          <w:b w:val="0"/>
          <w:color w:val="auto"/>
          <w:sz w:val="24"/>
        </w:rPr>
      </w:pPr>
      <w:bookmarkStart w:id="456" w:name="_Toc22795"/>
      <w:bookmarkStart w:id="457" w:name="_Toc59548358"/>
      <w:bookmarkStart w:id="458" w:name="_Toc2985"/>
      <w:bookmarkStart w:id="459" w:name="_Toc13412"/>
      <w:bookmarkStart w:id="460" w:name="_Toc3273"/>
      <w:r>
        <w:rPr>
          <w:rFonts w:asciiTheme="minorEastAsia" w:hAnsiTheme="minorEastAsia" w:eastAsiaTheme="minorEastAsia"/>
          <w:b w:val="0"/>
          <w:color w:val="auto"/>
          <w:sz w:val="24"/>
        </w:rPr>
        <w:t>4、价格评分表</w:t>
      </w:r>
      <w:bookmarkEnd w:id="456"/>
      <w:bookmarkEnd w:id="457"/>
      <w:bookmarkEnd w:id="458"/>
      <w:bookmarkEnd w:id="459"/>
      <w:bookmarkEnd w:id="460"/>
    </w:p>
    <w:tbl>
      <w:tblPr>
        <w:tblStyle w:val="40"/>
        <w:tblW w:w="940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01"/>
        <w:gridCol w:w="6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10" w:type="dxa"/>
            <w:vAlign w:val="center"/>
          </w:tcPr>
          <w:p>
            <w:pPr>
              <w:snapToGrid w:val="0"/>
              <w:jc w:val="center"/>
              <w:rPr>
                <w:rFonts w:ascii="宋体" w:hAnsi="宋体" w:cs="宋体"/>
                <w:color w:val="auto"/>
                <w:kern w:val="0"/>
                <w:sz w:val="22"/>
                <w:szCs w:val="22"/>
              </w:rPr>
            </w:pPr>
            <w:r>
              <w:rPr>
                <w:rFonts w:ascii="宋体" w:hAnsi="宋体" w:cs="宋体"/>
                <w:color w:val="auto"/>
                <w:kern w:val="0"/>
                <w:sz w:val="22"/>
                <w:szCs w:val="22"/>
              </w:rPr>
              <w:t>1</w:t>
            </w:r>
          </w:p>
        </w:tc>
        <w:tc>
          <w:tcPr>
            <w:tcW w:w="1701" w:type="dxa"/>
            <w:vAlign w:val="center"/>
          </w:tcPr>
          <w:p>
            <w:pPr>
              <w:snapToGrid w:val="0"/>
              <w:jc w:val="center"/>
              <w:rPr>
                <w:rFonts w:ascii="宋体" w:hAnsi="宋体" w:cs="宋体"/>
                <w:color w:val="auto"/>
                <w:kern w:val="0"/>
                <w:sz w:val="22"/>
                <w:szCs w:val="22"/>
              </w:rPr>
            </w:pPr>
            <w:r>
              <w:rPr>
                <w:rFonts w:hint="eastAsia" w:ascii="宋体" w:hAnsi="宋体" w:cs="宋体"/>
                <w:color w:val="auto"/>
                <w:kern w:val="0"/>
                <w:sz w:val="22"/>
                <w:szCs w:val="22"/>
              </w:rPr>
              <w:t>价格分</w:t>
            </w:r>
            <w:r>
              <w:rPr>
                <w:rFonts w:hint="eastAsia" w:ascii="宋体" w:hAnsi="宋体" w:cs="宋体"/>
                <w:b/>
                <w:color w:val="auto"/>
                <w:kern w:val="0"/>
                <w:sz w:val="22"/>
                <w:szCs w:val="22"/>
              </w:rPr>
              <w:t>（</w:t>
            </w:r>
            <w:r>
              <w:rPr>
                <w:rFonts w:hint="eastAsia" w:ascii="宋体" w:hAnsi="宋体" w:cs="宋体"/>
                <w:b/>
                <w:color w:val="auto"/>
                <w:kern w:val="0"/>
                <w:sz w:val="22"/>
                <w:szCs w:val="22"/>
                <w:lang w:val="en-US" w:eastAsia="zh-CN"/>
              </w:rPr>
              <w:t>2</w:t>
            </w:r>
            <w:r>
              <w:rPr>
                <w:rFonts w:ascii="宋体" w:hAnsi="宋体" w:cs="宋体"/>
                <w:b/>
                <w:color w:val="auto"/>
                <w:kern w:val="0"/>
                <w:sz w:val="22"/>
                <w:szCs w:val="22"/>
              </w:rPr>
              <w:t>0分）</w:t>
            </w:r>
          </w:p>
        </w:tc>
        <w:tc>
          <w:tcPr>
            <w:tcW w:w="6989" w:type="dxa"/>
            <w:vAlign w:val="center"/>
          </w:tcPr>
          <w:p>
            <w:pPr>
              <w:widowControl/>
              <w:jc w:val="left"/>
              <w:rPr>
                <w:rFonts w:hint="eastAsia"/>
                <w:color w:val="auto"/>
                <w:szCs w:val="21"/>
                <w:highlight w:val="none"/>
              </w:rPr>
            </w:pPr>
            <w:r>
              <w:rPr>
                <w:rFonts w:hint="eastAsia"/>
                <w:color w:val="auto"/>
                <w:szCs w:val="21"/>
                <w:highlight w:val="none"/>
              </w:rPr>
              <w:t>价格部分采用基准价法，以投标人含税总价作为评</w:t>
            </w:r>
            <w:r>
              <w:rPr>
                <w:rFonts w:hint="eastAsia"/>
                <w:color w:val="auto"/>
                <w:szCs w:val="21"/>
                <w:highlight w:val="none"/>
                <w:lang w:val="en-US" w:eastAsia="zh-CN"/>
              </w:rPr>
              <w:t>标</w:t>
            </w:r>
            <w:r>
              <w:rPr>
                <w:rFonts w:hint="eastAsia"/>
                <w:color w:val="auto"/>
                <w:szCs w:val="21"/>
                <w:highlight w:val="none"/>
              </w:rPr>
              <w:t>价。</w:t>
            </w:r>
          </w:p>
          <w:p>
            <w:pPr>
              <w:widowControl/>
              <w:jc w:val="left"/>
              <w:rPr>
                <w:rFonts w:hint="eastAsia"/>
                <w:color w:val="auto"/>
                <w:szCs w:val="21"/>
                <w:highlight w:val="none"/>
                <w:lang w:val="en-US" w:eastAsia="zh-CN"/>
              </w:rPr>
            </w:pPr>
            <w:r>
              <w:rPr>
                <w:rFonts w:hint="eastAsia"/>
                <w:color w:val="auto"/>
                <w:szCs w:val="21"/>
                <w:highlight w:val="none"/>
                <w:lang w:val="en-US" w:eastAsia="zh-CN"/>
              </w:rPr>
              <w:t>1.通过初步评审的合格投标人总数达到5家（含）以上时，去掉一个最高和一个最低投标报价，其余有效投标报价的算术平均值为评标基准价；</w:t>
            </w:r>
          </w:p>
          <w:p>
            <w:pPr>
              <w:widowControl/>
              <w:jc w:val="left"/>
              <w:rPr>
                <w:rFonts w:hint="eastAsia"/>
                <w:color w:val="auto"/>
                <w:szCs w:val="21"/>
                <w:highlight w:val="none"/>
                <w:lang w:val="en-US" w:eastAsia="zh-CN"/>
              </w:rPr>
            </w:pPr>
            <w:r>
              <w:rPr>
                <w:rFonts w:hint="eastAsia"/>
                <w:color w:val="auto"/>
                <w:szCs w:val="21"/>
                <w:highlight w:val="none"/>
                <w:lang w:val="en-US" w:eastAsia="zh-CN"/>
              </w:rPr>
              <w:t>2.通过初步评审的合格投标人总数小于5家时，取所有有效投标报价的算术平均值为评标基准价；</w:t>
            </w:r>
          </w:p>
          <w:p>
            <w:pPr>
              <w:widowControl/>
              <w:jc w:val="left"/>
              <w:rPr>
                <w:rFonts w:hint="eastAsia"/>
                <w:color w:val="auto"/>
              </w:rPr>
            </w:pPr>
            <w:r>
              <w:rPr>
                <w:rFonts w:hint="eastAsia"/>
                <w:color w:val="auto"/>
                <w:szCs w:val="21"/>
                <w:highlight w:val="none"/>
              </w:rPr>
              <w:t>以投标人评审价的算术平均值为基准价，得</w:t>
            </w:r>
            <w:r>
              <w:rPr>
                <w:rFonts w:hint="eastAsia"/>
                <w:color w:val="auto"/>
                <w:szCs w:val="21"/>
                <w:highlight w:val="none"/>
                <w:lang w:val="en-US" w:eastAsia="zh-CN"/>
              </w:rPr>
              <w:t>2</w:t>
            </w:r>
            <w:r>
              <w:rPr>
                <w:rFonts w:hint="eastAsia"/>
                <w:color w:val="auto"/>
                <w:szCs w:val="21"/>
                <w:highlight w:val="none"/>
              </w:rPr>
              <w:t>0分；供应商报价低于或高于基准价1个百分</w:t>
            </w:r>
            <w:r>
              <w:rPr>
                <w:rFonts w:hint="eastAsia"/>
                <w:color w:val="auto"/>
                <w:szCs w:val="21"/>
                <w:highlight w:val="none"/>
                <w:lang w:val="en-US" w:eastAsia="zh-CN"/>
              </w:rPr>
              <w:t>点扣0.2分。</w:t>
            </w:r>
            <w:r>
              <w:rPr>
                <w:rFonts w:hint="eastAsia"/>
                <w:color w:val="auto"/>
                <w:szCs w:val="21"/>
                <w:highlight w:val="none"/>
              </w:rPr>
              <w:t>（最高得分</w:t>
            </w:r>
            <w:r>
              <w:rPr>
                <w:rFonts w:hint="eastAsia"/>
                <w:color w:val="auto"/>
                <w:szCs w:val="21"/>
                <w:highlight w:val="none"/>
                <w:lang w:val="en-US" w:eastAsia="zh-CN"/>
              </w:rPr>
              <w:t>2</w:t>
            </w:r>
            <w:r>
              <w:rPr>
                <w:rFonts w:hint="eastAsia"/>
                <w:color w:val="auto"/>
                <w:szCs w:val="21"/>
                <w:highlight w:val="none"/>
              </w:rPr>
              <w:t>0分，最低得分0分。）</w:t>
            </w:r>
          </w:p>
          <w:p>
            <w:pPr>
              <w:widowControl/>
              <w:jc w:val="left"/>
              <w:rPr>
                <w:rFonts w:hint="eastAsia"/>
                <w:color w:val="auto"/>
              </w:rPr>
            </w:pPr>
            <w:r>
              <w:rPr>
                <w:rFonts w:hint="eastAsia"/>
                <w:b/>
                <w:bCs/>
                <w:color w:val="auto"/>
                <w:lang w:eastAsia="zh-CN"/>
              </w:rPr>
              <w:t>（</w:t>
            </w:r>
            <w:r>
              <w:rPr>
                <w:rFonts w:hint="eastAsia"/>
                <w:b/>
                <w:bCs/>
                <w:color w:val="auto"/>
                <w:lang w:val="en-US" w:eastAsia="zh-CN"/>
              </w:rPr>
              <w:t>适用于标段1、标段2</w:t>
            </w:r>
            <w:r>
              <w:rPr>
                <w:rFonts w:hint="eastAsia"/>
                <w:b/>
                <w:bCs/>
                <w:color w:val="auto"/>
                <w:lang w:eastAsia="zh-CN"/>
              </w:rPr>
              <w:t>）</w:t>
            </w:r>
          </w:p>
        </w:tc>
      </w:tr>
    </w:tbl>
    <w:p>
      <w:pPr>
        <w:widowControl/>
        <w:jc w:val="left"/>
        <w:rPr>
          <w:rFonts w:ascii="宋体" w:hAnsi="宋体" w:cs="宋体"/>
          <w:color w:val="auto"/>
          <w:szCs w:val="21"/>
        </w:rPr>
      </w:pPr>
    </w:p>
    <w:p>
      <w:pPr>
        <w:widowControl/>
        <w:jc w:val="left"/>
        <w:rPr>
          <w:rFonts w:ascii="宋体" w:hAnsi="宋体" w:cs="宋体"/>
          <w:color w:val="auto"/>
          <w:szCs w:val="21"/>
        </w:rPr>
      </w:pPr>
      <w:r>
        <w:rPr>
          <w:rFonts w:hint="eastAsia" w:ascii="宋体" w:hAnsi="宋体" w:cs="宋体"/>
          <w:color w:val="auto"/>
          <w:szCs w:val="21"/>
        </w:rPr>
        <w:t>备注：</w:t>
      </w:r>
    </w:p>
    <w:p>
      <w:pPr>
        <w:widowControl/>
        <w:jc w:val="left"/>
        <w:rPr>
          <w:rFonts w:ascii="宋体" w:hAnsi="宋体"/>
          <w:color w:val="auto"/>
          <w:szCs w:val="21"/>
        </w:rPr>
      </w:pPr>
      <w:r>
        <w:rPr>
          <w:rFonts w:hint="eastAsia" w:ascii="宋体" w:hAnsi="宋体"/>
          <w:color w:val="auto"/>
          <w:szCs w:val="21"/>
        </w:rPr>
        <w:t>综合评分相等时以投标报价低的优先；投标报价也相等的，按技术得分由高到低顺序排列决定，若技术得分也相同，按商务得分由高到低顺序排列决定，若技术、商务得分也相同时，由评审委员会投票决定推选中标候选人。</w:t>
      </w:r>
    </w:p>
    <w:p>
      <w:pPr>
        <w:widowControl/>
        <w:jc w:val="left"/>
        <w:rPr>
          <w:rFonts w:ascii="宋体" w:hAnsi="宋体"/>
          <w:color w:val="auto"/>
          <w:sz w:val="24"/>
        </w:rPr>
      </w:pPr>
    </w:p>
    <w:p>
      <w:pPr>
        <w:rPr>
          <w:color w:val="auto"/>
        </w:rPr>
      </w:pPr>
    </w:p>
    <w:p>
      <w:pPr>
        <w:numPr>
          <w:ilvl w:val="0"/>
          <w:numId w:val="9"/>
        </w:numPr>
        <w:rPr>
          <w:b/>
          <w:bCs/>
          <w:color w:val="auto"/>
          <w:sz w:val="24"/>
          <w:szCs w:val="32"/>
        </w:rPr>
      </w:pPr>
      <w:bookmarkStart w:id="461" w:name="_Toc450489345"/>
      <w:r>
        <w:rPr>
          <w:rFonts w:hint="eastAsia"/>
          <w:b/>
          <w:bCs/>
          <w:color w:val="auto"/>
          <w:sz w:val="24"/>
          <w:szCs w:val="32"/>
        </w:rPr>
        <w:t>评审方法</w:t>
      </w:r>
      <w:bookmarkEnd w:id="461"/>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本招标项目评审采用综合评估法。评标委员会对满足招标文件实质要求的</w:t>
      </w:r>
      <w:r>
        <w:rPr>
          <w:rFonts w:hint="eastAsia" w:ascii="宋体" w:hAnsi="宋体" w:cs="宋体"/>
          <w:color w:val="auto"/>
          <w:kern w:val="0"/>
          <w:szCs w:val="21"/>
        </w:rPr>
        <w:t>投标</w:t>
      </w:r>
      <w:r>
        <w:rPr>
          <w:rFonts w:hint="eastAsia" w:ascii="宋体" w:hAnsi="宋体" w:cs="宋体"/>
          <w:color w:val="auto"/>
          <w:szCs w:val="21"/>
        </w:rPr>
        <w:t>文件，根据本章第</w:t>
      </w:r>
      <w:r>
        <w:rPr>
          <w:rFonts w:ascii="宋体" w:hAnsi="宋体" w:cs="宋体"/>
          <w:color w:val="auto"/>
          <w:szCs w:val="21"/>
        </w:rPr>
        <w:t>2.2款规定的评分因素和评分标准进行评分，按照综合评分由高到低的顺序推荐中标候选人，但</w:t>
      </w:r>
      <w:r>
        <w:rPr>
          <w:rFonts w:hint="eastAsia" w:ascii="宋体" w:hAnsi="宋体" w:cs="宋体"/>
          <w:color w:val="auto"/>
          <w:kern w:val="0"/>
          <w:szCs w:val="21"/>
        </w:rPr>
        <w:t>投标</w:t>
      </w:r>
      <w:r>
        <w:rPr>
          <w:rFonts w:hint="eastAsia" w:ascii="宋体" w:hAnsi="宋体" w:cs="宋体"/>
          <w:color w:val="auto"/>
          <w:szCs w:val="21"/>
        </w:rPr>
        <w:t>报价低于其成本的除外。</w:t>
      </w:r>
    </w:p>
    <w:p>
      <w:pPr>
        <w:numPr>
          <w:ilvl w:val="0"/>
          <w:numId w:val="9"/>
        </w:numPr>
        <w:rPr>
          <w:b/>
          <w:bCs/>
          <w:color w:val="auto"/>
          <w:sz w:val="24"/>
          <w:szCs w:val="32"/>
        </w:rPr>
      </w:pPr>
      <w:bookmarkStart w:id="462" w:name="_Toc450489346"/>
      <w:r>
        <w:rPr>
          <w:rFonts w:hint="eastAsia"/>
          <w:b/>
          <w:bCs/>
          <w:color w:val="auto"/>
          <w:sz w:val="24"/>
          <w:szCs w:val="32"/>
        </w:rPr>
        <w:t>评审标准</w:t>
      </w:r>
      <w:bookmarkEnd w:id="462"/>
    </w:p>
    <w:p>
      <w:pPr>
        <w:rPr>
          <w:b/>
          <w:bCs/>
          <w:color w:val="auto"/>
          <w:sz w:val="24"/>
          <w:szCs w:val="32"/>
        </w:rPr>
      </w:pPr>
      <w:bookmarkStart w:id="463" w:name="_Toc450489347"/>
      <w:r>
        <w:rPr>
          <w:b/>
          <w:bCs/>
          <w:color w:val="auto"/>
          <w:sz w:val="24"/>
          <w:szCs w:val="32"/>
        </w:rPr>
        <w:t>2.1</w:t>
      </w:r>
      <w:r>
        <w:rPr>
          <w:rFonts w:hint="eastAsia"/>
          <w:b/>
          <w:bCs/>
          <w:color w:val="auto"/>
          <w:sz w:val="24"/>
          <w:szCs w:val="32"/>
        </w:rPr>
        <w:t>初步评审标准</w:t>
      </w:r>
      <w:bookmarkEnd w:id="463"/>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初步评审标准：见评审办法前附表。</w:t>
      </w:r>
    </w:p>
    <w:p>
      <w:pPr>
        <w:rPr>
          <w:b/>
          <w:bCs/>
          <w:color w:val="auto"/>
          <w:sz w:val="24"/>
          <w:szCs w:val="32"/>
        </w:rPr>
      </w:pPr>
      <w:bookmarkStart w:id="464" w:name="_Toc450489348"/>
      <w:r>
        <w:rPr>
          <w:b/>
          <w:bCs/>
          <w:color w:val="auto"/>
          <w:sz w:val="24"/>
          <w:szCs w:val="32"/>
        </w:rPr>
        <w:t>2.2</w:t>
      </w:r>
      <w:r>
        <w:rPr>
          <w:rFonts w:hint="eastAsia"/>
          <w:b/>
          <w:bCs/>
          <w:color w:val="auto"/>
          <w:sz w:val="24"/>
          <w:szCs w:val="32"/>
        </w:rPr>
        <w:t>详细评审标准</w:t>
      </w:r>
      <w:bookmarkEnd w:id="464"/>
    </w:p>
    <w:p>
      <w:pPr>
        <w:adjustRightInd w:val="0"/>
        <w:snapToGrid w:val="0"/>
        <w:spacing w:line="440" w:lineRule="exact"/>
        <w:ind w:firstLine="420" w:firstLineChars="200"/>
        <w:rPr>
          <w:rFonts w:ascii="宋体" w:hAnsi="宋体" w:cs="宋体"/>
          <w:color w:val="auto"/>
          <w:szCs w:val="21"/>
        </w:rPr>
      </w:pPr>
      <w:r>
        <w:rPr>
          <w:rFonts w:hint="eastAsia" w:ascii="宋体" w:hAnsi="宋体" w:cs="宋体"/>
          <w:color w:val="auto"/>
          <w:szCs w:val="21"/>
        </w:rPr>
        <w:t>详细评审标准：见评审办法前附表。</w:t>
      </w:r>
    </w:p>
    <w:p>
      <w:pPr>
        <w:numPr>
          <w:ilvl w:val="0"/>
          <w:numId w:val="9"/>
        </w:numPr>
        <w:rPr>
          <w:b/>
          <w:bCs/>
          <w:color w:val="auto"/>
          <w:sz w:val="24"/>
          <w:szCs w:val="32"/>
        </w:rPr>
      </w:pPr>
      <w:bookmarkStart w:id="465" w:name="_Toc450489349"/>
      <w:r>
        <w:rPr>
          <w:rFonts w:hint="eastAsia"/>
          <w:b/>
          <w:bCs/>
          <w:color w:val="auto"/>
          <w:sz w:val="24"/>
          <w:szCs w:val="32"/>
        </w:rPr>
        <w:t>评审程序</w:t>
      </w:r>
      <w:bookmarkEnd w:id="465"/>
    </w:p>
    <w:p>
      <w:pPr>
        <w:rPr>
          <w:b/>
          <w:bCs/>
          <w:color w:val="auto"/>
          <w:sz w:val="24"/>
          <w:szCs w:val="32"/>
        </w:rPr>
      </w:pPr>
      <w:bookmarkStart w:id="466" w:name="_Toc450489350"/>
      <w:r>
        <w:rPr>
          <w:b/>
          <w:bCs/>
          <w:color w:val="auto"/>
          <w:sz w:val="24"/>
          <w:szCs w:val="32"/>
        </w:rPr>
        <w:t>3.1</w:t>
      </w:r>
      <w:r>
        <w:rPr>
          <w:rFonts w:hint="eastAsia"/>
          <w:b/>
          <w:bCs/>
          <w:color w:val="auto"/>
          <w:sz w:val="24"/>
          <w:szCs w:val="32"/>
        </w:rPr>
        <w:t>初步评审</w:t>
      </w:r>
      <w:bookmarkEnd w:id="466"/>
    </w:p>
    <w:p>
      <w:pPr>
        <w:pStyle w:val="21"/>
        <w:tabs>
          <w:tab w:val="left" w:pos="630"/>
        </w:tabs>
        <w:snapToGrid w:val="0"/>
        <w:spacing w:line="440" w:lineRule="exact"/>
        <w:ind w:firstLine="424" w:firstLineChars="202"/>
        <w:rPr>
          <w:rFonts w:hAnsi="宋体"/>
          <w:color w:val="auto"/>
        </w:rPr>
      </w:pPr>
      <w:r>
        <w:rPr>
          <w:rFonts w:hAnsi="宋体"/>
          <w:color w:val="auto"/>
        </w:rPr>
        <w:t>3.1.1评标委员会根据本章第2.1款规定的标准对</w:t>
      </w:r>
      <w:r>
        <w:rPr>
          <w:rFonts w:hint="eastAsia" w:hAnsi="宋体" w:cs="宋体"/>
          <w:color w:val="auto"/>
          <w:kern w:val="0"/>
          <w:szCs w:val="21"/>
        </w:rPr>
        <w:t>投标</w:t>
      </w:r>
      <w:r>
        <w:rPr>
          <w:rFonts w:hint="eastAsia" w:hAnsi="宋体"/>
          <w:color w:val="auto"/>
        </w:rPr>
        <w:t>文件进行初步评审。有一项不符合评审标准的，评标委员会应当否决其</w:t>
      </w:r>
      <w:r>
        <w:rPr>
          <w:rFonts w:hint="eastAsia" w:hAnsi="宋体" w:cs="宋体"/>
          <w:color w:val="auto"/>
          <w:kern w:val="0"/>
          <w:szCs w:val="21"/>
        </w:rPr>
        <w:t>投标</w:t>
      </w:r>
      <w:r>
        <w:rPr>
          <w:rFonts w:hint="eastAsia" w:hAnsi="宋体"/>
          <w:color w:val="auto"/>
        </w:rPr>
        <w:t>。</w:t>
      </w:r>
    </w:p>
    <w:p>
      <w:pPr>
        <w:pStyle w:val="21"/>
        <w:tabs>
          <w:tab w:val="left" w:pos="630"/>
        </w:tabs>
        <w:snapToGrid w:val="0"/>
        <w:spacing w:line="440" w:lineRule="exact"/>
        <w:ind w:firstLine="424" w:firstLineChars="202"/>
        <w:rPr>
          <w:rFonts w:hAnsi="宋体"/>
          <w:color w:val="auto"/>
        </w:rPr>
      </w:pPr>
      <w:r>
        <w:rPr>
          <w:rFonts w:hAnsi="宋体"/>
          <w:color w:val="auto"/>
        </w:rPr>
        <w:t>3.1.2投标人有以下情形之一的，评标委员会应当否决其</w:t>
      </w:r>
      <w:r>
        <w:rPr>
          <w:rFonts w:hint="eastAsia" w:hAnsi="宋体" w:cs="宋体"/>
          <w:color w:val="auto"/>
          <w:kern w:val="0"/>
          <w:szCs w:val="21"/>
        </w:rPr>
        <w:t>投标</w:t>
      </w:r>
      <w:r>
        <w:rPr>
          <w:rFonts w:hint="eastAsia" w:hAnsi="宋体"/>
          <w:color w:val="auto"/>
        </w:rPr>
        <w:t>：</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1）第二章“投标人须知”第1.8款规定的任何一种情形的；</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2）不按照评标委员会要求澄清、说明或者补正的；</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3）</w:t>
      </w:r>
      <w:r>
        <w:rPr>
          <w:rFonts w:hint="eastAsia" w:ascii="宋体" w:hAnsi="宋体" w:cs="宋体"/>
          <w:color w:val="auto"/>
          <w:kern w:val="0"/>
          <w:szCs w:val="21"/>
        </w:rPr>
        <w:t>投标</w:t>
      </w:r>
      <w:r>
        <w:rPr>
          <w:rFonts w:hint="eastAsia" w:ascii="宋体" w:hAnsi="宋体" w:cs="宋体"/>
          <w:color w:val="auto"/>
          <w:szCs w:val="21"/>
        </w:rPr>
        <w:t>文件未经投标单位盖章和单位负责人签字；</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4）允许联合体投标的，投标联合体没有递交联合体协议；</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5）投标人不符合国家或者招标文件规定的资格条件；</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6）同一投标人递交两个以上不同的</w:t>
      </w:r>
      <w:r>
        <w:rPr>
          <w:rFonts w:hint="eastAsia" w:ascii="宋体" w:hAnsi="宋体" w:cs="宋体"/>
          <w:color w:val="auto"/>
          <w:kern w:val="0"/>
          <w:szCs w:val="21"/>
        </w:rPr>
        <w:t>投标</w:t>
      </w:r>
      <w:r>
        <w:rPr>
          <w:rFonts w:hint="eastAsia" w:ascii="宋体" w:hAnsi="宋体" w:cs="宋体"/>
          <w:color w:val="auto"/>
          <w:szCs w:val="21"/>
        </w:rPr>
        <w:t>文件或者</w:t>
      </w:r>
      <w:r>
        <w:rPr>
          <w:rFonts w:hint="eastAsia" w:ascii="宋体" w:hAnsi="宋体" w:cs="宋体"/>
          <w:color w:val="auto"/>
          <w:kern w:val="0"/>
          <w:szCs w:val="21"/>
        </w:rPr>
        <w:t>投标</w:t>
      </w:r>
      <w:r>
        <w:rPr>
          <w:rFonts w:hint="eastAsia" w:ascii="宋体" w:hAnsi="宋体" w:cs="宋体"/>
          <w:color w:val="auto"/>
          <w:szCs w:val="21"/>
        </w:rPr>
        <w:t>报价，但招标文件要求递交备选</w:t>
      </w:r>
      <w:r>
        <w:rPr>
          <w:rFonts w:hint="eastAsia" w:ascii="宋体" w:hAnsi="宋体" w:cs="宋体"/>
          <w:color w:val="auto"/>
          <w:kern w:val="0"/>
          <w:szCs w:val="21"/>
        </w:rPr>
        <w:t>投标</w:t>
      </w:r>
      <w:r>
        <w:rPr>
          <w:rFonts w:hint="eastAsia" w:ascii="宋体" w:hAnsi="宋体" w:cs="宋体"/>
          <w:color w:val="auto"/>
          <w:szCs w:val="21"/>
        </w:rPr>
        <w:t>的除外；</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kern w:val="0"/>
          <w:szCs w:val="21"/>
        </w:rPr>
        <w:t>投标</w:t>
      </w:r>
      <w:r>
        <w:rPr>
          <w:rFonts w:hint="eastAsia" w:ascii="宋体" w:hAnsi="宋体" w:cs="宋体"/>
          <w:color w:val="auto"/>
          <w:szCs w:val="21"/>
        </w:rPr>
        <w:t>报价低于成本或者高于招标文件设定的最高投标限价；</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8）</w:t>
      </w:r>
      <w:r>
        <w:rPr>
          <w:rFonts w:hint="eastAsia" w:ascii="宋体" w:hAnsi="宋体" w:cs="宋体"/>
          <w:color w:val="auto"/>
          <w:kern w:val="0"/>
          <w:szCs w:val="21"/>
        </w:rPr>
        <w:t>投标</w:t>
      </w:r>
      <w:r>
        <w:rPr>
          <w:rFonts w:hint="eastAsia" w:ascii="宋体" w:hAnsi="宋体" w:cs="宋体"/>
          <w:color w:val="auto"/>
          <w:szCs w:val="21"/>
        </w:rPr>
        <w:t>文件没有对招标文件的实质性要求和条件做出响应；</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9）投标人有串通</w:t>
      </w:r>
      <w:r>
        <w:rPr>
          <w:rFonts w:hint="eastAsia" w:ascii="宋体" w:hAnsi="宋体" w:cs="宋体"/>
          <w:color w:val="auto"/>
          <w:kern w:val="0"/>
          <w:szCs w:val="21"/>
        </w:rPr>
        <w:t>投标</w:t>
      </w:r>
      <w:r>
        <w:rPr>
          <w:rFonts w:hint="eastAsia" w:ascii="宋体" w:hAnsi="宋体" w:cs="宋体"/>
          <w:color w:val="auto"/>
          <w:szCs w:val="21"/>
        </w:rPr>
        <w:t>、弄虚作假、行贿等违法行为；</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10）投标人以他人名义投标；</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11）没有按照招标文件要求提供</w:t>
      </w:r>
      <w:r>
        <w:rPr>
          <w:rFonts w:hint="eastAsia" w:ascii="宋体" w:hAnsi="宋体" w:cs="宋体"/>
          <w:color w:val="auto"/>
          <w:kern w:val="0"/>
          <w:szCs w:val="21"/>
        </w:rPr>
        <w:t>投标</w:t>
      </w:r>
      <w:r>
        <w:rPr>
          <w:rFonts w:hint="eastAsia" w:ascii="宋体" w:hAnsi="宋体" w:cs="宋体"/>
          <w:color w:val="auto"/>
          <w:szCs w:val="21"/>
        </w:rPr>
        <w:t>担保或者所提供的</w:t>
      </w:r>
      <w:r>
        <w:rPr>
          <w:rFonts w:hint="eastAsia" w:ascii="宋体" w:hAnsi="宋体" w:cs="宋体"/>
          <w:color w:val="auto"/>
          <w:kern w:val="0"/>
          <w:szCs w:val="21"/>
        </w:rPr>
        <w:t>投标</w:t>
      </w:r>
      <w:r>
        <w:rPr>
          <w:rFonts w:hint="eastAsia" w:ascii="宋体" w:hAnsi="宋体" w:cs="宋体"/>
          <w:color w:val="auto"/>
          <w:szCs w:val="21"/>
        </w:rPr>
        <w:t>担保有瑕疵；</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12）</w:t>
      </w:r>
      <w:r>
        <w:rPr>
          <w:rFonts w:hint="eastAsia" w:ascii="宋体" w:hAnsi="宋体" w:cs="宋体"/>
          <w:color w:val="auto"/>
          <w:kern w:val="0"/>
          <w:szCs w:val="21"/>
        </w:rPr>
        <w:t>投标</w:t>
      </w:r>
      <w:r>
        <w:rPr>
          <w:rFonts w:hint="eastAsia" w:ascii="宋体" w:hAnsi="宋体" w:cs="宋体"/>
          <w:color w:val="auto"/>
          <w:szCs w:val="21"/>
        </w:rPr>
        <w:t>文件载明的招标项目完成期限超过招标文件规定的期限；</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13）明显不符合技术规格、技术标准的要求；</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14）</w:t>
      </w:r>
      <w:r>
        <w:rPr>
          <w:rFonts w:hint="eastAsia" w:ascii="宋体" w:hAnsi="宋体" w:cs="宋体"/>
          <w:color w:val="auto"/>
          <w:kern w:val="0"/>
          <w:szCs w:val="21"/>
        </w:rPr>
        <w:t>投标</w:t>
      </w:r>
      <w:r>
        <w:rPr>
          <w:rFonts w:hint="eastAsia" w:ascii="宋体" w:hAnsi="宋体" w:cs="宋体"/>
          <w:color w:val="auto"/>
          <w:szCs w:val="21"/>
        </w:rPr>
        <w:t>文件载明的货物包装方式、检验标准和方法等不符合招标文件的要求；</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15）</w:t>
      </w:r>
      <w:r>
        <w:rPr>
          <w:rFonts w:hint="eastAsia" w:ascii="宋体" w:hAnsi="宋体" w:cs="宋体"/>
          <w:color w:val="auto"/>
          <w:kern w:val="0"/>
          <w:szCs w:val="21"/>
        </w:rPr>
        <w:t>投标</w:t>
      </w:r>
      <w:r>
        <w:rPr>
          <w:rFonts w:hint="eastAsia" w:ascii="宋体" w:hAnsi="宋体" w:cs="宋体"/>
          <w:color w:val="auto"/>
          <w:szCs w:val="21"/>
        </w:rPr>
        <w:t>文件附有招标人不能接受的条件；</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16）不符合招标文件中规定的其他实质性要求。</w:t>
      </w:r>
    </w:p>
    <w:p>
      <w:pPr>
        <w:pStyle w:val="21"/>
        <w:tabs>
          <w:tab w:val="left" w:pos="630"/>
        </w:tabs>
        <w:snapToGrid w:val="0"/>
        <w:spacing w:line="440" w:lineRule="exact"/>
        <w:ind w:firstLine="424" w:firstLineChars="202"/>
        <w:rPr>
          <w:rFonts w:hAnsi="宋体"/>
          <w:color w:val="auto"/>
        </w:rPr>
      </w:pPr>
      <w:r>
        <w:rPr>
          <w:rFonts w:hAnsi="宋体"/>
          <w:color w:val="auto"/>
        </w:rPr>
        <w:t>3.1.3评审过程中，评标委员会收到低于成本价</w:t>
      </w:r>
      <w:r>
        <w:rPr>
          <w:rFonts w:hint="eastAsia" w:hAnsi="宋体" w:cs="宋体"/>
          <w:color w:val="auto"/>
          <w:kern w:val="0"/>
          <w:szCs w:val="21"/>
        </w:rPr>
        <w:t>投标</w:t>
      </w:r>
      <w:r>
        <w:rPr>
          <w:rFonts w:hint="eastAsia" w:hAnsi="宋体"/>
          <w:color w:val="auto"/>
        </w:rPr>
        <w:t>的书面质疑材料、发现投标人的综合报价明显低于其他</w:t>
      </w:r>
      <w:r>
        <w:rPr>
          <w:rFonts w:hint="eastAsia" w:hAnsi="宋体" w:cs="宋体"/>
          <w:color w:val="auto"/>
          <w:kern w:val="0"/>
          <w:szCs w:val="21"/>
        </w:rPr>
        <w:t>投标</w:t>
      </w:r>
      <w:r>
        <w:rPr>
          <w:rFonts w:hint="eastAsia" w:hAnsi="宋体"/>
          <w:color w:val="auto"/>
        </w:rPr>
        <w:t>报价或者设有标底时明显低于标底，认为</w:t>
      </w:r>
      <w:r>
        <w:rPr>
          <w:rFonts w:hint="eastAsia" w:hAnsi="宋体" w:cs="宋体"/>
          <w:color w:val="auto"/>
          <w:kern w:val="0"/>
          <w:szCs w:val="21"/>
        </w:rPr>
        <w:t>投标</w:t>
      </w:r>
      <w:r>
        <w:rPr>
          <w:rFonts w:hint="eastAsia" w:hAnsi="宋体"/>
          <w:color w:val="auto"/>
        </w:rPr>
        <w:t>报价可能低于其个别成本的，应当书面要求该投标人做出书面说明并提供相关证明材料。投标人不能合理说明或者不能提供相应证明材料的，由评标委员会认定该投标人以低于成本报价竞标，评标委员会应当否决其</w:t>
      </w:r>
      <w:r>
        <w:rPr>
          <w:rFonts w:hint="eastAsia" w:hAnsi="宋体" w:cs="宋体"/>
          <w:color w:val="auto"/>
          <w:kern w:val="0"/>
          <w:szCs w:val="21"/>
        </w:rPr>
        <w:t>投标</w:t>
      </w:r>
      <w:r>
        <w:rPr>
          <w:rFonts w:hint="eastAsia" w:hAnsi="宋体"/>
          <w:color w:val="auto"/>
        </w:rPr>
        <w:t>。</w:t>
      </w:r>
    </w:p>
    <w:p>
      <w:pPr>
        <w:pStyle w:val="21"/>
        <w:tabs>
          <w:tab w:val="left" w:pos="630"/>
        </w:tabs>
        <w:snapToGrid w:val="0"/>
        <w:spacing w:line="440" w:lineRule="exact"/>
        <w:ind w:firstLine="424" w:firstLineChars="202"/>
        <w:rPr>
          <w:rFonts w:hAnsi="宋体"/>
          <w:color w:val="auto"/>
        </w:rPr>
      </w:pPr>
      <w:r>
        <w:rPr>
          <w:rFonts w:hAnsi="宋体"/>
          <w:color w:val="auto"/>
        </w:rPr>
        <w:t>3.1.4</w:t>
      </w:r>
      <w:r>
        <w:rPr>
          <w:rFonts w:hint="eastAsia" w:hAnsi="宋体" w:cs="宋体"/>
          <w:color w:val="auto"/>
          <w:kern w:val="0"/>
          <w:szCs w:val="21"/>
        </w:rPr>
        <w:t>投标</w:t>
      </w:r>
      <w:r>
        <w:rPr>
          <w:rFonts w:hint="eastAsia" w:hAnsi="宋体"/>
          <w:color w:val="auto"/>
        </w:rPr>
        <w:t>报价有算术错误的，评标委员会按照以下原则对</w:t>
      </w:r>
      <w:r>
        <w:rPr>
          <w:rFonts w:hint="eastAsia" w:hAnsi="宋体" w:cs="宋体"/>
          <w:color w:val="auto"/>
          <w:kern w:val="0"/>
          <w:szCs w:val="21"/>
        </w:rPr>
        <w:t>投标</w:t>
      </w:r>
      <w:r>
        <w:rPr>
          <w:rFonts w:hint="eastAsia" w:hAnsi="宋体"/>
          <w:color w:val="auto"/>
        </w:rPr>
        <w:t>报价进行修正，修正的价格经投标人书面确认后具有约束力。投标人不接受修正价格的，评标委员会应当否决其</w:t>
      </w:r>
      <w:r>
        <w:rPr>
          <w:rFonts w:hint="eastAsia" w:hAnsi="宋体" w:cs="宋体"/>
          <w:color w:val="auto"/>
          <w:kern w:val="0"/>
          <w:szCs w:val="21"/>
        </w:rPr>
        <w:t>投标</w:t>
      </w:r>
      <w:r>
        <w:rPr>
          <w:rFonts w:hint="eastAsia" w:hAnsi="宋体"/>
          <w:color w:val="auto"/>
        </w:rPr>
        <w:t>。</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1）</w:t>
      </w:r>
      <w:r>
        <w:rPr>
          <w:rFonts w:hint="eastAsia" w:ascii="宋体" w:hAnsi="宋体" w:cs="宋体"/>
          <w:color w:val="auto"/>
          <w:kern w:val="0"/>
          <w:szCs w:val="21"/>
        </w:rPr>
        <w:t>投标</w:t>
      </w:r>
      <w:r>
        <w:rPr>
          <w:rFonts w:hint="eastAsia" w:ascii="宋体" w:hAnsi="宋体" w:cs="宋体"/>
          <w:color w:val="auto"/>
          <w:szCs w:val="21"/>
        </w:rPr>
        <w:t>文件中的大写金额与小写金额不一致的，以大写金额为准；</w:t>
      </w:r>
    </w:p>
    <w:p>
      <w:pPr>
        <w:adjustRightInd w:val="0"/>
        <w:snapToGrid w:val="0"/>
        <w:spacing w:line="440" w:lineRule="exact"/>
        <w:ind w:firstLine="424" w:firstLineChars="202"/>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2）总价金额与根据单价计算出的结果不一致的，以单价金额为准修正总价，但单价金额小数点有明显错误的除外。</w:t>
      </w:r>
    </w:p>
    <w:p>
      <w:pPr>
        <w:rPr>
          <w:b/>
          <w:bCs/>
          <w:color w:val="auto"/>
          <w:sz w:val="24"/>
          <w:szCs w:val="32"/>
        </w:rPr>
      </w:pPr>
      <w:bookmarkStart w:id="467" w:name="_Toc450489351"/>
      <w:r>
        <w:rPr>
          <w:b/>
          <w:bCs/>
          <w:color w:val="auto"/>
          <w:sz w:val="24"/>
          <w:szCs w:val="32"/>
        </w:rPr>
        <w:t>3.2</w:t>
      </w:r>
      <w:r>
        <w:rPr>
          <w:rFonts w:hint="eastAsia"/>
          <w:b/>
          <w:bCs/>
          <w:color w:val="auto"/>
          <w:sz w:val="24"/>
          <w:szCs w:val="32"/>
        </w:rPr>
        <w:t>详细评审</w:t>
      </w:r>
      <w:bookmarkEnd w:id="467"/>
    </w:p>
    <w:p>
      <w:pPr>
        <w:pStyle w:val="21"/>
        <w:tabs>
          <w:tab w:val="left" w:pos="630"/>
        </w:tabs>
        <w:snapToGrid w:val="0"/>
        <w:spacing w:line="440" w:lineRule="exact"/>
        <w:ind w:firstLine="424" w:firstLineChars="202"/>
        <w:rPr>
          <w:rFonts w:hAnsi="宋体"/>
          <w:color w:val="auto"/>
        </w:rPr>
      </w:pPr>
      <w:r>
        <w:rPr>
          <w:rFonts w:hAnsi="宋体"/>
          <w:color w:val="auto"/>
        </w:rPr>
        <w:t>3.2.1</w:t>
      </w:r>
      <w:r>
        <w:rPr>
          <w:rFonts w:hint="eastAsia" w:hAnsi="宋体"/>
          <w:color w:val="auto"/>
        </w:rPr>
        <w:t>评标委员会按照本章第</w:t>
      </w:r>
      <w:r>
        <w:rPr>
          <w:rFonts w:hAnsi="宋体"/>
          <w:color w:val="auto"/>
        </w:rPr>
        <w:t>2.2款规定的评审因素和量化标准进行评分，并计算出综合评估得分。</w:t>
      </w:r>
    </w:p>
    <w:p>
      <w:pPr>
        <w:pStyle w:val="21"/>
        <w:tabs>
          <w:tab w:val="left" w:pos="630"/>
        </w:tabs>
        <w:snapToGrid w:val="0"/>
        <w:spacing w:line="440" w:lineRule="exact"/>
        <w:ind w:firstLine="424" w:firstLineChars="202"/>
        <w:rPr>
          <w:rFonts w:hAnsi="宋体"/>
          <w:color w:val="auto"/>
        </w:rPr>
      </w:pPr>
      <w:r>
        <w:rPr>
          <w:rFonts w:hAnsi="宋体"/>
          <w:color w:val="auto"/>
        </w:rPr>
        <w:t>3.2.2评分分值计算原则上保留小数点后两位，小数点后第三位“四舍五入”。另有规定的，见评审办法前附表。</w:t>
      </w:r>
    </w:p>
    <w:p>
      <w:pPr>
        <w:rPr>
          <w:b/>
          <w:bCs/>
          <w:color w:val="auto"/>
          <w:sz w:val="24"/>
          <w:szCs w:val="32"/>
        </w:rPr>
      </w:pPr>
      <w:bookmarkStart w:id="468" w:name="_Toc450489352"/>
      <w:bookmarkStart w:id="469" w:name="_Toc447265275"/>
      <w:bookmarkStart w:id="470" w:name="_Toc447265561"/>
      <w:r>
        <w:rPr>
          <w:b/>
          <w:bCs/>
          <w:color w:val="auto"/>
          <w:sz w:val="24"/>
          <w:szCs w:val="32"/>
        </w:rPr>
        <w:t>3.3</w:t>
      </w:r>
      <w:r>
        <w:rPr>
          <w:rFonts w:hint="eastAsia"/>
          <w:b/>
          <w:bCs/>
          <w:color w:val="auto"/>
          <w:sz w:val="24"/>
          <w:szCs w:val="32"/>
        </w:rPr>
        <w:t>投标文件的澄清</w:t>
      </w:r>
      <w:bookmarkEnd w:id="468"/>
      <w:bookmarkEnd w:id="469"/>
      <w:bookmarkEnd w:id="470"/>
    </w:p>
    <w:p>
      <w:pPr>
        <w:pStyle w:val="21"/>
        <w:tabs>
          <w:tab w:val="left" w:pos="630"/>
        </w:tabs>
        <w:snapToGrid w:val="0"/>
        <w:spacing w:line="440" w:lineRule="exact"/>
        <w:ind w:firstLine="424" w:firstLineChars="202"/>
        <w:rPr>
          <w:rFonts w:hAnsi="宋体"/>
          <w:color w:val="auto"/>
        </w:rPr>
      </w:pPr>
      <w:r>
        <w:rPr>
          <w:rFonts w:hAnsi="宋体"/>
          <w:color w:val="auto"/>
        </w:rPr>
        <w:t>3.3.1在评审过程中，评标委员会应当以书面形式要求投标人对所递交的</w:t>
      </w:r>
      <w:r>
        <w:rPr>
          <w:rFonts w:hint="eastAsia" w:hAnsi="宋体" w:cs="宋体"/>
          <w:color w:val="auto"/>
          <w:kern w:val="0"/>
          <w:szCs w:val="21"/>
        </w:rPr>
        <w:t>投标</w:t>
      </w:r>
      <w:r>
        <w:rPr>
          <w:rFonts w:hint="eastAsia" w:hAnsi="宋体"/>
          <w:color w:val="auto"/>
        </w:rPr>
        <w:t>文件中不明确的内容进行书面澄清、说明或者对</w:t>
      </w:r>
      <w:r>
        <w:rPr>
          <w:rFonts w:hint="eastAsia" w:hAnsi="宋体" w:cs="宋体"/>
          <w:color w:val="auto"/>
          <w:kern w:val="0"/>
          <w:szCs w:val="21"/>
        </w:rPr>
        <w:t>投标</w:t>
      </w:r>
      <w:r>
        <w:rPr>
          <w:rFonts w:hint="eastAsia" w:hAnsi="宋体"/>
          <w:color w:val="auto"/>
        </w:rPr>
        <w:t>文件中的细微偏差进行补正。评标委员会不接受投标人主动提出的澄清、说明或者补正。</w:t>
      </w:r>
    </w:p>
    <w:p>
      <w:pPr>
        <w:pStyle w:val="21"/>
        <w:tabs>
          <w:tab w:val="left" w:pos="630"/>
        </w:tabs>
        <w:snapToGrid w:val="0"/>
        <w:spacing w:line="440" w:lineRule="exact"/>
        <w:ind w:firstLine="424" w:firstLineChars="202"/>
        <w:rPr>
          <w:rFonts w:hAnsi="宋体"/>
          <w:color w:val="auto"/>
        </w:rPr>
      </w:pPr>
      <w:r>
        <w:rPr>
          <w:rFonts w:hAnsi="宋体"/>
          <w:color w:val="auto"/>
        </w:rPr>
        <w:t>3.3.2细微偏差是指</w:t>
      </w:r>
      <w:r>
        <w:rPr>
          <w:rFonts w:hint="eastAsia" w:hAnsi="宋体" w:cs="宋体"/>
          <w:color w:val="auto"/>
          <w:kern w:val="0"/>
          <w:szCs w:val="21"/>
        </w:rPr>
        <w:t>投标</w:t>
      </w:r>
      <w:r>
        <w:rPr>
          <w:rFonts w:hint="eastAsia" w:hAnsi="宋体"/>
          <w:color w:val="auto"/>
        </w:rPr>
        <w:t>文件在实质上响应招标文件要求，但个别地方存在漏项或者提供了不完整的技术信息和数据等情况，并且补正这些遗漏或者不完整不会对其他投标人造成不公平的结果。细微偏差不影响</w:t>
      </w:r>
      <w:r>
        <w:rPr>
          <w:rFonts w:hint="eastAsia" w:hAnsi="宋体" w:cs="宋体"/>
          <w:color w:val="auto"/>
          <w:kern w:val="0"/>
          <w:szCs w:val="21"/>
        </w:rPr>
        <w:t>投标</w:t>
      </w:r>
      <w:r>
        <w:rPr>
          <w:rFonts w:hint="eastAsia" w:hAnsi="宋体"/>
          <w:color w:val="auto"/>
        </w:rPr>
        <w:t>文件的有效性。</w:t>
      </w:r>
    </w:p>
    <w:p>
      <w:pPr>
        <w:pStyle w:val="21"/>
        <w:tabs>
          <w:tab w:val="left" w:pos="630"/>
        </w:tabs>
        <w:snapToGrid w:val="0"/>
        <w:spacing w:line="440" w:lineRule="exact"/>
        <w:ind w:firstLine="424" w:firstLineChars="202"/>
        <w:rPr>
          <w:rFonts w:hAnsi="宋体"/>
          <w:color w:val="auto"/>
        </w:rPr>
      </w:pPr>
      <w:r>
        <w:rPr>
          <w:rFonts w:hAnsi="宋体"/>
          <w:color w:val="auto"/>
        </w:rPr>
        <w:t>3.3.3澄清、说明和补正不得改变投标文件的实质性内容（算术性错误修正的除外）。投标人的书面澄清、说明和补正属于</w:t>
      </w:r>
      <w:r>
        <w:rPr>
          <w:rFonts w:hint="eastAsia" w:hAnsi="宋体" w:cs="宋体"/>
          <w:color w:val="auto"/>
          <w:kern w:val="0"/>
          <w:szCs w:val="21"/>
        </w:rPr>
        <w:t>投标</w:t>
      </w:r>
      <w:r>
        <w:rPr>
          <w:rFonts w:hint="eastAsia" w:hAnsi="宋体"/>
          <w:color w:val="auto"/>
        </w:rPr>
        <w:t>选文件的组成部分。</w:t>
      </w:r>
    </w:p>
    <w:p>
      <w:pPr>
        <w:pStyle w:val="21"/>
        <w:tabs>
          <w:tab w:val="left" w:pos="630"/>
        </w:tabs>
        <w:snapToGrid w:val="0"/>
        <w:spacing w:line="440" w:lineRule="exact"/>
        <w:ind w:firstLine="424" w:firstLineChars="202"/>
        <w:rPr>
          <w:rFonts w:hAnsi="宋体"/>
          <w:color w:val="auto"/>
        </w:rPr>
      </w:pPr>
      <w:r>
        <w:rPr>
          <w:rFonts w:hAnsi="宋体"/>
          <w:color w:val="auto"/>
        </w:rPr>
        <w:t>3.3.4评标委员会对投标人递交的澄清、说明或者补正有疑问的，可以要求投标人进一步澄清、说明或者补正，直至满足评标委员会的要求。</w:t>
      </w:r>
    </w:p>
    <w:p>
      <w:pPr>
        <w:pStyle w:val="21"/>
        <w:tabs>
          <w:tab w:val="left" w:pos="630"/>
        </w:tabs>
        <w:snapToGrid w:val="0"/>
        <w:spacing w:line="440" w:lineRule="exact"/>
        <w:ind w:firstLine="424" w:firstLineChars="202"/>
        <w:rPr>
          <w:rFonts w:hAnsi="宋体"/>
          <w:color w:val="auto"/>
        </w:rPr>
      </w:pPr>
      <w:r>
        <w:rPr>
          <w:rFonts w:hAnsi="宋体"/>
          <w:color w:val="auto"/>
        </w:rPr>
        <w:t>3.3.5</w:t>
      </w:r>
      <w:r>
        <w:rPr>
          <w:rFonts w:hint="eastAsia" w:hAnsi="宋体"/>
          <w:color w:val="auto"/>
        </w:rPr>
        <w:t>评标委员会必要时可以要求投标人递交有关证明和证件的原件，以便核验。</w:t>
      </w:r>
    </w:p>
    <w:p>
      <w:pPr>
        <w:rPr>
          <w:b/>
          <w:bCs/>
          <w:color w:val="auto"/>
          <w:sz w:val="24"/>
          <w:szCs w:val="32"/>
        </w:rPr>
      </w:pPr>
      <w:bookmarkStart w:id="471" w:name="_Toc450489353"/>
      <w:r>
        <w:rPr>
          <w:b/>
          <w:bCs/>
          <w:color w:val="auto"/>
          <w:sz w:val="24"/>
          <w:szCs w:val="32"/>
        </w:rPr>
        <w:t>3.4</w:t>
      </w:r>
      <w:r>
        <w:rPr>
          <w:rFonts w:hint="eastAsia"/>
          <w:b/>
          <w:bCs/>
          <w:color w:val="auto"/>
          <w:sz w:val="24"/>
          <w:szCs w:val="32"/>
        </w:rPr>
        <w:t>中标候选人推荐原则</w:t>
      </w:r>
      <w:bookmarkEnd w:id="471"/>
    </w:p>
    <w:p>
      <w:pPr>
        <w:pStyle w:val="21"/>
        <w:tabs>
          <w:tab w:val="left" w:pos="630"/>
        </w:tabs>
        <w:snapToGrid w:val="0"/>
        <w:spacing w:line="440" w:lineRule="exact"/>
        <w:ind w:firstLine="424" w:firstLineChars="202"/>
        <w:rPr>
          <w:rFonts w:hAnsi="宋体"/>
          <w:color w:val="auto"/>
        </w:rPr>
      </w:pPr>
      <w:r>
        <w:rPr>
          <w:rFonts w:hAnsi="宋体"/>
          <w:color w:val="auto"/>
        </w:rPr>
        <w:t>3.4.1评标委员会按照综合评分由高到低的顺序推荐中标候选人。综合评分相同的，处理原则见评审办法前附表。</w:t>
      </w:r>
    </w:p>
    <w:p>
      <w:pPr>
        <w:pStyle w:val="21"/>
        <w:tabs>
          <w:tab w:val="left" w:pos="630"/>
        </w:tabs>
        <w:snapToGrid w:val="0"/>
        <w:spacing w:line="440" w:lineRule="exact"/>
        <w:ind w:firstLine="424" w:firstLineChars="202"/>
        <w:rPr>
          <w:rFonts w:hAnsi="宋体"/>
          <w:color w:val="auto"/>
        </w:rPr>
      </w:pPr>
      <w:r>
        <w:rPr>
          <w:rFonts w:hAnsi="宋体"/>
          <w:color w:val="auto"/>
        </w:rPr>
        <w:t>3.4.2中标候选人推荐原则见评审办法前附表。</w:t>
      </w:r>
    </w:p>
    <w:p>
      <w:pPr>
        <w:rPr>
          <w:b/>
          <w:bCs/>
          <w:color w:val="auto"/>
          <w:sz w:val="24"/>
          <w:szCs w:val="32"/>
        </w:rPr>
      </w:pPr>
      <w:bookmarkStart w:id="472" w:name="_Toc450489354"/>
      <w:r>
        <w:rPr>
          <w:b/>
          <w:bCs/>
          <w:color w:val="auto"/>
          <w:sz w:val="24"/>
          <w:szCs w:val="32"/>
        </w:rPr>
        <w:t>3.5</w:t>
      </w:r>
      <w:r>
        <w:rPr>
          <w:rFonts w:hint="eastAsia"/>
          <w:b/>
          <w:bCs/>
          <w:color w:val="auto"/>
          <w:sz w:val="24"/>
          <w:szCs w:val="32"/>
        </w:rPr>
        <w:t>评审结果</w:t>
      </w:r>
      <w:bookmarkEnd w:id="472"/>
    </w:p>
    <w:p>
      <w:pPr>
        <w:pStyle w:val="21"/>
        <w:tabs>
          <w:tab w:val="left" w:pos="630"/>
        </w:tabs>
        <w:snapToGrid w:val="0"/>
        <w:spacing w:line="440" w:lineRule="exact"/>
        <w:ind w:firstLine="424" w:firstLineChars="202"/>
        <w:rPr>
          <w:rFonts w:hAnsi="宋体"/>
          <w:color w:val="auto"/>
        </w:rPr>
      </w:pPr>
      <w:r>
        <w:rPr>
          <w:rFonts w:hAnsi="宋体"/>
          <w:color w:val="auto"/>
        </w:rPr>
        <w:t>3.5.1评标委员会完成评审后，应当向招标人递交书面评审报告。评标委员会分组评审的，应当形成统一、完整的评审报告。</w:t>
      </w:r>
    </w:p>
    <w:p>
      <w:pPr>
        <w:pStyle w:val="77"/>
        <w:spacing w:before="240" w:after="120"/>
        <w:rPr>
          <w:rFonts w:ascii="宋体" w:hAnsi="宋体" w:cs="宋体"/>
          <w:color w:val="auto"/>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ascii="宋体" w:hAnsi="宋体" w:cs="宋体"/>
          <w:color w:val="auto"/>
          <w:szCs w:val="21"/>
        </w:rPr>
        <w:br w:type="page"/>
      </w:r>
      <w:bookmarkEnd w:id="431"/>
      <w:bookmarkEnd w:id="432"/>
      <w:bookmarkEnd w:id="433"/>
      <w:bookmarkEnd w:id="434"/>
      <w:bookmarkEnd w:id="435"/>
    </w:p>
    <w:p>
      <w:pPr>
        <w:pStyle w:val="77"/>
        <w:spacing w:before="240" w:after="120"/>
        <w:rPr>
          <w:rFonts w:ascii="宋体" w:hAnsi="宋体" w:eastAsia="宋体" w:cs="宋体"/>
          <w:b/>
          <w:bCs w:val="0"/>
          <w:color w:val="auto"/>
          <w:kern w:val="0"/>
          <w:sz w:val="28"/>
          <w:szCs w:val="28"/>
        </w:rPr>
      </w:pPr>
      <w:bookmarkStart w:id="473" w:name="_Toc475472623"/>
      <w:bookmarkStart w:id="474" w:name="_Toc14833"/>
      <w:bookmarkStart w:id="475" w:name="_Toc11830"/>
      <w:bookmarkStart w:id="476" w:name="_Toc16777"/>
      <w:bookmarkStart w:id="477" w:name="_Toc56432219"/>
      <w:bookmarkStart w:id="478" w:name="_Toc1774"/>
      <w:bookmarkStart w:id="479" w:name="_Toc447265599"/>
      <w:bookmarkStart w:id="480" w:name="_Toc107822570"/>
      <w:bookmarkStart w:id="481" w:name="_Toc226969353"/>
      <w:bookmarkStart w:id="482" w:name="_Toc227057959"/>
      <w:bookmarkStart w:id="483" w:name="_Toc447265313"/>
      <w:r>
        <w:rPr>
          <w:rFonts w:hint="eastAsia" w:ascii="宋体" w:hAnsi="宋体" w:eastAsia="宋体" w:cs="宋体"/>
          <w:b/>
          <w:bCs w:val="0"/>
          <w:color w:val="auto"/>
          <w:kern w:val="0"/>
          <w:sz w:val="28"/>
          <w:szCs w:val="28"/>
        </w:rPr>
        <w:t>第四章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商务</w:t>
      </w:r>
      <w:bookmarkEnd w:id="473"/>
      <w:r>
        <w:rPr>
          <w:rFonts w:hint="eastAsia" w:ascii="宋体" w:hAnsi="宋体" w:eastAsia="宋体" w:cs="宋体"/>
          <w:b/>
          <w:bCs w:val="0"/>
          <w:color w:val="auto"/>
          <w:kern w:val="0"/>
          <w:sz w:val="28"/>
          <w:szCs w:val="28"/>
        </w:rPr>
        <w:t>合同</w:t>
      </w:r>
      <w:bookmarkEnd w:id="474"/>
      <w:bookmarkEnd w:id="475"/>
      <w:bookmarkEnd w:id="476"/>
      <w:bookmarkEnd w:id="477"/>
      <w:bookmarkEnd w:id="478"/>
    </w:p>
    <w:p>
      <w:pPr>
        <w:spacing w:line="400" w:lineRule="exact"/>
        <w:jc w:val="left"/>
        <w:rPr>
          <w:rFonts w:ascii="宋体" w:hAnsi="宋体"/>
          <w:b/>
          <w:color w:val="auto"/>
          <w:szCs w:val="21"/>
        </w:rPr>
      </w:pPr>
      <w:r>
        <w:rPr>
          <w:rFonts w:hint="eastAsia" w:ascii="宋体" w:hAnsi="宋体"/>
          <w:b/>
          <w:color w:val="auto"/>
          <w:szCs w:val="21"/>
        </w:rPr>
        <w:t>总则</w:t>
      </w:r>
    </w:p>
    <w:p>
      <w:pPr>
        <w:spacing w:line="400" w:lineRule="exact"/>
        <w:jc w:val="left"/>
        <w:rPr>
          <w:rFonts w:ascii="宋体" w:hAnsi="宋体"/>
          <w:color w:val="auto"/>
          <w:szCs w:val="21"/>
        </w:rPr>
      </w:pPr>
      <w:r>
        <w:rPr>
          <w:rFonts w:ascii="宋体" w:hAnsi="宋体"/>
          <w:color w:val="auto"/>
          <w:szCs w:val="21"/>
        </w:rPr>
        <w:t>1.1本章涉及商务合同条款要求，</w:t>
      </w:r>
      <w:r>
        <w:rPr>
          <w:rFonts w:hint="eastAsia" w:ascii="宋体" w:hAnsi="宋体"/>
          <w:color w:val="auto"/>
          <w:szCs w:val="21"/>
        </w:rPr>
        <w:t>投标人填写商务合同条款偏离表</w:t>
      </w:r>
      <w:r>
        <w:rPr>
          <w:rFonts w:ascii="宋体" w:hAnsi="宋体"/>
          <w:color w:val="auto"/>
          <w:szCs w:val="21"/>
        </w:rPr>
        <w:t>之用，并作为中标后买卖双方签订合同的基础。</w:t>
      </w:r>
    </w:p>
    <w:p>
      <w:pPr>
        <w:spacing w:line="400" w:lineRule="exact"/>
        <w:jc w:val="left"/>
        <w:rPr>
          <w:rFonts w:ascii="宋体" w:hAnsi="宋体"/>
          <w:color w:val="auto"/>
          <w:szCs w:val="21"/>
        </w:rPr>
      </w:pPr>
      <w:r>
        <w:rPr>
          <w:rFonts w:ascii="宋体" w:hAnsi="宋体"/>
          <w:color w:val="auto"/>
          <w:szCs w:val="21"/>
        </w:rPr>
        <w:t>1.2针对本章合同条款内容，</w:t>
      </w:r>
      <w:r>
        <w:rPr>
          <w:rFonts w:hint="eastAsia" w:ascii="宋体" w:hAnsi="宋体"/>
          <w:color w:val="auto"/>
          <w:szCs w:val="21"/>
        </w:rPr>
        <w:t>投标人</w:t>
      </w:r>
      <w:r>
        <w:rPr>
          <w:rFonts w:ascii="宋体" w:hAnsi="宋体"/>
          <w:color w:val="auto"/>
          <w:szCs w:val="21"/>
        </w:rPr>
        <w:t>应</w:t>
      </w:r>
      <w:r>
        <w:rPr>
          <w:rFonts w:hint="eastAsia" w:ascii="宋体" w:hAnsi="宋体"/>
          <w:color w:val="auto"/>
          <w:szCs w:val="21"/>
        </w:rPr>
        <w:t>填写“商务合同条款偏离表”。如存在偏离</w:t>
      </w:r>
      <w:r>
        <w:rPr>
          <w:rFonts w:ascii="宋体" w:hAnsi="宋体"/>
          <w:color w:val="auto"/>
          <w:szCs w:val="21"/>
        </w:rPr>
        <w:t>应提出充分理由并</w:t>
      </w:r>
      <w:r>
        <w:rPr>
          <w:rFonts w:hint="eastAsia" w:ascii="宋体" w:hAnsi="宋体"/>
          <w:color w:val="auto"/>
          <w:szCs w:val="21"/>
        </w:rPr>
        <w:t>在“合同条款偏离表”中</w:t>
      </w:r>
      <w:r>
        <w:rPr>
          <w:rFonts w:ascii="宋体" w:hAnsi="宋体"/>
          <w:color w:val="auto"/>
          <w:szCs w:val="21"/>
        </w:rPr>
        <w:t>加以详尽说明。</w:t>
      </w:r>
    </w:p>
    <w:p>
      <w:pPr>
        <w:spacing w:line="400" w:lineRule="exact"/>
        <w:jc w:val="left"/>
        <w:rPr>
          <w:rFonts w:ascii="宋体" w:hAnsi="宋体"/>
          <w:color w:val="auto"/>
          <w:szCs w:val="21"/>
        </w:rPr>
      </w:pPr>
      <w:r>
        <w:rPr>
          <w:rFonts w:ascii="宋体" w:hAnsi="宋体"/>
          <w:color w:val="auto"/>
          <w:szCs w:val="21"/>
        </w:rPr>
        <w:t>1.3本章内容根据</w:t>
      </w:r>
      <w:r>
        <w:rPr>
          <w:rFonts w:hint="eastAsia" w:ascii="宋体" w:hAnsi="宋体"/>
          <w:color w:val="auto"/>
          <w:szCs w:val="21"/>
        </w:rPr>
        <w:t>投标人</w:t>
      </w:r>
      <w:r>
        <w:rPr>
          <w:rFonts w:ascii="宋体" w:hAnsi="宋体"/>
          <w:color w:val="auto"/>
          <w:szCs w:val="21"/>
        </w:rPr>
        <w:t>的投标情况完善后，将作为</w:t>
      </w:r>
      <w:r>
        <w:rPr>
          <w:rFonts w:hint="eastAsia" w:ascii="宋体" w:hAnsi="宋体"/>
          <w:color w:val="auto"/>
          <w:szCs w:val="21"/>
        </w:rPr>
        <w:t>招标人</w:t>
      </w:r>
      <w:r>
        <w:rPr>
          <w:rFonts w:ascii="宋体" w:hAnsi="宋体"/>
          <w:color w:val="auto"/>
          <w:szCs w:val="21"/>
        </w:rPr>
        <w:t>与中标人签订合同的基础。</w:t>
      </w:r>
      <w:r>
        <w:rPr>
          <w:rFonts w:hint="eastAsia" w:ascii="宋体" w:hAnsi="宋体"/>
          <w:color w:val="auto"/>
          <w:szCs w:val="21"/>
          <w:lang w:eastAsia="zh-CN"/>
        </w:rPr>
        <w:t>广东南方日报展示有限公司</w:t>
      </w:r>
      <w:r>
        <w:rPr>
          <w:rFonts w:ascii="宋体" w:hAnsi="宋体"/>
          <w:color w:val="auto"/>
          <w:szCs w:val="21"/>
        </w:rPr>
        <w:t>为合同甲方；</w:t>
      </w:r>
      <w:r>
        <w:rPr>
          <w:rFonts w:hint="eastAsia" w:ascii="宋体" w:hAnsi="宋体"/>
          <w:color w:val="auto"/>
          <w:szCs w:val="21"/>
        </w:rPr>
        <w:t>中标</w:t>
      </w:r>
      <w:r>
        <w:rPr>
          <w:rFonts w:ascii="宋体" w:hAnsi="宋体"/>
          <w:color w:val="auto"/>
          <w:szCs w:val="21"/>
        </w:rPr>
        <w:t>人为合同乙方。</w:t>
      </w:r>
    </w:p>
    <w:p>
      <w:pPr>
        <w:spacing w:before="62" w:beforeLines="20" w:after="62" w:afterLines="20" w:line="400" w:lineRule="exact"/>
        <w:ind w:firstLine="422" w:firstLineChars="200"/>
        <w:textAlignment w:val="baseline"/>
        <w:rPr>
          <w:rFonts w:ascii="宋体" w:hAnsi="宋体"/>
          <w:b/>
          <w:color w:val="auto"/>
        </w:rPr>
      </w:pPr>
      <w:r>
        <w:rPr>
          <w:rFonts w:hint="eastAsia" w:ascii="宋体" w:hAnsi="宋体"/>
          <w:b/>
          <w:color w:val="auto"/>
        </w:rPr>
        <w:t>投标人须对《商务合同书》全部条款理解清楚，并填写《合同条款偏离表》（格式见第六章）。</w:t>
      </w:r>
    </w:p>
    <w:p>
      <w:pPr>
        <w:spacing w:line="360" w:lineRule="auto"/>
        <w:ind w:firstLine="422" w:firstLineChars="200"/>
        <w:rPr>
          <w:rFonts w:ascii="宋体" w:hAnsi="宋体"/>
          <w:b/>
          <w:color w:val="auto"/>
        </w:rPr>
      </w:pPr>
      <w:r>
        <w:rPr>
          <w:rFonts w:hint="eastAsia" w:ascii="宋体" w:hAnsi="宋体"/>
          <w:b/>
          <w:color w:val="auto"/>
        </w:rPr>
        <w:t>注：本合同仅供参考，并非正式合同，当投标人在成交后，应依据本合同的主要条款与采购方签订正式合同；当本合同与招标文件其他部分有冲突，应按招标文件的其他部分为准编制招标文件。合同版本与条款以甲方最新合同模板为准。</w:t>
      </w:r>
    </w:p>
    <w:p>
      <w:pPr>
        <w:rPr>
          <w:rFonts w:ascii="宋体" w:hAnsi="宋体"/>
          <w:b/>
          <w:color w:val="auto"/>
        </w:rPr>
      </w:pPr>
      <w:r>
        <w:rPr>
          <w:rFonts w:ascii="宋体" w:hAnsi="宋体"/>
          <w:b/>
          <w:color w:val="auto"/>
        </w:rPr>
        <w:br w:type="page"/>
      </w:r>
    </w:p>
    <w:bookmarkEnd w:id="479"/>
    <w:bookmarkEnd w:id="480"/>
    <w:bookmarkEnd w:id="481"/>
    <w:bookmarkEnd w:id="482"/>
    <w:bookmarkEnd w:id="483"/>
    <w:p>
      <w:pPr>
        <w:keepNext w:val="0"/>
        <w:keepLines w:val="0"/>
        <w:widowControl/>
        <w:suppressLineNumbers w:val="0"/>
        <w:spacing w:line="360" w:lineRule="auto"/>
        <w:jc w:val="left"/>
        <w:rPr>
          <w:rFonts w:hint="eastAsia"/>
          <w:color w:val="auto"/>
          <w:lang w:val="en-US" w:eastAsia="zh-Hans"/>
        </w:rPr>
      </w:pPr>
      <w:bookmarkStart w:id="484" w:name="_Toc14414"/>
      <w:bookmarkStart w:id="485" w:name="_Toc56432221"/>
      <w:bookmarkStart w:id="486" w:name="_Toc475472662"/>
      <w:bookmarkStart w:id="487" w:name="_Toc447265602"/>
      <w:bookmarkStart w:id="488" w:name="_Toc475472669"/>
      <w:bookmarkStart w:id="489" w:name="_Toc447265316"/>
      <w:r>
        <w:rPr>
          <w:rFonts w:hint="eastAsia"/>
          <w:color w:val="auto"/>
          <w:lang w:val="en-US" w:eastAsia="zh-Hans"/>
        </w:rPr>
        <w:t>合同编号：</w:t>
      </w:r>
    </w:p>
    <w:p>
      <w:pPr>
        <w:keepNext w:val="0"/>
        <w:keepLines w:val="0"/>
        <w:widowControl/>
        <w:suppressLineNumbers w:val="0"/>
        <w:spacing w:line="360" w:lineRule="auto"/>
        <w:jc w:val="center"/>
        <w:rPr>
          <w:rFonts w:hint="eastAsia" w:ascii="宋体" w:hAnsi="宋体" w:eastAsia="宋体" w:cs="宋体"/>
          <w:b/>
          <w:bCs/>
          <w:color w:val="auto"/>
          <w:kern w:val="0"/>
          <w:sz w:val="32"/>
          <w:szCs w:val="32"/>
          <w:lang w:val="en-US" w:eastAsia="zh-CN" w:bidi="ar"/>
        </w:rPr>
      </w:pPr>
      <w:r>
        <w:rPr>
          <w:rFonts w:hint="eastAsia" w:ascii="方正小标宋简体" w:hAnsi="方正小标宋简体" w:eastAsia="方正小标宋简体" w:cs="方正小标宋简体"/>
          <w:b/>
          <w:bCs/>
          <w:color w:val="auto"/>
          <w:kern w:val="0"/>
          <w:sz w:val="44"/>
          <w:szCs w:val="44"/>
          <w:lang w:val="en-US" w:eastAsia="zh-CN" w:bidi="ar"/>
        </w:rPr>
        <w:t>服务合同</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仿宋_GB2312" w:hAnsi="仿宋_GB2312" w:eastAsia="仿宋_GB2312" w:cs="仿宋_GB2312"/>
          <w:color w:val="auto"/>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甲 方：</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single"/>
          <w:lang w:val="en-US" w:eastAsia="zh-CN" w:bidi="ar"/>
        </w:rPr>
        <w:t>广东南方日报展示有限公司</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法定代表人（负责人）：</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single"/>
          <w:lang w:val="en-US" w:eastAsia="zh-CN" w:bidi="ar"/>
        </w:rPr>
        <w:t>巫伟</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地 址：</w:t>
      </w:r>
      <w:r>
        <w:rPr>
          <w:rFonts w:hint="eastAsia" w:ascii="宋体" w:hAnsi="宋体" w:eastAsia="宋体" w:cs="宋体"/>
          <w:color w:val="auto"/>
          <w:kern w:val="0"/>
          <w:sz w:val="21"/>
          <w:szCs w:val="21"/>
          <w:u w:val="single"/>
          <w:lang w:val="en-US" w:eastAsia="zh-CN" w:bidi="ar"/>
        </w:rPr>
        <w:t xml:space="preserve"> 广东省广州市广州大道中289号南方报业传媒集团12-13楼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联系方式：</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乙 方：</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法定代表人（负责人）：</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地址：</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u w:val="single"/>
          <w:lang w:val="en-US" w:eastAsia="zh-CN" w:bidi="ar"/>
        </w:rPr>
      </w:pPr>
      <w:r>
        <w:rPr>
          <w:rFonts w:hint="eastAsia" w:ascii="宋体" w:hAnsi="宋体" w:eastAsia="宋体" w:cs="宋体"/>
          <w:color w:val="auto"/>
          <w:kern w:val="0"/>
          <w:sz w:val="21"/>
          <w:szCs w:val="21"/>
          <w:lang w:val="en-US" w:eastAsia="zh-CN" w:bidi="ar"/>
        </w:rPr>
        <w:t>联系方式：</w:t>
      </w:r>
      <w:r>
        <w:rPr>
          <w:rFonts w:hint="eastAsia" w:ascii="宋体" w:hAnsi="宋体" w:eastAsia="宋体" w:cs="宋体"/>
          <w:color w:val="auto"/>
          <w:kern w:val="0"/>
          <w:sz w:val="21"/>
          <w:szCs w:val="21"/>
          <w:u w:val="singl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kern w:val="0"/>
          <w:sz w:val="21"/>
          <w:szCs w:val="21"/>
          <w:u w:val="single"/>
          <w:lang w:val="en-US" w:eastAsia="zh-CN" w:bidi="ar"/>
        </w:rPr>
      </w:pPr>
    </w:p>
    <w:p>
      <w:pPr>
        <w:keepNext w:val="0"/>
        <w:keepLines w:val="0"/>
        <w:pageBreakBefore w:val="0"/>
        <w:widowControl/>
        <w:numPr>
          <w:ilvl w:val="0"/>
          <w:numId w:val="1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乙双方经过平等友好协商，依照《中华人民共和国民法典》等相关法律法规，现就双方</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 xml:space="preserve">合作事宜达成如下协议，以资共同遵守。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 xml:space="preserve">第一条  合作内容 </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（一）服务内容：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（二）服务要求：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（三）服务时间： </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 xml:space="preserve">第二条  合同价款及付款方式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（一）合同价款总额为人民币</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元（大写：人民币</w:t>
      </w:r>
      <w:r>
        <w:rPr>
          <w:rFonts w:hint="eastAsia" w:ascii="宋体" w:hAnsi="宋体" w:eastAsia="宋体" w:cs="宋体"/>
          <w:color w:val="auto"/>
          <w:kern w:val="0"/>
          <w:sz w:val="21"/>
          <w:szCs w:val="21"/>
          <w:u w:val="single"/>
          <w:lang w:val="en-US" w:eastAsia="zh-CN" w:bidi="ar"/>
        </w:rPr>
        <w:t xml:space="preserve">     圆整</w:t>
      </w: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sz w:val="21"/>
          <w:szCs w:val="21"/>
          <w:highlight w:val="none"/>
          <w:u w:val="single"/>
          <w:lang w:eastAsia="zh-CN"/>
        </w:rPr>
        <w:t>含税</w:t>
      </w:r>
      <w:r>
        <w:rPr>
          <w:rFonts w:hint="eastAsia" w:ascii="宋体" w:hAnsi="宋体" w:eastAsia="宋体" w:cs="宋体"/>
          <w:color w:val="auto"/>
          <w:kern w:val="0"/>
          <w:sz w:val="21"/>
          <w:szCs w:val="21"/>
          <w:lang w:val="en-US" w:eastAsia="zh-CN" w:bidi="ar"/>
        </w:rPr>
        <w:t xml:space="preserve">）。该合同价款含人工费、设备费、交通费、餐饮、税金等一切乙方为了履行本合同项下委托事项所产生的费用。除经过甲方书面确认的可增加的费用外，本合同价款总额不因任何事由增加，包括但不限于不可抗力、价格上涨等因素。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（二）合同签订后</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single"/>
          <w:lang w:val="en-US" w:eastAsia="zh-CN" w:bidi="ar"/>
        </w:rPr>
        <w:t>30</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none"/>
          <w:lang w:val="en-US" w:eastAsia="zh-CN" w:bidi="ar"/>
        </w:rPr>
        <w:t>个工作</w:t>
      </w:r>
      <w:r>
        <w:rPr>
          <w:rFonts w:hint="eastAsia" w:ascii="宋体" w:hAnsi="宋体" w:eastAsia="宋体" w:cs="宋体"/>
          <w:color w:val="auto"/>
          <w:kern w:val="0"/>
          <w:sz w:val="21"/>
          <w:szCs w:val="21"/>
          <w:lang w:val="en-US" w:eastAsia="zh-CN" w:bidi="ar"/>
        </w:rPr>
        <w:t>日内，甲方支付合同价款的</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single"/>
          <w:lang w:val="en-US" w:eastAsia="zh-CN" w:bidi="ar"/>
        </w:rPr>
        <w:t>30</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%，即￥</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元（大写</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）；所有约定服务完成并经甲方验收合格后</w:t>
      </w:r>
      <w:r>
        <w:rPr>
          <w:rFonts w:hint="eastAsia" w:ascii="宋体" w:hAnsi="宋体" w:cs="宋体"/>
          <w:color w:val="auto"/>
          <w:kern w:val="0"/>
          <w:sz w:val="21"/>
          <w:szCs w:val="21"/>
          <w:u w:val="single"/>
          <w:lang w:val="en-US" w:eastAsia="zh-CN" w:bidi="ar"/>
        </w:rPr>
        <w:t>60</w:t>
      </w:r>
      <w:r>
        <w:rPr>
          <w:rFonts w:hint="eastAsia" w:ascii="宋体" w:hAnsi="宋体" w:cs="宋体"/>
          <w:color w:val="auto"/>
          <w:kern w:val="0"/>
          <w:sz w:val="21"/>
          <w:szCs w:val="21"/>
          <w:u w:val="none"/>
          <w:lang w:val="en-US" w:eastAsia="zh-CN" w:bidi="ar"/>
        </w:rPr>
        <w:t>个工作</w:t>
      </w:r>
      <w:r>
        <w:rPr>
          <w:rFonts w:hint="eastAsia" w:ascii="宋体" w:hAnsi="宋体" w:eastAsia="宋体" w:cs="宋体"/>
          <w:color w:val="auto"/>
          <w:kern w:val="0"/>
          <w:sz w:val="21"/>
          <w:szCs w:val="21"/>
          <w:lang w:val="en-US" w:eastAsia="zh-CN" w:bidi="ar"/>
        </w:rPr>
        <w:t>日内，甲方支付合同价款的</w:t>
      </w:r>
      <w:r>
        <w:rPr>
          <w:rFonts w:hint="eastAsia" w:ascii="宋体" w:hAnsi="宋体" w:eastAsia="宋体" w:cs="宋体"/>
          <w:color w:val="auto"/>
          <w:kern w:val="0"/>
          <w:sz w:val="21"/>
          <w:szCs w:val="21"/>
          <w:u w:val="single"/>
          <w:lang w:val="en-US" w:eastAsia="zh-CN" w:bidi="ar"/>
        </w:rPr>
        <w:t xml:space="preserve"> </w:t>
      </w:r>
      <w:r>
        <w:rPr>
          <w:rFonts w:hint="eastAsia" w:ascii="宋体" w:hAnsi="宋体" w:cs="宋体"/>
          <w:color w:val="auto"/>
          <w:kern w:val="0"/>
          <w:sz w:val="21"/>
          <w:szCs w:val="21"/>
          <w:u w:val="single"/>
          <w:lang w:val="en-US" w:eastAsia="zh-CN" w:bidi="ar"/>
        </w:rPr>
        <w:t>67</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%，即￥</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元（大写</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w:t>
      </w:r>
      <w:r>
        <w:rPr>
          <w:rFonts w:hint="eastAsia" w:ascii="宋体" w:hAnsi="宋体" w:cs="宋体"/>
          <w:color w:val="auto"/>
          <w:kern w:val="0"/>
          <w:sz w:val="21"/>
          <w:szCs w:val="21"/>
          <w:lang w:val="en-US" w:eastAsia="zh-CN" w:bidi="ar"/>
        </w:rPr>
        <w:t>；</w:t>
      </w:r>
      <w:r>
        <w:rPr>
          <w:rFonts w:hint="eastAsia" w:eastAsia="宋体" w:cs="Times New Roman"/>
          <w:b w:val="0"/>
          <w:bCs w:val="0"/>
          <w:color w:val="000000"/>
          <w:spacing w:val="0"/>
          <w:w w:val="100"/>
          <w:position w:val="0"/>
          <w:sz w:val="22"/>
          <w:szCs w:val="22"/>
          <w:u w:val="none"/>
          <w:lang w:val="en-US" w:eastAsia="zh-CN" w:bidi="en-US"/>
        </w:rPr>
        <w:t>设备在质保期满后无质量问题且乙方无违约行为或没有造成甲方经济损失的，</w:t>
      </w:r>
      <w:r>
        <w:rPr>
          <w:rFonts w:hint="eastAsia" w:ascii="宋体" w:hAnsi="宋体" w:eastAsia="宋体" w:cs="宋体"/>
          <w:color w:val="auto"/>
          <w:kern w:val="0"/>
          <w:sz w:val="21"/>
          <w:szCs w:val="21"/>
          <w:lang w:val="en-US" w:eastAsia="zh-CN" w:bidi="ar"/>
        </w:rPr>
        <w:t>甲方支付合同价款的</w:t>
      </w:r>
      <w:r>
        <w:rPr>
          <w:rFonts w:hint="eastAsia" w:ascii="宋体" w:hAnsi="宋体" w:eastAsia="宋体" w:cs="宋体"/>
          <w:color w:val="auto"/>
          <w:kern w:val="0"/>
          <w:sz w:val="21"/>
          <w:szCs w:val="21"/>
          <w:u w:val="single"/>
          <w:lang w:val="en-US" w:eastAsia="zh-CN" w:bidi="ar"/>
        </w:rPr>
        <w:t xml:space="preserve"> 3 </w:t>
      </w:r>
      <w:r>
        <w:rPr>
          <w:rFonts w:hint="eastAsia" w:ascii="宋体" w:hAnsi="宋体" w:eastAsia="宋体" w:cs="宋体"/>
          <w:color w:val="auto"/>
          <w:kern w:val="0"/>
          <w:sz w:val="21"/>
          <w:szCs w:val="21"/>
          <w:lang w:val="en-US" w:eastAsia="zh-CN" w:bidi="ar"/>
        </w:rPr>
        <w:t>%，即￥</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元（大写</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（三）付款前，乙方应提前</w:t>
      </w:r>
      <w:r>
        <w:rPr>
          <w:rFonts w:hint="eastAsia" w:ascii="宋体" w:hAnsi="宋体" w:eastAsia="宋体" w:cs="宋体"/>
          <w:color w:val="auto"/>
          <w:sz w:val="21"/>
          <w:szCs w:val="21"/>
          <w:highlight w:val="none"/>
          <w:lang w:val="en-US" w:eastAsia="zh-CN"/>
        </w:rPr>
        <w:t>十五天按甲方要求及时开具足额正规的</w:t>
      </w:r>
      <w:r>
        <w:rPr>
          <w:rFonts w:hint="eastAsia" w:ascii="宋体" w:hAnsi="宋体" w:eastAsia="宋体" w:cs="宋体"/>
          <w:color w:val="auto"/>
          <w:sz w:val="21"/>
          <w:szCs w:val="21"/>
          <w:highlight w:val="none"/>
          <w:u w:val="single"/>
          <w:lang w:val="en-US" w:eastAsia="zh-CN"/>
        </w:rPr>
        <w:t xml:space="preserve"> □增值税专用发票  □增值税普通发票 </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kern w:val="0"/>
          <w:sz w:val="21"/>
          <w:szCs w:val="21"/>
          <w:lang w:val="en-US" w:eastAsia="zh-CN" w:bidi="ar"/>
        </w:rPr>
        <w:t>如因乙方提供发票时间延迟则甲方有权顺延付款时间且不承担逾期付款违约责任。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p>
      <w:pPr>
        <w:pStyle w:val="2"/>
        <w:rPr>
          <w:rFonts w:hint="eastAsia" w:ascii="宋体" w:hAnsi="宋体" w:eastAsia="宋体" w:cs="宋体"/>
          <w:color w:val="auto"/>
          <w:sz w:val="21"/>
          <w:szCs w:val="21"/>
          <w:lang w:val="en-US" w:eastAsia="zh-CN"/>
        </w:rPr>
      </w:pPr>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甲方名称</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广东南方日报展示有限公司</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乙方名称</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纳税人识别号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纳税人识别号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开户</w:t>
            </w:r>
            <w:r>
              <w:rPr>
                <w:rFonts w:hint="eastAsia" w:ascii="宋体" w:hAnsi="宋体" w:eastAsia="宋体" w:cs="宋体"/>
                <w:color w:val="auto"/>
                <w:sz w:val="21"/>
                <w:szCs w:val="21"/>
                <w:highlight w:val="none"/>
                <w:vertAlign w:val="baseline"/>
                <w:lang w:val="en-US" w:eastAsia="zh-CN"/>
              </w:rPr>
              <w:t>银行名称</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开户</w:t>
            </w:r>
            <w:r>
              <w:rPr>
                <w:rFonts w:hint="eastAsia" w:ascii="宋体" w:hAnsi="宋体" w:eastAsia="宋体" w:cs="宋体"/>
                <w:color w:val="auto"/>
                <w:sz w:val="21"/>
                <w:szCs w:val="21"/>
                <w:highlight w:val="none"/>
                <w:vertAlign w:val="baseline"/>
                <w:lang w:val="en-US" w:eastAsia="zh-CN"/>
              </w:rPr>
              <w:t>银行名称</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银行</w:t>
            </w:r>
            <w:r>
              <w:rPr>
                <w:rFonts w:hint="eastAsia" w:ascii="宋体" w:hAnsi="宋体" w:eastAsia="宋体" w:cs="宋体"/>
                <w:color w:val="auto"/>
                <w:sz w:val="21"/>
                <w:szCs w:val="21"/>
                <w:highlight w:val="none"/>
                <w:vertAlign w:val="baseline"/>
                <w:lang w:val="en-US" w:eastAsia="zh-CN"/>
              </w:rPr>
              <w:t>账号</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rPr>
              <w:t>银行</w:t>
            </w:r>
            <w:r>
              <w:rPr>
                <w:rFonts w:hint="eastAsia" w:ascii="宋体" w:hAnsi="宋体" w:eastAsia="宋体" w:cs="宋体"/>
                <w:color w:val="auto"/>
                <w:sz w:val="21"/>
                <w:szCs w:val="21"/>
                <w:highlight w:val="none"/>
                <w:vertAlign w:val="baseline"/>
                <w:lang w:val="en-US" w:eastAsia="zh-CN"/>
              </w:rPr>
              <w:t>账号</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地址</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w:t>
            </w:r>
          </w:p>
        </w:tc>
        <w:tc>
          <w:tcPr>
            <w:tcW w:w="2130"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电话</w:t>
            </w:r>
          </w:p>
        </w:tc>
        <w:tc>
          <w:tcPr>
            <w:tcW w:w="2131" w:type="dxa"/>
          </w:tcPr>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1"/>
                <w:szCs w:val="21"/>
                <w:highlight w:val="none"/>
                <w:vertAlign w:val="baseline"/>
                <w:lang w:val="en-US" w:eastAsia="zh-CN"/>
              </w:rPr>
            </w:pPr>
          </w:p>
        </w:tc>
      </w:tr>
    </w:tbl>
    <w:p>
      <w:pPr>
        <w:ind w:firstLine="422" w:firstLineChars="200"/>
        <w:jc w:val="left"/>
        <w:rPr>
          <w:rFonts w:hint="eastAsia" w:ascii="宋体" w:hAnsi="宋体" w:eastAsia="宋体" w:cs="宋体"/>
          <w:b/>
          <w:color w:val="auto"/>
          <w:sz w:val="21"/>
          <w:szCs w:val="21"/>
        </w:rPr>
      </w:pPr>
    </w:p>
    <w:p>
      <w:pPr>
        <w:pStyle w:val="2"/>
        <w:rPr>
          <w:rFonts w:hint="eastAsia" w:ascii="宋体" w:hAnsi="宋体" w:eastAsia="宋体" w:cs="宋体"/>
          <w:color w:val="auto"/>
          <w:sz w:val="21"/>
          <w:szCs w:val="21"/>
          <w:lang w:val="en-US" w:eastAsia="zh-CN"/>
        </w:rPr>
      </w:pP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 xml:space="preserve">第三条  双方权利及义务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（一）甲方权利义务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1、甲方保证拥有签订并履行本合同的必要资格资质。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2、甲方根据本次合作实施的实际需要确定委托乙方提供服务的范围、内容及标准。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3、甲方有权监控、指令乙方及工作人员按要求执行；要求乙方更换不符合要求的工作人员。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4、甲方应当按照合同约定付款。如甲方要求增减项目的，应书面通知乙方。双方确认的增减项目，乙方应积极配合执行，相关费用由甲方承担。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 xml:space="preserve">（二）乙方权利义务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1、乙方保证具有签订并履行本合同的必要资格资质，有能力承担本合同</w:t>
      </w:r>
      <w:r>
        <w:rPr>
          <w:rFonts w:hint="eastAsia" w:ascii="宋体" w:hAnsi="宋体" w:cs="宋体"/>
          <w:color w:val="auto"/>
          <w:kern w:val="0"/>
          <w:sz w:val="21"/>
          <w:szCs w:val="21"/>
          <w:lang w:val="en-US" w:eastAsia="zh-CN" w:bidi="ar"/>
        </w:rPr>
        <w:t>服务</w:t>
      </w:r>
      <w:r>
        <w:rPr>
          <w:rFonts w:hint="eastAsia" w:ascii="宋体" w:hAnsi="宋体" w:eastAsia="宋体" w:cs="宋体"/>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2、乙方保证按约定的时间、质量完成全部服务工作</w:t>
      </w:r>
      <w:r>
        <w:rPr>
          <w:rFonts w:hint="eastAsia" w:ascii="宋体" w:hAnsi="宋体" w:cs="宋体"/>
          <w:color w:val="auto"/>
          <w:kern w:val="0"/>
          <w:sz w:val="21"/>
          <w:szCs w:val="21"/>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 xml:space="preserve">3、乙方应充分履行服务工作相关人员的安全保障义务，服务甲方期间所发生的一切人身伤亡以及财产损失由乙方负责。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4、乙方应保证其提供的服务合法合规，不侵害第三方合法权益，否则由此产生的责任由乙方承担，甲方因此遭受损失的，有权向乙方追偿。</w:t>
      </w:r>
    </w:p>
    <w:p>
      <w:pPr>
        <w:widowControl/>
        <w:adjustRightInd w:val="0"/>
        <w:snapToGrid w:val="0"/>
        <w:spacing w:line="360" w:lineRule="auto"/>
        <w:ind w:firstLine="420" w:firstLineChars="200"/>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5、未经甲方事先书面同意，乙方不得将其在本协议项下的权利或义务转让给任何第三方。</w:t>
      </w:r>
    </w:p>
    <w:p>
      <w:pPr>
        <w:pStyle w:val="172"/>
        <w:keepNext w:val="0"/>
        <w:keepLines w:val="0"/>
        <w:widowControl w:val="0"/>
        <w:shd w:val="clear" w:color="auto" w:fill="auto"/>
        <w:tabs>
          <w:tab w:val="left" w:pos="822"/>
        </w:tabs>
        <w:bidi w:val="0"/>
        <w:spacing w:before="0" w:after="0" w:line="360" w:lineRule="auto"/>
        <w:ind w:left="0" w:right="0" w:firstLine="0"/>
        <w:jc w:val="left"/>
        <w:rPr>
          <w:b/>
          <w:bCs/>
          <w:sz w:val="21"/>
          <w:szCs w:val="21"/>
        </w:rPr>
      </w:pPr>
      <w:r>
        <w:rPr>
          <w:rFonts w:hint="eastAsia" w:ascii="宋体" w:hAnsi="宋体" w:eastAsia="宋体" w:cs="宋体"/>
          <w:b/>
          <w:bCs/>
          <w:color w:val="auto"/>
          <w:kern w:val="0"/>
          <w:sz w:val="21"/>
          <w:szCs w:val="21"/>
          <w:lang w:val="en-US" w:eastAsia="zh-CN" w:bidi="ar"/>
        </w:rPr>
        <w:t>第</w:t>
      </w:r>
      <w:r>
        <w:rPr>
          <w:rFonts w:hint="eastAsia" w:cs="宋体"/>
          <w:b/>
          <w:bCs/>
          <w:color w:val="auto"/>
          <w:kern w:val="0"/>
          <w:sz w:val="21"/>
          <w:szCs w:val="21"/>
          <w:lang w:val="en-US" w:eastAsia="zh-CN" w:bidi="ar"/>
        </w:rPr>
        <w:t>四</w:t>
      </w:r>
      <w:r>
        <w:rPr>
          <w:rFonts w:hint="eastAsia" w:ascii="宋体" w:hAnsi="宋体" w:eastAsia="宋体" w:cs="宋体"/>
          <w:b/>
          <w:bCs/>
          <w:color w:val="auto"/>
          <w:kern w:val="0"/>
          <w:sz w:val="21"/>
          <w:szCs w:val="21"/>
          <w:lang w:val="en-US" w:eastAsia="zh-CN" w:bidi="ar"/>
        </w:rPr>
        <w:t xml:space="preserve">条 </w:t>
      </w:r>
      <w:r>
        <w:rPr>
          <w:b/>
          <w:bCs/>
          <w:color w:val="000000"/>
          <w:spacing w:val="0"/>
          <w:w w:val="100"/>
          <w:position w:val="0"/>
          <w:sz w:val="21"/>
          <w:szCs w:val="21"/>
        </w:rPr>
        <w:t>质保期和售后服务要求</w:t>
      </w:r>
    </w:p>
    <w:p>
      <w:pPr>
        <w:pStyle w:val="172"/>
        <w:keepNext w:val="0"/>
        <w:keepLines w:val="0"/>
        <w:pageBreakBefore w:val="0"/>
        <w:widowControl w:val="0"/>
        <w:shd w:val="clear" w:color="auto" w:fill="auto"/>
        <w:kinsoku/>
        <w:wordWrap/>
        <w:overflowPunct/>
        <w:topLinePunct w:val="0"/>
        <w:autoSpaceDE/>
        <w:autoSpaceDN/>
        <w:bidi w:val="0"/>
        <w:adjustRightInd/>
        <w:snapToGrid/>
        <w:spacing w:before="0" w:after="0" w:line="482" w:lineRule="exact"/>
        <w:ind w:left="0" w:leftChars="0" w:right="0" w:firstLine="420" w:firstLineChars="200"/>
        <w:jc w:val="left"/>
        <w:textAlignment w:val="auto"/>
        <w:rPr>
          <w:color w:val="000000"/>
          <w:spacing w:val="0"/>
          <w:w w:val="100"/>
          <w:position w:val="0"/>
          <w:sz w:val="21"/>
          <w:szCs w:val="21"/>
        </w:rPr>
      </w:pPr>
      <w:r>
        <w:rPr>
          <w:rFonts w:hint="eastAsia" w:cs="宋体"/>
          <w:color w:val="000000"/>
          <w:spacing w:val="0"/>
          <w:w w:val="100"/>
          <w:position w:val="0"/>
          <w:sz w:val="21"/>
          <w:szCs w:val="21"/>
          <w:lang w:val="en-US" w:eastAsia="zh-CN" w:bidi="en-US"/>
        </w:rPr>
        <w:t>4</w:t>
      </w:r>
      <w:r>
        <w:rPr>
          <w:rFonts w:ascii="宋体" w:hAnsi="宋体" w:eastAsia="宋体" w:cs="宋体"/>
          <w:color w:val="000000"/>
          <w:spacing w:val="0"/>
          <w:w w:val="100"/>
          <w:position w:val="0"/>
          <w:sz w:val="21"/>
          <w:szCs w:val="21"/>
          <w:lang w:val="en-US" w:eastAsia="en-US" w:bidi="en-US"/>
        </w:rPr>
        <w:t>.1</w:t>
      </w:r>
      <w:r>
        <w:rPr>
          <w:sz w:val="21"/>
          <w:szCs w:val="21"/>
        </w:rPr>
        <w:t>项目质量保证期不少于24个月。自项目经甲乙双方验收合格并签字确认之日起计。若国家和/或生产商对本项目所涉及货物的质量保证期的规定高于本项目的要求，应按国家和/或生产商的规定执行。</w:t>
      </w:r>
    </w:p>
    <w:p>
      <w:pPr>
        <w:pStyle w:val="172"/>
        <w:keepNext w:val="0"/>
        <w:keepLines w:val="0"/>
        <w:pageBreakBefore w:val="0"/>
        <w:widowControl w:val="0"/>
        <w:shd w:val="clear" w:color="auto" w:fill="auto"/>
        <w:kinsoku/>
        <w:wordWrap/>
        <w:overflowPunct/>
        <w:topLinePunct w:val="0"/>
        <w:autoSpaceDE/>
        <w:autoSpaceDN/>
        <w:bidi w:val="0"/>
        <w:adjustRightInd/>
        <w:snapToGrid/>
        <w:spacing w:before="0" w:after="0" w:line="482" w:lineRule="exact"/>
        <w:ind w:left="0" w:leftChars="0" w:right="0" w:firstLine="420" w:firstLineChars="200"/>
        <w:jc w:val="left"/>
        <w:textAlignment w:val="auto"/>
        <w:rPr>
          <w:sz w:val="21"/>
          <w:szCs w:val="21"/>
        </w:rPr>
      </w:pPr>
      <w:r>
        <w:rPr>
          <w:rFonts w:hint="eastAsia" w:cs="宋体"/>
          <w:color w:val="000000"/>
          <w:spacing w:val="0"/>
          <w:w w:val="100"/>
          <w:position w:val="0"/>
          <w:sz w:val="21"/>
          <w:szCs w:val="21"/>
          <w:lang w:val="en-US" w:eastAsia="zh-CN" w:bidi="en-US"/>
        </w:rPr>
        <w:t>4</w:t>
      </w:r>
      <w:r>
        <w:rPr>
          <w:rFonts w:ascii="宋体" w:hAnsi="宋体" w:eastAsia="宋体" w:cs="宋体"/>
          <w:color w:val="000000"/>
          <w:spacing w:val="0"/>
          <w:w w:val="100"/>
          <w:position w:val="0"/>
          <w:sz w:val="21"/>
          <w:szCs w:val="21"/>
          <w:lang w:val="en-US" w:eastAsia="en-US" w:bidi="en-US"/>
        </w:rPr>
        <w:t>.2</w:t>
      </w:r>
      <w:r>
        <w:rPr>
          <w:sz w:val="21"/>
          <w:szCs w:val="21"/>
        </w:rPr>
        <w:t>在质量保证期内，乙方须提供常设售后服务电话热线、远程及现场支持服务和长期的免费维修支持。对甲方的服务通知，乙方在接报后即时响应，不能远程解决的，应在接到通知后 24 小时内到达现场，48小时内处理完毕。故障不能在 48小时内修复的必须提供备用设备直至故障修复。</w:t>
      </w:r>
    </w:p>
    <w:p>
      <w:pPr>
        <w:pStyle w:val="172"/>
        <w:keepNext w:val="0"/>
        <w:keepLines w:val="0"/>
        <w:pageBreakBefore w:val="0"/>
        <w:widowControl w:val="0"/>
        <w:shd w:val="clear" w:color="auto" w:fill="auto"/>
        <w:kinsoku/>
        <w:wordWrap/>
        <w:overflowPunct/>
        <w:topLinePunct w:val="0"/>
        <w:autoSpaceDE/>
        <w:autoSpaceDN/>
        <w:bidi w:val="0"/>
        <w:adjustRightInd/>
        <w:snapToGrid/>
        <w:spacing w:before="0" w:after="0" w:line="482" w:lineRule="exact"/>
        <w:ind w:left="0" w:leftChars="0" w:right="0" w:firstLine="420" w:firstLineChars="200"/>
        <w:jc w:val="left"/>
        <w:textAlignment w:val="auto"/>
        <w:rPr>
          <w:sz w:val="21"/>
          <w:szCs w:val="21"/>
        </w:rPr>
      </w:pPr>
      <w:r>
        <w:rPr>
          <w:rFonts w:hint="eastAsia" w:cs="宋体"/>
          <w:color w:val="000000"/>
          <w:spacing w:val="0"/>
          <w:w w:val="100"/>
          <w:position w:val="0"/>
          <w:sz w:val="21"/>
          <w:szCs w:val="21"/>
          <w:lang w:val="en-US" w:eastAsia="zh-CN" w:bidi="en-US"/>
        </w:rPr>
        <w:t>4</w:t>
      </w:r>
      <w:r>
        <w:rPr>
          <w:rFonts w:ascii="宋体" w:hAnsi="宋体" w:eastAsia="宋体" w:cs="宋体"/>
          <w:color w:val="000000"/>
          <w:spacing w:val="0"/>
          <w:w w:val="100"/>
          <w:position w:val="0"/>
          <w:sz w:val="21"/>
          <w:szCs w:val="21"/>
          <w:lang w:val="en-US" w:eastAsia="en-US" w:bidi="en-US"/>
        </w:rPr>
        <w:t>.</w:t>
      </w:r>
      <w:r>
        <w:rPr>
          <w:rFonts w:hint="default" w:ascii="宋体" w:hAnsi="宋体" w:eastAsia="宋体" w:cs="宋体"/>
          <w:color w:val="000000"/>
          <w:spacing w:val="0"/>
          <w:w w:val="100"/>
          <w:position w:val="0"/>
          <w:sz w:val="21"/>
          <w:szCs w:val="21"/>
          <w:lang w:val="en-US" w:eastAsia="zh-CN" w:bidi="en-US"/>
        </w:rPr>
        <w:t>3</w:t>
      </w:r>
      <w:r>
        <w:rPr>
          <w:sz w:val="21"/>
          <w:szCs w:val="21"/>
        </w:rPr>
        <w:t>免费维修与更换缺陷部件的期限为乙方收到甲方通知后 5天。</w:t>
      </w:r>
    </w:p>
    <w:p>
      <w:pPr>
        <w:pStyle w:val="172"/>
        <w:keepNext w:val="0"/>
        <w:keepLines w:val="0"/>
        <w:widowControl w:val="0"/>
        <w:shd w:val="clear" w:color="auto" w:fill="auto"/>
        <w:bidi w:val="0"/>
        <w:spacing w:before="0" w:after="0" w:line="482" w:lineRule="exact"/>
        <w:ind w:left="0" w:right="0" w:firstLine="420" w:firstLineChars="200"/>
        <w:jc w:val="left"/>
        <w:rPr>
          <w:sz w:val="21"/>
          <w:szCs w:val="21"/>
        </w:rPr>
      </w:pPr>
      <w:r>
        <w:rPr>
          <w:rFonts w:hint="eastAsia" w:cs="宋体"/>
          <w:color w:val="000000"/>
          <w:spacing w:val="0"/>
          <w:w w:val="100"/>
          <w:position w:val="0"/>
          <w:sz w:val="21"/>
          <w:szCs w:val="21"/>
          <w:lang w:val="en-US" w:eastAsia="zh-CN" w:bidi="en-US"/>
        </w:rPr>
        <w:t>4</w:t>
      </w:r>
      <w:r>
        <w:rPr>
          <w:rFonts w:ascii="宋体" w:hAnsi="宋体" w:eastAsia="宋体" w:cs="宋体"/>
          <w:color w:val="000000"/>
          <w:spacing w:val="0"/>
          <w:w w:val="100"/>
          <w:position w:val="0"/>
          <w:sz w:val="21"/>
          <w:szCs w:val="21"/>
          <w:lang w:val="en-US" w:eastAsia="en-US" w:bidi="en-US"/>
        </w:rPr>
        <w:t>.</w:t>
      </w:r>
      <w:r>
        <w:rPr>
          <w:rFonts w:hint="default" w:ascii="宋体" w:hAnsi="宋体" w:eastAsia="宋体" w:cs="宋体"/>
          <w:color w:val="000000"/>
          <w:spacing w:val="0"/>
          <w:w w:val="100"/>
          <w:position w:val="0"/>
          <w:sz w:val="21"/>
          <w:szCs w:val="21"/>
          <w:lang w:val="en-US" w:eastAsia="zh-CN" w:bidi="en-US"/>
        </w:rPr>
        <w:t>4</w:t>
      </w:r>
      <w:r>
        <w:rPr>
          <w:sz w:val="21"/>
          <w:szCs w:val="21"/>
        </w:rPr>
        <w:t>乙方必须派出技术人员指导培训甲方指定的人员熟练使用各种设备操作。</w:t>
      </w:r>
    </w:p>
    <w:p>
      <w:pPr>
        <w:pStyle w:val="172"/>
        <w:keepNext w:val="0"/>
        <w:keepLines w:val="0"/>
        <w:widowControl w:val="0"/>
        <w:shd w:val="clear" w:color="auto" w:fill="auto"/>
        <w:bidi w:val="0"/>
        <w:spacing w:before="0" w:after="0" w:line="482" w:lineRule="exact"/>
        <w:ind w:left="0" w:right="0" w:firstLine="0" w:firstLineChars="0"/>
        <w:jc w:val="left"/>
        <w:rPr>
          <w:b/>
          <w:bCs/>
          <w:sz w:val="21"/>
          <w:szCs w:val="21"/>
        </w:rPr>
      </w:pPr>
      <w:r>
        <w:rPr>
          <w:rFonts w:hint="eastAsia" w:ascii="宋体" w:hAnsi="宋体" w:eastAsia="宋体" w:cs="宋体"/>
          <w:b/>
          <w:bCs/>
          <w:color w:val="auto"/>
          <w:kern w:val="0"/>
          <w:sz w:val="21"/>
          <w:szCs w:val="21"/>
          <w:lang w:val="en-US" w:eastAsia="zh-CN" w:bidi="ar"/>
        </w:rPr>
        <w:t>第</w:t>
      </w:r>
      <w:r>
        <w:rPr>
          <w:rFonts w:hint="eastAsia" w:cs="宋体"/>
          <w:b/>
          <w:bCs/>
          <w:color w:val="auto"/>
          <w:kern w:val="0"/>
          <w:sz w:val="21"/>
          <w:szCs w:val="21"/>
          <w:lang w:val="en-US" w:eastAsia="zh-CN" w:bidi="ar"/>
        </w:rPr>
        <w:t>五</w:t>
      </w:r>
      <w:r>
        <w:rPr>
          <w:rFonts w:hint="eastAsia" w:ascii="宋体" w:hAnsi="宋体" w:eastAsia="宋体" w:cs="宋体"/>
          <w:b/>
          <w:bCs/>
          <w:color w:val="auto"/>
          <w:kern w:val="0"/>
          <w:sz w:val="21"/>
          <w:szCs w:val="21"/>
          <w:lang w:val="en-US" w:eastAsia="zh-CN" w:bidi="ar"/>
        </w:rPr>
        <w:t xml:space="preserve">条 </w:t>
      </w:r>
      <w:r>
        <w:rPr>
          <w:b/>
          <w:bCs/>
          <w:color w:val="000000"/>
          <w:spacing w:val="0"/>
          <w:w w:val="100"/>
          <w:position w:val="0"/>
          <w:sz w:val="21"/>
          <w:szCs w:val="21"/>
        </w:rPr>
        <w:t>安装与调试</w:t>
      </w:r>
    </w:p>
    <w:p>
      <w:pPr>
        <w:pStyle w:val="172"/>
        <w:keepNext w:val="0"/>
        <w:keepLines w:val="0"/>
        <w:widowControl w:val="0"/>
        <w:shd w:val="clear" w:color="auto" w:fill="auto"/>
        <w:bidi w:val="0"/>
        <w:spacing w:before="0" w:after="460" w:line="479" w:lineRule="exact"/>
        <w:ind w:left="0" w:leftChars="0" w:right="0" w:firstLine="420" w:firstLineChars="200"/>
        <w:jc w:val="left"/>
        <w:rPr>
          <w:sz w:val="21"/>
          <w:szCs w:val="21"/>
        </w:rPr>
      </w:pPr>
      <w:r>
        <w:rPr>
          <w:color w:val="000000"/>
          <w:spacing w:val="0"/>
          <w:w w:val="100"/>
          <w:position w:val="0"/>
          <w:sz w:val="21"/>
          <w:szCs w:val="21"/>
        </w:rPr>
        <w:t>乙方必须按照合同要求，将设备、系统安装并调试至正常运行的最佳状态。</w:t>
      </w:r>
    </w:p>
    <w:p>
      <w:pPr>
        <w:pStyle w:val="172"/>
        <w:keepNext w:val="0"/>
        <w:keepLines w:val="0"/>
        <w:widowControl w:val="0"/>
        <w:shd w:val="clear" w:color="auto" w:fill="auto"/>
        <w:tabs>
          <w:tab w:val="left" w:pos="842"/>
        </w:tabs>
        <w:bidi w:val="0"/>
        <w:spacing w:before="0" w:after="0" w:line="482" w:lineRule="exact"/>
        <w:ind w:left="0" w:right="0" w:firstLine="0"/>
        <w:jc w:val="left"/>
        <w:rPr>
          <w:b/>
          <w:bCs/>
          <w:sz w:val="21"/>
          <w:szCs w:val="21"/>
        </w:rPr>
      </w:pPr>
      <w:r>
        <w:rPr>
          <w:rFonts w:hint="eastAsia" w:ascii="宋体" w:hAnsi="宋体" w:eastAsia="宋体" w:cs="宋体"/>
          <w:b/>
          <w:bCs/>
          <w:color w:val="auto"/>
          <w:kern w:val="0"/>
          <w:sz w:val="21"/>
          <w:szCs w:val="21"/>
          <w:lang w:val="en-US" w:eastAsia="zh-CN" w:bidi="ar"/>
        </w:rPr>
        <w:t>第</w:t>
      </w:r>
      <w:r>
        <w:rPr>
          <w:rFonts w:hint="eastAsia" w:cs="宋体"/>
          <w:b/>
          <w:bCs/>
          <w:color w:val="auto"/>
          <w:kern w:val="0"/>
          <w:sz w:val="21"/>
          <w:szCs w:val="21"/>
          <w:lang w:val="en-US" w:eastAsia="zh-CN" w:bidi="ar"/>
        </w:rPr>
        <w:t>六</w:t>
      </w:r>
      <w:r>
        <w:rPr>
          <w:rFonts w:hint="eastAsia" w:ascii="宋体" w:hAnsi="宋体" w:eastAsia="宋体" w:cs="宋体"/>
          <w:b/>
          <w:bCs/>
          <w:color w:val="auto"/>
          <w:kern w:val="0"/>
          <w:sz w:val="21"/>
          <w:szCs w:val="21"/>
          <w:lang w:val="en-US" w:eastAsia="zh-CN" w:bidi="ar"/>
        </w:rPr>
        <w:t xml:space="preserve">条 </w:t>
      </w:r>
      <w:r>
        <w:rPr>
          <w:b/>
          <w:bCs/>
          <w:color w:val="000000"/>
          <w:spacing w:val="0"/>
          <w:w w:val="100"/>
          <w:position w:val="0"/>
          <w:sz w:val="21"/>
          <w:szCs w:val="21"/>
        </w:rPr>
        <w:t>验收</w:t>
      </w:r>
    </w:p>
    <w:p>
      <w:pPr>
        <w:pStyle w:val="172"/>
        <w:keepNext w:val="0"/>
        <w:keepLines w:val="0"/>
        <w:widowControl w:val="0"/>
        <w:shd w:val="clear" w:color="auto" w:fill="auto"/>
        <w:bidi w:val="0"/>
        <w:spacing w:before="0" w:after="0" w:line="482" w:lineRule="exact"/>
        <w:ind w:left="0" w:leftChars="0" w:right="0" w:firstLine="420" w:firstLineChars="200"/>
        <w:jc w:val="left"/>
        <w:rPr>
          <w:rFonts w:hint="eastAsia"/>
          <w:sz w:val="21"/>
          <w:szCs w:val="21"/>
        </w:rPr>
      </w:pPr>
      <w:r>
        <w:rPr>
          <w:rFonts w:hint="eastAsia" w:cs="宋体"/>
          <w:color w:val="000000"/>
          <w:spacing w:val="0"/>
          <w:w w:val="100"/>
          <w:position w:val="0"/>
          <w:sz w:val="21"/>
          <w:szCs w:val="21"/>
          <w:lang w:val="en-US" w:eastAsia="zh-CN" w:bidi="en-US"/>
        </w:rPr>
        <w:t>6</w:t>
      </w:r>
      <w:r>
        <w:rPr>
          <w:rFonts w:hint="eastAsia" w:ascii="宋体" w:hAnsi="宋体" w:eastAsia="宋体" w:cs="宋体"/>
          <w:color w:val="000000"/>
          <w:spacing w:val="0"/>
          <w:w w:val="100"/>
          <w:position w:val="0"/>
          <w:sz w:val="21"/>
          <w:szCs w:val="21"/>
          <w:lang w:val="en-US" w:eastAsia="en-US" w:bidi="en-US"/>
        </w:rPr>
        <w:t>.1</w:t>
      </w:r>
      <w:r>
        <w:rPr>
          <w:rFonts w:hint="eastAsia"/>
          <w:color w:val="000000"/>
          <w:spacing w:val="0"/>
          <w:w w:val="100"/>
          <w:position w:val="0"/>
          <w:sz w:val="21"/>
          <w:szCs w:val="21"/>
        </w:rPr>
        <w:t>交付验收标准依次对照适用标准为：符合中华人民共和国国家安全质量标准、环保标准或行业标准；符合甲方认可的合理最佳配置、参数及各项要求。</w:t>
      </w:r>
    </w:p>
    <w:p>
      <w:pPr>
        <w:pStyle w:val="172"/>
        <w:keepNext w:val="0"/>
        <w:keepLines w:val="0"/>
        <w:widowControl w:val="0"/>
        <w:shd w:val="clear" w:color="auto" w:fill="auto"/>
        <w:bidi w:val="0"/>
        <w:spacing w:before="0" w:after="0" w:line="482" w:lineRule="exact"/>
        <w:ind w:left="0" w:leftChars="0" w:right="0" w:firstLine="420" w:firstLineChars="200"/>
        <w:jc w:val="left"/>
        <w:rPr>
          <w:rFonts w:hint="eastAsia"/>
          <w:sz w:val="21"/>
          <w:szCs w:val="21"/>
        </w:rPr>
      </w:pPr>
      <w:r>
        <w:rPr>
          <w:rFonts w:hint="eastAsia" w:cs="宋体"/>
          <w:color w:val="000000"/>
          <w:spacing w:val="0"/>
          <w:w w:val="100"/>
          <w:position w:val="0"/>
          <w:sz w:val="21"/>
          <w:szCs w:val="21"/>
          <w:lang w:val="en-US" w:eastAsia="zh-CN" w:bidi="en-US"/>
        </w:rPr>
        <w:t>6</w:t>
      </w:r>
      <w:r>
        <w:rPr>
          <w:rFonts w:hint="eastAsia" w:ascii="宋体" w:hAnsi="宋体" w:eastAsia="宋体" w:cs="宋体"/>
          <w:color w:val="000000"/>
          <w:spacing w:val="0"/>
          <w:w w:val="100"/>
          <w:position w:val="0"/>
          <w:sz w:val="21"/>
          <w:szCs w:val="21"/>
          <w:lang w:val="en-US" w:eastAsia="en-US" w:bidi="en-US"/>
        </w:rPr>
        <w:t>.2</w:t>
      </w:r>
      <w:r>
        <w:rPr>
          <w:rFonts w:hint="eastAsia"/>
          <w:color w:val="000000"/>
          <w:spacing w:val="0"/>
          <w:w w:val="100"/>
          <w:position w:val="0"/>
          <w:sz w:val="21"/>
          <w:szCs w:val="21"/>
        </w:rPr>
        <w:t>货物为原厂商未启封全新包装，具出厂合格证，序列号、包装箱号与出厂批号一致, 并可追索查阅。所有随机设备的附件必须齐全。</w:t>
      </w:r>
    </w:p>
    <w:p>
      <w:pPr>
        <w:pStyle w:val="172"/>
        <w:keepNext w:val="0"/>
        <w:keepLines w:val="0"/>
        <w:widowControl w:val="0"/>
        <w:shd w:val="clear" w:color="auto" w:fill="auto"/>
        <w:bidi w:val="0"/>
        <w:spacing w:before="0" w:after="0" w:line="482" w:lineRule="exact"/>
        <w:ind w:left="0" w:leftChars="0" w:right="0" w:firstLine="420" w:firstLineChars="200"/>
        <w:jc w:val="left"/>
        <w:rPr>
          <w:rFonts w:hint="eastAsia"/>
          <w:sz w:val="21"/>
          <w:szCs w:val="21"/>
        </w:rPr>
      </w:pPr>
      <w:r>
        <w:rPr>
          <w:rFonts w:hint="eastAsia" w:cs="宋体"/>
          <w:color w:val="000000"/>
          <w:spacing w:val="0"/>
          <w:w w:val="100"/>
          <w:position w:val="0"/>
          <w:sz w:val="21"/>
          <w:szCs w:val="21"/>
          <w:lang w:val="en-US" w:eastAsia="zh-CN" w:bidi="en-US"/>
        </w:rPr>
        <w:t>6</w:t>
      </w:r>
      <w:r>
        <w:rPr>
          <w:rFonts w:hint="eastAsia" w:ascii="宋体" w:hAnsi="宋体" w:eastAsia="宋体" w:cs="宋体"/>
          <w:color w:val="000000"/>
          <w:spacing w:val="0"/>
          <w:w w:val="100"/>
          <w:position w:val="0"/>
          <w:sz w:val="21"/>
          <w:szCs w:val="21"/>
          <w:lang w:val="en-US" w:eastAsia="en-US" w:bidi="en-US"/>
        </w:rPr>
        <w:t>.3</w:t>
      </w:r>
      <w:r>
        <w:rPr>
          <w:rFonts w:hint="eastAsia"/>
          <w:color w:val="000000"/>
          <w:spacing w:val="0"/>
          <w:w w:val="100"/>
          <w:position w:val="0"/>
          <w:sz w:val="21"/>
          <w:szCs w:val="21"/>
        </w:rPr>
        <w:t>乙方应将关键主机设备的用户手册、保修手册、有关单证资料及配备件、随机文件等移交甲方。</w:t>
      </w:r>
    </w:p>
    <w:p>
      <w:pPr>
        <w:pStyle w:val="172"/>
        <w:shd w:val="clear" w:color="auto" w:fill="auto"/>
        <w:spacing w:after="460" w:line="482" w:lineRule="exact"/>
        <w:ind w:firstLine="420" w:firstLineChars="200"/>
        <w:jc w:val="left"/>
        <w:rPr>
          <w:rFonts w:hint="eastAsia" w:ascii="宋体" w:hAnsi="宋体" w:eastAsia="宋体" w:cs="宋体"/>
          <w:sz w:val="21"/>
          <w:szCs w:val="21"/>
          <w:lang w:val="en-US" w:eastAsia="zh-CN"/>
        </w:rPr>
      </w:pPr>
      <w:r>
        <w:rPr>
          <w:rFonts w:hint="eastAsia" w:cs="宋体"/>
          <w:color w:val="000000"/>
          <w:spacing w:val="0"/>
          <w:w w:val="100"/>
          <w:position w:val="0"/>
          <w:sz w:val="21"/>
          <w:szCs w:val="21"/>
          <w:lang w:val="en-US" w:eastAsia="zh-CN" w:bidi="en-US"/>
        </w:rPr>
        <w:t>6</w:t>
      </w:r>
      <w:r>
        <w:rPr>
          <w:rFonts w:hint="eastAsia" w:ascii="宋体" w:hAnsi="宋体" w:eastAsia="宋体" w:cs="宋体"/>
          <w:color w:val="000000"/>
          <w:spacing w:val="0"/>
          <w:w w:val="100"/>
          <w:position w:val="0"/>
          <w:sz w:val="21"/>
          <w:szCs w:val="21"/>
          <w:lang w:val="en-US" w:eastAsia="en-US" w:bidi="en-US"/>
        </w:rPr>
        <w:t>.4</w:t>
      </w:r>
      <w:r>
        <w:rPr>
          <w:rFonts w:hint="eastAsia" w:ascii="宋体" w:hAnsi="宋体" w:eastAsia="宋体" w:cs="宋体"/>
          <w:color w:val="000000"/>
          <w:spacing w:val="0"/>
          <w:w w:val="100"/>
          <w:position w:val="0"/>
          <w:sz w:val="21"/>
          <w:szCs w:val="21"/>
        </w:rPr>
        <w:t>甲方组成验收小组按有关规定进行验收，必要时邀请相关的专业人员或机构参与验收。因货物质量问题发生争议时，由本地质量技术监督部门鉴定。货物符合质量技术标准的, 鉴定费由甲方承担；否则鉴定费由乙方承担。</w:t>
      </w:r>
    </w:p>
    <w:p>
      <w:pPr>
        <w:keepNext w:val="0"/>
        <w:keepLines w:val="0"/>
        <w:pageBreakBefore w:val="0"/>
        <w:widowControl/>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第</w:t>
      </w:r>
      <w:r>
        <w:rPr>
          <w:rFonts w:hint="eastAsia" w:ascii="宋体" w:hAnsi="宋体" w:cs="宋体"/>
          <w:b/>
          <w:bCs/>
          <w:color w:val="auto"/>
          <w:kern w:val="0"/>
          <w:sz w:val="21"/>
          <w:szCs w:val="21"/>
          <w:lang w:val="en-US" w:eastAsia="zh-CN" w:bidi="ar"/>
        </w:rPr>
        <w:t>七</w:t>
      </w:r>
      <w:r>
        <w:rPr>
          <w:rFonts w:hint="eastAsia" w:ascii="宋体" w:hAnsi="宋体" w:eastAsia="宋体" w:cs="宋体"/>
          <w:b/>
          <w:bCs/>
          <w:color w:val="auto"/>
          <w:kern w:val="0"/>
          <w:sz w:val="21"/>
          <w:szCs w:val="21"/>
          <w:lang w:val="en-US" w:eastAsia="zh-CN" w:bidi="ar"/>
        </w:rPr>
        <w:t xml:space="preserve">条 违约责任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（一）任何一方在合同正式履行之前要求终止合同的，应当提前告知对方，并向合同相对方支付合同价款总额的百分之</w:t>
      </w:r>
      <w:r>
        <w:rPr>
          <w:rFonts w:hint="eastAsia" w:ascii="宋体" w:hAnsi="宋体" w:eastAsia="宋体" w:cs="宋体"/>
          <w:color w:val="auto"/>
          <w:kern w:val="0"/>
          <w:sz w:val="21"/>
          <w:szCs w:val="21"/>
          <w:u w:val="single"/>
          <w:lang w:val="en-US" w:eastAsia="zh-CN" w:bidi="ar"/>
        </w:rPr>
        <w:t xml:space="preserve"> 十 </w:t>
      </w:r>
      <w:r>
        <w:rPr>
          <w:rFonts w:hint="eastAsia" w:ascii="宋体" w:hAnsi="宋体" w:eastAsia="宋体" w:cs="宋体"/>
          <w:color w:val="auto"/>
          <w:kern w:val="0"/>
          <w:sz w:val="21"/>
          <w:szCs w:val="21"/>
          <w:lang w:val="en-US" w:eastAsia="zh-CN" w:bidi="ar"/>
        </w:rPr>
        <w:t xml:space="preserve">作为违约金，合同另有约定的除外。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（二）若乙方未能按本合同提供服务内容，或未能按照约定的时间内完成工作，或存在严重影响甲方工作的行为，甲方有权解除本合同，乙方应退还甲方已支付的价款，并且支付甲方本合同价款总额百分之</w:t>
      </w:r>
      <w:r>
        <w:rPr>
          <w:rFonts w:hint="eastAsia" w:ascii="宋体" w:hAnsi="宋体" w:eastAsia="宋体" w:cs="宋体"/>
          <w:color w:val="auto"/>
          <w:kern w:val="0"/>
          <w:sz w:val="21"/>
          <w:szCs w:val="21"/>
          <w:u w:val="single"/>
          <w:lang w:val="en-US" w:eastAsia="zh-CN" w:bidi="ar"/>
        </w:rPr>
        <w:t>十</w:t>
      </w:r>
      <w:r>
        <w:rPr>
          <w:rFonts w:hint="eastAsia" w:ascii="宋体" w:hAnsi="宋体" w:eastAsia="宋体" w:cs="宋体"/>
          <w:color w:val="auto"/>
          <w:kern w:val="0"/>
          <w:sz w:val="21"/>
          <w:szCs w:val="21"/>
          <w:lang w:val="en-US" w:eastAsia="zh-CN" w:bidi="ar"/>
        </w:rPr>
        <w:t xml:space="preserve">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（三）若甲方未按照本合同约定向乙方支付合同款项，每逾期一天，甲方支付乙方当期应付而未付款项的万分之</w:t>
      </w:r>
      <w:r>
        <w:rPr>
          <w:rFonts w:hint="eastAsia" w:ascii="宋体" w:hAnsi="宋体" w:eastAsia="宋体" w:cs="宋体"/>
          <w:color w:val="auto"/>
          <w:kern w:val="0"/>
          <w:sz w:val="21"/>
          <w:szCs w:val="21"/>
          <w:u w:val="single"/>
          <w:lang w:val="en-US" w:eastAsia="zh-CN" w:bidi="ar"/>
        </w:rPr>
        <w:t xml:space="preserve"> 一 </w:t>
      </w:r>
      <w:r>
        <w:rPr>
          <w:rFonts w:hint="eastAsia" w:ascii="宋体" w:hAnsi="宋体" w:eastAsia="宋体" w:cs="宋体"/>
          <w:color w:val="auto"/>
          <w:kern w:val="0"/>
          <w:sz w:val="21"/>
          <w:szCs w:val="21"/>
          <w:lang w:val="en-US" w:eastAsia="zh-CN" w:bidi="ar"/>
        </w:rPr>
        <w:t>作为违约金。</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（四）乙方不得将本合同项下的权利义务转让给任何第三方，否则甲方有权解除合同，并有权要求乙方承担本合同价款总额百分之</w:t>
      </w:r>
      <w:r>
        <w:rPr>
          <w:rFonts w:hint="eastAsia" w:ascii="宋体" w:hAnsi="宋体" w:eastAsia="宋体" w:cs="宋体"/>
          <w:color w:val="auto"/>
          <w:kern w:val="0"/>
          <w:sz w:val="21"/>
          <w:szCs w:val="21"/>
          <w:u w:val="single"/>
          <w:lang w:val="en-US" w:eastAsia="zh-CN" w:bidi="ar"/>
        </w:rPr>
        <w:t xml:space="preserve"> 十 </w:t>
      </w:r>
      <w:r>
        <w:rPr>
          <w:rFonts w:hint="eastAsia" w:ascii="宋体" w:hAnsi="宋体" w:eastAsia="宋体" w:cs="宋体"/>
          <w:color w:val="auto"/>
          <w:kern w:val="0"/>
          <w:sz w:val="21"/>
          <w:szCs w:val="21"/>
          <w:lang w:val="en-US" w:eastAsia="zh-CN" w:bidi="ar"/>
        </w:rPr>
        <w:t xml:space="preserve">计算的违约金。 </w:t>
      </w:r>
    </w:p>
    <w:p>
      <w:pPr>
        <w:keepNext w:val="0"/>
        <w:keepLines w:val="0"/>
        <w:pageBreakBefore w:val="0"/>
        <w:widowControl/>
        <w:suppressLineNumbers w:val="0"/>
        <w:kinsoku/>
        <w:wordWrap/>
        <w:overflowPunct/>
        <w:topLinePunct w:val="0"/>
        <w:autoSpaceDE/>
        <w:autoSpaceDN/>
        <w:bidi w:val="0"/>
        <w:adjustRightInd w:val="0"/>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五）甲方有权在任何一期应付合同价款中扣除乙方按照本合同应支付的违约金及/或赔偿金。如果本合同所明确约定的违约金和乙方的其他责任仍然无法弥补甲方为乙方违约行为遭受的全部损失的，甲方有权要求乙方赔偿其为此遭受的全部损失（包括但不限于甲方向第三方承担的赔偿金、违约金、或甲方因参与诉讼而发生的律师费、鉴定费、公证费、诉讼费、差旅费等）。</w:t>
      </w:r>
    </w:p>
    <w:p>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0"/>
          <w:sz w:val="21"/>
          <w:szCs w:val="21"/>
          <w:lang w:val="en-US" w:eastAsia="zh-CN" w:bidi="ar"/>
        </w:rPr>
        <w:t>第</w:t>
      </w:r>
      <w:r>
        <w:rPr>
          <w:rFonts w:hint="eastAsia" w:ascii="宋体" w:hAnsi="宋体" w:cs="宋体"/>
          <w:b/>
          <w:bCs/>
          <w:color w:val="auto"/>
          <w:kern w:val="0"/>
          <w:sz w:val="21"/>
          <w:szCs w:val="21"/>
          <w:lang w:val="en-US" w:eastAsia="zh-CN" w:bidi="ar"/>
        </w:rPr>
        <w:t>八</w:t>
      </w:r>
      <w:r>
        <w:rPr>
          <w:rFonts w:hint="eastAsia" w:ascii="宋体" w:hAnsi="宋体" w:eastAsia="宋体" w:cs="宋体"/>
          <w:b/>
          <w:bCs/>
          <w:color w:val="auto"/>
          <w:kern w:val="0"/>
          <w:sz w:val="21"/>
          <w:szCs w:val="21"/>
          <w:lang w:val="en-US" w:eastAsia="zh-CN" w:bidi="ar"/>
        </w:rPr>
        <w:t xml:space="preserve">条  </w:t>
      </w:r>
      <w:r>
        <w:rPr>
          <w:rFonts w:hint="eastAsia" w:ascii="宋体" w:hAnsi="宋体" w:eastAsia="宋体" w:cs="宋体"/>
          <w:b/>
          <w:bCs/>
          <w:color w:val="auto"/>
          <w:sz w:val="21"/>
          <w:szCs w:val="21"/>
          <w:highlight w:val="none"/>
          <w:lang w:val="en-US" w:eastAsia="zh-CN"/>
        </w:rPr>
        <w:t>知识产权与商业秘密</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color w:val="auto"/>
          <w:kern w:val="0"/>
          <w:sz w:val="21"/>
          <w:szCs w:val="21"/>
          <w:lang w:val="en-US" w:eastAsia="zh-CN" w:bidi="ar"/>
        </w:rPr>
        <w:t>乙方为履行本合同所形成的活动方案、图片、文字作品、音视频等所有资料信息的知识产权均归属甲方</w:t>
      </w:r>
      <w:r>
        <w:rPr>
          <w:rFonts w:hint="eastAsia" w:ascii="宋体" w:hAnsi="宋体" w:eastAsia="宋体" w:cs="宋体"/>
          <w:bCs w:val="0"/>
          <w:color w:val="auto"/>
          <w:sz w:val="21"/>
          <w:szCs w:val="21"/>
          <w:highlight w:val="none"/>
        </w:rPr>
        <w:t>所有，</w:t>
      </w:r>
      <w:r>
        <w:rPr>
          <w:rFonts w:hint="eastAsia" w:ascii="宋体" w:hAnsi="宋体" w:eastAsia="宋体" w:cs="宋体"/>
          <w:bCs w:val="0"/>
          <w:color w:val="auto"/>
          <w:sz w:val="21"/>
          <w:szCs w:val="21"/>
          <w:highlight w:val="none"/>
          <w:lang w:eastAsia="zh-CN"/>
        </w:rPr>
        <w:t>合约结束后乙方须移交给甲方，</w:t>
      </w:r>
      <w:r>
        <w:rPr>
          <w:rFonts w:hint="eastAsia" w:ascii="宋体" w:hAnsi="宋体" w:eastAsia="宋体" w:cs="宋体"/>
          <w:bCs w:val="0"/>
          <w:color w:val="auto"/>
          <w:sz w:val="21"/>
          <w:szCs w:val="21"/>
          <w:highlight w:val="none"/>
        </w:rPr>
        <w:t>乙方不得将其用于合同项目以外的其他目的或在向第三方提供</w:t>
      </w:r>
      <w:r>
        <w:rPr>
          <w:rFonts w:hint="eastAsia" w:ascii="宋体" w:hAnsi="宋体" w:eastAsia="宋体" w:cs="宋体"/>
          <w:bCs w:val="0"/>
          <w:color w:val="auto"/>
          <w:sz w:val="21"/>
          <w:szCs w:val="21"/>
          <w:highlight w:val="none"/>
          <w:lang w:eastAsia="zh-CN"/>
        </w:rPr>
        <w:t>上述资料</w:t>
      </w:r>
      <w:r>
        <w:rPr>
          <w:rFonts w:hint="eastAsia" w:ascii="宋体" w:hAnsi="宋体" w:eastAsia="宋体" w:cs="宋体"/>
          <w:bCs w:val="0"/>
          <w:color w:val="auto"/>
          <w:sz w:val="21"/>
          <w:szCs w:val="21"/>
          <w:highlight w:val="none"/>
        </w:rPr>
        <w:t>，否则乙方应另行承担侵权责任。</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pPr>
        <w:keepNext w:val="0"/>
        <w:keepLines w:val="0"/>
        <w:pageBreakBefore w:val="0"/>
        <w:widowControl w:val="0"/>
        <w:numPr>
          <w:ilvl w:val="-1"/>
          <w:numId w:val="0"/>
        </w:numPr>
        <w:suppressLineNumbers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color w:val="auto"/>
          <w:sz w:val="21"/>
          <w:szCs w:val="21"/>
          <w:highlight w:val="none"/>
        </w:rPr>
        <w:t>本</w:t>
      </w:r>
      <w:r>
        <w:rPr>
          <w:rFonts w:hint="eastAsia" w:ascii="宋体" w:hAnsi="宋体" w:eastAsia="宋体" w:cs="宋体"/>
          <w:color w:val="auto"/>
          <w:sz w:val="21"/>
          <w:szCs w:val="21"/>
          <w:highlight w:val="none"/>
          <w:lang w:eastAsia="zh-CN"/>
        </w:rPr>
        <w:t>合同</w:t>
      </w:r>
      <w:r>
        <w:rPr>
          <w:rFonts w:hint="eastAsia" w:ascii="宋体" w:hAnsi="宋体" w:eastAsia="宋体" w:cs="宋体"/>
          <w:color w:val="auto"/>
          <w:sz w:val="21"/>
          <w:szCs w:val="21"/>
          <w:highlight w:val="none"/>
        </w:rPr>
        <w:t>有效期内及终止后，本条款</w:t>
      </w:r>
      <w:r>
        <w:rPr>
          <w:rFonts w:hint="eastAsia" w:ascii="宋体" w:hAnsi="宋体" w:eastAsia="宋体" w:cs="宋体"/>
          <w:color w:val="auto"/>
          <w:sz w:val="21"/>
          <w:szCs w:val="21"/>
          <w:highlight w:val="none"/>
          <w:lang w:eastAsia="zh-CN"/>
        </w:rPr>
        <w:t>对乙方</w:t>
      </w:r>
      <w:r>
        <w:rPr>
          <w:rFonts w:hint="eastAsia" w:ascii="宋体" w:hAnsi="宋体" w:eastAsia="宋体" w:cs="宋体"/>
          <w:color w:val="auto"/>
          <w:sz w:val="21"/>
          <w:szCs w:val="21"/>
          <w:highlight w:val="none"/>
        </w:rPr>
        <w:t>仍具有法律效力。</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lang w:val="en-US" w:eastAsia="zh-CN"/>
        </w:rPr>
        <w:t>条  不可抗力及</w:t>
      </w:r>
      <w:r>
        <w:rPr>
          <w:rFonts w:hint="eastAsia" w:ascii="宋体" w:hAnsi="宋体" w:eastAsia="宋体" w:cs="宋体"/>
          <w:b/>
          <w:bCs/>
          <w:color w:val="auto"/>
          <w:kern w:val="0"/>
          <w:sz w:val="21"/>
          <w:szCs w:val="21"/>
          <w:lang w:val="en-US" w:eastAsia="zh-CN" w:bidi="ar"/>
        </w:rPr>
        <w:t xml:space="preserve">免责 </w:t>
      </w:r>
    </w:p>
    <w:p>
      <w:pPr>
        <w:keepNext w:val="0"/>
        <w:keepLines w:val="0"/>
        <w:pageBreakBefore w:val="0"/>
        <w:tabs>
          <w:tab w:val="left" w:pos="426"/>
        </w:tabs>
        <w:kinsoku/>
        <w:wordWrap/>
        <w:overflowPunct/>
        <w:topLinePunct w:val="0"/>
        <w:bidi w:val="0"/>
        <w:snapToGrid w:val="0"/>
        <w:spacing w:line="360" w:lineRule="auto"/>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一）“不可抗力”是指本合同双方订立合同时不能避免且不能克服、不可预见或即使预见亦无法避免的客观情况，该情况妨碍、影响或延误任何一方根据本合同履行其全部或部分义务。不可抗力包括：自然原因的不可抗力，例如：地震、火灾、洪水、严重的传染性疾病等；国家机关原因的不可抗力：例如：法律、政策、行政指令、政府行为和国家政策发生根本性改变；其它不可抗力：战争、武装冲突、动乱、重大疫情等其他突发事件等。</w:t>
      </w:r>
    </w:p>
    <w:p>
      <w:pPr>
        <w:keepNext w:val="0"/>
        <w:keepLines w:val="0"/>
        <w:pageBreakBefore w:val="0"/>
        <w:tabs>
          <w:tab w:val="left" w:pos="426"/>
        </w:tabs>
        <w:kinsoku/>
        <w:wordWrap/>
        <w:overflowPunct/>
        <w:topLinePunct w:val="0"/>
        <w:bidi w:val="0"/>
        <w:snapToGrid w:val="0"/>
        <w:spacing w:line="360" w:lineRule="auto"/>
        <w:ind w:firstLine="420" w:firstLineChars="200"/>
        <w:textAlignment w:val="auto"/>
        <w:rPr>
          <w:rFonts w:hint="eastAsia" w:ascii="宋体" w:hAnsi="宋体" w:eastAsia="宋体" w:cs="宋体"/>
          <w:bCs/>
          <w:color w:val="auto"/>
          <w:sz w:val="21"/>
          <w:szCs w:val="21"/>
          <w:lang w:eastAsia="zh-CN"/>
        </w:rPr>
      </w:pPr>
      <w:r>
        <w:rPr>
          <w:rFonts w:hint="eastAsia" w:ascii="宋体" w:hAnsi="宋体" w:eastAsia="宋体" w:cs="宋体"/>
          <w:bCs/>
          <w:color w:val="auto"/>
          <w:sz w:val="21"/>
          <w:szCs w:val="21"/>
          <w:lang w:eastAsia="zh-CN"/>
        </w:rPr>
        <w:t>（二）任何一方由于不可抗力原因不能履行合同时，应在不可抗力事件结束后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pPr>
        <w:keepNext w:val="0"/>
        <w:keepLines w:val="0"/>
        <w:pageBreakBefore w:val="0"/>
        <w:tabs>
          <w:tab w:val="left" w:pos="426"/>
        </w:tabs>
        <w:kinsoku/>
        <w:wordWrap/>
        <w:overflowPunct/>
        <w:topLinePunct w:val="0"/>
        <w:bidi w:val="0"/>
        <w:snapToGrid w:val="0"/>
        <w:spacing w:line="360" w:lineRule="auto"/>
        <w:ind w:firstLine="420" w:firstLineChars="200"/>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lang w:eastAsia="zh-CN"/>
        </w:rPr>
        <w:t>（三）</w:t>
      </w:r>
      <w:r>
        <w:rPr>
          <w:rFonts w:hint="eastAsia" w:ascii="宋体" w:hAnsi="宋体" w:eastAsia="宋体" w:cs="宋体"/>
          <w:bCs/>
          <w:color w:val="auto"/>
          <w:sz w:val="21"/>
          <w:szCs w:val="21"/>
        </w:rPr>
        <w:t>遭受不可抗力的一方未履行上述义务或不可抗力发生在一方违约前或违约后的，不能免除其违约责任。</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第</w:t>
      </w:r>
      <w:r>
        <w:rPr>
          <w:rFonts w:hint="eastAsia" w:ascii="宋体" w:hAnsi="宋体" w:cs="宋体"/>
          <w:b/>
          <w:bCs/>
          <w:color w:val="auto"/>
          <w:sz w:val="21"/>
          <w:szCs w:val="21"/>
          <w:highlight w:val="none"/>
          <w:lang w:val="en-US" w:eastAsia="zh-CN"/>
        </w:rPr>
        <w:t>十</w:t>
      </w:r>
      <w:r>
        <w:rPr>
          <w:rFonts w:hint="eastAsia" w:ascii="宋体" w:hAnsi="宋体" w:eastAsia="宋体" w:cs="宋体"/>
          <w:b/>
          <w:bCs/>
          <w:color w:val="auto"/>
          <w:sz w:val="21"/>
          <w:szCs w:val="21"/>
          <w:highlight w:val="none"/>
          <w:lang w:val="en-US" w:eastAsia="zh-CN"/>
        </w:rPr>
        <w:t>条  法律适用及争议解决</w:t>
      </w:r>
    </w:p>
    <w:p>
      <w:pPr>
        <w:pStyle w:val="15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rPr>
        <w:t>本</w:t>
      </w:r>
      <w:r>
        <w:rPr>
          <w:rFonts w:hint="eastAsia" w:ascii="宋体" w:hAnsi="宋体" w:eastAsia="宋体" w:cs="宋体"/>
          <w:b w:val="0"/>
          <w:bCs w:val="0"/>
          <w:color w:val="auto"/>
          <w:sz w:val="21"/>
          <w:szCs w:val="21"/>
          <w:lang w:eastAsia="zh-CN"/>
        </w:rPr>
        <w:t>合同</w:t>
      </w:r>
      <w:r>
        <w:rPr>
          <w:rFonts w:hint="eastAsia" w:ascii="宋体" w:hAnsi="宋体" w:eastAsia="宋体" w:cs="宋体"/>
          <w:b w:val="0"/>
          <w:bCs w:val="0"/>
          <w:color w:val="auto"/>
          <w:sz w:val="21"/>
          <w:szCs w:val="21"/>
        </w:rPr>
        <w:t>受中华人民共和国法律解释和管辖，并不考虑法律冲突。</w:t>
      </w:r>
    </w:p>
    <w:p>
      <w:pPr>
        <w:pStyle w:val="155"/>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20" w:firstLineChars="200"/>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lang w:eastAsia="zh-CN"/>
        </w:rPr>
        <w:t>（二）</w:t>
      </w:r>
      <w:r>
        <w:rPr>
          <w:rFonts w:hint="eastAsia" w:ascii="宋体" w:hAnsi="宋体" w:eastAsia="宋体" w:cs="宋体"/>
          <w:b w:val="0"/>
          <w:bCs w:val="0"/>
          <w:color w:val="auto"/>
          <w:sz w:val="21"/>
          <w:szCs w:val="21"/>
        </w:rPr>
        <w:t>双方约定，</w:t>
      </w:r>
      <w:r>
        <w:rPr>
          <w:rFonts w:hint="eastAsia" w:ascii="宋体" w:hAnsi="宋体" w:eastAsia="宋体" w:cs="宋体"/>
          <w:b w:val="0"/>
          <w:bCs w:val="0"/>
          <w:color w:val="auto"/>
          <w:sz w:val="21"/>
          <w:szCs w:val="21"/>
          <w:lang w:eastAsia="zh-CN"/>
        </w:rPr>
        <w:t>合同</w:t>
      </w:r>
      <w:r>
        <w:rPr>
          <w:rFonts w:hint="eastAsia" w:ascii="宋体" w:hAnsi="宋体" w:eastAsia="宋体" w:cs="宋体"/>
          <w:b w:val="0"/>
          <w:bCs w:val="0"/>
          <w:color w:val="auto"/>
          <w:sz w:val="21"/>
          <w:szCs w:val="21"/>
        </w:rPr>
        <w:t>签订地为</w:t>
      </w:r>
      <w:r>
        <w:rPr>
          <w:rFonts w:hint="eastAsia" w:ascii="宋体" w:hAnsi="宋体" w:eastAsia="宋体" w:cs="宋体"/>
          <w:b w:val="0"/>
          <w:bCs w:val="0"/>
          <w:color w:val="auto"/>
          <w:sz w:val="21"/>
          <w:szCs w:val="21"/>
          <w:lang w:eastAsia="zh-CN"/>
        </w:rPr>
        <w:t>广州市越秀</w:t>
      </w:r>
      <w:r>
        <w:rPr>
          <w:rFonts w:hint="eastAsia" w:ascii="宋体" w:hAnsi="宋体" w:eastAsia="宋体" w:cs="宋体"/>
          <w:b w:val="0"/>
          <w:bCs w:val="0"/>
          <w:color w:val="auto"/>
          <w:sz w:val="21"/>
          <w:szCs w:val="21"/>
        </w:rPr>
        <w:t>区。有关本</w:t>
      </w:r>
      <w:r>
        <w:rPr>
          <w:rFonts w:hint="eastAsia" w:ascii="宋体" w:hAnsi="宋体" w:eastAsia="宋体" w:cs="宋体"/>
          <w:b w:val="0"/>
          <w:bCs w:val="0"/>
          <w:color w:val="auto"/>
          <w:sz w:val="21"/>
          <w:szCs w:val="21"/>
          <w:lang w:eastAsia="zh-CN"/>
        </w:rPr>
        <w:t>合同</w:t>
      </w:r>
      <w:r>
        <w:rPr>
          <w:rFonts w:hint="eastAsia" w:ascii="宋体" w:hAnsi="宋体" w:eastAsia="宋体" w:cs="宋体"/>
          <w:b w:val="0"/>
          <w:bCs w:val="0"/>
          <w:color w:val="auto"/>
          <w:sz w:val="21"/>
          <w:szCs w:val="21"/>
        </w:rPr>
        <w:t>的任何争议应由双方秉承善意友好协商解决。若</w:t>
      </w:r>
      <w:r>
        <w:rPr>
          <w:rFonts w:hint="eastAsia" w:ascii="宋体" w:hAnsi="宋体" w:eastAsia="宋体" w:cs="宋体"/>
          <w:b w:val="0"/>
          <w:bCs w:val="0"/>
          <w:color w:val="auto"/>
          <w:sz w:val="21"/>
          <w:szCs w:val="21"/>
          <w:lang w:eastAsia="zh-CN"/>
        </w:rPr>
        <w:t>双方</w:t>
      </w:r>
      <w:r>
        <w:rPr>
          <w:rFonts w:hint="eastAsia" w:ascii="宋体" w:hAnsi="宋体" w:eastAsia="宋体" w:cs="宋体"/>
          <w:b w:val="0"/>
          <w:bCs w:val="0"/>
          <w:color w:val="auto"/>
          <w:sz w:val="21"/>
          <w:szCs w:val="21"/>
        </w:rPr>
        <w:t>协商不成，</w:t>
      </w:r>
      <w:r>
        <w:rPr>
          <w:rFonts w:hint="eastAsia" w:ascii="宋体" w:hAnsi="宋体" w:eastAsia="宋体" w:cs="宋体"/>
          <w:b w:val="0"/>
          <w:bCs w:val="0"/>
          <w:color w:val="auto"/>
          <w:sz w:val="21"/>
          <w:szCs w:val="21"/>
          <w:lang w:eastAsia="zh-CN"/>
        </w:rPr>
        <w:t>一方可</w:t>
      </w:r>
      <w:r>
        <w:rPr>
          <w:rFonts w:hint="eastAsia" w:ascii="宋体" w:hAnsi="宋体" w:eastAsia="宋体" w:cs="宋体"/>
          <w:b w:val="0"/>
          <w:bCs w:val="0"/>
          <w:color w:val="auto"/>
          <w:sz w:val="21"/>
          <w:szCs w:val="21"/>
        </w:rPr>
        <w:t>将争议提交</w:t>
      </w:r>
      <w:r>
        <w:rPr>
          <w:rFonts w:hint="eastAsia" w:ascii="宋体" w:hAnsi="宋体" w:eastAsia="宋体" w:cs="宋体"/>
          <w:b w:val="0"/>
          <w:bCs w:val="0"/>
          <w:color w:val="auto"/>
          <w:sz w:val="21"/>
          <w:szCs w:val="21"/>
          <w:lang w:eastAsia="zh-CN"/>
        </w:rPr>
        <w:t>合同</w:t>
      </w:r>
      <w:r>
        <w:rPr>
          <w:rFonts w:hint="eastAsia" w:ascii="宋体" w:hAnsi="宋体" w:eastAsia="宋体" w:cs="宋体"/>
          <w:b w:val="0"/>
          <w:bCs w:val="0"/>
          <w:color w:val="auto"/>
          <w:sz w:val="21"/>
          <w:szCs w:val="21"/>
        </w:rPr>
        <w:t>签订地有管辖权的法院诉讼解决。</w:t>
      </w:r>
    </w:p>
    <w:p>
      <w:pPr>
        <w:keepNext w:val="0"/>
        <w:keepLines w:val="0"/>
        <w:pageBreakBefore w:val="0"/>
        <w:widowControl/>
        <w:numPr>
          <w:ilvl w:val="0"/>
          <w:numId w:val="0"/>
        </w:numPr>
        <w:suppressLineNumbers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第</w:t>
      </w:r>
      <w:r>
        <w:rPr>
          <w:rFonts w:hint="eastAsia" w:ascii="宋体" w:hAnsi="宋体" w:cs="宋体"/>
          <w:b/>
          <w:bCs/>
          <w:color w:val="auto"/>
          <w:kern w:val="0"/>
          <w:sz w:val="21"/>
          <w:szCs w:val="21"/>
          <w:lang w:val="en-US" w:eastAsia="zh-CN" w:bidi="ar"/>
        </w:rPr>
        <w:t>十一</w:t>
      </w:r>
      <w:r>
        <w:rPr>
          <w:rFonts w:hint="eastAsia" w:ascii="宋体" w:hAnsi="宋体" w:eastAsia="宋体" w:cs="宋体"/>
          <w:b/>
          <w:bCs/>
          <w:color w:val="auto"/>
          <w:kern w:val="0"/>
          <w:sz w:val="21"/>
          <w:szCs w:val="21"/>
          <w:lang w:val="en-US" w:eastAsia="zh-CN" w:bidi="ar"/>
        </w:rPr>
        <w:t xml:space="preserve">条  通知与送达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360" w:lineRule="auto"/>
        <w:ind w:firstLine="0" w:firstLineChars="0"/>
        <w:jc w:val="left"/>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第</w:t>
      </w:r>
      <w:r>
        <w:rPr>
          <w:rFonts w:hint="eastAsia" w:ascii="宋体" w:hAnsi="宋体" w:cs="宋体"/>
          <w:b/>
          <w:bCs/>
          <w:color w:val="auto"/>
          <w:kern w:val="0"/>
          <w:sz w:val="21"/>
          <w:szCs w:val="21"/>
          <w:lang w:val="en-US" w:eastAsia="zh-CN" w:bidi="ar"/>
        </w:rPr>
        <w:t>十二</w:t>
      </w:r>
      <w:r>
        <w:rPr>
          <w:rFonts w:hint="eastAsia" w:ascii="宋体" w:hAnsi="宋体" w:eastAsia="宋体" w:cs="宋体"/>
          <w:b/>
          <w:bCs/>
          <w:color w:val="auto"/>
          <w:kern w:val="0"/>
          <w:sz w:val="21"/>
          <w:szCs w:val="21"/>
          <w:lang w:val="en-US" w:eastAsia="zh-CN" w:bidi="ar"/>
        </w:rPr>
        <w:t xml:space="preserve">条  其他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（一）</w:t>
      </w:r>
      <w:r>
        <w:rPr>
          <w:rFonts w:hint="eastAsia" w:ascii="宋体" w:hAnsi="宋体" w:eastAsia="宋体" w:cs="宋体"/>
          <w:color w:val="auto"/>
          <w:sz w:val="21"/>
          <w:szCs w:val="21"/>
          <w:lang w:eastAsia="zh-CN"/>
        </w:rPr>
        <w:t>本合同经双方法定代表人或授权代理人签字并盖章之日起生效</w:t>
      </w:r>
      <w:r>
        <w:rPr>
          <w:rFonts w:hint="eastAsia" w:ascii="宋体" w:hAnsi="宋体" w:eastAsia="宋体" w:cs="宋体"/>
          <w:color w:val="auto"/>
          <w:kern w:val="0"/>
          <w:sz w:val="21"/>
          <w:szCs w:val="21"/>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kern w:val="0"/>
          <w:sz w:val="21"/>
          <w:szCs w:val="21"/>
          <w:lang w:val="en-US" w:eastAsia="zh-CN" w:bidi="ar"/>
        </w:rPr>
      </w:pPr>
      <w:r>
        <w:rPr>
          <w:rFonts w:hint="eastAsia" w:ascii="宋体" w:hAnsi="宋体" w:eastAsia="宋体" w:cs="宋体"/>
          <w:color w:val="auto"/>
          <w:kern w:val="0"/>
          <w:sz w:val="21"/>
          <w:szCs w:val="21"/>
          <w:lang w:val="en-US" w:eastAsia="zh-CN" w:bidi="ar"/>
        </w:rPr>
        <w:t>（二）</w:t>
      </w:r>
      <w:r>
        <w:rPr>
          <w:rFonts w:hint="eastAsia" w:ascii="宋体" w:hAnsi="宋体" w:eastAsia="宋体" w:cs="宋体"/>
          <w:color w:val="auto"/>
          <w:sz w:val="21"/>
          <w:szCs w:val="21"/>
        </w:rPr>
        <w:t>本</w:t>
      </w:r>
      <w:r>
        <w:rPr>
          <w:rFonts w:hint="eastAsia" w:ascii="宋体" w:hAnsi="宋体" w:eastAsia="宋体" w:cs="宋体"/>
          <w:color w:val="auto"/>
          <w:sz w:val="21"/>
          <w:szCs w:val="21"/>
          <w:lang w:eastAsia="zh-CN"/>
        </w:rPr>
        <w:t>合同</w:t>
      </w:r>
      <w:r>
        <w:rPr>
          <w:rFonts w:hint="eastAsia" w:ascii="宋体" w:hAnsi="宋体" w:eastAsia="宋体" w:cs="宋体"/>
          <w:color w:val="auto"/>
          <w:sz w:val="21"/>
          <w:szCs w:val="21"/>
        </w:rPr>
        <w:t>一式</w:t>
      </w:r>
      <w:r>
        <w:rPr>
          <w:rFonts w:hint="eastAsia" w:ascii="宋体" w:hAnsi="宋体" w:eastAsia="宋体" w:cs="宋体"/>
          <w:color w:val="auto"/>
          <w:sz w:val="21"/>
          <w:szCs w:val="21"/>
          <w:lang w:eastAsia="zh-CN"/>
        </w:rPr>
        <w:t>肆</w:t>
      </w:r>
      <w:r>
        <w:rPr>
          <w:rFonts w:hint="eastAsia" w:ascii="宋体" w:hAnsi="宋体" w:eastAsia="宋体" w:cs="宋体"/>
          <w:color w:val="auto"/>
          <w:sz w:val="21"/>
          <w:szCs w:val="21"/>
        </w:rPr>
        <w:t>份，双方各执</w:t>
      </w:r>
      <w:r>
        <w:rPr>
          <w:rFonts w:hint="eastAsia" w:ascii="宋体" w:hAnsi="宋体" w:eastAsia="宋体" w:cs="宋体"/>
          <w:color w:val="auto"/>
          <w:sz w:val="21"/>
          <w:szCs w:val="21"/>
          <w:lang w:eastAsia="zh-CN"/>
        </w:rPr>
        <w:t>贰</w:t>
      </w:r>
      <w:r>
        <w:rPr>
          <w:rFonts w:hint="eastAsia" w:ascii="宋体" w:hAnsi="宋体" w:eastAsia="宋体" w:cs="宋体"/>
          <w:color w:val="auto"/>
          <w:sz w:val="21"/>
          <w:szCs w:val="21"/>
        </w:rPr>
        <w:t>份，具有同等法律效力。</w:t>
      </w:r>
    </w:p>
    <w:p>
      <w:pPr>
        <w:keepNext w:val="0"/>
        <w:keepLines w:val="0"/>
        <w:pageBreakBefore w:val="0"/>
        <w:widowControl/>
        <w:suppressLineNumbers w:val="0"/>
        <w:kinsoku/>
        <w:wordWrap/>
        <w:overflowPunct/>
        <w:topLinePunct w:val="0"/>
        <w:autoSpaceDE/>
        <w:autoSpaceDN/>
        <w:bidi w:val="0"/>
        <w:adjustRightInd/>
        <w:snapToGrid w:val="0"/>
        <w:spacing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（三）在执行本合同的过程中，所有经双方签署确认的文件（包括会议纪要、补充协议、往来信函）即成为本合同的有效组成部分。</w:t>
      </w:r>
      <w:r>
        <w:rPr>
          <w:rFonts w:hint="eastAsia" w:ascii="宋体" w:hAnsi="宋体" w:eastAsia="宋体" w:cs="宋体"/>
          <w:color w:val="auto"/>
          <w:sz w:val="21"/>
          <w:szCs w:val="21"/>
          <w:lang w:eastAsia="zh-CN"/>
        </w:rPr>
        <w:t>本合同未尽事宜或任何一方就本合同的任何条款要求修改，须由双方签订书面补充协议。补充协议是本合同的组成部分，与本合同具有同等法律效力，不一致之处以补充协议为准。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【以下无正文】</w:t>
      </w:r>
    </w:p>
    <w:p>
      <w:pPr>
        <w:snapToGrid w:val="0"/>
        <w:spacing w:line="360" w:lineRule="auto"/>
        <w:ind w:firstLine="0" w:firstLineChars="0"/>
        <w:rPr>
          <w:rFonts w:hint="eastAsia" w:ascii="宋体" w:hAnsi="宋体" w:eastAsia="宋体" w:cs="宋体"/>
          <w:color w:val="auto"/>
          <w:sz w:val="21"/>
          <w:szCs w:val="21"/>
          <w:shd w:val="clear" w:color="auto" w:fill="FFFFFF"/>
          <w:lang w:val="en-US" w:eastAsia="zh-CN"/>
        </w:rPr>
      </w:pPr>
      <w:r>
        <w:rPr>
          <w:rFonts w:hint="eastAsia" w:ascii="宋体" w:hAnsi="宋体" w:eastAsia="宋体" w:cs="宋体"/>
          <w:color w:val="auto"/>
          <w:sz w:val="21"/>
          <w:szCs w:val="21"/>
          <w:shd w:val="clear" w:color="auto" w:fill="FFFFFF"/>
        </w:rPr>
        <w:t>甲方（盖章）：</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乙方（盖章）：</w:t>
      </w:r>
    </w:p>
    <w:p>
      <w:pPr>
        <w:snapToGrid w:val="0"/>
        <w:spacing w:line="360" w:lineRule="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 xml:space="preserve">法人（授权）代表签字：      </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 xml:space="preserve">法人（授权）代表签字：        </w:t>
      </w:r>
    </w:p>
    <w:p>
      <w:pPr>
        <w:keepNext w:val="0"/>
        <w:keepLines w:val="0"/>
        <w:pageBreakBefore w:val="0"/>
        <w:kinsoku/>
        <w:wordWrap/>
        <w:overflowPunct/>
        <w:topLinePunct w:val="0"/>
        <w:autoSpaceDE/>
        <w:autoSpaceDN/>
        <w:bidi w:val="0"/>
        <w:adjustRightInd/>
        <w:snapToGrid w:val="0"/>
        <w:spacing w:line="360" w:lineRule="auto"/>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日</w:t>
      </w:r>
      <w:r>
        <w:rPr>
          <w:rFonts w:hint="eastAsia" w:ascii="宋体" w:hAnsi="宋体" w:eastAsia="宋体" w:cs="宋体"/>
          <w:color w:val="auto"/>
          <w:sz w:val="21"/>
          <w:szCs w:val="21"/>
          <w:shd w:val="clear" w:color="auto" w:fill="FFFFFF"/>
          <w:lang w:val="en-US" w:eastAsia="zh-CN"/>
        </w:rPr>
        <w:t xml:space="preserve">        </w:t>
      </w:r>
      <w:r>
        <w:rPr>
          <w:rFonts w:hint="eastAsia" w:ascii="宋体" w:hAnsi="宋体" w:eastAsia="宋体" w:cs="宋体"/>
          <w:color w:val="auto"/>
          <w:sz w:val="21"/>
          <w:szCs w:val="21"/>
          <w:shd w:val="clear" w:color="auto" w:fill="FFFFFF"/>
        </w:rPr>
        <w:t>日期：</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年</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月</w:t>
      </w:r>
      <w:r>
        <w:rPr>
          <w:rFonts w:hint="eastAsia" w:ascii="宋体" w:hAnsi="宋体" w:eastAsia="宋体" w:cs="宋体"/>
          <w:color w:val="auto"/>
          <w:kern w:val="0"/>
          <w:sz w:val="21"/>
          <w:szCs w:val="21"/>
          <w:u w:val="single"/>
          <w:lang w:val="en-US" w:eastAsia="zh-CN" w:bidi="ar"/>
        </w:rPr>
        <w:t xml:space="preserve">   </w:t>
      </w:r>
      <w:r>
        <w:rPr>
          <w:rFonts w:hint="eastAsia" w:ascii="宋体" w:hAnsi="宋体" w:eastAsia="宋体" w:cs="宋体"/>
          <w:color w:val="auto"/>
          <w:sz w:val="21"/>
          <w:szCs w:val="21"/>
          <w:shd w:val="clear" w:color="auto" w:fill="FFFFFF"/>
        </w:rPr>
        <w:t>日</w:t>
      </w:r>
    </w:p>
    <w:p>
      <w:pPr>
        <w:snapToGrid w:val="0"/>
        <w:spacing w:line="360" w:lineRule="auto"/>
        <w:rPr>
          <w:rFonts w:ascii="宋体" w:hAnsi="宋体" w:cs="宋体"/>
          <w:color w:val="auto"/>
          <w:szCs w:val="21"/>
        </w:rPr>
      </w:pPr>
    </w:p>
    <w:p>
      <w:pPr>
        <w:rPr>
          <w:color w:val="auto"/>
        </w:rPr>
      </w:pPr>
    </w:p>
    <w:p>
      <w:pPr>
        <w:rPr>
          <w:rFonts w:ascii="宋体" w:hAnsi="宋体" w:cs="宋体"/>
          <w:b/>
          <w:color w:val="auto"/>
          <w:kern w:val="0"/>
          <w:sz w:val="28"/>
          <w:szCs w:val="28"/>
        </w:rPr>
      </w:pPr>
      <w:r>
        <w:rPr>
          <w:rFonts w:ascii="宋体" w:hAnsi="宋体" w:cs="宋体"/>
          <w:b/>
          <w:color w:val="auto"/>
          <w:kern w:val="0"/>
          <w:sz w:val="28"/>
          <w:szCs w:val="28"/>
        </w:rPr>
        <w:br w:type="page"/>
      </w:r>
    </w:p>
    <w:p>
      <w:pPr>
        <w:pStyle w:val="77"/>
        <w:spacing w:before="240" w:after="120"/>
        <w:rPr>
          <w:rFonts w:ascii="宋体" w:hAnsi="宋体" w:eastAsia="宋体" w:cs="宋体"/>
          <w:b/>
          <w:bCs w:val="0"/>
          <w:color w:val="auto"/>
          <w:kern w:val="0"/>
          <w:sz w:val="28"/>
          <w:szCs w:val="28"/>
        </w:rPr>
      </w:pPr>
      <w:bookmarkStart w:id="490" w:name="_Toc20707"/>
      <w:bookmarkStart w:id="491" w:name="_Toc6102"/>
      <w:bookmarkStart w:id="492" w:name="_Toc4094"/>
      <w:r>
        <w:rPr>
          <w:rFonts w:hint="eastAsia" w:ascii="宋体" w:hAnsi="宋体" w:eastAsia="宋体" w:cs="宋体"/>
          <w:b/>
          <w:bCs w:val="0"/>
          <w:color w:val="auto"/>
          <w:kern w:val="0"/>
          <w:sz w:val="28"/>
          <w:szCs w:val="28"/>
        </w:rPr>
        <w:t>第五章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采购需求书</w:t>
      </w:r>
      <w:bookmarkEnd w:id="484"/>
      <w:bookmarkEnd w:id="485"/>
      <w:bookmarkEnd w:id="486"/>
      <w:bookmarkEnd w:id="490"/>
      <w:bookmarkEnd w:id="491"/>
      <w:bookmarkEnd w:id="492"/>
    </w:p>
    <w:p>
      <w:pPr>
        <w:spacing w:line="400" w:lineRule="exact"/>
        <w:jc w:val="left"/>
        <w:rPr>
          <w:rFonts w:ascii="宋体" w:hAnsi="宋体"/>
          <w:b/>
          <w:color w:val="auto"/>
          <w:szCs w:val="21"/>
        </w:rPr>
      </w:pPr>
      <w:r>
        <w:rPr>
          <w:rFonts w:hint="eastAsia" w:ascii="宋体" w:hAnsi="宋体"/>
          <w:b/>
          <w:color w:val="auto"/>
          <w:szCs w:val="21"/>
        </w:rPr>
        <w:t>总则</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1.1本节为招标人向投标人提出的最低要求，作为投标人填写采购需求条款偏离表的依据，根据投标人的投标书完善后，将作为商务合同的附件之一。</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1.2对于本节提出的有关要求，投标人应填写“采购需求条款偏离表”。如存在偏离应提出充分理由并加以详尽说明。</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 xml:space="preserve">1.3对于本节中未能提出的指标和不合理的要求等，投标人应在建议书中加以补充说明，并提供有关详细资料。 </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1.4投标人应根据招标项目的要求提出完整的实施方案，如有缺漏，由投标人免费补足。</w:t>
      </w:r>
    </w:p>
    <w:p>
      <w:pPr>
        <w:spacing w:before="62" w:beforeLines="20" w:after="62" w:afterLines="20" w:line="400" w:lineRule="exact"/>
        <w:ind w:firstLine="420" w:firstLineChars="200"/>
        <w:textAlignment w:val="baseline"/>
        <w:rPr>
          <w:rFonts w:ascii="宋体" w:hAnsi="宋体"/>
          <w:color w:val="auto"/>
          <w:szCs w:val="21"/>
        </w:rPr>
      </w:pPr>
      <w:r>
        <w:rPr>
          <w:rFonts w:ascii="宋体" w:hAnsi="宋体"/>
          <w:color w:val="auto"/>
          <w:szCs w:val="21"/>
        </w:rPr>
        <w:t>1.5招标人有权在签订最终合同前，根据需要修改本章内容。技术标准和要求的最终解释权在招标人。</w:t>
      </w:r>
    </w:p>
    <w:p>
      <w:pPr>
        <w:spacing w:before="62" w:beforeLines="20" w:after="62" w:afterLines="20" w:line="400" w:lineRule="exact"/>
        <w:ind w:firstLine="422" w:firstLineChars="200"/>
        <w:textAlignment w:val="baseline"/>
        <w:rPr>
          <w:rFonts w:ascii="宋体" w:hAnsi="宋体"/>
          <w:b/>
          <w:color w:val="auto"/>
        </w:rPr>
      </w:pPr>
      <w:r>
        <w:rPr>
          <w:rFonts w:hint="eastAsia" w:ascii="宋体" w:hAnsi="宋体"/>
          <w:b/>
          <w:color w:val="auto"/>
        </w:rPr>
        <w:t>投标人须对《采购需求书》全部条款理解清楚，并填写《采购需求偏离表》（格式见第六章）。</w:t>
      </w:r>
    </w:p>
    <w:p>
      <w:pPr>
        <w:widowControl/>
        <w:jc w:val="left"/>
        <w:rPr>
          <w:rFonts w:ascii="宋体" w:hAnsi="宋体"/>
          <w:b/>
          <w:color w:val="auto"/>
        </w:rPr>
      </w:pPr>
      <w:r>
        <w:rPr>
          <w:rFonts w:ascii="宋体" w:hAnsi="宋体"/>
          <w:b/>
          <w:color w:val="auto"/>
        </w:rPr>
        <w:br w:type="page"/>
      </w:r>
    </w:p>
    <w:p>
      <w:pPr>
        <w:spacing w:before="156" w:beforeLines="50" w:after="156" w:afterLines="50" w:line="360" w:lineRule="auto"/>
        <w:jc w:val="center"/>
        <w:rPr>
          <w:rFonts w:asciiTheme="minorEastAsia" w:hAnsiTheme="minorEastAsia" w:eastAsiaTheme="minorEastAsia"/>
          <w:color w:val="auto"/>
          <w:sz w:val="32"/>
          <w:szCs w:val="32"/>
        </w:rPr>
      </w:pPr>
      <w:bookmarkStart w:id="493" w:name="_Toc26541"/>
      <w:bookmarkStart w:id="494" w:name="_Toc5272"/>
      <w:bookmarkStart w:id="495" w:name="_Toc18739"/>
      <w:bookmarkStart w:id="496" w:name="_Toc32130"/>
      <w:bookmarkStart w:id="497" w:name="_Toc70434247"/>
      <w:bookmarkStart w:id="498" w:name="_Toc68684318"/>
      <w:bookmarkStart w:id="499" w:name="_Toc16752"/>
      <w:r>
        <w:rPr>
          <w:rFonts w:hint="eastAsia" w:asciiTheme="minorEastAsia" w:hAnsiTheme="minorEastAsia" w:eastAsiaTheme="minorEastAsia"/>
          <w:color w:val="auto"/>
          <w:sz w:val="32"/>
          <w:szCs w:val="32"/>
          <w:lang w:eastAsia="zh-CN"/>
        </w:rPr>
        <w:t>主题展厅多媒体设备及互动展项定制安装服务项目</w:t>
      </w:r>
      <w:r>
        <w:rPr>
          <w:rFonts w:hint="eastAsia" w:asciiTheme="minorEastAsia" w:hAnsiTheme="minorEastAsia" w:eastAsiaTheme="minorEastAsia"/>
          <w:color w:val="auto"/>
          <w:sz w:val="32"/>
          <w:szCs w:val="32"/>
          <w:lang w:eastAsia="zh-Hans"/>
        </w:rPr>
        <w:t>采购</w:t>
      </w:r>
      <w:r>
        <w:rPr>
          <w:rFonts w:hint="eastAsia" w:asciiTheme="minorEastAsia" w:hAnsiTheme="minorEastAsia" w:eastAsiaTheme="minorEastAsia"/>
          <w:color w:val="auto"/>
          <w:sz w:val="32"/>
          <w:szCs w:val="32"/>
        </w:rPr>
        <w:t>需求</w:t>
      </w:r>
      <w:r>
        <w:rPr>
          <w:rFonts w:hint="eastAsia" w:asciiTheme="minorEastAsia" w:hAnsiTheme="minorEastAsia" w:eastAsiaTheme="minorEastAsia"/>
          <w:color w:val="auto"/>
          <w:sz w:val="32"/>
          <w:szCs w:val="32"/>
          <w:lang w:eastAsia="zh-Hans"/>
        </w:rPr>
        <w:t>书</w:t>
      </w:r>
      <w:bookmarkEnd w:id="493"/>
      <w:bookmarkEnd w:id="494"/>
      <w:bookmarkEnd w:id="495"/>
      <w:bookmarkEnd w:id="496"/>
      <w:bookmarkEnd w:id="497"/>
      <w:bookmarkEnd w:id="498"/>
    </w:p>
    <w:p>
      <w:pPr>
        <w:spacing w:line="360" w:lineRule="auto"/>
        <w:ind w:firstLine="422" w:firstLineChars="200"/>
        <w:rPr>
          <w:rFonts w:ascii="宋体" w:hAnsi="宋体" w:eastAsia="宋体" w:cs="宋体"/>
          <w:b/>
          <w:bCs/>
          <w:szCs w:val="21"/>
        </w:rPr>
      </w:pPr>
      <w:bookmarkStart w:id="500" w:name="_Toc46483911"/>
      <w:r>
        <w:rPr>
          <w:rFonts w:hint="eastAsia" w:ascii="宋体" w:hAnsi="宋体" w:eastAsia="宋体" w:cs="宋体"/>
          <w:b/>
          <w:bCs/>
          <w:szCs w:val="21"/>
        </w:rPr>
        <w:t>一、项目背景</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1"/>
        </w:rPr>
      </w:pPr>
      <w:r>
        <w:rPr>
          <w:rFonts w:hint="eastAsia" w:ascii="宋体" w:hAnsi="宋体" w:eastAsia="宋体" w:cs="宋体"/>
          <w:szCs w:val="21"/>
        </w:rPr>
        <w:t>基于近年来珠澳跨境司法服务需求持续增加的现实需要，珠澳两地法院在友好合作的基础上，进一步深化合作，创新探索跨境司法服务新形式、新方法，并充分应用信息化技术，推动形成珠澳两地法院司法数字化融合模式，探索更多珠澳法治融合新实践，有效提高跨境法治融合效能，为粤港澳大湾区、横琴粤澳深度合作区法治建设提供更多实践参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szCs w:val="21"/>
          <w:lang w:val="en-US" w:eastAsia="zh-CN"/>
        </w:rPr>
      </w:pPr>
      <w:r>
        <w:rPr>
          <w:rFonts w:hint="eastAsia" w:ascii="宋体" w:hAnsi="宋体" w:eastAsia="宋体" w:cs="宋体"/>
          <w:szCs w:val="21"/>
        </w:rPr>
        <w:t>植根于粤港澳大湾区“一国两制三法域”的重要特征和现实困境，围绕“双区”法治建设需求，由珠海中院牵头，协同珠澳两地司法机关、法学院校、法学智库等核心创新资源，创新协同机制，开展涉澳审判实践研究、专项课题研讨、主题研讨会等不同形式的珠澳法治协同研究，创新研究成果转化，为珠海法治建设、珠澳法治融合提供智力支持。充分发挥珠海作为路上唯一与港澳链接的城市这一重要区位优势，紧扣珠海中院职能，将港澳法治宣传作为“法治中国建设”的重大举措，选取珠澳作为切入口，充分应用信息化技术，在重要节假日、纪念日等，开展具有珠澳特色法治宣传，推动法治文化建设，提高公众法治素养。此外，开展珠澳青少年法治教育，围绕《中华人民共和国宪法</w:t>
      </w:r>
      <w:r>
        <w:rPr>
          <w:rFonts w:hint="eastAsia" w:ascii="宋体" w:hAnsi="宋体" w:cs="宋体"/>
          <w:szCs w:val="21"/>
          <w:lang w:eastAsia="zh-CN"/>
        </w:rPr>
        <w:t>》《</w:t>
      </w:r>
      <w:r>
        <w:rPr>
          <w:rFonts w:hint="eastAsia" w:ascii="宋体" w:hAnsi="宋体" w:eastAsia="宋体" w:cs="宋体"/>
          <w:szCs w:val="21"/>
        </w:rPr>
        <w:t>中华人民共和国澳门特别行政区基本法》以青少年喜闻乐见、多媒体融合的方式开展青少年法治宣传教育，引导青少年树立法治理念，提高青少年对国家的认同感。建设珠澳法治理论研究与实践基地，是建立在“一国两制”制度下推进珠海与澳门法律规则衔接、机制对接，落实珠澳法院互访和日常交流机制，打造珠澳司法资源共享、业务培训与课题研究等方面的交流学习与共享平台;通过两地政、学、研协同合作，以“共融”“共通”“共商”为主题，以现代电子信息化技术和元宇宙技术为支撑，融合珠澳法治融合创新实践、法治协同创新研究以及青少年法治教育为一体，致力于打造成为粤港澳大湾区法治创新实践与宣传基地、珠澳法治融合发展创新样本展示平台、法治文化与普法教育宣传主阵地。</w:t>
      </w:r>
      <w:r>
        <w:rPr>
          <w:rFonts w:hint="eastAsia" w:ascii="宋体" w:hAnsi="宋体" w:eastAsia="宋体" w:cs="宋体"/>
          <w:szCs w:val="21"/>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eastAsia="宋体" w:cs="宋体"/>
          <w:szCs w:val="21"/>
          <w:lang w:val="en-US" w:eastAsia="zh-CN"/>
        </w:rPr>
      </w:pPr>
      <w:bookmarkStart w:id="501" w:name="_Toc11160"/>
      <w:r>
        <w:rPr>
          <w:rFonts w:hint="eastAsia" w:ascii="宋体" w:hAnsi="宋体" w:cs="宋体"/>
          <w:b/>
          <w:bCs/>
          <w:szCs w:val="21"/>
          <w:lang w:val="en-US" w:eastAsia="zh-CN"/>
        </w:rPr>
        <w:t>标段1：多媒体设备定制及安装服务</w:t>
      </w:r>
      <w:bookmarkEnd w:id="501"/>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二、项目概况</w:t>
      </w:r>
    </w:p>
    <w:p>
      <w:pPr>
        <w:spacing w:line="360" w:lineRule="auto"/>
        <w:ind w:firstLine="420" w:firstLineChars="200"/>
        <w:rPr>
          <w:rFonts w:ascii="宋体" w:hAnsi="宋体" w:eastAsia="宋体" w:cs="宋体"/>
          <w:szCs w:val="21"/>
          <w:highlight w:val="none"/>
        </w:rPr>
      </w:pPr>
      <w:r>
        <w:rPr>
          <w:rFonts w:hint="eastAsia" w:ascii="宋体" w:hAnsi="宋体" w:eastAsia="宋体" w:cs="宋体"/>
          <w:szCs w:val="21"/>
          <w:highlight w:val="none"/>
        </w:rPr>
        <w:t>（</w:t>
      </w:r>
      <w:r>
        <w:rPr>
          <w:rFonts w:hint="eastAsia" w:ascii="宋体" w:hAnsi="宋体" w:cs="宋体"/>
          <w:szCs w:val="21"/>
          <w:highlight w:val="none"/>
          <w:lang w:val="en-US" w:eastAsia="zh-CN"/>
        </w:rPr>
        <w:t>一</w:t>
      </w:r>
      <w:r>
        <w:rPr>
          <w:rFonts w:hint="eastAsia" w:ascii="宋体" w:hAnsi="宋体" w:eastAsia="宋体" w:cs="宋体"/>
          <w:szCs w:val="21"/>
          <w:highlight w:val="none"/>
        </w:rPr>
        <w:t>）交货时间：在合同签订</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起至</w:t>
      </w:r>
      <w:r>
        <w:rPr>
          <w:rFonts w:hint="eastAsia" w:ascii="宋体" w:hAnsi="宋体" w:eastAsia="宋体" w:cs="宋体"/>
          <w:b w:val="0"/>
          <w:bCs w:val="0"/>
          <w:color w:val="000000" w:themeColor="text1"/>
          <w:sz w:val="21"/>
          <w:szCs w:val="21"/>
          <w:highlight w:val="none"/>
          <w:lang w:val="en-US" w:eastAsia="zh-CN"/>
          <w14:textFill>
            <w14:solidFill>
              <w14:schemeClr w14:val="tx1"/>
            </w14:solidFill>
          </w14:textFill>
        </w:rPr>
        <w:t>2023年5月31日</w:t>
      </w:r>
      <w:r>
        <w:rPr>
          <w:rFonts w:hint="eastAsia" w:ascii="宋体" w:hAnsi="宋体" w:eastAsia="宋体" w:cs="宋体"/>
          <w:szCs w:val="21"/>
          <w:highlight w:val="none"/>
        </w:rPr>
        <w:t>完成供货、安装和调试并交付用户单位使用。</w:t>
      </w:r>
    </w:p>
    <w:p>
      <w:pPr>
        <w:spacing w:line="360" w:lineRule="auto"/>
        <w:ind w:firstLine="420" w:firstLineChars="200"/>
        <w:rPr>
          <w:rFonts w:hint="default" w:ascii="宋体" w:hAnsi="宋体" w:eastAsia="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lang w:eastAsia="zh-CN"/>
        </w:rPr>
        <w:t>）</w:t>
      </w:r>
      <w:r>
        <w:rPr>
          <w:rFonts w:hint="eastAsia" w:ascii="宋体" w:hAnsi="宋体" w:cs="宋体"/>
          <w:szCs w:val="21"/>
          <w:lang w:val="en-US" w:eastAsia="zh-CN"/>
        </w:rPr>
        <w:t>交货地点：</w:t>
      </w:r>
      <w:r>
        <w:rPr>
          <w:rFonts w:hint="eastAsia" w:ascii="宋体" w:hAnsi="宋体" w:eastAsia="宋体" w:cs="宋体"/>
          <w:b w:val="0"/>
          <w:bCs w:val="0"/>
          <w:color w:val="auto"/>
          <w:kern w:val="2"/>
          <w:sz w:val="21"/>
          <w:szCs w:val="21"/>
          <w:highlight w:val="none"/>
          <w:lang w:val="en-US" w:eastAsia="zh-CN" w:bidi="ar-SA"/>
        </w:rPr>
        <w:t>珠海市中级人民法院审判大楼14层或甲方指定地点。</w:t>
      </w:r>
    </w:p>
    <w:p>
      <w:pPr>
        <w:spacing w:line="360" w:lineRule="auto"/>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cs="宋体"/>
          <w:szCs w:val="21"/>
          <w:lang w:val="en-US" w:eastAsia="zh-CN"/>
        </w:rPr>
        <w:t>三</w:t>
      </w:r>
      <w:r>
        <w:rPr>
          <w:rFonts w:hint="eastAsia" w:ascii="宋体" w:hAnsi="宋体" w:eastAsia="宋体" w:cs="宋体"/>
          <w:szCs w:val="21"/>
        </w:rPr>
        <w:t>）采购清单</w:t>
      </w:r>
    </w:p>
    <w:tbl>
      <w:tblPr>
        <w:tblStyle w:val="40"/>
        <w:tblW w:w="4998" w:type="pct"/>
        <w:jc w:val="center"/>
        <w:tblLayout w:type="autofit"/>
        <w:tblCellMar>
          <w:top w:w="0" w:type="dxa"/>
          <w:left w:w="108" w:type="dxa"/>
          <w:bottom w:w="0" w:type="dxa"/>
          <w:right w:w="108" w:type="dxa"/>
        </w:tblCellMar>
      </w:tblPr>
      <w:tblGrid>
        <w:gridCol w:w="1324"/>
        <w:gridCol w:w="4474"/>
        <w:gridCol w:w="1300"/>
        <w:gridCol w:w="1421"/>
      </w:tblGrid>
      <w:tr>
        <w:tblPrEx>
          <w:tblCellMar>
            <w:top w:w="0" w:type="dxa"/>
            <w:left w:w="108" w:type="dxa"/>
            <w:bottom w:w="0" w:type="dxa"/>
            <w:right w:w="108" w:type="dxa"/>
          </w:tblCellMar>
        </w:tblPrEx>
        <w:trPr>
          <w:trHeight w:val="615" w:hRule="atLeast"/>
          <w:jc w:val="center"/>
        </w:trPr>
        <w:tc>
          <w:tcPr>
            <w:tcW w:w="777" w:type="pct"/>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序号</w:t>
            </w:r>
          </w:p>
        </w:tc>
        <w:tc>
          <w:tcPr>
            <w:tcW w:w="2625"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设备名称</w:t>
            </w:r>
          </w:p>
        </w:tc>
        <w:tc>
          <w:tcPr>
            <w:tcW w:w="763"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数量</w:t>
            </w:r>
          </w:p>
        </w:tc>
        <w:tc>
          <w:tcPr>
            <w:tcW w:w="834" w:type="pct"/>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单位</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LED显示屏</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一</w:t>
            </w:r>
            <w:r>
              <w:rPr>
                <w:rFonts w:hint="eastAsia" w:ascii="宋体" w:hAnsi="宋体" w:eastAsia="宋体" w:cs="宋体"/>
                <w:kern w:val="0"/>
                <w:szCs w:val="21"/>
                <w:lang w:eastAsia="zh-CN"/>
              </w:rPr>
              <w:t>）</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LED显示屏</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二</w:t>
            </w:r>
            <w:r>
              <w:rPr>
                <w:rFonts w:hint="eastAsia" w:ascii="宋体" w:hAnsi="宋体" w:eastAsia="宋体" w:cs="宋体"/>
                <w:kern w:val="0"/>
                <w:szCs w:val="21"/>
                <w:lang w:eastAsia="zh-CN"/>
              </w:rPr>
              <w:t>）</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kern w:val="0"/>
                <w:szCs w:val="21"/>
                <w:lang w:eastAsia="zh-CN"/>
              </w:rPr>
            </w:pPr>
            <w:r>
              <w:rPr>
                <w:rFonts w:hint="eastAsia" w:ascii="宋体" w:hAnsi="宋体" w:eastAsia="宋体" w:cs="宋体"/>
                <w:kern w:val="0"/>
                <w:szCs w:val="21"/>
              </w:rPr>
              <w:t>LED显示屏</w:t>
            </w:r>
            <w:r>
              <w:rPr>
                <w:rFonts w:hint="eastAsia" w:ascii="宋体" w:hAnsi="宋体" w:eastAsia="宋体" w:cs="宋体"/>
                <w:kern w:val="0"/>
                <w:szCs w:val="21"/>
                <w:lang w:eastAsia="zh-CN"/>
              </w:rPr>
              <w:t>（</w:t>
            </w:r>
            <w:r>
              <w:rPr>
                <w:rFonts w:hint="eastAsia" w:ascii="宋体" w:hAnsi="宋体" w:eastAsia="宋体" w:cs="宋体"/>
                <w:kern w:val="0"/>
                <w:szCs w:val="21"/>
                <w:lang w:val="en-US" w:eastAsia="zh-CN"/>
              </w:rPr>
              <w:t>三</w:t>
            </w:r>
            <w:r>
              <w:rPr>
                <w:rFonts w:hint="eastAsia" w:ascii="宋体" w:hAnsi="宋体" w:eastAsia="宋体" w:cs="宋体"/>
                <w:kern w:val="0"/>
                <w:szCs w:val="21"/>
                <w:lang w:eastAsia="zh-CN"/>
              </w:rPr>
              <w:t>）</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cs="宋体"/>
                <w:kern w:val="0"/>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hint="eastAsia" w:ascii="宋体" w:hAnsi="宋体" w:eastAsia="宋体"/>
                <w:szCs w:val="21"/>
              </w:rPr>
              <w:t>21.5寸门牌一体机</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2</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21.5寸前维护支架</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2</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55寸翻书屏</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55寸触控一体机</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7</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55寸前维护支架</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7</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55寸触控一体机（落地移动）</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2</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65寸触控一体机</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9</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11</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65寸前维护支架</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9</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12</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55寸显示会议屏</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12</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13</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55寸前维护支架</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4</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4</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返显移动支架</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8</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5</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75寸会议一体机</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6</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75寸前维护支架</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7</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86寸会议一体机</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8</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86寸移动支架</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ascii="宋体" w:hAnsi="宋体" w:eastAsia="宋体" w:cs="宋体"/>
                <w:color w:val="000000"/>
                <w:kern w:val="0"/>
                <w:szCs w:val="21"/>
              </w:rPr>
              <w:t>19</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展厅中控系统</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0</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AC控制器</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1</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吸顶无线AP</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2</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吸顶无线AP</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9</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3</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24口POE交换机</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2</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4</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24口千兆交换机</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4</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5</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机柜</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2</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台</w:t>
            </w:r>
          </w:p>
        </w:tc>
      </w:tr>
      <w:tr>
        <w:tblPrEx>
          <w:tblCellMar>
            <w:top w:w="0" w:type="dxa"/>
            <w:left w:w="108" w:type="dxa"/>
            <w:bottom w:w="0" w:type="dxa"/>
            <w:right w:w="108" w:type="dxa"/>
          </w:tblCellMar>
        </w:tblPrEx>
        <w:trPr>
          <w:trHeight w:val="585" w:hRule="atLeast"/>
          <w:jc w:val="center"/>
        </w:trPr>
        <w:tc>
          <w:tcPr>
            <w:tcW w:w="777"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2</w:t>
            </w:r>
            <w:r>
              <w:rPr>
                <w:rFonts w:ascii="宋体" w:hAnsi="宋体" w:eastAsia="宋体" w:cs="宋体"/>
                <w:color w:val="000000"/>
                <w:kern w:val="0"/>
                <w:szCs w:val="21"/>
              </w:rPr>
              <w:t>6</w:t>
            </w:r>
          </w:p>
        </w:tc>
        <w:tc>
          <w:tcPr>
            <w:tcW w:w="262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1"/>
              </w:rPr>
            </w:pPr>
            <w:r>
              <w:rPr>
                <w:rFonts w:hint="eastAsia" w:ascii="宋体" w:hAnsi="宋体" w:eastAsia="宋体"/>
                <w:szCs w:val="21"/>
              </w:rPr>
              <w:t>线材辅材</w:t>
            </w:r>
          </w:p>
        </w:tc>
        <w:tc>
          <w:tcPr>
            <w:tcW w:w="763"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Cs w:val="21"/>
              </w:rPr>
            </w:pPr>
            <w:r>
              <w:rPr>
                <w:rFonts w:ascii="宋体" w:hAnsi="宋体" w:eastAsia="宋体"/>
                <w:szCs w:val="21"/>
              </w:rPr>
              <w:t>1</w:t>
            </w:r>
          </w:p>
        </w:tc>
        <w:tc>
          <w:tcPr>
            <w:tcW w:w="834" w:type="pct"/>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套</w:t>
            </w:r>
          </w:p>
        </w:tc>
      </w:tr>
    </w:tbl>
    <w:p>
      <w:pPr>
        <w:spacing w:line="360" w:lineRule="auto"/>
        <w:ind w:firstLine="420" w:firstLineChars="200"/>
        <w:rPr>
          <w:rFonts w:ascii="宋体" w:hAnsi="宋体" w:eastAsia="宋体" w:cs="宋体"/>
          <w:szCs w:val="21"/>
        </w:rPr>
      </w:pPr>
      <w:r>
        <w:rPr>
          <w:rFonts w:hint="eastAsia" w:ascii="宋体" w:hAnsi="宋体" w:eastAsia="宋体" w:cs="宋体"/>
          <w:szCs w:val="21"/>
        </w:rPr>
        <w:t>（五）本项目采用总价包干的报价方式，凡超过最高限价的投标报价均视为无效投标。投标总报价应包含人工费、安装调试费等等，包括因项目需要培训辅导、质保期售后服务、全额含税发票、雇员费用、合同实施过程中应预见和不可预见费用、综合关税等。报价应充分了解本项目的实际及任何其它足以影响投标报价的情况，充分考虑到投标报价的风险。</w:t>
      </w:r>
    </w:p>
    <w:p>
      <w:pPr>
        <w:spacing w:line="360" w:lineRule="auto"/>
        <w:ind w:firstLine="420" w:firstLineChars="200"/>
        <w:rPr>
          <w:rFonts w:ascii="宋体" w:hAnsi="宋体" w:eastAsia="宋体" w:cs="宋体"/>
          <w:szCs w:val="21"/>
        </w:rPr>
      </w:pPr>
      <w:r>
        <w:rPr>
          <w:rFonts w:hint="eastAsia" w:ascii="宋体" w:hAnsi="宋体" w:eastAsia="宋体" w:cs="宋体"/>
          <w:szCs w:val="21"/>
        </w:rPr>
        <w:t>（六）报价人须对本项目服务进行整体响应，任何只对其中一部分内容进行的响应都被视为无效报价。</w:t>
      </w:r>
    </w:p>
    <w:p>
      <w:pPr>
        <w:spacing w:line="360" w:lineRule="auto"/>
        <w:ind w:firstLine="420" w:firstLineChars="200"/>
        <w:rPr>
          <w:rFonts w:ascii="宋体" w:hAnsi="宋体" w:eastAsia="宋体" w:cs="宋体"/>
          <w:szCs w:val="21"/>
        </w:rPr>
      </w:pPr>
      <w:r>
        <w:rPr>
          <w:rFonts w:hint="eastAsia" w:ascii="宋体" w:hAnsi="宋体" w:eastAsia="宋体" w:cs="宋体"/>
          <w:szCs w:val="21"/>
        </w:rPr>
        <w:t>（七）未经</w:t>
      </w:r>
      <w:r>
        <w:rPr>
          <w:rFonts w:hint="eastAsia" w:ascii="宋体" w:hAnsi="宋体" w:cs="宋体"/>
          <w:szCs w:val="21"/>
          <w:lang w:eastAsia="zh-CN"/>
        </w:rPr>
        <w:t>招标人</w:t>
      </w:r>
      <w:r>
        <w:rPr>
          <w:rFonts w:hint="eastAsia" w:ascii="宋体" w:hAnsi="宋体" w:eastAsia="宋体" w:cs="宋体"/>
          <w:szCs w:val="21"/>
        </w:rPr>
        <w:t>同意，供应商不得将承包项目发包或转包，否则，视为供应商违约，</w:t>
      </w:r>
      <w:r>
        <w:rPr>
          <w:rFonts w:hint="eastAsia" w:ascii="宋体" w:hAnsi="宋体" w:cs="宋体"/>
          <w:szCs w:val="21"/>
          <w:lang w:eastAsia="zh-CN"/>
        </w:rPr>
        <w:t>招标人</w:t>
      </w:r>
      <w:r>
        <w:rPr>
          <w:rFonts w:hint="eastAsia" w:ascii="宋体" w:hAnsi="宋体" w:eastAsia="宋体" w:cs="宋体"/>
          <w:szCs w:val="21"/>
        </w:rPr>
        <w:t>有权取消其供应商资格，并要求相应赔偿。</w:t>
      </w:r>
    </w:p>
    <w:p>
      <w:pPr>
        <w:spacing w:line="360" w:lineRule="auto"/>
        <w:ind w:firstLine="422" w:firstLineChars="200"/>
        <w:rPr>
          <w:rFonts w:ascii="宋体" w:hAnsi="宋体" w:eastAsia="宋体" w:cs="宋体"/>
          <w:b/>
          <w:bCs/>
          <w:szCs w:val="21"/>
        </w:rPr>
      </w:pPr>
      <w:r>
        <w:rPr>
          <w:rFonts w:hint="eastAsia" w:ascii="宋体" w:hAnsi="宋体" w:eastAsia="宋体" w:cs="宋体"/>
          <w:b/>
          <w:bCs/>
          <w:szCs w:val="21"/>
        </w:rPr>
        <w:t>三、技术指标要求</w:t>
      </w:r>
    </w:p>
    <w:tbl>
      <w:tblPr>
        <w:tblStyle w:val="40"/>
        <w:tblW w:w="9776" w:type="dxa"/>
        <w:tblInd w:w="0" w:type="dxa"/>
        <w:tblLayout w:type="autofit"/>
        <w:tblCellMar>
          <w:top w:w="0" w:type="dxa"/>
          <w:left w:w="108" w:type="dxa"/>
          <w:bottom w:w="0" w:type="dxa"/>
          <w:right w:w="108" w:type="dxa"/>
        </w:tblCellMar>
      </w:tblPr>
      <w:tblGrid>
        <w:gridCol w:w="1100"/>
        <w:gridCol w:w="2140"/>
        <w:gridCol w:w="6536"/>
      </w:tblGrid>
      <w:tr>
        <w:tblPrEx>
          <w:tblCellMar>
            <w:top w:w="0" w:type="dxa"/>
            <w:left w:w="108" w:type="dxa"/>
            <w:bottom w:w="0" w:type="dxa"/>
            <w:right w:w="108" w:type="dxa"/>
          </w:tblCellMar>
        </w:tblPrEx>
        <w:trPr>
          <w:trHeight w:val="270" w:hRule="atLeast"/>
        </w:trPr>
        <w:tc>
          <w:tcPr>
            <w:tcW w:w="1100" w:type="dxa"/>
            <w:tcBorders>
              <w:top w:val="single" w:color="auto" w:sz="4" w:space="0"/>
              <w:left w:val="single" w:color="auto" w:sz="4" w:space="0"/>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序号</w:t>
            </w:r>
          </w:p>
        </w:tc>
        <w:tc>
          <w:tcPr>
            <w:tcW w:w="2140"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设备名称</w:t>
            </w:r>
          </w:p>
        </w:tc>
        <w:tc>
          <w:tcPr>
            <w:tcW w:w="6536" w:type="dxa"/>
            <w:tcBorders>
              <w:top w:val="single" w:color="auto" w:sz="4" w:space="0"/>
              <w:left w:val="nil"/>
              <w:bottom w:val="single" w:color="auto" w:sz="4" w:space="0"/>
              <w:right w:val="single" w:color="auto" w:sz="4" w:space="0"/>
            </w:tcBorders>
            <w:shd w:val="clear" w:color="000000"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主要技术参数</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LED显示屏（一）</w:t>
            </w:r>
          </w:p>
        </w:tc>
        <w:tc>
          <w:tcPr>
            <w:tcW w:w="6536" w:type="dxa"/>
            <w:tcBorders>
              <w:top w:val="nil"/>
              <w:left w:val="nil"/>
              <w:bottom w:val="single" w:color="auto" w:sz="4" w:space="0"/>
              <w:right w:val="single" w:color="auto" w:sz="4" w:space="0"/>
            </w:tcBorders>
            <w:shd w:val="clear" w:color="auto" w:fill="auto"/>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屏体尺寸：长4160mm*高2240mm=9.318平米 </w:t>
            </w:r>
          </w:p>
          <w:p>
            <w:pPr>
              <w:widowControl/>
              <w:rPr>
                <w:rFonts w:ascii="宋体" w:hAnsi="宋体" w:cs="宋体"/>
                <w:color w:val="auto"/>
                <w:kern w:val="0"/>
                <w:sz w:val="22"/>
                <w:szCs w:val="22"/>
              </w:rPr>
            </w:pPr>
            <w:r>
              <w:rPr>
                <w:rFonts w:hint="eastAsia" w:ascii="宋体" w:hAnsi="宋体" w:cs="宋体"/>
                <w:color w:val="auto"/>
                <w:kern w:val="0"/>
                <w:sz w:val="22"/>
                <w:szCs w:val="22"/>
              </w:rPr>
              <w:t>含框尺寸：长4200mm*高2280mm=9</w:t>
            </w:r>
            <w:r>
              <w:rPr>
                <w:rFonts w:hint="eastAsia" w:ascii="宋体" w:hAnsi="宋体" w:cs="宋体"/>
                <w:color w:val="auto"/>
                <w:kern w:val="0"/>
                <w:sz w:val="22"/>
                <w:szCs w:val="22"/>
                <w:lang w:val="en-US" w:eastAsia="zh-CN"/>
              </w:rPr>
              <w:t>.</w:t>
            </w:r>
            <w:r>
              <w:rPr>
                <w:rFonts w:hint="eastAsia" w:ascii="宋体" w:hAnsi="宋体" w:cs="宋体"/>
                <w:color w:val="auto"/>
                <w:kern w:val="0"/>
                <w:sz w:val="22"/>
                <w:szCs w:val="22"/>
              </w:rPr>
              <w:t>576平米</w:t>
            </w:r>
            <w:r>
              <w:rPr>
                <w:rFonts w:hint="eastAsia" w:ascii="宋体" w:hAnsi="宋体" w:cs="宋体"/>
                <w:color w:val="auto"/>
                <w:kern w:val="0"/>
                <w:sz w:val="22"/>
                <w:szCs w:val="22"/>
              </w:rPr>
              <w:br w:type="textWrapping"/>
            </w:r>
            <w:r>
              <w:rPr>
                <w:rFonts w:hint="eastAsia" w:ascii="宋体" w:hAnsi="宋体" w:cs="宋体"/>
                <w:color w:val="auto"/>
                <w:kern w:val="0"/>
                <w:sz w:val="22"/>
                <w:szCs w:val="22"/>
              </w:rPr>
              <w:t>需含视频处理器、电源、框架、包边、播放设备、扩声音箱功放</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1、像素结构：1R1G1B表贴三合一LED，线性排列；LED管芯封装尺寸：SMD1212；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2、像素间距：≤1.538mm；刷新频率：≥3840Hz；像素密度：≥422500点/㎡；换帧频率：50Hz&amp;60Hz；</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3、白平衡亮度：≥800NIT；最高对比度：≥10000：1；亮度调节：支持软件0～100%无级可调；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4、灰度等级：16bit,且支持在不同亮度情况下8⁓16bit任意设置；</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5、摩尔纹消除：正常工作时支持消除摩尔纹功能；</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6、▲响应时间：纳秒级，极速响应不拖尾、无鬼影</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7、LED像素失控率：≤1/200000，无连续失控点，出厂时无失控点； 衰减率：工作3年衰减率≤3%；盲点率：≤0.00001，无常亮点；</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8、峰值功耗：≤502W/㎡；平均功耗：≤180W/㎡；</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9、整屏平整度：≤0.02mm/m²；像素中心距相对偏差：出厂时无偏差；</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10、PC控制：可通过控制PC实现联网控制，远程开机唤醒、关闭等功能。可同时控制多个屏；</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11、自动gamma校正：可根据要求自行调整，通过构造非线性校正曲线和色标变换系数矩阵改善显示效果的各项重要指标（如亮度、色度）；</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12、超静音：采用完全静音设计，屏体无风扇自然散热；</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13、色温：9000-15000K可调；</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14、亮度均匀性：≥99%，色度均匀性：±0.001Cx，Cy之内；</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15、寿命：≥100000小时；平均无故障工作时间：≥100000小时；MTTR：故障平均修复时间MTTR不超时10分钟；</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16、热平衡：LED显示屏正常使用达到热平衡后，屏体结构金属部分温升不超过45K，绝缘材料温升不超过70K；</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17、软件亮、暗线功能：支持模组件亮暗线修复功能，可从软、硬两方面彻底改善困扰小间距LED安装精度造成的亮、暗线问题；</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18、▲模组设计：共阳极和共阴极接法的设计，可匹配相应LED、IC来做出共阳极产品或是共阴极产品；电路板多层工艺设计，同时具有独特的消隐、EMC处理、存储功能；</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19、集群管理：控制系统支持显示屏、视频源、场景和预案进行统一管理，包括开关屏计划和场景播放计划，支持场景的定时播放和轮询播放；</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20、智能节电：具有智能节电和黑屏节电功能；智慧模组：具有智能模组校正数据存储，温度、电压检测；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21、图像增强与调整处理功能：支持对图像清晰度、饱和度、色度调节、对比度、亮度进行综合式一键修正，具备降噪、增强、运动补偿、色坐标色彩变换处理、钝化处理功能，支持HDR高动态范围图像技术显示；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22、环路冗余备份：控制系统的信号发送/转接/接收卡支持环路冗余备份，信号支持双回路</w:t>
            </w:r>
            <w:r>
              <w:rPr>
                <w:rFonts w:hint="eastAsia" w:ascii="宋体" w:hAnsi="宋体" w:cs="宋体"/>
                <w:color w:val="auto"/>
                <w:kern w:val="0"/>
                <w:sz w:val="22"/>
                <w:szCs w:val="22"/>
              </w:rPr>
              <w:br w:type="textWrapping"/>
            </w:r>
            <w:r>
              <w:rPr>
                <w:rFonts w:hint="eastAsia" w:ascii="宋体" w:hAnsi="宋体" w:cs="宋体"/>
                <w:color w:val="auto"/>
                <w:kern w:val="0"/>
                <w:sz w:val="22"/>
                <w:szCs w:val="22"/>
              </w:rPr>
              <w:t>热备份自动转换；LED屏幕支持N+1、N+2电源冗余备份。</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w:t>
            </w:r>
            <w:r>
              <w:rPr>
                <w:rFonts w:ascii="宋体" w:hAnsi="宋体" w:cs="宋体"/>
                <w:color w:val="auto"/>
                <w:kern w:val="0"/>
                <w:sz w:val="22"/>
                <w:szCs w:val="22"/>
              </w:rPr>
              <w:t>3</w:t>
            </w:r>
            <w:r>
              <w:rPr>
                <w:rFonts w:hint="eastAsia" w:ascii="宋体" w:hAnsi="宋体" w:cs="宋体"/>
                <w:color w:val="auto"/>
                <w:kern w:val="0"/>
                <w:sz w:val="22"/>
                <w:szCs w:val="22"/>
              </w:rPr>
              <w:t>、LED显示屏通过CCC认证；</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w:t>
            </w:r>
            <w:r>
              <w:rPr>
                <w:rFonts w:ascii="宋体" w:hAnsi="宋体" w:cs="宋体"/>
                <w:color w:val="auto"/>
                <w:kern w:val="0"/>
                <w:sz w:val="22"/>
                <w:szCs w:val="22"/>
              </w:rPr>
              <w:t>4</w:t>
            </w:r>
            <w:r>
              <w:rPr>
                <w:rFonts w:hint="eastAsia" w:ascii="宋体" w:hAnsi="宋体" w:cs="宋体"/>
                <w:color w:val="auto"/>
                <w:kern w:val="0"/>
                <w:sz w:val="22"/>
                <w:szCs w:val="22"/>
              </w:rPr>
              <w:t>、为保证显示系统兼容性和稳定性，LED全彩显示屏、视频处理器、电源、需为同一品牌；</w:t>
            </w:r>
            <w:r>
              <w:rPr>
                <w:rFonts w:hint="eastAsia" w:ascii="宋体" w:hAnsi="宋体" w:cs="宋体"/>
                <w:b/>
                <w:bCs/>
                <w:color w:val="auto"/>
                <w:kern w:val="0"/>
                <w:sz w:val="22"/>
                <w:szCs w:val="22"/>
              </w:rPr>
              <w:t>（投标时提供相关证明材料，并加盖制造商公章）</w:t>
            </w:r>
          </w:p>
          <w:p>
            <w:pPr>
              <w:pStyle w:val="2"/>
              <w:rPr>
                <w:rFonts w:ascii="宋体" w:hAnsi="宋体" w:cs="宋体"/>
                <w:color w:val="auto"/>
              </w:rPr>
            </w:pPr>
            <w:r>
              <w:rPr>
                <w:rFonts w:hint="eastAsia" w:ascii="宋体" w:hAnsi="宋体" w:cs="宋体"/>
                <w:color w:val="auto"/>
                <w:kern w:val="0"/>
                <w:sz w:val="22"/>
                <w:szCs w:val="22"/>
              </w:rPr>
              <w:t>▲2</w:t>
            </w:r>
            <w:r>
              <w:rPr>
                <w:rFonts w:ascii="宋体" w:hAnsi="宋体" w:cs="宋体"/>
                <w:color w:val="auto"/>
                <w:kern w:val="0"/>
                <w:sz w:val="22"/>
                <w:szCs w:val="22"/>
              </w:rPr>
              <w:t>5</w:t>
            </w:r>
            <w:r>
              <w:rPr>
                <w:rFonts w:hint="eastAsia" w:ascii="宋体" w:hAnsi="宋体" w:cs="宋体"/>
                <w:color w:val="auto"/>
                <w:kern w:val="0"/>
                <w:sz w:val="22"/>
                <w:szCs w:val="22"/>
              </w:rPr>
              <w:t>、为保障产品品质与售后服务，所投标产品须有生产厂家针对本项目的原厂出厂证明及售后服务承诺函</w:t>
            </w:r>
            <w:r>
              <w:rPr>
                <w:rFonts w:hint="eastAsia" w:ascii="宋体" w:hAnsi="宋体" w:eastAsia="宋体" w:cs="宋体"/>
                <w:color w:val="auto"/>
                <w:kern w:val="0"/>
                <w:sz w:val="22"/>
                <w:szCs w:val="22"/>
              </w:rPr>
              <w:t>并加盖制造商公章</w:t>
            </w:r>
            <w:r>
              <w:rPr>
                <w:rFonts w:hint="eastAsia" w:ascii="宋体" w:hAnsi="宋体" w:cs="宋体"/>
                <w:color w:val="auto"/>
                <w:sz w:val="24"/>
              </w:rPr>
              <w:t>。</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LED显示屏（二）</w:t>
            </w:r>
          </w:p>
        </w:tc>
        <w:tc>
          <w:tcPr>
            <w:tcW w:w="6536" w:type="dxa"/>
            <w:tcBorders>
              <w:top w:val="nil"/>
              <w:left w:val="nil"/>
              <w:bottom w:val="single" w:color="auto" w:sz="4" w:space="0"/>
              <w:right w:val="single" w:color="auto" w:sz="4" w:space="0"/>
            </w:tcBorders>
            <w:shd w:val="clear" w:color="auto" w:fill="auto"/>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屏体尺寸：长5120mm*高1760mm=9.011平米 </w:t>
            </w:r>
          </w:p>
          <w:p>
            <w:pPr>
              <w:widowControl/>
              <w:rPr>
                <w:rFonts w:ascii="宋体" w:hAnsi="宋体" w:cs="宋体"/>
                <w:color w:val="auto"/>
                <w:kern w:val="0"/>
                <w:sz w:val="22"/>
                <w:szCs w:val="22"/>
              </w:rPr>
            </w:pPr>
            <w:r>
              <w:rPr>
                <w:rFonts w:hint="eastAsia" w:ascii="宋体" w:hAnsi="宋体" w:cs="宋体"/>
                <w:color w:val="auto"/>
                <w:kern w:val="0"/>
                <w:sz w:val="22"/>
                <w:szCs w:val="22"/>
              </w:rPr>
              <w:t>含框尺寸：长5160mm*高1800mm=9.288平米</w:t>
            </w:r>
            <w:r>
              <w:rPr>
                <w:rFonts w:hint="eastAsia" w:ascii="宋体" w:hAnsi="宋体" w:cs="宋体"/>
                <w:color w:val="auto"/>
                <w:kern w:val="0"/>
                <w:sz w:val="22"/>
                <w:szCs w:val="22"/>
              </w:rPr>
              <w:br w:type="textWrapping"/>
            </w:r>
            <w:r>
              <w:rPr>
                <w:rFonts w:hint="eastAsia" w:ascii="宋体" w:hAnsi="宋体" w:cs="宋体"/>
                <w:color w:val="auto"/>
                <w:kern w:val="0"/>
                <w:sz w:val="22"/>
                <w:szCs w:val="22"/>
              </w:rPr>
              <w:t>需含视频处理器、电源、框架、包边、输入≥12*输出≥16路高清视频切换矩阵</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1、像素结构：1R1G1B表贴三合一LED，线性排列；LED管芯封装尺寸：SMD1212；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2、像素间距：≤1.538mm；刷新频率：≥3840Hz；像素密度：≥422500点/㎡；换帧频率：50Hz&amp;60Hz；</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3、白平衡亮度：≥800NIT；最高对比度：≥10000：1；亮度调节：支持软件0～100%无级可调；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4、灰度等级：16bit,且支持在不同亮度情况下8⁓16bit任意设置；</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5、摩尔纹消除：正常工作时支持消除摩尔纹功能；</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6、▲响应时间：纳秒级，极速响应不拖尾、无鬼影</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7、LED像素失控率：≤1/200000，无连续失控点，出厂时无失控点； 衰减率：工作3年衰减率≤3%；盲点率：≤0.00001，无常亮点；</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8、峰值功耗：≤502W/㎡；平均功耗：≤180W/㎡；</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9、整屏平整度：≤0.02mm/m²；像素中心距相对偏差：出厂时无偏差；</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10、PC控制：可通过控制PC实现联网控制，远程开机唤醒、关闭等功能。可同时控制多个屏；</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11、自动gamma校正：可根据要求自行调整，通过构造非线性校正曲线和色标变换系数矩阵改善显示效果的各项重要指标（如亮度、色度）；</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12、超静音：采用完全静音设计，屏体无风扇自然散热；</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13、色温：9000-15000K可调；</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14、亮度均匀性：≥99%，色度均匀性：±0.001Cx，Cy之内；</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15、寿命：≥100000小时；平均无故障工作时间：≥100000小时；MTTR：故障平均修复时间MTTR不超时10分钟；</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16、.热平衡：LED显示屏正常使用达到热平衡后，屏体结构金属部分温升不超过45K，绝缘材料温升不超过70K；</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17、软件亮、暗线功能：支持模组件亮暗线修复功能，可从软、硬两方面彻底改善困扰小间距LED安装精度造成的亮、暗线问题；</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18、▲模组设计：共阳极和共阴极接法的设计，可匹配相应LED、IC来做出共阳极产品或是共阴极产品；电路板多层工艺设计，同时具有独特的消隐、EMC处理、存储功能；</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19、集群管理：控制系统支持显示屏、视频源、场景和预案进行统一管理，包括开关屏计划和场景播放计划，支持场景的定时播放和轮询播放；</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20、智能节电：具有智能节电和黑屏节电功能；智慧模组：具有智能模组校正数据存储，温度、电压检测；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21、图像增强与调整处理功能：支持对图像清晰度、饱和度、色度调节、对比度、亮度进行综合式一键修正，具备降噪、增强、运动补偿、色坐标色彩变换处理、钝化处理功能，支持HDR高动态范围图像技术显示；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22、环路冗余备份：控制系统的信号发送/转接/接收卡支持环路冗余备份，信号支持双回路</w:t>
            </w:r>
            <w:r>
              <w:rPr>
                <w:rFonts w:hint="eastAsia" w:ascii="宋体" w:hAnsi="宋体" w:cs="宋体"/>
                <w:color w:val="auto"/>
                <w:kern w:val="0"/>
                <w:sz w:val="22"/>
                <w:szCs w:val="22"/>
              </w:rPr>
              <w:br w:type="textWrapping"/>
            </w:r>
            <w:r>
              <w:rPr>
                <w:rFonts w:hint="eastAsia" w:ascii="宋体" w:hAnsi="宋体" w:cs="宋体"/>
                <w:color w:val="auto"/>
                <w:kern w:val="0"/>
                <w:sz w:val="22"/>
                <w:szCs w:val="22"/>
              </w:rPr>
              <w:t>热备份自动转换；LED屏幕支持N+1、N+2电源冗余备份。</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w:t>
            </w:r>
            <w:r>
              <w:rPr>
                <w:rFonts w:ascii="宋体" w:hAnsi="宋体" w:cs="宋体"/>
                <w:color w:val="auto"/>
                <w:kern w:val="0"/>
                <w:sz w:val="22"/>
                <w:szCs w:val="22"/>
              </w:rPr>
              <w:t>3</w:t>
            </w:r>
            <w:r>
              <w:rPr>
                <w:rFonts w:hint="eastAsia" w:ascii="宋体" w:hAnsi="宋体" w:cs="宋体"/>
                <w:color w:val="auto"/>
                <w:kern w:val="0"/>
                <w:sz w:val="22"/>
                <w:szCs w:val="22"/>
              </w:rPr>
              <w:t>、LED显示屏通过CCC认证；</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w:t>
            </w:r>
            <w:r>
              <w:rPr>
                <w:rFonts w:ascii="宋体" w:hAnsi="宋体" w:cs="宋体"/>
                <w:color w:val="auto"/>
                <w:kern w:val="0"/>
                <w:sz w:val="22"/>
                <w:szCs w:val="22"/>
              </w:rPr>
              <w:t>4</w:t>
            </w:r>
            <w:r>
              <w:rPr>
                <w:rFonts w:hint="eastAsia" w:ascii="宋体" w:hAnsi="宋体" w:cs="宋体"/>
                <w:color w:val="auto"/>
                <w:kern w:val="0"/>
                <w:sz w:val="22"/>
                <w:szCs w:val="22"/>
              </w:rPr>
              <w:t>、为保证显示系统兼容性和稳定性，LED全彩显示屏、视频处理器、电源、需为同一品牌；</w:t>
            </w:r>
            <w:r>
              <w:rPr>
                <w:rFonts w:hint="eastAsia" w:ascii="宋体" w:hAnsi="宋体" w:cs="宋体"/>
                <w:b/>
                <w:bCs/>
                <w:color w:val="auto"/>
                <w:kern w:val="0"/>
                <w:sz w:val="22"/>
                <w:szCs w:val="22"/>
              </w:rPr>
              <w:t>（投标时提供相关证明材料，并加盖制造商公章）</w:t>
            </w:r>
          </w:p>
          <w:p>
            <w:pPr>
              <w:pStyle w:val="2"/>
              <w:rPr>
                <w:rFonts w:ascii="宋体" w:hAnsi="宋体" w:cs="宋体"/>
                <w:color w:val="auto"/>
              </w:rPr>
            </w:pPr>
            <w:r>
              <w:rPr>
                <w:rFonts w:hint="eastAsia" w:ascii="宋体" w:hAnsi="宋体" w:cs="宋体"/>
                <w:color w:val="auto"/>
                <w:kern w:val="0"/>
                <w:sz w:val="22"/>
                <w:szCs w:val="22"/>
              </w:rPr>
              <w:t>▲2</w:t>
            </w:r>
            <w:r>
              <w:rPr>
                <w:rFonts w:ascii="宋体" w:hAnsi="宋体" w:cs="宋体"/>
                <w:color w:val="auto"/>
                <w:kern w:val="0"/>
                <w:sz w:val="22"/>
                <w:szCs w:val="22"/>
              </w:rPr>
              <w:t>5</w:t>
            </w:r>
            <w:r>
              <w:rPr>
                <w:rFonts w:hint="eastAsia" w:ascii="宋体" w:hAnsi="宋体" w:cs="宋体"/>
                <w:color w:val="auto"/>
                <w:kern w:val="0"/>
                <w:sz w:val="22"/>
                <w:szCs w:val="22"/>
              </w:rPr>
              <w:t>、为保障产品品质与售后服务，所投标产品须有生产厂家针对本项目的原厂出厂证明及售后服务承诺函</w:t>
            </w:r>
            <w:r>
              <w:rPr>
                <w:rFonts w:hint="eastAsia" w:ascii="宋体" w:hAnsi="宋体" w:eastAsia="宋体" w:cs="宋体"/>
                <w:color w:val="auto"/>
                <w:kern w:val="0"/>
                <w:sz w:val="22"/>
                <w:szCs w:val="22"/>
              </w:rPr>
              <w:t>并加盖制造商公章</w:t>
            </w:r>
            <w:r>
              <w:rPr>
                <w:rFonts w:hint="eastAsia" w:ascii="宋体" w:hAnsi="宋体" w:cs="宋体"/>
                <w:color w:val="auto"/>
                <w:sz w:val="24"/>
              </w:rPr>
              <w:t>。</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LED显示屏（三）</w:t>
            </w:r>
          </w:p>
        </w:tc>
        <w:tc>
          <w:tcPr>
            <w:tcW w:w="6536" w:type="dxa"/>
            <w:tcBorders>
              <w:top w:val="nil"/>
              <w:left w:val="nil"/>
              <w:bottom w:val="single" w:color="auto" w:sz="4" w:space="0"/>
              <w:right w:val="single" w:color="auto" w:sz="4" w:space="0"/>
            </w:tcBorders>
            <w:shd w:val="clear" w:color="auto" w:fill="auto"/>
          </w:tcPr>
          <w:p>
            <w:pPr>
              <w:widowControl/>
              <w:rPr>
                <w:rFonts w:ascii="宋体" w:hAnsi="宋体" w:cs="宋体"/>
                <w:color w:val="auto"/>
                <w:kern w:val="0"/>
                <w:sz w:val="22"/>
                <w:szCs w:val="22"/>
              </w:rPr>
            </w:pPr>
            <w:r>
              <w:rPr>
                <w:rFonts w:hint="eastAsia" w:ascii="宋体" w:hAnsi="宋体" w:cs="宋体"/>
                <w:color w:val="auto"/>
                <w:kern w:val="0"/>
                <w:sz w:val="22"/>
                <w:szCs w:val="22"/>
              </w:rPr>
              <w:t>屏体尺寸：长3200mm*高1760mm=5.632平米</w:t>
            </w:r>
          </w:p>
          <w:p>
            <w:pPr>
              <w:widowControl/>
              <w:rPr>
                <w:rFonts w:ascii="宋体" w:hAnsi="宋体" w:cs="宋体"/>
                <w:color w:val="auto"/>
                <w:kern w:val="0"/>
                <w:sz w:val="22"/>
                <w:szCs w:val="22"/>
              </w:rPr>
            </w:pPr>
            <w:r>
              <w:rPr>
                <w:rFonts w:hint="eastAsia" w:ascii="宋体" w:hAnsi="宋体" w:cs="宋体"/>
                <w:color w:val="auto"/>
                <w:kern w:val="0"/>
                <w:sz w:val="22"/>
                <w:szCs w:val="22"/>
              </w:rPr>
              <w:t>含框尺寸：长3240mm*高1800mm=5.832平米</w:t>
            </w:r>
            <w:r>
              <w:rPr>
                <w:rFonts w:hint="eastAsia" w:ascii="宋体" w:hAnsi="宋体" w:cs="宋体"/>
                <w:color w:val="auto"/>
                <w:kern w:val="0"/>
                <w:sz w:val="22"/>
                <w:szCs w:val="22"/>
              </w:rPr>
              <w:br w:type="textWrapping"/>
            </w:r>
            <w:r>
              <w:rPr>
                <w:rFonts w:hint="eastAsia" w:ascii="宋体" w:hAnsi="宋体" w:cs="宋体"/>
                <w:color w:val="auto"/>
                <w:kern w:val="0"/>
                <w:sz w:val="22"/>
                <w:szCs w:val="22"/>
              </w:rPr>
              <w:t>需含视频处理器、电源、框架、包边</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1、像素结构：1R1G1B表贴三合一LED，线性排列；LED管芯封装尺寸：SMD1212；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2、像素间距：≤1.538mm；刷新频率：≥3840Hz；像素密度：≥422500点/㎡；换帧频率：50Hz&amp;60Hz；</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3、白平衡亮度：≥800NIT；最高对比度：≥10000：1；亮度调节：支持软件0～100%无级可调；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4、灰度等级：16bit,且支持在不同亮度情况下8⁓16bit任意设置；</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5、摩尔纹消除：正常工作时支持消除摩尔纹功能；</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6、▲响应时间：纳秒级，极速响应不拖尾、无鬼影</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7、LED像素失控率：≤1/200000，无连续失控点，出厂时无失控点； 衰减率：工作3年衰减率≤3%；盲点率：≤0.00001，无常亮点；</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8、峰值功耗：≤502W/㎡；平均功耗：≤180W/㎡；</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9、整屏平整度：≤0.02mm/m²；像素中心距相对偏差：出厂时无偏差；</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10、PC控制：可通过控制PC实现联网控制，远程开机唤醒、关闭等功能。可同时控制多个屏；</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11、自动gamma校正：可根据要求自行调整，通过构造非线性校正曲线和色标变换系数矩阵改善显示效果的各项重要指标（如亮度、色度）；</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12、超静音：采用完全静音设计，屏体无风扇自然散热；</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13、色温：9000-15000K可调；</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14、亮度均匀性：≥99%，色度均匀性：±0.001Cx，Cy之内；</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15、寿命：≥100000小时；平均无故障工作时间：≥100000小时；MTTR：故障平均修复时间MTTR不超时10分钟；</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16、.热平衡：LED显示屏正常使用达到热平衡后，屏体结构金属部分温升不超过45K，绝缘材料温升不超过70K；</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17、软件亮、暗线功能：支持模组件亮暗线修复功能，可从软、硬两方面彻底改善困扰小间距LED安装精度造成的亮、暗线问题；</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18、▲模组设计：共阳极和共阴极接法的设计，可匹配相应LED、IC来做出共阳极产品或是共阴极产品；电路板多层工艺设计，同时具有独特的消隐、EMC处理、存储功能；</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19、集群管理：控制系统支持显示屏、视频源、场景和预案进行统一管理，包括开关屏计划和场景播放计划，支持场景的定时播放和轮询播放；</w:t>
            </w:r>
            <w:r>
              <w:rPr>
                <w:rFonts w:hint="eastAsia" w:ascii="宋体" w:hAnsi="宋体" w:cs="宋体"/>
                <w:color w:val="auto"/>
                <w:kern w:val="0"/>
                <w:sz w:val="22"/>
                <w:szCs w:val="22"/>
              </w:rPr>
              <w:br w:type="textWrapping"/>
            </w:r>
            <w:r>
              <w:rPr>
                <w:rFonts w:hint="eastAsia" w:ascii="宋体" w:hAnsi="宋体" w:cs="宋体"/>
                <w:color w:val="auto"/>
                <w:kern w:val="0"/>
                <w:sz w:val="22"/>
                <w:szCs w:val="22"/>
              </w:rPr>
              <w:t xml:space="preserve">20、智能节电：具有智能节电和黑屏节电功能；智慧模组：具有智能模组校正数据存储，温度、电压检测； </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21、图像增强与调整处理功能：支持对图像清晰度、饱和度、色度调节、对比度、亮度进行综合式一键修正，具备降噪、增强、运动补偿、色坐标色彩变换处理、钝化处理功能，支持HDR高动态范围图像技术显示；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22、环路冗余备份：控制系统的信号发送/转接/接收卡支持环路冗余备份，信号支持双回路</w:t>
            </w:r>
            <w:r>
              <w:rPr>
                <w:rFonts w:hint="eastAsia" w:ascii="宋体" w:hAnsi="宋体" w:cs="宋体"/>
                <w:color w:val="auto"/>
                <w:kern w:val="0"/>
                <w:sz w:val="22"/>
                <w:szCs w:val="22"/>
              </w:rPr>
              <w:br w:type="textWrapping"/>
            </w:r>
            <w:r>
              <w:rPr>
                <w:rFonts w:hint="eastAsia" w:ascii="宋体" w:hAnsi="宋体" w:cs="宋体"/>
                <w:color w:val="auto"/>
                <w:kern w:val="0"/>
                <w:sz w:val="22"/>
                <w:szCs w:val="22"/>
              </w:rPr>
              <w:t>热备份自动转换；LED屏幕支持N+1、N+2电源冗余备份。</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w:t>
            </w:r>
            <w:r>
              <w:rPr>
                <w:rFonts w:ascii="宋体" w:hAnsi="宋体" w:cs="宋体"/>
                <w:color w:val="auto"/>
                <w:kern w:val="0"/>
                <w:sz w:val="22"/>
                <w:szCs w:val="22"/>
              </w:rPr>
              <w:t>3</w:t>
            </w:r>
            <w:r>
              <w:rPr>
                <w:rFonts w:hint="eastAsia" w:ascii="宋体" w:hAnsi="宋体" w:cs="宋体"/>
                <w:color w:val="auto"/>
                <w:kern w:val="0"/>
                <w:sz w:val="22"/>
                <w:szCs w:val="22"/>
              </w:rPr>
              <w:t>、LED显示屏通过CCC认证；</w:t>
            </w:r>
            <w:r>
              <w:rPr>
                <w:rFonts w:hint="eastAsia" w:ascii="宋体" w:hAnsi="宋体" w:cs="宋体"/>
                <w:b/>
                <w:bCs/>
                <w:color w:val="auto"/>
                <w:kern w:val="0"/>
                <w:sz w:val="22"/>
                <w:szCs w:val="22"/>
              </w:rPr>
              <w:t>（投标时提供相关证明材料，并加盖制造商公章）</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w:t>
            </w:r>
            <w:r>
              <w:rPr>
                <w:rFonts w:ascii="宋体" w:hAnsi="宋体" w:cs="宋体"/>
                <w:color w:val="auto"/>
                <w:kern w:val="0"/>
                <w:sz w:val="22"/>
                <w:szCs w:val="22"/>
              </w:rPr>
              <w:t>4</w:t>
            </w:r>
            <w:r>
              <w:rPr>
                <w:rFonts w:hint="eastAsia" w:ascii="宋体" w:hAnsi="宋体" w:cs="宋体"/>
                <w:color w:val="auto"/>
                <w:kern w:val="0"/>
                <w:sz w:val="22"/>
                <w:szCs w:val="22"/>
              </w:rPr>
              <w:t>、为保证显示系统兼容性和稳定性，LED全彩显示屏、视频处理器、电源、需为同一品牌；</w:t>
            </w:r>
            <w:r>
              <w:rPr>
                <w:rFonts w:hint="eastAsia" w:ascii="宋体" w:hAnsi="宋体" w:cs="宋体"/>
                <w:b/>
                <w:bCs/>
                <w:color w:val="auto"/>
                <w:kern w:val="0"/>
                <w:sz w:val="22"/>
                <w:szCs w:val="22"/>
              </w:rPr>
              <w:t>（投标时提供相关证明材料，并加盖制造商公章）</w:t>
            </w:r>
          </w:p>
          <w:p>
            <w:pPr>
              <w:pStyle w:val="2"/>
              <w:rPr>
                <w:rFonts w:ascii="宋体" w:hAnsi="宋体" w:cs="宋体"/>
                <w:color w:val="auto"/>
              </w:rPr>
            </w:pPr>
            <w:r>
              <w:rPr>
                <w:rFonts w:hint="eastAsia" w:ascii="宋体" w:hAnsi="宋体" w:cs="宋体"/>
                <w:color w:val="auto"/>
                <w:kern w:val="0"/>
                <w:sz w:val="22"/>
                <w:szCs w:val="22"/>
              </w:rPr>
              <w:t>▲2</w:t>
            </w:r>
            <w:r>
              <w:rPr>
                <w:rFonts w:ascii="宋体" w:hAnsi="宋体" w:cs="宋体"/>
                <w:color w:val="auto"/>
                <w:kern w:val="0"/>
                <w:sz w:val="22"/>
                <w:szCs w:val="22"/>
              </w:rPr>
              <w:t>5</w:t>
            </w:r>
            <w:r>
              <w:rPr>
                <w:rFonts w:hint="eastAsia" w:ascii="宋体" w:hAnsi="宋体" w:cs="宋体"/>
                <w:color w:val="auto"/>
                <w:kern w:val="0"/>
                <w:sz w:val="22"/>
                <w:szCs w:val="22"/>
              </w:rPr>
              <w:t>、为保障产品品质与售后服务，所投标产品须有生产厂家针对本项目的原厂出厂证明及售后服务承诺函</w:t>
            </w:r>
            <w:r>
              <w:rPr>
                <w:rFonts w:hint="eastAsia" w:ascii="宋体" w:hAnsi="宋体" w:eastAsia="宋体" w:cs="宋体"/>
                <w:color w:val="auto"/>
                <w:kern w:val="0"/>
                <w:sz w:val="22"/>
                <w:szCs w:val="22"/>
              </w:rPr>
              <w:t>并加盖制造商公章</w:t>
            </w:r>
            <w:r>
              <w:rPr>
                <w:rFonts w:hint="eastAsia" w:ascii="宋体" w:hAnsi="宋体" w:cs="宋体"/>
                <w:color w:val="auto"/>
                <w:sz w:val="24"/>
              </w:rPr>
              <w:t>。</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21.5寸门牌一体机</w:t>
            </w:r>
          </w:p>
        </w:tc>
        <w:tc>
          <w:tcPr>
            <w:tcW w:w="6536" w:type="dxa"/>
            <w:tcBorders>
              <w:top w:val="nil"/>
              <w:left w:val="nil"/>
              <w:bottom w:val="single" w:color="auto" w:sz="4" w:space="0"/>
              <w:right w:val="single" w:color="auto" w:sz="4" w:space="0"/>
            </w:tcBorders>
            <w:shd w:val="clear" w:color="auto" w:fill="auto"/>
          </w:tcPr>
          <w:p>
            <w:pPr>
              <w:widowControl/>
              <w:rPr>
                <w:rFonts w:ascii="宋体" w:hAnsi="宋体" w:cs="宋体"/>
                <w:color w:val="auto"/>
                <w:kern w:val="0"/>
                <w:sz w:val="22"/>
                <w:szCs w:val="22"/>
              </w:rPr>
            </w:pPr>
            <w:r>
              <w:rPr>
                <w:rFonts w:hint="eastAsia" w:ascii="宋体" w:hAnsi="宋体" w:cs="宋体"/>
                <w:color w:val="auto"/>
                <w:kern w:val="0"/>
                <w:sz w:val="22"/>
                <w:szCs w:val="22"/>
              </w:rPr>
              <w:t>1、显示尺寸：21.5寸 LG A规液晶屏</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2、屏幕分辨率：1920*1080</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3、点距：0.36*0.36</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4、亮度：≥350cd/㎡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5、背光寿命：≥50000-60000h</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6、可视角度：全视角 ≥178/178°</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7、屏幕比例：16:9</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8、背光源：LED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9、刷新率：60Hz</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10、对比度：≥5000:1</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11、响应时间：≤8ms</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12、音频功率：≥15W×2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13、配置：≥I5 8G 128G WiFi</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14、接口：≥1×HDMI2.0，≥1×网络接口，≥4×USB</w:t>
            </w:r>
          </w:p>
          <w:p>
            <w:pPr>
              <w:pStyle w:val="2"/>
              <w:rPr>
                <w:rFonts w:ascii="宋体" w:hAnsi="宋体" w:cs="宋体"/>
                <w:b/>
                <w:bCs/>
                <w:color w:val="auto"/>
                <w:kern w:val="0"/>
                <w:sz w:val="22"/>
                <w:szCs w:val="22"/>
              </w:rPr>
            </w:pPr>
            <w:r>
              <w:rPr>
                <w:rFonts w:hint="eastAsia" w:ascii="宋体" w:hAnsi="宋体" w:cs="宋体"/>
                <w:color w:val="auto"/>
                <w:kern w:val="0"/>
                <w:sz w:val="22"/>
                <w:szCs w:val="22"/>
              </w:rPr>
              <w:t>15、▲操作系统：提供正版Windows 10专业版</w:t>
            </w:r>
            <w:r>
              <w:rPr>
                <w:rFonts w:hint="eastAsia" w:ascii="宋体" w:hAnsi="宋体" w:cs="宋体"/>
                <w:b/>
                <w:bCs/>
                <w:color w:val="auto"/>
                <w:kern w:val="0"/>
                <w:sz w:val="22"/>
                <w:szCs w:val="22"/>
              </w:rPr>
              <w:t>（投标时提供</w:t>
            </w:r>
            <w:r>
              <w:rPr>
                <w:rFonts w:hint="eastAsia" w:ascii="宋体" w:hAnsi="宋体" w:cs="宋体"/>
                <w:b/>
                <w:bCs/>
                <w:color w:val="auto"/>
                <w:kern w:val="0"/>
                <w:sz w:val="22"/>
                <w:szCs w:val="22"/>
                <w:lang w:val="en-US" w:eastAsia="zh-CN"/>
              </w:rPr>
              <w:t>正版软件</w:t>
            </w:r>
            <w:r>
              <w:rPr>
                <w:rFonts w:hint="eastAsia" w:ascii="宋体" w:hAnsi="宋体" w:cs="宋体"/>
                <w:b/>
                <w:bCs/>
                <w:color w:val="auto"/>
                <w:kern w:val="0"/>
                <w:sz w:val="22"/>
                <w:szCs w:val="22"/>
              </w:rPr>
              <w:t>相关渠道证明文件）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21.5寸前维护支架</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21.5寸前维护支架</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材质：铝合金液压支架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55寸翻书屏</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1、显示尺寸：55寸 LG A规液晶屏</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2、电容十点触摸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3、屏幕分辨率：3840*2160</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4、点距：0.36*0.36</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5、亮度：≥350cd/㎡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6、背光寿命：≥50000-60000h</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7、可视角度：全视角 ≥178/178°</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8、屏幕比例：16:9</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9、背光源：LED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10、刷新率：60Hz</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11、对比度：≥5000:1</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12、响应时间：≤8ms</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13、音频功率：≥5W×2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14、配置：≥I5 8G 128G WiFi</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15、接口：≥1×HDMI2.0，≥1×网络接口，≥4×USB</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16、▲操作系统：提供正版Windows 10专业版</w:t>
            </w:r>
            <w:r>
              <w:rPr>
                <w:rFonts w:hint="eastAsia" w:ascii="宋体" w:hAnsi="宋体" w:cs="宋体"/>
                <w:b/>
                <w:bCs/>
                <w:color w:val="auto"/>
                <w:kern w:val="0"/>
                <w:sz w:val="22"/>
                <w:szCs w:val="22"/>
              </w:rPr>
              <w:t>（投标时提供</w:t>
            </w:r>
            <w:r>
              <w:rPr>
                <w:rFonts w:hint="eastAsia" w:ascii="宋体" w:hAnsi="宋体" w:cs="宋体"/>
                <w:b/>
                <w:bCs/>
                <w:color w:val="auto"/>
                <w:kern w:val="0"/>
                <w:sz w:val="22"/>
                <w:szCs w:val="22"/>
                <w:lang w:val="en-US" w:eastAsia="zh-CN"/>
              </w:rPr>
              <w:t>正版软件</w:t>
            </w:r>
            <w:r>
              <w:rPr>
                <w:rFonts w:hint="eastAsia" w:ascii="宋体" w:hAnsi="宋体" w:cs="宋体"/>
                <w:b/>
                <w:bCs/>
                <w:color w:val="auto"/>
                <w:kern w:val="0"/>
                <w:sz w:val="22"/>
                <w:szCs w:val="22"/>
              </w:rPr>
              <w:t>相关渠道证明文件）</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17、支持手势感应翻书</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18、含翻书软件，通过触摸屏结合传统翻书体验，支持手在设备上方空中做一个左右滑动翻书动作，眼前的虚拟图书会跟实际中翻书效果一样，同时伴随着清脆的翻书音效，生动立体，栩栩如生，形象逼真的展现出来。展示的资料支持图片或是pdf文件格式，放入后台对应的文件夹里，软件自动生成翻页的效果展示</w:t>
            </w:r>
            <w:r>
              <w:rPr>
                <w:rFonts w:hint="eastAsia" w:ascii="宋体" w:hAnsi="宋体" w:cs="宋体"/>
                <w:b/>
                <w:bCs/>
                <w:color w:val="auto"/>
                <w:kern w:val="0"/>
                <w:sz w:val="22"/>
                <w:szCs w:val="22"/>
              </w:rPr>
              <w:t>（投标时提供相关互动软件著作权证书证明文件）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55寸触控一体机</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1、显示尺寸：55寸 LG A规液晶屏</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2、电容十点触摸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3、屏幕分辨率：3840*2160</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4、点距：0.36*0.36</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5、亮度：≥350cd/㎡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6、背光寿命：≥50000-60000h</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7、可视角度：全视角 ≥178/178°</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8、屏幕比例：16:9</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9、背光源：LED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10、刷新率：60Hz</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11、对比度：≥5000:1</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12、响应时间：≤8ms</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13、音频功率：≥15W×2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14、配置：≥I5 8G 128G WiFi</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15、接口：≥1×HDMI2.0，≥1×网络接口，≥4×USB</w:t>
            </w:r>
          </w:p>
          <w:p>
            <w:pPr>
              <w:pStyle w:val="2"/>
              <w:rPr>
                <w:rFonts w:ascii="宋体" w:hAnsi="宋体" w:cs="宋体"/>
                <w:color w:val="auto"/>
              </w:rPr>
            </w:pPr>
            <w:r>
              <w:rPr>
                <w:rFonts w:hint="eastAsia" w:ascii="宋体" w:hAnsi="宋体" w:cs="宋体"/>
                <w:color w:val="auto"/>
                <w:kern w:val="0"/>
                <w:sz w:val="22"/>
                <w:szCs w:val="22"/>
              </w:rPr>
              <w:t>16、▲操作系统：提供正版Windows 10专业版</w:t>
            </w:r>
            <w:r>
              <w:rPr>
                <w:rFonts w:hint="eastAsia" w:ascii="宋体" w:hAnsi="宋体" w:cs="宋体"/>
                <w:b/>
                <w:bCs/>
                <w:color w:val="auto"/>
                <w:kern w:val="0"/>
                <w:sz w:val="22"/>
                <w:szCs w:val="22"/>
              </w:rPr>
              <w:t>（投标时提供</w:t>
            </w:r>
            <w:r>
              <w:rPr>
                <w:rFonts w:hint="eastAsia" w:ascii="宋体" w:hAnsi="宋体" w:cs="宋体"/>
                <w:b/>
                <w:bCs/>
                <w:color w:val="auto"/>
                <w:kern w:val="0"/>
                <w:sz w:val="22"/>
                <w:szCs w:val="22"/>
                <w:lang w:val="en-US" w:eastAsia="zh-CN"/>
              </w:rPr>
              <w:t>正版软件</w:t>
            </w:r>
            <w:r>
              <w:rPr>
                <w:rFonts w:hint="eastAsia" w:ascii="宋体" w:hAnsi="宋体" w:cs="宋体"/>
                <w:b/>
                <w:bCs/>
                <w:color w:val="auto"/>
                <w:kern w:val="0"/>
                <w:sz w:val="22"/>
                <w:szCs w:val="22"/>
              </w:rPr>
              <w:t>相关渠道证明文件）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55寸前维护支架</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55寸前维护支架</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材质：铝合金液压支架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55寸触控一体机（落地移动）</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1、显示尺寸：55寸 LG A规液晶屏</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2、电容十点触摸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3、屏幕分辨率：3840*2160</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4、点距：0.36*0.36</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5、亮度：≥350cd/㎡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6、背光寿命：≥50000-60000h</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7、可视角度：全视角 ≥178/178°</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8、屏幕比例：16:9</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9、背光源：LED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10、刷新率：≥60Hz</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11、对比度：≥5000:1</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12、响应时间：≤8ms</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13、音频功率：≥15W×2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14、配置：≥I5 8G 128G WiFi</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15、接口：≥1×HDMI2.0，≥1×网络接口，≥4×USB</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16、立式，带滑轮底座</w:t>
            </w:r>
          </w:p>
          <w:p>
            <w:pPr>
              <w:pStyle w:val="2"/>
              <w:rPr>
                <w:rFonts w:ascii="宋体" w:hAnsi="宋体" w:cs="宋体"/>
                <w:color w:val="auto"/>
              </w:rPr>
            </w:pPr>
            <w:r>
              <w:rPr>
                <w:rFonts w:hint="eastAsia" w:ascii="宋体" w:hAnsi="宋体" w:cs="宋体"/>
                <w:color w:val="auto"/>
                <w:kern w:val="0"/>
                <w:sz w:val="22"/>
                <w:szCs w:val="22"/>
              </w:rPr>
              <w:t>17、▲操作系统：提供正版Windows 10专业版</w:t>
            </w:r>
            <w:r>
              <w:rPr>
                <w:rFonts w:hint="eastAsia" w:ascii="宋体" w:hAnsi="宋体" w:cs="宋体"/>
                <w:b/>
                <w:bCs/>
                <w:color w:val="auto"/>
                <w:kern w:val="0"/>
                <w:sz w:val="22"/>
                <w:szCs w:val="22"/>
              </w:rPr>
              <w:t>（投标时提供</w:t>
            </w:r>
            <w:r>
              <w:rPr>
                <w:rFonts w:hint="eastAsia" w:ascii="宋体" w:hAnsi="宋体" w:cs="宋体"/>
                <w:b/>
                <w:bCs/>
                <w:color w:val="auto"/>
                <w:kern w:val="0"/>
                <w:sz w:val="22"/>
                <w:szCs w:val="22"/>
                <w:lang w:val="en-US" w:eastAsia="zh-CN"/>
              </w:rPr>
              <w:t>正版软件</w:t>
            </w:r>
            <w:r>
              <w:rPr>
                <w:rFonts w:hint="eastAsia" w:ascii="宋体" w:hAnsi="宋体" w:cs="宋体"/>
                <w:b/>
                <w:bCs/>
                <w:color w:val="auto"/>
                <w:kern w:val="0"/>
                <w:sz w:val="22"/>
                <w:szCs w:val="22"/>
              </w:rPr>
              <w:t>相关渠道证明文件）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65寸触控一体机</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1、显示尺寸：65寸 LG A规液晶屏</w:t>
            </w:r>
            <w:r>
              <w:rPr>
                <w:rFonts w:hint="eastAsia" w:ascii="宋体" w:hAnsi="宋体" w:cs="宋体"/>
                <w:color w:val="auto"/>
                <w:kern w:val="0"/>
                <w:sz w:val="22"/>
                <w:szCs w:val="22"/>
              </w:rPr>
              <w:br w:type="textWrapping"/>
            </w:r>
            <w:r>
              <w:rPr>
                <w:rFonts w:hint="eastAsia" w:ascii="宋体" w:hAnsi="宋体" w:cs="宋体"/>
                <w:color w:val="auto"/>
                <w:kern w:val="0"/>
                <w:sz w:val="22"/>
                <w:szCs w:val="22"/>
              </w:rPr>
              <w:t>2、电容十点触摸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3、屏幕分辨率：3840*2160</w:t>
            </w:r>
            <w:r>
              <w:rPr>
                <w:rFonts w:hint="eastAsia" w:ascii="宋体" w:hAnsi="宋体" w:cs="宋体"/>
                <w:color w:val="auto"/>
                <w:kern w:val="0"/>
                <w:sz w:val="22"/>
                <w:szCs w:val="22"/>
              </w:rPr>
              <w:br w:type="textWrapping"/>
            </w:r>
            <w:r>
              <w:rPr>
                <w:rFonts w:hint="eastAsia" w:ascii="宋体" w:hAnsi="宋体" w:cs="宋体"/>
                <w:color w:val="auto"/>
                <w:kern w:val="0"/>
                <w:sz w:val="22"/>
                <w:szCs w:val="22"/>
              </w:rPr>
              <w:t>4、点距：0.36*0.36</w:t>
            </w:r>
            <w:r>
              <w:rPr>
                <w:rFonts w:hint="eastAsia" w:ascii="宋体" w:hAnsi="宋体" w:cs="宋体"/>
                <w:color w:val="auto"/>
                <w:kern w:val="0"/>
                <w:sz w:val="22"/>
                <w:szCs w:val="22"/>
              </w:rPr>
              <w:br w:type="textWrapping"/>
            </w:r>
            <w:r>
              <w:rPr>
                <w:rFonts w:hint="eastAsia" w:ascii="宋体" w:hAnsi="宋体" w:cs="宋体"/>
                <w:color w:val="auto"/>
                <w:kern w:val="0"/>
                <w:sz w:val="22"/>
                <w:szCs w:val="22"/>
              </w:rPr>
              <w:t>5、亮度：≥350cd/㎡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6、背光寿命：≥50000-60000h</w:t>
            </w:r>
            <w:r>
              <w:rPr>
                <w:rFonts w:hint="eastAsia" w:ascii="宋体" w:hAnsi="宋体" w:cs="宋体"/>
                <w:color w:val="auto"/>
                <w:kern w:val="0"/>
                <w:sz w:val="22"/>
                <w:szCs w:val="22"/>
              </w:rPr>
              <w:br w:type="textWrapping"/>
            </w:r>
            <w:r>
              <w:rPr>
                <w:rFonts w:hint="eastAsia" w:ascii="宋体" w:hAnsi="宋体" w:cs="宋体"/>
                <w:color w:val="auto"/>
                <w:kern w:val="0"/>
                <w:sz w:val="22"/>
                <w:szCs w:val="22"/>
              </w:rPr>
              <w:t>7、可视角度：全视角 ≥178/178°</w:t>
            </w:r>
            <w:r>
              <w:rPr>
                <w:rFonts w:hint="eastAsia" w:ascii="宋体" w:hAnsi="宋体" w:cs="宋体"/>
                <w:color w:val="auto"/>
                <w:kern w:val="0"/>
                <w:sz w:val="22"/>
                <w:szCs w:val="22"/>
              </w:rPr>
              <w:br w:type="textWrapping"/>
            </w:r>
            <w:r>
              <w:rPr>
                <w:rFonts w:hint="eastAsia" w:ascii="宋体" w:hAnsi="宋体" w:cs="宋体"/>
                <w:color w:val="auto"/>
                <w:kern w:val="0"/>
                <w:sz w:val="22"/>
                <w:szCs w:val="22"/>
              </w:rPr>
              <w:t>8、屏幕比例：16:9</w:t>
            </w:r>
            <w:r>
              <w:rPr>
                <w:rFonts w:hint="eastAsia" w:ascii="宋体" w:hAnsi="宋体" w:cs="宋体"/>
                <w:color w:val="auto"/>
                <w:kern w:val="0"/>
                <w:sz w:val="22"/>
                <w:szCs w:val="22"/>
              </w:rPr>
              <w:br w:type="textWrapping"/>
            </w:r>
            <w:r>
              <w:rPr>
                <w:rFonts w:hint="eastAsia" w:ascii="宋体" w:hAnsi="宋体" w:cs="宋体"/>
                <w:color w:val="auto"/>
                <w:kern w:val="0"/>
                <w:sz w:val="22"/>
                <w:szCs w:val="22"/>
              </w:rPr>
              <w:t>9、背光源：LED</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10、刷新率：60Hz</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11、对比度：≥5000:1</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12、响应时间：≤8ms</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13、音频功率：≥15W×2</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14、配置：≥I5 8G 128G WiFi</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15、接口：1×HDMI2.0，1×网络接口，4×USB</w:t>
            </w:r>
          </w:p>
          <w:p>
            <w:pPr>
              <w:pStyle w:val="2"/>
              <w:rPr>
                <w:rFonts w:ascii="宋体" w:hAnsi="宋体" w:cs="宋体"/>
                <w:color w:val="auto"/>
              </w:rPr>
            </w:pPr>
            <w:r>
              <w:rPr>
                <w:rFonts w:hint="eastAsia" w:ascii="宋体" w:hAnsi="宋体" w:cs="宋体"/>
                <w:color w:val="auto"/>
                <w:kern w:val="0"/>
                <w:sz w:val="22"/>
                <w:szCs w:val="22"/>
              </w:rPr>
              <w:t>16、▲操作系统：提供正版Windows 10专业版</w:t>
            </w:r>
            <w:r>
              <w:rPr>
                <w:rFonts w:hint="eastAsia" w:ascii="宋体" w:hAnsi="宋体" w:cs="宋体"/>
                <w:b/>
                <w:bCs/>
                <w:color w:val="auto"/>
                <w:kern w:val="0"/>
                <w:sz w:val="22"/>
                <w:szCs w:val="22"/>
              </w:rPr>
              <w:t>（投标时提供</w:t>
            </w:r>
            <w:r>
              <w:rPr>
                <w:rFonts w:hint="eastAsia" w:ascii="宋体" w:hAnsi="宋体" w:cs="宋体"/>
                <w:b/>
                <w:bCs/>
                <w:color w:val="auto"/>
                <w:kern w:val="0"/>
                <w:sz w:val="22"/>
                <w:szCs w:val="22"/>
                <w:lang w:val="en-US" w:eastAsia="zh-CN"/>
              </w:rPr>
              <w:t>正版软件</w:t>
            </w:r>
            <w:r>
              <w:rPr>
                <w:rFonts w:hint="eastAsia" w:ascii="宋体" w:hAnsi="宋体" w:cs="宋体"/>
                <w:b/>
                <w:bCs/>
                <w:color w:val="auto"/>
                <w:kern w:val="0"/>
                <w:sz w:val="22"/>
                <w:szCs w:val="22"/>
              </w:rPr>
              <w:t>相关渠道证明文件）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65寸前维护支架</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65寸前维护支架</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材质：铝合金液压支架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55寸显示屏</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1、显示尺寸：55英寸，LED液晶屏体 A级硬屏</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2、显示比例：16:9</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3、产品分辨率：3840*2160</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4、对比度：≥1200:1</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5、可视角度：≥178°（H）/178°（V）</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6、亮度：≥250cd/㎡</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7、刷新率：60Hz</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8、使用寿命≥30000hrs</w:t>
            </w:r>
          </w:p>
          <w:p>
            <w:pPr>
              <w:pStyle w:val="2"/>
              <w:jc w:val="left"/>
              <w:rPr>
                <w:rFonts w:ascii="宋体" w:hAnsi="宋体" w:cs="宋体"/>
                <w:color w:val="auto"/>
                <w:kern w:val="0"/>
                <w:sz w:val="22"/>
                <w:szCs w:val="22"/>
              </w:rPr>
            </w:pPr>
            <w:r>
              <w:rPr>
                <w:rFonts w:hint="eastAsia" w:ascii="宋体" w:hAnsi="宋体" w:cs="宋体"/>
                <w:color w:val="auto"/>
                <w:kern w:val="0"/>
                <w:sz w:val="22"/>
                <w:szCs w:val="22"/>
              </w:rPr>
              <w:t>9、接口：≥2×HDMI2.0，≥1×网络接口，3×USB</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13</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55寸前维护支架</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55寸前维护支架</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材质：铝合金液压支架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返显移动支架</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支持倾仰、升降、移动</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75寸会议一体机</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1.屏幕采用LED液晶屏，显示尺寸75英寸，屏幕使用4K A级硬屏；</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2.显示比例：16:9，分辨率：3840*2160，对比度≥1200:1；</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3.可视角度：178°（H）/178°（V）；</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4.亮度：≥350cd/㎡，使用寿命≥30000hrs，面板亮度均匀度≥75%；</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5.屏幕采用0贴合工艺，钢化玻璃与屏幕之间的距离接近 0，有效防止光线反射，显示效果绝佳，书写体验优异；</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6.▲整机表面采用3.2mm防眩光钢化玻璃，莫式7级硬度，可承受（1.0±0.04）kg钢球1.5m高度自由下落撞击玻璃表面无损伤破裂，确保使用安全；</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b/>
                <w:bCs/>
                <w:color w:val="auto"/>
                <w:kern w:val="0"/>
                <w:sz w:val="22"/>
                <w:szCs w:val="22"/>
              </w:rPr>
            </w:pPr>
            <w:r>
              <w:rPr>
                <w:rFonts w:hint="eastAsia" w:ascii="宋体" w:hAnsi="宋体" w:cs="宋体"/>
                <w:color w:val="auto"/>
                <w:kern w:val="0"/>
                <w:sz w:val="22"/>
                <w:szCs w:val="22"/>
              </w:rPr>
              <w:t>7.▲整机具备防强光干扰性能，整机面板表面具备防眩光涂层，在100K LUX的强光照射下，产品各项书写、触控功能正常；</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8. ▲产品符合4级防雷要求，符合GB/T17626.2-2018防静电干扰要求，符合GB/T9254-2008防辐射B级要求，设备外壳金属表面防腐蚀，整机具备防火功能；</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9.一键息屏：产品短时间不使用或休息时可以一键关闭液晶屏背光，有效降低功耗超过80%；</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10.安卓系统采用新一代机芯，Cortex A73+A53四核CPU（主频1.5GHZ以上），Mali-G51 GPU，RAM≥3G，ROM≥64G的硬件配置；</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11.用Andriod8.0触控大屏操作系统，支持多任务分屏协作一屏双显功能；</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12.采用高精度20点红外触控技术，书写方式：手指或笔等不透光的物体，触摸响应时间≤8ms，90%以上触摸区域精度为±1mm，触摸有效识别高度≤2mm； </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13.整机内置无线WIFI模组，双WIFI设定，共模双频，一路作为WIFI连接网络，另一路作为热点投屏，且两路WIFI支持2.4G/5.8G双频段。整机内置隐藏天线，无外置显露天线，保证使用安全；</w:t>
            </w:r>
          </w:p>
          <w:p>
            <w:pPr>
              <w:widowControl/>
              <w:jc w:val="left"/>
              <w:rPr>
                <w:rFonts w:ascii="宋体" w:hAnsi="宋体" w:cs="宋体"/>
                <w:b/>
                <w:bCs/>
                <w:color w:val="auto"/>
                <w:kern w:val="0"/>
                <w:sz w:val="22"/>
                <w:szCs w:val="22"/>
              </w:rPr>
            </w:pPr>
            <w:r>
              <w:rPr>
                <w:rFonts w:hint="eastAsia" w:ascii="宋体" w:hAnsi="宋体" w:cs="宋体"/>
                <w:color w:val="auto"/>
                <w:kern w:val="0"/>
                <w:sz w:val="22"/>
                <w:szCs w:val="22"/>
              </w:rPr>
              <w:t>14.整机支持蓝牙功能，通过外接蓝牙设备实现蓝牙传输；</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15.内置1300万像素高清摄像头，定焦，在安卓和 Windows 系统上使用视频会议软件可实现视频会议功能； </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16. 内置8阵列线性麦克风，有效拾音距离≤8米，支持Android和Windows双系统；</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17.内置输出功率2*10W音响，六组扬声器，60HZ-10KHZ宽频域；</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18本地电子白板支持单/多点书写，20点书写，笔锋书写，可自由切换书写模式；</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19.触摸禁用：可以实现触摸禁用功能，不仅是一台会议平板，更能成为一台电子广告牌，满足各种宣传展示功能； </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20.支持最多同时连接8只同屏器，可以自由选择显示画面，单屏、双屏、四分屏都支持，适用于不同场景需求； </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21.随页批注：使用软件投屏电脑播放PPT时，可以随页批注，无需逐张批注保存，多张ppt批注完成后一次性保存；</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22.支持自定义开机logo；</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23.支持集控功能，可通过后台远程进行语言切换、触摸控制、背景更改、开机LOGO更改、开机信源更改、软件安装、系统升级、开机、关机、锁屏、定时开关机等功能；</w:t>
            </w:r>
          </w:p>
          <w:p>
            <w:pPr>
              <w:widowControl/>
              <w:jc w:val="left"/>
              <w:rPr>
                <w:rFonts w:ascii="宋体" w:hAnsi="宋体" w:cs="宋体"/>
                <w:b/>
                <w:bCs/>
                <w:color w:val="auto"/>
                <w:kern w:val="0"/>
                <w:sz w:val="22"/>
                <w:szCs w:val="22"/>
              </w:rPr>
            </w:pPr>
            <w:r>
              <w:rPr>
                <w:rFonts w:hint="eastAsia" w:ascii="宋体" w:hAnsi="宋体" w:cs="宋体"/>
                <w:color w:val="auto"/>
                <w:kern w:val="0"/>
                <w:sz w:val="22"/>
                <w:szCs w:val="22"/>
              </w:rPr>
              <w:t>24.▲可通过飞享应用，实现手机传输图片、视频、文档等给会议平板，并可在会议平板进行打开、保存、插入白板等操作；</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b/>
                <w:bCs/>
                <w:color w:val="auto"/>
                <w:kern w:val="0"/>
                <w:sz w:val="22"/>
                <w:szCs w:val="22"/>
              </w:rPr>
            </w:pPr>
            <w:r>
              <w:rPr>
                <w:rFonts w:hint="eastAsia" w:ascii="宋体" w:hAnsi="宋体" w:cs="宋体"/>
                <w:color w:val="auto"/>
                <w:kern w:val="0"/>
                <w:sz w:val="22"/>
                <w:szCs w:val="22"/>
              </w:rPr>
              <w:t>25.安卓系统具备本地白板书写功能；</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26.具备搜索功能，可进行百度搜索。还可配合笔迹识别、选择等功能实现直接对手写体文字进行关键词搜索</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27.主页图标可自定义任意应用，最多支持四个应用显示在主页；</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28.OPS配置：I5 8+256G或以上；</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29. 整机接口：前置接口≥2 Public USB、后置 ≥2 HDMI IN、≥1 DP、≥1 VGA、≥1 PC-Audio、、≥2 USB、≥1 Touch USB、≥1 S/PDIF、≥1 Audio OUT、≥2 RJ45、≥1 OPS接口、≥1 RS232；</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30.配件要求：含无线同屏器1个、智能笔1支</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75寸前维护支架</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75寸前维护支架</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材质：铝合金液压支架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17</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86寸会议一体机</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1.屏幕采用LED液晶屏，显示尺寸86英寸，屏幕使用4K A级硬屏；</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2.显示比例：16:9，分辨率：3840*2160，对比度≥1200:1；</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3.可视角度：178°（H）/178°（V）；</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4.亮度：≥380cd/㎡，使用寿命≥30000hrs，面板亮度均匀度≥75%；</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5.屏幕采用0贴合工艺，钢化玻璃与屏幕之间的距离接近 0，有效防止光线反射，显示效果绝佳，书写体验优异；</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6.▲整机表面采用3.2mm防眩光钢化玻璃，莫式7级硬度，可承受（1.0±0.04）kg钢球1.5m高度自由下落撞击玻璃表面无损伤破裂，确保使用安全；</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b/>
                <w:bCs/>
                <w:color w:val="auto"/>
                <w:kern w:val="0"/>
                <w:sz w:val="22"/>
                <w:szCs w:val="22"/>
              </w:rPr>
            </w:pPr>
            <w:r>
              <w:rPr>
                <w:rFonts w:hint="eastAsia" w:ascii="宋体" w:hAnsi="宋体" w:cs="宋体"/>
                <w:color w:val="auto"/>
                <w:kern w:val="0"/>
                <w:sz w:val="22"/>
                <w:szCs w:val="22"/>
              </w:rPr>
              <w:t>7.▲整机具备防强光干扰性能，整机面板表面具备防眩光涂层，在100K LUX的强光照射下，产品各项书写、触控功能正常；</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8. ▲产品符合4级防雷要求，符合GB/T17626.2-2018防静电干扰要求，符合GB/T9254-2008防辐射B级要求，设备外壳金属表面防腐蚀，整机具备防火功能；</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9.一键息屏：产品短时间不使用或休息时可以一键关闭液晶屏背光，有效降低功耗超过80%；</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10.安卓系统采用新一代机芯，Cortex A73+A53四核CPU（主频1.5GHZ以上），Mali-G51 GPU，RAM≥3G，ROM≥64G的硬件配置；</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11.用Andriod8.0触控大屏操作系统，支持多任务分屏协作一屏双显功能；</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12.采用高精度20点红外触控技术，书写方式：手指或笔等不透光的物体，触摸响应时间≤8ms，90%以上触摸区域精度为±1mm，触摸有效识别高度≤2mm； </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13.整机内置无线WIFI模组，双WIFI设定，共模双频，一路作为WIFI连接网络，另一路作为热点投屏，且两路WIFI支持2.4G/5.8G双频段。整机内置隐藏天线，无外置显露天线，保证使用安全；</w:t>
            </w:r>
          </w:p>
          <w:p>
            <w:pPr>
              <w:widowControl/>
              <w:jc w:val="left"/>
              <w:rPr>
                <w:rFonts w:ascii="宋体" w:hAnsi="宋体" w:cs="宋体"/>
                <w:b/>
                <w:bCs/>
                <w:color w:val="auto"/>
                <w:kern w:val="0"/>
                <w:sz w:val="22"/>
                <w:szCs w:val="22"/>
              </w:rPr>
            </w:pPr>
            <w:r>
              <w:rPr>
                <w:rFonts w:hint="eastAsia" w:ascii="宋体" w:hAnsi="宋体" w:cs="宋体"/>
                <w:color w:val="auto"/>
                <w:kern w:val="0"/>
                <w:sz w:val="22"/>
                <w:szCs w:val="22"/>
              </w:rPr>
              <w:t>14.整机支持蓝牙功能，通过外接蓝牙设备实现蓝牙传输；</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15.内置1300万像素高清摄像头，定焦，在安卓和 Windows 系统上使用视频会议软件可实现视频会议功能； </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16. 内置8阵列线性麦克风，有效拾音距离≤8米，支持Android和Windows双系统；</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17.内置输出功率2*10W音响，六组扬声器，60HZ-10KHZ宽频域；</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18本地电子白板支持单/多点书写，20点书写，笔锋书写，可自由切换书写模式；</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19.触摸禁用：可以实现触摸禁用功能，不仅是一台会议平板，更能成为一台电子广告牌，满足各种宣传展示功能； </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 xml:space="preserve">20.支持最多同时连接8只同屏器，可以自由选择显示画面，单屏、双屏、四分屏都支持，适用于不同场景需求； </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21.随页批注：使用软件投屏电脑播放PPT时，可以随页批注，无需逐张批注保存，多张ppt批注完成后一次性保存；</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22.支持自定义开机logo；</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23.支持集控功能，可通过后台远程进行语言切换、触摸控制、背景更改、开机LOGO更改、开机信源更改、软件安装、系统升级、开机、关机、锁屏、定时开关机等功能；</w:t>
            </w:r>
          </w:p>
          <w:p>
            <w:pPr>
              <w:widowControl/>
              <w:jc w:val="left"/>
              <w:rPr>
                <w:rFonts w:ascii="宋体" w:hAnsi="宋体" w:cs="宋体"/>
                <w:b/>
                <w:bCs/>
                <w:color w:val="auto"/>
                <w:kern w:val="0"/>
                <w:sz w:val="22"/>
                <w:szCs w:val="22"/>
              </w:rPr>
            </w:pPr>
            <w:r>
              <w:rPr>
                <w:rFonts w:hint="eastAsia" w:ascii="宋体" w:hAnsi="宋体" w:cs="宋体"/>
                <w:color w:val="auto"/>
                <w:kern w:val="0"/>
                <w:sz w:val="22"/>
                <w:szCs w:val="22"/>
              </w:rPr>
              <w:t>24.▲可通过飞享应用，实现手机传输图片、视频、文档等给会议平板，并可在会议平板进行打开、保存、插入白板等操作；</w:t>
            </w:r>
            <w:r>
              <w:rPr>
                <w:rFonts w:hint="eastAsia" w:ascii="宋体" w:hAnsi="宋体" w:cs="宋体"/>
                <w:b/>
                <w:bCs/>
                <w:color w:val="auto"/>
                <w:kern w:val="0"/>
                <w:sz w:val="22"/>
                <w:szCs w:val="22"/>
              </w:rPr>
              <w:t>（投标时提供相关证明材料，并加盖制造商公章）</w:t>
            </w:r>
          </w:p>
          <w:p>
            <w:pPr>
              <w:widowControl/>
              <w:jc w:val="left"/>
              <w:rPr>
                <w:rFonts w:ascii="宋体" w:hAnsi="宋体" w:cs="宋体"/>
                <w:b/>
                <w:bCs/>
                <w:color w:val="auto"/>
                <w:kern w:val="0"/>
                <w:sz w:val="22"/>
                <w:szCs w:val="22"/>
              </w:rPr>
            </w:pPr>
            <w:r>
              <w:rPr>
                <w:rFonts w:hint="eastAsia" w:ascii="宋体" w:hAnsi="宋体" w:cs="宋体"/>
                <w:color w:val="auto"/>
                <w:kern w:val="0"/>
                <w:sz w:val="22"/>
                <w:szCs w:val="22"/>
              </w:rPr>
              <w:t>25.安卓系统具备本地白板书写功能；</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26.具备搜索功能，可进行百度搜索。还可配合笔迹识别、选择等功能实现直接对手写体文字进行关键词搜索</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27.主页图标可自定义任意应用，最多支持四个应用显示在主页；</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28.OPS配置：I5 8+256G或以上</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29.整机接口：前置接口≥2 Public USB、后置 ≥2 HDMI IN、≥1 DP、≥1 VGA、≥1 PC-Audio、、≥2 USB、≥1 Touch USB、≥1 S/PDIF、≥1 Audio OUT、≥2 RJ45、≥1 OPS接口、≥1 RS232；</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30.配件要求：含无线同屏器1个、智能笔1支</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18</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86寸移动支架</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86寸移动支架</w:t>
            </w:r>
          </w:p>
          <w:p>
            <w:pPr>
              <w:widowControl/>
              <w:jc w:val="left"/>
              <w:rPr>
                <w:rFonts w:ascii="宋体" w:hAnsi="宋体" w:cs="宋体"/>
                <w:color w:val="auto"/>
                <w:kern w:val="0"/>
                <w:sz w:val="22"/>
                <w:szCs w:val="22"/>
              </w:rPr>
            </w:pPr>
            <w:r>
              <w:rPr>
                <w:rFonts w:hint="eastAsia" w:ascii="宋体" w:hAnsi="宋体" w:cs="宋体"/>
                <w:color w:val="auto"/>
                <w:kern w:val="0"/>
                <w:sz w:val="22"/>
                <w:szCs w:val="22"/>
              </w:rPr>
              <w:t>支持旋转、移动</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19</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展厅中控系统</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100%一键开馆、100%一键闭馆、设备分项独立开关及反馈、视频播放、电源开关、灯光开关等功能</w:t>
            </w:r>
            <w:r>
              <w:rPr>
                <w:rFonts w:hint="eastAsia" w:ascii="宋体" w:hAnsi="宋体" w:cs="宋体"/>
                <w:color w:val="auto"/>
                <w:kern w:val="0"/>
                <w:sz w:val="22"/>
                <w:szCs w:val="22"/>
              </w:rPr>
              <w:br w:type="textWrapping"/>
            </w:r>
            <w:r>
              <w:rPr>
                <w:rFonts w:hint="eastAsia" w:ascii="宋体" w:hAnsi="宋体" w:cs="宋体"/>
                <w:color w:val="auto"/>
                <w:kern w:val="0"/>
                <w:sz w:val="22"/>
                <w:szCs w:val="22"/>
              </w:rPr>
              <w:t>01、整个控制系统具有100%一键开馆或一键闭馆；</w:t>
            </w:r>
            <w:r>
              <w:rPr>
                <w:rFonts w:hint="eastAsia" w:ascii="宋体" w:hAnsi="宋体" w:cs="宋体"/>
                <w:color w:val="auto"/>
                <w:kern w:val="0"/>
                <w:sz w:val="22"/>
                <w:szCs w:val="22"/>
              </w:rPr>
              <w:br w:type="textWrapping"/>
            </w:r>
            <w:r>
              <w:rPr>
                <w:rFonts w:hint="eastAsia" w:ascii="宋体" w:hAnsi="宋体" w:cs="宋体"/>
                <w:color w:val="auto"/>
                <w:kern w:val="0"/>
                <w:sz w:val="22"/>
                <w:szCs w:val="22"/>
              </w:rPr>
              <w:t>02、一键总开关具有实时进度提示功能，比如当前开馆状态为80%，闭馆状态为60%；</w:t>
            </w:r>
            <w:r>
              <w:rPr>
                <w:rFonts w:hint="eastAsia" w:ascii="宋体" w:hAnsi="宋体" w:cs="宋体"/>
                <w:color w:val="auto"/>
                <w:kern w:val="0"/>
                <w:sz w:val="22"/>
                <w:szCs w:val="22"/>
              </w:rPr>
              <w:br w:type="textWrapping"/>
            </w:r>
            <w:r>
              <w:rPr>
                <w:rFonts w:hint="eastAsia" w:ascii="宋体" w:hAnsi="宋体" w:cs="宋体"/>
                <w:color w:val="auto"/>
                <w:kern w:val="0"/>
                <w:sz w:val="22"/>
                <w:szCs w:val="22"/>
              </w:rPr>
              <w:t>03、WIFI联机标志功能，在平板的右上角有个WIFI联机标志，绿色表示通讯正常；</w:t>
            </w:r>
            <w:r>
              <w:rPr>
                <w:rFonts w:hint="eastAsia" w:ascii="宋体" w:hAnsi="宋体" w:cs="宋体"/>
                <w:color w:val="auto"/>
                <w:kern w:val="0"/>
                <w:sz w:val="22"/>
                <w:szCs w:val="22"/>
              </w:rPr>
              <w:br w:type="textWrapping"/>
            </w:r>
            <w:r>
              <w:rPr>
                <w:rFonts w:hint="eastAsia" w:ascii="宋体" w:hAnsi="宋体" w:cs="宋体"/>
                <w:color w:val="auto"/>
                <w:kern w:val="0"/>
                <w:sz w:val="22"/>
                <w:szCs w:val="22"/>
              </w:rPr>
              <w:t>04、C语言脚本编程，各种逻辑运算及函数，适应各种复杂环境的AV设备控制；</w:t>
            </w:r>
            <w:r>
              <w:rPr>
                <w:rFonts w:hint="eastAsia" w:ascii="宋体" w:hAnsi="宋体" w:cs="宋体"/>
                <w:color w:val="auto"/>
                <w:kern w:val="0"/>
                <w:sz w:val="22"/>
                <w:szCs w:val="22"/>
              </w:rPr>
              <w:br w:type="textWrapping"/>
            </w:r>
            <w:r>
              <w:rPr>
                <w:rFonts w:hint="eastAsia" w:ascii="宋体" w:hAnsi="宋体" w:cs="宋体"/>
                <w:color w:val="auto"/>
                <w:kern w:val="0"/>
                <w:sz w:val="22"/>
                <w:szCs w:val="22"/>
              </w:rPr>
              <w:t>05、所有的播放主机、电视、投影、大屏等设备全部采用全物理实时探测开关技术；</w:t>
            </w:r>
            <w:r>
              <w:rPr>
                <w:rFonts w:hint="eastAsia" w:ascii="宋体" w:hAnsi="宋体" w:cs="宋体"/>
                <w:color w:val="auto"/>
                <w:kern w:val="0"/>
                <w:sz w:val="22"/>
                <w:szCs w:val="22"/>
              </w:rPr>
              <w:br w:type="textWrapping"/>
            </w:r>
            <w:r>
              <w:rPr>
                <w:rFonts w:hint="eastAsia" w:ascii="宋体" w:hAnsi="宋体" w:cs="宋体"/>
                <w:color w:val="auto"/>
                <w:kern w:val="0"/>
                <w:sz w:val="22"/>
                <w:szCs w:val="22"/>
              </w:rPr>
              <w:t>06、所有的设备开关机状态数据自动存入中控系统对应编号内存，且驱动PAD显示；</w:t>
            </w:r>
            <w:r>
              <w:rPr>
                <w:rFonts w:hint="eastAsia" w:ascii="宋体" w:hAnsi="宋体" w:cs="宋体"/>
                <w:color w:val="auto"/>
                <w:kern w:val="0"/>
                <w:sz w:val="22"/>
                <w:szCs w:val="22"/>
              </w:rPr>
              <w:br w:type="textWrapping"/>
            </w:r>
            <w:r>
              <w:rPr>
                <w:rFonts w:hint="eastAsia" w:ascii="宋体" w:hAnsi="宋体" w:cs="宋体"/>
                <w:color w:val="auto"/>
                <w:kern w:val="0"/>
                <w:sz w:val="22"/>
                <w:szCs w:val="22"/>
              </w:rPr>
              <w:t>07、所有的开关数据实时写入内存的同时数据实时备份，掉电开关状态不会丢失；</w:t>
            </w:r>
            <w:r>
              <w:rPr>
                <w:rFonts w:hint="eastAsia" w:ascii="宋体" w:hAnsi="宋体" w:cs="宋体"/>
                <w:color w:val="auto"/>
                <w:kern w:val="0"/>
                <w:sz w:val="22"/>
                <w:szCs w:val="22"/>
              </w:rPr>
              <w:br w:type="textWrapping"/>
            </w:r>
            <w:r>
              <w:rPr>
                <w:rFonts w:hint="eastAsia" w:ascii="宋体" w:hAnsi="宋体" w:cs="宋体"/>
                <w:color w:val="auto"/>
                <w:kern w:val="0"/>
                <w:sz w:val="22"/>
                <w:szCs w:val="22"/>
              </w:rPr>
              <w:t>08、所有的被探测的设备人为的去开关或断电，一网融合中控系统均能体现状态；</w:t>
            </w:r>
            <w:r>
              <w:rPr>
                <w:rFonts w:hint="eastAsia" w:ascii="宋体" w:hAnsi="宋体" w:cs="宋体"/>
                <w:color w:val="auto"/>
                <w:kern w:val="0"/>
                <w:sz w:val="22"/>
                <w:szCs w:val="22"/>
              </w:rPr>
              <w:br w:type="textWrapping"/>
            </w:r>
            <w:r>
              <w:rPr>
                <w:rFonts w:hint="eastAsia" w:ascii="宋体" w:hAnsi="宋体" w:cs="宋体"/>
                <w:color w:val="auto"/>
                <w:kern w:val="0"/>
                <w:sz w:val="22"/>
                <w:szCs w:val="22"/>
              </w:rPr>
              <w:t>09、APP关闭或重启自动从内存抄回所有的开关状态数据，确保与实际状态一致；</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10、整个控制系统具有自动备份，断电、重启数据自动恢复功能，确保开关状态一致；</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11、整个控制系统具有电脑状态+开关按钮双重状态反馈显示功能；开关状态一目了然；</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12、整个控制系统UI界面支持2K 2048*1536高清分辨率或与PAD一比一素材编辑；</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13、整个控制系统支持不少于100个动态子页设计、编辑、布局、排版、动画效果；</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14、整个控制系统具有一网融合控制能力，包括网络唤醒开机、关机、素材播控；</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15、一网融合播控兼容影片\幻灯片\图片\可执行文件\网页\流媒体等各种素材播控；</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16、支持各种感应器、探测器、控制器及第三方设备多种协议方式接入控制；</w:t>
            </w:r>
          </w:p>
          <w:p>
            <w:pPr>
              <w:pStyle w:val="2"/>
              <w:rPr>
                <w:rFonts w:ascii="宋体" w:hAnsi="宋体" w:cs="宋体"/>
                <w:color w:val="auto"/>
                <w:sz w:val="22"/>
                <w:szCs w:val="22"/>
              </w:rPr>
            </w:pPr>
            <w:r>
              <w:rPr>
                <w:rFonts w:hint="eastAsia" w:ascii="宋体" w:hAnsi="宋体" w:cs="宋体"/>
                <w:color w:val="auto"/>
                <w:kern w:val="0"/>
                <w:sz w:val="22"/>
                <w:szCs w:val="22"/>
              </w:rPr>
              <w:t>17、展播控软件：基于Windows系统，支持WIN7\8\10等操作系统，基于中控系统程序作主机端对于视频、PPT、图片、开关机播控控制，支持TCP/UDP控制协议，支持RS232\RS485控制协议，运维系统集中控制；</w:t>
            </w:r>
            <w:r>
              <w:rPr>
                <w:rFonts w:hint="eastAsia" w:ascii="宋体" w:hAnsi="宋体" w:cs="宋体"/>
                <w:color w:val="auto"/>
                <w:kern w:val="0"/>
                <w:sz w:val="22"/>
                <w:szCs w:val="22"/>
              </w:rPr>
              <w:br w:type="textWrapping"/>
            </w:r>
            <w:r>
              <w:rPr>
                <w:rFonts w:hint="eastAsia" w:ascii="宋体" w:hAnsi="宋体" w:cs="宋体"/>
                <w:color w:val="auto"/>
                <w:kern w:val="0"/>
                <w:sz w:val="22"/>
                <w:szCs w:val="22"/>
              </w:rPr>
              <w:t>18、控制端UI界面编程定制开发，按客户指定UI界面效果。根据客户实际操作内容编写控制。满足整体设备开关、点播、流程控制。实现声光电一体化控制无限级扩展功能。支持 Android、IOS 操作系统、支持软件第二次开发、平面处理、多层分级菜单、滑动菜单、控制内容制作。控制界面 UI、图形菜单。</w:t>
            </w:r>
            <w:r>
              <w:rPr>
                <w:rFonts w:hint="eastAsia" w:ascii="宋体" w:hAnsi="宋体" w:cs="宋体"/>
                <w:color w:val="auto"/>
                <w:kern w:val="0"/>
                <w:sz w:val="22"/>
                <w:szCs w:val="22"/>
              </w:rPr>
              <w:br w:type="textWrapping"/>
            </w:r>
            <w:r>
              <w:rPr>
                <w:rFonts w:hint="eastAsia" w:ascii="宋体" w:hAnsi="宋体" w:cs="宋体"/>
                <w:color w:val="auto"/>
                <w:sz w:val="22"/>
                <w:szCs w:val="22"/>
              </w:rPr>
              <w:t>19、含6台或以上8路灯光控制模块、2台控制平板等配套设备</w:t>
            </w:r>
            <w:r>
              <w:rPr>
                <w:rFonts w:hint="eastAsia" w:ascii="宋体" w:hAnsi="宋体" w:cs="宋体"/>
                <w:color w:val="auto"/>
                <w:kern w:val="0"/>
                <w:sz w:val="22"/>
                <w:szCs w:val="22"/>
              </w:rPr>
              <w:br w:type="textWrapping"/>
            </w:r>
            <w:r>
              <w:rPr>
                <w:rFonts w:hint="eastAsia" w:ascii="宋体" w:hAnsi="宋体" w:cs="宋体"/>
                <w:color w:val="auto"/>
                <w:sz w:val="22"/>
                <w:szCs w:val="22"/>
              </w:rPr>
              <w:t>20、</w:t>
            </w:r>
            <w:r>
              <w:rPr>
                <w:rFonts w:hint="eastAsia" w:ascii="宋体" w:hAnsi="宋体" w:cs="宋体"/>
                <w:b/>
                <w:bCs/>
                <w:color w:val="auto"/>
                <w:sz w:val="22"/>
                <w:szCs w:val="22"/>
              </w:rPr>
              <w:t>投标时提供原厂中控软件著作权证明文件</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AC控制器</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最大管理AP数≥64，本次实配AP管理数≥xx；WAN 2*GE+LAN 6*GE+ 2* SFP+；支持网关特性；支持分层AC架构；支持NAT、PPPoE、DDNS、SSL VPN、IPSEC VPN、GRE；集中转发性能≥4Gbps</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21</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吸顶无线AP</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整机最大接入速率可达≥7.2Gbps; ≥2个（1个100/1000M/2.5G电口，1个10/100/1000M电口支持PoE out对外供电，可用于扩展物联网）+1个Console口+1个USB接口;POE:802.3bt/at供电,本地供电：支持54V DC;发射功率(单路最大)：≥20dBm</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22</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吸顶无线AP</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整机协商速率≥2.975Gbps，5G射频速率≥2.4G，2.4G射频速率≥0.575G，可同时工作在802.11a/b/g/n/ac/ac wave2/ax模式，固化≥1个10M/100M/1000M电口</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23</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24口POE交换机</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千兆管理型交换机；交换容量≥336Gbps，包转发率≥92Mpps，24GE（电）+4SFP +1个Console口，总POE输出功率370W</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24口千兆交换机</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千兆管理型交换机；交换容量：≥336Gbps，包转发率：≥92Mpps，24千兆(电)+4千兆SFP(光)</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25</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机柜</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42U机柜</w:t>
            </w:r>
          </w:p>
        </w:tc>
      </w:tr>
      <w:tr>
        <w:tblPrEx>
          <w:tblCellMar>
            <w:top w:w="0" w:type="dxa"/>
            <w:left w:w="108" w:type="dxa"/>
            <w:bottom w:w="0" w:type="dxa"/>
            <w:right w:w="108" w:type="dxa"/>
          </w:tblCellMar>
        </w:tblPrEx>
        <w:trPr>
          <w:trHeight w:val="495" w:hRule="atLeast"/>
        </w:trPr>
        <w:tc>
          <w:tcPr>
            <w:tcW w:w="110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26</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线材辅材</w:t>
            </w:r>
          </w:p>
        </w:tc>
        <w:tc>
          <w:tcPr>
            <w:tcW w:w="6536" w:type="dxa"/>
            <w:tcBorders>
              <w:top w:val="nil"/>
              <w:left w:val="nil"/>
              <w:bottom w:val="single" w:color="auto" w:sz="4" w:space="0"/>
              <w:right w:val="single" w:color="auto" w:sz="4" w:space="0"/>
            </w:tcBorders>
            <w:shd w:val="clear" w:color="auto" w:fill="auto"/>
          </w:tcPr>
          <w:p>
            <w:pPr>
              <w:widowControl/>
              <w:jc w:val="left"/>
              <w:rPr>
                <w:rFonts w:ascii="宋体" w:hAnsi="宋体" w:cs="宋体"/>
                <w:color w:val="auto"/>
                <w:kern w:val="0"/>
                <w:sz w:val="22"/>
                <w:szCs w:val="22"/>
              </w:rPr>
            </w:pPr>
            <w:r>
              <w:rPr>
                <w:rFonts w:hint="eastAsia" w:ascii="宋体" w:hAnsi="宋体" w:cs="宋体"/>
                <w:color w:val="auto"/>
                <w:kern w:val="0"/>
                <w:sz w:val="22"/>
                <w:szCs w:val="22"/>
              </w:rPr>
              <w:t>线材、跳线、接头等辅材</w:t>
            </w:r>
          </w:p>
        </w:tc>
      </w:tr>
    </w:tbl>
    <w:p>
      <w:pPr>
        <w:pStyle w:val="143"/>
        <w:spacing w:line="360" w:lineRule="auto"/>
        <w:ind w:firstLine="420"/>
        <w:rPr>
          <w:rFonts w:hint="default" w:ascii="宋体" w:hAnsi="宋体"/>
          <w:b/>
          <w:bCs/>
          <w:color w:val="auto"/>
          <w:szCs w:val="21"/>
          <w:lang w:val="en-US" w:eastAsia="zh-CN" w:bidi="ar"/>
        </w:rPr>
      </w:pPr>
      <w:r>
        <w:rPr>
          <w:rFonts w:hint="eastAsia" w:ascii="宋体" w:hAnsi="宋体"/>
          <w:b/>
          <w:bCs/>
          <w:color w:val="auto"/>
          <w:szCs w:val="21"/>
          <w:lang w:val="en-US" w:eastAsia="zh-CN" w:bidi="ar"/>
        </w:rPr>
        <w:t>注：</w:t>
      </w:r>
      <w:r>
        <w:rPr>
          <w:rFonts w:hint="default" w:ascii="宋体" w:hAnsi="宋体"/>
          <w:b/>
          <w:bCs/>
          <w:color w:val="auto"/>
          <w:szCs w:val="21"/>
          <w:lang w:val="en-US" w:eastAsia="zh-CN" w:bidi="ar"/>
        </w:rPr>
        <w:t>本</w:t>
      </w:r>
      <w:r>
        <w:rPr>
          <w:rFonts w:hint="eastAsia" w:ascii="宋体" w:hAnsi="宋体"/>
          <w:b/>
          <w:bCs/>
          <w:color w:val="auto"/>
          <w:szCs w:val="21"/>
          <w:lang w:val="en-US" w:eastAsia="zh-CN" w:bidi="ar"/>
        </w:rPr>
        <w:t>标段服务内容包括</w:t>
      </w:r>
      <w:r>
        <w:rPr>
          <w:rFonts w:hint="default" w:ascii="宋体" w:hAnsi="宋体"/>
          <w:b/>
          <w:bCs/>
          <w:color w:val="auto"/>
          <w:szCs w:val="21"/>
          <w:lang w:val="en-US" w:eastAsia="zh-CN" w:bidi="ar"/>
        </w:rPr>
        <w:t>定制</w:t>
      </w:r>
      <w:r>
        <w:rPr>
          <w:rFonts w:hint="eastAsia" w:ascii="宋体" w:hAnsi="宋体"/>
          <w:b/>
          <w:bCs/>
          <w:color w:val="auto"/>
          <w:szCs w:val="21"/>
          <w:lang w:val="en-US" w:eastAsia="zh-CN" w:bidi="ar"/>
        </w:rPr>
        <w:t>化多媒体设备</w:t>
      </w:r>
      <w:r>
        <w:rPr>
          <w:rFonts w:hint="default" w:ascii="宋体" w:hAnsi="宋体"/>
          <w:b/>
          <w:bCs/>
          <w:color w:val="auto"/>
          <w:szCs w:val="21"/>
          <w:lang w:val="en-US" w:eastAsia="zh-CN" w:bidi="ar"/>
        </w:rPr>
        <w:t>安装服务</w:t>
      </w:r>
      <w:r>
        <w:rPr>
          <w:rFonts w:hint="eastAsia" w:ascii="宋体" w:hAnsi="宋体"/>
          <w:b/>
          <w:bCs/>
          <w:color w:val="auto"/>
          <w:szCs w:val="21"/>
          <w:lang w:val="en-US" w:eastAsia="zh-CN" w:bidi="ar"/>
        </w:rPr>
        <w:t>、珠海市中级人民法院审判大楼14层（或甲方指定地点）的</w:t>
      </w:r>
      <w:r>
        <w:rPr>
          <w:rFonts w:hint="default" w:ascii="宋体" w:hAnsi="宋体"/>
          <w:b/>
          <w:bCs/>
          <w:color w:val="auto"/>
          <w:szCs w:val="21"/>
          <w:lang w:val="en-US" w:eastAsia="zh-CN" w:bidi="ar"/>
        </w:rPr>
        <w:t>无线网络设计安装及调试</w:t>
      </w:r>
      <w:r>
        <w:rPr>
          <w:rFonts w:hint="eastAsia" w:ascii="宋体" w:hAnsi="宋体"/>
          <w:b/>
          <w:bCs/>
          <w:color w:val="auto"/>
          <w:szCs w:val="21"/>
          <w:lang w:val="en-US" w:eastAsia="zh-CN" w:bidi="ar"/>
        </w:rPr>
        <w:t>、</w:t>
      </w:r>
      <w:r>
        <w:rPr>
          <w:rFonts w:hint="default" w:ascii="宋体" w:hAnsi="宋体"/>
          <w:b/>
          <w:bCs/>
          <w:color w:val="auto"/>
          <w:szCs w:val="21"/>
          <w:lang w:val="en-US" w:eastAsia="zh-CN" w:bidi="ar"/>
        </w:rPr>
        <w:t>网络布线等</w:t>
      </w:r>
      <w:r>
        <w:rPr>
          <w:rFonts w:hint="eastAsia" w:ascii="宋体" w:hAnsi="宋体"/>
          <w:b/>
          <w:bCs/>
          <w:color w:val="auto"/>
          <w:szCs w:val="21"/>
          <w:lang w:val="en-US" w:eastAsia="zh-CN" w:bidi="ar"/>
        </w:rPr>
        <w:t>服务内容</w:t>
      </w:r>
      <w:r>
        <w:rPr>
          <w:rFonts w:hint="default" w:ascii="宋体" w:hAnsi="宋体"/>
          <w:b/>
          <w:bCs/>
          <w:color w:val="auto"/>
          <w:szCs w:val="21"/>
          <w:lang w:val="en-US" w:eastAsia="zh-CN" w:bidi="ar"/>
        </w:rPr>
        <w:t>。</w:t>
      </w:r>
      <w:r>
        <w:rPr>
          <w:rFonts w:hint="eastAsia" w:ascii="宋体" w:hAnsi="宋体"/>
          <w:b/>
          <w:bCs/>
          <w:color w:val="auto"/>
          <w:szCs w:val="21"/>
          <w:lang w:val="en-US" w:eastAsia="zh-CN" w:bidi="ar"/>
        </w:rPr>
        <w:t>投标人配置的项目</w:t>
      </w:r>
      <w:r>
        <w:rPr>
          <w:rFonts w:hint="default" w:ascii="宋体" w:hAnsi="宋体"/>
          <w:b/>
          <w:bCs/>
          <w:color w:val="auto"/>
          <w:szCs w:val="21"/>
          <w:lang w:val="en-US" w:eastAsia="zh-CN" w:bidi="ar"/>
        </w:rPr>
        <w:t>团队实施人员</w:t>
      </w:r>
      <w:r>
        <w:rPr>
          <w:rFonts w:hint="eastAsia" w:ascii="宋体" w:hAnsi="宋体"/>
          <w:b/>
          <w:bCs/>
          <w:color w:val="auto"/>
          <w:szCs w:val="21"/>
          <w:lang w:val="en-US" w:eastAsia="zh-CN" w:bidi="ar"/>
        </w:rPr>
        <w:t>中还应配置具备</w:t>
      </w:r>
      <w:r>
        <w:rPr>
          <w:rFonts w:hint="default" w:ascii="宋体" w:hAnsi="宋体"/>
          <w:b/>
          <w:bCs/>
          <w:color w:val="auto"/>
          <w:szCs w:val="21"/>
          <w:lang w:val="en-US" w:eastAsia="zh-CN" w:bidi="ar"/>
        </w:rPr>
        <w:t>弱电施工</w:t>
      </w:r>
      <w:r>
        <w:rPr>
          <w:rFonts w:hint="eastAsia" w:ascii="宋体" w:hAnsi="宋体"/>
          <w:b/>
          <w:bCs/>
          <w:color w:val="auto"/>
          <w:szCs w:val="21"/>
          <w:lang w:val="en-US" w:eastAsia="zh-CN" w:bidi="ar"/>
        </w:rPr>
        <w:t>经验</w:t>
      </w:r>
      <w:r>
        <w:rPr>
          <w:rFonts w:hint="default" w:ascii="宋体" w:hAnsi="宋体"/>
          <w:b/>
          <w:bCs/>
          <w:color w:val="auto"/>
          <w:szCs w:val="21"/>
          <w:lang w:val="en-US" w:eastAsia="zh-CN" w:bidi="ar"/>
        </w:rPr>
        <w:t>、机房设备的设计实施或者网络设计等经验</w:t>
      </w:r>
      <w:r>
        <w:rPr>
          <w:rFonts w:hint="eastAsia" w:ascii="宋体" w:hAnsi="宋体"/>
          <w:b/>
          <w:bCs/>
          <w:color w:val="auto"/>
          <w:szCs w:val="21"/>
          <w:lang w:val="en-US" w:eastAsia="zh-CN" w:bidi="ar"/>
        </w:rPr>
        <w:t>的人员。</w:t>
      </w:r>
    </w:p>
    <w:p>
      <w:pPr>
        <w:pStyle w:val="143"/>
        <w:spacing w:line="360" w:lineRule="auto"/>
        <w:ind w:firstLine="420"/>
        <w:rPr>
          <w:rFonts w:ascii="宋体" w:hAnsi="宋体"/>
          <w:b/>
          <w:bCs/>
          <w:szCs w:val="21"/>
          <w:lang w:bidi="ar"/>
        </w:rPr>
      </w:pPr>
      <w:r>
        <w:rPr>
          <w:rFonts w:hint="eastAsia" w:ascii="宋体" w:hAnsi="宋体"/>
          <w:b/>
          <w:bCs/>
          <w:szCs w:val="21"/>
          <w:lang w:bidi="ar"/>
        </w:rPr>
        <w:t>四、商务要求</w:t>
      </w:r>
    </w:p>
    <w:p>
      <w:pPr>
        <w:pStyle w:val="143"/>
        <w:spacing w:line="360" w:lineRule="auto"/>
        <w:ind w:firstLine="422"/>
        <w:rPr>
          <w:rFonts w:hint="eastAsia" w:ascii="宋体" w:hAnsi="宋体"/>
          <w:b/>
          <w:bCs/>
          <w:szCs w:val="21"/>
          <w:lang w:bidi="ar"/>
        </w:rPr>
      </w:pPr>
      <w:r>
        <w:rPr>
          <w:rFonts w:hint="eastAsia" w:ascii="宋体" w:hAnsi="宋体"/>
          <w:b/>
          <w:bCs/>
          <w:szCs w:val="21"/>
          <w:lang w:bidi="ar"/>
        </w:rPr>
        <w:t>（一）供货要求</w:t>
      </w:r>
    </w:p>
    <w:p>
      <w:pPr>
        <w:pStyle w:val="143"/>
        <w:spacing w:line="360" w:lineRule="auto"/>
        <w:ind w:firstLine="420"/>
        <w:rPr>
          <w:rFonts w:hint="eastAsia" w:ascii="宋体" w:hAnsi="宋体" w:eastAsia="宋体" w:cs="宋体"/>
          <w:szCs w:val="21"/>
        </w:rPr>
      </w:pPr>
      <w:r>
        <w:rPr>
          <w:rFonts w:hint="eastAsia" w:ascii="宋体" w:hAnsi="宋体" w:eastAsia="宋体" w:cs="宋体"/>
          <w:szCs w:val="21"/>
        </w:rPr>
        <w:t>★多媒体设备租赁服务：</w:t>
      </w:r>
    </w:p>
    <w:p>
      <w:pPr>
        <w:pStyle w:val="143"/>
        <w:spacing w:line="360" w:lineRule="auto"/>
        <w:ind w:firstLine="420"/>
        <w:rPr>
          <w:rFonts w:hint="eastAsia"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本项目的主要多媒体设备均为租赁服务。</w:t>
      </w:r>
    </w:p>
    <w:p>
      <w:pPr>
        <w:pStyle w:val="143"/>
        <w:spacing w:line="360" w:lineRule="auto"/>
        <w:ind w:firstLine="420"/>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首个租赁期的初始设备必须为全新产品。</w:t>
      </w:r>
    </w:p>
    <w:p>
      <w:pPr>
        <w:pStyle w:val="143"/>
        <w:spacing w:line="360" w:lineRule="auto"/>
        <w:ind w:firstLine="420"/>
        <w:rPr>
          <w:szCs w:val="18"/>
        </w:rPr>
      </w:pPr>
      <w:r>
        <w:rPr>
          <w:rFonts w:hint="eastAsia" w:ascii="宋体" w:hAnsi="宋体" w:eastAsia="宋体" w:cs="宋体"/>
          <w:szCs w:val="21"/>
          <w:lang w:val="en-US" w:eastAsia="zh-CN"/>
        </w:rPr>
        <w:t>3.</w:t>
      </w:r>
      <w:r>
        <w:rPr>
          <w:rFonts w:hint="eastAsia" w:ascii="宋体" w:hAnsi="宋体" w:eastAsia="宋体" w:cs="宋体"/>
          <w:szCs w:val="21"/>
        </w:rPr>
        <w:t>多媒体设备的租赁期不低于5年，</w:t>
      </w:r>
      <w:bookmarkStart w:id="502" w:name="_Hlk130580003"/>
      <w:r>
        <w:rPr>
          <w:rFonts w:hint="eastAsia" w:ascii="宋体" w:hAnsi="宋体" w:eastAsia="宋体" w:cs="宋体"/>
          <w:szCs w:val="21"/>
        </w:rPr>
        <w:t>前2年中标人负责免费维护</w:t>
      </w:r>
      <w:r>
        <w:rPr>
          <w:rFonts w:hint="eastAsia" w:ascii="宋体" w:hAnsi="宋体" w:eastAsia="宋体" w:cs="宋体"/>
          <w:szCs w:val="21"/>
          <w:lang w:eastAsia="zh-CN"/>
        </w:rPr>
        <w:t>，</w:t>
      </w:r>
      <w:r>
        <w:rPr>
          <w:rFonts w:hint="eastAsia" w:ascii="宋体" w:hAnsi="宋体" w:eastAsia="宋体" w:cs="宋体"/>
          <w:szCs w:val="21"/>
          <w:lang w:val="en-US" w:eastAsia="zh-CN"/>
        </w:rPr>
        <w:t>租赁期结束后若</w:t>
      </w:r>
      <w:r>
        <w:rPr>
          <w:rFonts w:hint="eastAsia" w:ascii="宋体" w:hAnsi="宋体" w:cs="宋体"/>
          <w:szCs w:val="21"/>
          <w:lang w:val="en-US" w:eastAsia="zh-CN"/>
        </w:rPr>
        <w:t>招标人</w:t>
      </w:r>
      <w:r>
        <w:rPr>
          <w:rFonts w:hint="eastAsia" w:ascii="宋体" w:hAnsi="宋体" w:eastAsia="宋体" w:cs="宋体"/>
          <w:szCs w:val="21"/>
          <w:lang w:val="en-US" w:eastAsia="zh-CN"/>
        </w:rPr>
        <w:t>不再使用本项目中的多媒体设备，则由中标人负责处理或回收多媒体设备。</w:t>
      </w:r>
    </w:p>
    <w:bookmarkEnd w:id="502"/>
    <w:p>
      <w:pPr>
        <w:pStyle w:val="143"/>
        <w:spacing w:line="360" w:lineRule="auto"/>
        <w:ind w:firstLine="420"/>
        <w:rPr>
          <w:rFonts w:hint="eastAsia" w:ascii="宋体" w:hAnsi="宋体"/>
          <w:b/>
          <w:bCs/>
          <w:szCs w:val="21"/>
          <w:lang w:bidi="ar"/>
        </w:rPr>
      </w:pPr>
      <w:r>
        <w:rPr>
          <w:rFonts w:hint="eastAsia" w:ascii="宋体" w:hAnsi="宋体"/>
          <w:b/>
          <w:bCs/>
          <w:szCs w:val="21"/>
          <w:lang w:bidi="ar"/>
        </w:rPr>
        <w:t>（二）报价要求</w:t>
      </w:r>
    </w:p>
    <w:p>
      <w:pPr>
        <w:pStyle w:val="143"/>
        <w:spacing w:line="360" w:lineRule="auto"/>
        <w:ind w:firstLine="420"/>
        <w:rPr>
          <w:rFonts w:ascii="宋体" w:hAnsi="宋体" w:cs="宋体"/>
          <w:szCs w:val="21"/>
        </w:rPr>
      </w:pPr>
      <w:r>
        <w:rPr>
          <w:rFonts w:hint="eastAsia" w:ascii="宋体" w:hAnsi="宋体" w:cs="宋体"/>
          <w:szCs w:val="21"/>
        </w:rPr>
        <w:t>供应商报价包括设计、安装、随机零配件、标配工具、运输保险、调试、培训、质保期服务、各项税费及合同实施过程上中不可预见费用等。</w:t>
      </w:r>
    </w:p>
    <w:p>
      <w:pPr>
        <w:pStyle w:val="143"/>
        <w:spacing w:line="360" w:lineRule="auto"/>
        <w:ind w:firstLine="420"/>
        <w:rPr>
          <w:rFonts w:ascii="宋体" w:hAnsi="宋体"/>
          <w:b/>
          <w:bCs/>
          <w:szCs w:val="21"/>
          <w:lang w:bidi="ar"/>
        </w:rPr>
      </w:pPr>
      <w:r>
        <w:rPr>
          <w:rFonts w:hint="eastAsia" w:ascii="宋体" w:hAnsi="宋体"/>
          <w:b/>
          <w:bCs/>
          <w:szCs w:val="21"/>
          <w:lang w:bidi="ar"/>
        </w:rPr>
        <w:t>（三）售后服务要求</w:t>
      </w:r>
    </w:p>
    <w:p>
      <w:pPr>
        <w:pStyle w:val="143"/>
        <w:spacing w:line="360" w:lineRule="auto"/>
        <w:ind w:firstLine="420"/>
        <w:rPr>
          <w:rFonts w:ascii="宋体" w:hAnsi="宋体"/>
          <w:szCs w:val="21"/>
          <w:lang w:bidi="ar"/>
        </w:rPr>
      </w:pPr>
      <w:r>
        <w:rPr>
          <w:rFonts w:hint="eastAsia" w:ascii="宋体" w:hAnsi="宋体"/>
          <w:szCs w:val="21"/>
          <w:lang w:bidi="ar"/>
        </w:rPr>
        <w:t>供应商应提供本项目用户所在地有效的技术培训及售后服务承诺书，承诺内容须包含但不限于以下条款：</w:t>
      </w:r>
    </w:p>
    <w:p>
      <w:pPr>
        <w:pStyle w:val="143"/>
        <w:numPr>
          <w:ilvl w:val="0"/>
          <w:numId w:val="11"/>
        </w:numPr>
        <w:spacing w:line="360" w:lineRule="auto"/>
        <w:ind w:left="0" w:firstLine="426"/>
        <w:rPr>
          <w:rFonts w:ascii="宋体" w:hAnsi="宋体"/>
          <w:szCs w:val="21"/>
          <w:lang w:bidi="ar"/>
        </w:rPr>
      </w:pPr>
      <w:r>
        <w:rPr>
          <w:rFonts w:hint="eastAsia" w:ascii="宋体" w:hAnsi="宋体"/>
          <w:szCs w:val="21"/>
          <w:lang w:bidi="ar"/>
        </w:rPr>
        <w:t>质保期：提供至少</w:t>
      </w:r>
      <w:r>
        <w:rPr>
          <w:rFonts w:ascii="宋体" w:hAnsi="宋体"/>
          <w:szCs w:val="21"/>
          <w:lang w:bidi="ar"/>
        </w:rPr>
        <w:t>2</w:t>
      </w:r>
      <w:r>
        <w:rPr>
          <w:rFonts w:hint="eastAsia" w:ascii="宋体" w:hAnsi="宋体"/>
          <w:szCs w:val="21"/>
          <w:lang w:bidi="ar"/>
        </w:rPr>
        <w:t>年质保期，质保期内提供免费上门服务，质保期自项目验收之日起计算，保修费用已计入总价。</w:t>
      </w:r>
    </w:p>
    <w:p>
      <w:pPr>
        <w:pStyle w:val="143"/>
        <w:numPr>
          <w:ilvl w:val="0"/>
          <w:numId w:val="11"/>
        </w:numPr>
        <w:spacing w:line="360" w:lineRule="auto"/>
        <w:ind w:left="0" w:firstLine="426"/>
        <w:rPr>
          <w:rFonts w:hint="eastAsia" w:ascii="宋体" w:hAnsi="宋体"/>
          <w:szCs w:val="21"/>
          <w:lang w:bidi="ar"/>
        </w:rPr>
      </w:pPr>
      <w:r>
        <w:rPr>
          <w:rFonts w:hint="eastAsia" w:ascii="宋体" w:hAnsi="宋体"/>
          <w:szCs w:val="21"/>
          <w:lang w:bidi="ar"/>
        </w:rPr>
        <w:t>多媒体设备的租赁期不低于5年，前2年中标人负责免费维护</w:t>
      </w:r>
      <w:r>
        <w:rPr>
          <w:rFonts w:hint="eastAsia" w:ascii="宋体" w:hAnsi="宋体"/>
          <w:color w:val="FF0000"/>
          <w:szCs w:val="21"/>
          <w:lang w:bidi="ar"/>
        </w:rPr>
        <w:t>。</w:t>
      </w:r>
    </w:p>
    <w:p>
      <w:pPr>
        <w:pStyle w:val="143"/>
        <w:numPr>
          <w:ilvl w:val="0"/>
          <w:numId w:val="11"/>
        </w:numPr>
        <w:spacing w:line="360" w:lineRule="auto"/>
        <w:ind w:left="0" w:firstLine="426"/>
        <w:rPr>
          <w:rFonts w:ascii="宋体" w:hAnsi="宋体"/>
          <w:szCs w:val="21"/>
          <w:lang w:bidi="ar"/>
        </w:rPr>
      </w:pPr>
      <w:r>
        <w:rPr>
          <w:rFonts w:hint="eastAsia" w:ascii="宋体" w:hAnsi="宋体"/>
          <w:szCs w:val="21"/>
          <w:lang w:bidi="ar"/>
        </w:rPr>
        <w:t>供应商应指派专人负责与</w:t>
      </w:r>
      <w:r>
        <w:rPr>
          <w:rFonts w:hint="eastAsia" w:ascii="宋体" w:hAnsi="宋体"/>
          <w:szCs w:val="21"/>
          <w:lang w:eastAsia="zh-CN" w:bidi="ar"/>
        </w:rPr>
        <w:t>招标人</w:t>
      </w:r>
      <w:r>
        <w:rPr>
          <w:rFonts w:hint="eastAsia" w:ascii="宋体" w:hAnsi="宋体"/>
          <w:szCs w:val="21"/>
          <w:lang w:bidi="ar"/>
        </w:rPr>
        <w:t>联系售后服务事宜。无论因何种原因发生何种故障，供应商在接等通知后，应2小时内响应，若远程技术支持（电话支持、E-mail支持、网络支持等）无法解决故障，供应商须保证在8小时内派人到现场进行处理，并在规定时间内修复故障。</w:t>
      </w:r>
    </w:p>
    <w:p>
      <w:pPr>
        <w:pStyle w:val="143"/>
        <w:numPr>
          <w:ilvl w:val="0"/>
          <w:numId w:val="11"/>
        </w:numPr>
        <w:spacing w:line="360" w:lineRule="auto"/>
        <w:ind w:left="0" w:firstLine="426"/>
        <w:rPr>
          <w:rFonts w:ascii="宋体" w:hAnsi="宋体"/>
          <w:szCs w:val="21"/>
          <w:lang w:bidi="ar"/>
        </w:rPr>
      </w:pPr>
      <w:r>
        <w:rPr>
          <w:rFonts w:hint="eastAsia" w:ascii="宋体" w:hAnsi="宋体"/>
          <w:szCs w:val="21"/>
          <w:lang w:bidi="ar"/>
        </w:rPr>
        <w:t>质保期内，服务均为上门服务，由此产生的费用均不再收取。质保期满后，供应商承诺保证提供良好优惠的售后服务支持。</w:t>
      </w:r>
    </w:p>
    <w:p>
      <w:pPr>
        <w:pStyle w:val="143"/>
        <w:numPr>
          <w:ilvl w:val="0"/>
          <w:numId w:val="11"/>
        </w:numPr>
        <w:spacing w:line="360" w:lineRule="auto"/>
        <w:ind w:left="0" w:firstLine="426"/>
        <w:rPr>
          <w:rFonts w:ascii="宋体" w:hAnsi="宋体"/>
          <w:szCs w:val="21"/>
          <w:lang w:bidi="ar"/>
        </w:rPr>
      </w:pPr>
      <w:r>
        <w:rPr>
          <w:rFonts w:hint="eastAsia" w:ascii="宋体" w:hAnsi="宋体"/>
          <w:szCs w:val="21"/>
          <w:lang w:bidi="ar"/>
        </w:rPr>
        <w:t>提供日常的售后服务支持，包括现场服务、电话服务、邮件服务等，不再收取其他费用。</w:t>
      </w:r>
    </w:p>
    <w:p>
      <w:pPr>
        <w:pStyle w:val="143"/>
        <w:spacing w:line="360" w:lineRule="auto"/>
        <w:ind w:firstLine="420"/>
        <w:rPr>
          <w:rFonts w:ascii="宋体" w:hAnsi="宋体"/>
          <w:b/>
          <w:bCs/>
          <w:szCs w:val="21"/>
          <w:lang w:bidi="ar"/>
        </w:rPr>
      </w:pPr>
      <w:r>
        <w:rPr>
          <w:rFonts w:hint="eastAsia" w:ascii="宋体" w:hAnsi="宋体"/>
          <w:b/>
          <w:bCs/>
          <w:szCs w:val="21"/>
          <w:lang w:bidi="ar"/>
        </w:rPr>
        <w:t>（四）交货期、交货方式及地点</w:t>
      </w:r>
    </w:p>
    <w:p>
      <w:pPr>
        <w:pStyle w:val="143"/>
        <w:numPr>
          <w:ilvl w:val="0"/>
          <w:numId w:val="12"/>
        </w:numPr>
        <w:spacing w:line="360" w:lineRule="auto"/>
        <w:rPr>
          <w:rFonts w:ascii="宋体" w:hAnsi="宋体"/>
          <w:szCs w:val="21"/>
          <w:highlight w:val="none"/>
          <w:lang w:bidi="ar"/>
        </w:rPr>
      </w:pPr>
      <w:r>
        <w:rPr>
          <w:rFonts w:hint="eastAsia" w:ascii="宋体" w:hAnsi="宋体"/>
          <w:szCs w:val="21"/>
          <w:highlight w:val="none"/>
          <w:lang w:bidi="ar"/>
        </w:rPr>
        <w:t>交货时间：在合同签订后（</w:t>
      </w:r>
      <w:r>
        <w:rPr>
          <w:rFonts w:hint="eastAsia" w:ascii="宋体" w:hAnsi="宋体"/>
          <w:szCs w:val="21"/>
          <w:highlight w:val="none"/>
          <w:lang w:val="en-US" w:eastAsia="zh-CN" w:bidi="ar"/>
        </w:rPr>
        <w:t>30</w:t>
      </w:r>
      <w:r>
        <w:rPr>
          <w:rFonts w:hint="eastAsia" w:ascii="宋体" w:hAnsi="宋体"/>
          <w:szCs w:val="21"/>
          <w:highlight w:val="none"/>
          <w:lang w:bidi="ar"/>
        </w:rPr>
        <w:t>）天内完成供货、安装和调试并交付用户单位使用。</w:t>
      </w:r>
    </w:p>
    <w:p>
      <w:pPr>
        <w:pStyle w:val="143"/>
        <w:numPr>
          <w:ilvl w:val="0"/>
          <w:numId w:val="12"/>
        </w:numPr>
        <w:spacing w:line="360" w:lineRule="auto"/>
        <w:ind w:left="0" w:firstLine="426"/>
        <w:rPr>
          <w:rFonts w:ascii="宋体" w:hAnsi="宋体"/>
          <w:szCs w:val="21"/>
          <w:lang w:bidi="ar"/>
        </w:rPr>
      </w:pPr>
      <w:r>
        <w:rPr>
          <w:rFonts w:hint="eastAsia" w:ascii="宋体" w:hAnsi="宋体"/>
          <w:szCs w:val="21"/>
          <w:lang w:bidi="ar"/>
        </w:rPr>
        <w:t>交货地点：</w:t>
      </w:r>
      <w:r>
        <w:rPr>
          <w:rFonts w:hint="eastAsia" w:ascii="宋体" w:hAnsi="宋体"/>
          <w:szCs w:val="21"/>
          <w:lang w:eastAsia="zh-CN" w:bidi="ar"/>
        </w:rPr>
        <w:t>招标人</w:t>
      </w:r>
      <w:r>
        <w:rPr>
          <w:rFonts w:hint="eastAsia" w:ascii="宋体" w:hAnsi="宋体"/>
          <w:szCs w:val="21"/>
          <w:lang w:bidi="ar"/>
        </w:rPr>
        <w:t>指定地点。</w:t>
      </w:r>
    </w:p>
    <w:p>
      <w:pPr>
        <w:pStyle w:val="143"/>
        <w:numPr>
          <w:ilvl w:val="0"/>
          <w:numId w:val="12"/>
        </w:numPr>
        <w:spacing w:line="360" w:lineRule="auto"/>
        <w:ind w:left="0" w:firstLine="426"/>
        <w:rPr>
          <w:rFonts w:ascii="宋体" w:hAnsi="宋体"/>
          <w:szCs w:val="21"/>
          <w:lang w:bidi="ar"/>
        </w:rPr>
      </w:pPr>
      <w:r>
        <w:rPr>
          <w:rFonts w:hint="eastAsia" w:ascii="宋体" w:hAnsi="宋体"/>
          <w:szCs w:val="21"/>
          <w:lang w:bidi="ar"/>
        </w:rPr>
        <w:t>验收时间：项目安装完成验收并经甲方确认合格。</w:t>
      </w:r>
    </w:p>
    <w:p>
      <w:pPr>
        <w:pStyle w:val="143"/>
        <w:numPr>
          <w:ilvl w:val="0"/>
          <w:numId w:val="12"/>
        </w:numPr>
        <w:spacing w:line="360" w:lineRule="auto"/>
        <w:ind w:left="0" w:firstLine="426"/>
        <w:rPr>
          <w:rFonts w:ascii="宋体" w:hAnsi="宋体"/>
          <w:szCs w:val="21"/>
          <w:lang w:bidi="ar"/>
        </w:rPr>
      </w:pPr>
      <w:r>
        <w:rPr>
          <w:rFonts w:hint="eastAsia" w:ascii="宋体" w:hAnsi="宋体"/>
          <w:szCs w:val="21"/>
          <w:lang w:bidi="ar"/>
        </w:rPr>
        <w:t>乙方应将所供物品的用户手册、保修手册、有关资料及配件、随机工具等交付给甲方。</w:t>
      </w:r>
    </w:p>
    <w:p>
      <w:pPr>
        <w:pStyle w:val="143"/>
        <w:spacing w:line="360" w:lineRule="auto"/>
        <w:ind w:firstLine="420"/>
        <w:rPr>
          <w:rFonts w:ascii="宋体" w:hAnsi="宋体"/>
          <w:b/>
          <w:bCs/>
          <w:szCs w:val="21"/>
          <w:lang w:bidi="ar"/>
        </w:rPr>
      </w:pPr>
      <w:r>
        <w:rPr>
          <w:rFonts w:hint="eastAsia" w:ascii="宋体" w:hAnsi="宋体"/>
          <w:b/>
          <w:bCs/>
          <w:szCs w:val="21"/>
          <w:lang w:bidi="ar"/>
        </w:rPr>
        <w:t>（五）验收要求</w:t>
      </w:r>
    </w:p>
    <w:p>
      <w:pPr>
        <w:pStyle w:val="143"/>
        <w:numPr>
          <w:ilvl w:val="0"/>
          <w:numId w:val="13"/>
        </w:numPr>
        <w:spacing w:line="360" w:lineRule="auto"/>
        <w:ind w:left="0" w:firstLine="426"/>
        <w:rPr>
          <w:rFonts w:hint="eastAsia" w:ascii="宋体" w:hAnsi="宋体"/>
          <w:szCs w:val="21"/>
          <w:lang w:bidi="ar"/>
        </w:rPr>
      </w:pPr>
      <w:r>
        <w:rPr>
          <w:rFonts w:hint="eastAsia" w:ascii="宋体" w:hAnsi="宋体"/>
          <w:szCs w:val="21"/>
          <w:lang w:bidi="ar"/>
        </w:rPr>
        <w:t>交付验收标准依次对照适用标准为：符合中华人民共和国国家安全质量标准、环保标准或行业标准；符合甲方认可的合理最佳配置、参数及各项要求。</w:t>
      </w:r>
    </w:p>
    <w:p>
      <w:pPr>
        <w:pStyle w:val="143"/>
        <w:numPr>
          <w:ilvl w:val="0"/>
          <w:numId w:val="13"/>
        </w:numPr>
        <w:spacing w:line="360" w:lineRule="auto"/>
        <w:ind w:left="0" w:firstLine="426"/>
        <w:rPr>
          <w:rFonts w:hint="eastAsia" w:ascii="宋体" w:hAnsi="宋体"/>
          <w:szCs w:val="21"/>
          <w:lang w:bidi="ar"/>
        </w:rPr>
      </w:pPr>
      <w:r>
        <w:rPr>
          <w:rFonts w:hint="eastAsia" w:ascii="宋体" w:hAnsi="宋体"/>
          <w:szCs w:val="21"/>
          <w:lang w:bidi="ar"/>
        </w:rPr>
        <w:t>货物为原厂商未启封全新包装，具出厂合格证，序列号、包装箱号与出厂批号一致, 并可追索查阅。所有随机设备的附件必须齐全。</w:t>
      </w:r>
    </w:p>
    <w:p>
      <w:pPr>
        <w:pStyle w:val="143"/>
        <w:numPr>
          <w:ilvl w:val="0"/>
          <w:numId w:val="13"/>
        </w:numPr>
        <w:spacing w:line="360" w:lineRule="auto"/>
        <w:ind w:left="0" w:firstLine="426"/>
        <w:rPr>
          <w:rFonts w:hint="eastAsia" w:ascii="宋体" w:hAnsi="宋体"/>
          <w:szCs w:val="21"/>
          <w:lang w:bidi="ar"/>
        </w:rPr>
      </w:pPr>
      <w:r>
        <w:rPr>
          <w:rFonts w:hint="eastAsia" w:ascii="宋体" w:hAnsi="宋体"/>
          <w:szCs w:val="21"/>
          <w:lang w:bidi="ar"/>
        </w:rPr>
        <w:t>乙方应将关键主机设备的用户手册、保修手册、有关单证资料及配备件、随机文件等移交甲方。</w:t>
      </w:r>
    </w:p>
    <w:p>
      <w:pPr>
        <w:pStyle w:val="143"/>
        <w:numPr>
          <w:ilvl w:val="0"/>
          <w:numId w:val="13"/>
        </w:numPr>
        <w:spacing w:line="360" w:lineRule="auto"/>
        <w:ind w:left="0" w:firstLine="426"/>
        <w:rPr>
          <w:rFonts w:hint="eastAsia" w:ascii="宋体" w:hAnsi="宋体"/>
          <w:szCs w:val="21"/>
          <w:lang w:bidi="ar"/>
        </w:rPr>
      </w:pPr>
      <w:r>
        <w:rPr>
          <w:rFonts w:hint="eastAsia" w:ascii="宋体" w:hAnsi="宋体"/>
          <w:szCs w:val="21"/>
          <w:lang w:bidi="ar"/>
        </w:rPr>
        <w:t>甲方组成验收小组按有关规定进行验收，必要时邀请相关的专业人员或机构参与验收。因货物质量问题发生争议时，由本地质量技术监督部门鉴定。货物符合质量技术标准的, 鉴定费由甲方承担；否则鉴定费由乙方承担。</w:t>
      </w:r>
    </w:p>
    <w:p>
      <w:pPr>
        <w:pStyle w:val="143"/>
        <w:numPr>
          <w:ilvl w:val="0"/>
          <w:numId w:val="0"/>
        </w:numPr>
        <w:spacing w:line="360" w:lineRule="auto"/>
        <w:ind w:left="426" w:leftChars="0"/>
        <w:rPr>
          <w:rFonts w:hint="eastAsia" w:ascii="宋体" w:hAnsi="宋体"/>
          <w:szCs w:val="21"/>
          <w:lang w:bidi="ar"/>
        </w:rPr>
      </w:pPr>
      <w:r>
        <w:rPr>
          <w:rFonts w:hint="eastAsia" w:ascii="宋体" w:hAnsi="宋体"/>
          <w:b/>
          <w:bCs/>
          <w:szCs w:val="21"/>
          <w:lang w:eastAsia="zh-CN" w:bidi="ar"/>
        </w:rPr>
        <w:t>（</w:t>
      </w:r>
      <w:r>
        <w:rPr>
          <w:rFonts w:hint="eastAsia" w:ascii="宋体" w:hAnsi="宋体"/>
          <w:b/>
          <w:bCs/>
          <w:szCs w:val="21"/>
          <w:lang w:val="en-US" w:eastAsia="zh-CN" w:bidi="ar"/>
        </w:rPr>
        <w:t>六</w:t>
      </w:r>
      <w:r>
        <w:rPr>
          <w:rFonts w:hint="eastAsia" w:ascii="宋体" w:hAnsi="宋体"/>
          <w:b/>
          <w:bCs/>
          <w:szCs w:val="21"/>
          <w:lang w:eastAsia="zh-CN" w:bidi="ar"/>
        </w:rPr>
        <w:t>）</w:t>
      </w:r>
      <w:r>
        <w:rPr>
          <w:rFonts w:hint="eastAsia" w:ascii="宋体" w:hAnsi="宋体"/>
          <w:b/>
          <w:bCs/>
          <w:szCs w:val="21"/>
          <w:lang w:bidi="ar"/>
        </w:rPr>
        <w:t>主要材料、货物到货或提供服务时应提供的相关资料或证明文件</w:t>
      </w:r>
    </w:p>
    <w:p>
      <w:pPr>
        <w:pStyle w:val="143"/>
        <w:numPr>
          <w:ilvl w:val="0"/>
          <w:numId w:val="0"/>
        </w:numPr>
        <w:spacing w:line="360" w:lineRule="auto"/>
        <w:ind w:firstLine="420" w:firstLineChars="200"/>
        <w:rPr>
          <w:rFonts w:hint="eastAsia" w:ascii="宋体" w:hAnsi="宋体"/>
          <w:szCs w:val="21"/>
          <w:lang w:bidi="ar"/>
        </w:rPr>
      </w:pPr>
      <w:r>
        <w:rPr>
          <w:rFonts w:hint="eastAsia" w:ascii="宋体" w:hAnsi="宋体"/>
          <w:szCs w:val="21"/>
          <w:lang w:bidi="ar"/>
        </w:rPr>
        <w:t>1.进货单、保修证明、保修单、系统的全部有关产品说明书、原生产商安装手册、验收报告等文档。</w:t>
      </w:r>
    </w:p>
    <w:p>
      <w:pPr>
        <w:pStyle w:val="143"/>
        <w:numPr>
          <w:ilvl w:val="0"/>
          <w:numId w:val="0"/>
        </w:numPr>
        <w:spacing w:line="360" w:lineRule="auto"/>
        <w:ind w:firstLine="420" w:firstLineChars="200"/>
        <w:rPr>
          <w:rFonts w:hint="eastAsia" w:ascii="宋体" w:hAnsi="宋体"/>
          <w:szCs w:val="21"/>
          <w:lang w:bidi="ar"/>
        </w:rPr>
      </w:pPr>
      <w:r>
        <w:rPr>
          <w:rFonts w:hint="eastAsia" w:ascii="宋体" w:hAnsi="宋体"/>
          <w:szCs w:val="21"/>
          <w:lang w:bidi="ar"/>
        </w:rPr>
        <w:t>2.单证齐全，有产品合格证(或质量保证书)、说明书和其它应具有单证。</w:t>
      </w:r>
    </w:p>
    <w:p>
      <w:pPr>
        <w:pStyle w:val="143"/>
        <w:numPr>
          <w:ilvl w:val="0"/>
          <w:numId w:val="0"/>
        </w:numPr>
        <w:spacing w:line="360" w:lineRule="auto"/>
        <w:ind w:firstLine="420" w:firstLineChars="200"/>
        <w:rPr>
          <w:rFonts w:hint="eastAsia" w:ascii="宋体" w:hAnsi="宋体"/>
          <w:szCs w:val="21"/>
          <w:lang w:val="en-US" w:eastAsia="zh-CN" w:bidi="ar"/>
        </w:rPr>
      </w:pPr>
      <w:r>
        <w:rPr>
          <w:rFonts w:hint="eastAsia" w:ascii="宋体" w:hAnsi="宋体"/>
          <w:szCs w:val="21"/>
          <w:lang w:val="en-US" w:eastAsia="zh-CN" w:bidi="ar"/>
        </w:rPr>
        <w:t>3.交付验收标准依次序对照适用标准为：①符合中华人民共和国国家安全质量标准、环保标准或行业标准；②符合招标文件和响应承诺中招标人认可的合理最佳配置、参数及各项要求。</w:t>
      </w:r>
    </w:p>
    <w:p>
      <w:pPr>
        <w:pStyle w:val="143"/>
        <w:numPr>
          <w:ilvl w:val="0"/>
          <w:numId w:val="0"/>
        </w:numPr>
        <w:spacing w:line="360" w:lineRule="auto"/>
        <w:ind w:firstLine="420" w:firstLineChars="0"/>
        <w:rPr>
          <w:rFonts w:hint="eastAsia" w:ascii="宋体" w:hAnsi="宋体"/>
          <w:b/>
          <w:bCs/>
          <w:szCs w:val="21"/>
          <w:lang w:bidi="ar"/>
        </w:rPr>
      </w:pPr>
      <w:r>
        <w:rPr>
          <w:rFonts w:hint="eastAsia" w:ascii="宋体" w:hAnsi="宋体"/>
          <w:b/>
          <w:bCs/>
          <w:szCs w:val="21"/>
          <w:lang w:eastAsia="zh-CN" w:bidi="ar"/>
        </w:rPr>
        <w:t>（</w:t>
      </w:r>
      <w:r>
        <w:rPr>
          <w:rFonts w:hint="eastAsia" w:ascii="宋体" w:hAnsi="宋体"/>
          <w:b/>
          <w:bCs/>
          <w:szCs w:val="21"/>
          <w:lang w:val="en-US" w:eastAsia="zh-CN" w:bidi="ar"/>
        </w:rPr>
        <w:t>七</w:t>
      </w:r>
      <w:r>
        <w:rPr>
          <w:rFonts w:hint="eastAsia" w:ascii="宋体" w:hAnsi="宋体"/>
          <w:b/>
          <w:bCs/>
          <w:szCs w:val="21"/>
          <w:lang w:eastAsia="zh-CN" w:bidi="ar"/>
        </w:rPr>
        <w:t>）</w:t>
      </w:r>
      <w:r>
        <w:rPr>
          <w:rFonts w:hint="eastAsia" w:ascii="宋体" w:hAnsi="宋体"/>
          <w:b/>
          <w:bCs/>
          <w:szCs w:val="21"/>
          <w:lang w:bidi="ar"/>
        </w:rPr>
        <w:t>安装要求</w:t>
      </w:r>
    </w:p>
    <w:p>
      <w:pPr>
        <w:pStyle w:val="143"/>
        <w:numPr>
          <w:ilvl w:val="0"/>
          <w:numId w:val="0"/>
        </w:numPr>
        <w:spacing w:line="360" w:lineRule="auto"/>
        <w:ind w:firstLine="420" w:firstLineChars="200"/>
        <w:rPr>
          <w:rFonts w:hint="eastAsia" w:ascii="宋体" w:hAnsi="宋体"/>
          <w:szCs w:val="21"/>
          <w:lang w:bidi="ar"/>
        </w:rPr>
      </w:pPr>
      <w:r>
        <w:rPr>
          <w:rFonts w:hint="eastAsia" w:ascii="宋体" w:hAnsi="宋体"/>
          <w:szCs w:val="21"/>
          <w:lang w:bidi="ar"/>
        </w:rPr>
        <w:t>1.中标人负责布置过程中的全部运输，包括装卸车、货物现场的搬运，包装保险及发运等环节和费用均由中标人负责。</w:t>
      </w:r>
    </w:p>
    <w:p>
      <w:pPr>
        <w:pStyle w:val="143"/>
        <w:numPr>
          <w:ilvl w:val="0"/>
          <w:numId w:val="0"/>
        </w:numPr>
        <w:spacing w:line="360" w:lineRule="auto"/>
        <w:ind w:left="426" w:leftChars="0"/>
        <w:rPr>
          <w:rFonts w:hint="eastAsia" w:ascii="宋体" w:hAnsi="宋体"/>
          <w:szCs w:val="21"/>
          <w:lang w:bidi="ar"/>
        </w:rPr>
      </w:pPr>
      <w:r>
        <w:rPr>
          <w:rFonts w:hint="eastAsia" w:ascii="宋体" w:hAnsi="宋体"/>
          <w:szCs w:val="21"/>
          <w:lang w:val="en-US" w:eastAsia="zh-CN" w:bidi="ar"/>
        </w:rPr>
        <w:t>2</w:t>
      </w:r>
      <w:r>
        <w:rPr>
          <w:rFonts w:hint="eastAsia" w:ascii="宋体" w:hAnsi="宋体"/>
          <w:szCs w:val="21"/>
          <w:lang w:bidi="ar"/>
        </w:rPr>
        <w:t>.布展现场的保管由中标人负责，直至项目安装、验收完毕</w:t>
      </w:r>
    </w:p>
    <w:p>
      <w:pPr>
        <w:pStyle w:val="143"/>
        <w:spacing w:line="360" w:lineRule="auto"/>
        <w:ind w:firstLine="420"/>
        <w:rPr>
          <w:rFonts w:ascii="宋体" w:hAnsi="宋体"/>
          <w:b/>
          <w:bCs/>
          <w:szCs w:val="21"/>
          <w:lang w:bidi="ar"/>
        </w:rPr>
      </w:pPr>
      <w:r>
        <w:rPr>
          <w:rFonts w:hint="eastAsia" w:ascii="宋体" w:hAnsi="宋体"/>
          <w:b/>
          <w:bCs/>
          <w:szCs w:val="21"/>
          <w:lang w:val="en-US" w:eastAsia="zh-CN" w:bidi="ar"/>
        </w:rPr>
        <w:t>五、其他</w:t>
      </w:r>
      <w:r>
        <w:rPr>
          <w:rFonts w:hint="eastAsia" w:ascii="宋体" w:hAnsi="宋体"/>
          <w:b/>
          <w:bCs/>
          <w:szCs w:val="21"/>
          <w:lang w:bidi="ar"/>
        </w:rPr>
        <w:t>要求</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（一）知识产权</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1.</w:t>
      </w:r>
      <w:r>
        <w:rPr>
          <w:rFonts w:hint="eastAsia" w:ascii="宋体" w:hAnsi="宋体" w:cs="宋体"/>
          <w:szCs w:val="21"/>
          <w:lang w:eastAsia="zh-CN"/>
        </w:rPr>
        <w:t>招标人</w:t>
      </w:r>
      <w:r>
        <w:rPr>
          <w:rFonts w:hint="eastAsia" w:ascii="宋体" w:hAnsi="宋体" w:eastAsia="宋体" w:cs="宋体"/>
          <w:szCs w:val="21"/>
          <w:lang w:eastAsia="zh-CN"/>
        </w:rPr>
        <w:t>有权为本项目的使用复制投标文件，事先不需要取得投标人的许可，但</w:t>
      </w:r>
      <w:r>
        <w:rPr>
          <w:rFonts w:hint="eastAsia" w:ascii="宋体" w:hAnsi="宋体" w:cs="宋体"/>
          <w:szCs w:val="21"/>
          <w:lang w:eastAsia="zh-CN"/>
        </w:rPr>
        <w:t>招标人</w:t>
      </w:r>
      <w:r>
        <w:rPr>
          <w:rFonts w:hint="eastAsia" w:ascii="宋体" w:hAnsi="宋体" w:eastAsia="宋体" w:cs="宋体"/>
          <w:szCs w:val="21"/>
          <w:lang w:eastAsia="zh-CN"/>
        </w:rPr>
        <w:t>不得将未标的投标文件泄漏给与本项目无关的其他人或作其他用途。</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2.</w:t>
      </w:r>
      <w:r>
        <w:rPr>
          <w:rFonts w:hint="eastAsia" w:ascii="宋体" w:hAnsi="宋体" w:cs="宋体"/>
          <w:szCs w:val="21"/>
          <w:lang w:eastAsia="zh-CN"/>
        </w:rPr>
        <w:t>招标人</w:t>
      </w:r>
      <w:r>
        <w:rPr>
          <w:rFonts w:hint="eastAsia" w:ascii="宋体" w:hAnsi="宋体" w:eastAsia="宋体" w:cs="宋体"/>
          <w:szCs w:val="21"/>
          <w:lang w:eastAsia="zh-CN"/>
        </w:rPr>
        <w:t>有权无须事先征求中标人的同意而披露关于中标人的名称、地址、合同条款。</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3.知识产权归属。在本合同范围内、项目设计过程中所涉及的知识产权成果权属归</w:t>
      </w:r>
      <w:r>
        <w:rPr>
          <w:rFonts w:hint="eastAsia" w:ascii="宋体" w:hAnsi="宋体" w:cs="宋体"/>
          <w:szCs w:val="21"/>
          <w:lang w:eastAsia="zh-CN"/>
        </w:rPr>
        <w:t>招标人</w:t>
      </w:r>
      <w:r>
        <w:rPr>
          <w:rFonts w:hint="eastAsia" w:ascii="宋体" w:hAnsi="宋体" w:eastAsia="宋体" w:cs="宋体"/>
          <w:szCs w:val="21"/>
          <w:lang w:eastAsia="zh-CN"/>
        </w:rPr>
        <w:t>所有。</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（二）设计补偿</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本项目无设计补偿费。无论中标与否，开标后，投标人所有投标资料一律不予退还。</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（三）其它要求</w:t>
      </w:r>
    </w:p>
    <w:p>
      <w:pPr>
        <w:spacing w:line="360" w:lineRule="auto"/>
        <w:ind w:firstLine="420" w:firstLineChars="200"/>
        <w:rPr>
          <w:rFonts w:hint="eastAsia" w:ascii="宋体" w:hAnsi="宋体" w:eastAsia="宋体" w:cs="宋体"/>
          <w:szCs w:val="21"/>
          <w:lang w:eastAsia="zh-CN"/>
        </w:rPr>
      </w:pPr>
      <w:r>
        <w:rPr>
          <w:rFonts w:hint="eastAsia" w:ascii="宋体" w:hAnsi="宋体" w:eastAsia="宋体" w:cs="宋体"/>
          <w:szCs w:val="21"/>
          <w:lang w:eastAsia="zh-CN"/>
        </w:rPr>
        <w:t>中标人在收到中标通知后的十天内根据</w:t>
      </w:r>
      <w:r>
        <w:rPr>
          <w:rFonts w:hint="eastAsia" w:ascii="宋体" w:hAnsi="宋体" w:cs="宋体"/>
          <w:szCs w:val="21"/>
          <w:lang w:eastAsia="zh-CN"/>
        </w:rPr>
        <w:t>招标人</w:t>
      </w:r>
      <w:r>
        <w:rPr>
          <w:rFonts w:hint="eastAsia" w:ascii="宋体" w:hAnsi="宋体" w:eastAsia="宋体" w:cs="宋体"/>
          <w:szCs w:val="21"/>
          <w:lang w:eastAsia="zh-CN"/>
        </w:rPr>
        <w:t>和评标专家的意见对设计方案进行优化、完善；</w:t>
      </w:r>
      <w:r>
        <w:rPr>
          <w:rFonts w:hint="eastAsia" w:ascii="宋体" w:hAnsi="宋体" w:cs="宋体"/>
          <w:szCs w:val="21"/>
          <w:lang w:eastAsia="zh-CN"/>
        </w:rPr>
        <w:t>招标人</w:t>
      </w:r>
      <w:r>
        <w:rPr>
          <w:rFonts w:hint="eastAsia" w:ascii="宋体" w:hAnsi="宋体" w:eastAsia="宋体" w:cs="宋体"/>
          <w:szCs w:val="21"/>
          <w:lang w:eastAsia="zh-CN"/>
        </w:rPr>
        <w:t>确认后实施。</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（四）组织机构</w:t>
      </w:r>
    </w:p>
    <w:p>
      <w:pPr>
        <w:spacing w:line="360" w:lineRule="auto"/>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为使项目按质、按量、按时及有序实施，供应商对本项目须建立一个完善和稳定的管理组织机构。</w:t>
      </w:r>
    </w:p>
    <w:p>
      <w:pPr>
        <w:rPr>
          <w:rFonts w:hint="eastAsia" w:ascii="宋体" w:hAnsi="宋体" w:eastAsia="宋体" w:cs="宋体"/>
          <w:szCs w:val="21"/>
          <w:lang w:val="en-US" w:eastAsia="zh-CN"/>
        </w:rPr>
      </w:pPr>
      <w:r>
        <w:rPr>
          <w:rFonts w:hint="eastAsia" w:ascii="宋体" w:hAnsi="宋体" w:eastAsia="宋体" w:cs="宋体"/>
          <w:szCs w:val="21"/>
          <w:lang w:val="en-US" w:eastAsia="zh-CN"/>
        </w:rPr>
        <w:br w:type="page"/>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1"/>
        <w:rPr>
          <w:rFonts w:hint="eastAsia" w:ascii="宋体" w:hAnsi="宋体" w:cs="宋体"/>
          <w:b/>
          <w:bCs/>
          <w:szCs w:val="21"/>
          <w:lang w:val="en-US" w:eastAsia="zh-CN"/>
        </w:rPr>
      </w:pPr>
      <w:bookmarkStart w:id="503" w:name="_Toc28932"/>
      <w:r>
        <w:rPr>
          <w:rFonts w:hint="eastAsia" w:ascii="宋体" w:hAnsi="宋体" w:cs="宋体"/>
          <w:b/>
          <w:bCs/>
          <w:szCs w:val="21"/>
          <w:lang w:val="en-US" w:eastAsia="zh-CN"/>
        </w:rPr>
        <w:t>标段2：互动展项定制及安装服务</w:t>
      </w:r>
      <w:bookmarkEnd w:id="503"/>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sz w:val="21"/>
          <w:szCs w:val="21"/>
          <w:highlight w:val="none"/>
          <w:lang w:val="en-US" w:eastAsia="zh-CN"/>
        </w:rPr>
        <w:t>二</w:t>
      </w:r>
      <w:r>
        <w:rPr>
          <w:rFonts w:hint="eastAsia" w:ascii="宋体" w:hAnsi="宋体" w:eastAsia="宋体" w:cs="宋体"/>
          <w:b/>
          <w:bCs/>
          <w:sz w:val="21"/>
          <w:szCs w:val="21"/>
          <w:highlight w:val="none"/>
        </w:rPr>
        <w:t>、项目</w:t>
      </w:r>
      <w:r>
        <w:rPr>
          <w:rFonts w:hint="eastAsia" w:ascii="宋体" w:hAnsi="宋体" w:eastAsia="宋体" w:cs="宋体"/>
          <w:b/>
          <w:bCs/>
          <w:sz w:val="21"/>
          <w:szCs w:val="21"/>
          <w:highlight w:val="none"/>
          <w:lang w:eastAsia="zh-CN"/>
        </w:rPr>
        <w:t>概况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一</w:t>
      </w:r>
      <w:r>
        <w:rPr>
          <w:rFonts w:hint="eastAsia" w:ascii="宋体" w:hAnsi="宋体" w:eastAsia="宋体" w:cs="宋体"/>
          <w:b w:val="0"/>
          <w:bCs w:val="0"/>
          <w:color w:val="auto"/>
          <w:sz w:val="21"/>
          <w:szCs w:val="21"/>
          <w:highlight w:val="none"/>
          <w:lang w:eastAsia="zh-CN"/>
        </w:rPr>
        <w:t>）项目完成服务期限：合同签订之日起至</w:t>
      </w:r>
      <w:r>
        <w:rPr>
          <w:rFonts w:hint="eastAsia" w:ascii="宋体" w:hAnsi="宋体" w:eastAsia="宋体" w:cs="宋体"/>
          <w:b w:val="0"/>
          <w:bCs w:val="0"/>
          <w:color w:val="auto"/>
          <w:sz w:val="21"/>
          <w:szCs w:val="21"/>
          <w:highlight w:val="none"/>
          <w:lang w:val="en-US" w:eastAsia="zh-CN"/>
        </w:rPr>
        <w:t>2023年5月31日完成</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lang w:eastAsia="zh-CN"/>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lang w:eastAsia="zh-CN"/>
        </w:rPr>
        <w:t>）项目</w:t>
      </w:r>
      <w:r>
        <w:rPr>
          <w:rFonts w:hint="eastAsia" w:ascii="宋体" w:hAnsi="宋体" w:eastAsia="宋体" w:cs="宋体"/>
          <w:b w:val="0"/>
          <w:bCs w:val="0"/>
          <w:color w:val="auto"/>
          <w:sz w:val="21"/>
          <w:szCs w:val="21"/>
          <w:highlight w:val="none"/>
          <w:lang w:val="en-US" w:eastAsia="zh-CN"/>
        </w:rPr>
        <w:t>交付地点</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kern w:val="2"/>
          <w:sz w:val="21"/>
          <w:szCs w:val="21"/>
          <w:highlight w:val="none"/>
          <w:lang w:val="en-US" w:eastAsia="zh-CN" w:bidi="ar-SA"/>
        </w:rPr>
        <w:t>珠海市中级人民法院审判大楼14层或甲方指定地点</w:t>
      </w:r>
      <w:r>
        <w:rPr>
          <w:rFonts w:hint="eastAsia" w:ascii="宋体" w:hAnsi="宋体" w:eastAsia="宋体" w:cs="宋体"/>
          <w:b w:val="0"/>
          <w:bCs w:val="0"/>
          <w:color w:val="auto"/>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（四）采购清单</w:t>
      </w:r>
    </w:p>
    <w:tbl>
      <w:tblPr>
        <w:tblStyle w:val="40"/>
        <w:tblW w:w="876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715"/>
        <w:gridCol w:w="1402"/>
        <w:gridCol w:w="5404"/>
        <w:gridCol w:w="12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0" w:hRule="atLeast"/>
        </w:trPr>
        <w:tc>
          <w:tcPr>
            <w:tcW w:w="8761" w:type="dxa"/>
            <w:gridSpan w:val="4"/>
            <w:tcBorders>
              <w:tl2br w:val="nil"/>
              <w:tr2bl w:val="nil"/>
            </w:tcBorders>
            <w:noWrap/>
            <w:vAlign w:val="center"/>
          </w:tcPr>
          <w:p>
            <w:pPr>
              <w:widowControl/>
              <w:jc w:val="both"/>
              <w:rPr>
                <w:rFonts w:hint="default" w:ascii="宋体" w:hAnsi="宋体" w:cs="宋体" w:eastAsiaTheme="minorEastAsia"/>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多媒体展项设备、软件及内容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00" w:hRule="atLeast"/>
        </w:trPr>
        <w:tc>
          <w:tcPr>
            <w:tcW w:w="715" w:type="dxa"/>
            <w:tcBorders>
              <w:tl2br w:val="nil"/>
              <w:tr2bl w:val="nil"/>
            </w:tcBorders>
            <w:noWrap/>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序号</w:t>
            </w:r>
          </w:p>
        </w:tc>
        <w:tc>
          <w:tcPr>
            <w:tcW w:w="1402" w:type="dxa"/>
            <w:tcBorders>
              <w:tl2br w:val="nil"/>
              <w:tr2bl w:val="nil"/>
            </w:tcBorders>
            <w:noWrap w:val="0"/>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内容</w:t>
            </w:r>
          </w:p>
        </w:tc>
        <w:tc>
          <w:tcPr>
            <w:tcW w:w="5404" w:type="dxa"/>
            <w:tcBorders>
              <w:tl2br w:val="nil"/>
              <w:tr2bl w:val="nil"/>
            </w:tcBorders>
            <w:noWrap/>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描述</w:t>
            </w:r>
          </w:p>
        </w:tc>
        <w:tc>
          <w:tcPr>
            <w:tcW w:w="1240" w:type="dxa"/>
            <w:tcBorders>
              <w:tl2br w:val="nil"/>
              <w:tr2bl w:val="nil"/>
            </w:tcBorders>
            <w:noWrap/>
            <w:vAlign w:val="center"/>
          </w:tcPr>
          <w:p>
            <w:pPr>
              <w:widowControl/>
              <w:jc w:val="center"/>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rPr>
              <w:t>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0" w:hRule="atLeast"/>
        </w:trPr>
        <w:tc>
          <w:tcPr>
            <w:tcW w:w="715" w:type="dxa"/>
            <w:tcBorders>
              <w:tl2br w:val="nil"/>
              <w:tr2bl w:val="nil"/>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1402" w:type="dxa"/>
            <w:tcBorders>
              <w:tl2br w:val="nil"/>
              <w:tr2bl w:val="nil"/>
            </w:tcBorders>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AI法官</w:t>
            </w:r>
          </w:p>
        </w:tc>
        <w:tc>
          <w:tcPr>
            <w:tcW w:w="5404" w:type="dxa"/>
            <w:tcBorders>
              <w:tl2br w:val="nil"/>
              <w:tr2bl w:val="nil"/>
            </w:tcBorders>
            <w:noWrap/>
            <w:vAlign w:val="center"/>
          </w:tcPr>
          <w:p>
            <w:pPr>
              <w:rPr>
                <w:rFonts w:hint="eastAsia" w:ascii="宋体" w:hAnsi="宋体" w:eastAsia="宋体" w:cs="宋体"/>
                <w:u w:val="none"/>
                <w:lang w:val="en-US" w:eastAsia="zh-CN"/>
              </w:rPr>
            </w:pPr>
            <w:r>
              <w:rPr>
                <w:rFonts w:hint="eastAsia" w:ascii="宋体" w:hAnsi="宋体" w:eastAsia="宋体" w:cs="宋体"/>
                <w:u w:val="none"/>
                <w:lang w:val="en-US" w:eastAsia="zh-CN"/>
              </w:rPr>
              <w:t>1.提供AI法官模型定制服务，按照实际需求定制虚拟数字人的外形、表情、动作、服装等3D数字形象，让AI数字法官具备仿真人的外在形象。需支持内容的高画质呈现，人物模型面数不低于100万，并使用基于物理属性的引擎渲染材质。</w:t>
            </w:r>
            <w:r>
              <w:rPr>
                <w:rFonts w:hint="eastAsia" w:ascii="宋体" w:hAnsi="宋体" w:eastAsia="宋体" w:cs="宋体"/>
                <w:u w:val="none"/>
                <w:lang w:val="en-US" w:eastAsia="zh-CN"/>
              </w:rPr>
              <w:br w:type="textWrapping"/>
            </w:r>
            <w:r>
              <w:rPr>
                <w:rFonts w:hint="eastAsia" w:ascii="宋体" w:hAnsi="宋体" w:eastAsia="宋体" w:cs="宋体"/>
                <w:u w:val="none"/>
                <w:lang w:val="en-US" w:eastAsia="zh-CN"/>
              </w:rPr>
              <w:t>2.支持语音交互。虚拟人物可读取语音并搭配口型动作。</w:t>
            </w:r>
          </w:p>
          <w:p>
            <w:pPr>
              <w:rPr>
                <w:rFonts w:hint="eastAsia" w:ascii="宋体" w:hAnsi="宋体" w:eastAsia="宋体" w:cs="宋体"/>
                <w:u w:val="none"/>
                <w:lang w:val="en-US" w:eastAsia="zh-CN"/>
              </w:rPr>
            </w:pPr>
            <w:r>
              <w:rPr>
                <w:rFonts w:hint="eastAsia" w:ascii="宋体" w:hAnsi="宋体" w:eastAsia="宋体" w:cs="宋体"/>
                <w:u w:val="none"/>
                <w:lang w:val="en-US" w:eastAsia="zh-CN"/>
              </w:rPr>
              <w:t>3.虚拟人物应具有常见的面部表情和身体动作。</w:t>
            </w:r>
          </w:p>
          <w:p>
            <w:pPr>
              <w:rPr>
                <w:rFonts w:hint="eastAsia" w:ascii="宋体" w:hAnsi="宋体" w:eastAsia="宋体" w:cs="宋体"/>
                <w:u w:val="none"/>
                <w:lang w:val="en-US" w:eastAsia="zh-CN"/>
              </w:rPr>
            </w:pPr>
            <w:r>
              <w:rPr>
                <w:rFonts w:hint="eastAsia" w:ascii="宋体" w:hAnsi="宋体" w:eastAsia="宋体" w:cs="宋体"/>
                <w:u w:val="none"/>
                <w:lang w:val="en-US" w:eastAsia="zh-CN"/>
              </w:rPr>
              <w:t>4.背景可支持更换，支持透明、静态图片、动态背景。</w:t>
            </w:r>
          </w:p>
          <w:p>
            <w:pPr>
              <w:rPr>
                <w:rFonts w:hint="eastAsia" w:ascii="宋体" w:hAnsi="宋体" w:eastAsia="宋体" w:cs="宋体"/>
                <w:u w:val="none"/>
                <w:lang w:val="en-US" w:eastAsia="zh-CN"/>
              </w:rPr>
            </w:pPr>
            <w:r>
              <w:rPr>
                <w:rFonts w:hint="eastAsia" w:ascii="宋体" w:hAnsi="宋体" w:eastAsia="宋体" w:cs="宋体"/>
                <w:u w:val="none"/>
                <w:lang w:val="en-US" w:eastAsia="zh-CN"/>
              </w:rPr>
              <w:t>5.不低于200条问答信息，支持播放视频、音频、文档等。对话知识库编辑查看等功能。</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u w:val="none"/>
                <w:lang w:val="en-US" w:eastAsia="zh-CN"/>
              </w:rPr>
              <w:t>6.可屏幕点击交互，选择问题，虚拟人物直接回答。</w:t>
            </w:r>
            <w:r>
              <w:rPr>
                <w:rFonts w:hint="eastAsia" w:ascii="宋体" w:hAnsi="宋体" w:eastAsia="宋体" w:cs="宋体"/>
                <w:u w:val="none"/>
                <w:lang w:val="en-US" w:eastAsia="zh-CN"/>
              </w:rPr>
              <w:br w:type="textWrapping"/>
            </w:r>
            <w:r>
              <w:rPr>
                <w:rFonts w:hint="eastAsia" w:ascii="宋体" w:hAnsi="宋体" w:eastAsia="宋体" w:cs="宋体"/>
                <w:u w:val="none"/>
                <w:lang w:val="en-US" w:eastAsia="zh-CN"/>
              </w:rPr>
              <w:t>7.硬件需求：硬件配置应满足虚拟人流畅显示，CPU不低于intel7第12代，显卡配置不低于GTX3060，内存不低于16G。显示屏为55寸触控屏。分辨率：1920*1080/3840*2160（Full HD）。</w:t>
            </w:r>
          </w:p>
        </w:tc>
        <w:tc>
          <w:tcPr>
            <w:tcW w:w="1240" w:type="dxa"/>
            <w:tcBorders>
              <w:tl2br w:val="nil"/>
              <w:tr2bl w:val="nil"/>
            </w:tcBorders>
            <w:noWrap/>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4" w:hRule="atLeast"/>
        </w:trPr>
        <w:tc>
          <w:tcPr>
            <w:tcW w:w="715" w:type="dxa"/>
            <w:tcBorders>
              <w:tl2br w:val="nil"/>
              <w:tr2bl w:val="nil"/>
            </w:tcBorders>
            <w:noWrap/>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w:t>
            </w:r>
          </w:p>
        </w:tc>
        <w:tc>
          <w:tcPr>
            <w:tcW w:w="1402" w:type="dxa"/>
            <w:tcBorders>
              <w:tl2br w:val="nil"/>
              <w:tr2bl w:val="nil"/>
            </w:tcBorders>
            <w:noWrap w:val="0"/>
            <w:vAlign w:val="center"/>
          </w:tcPr>
          <w:p>
            <w:pPr>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云游澳门</w:t>
            </w:r>
          </w:p>
        </w:tc>
        <w:tc>
          <w:tcPr>
            <w:tcW w:w="5404" w:type="dxa"/>
            <w:tcBorders>
              <w:tl2br w:val="nil"/>
              <w:tr2bl w:val="nil"/>
            </w:tcBorders>
            <w:noWrap/>
            <w:vAlign w:val="center"/>
          </w:tcPr>
          <w:p>
            <w:pPr>
              <w:rPr>
                <w:rFonts w:hint="eastAsia" w:ascii="宋体" w:hAnsi="宋体" w:eastAsia="宋体" w:cs="宋体"/>
                <w:lang w:val="en-US" w:eastAsia="zh-CN"/>
              </w:rPr>
            </w:pPr>
            <w:r>
              <w:rPr>
                <w:rFonts w:hint="eastAsia" w:ascii="宋体" w:hAnsi="宋体" w:eastAsia="宋体" w:cs="宋体"/>
                <w:lang w:val="en-US" w:eastAsia="zh-CN"/>
              </w:rPr>
              <w:t>1.澳门4个法院场景拍摄制作为720度全景图片，点位不少于10个。</w:t>
            </w:r>
          </w:p>
          <w:p>
            <w:pPr>
              <w:rPr>
                <w:rFonts w:hint="eastAsia" w:ascii="宋体" w:hAnsi="宋体" w:eastAsia="宋体" w:cs="宋体"/>
                <w:lang w:val="en-US" w:eastAsia="zh-CN"/>
              </w:rPr>
            </w:pPr>
            <w:r>
              <w:rPr>
                <w:rFonts w:hint="eastAsia" w:ascii="宋体" w:hAnsi="宋体" w:eastAsia="宋体" w:cs="宋体"/>
                <w:lang w:val="en-US" w:eastAsia="zh-CN"/>
              </w:rPr>
              <w:t>2.澳门景点图片的拍摄制作，点位不少于5个。</w:t>
            </w:r>
          </w:p>
          <w:p>
            <w:pPr>
              <w:rPr>
                <w:rFonts w:hint="eastAsia" w:ascii="宋体" w:hAnsi="宋体" w:eastAsia="宋体" w:cs="宋体"/>
                <w:lang w:val="en-US" w:eastAsia="zh-CN"/>
              </w:rPr>
            </w:pPr>
            <w:r>
              <w:rPr>
                <w:rFonts w:hint="eastAsia" w:ascii="宋体" w:hAnsi="宋体" w:eastAsia="宋体" w:cs="宋体"/>
                <w:lang w:val="en-US" w:eastAsia="zh-CN"/>
              </w:rPr>
              <w:t>3.双屏联动模式，屏幕尺寸为43寸（下方触控屏）+75寸（上方显示屏）。下方屏幕可触摸，可控制双屏联动显示。</w:t>
            </w:r>
          </w:p>
          <w:p>
            <w:pPr>
              <w:pStyle w:val="171"/>
              <w:widowControl w:val="0"/>
              <w:numPr>
                <w:ilvl w:val="0"/>
                <w:numId w:val="0"/>
              </w:numPr>
              <w:jc w:val="both"/>
              <w:rPr>
                <w:rFonts w:hint="eastAsia"/>
                <w:lang w:val="en-US" w:eastAsia="zh-CN"/>
              </w:rPr>
            </w:pPr>
            <w:r>
              <w:rPr>
                <w:rFonts w:hint="eastAsia" w:ascii="宋体" w:hAnsi="宋体" w:eastAsia="宋体" w:cs="宋体"/>
                <w:lang w:val="en-US" w:eastAsia="zh-CN"/>
              </w:rPr>
              <w:t>3.屏幕分辨率：1920*1080/3840*2160（Full HD）。</w:t>
            </w:r>
          </w:p>
        </w:tc>
        <w:tc>
          <w:tcPr>
            <w:tcW w:w="1240" w:type="dxa"/>
            <w:tcBorders>
              <w:tl2br w:val="nil"/>
              <w:tr2bl w:val="nil"/>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4" w:hRule="atLeast"/>
        </w:trPr>
        <w:tc>
          <w:tcPr>
            <w:tcW w:w="715" w:type="dxa"/>
            <w:tcBorders>
              <w:tl2br w:val="nil"/>
              <w:tr2bl w:val="nil"/>
            </w:tcBorders>
            <w:noWrap/>
            <w:vAlign w:val="center"/>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w:t>
            </w:r>
          </w:p>
        </w:tc>
        <w:tc>
          <w:tcPr>
            <w:tcW w:w="1402" w:type="dxa"/>
            <w:tcBorders>
              <w:tl2br w:val="nil"/>
              <w:tr2bl w:val="nil"/>
            </w:tcBorders>
            <w:noWrap w:val="0"/>
            <w:vAlign w:val="center"/>
          </w:tcPr>
          <w:p>
            <w:pPr>
              <w:jc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lang w:val="en-US" w:eastAsia="zh-CN"/>
              </w:rPr>
              <w:t>香洲区少年审判法庭网上展馆</w:t>
            </w:r>
          </w:p>
        </w:tc>
        <w:tc>
          <w:tcPr>
            <w:tcW w:w="5404" w:type="dxa"/>
            <w:tcBorders>
              <w:tl2br w:val="nil"/>
              <w:tr2bl w:val="nil"/>
            </w:tcBorders>
            <w:noWrap/>
            <w:vAlign w:val="center"/>
          </w:tcPr>
          <w:p>
            <w:pPr>
              <w:pStyle w:val="171"/>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1.香洲区少年审判法庭720实景拍摄，不少于8个点位。整合后可进行交互，查看法庭场景的介绍等。</w:t>
            </w:r>
          </w:p>
          <w:p>
            <w:pPr>
              <w:pStyle w:val="171"/>
              <w:widowControl w:val="0"/>
              <w:numPr>
                <w:ilvl w:val="0"/>
                <w:numId w:val="0"/>
              </w:numPr>
              <w:jc w:val="both"/>
              <w:rPr>
                <w:rFonts w:hint="eastAsia" w:ascii="宋体" w:hAnsi="宋体" w:eastAsia="宋体" w:cs="宋体"/>
                <w:lang w:val="en-US" w:eastAsia="zh-CN"/>
              </w:rPr>
            </w:pPr>
            <w:r>
              <w:rPr>
                <w:rFonts w:hint="eastAsia" w:ascii="宋体" w:hAnsi="宋体" w:eastAsia="宋体" w:cs="宋体"/>
                <w:lang w:val="en-US" w:eastAsia="zh-CN"/>
              </w:rPr>
              <w:t>2.分辨率不低于2K。</w:t>
            </w:r>
          </w:p>
          <w:p>
            <w:pPr>
              <w:pStyle w:val="171"/>
              <w:widowControl w:val="0"/>
              <w:numPr>
                <w:ilvl w:val="0"/>
                <w:numId w:val="0"/>
              </w:numPr>
              <w:jc w:val="both"/>
              <w:rPr>
                <w:rFonts w:hint="eastAsia"/>
                <w:lang w:val="en-US" w:eastAsia="zh-CN"/>
              </w:rPr>
            </w:pPr>
            <w:r>
              <w:rPr>
                <w:rFonts w:hint="eastAsia" w:ascii="宋体" w:hAnsi="宋体" w:eastAsia="宋体" w:cs="宋体"/>
                <w:lang w:val="en-US" w:eastAsia="zh-CN"/>
              </w:rPr>
              <w:t>3.网上展馆需同时应用于Web端、手机端、网页H5，满足查看和体验。</w:t>
            </w:r>
          </w:p>
        </w:tc>
        <w:tc>
          <w:tcPr>
            <w:tcW w:w="1240" w:type="dxa"/>
            <w:tcBorders>
              <w:tl2br w:val="nil"/>
              <w:tr2bl w:val="nil"/>
            </w:tcBorders>
            <w:noWrap/>
            <w:vAlign w:val="center"/>
          </w:tcPr>
          <w:p>
            <w:pPr>
              <w:widowControl/>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214" w:hRule="atLeast"/>
        </w:trPr>
        <w:tc>
          <w:tcPr>
            <w:tcW w:w="715" w:type="dxa"/>
            <w:tcBorders>
              <w:tl2br w:val="nil"/>
              <w:tr2bl w:val="nil"/>
            </w:tcBorders>
            <w:noWrap/>
            <w:vAlign w:val="center"/>
          </w:tcPr>
          <w:p>
            <w:pPr>
              <w:widowControl/>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w:t>
            </w:r>
          </w:p>
        </w:tc>
        <w:tc>
          <w:tcPr>
            <w:tcW w:w="1402" w:type="dxa"/>
            <w:tcBorders>
              <w:tl2br w:val="nil"/>
              <w:tr2bl w:val="nil"/>
            </w:tcBorders>
            <w:noWrap w:val="0"/>
            <w:vAlign w:val="center"/>
          </w:tcPr>
          <w:p>
            <w:pPr>
              <w:jc w:val="center"/>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strike w:val="0"/>
                <w:color w:val="auto"/>
                <w:sz w:val="21"/>
                <w:szCs w:val="21"/>
                <w:highlight w:val="none"/>
                <w:lang w:val="en-US" w:eastAsia="zh-CN"/>
              </w:rPr>
              <w:t>绿幕打卡</w:t>
            </w:r>
          </w:p>
        </w:tc>
        <w:tc>
          <w:tcPr>
            <w:tcW w:w="5404" w:type="dxa"/>
            <w:tcBorders>
              <w:tl2br w:val="nil"/>
              <w:tr2bl w:val="nil"/>
            </w:tcBorders>
            <w:noWrap/>
            <w:vAlign w:val="center"/>
          </w:tcPr>
          <w:p>
            <w:pPr>
              <w:numPr>
                <w:ilvl w:val="0"/>
                <w:numId w:val="0"/>
              </w:numPr>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1.绿幕尺寸为150寸的幕布。</w:t>
            </w:r>
          </w:p>
          <w:p>
            <w:pPr>
              <w:numPr>
                <w:ilvl w:val="0"/>
                <w:numId w:val="0"/>
              </w:numPr>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2.互动方式是触摸屏点击拍照，显示屏呈现照片，可更换不同的拍照背景。</w:t>
            </w:r>
          </w:p>
          <w:p>
            <w:pPr>
              <w:numPr>
                <w:ilvl w:val="0"/>
                <w:numId w:val="0"/>
              </w:numPr>
              <w:ind w:left="0" w:leftChars="0" w:firstLine="0" w:firstLineChars="0"/>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3.拍完照可扫描屏幕上的二维码并实现扫码带走。</w:t>
            </w:r>
          </w:p>
        </w:tc>
        <w:tc>
          <w:tcPr>
            <w:tcW w:w="1240" w:type="dxa"/>
            <w:tcBorders>
              <w:tl2br w:val="nil"/>
              <w:tr2bl w:val="nil"/>
            </w:tcBorders>
            <w:noWrap/>
            <w:vAlign w:val="center"/>
          </w:tcPr>
          <w:p>
            <w:pPr>
              <w:widowControl/>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1项</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五）本项目采用总价包干的报价方式，凡超过最高限价的投标报价均视为无效投标。投标总报价应包含人工费、资源加工费等等，包括因项目需要培训辅导、质保期售后服务、全额含税发票、雇员费用、合同实施过程中应预见和不可预见费用、综合关税等。报价应充分了解本项目的实际及任何其它足以影响投标报价的情况，充分考虑到投标报价的风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（六）报价人须对本项目服务进行整体响应，任何只对其中一部分内容进行的响应都被视为无效报价。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（七）未经</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同意，供应商不得将承包项目发包或转包，否则，视为供应商违约，</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有权取消其供应商资格，并要求相应赔偿。</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三、采购服务要求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（一）AI法官</w:t>
      </w:r>
    </w:p>
    <w:p>
      <w:pPr>
        <w:keepNext w:val="0"/>
        <w:keepLines w:val="0"/>
        <w:pageBreakBefore w:val="0"/>
        <w:kinsoku/>
        <w:wordWrap/>
        <w:overflowPunct/>
        <w:topLinePunct w:val="0"/>
        <w:bidi w:val="0"/>
        <w:snapToGrid/>
        <w:spacing w:line="360" w:lineRule="auto"/>
        <w:rPr>
          <w:rFonts w:hint="eastAsia" w:ascii="宋体" w:hAnsi="宋体" w:eastAsia="宋体" w:cs="宋体"/>
          <w:u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u w:val="none"/>
          <w:lang w:val="en-US" w:eastAsia="zh-CN"/>
        </w:rPr>
        <w:t>1.提供AI法官模型定制服务，按照实际需求定制虚拟数字人的外形、表情、动作、服装等3D数字形象，让AI数字法官具备仿真人的外在形象。需支持内容的高画质呈现，人物模型面数不低于100万，并使用基于物理属性的引擎渲染材质。</w:t>
      </w:r>
      <w:r>
        <w:rPr>
          <w:rFonts w:hint="eastAsia" w:ascii="宋体" w:hAnsi="宋体" w:eastAsia="宋体" w:cs="宋体"/>
          <w:u w:val="none"/>
          <w:lang w:val="en-US" w:eastAsia="zh-CN"/>
        </w:rPr>
        <w:br w:type="textWrapping"/>
      </w:r>
      <w:r>
        <w:rPr>
          <w:rFonts w:hint="eastAsia" w:ascii="宋体" w:hAnsi="宋体" w:eastAsia="宋体" w:cs="宋体"/>
          <w:color w:val="auto"/>
          <w:sz w:val="21"/>
          <w:szCs w:val="21"/>
          <w:highlight w:val="none"/>
        </w:rPr>
        <w:t>▲</w:t>
      </w:r>
      <w:r>
        <w:rPr>
          <w:rFonts w:hint="eastAsia" w:ascii="宋体" w:hAnsi="宋体" w:eastAsia="宋体" w:cs="宋体"/>
          <w:u w:val="none"/>
          <w:lang w:val="en-US" w:eastAsia="zh-CN"/>
        </w:rPr>
        <w:t>2.支持语音交互。虚拟人物可读取语音并搭配口型动作。</w:t>
      </w:r>
    </w:p>
    <w:p>
      <w:pPr>
        <w:keepNext w:val="0"/>
        <w:keepLines w:val="0"/>
        <w:pageBreakBefore w:val="0"/>
        <w:kinsoku/>
        <w:wordWrap/>
        <w:overflowPunct/>
        <w:topLinePunct w:val="0"/>
        <w:bidi w:val="0"/>
        <w:snapToGrid/>
        <w:spacing w:line="360" w:lineRule="auto"/>
        <w:rPr>
          <w:rFonts w:hint="eastAsia" w:ascii="宋体" w:hAnsi="宋体" w:eastAsia="宋体" w:cs="宋体"/>
          <w:u w:val="none"/>
          <w:lang w:val="en-US" w:eastAsia="zh-CN"/>
        </w:rPr>
      </w:pPr>
      <w:r>
        <w:rPr>
          <w:rFonts w:hint="eastAsia" w:ascii="宋体" w:hAnsi="宋体" w:eastAsia="宋体" w:cs="宋体"/>
          <w:u w:val="none"/>
          <w:lang w:val="en-US" w:eastAsia="zh-CN"/>
        </w:rPr>
        <w:t>3.虚拟人物应具有常见的面部表情和身体动作。</w:t>
      </w:r>
    </w:p>
    <w:p>
      <w:pPr>
        <w:keepNext w:val="0"/>
        <w:keepLines w:val="0"/>
        <w:pageBreakBefore w:val="0"/>
        <w:kinsoku/>
        <w:wordWrap/>
        <w:overflowPunct/>
        <w:topLinePunct w:val="0"/>
        <w:bidi w:val="0"/>
        <w:snapToGrid/>
        <w:spacing w:line="360" w:lineRule="auto"/>
        <w:rPr>
          <w:rFonts w:hint="eastAsia" w:ascii="宋体" w:hAnsi="宋体" w:eastAsia="宋体" w:cs="宋体"/>
          <w:u w:val="none"/>
          <w:lang w:val="en-US" w:eastAsia="zh-CN"/>
        </w:rPr>
      </w:pPr>
      <w:r>
        <w:rPr>
          <w:rFonts w:hint="eastAsia" w:ascii="宋体" w:hAnsi="宋体" w:eastAsia="宋体" w:cs="宋体"/>
          <w:u w:val="none"/>
          <w:lang w:val="en-US" w:eastAsia="zh-CN"/>
        </w:rPr>
        <w:t>4.背景可支持更换，支持透明、静态图片、动态背景。</w:t>
      </w:r>
    </w:p>
    <w:p>
      <w:pPr>
        <w:keepNext w:val="0"/>
        <w:keepLines w:val="0"/>
        <w:pageBreakBefore w:val="0"/>
        <w:kinsoku/>
        <w:wordWrap/>
        <w:overflowPunct/>
        <w:topLinePunct w:val="0"/>
        <w:bidi w:val="0"/>
        <w:snapToGrid/>
        <w:spacing w:line="360" w:lineRule="auto"/>
        <w:rPr>
          <w:rFonts w:hint="eastAsia" w:ascii="宋体" w:hAnsi="宋体" w:eastAsia="宋体" w:cs="宋体"/>
          <w:u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u w:val="none"/>
          <w:lang w:val="en-US" w:eastAsia="zh-CN"/>
        </w:rPr>
        <w:t>5.不低于200条问答信息，支持播放视频、音频、文档等。对话知识库编辑查看等功能。</w:t>
      </w:r>
    </w:p>
    <w:p>
      <w:pPr>
        <w:keepNext w:val="0"/>
        <w:keepLines w:val="0"/>
        <w:pageBreakBefore w:val="0"/>
        <w:widowControl/>
        <w:kinsoku/>
        <w:wordWrap/>
        <w:overflowPunct/>
        <w:topLinePunct w:val="0"/>
        <w:bidi w:val="0"/>
        <w:snapToGrid/>
        <w:spacing w:line="360" w:lineRule="auto"/>
        <w:jc w:val="left"/>
        <w:textAlignment w:val="center"/>
        <w:rPr>
          <w:rFonts w:hint="eastAsia"/>
          <w:lang w:val="en-US" w:eastAsia="zh-CN"/>
        </w:rPr>
      </w:pPr>
      <w:r>
        <w:rPr>
          <w:rFonts w:hint="eastAsia" w:ascii="宋体" w:hAnsi="宋体" w:eastAsia="宋体" w:cs="宋体"/>
          <w:color w:val="auto"/>
          <w:sz w:val="21"/>
          <w:szCs w:val="21"/>
          <w:highlight w:val="none"/>
        </w:rPr>
        <w:t>▲</w:t>
      </w:r>
      <w:r>
        <w:rPr>
          <w:rFonts w:hint="eastAsia" w:ascii="宋体" w:hAnsi="宋体" w:eastAsia="宋体" w:cs="宋体"/>
          <w:u w:val="none"/>
          <w:lang w:val="en-US" w:eastAsia="zh-CN"/>
        </w:rPr>
        <w:t>6.可屏幕点击交互，选择问题，虚拟人物直接回答。</w:t>
      </w:r>
      <w:r>
        <w:rPr>
          <w:rFonts w:hint="eastAsia" w:ascii="宋体" w:hAnsi="宋体" w:eastAsia="宋体" w:cs="宋体"/>
          <w:u w:val="none"/>
          <w:lang w:val="en-US" w:eastAsia="zh-CN"/>
        </w:rPr>
        <w:br w:type="textWrapping"/>
      </w:r>
      <w:r>
        <w:rPr>
          <w:rFonts w:hint="eastAsia" w:ascii="宋体" w:hAnsi="宋体" w:eastAsia="宋体" w:cs="宋体"/>
          <w:color w:val="auto"/>
          <w:sz w:val="21"/>
          <w:szCs w:val="21"/>
          <w:highlight w:val="none"/>
        </w:rPr>
        <w:t>▲</w:t>
      </w:r>
      <w:r>
        <w:rPr>
          <w:rFonts w:hint="eastAsia" w:ascii="宋体" w:hAnsi="宋体" w:eastAsia="宋体" w:cs="宋体"/>
          <w:u w:val="none"/>
          <w:lang w:val="en-US" w:eastAsia="zh-CN"/>
        </w:rPr>
        <w:t>7.硬件需求：</w:t>
      </w:r>
      <w:r>
        <w:rPr>
          <w:rFonts w:hint="eastAsia" w:ascii="宋体" w:hAnsi="宋体" w:eastAsia="宋体" w:cs="宋体"/>
          <w:color w:val="auto"/>
          <w:kern w:val="0"/>
          <w:sz w:val="21"/>
          <w:szCs w:val="21"/>
        </w:rPr>
        <w:t>1.液晶屏：</w:t>
      </w:r>
      <w:r>
        <w:rPr>
          <w:rFonts w:hint="eastAsia" w:ascii="宋体" w:hAnsi="宋体" w:eastAsia="宋体" w:cs="宋体"/>
          <w:color w:val="auto"/>
          <w:kern w:val="0"/>
          <w:sz w:val="21"/>
          <w:szCs w:val="21"/>
          <w:lang w:val="en-US" w:eastAsia="zh-CN"/>
        </w:rPr>
        <w:t>55寸</w:t>
      </w:r>
      <w:r>
        <w:rPr>
          <w:rFonts w:hint="eastAsia" w:ascii="宋体" w:hAnsi="宋体" w:eastAsia="宋体" w:cs="宋体"/>
          <w:color w:val="auto"/>
          <w:kern w:val="0"/>
          <w:sz w:val="21"/>
          <w:szCs w:val="21"/>
        </w:rPr>
        <w:t>液晶显示屏，LED背光；</w:t>
      </w:r>
      <w:r>
        <w:rPr>
          <w:rFonts w:hint="eastAsia" w:ascii="宋体" w:hAnsi="宋体" w:eastAsia="宋体" w:cs="宋体"/>
          <w:u w:val="none"/>
          <w:lang w:val="en-US" w:eastAsia="zh-CN"/>
        </w:rPr>
        <w:t>分辨率：1920*1080/3840*2160（Full HD）。</w:t>
      </w:r>
      <w:r>
        <w:rPr>
          <w:rFonts w:hint="eastAsia" w:ascii="宋体" w:hAnsi="宋体" w:eastAsia="宋体" w:cs="宋体"/>
          <w:color w:val="auto"/>
          <w:kern w:val="0"/>
          <w:sz w:val="21"/>
          <w:szCs w:val="21"/>
        </w:rPr>
        <w:t>2.触摸屏：电容触摸屏，防尘，支持不少于10点同时书写，绘画，可对图片进行放大、缩小翻转、滑屏等操作</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可通过双手进行单点触控，也可以满足单击、双击、平移、按压；响应速度小于0.2秒；3.电脑配置：</w:t>
      </w:r>
      <w:r>
        <w:rPr>
          <w:rFonts w:hint="eastAsia" w:ascii="宋体" w:hAnsi="宋体" w:eastAsia="宋体" w:cs="宋体"/>
          <w:sz w:val="21"/>
          <w:szCs w:val="21"/>
          <w:u w:val="none"/>
          <w:lang w:val="en-US" w:eastAsia="zh-CN"/>
        </w:rPr>
        <w:t>CPU不低于intel7第12代，显卡配置不低于GTX3060，内存不低于16G</w:t>
      </w:r>
      <w:r>
        <w:rPr>
          <w:rFonts w:hint="eastAsia" w:ascii="宋体" w:hAnsi="宋体" w:eastAsia="宋体" w:cs="宋体"/>
          <w:color w:val="auto"/>
          <w:kern w:val="0"/>
          <w:sz w:val="21"/>
          <w:szCs w:val="21"/>
        </w:rPr>
        <w:t>。</w:t>
      </w:r>
    </w:p>
    <w:p>
      <w:pPr>
        <w:keepNext w:val="0"/>
        <w:keepLines w:val="0"/>
        <w:pageBreakBefore w:val="0"/>
        <w:kinsoku/>
        <w:wordWrap/>
        <w:overflowPunct/>
        <w:topLinePunct w:val="0"/>
        <w:bidi w:val="0"/>
        <w:snapToGrid/>
        <w:spacing w:line="360" w:lineRule="auto"/>
        <w:rPr>
          <w:rFonts w:hint="eastAsia" w:ascii="宋体" w:hAnsi="宋体" w:eastAsia="宋体" w:cs="宋体"/>
          <w:lang w:val="en-US" w:eastAsia="zh-CN"/>
        </w:rPr>
      </w:pPr>
      <w:r>
        <w:rPr>
          <w:rFonts w:hint="eastAsia" w:ascii="宋体" w:hAnsi="宋体" w:eastAsia="宋体" w:cs="宋体"/>
          <w:b w:val="0"/>
          <w:bCs w:val="0"/>
          <w:color w:val="auto"/>
          <w:sz w:val="21"/>
          <w:szCs w:val="21"/>
          <w:highlight w:val="none"/>
          <w:lang w:val="en-US" w:eastAsia="zh-CN"/>
        </w:rPr>
        <w:t>（二）云游澳门</w:t>
      </w:r>
      <w:r>
        <w:rPr>
          <w:rFonts w:hint="eastAsia" w:ascii="宋体" w:hAnsi="宋体" w:eastAsia="宋体" w:cs="宋体"/>
          <w:b w:val="0"/>
          <w:bCs w:val="0"/>
          <w:color w:val="auto"/>
          <w:sz w:val="21"/>
          <w:szCs w:val="21"/>
          <w:highlight w:val="none"/>
          <w:lang w:val="en-US" w:eastAsia="zh-CN"/>
        </w:rPr>
        <w:br w:type="textWrapping"/>
      </w:r>
      <w:r>
        <w:rPr>
          <w:rFonts w:hint="eastAsia" w:ascii="宋体" w:hAnsi="宋体" w:eastAsia="宋体" w:cs="宋体"/>
          <w:color w:val="auto"/>
          <w:sz w:val="21"/>
          <w:szCs w:val="21"/>
          <w:highlight w:val="none"/>
        </w:rPr>
        <w:t>▲</w:t>
      </w:r>
      <w:r>
        <w:rPr>
          <w:rFonts w:hint="eastAsia" w:ascii="宋体" w:hAnsi="宋体" w:eastAsia="宋体" w:cs="宋体"/>
          <w:lang w:val="en-US" w:eastAsia="zh-CN"/>
        </w:rPr>
        <w:t>1.澳门4个法院场景拍摄制作为720度全景图片，点位不少于10个。</w:t>
      </w:r>
    </w:p>
    <w:p>
      <w:pPr>
        <w:keepNext w:val="0"/>
        <w:keepLines w:val="0"/>
        <w:pageBreakBefore w:val="0"/>
        <w:kinsoku/>
        <w:wordWrap/>
        <w:overflowPunct/>
        <w:topLinePunct w:val="0"/>
        <w:bidi w:val="0"/>
        <w:snapToGrid/>
        <w:spacing w:line="360" w:lineRule="auto"/>
        <w:rPr>
          <w:rFonts w:hint="eastAsia" w:ascii="宋体" w:hAnsi="宋体" w:eastAsia="宋体" w:cs="宋体"/>
          <w:lang w:val="en-US" w:eastAsia="zh-CN"/>
        </w:rPr>
      </w:pPr>
      <w:r>
        <w:rPr>
          <w:rFonts w:hint="eastAsia" w:ascii="宋体" w:hAnsi="宋体" w:eastAsia="宋体" w:cs="宋体"/>
          <w:lang w:val="en-US" w:eastAsia="zh-CN"/>
        </w:rPr>
        <w:t>2.澳门景点图片的拍摄制作，点位不少于5个。</w:t>
      </w:r>
    </w:p>
    <w:p>
      <w:pPr>
        <w:keepNext w:val="0"/>
        <w:keepLines w:val="0"/>
        <w:pageBreakBefore w:val="0"/>
        <w:kinsoku/>
        <w:wordWrap/>
        <w:overflowPunct/>
        <w:topLinePunct w:val="0"/>
        <w:bidi w:val="0"/>
        <w:snapToGrid/>
        <w:spacing w:line="360" w:lineRule="auto"/>
        <w:rPr>
          <w:rFonts w:hint="eastAsia" w:ascii="宋体" w:hAnsi="宋体" w:eastAsia="宋体" w:cs="宋体"/>
          <w:lang w:val="en-US" w:eastAsia="zh-CN"/>
        </w:rPr>
      </w:pPr>
      <w:r>
        <w:rPr>
          <w:rFonts w:hint="eastAsia" w:ascii="宋体" w:hAnsi="宋体" w:eastAsia="宋体" w:cs="宋体"/>
          <w:color w:val="auto"/>
          <w:sz w:val="21"/>
          <w:szCs w:val="21"/>
          <w:highlight w:val="none"/>
        </w:rPr>
        <w:t>▲</w:t>
      </w:r>
      <w:r>
        <w:rPr>
          <w:rFonts w:hint="eastAsia" w:ascii="宋体" w:hAnsi="宋体" w:eastAsia="宋体" w:cs="宋体"/>
          <w:lang w:val="en-US" w:eastAsia="zh-CN"/>
        </w:rPr>
        <w:t>3.双屏联动模式，屏幕尺寸为43寸（下方触控屏）+75寸（上方显示屏）。下方屏幕可触摸，可控制双屏联动显示。</w:t>
      </w:r>
    </w:p>
    <w:p>
      <w:pPr>
        <w:keepNext w:val="0"/>
        <w:keepLines w:val="0"/>
        <w:pageBreakBefore w:val="0"/>
        <w:widowControl/>
        <w:kinsoku/>
        <w:wordWrap/>
        <w:overflowPunct/>
        <w:topLinePunct w:val="0"/>
        <w:bidi w:val="0"/>
        <w:snapToGrid/>
        <w:spacing w:line="360" w:lineRule="auto"/>
        <w:textAlignment w:val="center"/>
        <w:rPr>
          <w:rFonts w:hint="eastAsia" w:ascii="宋体" w:hAnsi="宋体" w:eastAsia="宋体" w:cs="宋体"/>
          <w:sz w:val="22"/>
          <w:szCs w:val="22"/>
          <w:lang w:val="en-US" w:eastAsia="zh-CN"/>
        </w:rPr>
      </w:pPr>
      <w:r>
        <w:rPr>
          <w:rFonts w:hint="eastAsia" w:ascii="宋体" w:hAnsi="宋体" w:eastAsia="宋体" w:cs="宋体"/>
          <w:color w:val="auto"/>
          <w:sz w:val="21"/>
          <w:szCs w:val="21"/>
          <w:highlight w:val="none"/>
        </w:rPr>
        <w:t>▲</w:t>
      </w:r>
      <w:r>
        <w:rPr>
          <w:rFonts w:hint="eastAsia" w:ascii="宋体" w:hAnsi="宋体" w:eastAsia="宋体" w:cs="宋体"/>
          <w:lang w:val="en-US" w:eastAsia="zh-CN"/>
        </w:rPr>
        <w:t>4.</w:t>
      </w:r>
      <w:r>
        <w:rPr>
          <w:rFonts w:hint="eastAsia" w:ascii="宋体" w:hAnsi="宋体" w:eastAsia="宋体" w:cs="宋体"/>
          <w:sz w:val="22"/>
          <w:szCs w:val="22"/>
          <w:lang w:val="en-US" w:eastAsia="zh-CN"/>
        </w:rPr>
        <w:t>硬件需求：1</w:t>
      </w:r>
      <w:r>
        <w:rPr>
          <w:rFonts w:hint="eastAsia" w:ascii="宋体" w:hAnsi="宋体" w:eastAsia="宋体" w:cs="宋体"/>
          <w:color w:val="auto"/>
          <w:kern w:val="0"/>
          <w:sz w:val="22"/>
          <w:szCs w:val="22"/>
        </w:rPr>
        <w:t>.</w:t>
      </w:r>
      <w:r>
        <w:rPr>
          <w:rFonts w:hint="eastAsia" w:ascii="宋体" w:hAnsi="宋体" w:eastAsia="宋体" w:cs="宋体"/>
          <w:color w:val="auto"/>
          <w:kern w:val="0"/>
          <w:sz w:val="22"/>
          <w:szCs w:val="22"/>
          <w:lang w:val="en-US" w:eastAsia="zh-CN"/>
        </w:rPr>
        <w:t>43寸</w:t>
      </w:r>
      <w:r>
        <w:rPr>
          <w:rFonts w:hint="eastAsia" w:ascii="宋体" w:hAnsi="宋体" w:eastAsia="宋体" w:cs="宋体"/>
          <w:color w:val="auto"/>
          <w:kern w:val="0"/>
          <w:sz w:val="22"/>
          <w:szCs w:val="22"/>
        </w:rPr>
        <w:t>触摸屏：电容触摸屏，防尘，支持不少于10点同时书写，绘画，可对图片进行放大、缩小翻转、滑屏等操作</w:t>
      </w:r>
      <w:r>
        <w:rPr>
          <w:rFonts w:hint="eastAsia" w:ascii="宋体" w:hAnsi="宋体" w:eastAsia="宋体" w:cs="宋体"/>
          <w:color w:val="auto"/>
          <w:kern w:val="0"/>
          <w:sz w:val="22"/>
          <w:szCs w:val="22"/>
          <w:lang w:eastAsia="zh-CN"/>
        </w:rPr>
        <w:t>，</w:t>
      </w:r>
      <w:r>
        <w:rPr>
          <w:rFonts w:hint="eastAsia" w:ascii="宋体" w:hAnsi="宋体" w:eastAsia="宋体" w:cs="宋体"/>
          <w:color w:val="auto"/>
          <w:kern w:val="0"/>
          <w:sz w:val="22"/>
          <w:szCs w:val="22"/>
        </w:rPr>
        <w:t>可通过双手进行单点触控，也可以满足单击、双击、平移、按压；响应速度小于0.2秒。；</w:t>
      </w:r>
      <w:r>
        <w:rPr>
          <w:rFonts w:hint="eastAsia" w:ascii="宋体" w:hAnsi="宋体" w:eastAsia="宋体" w:cs="宋体"/>
          <w:color w:val="auto"/>
          <w:kern w:val="0"/>
          <w:sz w:val="22"/>
          <w:szCs w:val="22"/>
          <w:lang w:val="en-US" w:eastAsia="zh-CN"/>
        </w:rPr>
        <w:t>2.75寸液晶显示屏：</w:t>
      </w:r>
      <w:r>
        <w:rPr>
          <w:rFonts w:hint="eastAsia" w:ascii="宋体" w:hAnsi="宋体" w:eastAsia="宋体" w:cs="宋体"/>
          <w:sz w:val="22"/>
          <w:szCs w:val="22"/>
          <w:lang w:val="en-US" w:eastAsia="zh-CN"/>
        </w:rPr>
        <w:t>壁挂式纯平钣金结构，四等边设计，无锐利边缘，采用耐磨防腐烤漆工艺，整体防爆，高清显示、多点触控、系统一体化超薄设计；LED背光；亮度：450cd/㎡分辨率:3840*2160，高对比度，宽视角;</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主机配置要求：</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1"/>
          <w:szCs w:val="21"/>
          <w:u w:val="none"/>
          <w:lang w:val="en-US" w:eastAsia="zh-CN"/>
        </w:rPr>
        <w:t>CPU：不低于intel7第12代</w:t>
      </w:r>
      <w:r>
        <w:rPr>
          <w:rFonts w:hint="eastAsia" w:ascii="宋体" w:hAnsi="宋体" w:eastAsia="宋体" w:cs="宋体"/>
          <w:sz w:val="22"/>
          <w:szCs w:val="22"/>
          <w:lang w:val="en-US" w:eastAsia="zh-CN"/>
        </w:rPr>
        <w:t xml:space="preserve">；                             </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显卡：不低于GeForce GTX1660 Super；</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固态硬盘：不低于SL300 250GB ；</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机械硬盘不低于500G ；        </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内存：不低于16GB DDR4 2400 ；</w:t>
      </w:r>
    </w:p>
    <w:p>
      <w:pPr>
        <w:pStyle w:val="3"/>
        <w:keepNext w:val="0"/>
        <w:keepLines w:val="0"/>
        <w:pageBreakBefore w:val="0"/>
        <w:kinsoku/>
        <w:wordWrap/>
        <w:overflowPunct/>
        <w:topLinePunct w:val="0"/>
        <w:bidi w:val="0"/>
        <w:snapToGrid/>
        <w:spacing w:line="360" w:lineRule="auto"/>
        <w:ind w:left="0" w:leftChars="0" w:firstLine="0" w:firstLineChars="0"/>
        <w:rPr>
          <w:rFonts w:hint="eastAsia"/>
        </w:rPr>
      </w:pPr>
      <w:r>
        <w:rPr>
          <w:rFonts w:hint="eastAsia" w:ascii="宋体" w:hAnsi="宋体" w:eastAsia="宋体" w:cs="宋体"/>
          <w:sz w:val="22"/>
          <w:szCs w:val="22"/>
          <w:lang w:val="en-US" w:eastAsia="zh-CN"/>
        </w:rPr>
        <w:t>专用电源+工控机箱。</w:t>
      </w:r>
    </w:p>
    <w:p>
      <w:pPr>
        <w:keepNext w:val="0"/>
        <w:keepLines w:val="0"/>
        <w:pageBreakBefore w:val="0"/>
        <w:widowControl/>
        <w:kinsoku/>
        <w:wordWrap/>
        <w:overflowPunct/>
        <w:topLinePunct w:val="0"/>
        <w:bidi w:val="0"/>
        <w:snapToGrid/>
        <w:spacing w:line="360" w:lineRule="auto"/>
        <w:jc w:val="left"/>
        <w:textAlignment w:val="cente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（三）香洲区少年审判法庭网上展馆</w:t>
      </w:r>
    </w:p>
    <w:p>
      <w:pPr>
        <w:pStyle w:val="171"/>
        <w:keepNext w:val="0"/>
        <w:keepLines w:val="0"/>
        <w:pageBreakBefore w:val="0"/>
        <w:widowControl w:val="0"/>
        <w:numPr>
          <w:ilvl w:val="0"/>
          <w:numId w:val="0"/>
        </w:numPr>
        <w:kinsoku/>
        <w:wordWrap/>
        <w:overflowPunct/>
        <w:topLinePunct w:val="0"/>
        <w:bidi w:val="0"/>
        <w:snapToGrid/>
        <w:spacing w:line="360" w:lineRule="auto"/>
        <w:jc w:val="both"/>
        <w:rPr>
          <w:rFonts w:hint="eastAsia" w:ascii="宋体" w:hAnsi="宋体" w:eastAsia="宋体" w:cs="宋体"/>
          <w:lang w:val="en-US" w:eastAsia="zh-CN"/>
        </w:rPr>
      </w:pPr>
      <w:r>
        <w:rPr>
          <w:rFonts w:hint="eastAsia" w:ascii="宋体" w:hAnsi="宋体" w:eastAsia="宋体" w:cs="宋体"/>
          <w:color w:val="auto"/>
          <w:sz w:val="21"/>
          <w:szCs w:val="21"/>
          <w:highlight w:val="none"/>
        </w:rPr>
        <w:t>▲</w:t>
      </w:r>
      <w:r>
        <w:rPr>
          <w:rFonts w:hint="eastAsia" w:ascii="宋体" w:hAnsi="宋体" w:eastAsia="宋体" w:cs="宋体"/>
          <w:lang w:val="en-US" w:eastAsia="zh-CN"/>
        </w:rPr>
        <w:t>1.香洲区少年审判法庭720实景拍摄，不少于8个点位。整合后可进行交互，查看法庭场景的介绍等。</w:t>
      </w:r>
    </w:p>
    <w:p>
      <w:pPr>
        <w:pStyle w:val="171"/>
        <w:keepNext w:val="0"/>
        <w:keepLines w:val="0"/>
        <w:pageBreakBefore w:val="0"/>
        <w:widowControl w:val="0"/>
        <w:numPr>
          <w:ilvl w:val="0"/>
          <w:numId w:val="0"/>
        </w:numPr>
        <w:kinsoku/>
        <w:wordWrap/>
        <w:overflowPunct/>
        <w:topLinePunct w:val="0"/>
        <w:bidi w:val="0"/>
        <w:snapToGrid/>
        <w:spacing w:line="360" w:lineRule="auto"/>
        <w:jc w:val="both"/>
        <w:rPr>
          <w:rFonts w:hint="eastAsia" w:ascii="宋体" w:hAnsi="宋体" w:eastAsia="宋体" w:cs="宋体"/>
          <w:lang w:val="en-US" w:eastAsia="zh-CN"/>
        </w:rPr>
      </w:pPr>
      <w:r>
        <w:rPr>
          <w:rFonts w:hint="eastAsia" w:ascii="宋体" w:hAnsi="宋体" w:eastAsia="宋体" w:cs="宋体"/>
          <w:lang w:val="en-US" w:eastAsia="zh-CN"/>
        </w:rPr>
        <w:t>2.分辨率不低于2K。</w:t>
      </w:r>
    </w:p>
    <w:p>
      <w:pPr>
        <w:pStyle w:val="2"/>
        <w:keepNext w:val="0"/>
        <w:keepLines w:val="0"/>
        <w:pageBreakBefore w:val="0"/>
        <w:kinsoku/>
        <w:wordWrap/>
        <w:overflowPunct/>
        <w:topLinePunct w:val="0"/>
        <w:bidi w:val="0"/>
        <w:snapToGrid/>
        <w:spacing w:line="360" w:lineRule="auto"/>
        <w:rPr>
          <w:rFonts w:hint="eastAsia"/>
          <w:sz w:val="21"/>
          <w:szCs w:val="21"/>
          <w:lang w:val="en-US" w:eastAsia="zh-CN"/>
        </w:rPr>
      </w:pPr>
      <w:r>
        <w:rPr>
          <w:rFonts w:hint="eastAsia" w:ascii="宋体" w:hAnsi="宋体" w:eastAsia="宋体" w:cs="宋体"/>
          <w:sz w:val="21"/>
          <w:szCs w:val="21"/>
          <w:lang w:val="en-US" w:eastAsia="zh-CN"/>
        </w:rPr>
        <w:t>3.网上展馆需同时应用于Web端、手机端、网页H5，满足查看和体验。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（四）绿幕打卡</w:t>
      </w:r>
    </w:p>
    <w:p>
      <w:pPr>
        <w:keepNext w:val="0"/>
        <w:keepLines w:val="0"/>
        <w:pageBreakBefore w:val="0"/>
        <w:numPr>
          <w:ilvl w:val="0"/>
          <w:numId w:val="0"/>
        </w:numPr>
        <w:kinsoku/>
        <w:wordWrap/>
        <w:overflowPunct/>
        <w:topLinePunct w:val="0"/>
        <w:bidi w:val="0"/>
        <w:snapToGrid/>
        <w:spacing w:line="360"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default" w:ascii="宋体" w:hAnsi="宋体" w:eastAsia="宋体" w:cs="宋体"/>
          <w:color w:val="auto"/>
          <w:kern w:val="2"/>
          <w:sz w:val="21"/>
          <w:szCs w:val="21"/>
          <w:highlight w:val="none"/>
          <w:lang w:val="en-US" w:eastAsia="zh-CN" w:bidi="ar-SA"/>
        </w:rPr>
        <w:t>1.绿幕尺寸为150寸的幕布。</w:t>
      </w:r>
    </w:p>
    <w:p>
      <w:pPr>
        <w:keepNext w:val="0"/>
        <w:keepLines w:val="0"/>
        <w:pageBreakBefore w:val="0"/>
        <w:numPr>
          <w:ilvl w:val="0"/>
          <w:numId w:val="0"/>
        </w:numPr>
        <w:kinsoku/>
        <w:wordWrap/>
        <w:overflowPunct/>
        <w:topLinePunct w:val="0"/>
        <w:bidi w:val="0"/>
        <w:snapToGrid/>
        <w:spacing w:line="360" w:lineRule="auto"/>
        <w:ind w:left="0" w:leftChars="0" w:firstLine="0" w:firstLineChars="0"/>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default" w:ascii="宋体" w:hAnsi="宋体" w:eastAsia="宋体" w:cs="宋体"/>
          <w:color w:val="auto"/>
          <w:kern w:val="2"/>
          <w:sz w:val="21"/>
          <w:szCs w:val="21"/>
          <w:highlight w:val="none"/>
          <w:lang w:val="en-US" w:eastAsia="zh-CN" w:bidi="ar-SA"/>
        </w:rPr>
        <w:t>2.互动方式是触摸屏点击拍照，显示屏呈现照片，可更换不同的拍照背景。</w:t>
      </w:r>
    </w:p>
    <w:p>
      <w:pPr>
        <w:pStyle w:val="2"/>
        <w:keepNext w:val="0"/>
        <w:keepLines w:val="0"/>
        <w:pageBreakBefore w:val="0"/>
        <w:numPr>
          <w:ilvl w:val="0"/>
          <w:numId w:val="14"/>
        </w:numPr>
        <w:kinsoku/>
        <w:wordWrap/>
        <w:overflowPunct/>
        <w:topLinePunct w:val="0"/>
        <w:bidi w:val="0"/>
        <w:snapToGrid/>
        <w:spacing w:line="360" w:lineRule="auto"/>
        <w:rPr>
          <w:rFonts w:hint="default" w:ascii="宋体" w:hAnsi="宋体" w:eastAsia="宋体" w:cs="宋体"/>
          <w:color w:val="auto"/>
          <w:kern w:val="2"/>
          <w:sz w:val="21"/>
          <w:szCs w:val="21"/>
          <w:highlight w:val="none"/>
          <w:lang w:val="en-US" w:eastAsia="zh-CN" w:bidi="ar-SA"/>
        </w:rPr>
      </w:pPr>
      <w:r>
        <w:rPr>
          <w:rFonts w:hint="default" w:ascii="宋体" w:hAnsi="宋体" w:eastAsia="宋体" w:cs="宋体"/>
          <w:color w:val="auto"/>
          <w:kern w:val="2"/>
          <w:sz w:val="21"/>
          <w:szCs w:val="21"/>
          <w:highlight w:val="none"/>
          <w:lang w:val="en-US" w:eastAsia="zh-CN" w:bidi="ar-SA"/>
        </w:rPr>
        <w:t>拍完照可扫描屏幕上的二维码并实现扫码带走。</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主机配置要求：</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1"/>
          <w:szCs w:val="21"/>
          <w:u w:val="none"/>
          <w:lang w:val="en-US" w:eastAsia="zh-CN"/>
        </w:rPr>
        <w:t>CPU：不低于intel7第12代</w:t>
      </w:r>
      <w:r>
        <w:rPr>
          <w:rFonts w:hint="eastAsia" w:ascii="宋体" w:hAnsi="宋体" w:eastAsia="宋体" w:cs="宋体"/>
          <w:sz w:val="22"/>
          <w:szCs w:val="22"/>
          <w:lang w:val="en-US" w:eastAsia="zh-CN"/>
        </w:rPr>
        <w:t xml:space="preserve">；                             </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显卡：不低于GeForce GTX1660 Super；</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固态硬盘：不低于SL300 250GB ；</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 xml:space="preserve">机械硬盘不低于500G ；        </w:t>
      </w:r>
    </w:p>
    <w:p>
      <w:pPr>
        <w:pStyle w:val="3"/>
        <w:keepNext w:val="0"/>
        <w:keepLines w:val="0"/>
        <w:pageBreakBefore w:val="0"/>
        <w:kinsoku/>
        <w:wordWrap/>
        <w:overflowPunct/>
        <w:topLinePunct w:val="0"/>
        <w:bidi w:val="0"/>
        <w:snapToGrid/>
        <w:spacing w:line="360" w:lineRule="auto"/>
        <w:ind w:left="0" w:leftChars="0" w:firstLine="0" w:firstLineChars="0"/>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内存：不低于16GB DDR4 2400 ；</w:t>
      </w:r>
    </w:p>
    <w:p>
      <w:pPr>
        <w:pStyle w:val="3"/>
        <w:keepNext w:val="0"/>
        <w:keepLines w:val="0"/>
        <w:pageBreakBefore w:val="0"/>
        <w:kinsoku/>
        <w:wordWrap/>
        <w:overflowPunct/>
        <w:topLinePunct w:val="0"/>
        <w:bidi w:val="0"/>
        <w:snapToGrid/>
        <w:spacing w:line="360" w:lineRule="auto"/>
        <w:ind w:left="0" w:leftChars="0" w:firstLine="0" w:firstLineChars="0"/>
        <w:rPr>
          <w:rFonts w:hint="eastAsia"/>
        </w:rPr>
      </w:pPr>
      <w:r>
        <w:rPr>
          <w:rFonts w:hint="eastAsia" w:ascii="宋体" w:hAnsi="宋体" w:eastAsia="宋体" w:cs="宋体"/>
          <w:sz w:val="22"/>
          <w:szCs w:val="22"/>
          <w:lang w:val="en-US" w:eastAsia="zh-CN"/>
        </w:rPr>
        <w:t>专用电源+工控机箱。</w:t>
      </w:r>
    </w:p>
    <w:p>
      <w:pPr>
        <w:pStyle w:val="2"/>
        <w:keepNext w:val="0"/>
        <w:keepLines w:val="0"/>
        <w:pageBreakBefore w:val="0"/>
        <w:kinsoku/>
        <w:wordWrap/>
        <w:overflowPunct/>
        <w:topLinePunct w:val="0"/>
        <w:bidi w:val="0"/>
        <w:snapToGrid/>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sz w:val="21"/>
          <w:szCs w:val="21"/>
          <w:highlight w:val="none"/>
        </w:rPr>
        <w:t>▲</w:t>
      </w:r>
      <w:r>
        <w:rPr>
          <w:rFonts w:hint="eastAsia" w:ascii="宋体" w:hAnsi="宋体" w:eastAsia="宋体" w:cs="宋体"/>
          <w:color w:val="auto"/>
          <w:kern w:val="2"/>
          <w:sz w:val="21"/>
          <w:szCs w:val="21"/>
          <w:highlight w:val="none"/>
          <w:lang w:val="en-US" w:eastAsia="zh-CN" w:bidi="ar-SA"/>
        </w:rPr>
        <w:t>以上所有</w:t>
      </w:r>
      <w:r>
        <w:rPr>
          <w:rFonts w:hint="eastAsia" w:ascii="宋体" w:hAnsi="宋体" w:eastAsia="宋体" w:cs="宋体"/>
          <w:b w:val="0"/>
          <w:bCs w:val="0"/>
          <w:color w:val="auto"/>
          <w:sz w:val="21"/>
          <w:szCs w:val="21"/>
          <w:highlight w:val="none"/>
          <w:lang w:val="en-US" w:eastAsia="zh-CN"/>
        </w:rPr>
        <w:t>多媒体设备、软件和内容，均按购买租赁服务的方式解决。首个租赁期的初始设备必须为全新产品。多媒体设备的租赁期不低于5年，前2年中标人负责免费维护</w:t>
      </w:r>
      <w:r>
        <w:rPr>
          <w:rFonts w:hint="eastAsia" w:ascii="宋体" w:hAnsi="宋体" w:cs="宋体"/>
          <w:b w:val="0"/>
          <w:bCs w:val="0"/>
          <w:color w:val="auto"/>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四</w:t>
      </w:r>
      <w:r>
        <w:rPr>
          <w:rFonts w:hint="eastAsia" w:ascii="宋体" w:hAnsi="宋体" w:eastAsia="宋体" w:cs="宋体"/>
          <w:b/>
          <w:bCs/>
          <w:sz w:val="21"/>
          <w:szCs w:val="21"/>
          <w:highlight w:val="none"/>
          <w:lang w:eastAsia="zh-CN"/>
        </w:rPr>
        <w:t>、主要材料、货物到货或提供服务时应提供的相关资料或证明文件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1.本项目实施过程中，所有主要设备和材料的采购，须报</w:t>
      </w:r>
      <w:r>
        <w:rPr>
          <w:rFonts w:hint="eastAsia" w:ascii="宋体" w:hAnsi="宋体" w:cs="宋体"/>
          <w:b w:val="0"/>
          <w:bCs w:val="0"/>
          <w:sz w:val="21"/>
          <w:szCs w:val="21"/>
          <w:highlight w:val="none"/>
          <w:lang w:val="en-US" w:eastAsia="zh-CN"/>
        </w:rPr>
        <w:t>招标人</w:t>
      </w:r>
      <w:r>
        <w:rPr>
          <w:rFonts w:hint="eastAsia" w:ascii="宋体" w:hAnsi="宋体" w:eastAsia="宋体" w:cs="宋体"/>
          <w:b w:val="0"/>
          <w:bCs w:val="0"/>
          <w:sz w:val="21"/>
          <w:szCs w:val="21"/>
          <w:highlight w:val="none"/>
          <w:lang w:val="en-US" w:eastAsia="zh-CN"/>
        </w:rPr>
        <w:t>同意后，方可进行采购安装。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2.所有材料、货物均为无污染，无侵权行为、表面无划损、无任何缺陷隐患，在中国境内可依常规安全合法使用。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r>
        <w:rPr>
          <w:rFonts w:hint="eastAsia" w:ascii="宋体" w:hAnsi="宋体" w:eastAsia="宋体" w:cs="宋体"/>
          <w:b w:val="0"/>
          <w:bCs w:val="0"/>
          <w:sz w:val="21"/>
          <w:szCs w:val="21"/>
          <w:highlight w:val="none"/>
          <w:lang w:val="en-US" w:eastAsia="zh-CN"/>
        </w:rPr>
        <w:t>3.交付验收标准依次序对照适用标准为：①符合中华人民共和国国家安全质量标准、环保标准或行业标准；②符合招标文件和响应承诺中</w:t>
      </w:r>
      <w:r>
        <w:rPr>
          <w:rFonts w:hint="eastAsia" w:ascii="宋体" w:hAnsi="宋体" w:cs="宋体"/>
          <w:b w:val="0"/>
          <w:bCs w:val="0"/>
          <w:sz w:val="21"/>
          <w:szCs w:val="21"/>
          <w:highlight w:val="none"/>
          <w:lang w:val="en-US" w:eastAsia="zh-CN"/>
        </w:rPr>
        <w:t>招标人</w:t>
      </w:r>
      <w:r>
        <w:rPr>
          <w:rFonts w:hint="eastAsia" w:ascii="宋体" w:hAnsi="宋体" w:eastAsia="宋体" w:cs="宋体"/>
          <w:b w:val="0"/>
          <w:bCs w:val="0"/>
          <w:sz w:val="21"/>
          <w:szCs w:val="21"/>
          <w:highlight w:val="none"/>
          <w:lang w:val="en-US" w:eastAsia="zh-CN"/>
        </w:rPr>
        <w:t>认可的合理最佳配置、参数及各项要求。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sz w:val="21"/>
          <w:szCs w:val="21"/>
          <w:highlight w:val="none"/>
          <w:lang w:val="en-US" w:eastAsia="zh-CN"/>
        </w:rPr>
        <w:t>五</w:t>
      </w:r>
      <w:r>
        <w:rPr>
          <w:rFonts w:hint="eastAsia" w:ascii="宋体" w:hAnsi="宋体" w:eastAsia="宋体" w:cs="宋体"/>
          <w:b/>
          <w:bCs/>
          <w:sz w:val="21"/>
          <w:szCs w:val="21"/>
          <w:highlight w:val="none"/>
          <w:lang w:eastAsia="zh-CN"/>
        </w:rPr>
        <w:t>、安装要求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1.中标人负责布置过程中的全部运输，包括装卸车、货物现场的搬运，包装、保险及发运等环节和费用均由中标人负责。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2.中标人负责拆除、清理展馆位置的现有构筑物、杂物和垃圾等。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3.中标人负责将其采购的本项目的工艺成品和材料运送到现场进行安装调试并须拆除、清理、搬迁因施工而产生的杂物和垃圾等，过程中的全部运输，包括装卸车、材料及工艺成品的现场搬运均由中标人负责。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ascii="宋体" w:hAnsi="宋体" w:eastAsia="宋体" w:cs="宋体"/>
          <w:b w:val="0"/>
          <w:bCs w:val="0"/>
          <w:color w:val="auto"/>
          <w:sz w:val="21"/>
          <w:szCs w:val="21"/>
          <w:highlight w:val="none"/>
          <w:lang w:eastAsia="zh-CN"/>
        </w:rPr>
        <w:t>4.布展现场的保管由中标人负责，直至项目安装、验收完毕。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bCs/>
          <w:sz w:val="21"/>
          <w:szCs w:val="21"/>
          <w:highlight w:val="none"/>
          <w:lang w:val="en-US" w:eastAsia="zh-CN"/>
        </w:rPr>
        <w:t>六</w:t>
      </w:r>
      <w:r>
        <w:rPr>
          <w:rFonts w:hint="eastAsia" w:ascii="宋体" w:hAnsi="宋体" w:eastAsia="宋体" w:cs="宋体"/>
          <w:b/>
          <w:bCs/>
          <w:sz w:val="21"/>
          <w:szCs w:val="21"/>
          <w:highlight w:val="none"/>
          <w:lang w:eastAsia="zh-CN"/>
        </w:rPr>
        <w:t>、验收要求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可委托监理单位协助对项目实施验收。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2.中标人完成项目过程中和项目完工后，按国家、广东省、珠海市相关规定需进行检测、检验的项目，由</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委托有资质的专业检测公司进行检测和检验，检测和检验内容按国家、广东省、珠海市相关规定执行。检测和检验合格后方能进行后续工序的施工。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3.对于</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提出的项目质量问题，中标人须无条件进行改正直至检测合格和质量合格。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七</w:t>
      </w:r>
      <w:r>
        <w:rPr>
          <w:rFonts w:hint="eastAsia" w:ascii="宋体" w:hAnsi="宋体" w:eastAsia="宋体" w:cs="宋体"/>
          <w:b/>
          <w:bCs/>
          <w:sz w:val="21"/>
          <w:szCs w:val="21"/>
          <w:highlight w:val="none"/>
          <w:lang w:eastAsia="zh-CN"/>
        </w:rPr>
        <w:t>、质量保证期及售后服务要求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1.项目质量保证期不少于</w:t>
      </w:r>
      <w:r>
        <w:rPr>
          <w:rFonts w:hint="eastAsia" w:ascii="宋体" w:hAnsi="宋体" w:eastAsia="宋体" w:cs="宋体"/>
          <w:b w:val="0"/>
          <w:bCs w:val="0"/>
          <w:color w:val="auto"/>
          <w:sz w:val="21"/>
          <w:szCs w:val="21"/>
          <w:highlight w:val="none"/>
          <w:lang w:val="en-US" w:eastAsia="zh-CN"/>
        </w:rPr>
        <w:t>24</w:t>
      </w:r>
      <w:r>
        <w:rPr>
          <w:rFonts w:hint="eastAsia" w:ascii="宋体" w:hAnsi="宋体" w:eastAsia="宋体" w:cs="宋体"/>
          <w:b w:val="0"/>
          <w:bCs w:val="0"/>
          <w:color w:val="auto"/>
          <w:sz w:val="21"/>
          <w:szCs w:val="21"/>
          <w:highlight w:val="none"/>
          <w:lang w:eastAsia="zh-CN"/>
        </w:rPr>
        <w:t>个月（采购项目清单中约定的质量保证其高于本要求的，从其约定）。自项目经</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、中标人双方验收合格并签字确认之日起计。若国家和/或生产商对本项目所涉及货物的质量保证期的规定高于本项目的要求，应按国家和/或生产商的规定执行。具体由供应商在报价文件中承诺。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2.在质保期内，中标人须提供常设售后服务电话热线、远程及现场支持服务和长期的免费维修支持。对</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的服务通知，中标人在接报后即时响应，不能远程解决的，应在接到通知后 24 小时内到达现场，48小时内处理完毕。故障不能在 48小时内修复的必须提供备用设备直至故障修复。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3.免费维修与更换缺陷部件的期限为中标人收到</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通知后 5天。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4.中标人必须派出技术人员指导培训</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指定的人员熟练使用各种设备操作。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八</w:t>
      </w:r>
      <w:r>
        <w:rPr>
          <w:rFonts w:hint="eastAsia" w:ascii="宋体" w:hAnsi="宋体" w:eastAsia="宋体" w:cs="宋体"/>
          <w:b/>
          <w:bCs/>
          <w:sz w:val="21"/>
          <w:szCs w:val="21"/>
          <w:highlight w:val="none"/>
          <w:lang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（一）知识产权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有权为本项目的使用复制投标文件，事先不需要取得投标人的许可，但</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不得将未标的投标文件泄漏给与本项目无关的其他人或作其他用途。</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2.</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有权无须事先征求中标人的同意而披露关于中标人的名称、地址、合同条款。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3.知识产权归属。在本合同范围内、项目设计过程中所涉及的知识产权成果权属归</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所有。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（二）设计补偿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本项目无设计补偿费。无论中标与否，开标后，投标人所有投标资料一律不予退还。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（三）其它要求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中标人在收到中标通知后的十天内根据</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和评标专家的意见对设计方案进行优化、完善；</w:t>
      </w:r>
      <w:r>
        <w:rPr>
          <w:rFonts w:hint="eastAsia" w:ascii="宋体" w:hAnsi="宋体" w:cs="宋体"/>
          <w:b w:val="0"/>
          <w:bCs w:val="0"/>
          <w:color w:val="auto"/>
          <w:sz w:val="21"/>
          <w:szCs w:val="21"/>
          <w:highlight w:val="none"/>
          <w:lang w:eastAsia="zh-CN"/>
        </w:rPr>
        <w:t>招标人</w:t>
      </w:r>
      <w:r>
        <w:rPr>
          <w:rFonts w:hint="eastAsia" w:ascii="宋体" w:hAnsi="宋体" w:eastAsia="宋体" w:cs="宋体"/>
          <w:b w:val="0"/>
          <w:bCs w:val="0"/>
          <w:color w:val="auto"/>
          <w:sz w:val="21"/>
          <w:szCs w:val="21"/>
          <w:highlight w:val="none"/>
          <w:lang w:eastAsia="zh-CN"/>
        </w:rPr>
        <w:t>确认后实施。</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（四）组织机构</w:t>
      </w:r>
    </w:p>
    <w:p>
      <w:pPr>
        <w:pStyle w:val="2"/>
        <w:ind w:firstLine="420" w:firstLineChars="200"/>
        <w:rPr>
          <w:rFonts w:hint="eastAsia"/>
          <w:lang w:val="en-US" w:eastAsia="zh-CN"/>
        </w:rPr>
      </w:pPr>
      <w:r>
        <w:rPr>
          <w:rFonts w:hint="eastAsia" w:ascii="宋体" w:hAnsi="宋体" w:eastAsia="宋体" w:cs="宋体"/>
          <w:color w:val="auto"/>
          <w:sz w:val="21"/>
          <w:szCs w:val="21"/>
          <w:highlight w:val="none"/>
          <w:lang w:val="en-US" w:eastAsia="zh-CN"/>
        </w:rPr>
        <w:t>为使项目按质、按量、按时及有序实施，供应商对本项目须建立一个完善和稳定的管理组织机构。</w:t>
      </w:r>
    </w:p>
    <w:p>
      <w:pPr>
        <w:pageBreakBefore w:val="0"/>
        <w:widowControl w:val="0"/>
        <w:tabs>
          <w:tab w:val="left" w:pos="900"/>
        </w:tabs>
        <w:kinsoku/>
        <w:wordWrap/>
        <w:overflowPunct/>
        <w:topLinePunct w:val="0"/>
        <w:autoSpaceDE w:val="0"/>
        <w:autoSpaceDN w:val="0"/>
        <w:bidi w:val="0"/>
        <w:adjustRightInd w:val="0"/>
        <w:snapToGrid/>
        <w:spacing w:line="360" w:lineRule="auto"/>
        <w:ind w:firstLine="420" w:firstLineChars="200"/>
        <w:jc w:val="left"/>
        <w:textAlignment w:val="auto"/>
        <w:outlineLvl w:val="9"/>
        <w:rPr>
          <w:rFonts w:hint="eastAsia" w:ascii="宋体" w:hAnsi="宋体" w:eastAsia="宋体" w:cs="宋体"/>
          <w:color w:val="auto"/>
          <w:kern w:val="0"/>
          <w:sz w:val="21"/>
          <w:szCs w:val="21"/>
          <w:lang w:val="zh-TW"/>
        </w:rPr>
      </w:pPr>
    </w:p>
    <w:bookmarkEnd w:id="500"/>
    <w:p>
      <w:pPr>
        <w:pStyle w:val="49"/>
        <w:spacing w:line="360" w:lineRule="auto"/>
        <w:ind w:firstLine="420" w:firstLineChars="200"/>
        <w:rPr>
          <w:rFonts w:hint="eastAsia" w:ascii="宋体" w:hAnsi="宋体" w:eastAsia="宋体" w:cs="宋体"/>
          <w:color w:val="auto"/>
          <w:kern w:val="2"/>
          <w:sz w:val="21"/>
          <w:szCs w:val="21"/>
          <w:lang w:eastAsia="zh-CN"/>
        </w:rPr>
      </w:pPr>
    </w:p>
    <w:bookmarkEnd w:id="499"/>
    <w:p>
      <w:pPr>
        <w:widowControl/>
        <w:spacing w:line="360" w:lineRule="auto"/>
        <w:jc w:val="left"/>
        <w:rPr>
          <w:rFonts w:ascii="宋体" w:hAnsi="宋体" w:cs="宋体"/>
          <w:b/>
          <w:color w:val="auto"/>
          <w:kern w:val="0"/>
          <w:sz w:val="21"/>
          <w:szCs w:val="21"/>
        </w:rPr>
      </w:pPr>
      <w:bookmarkStart w:id="504" w:name="_Toc56432229"/>
      <w:r>
        <w:rPr>
          <w:rFonts w:ascii="宋体" w:hAnsi="宋体" w:cs="宋体"/>
          <w:b/>
          <w:bCs/>
          <w:color w:val="auto"/>
          <w:kern w:val="0"/>
          <w:sz w:val="21"/>
          <w:szCs w:val="21"/>
        </w:rPr>
        <w:br w:type="page"/>
      </w:r>
    </w:p>
    <w:p>
      <w:pPr>
        <w:pStyle w:val="77"/>
        <w:spacing w:before="240" w:after="120"/>
        <w:rPr>
          <w:rFonts w:ascii="宋体" w:hAnsi="宋体" w:eastAsia="宋体" w:cs="宋体"/>
          <w:b/>
          <w:bCs w:val="0"/>
          <w:color w:val="auto"/>
          <w:kern w:val="0"/>
          <w:sz w:val="28"/>
          <w:szCs w:val="28"/>
        </w:rPr>
      </w:pPr>
      <w:bookmarkStart w:id="505" w:name="_Toc22721"/>
      <w:bookmarkStart w:id="506" w:name="_Toc29000"/>
      <w:bookmarkStart w:id="507" w:name="_Toc4246"/>
      <w:bookmarkStart w:id="508" w:name="_Toc21679"/>
      <w:r>
        <w:rPr>
          <w:rFonts w:hint="eastAsia" w:ascii="宋体" w:hAnsi="宋体" w:eastAsia="宋体" w:cs="宋体"/>
          <w:b/>
          <w:bCs w:val="0"/>
          <w:color w:val="auto"/>
          <w:kern w:val="0"/>
          <w:sz w:val="28"/>
          <w:szCs w:val="28"/>
        </w:rPr>
        <w:t>第六章</w:t>
      </w:r>
      <w:r>
        <w:rPr>
          <w:rFonts w:ascii="宋体" w:hAnsi="宋体" w:eastAsia="宋体" w:cs="宋体"/>
          <w:b/>
          <w:bCs w:val="0"/>
          <w:color w:val="auto"/>
          <w:kern w:val="0"/>
          <w:sz w:val="28"/>
          <w:szCs w:val="28"/>
        </w:rPr>
        <w:t xml:space="preserve">  </w:t>
      </w:r>
      <w:r>
        <w:rPr>
          <w:rFonts w:hint="eastAsia" w:ascii="宋体" w:hAnsi="宋体" w:eastAsia="宋体" w:cs="宋体"/>
          <w:b/>
          <w:bCs w:val="0"/>
          <w:color w:val="auto"/>
          <w:kern w:val="0"/>
          <w:sz w:val="28"/>
          <w:szCs w:val="28"/>
        </w:rPr>
        <w:t>投标文件格式</w:t>
      </w:r>
      <w:bookmarkEnd w:id="487"/>
      <w:bookmarkEnd w:id="488"/>
      <w:bookmarkEnd w:id="489"/>
      <w:bookmarkEnd w:id="504"/>
      <w:bookmarkEnd w:id="505"/>
      <w:bookmarkEnd w:id="506"/>
      <w:bookmarkEnd w:id="507"/>
      <w:bookmarkEnd w:id="508"/>
    </w:p>
    <w:p>
      <w:pPr>
        <w:adjustRightInd w:val="0"/>
        <w:snapToGrid w:val="0"/>
        <w:spacing w:line="440" w:lineRule="exact"/>
        <w:jc w:val="left"/>
        <w:rPr>
          <w:rFonts w:ascii="宋体" w:hAnsi="宋体"/>
          <w:color w:val="auto"/>
          <w:szCs w:val="21"/>
        </w:rPr>
      </w:pPr>
      <w:r>
        <w:rPr>
          <w:rFonts w:ascii="宋体" w:hAnsi="宋体"/>
          <w:color w:val="auto"/>
          <w:szCs w:val="21"/>
        </w:rPr>
        <w:t>[本格式应根据第二章投标人须知前附表3.1条款中关于纸质文件提供顺序进行修改，应与投标文件组成顺序一一对应]</w:t>
      </w:r>
    </w:p>
    <w:p>
      <w:pPr>
        <w:pStyle w:val="78"/>
        <w:tabs>
          <w:tab w:val="left" w:pos="567"/>
          <w:tab w:val="left" w:pos="795"/>
        </w:tabs>
        <w:adjustRightInd w:val="0"/>
        <w:snapToGrid w:val="0"/>
        <w:spacing w:line="440" w:lineRule="exact"/>
        <w:ind w:firstLine="0" w:firstLineChars="0"/>
        <w:jc w:val="left"/>
        <w:rPr>
          <w:rFonts w:ascii="宋体" w:hAnsi="宋体"/>
          <w:b/>
          <w:color w:val="auto"/>
          <w:szCs w:val="21"/>
        </w:rPr>
      </w:pPr>
      <w:r>
        <w:rPr>
          <w:rFonts w:hint="eastAsia" w:ascii="宋体" w:hAnsi="宋体"/>
          <w:b/>
          <w:color w:val="auto"/>
          <w:szCs w:val="21"/>
        </w:rPr>
        <w:t>第一分册</w:t>
      </w:r>
      <w:r>
        <w:rPr>
          <w:rFonts w:ascii="宋体" w:hAnsi="宋体"/>
          <w:b/>
          <w:color w:val="auto"/>
          <w:szCs w:val="21"/>
        </w:rPr>
        <w:t xml:space="preserve"> </w:t>
      </w:r>
      <w:r>
        <w:rPr>
          <w:rFonts w:hint="eastAsia" w:ascii="宋体" w:hAnsi="宋体"/>
          <w:b/>
          <w:color w:val="auto"/>
          <w:szCs w:val="21"/>
        </w:rPr>
        <w:t>商务、</w:t>
      </w:r>
      <w:r>
        <w:rPr>
          <w:rFonts w:ascii="宋体" w:hAnsi="宋体"/>
          <w:b/>
          <w:color w:val="auto"/>
          <w:szCs w:val="21"/>
        </w:rPr>
        <w:t>技术</w:t>
      </w:r>
      <w:r>
        <w:rPr>
          <w:rFonts w:hint="eastAsia" w:ascii="宋体" w:hAnsi="宋体"/>
          <w:b/>
          <w:color w:val="auto"/>
          <w:szCs w:val="21"/>
        </w:rPr>
        <w:t>投标文件</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商务、技术投标文件封面</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评审索引表</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投标函</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法定代表人（负责人）身份证明</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法定代表人（负责人）授权委托书</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资格审查资料</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商务合同条款偏离表</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实质性条款偏离表</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采购需求条款偏离表</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公章对投标专用章授权说明（如有）</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lang w:val="en-US" w:eastAsia="zh-CN"/>
        </w:rPr>
        <w:t>同类业绩表</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拟投入本项目服务人员明细表</w:t>
      </w:r>
    </w:p>
    <w:p>
      <w:pPr>
        <w:pStyle w:val="78"/>
        <w:numPr>
          <w:ilvl w:val="0"/>
          <w:numId w:val="15"/>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其他资料</w:t>
      </w:r>
      <w:r>
        <w:rPr>
          <w:rFonts w:hint="eastAsia" w:ascii="宋体" w:hAnsi="宋体" w:cs="宋体"/>
          <w:b/>
          <w:color w:val="auto"/>
          <w:szCs w:val="21"/>
          <w:lang w:eastAsia="zh-CN"/>
        </w:rPr>
        <w:t>（</w:t>
      </w:r>
      <w:r>
        <w:rPr>
          <w:rFonts w:hint="eastAsia" w:ascii="宋体" w:hAnsi="宋体" w:cs="宋体"/>
          <w:b/>
          <w:color w:val="auto"/>
          <w:szCs w:val="21"/>
          <w:lang w:val="en-US" w:eastAsia="zh-CN"/>
        </w:rPr>
        <w:t>若有</w:t>
      </w:r>
      <w:r>
        <w:rPr>
          <w:rFonts w:hint="eastAsia" w:ascii="宋体" w:hAnsi="宋体" w:cs="宋体"/>
          <w:b/>
          <w:color w:val="auto"/>
          <w:szCs w:val="21"/>
          <w:lang w:eastAsia="zh-CN"/>
        </w:rPr>
        <w:t>）</w:t>
      </w:r>
    </w:p>
    <w:p>
      <w:pPr>
        <w:pStyle w:val="78"/>
        <w:numPr>
          <w:ilvl w:val="0"/>
          <w:numId w:val="15"/>
        </w:numPr>
        <w:tabs>
          <w:tab w:val="left" w:pos="567"/>
        </w:tabs>
        <w:adjustRightInd w:val="0"/>
        <w:snapToGrid w:val="0"/>
        <w:spacing w:line="440" w:lineRule="exact"/>
        <w:ind w:left="0" w:firstLine="0" w:firstLineChars="0"/>
        <w:rPr>
          <w:rFonts w:ascii="宋体" w:hAnsi="宋体" w:cs="宋体"/>
          <w:b/>
          <w:color w:val="auto"/>
          <w:szCs w:val="21"/>
        </w:rPr>
      </w:pPr>
      <w:r>
        <w:rPr>
          <w:rFonts w:hint="eastAsia" w:ascii="宋体" w:hAnsi="宋体" w:cs="宋体"/>
          <w:b/>
          <w:color w:val="auto"/>
          <w:szCs w:val="21"/>
        </w:rPr>
        <w:t>服务方案（格式自拟）</w:t>
      </w:r>
    </w:p>
    <w:p>
      <w:pPr>
        <w:pStyle w:val="78"/>
        <w:numPr>
          <w:ilvl w:val="0"/>
          <w:numId w:val="15"/>
        </w:numPr>
        <w:tabs>
          <w:tab w:val="left" w:pos="567"/>
        </w:tabs>
        <w:adjustRightInd w:val="0"/>
        <w:snapToGrid w:val="0"/>
        <w:spacing w:line="440" w:lineRule="exact"/>
        <w:ind w:left="0" w:firstLine="0" w:firstLineChars="0"/>
        <w:rPr>
          <w:rFonts w:ascii="宋体" w:hAnsi="宋体" w:cs="宋体"/>
          <w:b/>
          <w:color w:val="auto"/>
          <w:szCs w:val="21"/>
        </w:rPr>
      </w:pPr>
      <w:r>
        <w:rPr>
          <w:rFonts w:hint="eastAsia" w:ascii="宋体" w:hAnsi="宋体" w:cs="宋体"/>
          <w:b/>
          <w:color w:val="auto"/>
          <w:szCs w:val="21"/>
        </w:rPr>
        <w:t>投标人认为需要提供的其他资料（格式自拟）</w:t>
      </w:r>
    </w:p>
    <w:p>
      <w:pPr>
        <w:pStyle w:val="78"/>
        <w:numPr>
          <w:ilvl w:val="255"/>
          <w:numId w:val="0"/>
        </w:numPr>
        <w:tabs>
          <w:tab w:val="left" w:pos="567"/>
        </w:tabs>
        <w:adjustRightInd w:val="0"/>
        <w:snapToGrid w:val="0"/>
        <w:spacing w:line="440" w:lineRule="exact"/>
        <w:rPr>
          <w:rFonts w:ascii="宋体" w:hAnsi="宋体" w:cs="宋体"/>
          <w:b/>
          <w:color w:val="auto"/>
          <w:szCs w:val="21"/>
        </w:rPr>
      </w:pPr>
    </w:p>
    <w:p>
      <w:pPr>
        <w:pStyle w:val="78"/>
        <w:tabs>
          <w:tab w:val="left" w:pos="567"/>
          <w:tab w:val="left" w:pos="795"/>
        </w:tabs>
        <w:adjustRightInd w:val="0"/>
        <w:snapToGrid w:val="0"/>
        <w:spacing w:line="440" w:lineRule="exact"/>
        <w:ind w:firstLine="0" w:firstLineChars="0"/>
        <w:jc w:val="left"/>
        <w:rPr>
          <w:rFonts w:ascii="宋体" w:hAnsi="宋体" w:cs="宋体"/>
          <w:b/>
          <w:color w:val="auto"/>
          <w:szCs w:val="21"/>
        </w:rPr>
      </w:pPr>
      <w:r>
        <w:rPr>
          <w:rFonts w:hint="eastAsia" w:ascii="宋体" w:hAnsi="宋体" w:cs="宋体"/>
          <w:b/>
          <w:color w:val="auto"/>
          <w:szCs w:val="21"/>
        </w:rPr>
        <w:t>第二分册</w:t>
      </w:r>
      <w:r>
        <w:rPr>
          <w:rFonts w:ascii="宋体" w:hAnsi="宋体" w:cs="宋体"/>
          <w:b/>
          <w:color w:val="auto"/>
          <w:szCs w:val="21"/>
        </w:rPr>
        <w:t xml:space="preserve"> </w:t>
      </w:r>
      <w:r>
        <w:rPr>
          <w:rFonts w:hint="eastAsia" w:ascii="宋体" w:hAnsi="宋体" w:cs="宋体"/>
          <w:b/>
          <w:color w:val="auto"/>
          <w:szCs w:val="21"/>
        </w:rPr>
        <w:t>报价文件</w:t>
      </w:r>
    </w:p>
    <w:p>
      <w:pPr>
        <w:pStyle w:val="78"/>
        <w:numPr>
          <w:ilvl w:val="0"/>
          <w:numId w:val="16"/>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报价文件封面</w:t>
      </w:r>
    </w:p>
    <w:p>
      <w:pPr>
        <w:pStyle w:val="78"/>
        <w:numPr>
          <w:ilvl w:val="0"/>
          <w:numId w:val="16"/>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报价一览表</w:t>
      </w:r>
    </w:p>
    <w:p>
      <w:pPr>
        <w:pStyle w:val="78"/>
        <w:numPr>
          <w:ilvl w:val="0"/>
          <w:numId w:val="16"/>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招标代理服务费承诺书</w:t>
      </w:r>
    </w:p>
    <w:p>
      <w:pPr>
        <w:pStyle w:val="78"/>
        <w:numPr>
          <w:ilvl w:val="0"/>
          <w:numId w:val="16"/>
        </w:numPr>
        <w:tabs>
          <w:tab w:val="left" w:pos="567"/>
        </w:tabs>
        <w:adjustRightInd w:val="0"/>
        <w:snapToGrid w:val="0"/>
        <w:spacing w:line="440" w:lineRule="exact"/>
        <w:ind w:firstLineChars="0"/>
        <w:rPr>
          <w:rFonts w:ascii="宋体" w:hAnsi="宋体" w:cs="宋体"/>
          <w:b/>
          <w:color w:val="auto"/>
          <w:szCs w:val="21"/>
        </w:rPr>
      </w:pPr>
      <w:r>
        <w:rPr>
          <w:rFonts w:hint="eastAsia" w:ascii="宋体" w:hAnsi="宋体" w:cs="宋体"/>
          <w:b/>
          <w:color w:val="auto"/>
          <w:szCs w:val="21"/>
        </w:rPr>
        <w:t>投标保证金汇款凭证</w:t>
      </w:r>
    </w:p>
    <w:p>
      <w:pPr>
        <w:rPr>
          <w:rFonts w:ascii="宋体" w:hAnsi="宋体"/>
          <w:color w:val="auto"/>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6"/>
        <w:tabs>
          <w:tab w:val="left" w:pos="588"/>
        </w:tabs>
        <w:snapToGrid w:val="0"/>
        <w:spacing w:before="120" w:after="120" w:line="440" w:lineRule="exact"/>
        <w:ind w:left="425"/>
        <w:jc w:val="left"/>
        <w:rPr>
          <w:rFonts w:ascii="宋体" w:hAnsi="宋体"/>
          <w:color w:val="auto"/>
          <w:sz w:val="24"/>
          <w:szCs w:val="24"/>
        </w:rPr>
      </w:pPr>
      <w:bookmarkStart w:id="509" w:name="_Toc299"/>
      <w:bookmarkStart w:id="510" w:name="_Toc19267"/>
      <w:bookmarkStart w:id="511" w:name="_Toc19601"/>
      <w:bookmarkStart w:id="512" w:name="_Toc56432230"/>
      <w:bookmarkStart w:id="513" w:name="_Toc9018"/>
      <w:bookmarkStart w:id="514" w:name="_Toc1651894"/>
      <w:bookmarkStart w:id="515" w:name="_Toc475472670"/>
      <w:r>
        <w:rPr>
          <w:rFonts w:hint="eastAsia" w:ascii="宋体" w:hAnsi="宋体"/>
          <w:color w:val="auto"/>
          <w:sz w:val="24"/>
          <w:szCs w:val="24"/>
        </w:rPr>
        <w:t>第一分册</w:t>
      </w:r>
      <w:bookmarkEnd w:id="509"/>
      <w:bookmarkEnd w:id="510"/>
      <w:bookmarkEnd w:id="511"/>
      <w:bookmarkEnd w:id="512"/>
      <w:bookmarkEnd w:id="513"/>
      <w:bookmarkEnd w:id="514"/>
    </w:p>
    <w:p>
      <w:pPr>
        <w:pStyle w:val="36"/>
        <w:numPr>
          <w:ilvl w:val="0"/>
          <w:numId w:val="17"/>
        </w:numPr>
        <w:tabs>
          <w:tab w:val="left" w:pos="588"/>
        </w:tabs>
        <w:snapToGrid w:val="0"/>
        <w:spacing w:before="120" w:after="120" w:line="440" w:lineRule="exact"/>
        <w:jc w:val="left"/>
        <w:rPr>
          <w:rFonts w:ascii="宋体" w:hAnsi="宋体"/>
          <w:color w:val="auto"/>
          <w:sz w:val="24"/>
          <w:szCs w:val="24"/>
        </w:rPr>
      </w:pPr>
      <w:bookmarkStart w:id="516" w:name="_Toc56432231"/>
      <w:bookmarkStart w:id="517" w:name="_Toc1651895"/>
      <w:bookmarkStart w:id="518" w:name="_Toc24350"/>
      <w:bookmarkStart w:id="519" w:name="_Toc1284"/>
      <w:bookmarkStart w:id="520" w:name="_Toc18941"/>
      <w:bookmarkStart w:id="521" w:name="_Toc32127"/>
      <w:r>
        <w:rPr>
          <w:rFonts w:hint="eastAsia" w:ascii="宋体" w:hAnsi="宋体"/>
          <w:color w:val="auto"/>
          <w:sz w:val="24"/>
          <w:szCs w:val="24"/>
        </w:rPr>
        <w:t>商务、技术投标文件封面</w:t>
      </w:r>
      <w:bookmarkEnd w:id="515"/>
      <w:bookmarkEnd w:id="516"/>
      <w:bookmarkEnd w:id="517"/>
      <w:bookmarkEnd w:id="518"/>
      <w:bookmarkEnd w:id="519"/>
      <w:bookmarkEnd w:id="520"/>
      <w:bookmarkEnd w:id="521"/>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b/>
          <w:color w:val="auto"/>
          <w:sz w:val="30"/>
          <w:szCs w:val="30"/>
        </w:rPr>
      </w:pPr>
      <w:r>
        <w:rPr>
          <w:rFonts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ascii="宋体" w:hAnsi="宋体"/>
          <w:color w:val="auto"/>
          <w:sz w:val="28"/>
          <w:szCs w:val="28"/>
          <w:u w:val="single"/>
        </w:rPr>
        <w:t xml:space="preserve">      </w:t>
      </w:r>
      <w:r>
        <w:rPr>
          <w:rFonts w:hint="eastAsia" w:ascii="宋体" w:hAnsi="宋体"/>
          <w:color w:val="auto"/>
          <w:sz w:val="28"/>
          <w:szCs w:val="28"/>
        </w:rPr>
        <w:t>（项目名称）</w:t>
      </w:r>
    </w:p>
    <w:p>
      <w:pPr>
        <w:jc w:val="center"/>
        <w:rPr>
          <w:rFonts w:ascii="宋体" w:hAnsi="宋体" w:cs="宋体"/>
          <w:color w:val="auto"/>
          <w:sz w:val="28"/>
          <w:szCs w:val="28"/>
        </w:rPr>
      </w:pPr>
      <w:r>
        <w:rPr>
          <w:rFonts w:hint="eastAsia" w:ascii="宋体" w:hAnsi="宋体"/>
          <w:color w:val="auto"/>
          <w:sz w:val="28"/>
          <w:szCs w:val="28"/>
          <w:u w:val="single"/>
          <w:lang w:val="en-US" w:eastAsia="zh-CN"/>
        </w:rPr>
        <w:t>标段X：标段名称</w:t>
      </w:r>
      <w:r>
        <w:rPr>
          <w:rFonts w:ascii="宋体" w:hAnsi="宋体"/>
          <w:color w:val="auto"/>
          <w:sz w:val="28"/>
          <w:szCs w:val="28"/>
          <w:u w:val="single"/>
        </w:rPr>
        <w:t xml:space="preserve"> </w:t>
      </w: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spacing w:after="120"/>
        <w:jc w:val="center"/>
        <w:rPr>
          <w:rFonts w:ascii="宋体" w:hAnsi="宋体" w:cs="宋体"/>
          <w:b/>
          <w:color w:val="auto"/>
          <w:sz w:val="36"/>
          <w:szCs w:val="36"/>
        </w:rPr>
      </w:pPr>
      <w:r>
        <w:rPr>
          <w:rFonts w:hint="eastAsia" w:ascii="宋体" w:hAnsi="宋体" w:cs="宋体"/>
          <w:b/>
          <w:color w:val="auto"/>
          <w:sz w:val="36"/>
          <w:szCs w:val="36"/>
        </w:rPr>
        <w:t>投标文件（商务、技术投标文件）部分</w:t>
      </w: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adjustRightInd w:val="0"/>
        <w:snapToGrid w:val="0"/>
        <w:spacing w:line="440" w:lineRule="exact"/>
        <w:jc w:val="center"/>
        <w:rPr>
          <w:rFonts w:ascii="宋体" w:hAnsi="宋体" w:cs="宋体"/>
          <w:color w:val="auto"/>
          <w:sz w:val="24"/>
        </w:rPr>
      </w:pPr>
      <w:r>
        <w:rPr>
          <w:rFonts w:ascii="宋体" w:hAnsi="宋体" w:cs="宋体"/>
          <w:color w:val="auto"/>
          <w:sz w:val="24"/>
        </w:rPr>
        <w:t xml:space="preserve">   投标人名称：</w:t>
      </w:r>
      <w:r>
        <w:rPr>
          <w:rFonts w:ascii="宋体" w:hAnsi="宋体" w:cs="宋体"/>
          <w:color w:val="auto"/>
          <w:sz w:val="24"/>
          <w:u w:val="single"/>
        </w:rPr>
        <w:t xml:space="preserve">                              </w:t>
      </w:r>
      <w:r>
        <w:rPr>
          <w:rFonts w:hint="eastAsia" w:ascii="宋体" w:hAnsi="宋体" w:cs="宋体"/>
          <w:color w:val="auto"/>
          <w:sz w:val="24"/>
        </w:rPr>
        <w:t>（盖单位公章）</w:t>
      </w:r>
    </w:p>
    <w:p>
      <w:pPr>
        <w:adjustRightInd w:val="0"/>
        <w:snapToGrid w:val="0"/>
        <w:spacing w:line="440" w:lineRule="exact"/>
        <w:ind w:firstLine="1020" w:firstLineChars="425"/>
        <w:rPr>
          <w:rFonts w:ascii="宋体" w:hAnsi="宋体" w:cs="宋体"/>
          <w:color w:val="auto"/>
          <w:sz w:val="24"/>
        </w:rPr>
      </w:pPr>
    </w:p>
    <w:p>
      <w:pPr>
        <w:adjustRightInd w:val="0"/>
        <w:snapToGrid w:val="0"/>
        <w:spacing w:after="120" w:line="440" w:lineRule="exact"/>
        <w:ind w:firstLine="1200" w:firstLineChars="500"/>
        <w:jc w:val="left"/>
        <w:rPr>
          <w:rFonts w:ascii="宋体" w:hAnsi="宋体" w:cs="宋体"/>
          <w:color w:val="auto"/>
          <w:sz w:val="24"/>
        </w:rPr>
      </w:pPr>
    </w:p>
    <w:p>
      <w:pPr>
        <w:adjustRightInd w:val="0"/>
        <w:snapToGrid w:val="0"/>
        <w:spacing w:line="440" w:lineRule="exact"/>
        <w:jc w:val="center"/>
        <w:rPr>
          <w:rFonts w:ascii="宋体" w:hAnsi="宋体" w:cs="宋体"/>
          <w:color w:val="auto"/>
        </w:rPr>
      </w:pP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p>
    <w:p>
      <w:pPr>
        <w:pStyle w:val="77"/>
        <w:snapToGrid w:val="0"/>
        <w:spacing w:before="240" w:after="120" w:line="440" w:lineRule="exact"/>
        <w:rPr>
          <w:rFonts w:ascii="宋体" w:hAnsi="宋体" w:eastAsia="宋体" w:cs="宋体"/>
          <w:b/>
          <w:bCs w:val="0"/>
          <w:color w:val="auto"/>
          <w:kern w:val="0"/>
          <w:sz w:val="28"/>
          <w:szCs w:val="28"/>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6"/>
        <w:numPr>
          <w:ilvl w:val="0"/>
          <w:numId w:val="17"/>
        </w:numPr>
        <w:tabs>
          <w:tab w:val="left" w:pos="588"/>
        </w:tabs>
        <w:snapToGrid w:val="0"/>
        <w:spacing w:before="120" w:after="120" w:line="440" w:lineRule="exact"/>
        <w:jc w:val="left"/>
        <w:rPr>
          <w:rFonts w:ascii="宋体" w:hAnsi="宋体"/>
          <w:color w:val="auto"/>
          <w:sz w:val="24"/>
          <w:szCs w:val="24"/>
        </w:rPr>
      </w:pPr>
      <w:bookmarkStart w:id="522" w:name="_Toc447265317"/>
      <w:bookmarkStart w:id="523" w:name="_Toc438052118"/>
      <w:bookmarkStart w:id="524" w:name="_Toc28380"/>
      <w:bookmarkStart w:id="525" w:name="_Toc1651896"/>
      <w:bookmarkStart w:id="526" w:name="_Toc56432232"/>
      <w:bookmarkStart w:id="527" w:name="_Toc9651"/>
      <w:bookmarkStart w:id="528" w:name="_Toc447265603"/>
      <w:bookmarkStart w:id="529" w:name="_Toc31063"/>
      <w:bookmarkStart w:id="530" w:name="_Toc475472671"/>
      <w:bookmarkStart w:id="531" w:name="_Toc27545"/>
      <w:r>
        <w:rPr>
          <w:rFonts w:hint="eastAsia" w:ascii="宋体" w:hAnsi="宋体"/>
          <w:color w:val="auto"/>
          <w:sz w:val="24"/>
          <w:szCs w:val="24"/>
        </w:rPr>
        <w:t>评审索引表</w:t>
      </w:r>
      <w:bookmarkEnd w:id="522"/>
      <w:bookmarkEnd w:id="523"/>
      <w:bookmarkEnd w:id="524"/>
      <w:bookmarkEnd w:id="525"/>
      <w:bookmarkEnd w:id="526"/>
      <w:bookmarkEnd w:id="527"/>
      <w:bookmarkEnd w:id="528"/>
      <w:bookmarkEnd w:id="529"/>
      <w:bookmarkEnd w:id="530"/>
      <w:bookmarkEnd w:id="531"/>
    </w:p>
    <w:p>
      <w:pPr>
        <w:rPr>
          <w:rFonts w:ascii="宋体" w:hAnsi="宋体"/>
          <w:color w:val="auto"/>
        </w:rPr>
      </w:pPr>
    </w:p>
    <w:p>
      <w:pPr>
        <w:jc w:val="center"/>
        <w:rPr>
          <w:rFonts w:ascii="宋体" w:hAnsi="宋体"/>
          <w:b/>
          <w:color w:val="auto"/>
          <w:sz w:val="24"/>
        </w:rPr>
      </w:pPr>
      <w:r>
        <w:rPr>
          <w:rFonts w:hint="eastAsia" w:ascii="宋体" w:hAnsi="宋体"/>
          <w:b/>
          <w:color w:val="auto"/>
          <w:sz w:val="24"/>
        </w:rPr>
        <w:t>评审索引表</w:t>
      </w:r>
    </w:p>
    <w:p>
      <w:pPr>
        <w:jc w:val="center"/>
        <w:rPr>
          <w:rFonts w:ascii="宋体" w:hAnsi="宋体"/>
          <w:b/>
          <w:color w:val="auto"/>
        </w:rPr>
      </w:pPr>
    </w:p>
    <w:p>
      <w:pPr>
        <w:jc w:val="left"/>
        <w:rPr>
          <w:rFonts w:ascii="宋体" w:hAnsi="宋体"/>
          <w:color w:val="auto"/>
          <w:szCs w:val="21"/>
        </w:rPr>
      </w:pPr>
      <w:r>
        <w:rPr>
          <w:rFonts w:hint="eastAsia" w:ascii="宋体" w:hAnsi="宋体"/>
          <w:color w:val="auto"/>
          <w:szCs w:val="21"/>
        </w:rPr>
        <w:t>此部分内容建议按照第三章评审办法中的评审标准的顺序一一罗列</w:t>
      </w:r>
    </w:p>
    <w:p>
      <w:pPr>
        <w:jc w:val="center"/>
        <w:rPr>
          <w:rFonts w:ascii="宋体" w:hAnsi="宋体"/>
          <w:color w:val="auto"/>
          <w:sz w:val="22"/>
          <w:szCs w:val="22"/>
        </w:rPr>
      </w:pPr>
      <w:r>
        <w:rPr>
          <w:rFonts w:hint="eastAsia" w:ascii="宋体" w:hAnsi="宋体"/>
          <w:color w:val="auto"/>
          <w:sz w:val="22"/>
          <w:szCs w:val="22"/>
        </w:rPr>
        <w:t>资格审查索引表</w:t>
      </w:r>
    </w:p>
    <w:tbl>
      <w:tblPr>
        <w:tblStyle w:val="40"/>
        <w:tblW w:w="830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2506"/>
        <w:gridCol w:w="2197"/>
        <w:gridCol w:w="2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jc w:val="center"/>
              <w:rPr>
                <w:rFonts w:ascii="宋体" w:hAnsi="宋体"/>
                <w:color w:val="auto"/>
                <w:szCs w:val="21"/>
              </w:rPr>
            </w:pPr>
            <w:r>
              <w:rPr>
                <w:rFonts w:ascii="宋体" w:hAnsi="宋体"/>
                <w:color w:val="auto"/>
                <w:szCs w:val="21"/>
              </w:rPr>
              <w:t>条款号</w:t>
            </w:r>
          </w:p>
        </w:tc>
        <w:tc>
          <w:tcPr>
            <w:tcW w:w="2506" w:type="dxa"/>
            <w:vAlign w:val="center"/>
          </w:tcPr>
          <w:p>
            <w:pPr>
              <w:jc w:val="center"/>
              <w:rPr>
                <w:rFonts w:ascii="宋体" w:hAnsi="宋体"/>
                <w:color w:val="auto"/>
                <w:szCs w:val="21"/>
              </w:rPr>
            </w:pPr>
            <w:r>
              <w:rPr>
                <w:rFonts w:ascii="宋体" w:hAnsi="宋体"/>
                <w:color w:val="auto"/>
                <w:szCs w:val="21"/>
              </w:rPr>
              <w:t>评审因素</w:t>
            </w:r>
          </w:p>
        </w:tc>
        <w:tc>
          <w:tcPr>
            <w:tcW w:w="2197" w:type="dxa"/>
            <w:vAlign w:val="center"/>
          </w:tcPr>
          <w:p>
            <w:pPr>
              <w:jc w:val="center"/>
              <w:rPr>
                <w:rFonts w:ascii="宋体" w:hAnsi="宋体"/>
                <w:color w:val="auto"/>
                <w:szCs w:val="21"/>
              </w:rPr>
            </w:pPr>
            <w:r>
              <w:rPr>
                <w:rFonts w:hint="eastAsia" w:ascii="宋体" w:hAnsi="宋体"/>
                <w:color w:val="auto"/>
                <w:szCs w:val="21"/>
              </w:rPr>
              <w:t>对应页码</w:t>
            </w:r>
          </w:p>
        </w:tc>
        <w:tc>
          <w:tcPr>
            <w:tcW w:w="2366"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ind w:left="-2" w:firstLine="1"/>
              <w:jc w:val="center"/>
              <w:rPr>
                <w:rFonts w:ascii="宋体" w:hAnsi="宋体"/>
                <w:color w:val="auto"/>
                <w:szCs w:val="21"/>
              </w:rPr>
            </w:pPr>
            <w:r>
              <w:rPr>
                <w:rFonts w:ascii="宋体" w:hAnsi="宋体"/>
                <w:color w:val="auto"/>
                <w:szCs w:val="21"/>
              </w:rPr>
              <w:t>1</w:t>
            </w:r>
          </w:p>
        </w:tc>
        <w:tc>
          <w:tcPr>
            <w:tcW w:w="2506" w:type="dxa"/>
            <w:vAlign w:val="center"/>
          </w:tcPr>
          <w:p>
            <w:pPr>
              <w:tabs>
                <w:tab w:val="left" w:pos="720"/>
              </w:tabs>
              <w:spacing w:line="360" w:lineRule="auto"/>
              <w:ind w:left="-2" w:firstLine="1"/>
              <w:jc w:val="center"/>
              <w:rPr>
                <w:rFonts w:ascii="宋体" w:hAnsi="宋体"/>
                <w:color w:val="auto"/>
                <w:szCs w:val="21"/>
              </w:rPr>
            </w:pPr>
            <w:r>
              <w:rPr>
                <w:rFonts w:hint="eastAsia" w:ascii="宋体" w:hAnsi="宋体"/>
                <w:color w:val="auto"/>
                <w:szCs w:val="21"/>
              </w:rPr>
              <w:t>投标人名称</w:t>
            </w:r>
          </w:p>
        </w:tc>
        <w:tc>
          <w:tcPr>
            <w:tcW w:w="2197"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w:t>
            </w: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2</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法人代表证明书及法人授权书</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3</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投标报价</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4</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投标保证金</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5</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商务合同条款偏离表</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6</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采购需求条款偏离表</w:t>
            </w:r>
          </w:p>
        </w:tc>
        <w:tc>
          <w:tcPr>
            <w:tcW w:w="2197" w:type="dxa"/>
            <w:vAlign w:val="center"/>
          </w:tcPr>
          <w:p>
            <w:pPr>
              <w:tabs>
                <w:tab w:val="left" w:pos="720"/>
              </w:tabs>
              <w:spacing w:line="360" w:lineRule="auto"/>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7</w:t>
            </w:r>
          </w:p>
        </w:tc>
        <w:tc>
          <w:tcPr>
            <w:tcW w:w="2506" w:type="dxa"/>
          </w:tcPr>
          <w:p>
            <w:pPr>
              <w:tabs>
                <w:tab w:val="left" w:pos="720"/>
              </w:tabs>
              <w:spacing w:line="360" w:lineRule="auto"/>
              <w:jc w:val="center"/>
              <w:rPr>
                <w:rFonts w:ascii="宋体" w:hAnsi="宋体"/>
                <w:color w:val="auto"/>
                <w:szCs w:val="21"/>
              </w:rPr>
            </w:pPr>
            <w:r>
              <w:rPr>
                <w:rFonts w:hint="eastAsia" w:ascii="宋体" w:hAnsi="宋体"/>
                <w:color w:val="auto"/>
                <w:szCs w:val="21"/>
              </w:rPr>
              <w:t>投标文件的签署和盖章</w:t>
            </w:r>
          </w:p>
        </w:tc>
        <w:tc>
          <w:tcPr>
            <w:tcW w:w="2197" w:type="dxa"/>
            <w:vAlign w:val="center"/>
          </w:tcPr>
          <w:p>
            <w:pPr>
              <w:spacing w:line="360" w:lineRule="auto"/>
              <w:jc w:val="center"/>
              <w:rPr>
                <w:rFonts w:ascii="宋体" w:hAnsi="宋体"/>
                <w:color w:val="auto"/>
                <w:szCs w:val="21"/>
              </w:rPr>
            </w:pPr>
            <w:r>
              <w:rPr>
                <w:rFonts w:ascii="宋体" w:hAnsi="宋体"/>
                <w:color w:val="auto"/>
                <w:szCs w:val="21"/>
              </w:rPr>
              <w:t>/</w:t>
            </w:r>
          </w:p>
        </w:tc>
        <w:tc>
          <w:tcPr>
            <w:tcW w:w="2366" w:type="dxa"/>
            <w:vAlign w:val="center"/>
          </w:tcPr>
          <w:p>
            <w:pPr>
              <w:tabs>
                <w:tab w:val="left" w:pos="720"/>
              </w:tabs>
              <w:spacing w:line="360" w:lineRule="auto"/>
              <w:ind w:left="420"/>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32" w:type="dxa"/>
            <w:vAlign w:val="center"/>
          </w:tcPr>
          <w:p>
            <w:pPr>
              <w:tabs>
                <w:tab w:val="left" w:pos="720"/>
              </w:tabs>
              <w:spacing w:line="360" w:lineRule="auto"/>
              <w:jc w:val="center"/>
              <w:rPr>
                <w:rFonts w:ascii="宋体" w:hAnsi="宋体"/>
                <w:color w:val="auto"/>
                <w:szCs w:val="21"/>
              </w:rPr>
            </w:pPr>
            <w:r>
              <w:rPr>
                <w:rFonts w:ascii="宋体" w:hAnsi="宋体"/>
                <w:color w:val="auto"/>
                <w:szCs w:val="21"/>
              </w:rPr>
              <w:t>8</w:t>
            </w:r>
          </w:p>
        </w:tc>
        <w:tc>
          <w:tcPr>
            <w:tcW w:w="2506" w:type="dxa"/>
            <w:vAlign w:val="center"/>
          </w:tcPr>
          <w:p>
            <w:pPr>
              <w:tabs>
                <w:tab w:val="left" w:pos="720"/>
              </w:tabs>
              <w:spacing w:line="360" w:lineRule="auto"/>
              <w:jc w:val="center"/>
              <w:rPr>
                <w:rFonts w:ascii="宋体" w:hAnsi="宋体"/>
                <w:color w:val="auto"/>
                <w:szCs w:val="21"/>
              </w:rPr>
            </w:pPr>
            <w:r>
              <w:rPr>
                <w:rFonts w:hint="eastAsia" w:ascii="宋体" w:hAnsi="宋体"/>
                <w:color w:val="auto"/>
                <w:szCs w:val="21"/>
              </w:rPr>
              <w:t>资格要求</w:t>
            </w:r>
          </w:p>
        </w:tc>
        <w:tc>
          <w:tcPr>
            <w:tcW w:w="2197" w:type="dxa"/>
            <w:vAlign w:val="center"/>
          </w:tcPr>
          <w:p>
            <w:pPr>
              <w:tabs>
                <w:tab w:val="left" w:pos="720"/>
              </w:tabs>
              <w:spacing w:line="360" w:lineRule="auto"/>
              <w:ind w:left="420"/>
              <w:jc w:val="center"/>
              <w:rPr>
                <w:rFonts w:ascii="宋体" w:hAnsi="宋体"/>
                <w:color w:val="auto"/>
                <w:szCs w:val="21"/>
              </w:rPr>
            </w:pPr>
          </w:p>
        </w:tc>
        <w:tc>
          <w:tcPr>
            <w:tcW w:w="2366" w:type="dxa"/>
            <w:vAlign w:val="center"/>
          </w:tcPr>
          <w:p>
            <w:pPr>
              <w:tabs>
                <w:tab w:val="left" w:pos="720"/>
              </w:tabs>
              <w:spacing w:line="360" w:lineRule="auto"/>
              <w:jc w:val="center"/>
              <w:rPr>
                <w:rFonts w:ascii="宋体" w:hAnsi="宋体"/>
                <w:color w:val="auto"/>
                <w:szCs w:val="21"/>
              </w:rPr>
            </w:pPr>
          </w:p>
        </w:tc>
      </w:tr>
    </w:tbl>
    <w:p>
      <w:pPr>
        <w:rPr>
          <w:color w:val="auto"/>
        </w:rPr>
      </w:pPr>
    </w:p>
    <w:p>
      <w:pPr>
        <w:jc w:val="center"/>
        <w:rPr>
          <w:color w:val="auto"/>
          <w:sz w:val="22"/>
          <w:szCs w:val="28"/>
        </w:rPr>
      </w:pPr>
      <w:r>
        <w:rPr>
          <w:rFonts w:hint="eastAsia"/>
          <w:color w:val="auto"/>
          <w:sz w:val="22"/>
          <w:szCs w:val="28"/>
        </w:rPr>
        <w:t>技术评审索引表</w:t>
      </w:r>
    </w:p>
    <w:tbl>
      <w:tblPr>
        <w:tblStyle w:val="40"/>
        <w:tblpPr w:leftFromText="180" w:rightFromText="180" w:vertAnchor="text" w:horzAnchor="page" w:tblpX="1892" w:tblpY="319"/>
        <w:tblOverlap w:val="never"/>
        <w:tblW w:w="8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996"/>
        <w:gridCol w:w="1724"/>
        <w:gridCol w:w="1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46" w:type="dxa"/>
            <w:vAlign w:val="center"/>
          </w:tcPr>
          <w:p>
            <w:pPr>
              <w:jc w:val="center"/>
              <w:rPr>
                <w:rFonts w:ascii="宋体" w:hAnsi="宋体"/>
                <w:color w:val="auto"/>
                <w:szCs w:val="21"/>
              </w:rPr>
            </w:pPr>
            <w:r>
              <w:rPr>
                <w:rFonts w:ascii="宋体" w:hAnsi="宋体"/>
                <w:color w:val="auto"/>
                <w:szCs w:val="21"/>
              </w:rPr>
              <w:t>条款号</w:t>
            </w:r>
          </w:p>
        </w:tc>
        <w:tc>
          <w:tcPr>
            <w:tcW w:w="3996" w:type="dxa"/>
            <w:vAlign w:val="center"/>
          </w:tcPr>
          <w:p>
            <w:pPr>
              <w:jc w:val="center"/>
              <w:rPr>
                <w:rFonts w:ascii="宋体" w:hAnsi="宋体"/>
                <w:color w:val="auto"/>
                <w:szCs w:val="21"/>
              </w:rPr>
            </w:pPr>
            <w:r>
              <w:rPr>
                <w:rFonts w:ascii="宋体" w:hAnsi="宋体"/>
                <w:color w:val="auto"/>
                <w:szCs w:val="21"/>
              </w:rPr>
              <w:t>评审因素</w:t>
            </w:r>
          </w:p>
        </w:tc>
        <w:tc>
          <w:tcPr>
            <w:tcW w:w="1724" w:type="dxa"/>
            <w:vAlign w:val="center"/>
          </w:tcPr>
          <w:p>
            <w:pPr>
              <w:jc w:val="center"/>
              <w:rPr>
                <w:rFonts w:ascii="宋体" w:hAnsi="宋体"/>
                <w:color w:val="auto"/>
                <w:szCs w:val="21"/>
              </w:rPr>
            </w:pPr>
            <w:r>
              <w:rPr>
                <w:rFonts w:hint="eastAsia" w:ascii="宋体" w:hAnsi="宋体"/>
                <w:color w:val="auto"/>
                <w:szCs w:val="21"/>
              </w:rPr>
              <w:t>对应页码</w:t>
            </w:r>
          </w:p>
        </w:tc>
        <w:tc>
          <w:tcPr>
            <w:tcW w:w="1761"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846" w:type="dxa"/>
            <w:vAlign w:val="center"/>
          </w:tcPr>
          <w:p>
            <w:pPr>
              <w:pStyle w:val="155"/>
              <w:tabs>
                <w:tab w:val="left" w:pos="720"/>
              </w:tabs>
              <w:spacing w:line="360" w:lineRule="auto"/>
              <w:ind w:left="-1" w:firstLine="0" w:firstLineChars="0"/>
              <w:jc w:val="center"/>
              <w:rPr>
                <w:rFonts w:ascii="宋体" w:hAnsi="宋体"/>
                <w:color w:val="auto"/>
                <w:szCs w:val="21"/>
              </w:rPr>
            </w:pPr>
            <w:r>
              <w:rPr>
                <w:rFonts w:ascii="宋体" w:hAnsi="宋体"/>
                <w:color w:val="auto"/>
                <w:szCs w:val="21"/>
              </w:rPr>
              <w:t>1</w:t>
            </w:r>
          </w:p>
        </w:tc>
        <w:tc>
          <w:tcPr>
            <w:tcW w:w="3996" w:type="dxa"/>
            <w:vAlign w:val="center"/>
          </w:tcPr>
          <w:p>
            <w:pPr>
              <w:widowControl/>
              <w:jc w:val="center"/>
              <w:rPr>
                <w:rFonts w:hint="eastAsia" w:ascii="宋体" w:hAnsi="宋体" w:eastAsia="宋体" w:cs="宋体"/>
                <w:color w:val="auto"/>
                <w:szCs w:val="21"/>
                <w:lang w:eastAsia="zh-CN"/>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根据标段对应评审表“评分项-技术-内容”填写</w:t>
            </w:r>
            <w:r>
              <w:rPr>
                <w:rFonts w:hint="eastAsia" w:ascii="宋体" w:hAnsi="宋体" w:cs="宋体"/>
                <w:color w:val="auto"/>
                <w:sz w:val="18"/>
                <w:szCs w:val="18"/>
                <w:lang w:eastAsia="zh-CN"/>
              </w:rPr>
              <w:t>）</w:t>
            </w: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5"/>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2</w:t>
            </w:r>
          </w:p>
        </w:tc>
        <w:tc>
          <w:tcPr>
            <w:tcW w:w="3996" w:type="dxa"/>
            <w:vAlign w:val="center"/>
          </w:tcPr>
          <w:p>
            <w:pPr>
              <w:jc w:val="center"/>
              <w:rPr>
                <w:rFonts w:ascii="宋体" w:hAnsi="宋体" w:cs="宋体"/>
                <w:color w:val="auto"/>
                <w:szCs w:val="21"/>
              </w:rPr>
            </w:pP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5"/>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3</w:t>
            </w:r>
          </w:p>
        </w:tc>
        <w:tc>
          <w:tcPr>
            <w:tcW w:w="3996" w:type="dxa"/>
            <w:vAlign w:val="center"/>
          </w:tcPr>
          <w:p>
            <w:pPr>
              <w:jc w:val="center"/>
              <w:rPr>
                <w:rFonts w:ascii="宋体" w:hAnsi="宋体" w:cs="宋体"/>
                <w:color w:val="auto"/>
                <w:szCs w:val="21"/>
              </w:rPr>
            </w:pP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46" w:type="dxa"/>
            <w:vAlign w:val="center"/>
          </w:tcPr>
          <w:p>
            <w:pPr>
              <w:pStyle w:val="155"/>
              <w:tabs>
                <w:tab w:val="left" w:pos="720"/>
              </w:tabs>
              <w:spacing w:line="360" w:lineRule="auto"/>
              <w:ind w:left="-1" w:firstLine="0" w:firstLineChars="0"/>
              <w:jc w:val="center"/>
              <w:rPr>
                <w:rFonts w:ascii="宋体" w:hAnsi="宋体"/>
                <w:color w:val="auto"/>
                <w:szCs w:val="21"/>
              </w:rPr>
            </w:pPr>
            <w:r>
              <w:rPr>
                <w:rFonts w:hint="eastAsia" w:ascii="宋体" w:hAnsi="宋体"/>
                <w:color w:val="auto"/>
                <w:szCs w:val="21"/>
              </w:rPr>
              <w:t>4</w:t>
            </w:r>
          </w:p>
        </w:tc>
        <w:tc>
          <w:tcPr>
            <w:tcW w:w="3996" w:type="dxa"/>
            <w:vAlign w:val="center"/>
          </w:tcPr>
          <w:p>
            <w:pPr>
              <w:widowControl/>
              <w:jc w:val="center"/>
              <w:rPr>
                <w:rFonts w:ascii="宋体" w:hAnsi="宋体" w:cs="宋体"/>
                <w:color w:val="auto"/>
                <w:szCs w:val="21"/>
              </w:rPr>
            </w:pPr>
          </w:p>
        </w:tc>
        <w:tc>
          <w:tcPr>
            <w:tcW w:w="1724" w:type="dxa"/>
            <w:vAlign w:val="center"/>
          </w:tcPr>
          <w:p>
            <w:pPr>
              <w:tabs>
                <w:tab w:val="left" w:pos="720"/>
              </w:tabs>
              <w:spacing w:line="360" w:lineRule="auto"/>
              <w:jc w:val="center"/>
              <w:rPr>
                <w:rFonts w:ascii="宋体" w:hAnsi="宋体"/>
                <w:color w:val="auto"/>
                <w:szCs w:val="21"/>
              </w:rPr>
            </w:pPr>
          </w:p>
        </w:tc>
        <w:tc>
          <w:tcPr>
            <w:tcW w:w="1761" w:type="dxa"/>
            <w:vAlign w:val="center"/>
          </w:tcPr>
          <w:p>
            <w:pPr>
              <w:tabs>
                <w:tab w:val="left" w:pos="720"/>
              </w:tabs>
              <w:spacing w:line="360" w:lineRule="auto"/>
              <w:jc w:val="center"/>
              <w:rPr>
                <w:rFonts w:ascii="宋体" w:hAnsi="宋体"/>
                <w:color w:val="auto"/>
                <w:szCs w:val="21"/>
              </w:rPr>
            </w:pPr>
          </w:p>
        </w:tc>
      </w:tr>
    </w:tbl>
    <w:p>
      <w:pPr>
        <w:rPr>
          <w:color w:val="auto"/>
        </w:rPr>
      </w:pPr>
    </w:p>
    <w:p>
      <w:pPr>
        <w:jc w:val="center"/>
        <w:rPr>
          <w:color w:val="auto"/>
        </w:rPr>
      </w:pPr>
    </w:p>
    <w:p>
      <w:pPr>
        <w:jc w:val="center"/>
        <w:rPr>
          <w:color w:val="auto"/>
          <w:sz w:val="22"/>
          <w:szCs w:val="28"/>
        </w:rPr>
      </w:pPr>
      <w:r>
        <w:rPr>
          <w:rFonts w:hint="eastAsia"/>
          <w:color w:val="auto"/>
          <w:sz w:val="22"/>
          <w:szCs w:val="28"/>
        </w:rPr>
        <w:t>商务评审索引表</w:t>
      </w:r>
    </w:p>
    <w:tbl>
      <w:tblPr>
        <w:tblStyle w:val="40"/>
        <w:tblW w:w="8387"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2"/>
        <w:gridCol w:w="4132"/>
        <w:gridCol w:w="1316"/>
        <w:gridCol w:w="1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jc w:val="center"/>
              <w:rPr>
                <w:rFonts w:ascii="宋体" w:hAnsi="宋体"/>
                <w:color w:val="auto"/>
                <w:szCs w:val="21"/>
              </w:rPr>
            </w:pPr>
            <w:r>
              <w:rPr>
                <w:rFonts w:ascii="宋体" w:hAnsi="宋体"/>
                <w:color w:val="auto"/>
                <w:szCs w:val="21"/>
              </w:rPr>
              <w:t>条款号</w:t>
            </w:r>
          </w:p>
        </w:tc>
        <w:tc>
          <w:tcPr>
            <w:tcW w:w="4132" w:type="dxa"/>
            <w:vAlign w:val="center"/>
          </w:tcPr>
          <w:p>
            <w:pPr>
              <w:jc w:val="center"/>
              <w:rPr>
                <w:rFonts w:ascii="宋体" w:hAnsi="宋体"/>
                <w:color w:val="auto"/>
                <w:szCs w:val="21"/>
              </w:rPr>
            </w:pPr>
            <w:r>
              <w:rPr>
                <w:rFonts w:ascii="宋体" w:hAnsi="宋体"/>
                <w:color w:val="auto"/>
                <w:szCs w:val="21"/>
              </w:rPr>
              <w:t>评审因素</w:t>
            </w:r>
          </w:p>
        </w:tc>
        <w:tc>
          <w:tcPr>
            <w:tcW w:w="1316" w:type="dxa"/>
            <w:vAlign w:val="center"/>
          </w:tcPr>
          <w:p>
            <w:pPr>
              <w:jc w:val="center"/>
              <w:rPr>
                <w:rFonts w:ascii="宋体" w:hAnsi="宋体"/>
                <w:color w:val="auto"/>
                <w:szCs w:val="21"/>
              </w:rPr>
            </w:pPr>
            <w:r>
              <w:rPr>
                <w:rFonts w:hint="eastAsia" w:ascii="宋体" w:hAnsi="宋体"/>
                <w:color w:val="auto"/>
                <w:szCs w:val="21"/>
              </w:rPr>
              <w:t>对应页码</w:t>
            </w:r>
          </w:p>
        </w:tc>
        <w:tc>
          <w:tcPr>
            <w:tcW w:w="1887" w:type="dxa"/>
            <w:vAlign w:val="center"/>
          </w:tcPr>
          <w:p>
            <w:pPr>
              <w:jc w:val="center"/>
              <w:rPr>
                <w:rFonts w:ascii="宋体" w:hAnsi="宋体"/>
                <w:color w:val="auto"/>
                <w:szCs w:val="21"/>
              </w:rPr>
            </w:pPr>
            <w:r>
              <w:rPr>
                <w:rFonts w:hint="eastAsia" w:ascii="宋体" w:hAnsi="宋体"/>
                <w:color w:val="auto"/>
                <w:szCs w:val="21"/>
              </w:rPr>
              <w:t>备注或者说明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color w:val="auto"/>
                <w:szCs w:val="21"/>
              </w:rPr>
            </w:pPr>
            <w:r>
              <w:rPr>
                <w:rFonts w:ascii="宋体" w:hAnsi="宋体"/>
                <w:color w:val="auto"/>
                <w:szCs w:val="21"/>
              </w:rPr>
              <w:t>1</w:t>
            </w:r>
          </w:p>
        </w:tc>
        <w:tc>
          <w:tcPr>
            <w:tcW w:w="4132" w:type="dxa"/>
            <w:vAlign w:val="center"/>
          </w:tcPr>
          <w:p>
            <w:pPr>
              <w:jc w:val="center"/>
              <w:rPr>
                <w:rFonts w:ascii="宋体" w:hAnsi="宋体" w:cs="宋体"/>
                <w:color w:val="auto"/>
                <w:szCs w:val="21"/>
              </w:rPr>
            </w:pP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根据标段对应评审表“评分项-商务-内容”填写</w:t>
            </w:r>
            <w:r>
              <w:rPr>
                <w:rFonts w:hint="eastAsia" w:ascii="宋体" w:hAnsi="宋体" w:cs="宋体"/>
                <w:color w:val="auto"/>
                <w:sz w:val="18"/>
                <w:szCs w:val="18"/>
                <w:lang w:eastAsia="zh-CN"/>
              </w:rPr>
              <w:t>）</w:t>
            </w: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spacing w:line="360" w:lineRule="auto"/>
              <w:ind w:left="-2" w:firstLine="1"/>
              <w:jc w:val="center"/>
              <w:rPr>
                <w:rFonts w:ascii="宋体" w:hAnsi="宋体"/>
                <w:color w:val="auto"/>
                <w:szCs w:val="21"/>
              </w:rPr>
            </w:pPr>
            <w:r>
              <w:rPr>
                <w:rFonts w:hint="eastAsia" w:ascii="宋体" w:hAnsi="宋体"/>
                <w:color w:val="auto"/>
                <w:szCs w:val="21"/>
              </w:rPr>
              <w:t>2</w:t>
            </w:r>
          </w:p>
        </w:tc>
        <w:tc>
          <w:tcPr>
            <w:tcW w:w="4132" w:type="dxa"/>
            <w:vAlign w:val="center"/>
          </w:tcPr>
          <w:p>
            <w:pPr>
              <w:jc w:val="center"/>
              <w:rPr>
                <w:color w:val="auto"/>
                <w:szCs w:val="21"/>
              </w:rPr>
            </w:pP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52" w:type="dxa"/>
            <w:vAlign w:val="center"/>
          </w:tcPr>
          <w:p>
            <w:pPr>
              <w:tabs>
                <w:tab w:val="left" w:pos="720"/>
              </w:tabs>
              <w:autoSpaceDE w:val="0"/>
              <w:autoSpaceDN w:val="0"/>
              <w:adjustRightInd w:val="0"/>
              <w:spacing w:before="100" w:after="100" w:line="360" w:lineRule="auto"/>
              <w:ind w:left="360" w:right="360"/>
              <w:jc w:val="center"/>
              <w:rPr>
                <w:rFonts w:ascii="宋体" w:hAnsi="宋体"/>
                <w:color w:val="auto"/>
                <w:szCs w:val="21"/>
              </w:rPr>
            </w:pPr>
            <w:r>
              <w:rPr>
                <w:rFonts w:hint="eastAsia" w:ascii="宋体" w:hAnsi="宋体"/>
                <w:color w:val="auto"/>
                <w:szCs w:val="21"/>
              </w:rPr>
              <w:t>3</w:t>
            </w:r>
          </w:p>
        </w:tc>
        <w:tc>
          <w:tcPr>
            <w:tcW w:w="4132" w:type="dxa"/>
            <w:vAlign w:val="center"/>
          </w:tcPr>
          <w:p>
            <w:pPr>
              <w:jc w:val="center"/>
              <w:rPr>
                <w:rFonts w:ascii="宋体" w:hAnsi="宋体" w:cs="宋体"/>
                <w:color w:val="auto"/>
                <w:szCs w:val="21"/>
              </w:rPr>
            </w:pPr>
          </w:p>
        </w:tc>
        <w:tc>
          <w:tcPr>
            <w:tcW w:w="1316" w:type="dxa"/>
            <w:vAlign w:val="center"/>
          </w:tcPr>
          <w:p>
            <w:pPr>
              <w:tabs>
                <w:tab w:val="left" w:pos="720"/>
              </w:tabs>
              <w:spacing w:line="360" w:lineRule="auto"/>
              <w:jc w:val="center"/>
              <w:rPr>
                <w:rFonts w:ascii="宋体" w:hAnsi="宋体"/>
                <w:color w:val="auto"/>
                <w:szCs w:val="21"/>
              </w:rPr>
            </w:pPr>
          </w:p>
        </w:tc>
        <w:tc>
          <w:tcPr>
            <w:tcW w:w="1887" w:type="dxa"/>
            <w:vAlign w:val="center"/>
          </w:tcPr>
          <w:p>
            <w:pPr>
              <w:tabs>
                <w:tab w:val="left" w:pos="720"/>
              </w:tabs>
              <w:spacing w:line="360" w:lineRule="auto"/>
              <w:jc w:val="center"/>
              <w:rPr>
                <w:rFonts w:ascii="宋体" w:hAnsi="宋体"/>
                <w:color w:val="auto"/>
                <w:szCs w:val="21"/>
              </w:rPr>
            </w:pPr>
          </w:p>
        </w:tc>
      </w:tr>
    </w:tbl>
    <w:p>
      <w:pPr>
        <w:rPr>
          <w:rFonts w:ascii="Times New Roman" w:eastAsia="宋体"/>
          <w:color w:val="auto"/>
          <w:kern w:val="2"/>
          <w:sz w:val="21"/>
          <w:szCs w:val="24"/>
        </w:rPr>
      </w:pPr>
      <w:r>
        <w:rPr>
          <w:rFonts w:ascii="Times New Roman" w:eastAsia="宋体"/>
          <w:color w:val="auto"/>
          <w:kern w:val="2"/>
          <w:sz w:val="21"/>
          <w:szCs w:val="24"/>
        </w:rPr>
        <w:br w:type="page"/>
      </w:r>
    </w:p>
    <w:p>
      <w:pPr>
        <w:pStyle w:val="14"/>
        <w:ind w:firstLine="0"/>
        <w:rPr>
          <w:rFonts w:ascii="Times New Roman" w:eastAsia="宋体"/>
          <w:color w:val="auto"/>
          <w:kern w:val="2"/>
          <w:sz w:val="21"/>
          <w:szCs w:val="24"/>
        </w:rPr>
      </w:pPr>
    </w:p>
    <w:p>
      <w:pPr>
        <w:pStyle w:val="36"/>
        <w:numPr>
          <w:ilvl w:val="0"/>
          <w:numId w:val="17"/>
        </w:numPr>
        <w:tabs>
          <w:tab w:val="left" w:pos="588"/>
        </w:tabs>
        <w:snapToGrid w:val="0"/>
        <w:spacing w:before="120" w:after="120" w:line="440" w:lineRule="exact"/>
        <w:jc w:val="left"/>
        <w:rPr>
          <w:rFonts w:ascii="宋体" w:hAnsi="宋体"/>
          <w:color w:val="auto"/>
          <w:sz w:val="24"/>
          <w:szCs w:val="24"/>
        </w:rPr>
      </w:pPr>
      <w:bookmarkStart w:id="532" w:name="_Toc56432233"/>
      <w:bookmarkStart w:id="533" w:name="_Toc25766"/>
      <w:bookmarkStart w:id="534" w:name="_Toc9656"/>
      <w:bookmarkStart w:id="535" w:name="_Toc348"/>
      <w:bookmarkStart w:id="536" w:name="_Toc5234"/>
      <w:r>
        <w:rPr>
          <w:rFonts w:hint="eastAsia" w:ascii="宋体" w:hAnsi="宋体"/>
          <w:color w:val="auto"/>
          <w:sz w:val="24"/>
          <w:szCs w:val="24"/>
        </w:rPr>
        <w:t>投标函</w:t>
      </w:r>
      <w:bookmarkEnd w:id="532"/>
      <w:bookmarkEnd w:id="533"/>
      <w:bookmarkEnd w:id="534"/>
      <w:bookmarkEnd w:id="535"/>
      <w:bookmarkEnd w:id="536"/>
    </w:p>
    <w:p>
      <w:pPr>
        <w:pStyle w:val="78"/>
        <w:spacing w:line="360" w:lineRule="auto"/>
        <w:ind w:firstLine="0" w:firstLineChars="0"/>
        <w:jc w:val="center"/>
        <w:rPr>
          <w:rFonts w:ascii="宋体" w:hAnsi="宋体"/>
          <w:b/>
          <w:color w:val="auto"/>
          <w:sz w:val="24"/>
        </w:rPr>
      </w:pPr>
      <w:r>
        <w:rPr>
          <w:rFonts w:hint="eastAsia" w:ascii="宋体" w:hAnsi="宋体"/>
          <w:b/>
          <w:color w:val="auto"/>
          <w:sz w:val="24"/>
        </w:rPr>
        <w:t>投标函</w:t>
      </w:r>
    </w:p>
    <w:p>
      <w:pPr>
        <w:adjustRightInd w:val="0"/>
        <w:snapToGrid w:val="0"/>
        <w:spacing w:line="360" w:lineRule="auto"/>
        <w:jc w:val="left"/>
        <w:rPr>
          <w:rFonts w:ascii="宋体" w:hAnsi="宋体" w:cs="宋体"/>
          <w:color w:val="auto"/>
          <w:sz w:val="20"/>
          <w:szCs w:val="20"/>
        </w:rPr>
      </w:pPr>
      <w:r>
        <w:rPr>
          <w:rFonts w:hint="eastAsia" w:ascii="宋体" w:hAnsi="宋体" w:cs="宋体"/>
          <w:color w:val="auto"/>
          <w:sz w:val="20"/>
          <w:szCs w:val="20"/>
        </w:rPr>
        <w:t>致：</w:t>
      </w:r>
      <w:r>
        <w:rPr>
          <w:rFonts w:hint="eastAsia" w:ascii="宋体" w:hAnsi="宋体"/>
          <w:color w:val="auto"/>
          <w:sz w:val="20"/>
          <w:szCs w:val="22"/>
          <w:u w:val="single"/>
          <w:lang w:eastAsia="zh-CN"/>
        </w:rPr>
        <w:t>广东南方日报展示有限公司</w:t>
      </w:r>
      <w:r>
        <w:rPr>
          <w:rFonts w:ascii="宋体" w:hAnsi="宋体"/>
          <w:color w:val="auto"/>
          <w:sz w:val="20"/>
          <w:szCs w:val="22"/>
          <w:u w:val="single"/>
        </w:rPr>
        <w:t>[招标人名称]</w:t>
      </w:r>
      <w:r>
        <w:rPr>
          <w:rFonts w:ascii="宋体" w:hAnsi="宋体" w:cs="宋体"/>
          <w:color w:val="auto"/>
          <w:sz w:val="20"/>
          <w:szCs w:val="20"/>
        </w:rPr>
        <w:t>：</w:t>
      </w:r>
    </w:p>
    <w:p>
      <w:pPr>
        <w:spacing w:line="360" w:lineRule="auto"/>
        <w:ind w:firstLine="400" w:firstLineChars="200"/>
        <w:rPr>
          <w:rFonts w:ascii="宋体" w:hAnsi="宋体"/>
          <w:color w:val="auto"/>
          <w:sz w:val="20"/>
          <w:szCs w:val="20"/>
        </w:rPr>
      </w:pPr>
      <w:r>
        <w:rPr>
          <w:rFonts w:ascii="宋体" w:hAnsi="宋体"/>
          <w:color w:val="auto"/>
          <w:sz w:val="20"/>
          <w:szCs w:val="20"/>
          <w:u w:val="single"/>
        </w:rPr>
        <w:t xml:space="preserve">      （投标人名称）</w:t>
      </w:r>
      <w:r>
        <w:rPr>
          <w:rFonts w:hint="eastAsia" w:ascii="宋体" w:hAnsi="宋体"/>
          <w:color w:val="auto"/>
          <w:sz w:val="20"/>
          <w:szCs w:val="20"/>
        </w:rPr>
        <w:t>（以下称“我方”）</w:t>
      </w:r>
      <w:r>
        <w:rPr>
          <w:rFonts w:ascii="宋体" w:hAnsi="宋体"/>
          <w:color w:val="auto"/>
          <w:sz w:val="20"/>
          <w:szCs w:val="20"/>
        </w:rPr>
        <w:t>已仔细研究了</w:t>
      </w:r>
      <w:r>
        <w:rPr>
          <w:rFonts w:hint="eastAsia" w:ascii="宋体" w:hAnsi="宋体"/>
          <w:color w:val="auto"/>
          <w:sz w:val="20"/>
          <w:szCs w:val="20"/>
          <w:u w:val="single"/>
          <w:lang w:eastAsia="zh-CN"/>
        </w:rPr>
        <w:t>主题展厅多媒体设备及互动展项定制安装服务项目</w:t>
      </w:r>
      <w:r>
        <w:rPr>
          <w:rFonts w:hint="eastAsia" w:ascii="宋体" w:hAnsi="宋体"/>
          <w:color w:val="auto"/>
          <w:sz w:val="20"/>
          <w:szCs w:val="20"/>
        </w:rPr>
        <w:t>（招标代理编号：</w:t>
      </w:r>
      <w:r>
        <w:rPr>
          <w:rFonts w:hint="eastAsia" w:ascii="宋体" w:hAnsi="宋体"/>
          <w:color w:val="auto"/>
          <w:sz w:val="20"/>
          <w:szCs w:val="20"/>
          <w:u w:val="single"/>
          <w:lang w:eastAsia="zh-CN"/>
        </w:rPr>
        <w:t>WJS-202304070019</w:t>
      </w:r>
      <w:r>
        <w:rPr>
          <w:rFonts w:ascii="宋体" w:hAnsi="宋体"/>
          <w:color w:val="auto"/>
          <w:sz w:val="20"/>
          <w:szCs w:val="20"/>
        </w:rPr>
        <w:t>）招标文件的全部内容</w:t>
      </w:r>
      <w:r>
        <w:rPr>
          <w:rFonts w:hint="eastAsia" w:ascii="宋体" w:hAnsi="宋体"/>
          <w:color w:val="auto"/>
          <w:sz w:val="20"/>
          <w:szCs w:val="20"/>
        </w:rPr>
        <w:t>，</w:t>
      </w:r>
      <w:r>
        <w:rPr>
          <w:rFonts w:ascii="宋体" w:hAnsi="宋体"/>
          <w:bCs/>
          <w:color w:val="auto"/>
          <w:sz w:val="20"/>
          <w:szCs w:val="20"/>
        </w:rPr>
        <w:t>包括</w:t>
      </w:r>
      <w:r>
        <w:rPr>
          <w:rFonts w:hint="eastAsia" w:ascii="宋体" w:hAnsi="宋体"/>
          <w:bCs/>
          <w:color w:val="auto"/>
          <w:sz w:val="20"/>
          <w:szCs w:val="20"/>
        </w:rPr>
        <w:t>澄清或者</w:t>
      </w:r>
      <w:r>
        <w:rPr>
          <w:rFonts w:ascii="宋体" w:hAnsi="宋体"/>
          <w:bCs/>
          <w:color w:val="auto"/>
          <w:sz w:val="20"/>
          <w:szCs w:val="20"/>
        </w:rPr>
        <w:t>修改文件</w:t>
      </w:r>
      <w:r>
        <w:rPr>
          <w:rFonts w:hint="eastAsia" w:ascii="宋体" w:hAnsi="宋体"/>
          <w:bCs/>
          <w:color w:val="auto"/>
          <w:sz w:val="20"/>
          <w:szCs w:val="20"/>
        </w:rPr>
        <w:t>以及</w:t>
      </w:r>
      <w:r>
        <w:rPr>
          <w:rFonts w:ascii="宋体" w:hAnsi="宋体"/>
          <w:bCs/>
          <w:color w:val="auto"/>
          <w:sz w:val="20"/>
          <w:szCs w:val="20"/>
        </w:rPr>
        <w:t>有关附件</w:t>
      </w:r>
      <w:r>
        <w:rPr>
          <w:rFonts w:ascii="宋体" w:hAnsi="宋体"/>
          <w:color w:val="auto"/>
          <w:sz w:val="20"/>
          <w:szCs w:val="20"/>
        </w:rPr>
        <w:t>，</w:t>
      </w:r>
      <w:r>
        <w:rPr>
          <w:rFonts w:hint="eastAsia" w:ascii="宋体" w:hAnsi="宋体"/>
          <w:color w:val="auto"/>
          <w:sz w:val="20"/>
          <w:szCs w:val="20"/>
        </w:rPr>
        <w:t>我方将严格按照招标文件要求递交符合要求的全部投标文件。</w:t>
      </w:r>
    </w:p>
    <w:p>
      <w:pPr>
        <w:spacing w:line="360" w:lineRule="auto"/>
        <w:ind w:firstLine="400" w:firstLineChars="200"/>
        <w:rPr>
          <w:rFonts w:ascii="宋体" w:hAnsi="宋体"/>
          <w:color w:val="auto"/>
          <w:sz w:val="20"/>
          <w:szCs w:val="20"/>
        </w:rPr>
      </w:pPr>
      <w:r>
        <w:rPr>
          <w:rFonts w:hint="eastAsia" w:ascii="宋体" w:hAnsi="宋体"/>
          <w:color w:val="auto"/>
          <w:sz w:val="20"/>
          <w:szCs w:val="20"/>
        </w:rPr>
        <w:t>我方承诺如下内容：</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我方的投标文件包含第二章“投标人须知”第</w:t>
      </w:r>
      <w:r>
        <w:rPr>
          <w:rFonts w:ascii="宋体" w:hAnsi="宋体"/>
          <w:color w:val="auto"/>
          <w:sz w:val="20"/>
          <w:szCs w:val="20"/>
        </w:rPr>
        <w:t>3.1款规定的全部内容。</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我方承诺在</w:t>
      </w:r>
      <w:r>
        <w:rPr>
          <w:rFonts w:hint="eastAsia" w:ascii="宋体" w:hAnsi="宋体"/>
          <w:color w:val="auto"/>
          <w:sz w:val="20"/>
          <w:szCs w:val="20"/>
        </w:rPr>
        <w:t>招标文件规定的投标</w:t>
      </w:r>
      <w:r>
        <w:rPr>
          <w:rFonts w:ascii="宋体" w:hAnsi="宋体"/>
          <w:color w:val="auto"/>
          <w:sz w:val="20"/>
          <w:szCs w:val="20"/>
        </w:rPr>
        <w:t>有效期</w:t>
      </w:r>
      <w:r>
        <w:rPr>
          <w:rFonts w:hint="eastAsia" w:ascii="宋体" w:hAnsi="宋体"/>
          <w:color w:val="auto"/>
          <w:sz w:val="20"/>
          <w:szCs w:val="20"/>
        </w:rPr>
        <w:t>（投标有效期为</w:t>
      </w:r>
      <w:r>
        <w:rPr>
          <w:rFonts w:ascii="宋体" w:hAnsi="宋体"/>
          <w:color w:val="auto"/>
          <w:sz w:val="20"/>
          <w:szCs w:val="20"/>
          <w:u w:val="single"/>
        </w:rPr>
        <w:t xml:space="preserve"> </w:t>
      </w:r>
      <w:r>
        <w:rPr>
          <w:rFonts w:hint="eastAsia" w:ascii="宋体" w:hAnsi="宋体"/>
          <w:color w:val="auto"/>
          <w:sz w:val="20"/>
          <w:szCs w:val="20"/>
          <w:u w:val="single"/>
        </w:rPr>
        <w:t>90</w:t>
      </w:r>
      <w:r>
        <w:rPr>
          <w:rFonts w:hint="eastAsia" w:ascii="宋体" w:hAnsi="宋体"/>
          <w:color w:val="auto"/>
          <w:sz w:val="20"/>
          <w:szCs w:val="20"/>
        </w:rPr>
        <w:t>天）</w:t>
      </w:r>
      <w:r>
        <w:rPr>
          <w:rFonts w:ascii="宋体" w:hAnsi="宋体"/>
          <w:color w:val="auto"/>
          <w:sz w:val="20"/>
          <w:szCs w:val="20"/>
        </w:rPr>
        <w:t>内不修改、撤销</w:t>
      </w:r>
      <w:r>
        <w:rPr>
          <w:rFonts w:hint="eastAsia" w:ascii="宋体" w:hAnsi="宋体"/>
          <w:color w:val="auto"/>
          <w:sz w:val="20"/>
          <w:szCs w:val="20"/>
        </w:rPr>
        <w:t>投标</w:t>
      </w:r>
      <w:r>
        <w:rPr>
          <w:rFonts w:ascii="宋体" w:hAnsi="宋体"/>
          <w:color w:val="auto"/>
          <w:sz w:val="20"/>
          <w:szCs w:val="20"/>
        </w:rPr>
        <w:t>文件。</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随同本</w:t>
      </w:r>
      <w:r>
        <w:rPr>
          <w:rFonts w:hint="eastAsia" w:ascii="宋体" w:hAnsi="宋体"/>
          <w:color w:val="auto"/>
          <w:sz w:val="20"/>
          <w:szCs w:val="20"/>
        </w:rPr>
        <w:t>投标</w:t>
      </w:r>
      <w:r>
        <w:rPr>
          <w:rFonts w:ascii="宋体" w:hAnsi="宋体"/>
          <w:color w:val="auto"/>
          <w:sz w:val="20"/>
          <w:szCs w:val="20"/>
        </w:rPr>
        <w:t>函递交</w:t>
      </w:r>
      <w:r>
        <w:rPr>
          <w:rFonts w:hint="eastAsia" w:ascii="宋体" w:hAnsi="宋体"/>
          <w:color w:val="auto"/>
          <w:sz w:val="20"/>
          <w:szCs w:val="20"/>
        </w:rPr>
        <w:t>投标</w:t>
      </w:r>
      <w:r>
        <w:rPr>
          <w:rFonts w:ascii="宋体" w:hAnsi="宋体"/>
          <w:color w:val="auto"/>
          <w:sz w:val="20"/>
          <w:szCs w:val="20"/>
        </w:rPr>
        <w:t>保证金一份，金额为人民币（大写）</w:t>
      </w:r>
      <w:r>
        <w:rPr>
          <w:rFonts w:ascii="宋体" w:hAnsi="宋体"/>
          <w:color w:val="auto"/>
          <w:sz w:val="20"/>
          <w:szCs w:val="20"/>
          <w:u w:val="single"/>
        </w:rPr>
        <w:t xml:space="preserve">    </w:t>
      </w:r>
      <w:r>
        <w:rPr>
          <w:rFonts w:ascii="宋体" w:hAnsi="宋体"/>
          <w:color w:val="auto"/>
          <w:sz w:val="20"/>
          <w:szCs w:val="20"/>
        </w:rPr>
        <w:t>（¥</w:t>
      </w:r>
      <w:r>
        <w:rPr>
          <w:rFonts w:ascii="宋体" w:hAnsi="宋体"/>
          <w:color w:val="auto"/>
          <w:sz w:val="20"/>
          <w:szCs w:val="20"/>
          <w:u w:val="single"/>
        </w:rPr>
        <w:t xml:space="preserve">   </w:t>
      </w:r>
      <w:r>
        <w:rPr>
          <w:rFonts w:hint="eastAsia" w:ascii="宋体" w:hAnsi="宋体"/>
          <w:b/>
          <w:color w:val="auto"/>
          <w:sz w:val="20"/>
          <w:szCs w:val="20"/>
          <w:u w:val="single"/>
        </w:rPr>
        <w:t>元</w:t>
      </w:r>
      <w:r>
        <w:rPr>
          <w:rFonts w:ascii="宋体" w:hAnsi="宋体"/>
          <w:color w:val="auto"/>
          <w:sz w:val="20"/>
          <w:szCs w:val="20"/>
        </w:rPr>
        <w:t>）。</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我方承诺如果在规定的唱价时间后，在投标有效期内撤回投标文件，投标保证金将被贵方没收。</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我方已经详细地阅读了全部招标文件及其附件，包括澄清及参考文件</w:t>
      </w:r>
      <w:r>
        <w:rPr>
          <w:rFonts w:ascii="宋体" w:hAnsi="宋体"/>
          <w:color w:val="auto"/>
          <w:sz w:val="20"/>
          <w:szCs w:val="20"/>
        </w:rPr>
        <w:t>(如果有的话)。我方已完全清晰理解招标文件的要求，不存在任何含糊不清和误解之处，同意放弃对这些文件所提出的异议和质疑的权利</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我方在评审过程中根据评标委员会要求提供的符合相关规定的澄清文件，构成投标文件的组成部分。</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我方为本次报价所提交的所有证明其合格和资格的文件是真实的和正确的，并愿为其真实性和正确性承担法律责任。</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我方为中华人民共和国境内的合法经营主体，具有独立的民事行为能力；我方具备履行合同所必需的设备和专业技术能力；我方</w:t>
      </w:r>
      <w:r>
        <w:rPr>
          <w:rFonts w:hint="eastAsia"/>
          <w:color w:val="auto"/>
          <w:sz w:val="20"/>
          <w:szCs w:val="20"/>
        </w:rPr>
        <w:t>有依法缴纳税收和社会保障资金的良好记录</w:t>
      </w:r>
      <w:r>
        <w:rPr>
          <w:rFonts w:hint="eastAsia" w:ascii="宋体" w:hAnsi="宋体"/>
          <w:color w:val="auto"/>
          <w:sz w:val="20"/>
          <w:szCs w:val="20"/>
        </w:rPr>
        <w:t>。</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我方同意提供贵方可能要求的与投标有关的一切数据或者资料，并完全理解贵方不一定接受最低价的投标。</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我方承诺不向第三方透露与招标相关的所有信息。</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hint="eastAsia" w:ascii="宋体" w:hAnsi="宋体"/>
          <w:color w:val="auto"/>
          <w:sz w:val="20"/>
          <w:szCs w:val="20"/>
        </w:rPr>
        <w:t>我方承诺不存在财产被接管或冻结或破产清算状况，遵守国家有关的法律、法令和条例。</w:t>
      </w:r>
    </w:p>
    <w:p>
      <w:pPr>
        <w:pStyle w:val="78"/>
        <w:numPr>
          <w:ilvl w:val="3"/>
          <w:numId w:val="18"/>
        </w:numPr>
        <w:tabs>
          <w:tab w:val="left" w:pos="709"/>
        </w:tabs>
        <w:spacing w:line="360" w:lineRule="auto"/>
        <w:ind w:left="0" w:firstLine="404" w:firstLineChars="202"/>
        <w:rPr>
          <w:rFonts w:ascii="宋体" w:hAnsi="宋体"/>
          <w:color w:val="auto"/>
          <w:sz w:val="20"/>
          <w:szCs w:val="20"/>
        </w:rPr>
      </w:pPr>
      <w:r>
        <w:rPr>
          <w:rFonts w:ascii="宋体" w:hAnsi="宋体"/>
          <w:color w:val="auto"/>
          <w:sz w:val="20"/>
          <w:szCs w:val="20"/>
        </w:rPr>
        <w:t>如我方中标：</w:t>
      </w:r>
    </w:p>
    <w:p>
      <w:pPr>
        <w:pStyle w:val="78"/>
        <w:numPr>
          <w:ilvl w:val="0"/>
          <w:numId w:val="19"/>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我方承诺在收到中标通知书后，在中标通知书规定的期限内与</w:t>
      </w:r>
      <w:r>
        <w:rPr>
          <w:rFonts w:hint="eastAsia" w:ascii="宋体" w:hAnsi="宋体"/>
          <w:color w:val="auto"/>
          <w:sz w:val="20"/>
          <w:szCs w:val="20"/>
        </w:rPr>
        <w:t>贵</w:t>
      </w:r>
      <w:r>
        <w:rPr>
          <w:rFonts w:ascii="宋体" w:hAnsi="宋体"/>
          <w:color w:val="auto"/>
          <w:sz w:val="20"/>
          <w:szCs w:val="20"/>
        </w:rPr>
        <w:t>方签订合同。</w:t>
      </w:r>
    </w:p>
    <w:p>
      <w:pPr>
        <w:pStyle w:val="78"/>
        <w:numPr>
          <w:ilvl w:val="0"/>
          <w:numId w:val="19"/>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我方承诺按照招标文件规定递交履约</w:t>
      </w:r>
      <w:r>
        <w:rPr>
          <w:rFonts w:hint="eastAsia" w:ascii="宋体" w:hAnsi="宋体"/>
          <w:color w:val="auto"/>
          <w:sz w:val="20"/>
          <w:szCs w:val="20"/>
        </w:rPr>
        <w:t>保证金、支付招标代理服务费和文交所综合服务费</w:t>
      </w:r>
      <w:r>
        <w:rPr>
          <w:rFonts w:ascii="宋体" w:hAnsi="宋体"/>
          <w:color w:val="auto"/>
          <w:sz w:val="20"/>
          <w:szCs w:val="20"/>
        </w:rPr>
        <w:t>。</w:t>
      </w:r>
    </w:p>
    <w:p>
      <w:pPr>
        <w:pStyle w:val="78"/>
        <w:numPr>
          <w:ilvl w:val="0"/>
          <w:numId w:val="19"/>
        </w:numPr>
        <w:tabs>
          <w:tab w:val="left" w:pos="993"/>
        </w:tabs>
        <w:spacing w:line="360" w:lineRule="auto"/>
        <w:ind w:left="0" w:firstLine="426" w:firstLineChars="0"/>
        <w:rPr>
          <w:rFonts w:ascii="宋体" w:hAnsi="宋体"/>
          <w:color w:val="auto"/>
          <w:sz w:val="20"/>
          <w:szCs w:val="20"/>
        </w:rPr>
      </w:pPr>
      <w:r>
        <w:rPr>
          <w:rFonts w:ascii="宋体" w:hAnsi="宋体"/>
          <w:color w:val="auto"/>
          <w:sz w:val="20"/>
          <w:szCs w:val="20"/>
        </w:rPr>
        <w:t>我方承诺</w:t>
      </w:r>
      <w:r>
        <w:rPr>
          <w:rFonts w:hint="eastAsia" w:ascii="宋体" w:hAnsi="宋体"/>
          <w:color w:val="auto"/>
          <w:sz w:val="20"/>
          <w:szCs w:val="20"/>
        </w:rPr>
        <w:t>按照招标文件的规定及合同约定履行相关责任和义务。</w:t>
      </w:r>
    </w:p>
    <w:p>
      <w:pPr>
        <w:pStyle w:val="78"/>
        <w:numPr>
          <w:ilvl w:val="0"/>
          <w:numId w:val="19"/>
        </w:numPr>
        <w:tabs>
          <w:tab w:val="left" w:pos="993"/>
        </w:tabs>
        <w:spacing w:line="360" w:lineRule="auto"/>
        <w:ind w:left="0" w:firstLine="426" w:firstLineChars="0"/>
        <w:rPr>
          <w:rFonts w:ascii="宋体" w:hAnsi="宋体"/>
          <w:color w:val="auto"/>
          <w:sz w:val="20"/>
          <w:szCs w:val="20"/>
        </w:rPr>
      </w:pPr>
      <w:r>
        <w:rPr>
          <w:rFonts w:hint="eastAsia" w:ascii="宋体" w:hAnsi="宋体"/>
          <w:color w:val="auto"/>
          <w:sz w:val="20"/>
          <w:szCs w:val="20"/>
        </w:rPr>
        <w:t>我方承诺提供的产品或服务符合国家对网络与信息安全的相关要求。如违反国家对对网络与信息安全的相关要求，责任完全由我方承担。</w:t>
      </w:r>
    </w:p>
    <w:p>
      <w:pPr>
        <w:pStyle w:val="78"/>
        <w:numPr>
          <w:ilvl w:val="0"/>
          <w:numId w:val="19"/>
        </w:numPr>
        <w:spacing w:line="360" w:lineRule="auto"/>
        <w:ind w:left="993" w:hanging="573" w:firstLineChars="0"/>
        <w:rPr>
          <w:rFonts w:ascii="宋体" w:hAnsi="宋体"/>
          <w:color w:val="auto"/>
          <w:sz w:val="20"/>
          <w:szCs w:val="20"/>
        </w:rPr>
      </w:pPr>
      <w:r>
        <w:rPr>
          <w:rFonts w:hint="eastAsia" w:ascii="宋体" w:hAnsi="宋体"/>
          <w:color w:val="auto"/>
          <w:sz w:val="20"/>
          <w:szCs w:val="20"/>
        </w:rPr>
        <w:t>我方承诺按照招标文件的规定及合同约定开具增值税专用发票。</w:t>
      </w:r>
    </w:p>
    <w:p>
      <w:pPr>
        <w:pStyle w:val="78"/>
        <w:numPr>
          <w:ilvl w:val="0"/>
          <w:numId w:val="19"/>
        </w:numPr>
        <w:spacing w:line="360" w:lineRule="auto"/>
        <w:ind w:left="993" w:hanging="573" w:firstLineChars="0"/>
        <w:rPr>
          <w:rFonts w:ascii="宋体" w:hAnsi="宋体"/>
          <w:color w:val="auto"/>
          <w:sz w:val="20"/>
          <w:szCs w:val="20"/>
        </w:rPr>
      </w:pPr>
      <w:r>
        <w:rPr>
          <w:rFonts w:hint="eastAsia" w:ascii="宋体" w:hAnsi="宋体"/>
          <w:color w:val="auto"/>
          <w:sz w:val="20"/>
          <w:szCs w:val="20"/>
        </w:rPr>
        <w:t>我方承诺中标后不转包、不分包。</w:t>
      </w:r>
    </w:p>
    <w:p>
      <w:pPr>
        <w:spacing w:line="360" w:lineRule="auto"/>
        <w:ind w:firstLine="400" w:firstLineChars="200"/>
        <w:rPr>
          <w:rFonts w:ascii="宋体" w:hAnsi="宋体"/>
          <w:color w:val="auto"/>
          <w:sz w:val="20"/>
          <w:szCs w:val="20"/>
        </w:rPr>
      </w:pPr>
      <w:r>
        <w:rPr>
          <w:rFonts w:hint="eastAsia" w:ascii="宋体" w:hAnsi="宋体"/>
          <w:color w:val="auto"/>
          <w:sz w:val="20"/>
          <w:szCs w:val="20"/>
        </w:rPr>
        <w:t>我方在此声明，所递交的投标文件及有关资料内容完整、真实和准确，且不存在第二章“投标人须知”第</w:t>
      </w:r>
      <w:r>
        <w:rPr>
          <w:rFonts w:ascii="宋体" w:hAnsi="宋体"/>
          <w:color w:val="auto"/>
          <w:sz w:val="20"/>
          <w:szCs w:val="20"/>
        </w:rPr>
        <w:t>1.8款规定的任何一种情形。如有弄虚作假，将承担相应的法律责任，并赔偿由此造成的一切损失。</w:t>
      </w:r>
    </w:p>
    <w:p>
      <w:pPr>
        <w:pStyle w:val="78"/>
        <w:numPr>
          <w:ilvl w:val="3"/>
          <w:numId w:val="18"/>
        </w:numPr>
        <w:tabs>
          <w:tab w:val="left" w:pos="709"/>
        </w:tabs>
        <w:spacing w:line="360" w:lineRule="auto"/>
        <w:ind w:left="851" w:firstLineChars="0"/>
        <w:rPr>
          <w:rFonts w:ascii="宋体" w:hAnsi="宋体"/>
          <w:color w:val="auto"/>
          <w:sz w:val="20"/>
          <w:szCs w:val="20"/>
        </w:rPr>
      </w:pPr>
      <w:r>
        <w:rPr>
          <w:rFonts w:hint="eastAsia" w:ascii="宋体" w:hAnsi="宋体"/>
          <w:color w:val="auto"/>
          <w:sz w:val="20"/>
          <w:szCs w:val="20"/>
        </w:rPr>
        <w:t>与本次公开招标的有关的一切正式往来通讯请寄：</w:t>
      </w:r>
    </w:p>
    <w:p>
      <w:pPr>
        <w:pStyle w:val="78"/>
        <w:tabs>
          <w:tab w:val="left" w:pos="709"/>
        </w:tabs>
        <w:spacing w:line="360" w:lineRule="auto"/>
        <w:ind w:left="709" w:firstLine="0" w:firstLineChars="0"/>
        <w:rPr>
          <w:rFonts w:ascii="宋体" w:hAnsi="宋体"/>
          <w:color w:val="auto"/>
          <w:sz w:val="20"/>
          <w:szCs w:val="20"/>
        </w:rPr>
      </w:pPr>
      <w:r>
        <w:rPr>
          <w:rFonts w:hint="eastAsia" w:ascii="宋体" w:hAnsi="宋体"/>
          <w:color w:val="auto"/>
          <w:sz w:val="20"/>
          <w:szCs w:val="20"/>
        </w:rPr>
        <w:t>地址：</w:t>
      </w:r>
      <w:r>
        <w:rPr>
          <w:rFonts w:ascii="宋体" w:hAnsi="宋体"/>
          <w:color w:val="auto"/>
          <w:sz w:val="20"/>
          <w:szCs w:val="20"/>
        </w:rPr>
        <w:t xml:space="preserve">_____________________  </w:t>
      </w:r>
      <w:r>
        <w:rPr>
          <w:rFonts w:hint="eastAsia" w:ascii="宋体" w:hAnsi="宋体"/>
          <w:color w:val="auto"/>
          <w:sz w:val="20"/>
          <w:szCs w:val="20"/>
        </w:rPr>
        <w:t>传真：</w:t>
      </w:r>
      <w:r>
        <w:rPr>
          <w:rFonts w:ascii="宋体" w:hAnsi="宋体"/>
          <w:color w:val="auto"/>
          <w:sz w:val="20"/>
          <w:szCs w:val="20"/>
        </w:rPr>
        <w:t>_________________________</w:t>
      </w:r>
    </w:p>
    <w:p>
      <w:pPr>
        <w:pStyle w:val="78"/>
        <w:tabs>
          <w:tab w:val="left" w:pos="709"/>
        </w:tabs>
        <w:spacing w:line="360" w:lineRule="auto"/>
        <w:ind w:left="709" w:firstLine="0" w:firstLineChars="0"/>
        <w:rPr>
          <w:rFonts w:ascii="宋体" w:hAnsi="宋体"/>
          <w:color w:val="auto"/>
          <w:sz w:val="20"/>
          <w:szCs w:val="20"/>
        </w:rPr>
      </w:pPr>
      <w:r>
        <w:rPr>
          <w:rFonts w:hint="eastAsia" w:ascii="宋体" w:hAnsi="宋体"/>
          <w:color w:val="auto"/>
          <w:sz w:val="20"/>
          <w:szCs w:val="20"/>
        </w:rPr>
        <w:t>电话：</w:t>
      </w:r>
      <w:r>
        <w:rPr>
          <w:rFonts w:ascii="宋体" w:hAnsi="宋体"/>
          <w:color w:val="auto"/>
          <w:sz w:val="20"/>
          <w:szCs w:val="20"/>
        </w:rPr>
        <w:t xml:space="preserve">_____________________  </w:t>
      </w:r>
      <w:r>
        <w:rPr>
          <w:rFonts w:hint="eastAsia" w:ascii="宋体" w:hAnsi="宋体"/>
          <w:color w:val="auto"/>
          <w:sz w:val="20"/>
          <w:szCs w:val="20"/>
        </w:rPr>
        <w:t>电子邮箱：</w:t>
      </w:r>
      <w:r>
        <w:rPr>
          <w:rFonts w:ascii="宋体" w:hAnsi="宋体"/>
          <w:color w:val="auto"/>
          <w:sz w:val="20"/>
          <w:szCs w:val="20"/>
        </w:rPr>
        <w:t>_____________________</w:t>
      </w:r>
    </w:p>
    <w:p>
      <w:pPr>
        <w:spacing w:line="360" w:lineRule="auto"/>
        <w:ind w:firstLine="2700" w:firstLineChars="1350"/>
        <w:rPr>
          <w:rFonts w:ascii="宋体" w:hAnsi="宋体"/>
          <w:color w:val="auto"/>
          <w:sz w:val="20"/>
          <w:szCs w:val="20"/>
        </w:rPr>
      </w:pPr>
      <w:r>
        <w:rPr>
          <w:rFonts w:ascii="宋体" w:hAnsi="宋体"/>
          <w:color w:val="auto"/>
          <w:sz w:val="20"/>
          <w:szCs w:val="20"/>
        </w:rPr>
        <w:t>投标人</w:t>
      </w:r>
      <w:r>
        <w:rPr>
          <w:rFonts w:hint="eastAsia" w:ascii="宋体" w:hAnsi="宋体"/>
          <w:color w:val="auto"/>
          <w:sz w:val="20"/>
          <w:szCs w:val="20"/>
        </w:rPr>
        <w:t>名称</w:t>
      </w:r>
      <w:r>
        <w:rPr>
          <w:rFonts w:ascii="宋体" w:hAnsi="宋体"/>
          <w:color w:val="auto"/>
          <w:sz w:val="20"/>
          <w:szCs w:val="20"/>
        </w:rPr>
        <w:t>：</w:t>
      </w:r>
      <w:r>
        <w:rPr>
          <w:rFonts w:ascii="宋体" w:hAnsi="宋体"/>
          <w:color w:val="auto"/>
          <w:sz w:val="20"/>
          <w:szCs w:val="20"/>
          <w:u w:val="single"/>
        </w:rPr>
        <w:t xml:space="preserve">                     </w:t>
      </w:r>
      <w:r>
        <w:rPr>
          <w:rFonts w:ascii="宋体" w:hAnsi="宋体"/>
          <w:color w:val="auto"/>
          <w:sz w:val="20"/>
          <w:szCs w:val="20"/>
        </w:rPr>
        <w:t>（盖单位公章）</w:t>
      </w:r>
    </w:p>
    <w:p>
      <w:pPr>
        <w:spacing w:line="360" w:lineRule="auto"/>
        <w:jc w:val="right"/>
        <w:rPr>
          <w:rFonts w:ascii="宋体" w:hAnsi="宋体"/>
          <w:color w:val="auto"/>
          <w:sz w:val="20"/>
          <w:szCs w:val="20"/>
        </w:rPr>
      </w:pPr>
      <w:r>
        <w:rPr>
          <w:rFonts w:ascii="宋体" w:hAnsi="宋体"/>
          <w:color w:val="auto"/>
          <w:sz w:val="20"/>
          <w:szCs w:val="20"/>
        </w:rPr>
        <w:t>法定代表人</w:t>
      </w:r>
      <w:r>
        <w:rPr>
          <w:rFonts w:hint="eastAsia" w:ascii="宋体" w:hAnsi="宋体"/>
          <w:color w:val="auto"/>
          <w:sz w:val="20"/>
          <w:szCs w:val="20"/>
        </w:rPr>
        <w:t>（负责人）</w:t>
      </w:r>
      <w:r>
        <w:rPr>
          <w:rFonts w:ascii="宋体" w:hAnsi="宋体"/>
          <w:color w:val="auto"/>
          <w:sz w:val="20"/>
          <w:szCs w:val="20"/>
        </w:rPr>
        <w:t>或者其委托代理人：</w:t>
      </w:r>
      <w:r>
        <w:rPr>
          <w:rFonts w:ascii="宋体" w:hAnsi="宋体"/>
          <w:color w:val="auto"/>
          <w:sz w:val="20"/>
          <w:szCs w:val="20"/>
          <w:u w:val="single"/>
        </w:rPr>
        <w:t xml:space="preserve">         </w:t>
      </w:r>
      <w:r>
        <w:rPr>
          <w:rFonts w:ascii="宋体" w:hAnsi="宋体"/>
          <w:color w:val="auto"/>
          <w:sz w:val="20"/>
          <w:szCs w:val="20"/>
        </w:rPr>
        <w:t>（签字</w:t>
      </w:r>
      <w:r>
        <w:rPr>
          <w:rFonts w:hint="eastAsia" w:ascii="宋体" w:hAnsi="宋体"/>
          <w:color w:val="auto"/>
          <w:sz w:val="20"/>
          <w:szCs w:val="20"/>
        </w:rPr>
        <w:t>或盖章</w:t>
      </w:r>
      <w:r>
        <w:rPr>
          <w:rFonts w:ascii="宋体" w:hAnsi="宋体"/>
          <w:color w:val="auto"/>
          <w:sz w:val="20"/>
          <w:szCs w:val="20"/>
        </w:rPr>
        <w:t>）</w:t>
      </w:r>
    </w:p>
    <w:p>
      <w:pPr>
        <w:topLinePunct/>
        <w:spacing w:line="360" w:lineRule="auto"/>
        <w:jc w:val="right"/>
        <w:rPr>
          <w:rFonts w:hint="eastAsia" w:ascii="宋体" w:hAnsi="宋体"/>
          <w:color w:val="auto"/>
          <w:sz w:val="20"/>
          <w:szCs w:val="22"/>
          <w:lang w:val="en-US" w:eastAsia="zh-CN"/>
        </w:rPr>
      </w:pPr>
      <w:r>
        <w:rPr>
          <w:rFonts w:hint="eastAsia" w:ascii="宋体" w:hAnsi="宋体"/>
          <w:color w:val="auto"/>
          <w:sz w:val="20"/>
          <w:szCs w:val="22"/>
        </w:rPr>
        <w:t>日期：</w:t>
      </w:r>
      <w:r>
        <w:rPr>
          <w:rFonts w:ascii="宋体" w:hAnsi="宋体"/>
          <w:color w:val="auto"/>
          <w:sz w:val="20"/>
          <w:szCs w:val="22"/>
        </w:rPr>
        <w:t>XX年XX月XX</w:t>
      </w:r>
      <w:r>
        <w:rPr>
          <w:rFonts w:hint="eastAsia" w:ascii="宋体" w:hAnsi="宋体"/>
          <w:color w:val="auto"/>
          <w:sz w:val="20"/>
          <w:szCs w:val="22"/>
          <w:lang w:val="en-US" w:eastAsia="zh-CN"/>
        </w:rPr>
        <w:t>日</w:t>
      </w:r>
    </w:p>
    <w:p>
      <w:pPr>
        <w:pStyle w:val="2"/>
        <w:rPr>
          <w:rFonts w:hint="eastAsia" w:ascii="宋体" w:hAnsi="宋体"/>
          <w:color w:val="auto"/>
          <w:sz w:val="20"/>
          <w:szCs w:val="22"/>
          <w:lang w:val="en-US" w:eastAsia="zh-CN"/>
        </w:rPr>
      </w:pPr>
    </w:p>
    <w:p>
      <w:pPr>
        <w:pStyle w:val="38"/>
        <w:rPr>
          <w:rFonts w:hint="default"/>
          <w:color w:val="auto"/>
          <w:lang w:val="en-US" w:eastAsia="zh-CN"/>
        </w:rPr>
      </w:pPr>
    </w:p>
    <w:p>
      <w:pPr>
        <w:rPr>
          <w:rFonts w:ascii="宋体" w:hAnsi="宋体"/>
          <w:color w:val="auto"/>
          <w:sz w:val="24"/>
          <w:szCs w:val="24"/>
        </w:rPr>
      </w:pPr>
      <w:bookmarkStart w:id="537" w:name="_Toc29078"/>
      <w:bookmarkStart w:id="538" w:name="_Toc11519"/>
      <w:bookmarkStart w:id="539" w:name="_Toc1651899"/>
      <w:bookmarkStart w:id="540" w:name="_Toc475472674"/>
      <w:bookmarkStart w:id="541" w:name="_Toc28376"/>
      <w:bookmarkStart w:id="542" w:name="_Toc56432234"/>
      <w:r>
        <w:rPr>
          <w:rFonts w:ascii="宋体" w:hAnsi="宋体"/>
          <w:color w:val="auto"/>
          <w:sz w:val="24"/>
          <w:szCs w:val="24"/>
        </w:rPr>
        <w:br w:type="page"/>
      </w:r>
    </w:p>
    <w:p>
      <w:pPr>
        <w:pStyle w:val="36"/>
        <w:numPr>
          <w:ilvl w:val="0"/>
          <w:numId w:val="17"/>
        </w:numPr>
        <w:tabs>
          <w:tab w:val="left" w:pos="588"/>
        </w:tabs>
        <w:snapToGrid w:val="0"/>
        <w:spacing w:before="120" w:after="120" w:line="440" w:lineRule="exact"/>
        <w:jc w:val="left"/>
        <w:rPr>
          <w:rFonts w:ascii="宋体" w:hAnsi="宋体"/>
          <w:color w:val="auto"/>
          <w:sz w:val="24"/>
          <w:szCs w:val="24"/>
        </w:rPr>
      </w:pPr>
      <w:bookmarkStart w:id="543" w:name="_Toc16447"/>
      <w:r>
        <w:rPr>
          <w:rFonts w:ascii="宋体" w:hAnsi="宋体"/>
          <w:color w:val="auto"/>
          <w:sz w:val="24"/>
          <w:szCs w:val="24"/>
        </w:rPr>
        <w:t>法定代表人</w:t>
      </w:r>
      <w:r>
        <w:rPr>
          <w:rFonts w:hint="eastAsia" w:ascii="宋体" w:hAnsi="宋体"/>
          <w:color w:val="auto"/>
          <w:sz w:val="24"/>
          <w:szCs w:val="24"/>
        </w:rPr>
        <w:t>（负责人）</w:t>
      </w:r>
      <w:r>
        <w:rPr>
          <w:rFonts w:ascii="宋体" w:hAnsi="宋体"/>
          <w:color w:val="auto"/>
          <w:sz w:val="24"/>
          <w:szCs w:val="24"/>
        </w:rPr>
        <w:t>身份证明</w:t>
      </w:r>
      <w:bookmarkEnd w:id="537"/>
      <w:bookmarkEnd w:id="538"/>
      <w:bookmarkEnd w:id="539"/>
      <w:bookmarkEnd w:id="540"/>
      <w:bookmarkEnd w:id="541"/>
      <w:bookmarkEnd w:id="542"/>
      <w:bookmarkEnd w:id="543"/>
    </w:p>
    <w:p>
      <w:pPr>
        <w:jc w:val="center"/>
        <w:rPr>
          <w:rFonts w:ascii="宋体" w:hAnsi="宋体" w:cs="宋体"/>
          <w:b/>
          <w:color w:val="auto"/>
          <w:sz w:val="24"/>
        </w:rPr>
      </w:pPr>
    </w:p>
    <w:p>
      <w:pPr>
        <w:jc w:val="center"/>
        <w:rPr>
          <w:rFonts w:ascii="宋体" w:hAnsi="宋体" w:cs="宋体"/>
          <w:b/>
          <w:color w:val="auto"/>
          <w:sz w:val="24"/>
        </w:rPr>
      </w:pPr>
      <w:r>
        <w:rPr>
          <w:rFonts w:hint="eastAsia" w:ascii="宋体" w:hAnsi="宋体" w:cs="宋体"/>
          <w:b/>
          <w:color w:val="auto"/>
          <w:sz w:val="24"/>
        </w:rPr>
        <w:t>法定代表人（负责人）身份证明</w:t>
      </w:r>
    </w:p>
    <w:p>
      <w:pPr>
        <w:spacing w:line="440" w:lineRule="exact"/>
        <w:rPr>
          <w:rFonts w:ascii="宋体" w:hAnsi="宋体"/>
          <w:color w:val="auto"/>
          <w:szCs w:val="21"/>
        </w:rPr>
      </w:pPr>
    </w:p>
    <w:p>
      <w:pPr>
        <w:topLinePunct/>
        <w:snapToGrid w:val="0"/>
        <w:spacing w:line="440" w:lineRule="exact"/>
        <w:rPr>
          <w:rFonts w:ascii="宋体" w:hAnsi="宋体"/>
          <w:bCs/>
          <w:color w:val="auto"/>
          <w:szCs w:val="21"/>
          <w:u w:val="single"/>
        </w:rPr>
      </w:pPr>
      <w:r>
        <w:rPr>
          <w:rFonts w:hint="eastAsia" w:ascii="宋体" w:hAnsi="宋体"/>
          <w:bCs/>
          <w:color w:val="auto"/>
          <w:szCs w:val="21"/>
        </w:rPr>
        <w:t>投标人</w:t>
      </w:r>
      <w:r>
        <w:rPr>
          <w:rFonts w:ascii="宋体" w:hAnsi="宋体"/>
          <w:bCs/>
          <w:color w:val="auto"/>
          <w:szCs w:val="21"/>
        </w:rPr>
        <w:t>名称：</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单位性质：</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成立时间：</w:t>
      </w:r>
      <w:r>
        <w:rPr>
          <w:rFonts w:ascii="宋体" w:hAnsi="宋体"/>
          <w:bCs/>
          <w:color w:val="auto"/>
          <w:szCs w:val="21"/>
          <w:u w:val="single"/>
        </w:rPr>
        <w:t xml:space="preserve">       </w:t>
      </w:r>
      <w:r>
        <w:rPr>
          <w:rFonts w:ascii="宋体" w:hAnsi="宋体"/>
          <w:bCs/>
          <w:color w:val="auto"/>
          <w:szCs w:val="21"/>
        </w:rPr>
        <w:t>年</w:t>
      </w:r>
      <w:r>
        <w:rPr>
          <w:rFonts w:ascii="宋体" w:hAnsi="宋体"/>
          <w:bCs/>
          <w:color w:val="auto"/>
          <w:szCs w:val="21"/>
          <w:u w:val="single"/>
        </w:rPr>
        <w:t xml:space="preserve">       </w:t>
      </w:r>
      <w:r>
        <w:rPr>
          <w:rFonts w:ascii="宋体" w:hAnsi="宋体"/>
          <w:bCs/>
          <w:color w:val="auto"/>
          <w:szCs w:val="21"/>
        </w:rPr>
        <w:t>月</w:t>
      </w:r>
      <w:r>
        <w:rPr>
          <w:rFonts w:ascii="宋体" w:hAnsi="宋体"/>
          <w:bCs/>
          <w:color w:val="auto"/>
          <w:szCs w:val="21"/>
          <w:u w:val="single"/>
        </w:rPr>
        <w:t xml:space="preserve">       </w:t>
      </w:r>
      <w:r>
        <w:rPr>
          <w:rFonts w:ascii="宋体" w:hAnsi="宋体"/>
          <w:bCs/>
          <w:color w:val="auto"/>
          <w:szCs w:val="21"/>
        </w:rPr>
        <w:t>日</w:t>
      </w:r>
    </w:p>
    <w:p>
      <w:pPr>
        <w:topLinePunct/>
        <w:snapToGrid w:val="0"/>
        <w:spacing w:line="440" w:lineRule="exact"/>
        <w:rPr>
          <w:rFonts w:ascii="宋体" w:hAnsi="宋体"/>
          <w:bCs/>
          <w:color w:val="auto"/>
          <w:szCs w:val="21"/>
        </w:rPr>
      </w:pPr>
      <w:r>
        <w:rPr>
          <w:rFonts w:ascii="宋体" w:hAnsi="宋体"/>
          <w:bCs/>
          <w:color w:val="auto"/>
          <w:szCs w:val="21"/>
        </w:rPr>
        <w:t>经营期限：</w:t>
      </w:r>
      <w:r>
        <w:rPr>
          <w:rFonts w:ascii="宋体" w:hAnsi="宋体"/>
          <w:bCs/>
          <w:color w:val="auto"/>
          <w:szCs w:val="21"/>
          <w:u w:val="single"/>
        </w:rPr>
        <w:t xml:space="preserve">            </w:t>
      </w:r>
    </w:p>
    <w:p>
      <w:pPr>
        <w:topLinePunct/>
        <w:snapToGrid w:val="0"/>
        <w:spacing w:line="440" w:lineRule="exact"/>
        <w:rPr>
          <w:rFonts w:ascii="宋体" w:hAnsi="宋体"/>
          <w:bCs/>
          <w:color w:val="auto"/>
          <w:szCs w:val="21"/>
          <w:u w:val="single"/>
        </w:rPr>
      </w:pPr>
      <w:r>
        <w:rPr>
          <w:rFonts w:ascii="宋体" w:hAnsi="宋体"/>
          <w:bCs/>
          <w:color w:val="auto"/>
          <w:szCs w:val="21"/>
        </w:rPr>
        <w:t>姓名：</w:t>
      </w:r>
      <w:r>
        <w:rPr>
          <w:rFonts w:ascii="宋体" w:hAnsi="宋体"/>
          <w:bCs/>
          <w:color w:val="auto"/>
          <w:szCs w:val="21"/>
          <w:u w:val="single"/>
        </w:rPr>
        <w:t xml:space="preserve">         </w:t>
      </w:r>
      <w:r>
        <w:rPr>
          <w:rFonts w:ascii="宋体" w:hAnsi="宋体"/>
          <w:bCs/>
          <w:color w:val="auto"/>
          <w:szCs w:val="21"/>
        </w:rPr>
        <w:t>性别：</w:t>
      </w:r>
      <w:r>
        <w:rPr>
          <w:rFonts w:ascii="宋体" w:hAnsi="宋体"/>
          <w:bCs/>
          <w:color w:val="auto"/>
          <w:szCs w:val="21"/>
          <w:u w:val="single"/>
        </w:rPr>
        <w:t xml:space="preserve">          </w:t>
      </w:r>
      <w:r>
        <w:rPr>
          <w:rFonts w:ascii="宋体" w:hAnsi="宋体"/>
          <w:bCs/>
          <w:color w:val="auto"/>
          <w:szCs w:val="21"/>
        </w:rPr>
        <w:t>年龄：</w:t>
      </w:r>
      <w:r>
        <w:rPr>
          <w:rFonts w:ascii="宋体" w:hAnsi="宋体"/>
          <w:bCs/>
          <w:color w:val="auto"/>
          <w:szCs w:val="21"/>
          <w:u w:val="single"/>
        </w:rPr>
        <w:t xml:space="preserve">         </w:t>
      </w:r>
      <w:r>
        <w:rPr>
          <w:rFonts w:ascii="宋体" w:hAnsi="宋体"/>
          <w:bCs/>
          <w:color w:val="auto"/>
          <w:szCs w:val="21"/>
        </w:rPr>
        <w:t>职务：</w:t>
      </w:r>
      <w:r>
        <w:rPr>
          <w:rFonts w:ascii="宋体" w:hAnsi="宋体"/>
          <w:bCs/>
          <w:color w:val="auto"/>
          <w:szCs w:val="21"/>
          <w:u w:val="single"/>
        </w:rPr>
        <w:t xml:space="preserve">         </w:t>
      </w:r>
    </w:p>
    <w:p>
      <w:pPr>
        <w:topLinePunct/>
        <w:snapToGrid w:val="0"/>
        <w:spacing w:line="440" w:lineRule="exact"/>
        <w:rPr>
          <w:rFonts w:ascii="宋体" w:hAnsi="宋体"/>
          <w:bCs/>
          <w:color w:val="auto"/>
          <w:szCs w:val="21"/>
        </w:rPr>
      </w:pPr>
      <w:r>
        <w:rPr>
          <w:rFonts w:ascii="宋体" w:hAnsi="宋体"/>
          <w:bCs/>
          <w:color w:val="auto"/>
          <w:szCs w:val="21"/>
        </w:rPr>
        <w:t>系</w:t>
      </w:r>
      <w:r>
        <w:rPr>
          <w:rFonts w:ascii="宋体" w:hAnsi="宋体"/>
          <w:color w:val="auto"/>
          <w:u w:val="single"/>
        </w:rPr>
        <w:t>XX公司</w:t>
      </w:r>
      <w:r>
        <w:rPr>
          <w:rFonts w:ascii="宋体" w:hAnsi="宋体"/>
          <w:color w:val="auto"/>
          <w:szCs w:val="21"/>
          <w:u w:val="single"/>
        </w:rPr>
        <w:t>[投标人单位名称]</w:t>
      </w:r>
      <w:r>
        <w:rPr>
          <w:rFonts w:ascii="宋体" w:hAnsi="宋体"/>
          <w:bCs/>
          <w:color w:val="auto"/>
          <w:szCs w:val="21"/>
        </w:rPr>
        <w:t>的法定代表人。</w:t>
      </w:r>
    </w:p>
    <w:p>
      <w:pPr>
        <w:topLinePunct/>
        <w:snapToGrid w:val="0"/>
        <w:spacing w:line="440" w:lineRule="exact"/>
        <w:ind w:firstLine="420" w:firstLineChars="200"/>
        <w:rPr>
          <w:rFonts w:ascii="宋体" w:hAnsi="宋体"/>
          <w:bCs/>
          <w:color w:val="auto"/>
          <w:szCs w:val="21"/>
        </w:rPr>
      </w:pPr>
      <w:r>
        <w:rPr>
          <w:rFonts w:ascii="宋体" w:hAnsi="宋体"/>
          <w:bCs/>
          <w:color w:val="auto"/>
          <w:szCs w:val="21"/>
        </w:rPr>
        <w:t>特此证明。</w:t>
      </w:r>
    </w:p>
    <w:p>
      <w:pPr>
        <w:topLinePunct/>
        <w:snapToGrid w:val="0"/>
        <w:spacing w:line="440" w:lineRule="exact"/>
        <w:ind w:firstLine="420" w:firstLineChars="200"/>
        <w:rPr>
          <w:rFonts w:ascii="宋体" w:hAnsi="宋体"/>
          <w:bCs/>
          <w:color w:val="auto"/>
          <w:szCs w:val="21"/>
        </w:rPr>
      </w:pPr>
    </w:p>
    <w:p>
      <w:pPr>
        <w:topLinePunct/>
        <w:snapToGrid w:val="0"/>
        <w:spacing w:line="440" w:lineRule="exact"/>
        <w:rPr>
          <w:rFonts w:ascii="宋体" w:hAnsi="宋体"/>
          <w:color w:val="auto"/>
        </w:rPr>
      </w:pPr>
      <w:r>
        <w:rPr>
          <w:rFonts w:ascii="宋体" w:hAnsi="宋体"/>
          <w:color w:val="auto"/>
        </w:rPr>
        <w:t>附：法定代表人身份证复印件</w:t>
      </w:r>
      <w:r>
        <w:rPr>
          <w:rFonts w:ascii="宋体" w:hAnsi="宋体"/>
          <w:bCs/>
          <w:color w:val="auto"/>
          <w:szCs w:val="21"/>
        </w:rPr>
        <w:t>(需同时提供正面及背面)</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0288"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3" name="流程图: 可选过程 10"/>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法定代表人身份证背面复印件贴于此处</w:t>
                            </w:r>
                          </w:p>
                        </w:txbxContent>
                      </wps:txbx>
                      <wps:bodyPr upright="1"/>
                    </wps:wsp>
                  </a:graphicData>
                </a:graphic>
              </wp:anchor>
            </w:drawing>
          </mc:Choice>
          <mc:Fallback>
            <w:pict>
              <v:shape id="流程图: 可选过程 10" o:spid="_x0000_s1026" o:spt="176" type="#_x0000_t176" style="position:absolute;left:0pt;margin-left:208.3pt;margin-top:18.8pt;height:166.45pt;width:259.65pt;z-index:251660288;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qAOOPS4CAABfBAAADgAAAGRycy9lMm9Eb2MueG1srVRL&#10;jhMxEN0jcQfLe9LpRAHSSmeEJoQNgpEGDlBxu9OW/JPtpDs7WCHEggNwgdmxYgunGT63oOwOmczA&#10;Igu8cJc/9areq3LPzjolyZY7L4wuaT4YUsI1M5XQ65K+frV88JgSH0BXII3mJd1xT8/m9+/NWlvw&#10;kWmMrLgjCKJ90dqSNiHYIss8a7gCPzCWazysjVMQcOnWWeWgRXQls9Fw+DBrjausM4x7j7uL/pDu&#10;Ed0pgKauBeMLwzaK69CjOi4hICXfCOvpPGVb15yFl3XteSCypMg0pBmDoL2KczafQbF2YBvB9inA&#10;KSnc4aRAaAx6gFpAALJx4i8oJZgz3tRhwIzKeiJJEWSRD+9oc9mA5YkLSu3tQXT//2DZi+2FI6Iq&#10;6ZgSDQoL/v3L2x9XH64/fS3I9cfPv968//ntHW6QPKnVWl+g06W9cKhdXHk0I/Wudip+kRTpksK7&#10;g8K8C4Th5ng0fTSZTChheDbK8/E0n8QaZDfu1vnwjBtFolHSWpr2vAEXnsjAnYbAL/reSXLD9rkP&#10;vf8fv5iCN1JUSyFlWrj16lw6sgXsgWUa+5C3rklN2pJOJ6OYHWBj19hQaCqL4ni9TvFuefhj4GEa&#10;/wKOiS3AN30CCSFeg0IJZJSshkP1VFck7CwWQOO7ozEZxStKJMdnGq10M4CQp9xEQaWOQXh6BHuV&#10;bsoVrdCtOgSN5spUO+yDjXVi3aDqeSIST7DvUnn2byQ29vEa7eP/wv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KgDjj0uAgAAXwQAAA4AAAAAAAAAAQAgAAAAJw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法定代表人身份证背面复印件贴于此处</w:t>
                      </w:r>
                    </w:p>
                  </w:txbxContent>
                </v:textbox>
              </v:shape>
            </w:pict>
          </mc:Fallback>
        </mc:AlternateContent>
      </w:r>
      <w:r>
        <w:rPr>
          <w:color w:val="auto"/>
        </w:rPr>
        <mc:AlternateContent>
          <mc:Choice Requires="wps">
            <w:drawing>
              <wp:anchor distT="0" distB="0" distL="114300" distR="114300" simplePos="0" relativeHeight="251659264"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2" name="流程图: 可选过程 9"/>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法定代表人身份证正面复印件贴于此处</w:t>
                            </w:r>
                          </w:p>
                        </w:txbxContent>
                      </wps:txbx>
                      <wps:bodyPr upright="1"/>
                    </wps:wsp>
                  </a:graphicData>
                </a:graphic>
              </wp:anchor>
            </w:drawing>
          </mc:Choice>
          <mc:Fallback>
            <w:pict>
              <v:shape id="流程图: 可选过程 9" o:spid="_x0000_s1026" o:spt="176" type="#_x0000_t176" style="position:absolute;left:0pt;margin-left:-51.35pt;margin-top:18.8pt;height:166.45pt;width:259.65pt;z-index:251659264;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L3SkiItAgAAXgQAAA4AAABkcnMvZTJvRG9jLnhtbK1U&#10;y47TMBTdI/EPlvc0TUYFGjUdoSllg2CkgQ9wbSex5Jdst0l3sEKIBR/AD7BjxRa+Znj8BddOKJ2B&#10;RRdkkRw/7rn3HF9ncd4riXbceWF0hfPJFCOuqWFCNxV++WJ97yFGPhDNiDSaV3jPPT5f3r2z6GzJ&#10;C9MaybhDQKJ92dkKtyHYMss8bbkifmIs17BYG6dIgKFrMuZIB+xKZsV0ej/rjGPWGcq9h9nVsIhH&#10;RncKoalrQfnK0K3iOgysjksSQJJvhfV4maqta07D87r2PCBZYVAa0huSAN7Ed7ZckLJxxLaCjiWQ&#10;U0q4pUkRoSHpgWpFAkFbJ/6iUoI6400dJtSobBCSHAEV+fSWN1ctsTxpAau9PZju/x8tfba7dEiw&#10;ChcYaaLgwL99fv3947vrD19KdP3+089Xb398fQMTaB7N6qwvIebKXrpx5AFG5X3tVPyCJtQng/cH&#10;g3kfEIXJs2L+YDabYURhrcjzs3k+i6zZn3DrfHjCjUIRVLiWprtoiQuPZOBOk8Avh9ZJbpPdUx+G&#10;+N9xsQRvpGBrIWUauGZzIR3aEWiBdXrGlDe2SY26Cs9nRayOQF/X0E8AlQVvvG5SvhsR/ph4mp5/&#10;EcfCVsS3QwGJIW4jpRKgKKGWE/ZYMxT2FvzXcO1wLEZxhpHkcEsjSjsDEfKUnWCo1DEJT3dgdCke&#10;3nBcEYV+0wNphBvD9tAGW+tE04LreRISV6Dt0vGMVyT29fEY8PFvYf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gIJXNkAAAALAQAADwAAAAAAAAABACAAAAAiAAAAZHJzL2Rvd25yZXYueG1sUEsB&#10;AhQAFAAAAAgAh07iQL3SkiItAgAAXgQAAA4AAAAAAAAAAQAgAAAAKAEAAGRycy9lMm9Eb2MueG1s&#10;UEsFBgAAAAAGAAYAWQEAAMcFAAAAAA==&#10;">
                <v:fill on="t" focussize="0,0"/>
                <v:stroke color="#000000" joinstyle="miter"/>
                <v:imagedata o:title=""/>
                <o:lock v:ext="edit" aspectratio="f"/>
                <v:textbox>
                  <w:txbxContent>
                    <w:p>
                      <w:pPr>
                        <w:jc w:val="center"/>
                        <w:rPr>
                          <w:szCs w:val="21"/>
                        </w:rPr>
                      </w:pPr>
                      <w:r>
                        <w:rPr>
                          <w:rFonts w:hint="eastAsia"/>
                          <w:szCs w:val="21"/>
                        </w:rPr>
                        <w:t>法定代表人身份证正面复印件贴于此处</w:t>
                      </w:r>
                    </w:p>
                  </w:txbxContent>
                </v:textbox>
              </v:shape>
            </w:pict>
          </mc:Fallback>
        </mc:AlternateContent>
      </w: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spacing w:line="500" w:lineRule="exact"/>
        <w:rPr>
          <w:rFonts w:ascii="宋体" w:hAnsi="宋体"/>
          <w:color w:val="auto"/>
          <w:szCs w:val="21"/>
        </w:rPr>
      </w:pP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spacing w:line="440" w:lineRule="exact"/>
        <w:rPr>
          <w:rFonts w:ascii="宋体" w:hAnsi="宋体"/>
          <w:color w:val="auto"/>
          <w:szCs w:val="21"/>
        </w:rPr>
      </w:pPr>
      <w:r>
        <w:rPr>
          <w:rFonts w:ascii="宋体" w:hAnsi="宋体"/>
          <w:color w:val="auto"/>
          <w:szCs w:val="21"/>
        </w:rPr>
        <w:t xml:space="preserve">                          </w:t>
      </w:r>
    </w:p>
    <w:p>
      <w:pPr>
        <w:spacing w:line="440" w:lineRule="exact"/>
        <w:jc w:val="right"/>
        <w:rPr>
          <w:rFonts w:ascii="宋体" w:hAnsi="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olor w:val="auto"/>
          <w:szCs w:val="21"/>
          <w:u w:val="single"/>
        </w:rPr>
        <w:t xml:space="preserve">               </w:t>
      </w:r>
      <w:r>
        <w:rPr>
          <w:rFonts w:ascii="宋体" w:hAnsi="宋体"/>
          <w:color w:val="auto"/>
          <w:szCs w:val="21"/>
        </w:rPr>
        <w:t>（盖单位公章）</w:t>
      </w:r>
    </w:p>
    <w:p>
      <w:pPr>
        <w:spacing w:line="440" w:lineRule="exact"/>
        <w:ind w:firstLine="4305" w:firstLineChars="2050"/>
        <w:rPr>
          <w:rFonts w:ascii="宋体" w:hAnsi="宋体"/>
          <w:color w:val="auto"/>
          <w:szCs w:val="21"/>
        </w:rPr>
      </w:pPr>
    </w:p>
    <w:p>
      <w:pPr>
        <w:spacing w:line="440" w:lineRule="exact"/>
        <w:jc w:val="right"/>
        <w:rPr>
          <w:rFonts w:ascii="宋体" w:hAnsi="宋体"/>
          <w:color w:val="auto"/>
          <w:szCs w:val="21"/>
        </w:rPr>
      </w:pPr>
      <w:r>
        <w:rPr>
          <w:rFonts w:ascii="宋体" w:hAnsi="宋体"/>
          <w:color w:val="auto"/>
          <w:szCs w:val="21"/>
        </w:rPr>
        <w:t xml:space="preserve">                                         </w:t>
      </w:r>
      <w:r>
        <w:rPr>
          <w:rFonts w:hint="eastAsia" w:ascii="宋体" w:hAnsi="宋体"/>
          <w:color w:val="auto"/>
        </w:rPr>
        <w:t>日期：</w:t>
      </w:r>
      <w:r>
        <w:rPr>
          <w:rFonts w:ascii="宋体" w:hAnsi="宋体"/>
          <w:color w:val="auto"/>
        </w:rPr>
        <w:t>XX年XX月XX日</w:t>
      </w:r>
    </w:p>
    <w:p>
      <w:pPr>
        <w:topLinePunct/>
        <w:spacing w:line="440" w:lineRule="exact"/>
        <w:ind w:left="422"/>
        <w:jc w:val="left"/>
        <w:rPr>
          <w:rFonts w:ascii="宋体" w:hAnsi="宋体"/>
          <w:color w:val="auto"/>
        </w:rPr>
      </w:pPr>
    </w:p>
    <w:p>
      <w:pPr>
        <w:pStyle w:val="31"/>
        <w:ind w:left="0" w:leftChars="0" w:firstLine="0" w:firstLineChars="0"/>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544" w:name="_Toc5243"/>
      <w:bookmarkStart w:id="545" w:name="_Toc29191"/>
      <w:bookmarkStart w:id="546" w:name="_Toc56432235"/>
      <w:bookmarkStart w:id="547" w:name="_Toc438052122"/>
      <w:bookmarkStart w:id="548" w:name="_Toc475472675"/>
      <w:bookmarkStart w:id="549" w:name="_Toc1651900"/>
      <w:bookmarkStart w:id="550" w:name="_Toc28517"/>
    </w:p>
    <w:p>
      <w:pPr>
        <w:pStyle w:val="36"/>
        <w:numPr>
          <w:ilvl w:val="0"/>
          <w:numId w:val="17"/>
        </w:numPr>
        <w:tabs>
          <w:tab w:val="left" w:pos="588"/>
        </w:tabs>
        <w:snapToGrid w:val="0"/>
        <w:spacing w:before="120" w:after="120" w:line="440" w:lineRule="exact"/>
        <w:jc w:val="left"/>
        <w:rPr>
          <w:rFonts w:ascii="宋体" w:hAnsi="宋体"/>
          <w:color w:val="auto"/>
          <w:sz w:val="24"/>
          <w:szCs w:val="24"/>
        </w:rPr>
      </w:pPr>
      <w:bookmarkStart w:id="551" w:name="_Toc29486"/>
      <w:r>
        <w:rPr>
          <w:rFonts w:ascii="宋体" w:hAnsi="宋体"/>
          <w:color w:val="auto"/>
          <w:sz w:val="24"/>
          <w:szCs w:val="24"/>
        </w:rPr>
        <w:t>法定代表人</w:t>
      </w:r>
      <w:r>
        <w:rPr>
          <w:rFonts w:hint="eastAsia" w:ascii="宋体" w:hAnsi="宋体"/>
          <w:color w:val="auto"/>
          <w:sz w:val="24"/>
          <w:szCs w:val="24"/>
        </w:rPr>
        <w:t>（负责人）</w:t>
      </w:r>
      <w:r>
        <w:rPr>
          <w:rFonts w:ascii="宋体" w:hAnsi="宋体"/>
          <w:color w:val="auto"/>
          <w:sz w:val="24"/>
          <w:szCs w:val="24"/>
        </w:rPr>
        <w:t>授权委托书</w:t>
      </w:r>
      <w:bookmarkEnd w:id="544"/>
      <w:bookmarkEnd w:id="545"/>
      <w:bookmarkEnd w:id="546"/>
      <w:bookmarkEnd w:id="547"/>
      <w:bookmarkEnd w:id="548"/>
      <w:bookmarkEnd w:id="549"/>
      <w:bookmarkEnd w:id="550"/>
      <w:bookmarkEnd w:id="551"/>
    </w:p>
    <w:p>
      <w:pPr>
        <w:jc w:val="center"/>
        <w:rPr>
          <w:rFonts w:ascii="宋体" w:hAnsi="宋体" w:cs="宋体"/>
          <w:b/>
          <w:color w:val="auto"/>
          <w:sz w:val="24"/>
        </w:rPr>
      </w:pPr>
      <w:r>
        <w:rPr>
          <w:rFonts w:hint="eastAsia" w:ascii="宋体" w:hAnsi="宋体" w:cs="宋体"/>
          <w:b/>
          <w:color w:val="auto"/>
          <w:sz w:val="24"/>
        </w:rPr>
        <w:t>法定代表人（负责人）授权委托书</w:t>
      </w:r>
    </w:p>
    <w:p>
      <w:pPr>
        <w:jc w:val="center"/>
        <w:rPr>
          <w:rFonts w:ascii="宋体" w:hAnsi="宋体" w:cs="宋体"/>
          <w:b/>
          <w:color w:val="auto"/>
          <w:sz w:val="24"/>
        </w:rPr>
      </w:pPr>
    </w:p>
    <w:p>
      <w:pPr>
        <w:topLinePunct/>
        <w:snapToGrid w:val="0"/>
        <w:spacing w:line="440" w:lineRule="exact"/>
        <w:ind w:firstLine="420" w:firstLineChars="200"/>
        <w:rPr>
          <w:rFonts w:ascii="宋体" w:hAnsi="宋体"/>
          <w:bCs/>
          <w:color w:val="auto"/>
          <w:szCs w:val="21"/>
        </w:rPr>
      </w:pPr>
      <w:r>
        <w:rPr>
          <w:rFonts w:ascii="宋体" w:hAnsi="宋体"/>
          <w:bCs/>
          <w:color w:val="auto"/>
          <w:szCs w:val="21"/>
        </w:rPr>
        <w:t>本人</w:t>
      </w:r>
      <w:r>
        <w:rPr>
          <w:rFonts w:ascii="宋体" w:hAnsi="宋体"/>
          <w:color w:val="auto"/>
          <w:u w:val="single"/>
        </w:rPr>
        <w:t>XX</w:t>
      </w:r>
      <w:r>
        <w:rPr>
          <w:rFonts w:ascii="宋体" w:hAnsi="宋体"/>
          <w:color w:val="auto"/>
          <w:szCs w:val="21"/>
          <w:u w:val="single"/>
        </w:rPr>
        <w:t xml:space="preserve"> [投标人法定代表人（负责人）姓名]</w:t>
      </w:r>
      <w:r>
        <w:rPr>
          <w:rFonts w:ascii="宋体" w:hAnsi="宋体"/>
          <w:bCs/>
          <w:color w:val="auto"/>
          <w:szCs w:val="21"/>
        </w:rPr>
        <w:t xml:space="preserve">系 </w:t>
      </w:r>
      <w:r>
        <w:rPr>
          <w:rFonts w:ascii="宋体" w:hAnsi="宋体"/>
          <w:color w:val="auto"/>
          <w:u w:val="single"/>
        </w:rPr>
        <w:t>XX公司</w:t>
      </w:r>
      <w:r>
        <w:rPr>
          <w:rFonts w:ascii="宋体" w:hAnsi="宋体"/>
          <w:color w:val="auto"/>
          <w:szCs w:val="21"/>
          <w:u w:val="single"/>
        </w:rPr>
        <w:t>[投标人名称]</w:t>
      </w:r>
      <w:r>
        <w:rPr>
          <w:rFonts w:ascii="宋体" w:hAnsi="宋体"/>
          <w:bCs/>
          <w:color w:val="auto"/>
          <w:szCs w:val="21"/>
        </w:rPr>
        <w:t>的法定代表人，现委托</w:t>
      </w:r>
      <w:r>
        <w:rPr>
          <w:rFonts w:ascii="宋体" w:hAnsi="宋体"/>
          <w:color w:val="auto"/>
          <w:u w:val="single"/>
        </w:rPr>
        <w:t>XX</w:t>
      </w:r>
      <w:r>
        <w:rPr>
          <w:rFonts w:ascii="宋体" w:hAnsi="宋体"/>
          <w:color w:val="auto"/>
          <w:szCs w:val="21"/>
          <w:u w:val="single"/>
        </w:rPr>
        <w:t xml:space="preserve"> [委托代理人姓名]</w:t>
      </w:r>
      <w:r>
        <w:rPr>
          <w:rFonts w:ascii="宋体" w:hAnsi="宋体"/>
          <w:bCs/>
          <w:color w:val="auto"/>
          <w:szCs w:val="21"/>
        </w:rPr>
        <w:t>为我方代理人。代理人根据授权，以我方名义</w:t>
      </w:r>
      <w:r>
        <w:rPr>
          <w:rFonts w:hint="eastAsia" w:ascii="宋体" w:hAnsi="宋体"/>
          <w:bCs/>
          <w:color w:val="auto"/>
          <w:szCs w:val="21"/>
        </w:rPr>
        <w:t>全权处理</w:t>
      </w:r>
      <w:r>
        <w:rPr>
          <w:rFonts w:ascii="宋体" w:hAnsi="宋体"/>
          <w:color w:val="auto"/>
          <w:u w:val="single"/>
        </w:rPr>
        <w:t>XX</w:t>
      </w:r>
      <w:r>
        <w:rPr>
          <w:rFonts w:hint="eastAsia" w:ascii="宋体" w:hAnsi="宋体"/>
          <w:color w:val="auto"/>
          <w:szCs w:val="21"/>
          <w:u w:val="single"/>
        </w:rPr>
        <w:t>项目</w:t>
      </w:r>
      <w:r>
        <w:rPr>
          <w:rFonts w:ascii="宋体" w:hAnsi="宋体"/>
          <w:color w:val="auto"/>
          <w:szCs w:val="21"/>
          <w:u w:val="single"/>
        </w:rPr>
        <w:t>[</w:t>
      </w:r>
      <w:r>
        <w:rPr>
          <w:rFonts w:ascii="宋体" w:hAnsi="宋体"/>
          <w:bCs/>
          <w:color w:val="auto"/>
          <w:szCs w:val="21"/>
          <w:u w:val="single"/>
        </w:rPr>
        <w:t>招标项目名称</w:t>
      </w:r>
      <w:r>
        <w:rPr>
          <w:rFonts w:ascii="宋体" w:hAnsi="宋体"/>
          <w:color w:val="auto"/>
          <w:szCs w:val="21"/>
          <w:u w:val="single"/>
        </w:rPr>
        <w:t>]</w:t>
      </w:r>
      <w:r>
        <w:rPr>
          <w:rFonts w:ascii="宋体" w:hAnsi="宋体"/>
          <w:bCs/>
          <w:color w:val="auto"/>
          <w:szCs w:val="21"/>
          <w:u w:val="single"/>
        </w:rPr>
        <w:t>签署、澄清</w:t>
      </w:r>
      <w:r>
        <w:rPr>
          <w:rFonts w:hint="eastAsia" w:ascii="宋体" w:hAnsi="宋体"/>
          <w:bCs/>
          <w:color w:val="auto"/>
          <w:szCs w:val="21"/>
          <w:u w:val="single"/>
        </w:rPr>
        <w:t>、说明、补正</w:t>
      </w:r>
      <w:r>
        <w:rPr>
          <w:rFonts w:ascii="宋体" w:hAnsi="宋体"/>
          <w:bCs/>
          <w:color w:val="auto"/>
          <w:szCs w:val="21"/>
          <w:u w:val="single"/>
        </w:rPr>
        <w:t>、递交、撤回、修改</w:t>
      </w:r>
      <w:r>
        <w:rPr>
          <w:rFonts w:hint="eastAsia" w:ascii="宋体" w:hAnsi="宋体"/>
          <w:bCs/>
          <w:color w:val="auto"/>
          <w:szCs w:val="21"/>
          <w:u w:val="single"/>
        </w:rPr>
        <w:t>投标</w:t>
      </w:r>
      <w:r>
        <w:rPr>
          <w:rFonts w:ascii="宋体" w:hAnsi="宋体"/>
          <w:bCs/>
          <w:color w:val="auto"/>
          <w:szCs w:val="21"/>
          <w:u w:val="single"/>
        </w:rPr>
        <w:t>文件</w:t>
      </w:r>
      <w:r>
        <w:rPr>
          <w:rFonts w:hint="eastAsia" w:ascii="宋体" w:hAnsi="宋体"/>
          <w:bCs/>
          <w:color w:val="auto"/>
          <w:szCs w:val="21"/>
          <w:u w:val="single"/>
        </w:rPr>
        <w:t>，</w:t>
      </w:r>
      <w:r>
        <w:rPr>
          <w:rFonts w:ascii="宋体" w:hAnsi="宋体"/>
          <w:bCs/>
          <w:color w:val="auto"/>
          <w:szCs w:val="21"/>
          <w:u w:val="single"/>
        </w:rPr>
        <w:t>签订合同和处理</w:t>
      </w:r>
      <w:r>
        <w:rPr>
          <w:rFonts w:hint="eastAsia" w:ascii="宋体" w:hAnsi="宋体"/>
          <w:bCs/>
          <w:color w:val="auto"/>
          <w:szCs w:val="21"/>
          <w:u w:val="single"/>
        </w:rPr>
        <w:t>一切</w:t>
      </w:r>
      <w:r>
        <w:rPr>
          <w:rFonts w:ascii="宋体" w:hAnsi="宋体"/>
          <w:bCs/>
          <w:color w:val="auto"/>
          <w:szCs w:val="21"/>
          <w:u w:val="single"/>
        </w:rPr>
        <w:t>有关事宜</w:t>
      </w:r>
      <w:r>
        <w:rPr>
          <w:rFonts w:ascii="宋体" w:hAnsi="宋体"/>
          <w:bCs/>
          <w:color w:val="auto"/>
          <w:szCs w:val="21"/>
        </w:rPr>
        <w:t xml:space="preserve">，其法律后果由我方承担。 </w:t>
      </w:r>
    </w:p>
    <w:p>
      <w:pPr>
        <w:topLinePunct/>
        <w:snapToGrid w:val="0"/>
        <w:spacing w:line="440" w:lineRule="exact"/>
        <w:ind w:firstLine="420" w:firstLineChars="200"/>
        <w:rPr>
          <w:rFonts w:ascii="宋体" w:hAnsi="宋体"/>
          <w:bCs/>
          <w:color w:val="auto"/>
          <w:szCs w:val="21"/>
        </w:rPr>
      </w:pPr>
      <w:r>
        <w:rPr>
          <w:rFonts w:hint="eastAsia" w:ascii="宋体" w:hAnsi="宋体"/>
          <w:bCs/>
          <w:color w:val="auto"/>
          <w:szCs w:val="21"/>
        </w:rPr>
        <w:t>委托</w:t>
      </w:r>
      <w:r>
        <w:rPr>
          <w:rFonts w:ascii="宋体" w:hAnsi="宋体"/>
          <w:bCs/>
          <w:color w:val="auto"/>
          <w:szCs w:val="21"/>
        </w:rPr>
        <w:t>代理人无转委托权。</w:t>
      </w:r>
    </w:p>
    <w:p>
      <w:pPr>
        <w:spacing w:line="440" w:lineRule="exact"/>
        <w:ind w:firstLine="420" w:firstLineChars="200"/>
        <w:rPr>
          <w:rFonts w:ascii="宋体" w:hAnsi="宋体"/>
          <w:color w:val="auto"/>
          <w:szCs w:val="21"/>
        </w:rPr>
      </w:pPr>
      <w:r>
        <w:rPr>
          <w:rFonts w:hint="eastAsia" w:ascii="宋体" w:hAnsi="宋体"/>
          <w:bCs/>
          <w:color w:val="auto"/>
          <w:szCs w:val="21"/>
        </w:rPr>
        <w:t>附：委托代理人身份证复印件</w:t>
      </w:r>
      <w:r>
        <w:rPr>
          <w:rFonts w:ascii="宋体" w:hAnsi="宋体"/>
          <w:bCs/>
          <w:color w:val="auto"/>
          <w:szCs w:val="21"/>
        </w:rPr>
        <w:t>(需同时提供正面及背面)</w:t>
      </w:r>
    </w:p>
    <w:p>
      <w:pPr>
        <w:topLinePunct/>
        <w:snapToGrid w:val="0"/>
        <w:spacing w:line="440" w:lineRule="exact"/>
        <w:ind w:firstLine="420" w:firstLineChars="200"/>
        <w:jc w:val="right"/>
        <w:rPr>
          <w:rFonts w:ascii="宋体" w:hAnsi="宋体"/>
          <w:bCs/>
          <w:color w:val="auto"/>
          <w:szCs w:val="21"/>
        </w:rPr>
      </w:pPr>
      <w:r>
        <w:rPr>
          <w:rFonts w:ascii="宋体" w:hAnsi="宋体"/>
          <w:bCs/>
          <w:color w:val="auto"/>
          <w:szCs w:val="21"/>
        </w:rPr>
        <w:t xml:space="preserve"> </w:t>
      </w:r>
    </w:p>
    <w:p>
      <w:pPr>
        <w:topLinePunct/>
        <w:snapToGrid w:val="0"/>
        <w:spacing w:line="440" w:lineRule="exact"/>
        <w:ind w:firstLine="420" w:firstLineChars="200"/>
        <w:jc w:val="right"/>
        <w:rPr>
          <w:rFonts w:ascii="宋体" w:hAnsi="宋体"/>
          <w:bCs/>
          <w:color w:val="auto"/>
          <w:szCs w:val="21"/>
        </w:rPr>
      </w:pPr>
      <w:r>
        <w:rPr>
          <w:rFonts w:ascii="宋体" w:hAnsi="宋体"/>
          <w:bCs/>
          <w:color w:val="auto"/>
          <w:szCs w:val="21"/>
        </w:rPr>
        <w:t>投标人</w:t>
      </w:r>
      <w:r>
        <w:rPr>
          <w:rFonts w:hint="eastAsia" w:ascii="宋体" w:hAnsi="宋体"/>
          <w:bCs/>
          <w:color w:val="auto"/>
          <w:szCs w:val="21"/>
        </w:rPr>
        <w:t>名称</w:t>
      </w:r>
      <w:r>
        <w:rPr>
          <w:rFonts w:ascii="宋体" w:hAnsi="宋体"/>
          <w:bCs/>
          <w:color w:val="auto"/>
          <w:szCs w:val="21"/>
        </w:rPr>
        <w:t>：</w:t>
      </w:r>
      <w:r>
        <w:rPr>
          <w:rFonts w:ascii="宋体" w:hAnsi="宋体"/>
          <w:bCs/>
          <w:color w:val="auto"/>
          <w:szCs w:val="21"/>
          <w:u w:val="single"/>
        </w:rPr>
        <w:t xml:space="preserve">                               </w:t>
      </w:r>
      <w:r>
        <w:rPr>
          <w:rFonts w:ascii="宋体" w:hAnsi="宋体"/>
          <w:bCs/>
          <w:color w:val="auto"/>
          <w:szCs w:val="21"/>
        </w:rPr>
        <w:t>（盖单位公章）</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法定代表人</w:t>
      </w:r>
      <w:r>
        <w:rPr>
          <w:rFonts w:hint="eastAsia" w:ascii="宋体" w:hAnsi="宋体"/>
          <w:bCs/>
          <w:color w:val="auto"/>
          <w:szCs w:val="21"/>
        </w:rPr>
        <w:t>（负责人）</w:t>
      </w:r>
      <w:r>
        <w:rPr>
          <w:rFonts w:ascii="宋体" w:hAnsi="宋体"/>
          <w:bCs/>
          <w:color w:val="auto"/>
          <w:szCs w:val="21"/>
        </w:rPr>
        <w:t>：</w:t>
      </w:r>
      <w:r>
        <w:rPr>
          <w:rFonts w:ascii="宋体" w:hAnsi="宋体"/>
          <w:bCs/>
          <w:color w:val="auto"/>
          <w:szCs w:val="21"/>
          <w:u w:val="single"/>
        </w:rPr>
        <w:t xml:space="preserve">                    </w:t>
      </w:r>
      <w:r>
        <w:rPr>
          <w:rFonts w:ascii="宋体" w:hAnsi="宋体"/>
          <w:bCs/>
          <w:color w:val="auto"/>
          <w:szCs w:val="21"/>
        </w:rPr>
        <w:t>（签字</w:t>
      </w:r>
      <w:r>
        <w:rPr>
          <w:rFonts w:hint="eastAsia" w:ascii="宋体" w:hAnsi="宋体"/>
          <w:bCs/>
          <w:color w:val="auto"/>
          <w:szCs w:val="21"/>
        </w:rPr>
        <w:t>或盖章</w:t>
      </w:r>
      <w:r>
        <w:rPr>
          <w:rFonts w:ascii="宋体" w:hAnsi="宋体"/>
          <w:bCs/>
          <w:color w:val="auto"/>
          <w:szCs w:val="21"/>
        </w:rPr>
        <w:t>）</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身份证号码：</w:t>
      </w:r>
      <w:r>
        <w:rPr>
          <w:rFonts w:ascii="宋体" w:hAnsi="宋体"/>
          <w:bCs/>
          <w:color w:val="auto"/>
          <w:szCs w:val="21"/>
          <w:u w:val="single"/>
        </w:rPr>
        <w:t xml:space="preserve">                                </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委托代理人：</w:t>
      </w:r>
      <w:r>
        <w:rPr>
          <w:rFonts w:ascii="宋体" w:hAnsi="宋体"/>
          <w:bCs/>
          <w:color w:val="auto"/>
          <w:szCs w:val="21"/>
          <w:u w:val="single"/>
        </w:rPr>
        <w:t xml:space="preserve">                              </w:t>
      </w:r>
      <w:r>
        <w:rPr>
          <w:rFonts w:ascii="宋体" w:hAnsi="宋体"/>
          <w:bCs/>
          <w:color w:val="auto"/>
          <w:szCs w:val="21"/>
        </w:rPr>
        <w:t>（签字</w:t>
      </w:r>
      <w:r>
        <w:rPr>
          <w:rFonts w:hint="eastAsia" w:ascii="宋体" w:hAnsi="宋体"/>
          <w:bCs/>
          <w:color w:val="auto"/>
          <w:szCs w:val="21"/>
        </w:rPr>
        <w:t>或盖章</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rPr>
      </w:pPr>
      <w:r>
        <w:rPr>
          <w:rFonts w:ascii="宋体" w:hAnsi="宋体"/>
          <w:bCs/>
          <w:color w:val="auto"/>
          <w:szCs w:val="21"/>
        </w:rPr>
        <w:t>身份证号码：</w:t>
      </w:r>
      <w:r>
        <w:rPr>
          <w:rFonts w:ascii="宋体" w:hAnsi="宋体"/>
          <w:bCs/>
          <w:color w:val="auto"/>
          <w:szCs w:val="21"/>
          <w:u w:val="single"/>
        </w:rPr>
        <w:t xml:space="preserve">                               </w:t>
      </w:r>
      <w:r>
        <w:rPr>
          <w:rFonts w:ascii="宋体" w:hAnsi="宋体"/>
          <w:bCs/>
          <w:color w:val="auto"/>
          <w:szCs w:val="21"/>
        </w:rPr>
        <w:t xml:space="preserve">      </w:t>
      </w:r>
    </w:p>
    <w:p>
      <w:pPr>
        <w:topLinePunct/>
        <w:snapToGrid w:val="0"/>
        <w:spacing w:line="440" w:lineRule="exact"/>
        <w:ind w:firstLine="2310" w:firstLineChars="1100"/>
        <w:rPr>
          <w:rFonts w:ascii="宋体" w:hAnsi="宋体"/>
          <w:bCs/>
          <w:color w:val="auto"/>
          <w:szCs w:val="21"/>
          <w:u w:val="single"/>
        </w:rPr>
      </w:pPr>
      <w:r>
        <w:rPr>
          <w:rFonts w:hint="eastAsia" w:ascii="宋体" w:hAnsi="宋体"/>
          <w:bCs/>
          <w:color w:val="auto"/>
          <w:szCs w:val="21"/>
        </w:rPr>
        <w:t>联系方式（手机）：</w:t>
      </w:r>
      <w:r>
        <w:rPr>
          <w:rFonts w:ascii="宋体" w:hAnsi="宋体"/>
          <w:bCs/>
          <w:color w:val="auto"/>
          <w:szCs w:val="21"/>
          <w:u w:val="single"/>
        </w:rPr>
        <w:t xml:space="preserve">                     </w:t>
      </w:r>
    </w:p>
    <w:p>
      <w:pPr>
        <w:topLinePunct/>
        <w:snapToGrid w:val="0"/>
        <w:spacing w:line="440" w:lineRule="exact"/>
        <w:ind w:firstLine="420" w:firstLineChars="200"/>
        <w:rPr>
          <w:rFonts w:ascii="宋体" w:hAnsi="宋体"/>
          <w:color w:val="auto"/>
        </w:rPr>
      </w:pPr>
      <w:r>
        <w:rPr>
          <w:rFonts w:ascii="宋体" w:hAnsi="宋体"/>
          <w:bCs/>
          <w:color w:val="auto"/>
          <w:szCs w:val="21"/>
        </w:rPr>
        <w:t xml:space="preserve">                  </w:t>
      </w:r>
      <w:r>
        <w:rPr>
          <w:rFonts w:hint="eastAsia" w:ascii="宋体" w:hAnsi="宋体"/>
          <w:color w:val="auto"/>
        </w:rPr>
        <w:t>日期：</w:t>
      </w:r>
      <w:r>
        <w:rPr>
          <w:rFonts w:ascii="宋体" w:hAnsi="宋体"/>
          <w:color w:val="auto"/>
        </w:rPr>
        <w:t>XX年XX月XX日</w:t>
      </w:r>
    </w:p>
    <w:p>
      <w:pPr>
        <w:spacing w:line="500" w:lineRule="exact"/>
        <w:rPr>
          <w:rFonts w:ascii="宋体" w:hAnsi="宋体"/>
          <w:color w:val="auto"/>
          <w:szCs w:val="21"/>
        </w:rPr>
      </w:pPr>
      <w:r>
        <w:rPr>
          <w:color w:val="auto"/>
        </w:rPr>
        <mc:AlternateContent>
          <mc:Choice Requires="wps">
            <w:drawing>
              <wp:anchor distT="0" distB="0" distL="114300" distR="114300" simplePos="0" relativeHeight="251662336" behindDoc="0" locked="0" layoutInCell="1" allowOverlap="1">
                <wp:simplePos x="0" y="0"/>
                <wp:positionH relativeFrom="column">
                  <wp:posOffset>2645410</wp:posOffset>
                </wp:positionH>
                <wp:positionV relativeFrom="paragraph">
                  <wp:posOffset>238760</wp:posOffset>
                </wp:positionV>
                <wp:extent cx="3297555" cy="2113915"/>
                <wp:effectExtent l="6350" t="6350" r="23495" b="13335"/>
                <wp:wrapNone/>
                <wp:docPr id="5" name="流程图: 可选过程 8"/>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流程图: 可选过程 8" o:spid="_x0000_s1026" o:spt="176" type="#_x0000_t176" style="position:absolute;left:0pt;margin-left:208.3pt;margin-top:18.8pt;height:166.45pt;width:259.65pt;z-index:251662336;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4dgyC0CAABeBAAADgAAAGRycy9lMm9Eb2MueG1srVTL&#10;jtMwFN0j8Q+W9zRNR4Vp1HSEppQNgkoDH+DaTmLJL9luk+5ghRALPoAfmB0rtvA1w+MvuHZC6Qws&#10;uiCL5Phxz73n+Drzi05JtOPOC6NLnI/GGHFNDRO6LvGrl6sH5xj5QDQj0mhe4j33+GJx/968tQWf&#10;mMZIxh0CEu2L1pa4CcEWWeZpwxXxI2O5hsXKOEUCDF2dMUdaYFcym4zHD7PWOGadodx7mF32i3hg&#10;dKcQmqoSlC8N3SquQ8/quCQBJPlGWI8Xqdqq4jS8qCrPA5IlBqUhvSEJ4E18Z4s5KWpHbCPoUAI5&#10;pYQ7mhQRGpIeqJYkELR14i8qJagz3lRhRI3KeiHJEVCRj+94c9UQy5MWsNrbg+n+/9HS57u1Q4KV&#10;eIqRJgoO/NvnN9+v3998/FKgmw+ffr5+9+PrW5hA59Gs1voCYq7s2g0jDzAq7yqn4hc0oS4ZvD8Y&#10;zLuAKEyeTWaPplPIRGFtkudns3waWbM/4db58JQbhSIocSVNe9kQFx7LwJ0mga/71kluk90zH/r4&#10;33GxBG+kYCshZRq4enMpHdoRaIFVeoaUt7ZJjdoSz6aTWB2Bvq6gnwAqC954Xad8tyL8MfE4Pf8i&#10;joUtiW/6AhJD3EYKJUBRQg0n7IlmKOwt+K/h2uFYjOIMI8nhlkaUdgYi5Ck7wVCpYxKe7sDgUjy8&#10;/rgiCt2mA9IIN4btoQ221om6AdfzJCSuQNul4xmuSOzr4zHg49/C4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AAiX42AAAAAoBAAAPAAAAAAAAAAEAIAAAACIAAABkcnMvZG93bnJldi54bWxQSwEC&#10;FAAUAAAACACHTuJAS4dgyC0CAABeBAAADgAAAAAAAAABACAAAAAnAQAAZHJzL2Uyb0RvYy54bWxQ&#10;SwUGAAAAAAYABgBZAQAAxgUAAAAA&#10;">
                <v:fill on="t" focussize="0,0"/>
                <v:stroke color="#000000" joinstyle="miter"/>
                <v:imagedata o:title=""/>
                <o:lock v:ext="edit" aspectratio="f"/>
                <v:textbox>
                  <w:txbxContent>
                    <w:p>
                      <w:pPr>
                        <w:jc w:val="center"/>
                        <w:rPr>
                          <w:szCs w:val="21"/>
                        </w:rPr>
                      </w:pPr>
                      <w:r>
                        <w:rPr>
                          <w:rFonts w:hint="eastAsia"/>
                          <w:szCs w:val="21"/>
                        </w:rPr>
                        <w:t>委托代理人身份证背面复印件贴于此处</w:t>
                      </w:r>
                    </w:p>
                  </w:txbxContent>
                </v:textbox>
              </v:shape>
            </w:pict>
          </mc:Fallback>
        </mc:AlternateContent>
      </w:r>
      <w:r>
        <w:rPr>
          <w:color w:val="auto"/>
        </w:rPr>
        <mc:AlternateContent>
          <mc:Choice Requires="wps">
            <w:drawing>
              <wp:anchor distT="0" distB="0" distL="114300" distR="114300" simplePos="0" relativeHeight="251661312" behindDoc="0" locked="0" layoutInCell="1" allowOverlap="1">
                <wp:simplePos x="0" y="0"/>
                <wp:positionH relativeFrom="column">
                  <wp:posOffset>-652145</wp:posOffset>
                </wp:positionH>
                <wp:positionV relativeFrom="paragraph">
                  <wp:posOffset>238760</wp:posOffset>
                </wp:positionV>
                <wp:extent cx="3297555" cy="2113915"/>
                <wp:effectExtent l="6350" t="6350" r="23495" b="13335"/>
                <wp:wrapNone/>
                <wp:docPr id="4" name="流程图: 可选过程 7"/>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r>
                              <w:rPr>
                                <w:rFonts w:hint="eastAsia"/>
                                <w:szCs w:val="21"/>
                              </w:rPr>
                              <w:t>委托代理人身份证正面复印件贴于此处</w:t>
                            </w:r>
                          </w:p>
                          <w:p>
                            <w:pPr>
                              <w:jc w:val="center"/>
                              <w:rPr>
                                <w:szCs w:val="21"/>
                              </w:rPr>
                            </w:pPr>
                          </w:p>
                        </w:txbxContent>
                      </wps:txbx>
                      <wps:bodyPr upright="1"/>
                    </wps:wsp>
                  </a:graphicData>
                </a:graphic>
              </wp:anchor>
            </w:drawing>
          </mc:Choice>
          <mc:Fallback>
            <w:pict>
              <v:shape id="流程图: 可选过程 7" o:spid="_x0000_s1026" o:spt="176" type="#_x0000_t176" style="position:absolute;left:0pt;margin-left:-51.35pt;margin-top:18.8pt;height:166.45pt;width:259.65pt;z-index:251661312;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D9HyScuAgAAXgQAAA4AAABkcnMvZTJvRG9jLnhtbK1U&#10;y47TMBTdI/EPlvc0TYcyNGo6QlPKBkGlgQ9wbSex5Jdst0l3sEKIBR/AD7BjxRa+Znj8BddOKJ2B&#10;RRdkkRw/7rn3HF9nftEpiXbceWF0ifPRGCOuqWFC1yV++WJ17yFGPhDNiDSal3jPPb5Y3L0zb23B&#10;J6YxknGHgET7orUlbkKwRZZ52nBF/MhYrmGxMk6RAENXZ8yRFtiVzCbj8YOsNY5ZZyj3HmaX/SIe&#10;GN0phKaqBOVLQ7eK69CzOi5JAEm+EdbjRaq2qjgNz6vK84BkiUFpSG9IAngT39liToraEdsIOpRA&#10;TinhliZFhIakB6olCQRtnfiLSgnqjDdVGFGjsl5IcgRU5ONb3lw1xPKkBaz29mC6/3+09Nlu7ZBg&#10;Jb6PkSYKDvzb59ffP767/vClQNfvP/189fbH1zcwgc6jWa31BcRc2bUbRh5gVN5VTsUvaEJdMnh/&#10;MJh3AVGYPJvMzqfTKUYU1iZ5fjbLp5E1+xNunQ9PuFEoghJX0rSXDXHhkQzcaRL4um+d5DbZPfWh&#10;j/8dF0vwRgq2ElKmgas3l9KhHYEWWKVnSHljm9SoLfFsOonVEejrCvoJoLLgjdd1yncjwh8Tj9Pz&#10;L+JY2JL4pi8gMcRtpFACFCXUcMIea4bC3oL/Gq4djsUozjCSHG5pRGlnIEKeshMMlTom4ekODC7F&#10;w+uPK6LQbTogjXBj2B7aYGudqBtwPU9C4gq0XTqe4YrEvj4eAz7+LSx+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A/R8knLgIAAF4EAAAOAAAAAAAAAAEAIAAAACgBAABkcnMvZTJvRG9jLnht&#10;bFBLBQYAAAAABgAGAFkBAADIBQAAAAA=&#10;">
                <v:fill on="t" focussize="0,0"/>
                <v:stroke color="#000000" joinstyle="miter"/>
                <v:imagedata o:title=""/>
                <o:lock v:ext="edit" aspectratio="f"/>
                <v:textbox>
                  <w:txbxContent>
                    <w:p>
                      <w:pPr>
                        <w:jc w:val="center"/>
                        <w:rPr>
                          <w:szCs w:val="21"/>
                        </w:rPr>
                      </w:pPr>
                      <w:r>
                        <w:rPr>
                          <w:rFonts w:hint="eastAsia"/>
                          <w:szCs w:val="21"/>
                        </w:rPr>
                        <w:t>委托代理人身份证正面复印件贴于此处</w:t>
                      </w:r>
                    </w:p>
                    <w:p>
                      <w:pPr>
                        <w:jc w:val="center"/>
                        <w:rPr>
                          <w:szCs w:val="21"/>
                        </w:rPr>
                      </w:pPr>
                    </w:p>
                  </w:txbxContent>
                </v:textbox>
              </v:shape>
            </w:pict>
          </mc:Fallback>
        </mc:AlternateContent>
      </w:r>
    </w:p>
    <w:p>
      <w:pPr>
        <w:spacing w:line="440" w:lineRule="exact"/>
        <w:rPr>
          <w:rFonts w:ascii="宋体" w:hAnsi="宋体"/>
          <w:color w:val="auto"/>
          <w:szCs w:val="21"/>
        </w:rPr>
      </w:pPr>
    </w:p>
    <w:p>
      <w:pPr>
        <w:spacing w:line="500" w:lineRule="exact"/>
        <w:rPr>
          <w:rFonts w:ascii="宋体" w:hAnsi="宋体"/>
          <w:color w:val="auto"/>
          <w:szCs w:val="21"/>
        </w:rPr>
      </w:pPr>
    </w:p>
    <w:p>
      <w:pPr>
        <w:spacing w:line="440" w:lineRule="exact"/>
        <w:rPr>
          <w:rFonts w:ascii="宋体" w:hAnsi="宋体"/>
          <w:color w:val="auto"/>
          <w:szCs w:val="21"/>
        </w:rPr>
      </w:pPr>
    </w:p>
    <w:p>
      <w:pPr>
        <w:topLinePunct/>
        <w:snapToGrid w:val="0"/>
        <w:spacing w:line="440" w:lineRule="exact"/>
        <w:rPr>
          <w:rFonts w:ascii="宋体" w:hAnsi="宋体"/>
          <w:color w:val="auto"/>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topLinePunct/>
        <w:snapToGrid w:val="0"/>
        <w:spacing w:line="440" w:lineRule="exact"/>
        <w:ind w:firstLine="420" w:firstLineChars="200"/>
        <w:rPr>
          <w:rFonts w:ascii="宋体" w:hAnsi="宋体"/>
          <w:bCs/>
          <w:color w:val="auto"/>
          <w:szCs w:val="21"/>
        </w:rPr>
      </w:pPr>
    </w:p>
    <w:p>
      <w:pPr>
        <w:pStyle w:val="2"/>
        <w:rPr>
          <w:rFonts w:ascii="宋体" w:hAnsi="宋体"/>
          <w:bCs/>
          <w:color w:val="auto"/>
          <w:szCs w:val="21"/>
        </w:rPr>
      </w:pPr>
    </w:p>
    <w:p>
      <w:pPr>
        <w:pStyle w:val="38"/>
        <w:rPr>
          <w:color w:val="auto"/>
        </w:rPr>
      </w:pPr>
    </w:p>
    <w:p>
      <w:pPr>
        <w:pStyle w:val="31"/>
        <w:ind w:left="0" w:leftChars="0" w:firstLine="0" w:firstLineChars="0"/>
        <w:rPr>
          <w:rFonts w:hint="default"/>
          <w:color w:va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36"/>
        <w:numPr>
          <w:ilvl w:val="0"/>
          <w:numId w:val="17"/>
        </w:numPr>
        <w:tabs>
          <w:tab w:val="left" w:pos="588"/>
        </w:tabs>
        <w:snapToGrid w:val="0"/>
        <w:spacing w:before="120" w:after="120" w:line="440" w:lineRule="exact"/>
        <w:jc w:val="left"/>
        <w:rPr>
          <w:rFonts w:ascii="宋体" w:hAnsi="宋体"/>
          <w:color w:val="auto"/>
          <w:sz w:val="24"/>
          <w:szCs w:val="24"/>
        </w:rPr>
      </w:pPr>
      <w:bookmarkStart w:id="552" w:name="_Toc5595"/>
      <w:bookmarkStart w:id="553" w:name="_Toc28231"/>
      <w:bookmarkStart w:id="554" w:name="_Toc5310"/>
      <w:bookmarkStart w:id="555" w:name="_Toc30915"/>
      <w:bookmarkStart w:id="556" w:name="_Toc56432236"/>
      <w:bookmarkStart w:id="557" w:name="_Toc1651901"/>
      <w:bookmarkStart w:id="558" w:name="_Toc475472676"/>
      <w:r>
        <w:rPr>
          <w:rFonts w:hint="eastAsia" w:ascii="宋体" w:hAnsi="宋体"/>
          <w:color w:val="auto"/>
          <w:sz w:val="24"/>
          <w:szCs w:val="24"/>
        </w:rPr>
        <w:t>资格审查资料</w:t>
      </w:r>
      <w:bookmarkEnd w:id="552"/>
      <w:bookmarkEnd w:id="553"/>
      <w:bookmarkEnd w:id="554"/>
      <w:bookmarkEnd w:id="555"/>
      <w:bookmarkEnd w:id="556"/>
      <w:bookmarkEnd w:id="557"/>
    </w:p>
    <w:p>
      <w:pPr>
        <w:rPr>
          <w:color w:val="auto"/>
        </w:rPr>
      </w:pPr>
      <w:r>
        <w:rPr>
          <w:rFonts w:hint="eastAsia" w:ascii="宋体" w:hAnsi="宋体"/>
          <w:b/>
          <w:color w:val="auto"/>
          <w:szCs w:val="21"/>
        </w:rPr>
        <w:t>注：按照招标公告“</w:t>
      </w:r>
      <w:r>
        <w:rPr>
          <w:rFonts w:ascii="宋体" w:hAnsi="宋体"/>
          <w:b/>
          <w:color w:val="auto"/>
          <w:szCs w:val="21"/>
        </w:rPr>
        <w:t>2.投标人资格要求”资质条件中提到的资格证明文件等相关材料，提供复印件等证明文件。</w:t>
      </w:r>
    </w:p>
    <w:p>
      <w:pPr>
        <w:pStyle w:val="36"/>
        <w:numPr>
          <w:ilvl w:val="1"/>
          <w:numId w:val="17"/>
        </w:numPr>
        <w:tabs>
          <w:tab w:val="left" w:pos="588"/>
        </w:tabs>
        <w:snapToGrid w:val="0"/>
        <w:spacing w:before="120" w:after="120" w:line="440" w:lineRule="exact"/>
        <w:ind w:hanging="992"/>
        <w:jc w:val="left"/>
        <w:rPr>
          <w:rFonts w:ascii="宋体" w:hAnsi="宋体"/>
          <w:color w:val="auto"/>
          <w:sz w:val="24"/>
          <w:szCs w:val="24"/>
        </w:rPr>
      </w:pPr>
      <w:bookmarkStart w:id="559" w:name="_Toc152042597"/>
      <w:bookmarkStart w:id="560" w:name="_Toc27906"/>
      <w:bookmarkStart w:id="561" w:name="_Toc246996373"/>
      <w:bookmarkStart w:id="562" w:name="_Toc56432237"/>
      <w:bookmarkStart w:id="563" w:name="_Toc1651902"/>
      <w:bookmarkStart w:id="564" w:name="_Toc179632828"/>
      <w:bookmarkStart w:id="565" w:name="_Toc334767003"/>
      <w:bookmarkStart w:id="566" w:name="_Toc10795"/>
      <w:bookmarkStart w:id="567" w:name="_Toc326223618"/>
      <w:bookmarkStart w:id="568" w:name="_Toc332188252"/>
      <w:bookmarkStart w:id="569" w:name="_Toc247085891"/>
      <w:bookmarkStart w:id="570" w:name="_Toc946"/>
      <w:bookmarkStart w:id="571" w:name="_Toc22845"/>
      <w:bookmarkStart w:id="572" w:name="_Toc152045808"/>
      <w:bookmarkStart w:id="573" w:name="_Toc246997116"/>
      <w:bookmarkStart w:id="574" w:name="_Toc144974876"/>
      <w:r>
        <w:rPr>
          <w:rFonts w:hint="eastAsia" w:ascii="宋体" w:hAnsi="宋体"/>
          <w:color w:val="auto"/>
          <w:sz w:val="24"/>
          <w:szCs w:val="24"/>
        </w:rPr>
        <w:t>投标人</w:t>
      </w:r>
      <w:r>
        <w:rPr>
          <w:rFonts w:ascii="宋体" w:hAnsi="宋体"/>
          <w:color w:val="auto"/>
          <w:sz w:val="24"/>
          <w:szCs w:val="24"/>
        </w:rPr>
        <w:t>基本情况表</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tbl>
      <w:tblPr>
        <w:tblStyle w:val="40"/>
        <w:tblW w:w="8565" w:type="dxa"/>
        <w:tblInd w:w="11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951"/>
        <w:gridCol w:w="840"/>
        <w:gridCol w:w="420"/>
        <w:gridCol w:w="311"/>
        <w:gridCol w:w="1078"/>
        <w:gridCol w:w="490"/>
        <w:gridCol w:w="1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申请人名称</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邮政编码</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话</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传</w:t>
            </w:r>
            <w:r>
              <w:rPr>
                <w:rFonts w:ascii="宋体" w:hAnsi="宋体"/>
                <w:color w:val="auto"/>
                <w:szCs w:val="21"/>
              </w:rPr>
              <w:t xml:space="preserve">  </w:t>
            </w:r>
            <w:r>
              <w:rPr>
                <w:rFonts w:hint="eastAsia" w:ascii="宋体" w:hAnsi="宋体"/>
                <w:color w:val="auto"/>
                <w:szCs w:val="21"/>
              </w:rPr>
              <w:t>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078"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网</w:t>
            </w:r>
            <w:r>
              <w:rPr>
                <w:rFonts w:ascii="宋体" w:hAnsi="宋体"/>
                <w:color w:val="auto"/>
                <w:szCs w:val="21"/>
              </w:rPr>
              <w:t xml:space="preserve"> </w:t>
            </w:r>
            <w:r>
              <w:rPr>
                <w:rFonts w:hint="eastAsia" w:ascii="宋体" w:hAnsi="宋体"/>
                <w:color w:val="auto"/>
                <w:szCs w:val="21"/>
              </w:rPr>
              <w:t>址</w:t>
            </w:r>
          </w:p>
        </w:tc>
        <w:tc>
          <w:tcPr>
            <w:tcW w:w="2342"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组织结构</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法定代表人（负责人）</w:t>
            </w:r>
          </w:p>
        </w:tc>
        <w:tc>
          <w:tcPr>
            <w:tcW w:w="89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姓名</w:t>
            </w:r>
          </w:p>
        </w:tc>
        <w:tc>
          <w:tcPr>
            <w:tcW w:w="2211"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1879" w:type="dxa"/>
            <w:gridSpan w:val="3"/>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电话</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成立时间</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4991" w:type="dxa"/>
            <w:gridSpan w:val="6"/>
            <w:tcBorders>
              <w:top w:val="single" w:color="auto" w:sz="4" w:space="0"/>
              <w:left w:val="single" w:color="auto" w:sz="4" w:space="0"/>
              <w:bottom w:val="single" w:color="auto" w:sz="4" w:space="0"/>
              <w:right w:val="single" w:color="auto" w:sz="4" w:space="0"/>
            </w:tcBorders>
            <w:vAlign w:val="center"/>
          </w:tcPr>
          <w:p>
            <w:pPr>
              <w:topLinePunct/>
              <w:spacing w:line="440" w:lineRule="exact"/>
              <w:ind w:firstLine="105" w:firstLineChars="50"/>
              <w:jc w:val="center"/>
              <w:rPr>
                <w:rFonts w:ascii="宋体" w:hAnsi="宋体"/>
                <w:color w:val="auto"/>
                <w:szCs w:val="21"/>
              </w:rPr>
            </w:pPr>
            <w:r>
              <w:rPr>
                <w:rFonts w:hint="eastAsia" w:ascii="宋体" w:hAnsi="宋体"/>
                <w:color w:val="auto"/>
                <w:szCs w:val="21"/>
              </w:rPr>
              <w:t>员工人数：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0"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p>
            <w:pPr>
              <w:topLinePunct/>
              <w:spacing w:line="440" w:lineRule="exact"/>
              <w:jc w:val="center"/>
              <w:rPr>
                <w:rFonts w:ascii="宋体" w:hAnsi="宋体"/>
                <w:color w:val="auto"/>
                <w:szCs w:val="21"/>
              </w:rPr>
            </w:pPr>
            <w:r>
              <w:rPr>
                <w:rFonts w:hint="eastAsia" w:ascii="宋体" w:hAnsi="宋体"/>
                <w:color w:val="auto"/>
                <w:szCs w:val="21"/>
              </w:rPr>
              <w:t>统一社会信用代码</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其中</w:t>
            </w: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高级职称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6" w:hRule="atLeast"/>
        </w:trPr>
        <w:tc>
          <w:tcPr>
            <w:tcW w:w="1726"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开户银行</w:t>
            </w:r>
          </w:p>
        </w:tc>
        <w:tc>
          <w:tcPr>
            <w:tcW w:w="1848" w:type="dxa"/>
            <w:gridSpan w:val="2"/>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299" w:type="dxa"/>
            <w:gridSpan w:val="4"/>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中级职称</w:t>
            </w:r>
          </w:p>
        </w:tc>
        <w:tc>
          <w:tcPr>
            <w:tcW w:w="1852" w:type="dxa"/>
            <w:tcBorders>
              <w:top w:val="single" w:color="auto" w:sz="4" w:space="0"/>
              <w:left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账号</w:t>
            </w:r>
          </w:p>
        </w:tc>
        <w:tc>
          <w:tcPr>
            <w:tcW w:w="1848"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auto"/>
                <w:szCs w:val="21"/>
              </w:rPr>
            </w:pPr>
          </w:p>
        </w:tc>
        <w:tc>
          <w:tcPr>
            <w:tcW w:w="2299"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rPr>
            </w:pPr>
            <w:r>
              <w:rPr>
                <w:rFonts w:hint="eastAsia" w:ascii="宋体" w:hAnsi="宋体"/>
                <w:color w:val="auto"/>
                <w:szCs w:val="21"/>
              </w:rPr>
              <w:t>初级职称</w:t>
            </w:r>
          </w:p>
        </w:tc>
        <w:tc>
          <w:tcPr>
            <w:tcW w:w="1852"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r>
              <w:rPr>
                <w:rFonts w:hint="eastAsia" w:ascii="宋体" w:hAnsi="宋体"/>
                <w:color w:val="auto"/>
                <w:szCs w:val="21"/>
              </w:rPr>
              <w:t>备注</w:t>
            </w:r>
          </w:p>
        </w:tc>
        <w:tc>
          <w:tcPr>
            <w:tcW w:w="6839" w:type="dxa"/>
            <w:gridSpan w:val="8"/>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宋体" w:hAnsi="宋体"/>
                <w:color w:val="auto"/>
                <w:szCs w:val="21"/>
              </w:rPr>
            </w:pPr>
          </w:p>
        </w:tc>
      </w:tr>
    </w:tbl>
    <w:p>
      <w:pPr>
        <w:pStyle w:val="78"/>
        <w:widowControl/>
        <w:ind w:left="425" w:firstLine="0" w:firstLineChars="0"/>
        <w:jc w:val="left"/>
        <w:rPr>
          <w:rFonts w:ascii="宋体" w:hAnsi="宋体"/>
          <w:color w:val="auto"/>
          <w:szCs w:val="21"/>
        </w:rPr>
      </w:pPr>
      <w:r>
        <w:rPr>
          <w:rFonts w:hint="eastAsia" w:ascii="宋体" w:hAnsi="宋体"/>
          <w:color w:val="auto"/>
          <w:szCs w:val="21"/>
        </w:rPr>
        <w:t>以上信息如没有的可以不填写</w:t>
      </w:r>
    </w:p>
    <w:p>
      <w:pPr>
        <w:widowControl/>
        <w:ind w:firstLine="210" w:firstLineChars="100"/>
        <w:jc w:val="left"/>
        <w:rPr>
          <w:rFonts w:hint="eastAsia" w:ascii="黑体" w:hAnsi="黑体"/>
          <w:color w:val="auto"/>
          <w:szCs w:val="28"/>
        </w:rPr>
      </w:pPr>
    </w:p>
    <w:p>
      <w:pPr>
        <w:widowControl/>
        <w:ind w:firstLine="210" w:firstLineChars="100"/>
        <w:jc w:val="left"/>
        <w:rPr>
          <w:rFonts w:ascii="宋体" w:hAnsi="宋体"/>
          <w:color w:val="auto"/>
          <w:szCs w:val="21"/>
        </w:rPr>
      </w:pPr>
      <w:r>
        <w:rPr>
          <w:rFonts w:ascii="宋体" w:hAnsi="宋体"/>
          <w:color w:val="auto"/>
          <w:szCs w:val="21"/>
        </w:rPr>
        <w:br w:type="page"/>
      </w:r>
    </w:p>
    <w:p>
      <w:pPr>
        <w:pStyle w:val="36"/>
        <w:numPr>
          <w:ilvl w:val="1"/>
          <w:numId w:val="17"/>
        </w:numPr>
        <w:tabs>
          <w:tab w:val="left" w:pos="588"/>
        </w:tabs>
        <w:snapToGrid w:val="0"/>
        <w:spacing w:before="120" w:after="120" w:line="440" w:lineRule="exact"/>
        <w:ind w:hanging="992"/>
        <w:jc w:val="left"/>
        <w:rPr>
          <w:rFonts w:ascii="宋体" w:hAnsi="宋体"/>
          <w:color w:val="auto"/>
          <w:sz w:val="24"/>
          <w:szCs w:val="24"/>
        </w:rPr>
      </w:pPr>
      <w:bookmarkStart w:id="575" w:name="_Toc56432238"/>
      <w:bookmarkStart w:id="576" w:name="_Toc8568"/>
      <w:bookmarkStart w:id="577" w:name="_Toc5638"/>
      <w:bookmarkStart w:id="578" w:name="_Toc8061"/>
      <w:bookmarkStart w:id="579" w:name="_Toc31689"/>
      <w:bookmarkStart w:id="580" w:name="_Toc34146941"/>
      <w:bookmarkStart w:id="581" w:name="_Toc1651903"/>
      <w:r>
        <w:rPr>
          <w:rFonts w:hint="eastAsia" w:ascii="宋体" w:hAnsi="宋体"/>
          <w:color w:val="auto"/>
          <w:sz w:val="24"/>
          <w:szCs w:val="24"/>
        </w:rPr>
        <w:t>资格要求材料</w:t>
      </w:r>
      <w:bookmarkEnd w:id="575"/>
      <w:bookmarkEnd w:id="576"/>
      <w:bookmarkEnd w:id="577"/>
      <w:bookmarkEnd w:id="578"/>
      <w:bookmarkEnd w:id="579"/>
    </w:p>
    <w:p>
      <w:pPr>
        <w:spacing w:line="400" w:lineRule="exact"/>
        <w:rPr>
          <w:rFonts w:ascii="宋体" w:hAnsi="宋体"/>
          <w:color w:val="auto"/>
          <w:szCs w:val="21"/>
        </w:rPr>
      </w:pPr>
      <w:r>
        <w:rPr>
          <w:rFonts w:hint="eastAsia" w:ascii="宋体" w:hAnsi="宋体"/>
          <w:color w:val="auto"/>
          <w:szCs w:val="21"/>
        </w:rPr>
        <w:t>注：按照第一章《招标公告》“</w:t>
      </w:r>
      <w:r>
        <w:rPr>
          <w:rFonts w:ascii="宋体" w:hAnsi="宋体"/>
          <w:color w:val="auto"/>
          <w:szCs w:val="21"/>
        </w:rPr>
        <w:t xml:space="preserve">2. </w:t>
      </w:r>
      <w:r>
        <w:rPr>
          <w:rFonts w:hint="eastAsia" w:ascii="宋体" w:hAnsi="宋体"/>
          <w:color w:val="auto"/>
          <w:szCs w:val="21"/>
        </w:rPr>
        <w:t>投标人资格要求”。</w:t>
      </w:r>
    </w:p>
    <w:p>
      <w:pPr>
        <w:pStyle w:val="78"/>
        <w:adjustRightInd w:val="0"/>
        <w:snapToGrid w:val="0"/>
        <w:spacing w:line="440" w:lineRule="exact"/>
        <w:rPr>
          <w:rFonts w:ascii="宋体" w:hAnsi="宋体"/>
          <w:color w:val="auto"/>
          <w:szCs w:val="21"/>
        </w:rPr>
      </w:pPr>
      <w:r>
        <w:rPr>
          <w:rFonts w:ascii="宋体" w:hAnsi="宋体"/>
          <w:color w:val="auto"/>
          <w:szCs w:val="21"/>
        </w:rPr>
        <w:t>1、投标人须在中华人民共和国境内注册的具有独立承担民事责任能力的法人或其他组织，提供营业执照或事业法人证书（分公司投标须得到总公司授权，同时提供总公司营业执照及盖章授权函）；</w:t>
      </w:r>
    </w:p>
    <w:p>
      <w:pPr>
        <w:pStyle w:val="78"/>
        <w:adjustRightInd w:val="0"/>
        <w:snapToGrid w:val="0"/>
        <w:spacing w:line="440" w:lineRule="exact"/>
        <w:rPr>
          <w:rFonts w:ascii="宋体" w:hAnsi="宋体"/>
          <w:color w:val="auto"/>
          <w:szCs w:val="21"/>
        </w:rPr>
      </w:pPr>
    </w:p>
    <w:p>
      <w:pPr>
        <w:pStyle w:val="78"/>
        <w:adjustRightInd w:val="0"/>
        <w:snapToGrid w:val="0"/>
        <w:spacing w:line="440" w:lineRule="exact"/>
        <w:rPr>
          <w:rFonts w:hint="eastAsia" w:ascii="宋体" w:hAnsi="宋体"/>
          <w:color w:val="auto"/>
          <w:szCs w:val="21"/>
          <w:lang w:val="en-US" w:eastAsia="zh-CN"/>
        </w:rPr>
      </w:pPr>
    </w:p>
    <w:p>
      <w:pPr>
        <w:pStyle w:val="78"/>
        <w:adjustRightInd w:val="0"/>
        <w:snapToGrid w:val="0"/>
        <w:spacing w:line="440" w:lineRule="exact"/>
        <w:rPr>
          <w:rFonts w:ascii="宋体" w:hAnsi="宋体"/>
          <w:color w:val="auto"/>
          <w:szCs w:val="21"/>
        </w:rPr>
      </w:pPr>
      <w:r>
        <w:rPr>
          <w:rFonts w:hint="eastAsia" w:ascii="宋体" w:hAnsi="宋体"/>
          <w:color w:val="auto"/>
          <w:szCs w:val="21"/>
          <w:lang w:val="en-US" w:eastAsia="zh-CN"/>
        </w:rPr>
        <w:t>2</w:t>
      </w:r>
      <w:r>
        <w:rPr>
          <w:rFonts w:ascii="宋体" w:hAnsi="宋体"/>
          <w:color w:val="auto"/>
          <w:szCs w:val="21"/>
        </w:rPr>
        <w:t>、投标人在“信用中国”网站（www.creditchina.gov.cn）、中国政府采购网（www.ccgp.gov.cn）没有被列入失信被执行人、重大税收违法失信主体、政府采购严重违法失信行为记录名单（</w:t>
      </w:r>
      <w:r>
        <w:rPr>
          <w:rFonts w:hint="eastAsia" w:ascii="宋体" w:hAnsi="宋体"/>
          <w:color w:val="auto"/>
          <w:szCs w:val="21"/>
        </w:rPr>
        <w:t>投标人需提供查询截图</w:t>
      </w:r>
      <w:r>
        <w:rPr>
          <w:rFonts w:ascii="宋体" w:hAnsi="宋体"/>
          <w:color w:val="auto"/>
          <w:szCs w:val="21"/>
        </w:rPr>
        <w:t>）；</w:t>
      </w:r>
    </w:p>
    <w:p>
      <w:pPr>
        <w:pStyle w:val="78"/>
        <w:adjustRightInd w:val="0"/>
        <w:snapToGrid w:val="0"/>
        <w:spacing w:line="440" w:lineRule="exact"/>
        <w:rPr>
          <w:rFonts w:hint="eastAsia" w:ascii="宋体" w:hAnsi="宋体"/>
          <w:color w:val="auto"/>
          <w:szCs w:val="21"/>
          <w:lang w:val="en-US" w:eastAsia="zh-CN"/>
        </w:rPr>
      </w:pPr>
    </w:p>
    <w:p>
      <w:pPr>
        <w:pStyle w:val="78"/>
        <w:adjustRightInd w:val="0"/>
        <w:snapToGrid w:val="0"/>
        <w:spacing w:line="440" w:lineRule="exact"/>
        <w:rPr>
          <w:rFonts w:ascii="宋体" w:hAnsi="宋体"/>
          <w:color w:val="auto"/>
          <w:szCs w:val="21"/>
        </w:rPr>
      </w:pPr>
      <w:r>
        <w:rPr>
          <w:rFonts w:hint="eastAsia" w:ascii="宋体" w:hAnsi="宋体"/>
          <w:color w:val="auto"/>
          <w:szCs w:val="21"/>
          <w:lang w:val="en-US" w:eastAsia="zh-CN"/>
        </w:rPr>
        <w:t>3</w:t>
      </w:r>
      <w:r>
        <w:rPr>
          <w:rFonts w:ascii="宋体" w:hAnsi="宋体"/>
          <w:color w:val="auto"/>
          <w:szCs w:val="21"/>
        </w:rPr>
        <w:t>、单位负责人为同一人或者存在直接控股、管理关系的不同供应商，不得参加</w:t>
      </w:r>
      <w:r>
        <w:rPr>
          <w:rFonts w:hint="eastAsia" w:ascii="宋体" w:hAnsi="宋体"/>
          <w:color w:val="auto"/>
          <w:sz w:val="21"/>
          <w:szCs w:val="21"/>
        </w:rPr>
        <w:t>同一标段投标或者未划分标段的同一招标项目投标</w:t>
      </w:r>
      <w:r>
        <w:rPr>
          <w:rFonts w:ascii="宋体" w:hAnsi="宋体"/>
          <w:color w:val="auto"/>
          <w:szCs w:val="21"/>
        </w:rPr>
        <w:t>，以《</w:t>
      </w:r>
      <w:r>
        <w:rPr>
          <w:rFonts w:hint="eastAsia" w:ascii="宋体" w:hAnsi="宋体"/>
          <w:color w:val="auto"/>
          <w:szCs w:val="21"/>
        </w:rPr>
        <w:t>投标人控股及管理关系情况申报表</w:t>
      </w:r>
      <w:r>
        <w:rPr>
          <w:rFonts w:ascii="宋体" w:hAnsi="宋体"/>
          <w:color w:val="auto"/>
          <w:szCs w:val="21"/>
        </w:rPr>
        <w:t>》填报的内容进行评审；</w:t>
      </w:r>
    </w:p>
    <w:p>
      <w:pPr>
        <w:pStyle w:val="78"/>
        <w:adjustRightInd w:val="0"/>
        <w:snapToGrid w:val="0"/>
        <w:spacing w:line="440" w:lineRule="exact"/>
        <w:rPr>
          <w:rFonts w:ascii="宋体" w:hAnsi="宋体"/>
          <w:color w:val="auto"/>
          <w:szCs w:val="21"/>
        </w:rPr>
      </w:pPr>
    </w:p>
    <w:p>
      <w:pPr>
        <w:pStyle w:val="78"/>
        <w:numPr>
          <w:ilvl w:val="0"/>
          <w:numId w:val="0"/>
        </w:numPr>
        <w:adjustRightInd w:val="0"/>
        <w:snapToGrid w:val="0"/>
        <w:spacing w:line="440" w:lineRule="exact"/>
        <w:ind w:firstLine="420" w:firstLineChars="200"/>
        <w:rPr>
          <w:rFonts w:hint="eastAsia" w:ascii="宋体" w:hAnsi="宋体"/>
          <w:b/>
          <w:bCs/>
          <w:color w:val="auto"/>
          <w:szCs w:val="21"/>
          <w:lang w:eastAsia="zh-CN"/>
        </w:rPr>
      </w:pPr>
      <w:r>
        <w:rPr>
          <w:rFonts w:hint="eastAsia" w:ascii="宋体" w:hAnsi="宋体"/>
          <w:color w:val="auto"/>
          <w:szCs w:val="21"/>
          <w:lang w:val="en-US" w:eastAsia="zh-CN"/>
        </w:rPr>
        <w:t>4、</w:t>
      </w:r>
      <w:r>
        <w:rPr>
          <w:rFonts w:ascii="宋体" w:hAnsi="宋体"/>
          <w:color w:val="auto"/>
          <w:szCs w:val="21"/>
        </w:rPr>
        <w:t>联合体情况：我司为非联合体投标。</w:t>
      </w:r>
    </w:p>
    <w:p>
      <w:pPr>
        <w:pStyle w:val="78"/>
        <w:numPr>
          <w:ilvl w:val="0"/>
          <w:numId w:val="0"/>
        </w:numPr>
        <w:adjustRightInd w:val="0"/>
        <w:snapToGrid w:val="0"/>
        <w:spacing w:line="440" w:lineRule="exact"/>
        <w:ind w:firstLine="420" w:firstLineChars="200"/>
        <w:rPr>
          <w:rFonts w:hint="eastAsia" w:ascii="宋体" w:hAnsi="宋体"/>
          <w:color w:val="auto"/>
          <w:szCs w:val="21"/>
          <w:lang w:val="en-US" w:eastAsia="zh-CN"/>
        </w:rPr>
      </w:pPr>
    </w:p>
    <w:p>
      <w:pPr>
        <w:rPr>
          <w:rFonts w:hint="eastAsia" w:ascii="宋体" w:hAnsi="宋体"/>
          <w:color w:val="auto"/>
          <w:szCs w:val="21"/>
          <w:lang w:val="en-US" w:eastAsia="zh-CN"/>
        </w:rPr>
      </w:pPr>
      <w:r>
        <w:rPr>
          <w:rFonts w:hint="eastAsia" w:ascii="宋体" w:hAnsi="宋体"/>
          <w:color w:val="auto"/>
          <w:szCs w:val="21"/>
          <w:lang w:val="en-US" w:eastAsia="zh-CN"/>
        </w:rPr>
        <w:br w:type="page"/>
      </w:r>
    </w:p>
    <w:p>
      <w:pPr>
        <w:pStyle w:val="36"/>
        <w:numPr>
          <w:ilvl w:val="1"/>
          <w:numId w:val="17"/>
        </w:numPr>
        <w:tabs>
          <w:tab w:val="left" w:pos="588"/>
        </w:tabs>
        <w:snapToGrid w:val="0"/>
        <w:spacing w:before="120" w:after="120" w:line="440" w:lineRule="exact"/>
        <w:ind w:hanging="992"/>
        <w:jc w:val="left"/>
        <w:rPr>
          <w:rFonts w:ascii="宋体" w:hAnsi="宋体"/>
          <w:color w:val="auto"/>
          <w:sz w:val="24"/>
          <w:szCs w:val="24"/>
        </w:rPr>
      </w:pPr>
      <w:bookmarkStart w:id="582" w:name="_Toc16713"/>
      <w:bookmarkStart w:id="583" w:name="_Toc18886"/>
      <w:bookmarkStart w:id="584" w:name="_Toc10886"/>
      <w:bookmarkStart w:id="585" w:name="_Toc8068"/>
      <w:bookmarkStart w:id="586" w:name="_Toc56432239"/>
      <w:r>
        <w:rPr>
          <w:rFonts w:hint="eastAsia" w:ascii="宋体" w:hAnsi="宋体"/>
          <w:color w:val="auto"/>
          <w:sz w:val="24"/>
          <w:szCs w:val="24"/>
        </w:rPr>
        <w:t>关于资格的声明函</w:t>
      </w:r>
      <w:bookmarkEnd w:id="582"/>
      <w:bookmarkEnd w:id="583"/>
      <w:bookmarkEnd w:id="584"/>
      <w:bookmarkEnd w:id="585"/>
      <w:bookmarkEnd w:id="586"/>
    </w:p>
    <w:p>
      <w:pPr>
        <w:shd w:val="clear" w:color="auto" w:fill="FFFFFF" w:themeFill="background1"/>
        <w:spacing w:line="480" w:lineRule="exact"/>
        <w:jc w:val="center"/>
        <w:rPr>
          <w:color w:val="auto"/>
          <w:sz w:val="24"/>
        </w:rPr>
      </w:pPr>
      <w:r>
        <w:rPr>
          <w:rFonts w:hint="eastAsia"/>
          <w:b/>
          <w:color w:val="auto"/>
          <w:sz w:val="24"/>
        </w:rPr>
        <w:t>资格声明函</w:t>
      </w:r>
    </w:p>
    <w:p>
      <w:pPr>
        <w:shd w:val="clear" w:color="auto" w:fill="FFFFFF" w:themeFill="background1"/>
        <w:spacing w:line="360" w:lineRule="auto"/>
        <w:rPr>
          <w:rFonts w:ascii="宋体" w:hAnsi="宋体"/>
          <w:b/>
          <w:bCs/>
          <w:color w:val="auto"/>
          <w:szCs w:val="21"/>
        </w:rPr>
      </w:pPr>
      <w:r>
        <w:rPr>
          <w:rFonts w:hint="eastAsia" w:ascii="宋体" w:hAnsi="宋体"/>
          <w:b/>
          <w:bCs/>
          <w:color w:val="auto"/>
          <w:szCs w:val="21"/>
          <w:lang w:eastAsia="zh-CN"/>
        </w:rPr>
        <w:t>广东南方日报展示有限公司</w:t>
      </w:r>
      <w:r>
        <w:rPr>
          <w:rFonts w:hint="eastAsia" w:ascii="宋体" w:hAnsi="宋体"/>
          <w:b/>
          <w:bCs/>
          <w:color w:val="auto"/>
          <w:szCs w:val="21"/>
        </w:rPr>
        <w:t>、广东省南方文化产权交易所股份有限公司：</w:t>
      </w:r>
    </w:p>
    <w:p>
      <w:pPr>
        <w:shd w:val="clear" w:color="auto" w:fill="FFFFFF" w:themeFill="background1"/>
        <w:spacing w:line="360" w:lineRule="auto"/>
        <w:ind w:firstLine="540"/>
        <w:rPr>
          <w:rFonts w:ascii="宋体" w:hAnsi="宋体"/>
          <w:color w:val="auto"/>
          <w:szCs w:val="21"/>
        </w:rPr>
      </w:pPr>
      <w:r>
        <w:rPr>
          <w:rFonts w:hint="eastAsia" w:ascii="宋体" w:hAnsi="宋体"/>
          <w:color w:val="auto"/>
          <w:szCs w:val="21"/>
        </w:rPr>
        <w:t>我方愿响应你方</w:t>
      </w:r>
      <w:r>
        <w:rPr>
          <w:rFonts w:ascii="宋体" w:hAnsi="宋体"/>
          <w:color w:val="auto"/>
          <w:szCs w:val="21"/>
          <w:u w:val="single"/>
        </w:rPr>
        <w:t xml:space="preserve">     </w:t>
      </w:r>
      <w:r>
        <w:rPr>
          <w:rFonts w:hint="eastAsia" w:ascii="宋体" w:hAnsi="宋体"/>
          <w:color w:val="auto"/>
          <w:szCs w:val="21"/>
        </w:rPr>
        <w:t>年</w:t>
      </w:r>
      <w:r>
        <w:rPr>
          <w:rFonts w:ascii="宋体" w:hAnsi="宋体"/>
          <w:color w:val="auto"/>
          <w:szCs w:val="21"/>
          <w:u w:val="single"/>
        </w:rPr>
        <w:t xml:space="preserve">     </w:t>
      </w:r>
      <w:r>
        <w:rPr>
          <w:rFonts w:hint="eastAsia" w:ascii="宋体" w:hAnsi="宋体"/>
          <w:color w:val="auto"/>
          <w:szCs w:val="21"/>
        </w:rPr>
        <w:t>月</w:t>
      </w:r>
      <w:r>
        <w:rPr>
          <w:rFonts w:ascii="宋体" w:hAnsi="宋体"/>
          <w:color w:val="auto"/>
          <w:szCs w:val="21"/>
          <w:u w:val="single"/>
        </w:rPr>
        <w:t xml:space="preserve">     </w:t>
      </w:r>
      <w:r>
        <w:rPr>
          <w:rFonts w:hint="eastAsia" w:ascii="宋体" w:hAnsi="宋体"/>
          <w:color w:val="auto"/>
          <w:szCs w:val="21"/>
        </w:rPr>
        <w:t>日的（招标代理编号：</w:t>
      </w:r>
      <w:r>
        <w:rPr>
          <w:rFonts w:ascii="宋体" w:hAnsi="宋体"/>
          <w:color w:val="auto"/>
          <w:szCs w:val="21"/>
          <w:u w:val="single"/>
        </w:rPr>
        <w:t xml:space="preserve"> </w:t>
      </w:r>
      <w:r>
        <w:rPr>
          <w:rFonts w:hint="eastAsia" w:ascii="宋体" w:hAnsi="宋体"/>
          <w:color w:val="auto"/>
          <w:szCs w:val="21"/>
          <w:u w:val="single"/>
          <w:lang w:eastAsia="zh-CN"/>
        </w:rPr>
        <w:t>WJS-202304070019</w:t>
      </w:r>
      <w:r>
        <w:rPr>
          <w:rFonts w:hint="eastAsia" w:ascii="宋体" w:hAnsi="宋体"/>
          <w:color w:val="auto"/>
          <w:szCs w:val="21"/>
        </w:rPr>
        <w:t>）报价邀请，参与报价，提供招标人需求中规定的货物或服务，并按采购文件要求提交所附资格文件且声明和保证如下：</w:t>
      </w:r>
    </w:p>
    <w:p>
      <w:pPr>
        <w:widowControl/>
        <w:numPr>
          <w:ilvl w:val="0"/>
          <w:numId w:val="20"/>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我方为本次报价所提交的所有证明其合格和资格的文件是真实的和正确的，并愿为其真实性和正确性承担法律责任；</w:t>
      </w:r>
    </w:p>
    <w:p>
      <w:pPr>
        <w:widowControl/>
        <w:numPr>
          <w:ilvl w:val="0"/>
          <w:numId w:val="20"/>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我方为中华人民共和国境内的合法经营主体，具有独立的民事行为能力；具有良好的商业信誉和健全的财务会计制度；我方具备履行合同所必需的专业技术能力。</w:t>
      </w:r>
    </w:p>
    <w:p>
      <w:pPr>
        <w:widowControl/>
        <w:numPr>
          <w:ilvl w:val="0"/>
          <w:numId w:val="20"/>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企业）具备招标公告中规定的资格条件，并已清楚采购文件的要求及有关文件规定，并承诺在本次招标采购活动中，如有违法、违规、弄虚作假行为，所造成的损失、不良后果及法律责任，一律由我方（企业）承担。</w:t>
      </w:r>
    </w:p>
    <w:p>
      <w:pPr>
        <w:widowControl/>
        <w:numPr>
          <w:ilvl w:val="0"/>
          <w:numId w:val="20"/>
        </w:numPr>
        <w:shd w:val="clear" w:color="auto" w:fill="FFFFFF" w:themeFill="background1"/>
        <w:spacing w:line="360" w:lineRule="auto"/>
        <w:jc w:val="left"/>
        <w:rPr>
          <w:rFonts w:ascii="宋体" w:hAnsi="宋体"/>
          <w:color w:val="auto"/>
          <w:szCs w:val="21"/>
        </w:rPr>
      </w:pPr>
      <w:r>
        <w:rPr>
          <w:rFonts w:hint="eastAsia" w:ascii="宋体" w:hAnsi="宋体"/>
          <w:color w:val="auto"/>
          <w:szCs w:val="21"/>
        </w:rPr>
        <w:t>我方是依法注册的法人，在法律上、财务上和运作上完全独立于</w:t>
      </w:r>
      <w:r>
        <w:rPr>
          <w:rFonts w:hint="eastAsia" w:ascii="宋体" w:hAnsi="宋体"/>
          <w:color w:val="auto"/>
          <w:szCs w:val="21"/>
          <w:u w:val="single"/>
          <w:lang w:eastAsia="zh-CN"/>
        </w:rPr>
        <w:t>广东南方日报展示有限公司</w:t>
      </w:r>
      <w:r>
        <w:rPr>
          <w:rFonts w:ascii="宋体" w:hAnsi="宋体"/>
          <w:color w:val="auto"/>
          <w:szCs w:val="21"/>
          <w:u w:val="single"/>
        </w:rPr>
        <w:t xml:space="preserve">   </w:t>
      </w:r>
      <w:r>
        <w:rPr>
          <w:rFonts w:hint="eastAsia" w:ascii="宋体" w:hAnsi="宋体"/>
          <w:color w:val="auto"/>
          <w:szCs w:val="21"/>
        </w:rPr>
        <w:t>（招标人）及</w:t>
      </w:r>
      <w:r>
        <w:rPr>
          <w:rFonts w:hint="eastAsia" w:ascii="宋体" w:hAnsi="宋体"/>
          <w:color w:val="auto"/>
          <w:szCs w:val="21"/>
          <w:u w:val="single"/>
        </w:rPr>
        <w:t>广东省南方文化产权交易所股份有限公司</w:t>
      </w:r>
      <w:r>
        <w:rPr>
          <w:rFonts w:hint="eastAsia" w:ascii="宋体" w:hAnsi="宋体"/>
          <w:color w:val="auto"/>
          <w:szCs w:val="21"/>
        </w:rPr>
        <w:t>（采购代理机构）。</w:t>
      </w:r>
    </w:p>
    <w:p>
      <w:pPr>
        <w:widowControl/>
        <w:numPr>
          <w:ilvl w:val="0"/>
          <w:numId w:val="20"/>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我方非联合体参与本项目投标。</w:t>
      </w:r>
    </w:p>
    <w:p>
      <w:pPr>
        <w:widowControl/>
        <w:numPr>
          <w:ilvl w:val="0"/>
          <w:numId w:val="20"/>
        </w:numPr>
        <w:shd w:val="clear" w:color="auto" w:fill="FFFFFF" w:themeFill="background1"/>
        <w:spacing w:line="360" w:lineRule="auto"/>
        <w:ind w:left="-46" w:firstLine="198"/>
        <w:jc w:val="left"/>
        <w:rPr>
          <w:rFonts w:ascii="宋体" w:hAnsi="宋体"/>
          <w:color w:val="auto"/>
          <w:szCs w:val="21"/>
        </w:rPr>
      </w:pPr>
      <w:r>
        <w:rPr>
          <w:rFonts w:hint="eastAsia" w:ascii="宋体" w:hAnsi="宋体"/>
          <w:color w:val="auto"/>
          <w:szCs w:val="21"/>
        </w:rPr>
        <w:t>我方在参加本次投标前</w:t>
      </w:r>
      <w:r>
        <w:rPr>
          <w:rFonts w:ascii="宋体" w:hAnsi="宋体"/>
          <w:color w:val="auto"/>
          <w:szCs w:val="21"/>
        </w:rPr>
        <w:t>3年内，在经营活动及参与采购活动中没有重大违法活动及涉嫌违规行为，并没有因而被有关部门警告或处分的记录。</w:t>
      </w:r>
    </w:p>
    <w:p>
      <w:pPr>
        <w:widowControl/>
        <w:shd w:val="clear" w:color="auto" w:fill="FFFFFF" w:themeFill="background1"/>
        <w:spacing w:line="360" w:lineRule="auto"/>
        <w:ind w:left="368" w:firstLine="420" w:firstLineChars="200"/>
        <w:jc w:val="left"/>
        <w:rPr>
          <w:rFonts w:ascii="宋体" w:hAnsi="宋体"/>
          <w:color w:val="auto"/>
          <w:szCs w:val="21"/>
        </w:rPr>
      </w:pPr>
      <w:r>
        <w:rPr>
          <w:rFonts w:hint="eastAsia" w:ascii="宋体" w:hAnsi="宋体"/>
          <w:color w:val="auto"/>
          <w:szCs w:val="21"/>
        </w:rPr>
        <w:t>特此声明！</w:t>
      </w:r>
    </w:p>
    <w:p>
      <w:pPr>
        <w:shd w:val="clear" w:color="auto" w:fill="FFFFFF" w:themeFill="background1"/>
        <w:spacing w:line="480" w:lineRule="auto"/>
        <w:ind w:left="-2" w:leftChars="-1" w:firstLine="616" w:firstLineChars="257"/>
        <w:rPr>
          <w:rFonts w:ascii="宋体" w:hAnsi="宋体"/>
          <w:color w:val="auto"/>
          <w:sz w:val="24"/>
        </w:rPr>
      </w:pPr>
    </w:p>
    <w:p>
      <w:pPr>
        <w:shd w:val="clear" w:color="auto" w:fill="FFFFFF" w:themeFill="background1"/>
        <w:spacing w:line="360" w:lineRule="auto"/>
        <w:jc w:val="right"/>
        <w:rPr>
          <w:rFonts w:ascii="宋体" w:hAnsi="宋体"/>
          <w:color w:val="auto"/>
          <w:szCs w:val="21"/>
        </w:rPr>
      </w:pPr>
      <w:r>
        <w:rPr>
          <w:rFonts w:hint="eastAsia" w:ascii="宋体" w:hAnsi="宋体"/>
          <w:color w:val="auto"/>
          <w:szCs w:val="21"/>
        </w:rPr>
        <w:t>投标人名称（加盖公章）</w:t>
      </w:r>
      <w:r>
        <w:rPr>
          <w:rFonts w:ascii="宋体" w:hAnsi="宋体"/>
          <w:color w:val="auto"/>
          <w:szCs w:val="21"/>
        </w:rPr>
        <w:t xml:space="preserve">: </w:t>
      </w:r>
      <w:r>
        <w:rPr>
          <w:rFonts w:ascii="宋体" w:hAnsi="宋体"/>
          <w:color w:val="auto"/>
          <w:szCs w:val="21"/>
          <w:u w:val="single"/>
        </w:rPr>
        <w:t xml:space="preserve">              </w:t>
      </w:r>
      <w:r>
        <w:rPr>
          <w:rFonts w:ascii="宋体" w:hAnsi="宋体"/>
          <w:color w:val="auto"/>
          <w:szCs w:val="21"/>
        </w:rPr>
        <w:t>.</w:t>
      </w:r>
    </w:p>
    <w:p>
      <w:pPr>
        <w:shd w:val="clear" w:color="auto" w:fill="FFFFFF" w:themeFill="background1"/>
        <w:spacing w:line="360" w:lineRule="auto"/>
        <w:jc w:val="right"/>
        <w:rPr>
          <w:rFonts w:ascii="宋体" w:hAnsi="宋体"/>
          <w:color w:val="auto"/>
          <w:szCs w:val="21"/>
          <w:u w:val="single"/>
        </w:rPr>
      </w:pPr>
      <w:r>
        <w:rPr>
          <w:rFonts w:hint="eastAsia" w:ascii="宋体" w:hAnsi="宋体"/>
          <w:color w:val="auto"/>
          <w:szCs w:val="21"/>
        </w:rPr>
        <w:t>法定代表或其授权代表</w:t>
      </w:r>
      <w:r>
        <w:rPr>
          <w:rFonts w:ascii="宋体" w:hAnsi="宋体"/>
          <w:color w:val="auto"/>
          <w:szCs w:val="21"/>
        </w:rPr>
        <w:t>(签字或盖章)：</w:t>
      </w:r>
      <w:r>
        <w:rPr>
          <w:rFonts w:ascii="宋体" w:hAnsi="宋体"/>
          <w:color w:val="auto"/>
          <w:szCs w:val="21"/>
          <w:u w:val="single"/>
        </w:rPr>
        <w:t xml:space="preserve">              </w:t>
      </w:r>
      <w:r>
        <w:rPr>
          <w:rFonts w:ascii="宋体" w:hAnsi="宋体"/>
          <w:color w:val="auto"/>
          <w:szCs w:val="21"/>
        </w:rPr>
        <w:t>.</w:t>
      </w:r>
    </w:p>
    <w:p>
      <w:pPr>
        <w:shd w:val="clear" w:color="auto" w:fill="FFFFFF" w:themeFill="background1"/>
        <w:jc w:val="right"/>
        <w:rPr>
          <w:color w:val="auto"/>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r>
        <w:rPr>
          <w:rFonts w:ascii="宋体" w:hAnsi="宋体"/>
          <w:color w:val="auto"/>
          <w:szCs w:val="21"/>
        </w:rPr>
        <w:t>202</w:t>
      </w:r>
      <w:r>
        <w:rPr>
          <w:rFonts w:hint="eastAsia" w:ascii="宋体" w:hAnsi="宋体"/>
          <w:color w:val="auto"/>
          <w:szCs w:val="21"/>
          <w:lang w:val="en-US" w:eastAsia="zh-CN"/>
        </w:rPr>
        <w:t>3</w:t>
      </w:r>
      <w:r>
        <w:rPr>
          <w:rFonts w:ascii="宋体" w:hAnsi="宋体"/>
          <w:color w:val="auto"/>
          <w:szCs w:val="21"/>
        </w:rPr>
        <w:t>年   月   日</w:t>
      </w:r>
    </w:p>
    <w:p>
      <w:pPr>
        <w:widowControl/>
        <w:jc w:val="left"/>
        <w:rPr>
          <w:rFonts w:hint="eastAsia" w:ascii="黑体" w:hAnsi="黑体"/>
          <w:color w:val="auto"/>
          <w:szCs w:val="28"/>
          <w:lang w:val="en-US" w:eastAsia="zh-CN"/>
        </w:rPr>
      </w:pPr>
    </w:p>
    <w:p>
      <w:pPr>
        <w:rPr>
          <w:rFonts w:hint="eastAsia" w:ascii="黑体" w:hAnsi="黑体"/>
          <w:color w:val="auto"/>
          <w:szCs w:val="28"/>
        </w:rPr>
      </w:pPr>
      <w:r>
        <w:rPr>
          <w:rFonts w:hint="eastAsia" w:ascii="黑体" w:hAnsi="黑体"/>
          <w:color w:val="auto"/>
          <w:szCs w:val="28"/>
        </w:rPr>
        <w:br w:type="page"/>
      </w:r>
    </w:p>
    <w:p>
      <w:pPr>
        <w:pStyle w:val="36"/>
        <w:numPr>
          <w:ilvl w:val="1"/>
          <w:numId w:val="17"/>
        </w:numPr>
        <w:tabs>
          <w:tab w:val="left" w:pos="588"/>
        </w:tabs>
        <w:snapToGrid w:val="0"/>
        <w:spacing w:before="120" w:after="120" w:line="440" w:lineRule="exact"/>
        <w:ind w:hanging="992"/>
        <w:jc w:val="left"/>
        <w:rPr>
          <w:rFonts w:ascii="宋体" w:hAnsi="宋体"/>
          <w:color w:val="auto"/>
          <w:sz w:val="24"/>
          <w:szCs w:val="24"/>
        </w:rPr>
      </w:pPr>
      <w:bookmarkStart w:id="587" w:name="_Toc56432240"/>
      <w:bookmarkStart w:id="588" w:name="_Toc18305"/>
      <w:bookmarkStart w:id="589" w:name="_Toc1421"/>
      <w:bookmarkStart w:id="590" w:name="_Toc8978"/>
      <w:bookmarkStart w:id="591" w:name="_Toc29084"/>
      <w:r>
        <w:rPr>
          <w:rFonts w:hint="eastAsia" w:ascii="宋体" w:hAnsi="宋体"/>
          <w:color w:val="auto"/>
          <w:sz w:val="24"/>
          <w:szCs w:val="24"/>
        </w:rPr>
        <w:t>投标人控股及管理关系情况申报</w:t>
      </w:r>
      <w:bookmarkEnd w:id="580"/>
      <w:bookmarkEnd w:id="581"/>
      <w:bookmarkEnd w:id="587"/>
      <w:bookmarkEnd w:id="588"/>
      <w:bookmarkEnd w:id="589"/>
      <w:bookmarkEnd w:id="590"/>
      <w:bookmarkEnd w:id="591"/>
    </w:p>
    <w:p>
      <w:pPr>
        <w:spacing w:line="360" w:lineRule="auto"/>
        <w:rPr>
          <w:rFonts w:ascii="宋体" w:hAnsi="宋体"/>
          <w:color w:val="auto"/>
          <w:szCs w:val="21"/>
        </w:rPr>
      </w:pPr>
      <w:r>
        <w:rPr>
          <w:rFonts w:ascii="宋体" w:hAnsi="宋体"/>
          <w:color w:val="auto"/>
          <w:szCs w:val="21"/>
          <w:u w:val="single"/>
        </w:rPr>
        <w:t xml:space="preserve">致：            </w:t>
      </w:r>
      <w:r>
        <w:rPr>
          <w:rFonts w:hint="eastAsia" w:ascii="宋体" w:hAnsi="宋体"/>
          <w:color w:val="auto"/>
          <w:szCs w:val="21"/>
        </w:rPr>
        <w:t>（招标人名称）：</w:t>
      </w:r>
    </w:p>
    <w:p>
      <w:pPr>
        <w:spacing w:line="440" w:lineRule="exact"/>
        <w:ind w:firstLine="420" w:firstLineChars="200"/>
        <w:rPr>
          <w:color w:val="auto"/>
        </w:rPr>
      </w:pPr>
      <w:r>
        <w:rPr>
          <w:rFonts w:hint="eastAsia"/>
          <w:color w:val="auto"/>
        </w:rPr>
        <w:t>我方参加</w:t>
      </w:r>
      <w:r>
        <w:rPr>
          <w:color w:val="auto"/>
          <w:u w:val="single"/>
        </w:rPr>
        <w:t xml:space="preserve">          </w:t>
      </w:r>
      <w:r>
        <w:rPr>
          <w:rFonts w:hint="eastAsia"/>
          <w:color w:val="auto"/>
          <w:u w:val="single"/>
        </w:rPr>
        <w:t>（项目名称）</w:t>
      </w:r>
      <w:r>
        <w:rPr>
          <w:color w:val="auto"/>
          <w:u w:val="single"/>
        </w:rPr>
        <w:t xml:space="preserve">      </w:t>
      </w:r>
      <w:r>
        <w:rPr>
          <w:rFonts w:hint="eastAsia"/>
          <w:color w:val="auto"/>
        </w:rPr>
        <w:t>的投标，根据法律法规维护采购公正性的相关规定，特就本单位控股及管理关系情况申报如下，并承担申报不实的责任。</w:t>
      </w:r>
    </w:p>
    <w:tbl>
      <w:tblPr>
        <w:tblStyle w:val="40"/>
        <w:tblW w:w="8315" w:type="dxa"/>
        <w:tblInd w:w="108"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2435"/>
        <w:gridCol w:w="2245"/>
        <w:gridCol w:w="3635"/>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申报人名称</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color w:val="auto"/>
                <w:szCs w:val="21"/>
              </w:rPr>
            </w:pPr>
            <w:r>
              <w:rPr>
                <w:rFonts w:hint="eastAsia" w:ascii="宋体" w:hAnsi="宋体"/>
                <w:color w:val="auto"/>
                <w:szCs w:val="21"/>
              </w:rPr>
              <w:t>法定代表人</w:t>
            </w:r>
            <w:r>
              <w:rPr>
                <w:rFonts w:ascii="宋体" w:hAnsi="宋体"/>
                <w:color w:val="auto"/>
                <w:szCs w:val="21"/>
              </w:rPr>
              <w:t>/单位负责人</w:t>
            </w:r>
          </w:p>
        </w:tc>
        <w:tc>
          <w:tcPr>
            <w:tcW w:w="2245" w:type="dxa"/>
            <w:vAlign w:val="center"/>
          </w:tcPr>
          <w:p>
            <w:pPr>
              <w:spacing w:line="360" w:lineRule="auto"/>
              <w:rPr>
                <w:rFonts w:ascii="宋体" w:hAnsi="宋体"/>
                <w:color w:val="auto"/>
                <w:szCs w:val="21"/>
              </w:rPr>
            </w:pPr>
            <w:r>
              <w:rPr>
                <w:rFonts w:hint="eastAsia" w:ascii="宋体" w:hAnsi="宋体"/>
                <w:color w:val="auto"/>
                <w:szCs w:val="21"/>
              </w:rPr>
              <w:t>姓</w:t>
            </w:r>
            <w:r>
              <w:rPr>
                <w:rFonts w:ascii="宋体" w:hAnsi="宋体"/>
                <w:color w:val="auto"/>
                <w:szCs w:val="21"/>
              </w:rPr>
              <w:t xml:space="preserve">    </w:t>
            </w:r>
            <w:r>
              <w:rPr>
                <w:rFonts w:hint="eastAsia" w:ascii="宋体" w:hAnsi="宋体"/>
                <w:color w:val="auto"/>
                <w:szCs w:val="21"/>
              </w:rPr>
              <w:t>名</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rPr>
          <w:cantSplit/>
        </w:trPr>
        <w:tc>
          <w:tcPr>
            <w:tcW w:w="2435" w:type="dxa"/>
            <w:vMerge w:val="continue"/>
            <w:vAlign w:val="center"/>
          </w:tcPr>
          <w:p>
            <w:pPr>
              <w:spacing w:line="360" w:lineRule="auto"/>
              <w:rPr>
                <w:rFonts w:ascii="宋体" w:hAnsi="宋体"/>
                <w:color w:val="auto"/>
                <w:szCs w:val="21"/>
              </w:rPr>
            </w:pPr>
          </w:p>
        </w:tc>
        <w:tc>
          <w:tcPr>
            <w:tcW w:w="2245" w:type="dxa"/>
            <w:vAlign w:val="center"/>
          </w:tcPr>
          <w:p>
            <w:pPr>
              <w:spacing w:line="360" w:lineRule="auto"/>
              <w:rPr>
                <w:rFonts w:ascii="宋体" w:hAnsi="宋体"/>
                <w:color w:val="auto"/>
                <w:szCs w:val="21"/>
              </w:rPr>
            </w:pPr>
            <w:r>
              <w:rPr>
                <w:rFonts w:hint="eastAsia" w:ascii="宋体" w:hAnsi="宋体"/>
                <w:color w:val="auto"/>
                <w:szCs w:val="21"/>
              </w:rPr>
              <w:t>身份证号</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c>
          <w:tcPr>
            <w:tcW w:w="2435" w:type="dxa"/>
            <w:vAlign w:val="center"/>
          </w:tcPr>
          <w:p>
            <w:pPr>
              <w:spacing w:line="360" w:lineRule="auto"/>
              <w:rPr>
                <w:rFonts w:ascii="宋体" w:hAnsi="宋体"/>
                <w:color w:val="auto"/>
                <w:szCs w:val="21"/>
              </w:rPr>
            </w:pPr>
            <w:r>
              <w:rPr>
                <w:rFonts w:hint="eastAsia" w:ascii="宋体" w:hAnsi="宋体"/>
                <w:color w:val="auto"/>
                <w:szCs w:val="21"/>
              </w:rPr>
              <w:t>控股股东</w:t>
            </w:r>
            <w:r>
              <w:rPr>
                <w:rFonts w:ascii="宋体" w:hAnsi="宋体"/>
                <w:color w:val="auto"/>
                <w:szCs w:val="21"/>
              </w:rPr>
              <w:t>/投资人名称</w:t>
            </w:r>
          </w:p>
          <w:p>
            <w:pPr>
              <w:spacing w:line="360" w:lineRule="auto"/>
              <w:rPr>
                <w:rFonts w:ascii="宋体" w:hAnsi="宋体"/>
                <w:color w:val="auto"/>
                <w:szCs w:val="21"/>
              </w:rPr>
            </w:pPr>
            <w:r>
              <w:rPr>
                <w:rFonts w:hint="eastAsia" w:ascii="宋体" w:hAnsi="宋体"/>
                <w:color w:val="auto"/>
                <w:szCs w:val="21"/>
              </w:rPr>
              <w:t>及出资比例</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2435" w:type="dxa"/>
            <w:vAlign w:val="center"/>
          </w:tcPr>
          <w:p>
            <w:pPr>
              <w:spacing w:line="360" w:lineRule="auto"/>
              <w:rPr>
                <w:rFonts w:ascii="宋体" w:hAnsi="宋体"/>
                <w:color w:val="auto"/>
                <w:szCs w:val="21"/>
              </w:rPr>
            </w:pPr>
            <w:r>
              <w:rPr>
                <w:rFonts w:hint="eastAsia" w:ascii="宋体" w:hAnsi="宋体"/>
                <w:color w:val="auto"/>
                <w:szCs w:val="21"/>
              </w:rPr>
              <w:t>非控股股东</w:t>
            </w:r>
            <w:r>
              <w:rPr>
                <w:rFonts w:ascii="宋体" w:hAnsi="宋体"/>
                <w:color w:val="auto"/>
                <w:szCs w:val="21"/>
              </w:rPr>
              <w:t>/投资人名称</w:t>
            </w:r>
          </w:p>
          <w:p>
            <w:pPr>
              <w:spacing w:line="360" w:lineRule="auto"/>
              <w:rPr>
                <w:rFonts w:ascii="宋体" w:hAnsi="宋体"/>
                <w:color w:val="auto"/>
                <w:szCs w:val="21"/>
              </w:rPr>
            </w:pPr>
            <w:r>
              <w:rPr>
                <w:rFonts w:hint="eastAsia" w:ascii="宋体" w:hAnsi="宋体"/>
                <w:color w:val="auto"/>
                <w:szCs w:val="21"/>
              </w:rPr>
              <w:t>及出资比例</w:t>
            </w:r>
          </w:p>
        </w:tc>
        <w:tc>
          <w:tcPr>
            <w:tcW w:w="5880" w:type="dxa"/>
            <w:gridSpan w:val="2"/>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restart"/>
            <w:vAlign w:val="center"/>
          </w:tcPr>
          <w:p>
            <w:pPr>
              <w:spacing w:line="360" w:lineRule="auto"/>
              <w:rPr>
                <w:rFonts w:ascii="宋体" w:hAnsi="宋体"/>
                <w:color w:val="auto"/>
                <w:szCs w:val="21"/>
              </w:rPr>
            </w:pPr>
            <w:r>
              <w:rPr>
                <w:rFonts w:hint="eastAsia" w:ascii="宋体" w:hAnsi="宋体"/>
                <w:color w:val="auto"/>
                <w:szCs w:val="21"/>
              </w:rPr>
              <w:t>管理关系单位名称</w:t>
            </w:r>
          </w:p>
        </w:tc>
        <w:tc>
          <w:tcPr>
            <w:tcW w:w="2245" w:type="dxa"/>
            <w:vAlign w:val="center"/>
          </w:tcPr>
          <w:p>
            <w:pPr>
              <w:spacing w:line="360" w:lineRule="auto"/>
              <w:rPr>
                <w:rFonts w:ascii="宋体" w:hAnsi="宋体"/>
                <w:color w:val="auto"/>
                <w:szCs w:val="21"/>
              </w:rPr>
            </w:pPr>
            <w:r>
              <w:rPr>
                <w:rFonts w:hint="eastAsia" w:ascii="宋体" w:hAnsi="宋体"/>
                <w:color w:val="auto"/>
                <w:szCs w:val="21"/>
              </w:rPr>
              <w:t>管理关系单位名称</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Pr>
        <w:tc>
          <w:tcPr>
            <w:tcW w:w="2435" w:type="dxa"/>
            <w:vMerge w:val="continue"/>
            <w:vAlign w:val="center"/>
          </w:tcPr>
          <w:p>
            <w:pPr>
              <w:spacing w:line="360" w:lineRule="auto"/>
              <w:rPr>
                <w:rFonts w:ascii="宋体" w:hAnsi="宋体"/>
                <w:color w:val="auto"/>
                <w:szCs w:val="21"/>
              </w:rPr>
            </w:pPr>
          </w:p>
        </w:tc>
        <w:tc>
          <w:tcPr>
            <w:tcW w:w="2245" w:type="dxa"/>
            <w:vAlign w:val="center"/>
          </w:tcPr>
          <w:p>
            <w:pPr>
              <w:spacing w:line="360" w:lineRule="auto"/>
              <w:rPr>
                <w:rFonts w:ascii="宋体" w:hAnsi="宋体"/>
                <w:color w:val="auto"/>
                <w:szCs w:val="21"/>
              </w:rPr>
            </w:pPr>
            <w:r>
              <w:rPr>
                <w:rFonts w:hint="eastAsia" w:ascii="宋体" w:hAnsi="宋体"/>
                <w:color w:val="auto"/>
                <w:szCs w:val="21"/>
              </w:rPr>
              <w:t>被管理关系单位名称</w:t>
            </w:r>
          </w:p>
        </w:tc>
        <w:tc>
          <w:tcPr>
            <w:tcW w:w="3635" w:type="dxa"/>
            <w:vAlign w:val="center"/>
          </w:tcPr>
          <w:p>
            <w:pPr>
              <w:spacing w:line="360" w:lineRule="auto"/>
              <w:rPr>
                <w:rFonts w:ascii="宋体" w:hAnsi="宋体"/>
                <w:color w:val="auto"/>
                <w:szCs w:val="21"/>
              </w:rPr>
            </w:pP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PrEx>
        <w:tc>
          <w:tcPr>
            <w:tcW w:w="8315" w:type="dxa"/>
            <w:gridSpan w:val="3"/>
            <w:vAlign w:val="center"/>
          </w:tcPr>
          <w:p>
            <w:pPr>
              <w:spacing w:line="360" w:lineRule="auto"/>
              <w:rPr>
                <w:rFonts w:ascii="宋体" w:hAnsi="宋体"/>
                <w:color w:val="auto"/>
                <w:szCs w:val="21"/>
              </w:rPr>
            </w:pPr>
            <w:r>
              <w:rPr>
                <w:rFonts w:hint="eastAsia" w:ascii="宋体" w:hAnsi="宋体"/>
                <w:color w:val="auto"/>
                <w:szCs w:val="21"/>
              </w:rPr>
              <w:t>备注：</w:t>
            </w:r>
          </w:p>
        </w:tc>
      </w:tr>
    </w:tbl>
    <w:p>
      <w:pPr>
        <w:spacing w:line="360" w:lineRule="auto"/>
        <w:rPr>
          <w:rFonts w:ascii="宋体" w:hAnsi="宋体"/>
          <w:color w:val="auto"/>
        </w:rPr>
      </w:pPr>
      <w:r>
        <w:rPr>
          <w:rFonts w:hint="eastAsia" w:ascii="宋体" w:hAnsi="宋体"/>
          <w:color w:val="auto"/>
        </w:rPr>
        <w:t>注：</w:t>
      </w:r>
      <w:r>
        <w:rPr>
          <w:rFonts w:ascii="宋体" w:hAnsi="宋体"/>
          <w:color w:val="auto"/>
        </w:rPr>
        <w:t>1.控股股东/投资人是指出资比例在50%以上，或者出资比例不足50%，但享有公司股东会/董事会控制权的投资方（含单位或者个人）；</w:t>
      </w:r>
    </w:p>
    <w:p>
      <w:pPr>
        <w:spacing w:line="360" w:lineRule="auto"/>
        <w:rPr>
          <w:rFonts w:ascii="宋体" w:hAnsi="宋体"/>
          <w:i/>
          <w:color w:val="auto"/>
        </w:rPr>
      </w:pPr>
      <w:r>
        <w:rPr>
          <w:rFonts w:ascii="宋体" w:hAnsi="宋体"/>
          <w:color w:val="auto"/>
        </w:rPr>
        <w:t xml:space="preserve">    2.管理关系单位是指与不具有出资持股关系的其他单位之间存在管理与被管理关系的单位；</w:t>
      </w:r>
    </w:p>
    <w:p>
      <w:pPr>
        <w:spacing w:line="360" w:lineRule="auto"/>
        <w:rPr>
          <w:rFonts w:ascii="宋体" w:hAnsi="宋体"/>
          <w:color w:val="auto"/>
          <w:kern w:val="0"/>
        </w:rPr>
      </w:pPr>
      <w:r>
        <w:rPr>
          <w:rFonts w:ascii="宋体" w:hAnsi="宋体"/>
          <w:color w:val="auto"/>
        </w:rPr>
        <w:t xml:space="preserve">    3.如未有相关情况，请在相应栏填写“无”。</w:t>
      </w:r>
    </w:p>
    <w:p>
      <w:pPr>
        <w:spacing w:line="360" w:lineRule="auto"/>
        <w:rPr>
          <w:rFonts w:ascii="宋体" w:hAnsi="宋体"/>
          <w:color w:val="auto"/>
          <w:kern w:val="0"/>
        </w:rPr>
      </w:pPr>
    </w:p>
    <w:p>
      <w:pPr>
        <w:spacing w:line="360" w:lineRule="auto"/>
        <w:rPr>
          <w:rFonts w:ascii="宋体" w:hAnsi="宋体"/>
          <w:color w:val="auto"/>
          <w:kern w:val="0"/>
        </w:rPr>
      </w:pPr>
    </w:p>
    <w:p>
      <w:pPr>
        <w:spacing w:line="360" w:lineRule="auto"/>
        <w:jc w:val="right"/>
        <w:rPr>
          <w:rFonts w:ascii="宋体" w:hAnsi="宋体"/>
          <w:color w:val="auto"/>
          <w:kern w:val="0"/>
        </w:rPr>
      </w:pPr>
      <w:bookmarkStart w:id="592" w:name="_Toc152045809"/>
      <w:bookmarkStart w:id="593" w:name="_Toc247527849"/>
      <w:bookmarkStart w:id="594" w:name="_Toc334767004"/>
      <w:bookmarkStart w:id="595" w:name="_Toc265953295"/>
      <w:bookmarkStart w:id="596" w:name="_Toc326223619"/>
      <w:bookmarkStart w:id="597" w:name="_Toc144974877"/>
      <w:bookmarkStart w:id="598" w:name="_Toc332188253"/>
      <w:bookmarkStart w:id="599" w:name="_Toc247514301"/>
      <w:bookmarkStart w:id="600" w:name="_Toc152042598"/>
      <w:r>
        <w:rPr>
          <w:rFonts w:hint="eastAsia" w:ascii="宋体" w:hAnsi="宋体"/>
          <w:color w:val="auto"/>
          <w:kern w:val="0"/>
        </w:rPr>
        <w:t>投标人：</w:t>
      </w:r>
      <w:r>
        <w:rPr>
          <w:rFonts w:ascii="宋体" w:hAnsi="宋体"/>
          <w:color w:val="auto"/>
          <w:kern w:val="0"/>
          <w:u w:val="single"/>
        </w:rPr>
        <w:t xml:space="preserve">              </w:t>
      </w:r>
      <w:r>
        <w:rPr>
          <w:rFonts w:hint="eastAsia" w:ascii="宋体" w:hAnsi="宋体"/>
          <w:color w:val="auto"/>
          <w:kern w:val="0"/>
        </w:rPr>
        <w:t>（盖单位公章）</w:t>
      </w:r>
      <w:r>
        <w:rPr>
          <w:rFonts w:ascii="宋体" w:hAnsi="宋体"/>
          <w:color w:val="auto"/>
          <w:kern w:val="0"/>
        </w:rPr>
        <w:t xml:space="preserve"> </w:t>
      </w:r>
    </w:p>
    <w:p>
      <w:pPr>
        <w:spacing w:line="360" w:lineRule="auto"/>
        <w:ind w:firstLine="4200" w:firstLineChars="2000"/>
        <w:jc w:val="right"/>
        <w:rPr>
          <w:rFonts w:ascii="宋体" w:hAnsi="宋体"/>
          <w:color w:val="auto"/>
          <w:kern w:val="0"/>
        </w:rPr>
      </w:pPr>
      <w:r>
        <w:rPr>
          <w:rFonts w:ascii="宋体" w:hAnsi="宋体"/>
          <w:color w:val="auto"/>
          <w:kern w:val="0"/>
        </w:rPr>
        <w:t xml:space="preserve">                 </w:t>
      </w:r>
      <w:r>
        <w:rPr>
          <w:rFonts w:hint="eastAsia" w:ascii="宋体" w:hAnsi="宋体"/>
          <w:color w:val="auto"/>
          <w:kern w:val="0"/>
        </w:rPr>
        <w:t>年</w:t>
      </w:r>
      <w:r>
        <w:rPr>
          <w:rFonts w:ascii="宋体" w:hAnsi="宋体"/>
          <w:color w:val="auto"/>
          <w:kern w:val="0"/>
        </w:rPr>
        <w:t xml:space="preserve">   </w:t>
      </w:r>
      <w:r>
        <w:rPr>
          <w:rFonts w:hint="eastAsia" w:ascii="宋体" w:hAnsi="宋体"/>
          <w:color w:val="auto"/>
          <w:kern w:val="0"/>
        </w:rPr>
        <w:t>月</w:t>
      </w:r>
      <w:r>
        <w:rPr>
          <w:rFonts w:ascii="宋体" w:hAnsi="宋体"/>
          <w:color w:val="auto"/>
          <w:kern w:val="0"/>
        </w:rPr>
        <w:t xml:space="preserve">   </w:t>
      </w:r>
      <w:r>
        <w:rPr>
          <w:rFonts w:hint="eastAsia" w:ascii="宋体" w:hAnsi="宋体"/>
          <w:color w:val="auto"/>
          <w:kern w:val="0"/>
        </w:rPr>
        <w:t>日</w:t>
      </w:r>
    </w:p>
    <w:p>
      <w:pPr>
        <w:widowControl/>
        <w:jc w:val="left"/>
        <w:rPr>
          <w:color w:val="auto"/>
        </w:rPr>
      </w:pPr>
      <w:r>
        <w:rPr>
          <w:color w:val="auto"/>
        </w:rPr>
        <w:br w:type="page"/>
      </w:r>
      <w:bookmarkEnd w:id="592"/>
      <w:bookmarkEnd w:id="593"/>
      <w:bookmarkEnd w:id="594"/>
      <w:bookmarkEnd w:id="595"/>
      <w:bookmarkEnd w:id="596"/>
      <w:bookmarkEnd w:id="597"/>
      <w:bookmarkEnd w:id="598"/>
      <w:bookmarkEnd w:id="599"/>
      <w:bookmarkEnd w:id="600"/>
    </w:p>
    <w:bookmarkEnd w:id="558"/>
    <w:p>
      <w:pPr>
        <w:pStyle w:val="36"/>
        <w:numPr>
          <w:ilvl w:val="0"/>
          <w:numId w:val="17"/>
        </w:numPr>
        <w:tabs>
          <w:tab w:val="left" w:pos="588"/>
        </w:tabs>
        <w:snapToGrid w:val="0"/>
        <w:spacing w:before="120" w:after="120" w:line="440" w:lineRule="exact"/>
        <w:jc w:val="left"/>
        <w:rPr>
          <w:rFonts w:ascii="宋体" w:hAnsi="宋体"/>
          <w:color w:val="auto"/>
          <w:sz w:val="24"/>
          <w:szCs w:val="24"/>
        </w:rPr>
      </w:pPr>
      <w:bookmarkStart w:id="601" w:name="_Toc477190420"/>
      <w:bookmarkEnd w:id="601"/>
      <w:bookmarkStart w:id="602" w:name="_Toc477190518"/>
      <w:bookmarkEnd w:id="602"/>
      <w:bookmarkStart w:id="603" w:name="_Toc477190537"/>
      <w:bookmarkEnd w:id="603"/>
      <w:bookmarkStart w:id="604" w:name="_Toc477190585"/>
      <w:bookmarkEnd w:id="604"/>
      <w:bookmarkStart w:id="605" w:name="_Toc477190531"/>
      <w:bookmarkEnd w:id="605"/>
      <w:bookmarkStart w:id="606" w:name="_Toc477190650"/>
      <w:bookmarkEnd w:id="606"/>
      <w:bookmarkStart w:id="607" w:name="_Toc477190467"/>
      <w:bookmarkEnd w:id="607"/>
      <w:bookmarkStart w:id="608" w:name="_Toc477190432"/>
      <w:bookmarkEnd w:id="608"/>
      <w:bookmarkStart w:id="609" w:name="_Toc477190452"/>
      <w:bookmarkEnd w:id="609"/>
      <w:bookmarkStart w:id="610" w:name="_Toc477190461"/>
      <w:bookmarkEnd w:id="610"/>
      <w:bookmarkStart w:id="611" w:name="_Toc477190428"/>
      <w:bookmarkEnd w:id="611"/>
      <w:bookmarkStart w:id="612" w:name="_Toc477190645"/>
      <w:bookmarkEnd w:id="612"/>
      <w:bookmarkStart w:id="613" w:name="_Toc477190415"/>
      <w:bookmarkEnd w:id="613"/>
      <w:bookmarkStart w:id="614" w:name="_Toc477190367"/>
      <w:bookmarkEnd w:id="614"/>
      <w:bookmarkStart w:id="615" w:name="_Toc477190580"/>
      <w:bookmarkEnd w:id="615"/>
      <w:bookmarkStart w:id="616" w:name="_Toc477190466"/>
      <w:bookmarkEnd w:id="616"/>
      <w:bookmarkStart w:id="617" w:name="_Toc477190460"/>
      <w:bookmarkEnd w:id="617"/>
      <w:bookmarkStart w:id="618" w:name="_Toc477190421"/>
      <w:bookmarkEnd w:id="618"/>
      <w:bookmarkStart w:id="619" w:name="_Toc477190596"/>
      <w:bookmarkEnd w:id="619"/>
      <w:bookmarkStart w:id="620" w:name="_Toc477190589"/>
      <w:bookmarkEnd w:id="620"/>
      <w:bookmarkStart w:id="621" w:name="_Toc477190443"/>
      <w:bookmarkEnd w:id="621"/>
      <w:bookmarkStart w:id="622" w:name="_Toc477190456"/>
      <w:bookmarkEnd w:id="622"/>
      <w:bookmarkStart w:id="623" w:name="_Toc477190564"/>
      <w:bookmarkEnd w:id="623"/>
      <w:bookmarkStart w:id="624" w:name="_Toc477190498"/>
      <w:bookmarkEnd w:id="624"/>
      <w:bookmarkStart w:id="625" w:name="_Toc477190653"/>
      <w:bookmarkEnd w:id="625"/>
      <w:bookmarkStart w:id="626" w:name="_Toc477190525"/>
      <w:bookmarkEnd w:id="626"/>
      <w:bookmarkStart w:id="627" w:name="_Toc477190449"/>
      <w:bookmarkEnd w:id="627"/>
      <w:bookmarkStart w:id="628" w:name="_Toc477190417"/>
      <w:bookmarkEnd w:id="628"/>
      <w:bookmarkStart w:id="629" w:name="_Toc477190612"/>
      <w:bookmarkEnd w:id="629"/>
      <w:bookmarkStart w:id="630" w:name="_Toc477190453"/>
      <w:bookmarkEnd w:id="630"/>
      <w:bookmarkStart w:id="631" w:name="_Toc477190622"/>
      <w:bookmarkEnd w:id="631"/>
      <w:bookmarkStart w:id="632" w:name="_Toc477190439"/>
      <w:bookmarkEnd w:id="632"/>
      <w:bookmarkStart w:id="633" w:name="_Toc477190425"/>
      <w:bookmarkEnd w:id="633"/>
      <w:bookmarkStart w:id="634" w:name="_Toc477190574"/>
      <w:bookmarkEnd w:id="634"/>
      <w:bookmarkStart w:id="635" w:name="_Toc477190473"/>
      <w:bookmarkEnd w:id="635"/>
      <w:bookmarkStart w:id="636" w:name="_Toc477190444"/>
      <w:bookmarkEnd w:id="636"/>
      <w:bookmarkStart w:id="637" w:name="_Toc477190458"/>
      <w:bookmarkEnd w:id="637"/>
      <w:bookmarkStart w:id="638" w:name="_Toc477190416"/>
      <w:bookmarkEnd w:id="638"/>
      <w:bookmarkStart w:id="639" w:name="_Toc477190510"/>
      <w:bookmarkEnd w:id="639"/>
      <w:bookmarkStart w:id="640" w:name="_Toc477190586"/>
      <w:bookmarkEnd w:id="640"/>
      <w:bookmarkStart w:id="641" w:name="_Toc477190569"/>
      <w:bookmarkEnd w:id="641"/>
      <w:bookmarkStart w:id="642" w:name="_Toc477190509"/>
      <w:bookmarkEnd w:id="642"/>
      <w:bookmarkStart w:id="643" w:name="_Toc477190561"/>
      <w:bookmarkEnd w:id="643"/>
      <w:bookmarkStart w:id="644" w:name="_Toc477190455"/>
      <w:bookmarkEnd w:id="644"/>
      <w:bookmarkStart w:id="645" w:name="_Toc477190555"/>
      <w:bookmarkEnd w:id="645"/>
      <w:bookmarkStart w:id="646" w:name="_Toc477190595"/>
      <w:bookmarkEnd w:id="646"/>
      <w:bookmarkStart w:id="647" w:name="_Toc477190573"/>
      <w:bookmarkEnd w:id="647"/>
      <w:bookmarkStart w:id="648" w:name="_Toc477190414"/>
      <w:bookmarkEnd w:id="648"/>
      <w:bookmarkStart w:id="649" w:name="_Toc477190642"/>
      <w:bookmarkEnd w:id="649"/>
      <w:bookmarkStart w:id="650" w:name="_Toc477190647"/>
      <w:bookmarkEnd w:id="650"/>
      <w:bookmarkStart w:id="651" w:name="_Toc477190429"/>
      <w:bookmarkEnd w:id="651"/>
      <w:bookmarkStart w:id="652" w:name="_Toc477190447"/>
      <w:bookmarkEnd w:id="652"/>
      <w:bookmarkStart w:id="653" w:name="_Toc477190464"/>
      <w:bookmarkEnd w:id="653"/>
      <w:bookmarkStart w:id="654" w:name="_Toc477190474"/>
      <w:bookmarkEnd w:id="654"/>
      <w:bookmarkStart w:id="655" w:name="_Toc477190465"/>
      <w:bookmarkEnd w:id="655"/>
      <w:bookmarkStart w:id="656" w:name="_Toc477190649"/>
      <w:bookmarkEnd w:id="656"/>
      <w:bookmarkStart w:id="657" w:name="_Toc477190440"/>
      <w:bookmarkEnd w:id="657"/>
      <w:bookmarkStart w:id="658" w:name="_Toc477190422"/>
      <w:bookmarkEnd w:id="658"/>
      <w:bookmarkStart w:id="659" w:name="_Toc477190571"/>
      <w:bookmarkEnd w:id="659"/>
      <w:bookmarkStart w:id="660" w:name="_Toc477190431"/>
      <w:bookmarkEnd w:id="660"/>
      <w:bookmarkStart w:id="661" w:name="_Toc477190507"/>
      <w:bookmarkEnd w:id="661"/>
      <w:bookmarkStart w:id="662" w:name="_Toc477190579"/>
      <w:bookmarkEnd w:id="662"/>
      <w:bookmarkStart w:id="663" w:name="_Toc477190513"/>
      <w:bookmarkEnd w:id="663"/>
      <w:bookmarkStart w:id="664" w:name="_Toc477190652"/>
      <w:bookmarkEnd w:id="664"/>
      <w:bookmarkStart w:id="665" w:name="_Toc477190584"/>
      <w:bookmarkEnd w:id="665"/>
      <w:bookmarkStart w:id="666" w:name="_Toc477190599"/>
      <w:bookmarkEnd w:id="666"/>
      <w:bookmarkStart w:id="667" w:name="_Toc477190434"/>
      <w:bookmarkEnd w:id="667"/>
      <w:bookmarkStart w:id="668" w:name="_Toc477190568"/>
      <w:bookmarkEnd w:id="668"/>
      <w:bookmarkStart w:id="669" w:name="_Toc477190365"/>
      <w:bookmarkEnd w:id="669"/>
      <w:bookmarkStart w:id="670" w:name="_Toc477190442"/>
      <w:bookmarkEnd w:id="670"/>
      <w:bookmarkStart w:id="671" w:name="_Toc477190591"/>
      <w:bookmarkEnd w:id="671"/>
      <w:bookmarkStart w:id="672" w:name="_Toc477190423"/>
      <w:bookmarkEnd w:id="672"/>
      <w:bookmarkStart w:id="673" w:name="_Toc477190462"/>
      <w:bookmarkEnd w:id="673"/>
      <w:bookmarkStart w:id="674" w:name="_Toc477190651"/>
      <w:bookmarkEnd w:id="674"/>
      <w:bookmarkStart w:id="675" w:name="_Toc477190441"/>
      <w:bookmarkEnd w:id="675"/>
      <w:bookmarkStart w:id="676" w:name="_Toc477190514"/>
      <w:bookmarkEnd w:id="676"/>
      <w:bookmarkStart w:id="677" w:name="_Toc477190593"/>
      <w:bookmarkEnd w:id="677"/>
      <w:bookmarkStart w:id="678" w:name="_Toc477190600"/>
      <w:bookmarkEnd w:id="678"/>
      <w:bookmarkStart w:id="679" w:name="_Toc477190419"/>
      <w:bookmarkEnd w:id="679"/>
      <w:bookmarkStart w:id="680" w:name="_Toc477190566"/>
      <w:bookmarkEnd w:id="680"/>
      <w:bookmarkStart w:id="681" w:name="_Toc477190549"/>
      <w:bookmarkEnd w:id="681"/>
      <w:bookmarkStart w:id="682" w:name="_Toc477190424"/>
      <w:bookmarkEnd w:id="682"/>
      <w:bookmarkStart w:id="683" w:name="_Toc477190567"/>
      <w:bookmarkEnd w:id="683"/>
      <w:bookmarkStart w:id="684" w:name="_Toc477190581"/>
      <w:bookmarkEnd w:id="684"/>
      <w:bookmarkStart w:id="685" w:name="_Toc477190654"/>
      <w:bookmarkEnd w:id="685"/>
      <w:bookmarkStart w:id="686" w:name="_Toc477190506"/>
      <w:bookmarkEnd w:id="686"/>
      <w:bookmarkStart w:id="687" w:name="_Toc477190517"/>
      <w:bookmarkEnd w:id="687"/>
      <w:bookmarkStart w:id="688" w:name="_Toc477190575"/>
      <w:bookmarkEnd w:id="688"/>
      <w:bookmarkStart w:id="689" w:name="_Toc477190450"/>
      <w:bookmarkEnd w:id="689"/>
      <w:bookmarkStart w:id="690" w:name="_Toc477190468"/>
      <w:bookmarkEnd w:id="690"/>
      <w:bookmarkStart w:id="691" w:name="_Toc477190598"/>
      <w:bookmarkEnd w:id="691"/>
      <w:bookmarkStart w:id="692" w:name="_Toc477190592"/>
      <w:bookmarkEnd w:id="692"/>
      <w:bookmarkStart w:id="693" w:name="_Toc477190448"/>
      <w:bookmarkEnd w:id="693"/>
      <w:bookmarkStart w:id="694" w:name="_Toc477190436"/>
      <w:bookmarkEnd w:id="694"/>
      <w:bookmarkStart w:id="695" w:name="_Toc477190426"/>
      <w:bookmarkEnd w:id="695"/>
      <w:bookmarkStart w:id="696" w:name="_Toc477190472"/>
      <w:bookmarkEnd w:id="696"/>
      <w:bookmarkStart w:id="697" w:name="_Toc477190601"/>
      <w:bookmarkEnd w:id="697"/>
      <w:bookmarkStart w:id="698" w:name="_Toc477190437"/>
      <w:bookmarkEnd w:id="698"/>
      <w:bookmarkStart w:id="699" w:name="_Toc477190577"/>
      <w:bookmarkEnd w:id="699"/>
      <w:bookmarkStart w:id="700" w:name="_Toc477190451"/>
      <w:bookmarkEnd w:id="700"/>
      <w:bookmarkStart w:id="701" w:name="_Toc477190438"/>
      <w:bookmarkEnd w:id="701"/>
      <w:bookmarkStart w:id="702" w:name="_Toc477190570"/>
      <w:bookmarkEnd w:id="702"/>
      <w:bookmarkStart w:id="703" w:name="_Toc477190511"/>
      <w:bookmarkEnd w:id="703"/>
      <w:bookmarkStart w:id="704" w:name="_Toc477190469"/>
      <w:bookmarkEnd w:id="704"/>
      <w:bookmarkStart w:id="705" w:name="_Toc477190427"/>
      <w:bookmarkEnd w:id="705"/>
      <w:bookmarkStart w:id="706" w:name="_Toc477190590"/>
      <w:bookmarkEnd w:id="706"/>
      <w:bookmarkStart w:id="707" w:name="_Toc477190562"/>
      <w:bookmarkEnd w:id="707"/>
      <w:bookmarkStart w:id="708" w:name="_Toc477190366"/>
      <w:bookmarkEnd w:id="708"/>
      <w:bookmarkStart w:id="709" w:name="_Toc477190454"/>
      <w:bookmarkEnd w:id="709"/>
      <w:bookmarkStart w:id="710" w:name="_Toc477190435"/>
      <w:bookmarkEnd w:id="710"/>
      <w:bookmarkStart w:id="711" w:name="_Toc477190648"/>
      <w:bookmarkEnd w:id="711"/>
      <w:bookmarkStart w:id="712" w:name="_Toc477190516"/>
      <w:bookmarkEnd w:id="712"/>
      <w:bookmarkStart w:id="713" w:name="_Toc477190433"/>
      <w:bookmarkEnd w:id="713"/>
      <w:bookmarkStart w:id="714" w:name="_Toc477190565"/>
      <w:bookmarkEnd w:id="714"/>
      <w:bookmarkStart w:id="715" w:name="_Toc477190512"/>
      <w:bookmarkEnd w:id="715"/>
      <w:bookmarkStart w:id="716" w:name="_Toc477190576"/>
      <w:bookmarkEnd w:id="716"/>
      <w:bookmarkStart w:id="717" w:name="_Toc477190446"/>
      <w:bookmarkEnd w:id="717"/>
      <w:bookmarkStart w:id="718" w:name="_Toc477190583"/>
      <w:bookmarkEnd w:id="718"/>
      <w:bookmarkStart w:id="719" w:name="_Toc477190646"/>
      <w:bookmarkEnd w:id="719"/>
      <w:bookmarkStart w:id="720" w:name="_Toc477190482"/>
      <w:bookmarkEnd w:id="720"/>
      <w:bookmarkStart w:id="721" w:name="_Toc477190563"/>
      <w:bookmarkEnd w:id="721"/>
      <w:bookmarkStart w:id="722" w:name="_Toc477190572"/>
      <w:bookmarkEnd w:id="722"/>
      <w:bookmarkStart w:id="723" w:name="_Toc477190588"/>
      <w:bookmarkEnd w:id="723"/>
      <w:bookmarkStart w:id="724" w:name="_Toc477190459"/>
      <w:bookmarkEnd w:id="724"/>
      <w:bookmarkStart w:id="725" w:name="_Toc477190508"/>
      <w:bookmarkEnd w:id="725"/>
      <w:bookmarkStart w:id="726" w:name="_Toc477190578"/>
      <w:bookmarkEnd w:id="726"/>
      <w:bookmarkStart w:id="727" w:name="_Toc477190632"/>
      <w:bookmarkEnd w:id="727"/>
      <w:bookmarkStart w:id="728" w:name="_Toc477190430"/>
      <w:bookmarkEnd w:id="728"/>
      <w:bookmarkStart w:id="729" w:name="_Toc477190470"/>
      <w:bookmarkEnd w:id="729"/>
      <w:bookmarkStart w:id="730" w:name="_Toc477190594"/>
      <w:bookmarkEnd w:id="730"/>
      <w:bookmarkStart w:id="731" w:name="_Toc477190543"/>
      <w:bookmarkEnd w:id="731"/>
      <w:bookmarkStart w:id="732" w:name="_Toc477190582"/>
      <w:bookmarkEnd w:id="732"/>
      <w:bookmarkStart w:id="733" w:name="_Toc477190505"/>
      <w:bookmarkEnd w:id="733"/>
      <w:bookmarkStart w:id="734" w:name="_Toc477190445"/>
      <w:bookmarkEnd w:id="734"/>
      <w:bookmarkStart w:id="735" w:name="_Toc477190504"/>
      <w:bookmarkEnd w:id="735"/>
      <w:bookmarkStart w:id="736" w:name="_Toc477190457"/>
      <w:bookmarkEnd w:id="736"/>
      <w:bookmarkStart w:id="737" w:name="_Toc477190515"/>
      <w:bookmarkEnd w:id="737"/>
      <w:bookmarkStart w:id="738" w:name="_Toc477190418"/>
      <w:bookmarkEnd w:id="738"/>
      <w:bookmarkStart w:id="739" w:name="_Toc477190471"/>
      <w:bookmarkEnd w:id="739"/>
      <w:bookmarkStart w:id="740" w:name="_Toc477190368"/>
      <w:bookmarkEnd w:id="740"/>
      <w:bookmarkStart w:id="741" w:name="_Toc477190597"/>
      <w:bookmarkEnd w:id="741"/>
      <w:bookmarkStart w:id="742" w:name="_Toc477190463"/>
      <w:bookmarkEnd w:id="742"/>
      <w:bookmarkStart w:id="743" w:name="_Toc477190587"/>
      <w:bookmarkEnd w:id="743"/>
      <w:bookmarkStart w:id="744" w:name="_Toc18827"/>
      <w:bookmarkStart w:id="745" w:name="_Toc56432242"/>
      <w:bookmarkStart w:id="746" w:name="_Toc14332"/>
      <w:bookmarkStart w:id="747" w:name="_Toc31182"/>
      <w:bookmarkStart w:id="748" w:name="_Toc1651912"/>
      <w:bookmarkStart w:id="749" w:name="_Toc21327"/>
      <w:bookmarkStart w:id="750" w:name="_Toc475472691"/>
      <w:r>
        <w:rPr>
          <w:rFonts w:hint="eastAsia" w:ascii="宋体" w:hAnsi="宋体"/>
          <w:color w:val="auto"/>
          <w:sz w:val="24"/>
          <w:szCs w:val="24"/>
        </w:rPr>
        <w:t>商务合同条款偏离表</w:t>
      </w:r>
      <w:bookmarkEnd w:id="744"/>
      <w:bookmarkEnd w:id="745"/>
      <w:bookmarkEnd w:id="746"/>
      <w:bookmarkEnd w:id="747"/>
      <w:bookmarkEnd w:id="748"/>
      <w:bookmarkEnd w:id="749"/>
    </w:p>
    <w:p>
      <w:pPr>
        <w:pStyle w:val="14"/>
        <w:spacing w:line="240" w:lineRule="auto"/>
        <w:jc w:val="center"/>
        <w:rPr>
          <w:rFonts w:ascii="宋体" w:hAnsi="宋体" w:eastAsia="宋体"/>
          <w:b/>
          <w:bCs/>
          <w:color w:val="auto"/>
          <w:kern w:val="2"/>
          <w:sz w:val="24"/>
          <w:szCs w:val="24"/>
        </w:rPr>
      </w:pPr>
      <w:r>
        <w:rPr>
          <w:rFonts w:hint="eastAsia" w:ascii="宋体" w:hAnsi="宋体" w:eastAsia="宋体"/>
          <w:b/>
          <w:bCs/>
          <w:color w:val="auto"/>
          <w:kern w:val="2"/>
          <w:sz w:val="24"/>
          <w:szCs w:val="24"/>
        </w:rPr>
        <w:t>商务合同条款偏离表</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主题展厅多媒体设备及互动展项定制安装服务项目</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WJS-202304070019</w:t>
      </w:r>
    </w:p>
    <w:tbl>
      <w:tblPr>
        <w:tblStyle w:val="40"/>
        <w:tblW w:w="9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5"/>
        <w:gridCol w:w="2431"/>
        <w:gridCol w:w="2612"/>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725"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2431"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招标文件的合同条款</w:t>
            </w: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投标文件的合同条款响应</w:t>
            </w: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jc w:val="both"/>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jc w:val="both"/>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jc w:val="both"/>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jc w:val="both"/>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Theme="minorEastAsia" w:hAnsiTheme="minorEastAsia" w:eastAsiaTheme="minorEastAsia" w:cstheme="minorEastAsia"/>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rPr>
                <w:rFonts w:ascii="宋体" w:hAnsi="宋体" w:eastAsia="宋体"/>
                <w:color w:val="auto"/>
                <w:sz w:val="21"/>
                <w:szCs w:val="21"/>
              </w:rPr>
            </w:pPr>
          </w:p>
        </w:tc>
        <w:tc>
          <w:tcPr>
            <w:tcW w:w="2431" w:type="dxa"/>
            <w:vAlign w:val="center"/>
          </w:tcPr>
          <w:p>
            <w:pPr>
              <w:pStyle w:val="14"/>
              <w:spacing w:line="240" w:lineRule="auto"/>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 w:type="dxa"/>
            <w:vAlign w:val="center"/>
          </w:tcPr>
          <w:p>
            <w:pPr>
              <w:pStyle w:val="14"/>
              <w:numPr>
                <w:ilvl w:val="0"/>
                <w:numId w:val="21"/>
              </w:numPr>
              <w:spacing w:line="240" w:lineRule="auto"/>
              <w:jc w:val="center"/>
              <w:rPr>
                <w:rFonts w:ascii="宋体" w:hAnsi="宋体" w:eastAsia="宋体"/>
                <w:color w:val="auto"/>
                <w:sz w:val="21"/>
                <w:szCs w:val="21"/>
              </w:rPr>
            </w:pPr>
          </w:p>
        </w:tc>
        <w:tc>
          <w:tcPr>
            <w:tcW w:w="1725"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（其余条款投标人可根据实际情况自行补充）</w:t>
            </w:r>
          </w:p>
        </w:tc>
        <w:tc>
          <w:tcPr>
            <w:tcW w:w="2431" w:type="dxa"/>
            <w:vAlign w:val="center"/>
          </w:tcPr>
          <w:p>
            <w:pPr>
              <w:pStyle w:val="14"/>
              <w:ind w:left="46" w:hanging="46" w:hangingChars="22"/>
              <w:rPr>
                <w:rFonts w:ascii="宋体" w:hAnsi="宋体" w:eastAsia="宋体"/>
                <w:color w:val="auto"/>
                <w:sz w:val="21"/>
                <w:szCs w:val="21"/>
              </w:rPr>
            </w:pPr>
          </w:p>
        </w:tc>
        <w:tc>
          <w:tcPr>
            <w:tcW w:w="2612" w:type="dxa"/>
            <w:vAlign w:val="center"/>
          </w:tcPr>
          <w:p>
            <w:pPr>
              <w:pStyle w:val="14"/>
              <w:spacing w:line="240" w:lineRule="auto"/>
              <w:ind w:left="46" w:hanging="46" w:hangingChars="22"/>
              <w:jc w:val="center"/>
              <w:rPr>
                <w:rFonts w:ascii="宋体" w:hAnsi="宋体" w:eastAsia="宋体"/>
                <w:color w:val="auto"/>
                <w:sz w:val="21"/>
                <w:szCs w:val="21"/>
              </w:rPr>
            </w:pPr>
          </w:p>
        </w:tc>
        <w:tc>
          <w:tcPr>
            <w:tcW w:w="1515" w:type="dxa"/>
            <w:vAlign w:val="center"/>
          </w:tcPr>
          <w:p>
            <w:pPr>
              <w:pStyle w:val="14"/>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“第四章</w:t>
      </w:r>
      <w:r>
        <w:rPr>
          <w:rFonts w:ascii="宋体" w:hAnsi="宋体"/>
          <w:b/>
          <w:bCs/>
          <w:color w:val="auto"/>
          <w:szCs w:val="21"/>
        </w:rPr>
        <w:t xml:space="preserve"> </w:t>
      </w:r>
      <w:r>
        <w:rPr>
          <w:rFonts w:hint="eastAsia" w:ascii="宋体" w:hAnsi="宋体"/>
          <w:b/>
          <w:bCs/>
          <w:color w:val="auto"/>
          <w:szCs w:val="21"/>
        </w:rPr>
        <w:t>商务合同”：</w:t>
      </w:r>
    </w:p>
    <w:p>
      <w:pPr>
        <w:rPr>
          <w:rFonts w:ascii="宋体" w:hAnsi="宋体"/>
          <w:bCs/>
          <w:color w:val="auto"/>
          <w:szCs w:val="21"/>
        </w:rPr>
      </w:pPr>
      <w:r>
        <w:rPr>
          <w:rFonts w:ascii="宋体" w:hAnsi="宋体"/>
          <w:bCs/>
          <w:color w:val="auto"/>
          <w:szCs w:val="21"/>
        </w:rPr>
        <w:t>1、如有优于招标文件要求的条件或与招标文件要求有偏离的条目应填写“</w:t>
      </w:r>
      <w:r>
        <w:rPr>
          <w:rFonts w:hint="eastAsia" w:ascii="宋体" w:hAnsi="宋体"/>
          <w:b/>
          <w:bCs/>
          <w:color w:val="auto"/>
          <w:szCs w:val="21"/>
        </w:rPr>
        <w:t>商务</w:t>
      </w:r>
      <w:r>
        <w:rPr>
          <w:rFonts w:hint="eastAsia" w:ascii="宋体" w:hAnsi="宋体"/>
          <w:b/>
          <w:color w:val="auto"/>
          <w:szCs w:val="21"/>
        </w:rPr>
        <w:t>合同条款偏离表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保证：除商务</w:t>
      </w:r>
      <w:r>
        <w:rPr>
          <w:rFonts w:hint="eastAsia" w:ascii="宋体" w:hAnsi="宋体"/>
          <w:color w:val="auto"/>
          <w:spacing w:val="-2"/>
          <w:szCs w:val="21"/>
        </w:rPr>
        <w:t>合同条款偏离表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w:t>
      </w:r>
      <w:r>
        <w:rPr>
          <w:rFonts w:hint="eastAsia" w:ascii="宋体" w:hAnsi="宋体"/>
          <w:color w:val="auto"/>
          <w:spacing w:val="-2"/>
          <w:szCs w:val="21"/>
        </w:rPr>
        <w:t>商务合同</w:t>
      </w:r>
      <w:r>
        <w:rPr>
          <w:rFonts w:ascii="宋体" w:hAnsi="宋体"/>
          <w:color w:val="auto"/>
          <w:spacing w:val="-2"/>
          <w:szCs w:val="21"/>
        </w:rPr>
        <w:t>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2、如全部无偏离在“商务</w:t>
      </w:r>
      <w:r>
        <w:rPr>
          <w:rFonts w:hint="eastAsia" w:ascii="宋体" w:hAnsi="宋体"/>
          <w:b/>
          <w:color w:val="auto"/>
          <w:szCs w:val="21"/>
        </w:rPr>
        <w:t>合同条款偏离表</w:t>
      </w:r>
      <w:r>
        <w:rPr>
          <w:rFonts w:hint="eastAsia" w:ascii="宋体" w:hAnsi="宋体"/>
          <w:bCs/>
          <w:color w:val="auto"/>
          <w:szCs w:val="21"/>
        </w:rPr>
        <w:t>”中“投标</w:t>
      </w:r>
      <w:r>
        <w:rPr>
          <w:rFonts w:hint="eastAsia" w:ascii="宋体" w:hAnsi="宋体"/>
          <w:color w:val="auto"/>
          <w:szCs w:val="21"/>
        </w:rPr>
        <w:t>文件的合同条款响应</w:t>
      </w:r>
      <w:r>
        <w:rPr>
          <w:rFonts w:hint="eastAsia" w:ascii="宋体" w:hAnsi="宋体"/>
          <w:bCs/>
          <w:color w:val="auto"/>
          <w:szCs w:val="21"/>
        </w:rPr>
        <w:t>”一栏中填写“全部条款无偏离”。若投标人提供空白表格，则视为“</w:t>
      </w:r>
      <w:r>
        <w:rPr>
          <w:rFonts w:ascii="宋体" w:hAnsi="宋体"/>
          <w:b/>
          <w:color w:val="auto"/>
          <w:szCs w:val="21"/>
        </w:rPr>
        <w:t>商务</w:t>
      </w:r>
      <w:r>
        <w:rPr>
          <w:rFonts w:hint="eastAsia" w:ascii="宋体" w:hAnsi="宋体"/>
          <w:b/>
          <w:color w:val="auto"/>
          <w:szCs w:val="21"/>
        </w:rPr>
        <w:t>合同条款全部响应无偏离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“商务</w:t>
      </w:r>
      <w:r>
        <w:rPr>
          <w:rFonts w:hint="eastAsia" w:ascii="宋体" w:hAnsi="宋体"/>
          <w:b/>
          <w:color w:val="auto"/>
          <w:szCs w:val="21"/>
        </w:rPr>
        <w:t>合同条款偏离表</w:t>
      </w:r>
      <w:r>
        <w:rPr>
          <w:rFonts w:hint="eastAsia" w:ascii="宋体" w:hAnsi="宋体"/>
          <w:b/>
          <w:bCs/>
          <w:color w:val="auto"/>
          <w:szCs w:val="21"/>
        </w:rPr>
        <w:t>”需加盖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14"/>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rPr>
          <w:rFonts w:ascii="宋体" w:hAnsi="宋体"/>
          <w:bCs/>
          <w:color w:val="auto"/>
          <w:szCs w:val="21"/>
        </w:rPr>
      </w:pPr>
    </w:p>
    <w:p>
      <w:pPr>
        <w:pStyle w:val="14"/>
        <w:spacing w:line="240" w:lineRule="auto"/>
        <w:jc w:val="right"/>
        <w:rPr>
          <w:rFonts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widowControl/>
        <w:jc w:val="left"/>
        <w:rPr>
          <w:color w:val="auto"/>
        </w:rPr>
      </w:pPr>
      <w:r>
        <w:rPr>
          <w:color w:val="auto"/>
        </w:rPr>
        <w:br w:type="page"/>
      </w:r>
    </w:p>
    <w:p>
      <w:pPr>
        <w:pStyle w:val="36"/>
        <w:numPr>
          <w:ilvl w:val="0"/>
          <w:numId w:val="17"/>
        </w:numPr>
        <w:tabs>
          <w:tab w:val="left" w:pos="588"/>
        </w:tabs>
        <w:snapToGrid w:val="0"/>
        <w:spacing w:before="120" w:after="120" w:line="440" w:lineRule="exact"/>
        <w:jc w:val="left"/>
        <w:rPr>
          <w:rFonts w:ascii="宋体" w:hAnsi="宋体"/>
          <w:color w:val="auto"/>
          <w:sz w:val="24"/>
          <w:szCs w:val="24"/>
        </w:rPr>
      </w:pPr>
      <w:bookmarkStart w:id="751" w:name="_Toc9751"/>
      <w:bookmarkStart w:id="752" w:name="_Toc18418"/>
      <w:bookmarkStart w:id="753" w:name="_Toc9628"/>
      <w:bookmarkStart w:id="754" w:name="_Toc2177"/>
      <w:bookmarkStart w:id="755" w:name="_Toc56432243"/>
      <w:r>
        <w:rPr>
          <w:rFonts w:hint="eastAsia" w:ascii="宋体" w:hAnsi="宋体"/>
          <w:color w:val="auto"/>
          <w:sz w:val="24"/>
          <w:szCs w:val="24"/>
        </w:rPr>
        <w:t>实质性条款偏离表</w:t>
      </w:r>
      <w:bookmarkEnd w:id="751"/>
      <w:bookmarkEnd w:id="752"/>
      <w:bookmarkEnd w:id="753"/>
      <w:bookmarkEnd w:id="754"/>
    </w:p>
    <w:p>
      <w:pPr>
        <w:pStyle w:val="14"/>
        <w:spacing w:line="240" w:lineRule="auto"/>
        <w:jc w:val="center"/>
        <w:rPr>
          <w:rFonts w:asciiTheme="minorEastAsia" w:hAnsiTheme="minorEastAsia" w:eastAsiaTheme="minorEastAsia" w:cstheme="minorEastAsia"/>
          <w:b/>
          <w:bCs/>
          <w:color w:val="auto"/>
          <w:kern w:val="2"/>
          <w:sz w:val="24"/>
          <w:szCs w:val="24"/>
        </w:rPr>
      </w:pPr>
      <w:r>
        <w:rPr>
          <w:rFonts w:hint="eastAsia" w:asciiTheme="minorEastAsia" w:hAnsiTheme="minorEastAsia" w:eastAsiaTheme="minorEastAsia" w:cstheme="minorEastAsia"/>
          <w:b/>
          <w:bCs/>
          <w:color w:val="auto"/>
          <w:sz w:val="24"/>
          <w:szCs w:val="24"/>
        </w:rPr>
        <w:t>实质性条款偏离表（★条款）</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主题展厅多媒体设备及互动展项定制安装服务项目</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WJS-202304070019</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4"/>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3221"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招标文件的实质性采购需求条款</w:t>
            </w: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投标文件的实质性采购需求响应</w:t>
            </w: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spacing w:line="240" w:lineRule="auto"/>
              <w:ind w:left="46" w:hanging="46" w:hangingChars="22"/>
              <w:jc w:val="center"/>
              <w:rPr>
                <w:rFonts w:ascii="宋体" w:hAnsi="宋体" w:eastAsia="宋体"/>
                <w:color w:val="auto"/>
                <w:sz w:val="21"/>
                <w:szCs w:val="21"/>
              </w:rPr>
            </w:pPr>
            <w:r>
              <w:rPr>
                <w:rFonts w:ascii="宋体" w:hAnsi="宋体" w:eastAsia="宋体"/>
                <w:color w:val="auto"/>
                <w:sz w:val="21"/>
                <w:szCs w:val="21"/>
              </w:rPr>
              <w:t>1</w:t>
            </w:r>
          </w:p>
        </w:tc>
        <w:tc>
          <w:tcPr>
            <w:tcW w:w="1566" w:type="dxa"/>
            <w:vAlign w:val="center"/>
          </w:tcPr>
          <w:p>
            <w:pPr>
              <w:pStyle w:val="14"/>
              <w:spacing w:line="240" w:lineRule="auto"/>
              <w:ind w:left="46" w:hanging="46" w:hangingChars="22"/>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561" w:type="dxa"/>
            <w:vAlign w:val="center"/>
          </w:tcPr>
          <w:p>
            <w:pPr>
              <w:pStyle w:val="14"/>
              <w:spacing w:line="240" w:lineRule="auto"/>
              <w:ind w:left="46" w:hanging="46" w:hangingChars="22"/>
              <w:jc w:val="center"/>
              <w:rPr>
                <w:rFonts w:ascii="宋体" w:hAnsi="宋体" w:eastAsia="宋体"/>
                <w:color w:val="auto"/>
                <w:sz w:val="21"/>
                <w:szCs w:val="21"/>
              </w:rPr>
            </w:pPr>
            <w:r>
              <w:rPr>
                <w:rFonts w:ascii="宋体" w:hAnsi="宋体" w:eastAsia="宋体"/>
                <w:color w:val="auto"/>
                <w:sz w:val="21"/>
                <w:szCs w:val="21"/>
              </w:rPr>
              <w:t>2</w:t>
            </w: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“第五章</w:t>
      </w:r>
      <w:r>
        <w:rPr>
          <w:rFonts w:ascii="宋体" w:hAnsi="宋体"/>
          <w:b/>
          <w:bCs/>
          <w:color w:val="auto"/>
          <w:szCs w:val="21"/>
        </w:rPr>
        <w:t xml:space="preserve"> </w:t>
      </w:r>
      <w:r>
        <w:rPr>
          <w:rFonts w:hint="eastAsia" w:ascii="宋体" w:hAnsi="宋体"/>
          <w:b/>
          <w:bCs/>
          <w:color w:val="auto"/>
          <w:szCs w:val="21"/>
        </w:rPr>
        <w:t>采购需求书”：</w:t>
      </w:r>
    </w:p>
    <w:p>
      <w:pPr>
        <w:rPr>
          <w:rFonts w:ascii="宋体" w:hAnsi="宋体"/>
          <w:bCs/>
          <w:color w:val="auto"/>
          <w:szCs w:val="21"/>
        </w:rPr>
      </w:pPr>
      <w:r>
        <w:rPr>
          <w:rFonts w:ascii="宋体" w:hAnsi="宋体"/>
          <w:bCs/>
          <w:color w:val="auto"/>
          <w:szCs w:val="21"/>
        </w:rPr>
        <w:t>1、如有优于招标文件★条款要求的条件或与招标文件★条款要求有偏离的条目应填写</w:t>
      </w:r>
      <w:r>
        <w:rPr>
          <w:rFonts w:hint="eastAsia" w:ascii="宋体" w:hAnsi="宋体"/>
          <w:b/>
          <w:bCs/>
          <w:color w:val="auto"/>
          <w:szCs w:val="21"/>
        </w:rPr>
        <w:t>“实质性条款偏离表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w:t>
      </w:r>
      <w:r>
        <w:rPr>
          <w:rFonts w:hint="eastAsia" w:ascii="宋体" w:hAnsi="宋体"/>
          <w:color w:val="auto"/>
          <w:spacing w:val="-2"/>
          <w:szCs w:val="21"/>
        </w:rPr>
        <w:t>实质性条款偏离表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w:t>
      </w:r>
      <w:r>
        <w:rPr>
          <w:rFonts w:hint="eastAsia" w:ascii="宋体" w:hAnsi="宋体"/>
          <w:b/>
          <w:bCs/>
          <w:color w:val="auto"/>
          <w:szCs w:val="21"/>
        </w:rPr>
        <w:t>“实质性条款偏离表</w:t>
      </w:r>
      <w:r>
        <w:rPr>
          <w:rFonts w:hint="eastAsia" w:ascii="宋体" w:hAnsi="宋体"/>
          <w:bCs/>
          <w:color w:val="auto"/>
          <w:szCs w:val="21"/>
        </w:rPr>
        <w:t>”中“</w:t>
      </w:r>
      <w:r>
        <w:rPr>
          <w:rFonts w:hint="eastAsia" w:ascii="宋体" w:hAnsi="宋体"/>
          <w:color w:val="auto"/>
          <w:szCs w:val="21"/>
        </w:rPr>
        <w:t>投标文件的实质性采购需求响应</w:t>
      </w:r>
      <w:r>
        <w:rPr>
          <w:rFonts w:hint="eastAsia" w:ascii="宋体" w:hAnsi="宋体"/>
          <w:bCs/>
          <w:color w:val="auto"/>
          <w:szCs w:val="21"/>
        </w:rPr>
        <w:t>”一栏中填写“全部条款无偏离”。若投标人提供空白表格，则视为“</w:t>
      </w:r>
      <w:r>
        <w:rPr>
          <w:rFonts w:hint="eastAsia" w:ascii="宋体" w:hAnsi="宋体"/>
          <w:b/>
          <w:color w:val="auto"/>
          <w:szCs w:val="21"/>
        </w:rPr>
        <w:t>实质性采购需求条款全部响应无偏离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“实质性条款偏离表”需加盖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14"/>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pStyle w:val="14"/>
        <w:spacing w:line="240" w:lineRule="auto"/>
        <w:jc w:val="right"/>
        <w:rPr>
          <w:rFonts w:ascii="宋体" w:hAnsi="宋体" w:eastAsia="宋体"/>
          <w:color w:val="auto"/>
          <w:sz w:val="21"/>
          <w:szCs w:val="21"/>
          <w:u w:val="single"/>
        </w:rPr>
      </w:pPr>
    </w:p>
    <w:p>
      <w:pPr>
        <w:pStyle w:val="14"/>
        <w:spacing w:line="240" w:lineRule="auto"/>
        <w:jc w:val="right"/>
        <w:rPr>
          <w:rFonts w:ascii="宋体" w:hAnsi="宋体" w:eastAsia="宋体"/>
          <w:color w:val="auto"/>
          <w:sz w:val="21"/>
          <w:szCs w:val="21"/>
        </w:rPr>
      </w:pP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rPr>
          <w:rFonts w:ascii="宋体" w:hAnsi="宋体"/>
          <w:color w:val="auto"/>
          <w:sz w:val="24"/>
        </w:rPr>
      </w:pPr>
      <w:r>
        <w:rPr>
          <w:rFonts w:ascii="宋体" w:hAnsi="宋体"/>
          <w:color w:val="auto"/>
          <w:sz w:val="24"/>
        </w:rPr>
        <w:br w:type="page"/>
      </w:r>
    </w:p>
    <w:p>
      <w:pPr>
        <w:pStyle w:val="36"/>
        <w:numPr>
          <w:ilvl w:val="0"/>
          <w:numId w:val="17"/>
        </w:numPr>
        <w:tabs>
          <w:tab w:val="left" w:pos="588"/>
        </w:tabs>
        <w:snapToGrid w:val="0"/>
        <w:spacing w:before="120" w:after="120" w:line="440" w:lineRule="exact"/>
        <w:jc w:val="left"/>
        <w:rPr>
          <w:rFonts w:ascii="宋体" w:hAnsi="宋体"/>
          <w:color w:val="auto"/>
          <w:sz w:val="24"/>
          <w:szCs w:val="24"/>
        </w:rPr>
      </w:pPr>
      <w:bookmarkStart w:id="756" w:name="_Toc20002"/>
      <w:bookmarkStart w:id="757" w:name="_Toc9875"/>
      <w:bookmarkStart w:id="758" w:name="_Toc25312"/>
      <w:bookmarkStart w:id="759" w:name="_Toc31643"/>
      <w:r>
        <w:rPr>
          <w:rFonts w:hint="eastAsia" w:ascii="宋体" w:hAnsi="宋体"/>
          <w:color w:val="auto"/>
          <w:sz w:val="24"/>
          <w:szCs w:val="24"/>
        </w:rPr>
        <w:t>采购需求条款偏离表</w:t>
      </w:r>
      <w:bookmarkEnd w:id="755"/>
      <w:bookmarkEnd w:id="756"/>
      <w:bookmarkEnd w:id="757"/>
      <w:bookmarkEnd w:id="758"/>
      <w:bookmarkEnd w:id="759"/>
    </w:p>
    <w:p>
      <w:pPr>
        <w:pStyle w:val="14"/>
        <w:spacing w:line="240" w:lineRule="auto"/>
        <w:jc w:val="center"/>
        <w:rPr>
          <w:rFonts w:ascii="宋体" w:hAnsi="宋体" w:eastAsia="宋体"/>
          <w:b/>
          <w:bCs/>
          <w:color w:val="auto"/>
          <w:kern w:val="2"/>
          <w:sz w:val="24"/>
          <w:szCs w:val="24"/>
        </w:rPr>
      </w:pPr>
      <w:r>
        <w:rPr>
          <w:rFonts w:hint="eastAsia" w:ascii="宋体" w:hAnsi="宋体" w:eastAsia="宋体"/>
          <w:b/>
          <w:bCs/>
          <w:color w:val="auto"/>
          <w:kern w:val="2"/>
          <w:sz w:val="24"/>
          <w:szCs w:val="24"/>
        </w:rPr>
        <w:t>采购需求条款偏离表</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主题展厅多媒体设备及互动展项定制安装服务项目</w:t>
      </w:r>
    </w:p>
    <w:p>
      <w:pPr>
        <w:pStyle w:val="14"/>
        <w:spacing w:line="240" w:lineRule="auto"/>
        <w:rPr>
          <w:rFonts w:hint="eastAsia" w:ascii="宋体" w:hAnsi="宋体" w:eastAsia="宋体"/>
          <w:color w:val="auto"/>
          <w:sz w:val="21"/>
          <w:szCs w:val="21"/>
          <w:u w:val="single"/>
          <w:lang w:eastAsia="zh-CN"/>
        </w:rPr>
      </w:pPr>
      <w:r>
        <w:rPr>
          <w:rFonts w:hint="eastAsia" w:ascii="宋体" w:hAnsi="宋体" w:eastAsia="宋体"/>
          <w:color w:val="auto"/>
          <w:sz w:val="21"/>
          <w:szCs w:val="21"/>
        </w:rPr>
        <w:t>招标代理编号：</w:t>
      </w:r>
      <w:r>
        <w:rPr>
          <w:rFonts w:hint="eastAsia" w:ascii="宋体" w:hAnsi="宋体" w:eastAsia="宋体"/>
          <w:color w:val="auto"/>
          <w:sz w:val="21"/>
          <w:szCs w:val="21"/>
          <w:lang w:eastAsia="zh-CN"/>
        </w:rPr>
        <w:t>WJS-202304070019</w:t>
      </w:r>
    </w:p>
    <w:tbl>
      <w:tblPr>
        <w:tblStyle w:val="40"/>
        <w:tblW w:w="942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566"/>
        <w:gridCol w:w="3221"/>
        <w:gridCol w:w="2579"/>
        <w:gridCol w:w="1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5" w:hRule="atLeast"/>
        </w:trPr>
        <w:tc>
          <w:tcPr>
            <w:tcW w:w="561" w:type="dxa"/>
            <w:vAlign w:val="center"/>
          </w:tcPr>
          <w:p>
            <w:pPr>
              <w:pStyle w:val="14"/>
              <w:spacing w:line="240" w:lineRule="auto"/>
              <w:ind w:left="46" w:right="-139" w:rightChars="-66" w:hanging="46" w:hangingChars="22"/>
              <w:rPr>
                <w:rFonts w:ascii="宋体" w:hAnsi="宋体" w:eastAsia="宋体"/>
                <w:color w:val="auto"/>
                <w:sz w:val="21"/>
                <w:szCs w:val="21"/>
              </w:rPr>
            </w:pPr>
            <w:r>
              <w:rPr>
                <w:rFonts w:hint="eastAsia" w:ascii="宋体" w:hAnsi="宋体" w:eastAsia="宋体"/>
                <w:color w:val="auto"/>
                <w:sz w:val="21"/>
                <w:szCs w:val="21"/>
              </w:rPr>
              <w:t>序号</w:t>
            </w: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招标文件条目号</w:t>
            </w:r>
          </w:p>
        </w:tc>
        <w:tc>
          <w:tcPr>
            <w:tcW w:w="3221"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招标文件的采购需求条款</w:t>
            </w: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投标文件的采购需求响应</w:t>
            </w: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2"/>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2"/>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2"/>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2"/>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2"/>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numPr>
                <w:ilvl w:val="0"/>
                <w:numId w:val="22"/>
              </w:numPr>
              <w:spacing w:line="240" w:lineRule="auto"/>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宋体" w:hAnsi="宋体" w:eastAsia="宋体"/>
                <w:color w:val="auto"/>
                <w:sz w:val="21"/>
                <w:szCs w:val="21"/>
              </w:rPr>
            </w:pPr>
          </w:p>
        </w:tc>
        <w:tc>
          <w:tcPr>
            <w:tcW w:w="3221" w:type="dxa"/>
            <w:vAlign w:val="center"/>
          </w:tcPr>
          <w:p>
            <w:pPr>
              <w:pStyle w:val="14"/>
              <w:spacing w:line="240" w:lineRule="auto"/>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561" w:type="dxa"/>
            <w:vAlign w:val="center"/>
          </w:tcPr>
          <w:p>
            <w:pPr>
              <w:pStyle w:val="14"/>
              <w:spacing w:line="240" w:lineRule="auto"/>
              <w:ind w:left="46" w:hanging="46" w:hangingChars="22"/>
              <w:jc w:val="center"/>
              <w:rPr>
                <w:rFonts w:ascii="宋体" w:hAnsi="宋体" w:eastAsia="宋体"/>
                <w:color w:val="auto"/>
                <w:sz w:val="21"/>
                <w:szCs w:val="21"/>
              </w:rPr>
            </w:pPr>
          </w:p>
        </w:tc>
        <w:tc>
          <w:tcPr>
            <w:tcW w:w="1566" w:type="dxa"/>
            <w:vAlign w:val="center"/>
          </w:tcPr>
          <w:p>
            <w:pPr>
              <w:pStyle w:val="14"/>
              <w:spacing w:line="240" w:lineRule="auto"/>
              <w:ind w:left="46" w:hanging="46" w:hangingChars="22"/>
              <w:jc w:val="center"/>
              <w:rPr>
                <w:rFonts w:asciiTheme="minorEastAsia" w:hAnsiTheme="minorEastAsia" w:eastAsiaTheme="minorEastAsia"/>
                <w:color w:val="auto"/>
                <w:sz w:val="24"/>
                <w:szCs w:val="32"/>
              </w:rPr>
            </w:pPr>
            <w:r>
              <w:rPr>
                <w:rFonts w:hint="eastAsia" w:ascii="宋体" w:hAnsi="宋体" w:eastAsia="宋体"/>
                <w:color w:val="auto"/>
                <w:sz w:val="21"/>
                <w:szCs w:val="21"/>
              </w:rPr>
              <w:t>（其余条款投标人可根据实际情况自行补充）</w:t>
            </w:r>
          </w:p>
        </w:tc>
        <w:tc>
          <w:tcPr>
            <w:tcW w:w="3221" w:type="dxa"/>
            <w:vAlign w:val="center"/>
          </w:tcPr>
          <w:p>
            <w:pPr>
              <w:pStyle w:val="14"/>
              <w:ind w:left="46" w:hanging="46" w:hangingChars="22"/>
              <w:rPr>
                <w:rFonts w:ascii="宋体" w:hAnsi="宋体" w:eastAsia="宋体"/>
                <w:color w:val="auto"/>
                <w:sz w:val="21"/>
                <w:szCs w:val="21"/>
              </w:rPr>
            </w:pPr>
          </w:p>
        </w:tc>
        <w:tc>
          <w:tcPr>
            <w:tcW w:w="2579" w:type="dxa"/>
            <w:vAlign w:val="center"/>
          </w:tcPr>
          <w:p>
            <w:pPr>
              <w:pStyle w:val="14"/>
              <w:spacing w:line="240" w:lineRule="auto"/>
              <w:ind w:left="46" w:hanging="46" w:hangingChars="22"/>
              <w:jc w:val="center"/>
              <w:rPr>
                <w:rFonts w:ascii="宋体" w:hAnsi="宋体" w:eastAsia="宋体"/>
                <w:color w:val="auto"/>
                <w:sz w:val="21"/>
                <w:szCs w:val="21"/>
              </w:rPr>
            </w:pPr>
          </w:p>
        </w:tc>
        <w:tc>
          <w:tcPr>
            <w:tcW w:w="1496" w:type="dxa"/>
            <w:vAlign w:val="center"/>
          </w:tcPr>
          <w:p>
            <w:pPr>
              <w:pStyle w:val="14"/>
              <w:spacing w:line="240" w:lineRule="auto"/>
              <w:ind w:left="46" w:hanging="46" w:hangingChars="22"/>
              <w:jc w:val="center"/>
              <w:rPr>
                <w:rFonts w:ascii="宋体" w:hAnsi="宋体" w:eastAsia="宋体"/>
                <w:color w:val="auto"/>
                <w:sz w:val="21"/>
                <w:szCs w:val="21"/>
              </w:rPr>
            </w:pPr>
          </w:p>
        </w:tc>
      </w:tr>
    </w:tbl>
    <w:p>
      <w:pPr>
        <w:rPr>
          <w:rFonts w:ascii="宋体" w:hAnsi="宋体"/>
          <w:bCs/>
          <w:color w:val="auto"/>
          <w:szCs w:val="21"/>
        </w:rPr>
      </w:pPr>
    </w:p>
    <w:p>
      <w:pPr>
        <w:rPr>
          <w:rFonts w:ascii="宋体" w:hAnsi="宋体"/>
          <w:bCs/>
          <w:color w:val="auto"/>
          <w:szCs w:val="21"/>
        </w:rPr>
      </w:pPr>
      <w:r>
        <w:rPr>
          <w:rFonts w:hint="eastAsia" w:ascii="宋体" w:hAnsi="宋体"/>
          <w:bCs/>
          <w:color w:val="auto"/>
          <w:szCs w:val="21"/>
        </w:rPr>
        <w:t>注：投标人对照</w:t>
      </w:r>
      <w:r>
        <w:rPr>
          <w:rFonts w:hint="eastAsia" w:ascii="宋体" w:hAnsi="宋体"/>
          <w:b/>
          <w:bCs/>
          <w:color w:val="auto"/>
          <w:szCs w:val="21"/>
        </w:rPr>
        <w:t>“第五章</w:t>
      </w:r>
      <w:r>
        <w:rPr>
          <w:rFonts w:ascii="宋体" w:hAnsi="宋体"/>
          <w:b/>
          <w:bCs/>
          <w:color w:val="auto"/>
          <w:szCs w:val="21"/>
        </w:rPr>
        <w:t xml:space="preserve"> </w:t>
      </w:r>
      <w:r>
        <w:rPr>
          <w:rFonts w:hint="eastAsia" w:ascii="宋体" w:hAnsi="宋体"/>
          <w:b/>
          <w:bCs/>
          <w:color w:val="auto"/>
          <w:szCs w:val="21"/>
        </w:rPr>
        <w:t>采购需求书”：</w:t>
      </w:r>
    </w:p>
    <w:p>
      <w:pPr>
        <w:rPr>
          <w:rFonts w:ascii="宋体" w:hAnsi="宋体"/>
          <w:bCs/>
          <w:color w:val="auto"/>
          <w:szCs w:val="21"/>
        </w:rPr>
      </w:pPr>
      <w:r>
        <w:rPr>
          <w:rFonts w:ascii="宋体" w:hAnsi="宋体"/>
          <w:bCs/>
          <w:color w:val="auto"/>
          <w:szCs w:val="21"/>
        </w:rPr>
        <w:t>1、如有优于招标文件要求的条件或与招标文件要求有偏离的条目应填写</w:t>
      </w:r>
      <w:r>
        <w:rPr>
          <w:rFonts w:hint="eastAsia" w:ascii="宋体" w:hAnsi="宋体"/>
          <w:b/>
          <w:bCs/>
          <w:color w:val="auto"/>
          <w:szCs w:val="21"/>
        </w:rPr>
        <w:t>“采购需求条款偏离表</w:t>
      </w:r>
      <w:r>
        <w:rPr>
          <w:rFonts w:hint="eastAsia" w:ascii="宋体" w:hAnsi="宋体"/>
          <w:bCs/>
          <w:color w:val="auto"/>
          <w:szCs w:val="21"/>
        </w:rPr>
        <w:t>”。</w:t>
      </w:r>
    </w:p>
    <w:p>
      <w:pPr>
        <w:rPr>
          <w:rFonts w:ascii="宋体" w:hAnsi="宋体"/>
          <w:bCs/>
          <w:color w:val="auto"/>
          <w:szCs w:val="21"/>
        </w:rPr>
      </w:pPr>
      <w:r>
        <w:rPr>
          <w:rFonts w:hint="eastAsia" w:ascii="宋体" w:hAnsi="宋体"/>
          <w:bCs/>
          <w:color w:val="auto"/>
          <w:szCs w:val="21"/>
        </w:rPr>
        <w:t>投标人</w:t>
      </w:r>
      <w:r>
        <w:rPr>
          <w:rFonts w:ascii="宋体" w:hAnsi="宋体"/>
          <w:color w:val="auto"/>
          <w:spacing w:val="-2"/>
          <w:szCs w:val="21"/>
        </w:rPr>
        <w:t>保证：除</w:t>
      </w:r>
      <w:r>
        <w:rPr>
          <w:rFonts w:hint="eastAsia" w:ascii="宋体" w:hAnsi="宋体"/>
          <w:color w:val="auto"/>
          <w:spacing w:val="-2"/>
          <w:szCs w:val="21"/>
        </w:rPr>
        <w:t>采购需求条款偏离表</w:t>
      </w:r>
      <w:r>
        <w:rPr>
          <w:rFonts w:ascii="宋体" w:hAnsi="宋体"/>
          <w:color w:val="auto"/>
          <w:spacing w:val="-2"/>
          <w:szCs w:val="21"/>
        </w:rPr>
        <w:t>列出的偏差外，</w:t>
      </w:r>
      <w:r>
        <w:rPr>
          <w:rFonts w:hint="eastAsia" w:ascii="宋体" w:hAnsi="宋体"/>
          <w:color w:val="auto"/>
          <w:spacing w:val="-2"/>
          <w:szCs w:val="21"/>
        </w:rPr>
        <w:t>投标人</w:t>
      </w:r>
      <w:r>
        <w:rPr>
          <w:rFonts w:ascii="宋体" w:hAnsi="宋体"/>
          <w:color w:val="auto"/>
          <w:spacing w:val="-2"/>
          <w:szCs w:val="21"/>
        </w:rPr>
        <w:t>响应</w:t>
      </w:r>
      <w:r>
        <w:rPr>
          <w:rFonts w:hint="eastAsia" w:ascii="宋体" w:hAnsi="宋体"/>
          <w:color w:val="auto"/>
          <w:spacing w:val="-2"/>
          <w:szCs w:val="21"/>
        </w:rPr>
        <w:t>招标文件</w:t>
      </w:r>
      <w:r>
        <w:rPr>
          <w:rFonts w:ascii="宋体" w:hAnsi="宋体"/>
          <w:color w:val="auto"/>
          <w:spacing w:val="-2"/>
          <w:szCs w:val="21"/>
        </w:rPr>
        <w:t>的全部要求。</w:t>
      </w:r>
      <w:r>
        <w:rPr>
          <w:rFonts w:hint="eastAsia" w:ascii="宋体" w:hAnsi="宋体"/>
          <w:bCs/>
          <w:color w:val="auto"/>
          <w:szCs w:val="21"/>
        </w:rPr>
        <w:t>以上所指条款以最小条目号所在内容认定为一条款。</w:t>
      </w:r>
    </w:p>
    <w:p>
      <w:pPr>
        <w:rPr>
          <w:rFonts w:ascii="宋体" w:hAnsi="宋体"/>
          <w:bCs/>
          <w:color w:val="auto"/>
          <w:szCs w:val="21"/>
        </w:rPr>
      </w:pPr>
      <w:r>
        <w:rPr>
          <w:rFonts w:ascii="宋体" w:hAnsi="宋体"/>
          <w:bCs/>
          <w:color w:val="auto"/>
          <w:szCs w:val="21"/>
        </w:rPr>
        <w:t>2、如全部无偏离在</w:t>
      </w:r>
      <w:r>
        <w:rPr>
          <w:rFonts w:hint="eastAsia" w:ascii="宋体" w:hAnsi="宋体"/>
          <w:b/>
          <w:bCs/>
          <w:color w:val="auto"/>
          <w:szCs w:val="21"/>
        </w:rPr>
        <w:t>“采购需求条款偏离表</w:t>
      </w:r>
      <w:r>
        <w:rPr>
          <w:rFonts w:hint="eastAsia" w:ascii="宋体" w:hAnsi="宋体"/>
          <w:bCs/>
          <w:color w:val="auto"/>
          <w:szCs w:val="21"/>
        </w:rPr>
        <w:t>”中“</w:t>
      </w:r>
      <w:r>
        <w:rPr>
          <w:rFonts w:hint="eastAsia" w:ascii="宋体" w:hAnsi="宋体"/>
          <w:color w:val="auto"/>
          <w:szCs w:val="21"/>
        </w:rPr>
        <w:t>投标文件的采购需求响应</w:t>
      </w:r>
      <w:r>
        <w:rPr>
          <w:rFonts w:hint="eastAsia" w:ascii="宋体" w:hAnsi="宋体"/>
          <w:bCs/>
          <w:color w:val="auto"/>
          <w:szCs w:val="21"/>
        </w:rPr>
        <w:t>”一栏中填写“全部条款无偏离”。若投标人提供空白表格，则视为“</w:t>
      </w:r>
      <w:r>
        <w:rPr>
          <w:rFonts w:hint="eastAsia" w:ascii="宋体" w:hAnsi="宋体"/>
          <w:b/>
          <w:color w:val="auto"/>
          <w:szCs w:val="21"/>
        </w:rPr>
        <w:t>采购需求条款全部响应无偏离</w:t>
      </w:r>
      <w:r>
        <w:rPr>
          <w:rFonts w:hint="eastAsia" w:ascii="宋体" w:hAnsi="宋体"/>
          <w:bCs/>
          <w:color w:val="auto"/>
          <w:szCs w:val="21"/>
        </w:rPr>
        <w:t>”。</w:t>
      </w:r>
    </w:p>
    <w:p>
      <w:pPr>
        <w:rPr>
          <w:rFonts w:ascii="宋体" w:hAnsi="宋体"/>
          <w:bCs/>
          <w:color w:val="auto"/>
          <w:szCs w:val="21"/>
        </w:rPr>
      </w:pPr>
      <w:r>
        <w:rPr>
          <w:rFonts w:ascii="宋体" w:hAnsi="宋体"/>
          <w:bCs/>
          <w:color w:val="auto"/>
          <w:szCs w:val="21"/>
        </w:rPr>
        <w:t>3</w:t>
      </w:r>
      <w:r>
        <w:rPr>
          <w:rFonts w:hint="eastAsia" w:ascii="宋体" w:hAnsi="宋体"/>
          <w:bCs/>
          <w:color w:val="auto"/>
          <w:szCs w:val="21"/>
        </w:rPr>
        <w:t>、</w:t>
      </w:r>
      <w:r>
        <w:rPr>
          <w:rFonts w:hint="eastAsia" w:ascii="宋体" w:hAnsi="宋体"/>
          <w:b/>
          <w:bCs/>
          <w:color w:val="auto"/>
          <w:szCs w:val="21"/>
        </w:rPr>
        <w:t>“采购需求条款偏离表”需加盖</w:t>
      </w:r>
      <w:r>
        <w:rPr>
          <w:rFonts w:ascii="宋体" w:hAnsi="宋体"/>
          <w:b/>
          <w:color w:val="auto"/>
          <w:szCs w:val="21"/>
        </w:rPr>
        <w:t>单位公章</w:t>
      </w:r>
      <w:r>
        <w:rPr>
          <w:rFonts w:hint="eastAsia" w:ascii="宋体" w:hAnsi="宋体"/>
          <w:b/>
          <w:color w:val="auto"/>
          <w:szCs w:val="21"/>
        </w:rPr>
        <w:t>。</w:t>
      </w:r>
    </w:p>
    <w:p>
      <w:pPr>
        <w:rPr>
          <w:rFonts w:ascii="宋体" w:hAnsi="宋体"/>
          <w:bCs/>
          <w:color w:val="auto"/>
          <w:szCs w:val="21"/>
        </w:rPr>
      </w:pPr>
      <w:r>
        <w:rPr>
          <w:rFonts w:ascii="宋体" w:hAnsi="宋体"/>
          <w:bCs/>
          <w:color w:val="auto"/>
          <w:szCs w:val="21"/>
        </w:rPr>
        <w:t>4、正偏离（优于招标文件要求），无偏离（"等于"招标文件要求），负偏离（低于招标文件要求）。投标人正偏离的，需在说明一栏给出详细的文字说明。</w:t>
      </w:r>
    </w:p>
    <w:p>
      <w:pPr>
        <w:rPr>
          <w:rFonts w:ascii="宋体" w:hAnsi="宋体"/>
          <w:bCs/>
          <w:color w:val="auto"/>
          <w:szCs w:val="21"/>
        </w:rPr>
      </w:pPr>
    </w:p>
    <w:p>
      <w:pPr>
        <w:pStyle w:val="14"/>
        <w:spacing w:line="240" w:lineRule="auto"/>
        <w:jc w:val="right"/>
        <w:rPr>
          <w:rFonts w:ascii="宋体" w:hAnsi="宋体" w:eastAsia="宋体"/>
          <w:color w:val="auto"/>
          <w:sz w:val="21"/>
          <w:szCs w:val="21"/>
          <w:u w:val="single"/>
        </w:rPr>
      </w:pPr>
      <w:r>
        <w:rPr>
          <w:rFonts w:hint="eastAsia" w:ascii="宋体" w:hAnsi="宋体" w:eastAsia="宋体"/>
          <w:color w:val="auto"/>
          <w:sz w:val="21"/>
          <w:szCs w:val="21"/>
        </w:rPr>
        <w:t>投标人名称：</w:t>
      </w:r>
      <w:r>
        <w:rPr>
          <w:rFonts w:ascii="宋体" w:hAnsi="宋体" w:eastAsia="宋体"/>
          <w:color w:val="auto"/>
          <w:sz w:val="21"/>
          <w:szCs w:val="21"/>
          <w:u w:val="single"/>
        </w:rPr>
        <w:t xml:space="preserve">        （盖章）</w:t>
      </w:r>
    </w:p>
    <w:p>
      <w:pPr>
        <w:rPr>
          <w:rFonts w:ascii="宋体" w:hAnsi="宋体"/>
          <w:bCs/>
          <w:color w:val="auto"/>
          <w:szCs w:val="21"/>
        </w:rPr>
      </w:pPr>
    </w:p>
    <w:p>
      <w:pPr>
        <w:pStyle w:val="14"/>
        <w:spacing w:line="240" w:lineRule="auto"/>
        <w:jc w:val="right"/>
        <w:rPr>
          <w:rFonts w:hint="eastAsia" w:ascii="宋体" w:hAnsi="宋体" w:eastAsia="宋体"/>
          <w:color w:val="auto"/>
          <w:sz w:val="21"/>
          <w:szCs w:val="21"/>
        </w:rPr>
      </w:pPr>
      <w:r>
        <w:rPr>
          <w:rFonts w:ascii="宋体" w:hAnsi="宋体" w:eastAsia="宋体"/>
          <w:color w:val="auto"/>
          <w:sz w:val="21"/>
          <w:szCs w:val="21"/>
        </w:rPr>
        <w:t xml:space="preserve">                                     </w:t>
      </w:r>
      <w:r>
        <w:rPr>
          <w:rFonts w:hint="eastAsia" w:ascii="宋体" w:hAnsi="宋体" w:eastAsia="宋体"/>
          <w:color w:val="auto"/>
          <w:sz w:val="21"/>
          <w:szCs w:val="21"/>
        </w:rPr>
        <w:t>年</w:t>
      </w:r>
      <w:r>
        <w:rPr>
          <w:rFonts w:ascii="宋体" w:hAnsi="宋体" w:eastAsia="宋体"/>
          <w:color w:val="auto"/>
          <w:sz w:val="21"/>
          <w:szCs w:val="21"/>
        </w:rPr>
        <w:t xml:space="preserve">        </w:t>
      </w:r>
      <w:r>
        <w:rPr>
          <w:rFonts w:hint="eastAsia" w:ascii="宋体" w:hAnsi="宋体" w:eastAsia="宋体"/>
          <w:color w:val="auto"/>
          <w:sz w:val="21"/>
          <w:szCs w:val="21"/>
        </w:rPr>
        <w:t>月</w:t>
      </w:r>
      <w:r>
        <w:rPr>
          <w:rFonts w:ascii="宋体" w:hAnsi="宋体" w:eastAsia="宋体"/>
          <w:color w:val="auto"/>
          <w:sz w:val="21"/>
          <w:szCs w:val="21"/>
        </w:rPr>
        <w:t xml:space="preserve">        </w:t>
      </w:r>
      <w:r>
        <w:rPr>
          <w:rFonts w:hint="eastAsia" w:ascii="宋体" w:hAnsi="宋体" w:eastAsia="宋体"/>
          <w:color w:val="auto"/>
          <w:sz w:val="21"/>
          <w:szCs w:val="21"/>
        </w:rPr>
        <w:t>日</w:t>
      </w:r>
    </w:p>
    <w:p>
      <w:pPr>
        <w:rPr>
          <w:rFonts w:hint="eastAsia" w:ascii="宋体" w:hAnsi="宋体"/>
          <w:bCs/>
          <w:color w:val="auto"/>
          <w:szCs w:val="21"/>
        </w:rPr>
      </w:pPr>
    </w:p>
    <w:p>
      <w:pPr>
        <w:widowControl/>
        <w:jc w:val="left"/>
        <w:rPr>
          <w:rFonts w:ascii="宋体" w:hAnsi="宋体"/>
          <w:color w:val="auto"/>
          <w:kern w:val="0"/>
          <w:szCs w:val="21"/>
        </w:rPr>
      </w:pPr>
      <w:r>
        <w:rPr>
          <w:rFonts w:ascii="宋体" w:hAnsi="宋体"/>
          <w:color w:val="auto"/>
          <w:szCs w:val="21"/>
        </w:rPr>
        <w:br w:type="page"/>
      </w:r>
    </w:p>
    <w:p>
      <w:pPr>
        <w:pStyle w:val="36"/>
        <w:numPr>
          <w:ilvl w:val="0"/>
          <w:numId w:val="17"/>
        </w:numPr>
        <w:tabs>
          <w:tab w:val="left" w:pos="588"/>
        </w:tabs>
        <w:snapToGrid w:val="0"/>
        <w:spacing w:before="120" w:after="120" w:line="440" w:lineRule="exact"/>
        <w:jc w:val="left"/>
        <w:rPr>
          <w:rFonts w:ascii="宋体" w:hAnsi="宋体"/>
          <w:color w:val="auto"/>
          <w:sz w:val="24"/>
        </w:rPr>
      </w:pPr>
      <w:bookmarkStart w:id="760" w:name="_Toc16427"/>
      <w:bookmarkStart w:id="761" w:name="_Toc13150"/>
      <w:bookmarkStart w:id="762" w:name="_Toc56432244"/>
      <w:bookmarkStart w:id="763" w:name="_Toc19736"/>
      <w:bookmarkStart w:id="764" w:name="_Toc26821"/>
      <w:r>
        <w:rPr>
          <w:rFonts w:hint="eastAsia" w:ascii="宋体" w:hAnsi="宋体"/>
          <w:color w:val="auto"/>
          <w:sz w:val="24"/>
        </w:rPr>
        <w:t>公章对投标专用章授权说明（如有）</w:t>
      </w:r>
      <w:bookmarkEnd w:id="760"/>
      <w:bookmarkEnd w:id="761"/>
      <w:bookmarkEnd w:id="762"/>
      <w:bookmarkEnd w:id="763"/>
      <w:bookmarkEnd w:id="764"/>
    </w:p>
    <w:p>
      <w:pPr>
        <w:rPr>
          <w:rFonts w:ascii="宋体" w:hAnsi="宋体"/>
          <w:b/>
          <w:bCs/>
          <w:color w:val="auto"/>
          <w:sz w:val="24"/>
        </w:rPr>
      </w:pPr>
    </w:p>
    <w:p>
      <w:pPr>
        <w:adjustRightInd w:val="0"/>
        <w:snapToGrid w:val="0"/>
        <w:spacing w:line="440" w:lineRule="exact"/>
        <w:jc w:val="left"/>
        <w:rPr>
          <w:rFonts w:ascii="宋体" w:hAnsi="宋体" w:cs="宋体"/>
          <w:color w:val="auto"/>
          <w:szCs w:val="21"/>
        </w:rPr>
      </w:pPr>
      <w:r>
        <w:rPr>
          <w:rFonts w:hint="eastAsia" w:ascii="宋体" w:hAnsi="宋体" w:cs="宋体"/>
          <w:color w:val="auto"/>
          <w:szCs w:val="21"/>
        </w:rPr>
        <w:t>致：</w:t>
      </w:r>
      <w:r>
        <w:rPr>
          <w:rFonts w:ascii="宋体" w:hAnsi="宋体" w:cs="宋体"/>
          <w:color w:val="auto"/>
          <w:szCs w:val="21"/>
          <w:u w:val="single"/>
        </w:rPr>
        <w:t xml:space="preserve">    （</w:t>
      </w:r>
      <w:r>
        <w:rPr>
          <w:rFonts w:hint="eastAsia" w:ascii="宋体" w:hAnsi="宋体" w:cs="宋体"/>
          <w:color w:val="auto"/>
          <w:szCs w:val="21"/>
          <w:u w:val="single"/>
        </w:rPr>
        <w:t>招标人</w:t>
      </w:r>
      <w:r>
        <w:rPr>
          <w:rFonts w:ascii="宋体" w:hAnsi="宋体" w:cs="宋体"/>
          <w:color w:val="auto"/>
          <w:szCs w:val="21"/>
          <w:u w:val="single"/>
        </w:rPr>
        <w:t xml:space="preserve">名称）        </w:t>
      </w:r>
      <w:r>
        <w:rPr>
          <w:rFonts w:ascii="宋体" w:hAnsi="宋体" w:cs="宋体"/>
          <w:color w:val="auto"/>
          <w:szCs w:val="21"/>
        </w:rPr>
        <w:t>：</w:t>
      </w:r>
    </w:p>
    <w:p>
      <w:pPr>
        <w:spacing w:line="360" w:lineRule="auto"/>
        <w:ind w:firstLine="420" w:firstLineChars="200"/>
        <w:rPr>
          <w:color w:val="auto"/>
        </w:rPr>
      </w:pPr>
      <w:r>
        <w:rPr>
          <w:rFonts w:hint="eastAsia"/>
          <w:color w:val="auto"/>
          <w:u w:val="single"/>
        </w:rPr>
        <w:t>（投标单位）</w:t>
      </w:r>
      <w:r>
        <w:rPr>
          <w:rFonts w:hint="eastAsia"/>
          <w:color w:val="auto"/>
        </w:rPr>
        <w:t>，是中华人民共和国依法登记注册的合法企业，注册地址：</w:t>
      </w:r>
      <w:r>
        <w:rPr>
          <w:color w:val="auto"/>
          <w:u w:val="single"/>
        </w:rPr>
        <w:t xml:space="preserve">          </w:t>
      </w:r>
      <w:r>
        <w:rPr>
          <w:rFonts w:hint="eastAsia"/>
          <w:color w:val="auto"/>
        </w:rPr>
        <w:t>，法定代表人：</w:t>
      </w:r>
      <w:r>
        <w:rPr>
          <w:color w:val="auto"/>
        </w:rPr>
        <w:t>__________</w:t>
      </w:r>
      <w:r>
        <w:rPr>
          <w:rFonts w:hint="eastAsia"/>
          <w:color w:val="auto"/>
        </w:rPr>
        <w:t>。</w:t>
      </w:r>
    </w:p>
    <w:p>
      <w:pPr>
        <w:spacing w:line="360" w:lineRule="auto"/>
        <w:ind w:firstLine="420" w:firstLineChars="200"/>
        <w:rPr>
          <w:color w:val="auto"/>
        </w:rPr>
      </w:pPr>
      <w:r>
        <w:rPr>
          <w:rFonts w:hint="eastAsia"/>
          <w:color w:val="auto"/>
        </w:rPr>
        <w:t>在贵单位采购项目：</w:t>
      </w:r>
      <w:r>
        <w:rPr>
          <w:color w:val="auto"/>
        </w:rPr>
        <w:t>_____________________</w:t>
      </w:r>
      <w:r>
        <w:rPr>
          <w:rFonts w:hint="eastAsia"/>
          <w:color w:val="auto"/>
        </w:rPr>
        <w:t>，招标代理编号：</w:t>
      </w:r>
      <w:r>
        <w:rPr>
          <w:color w:val="auto"/>
        </w:rPr>
        <w:t>___________</w:t>
      </w:r>
      <w:r>
        <w:rPr>
          <w:rFonts w:hint="eastAsia"/>
          <w:color w:val="auto"/>
        </w:rPr>
        <w:t>，投标单位针对以上招投标项目活动，在此作如下说明： </w:t>
      </w:r>
    </w:p>
    <w:p>
      <w:pPr>
        <w:spacing w:line="360" w:lineRule="auto"/>
        <w:ind w:firstLine="420" w:firstLineChars="200"/>
        <w:rPr>
          <w:color w:val="auto"/>
        </w:rPr>
      </w:pPr>
      <w:r>
        <w:rPr>
          <w:rFonts w:hint="eastAsia"/>
          <w:color w:val="auto"/>
        </w:rPr>
        <w:t>在此次招投标中，投标单位所使用的“投标专用章”与投标单位公章具有同等的法律效力，投标单位对所使用“投标专用章”的行为和相应责任予以完全承认。特此说明。</w:t>
      </w:r>
    </w:p>
    <w:p>
      <w:pPr>
        <w:spacing w:line="360" w:lineRule="auto"/>
        <w:ind w:firstLine="4638" w:firstLineChars="2200"/>
        <w:rPr>
          <w:b/>
          <w:color w:val="auto"/>
        </w:rPr>
      </w:pPr>
      <w:r>
        <w:rPr>
          <w:rFonts w:hint="eastAsia"/>
          <w:b/>
          <w:color w:val="auto"/>
        </w:rPr>
        <w:t>投标单位（单位公章）：</w:t>
      </w:r>
    </w:p>
    <w:p>
      <w:pPr>
        <w:spacing w:line="360" w:lineRule="auto"/>
        <w:ind w:firstLine="4620" w:firstLineChars="2200"/>
        <w:rPr>
          <w:color w:val="auto"/>
        </w:rPr>
      </w:pPr>
      <w:r>
        <w:rPr>
          <w:rFonts w:hint="eastAsia"/>
          <w:color w:val="auto"/>
        </w:rPr>
        <w:t>法定代表人签字或盖章：</w:t>
      </w:r>
    </w:p>
    <w:p>
      <w:pPr>
        <w:spacing w:line="360" w:lineRule="auto"/>
        <w:ind w:firstLine="4620" w:firstLineChars="2200"/>
        <w:rPr>
          <w:color w:val="auto"/>
        </w:rPr>
      </w:pPr>
      <w:r>
        <w:rPr>
          <w:rFonts w:hint="eastAsia"/>
          <w:color w:val="auto"/>
        </w:rPr>
        <w:t>日</w:t>
      </w:r>
      <w:r>
        <w:rPr>
          <w:color w:val="auto"/>
        </w:rPr>
        <w:t xml:space="preserve"> </w:t>
      </w:r>
      <w:r>
        <w:rPr>
          <w:rFonts w:hint="eastAsia"/>
          <w:color w:val="auto"/>
        </w:rPr>
        <w:t>期：</w:t>
      </w: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pPr>
        <w:spacing w:line="360" w:lineRule="auto"/>
        <w:rPr>
          <w:color w:val="auto"/>
        </w:rPr>
      </w:pPr>
      <w:r>
        <w:rPr>
          <w:rFonts w:hint="eastAsia"/>
          <w:color w:val="auto"/>
        </w:rPr>
        <w:t>附：</w:t>
      </w:r>
    </w:p>
    <w:p>
      <w:pPr>
        <w:spacing w:line="360" w:lineRule="auto"/>
        <w:rPr>
          <w:color w:val="auto"/>
        </w:rPr>
      </w:pPr>
      <w:r>
        <w:rPr>
          <w:rFonts w:hint="eastAsia" w:ascii="宋体" w:hAnsi="宋体"/>
          <w:b/>
          <w:color w:val="auto"/>
          <w:szCs w:val="21"/>
        </w:rPr>
        <w:t>同时</w:t>
      </w:r>
      <w:r>
        <w:rPr>
          <w:rFonts w:hint="eastAsia"/>
          <w:b/>
          <w:color w:val="auto"/>
        </w:rPr>
        <w:t>提供投标专用章在公安、工商等部门的备案手续复印件（加盖单位公章）</w:t>
      </w:r>
    </w:p>
    <w:p>
      <w:pPr>
        <w:spacing w:line="360" w:lineRule="auto"/>
        <w:rPr>
          <w:color w:val="auto"/>
        </w:rPr>
      </w:pPr>
      <w:r>
        <w:rPr>
          <w:rFonts w:hint="eastAsia"/>
          <w:color w:val="auto"/>
        </w:rPr>
        <w:t>投标单位公章（印模）</w:t>
      </w:r>
      <w:r>
        <w:rPr>
          <w:color w:val="auto"/>
        </w:rPr>
        <w:t xml:space="preserve">                             </w:t>
      </w:r>
      <w:r>
        <w:rPr>
          <w:rFonts w:hint="eastAsia"/>
          <w:color w:val="auto"/>
        </w:rPr>
        <w:t>投标单位投标专用章（印模）</w:t>
      </w:r>
      <w:r>
        <w:rPr>
          <w:color w:val="auto"/>
        </w:rPr>
        <mc:AlternateContent>
          <mc:Choice Requires="wps">
            <w:drawing>
              <wp:anchor distT="0" distB="0" distL="114300" distR="114300" simplePos="0" relativeHeight="251664384" behindDoc="0" locked="0" layoutInCell="1" allowOverlap="1">
                <wp:simplePos x="0" y="0"/>
                <wp:positionH relativeFrom="column">
                  <wp:posOffset>2937510</wp:posOffset>
                </wp:positionH>
                <wp:positionV relativeFrom="paragraph">
                  <wp:posOffset>267335</wp:posOffset>
                </wp:positionV>
                <wp:extent cx="2665730" cy="1966595"/>
                <wp:effectExtent l="6350" t="6350" r="20320" b="8255"/>
                <wp:wrapNone/>
                <wp:docPr id="7" name="矩形 8"/>
                <wp:cNvGraphicFramePr/>
                <a:graphic xmlns:a="http://schemas.openxmlformats.org/drawingml/2006/main">
                  <a:graphicData uri="http://schemas.microsoft.com/office/word/2010/wordprocessingShape">
                    <wps:wsp>
                      <wps:cNvSpPr/>
                      <wps:spPr>
                        <a:xfrm>
                          <a:off x="0" y="0"/>
                          <a:ext cx="2665730"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8" o:spid="_x0000_s1026" o:spt="1" style="position:absolute;left:0pt;margin-left:231.3pt;margin-top:21.05pt;height:154.85pt;width:209.9pt;z-index:251664384;v-text-anchor:middle;mso-width-relative:page;mso-height-relative:page;" filled="f" stroked="t" coordsize="21600,21600" o:gfxdata="UEsDBAoAAAAAAIdO4kAAAAAAAAAAAAAAAAAEAAAAZHJzL1BLAwQUAAAACACHTuJAbulxadsAAAAK&#10;AQAADwAAAGRycy9kb3ducmV2LnhtbE2PQU7DMBBF90jcwRokNog6DiWNQpwuUNtFu6goPYBrT5Oo&#10;sR3FTlo4PcMKdjOapz/vl8ub7diEQ2i9kyBmCTB02pvW1RKOn+vnHFiIyhnVeYcSvjDAsrq/K1Vh&#10;/NV94HSINaMQFwoloYmxLzgPukGrwsz36Oh29oNVkdah5mZQVwq3HU+TJONWtY4+NKrH9wb15TBa&#10;Cavt/vupvRzX29VuJzYLbfU4baR8fBDJG7CIt/gHw68+qUNFTic/OhNYJ2GepRmhNKQCGAF5ns6B&#10;nSS8vIoceFXy/xWqH1BLAwQUAAAACACHTuJAzQ8OwxECAAArBAAADgAAAGRycy9lMm9Eb2MueG1s&#10;rVPNjtMwEL4j8Q6W7zRNYdtt1HQPLcsFwUoLDzC1ncSS/2S7Tfo0SNx4CB4H8RqMnVCW5dIDl2TG&#10;Hn8z3+fPm7tBK3ISPkhralrO5pQIwyyXpq3p50/3r24pCREMB2WNqOlZBHq3ffli07tKLGxnFRee&#10;IIgJVe9q2sXoqqIIrBMawsw6YXCzsV5DxNS3BffQI7pWxWI+Xxa99dx5y0QIuLofN+mE6K8BtE0j&#10;mdhbdtTCxBHVCwURKYVOukC3edqmESx+bJogIlE1RaYxf7EJxof0LbYbqFoPrpNsGgGuGeEZJw3S&#10;YNML1B4ikKOX/0BpybwNtokzZnUxEsmKIIty/kybxw6cyFxQ6uAuoof/B8s+nB48kbymK0oMaLzw&#10;n1++/fj+ldwmbXoXKix5dA9+ygKGiejQeJ3+SIEMWc/zRU8xRMJwcbFc3qxeo9QM98o1ZuubhFr8&#10;Oe58iO+E1SQFNfV4YVlHOL0PcSz9XZK6GXsvlcJ1qJQhPaIuVvPUANCJDToAQ+2QTTBtxglWSZ7O&#10;pCPBt4ed8uQE6IY35apc76Zx/ipLDfcQurEub6UyqLSMIukAVSeAvzWcxLNDxQw+FJqm0YJTogS+&#10;qxTlyghSXVOJmiiToEV27cQ+6T8qnqI4HAYETeHB8jNeHBjWWbQzi55OyS6O9j46L9sONS0zx3QI&#10;PZTFn/yeTPo0x/jpG9/+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7pcWnbAAAACgEAAA8AAAAA&#10;AAAAAQAgAAAAIgAAAGRycy9kb3ducmV2LnhtbFBLAQIUABQAAAAIAIdO4kDNDw7DEQIAACsEAAAO&#10;AAAAAAAAAAEAIAAAACoBAABkcnMvZTJvRG9jLnhtbFBLBQYAAAAABgAGAFkBAACtBQAAAAA=&#10;">
                <v:fill on="f" focussize="0,0"/>
                <v:stroke weight="1pt" color="#41719C" joinstyle="miter"/>
                <v:imagedata o:title=""/>
                <o:lock v:ext="edit" aspectratio="f"/>
                <v:textbox>
                  <w:txbxContent>
                    <w:p>
                      <w:pPr>
                        <w:jc w:val="center"/>
                      </w:pPr>
                    </w:p>
                  </w:txbxContent>
                </v:textbox>
              </v:rect>
            </w:pict>
          </mc:Fallback>
        </mc:AlternateContent>
      </w:r>
      <w:r>
        <w:rPr>
          <w:color w:val="auto"/>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267335</wp:posOffset>
                </wp:positionV>
                <wp:extent cx="2380615" cy="1966595"/>
                <wp:effectExtent l="6350" t="6350" r="26035" b="8255"/>
                <wp:wrapNone/>
                <wp:docPr id="6" name="矩形 7"/>
                <wp:cNvGraphicFramePr/>
                <a:graphic xmlns:a="http://schemas.openxmlformats.org/drawingml/2006/main">
                  <a:graphicData uri="http://schemas.microsoft.com/office/word/2010/wordprocessingShape">
                    <wps:wsp>
                      <wps:cNvSpPr/>
                      <wps:spPr>
                        <a:xfrm>
                          <a:off x="0" y="0"/>
                          <a:ext cx="2380615" cy="1966595"/>
                        </a:xfrm>
                        <a:prstGeom prst="rect">
                          <a:avLst/>
                        </a:prstGeom>
                        <a:noFill/>
                        <a:ln w="12700" cap="flat" cmpd="sng">
                          <a:solidFill>
                            <a:srgbClr val="41719C"/>
                          </a:solidFill>
                          <a:prstDash val="solid"/>
                          <a:miter/>
                          <a:headEnd type="none" w="med" len="med"/>
                          <a:tailEnd type="none" w="med" len="med"/>
                        </a:ln>
                        <a:effectLst/>
                      </wps:spPr>
                      <wps:txbx>
                        <w:txbxContent>
                          <w:p>
                            <w:pPr>
                              <w:jc w:val="center"/>
                            </w:pPr>
                          </w:p>
                        </w:txbxContent>
                      </wps:txbx>
                      <wps:bodyPr anchor="ctr" anchorCtr="0" upright="1"/>
                    </wps:wsp>
                  </a:graphicData>
                </a:graphic>
              </wp:anchor>
            </w:drawing>
          </mc:Choice>
          <mc:Fallback>
            <w:pict>
              <v:rect id="矩形 7" o:spid="_x0000_s1026" o:spt="1" style="position:absolute;left:0pt;margin-left:-3.05pt;margin-top:21.05pt;height:154.85pt;width:187.45pt;z-index:251663360;v-text-anchor:middle;mso-width-relative:page;mso-height-relative:page;" filled="f" stroked="t" coordsize="21600,21600" o:gfxdata="UEsDBAoAAAAAAIdO4kAAAAAAAAAAAAAAAAAEAAAAZHJzL1BLAwQUAAAACACHTuJAjVg9BNoAAAAJ&#10;AQAADwAAAGRycy9kb3ducmV2LnhtbE2PwU7DMBBE70j8g7VIXFDruECIQpweUNtDe6go/QDXWZKo&#10;8TqKnbTw9SwnOO2uZjT7plheXScmHELrSYOaJyCQrK9aqjUcP9azDESIhirTeUINXxhgWd7eFCav&#10;/IXecTrEWnAIhdxoaGLscymDbdCZMPc9EmuffnAm8jnUshrMhcNdJxdJkkpnWuIPjenxrUF7PoxO&#10;w2q7/35oz8f1drXbqc2LdXacNlrf36nkFUTEa/wzwy8+o0PJTCc/UhVEp2GWKnZqeFrwZP0xzbjK&#10;iZdnlYEsC/m/QfkDUEsDBBQAAAAIAIdO4kCJ9wJMEwIAACsEAAAOAAAAZHJzL2Uyb0RvYy54bWyt&#10;U8uu0zAQ3SPxD5b3NEmh7W3U9C5aLhsEV7rwAVPHSSz5Jdtt0q9BYsdH8DmI32DshHIfmy7YJGPP&#10;zPGc4+PN7aAkOXHnhdEVLWY5JVwzUwvdVvTrl7s3N5T4ALoGaTSv6Jl7ert9/WrT25LPTWdkzR1B&#10;EO3L3la0C8GWWeZZxxX4mbFcY7IxTkHApWuz2kGP6Epm8zxfZr1xtXWGce9xdz8m6YTorgE0TSMY&#10;3xt2VFyHEdVxCQEp+U5YT7dp2qbhLHxuGs8DkRVFpiF98RCMD/GbbTdQtg5sJ9g0AlwzwjNOCoTG&#10;Qy9QewhAjk68gFKCOeNNE2bMqGwkkhRBFkX+TJuHDixPXFBqby+i+/8Hyz6d7h0RdUWXlGhQeOG/&#10;v/349fM7WUVteutLLHmw925aeQwj0aFxKv6RAhmSnueLnnwIhOHm/O1NviwWlDDMFevlcrFeRNTs&#10;X7t1PnzgRpEYVNThhSUd4fTRh7H0b0k8TZs7ISXuQyk16RF1vsrxLhmgExt0AIbKIhuv24TjjRR1&#10;7Ikt3rWHnXTkBOiGd8WqWO+mcZ6UxQP34LuxLqViGZRKBB51gLLjUL/XNQlni4ppfCg0TqN4TYnk&#10;+K5ilCoDCHlNJWoidYTmybUT+6j/qHiMwnAYEDSGB1Of8eJAs86gnVlwdFrswmjvo3Wi7VDTInGM&#10;TeihJP7k92jSx2uMH7/x7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NWD0E2gAAAAkBAAAPAAAA&#10;AAAAAAEAIAAAACIAAABkcnMvZG93bnJldi54bWxQSwECFAAUAAAACACHTuJAifcCTBMCAAArBAAA&#10;DgAAAAAAAAABACAAAAApAQAAZHJzL2Uyb0RvYy54bWxQSwUGAAAAAAYABgBZAQAArgUAAAAA&#10;">
                <v:fill on="f" focussize="0,0"/>
                <v:stroke weight="1pt" color="#41719C" joinstyle="miter"/>
                <v:imagedata o:title=""/>
                <o:lock v:ext="edit" aspectratio="f"/>
                <v:textbox>
                  <w:txbxContent>
                    <w:p>
                      <w:pPr>
                        <w:jc w:val="center"/>
                      </w:pPr>
                    </w:p>
                  </w:txbxContent>
                </v:textbox>
              </v:rect>
            </w:pict>
          </mc:Fallback>
        </mc:AlternateContent>
      </w:r>
    </w:p>
    <w:p>
      <w:pPr>
        <w:spacing w:line="360" w:lineRule="auto"/>
        <w:rPr>
          <w:color w:val="auto"/>
        </w:rPr>
      </w:pPr>
    </w:p>
    <w:p>
      <w:pPr>
        <w:pStyle w:val="14"/>
        <w:spacing w:line="360" w:lineRule="auto"/>
        <w:rPr>
          <w:rFonts w:ascii="仿宋_GB2312" w:hAnsi="宋体" w:eastAsia="仿宋_GB2312"/>
          <w:bCs/>
          <w:color w:val="auto"/>
          <w:szCs w:val="21"/>
        </w:rPr>
      </w:pPr>
    </w:p>
    <w:p>
      <w:pPr>
        <w:spacing w:line="360" w:lineRule="auto"/>
        <w:rPr>
          <w:color w:val="auto"/>
          <w:kern w:val="0"/>
        </w:rPr>
      </w:pPr>
    </w:p>
    <w:p>
      <w:pPr>
        <w:spacing w:line="360" w:lineRule="auto"/>
        <w:ind w:left="2879" w:leftChars="1371"/>
        <w:jc w:val="right"/>
        <w:rPr>
          <w:rFonts w:ascii="宋体" w:hAnsi="宋体"/>
          <w:color w:val="auto"/>
          <w:sz w:val="24"/>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widowControl/>
        <w:jc w:val="left"/>
        <w:rPr>
          <w:color w:val="auto"/>
        </w:rPr>
      </w:pPr>
    </w:p>
    <w:p>
      <w:pPr>
        <w:rPr>
          <w:rFonts w:hint="eastAsia" w:ascii="宋体" w:hAnsi="宋体" w:eastAsia="宋体"/>
          <w:bCs/>
          <w:color w:val="auto"/>
          <w:szCs w:val="21"/>
          <w:lang w:eastAsia="zh-CN"/>
        </w:rPr>
      </w:pPr>
    </w:p>
    <w:p>
      <w:pPr>
        <w:widowControl/>
        <w:jc w:val="left"/>
        <w:rPr>
          <w:rFonts w:ascii="宋体" w:hAnsi="宋体" w:cs="宋体"/>
          <w:color w:val="auto"/>
          <w:szCs w:val="21"/>
        </w:rPr>
      </w:pPr>
      <w:r>
        <w:rPr>
          <w:color w:val="auto"/>
        </w:rPr>
        <w:br w:type="page"/>
      </w:r>
    </w:p>
    <w:p>
      <w:pPr>
        <w:pStyle w:val="36"/>
        <w:numPr>
          <w:ilvl w:val="0"/>
          <w:numId w:val="0"/>
        </w:numPr>
        <w:tabs>
          <w:tab w:val="left" w:pos="588"/>
        </w:tabs>
        <w:snapToGrid w:val="0"/>
        <w:spacing w:before="120" w:after="120" w:line="440" w:lineRule="exact"/>
        <w:ind w:leftChars="0"/>
        <w:jc w:val="left"/>
        <w:rPr>
          <w:rFonts w:ascii="宋体" w:hAnsi="宋体"/>
          <w:color w:val="auto"/>
          <w:sz w:val="24"/>
          <w:szCs w:val="24"/>
        </w:rPr>
      </w:pPr>
      <w:bookmarkStart w:id="765" w:name="_Toc20183"/>
      <w:bookmarkStart w:id="766" w:name="_Toc22292"/>
      <w:bookmarkStart w:id="767" w:name="_Toc21560"/>
      <w:bookmarkStart w:id="768" w:name="_Toc2178"/>
      <w:bookmarkStart w:id="769" w:name="_Toc1651914"/>
      <w:r>
        <w:rPr>
          <w:rFonts w:hint="eastAsia" w:ascii="宋体" w:hAnsi="宋体"/>
          <w:color w:val="auto"/>
          <w:sz w:val="24"/>
          <w:szCs w:val="24"/>
        </w:rPr>
        <w:t>11.</w:t>
      </w:r>
      <w:bookmarkEnd w:id="765"/>
      <w:bookmarkEnd w:id="766"/>
      <w:bookmarkStart w:id="770" w:name="_Toc3790"/>
      <w:r>
        <w:rPr>
          <w:rFonts w:hint="eastAsia" w:ascii="宋体" w:hAnsi="宋体"/>
          <w:color w:val="auto"/>
          <w:sz w:val="24"/>
          <w:szCs w:val="24"/>
        </w:rPr>
        <w:t>同类业绩表</w:t>
      </w:r>
      <w:bookmarkEnd w:id="767"/>
      <w:bookmarkEnd w:id="770"/>
    </w:p>
    <w:p>
      <w:pPr>
        <w:jc w:val="center"/>
        <w:rPr>
          <w:color w:val="auto"/>
        </w:rPr>
      </w:pPr>
      <w:r>
        <w:rPr>
          <w:color w:val="auto"/>
        </w:rPr>
        <w:t>20</w:t>
      </w:r>
      <w:r>
        <w:rPr>
          <w:rFonts w:hint="eastAsia"/>
          <w:color w:val="auto"/>
          <w:lang w:val="en-US" w:eastAsia="zh-CN"/>
        </w:rPr>
        <w:t>20</w:t>
      </w:r>
      <w:r>
        <w:rPr>
          <w:rFonts w:hint="eastAsia"/>
          <w:color w:val="auto"/>
        </w:rPr>
        <w:t>年</w:t>
      </w:r>
      <w:r>
        <w:rPr>
          <w:color w:val="auto"/>
        </w:rPr>
        <w:t>1</w:t>
      </w:r>
      <w:r>
        <w:rPr>
          <w:rFonts w:hint="eastAsia"/>
          <w:color w:val="auto"/>
        </w:rPr>
        <w:t>月</w:t>
      </w:r>
      <w:r>
        <w:rPr>
          <w:color w:val="auto"/>
        </w:rPr>
        <w:t>1</w:t>
      </w:r>
      <w:r>
        <w:rPr>
          <w:rFonts w:hint="eastAsia"/>
          <w:color w:val="auto"/>
        </w:rPr>
        <w:t>日（含）至今具备的同类项目情况表</w:t>
      </w:r>
    </w:p>
    <w:tbl>
      <w:tblPr>
        <w:tblStyle w:val="4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1995"/>
        <w:gridCol w:w="1119"/>
        <w:gridCol w:w="1119"/>
        <w:gridCol w:w="1119"/>
        <w:gridCol w:w="1119"/>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441" w:type="pct"/>
            <w:vAlign w:val="center"/>
          </w:tcPr>
          <w:p>
            <w:pPr>
              <w:jc w:val="center"/>
              <w:rPr>
                <w:rFonts w:ascii="宋体" w:hAnsi="宋体"/>
                <w:bCs/>
                <w:color w:val="auto"/>
                <w:szCs w:val="21"/>
              </w:rPr>
            </w:pPr>
            <w:r>
              <w:rPr>
                <w:rFonts w:hint="eastAsia" w:ascii="宋体" w:hAnsi="宋体"/>
                <w:bCs/>
                <w:color w:val="auto"/>
                <w:szCs w:val="21"/>
              </w:rPr>
              <w:t>序号</w:t>
            </w:r>
          </w:p>
        </w:tc>
        <w:tc>
          <w:tcPr>
            <w:tcW w:w="1169" w:type="pct"/>
            <w:vAlign w:val="center"/>
          </w:tcPr>
          <w:p>
            <w:pPr>
              <w:jc w:val="center"/>
              <w:rPr>
                <w:rFonts w:ascii="宋体" w:hAnsi="宋体"/>
                <w:bCs/>
                <w:color w:val="auto"/>
                <w:szCs w:val="21"/>
              </w:rPr>
            </w:pPr>
            <w:r>
              <w:rPr>
                <w:rFonts w:hint="eastAsia" w:ascii="宋体" w:hAnsi="宋体"/>
                <w:bCs/>
                <w:color w:val="auto"/>
                <w:szCs w:val="21"/>
                <w:lang w:val="en-US" w:eastAsia="zh-CN"/>
              </w:rPr>
              <w:t>合同</w:t>
            </w:r>
            <w:r>
              <w:rPr>
                <w:rFonts w:hint="eastAsia" w:ascii="宋体" w:hAnsi="宋体"/>
                <w:bCs/>
                <w:color w:val="auto"/>
                <w:szCs w:val="21"/>
              </w:rPr>
              <w:t>名称</w:t>
            </w:r>
          </w:p>
        </w:tc>
        <w:tc>
          <w:tcPr>
            <w:tcW w:w="656" w:type="pct"/>
            <w:vAlign w:val="center"/>
          </w:tcPr>
          <w:p>
            <w:pPr>
              <w:jc w:val="center"/>
              <w:rPr>
                <w:rFonts w:ascii="宋体" w:hAnsi="宋体"/>
                <w:bCs/>
                <w:color w:val="auto"/>
                <w:szCs w:val="21"/>
              </w:rPr>
            </w:pPr>
            <w:r>
              <w:rPr>
                <w:rFonts w:hint="eastAsia" w:ascii="宋体" w:hAnsi="宋体"/>
                <w:bCs/>
                <w:color w:val="auto"/>
                <w:szCs w:val="21"/>
              </w:rPr>
              <w:t>合同金额</w:t>
            </w:r>
          </w:p>
        </w:tc>
        <w:tc>
          <w:tcPr>
            <w:tcW w:w="656" w:type="pct"/>
            <w:vAlign w:val="center"/>
          </w:tcPr>
          <w:p>
            <w:pPr>
              <w:jc w:val="center"/>
              <w:rPr>
                <w:rFonts w:ascii="宋体" w:hAnsi="宋体"/>
                <w:bCs/>
                <w:color w:val="auto"/>
                <w:szCs w:val="21"/>
              </w:rPr>
            </w:pPr>
            <w:r>
              <w:rPr>
                <w:rFonts w:hint="eastAsia" w:ascii="宋体" w:hAnsi="宋体"/>
                <w:bCs/>
                <w:color w:val="auto"/>
                <w:szCs w:val="21"/>
              </w:rPr>
              <w:t>甲方名称</w:t>
            </w:r>
          </w:p>
        </w:tc>
        <w:tc>
          <w:tcPr>
            <w:tcW w:w="656" w:type="pct"/>
            <w:vAlign w:val="center"/>
          </w:tcPr>
          <w:p>
            <w:pPr>
              <w:jc w:val="center"/>
              <w:rPr>
                <w:rFonts w:hint="default" w:ascii="宋体" w:hAnsi="宋体" w:eastAsia="宋体"/>
                <w:bCs/>
                <w:color w:val="auto"/>
                <w:szCs w:val="21"/>
                <w:lang w:val="en-US" w:eastAsia="zh-CN"/>
              </w:rPr>
            </w:pPr>
            <w:r>
              <w:rPr>
                <w:rFonts w:hint="eastAsia" w:ascii="宋体" w:hAnsi="宋体"/>
                <w:bCs/>
                <w:color w:val="auto"/>
                <w:szCs w:val="21"/>
                <w:lang w:val="en-US" w:eastAsia="zh-CN"/>
              </w:rPr>
              <w:t>是否有客户评价</w:t>
            </w:r>
          </w:p>
        </w:tc>
        <w:tc>
          <w:tcPr>
            <w:tcW w:w="656" w:type="pct"/>
            <w:vAlign w:val="center"/>
          </w:tcPr>
          <w:p>
            <w:pPr>
              <w:jc w:val="center"/>
              <w:rPr>
                <w:rFonts w:ascii="宋体" w:hAnsi="宋体"/>
                <w:bCs/>
                <w:color w:val="auto"/>
                <w:szCs w:val="21"/>
              </w:rPr>
            </w:pPr>
            <w:r>
              <w:rPr>
                <w:rFonts w:hint="eastAsia" w:ascii="宋体" w:hAnsi="宋体"/>
                <w:bCs/>
                <w:color w:val="auto"/>
                <w:szCs w:val="21"/>
              </w:rPr>
              <w:t>签订合同时间</w:t>
            </w:r>
          </w:p>
        </w:tc>
        <w:tc>
          <w:tcPr>
            <w:tcW w:w="761" w:type="pct"/>
            <w:vAlign w:val="center"/>
          </w:tcPr>
          <w:p>
            <w:pPr>
              <w:jc w:val="center"/>
              <w:rPr>
                <w:rFonts w:ascii="宋体" w:hAnsi="宋体"/>
                <w:bCs/>
                <w:color w:val="auto"/>
                <w:szCs w:val="21"/>
              </w:rPr>
            </w:pPr>
            <w:r>
              <w:rPr>
                <w:rFonts w:hint="eastAsia" w:ascii="Verdana" w:hAnsi="Verdana"/>
                <w:color w:val="auto"/>
                <w:szCs w:val="21"/>
              </w:rPr>
              <w:t>投标文件对应页码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441" w:type="pct"/>
            <w:vAlign w:val="center"/>
          </w:tcPr>
          <w:p>
            <w:pPr>
              <w:jc w:val="center"/>
              <w:rPr>
                <w:rFonts w:ascii="宋体" w:hAnsi="宋体"/>
                <w:color w:val="auto"/>
                <w:szCs w:val="21"/>
              </w:rPr>
            </w:pPr>
          </w:p>
          <w:p>
            <w:pPr>
              <w:jc w:val="center"/>
              <w:rPr>
                <w:rFonts w:ascii="宋体" w:hAnsi="宋体"/>
                <w:color w:val="auto"/>
                <w:szCs w:val="21"/>
              </w:rPr>
            </w:pPr>
          </w:p>
        </w:tc>
        <w:tc>
          <w:tcPr>
            <w:tcW w:w="1169" w:type="pct"/>
            <w:vAlign w:val="center"/>
          </w:tcPr>
          <w:p>
            <w:pPr>
              <w:widowControl/>
              <w:jc w:val="center"/>
              <w:rPr>
                <w:rFonts w:ascii="宋体" w:hAnsi="宋体"/>
                <w:color w:val="auto"/>
                <w:szCs w:val="21"/>
              </w:rPr>
            </w:pPr>
          </w:p>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656" w:type="pct"/>
          </w:tcPr>
          <w:p>
            <w:pPr>
              <w:jc w:val="center"/>
              <w:rPr>
                <w:rFonts w:ascii="宋体" w:hAnsi="宋体"/>
                <w:color w:val="auto"/>
                <w:szCs w:val="21"/>
              </w:rPr>
            </w:pPr>
          </w:p>
        </w:tc>
        <w:tc>
          <w:tcPr>
            <w:tcW w:w="761" w:type="pct"/>
          </w:tcPr>
          <w:p>
            <w:pPr>
              <w:jc w:val="center"/>
              <w:rPr>
                <w:rFonts w:ascii="宋体" w:hAnsi="宋体"/>
                <w:color w:val="auto"/>
                <w:szCs w:val="21"/>
              </w:rPr>
            </w:pPr>
          </w:p>
        </w:tc>
      </w:tr>
    </w:tbl>
    <w:p>
      <w:pPr>
        <w:rPr>
          <w:rFonts w:hint="eastAsia" w:ascii="宋体" w:hAnsi="宋体" w:eastAsia="宋体" w:cs="Times New Roman"/>
          <w:bCs/>
          <w:color w:val="auto"/>
          <w:szCs w:val="21"/>
          <w:u w:val="single"/>
        </w:rPr>
      </w:pPr>
      <w:r>
        <w:rPr>
          <w:rFonts w:hint="eastAsia" w:ascii="宋体" w:hAnsi="宋体" w:eastAsia="宋体" w:cs="Times New Roman"/>
          <w:bCs/>
          <w:color w:val="auto"/>
          <w:szCs w:val="21"/>
          <w:u w:val="single"/>
        </w:rPr>
        <w:t>备注：投标人必须如实填写，须按第三章评审办法中的“商务评分表”评审纬度的要求提供证明材料，否则不予认可。</w:t>
      </w:r>
    </w:p>
    <w:p>
      <w:pPr>
        <w:rPr>
          <w:rFonts w:hint="eastAsia" w:ascii="宋体" w:hAnsi="宋体"/>
          <w:color w:val="auto"/>
          <w:sz w:val="24"/>
          <w:szCs w:val="24"/>
        </w:rPr>
      </w:pPr>
      <w:r>
        <w:rPr>
          <w:rFonts w:hint="eastAsia" w:ascii="宋体" w:hAnsi="宋体"/>
          <w:color w:val="auto"/>
          <w:sz w:val="24"/>
          <w:szCs w:val="24"/>
        </w:rPr>
        <w:br w:type="page"/>
      </w:r>
    </w:p>
    <w:p>
      <w:pPr>
        <w:pStyle w:val="36"/>
        <w:tabs>
          <w:tab w:val="left" w:pos="588"/>
        </w:tabs>
        <w:snapToGrid w:val="0"/>
        <w:spacing w:before="120" w:after="120" w:line="440" w:lineRule="exact"/>
        <w:ind w:left="142"/>
        <w:jc w:val="left"/>
        <w:rPr>
          <w:rFonts w:ascii="宋体" w:hAnsi="宋体"/>
          <w:color w:val="auto"/>
          <w:sz w:val="24"/>
          <w:szCs w:val="24"/>
        </w:rPr>
      </w:pPr>
      <w:bookmarkStart w:id="771" w:name="_Toc2233"/>
      <w:bookmarkStart w:id="772" w:name="_Toc9722"/>
      <w:r>
        <w:rPr>
          <w:rFonts w:hint="eastAsia" w:ascii="宋体" w:hAnsi="宋体"/>
          <w:color w:val="auto"/>
          <w:sz w:val="24"/>
          <w:szCs w:val="24"/>
        </w:rPr>
        <w:t>1</w:t>
      </w:r>
      <w:r>
        <w:rPr>
          <w:rFonts w:hint="eastAsia" w:ascii="宋体" w:hAnsi="宋体"/>
          <w:color w:val="auto"/>
          <w:sz w:val="24"/>
          <w:szCs w:val="24"/>
          <w:lang w:val="en-US" w:eastAsia="zh-CN"/>
        </w:rPr>
        <w:t>2</w:t>
      </w:r>
      <w:r>
        <w:rPr>
          <w:rFonts w:hint="eastAsia" w:ascii="宋体" w:hAnsi="宋体"/>
          <w:color w:val="auto"/>
          <w:sz w:val="24"/>
          <w:szCs w:val="24"/>
        </w:rPr>
        <w:t>.拟投入本项目服务人员明细表</w:t>
      </w:r>
      <w:bookmarkEnd w:id="768"/>
      <w:bookmarkEnd w:id="771"/>
      <w:bookmarkEnd w:id="772"/>
    </w:p>
    <w:p>
      <w:pPr>
        <w:spacing w:line="360" w:lineRule="auto"/>
        <w:rPr>
          <w:rFonts w:asciiTheme="minorEastAsia" w:hAnsiTheme="minorEastAsia"/>
          <w:color w:val="auto"/>
        </w:rPr>
      </w:pPr>
      <w:r>
        <w:rPr>
          <w:rFonts w:hint="eastAsia" w:asciiTheme="minorEastAsia" w:hAnsiTheme="minorEastAsia"/>
          <w:color w:val="auto"/>
        </w:rPr>
        <w:t>投标人名称：</w:t>
      </w:r>
      <w:r>
        <w:rPr>
          <w:rFonts w:asciiTheme="minorEastAsia" w:hAnsiTheme="minorEastAsia"/>
          <w:color w:val="auto"/>
        </w:rPr>
        <w:t xml:space="preserve">                                                </w:t>
      </w:r>
      <w:r>
        <w:rPr>
          <w:rFonts w:hint="eastAsia" w:asciiTheme="minorEastAsia" w:hAnsiTheme="minorEastAsia"/>
          <w:color w:val="auto"/>
        </w:rPr>
        <w:t>招标代理编号：</w:t>
      </w:r>
    </w:p>
    <w:tbl>
      <w:tblPr>
        <w:tblStyle w:val="40"/>
        <w:tblW w:w="4997"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09"/>
        <w:gridCol w:w="971"/>
        <w:gridCol w:w="672"/>
        <w:gridCol w:w="793"/>
        <w:gridCol w:w="1036"/>
        <w:gridCol w:w="1471"/>
        <w:gridCol w:w="1471"/>
        <w:gridCol w:w="13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74"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序号</w:t>
            </w:r>
          </w:p>
        </w:tc>
        <w:tc>
          <w:tcPr>
            <w:tcW w:w="569"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姓名</w:t>
            </w:r>
          </w:p>
        </w:tc>
        <w:tc>
          <w:tcPr>
            <w:tcW w:w="394"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性别</w:t>
            </w:r>
          </w:p>
        </w:tc>
        <w:tc>
          <w:tcPr>
            <w:tcW w:w="465" w:type="pct"/>
            <w:tcBorders>
              <w:top w:val="single" w:color="auto" w:sz="12" w:space="0"/>
              <w:bottom w:val="double" w:color="auto" w:sz="4" w:space="0"/>
            </w:tcBorders>
            <w:shd w:val="clear" w:color="auto" w:fill="EEECE1"/>
            <w:vAlign w:val="center"/>
          </w:tcPr>
          <w:p>
            <w:pPr>
              <w:spacing w:line="400" w:lineRule="exact"/>
              <w:jc w:val="center"/>
              <w:rPr>
                <w:rFonts w:hint="default" w:eastAsia="宋体" w:asciiTheme="minorEastAsia" w:hAnsiTheme="minorEastAsia"/>
                <w:color w:val="auto"/>
                <w:lang w:val="en-US" w:eastAsia="zh-CN"/>
              </w:rPr>
            </w:pPr>
            <w:r>
              <w:rPr>
                <w:rFonts w:hint="eastAsia" w:asciiTheme="minorEastAsia" w:hAnsiTheme="minorEastAsia"/>
                <w:color w:val="auto"/>
                <w:lang w:val="en-US" w:eastAsia="zh-CN"/>
              </w:rPr>
              <w:t>身份证号</w:t>
            </w:r>
          </w:p>
        </w:tc>
        <w:tc>
          <w:tcPr>
            <w:tcW w:w="607"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学历、专业</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hint="default" w:eastAsia="宋体" w:cs="Arial" w:asciiTheme="minorEastAsia" w:hAnsiTheme="minorEastAsia"/>
                <w:color w:val="auto"/>
                <w:szCs w:val="21"/>
                <w:lang w:val="en-US" w:eastAsia="zh-CN"/>
              </w:rPr>
            </w:pPr>
            <w:r>
              <w:rPr>
                <w:rFonts w:hint="eastAsia" w:cs="Arial" w:asciiTheme="minorEastAsia" w:hAnsiTheme="minorEastAsia"/>
                <w:color w:val="auto"/>
                <w:szCs w:val="21"/>
                <w:lang w:val="en-US" w:eastAsia="zh-CN"/>
              </w:rPr>
              <w:t>相关行业从业时长</w:t>
            </w:r>
          </w:p>
        </w:tc>
        <w:tc>
          <w:tcPr>
            <w:tcW w:w="862"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cs="Arial" w:asciiTheme="minorEastAsia" w:hAnsiTheme="minorEastAsia"/>
                <w:color w:val="auto"/>
                <w:szCs w:val="21"/>
              </w:rPr>
              <w:t>参与过的同类</w:t>
            </w:r>
            <w:r>
              <w:rPr>
                <w:rFonts w:cs="Arial" w:asciiTheme="minorEastAsia" w:hAnsiTheme="minorEastAsia"/>
                <w:color w:val="auto"/>
                <w:szCs w:val="21"/>
              </w:rPr>
              <w:t>项目</w:t>
            </w:r>
            <w:r>
              <w:rPr>
                <w:rFonts w:hint="eastAsia" w:cs="Arial" w:asciiTheme="minorEastAsia" w:hAnsiTheme="minorEastAsia"/>
                <w:color w:val="auto"/>
                <w:szCs w:val="21"/>
              </w:rPr>
              <w:t>名称</w:t>
            </w:r>
          </w:p>
        </w:tc>
        <w:tc>
          <w:tcPr>
            <w:tcW w:w="762" w:type="pct"/>
            <w:tcBorders>
              <w:top w:val="single" w:color="auto" w:sz="12" w:space="0"/>
              <w:bottom w:val="doub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拟担任职务或承担工作内容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tcBorders>
              <w:top w:val="double" w:color="auto" w:sz="4" w:space="0"/>
            </w:tcBorders>
            <w:vAlign w:val="center"/>
          </w:tcPr>
          <w:p>
            <w:pPr>
              <w:spacing w:line="400" w:lineRule="exact"/>
              <w:jc w:val="center"/>
              <w:rPr>
                <w:rFonts w:asciiTheme="minorEastAsia" w:hAnsiTheme="minorEastAsia"/>
                <w:color w:val="auto"/>
              </w:rPr>
            </w:pPr>
          </w:p>
        </w:tc>
        <w:tc>
          <w:tcPr>
            <w:tcW w:w="569" w:type="pct"/>
            <w:tcBorders>
              <w:top w:val="double" w:color="auto" w:sz="4" w:space="0"/>
            </w:tcBorders>
            <w:vAlign w:val="center"/>
          </w:tcPr>
          <w:p>
            <w:pPr>
              <w:spacing w:line="400" w:lineRule="exact"/>
              <w:jc w:val="center"/>
              <w:rPr>
                <w:rFonts w:asciiTheme="minorEastAsia" w:hAnsiTheme="minorEastAsia"/>
                <w:color w:val="auto"/>
              </w:rPr>
            </w:pPr>
          </w:p>
        </w:tc>
        <w:tc>
          <w:tcPr>
            <w:tcW w:w="394" w:type="pct"/>
            <w:tcBorders>
              <w:top w:val="double" w:color="auto" w:sz="4" w:space="0"/>
            </w:tcBorders>
            <w:vAlign w:val="center"/>
          </w:tcPr>
          <w:p>
            <w:pPr>
              <w:spacing w:line="400" w:lineRule="exact"/>
              <w:jc w:val="center"/>
              <w:rPr>
                <w:rFonts w:asciiTheme="minorEastAsia" w:hAnsiTheme="minorEastAsia"/>
                <w:color w:val="auto"/>
              </w:rPr>
            </w:pPr>
          </w:p>
        </w:tc>
        <w:tc>
          <w:tcPr>
            <w:tcW w:w="465" w:type="pct"/>
            <w:tcBorders>
              <w:top w:val="double" w:color="auto" w:sz="4" w:space="0"/>
            </w:tcBorders>
            <w:vAlign w:val="center"/>
          </w:tcPr>
          <w:p>
            <w:pPr>
              <w:spacing w:line="400" w:lineRule="exact"/>
              <w:jc w:val="center"/>
              <w:rPr>
                <w:rFonts w:asciiTheme="minorEastAsia" w:hAnsiTheme="minorEastAsia"/>
                <w:color w:val="auto"/>
              </w:rPr>
            </w:pPr>
          </w:p>
        </w:tc>
        <w:tc>
          <w:tcPr>
            <w:tcW w:w="607" w:type="pct"/>
            <w:tcBorders>
              <w:top w:val="double" w:color="auto" w:sz="4" w:space="0"/>
            </w:tcBorders>
            <w:vAlign w:val="center"/>
          </w:tcPr>
          <w:p>
            <w:pPr>
              <w:spacing w:line="400" w:lineRule="exact"/>
              <w:jc w:val="center"/>
              <w:rPr>
                <w:rFonts w:asciiTheme="minorEastAsia" w:hAnsiTheme="minorEastAsia"/>
                <w:color w:val="auto"/>
              </w:rPr>
            </w:pPr>
          </w:p>
        </w:tc>
        <w:tc>
          <w:tcPr>
            <w:tcW w:w="862" w:type="pct"/>
            <w:tcBorders>
              <w:top w:val="double" w:color="auto" w:sz="4" w:space="0"/>
            </w:tcBorders>
            <w:vAlign w:val="center"/>
          </w:tcPr>
          <w:p>
            <w:pPr>
              <w:spacing w:line="400" w:lineRule="exact"/>
              <w:jc w:val="center"/>
              <w:rPr>
                <w:rFonts w:asciiTheme="minorEastAsia" w:hAnsiTheme="minorEastAsia"/>
                <w:color w:val="auto"/>
              </w:rPr>
            </w:pPr>
          </w:p>
        </w:tc>
        <w:tc>
          <w:tcPr>
            <w:tcW w:w="862" w:type="pct"/>
            <w:tcBorders>
              <w:top w:val="double" w:color="auto" w:sz="4" w:space="0"/>
            </w:tcBorders>
            <w:vAlign w:val="center"/>
          </w:tcPr>
          <w:p>
            <w:pPr>
              <w:spacing w:line="400" w:lineRule="exact"/>
              <w:jc w:val="center"/>
              <w:rPr>
                <w:rFonts w:asciiTheme="minorEastAsia" w:hAnsiTheme="minorEastAsia"/>
                <w:color w:val="auto"/>
              </w:rPr>
            </w:pPr>
          </w:p>
        </w:tc>
        <w:tc>
          <w:tcPr>
            <w:tcW w:w="762" w:type="pct"/>
            <w:tcBorders>
              <w:top w:val="double" w:color="auto" w:sz="4" w:space="0"/>
            </w:tcBorders>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474" w:type="pct"/>
            <w:vAlign w:val="center"/>
          </w:tcPr>
          <w:p>
            <w:pPr>
              <w:spacing w:line="400" w:lineRule="exact"/>
              <w:jc w:val="center"/>
              <w:rPr>
                <w:rFonts w:asciiTheme="minorEastAsia" w:hAnsiTheme="minorEastAsia"/>
                <w:color w:val="auto"/>
              </w:rPr>
            </w:pPr>
          </w:p>
        </w:tc>
        <w:tc>
          <w:tcPr>
            <w:tcW w:w="569" w:type="pct"/>
            <w:vAlign w:val="center"/>
          </w:tcPr>
          <w:p>
            <w:pPr>
              <w:spacing w:line="400" w:lineRule="exact"/>
              <w:jc w:val="center"/>
              <w:rPr>
                <w:rFonts w:asciiTheme="minorEastAsia" w:hAnsiTheme="minorEastAsia"/>
                <w:color w:val="auto"/>
              </w:rPr>
            </w:pPr>
          </w:p>
        </w:tc>
        <w:tc>
          <w:tcPr>
            <w:tcW w:w="394" w:type="pct"/>
            <w:vAlign w:val="center"/>
          </w:tcPr>
          <w:p>
            <w:pPr>
              <w:spacing w:line="400" w:lineRule="exact"/>
              <w:jc w:val="center"/>
              <w:rPr>
                <w:rFonts w:asciiTheme="minorEastAsia" w:hAnsiTheme="minorEastAsia"/>
                <w:color w:val="auto"/>
              </w:rPr>
            </w:pPr>
          </w:p>
        </w:tc>
        <w:tc>
          <w:tcPr>
            <w:tcW w:w="465" w:type="pct"/>
            <w:vAlign w:val="center"/>
          </w:tcPr>
          <w:p>
            <w:pPr>
              <w:spacing w:line="400" w:lineRule="exact"/>
              <w:jc w:val="center"/>
              <w:rPr>
                <w:rFonts w:asciiTheme="minorEastAsia" w:hAnsiTheme="minorEastAsia"/>
                <w:color w:val="auto"/>
              </w:rPr>
            </w:pPr>
          </w:p>
        </w:tc>
        <w:tc>
          <w:tcPr>
            <w:tcW w:w="607"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862" w:type="pct"/>
            <w:vAlign w:val="center"/>
          </w:tcPr>
          <w:p>
            <w:pPr>
              <w:spacing w:line="400" w:lineRule="exact"/>
              <w:jc w:val="center"/>
              <w:rPr>
                <w:rFonts w:asciiTheme="minorEastAsia" w:hAnsiTheme="minorEastAsia"/>
                <w:color w:val="auto"/>
              </w:rPr>
            </w:pPr>
          </w:p>
        </w:tc>
        <w:tc>
          <w:tcPr>
            <w:tcW w:w="762" w:type="pct"/>
          </w:tcPr>
          <w:p>
            <w:pPr>
              <w:spacing w:line="400" w:lineRule="exact"/>
              <w:jc w:val="center"/>
              <w:rPr>
                <w:rFonts w:asciiTheme="minorEastAsia" w:hAnsiTheme="minorEastAsia"/>
                <w:color w:val="auto"/>
              </w:rPr>
            </w:pPr>
          </w:p>
        </w:tc>
      </w:tr>
    </w:tbl>
    <w:p>
      <w:pPr>
        <w:spacing w:line="500" w:lineRule="exact"/>
        <w:ind w:left="413" w:hanging="413" w:hangingChars="196"/>
        <w:rPr>
          <w:rFonts w:asciiTheme="minorEastAsia" w:hAnsiTheme="minorEastAsia"/>
          <w:b/>
          <w:bCs/>
          <w:color w:val="auto"/>
        </w:rPr>
      </w:pPr>
      <w:r>
        <w:rPr>
          <w:rFonts w:hint="eastAsia" w:asciiTheme="minorEastAsia" w:hAnsiTheme="minorEastAsia"/>
          <w:b/>
          <w:bCs/>
          <w:color w:val="auto"/>
        </w:rPr>
        <w:t>注：</w:t>
      </w:r>
      <w:r>
        <w:rPr>
          <w:rFonts w:hint="eastAsia" w:asciiTheme="minorEastAsia" w:hAnsiTheme="minorEastAsia"/>
          <w:b/>
          <w:bCs/>
          <w:color w:val="auto"/>
          <w:u w:val="double"/>
        </w:rPr>
        <w:t>投标人</w:t>
      </w:r>
      <w:r>
        <w:rPr>
          <w:rFonts w:hint="eastAsia" w:asciiTheme="minorEastAsia" w:hAnsiTheme="minorEastAsia"/>
          <w:b/>
          <w:bCs/>
          <w:color w:val="auto"/>
          <w:u w:val="double"/>
          <w:lang w:val="en-US" w:eastAsia="zh-CN"/>
        </w:rPr>
        <w:t>可根据需要</w:t>
      </w:r>
      <w:r>
        <w:rPr>
          <w:rFonts w:hint="eastAsia" w:asciiTheme="minorEastAsia" w:hAnsiTheme="minorEastAsia"/>
          <w:b/>
          <w:bCs/>
          <w:color w:val="auto"/>
          <w:u w:val="double"/>
        </w:rPr>
        <w:t>附上</w:t>
      </w:r>
      <w:r>
        <w:rPr>
          <w:rFonts w:hint="eastAsia" w:asciiTheme="minorEastAsia" w:hAnsiTheme="minorEastAsia"/>
          <w:b/>
          <w:bCs/>
          <w:color w:val="auto"/>
          <w:u w:val="double"/>
          <w:lang w:val="en-US" w:eastAsia="zh-CN"/>
        </w:rPr>
        <w:t>相关团队</w:t>
      </w:r>
      <w:r>
        <w:rPr>
          <w:rFonts w:hint="eastAsia" w:asciiTheme="minorEastAsia" w:hAnsiTheme="minorEastAsia"/>
          <w:b/>
          <w:bCs/>
          <w:color w:val="auto"/>
          <w:u w:val="double"/>
        </w:rPr>
        <w:t>人员的学历、社保证明</w:t>
      </w:r>
      <w:r>
        <w:rPr>
          <w:rFonts w:hint="eastAsia" w:asciiTheme="minorEastAsia" w:hAnsiTheme="minorEastAsia"/>
          <w:b/>
          <w:bCs/>
          <w:color w:val="auto"/>
          <w:u w:val="double"/>
          <w:lang w:eastAsia="zh-CN"/>
        </w:rPr>
        <w:t>；</w:t>
      </w:r>
      <w:r>
        <w:rPr>
          <w:rFonts w:hint="eastAsia" w:asciiTheme="minorEastAsia" w:hAnsiTheme="minorEastAsia"/>
          <w:b/>
          <w:bCs/>
          <w:color w:val="auto"/>
          <w:u w:val="double"/>
          <w:lang w:val="en-US" w:eastAsia="zh-CN"/>
        </w:rPr>
        <w:t>投标人可根据自身为采购需求的理解自主提供团队人员</w:t>
      </w:r>
      <w:r>
        <w:rPr>
          <w:rFonts w:hint="eastAsia" w:asciiTheme="minorEastAsia" w:hAnsiTheme="minorEastAsia"/>
          <w:b/>
          <w:bCs/>
          <w:color w:val="auto"/>
          <w:u w:val="double"/>
        </w:rPr>
        <w:t>参与过的同类项目合同关键页</w:t>
      </w:r>
      <w:r>
        <w:rPr>
          <w:rFonts w:hint="eastAsia" w:asciiTheme="minorEastAsia" w:hAnsiTheme="minorEastAsia"/>
          <w:b/>
          <w:bCs/>
          <w:color w:val="auto"/>
          <w:u w:val="double"/>
          <w:lang w:eastAsia="zh-CN"/>
        </w:rPr>
        <w:t>、</w:t>
      </w:r>
      <w:r>
        <w:rPr>
          <w:rFonts w:hint="eastAsia" w:asciiTheme="minorEastAsia" w:hAnsiTheme="minorEastAsia"/>
          <w:b/>
          <w:bCs/>
          <w:color w:val="auto"/>
          <w:u w:val="double"/>
          <w:lang w:val="en-US" w:eastAsia="zh-CN"/>
        </w:rPr>
        <w:t>项目验收或结算证明材料</w:t>
      </w:r>
      <w:r>
        <w:rPr>
          <w:rFonts w:hint="eastAsia" w:asciiTheme="minorEastAsia" w:hAnsiTheme="minorEastAsia"/>
          <w:b/>
          <w:bCs/>
          <w:color w:val="auto"/>
          <w:u w:val="double"/>
        </w:rPr>
        <w:t>等证明文件</w:t>
      </w:r>
      <w:r>
        <w:rPr>
          <w:rFonts w:hint="eastAsia" w:asciiTheme="minorEastAsia" w:hAnsiTheme="minorEastAsia"/>
          <w:b/>
          <w:bCs/>
          <w:color w:val="auto"/>
        </w:rPr>
        <w:t>（复印件</w:t>
      </w:r>
      <w:r>
        <w:rPr>
          <w:rFonts w:hint="eastAsia" w:asciiTheme="minorEastAsia" w:hAnsiTheme="minorEastAsia"/>
          <w:b/>
          <w:bCs/>
          <w:color w:val="auto"/>
          <w:lang w:eastAsia="zh-CN"/>
        </w:rPr>
        <w:t>，</w:t>
      </w:r>
      <w:r>
        <w:rPr>
          <w:rFonts w:hint="eastAsia" w:asciiTheme="minorEastAsia" w:hAnsiTheme="minorEastAsia"/>
          <w:b/>
          <w:bCs/>
          <w:color w:val="auto"/>
          <w:lang w:val="en-US" w:eastAsia="zh-CN"/>
        </w:rPr>
        <w:t>若有</w:t>
      </w:r>
      <w:r>
        <w:rPr>
          <w:rFonts w:hint="eastAsia" w:asciiTheme="minorEastAsia" w:hAnsiTheme="minorEastAsia"/>
          <w:b/>
          <w:bCs/>
          <w:color w:val="auto"/>
        </w:rPr>
        <w:t>）。</w:t>
      </w:r>
    </w:p>
    <w:p>
      <w:pPr>
        <w:spacing w:line="500" w:lineRule="exact"/>
        <w:rPr>
          <w:rFonts w:asciiTheme="minorEastAsia" w:hAnsiTheme="minorEastAsia"/>
          <w:b/>
          <w:bCs/>
          <w:color w:val="auto"/>
          <w:u w:val="double"/>
        </w:rPr>
      </w:pPr>
      <w:r>
        <w:rPr>
          <w:rFonts w:hint="eastAsia" w:asciiTheme="minorEastAsia" w:hAnsiTheme="minorEastAsia"/>
          <w:b/>
          <w:bCs/>
          <w:color w:val="auto"/>
          <w:u w:val="double"/>
        </w:rPr>
        <w:t>以上人员将作为本次项目实施人员，未经招标人项目负责人签名确认，不允许随意变更。</w:t>
      </w:r>
    </w:p>
    <w:p>
      <w:pPr>
        <w:spacing w:line="500" w:lineRule="exact"/>
        <w:jc w:val="right"/>
        <w:rPr>
          <w:rFonts w:asciiTheme="minorEastAsia" w:hAnsiTheme="minorEastAsia"/>
          <w:color w:val="auto"/>
        </w:rPr>
      </w:pPr>
      <w:r>
        <w:rPr>
          <w:rFonts w:hint="eastAsia" w:asciiTheme="minorEastAsia" w:hAnsiTheme="minorEastAsia"/>
          <w:color w:val="auto"/>
        </w:rPr>
        <w:t>投标人全称（盖章）：</w:t>
      </w:r>
    </w:p>
    <w:p>
      <w:pPr>
        <w:spacing w:line="500" w:lineRule="exact"/>
        <w:jc w:val="right"/>
        <w:rPr>
          <w:rFonts w:asciiTheme="minorEastAsia" w:hAnsiTheme="minorEastAsia"/>
          <w:color w:val="auto"/>
        </w:rPr>
      </w:pPr>
      <w:r>
        <w:rPr>
          <w:rFonts w:hint="eastAsia" w:asciiTheme="minorEastAsia" w:hAnsiTheme="minorEastAsia"/>
          <w:color w:val="auto"/>
        </w:rPr>
        <w:t>投标人授权代表</w:t>
      </w:r>
      <w:r>
        <w:rPr>
          <w:rFonts w:hint="eastAsia" w:asciiTheme="minorEastAsia" w:hAnsiTheme="minorEastAsia"/>
          <w:color w:val="auto"/>
          <w:spacing w:val="4"/>
        </w:rPr>
        <w:t>（签字或盖章）</w:t>
      </w:r>
      <w:r>
        <w:rPr>
          <w:rFonts w:hint="eastAsia" w:asciiTheme="minorEastAsia" w:hAnsiTheme="minorEastAsia"/>
          <w:color w:val="auto"/>
        </w:rPr>
        <w:t>：</w:t>
      </w:r>
    </w:p>
    <w:p>
      <w:pPr>
        <w:widowControl/>
        <w:jc w:val="right"/>
        <w:rPr>
          <w:rFonts w:asciiTheme="minorEastAsia" w:hAnsiTheme="minorEastAsia"/>
          <w:color w:val="auto"/>
        </w:rPr>
      </w:pPr>
      <w:r>
        <w:rPr>
          <w:rFonts w:hint="eastAsia" w:asciiTheme="minorEastAsia" w:hAnsiTheme="minorEastAsia"/>
          <w:color w:val="auto"/>
        </w:rPr>
        <w:t>日</w:t>
      </w:r>
      <w:r>
        <w:rPr>
          <w:rFonts w:asciiTheme="minorEastAsia" w:hAnsiTheme="minorEastAsia"/>
          <w:color w:val="auto"/>
        </w:rPr>
        <w:t xml:space="preserve">    </w:t>
      </w:r>
      <w:r>
        <w:rPr>
          <w:rFonts w:hint="eastAsia" w:asciiTheme="minorEastAsia" w:hAnsiTheme="minorEastAsia"/>
          <w:color w:val="auto"/>
        </w:rPr>
        <w:t>期：</w:t>
      </w:r>
      <w:r>
        <w:rPr>
          <w:rFonts w:asciiTheme="minorEastAsia" w:hAnsiTheme="minorEastAsia"/>
          <w:color w:val="auto"/>
        </w:rPr>
        <w:t xml:space="preserve">     </w:t>
      </w:r>
      <w:r>
        <w:rPr>
          <w:rFonts w:hint="eastAsia" w:asciiTheme="minorEastAsia" w:hAnsiTheme="minorEastAsia"/>
          <w:color w:val="auto"/>
        </w:rPr>
        <w:t>年</w:t>
      </w:r>
      <w:r>
        <w:rPr>
          <w:rFonts w:asciiTheme="minorEastAsia" w:hAnsiTheme="minorEastAsia"/>
          <w:color w:val="auto"/>
        </w:rPr>
        <w:t xml:space="preserve">   </w:t>
      </w:r>
      <w:r>
        <w:rPr>
          <w:rFonts w:hint="eastAsia" w:asciiTheme="minorEastAsia" w:hAnsiTheme="minorEastAsia"/>
          <w:color w:val="auto"/>
        </w:rPr>
        <w:t>月</w:t>
      </w:r>
      <w:r>
        <w:rPr>
          <w:rFonts w:asciiTheme="minorEastAsia" w:hAnsiTheme="minorEastAsia"/>
          <w:color w:val="auto"/>
        </w:rPr>
        <w:t xml:space="preserve">   </w:t>
      </w:r>
      <w:r>
        <w:rPr>
          <w:rFonts w:hint="eastAsia" w:asciiTheme="minorEastAsia" w:hAnsiTheme="minorEastAsia"/>
          <w:color w:val="auto"/>
        </w:rPr>
        <w:t>日</w:t>
      </w:r>
    </w:p>
    <w:p>
      <w:pPr>
        <w:widowControl/>
        <w:jc w:val="right"/>
        <w:rPr>
          <w:rFonts w:asciiTheme="minorEastAsia" w:hAnsiTheme="minorEastAsia"/>
          <w:color w:val="auto"/>
        </w:rPr>
      </w:pPr>
    </w:p>
    <w:p>
      <w:pPr>
        <w:rPr>
          <w:rFonts w:hint="eastAsia" w:ascii="宋体" w:hAnsi="宋体"/>
          <w:bCs/>
          <w:color w:val="auto"/>
          <w:szCs w:val="21"/>
          <w:u w:val="none"/>
        </w:rPr>
      </w:pPr>
      <w:bookmarkStart w:id="773" w:name="_Toc56432246"/>
      <w:r>
        <w:rPr>
          <w:rFonts w:hint="eastAsia" w:ascii="宋体" w:hAnsi="宋体"/>
          <w:bCs/>
          <w:color w:val="auto"/>
          <w:szCs w:val="21"/>
          <w:u w:val="none"/>
        </w:rPr>
        <w:br w:type="page"/>
      </w:r>
    </w:p>
    <w:p>
      <w:pPr>
        <w:pStyle w:val="36"/>
        <w:tabs>
          <w:tab w:val="left" w:pos="588"/>
        </w:tabs>
        <w:snapToGrid w:val="0"/>
        <w:spacing w:before="120" w:after="120" w:line="440" w:lineRule="exact"/>
        <w:ind w:left="142"/>
        <w:jc w:val="left"/>
        <w:rPr>
          <w:rFonts w:ascii="宋体" w:hAnsi="宋体"/>
          <w:color w:val="auto"/>
          <w:sz w:val="24"/>
          <w:szCs w:val="24"/>
        </w:rPr>
      </w:pPr>
      <w:bookmarkStart w:id="774" w:name="_Toc9929"/>
      <w:bookmarkStart w:id="775" w:name="_Toc808"/>
      <w:bookmarkStart w:id="776" w:name="_Toc25632"/>
      <w:bookmarkStart w:id="777" w:name="_Toc25040"/>
      <w:r>
        <w:rPr>
          <w:rFonts w:hint="eastAsia" w:ascii="宋体" w:hAnsi="宋体"/>
          <w:color w:val="auto"/>
          <w:sz w:val="24"/>
          <w:szCs w:val="24"/>
        </w:rPr>
        <w:t>1</w:t>
      </w:r>
      <w:r>
        <w:rPr>
          <w:rFonts w:hint="eastAsia" w:ascii="宋体" w:hAnsi="宋体"/>
          <w:color w:val="auto"/>
          <w:sz w:val="24"/>
          <w:szCs w:val="24"/>
          <w:lang w:val="en-US" w:eastAsia="zh-CN"/>
        </w:rPr>
        <w:t>3</w:t>
      </w:r>
      <w:r>
        <w:rPr>
          <w:rFonts w:hint="eastAsia" w:ascii="宋体" w:hAnsi="宋体"/>
          <w:color w:val="auto"/>
          <w:sz w:val="24"/>
          <w:szCs w:val="24"/>
        </w:rPr>
        <w:t>.其他资料</w:t>
      </w:r>
      <w:bookmarkEnd w:id="769"/>
      <w:bookmarkEnd w:id="773"/>
      <w:bookmarkEnd w:id="774"/>
      <w:bookmarkEnd w:id="775"/>
      <w:r>
        <w:rPr>
          <w:rFonts w:hint="eastAsia" w:ascii="宋体" w:hAnsi="宋体"/>
          <w:color w:val="auto"/>
          <w:sz w:val="24"/>
          <w:szCs w:val="24"/>
        </w:rPr>
        <w:t>（若有）</w:t>
      </w:r>
      <w:bookmarkEnd w:id="776"/>
      <w:bookmarkEnd w:id="777"/>
    </w:p>
    <w:p>
      <w:pPr>
        <w:ind w:firstLine="420" w:firstLineChars="200"/>
        <w:outlineLvl w:val="1"/>
        <w:rPr>
          <w:color w:val="auto"/>
        </w:rPr>
      </w:pPr>
      <w:bookmarkStart w:id="778" w:name="_Toc18074"/>
      <w:bookmarkStart w:id="779" w:name="_Toc528"/>
      <w:bookmarkStart w:id="780" w:name="_Toc4783"/>
      <w:r>
        <w:rPr>
          <w:color w:val="auto"/>
        </w:rPr>
        <w:t>1</w:t>
      </w:r>
      <w:r>
        <w:rPr>
          <w:rFonts w:hint="eastAsia"/>
          <w:color w:val="auto"/>
          <w:lang w:val="en-US" w:eastAsia="zh-CN"/>
        </w:rPr>
        <w:t>3</w:t>
      </w:r>
      <w:r>
        <w:rPr>
          <w:color w:val="auto"/>
        </w:rPr>
        <w:t>.</w:t>
      </w:r>
      <w:r>
        <w:rPr>
          <w:rFonts w:hint="eastAsia"/>
          <w:color w:val="auto"/>
          <w:lang w:val="en-US" w:eastAsia="zh-CN"/>
        </w:rPr>
        <w:t>1 企业认证、资质、荣誉</w:t>
      </w:r>
      <w:r>
        <w:rPr>
          <w:rFonts w:hint="eastAsia"/>
          <w:color w:val="auto"/>
        </w:rPr>
        <w:t>证书（若有）</w:t>
      </w:r>
      <w:bookmarkEnd w:id="778"/>
      <w:bookmarkEnd w:id="779"/>
      <w:bookmarkEnd w:id="780"/>
    </w:p>
    <w:tbl>
      <w:tblPr>
        <w:tblStyle w:val="40"/>
        <w:tblW w:w="852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651"/>
        <w:gridCol w:w="2665"/>
        <w:gridCol w:w="21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087" w:type="dxa"/>
            <w:tcBorders>
              <w:top w:val="single" w:color="auto" w:sz="4" w:space="0"/>
              <w:left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序号</w:t>
            </w:r>
          </w:p>
        </w:tc>
        <w:tc>
          <w:tcPr>
            <w:tcW w:w="2651"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color w:val="auto"/>
                <w:lang w:val="en-US" w:eastAsia="zh-CN"/>
              </w:rPr>
              <w:t>认证</w:t>
            </w:r>
            <w:r>
              <w:rPr>
                <w:rFonts w:hint="eastAsia" w:asciiTheme="minorEastAsia" w:hAnsiTheme="minorEastAsia"/>
                <w:color w:val="auto"/>
              </w:rPr>
              <w:t>证书</w:t>
            </w:r>
          </w:p>
        </w:tc>
        <w:tc>
          <w:tcPr>
            <w:tcW w:w="2665" w:type="dxa"/>
            <w:tcBorders>
              <w:top w:val="single" w:color="auto" w:sz="4" w:space="0"/>
              <w:bottom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Theme="minorEastAsia" w:hAnsiTheme="minorEastAsia"/>
                <w:color w:val="auto"/>
              </w:rPr>
              <w:t>证书获取时间</w:t>
            </w:r>
          </w:p>
        </w:tc>
        <w:tc>
          <w:tcPr>
            <w:tcW w:w="2122" w:type="dxa"/>
            <w:tcBorders>
              <w:top w:val="single" w:color="auto" w:sz="4" w:space="0"/>
              <w:bottom w:val="single" w:color="auto" w:sz="4" w:space="0"/>
              <w:right w:val="single" w:color="auto" w:sz="4" w:space="0"/>
            </w:tcBorders>
            <w:shd w:val="clear" w:color="auto" w:fill="EEECE1"/>
            <w:vAlign w:val="center"/>
          </w:tcPr>
          <w:p>
            <w:pPr>
              <w:spacing w:line="400" w:lineRule="exact"/>
              <w:jc w:val="center"/>
              <w:rPr>
                <w:rFonts w:asciiTheme="minorEastAsia" w:hAnsiTheme="minorEastAsia"/>
                <w:color w:val="auto"/>
              </w:rPr>
            </w:pPr>
            <w:r>
              <w:rPr>
                <w:rFonts w:hint="eastAsia" w:ascii="Verdana" w:hAnsi="Verdana"/>
                <w:color w:val="auto"/>
                <w:szCs w:val="21"/>
              </w:rPr>
              <w:t>投标文件对应页码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7" w:type="dxa"/>
            <w:tcBorders>
              <w:top w:val="single" w:color="auto" w:sz="4" w:space="0"/>
              <w:left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51"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665" w:type="dxa"/>
            <w:tcBorders>
              <w:top w:val="single" w:color="auto" w:sz="4" w:space="0"/>
              <w:bottom w:val="single" w:color="auto" w:sz="4" w:space="0"/>
            </w:tcBorders>
            <w:vAlign w:val="center"/>
          </w:tcPr>
          <w:p>
            <w:pPr>
              <w:spacing w:line="400" w:lineRule="exact"/>
              <w:jc w:val="center"/>
              <w:rPr>
                <w:rFonts w:asciiTheme="minorEastAsia" w:hAnsiTheme="minorEastAsia"/>
                <w:color w:val="auto"/>
              </w:rPr>
            </w:pPr>
          </w:p>
        </w:tc>
        <w:tc>
          <w:tcPr>
            <w:tcW w:w="2122" w:type="dxa"/>
            <w:tcBorders>
              <w:top w:val="single" w:color="auto" w:sz="4" w:space="0"/>
              <w:bottom w:val="single" w:color="auto" w:sz="4" w:space="0"/>
              <w:right w:val="single" w:color="auto" w:sz="4" w:space="0"/>
            </w:tcBorders>
            <w:vAlign w:val="center"/>
          </w:tcPr>
          <w:p>
            <w:pPr>
              <w:spacing w:line="400" w:lineRule="exact"/>
              <w:jc w:val="center"/>
              <w:rPr>
                <w:rFonts w:asciiTheme="minorEastAsia" w:hAnsiTheme="minorEastAsia"/>
                <w:color w:val="auto"/>
              </w:rPr>
            </w:pPr>
          </w:p>
        </w:tc>
      </w:tr>
    </w:tbl>
    <w:p>
      <w:pPr>
        <w:ind w:firstLine="420" w:firstLineChars="200"/>
        <w:rPr>
          <w:color w:val="auto"/>
        </w:rPr>
      </w:pPr>
      <w:r>
        <w:rPr>
          <w:rFonts w:hint="eastAsia"/>
          <w:color w:val="auto"/>
        </w:rPr>
        <w:t>注：须提供相关证书证明材料复印件。</w:t>
      </w:r>
    </w:p>
    <w:p>
      <w:pPr>
        <w:ind w:firstLine="420" w:firstLineChars="200"/>
        <w:rPr>
          <w:color w:val="auto"/>
        </w:rPr>
      </w:pPr>
    </w:p>
    <w:p>
      <w:pPr>
        <w:pStyle w:val="50"/>
        <w:rPr>
          <w:rFonts w:ascii="宋体" w:hAnsi="宋体"/>
          <w:color w:val="auto"/>
        </w:rPr>
      </w:pPr>
    </w:p>
    <w:p>
      <w:pPr>
        <w:pStyle w:val="50"/>
        <w:rPr>
          <w:rFonts w:ascii="宋体" w:hAnsi="宋体"/>
          <w:color w:val="auto"/>
        </w:rPr>
      </w:pPr>
    </w:p>
    <w:p>
      <w:pPr>
        <w:pStyle w:val="50"/>
        <w:rPr>
          <w:rFonts w:ascii="宋体" w:hAnsi="宋体"/>
          <w:color w:val="auto"/>
        </w:rPr>
      </w:pPr>
    </w:p>
    <w:p>
      <w:pPr>
        <w:pStyle w:val="50"/>
        <w:rPr>
          <w:rFonts w:ascii="宋体" w:hAnsi="宋体"/>
          <w:color w:val="auto"/>
        </w:rPr>
      </w:pPr>
    </w:p>
    <w:bookmarkEnd w:id="750"/>
    <w:p>
      <w:pPr>
        <w:pStyle w:val="36"/>
        <w:tabs>
          <w:tab w:val="left" w:pos="588"/>
        </w:tabs>
        <w:snapToGrid w:val="0"/>
        <w:spacing w:before="120" w:after="120" w:line="440" w:lineRule="exact"/>
        <w:jc w:val="left"/>
        <w:rPr>
          <w:rFonts w:ascii="宋体" w:hAnsi="宋体"/>
          <w:color w:val="auto"/>
          <w:sz w:val="24"/>
          <w:szCs w:val="24"/>
        </w:rPr>
      </w:pPr>
      <w:bookmarkStart w:id="781" w:name="_Toc32536"/>
      <w:bookmarkStart w:id="782" w:name="_Toc18931"/>
      <w:bookmarkStart w:id="783" w:name="_Toc11231"/>
      <w:bookmarkStart w:id="784" w:name="_Toc13366"/>
      <w:bookmarkStart w:id="785" w:name="_Toc56432248"/>
      <w:bookmarkStart w:id="786" w:name="_Toc475472692"/>
      <w:bookmarkStart w:id="787" w:name="_Toc1651920"/>
      <w:r>
        <w:rPr>
          <w:rFonts w:hint="eastAsia" w:ascii="宋体" w:hAnsi="宋体"/>
          <w:color w:val="auto"/>
          <w:sz w:val="24"/>
          <w:szCs w:val="24"/>
        </w:rPr>
        <w:t>1</w:t>
      </w:r>
      <w:r>
        <w:rPr>
          <w:rFonts w:hint="eastAsia" w:ascii="宋体" w:hAnsi="宋体"/>
          <w:color w:val="auto"/>
          <w:sz w:val="24"/>
          <w:szCs w:val="24"/>
          <w:lang w:val="en-US" w:eastAsia="zh-CN"/>
        </w:rPr>
        <w:t>4</w:t>
      </w:r>
      <w:r>
        <w:rPr>
          <w:rFonts w:hint="eastAsia" w:ascii="宋体" w:hAnsi="宋体"/>
          <w:color w:val="auto"/>
          <w:sz w:val="24"/>
          <w:szCs w:val="24"/>
        </w:rPr>
        <w:t>.</w:t>
      </w:r>
      <w:r>
        <w:rPr>
          <w:rFonts w:ascii="宋体" w:hAnsi="宋体"/>
          <w:color w:val="auto"/>
          <w:sz w:val="24"/>
          <w:szCs w:val="24"/>
        </w:rPr>
        <w:t>服务方案</w:t>
      </w:r>
      <w:bookmarkEnd w:id="781"/>
      <w:bookmarkEnd w:id="782"/>
      <w:r>
        <w:rPr>
          <w:rFonts w:hint="eastAsia" w:ascii="宋体" w:hAnsi="宋体"/>
          <w:color w:val="auto"/>
          <w:sz w:val="24"/>
          <w:szCs w:val="24"/>
        </w:rPr>
        <w:t>（格式自拟）</w:t>
      </w:r>
      <w:bookmarkEnd w:id="783"/>
      <w:bookmarkEnd w:id="784"/>
    </w:p>
    <w:p>
      <w:pPr>
        <w:rPr>
          <w:rFonts w:ascii="宋体" w:hAnsi="宋体"/>
          <w:color w:val="auto"/>
          <w:szCs w:val="21"/>
        </w:rPr>
      </w:pPr>
      <w:r>
        <w:rPr>
          <w:rFonts w:ascii="宋体" w:hAnsi="宋体"/>
          <w:color w:val="auto"/>
          <w:szCs w:val="21"/>
        </w:rPr>
        <w:t>(</w:t>
      </w:r>
      <w:r>
        <w:rPr>
          <w:rFonts w:hint="eastAsia" w:ascii="宋体" w:hAnsi="宋体"/>
          <w:color w:val="auto"/>
          <w:szCs w:val="21"/>
        </w:rPr>
        <w:t>建议按第三章 评审办法“技术评分表”纬度编制相关内容，投标人也</w:t>
      </w:r>
      <w:r>
        <w:rPr>
          <w:rFonts w:ascii="宋体" w:hAnsi="宋体"/>
          <w:color w:val="auto"/>
          <w:szCs w:val="21"/>
        </w:rPr>
        <w:t>可自行根据实际情况补充)</w:t>
      </w:r>
      <w:bookmarkEnd w:id="785"/>
    </w:p>
    <w:p>
      <w:pPr>
        <w:rPr>
          <w:rFonts w:ascii="宋体" w:hAnsi="宋体"/>
          <w:color w:val="auto"/>
          <w:szCs w:val="21"/>
        </w:rPr>
      </w:pPr>
    </w:p>
    <w:p>
      <w:pPr>
        <w:rPr>
          <w:rFonts w:ascii="宋体" w:hAnsi="宋体"/>
          <w:color w:val="auto"/>
          <w:sz w:val="24"/>
        </w:rPr>
      </w:pPr>
    </w:p>
    <w:p>
      <w:pPr>
        <w:pStyle w:val="36"/>
        <w:tabs>
          <w:tab w:val="left" w:pos="588"/>
        </w:tabs>
        <w:snapToGrid w:val="0"/>
        <w:spacing w:before="120" w:after="120" w:line="440" w:lineRule="exact"/>
        <w:jc w:val="left"/>
        <w:rPr>
          <w:rFonts w:hint="eastAsia" w:ascii="宋体" w:hAnsi="宋体"/>
          <w:color w:val="auto"/>
          <w:sz w:val="24"/>
          <w:szCs w:val="24"/>
        </w:rPr>
      </w:pPr>
      <w:bookmarkStart w:id="788" w:name="_Toc4636"/>
      <w:bookmarkStart w:id="789" w:name="_Toc19613"/>
      <w:r>
        <w:rPr>
          <w:rFonts w:hint="eastAsia" w:ascii="宋体" w:hAnsi="宋体"/>
          <w:color w:val="auto"/>
          <w:sz w:val="24"/>
          <w:szCs w:val="24"/>
          <w:lang w:val="en-US" w:eastAsia="zh-CN"/>
        </w:rPr>
        <w:t>15.</w:t>
      </w:r>
      <w:r>
        <w:rPr>
          <w:rFonts w:hint="eastAsia" w:ascii="宋体" w:hAnsi="宋体"/>
          <w:color w:val="auto"/>
          <w:sz w:val="24"/>
          <w:szCs w:val="24"/>
        </w:rPr>
        <w:t>投标人认为需要提供的其他资料</w:t>
      </w:r>
      <w:bookmarkEnd w:id="788"/>
    </w:p>
    <w:p>
      <w:pPr>
        <w:pStyle w:val="36"/>
        <w:keepNext w:val="0"/>
        <w:keepLines w:val="0"/>
        <w:pageBreakBefore w:val="0"/>
        <w:widowControl w:val="0"/>
        <w:numPr>
          <w:ilvl w:val="0"/>
          <w:numId w:val="0"/>
        </w:numPr>
        <w:tabs>
          <w:tab w:val="left" w:pos="588"/>
        </w:tabs>
        <w:kinsoku/>
        <w:wordWrap/>
        <w:overflowPunct/>
        <w:topLinePunct w:val="0"/>
        <w:autoSpaceDE/>
        <w:autoSpaceDN/>
        <w:bidi w:val="0"/>
        <w:adjustRightInd/>
        <w:snapToGrid w:val="0"/>
        <w:spacing w:before="120" w:after="120" w:line="440" w:lineRule="exact"/>
        <w:ind w:left="431" w:leftChars="0" w:firstLine="420" w:firstLineChars="200"/>
        <w:jc w:val="left"/>
        <w:textAlignment w:val="auto"/>
        <w:outlineLvl w:val="9"/>
        <w:rPr>
          <w:rFonts w:ascii="宋体" w:hAnsi="宋体"/>
          <w:b w:val="0"/>
          <w:bCs w:val="0"/>
          <w:color w:val="auto"/>
          <w:sz w:val="21"/>
          <w:szCs w:val="21"/>
        </w:rPr>
      </w:pPr>
      <w:r>
        <w:rPr>
          <w:rFonts w:hint="eastAsia" w:ascii="宋体" w:hAnsi="宋体"/>
          <w:b w:val="0"/>
          <w:bCs w:val="0"/>
          <w:color w:val="auto"/>
          <w:sz w:val="21"/>
          <w:szCs w:val="21"/>
        </w:rPr>
        <w:br w:type="page"/>
      </w:r>
      <w:bookmarkEnd w:id="789"/>
    </w:p>
    <w:bookmarkEnd w:id="786"/>
    <w:bookmarkEnd w:id="787"/>
    <w:p>
      <w:pPr>
        <w:pStyle w:val="36"/>
        <w:tabs>
          <w:tab w:val="left" w:pos="588"/>
        </w:tabs>
        <w:snapToGrid w:val="0"/>
        <w:spacing w:before="120" w:after="120" w:line="440" w:lineRule="exact"/>
        <w:ind w:left="425"/>
        <w:jc w:val="left"/>
        <w:rPr>
          <w:rFonts w:ascii="宋体" w:hAnsi="宋体"/>
          <w:color w:val="auto"/>
          <w:sz w:val="24"/>
          <w:szCs w:val="24"/>
        </w:rPr>
      </w:pPr>
      <w:bookmarkStart w:id="790" w:name="_Toc9532"/>
      <w:bookmarkStart w:id="791" w:name="_Toc8581"/>
      <w:bookmarkStart w:id="792" w:name="_Toc56432252"/>
      <w:bookmarkStart w:id="793" w:name="_Toc27244"/>
      <w:bookmarkStart w:id="794" w:name="_Toc24158"/>
      <w:bookmarkStart w:id="795" w:name="_Toc1651921"/>
      <w:bookmarkStart w:id="796" w:name="_Toc475472693"/>
      <w:r>
        <w:rPr>
          <w:rFonts w:hint="eastAsia" w:ascii="宋体" w:hAnsi="宋体"/>
          <w:color w:val="auto"/>
          <w:sz w:val="24"/>
          <w:szCs w:val="24"/>
        </w:rPr>
        <w:t>第二分册</w:t>
      </w:r>
      <w:bookmarkEnd w:id="790"/>
      <w:bookmarkEnd w:id="791"/>
      <w:bookmarkEnd w:id="792"/>
      <w:bookmarkEnd w:id="793"/>
      <w:bookmarkEnd w:id="794"/>
      <w:bookmarkEnd w:id="795"/>
    </w:p>
    <w:p>
      <w:pPr>
        <w:pStyle w:val="36"/>
        <w:numPr>
          <w:ilvl w:val="0"/>
          <w:numId w:val="23"/>
        </w:numPr>
        <w:tabs>
          <w:tab w:val="left" w:pos="588"/>
        </w:tabs>
        <w:snapToGrid w:val="0"/>
        <w:spacing w:before="120" w:after="120" w:line="440" w:lineRule="exact"/>
        <w:jc w:val="left"/>
        <w:rPr>
          <w:rFonts w:ascii="宋体" w:hAnsi="宋体"/>
          <w:color w:val="auto"/>
          <w:sz w:val="24"/>
          <w:szCs w:val="24"/>
        </w:rPr>
      </w:pPr>
      <w:bookmarkStart w:id="797" w:name="_Toc3918"/>
      <w:bookmarkStart w:id="798" w:name="_Toc25276"/>
      <w:bookmarkStart w:id="799" w:name="_Toc1651922"/>
      <w:bookmarkStart w:id="800" w:name="_Toc25187"/>
      <w:bookmarkStart w:id="801" w:name="_Toc56432253"/>
      <w:bookmarkStart w:id="802" w:name="_Toc7957"/>
      <w:r>
        <w:rPr>
          <w:rFonts w:hint="eastAsia" w:ascii="宋体" w:hAnsi="宋体"/>
          <w:color w:val="auto"/>
          <w:sz w:val="24"/>
          <w:szCs w:val="24"/>
          <w:lang w:val="en-US" w:eastAsia="zh-CN"/>
        </w:rPr>
        <w:t>经济投标</w:t>
      </w:r>
      <w:r>
        <w:rPr>
          <w:rFonts w:hint="eastAsia" w:ascii="宋体" w:hAnsi="宋体"/>
          <w:color w:val="auto"/>
          <w:sz w:val="24"/>
          <w:szCs w:val="24"/>
        </w:rPr>
        <w:t>文件封面</w:t>
      </w:r>
      <w:bookmarkEnd w:id="796"/>
      <w:bookmarkEnd w:id="797"/>
      <w:bookmarkEnd w:id="798"/>
      <w:bookmarkEnd w:id="799"/>
      <w:bookmarkEnd w:id="800"/>
      <w:bookmarkEnd w:id="801"/>
      <w:bookmarkEnd w:id="802"/>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color w:val="auto"/>
          <w:sz w:val="32"/>
          <w:szCs w:val="32"/>
          <w:u w:val="single"/>
        </w:rPr>
      </w:pPr>
    </w:p>
    <w:p>
      <w:pPr>
        <w:spacing w:after="120" w:line="360" w:lineRule="atLeast"/>
        <w:jc w:val="center"/>
        <w:rPr>
          <w:rFonts w:ascii="宋体" w:hAnsi="宋体" w:cs="宋体"/>
          <w:b/>
          <w:color w:val="auto"/>
          <w:sz w:val="30"/>
          <w:szCs w:val="30"/>
        </w:rPr>
      </w:pPr>
      <w:r>
        <w:rPr>
          <w:rFonts w:ascii="宋体" w:hAnsi="宋体"/>
          <w:color w:val="auto"/>
          <w:sz w:val="28"/>
          <w:szCs w:val="28"/>
          <w:u w:val="single"/>
        </w:rPr>
        <w:t xml:space="preserve">           </w:t>
      </w:r>
      <w:r>
        <w:rPr>
          <w:rFonts w:hint="eastAsia" w:ascii="宋体" w:hAnsi="宋体"/>
          <w:color w:val="auto"/>
          <w:sz w:val="28"/>
          <w:szCs w:val="28"/>
        </w:rPr>
        <w:t>（项目名称）</w:t>
      </w:r>
    </w:p>
    <w:p>
      <w:pPr>
        <w:jc w:val="center"/>
        <w:rPr>
          <w:rFonts w:ascii="宋体" w:hAnsi="宋体" w:cs="宋体"/>
          <w:color w:val="auto"/>
          <w:sz w:val="28"/>
          <w:szCs w:val="28"/>
        </w:rPr>
      </w:pPr>
      <w:r>
        <w:rPr>
          <w:rFonts w:hint="eastAsia" w:ascii="宋体" w:hAnsi="宋体"/>
          <w:color w:val="auto"/>
          <w:sz w:val="28"/>
          <w:szCs w:val="28"/>
          <w:u w:val="single"/>
          <w:lang w:val="en-US" w:eastAsia="zh-CN"/>
        </w:rPr>
        <w:t>标段X：标段名称</w:t>
      </w:r>
    </w:p>
    <w:p>
      <w:pPr>
        <w:jc w:val="center"/>
        <w:rPr>
          <w:rFonts w:ascii="宋体" w:hAnsi="宋体" w:cs="宋体"/>
          <w:color w:val="auto"/>
          <w:szCs w:val="21"/>
        </w:rPr>
      </w:pPr>
    </w:p>
    <w:p>
      <w:pPr>
        <w:jc w:val="center"/>
        <w:rPr>
          <w:rFonts w:ascii="宋体" w:hAnsi="宋体" w:cs="宋体"/>
          <w:color w:val="auto"/>
          <w:szCs w:val="21"/>
        </w:rPr>
      </w:pPr>
    </w:p>
    <w:p>
      <w:pPr>
        <w:jc w:val="center"/>
        <w:rPr>
          <w:rFonts w:ascii="宋体" w:hAnsi="宋体" w:cs="宋体"/>
          <w:color w:val="auto"/>
          <w:szCs w:val="21"/>
        </w:rPr>
      </w:pPr>
    </w:p>
    <w:p>
      <w:pPr>
        <w:spacing w:after="120"/>
        <w:jc w:val="center"/>
        <w:rPr>
          <w:rFonts w:ascii="宋体" w:hAnsi="宋体" w:cs="宋体"/>
          <w:b/>
          <w:color w:val="auto"/>
          <w:sz w:val="36"/>
          <w:szCs w:val="36"/>
        </w:rPr>
      </w:pPr>
      <w:r>
        <w:rPr>
          <w:rFonts w:hint="eastAsia" w:ascii="宋体" w:hAnsi="宋体" w:cs="宋体"/>
          <w:b/>
          <w:color w:val="auto"/>
          <w:sz w:val="36"/>
          <w:szCs w:val="36"/>
        </w:rPr>
        <w:t>投标文件（经济文件）部分</w:t>
      </w: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spacing w:after="120"/>
        <w:jc w:val="center"/>
        <w:rPr>
          <w:rFonts w:ascii="宋体" w:hAnsi="宋体" w:cs="宋体"/>
          <w:b/>
          <w:color w:val="auto"/>
          <w:sz w:val="32"/>
          <w:szCs w:val="32"/>
        </w:rPr>
      </w:pPr>
    </w:p>
    <w:p>
      <w:pPr>
        <w:adjustRightInd w:val="0"/>
        <w:snapToGrid w:val="0"/>
        <w:spacing w:line="440" w:lineRule="exact"/>
        <w:jc w:val="center"/>
        <w:rPr>
          <w:rFonts w:ascii="宋体" w:hAnsi="宋体" w:cs="宋体"/>
          <w:color w:val="auto"/>
          <w:sz w:val="24"/>
        </w:rPr>
      </w:pPr>
      <w:r>
        <w:rPr>
          <w:rFonts w:ascii="宋体" w:hAnsi="宋体" w:cs="宋体"/>
          <w:color w:val="auto"/>
          <w:sz w:val="24"/>
        </w:rPr>
        <w:t xml:space="preserve">   投标人名称：</w:t>
      </w:r>
      <w:r>
        <w:rPr>
          <w:rFonts w:ascii="宋体" w:hAnsi="宋体" w:cs="宋体"/>
          <w:color w:val="auto"/>
          <w:sz w:val="24"/>
          <w:u w:val="single"/>
        </w:rPr>
        <w:t xml:space="preserve">                              </w:t>
      </w:r>
      <w:r>
        <w:rPr>
          <w:rFonts w:hint="eastAsia" w:ascii="宋体" w:hAnsi="宋体" w:cs="宋体"/>
          <w:color w:val="auto"/>
          <w:sz w:val="24"/>
        </w:rPr>
        <w:t>（盖单位公章）</w:t>
      </w:r>
    </w:p>
    <w:p>
      <w:pPr>
        <w:adjustRightInd w:val="0"/>
        <w:snapToGrid w:val="0"/>
        <w:spacing w:line="440" w:lineRule="exact"/>
        <w:ind w:firstLine="1020" w:firstLineChars="425"/>
        <w:rPr>
          <w:rFonts w:ascii="宋体" w:hAnsi="宋体" w:cs="宋体"/>
          <w:color w:val="auto"/>
          <w:sz w:val="24"/>
        </w:rPr>
      </w:pPr>
    </w:p>
    <w:p>
      <w:pPr>
        <w:adjustRightInd w:val="0"/>
        <w:snapToGrid w:val="0"/>
        <w:spacing w:after="120" w:line="440" w:lineRule="exact"/>
        <w:ind w:firstLine="1200" w:firstLineChars="500"/>
        <w:jc w:val="left"/>
        <w:rPr>
          <w:rFonts w:ascii="宋体" w:hAnsi="宋体" w:cs="宋体"/>
          <w:color w:val="auto"/>
          <w:sz w:val="24"/>
        </w:rPr>
      </w:pPr>
    </w:p>
    <w:p>
      <w:pPr>
        <w:adjustRightInd w:val="0"/>
        <w:snapToGrid w:val="0"/>
        <w:spacing w:line="440" w:lineRule="exact"/>
        <w:jc w:val="center"/>
        <w:rPr>
          <w:rFonts w:ascii="宋体" w:hAnsi="宋体"/>
          <w:color w:val="auto"/>
        </w:rPr>
      </w:pPr>
      <w:r>
        <w:rPr>
          <w:rFonts w:ascii="宋体" w:hAnsi="宋体" w:cs="宋体"/>
          <w:color w:val="auto"/>
          <w:sz w:val="24"/>
          <w:u w:val="single"/>
        </w:rPr>
        <w:t xml:space="preserve">     </w:t>
      </w:r>
      <w:r>
        <w:rPr>
          <w:rFonts w:hint="eastAsia" w:ascii="宋体" w:hAnsi="宋体" w:cs="宋体"/>
          <w:color w:val="auto"/>
          <w:sz w:val="24"/>
        </w:rPr>
        <w:t>年</w:t>
      </w:r>
      <w:r>
        <w:rPr>
          <w:rFonts w:ascii="宋体" w:hAnsi="宋体" w:cs="宋体"/>
          <w:color w:val="auto"/>
          <w:sz w:val="24"/>
          <w:u w:val="single"/>
        </w:rPr>
        <w:t xml:space="preserve">    </w:t>
      </w:r>
      <w:r>
        <w:rPr>
          <w:rFonts w:hint="eastAsia" w:ascii="宋体" w:hAnsi="宋体" w:cs="宋体"/>
          <w:color w:val="auto"/>
          <w:sz w:val="24"/>
        </w:rPr>
        <w:t>月</w:t>
      </w:r>
      <w:r>
        <w:rPr>
          <w:rFonts w:ascii="宋体" w:hAnsi="宋体" w:cs="宋体"/>
          <w:color w:val="auto"/>
          <w:sz w:val="24"/>
          <w:u w:val="single"/>
        </w:rPr>
        <w:t xml:space="preserve">    </w:t>
      </w:r>
      <w:r>
        <w:rPr>
          <w:rFonts w:hint="eastAsia" w:ascii="宋体" w:hAnsi="宋体" w:cs="宋体"/>
          <w:color w:val="auto"/>
          <w:sz w:val="24"/>
        </w:rPr>
        <w:t>日</w:t>
      </w:r>
    </w:p>
    <w:p>
      <w:pPr>
        <w:pStyle w:val="36"/>
        <w:tabs>
          <w:tab w:val="left" w:pos="588"/>
        </w:tabs>
        <w:snapToGrid w:val="0"/>
        <w:spacing w:before="120" w:after="120" w:line="440" w:lineRule="exact"/>
        <w:ind w:left="425"/>
        <w:jc w:val="left"/>
        <w:rPr>
          <w:rFonts w:ascii="宋体" w:hAnsi="宋体"/>
          <w:color w:val="auto"/>
          <w:sz w:val="24"/>
          <w:szCs w:val="24"/>
        </w:rPr>
        <w:sectPr>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 w:linePitch="312" w:charSpace="0"/>
        </w:sectPr>
      </w:pPr>
    </w:p>
    <w:p>
      <w:pPr>
        <w:pStyle w:val="36"/>
        <w:numPr>
          <w:ilvl w:val="0"/>
          <w:numId w:val="23"/>
        </w:numPr>
        <w:tabs>
          <w:tab w:val="left" w:pos="588"/>
        </w:tabs>
        <w:snapToGrid w:val="0"/>
        <w:spacing w:before="120" w:after="120" w:line="440" w:lineRule="exact"/>
        <w:jc w:val="left"/>
        <w:rPr>
          <w:rFonts w:ascii="宋体" w:hAnsi="宋体"/>
          <w:color w:val="auto"/>
          <w:sz w:val="24"/>
          <w:szCs w:val="24"/>
        </w:rPr>
      </w:pPr>
      <w:bookmarkStart w:id="803" w:name="_Toc29538"/>
      <w:bookmarkStart w:id="804" w:name="_Toc27713"/>
      <w:bookmarkStart w:id="805" w:name="_Toc21302"/>
      <w:bookmarkStart w:id="806" w:name="_Toc28564"/>
      <w:bookmarkStart w:id="807" w:name="_Toc1651923"/>
      <w:bookmarkStart w:id="808" w:name="_Toc56432254"/>
      <w:bookmarkStart w:id="809" w:name="_Toc10481"/>
      <w:bookmarkStart w:id="810" w:name="_Toc2828"/>
      <w:bookmarkStart w:id="811" w:name="_Toc1651925"/>
      <w:bookmarkStart w:id="812" w:name="_Toc56432256"/>
      <w:r>
        <w:rPr>
          <w:rFonts w:hint="eastAsia" w:ascii="宋体" w:hAnsi="宋体"/>
          <w:color w:val="auto"/>
          <w:sz w:val="24"/>
          <w:szCs w:val="24"/>
        </w:rPr>
        <w:t>报价一览表</w:t>
      </w:r>
      <w:bookmarkEnd w:id="803"/>
      <w:bookmarkEnd w:id="804"/>
      <w:bookmarkEnd w:id="805"/>
      <w:bookmarkEnd w:id="806"/>
      <w:bookmarkEnd w:id="807"/>
      <w:bookmarkEnd w:id="808"/>
    </w:p>
    <w:p>
      <w:pPr>
        <w:topLinePunct/>
        <w:spacing w:line="440" w:lineRule="exact"/>
        <w:jc w:val="left"/>
        <w:rPr>
          <w:rFonts w:hint="eastAsia" w:ascii="宋体" w:hAnsi="宋体" w:cs="宋体"/>
          <w:color w:val="auto"/>
          <w:szCs w:val="21"/>
          <w:lang w:eastAsia="zh-CN"/>
        </w:rPr>
      </w:pPr>
      <w:r>
        <w:rPr>
          <w:rFonts w:hint="eastAsia" w:ascii="宋体" w:hAnsi="宋体" w:cs="宋体"/>
          <w:color w:val="auto"/>
          <w:szCs w:val="21"/>
        </w:rPr>
        <w:t>项目名称：</w:t>
      </w:r>
      <w:r>
        <w:rPr>
          <w:rFonts w:hint="eastAsia" w:ascii="宋体" w:hAnsi="宋体" w:cs="宋体"/>
          <w:color w:val="auto"/>
          <w:szCs w:val="21"/>
          <w:lang w:eastAsia="zh-CN"/>
        </w:rPr>
        <w:t>主题展厅多媒体设备及互动展项定制安装服务项目</w:t>
      </w:r>
    </w:p>
    <w:p>
      <w:pPr>
        <w:topLinePunct/>
        <w:spacing w:line="440" w:lineRule="exact"/>
        <w:jc w:val="left"/>
        <w:rPr>
          <w:rFonts w:ascii="宋体" w:hAnsi="宋体" w:cs="宋体"/>
          <w:color w:val="auto"/>
          <w:szCs w:val="21"/>
        </w:rPr>
      </w:pPr>
      <w:r>
        <w:rPr>
          <w:rFonts w:hint="eastAsia" w:ascii="宋体" w:hAnsi="宋体" w:cs="宋体"/>
          <w:color w:val="auto"/>
          <w:szCs w:val="21"/>
        </w:rPr>
        <w:t>招标代理编号：</w:t>
      </w:r>
      <w:r>
        <w:rPr>
          <w:rFonts w:hint="eastAsia" w:ascii="宋体" w:hAnsi="宋体" w:cs="宋体"/>
          <w:color w:val="auto"/>
          <w:szCs w:val="21"/>
          <w:lang w:eastAsia="zh-CN"/>
        </w:rPr>
        <w:t>WJS-202304070019</w:t>
      </w:r>
      <w:r>
        <w:rPr>
          <w:rFonts w:ascii="宋体" w:hAnsi="宋体" w:cs="宋体"/>
          <w:color w:val="auto"/>
          <w:szCs w:val="21"/>
        </w:rPr>
        <w:t xml:space="preserve"> </w:t>
      </w:r>
    </w:p>
    <w:tbl>
      <w:tblPr>
        <w:tblStyle w:val="40"/>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3254"/>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3379"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hAnsi="宋体" w:cs="宋体"/>
                <w:color w:val="auto"/>
                <w:kern w:val="0"/>
                <w:szCs w:val="21"/>
              </w:rPr>
              <w:t>报价内容</w:t>
            </w:r>
          </w:p>
        </w:tc>
        <w:tc>
          <w:tcPr>
            <w:tcW w:w="3254"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cs="宋体"/>
                <w:color w:val="auto"/>
                <w:kern w:val="0"/>
                <w:szCs w:val="21"/>
              </w:rPr>
              <w:t>含税总报价（元）</w:t>
            </w:r>
          </w:p>
        </w:tc>
        <w:tc>
          <w:tcPr>
            <w:tcW w:w="1886" w:type="dxa"/>
            <w:shd w:val="clear" w:color="auto" w:fill="auto"/>
            <w:vAlign w:val="center"/>
          </w:tcPr>
          <w:p>
            <w:pPr>
              <w:widowControl/>
              <w:shd w:val="clear" w:color="auto" w:fill="FFFFFF" w:themeFill="background1"/>
              <w:jc w:val="center"/>
              <w:rPr>
                <w:rFonts w:ascii="宋体" w:hAnsi="宋体" w:cs="宋体"/>
                <w:color w:val="auto"/>
                <w:kern w:val="0"/>
                <w:szCs w:val="21"/>
              </w:rPr>
            </w:pPr>
            <w:r>
              <w:rPr>
                <w:rFonts w:hint="eastAsia" w:ascii="宋体" w:hAnsi="宋体" w:cs="宋体"/>
                <w:color w:val="auto"/>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3379" w:type="dxa"/>
            <w:shd w:val="clear" w:color="auto" w:fill="auto"/>
            <w:vAlign w:val="center"/>
          </w:tcPr>
          <w:p>
            <w:pPr>
              <w:widowControl/>
              <w:shd w:val="clear" w:color="auto" w:fill="FFFFFF" w:themeFill="background1"/>
              <w:jc w:val="center"/>
              <w:rPr>
                <w:rFonts w:hint="eastAsia" w:ascii="宋体" w:hAnsi="宋体" w:eastAsia="宋体" w:cs="宋体"/>
                <w:color w:val="auto"/>
                <w:kern w:val="0"/>
                <w:szCs w:val="21"/>
                <w:lang w:eastAsia="zh-CN"/>
              </w:rPr>
            </w:pPr>
            <w:r>
              <w:rPr>
                <w:rFonts w:hint="eastAsia" w:ascii="宋体" w:hAnsi="宋体" w:cs="宋体"/>
                <w:color w:val="auto"/>
                <w:szCs w:val="21"/>
                <w:lang w:val="en-US" w:eastAsia="zh-CN"/>
              </w:rPr>
              <w:t>标段</w:t>
            </w:r>
            <w:r>
              <w:rPr>
                <w:rFonts w:hint="eastAsia" w:ascii="宋体" w:hAnsi="宋体" w:cs="宋体"/>
                <w:color w:val="auto"/>
                <w:szCs w:val="21"/>
                <w:u w:val="single"/>
                <w:lang w:val="en-US" w:eastAsia="zh-CN"/>
              </w:rPr>
              <w:t>X</w:t>
            </w:r>
            <w:r>
              <w:rPr>
                <w:rFonts w:hint="eastAsia" w:ascii="宋体" w:hAnsi="宋体" w:cs="宋体"/>
                <w:color w:val="auto"/>
                <w:szCs w:val="21"/>
                <w:lang w:val="en-US" w:eastAsia="zh-CN"/>
              </w:rPr>
              <w:t>：</w:t>
            </w:r>
            <w:r>
              <w:rPr>
                <w:rFonts w:hint="eastAsia" w:ascii="宋体" w:hAnsi="宋体" w:cs="宋体"/>
                <w:color w:val="auto"/>
                <w:szCs w:val="21"/>
                <w:u w:val="single"/>
                <w:lang w:val="en-US" w:eastAsia="zh-CN"/>
              </w:rPr>
              <w:t>标段名称</w:t>
            </w:r>
            <w:r>
              <w:rPr>
                <w:rFonts w:ascii="宋体" w:hAnsi="宋体" w:cs="宋体"/>
                <w:color w:val="auto"/>
                <w:szCs w:val="21"/>
              </w:rPr>
              <w:t xml:space="preserve"> </w:t>
            </w:r>
          </w:p>
        </w:tc>
        <w:tc>
          <w:tcPr>
            <w:tcW w:w="3254" w:type="dxa"/>
            <w:shd w:val="clear" w:color="auto" w:fill="auto"/>
            <w:vAlign w:val="center"/>
          </w:tcPr>
          <w:p>
            <w:pPr>
              <w:shd w:val="clear" w:color="auto" w:fill="FFFFFF" w:themeFill="background1"/>
              <w:jc w:val="left"/>
              <w:rPr>
                <w:color w:val="auto"/>
              </w:rPr>
            </w:pPr>
            <w:r>
              <w:rPr>
                <w:rFonts w:hint="eastAsia"/>
                <w:color w:val="auto"/>
                <w:lang w:val="en-US" w:eastAsia="zh-CN"/>
              </w:rPr>
              <w:t>大写</w:t>
            </w:r>
            <w:r>
              <w:rPr>
                <w:rFonts w:hint="eastAsia"/>
                <w:color w:val="auto"/>
              </w:rPr>
              <w:t>：</w:t>
            </w:r>
          </w:p>
          <w:p>
            <w:pPr>
              <w:pStyle w:val="14"/>
              <w:ind w:firstLine="0"/>
              <w:rPr>
                <w:color w:val="auto"/>
              </w:rPr>
            </w:pPr>
            <w:r>
              <w:rPr>
                <w:rFonts w:hint="eastAsia" w:ascii="Times New Roman" w:eastAsia="宋体"/>
                <w:color w:val="auto"/>
                <w:kern w:val="2"/>
                <w:sz w:val="21"/>
                <w:szCs w:val="24"/>
              </w:rPr>
              <w:t>小写：</w:t>
            </w:r>
          </w:p>
        </w:tc>
        <w:tc>
          <w:tcPr>
            <w:tcW w:w="1886" w:type="dxa"/>
            <w:shd w:val="clear" w:color="auto" w:fill="auto"/>
            <w:vAlign w:val="center"/>
          </w:tcPr>
          <w:p>
            <w:pPr>
              <w:shd w:val="clear" w:color="auto" w:fill="FFFFFF" w:themeFill="background1"/>
              <w:jc w:val="center"/>
              <w:rPr>
                <w:rFonts w:ascii="宋体" w:hAnsi="宋体" w:cs="宋体"/>
                <w:color w:val="auto"/>
                <w:kern w:val="0"/>
                <w:szCs w:val="21"/>
              </w:rPr>
            </w:pPr>
          </w:p>
        </w:tc>
      </w:tr>
    </w:tbl>
    <w:p>
      <w:pPr>
        <w:rPr>
          <w:rFonts w:hAnsi="宋体"/>
          <w:bCs/>
          <w:color w:val="auto"/>
          <w:szCs w:val="21"/>
        </w:rPr>
      </w:pPr>
    </w:p>
    <w:p>
      <w:pPr>
        <w:rPr>
          <w:bCs/>
          <w:color w:val="auto"/>
          <w:szCs w:val="21"/>
        </w:rPr>
      </w:pPr>
      <w:r>
        <w:rPr>
          <w:rFonts w:hAnsi="宋体"/>
          <w:bCs/>
          <w:color w:val="auto"/>
          <w:szCs w:val="21"/>
        </w:rPr>
        <w:t>说明：</w:t>
      </w:r>
    </w:p>
    <w:p>
      <w:pPr>
        <w:spacing w:line="440" w:lineRule="exact"/>
        <w:rPr>
          <w:bCs/>
          <w:color w:val="auto"/>
          <w:szCs w:val="21"/>
        </w:rPr>
      </w:pPr>
      <w:r>
        <w:rPr>
          <w:bCs/>
          <w:color w:val="auto"/>
          <w:szCs w:val="21"/>
        </w:rPr>
        <w:t>1</w:t>
      </w:r>
      <w:r>
        <w:rPr>
          <w:rFonts w:hint="eastAsia" w:hAnsi="宋体"/>
          <w:bCs/>
          <w:color w:val="auto"/>
          <w:szCs w:val="21"/>
        </w:rPr>
        <w:t>．</w:t>
      </w:r>
      <w:r>
        <w:rPr>
          <w:rFonts w:hAnsi="宋体"/>
          <w:bCs/>
          <w:color w:val="auto"/>
          <w:szCs w:val="21"/>
        </w:rPr>
        <w:t>以上内容为实质性响应内容，投标人漏写或</w:t>
      </w:r>
      <w:r>
        <w:rPr>
          <w:rFonts w:hint="eastAsia" w:hAnsi="宋体"/>
          <w:bCs/>
          <w:color w:val="auto"/>
          <w:szCs w:val="21"/>
        </w:rPr>
        <w:t>者</w:t>
      </w:r>
      <w:r>
        <w:rPr>
          <w:rFonts w:hAnsi="宋体"/>
          <w:bCs/>
          <w:color w:val="auto"/>
          <w:szCs w:val="21"/>
        </w:rPr>
        <w:t>错写，将导致</w:t>
      </w:r>
      <w:r>
        <w:rPr>
          <w:rFonts w:hint="eastAsia" w:hAnsi="宋体"/>
          <w:bCs/>
          <w:color w:val="auto"/>
          <w:szCs w:val="21"/>
        </w:rPr>
        <w:t>被否决投标；</w:t>
      </w:r>
    </w:p>
    <w:p>
      <w:pPr>
        <w:spacing w:line="440" w:lineRule="exact"/>
        <w:rPr>
          <w:rFonts w:hAnsi="宋体"/>
          <w:color w:val="auto"/>
          <w:szCs w:val="21"/>
        </w:rPr>
      </w:pPr>
      <w:r>
        <w:rPr>
          <w:bCs/>
          <w:color w:val="auto"/>
          <w:szCs w:val="21"/>
        </w:rPr>
        <w:t>2</w:t>
      </w:r>
      <w:r>
        <w:rPr>
          <w:rFonts w:hint="eastAsia" w:hAnsi="宋体"/>
          <w:bCs/>
          <w:color w:val="auto"/>
          <w:szCs w:val="21"/>
        </w:rPr>
        <w:t>．</w:t>
      </w:r>
      <w:r>
        <w:rPr>
          <w:rFonts w:hAnsi="宋体"/>
          <w:bCs/>
          <w:color w:val="auto"/>
          <w:szCs w:val="21"/>
        </w:rPr>
        <w:t>投标总报价</w:t>
      </w:r>
      <w:r>
        <w:rPr>
          <w:rFonts w:hint="eastAsia" w:hAnsi="宋体"/>
          <w:bCs/>
          <w:color w:val="auto"/>
          <w:szCs w:val="21"/>
        </w:rPr>
        <w:t>（含税）元应与报价明细中的总价一致，</w:t>
      </w:r>
      <w:r>
        <w:rPr>
          <w:rFonts w:hint="eastAsia" w:ascii="宋体" w:hAnsi="宋体" w:cs="宋体"/>
          <w:b/>
          <w:bCs/>
          <w:color w:val="auto"/>
          <w:szCs w:val="21"/>
        </w:rPr>
        <w:t>本项目</w:t>
      </w:r>
      <w:r>
        <w:rPr>
          <w:rFonts w:hint="eastAsia" w:ascii="宋体" w:hAnsi="宋体" w:cs="宋体"/>
          <w:b/>
          <w:bCs/>
          <w:color w:val="auto"/>
          <w:szCs w:val="21"/>
          <w:lang w:val="en-US" w:eastAsia="zh-CN"/>
        </w:rPr>
        <w:t>标段1</w:t>
      </w:r>
      <w:r>
        <w:rPr>
          <w:rFonts w:hint="eastAsia" w:ascii="宋体" w:hAnsi="宋体" w:cs="宋体"/>
          <w:b/>
          <w:bCs/>
          <w:color w:val="auto"/>
          <w:szCs w:val="21"/>
        </w:rPr>
        <w:t>含税最高限价</w:t>
      </w:r>
      <w:r>
        <w:rPr>
          <w:rFonts w:hint="eastAsia" w:ascii="宋体" w:hAnsi="宋体" w:cs="宋体"/>
          <w:b/>
          <w:bCs/>
          <w:color w:val="auto"/>
          <w:szCs w:val="21"/>
          <w:lang w:val="en-US" w:eastAsia="zh-CN"/>
        </w:rPr>
        <w:t>95</w:t>
      </w:r>
      <w:r>
        <w:rPr>
          <w:rFonts w:hint="eastAsia" w:ascii="宋体" w:hAnsi="宋体" w:cs="宋体"/>
          <w:b/>
          <w:bCs/>
          <w:color w:val="auto"/>
          <w:szCs w:val="21"/>
        </w:rPr>
        <w:t>0000.00</w:t>
      </w:r>
      <w:r>
        <w:rPr>
          <w:rFonts w:hint="eastAsia" w:ascii="宋体" w:hAnsi="宋体" w:cs="宋体"/>
          <w:b/>
          <w:bCs/>
          <w:color w:val="auto"/>
          <w:szCs w:val="21"/>
          <w:lang w:eastAsia="zh-CN"/>
        </w:rPr>
        <w:t>元</w:t>
      </w:r>
      <w:r>
        <w:rPr>
          <w:rFonts w:hint="eastAsia" w:ascii="宋体" w:hAnsi="宋体" w:cs="宋体"/>
          <w:b/>
          <w:bCs/>
          <w:color w:val="auto"/>
          <w:szCs w:val="21"/>
        </w:rPr>
        <w:t>，</w:t>
      </w:r>
      <w:r>
        <w:rPr>
          <w:rFonts w:hint="eastAsia" w:ascii="宋体" w:hAnsi="宋体" w:cs="宋体"/>
          <w:b/>
          <w:bCs/>
          <w:color w:val="auto"/>
          <w:szCs w:val="21"/>
          <w:lang w:val="en-US" w:eastAsia="zh-CN"/>
        </w:rPr>
        <w:t>标段2</w:t>
      </w:r>
      <w:r>
        <w:rPr>
          <w:rFonts w:hint="eastAsia" w:ascii="宋体" w:hAnsi="宋体" w:cs="宋体"/>
          <w:b/>
          <w:bCs/>
          <w:color w:val="auto"/>
          <w:szCs w:val="21"/>
        </w:rPr>
        <w:t>含税最高限价</w:t>
      </w:r>
      <w:r>
        <w:rPr>
          <w:rFonts w:hint="eastAsia" w:ascii="宋体" w:hAnsi="宋体" w:cs="宋体"/>
          <w:b/>
          <w:bCs/>
          <w:color w:val="auto"/>
          <w:szCs w:val="21"/>
          <w:lang w:val="en-US" w:eastAsia="zh-CN"/>
        </w:rPr>
        <w:t>692</w:t>
      </w:r>
      <w:r>
        <w:rPr>
          <w:rFonts w:hint="eastAsia" w:ascii="宋体" w:hAnsi="宋体" w:cs="宋体"/>
          <w:b/>
          <w:bCs/>
          <w:color w:val="auto"/>
          <w:szCs w:val="21"/>
        </w:rPr>
        <w:t>000.00</w:t>
      </w:r>
      <w:r>
        <w:rPr>
          <w:rFonts w:hint="eastAsia" w:ascii="宋体" w:hAnsi="宋体" w:cs="宋体"/>
          <w:b/>
          <w:bCs/>
          <w:color w:val="auto"/>
          <w:szCs w:val="21"/>
          <w:lang w:eastAsia="zh-CN"/>
        </w:rPr>
        <w:t>元，</w:t>
      </w:r>
      <w:r>
        <w:rPr>
          <w:rFonts w:hint="eastAsia" w:ascii="宋体" w:hAnsi="宋体"/>
          <w:b/>
          <w:bCs/>
          <w:color w:val="auto"/>
          <w:szCs w:val="21"/>
        </w:rPr>
        <w:t>若投标人</w:t>
      </w:r>
      <w:r>
        <w:rPr>
          <w:rFonts w:hint="eastAsia" w:ascii="宋体" w:hAnsi="宋体" w:cs="宋体"/>
          <w:b/>
          <w:bCs/>
          <w:color w:val="auto"/>
          <w:szCs w:val="21"/>
        </w:rPr>
        <w:t>报价超过</w:t>
      </w:r>
      <w:r>
        <w:rPr>
          <w:rFonts w:hint="eastAsia" w:ascii="宋体" w:hAnsi="宋体" w:cs="宋体"/>
          <w:b/>
          <w:bCs/>
          <w:color w:val="auto"/>
          <w:szCs w:val="21"/>
          <w:lang w:val="en-US" w:eastAsia="zh-CN"/>
        </w:rPr>
        <w:t>标段最高</w:t>
      </w:r>
      <w:r>
        <w:rPr>
          <w:rFonts w:hint="eastAsia" w:ascii="宋体" w:hAnsi="宋体" w:cs="宋体"/>
          <w:b/>
          <w:bCs/>
          <w:color w:val="auto"/>
          <w:szCs w:val="21"/>
        </w:rPr>
        <w:t>限价的报价无效，</w:t>
      </w:r>
      <w:r>
        <w:rPr>
          <w:rFonts w:hint="eastAsia" w:ascii="宋体" w:hAnsi="宋体" w:cs="宋体"/>
          <w:b/>
          <w:bCs/>
          <w:color w:val="auto"/>
          <w:szCs w:val="21"/>
          <w:lang w:val="en-US" w:eastAsia="zh-CN"/>
        </w:rPr>
        <w:t>该标段</w:t>
      </w:r>
      <w:r>
        <w:rPr>
          <w:rFonts w:hint="eastAsia" w:ascii="宋体" w:hAnsi="宋体" w:cs="宋体"/>
          <w:b/>
          <w:bCs/>
          <w:color w:val="auto"/>
          <w:szCs w:val="21"/>
        </w:rPr>
        <w:t>将被否决投标</w:t>
      </w:r>
      <w:r>
        <w:rPr>
          <w:rFonts w:hAnsi="宋体"/>
          <w:color w:val="auto"/>
          <w:szCs w:val="21"/>
        </w:rPr>
        <w:t>。</w:t>
      </w:r>
    </w:p>
    <w:p>
      <w:pPr>
        <w:spacing w:line="440" w:lineRule="exact"/>
        <w:rPr>
          <w:rFonts w:hAnsi="宋体"/>
          <w:bCs/>
          <w:color w:val="auto"/>
          <w:szCs w:val="21"/>
        </w:rPr>
      </w:pPr>
    </w:p>
    <w:p>
      <w:pPr>
        <w:snapToGrid w:val="0"/>
        <w:spacing w:line="440" w:lineRule="exact"/>
        <w:jc w:val="right"/>
        <w:rPr>
          <w:rFonts w:ascii="宋体" w:hAnsi="宋体" w:cs="宋体"/>
          <w:color w:val="auto"/>
          <w:szCs w:val="21"/>
        </w:rPr>
      </w:pPr>
      <w:r>
        <w:rPr>
          <w:rFonts w:ascii="宋体" w:hAnsi="宋体"/>
          <w:color w:val="auto"/>
          <w:szCs w:val="21"/>
        </w:rPr>
        <w:t>投标人</w:t>
      </w:r>
      <w:r>
        <w:rPr>
          <w:rFonts w:hint="eastAsia" w:ascii="宋体" w:hAnsi="宋体"/>
          <w:color w:val="auto"/>
          <w:szCs w:val="21"/>
        </w:rPr>
        <w:t>名称</w:t>
      </w:r>
      <w:r>
        <w:rPr>
          <w:rFonts w:ascii="宋体" w:hAnsi="宋体"/>
          <w:color w:val="auto"/>
          <w:szCs w:val="21"/>
        </w:rPr>
        <w:t>：</w:t>
      </w:r>
      <w:r>
        <w:rPr>
          <w:rFonts w:ascii="宋体" w:hAnsi="宋体" w:cs="宋体"/>
          <w:color w:val="auto"/>
          <w:szCs w:val="21"/>
          <w:u w:val="single"/>
        </w:rPr>
        <w:t xml:space="preserve">                           </w:t>
      </w:r>
      <w:r>
        <w:rPr>
          <w:rFonts w:ascii="宋体" w:hAnsi="宋体" w:cs="宋体"/>
          <w:color w:val="auto"/>
          <w:szCs w:val="21"/>
        </w:rPr>
        <w:t>（</w:t>
      </w:r>
      <w:r>
        <w:rPr>
          <w:rFonts w:hint="eastAsia" w:ascii="宋体" w:hAnsi="宋体" w:cs="宋体"/>
          <w:color w:val="auto"/>
          <w:szCs w:val="21"/>
        </w:rPr>
        <w:t>盖单位公章</w:t>
      </w:r>
      <w:r>
        <w:rPr>
          <w:rFonts w:ascii="宋体" w:hAnsi="宋体" w:cs="宋体"/>
          <w:color w:val="auto"/>
          <w:szCs w:val="21"/>
        </w:rPr>
        <w:t>）</w:t>
      </w:r>
    </w:p>
    <w:p>
      <w:pPr>
        <w:widowControl/>
        <w:snapToGrid w:val="0"/>
        <w:spacing w:line="440" w:lineRule="exact"/>
        <w:ind w:right="420" w:firstLine="1260" w:firstLineChars="600"/>
        <w:jc w:val="right"/>
        <w:rPr>
          <w:rFonts w:ascii="宋体" w:hAnsi="宋体" w:cs="宋体"/>
          <w:color w:val="auto"/>
          <w:szCs w:val="21"/>
        </w:rPr>
      </w:pPr>
      <w:r>
        <w:rPr>
          <w:rFonts w:hint="eastAsia" w:ascii="宋体" w:hAnsi="宋体" w:cs="宋体"/>
          <w:color w:val="auto"/>
          <w:szCs w:val="21"/>
        </w:rPr>
        <w:t>法定代表人</w:t>
      </w:r>
      <w:r>
        <w:rPr>
          <w:rFonts w:ascii="宋体" w:hAnsi="宋体" w:cs="宋体"/>
          <w:color w:val="auto"/>
          <w:szCs w:val="21"/>
        </w:rPr>
        <w:t>或者其委托代理人：</w:t>
      </w:r>
      <w:r>
        <w:rPr>
          <w:rFonts w:ascii="宋体" w:hAnsi="宋体" w:cs="宋体"/>
          <w:color w:val="auto"/>
          <w:szCs w:val="21"/>
          <w:u w:val="single"/>
        </w:rPr>
        <w:t xml:space="preserve">               </w:t>
      </w:r>
      <w:r>
        <w:rPr>
          <w:rFonts w:hint="eastAsia" w:ascii="宋体" w:hAnsi="宋体" w:cs="宋体"/>
          <w:color w:val="auto"/>
          <w:szCs w:val="21"/>
        </w:rPr>
        <w:t>（签字或盖章）</w:t>
      </w:r>
    </w:p>
    <w:p>
      <w:pPr>
        <w:widowControl/>
        <w:snapToGrid w:val="0"/>
        <w:spacing w:line="440" w:lineRule="exact"/>
        <w:ind w:right="420" w:firstLine="1260" w:firstLineChars="600"/>
        <w:jc w:val="right"/>
        <w:rPr>
          <w:rFonts w:ascii="宋体" w:hAnsi="宋体" w:cs="宋体"/>
          <w:color w:val="auto"/>
          <w:szCs w:val="21"/>
        </w:rPr>
      </w:pP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p>
      <w:pPr>
        <w:topLinePunct/>
        <w:spacing w:line="440" w:lineRule="exact"/>
        <w:jc w:val="left"/>
        <w:rPr>
          <w:rFonts w:ascii="宋体" w:hAnsi="宋体" w:cs="宋体"/>
          <w:color w:val="auto"/>
          <w:szCs w:val="21"/>
        </w:rPr>
      </w:pPr>
    </w:p>
    <w:p>
      <w:pPr>
        <w:rPr>
          <w:rFonts w:hint="eastAsia" w:ascii="宋体" w:hAnsi="宋体" w:eastAsia="宋体"/>
          <w:bCs/>
          <w:color w:val="auto"/>
          <w:szCs w:val="21"/>
          <w:lang w:eastAsia="zh-CN"/>
        </w:rPr>
      </w:pPr>
    </w:p>
    <w:p>
      <w:pPr>
        <w:topLinePunct/>
        <w:spacing w:line="440" w:lineRule="exact"/>
        <w:jc w:val="left"/>
        <w:rPr>
          <w:rFonts w:ascii="宋体" w:hAnsi="宋体" w:cs="宋体"/>
          <w:color w:val="auto"/>
          <w:szCs w:val="21"/>
        </w:rPr>
      </w:pPr>
    </w:p>
    <w:p>
      <w:pPr>
        <w:topLinePunct/>
        <w:spacing w:line="440" w:lineRule="exact"/>
        <w:jc w:val="left"/>
        <w:rPr>
          <w:rFonts w:ascii="宋体" w:hAnsi="宋体" w:cs="宋体"/>
          <w:color w:val="auto"/>
          <w:szCs w:val="21"/>
        </w:rPr>
      </w:pPr>
    </w:p>
    <w:p>
      <w:pPr>
        <w:widowControl/>
        <w:jc w:val="left"/>
        <w:rPr>
          <w:rFonts w:ascii="宋体" w:hAnsi="宋体" w:cs="宋体"/>
          <w:color w:val="auto"/>
          <w:szCs w:val="21"/>
        </w:rPr>
      </w:pPr>
      <w:r>
        <w:rPr>
          <w:rFonts w:ascii="宋体" w:hAnsi="宋体" w:cs="宋体"/>
          <w:color w:val="auto"/>
          <w:szCs w:val="21"/>
        </w:rPr>
        <w:br w:type="page"/>
      </w:r>
    </w:p>
    <w:p>
      <w:pPr>
        <w:pStyle w:val="36"/>
        <w:numPr>
          <w:ilvl w:val="0"/>
          <w:numId w:val="23"/>
        </w:numPr>
        <w:tabs>
          <w:tab w:val="left" w:pos="588"/>
        </w:tabs>
        <w:snapToGrid w:val="0"/>
        <w:spacing w:before="120" w:after="120" w:line="440" w:lineRule="exact"/>
        <w:jc w:val="left"/>
        <w:rPr>
          <w:rFonts w:ascii="宋体" w:hAnsi="宋体"/>
          <w:color w:val="auto"/>
          <w:sz w:val="24"/>
          <w:szCs w:val="24"/>
        </w:rPr>
      </w:pPr>
      <w:bookmarkStart w:id="813" w:name="_Toc20456"/>
      <w:bookmarkStart w:id="814" w:name="_Toc6007"/>
      <w:r>
        <w:rPr>
          <w:rFonts w:hint="eastAsia" w:ascii="宋体" w:hAnsi="宋体"/>
          <w:color w:val="auto"/>
          <w:sz w:val="24"/>
          <w:szCs w:val="24"/>
        </w:rPr>
        <w:t>分项一览表（格式自拟）</w:t>
      </w:r>
      <w:bookmarkEnd w:id="809"/>
      <w:bookmarkEnd w:id="813"/>
      <w:bookmarkEnd w:id="814"/>
    </w:p>
    <w:p>
      <w:pPr>
        <w:spacing w:line="360" w:lineRule="auto"/>
        <w:rPr>
          <w:rFonts w:hint="eastAsia" w:ascii="宋体" w:hAnsi="宋体" w:eastAsia="宋体"/>
          <w:color w:val="auto"/>
          <w:u w:val="single"/>
          <w:lang w:eastAsia="zh-CN"/>
        </w:rPr>
      </w:pPr>
      <w:r>
        <w:rPr>
          <w:rFonts w:hint="eastAsia" w:ascii="宋体" w:hAnsi="宋体"/>
          <w:color w:val="auto"/>
        </w:rPr>
        <w:t>项目名称：</w:t>
      </w:r>
      <w:r>
        <w:rPr>
          <w:rFonts w:hint="eastAsia" w:ascii="宋体" w:hAnsi="宋体" w:cs="宋体"/>
          <w:color w:val="auto"/>
          <w:szCs w:val="21"/>
          <w:lang w:eastAsia="zh-CN"/>
        </w:rPr>
        <w:t>主题展厅多媒体设备及互动展项定制安装服务项目</w:t>
      </w:r>
    </w:p>
    <w:p>
      <w:pPr>
        <w:autoSpaceDE w:val="0"/>
        <w:autoSpaceDN w:val="0"/>
        <w:adjustRightInd w:val="0"/>
        <w:ind w:left="424" w:hanging="424" w:hangingChars="202"/>
        <w:jc w:val="left"/>
        <w:rPr>
          <w:rFonts w:hint="eastAsia" w:ascii="宋体" w:hAnsi="宋体" w:eastAsia="宋体"/>
          <w:color w:val="auto"/>
          <w:szCs w:val="21"/>
          <w:lang w:eastAsia="zh-CN"/>
        </w:rPr>
      </w:pPr>
      <w:r>
        <w:rPr>
          <w:rFonts w:hint="eastAsia" w:ascii="宋体" w:hAnsi="宋体"/>
          <w:color w:val="auto"/>
        </w:rPr>
        <w:t>招标代理机构编号：</w:t>
      </w:r>
      <w:r>
        <w:rPr>
          <w:rFonts w:hint="eastAsia" w:ascii="宋体" w:hAnsi="宋体" w:cs="宋体"/>
          <w:color w:val="auto"/>
          <w:szCs w:val="21"/>
          <w:lang w:eastAsia="zh-CN"/>
        </w:rPr>
        <w:t>WJS-202304070019</w:t>
      </w:r>
    </w:p>
    <w:p>
      <w:pPr>
        <w:pStyle w:val="2"/>
        <w:rPr>
          <w:color w:val="auto"/>
          <w:sz w:val="21"/>
          <w:szCs w:val="21"/>
        </w:rPr>
      </w:pPr>
      <w:r>
        <w:rPr>
          <w:rFonts w:hint="eastAsia" w:ascii="宋体" w:hAnsi="宋体" w:cs="宋体"/>
          <w:color w:val="auto"/>
          <w:sz w:val="21"/>
          <w:szCs w:val="21"/>
          <w:lang w:val="en-US" w:eastAsia="zh-CN"/>
        </w:rPr>
        <w:t>标段</w:t>
      </w:r>
      <w:r>
        <w:rPr>
          <w:rFonts w:hint="eastAsia" w:ascii="宋体" w:hAnsi="宋体" w:cs="宋体"/>
          <w:color w:val="auto"/>
          <w:sz w:val="21"/>
          <w:szCs w:val="21"/>
          <w:u w:val="single"/>
          <w:lang w:val="en-US" w:eastAsia="zh-CN"/>
        </w:rPr>
        <w:t>X</w:t>
      </w:r>
      <w:r>
        <w:rPr>
          <w:rFonts w:hint="eastAsia" w:ascii="宋体" w:hAnsi="宋体" w:cs="宋体"/>
          <w:color w:val="auto"/>
          <w:sz w:val="21"/>
          <w:szCs w:val="21"/>
          <w:lang w:val="en-US" w:eastAsia="zh-CN"/>
        </w:rPr>
        <w:t>：</w:t>
      </w:r>
      <w:r>
        <w:rPr>
          <w:rFonts w:hint="eastAsia" w:ascii="宋体" w:hAnsi="宋体" w:cs="宋体"/>
          <w:color w:val="auto"/>
          <w:sz w:val="21"/>
          <w:szCs w:val="21"/>
          <w:u w:val="single"/>
          <w:lang w:val="en-US" w:eastAsia="zh-CN"/>
        </w:rPr>
        <w:t>标段名称</w:t>
      </w:r>
    </w:p>
    <w:p>
      <w:pPr>
        <w:pStyle w:val="2"/>
        <w:rPr>
          <w:color w:val="auto"/>
        </w:rPr>
      </w:pPr>
    </w:p>
    <w:p>
      <w:pPr>
        <w:pStyle w:val="2"/>
        <w:rPr>
          <w:color w:val="auto"/>
        </w:rPr>
      </w:pPr>
    </w:p>
    <w:p>
      <w:pPr>
        <w:pStyle w:val="2"/>
        <w:rPr>
          <w:color w:val="auto"/>
        </w:rPr>
      </w:pPr>
    </w:p>
    <w:p>
      <w:pPr>
        <w:pStyle w:val="2"/>
        <w:rPr>
          <w:rFonts w:ascii="宋体" w:hAnsi="宋体"/>
          <w:color w:val="auto"/>
          <w:sz w:val="21"/>
          <w:szCs w:val="21"/>
        </w:rPr>
      </w:pPr>
      <w:r>
        <w:rPr>
          <w:rFonts w:ascii="宋体" w:hAnsi="宋体"/>
          <w:color w:val="auto"/>
          <w:sz w:val="21"/>
          <w:szCs w:val="21"/>
        </w:rPr>
        <w:t xml:space="preserve">1、投标报价为投标人最终的投标报价，包含《第五章 </w:t>
      </w:r>
      <w:r>
        <w:rPr>
          <w:rFonts w:hint="eastAsia" w:ascii="宋体" w:hAnsi="宋体"/>
          <w:color w:val="auto"/>
          <w:sz w:val="21"/>
          <w:szCs w:val="21"/>
        </w:rPr>
        <w:t>采购需求书》所述服务需要的全部费用。如果投标人在中标并签署合同后，在项目实施过程中出现任何遗漏，均由中标单位免费提供，</w:t>
      </w:r>
      <w:r>
        <w:rPr>
          <w:rFonts w:hint="eastAsia" w:ascii="宋体" w:hAnsi="宋体"/>
          <w:color w:val="auto"/>
          <w:sz w:val="21"/>
          <w:szCs w:val="21"/>
          <w:lang w:eastAsia="zh-CN"/>
        </w:rPr>
        <w:t>招标人</w:t>
      </w:r>
      <w:r>
        <w:rPr>
          <w:rFonts w:hint="eastAsia" w:ascii="宋体" w:hAnsi="宋体"/>
          <w:color w:val="auto"/>
          <w:sz w:val="21"/>
          <w:szCs w:val="21"/>
        </w:rPr>
        <w:t>将不再支付任何费用。</w:t>
      </w:r>
    </w:p>
    <w:p>
      <w:pPr>
        <w:pStyle w:val="2"/>
        <w:rPr>
          <w:rFonts w:ascii="宋体" w:hAnsi="宋体"/>
          <w:color w:val="auto"/>
          <w:sz w:val="21"/>
          <w:szCs w:val="21"/>
        </w:rPr>
      </w:pPr>
      <w:r>
        <w:rPr>
          <w:rFonts w:ascii="宋体" w:hAnsi="宋体"/>
          <w:color w:val="auto"/>
          <w:sz w:val="21"/>
          <w:szCs w:val="21"/>
        </w:rPr>
        <w:t>2、请投标人进行详细的报价分析。（格式自拟）</w:t>
      </w:r>
    </w:p>
    <w:p>
      <w:pPr>
        <w:pStyle w:val="2"/>
        <w:rPr>
          <w:rFonts w:ascii="宋体" w:hAnsi="宋体"/>
          <w:color w:val="auto"/>
          <w:sz w:val="21"/>
          <w:szCs w:val="21"/>
        </w:rPr>
      </w:pPr>
      <w:r>
        <w:rPr>
          <w:rFonts w:ascii="宋体" w:hAnsi="宋体"/>
          <w:color w:val="auto"/>
          <w:sz w:val="21"/>
          <w:szCs w:val="21"/>
        </w:rPr>
        <w:t>3、分项报价表合计总价应与报价一览表的含税总报价一致。</w:t>
      </w:r>
    </w:p>
    <w:p>
      <w:pPr>
        <w:pStyle w:val="2"/>
        <w:rPr>
          <w:rFonts w:ascii="宋体" w:hAnsi="宋体"/>
          <w:color w:val="auto"/>
          <w:sz w:val="21"/>
          <w:szCs w:val="21"/>
        </w:rPr>
      </w:pPr>
    </w:p>
    <w:p>
      <w:pPr>
        <w:pStyle w:val="2"/>
        <w:rPr>
          <w:rFonts w:ascii="宋体" w:hAnsi="宋体"/>
          <w:color w:val="auto"/>
          <w:sz w:val="21"/>
          <w:szCs w:val="21"/>
        </w:rPr>
      </w:pPr>
    </w:p>
    <w:p>
      <w:pPr>
        <w:pStyle w:val="2"/>
        <w:rPr>
          <w:rFonts w:ascii="宋体" w:hAnsi="宋体"/>
          <w:color w:val="auto"/>
          <w:sz w:val="21"/>
          <w:szCs w:val="21"/>
        </w:rPr>
      </w:pPr>
    </w:p>
    <w:p>
      <w:pPr>
        <w:pStyle w:val="2"/>
        <w:rPr>
          <w:color w:val="auto"/>
        </w:rPr>
      </w:pPr>
    </w:p>
    <w:p>
      <w:pPr>
        <w:pStyle w:val="2"/>
        <w:rPr>
          <w:color w:val="auto"/>
        </w:rPr>
      </w:pPr>
    </w:p>
    <w:p>
      <w:pPr>
        <w:wordWrap w:val="0"/>
        <w:spacing w:line="300" w:lineRule="auto"/>
        <w:ind w:right="120"/>
        <w:jc w:val="right"/>
        <w:rPr>
          <w:color w:val="auto"/>
          <w:szCs w:val="21"/>
        </w:rPr>
      </w:pPr>
      <w:r>
        <w:rPr>
          <w:color w:val="auto"/>
          <w:sz w:val="24"/>
          <w:szCs w:val="21"/>
        </w:rPr>
        <w:t xml:space="preserve"> </w:t>
      </w:r>
      <w:r>
        <w:rPr>
          <w:rFonts w:hint="eastAsia"/>
          <w:color w:val="auto"/>
          <w:szCs w:val="21"/>
        </w:rPr>
        <w:t>投标人名称：</w:t>
      </w:r>
      <w:r>
        <w:rPr>
          <w:color w:val="auto"/>
          <w:szCs w:val="21"/>
          <w:u w:val="single"/>
        </w:rPr>
        <w:t xml:space="preserve">                           </w:t>
      </w:r>
      <w:r>
        <w:rPr>
          <w:rFonts w:hint="eastAsia"/>
          <w:color w:val="auto"/>
          <w:szCs w:val="21"/>
        </w:rPr>
        <w:t>（盖单位公章）</w:t>
      </w:r>
    </w:p>
    <w:p>
      <w:pPr>
        <w:spacing w:line="300" w:lineRule="auto"/>
        <w:ind w:right="120"/>
        <w:jc w:val="right"/>
        <w:rPr>
          <w:color w:val="auto"/>
          <w:szCs w:val="21"/>
        </w:rPr>
      </w:pPr>
      <w:r>
        <w:rPr>
          <w:rFonts w:hint="eastAsia"/>
          <w:color w:val="auto"/>
          <w:szCs w:val="21"/>
        </w:rPr>
        <w:t>法定代表人或者其委托代理人：</w:t>
      </w:r>
      <w:r>
        <w:rPr>
          <w:color w:val="auto"/>
          <w:szCs w:val="21"/>
          <w:u w:val="single"/>
        </w:rPr>
        <w:t xml:space="preserve">               </w:t>
      </w:r>
      <w:r>
        <w:rPr>
          <w:rFonts w:hint="eastAsia"/>
          <w:color w:val="auto"/>
          <w:szCs w:val="21"/>
        </w:rPr>
        <w:t>（签字或盖章）</w:t>
      </w:r>
    </w:p>
    <w:p>
      <w:pPr>
        <w:spacing w:line="300" w:lineRule="auto"/>
        <w:ind w:right="120"/>
        <w:jc w:val="right"/>
        <w:rPr>
          <w:color w:val="auto"/>
          <w:szCs w:val="21"/>
        </w:rPr>
      </w:pP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p>
    <w:p>
      <w:pPr>
        <w:rPr>
          <w:rFonts w:ascii="宋体" w:hAnsi="宋体"/>
          <w:color w:val="auto"/>
          <w:sz w:val="24"/>
        </w:rPr>
      </w:pPr>
    </w:p>
    <w:p>
      <w:pPr>
        <w:rPr>
          <w:rFonts w:hint="eastAsia" w:ascii="宋体" w:hAnsi="宋体" w:eastAsia="宋体"/>
          <w:bCs/>
          <w:color w:val="auto"/>
          <w:szCs w:val="21"/>
          <w:lang w:eastAsia="zh-CN"/>
        </w:rPr>
      </w:pPr>
    </w:p>
    <w:p>
      <w:pPr>
        <w:rPr>
          <w:rFonts w:ascii="宋体" w:hAnsi="宋体"/>
          <w:color w:val="auto"/>
          <w:sz w:val="24"/>
        </w:rPr>
      </w:pPr>
      <w:r>
        <w:rPr>
          <w:rFonts w:ascii="宋体" w:hAnsi="宋体"/>
          <w:color w:val="auto"/>
          <w:sz w:val="24"/>
        </w:rPr>
        <w:br w:type="page"/>
      </w:r>
    </w:p>
    <w:p>
      <w:pPr>
        <w:pStyle w:val="36"/>
        <w:numPr>
          <w:ilvl w:val="0"/>
          <w:numId w:val="23"/>
        </w:numPr>
        <w:tabs>
          <w:tab w:val="left" w:pos="588"/>
        </w:tabs>
        <w:snapToGrid w:val="0"/>
        <w:spacing w:before="120" w:after="120" w:line="440" w:lineRule="exact"/>
        <w:jc w:val="left"/>
        <w:rPr>
          <w:rFonts w:ascii="宋体" w:hAnsi="宋体"/>
          <w:color w:val="auto"/>
          <w:sz w:val="24"/>
          <w:szCs w:val="24"/>
        </w:rPr>
      </w:pPr>
      <w:bookmarkStart w:id="815" w:name="_Toc28667"/>
      <w:bookmarkStart w:id="816" w:name="_Toc5120"/>
      <w:bookmarkStart w:id="817" w:name="_Toc8469"/>
      <w:r>
        <w:rPr>
          <w:rFonts w:hint="eastAsia" w:ascii="宋体" w:hAnsi="宋体"/>
          <w:color w:val="auto"/>
          <w:sz w:val="24"/>
          <w:szCs w:val="24"/>
        </w:rPr>
        <w:t>招标代理服务费承诺书</w:t>
      </w:r>
      <w:bookmarkEnd w:id="810"/>
      <w:bookmarkEnd w:id="811"/>
      <w:bookmarkEnd w:id="812"/>
      <w:bookmarkEnd w:id="815"/>
      <w:bookmarkEnd w:id="816"/>
      <w:bookmarkEnd w:id="817"/>
    </w:p>
    <w:p>
      <w:pPr>
        <w:spacing w:line="360" w:lineRule="auto"/>
        <w:rPr>
          <w:rFonts w:hint="eastAsia" w:ascii="宋体" w:hAnsi="宋体" w:eastAsia="宋体"/>
          <w:color w:val="auto"/>
          <w:szCs w:val="21"/>
          <w:lang w:eastAsia="zh-CN"/>
        </w:rPr>
      </w:pPr>
      <w:bookmarkStart w:id="818" w:name="_Toc1651926"/>
      <w:r>
        <w:rPr>
          <w:rFonts w:hint="eastAsia" w:ascii="宋体" w:hAnsi="宋体"/>
          <w:color w:val="auto"/>
          <w:szCs w:val="21"/>
        </w:rPr>
        <w:t>致：广东省南方文化产权交易所股份有限公司、</w:t>
      </w:r>
      <w:r>
        <w:rPr>
          <w:rFonts w:hint="eastAsia" w:ascii="宋体" w:hAnsi="宋体"/>
          <w:color w:val="auto"/>
          <w:szCs w:val="21"/>
          <w:lang w:eastAsia="zh-CN"/>
        </w:rPr>
        <w:t>广东南方日报展示有限公司</w:t>
      </w:r>
    </w:p>
    <w:p>
      <w:pPr>
        <w:spacing w:line="360" w:lineRule="auto"/>
        <w:ind w:firstLine="420" w:firstLineChars="200"/>
        <w:rPr>
          <w:rFonts w:ascii="宋体" w:hAnsi="宋体"/>
          <w:color w:val="auto"/>
          <w:szCs w:val="21"/>
        </w:rPr>
      </w:pPr>
      <w:r>
        <w:rPr>
          <w:rFonts w:hint="eastAsia" w:ascii="宋体" w:hAnsi="宋体"/>
          <w:color w:val="auto"/>
          <w:szCs w:val="21"/>
        </w:rPr>
        <w:t>我公司同意招标人不向贵公司支付任何费用，而由中标人向贵公司支付招标代理服务费。我公司承诺如下：</w:t>
      </w:r>
    </w:p>
    <w:p>
      <w:pPr>
        <w:spacing w:line="360" w:lineRule="auto"/>
        <w:ind w:firstLine="420" w:firstLineChars="200"/>
        <w:rPr>
          <w:rFonts w:ascii="宋体" w:hAnsi="宋体"/>
          <w:color w:val="auto"/>
          <w:szCs w:val="21"/>
        </w:rPr>
      </w:pPr>
      <w:r>
        <w:rPr>
          <w:rFonts w:hint="eastAsia" w:ascii="宋体" w:hAnsi="宋体"/>
          <w:color w:val="auto"/>
        </w:rPr>
        <w:t>如若我司在</w:t>
      </w:r>
      <w:r>
        <w:rPr>
          <w:rFonts w:hint="eastAsia" w:ascii="宋体" w:hAnsi="宋体"/>
          <w:color w:val="auto"/>
          <w:szCs w:val="21"/>
        </w:rPr>
        <w:t>广东省南方文化产权交易所股份有限公司</w:t>
      </w:r>
      <w:r>
        <w:rPr>
          <w:rFonts w:hint="eastAsia" w:ascii="宋体" w:hAnsi="宋体"/>
          <w:color w:val="auto"/>
        </w:rPr>
        <w:t>组织的“</w:t>
      </w:r>
      <w:r>
        <w:rPr>
          <w:rFonts w:hint="eastAsia" w:ascii="宋体" w:hAnsi="宋体"/>
          <w:color w:val="auto"/>
          <w:lang w:eastAsia="zh-CN"/>
        </w:rPr>
        <w:t>主题展厅多媒体设备及互动展项定制安装服务项目</w:t>
      </w:r>
      <w:r>
        <w:rPr>
          <w:rFonts w:hint="eastAsia" w:ascii="宋体" w:hAnsi="宋体"/>
          <w:color w:val="auto"/>
        </w:rPr>
        <w:t>”招标中获中标（招标代理编号：</w:t>
      </w:r>
      <w:r>
        <w:rPr>
          <w:rFonts w:hint="eastAsia" w:ascii="宋体" w:hAnsi="宋体"/>
          <w:color w:val="auto"/>
          <w:lang w:eastAsia="zh-CN"/>
        </w:rPr>
        <w:t>WJS-202304070019</w:t>
      </w:r>
      <w:r>
        <w:rPr>
          <w:rFonts w:ascii="宋体" w:hAnsi="宋体"/>
          <w:color w:val="auto"/>
        </w:rPr>
        <w:t>）。我公司保证在贵公司发出中标通知书15天内按以下方式“备注（3）”向贵公司，即向</w:t>
      </w:r>
      <w:r>
        <w:rPr>
          <w:rFonts w:hint="eastAsia" w:ascii="宋体" w:hAnsi="宋体"/>
          <w:color w:val="auto"/>
          <w:szCs w:val="21"/>
        </w:rPr>
        <w:t>广东省南方文化产权交易所股份有限公司</w:t>
      </w:r>
      <w:r>
        <w:rPr>
          <w:rFonts w:hint="eastAsia" w:ascii="宋体" w:hAnsi="宋体"/>
          <w:color w:val="auto"/>
        </w:rPr>
        <w:t>缴交按招标文件规定的招标代理服务费。</w:t>
      </w:r>
    </w:p>
    <w:p>
      <w:pPr>
        <w:spacing w:line="360" w:lineRule="auto"/>
        <w:ind w:firstLine="420" w:firstLineChars="200"/>
        <w:rPr>
          <w:rFonts w:ascii="宋体" w:hAnsi="宋体"/>
          <w:color w:val="auto"/>
        </w:rPr>
      </w:pPr>
      <w:r>
        <w:rPr>
          <w:rFonts w:hint="eastAsia" w:ascii="宋体" w:hAnsi="宋体"/>
          <w:color w:val="auto"/>
        </w:rPr>
        <w:t>特此承诺！</w:t>
      </w:r>
    </w:p>
    <w:p>
      <w:pPr>
        <w:spacing w:line="360" w:lineRule="auto"/>
        <w:rPr>
          <w:rFonts w:ascii="宋体" w:hAnsi="宋体"/>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36830</wp:posOffset>
                </wp:positionV>
                <wp:extent cx="5410200" cy="0"/>
                <wp:effectExtent l="0" t="0" r="0" b="0"/>
                <wp:wrapNone/>
                <wp:docPr id="8" name="直接箭头连接符 5"/>
                <wp:cNvGraphicFramePr/>
                <a:graphic xmlns:a="http://schemas.openxmlformats.org/drawingml/2006/main">
                  <a:graphicData uri="http://schemas.microsoft.com/office/word/2010/wordprocessingShape">
                    <wps:wsp>
                      <wps:cNvCnPr/>
                      <wps:spPr>
                        <a:xfrm>
                          <a:off x="0" y="0"/>
                          <a:ext cx="5410200" cy="0"/>
                        </a:xfrm>
                        <a:prstGeom prst="straightConnector1">
                          <a:avLst/>
                        </a:prstGeom>
                        <a:ln w="9525" cap="flat" cmpd="sng">
                          <a:solidFill>
                            <a:srgbClr val="000000"/>
                          </a:solidFill>
                          <a:prstDash val="sysDot"/>
                          <a:headEnd type="none" w="med" len="med"/>
                          <a:tailEnd type="none" w="med" len="med"/>
                        </a:ln>
                        <a:effectLst/>
                      </wps:spPr>
                      <wps:bodyPr/>
                    </wps:wsp>
                  </a:graphicData>
                </a:graphic>
              </wp:anchor>
            </w:drawing>
          </mc:Choice>
          <mc:Fallback>
            <w:pict>
              <v:shape id="直接箭头连接符 5" o:spid="_x0000_s1026" o:spt="32" type="#_x0000_t32" style="position:absolute;left:0pt;margin-left:-0.6pt;margin-top:2.9pt;height:0pt;width:426pt;z-index:251665408;mso-width-relative:page;mso-height-relative:page;" filled="f" stroked="t" coordsize="21600,21600" o:gfxdata="UEsDBAoAAAAAAIdO4kAAAAAAAAAAAAAAAAAEAAAAZHJzL1BLAwQUAAAACACHTuJAD4JMYdQAAAAG&#10;AQAADwAAAGRycy9kb3ducmV2LnhtbE2PzW7CMBCE75X6DtZW4gZ2qIhQiIPaSrkg9VCo1KuJNz8i&#10;XkexIfD23XKhtx3NaPabfHt1vbjgGDpPGpKFAoFUedtRo+H7UM7XIEI0ZE3vCTXcMMC2eH7KTWb9&#10;RF942cdGcAmFzGhoYxwyKUPVojNh4Qck9mo/OhNZjo20o5m43PVyqVQqnemIP7RmwI8Wq9P+7DRM&#10;r0MZ3svPHcq0Tg8/cdr5+k3r2UuiNiAiXuMjDH/4jA4FMx39mWwQvYZ5suSkhhUPYHu9Unwc71oW&#10;ufyPX/wCUEsDBBQAAAAIAIdO4kAGOjUYAwIAAPsDAAAOAAAAZHJzL2Uyb0RvYy54bWytU0uOEzEQ&#10;3SNxB8t70klEELTSmUXCsEEQCThAxXZ3W/JPLk86uQQXQGIFrIDV7Oc0MBxjyt2ZzDBssqAX7vKn&#10;XtV7fp6f7axhWxVRe1fxyWjMmXLCS+2ain94f/7kOWeYwEkw3qmK7xXys8XjR/MulGrqW2+kioxA&#10;HJZdqHibUiiLAkWrLODIB+Vos/bRQqJpbAoZoSN0a4rpePys6HyUIXqhEGl1NWzyA2I8BdDXtRZq&#10;5cWFVS4NqFEZSEQJWx2QL/pu61qJ9LauUSVmKk5MUz9SEYo3eSwWcyibCKHV4tACnNLCA04WtKOi&#10;R6gVJGAXUf8DZbWIHn2dRsLbYiDSK0IsJuMH2rxrIaieC0mN4Sg6/j9Y8Wa7jkzLitO1O7B04def&#10;Ln9//Hr988evL5d/rj7n+Ps3NstSdQFLyli6dTzMMKxj5r2ro81/YsR2vbz7o7xql5igxdnTyZgc&#10;wJm43SvuEkPE9Ep5y3JQcUwRdNOmpXeOLtHHSS8vbF9jotKUeJuQqxrHuoq/mE1nBA5kyprMQKEN&#10;RAxd0+eiN1qea2NyBsZmszSRbSEbo/8yQcL961gusgJsh3O4x5VPg2daBfKlkyztA2nm6Knw3INV&#10;kjOj6GXliBChTKDNKSeptnE5QfW+PRDNkg8i52jj5b7Xvsgz8kTf8sG/2XT35xTff7OL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TGHUAAAABgEAAA8AAAAAAAAAAQAgAAAAIgAAAGRycy9kb3du&#10;cmV2LnhtbFBLAQIUABQAAAAIAIdO4kAGOjUYAwIAAPsDAAAOAAAAAAAAAAEAIAAAACMBAABkcnMv&#10;ZTJvRG9jLnhtbFBLBQYAAAAABgAGAFkBAACYBQAAAAA=&#10;">
                <v:fill on="f" focussize="0,0"/>
                <v:stroke color="#000000" joinstyle="round" dashstyle="1 1"/>
                <v:imagedata o:title=""/>
                <o:lock v:ext="edit" aspectratio="f"/>
              </v:shape>
            </w:pict>
          </mc:Fallback>
        </mc:AlternateContent>
      </w:r>
      <w:r>
        <w:rPr>
          <w:rFonts w:hint="eastAsia" w:ascii="宋体" w:hAnsi="宋体"/>
          <w:color w:val="auto"/>
        </w:rPr>
        <w:t xml:space="preserve">  备注（</w:t>
      </w:r>
      <w:r>
        <w:rPr>
          <w:rFonts w:ascii="宋体" w:hAnsi="宋体"/>
          <w:color w:val="auto"/>
        </w:rPr>
        <w:t>1）为保证投标保证金的顺利退还，请准确填写以下信息：</w:t>
      </w:r>
    </w:p>
    <w:tbl>
      <w:tblPr>
        <w:tblStyle w:val="40"/>
        <w:tblW w:w="9184" w:type="dxa"/>
        <w:jc w:val="center"/>
        <w:tblLayout w:type="fixed"/>
        <w:tblCellMar>
          <w:top w:w="0" w:type="dxa"/>
          <w:left w:w="108" w:type="dxa"/>
          <w:bottom w:w="0" w:type="dxa"/>
          <w:right w:w="108" w:type="dxa"/>
        </w:tblCellMar>
      </w:tblPr>
      <w:tblGrid>
        <w:gridCol w:w="1208"/>
        <w:gridCol w:w="4072"/>
        <w:gridCol w:w="3904"/>
      </w:tblGrid>
      <w:tr>
        <w:tblPrEx>
          <w:tblCellMar>
            <w:top w:w="0" w:type="dxa"/>
            <w:left w:w="108" w:type="dxa"/>
            <w:bottom w:w="0" w:type="dxa"/>
            <w:right w:w="108" w:type="dxa"/>
          </w:tblCellMar>
        </w:tblPrEx>
        <w:trPr>
          <w:trHeight w:val="50"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银行信息</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szCs w:val="21"/>
              </w:rPr>
              <w:t>收款银行信息</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仅限填写供应商银行信息</w:t>
            </w: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开</w:t>
            </w:r>
            <w:r>
              <w:rPr>
                <w:rFonts w:ascii="宋体" w:hAnsi="宋体"/>
                <w:color w:val="auto"/>
                <w:szCs w:val="21"/>
              </w:rPr>
              <w:t xml:space="preserve"> </w:t>
            </w:r>
            <w:r>
              <w:rPr>
                <w:rFonts w:hint="eastAsia" w:ascii="宋体" w:hAnsi="宋体"/>
                <w:color w:val="auto"/>
                <w:szCs w:val="21"/>
              </w:rPr>
              <w:t>户</w:t>
            </w:r>
            <w:r>
              <w:rPr>
                <w:rFonts w:ascii="宋体" w:hAnsi="宋体"/>
                <w:color w:val="auto"/>
                <w:szCs w:val="21"/>
              </w:rPr>
              <w:t xml:space="preserve"> </w:t>
            </w:r>
            <w:r>
              <w:rPr>
                <w:rFonts w:hint="eastAsia" w:ascii="宋体" w:hAnsi="宋体"/>
                <w:color w:val="auto"/>
                <w:szCs w:val="21"/>
              </w:rPr>
              <w:t>名</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rPr>
              <w:t>广东省南方文化产权交易所股份有限公司</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开户银行</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hint="eastAsia" w:ascii="宋体" w:hAnsi="宋体"/>
                <w:color w:val="auto"/>
              </w:rPr>
              <w:t>民生银行广州环市支行</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r>
        <w:tblPrEx>
          <w:tblCellMar>
            <w:top w:w="0" w:type="dxa"/>
            <w:left w:w="108" w:type="dxa"/>
            <w:bottom w:w="0" w:type="dxa"/>
            <w:right w:w="108" w:type="dxa"/>
          </w:tblCellMar>
        </w:tblPrEx>
        <w:trPr>
          <w:trHeight w:val="50" w:hRule="atLeast"/>
          <w:jc w:val="center"/>
        </w:trPr>
        <w:tc>
          <w:tcPr>
            <w:tcW w:w="1208" w:type="dxa"/>
            <w:tcBorders>
              <w:top w:val="nil"/>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r>
              <w:rPr>
                <w:rFonts w:hint="eastAsia" w:ascii="宋体" w:hAnsi="宋体"/>
                <w:color w:val="auto"/>
                <w:szCs w:val="21"/>
              </w:rPr>
              <w:t>帐</w:t>
            </w:r>
            <w:r>
              <w:rPr>
                <w:rFonts w:ascii="宋体" w:hAnsi="宋体"/>
                <w:color w:val="auto"/>
                <w:szCs w:val="21"/>
              </w:rPr>
              <w:t xml:space="preserve">    </w:t>
            </w:r>
            <w:r>
              <w:rPr>
                <w:rFonts w:hint="eastAsia" w:ascii="宋体" w:hAnsi="宋体"/>
                <w:color w:val="auto"/>
                <w:szCs w:val="21"/>
              </w:rPr>
              <w:t>号</w:t>
            </w:r>
          </w:p>
        </w:tc>
        <w:tc>
          <w:tcPr>
            <w:tcW w:w="4072" w:type="dxa"/>
            <w:tcBorders>
              <w:top w:val="single" w:color="auto" w:sz="4" w:space="0"/>
              <w:left w:val="nil"/>
              <w:bottom w:val="single" w:color="auto" w:sz="4" w:space="0"/>
              <w:right w:val="single" w:color="auto" w:sz="4" w:space="0"/>
            </w:tcBorders>
          </w:tcPr>
          <w:p>
            <w:pPr>
              <w:spacing w:line="360" w:lineRule="auto"/>
              <w:jc w:val="center"/>
              <w:rPr>
                <w:rFonts w:ascii="宋体" w:hAnsi="宋体"/>
                <w:color w:val="auto"/>
                <w:szCs w:val="21"/>
              </w:rPr>
            </w:pPr>
            <w:r>
              <w:rPr>
                <w:rFonts w:ascii="宋体" w:hAnsi="宋体"/>
                <w:color w:val="auto"/>
              </w:rPr>
              <w:t>683001288</w:t>
            </w:r>
          </w:p>
        </w:tc>
        <w:tc>
          <w:tcPr>
            <w:tcW w:w="39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Cs w:val="21"/>
              </w:rPr>
            </w:pPr>
          </w:p>
        </w:tc>
      </w:tr>
    </w:tbl>
    <w:p>
      <w:pPr>
        <w:spacing w:line="360" w:lineRule="auto"/>
        <w:rPr>
          <w:rFonts w:ascii="宋体" w:hAnsi="宋体"/>
          <w:color w:val="auto"/>
        </w:rPr>
      </w:pPr>
      <w:r>
        <w:rPr>
          <w:rFonts w:hint="eastAsia" w:ascii="宋体" w:hAnsi="宋体"/>
          <w:color w:val="auto"/>
        </w:rPr>
        <w:t>备注（</w:t>
      </w:r>
      <w:r>
        <w:rPr>
          <w:rFonts w:ascii="宋体" w:hAnsi="宋体"/>
          <w:color w:val="auto"/>
        </w:rPr>
        <w:t>2）如需邮寄服务费发票，请填写以下信息：</w:t>
      </w:r>
    </w:p>
    <w:p>
      <w:pPr>
        <w:rPr>
          <w:rFonts w:ascii="宋体" w:hAnsi="宋体"/>
          <w:color w:val="auto"/>
          <w:szCs w:val="21"/>
          <w:u w:val="single"/>
        </w:rPr>
      </w:pPr>
      <w:r>
        <w:rPr>
          <w:rFonts w:hint="eastAsia" w:ascii="宋体" w:hAnsi="宋体"/>
          <w:color w:val="auto"/>
          <w:szCs w:val="21"/>
        </w:rPr>
        <w:t>收件人姓名及电话：</w:t>
      </w:r>
      <w:r>
        <w:rPr>
          <w:rFonts w:ascii="宋体" w:hAnsi="宋体"/>
          <w:color w:val="auto"/>
          <w:szCs w:val="21"/>
          <w:u w:val="single"/>
        </w:rPr>
        <w:t xml:space="preserve">                                 </w:t>
      </w:r>
    </w:p>
    <w:p>
      <w:pPr>
        <w:spacing w:line="360" w:lineRule="auto"/>
        <w:rPr>
          <w:rFonts w:ascii="宋体" w:hAnsi="宋体"/>
          <w:color w:val="auto"/>
        </w:rPr>
      </w:pPr>
      <w:r>
        <w:rPr>
          <w:rFonts w:hint="eastAsia" w:ascii="宋体" w:hAnsi="宋体"/>
          <w:color w:val="auto"/>
          <w:szCs w:val="21"/>
        </w:rPr>
        <w:t>收</w:t>
      </w:r>
      <w:r>
        <w:rPr>
          <w:rFonts w:ascii="宋体" w:hAnsi="宋体"/>
          <w:color w:val="auto"/>
          <w:szCs w:val="21"/>
        </w:rPr>
        <w:t xml:space="preserve">  </w:t>
      </w:r>
      <w:r>
        <w:rPr>
          <w:rFonts w:hint="eastAsia" w:ascii="宋体" w:hAnsi="宋体"/>
          <w:color w:val="auto"/>
          <w:szCs w:val="21"/>
        </w:rPr>
        <w:t>件</w:t>
      </w:r>
      <w:r>
        <w:rPr>
          <w:rFonts w:ascii="宋体" w:hAnsi="宋体"/>
          <w:color w:val="auto"/>
          <w:szCs w:val="21"/>
        </w:rPr>
        <w:t xml:space="preserve">  </w:t>
      </w:r>
      <w:r>
        <w:rPr>
          <w:rFonts w:hint="eastAsia" w:ascii="宋体" w:hAnsi="宋体"/>
          <w:color w:val="auto"/>
          <w:szCs w:val="21"/>
        </w:rPr>
        <w:t>地</w:t>
      </w:r>
      <w:r>
        <w:rPr>
          <w:rFonts w:ascii="宋体" w:hAnsi="宋体"/>
          <w:color w:val="auto"/>
          <w:szCs w:val="21"/>
        </w:rPr>
        <w:t xml:space="preserve">  </w:t>
      </w:r>
      <w:r>
        <w:rPr>
          <w:rFonts w:hint="eastAsia" w:ascii="宋体" w:hAnsi="宋体"/>
          <w:color w:val="auto"/>
          <w:szCs w:val="21"/>
        </w:rPr>
        <w:t>址</w:t>
      </w:r>
      <w:r>
        <w:rPr>
          <w:rFonts w:ascii="宋体" w:hAnsi="宋体"/>
          <w:color w:val="auto"/>
          <w:szCs w:val="21"/>
        </w:rPr>
        <w:t xml:space="preserve">  </w:t>
      </w:r>
      <w:r>
        <w:rPr>
          <w:rFonts w:hint="eastAsia" w:ascii="宋体" w:hAnsi="宋体"/>
          <w:color w:val="auto"/>
          <w:szCs w:val="21"/>
        </w:rPr>
        <w:t>：</w:t>
      </w:r>
      <w:r>
        <w:rPr>
          <w:rFonts w:ascii="宋体" w:hAnsi="宋体"/>
          <w:color w:val="auto"/>
          <w:szCs w:val="21"/>
          <w:u w:val="single"/>
        </w:rPr>
        <w:t xml:space="preserve">                                 </w:t>
      </w:r>
    </w:p>
    <w:p>
      <w:pPr>
        <w:spacing w:line="360" w:lineRule="auto"/>
        <w:rPr>
          <w:rFonts w:ascii="宋体" w:hAnsi="宋体"/>
          <w:color w:val="auto"/>
        </w:rPr>
      </w:pPr>
      <w:r>
        <w:rPr>
          <w:rFonts w:hint="eastAsia" w:ascii="宋体" w:hAnsi="宋体"/>
          <w:color w:val="auto"/>
        </w:rPr>
        <w:t>备注（</w:t>
      </w:r>
      <w:r>
        <w:rPr>
          <w:rFonts w:ascii="宋体" w:hAnsi="宋体"/>
          <w:color w:val="auto"/>
        </w:rPr>
        <w:t>3）</w:t>
      </w:r>
    </w:p>
    <w:p>
      <w:pPr>
        <w:spacing w:line="360" w:lineRule="auto"/>
        <w:rPr>
          <w:rFonts w:ascii="宋体" w:hAnsi="宋体"/>
          <w:color w:val="auto"/>
          <w:u w:val="single"/>
        </w:rPr>
      </w:pPr>
      <w:r>
        <w:rPr>
          <w:rFonts w:hint="eastAsia" w:ascii="宋体" w:hAnsi="宋体"/>
          <w:color w:val="auto"/>
        </w:rPr>
        <w:t>中标服务费收取方式（必须且只能选择其中一种，否则默认同意第一种收取方式）：</w:t>
      </w:r>
      <w:r>
        <w:rPr>
          <w:rFonts w:ascii="宋体" w:hAnsi="宋体"/>
          <w:color w:val="auto"/>
          <w:u w:val="single"/>
        </w:rPr>
        <w:t xml:space="preserve">      </w:t>
      </w:r>
    </w:p>
    <w:p>
      <w:pPr>
        <w:spacing w:line="360" w:lineRule="auto"/>
        <w:rPr>
          <w:rFonts w:ascii="宋体" w:hAnsi="宋体"/>
          <w:color w:val="auto"/>
        </w:rPr>
      </w:pPr>
      <w:r>
        <w:rPr>
          <w:rFonts w:ascii="宋体" w:hAnsi="宋体"/>
          <w:color w:val="auto"/>
        </w:rPr>
        <w:t>A：直接抵扣方式-在本次招标项目的投标保证金中直接扣除（如扣除服务费后仍有余款，将在开具发票后退还）；</w:t>
      </w:r>
    </w:p>
    <w:p>
      <w:pPr>
        <w:spacing w:line="360" w:lineRule="auto"/>
        <w:rPr>
          <w:rFonts w:ascii="宋体" w:hAnsi="宋体"/>
          <w:color w:val="auto"/>
        </w:rPr>
      </w:pPr>
      <w:r>
        <w:rPr>
          <w:rFonts w:ascii="宋体" w:hAnsi="宋体"/>
          <w:color w:val="auto"/>
        </w:rPr>
        <w:t>B：另外支付方式（银行电汇）-不在投标保证金中抵扣（投标保证金将在中标服务费交纳后退还）。</w:t>
      </w:r>
    </w:p>
    <w:p>
      <w:pPr>
        <w:spacing w:line="360" w:lineRule="auto"/>
        <w:ind w:right="840" w:firstLine="4620" w:firstLineChars="2200"/>
        <w:rPr>
          <w:rFonts w:ascii="宋体" w:hAnsi="宋体"/>
          <w:color w:val="auto"/>
        </w:rPr>
      </w:pPr>
      <w:r>
        <w:rPr>
          <w:rFonts w:hint="eastAsia" w:ascii="宋体" w:hAnsi="宋体"/>
          <w:color w:val="auto"/>
        </w:rPr>
        <w:t>承诺方授权代表签字：</w:t>
      </w:r>
      <w:r>
        <w:rPr>
          <w:rFonts w:ascii="宋体" w:hAnsi="宋体"/>
          <w:color w:val="auto"/>
          <w:u w:val="single"/>
        </w:rPr>
        <w:t xml:space="preserve">               </w:t>
      </w:r>
    </w:p>
    <w:p>
      <w:pPr>
        <w:spacing w:line="360" w:lineRule="auto"/>
        <w:ind w:right="840"/>
        <w:jc w:val="center"/>
        <w:rPr>
          <w:rFonts w:ascii="宋体" w:hAnsi="宋体"/>
          <w:color w:val="auto"/>
          <w:u w:val="single"/>
        </w:rPr>
      </w:pPr>
      <w:r>
        <w:rPr>
          <w:rFonts w:ascii="宋体" w:hAnsi="宋体"/>
          <w:color w:val="auto"/>
        </w:rPr>
        <w:t xml:space="preserve">                           </w:t>
      </w:r>
      <w:r>
        <w:rPr>
          <w:rFonts w:hint="eastAsia" w:ascii="宋体" w:hAnsi="宋体"/>
          <w:color w:val="auto"/>
        </w:rPr>
        <w:t>承诺日期：</w:t>
      </w:r>
      <w:r>
        <w:rPr>
          <w:rFonts w:ascii="宋体" w:hAnsi="宋体"/>
          <w:color w:val="auto"/>
          <w:u w:val="single"/>
        </w:rPr>
        <w:t xml:space="preserve">             </w:t>
      </w:r>
    </w:p>
    <w:p>
      <w:pPr>
        <w:spacing w:line="360" w:lineRule="auto"/>
        <w:ind w:right="840" w:firstLine="4620" w:firstLineChars="2200"/>
        <w:rPr>
          <w:rFonts w:ascii="宋体" w:hAnsi="宋体"/>
          <w:color w:val="auto"/>
          <w:u w:val="single"/>
        </w:rPr>
      </w:pPr>
      <w:r>
        <w:rPr>
          <w:rFonts w:hint="eastAsia" w:ascii="宋体" w:hAnsi="宋体"/>
          <w:color w:val="auto"/>
        </w:rPr>
        <w:t>承诺方盖章：</w:t>
      </w:r>
      <w:r>
        <w:rPr>
          <w:rFonts w:ascii="宋体" w:hAnsi="宋体"/>
          <w:color w:val="auto"/>
          <w:u w:val="single"/>
        </w:rPr>
        <w:t xml:space="preserve">               </w:t>
      </w:r>
    </w:p>
    <w:p>
      <w:pPr>
        <w:ind w:right="840"/>
        <w:rPr>
          <w:color w:val="auto"/>
        </w:rPr>
      </w:pPr>
      <w:r>
        <w:rPr>
          <w:rFonts w:hint="eastAsia" w:ascii="宋体" w:hAnsi="宋体"/>
          <w:color w:val="auto"/>
          <w:szCs w:val="21"/>
          <w:u w:val="single"/>
        </w:rPr>
        <w:t>注：承诺书内容必须填写，否则视为非响应性投标。</w:t>
      </w:r>
    </w:p>
    <w:p>
      <w:pPr>
        <w:spacing w:line="360" w:lineRule="auto"/>
        <w:rPr>
          <w:rFonts w:ascii="宋体" w:hAnsi="宋体"/>
          <w:color w:val="auto"/>
        </w:rPr>
      </w:pPr>
      <w:r>
        <w:rPr>
          <w:rFonts w:hint="eastAsia" w:ascii="宋体" w:hAnsi="宋体"/>
          <w:color w:val="auto"/>
        </w:rPr>
        <w:t>若我司未按前述期限支付服务费，贵司有权直接在应付我司任何一笔款项中直接扣除。</w:t>
      </w:r>
    </w:p>
    <w:p>
      <w:pPr>
        <w:rPr>
          <w:rFonts w:ascii="宋体" w:hAnsi="宋体"/>
          <w:color w:val="auto"/>
        </w:rPr>
      </w:pPr>
      <w:r>
        <w:rPr>
          <w:rFonts w:hint="eastAsia" w:ascii="宋体" w:hAnsi="宋体"/>
          <w:color w:val="auto"/>
        </w:rPr>
        <w:t>因前述事项发生争议，我方同意将争议提交法院仲裁解决。</w:t>
      </w:r>
    </w:p>
    <w:p>
      <w:pPr>
        <w:rPr>
          <w:rFonts w:hint="eastAsia" w:ascii="宋体" w:hAnsi="宋体"/>
          <w:bCs/>
          <w:color w:val="auto"/>
          <w:szCs w:val="21"/>
          <w:lang w:val="en-US" w:eastAsia="zh-CN"/>
        </w:rPr>
      </w:pPr>
    </w:p>
    <w:p>
      <w:pPr>
        <w:rPr>
          <w:rFonts w:hint="eastAsia" w:ascii="宋体" w:hAnsi="宋体" w:eastAsia="宋体"/>
          <w:bCs/>
          <w:color w:val="auto"/>
          <w:szCs w:val="21"/>
          <w:lang w:eastAsia="zh-CN"/>
        </w:rPr>
      </w:pPr>
    </w:p>
    <w:p>
      <w:pPr>
        <w:rPr>
          <w:rFonts w:ascii="宋体" w:hAnsi="宋体"/>
          <w:color w:val="auto"/>
          <w:sz w:val="22"/>
        </w:rPr>
      </w:pPr>
    </w:p>
    <w:p>
      <w:pPr>
        <w:pStyle w:val="36"/>
        <w:numPr>
          <w:ilvl w:val="0"/>
          <w:numId w:val="23"/>
        </w:numPr>
        <w:tabs>
          <w:tab w:val="left" w:pos="588"/>
        </w:tabs>
        <w:snapToGrid w:val="0"/>
        <w:spacing w:before="120" w:after="120" w:line="440" w:lineRule="exact"/>
        <w:jc w:val="left"/>
        <w:rPr>
          <w:rFonts w:ascii="宋体" w:hAnsi="宋体"/>
          <w:color w:val="auto"/>
          <w:sz w:val="24"/>
          <w:szCs w:val="24"/>
        </w:rPr>
      </w:pPr>
      <w:bookmarkStart w:id="819" w:name="_Toc571"/>
      <w:bookmarkStart w:id="820" w:name="_Toc56432257"/>
      <w:bookmarkStart w:id="821" w:name="_Toc17761"/>
      <w:bookmarkStart w:id="822" w:name="_Toc22567"/>
      <w:bookmarkStart w:id="823" w:name="_Toc23630"/>
      <w:r>
        <w:rPr>
          <w:rFonts w:hint="eastAsia" w:ascii="宋体" w:hAnsi="宋体"/>
          <w:color w:val="auto"/>
          <w:sz w:val="24"/>
          <w:szCs w:val="24"/>
        </w:rPr>
        <w:t>投标保证金汇款凭证</w:t>
      </w:r>
      <w:bookmarkEnd w:id="818"/>
      <w:bookmarkEnd w:id="819"/>
      <w:bookmarkEnd w:id="820"/>
      <w:bookmarkEnd w:id="821"/>
      <w:bookmarkEnd w:id="822"/>
      <w:bookmarkEnd w:id="823"/>
    </w:p>
    <w:p>
      <w:pPr>
        <w:rPr>
          <w:color w:val="auto"/>
        </w:rPr>
      </w:pPr>
      <w:r>
        <w:rPr>
          <w:rFonts w:hint="eastAsia"/>
          <w:color w:val="auto"/>
        </w:rPr>
        <w:t>清晰的投标保证金付款凭证</w:t>
      </w:r>
    </w:p>
    <w:p>
      <w:pPr>
        <w:spacing w:line="360" w:lineRule="auto"/>
        <w:ind w:firstLine="420" w:firstLineChars="200"/>
        <w:rPr>
          <w:rFonts w:ascii="宋体" w:hAnsi="宋体"/>
          <w:color w:val="auto"/>
        </w:rPr>
      </w:pPr>
    </w:p>
    <w:p>
      <w:pPr>
        <w:rPr>
          <w:rFonts w:hint="eastAsia" w:ascii="宋体" w:hAnsi="宋体" w:eastAsia="宋体"/>
          <w:bCs/>
          <w:color w:val="auto"/>
          <w:szCs w:val="21"/>
          <w:lang w:eastAsia="zh-CN"/>
        </w:rPr>
      </w:pPr>
    </w:p>
    <w:p>
      <w:pPr>
        <w:spacing w:line="360" w:lineRule="auto"/>
        <w:ind w:firstLine="420" w:firstLineChars="200"/>
        <w:rPr>
          <w:rFonts w:ascii="宋体" w:hAnsi="宋体"/>
          <w:color w:val="auto"/>
        </w:rPr>
      </w:pPr>
    </w:p>
    <w:p>
      <w:pPr>
        <w:spacing w:line="360" w:lineRule="auto"/>
        <w:rPr>
          <w:rFonts w:ascii="宋体" w:hAnsi="宋体"/>
          <w:color w:val="auto"/>
        </w:rPr>
      </w:pPr>
    </w:p>
    <w:sectPr>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905DBE4-09B9-4C45-849F-FF0229B27CA9}"/>
  </w:font>
  <w:font w:name="黑体">
    <w:panose1 w:val="02010609060101010101"/>
    <w:charset w:val="86"/>
    <w:family w:val="auto"/>
    <w:pitch w:val="default"/>
    <w:sig w:usb0="800002BF" w:usb1="38CF7CFA" w:usb2="00000016" w:usb3="00000000" w:csb0="00040001" w:csb1="00000000"/>
    <w:embedRegular r:id="rId2" w:fontKey="{AAC64891-CA00-423E-9DA7-AFB35F76E490}"/>
  </w:font>
  <w:font w:name="Courier New">
    <w:panose1 w:val="02070309020205020404"/>
    <w:charset w:val="01"/>
    <w:family w:val="modern"/>
    <w:pitch w:val="default"/>
    <w:sig w:usb0="E0002EFF" w:usb1="C0007843" w:usb2="00000009" w:usb3="00000000" w:csb0="400001FF" w:csb1="FFFF0000"/>
    <w:embedRegular r:id="rId3" w:fontKey="{AC673819-D1ED-4750-B727-F93E4F5F7106}"/>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4" w:fontKey="{EB888F60-4D79-4E51-B907-F69B5861B37C}"/>
  </w:font>
  <w:font w:name="仿宋_GB2312">
    <w:panose1 w:val="02010609030101010101"/>
    <w:charset w:val="86"/>
    <w:family w:val="modern"/>
    <w:pitch w:val="default"/>
    <w:sig w:usb0="00000001" w:usb1="080E0000" w:usb2="00000000" w:usb3="00000000" w:csb0="00040000" w:csb1="00000000"/>
    <w:embedRegular r:id="rId5" w:fontKey="{BB5A6934-2D90-41C3-A182-1F29115A3E72}"/>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6" w:fontKey="{FE9D56DE-041B-4B17-9D64-4C587D816003}"/>
  </w:font>
  <w:font w:name="Verdana">
    <w:panose1 w:val="020B0604030504040204"/>
    <w:charset w:val="00"/>
    <w:family w:val="swiss"/>
    <w:pitch w:val="default"/>
    <w:sig w:usb0="A00006FF" w:usb1="4000205B" w:usb2="00000010" w:usb3="00000000" w:csb0="2000019F" w:csb1="00000000"/>
    <w:embedRegular r:id="rId7" w:fontKey="{CDD5E47E-A316-4322-BC45-39C245716A7A}"/>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84323643"/>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w:t>
        </w:r>
        <w:r>
          <w:rPr>
            <w:rFonts w:ascii="宋体" w:hAnsi="宋体"/>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687946"/>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3</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2587626"/>
    </w:sdtPr>
    <w:sdtContent>
      <w:p>
        <w:pPr>
          <w:pStyle w:val="26"/>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40</w:t>
        </w:r>
        <w:r>
          <w:rPr>
            <w:rFonts w:ascii="宋体" w:hAnsi="宋体"/>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7153583"/>
    </w:sdtPr>
    <w:sdtContent>
      <w:p>
        <w:pPr>
          <w:pStyle w:val="26"/>
          <w:jc w:val="center"/>
        </w:pPr>
        <w:r>
          <w:fldChar w:fldCharType="begin"/>
        </w:r>
        <w:r>
          <w:instrText xml:space="preserve">PAGE   \* MERGEFORMAT</w:instrText>
        </w:r>
        <w:r>
          <w:fldChar w:fldCharType="separate"/>
        </w:r>
        <w:r>
          <w:rPr>
            <w:lang w:val="zh-CN"/>
          </w:rPr>
          <w:t>4</w:t>
        </w:r>
        <w:r>
          <w:rPr>
            <w:lang w:val="zh-CN"/>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61DB73"/>
    <w:multiLevelType w:val="singleLevel"/>
    <w:tmpl w:val="C461DB73"/>
    <w:lvl w:ilvl="0" w:tentative="0">
      <w:start w:val="1"/>
      <w:numFmt w:val="decimal"/>
      <w:lvlText w:val="%1."/>
      <w:lvlJc w:val="left"/>
      <w:pPr>
        <w:ind w:left="425" w:hanging="425"/>
      </w:pPr>
      <w:rPr>
        <w:rFonts w:hint="default"/>
      </w:rPr>
    </w:lvl>
  </w:abstractNum>
  <w:abstractNum w:abstractNumId="1">
    <w:nsid w:val="C9A797CF"/>
    <w:multiLevelType w:val="singleLevel"/>
    <w:tmpl w:val="C9A797CF"/>
    <w:lvl w:ilvl="0" w:tentative="0">
      <w:start w:val="3"/>
      <w:numFmt w:val="decimal"/>
      <w:lvlText w:val="%1."/>
      <w:lvlJc w:val="left"/>
      <w:pPr>
        <w:tabs>
          <w:tab w:val="left" w:pos="312"/>
        </w:tabs>
      </w:pPr>
    </w:lvl>
  </w:abstractNum>
  <w:abstractNum w:abstractNumId="2">
    <w:nsid w:val="00000010"/>
    <w:multiLevelType w:val="multilevel"/>
    <w:tmpl w:val="00000010"/>
    <w:lvl w:ilvl="0" w:tentative="0">
      <w:start w:val="1"/>
      <w:numFmt w:val="decimal"/>
      <w:lvlText w:val="%1."/>
      <w:lvlJc w:val="left"/>
      <w:pPr>
        <w:tabs>
          <w:tab w:val="left" w:pos="846"/>
        </w:tabs>
        <w:ind w:left="630" w:hanging="420"/>
      </w:pPr>
    </w:lvl>
    <w:lvl w:ilvl="1" w:tentative="0">
      <w:start w:val="1"/>
      <w:numFmt w:val="lowerLetter"/>
      <w:lvlText w:val="%2)"/>
      <w:lvlJc w:val="left"/>
      <w:pPr>
        <w:tabs>
          <w:tab w:val="left" w:pos="1380"/>
        </w:tabs>
        <w:ind w:left="1164" w:hanging="420"/>
      </w:pPr>
    </w:lvl>
    <w:lvl w:ilvl="2" w:tentative="0">
      <w:start w:val="1"/>
      <w:numFmt w:val="lowerRoman"/>
      <w:lvlText w:val="%3."/>
      <w:lvlJc w:val="right"/>
      <w:pPr>
        <w:tabs>
          <w:tab w:val="left" w:pos="1800"/>
        </w:tabs>
        <w:ind w:left="1584" w:hanging="420"/>
      </w:pPr>
    </w:lvl>
    <w:lvl w:ilvl="3" w:tentative="0">
      <w:start w:val="1"/>
      <w:numFmt w:val="decimal"/>
      <w:lvlText w:val="%4."/>
      <w:lvlJc w:val="left"/>
      <w:pPr>
        <w:tabs>
          <w:tab w:val="left" w:pos="2220"/>
        </w:tabs>
        <w:ind w:left="2004" w:hanging="420"/>
      </w:pPr>
    </w:lvl>
    <w:lvl w:ilvl="4" w:tentative="0">
      <w:start w:val="1"/>
      <w:numFmt w:val="lowerLetter"/>
      <w:lvlText w:val="%5)"/>
      <w:lvlJc w:val="left"/>
      <w:pPr>
        <w:tabs>
          <w:tab w:val="left" w:pos="2640"/>
        </w:tabs>
        <w:ind w:left="2424" w:hanging="420"/>
      </w:pPr>
    </w:lvl>
    <w:lvl w:ilvl="5" w:tentative="0">
      <w:start w:val="1"/>
      <w:numFmt w:val="lowerRoman"/>
      <w:lvlText w:val="%6."/>
      <w:lvlJc w:val="right"/>
      <w:pPr>
        <w:tabs>
          <w:tab w:val="left" w:pos="3060"/>
        </w:tabs>
        <w:ind w:left="2844" w:hanging="420"/>
      </w:pPr>
    </w:lvl>
    <w:lvl w:ilvl="6" w:tentative="0">
      <w:start w:val="1"/>
      <w:numFmt w:val="decimal"/>
      <w:lvlText w:val="%7."/>
      <w:lvlJc w:val="left"/>
      <w:pPr>
        <w:tabs>
          <w:tab w:val="left" w:pos="3480"/>
        </w:tabs>
        <w:ind w:left="3264" w:hanging="420"/>
      </w:pPr>
    </w:lvl>
    <w:lvl w:ilvl="7" w:tentative="0">
      <w:start w:val="1"/>
      <w:numFmt w:val="lowerLetter"/>
      <w:lvlText w:val="%8)"/>
      <w:lvlJc w:val="left"/>
      <w:pPr>
        <w:tabs>
          <w:tab w:val="left" w:pos="3900"/>
        </w:tabs>
        <w:ind w:left="3684" w:hanging="420"/>
      </w:pPr>
    </w:lvl>
    <w:lvl w:ilvl="8" w:tentative="0">
      <w:start w:val="1"/>
      <w:numFmt w:val="lowerRoman"/>
      <w:lvlText w:val="%9."/>
      <w:lvlJc w:val="right"/>
      <w:pPr>
        <w:tabs>
          <w:tab w:val="left" w:pos="4320"/>
        </w:tabs>
        <w:ind w:left="4104" w:hanging="420"/>
      </w:pPr>
    </w:lvl>
  </w:abstractNum>
  <w:abstractNum w:abstractNumId="3">
    <w:nsid w:val="013151E9"/>
    <w:multiLevelType w:val="multilevel"/>
    <w:tmpl w:val="013151E9"/>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5CC020D"/>
    <w:multiLevelType w:val="multilevel"/>
    <w:tmpl w:val="05CC020D"/>
    <w:lvl w:ilvl="0" w:tentative="0">
      <w:start w:val="1"/>
      <w:numFmt w:val="decimal"/>
      <w:lvlText w:val="%1."/>
      <w:lvlJc w:val="left"/>
      <w:pPr>
        <w:ind w:left="785" w:hanging="360"/>
      </w:pPr>
      <w:rPr>
        <w:rFonts w:hint="default"/>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5">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154A6C66"/>
    <w:multiLevelType w:val="multilevel"/>
    <w:tmpl w:val="154A6C6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BE23B39"/>
    <w:multiLevelType w:val="multilevel"/>
    <w:tmpl w:val="2BE23B39"/>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35C200DD"/>
    <w:multiLevelType w:val="multilevel"/>
    <w:tmpl w:val="35C200DD"/>
    <w:lvl w:ilvl="0" w:tentative="0">
      <w:start w:val="1"/>
      <w:numFmt w:val="decimal"/>
      <w:lvlText w:val="%1."/>
      <w:lvlJc w:val="left"/>
      <w:pPr>
        <w:ind w:left="425" w:hanging="425"/>
      </w:pPr>
      <w:rPr>
        <w:rFonts w:hint="eastAsia"/>
      </w:rPr>
    </w:lvl>
    <w:lvl w:ilvl="1" w:tentative="0">
      <w:start w:val="1"/>
      <w:numFmt w:val="decimal"/>
      <w:lvlText w:val="%1.%2"/>
      <w:lvlJc w:val="left"/>
      <w:pPr>
        <w:ind w:left="851"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3DDF5A31"/>
    <w:multiLevelType w:val="multilevel"/>
    <w:tmpl w:val="3DDF5A3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AC775F4"/>
    <w:multiLevelType w:val="multilevel"/>
    <w:tmpl w:val="4AC775F4"/>
    <w:lvl w:ilvl="0" w:tentative="0">
      <w:start w:val="1"/>
      <w:numFmt w:val="decimal"/>
      <w:lvlText w:val="%1."/>
      <w:lvlJc w:val="left"/>
      <w:pPr>
        <w:ind w:left="425" w:hanging="425"/>
      </w:pPr>
      <w:rPr>
        <w:rFonts w:hint="eastAsia" w:ascii="宋体" w:hAnsi="宋体" w:eastAsia="宋体"/>
        <w:b/>
        <w:sz w:val="28"/>
      </w:rPr>
    </w:lvl>
    <w:lvl w:ilvl="1" w:tentative="0">
      <w:start w:val="1"/>
      <w:numFmt w:val="decimal"/>
      <w:lvlText w:val="%1.%2"/>
      <w:lvlJc w:val="left"/>
      <w:pPr>
        <w:ind w:left="850" w:hanging="425"/>
      </w:pPr>
      <w:rPr>
        <w:rFonts w:hint="eastAsia" w:eastAsia="宋体"/>
        <w:b/>
        <w:i w:val="0"/>
        <w:sz w:val="24"/>
      </w:rPr>
    </w:lvl>
    <w:lvl w:ilvl="2" w:tentative="0">
      <w:start w:val="1"/>
      <w:numFmt w:val="decimal"/>
      <w:lvlText w:val="%1.%2.%3"/>
      <w:lvlJc w:val="left"/>
      <w:pPr>
        <w:ind w:left="1275" w:hanging="425"/>
      </w:pPr>
      <w:rPr>
        <w:rFonts w:hint="eastAsia" w:eastAsia="宋体"/>
        <w:b w:val="0"/>
        <w:i w:val="0"/>
        <w:sz w:val="21"/>
      </w:rPr>
    </w:lvl>
    <w:lvl w:ilvl="3" w:tentative="0">
      <w:start w:val="1"/>
      <w:numFmt w:val="decimal"/>
      <w:lvlText w:val="%1.%2.%3.%4"/>
      <w:lvlJc w:val="left"/>
      <w:pPr>
        <w:ind w:left="1700" w:hanging="425"/>
      </w:pPr>
      <w:rPr>
        <w:rFonts w:hint="eastAsia"/>
      </w:rPr>
    </w:lvl>
    <w:lvl w:ilvl="4" w:tentative="0">
      <w:start w:val="1"/>
      <w:numFmt w:val="decimal"/>
      <w:lvlText w:val="%1.%2.%3.%4.%5"/>
      <w:lvlJc w:val="left"/>
      <w:pPr>
        <w:ind w:left="2125" w:hanging="425"/>
      </w:pPr>
      <w:rPr>
        <w:rFonts w:hint="eastAsia"/>
      </w:rPr>
    </w:lvl>
    <w:lvl w:ilvl="5" w:tentative="0">
      <w:start w:val="1"/>
      <w:numFmt w:val="decimal"/>
      <w:lvlText w:val="%1.%2.%3.%4.%5.%6"/>
      <w:lvlJc w:val="left"/>
      <w:pPr>
        <w:ind w:left="2550" w:hanging="425"/>
      </w:pPr>
      <w:rPr>
        <w:rFonts w:hint="eastAsia"/>
      </w:rPr>
    </w:lvl>
    <w:lvl w:ilvl="6" w:tentative="0">
      <w:start w:val="1"/>
      <w:numFmt w:val="decimal"/>
      <w:lvlText w:val="%1.%2.%3.%4.%5.%6.%7"/>
      <w:lvlJc w:val="left"/>
      <w:pPr>
        <w:ind w:left="2975" w:hanging="425"/>
      </w:pPr>
      <w:rPr>
        <w:rFonts w:hint="eastAsia"/>
      </w:rPr>
    </w:lvl>
    <w:lvl w:ilvl="7" w:tentative="0">
      <w:start w:val="1"/>
      <w:numFmt w:val="decimal"/>
      <w:lvlText w:val="%1.%2.%3.%4.%5.%6.%7.%8"/>
      <w:lvlJc w:val="left"/>
      <w:pPr>
        <w:ind w:left="3400" w:hanging="425"/>
      </w:pPr>
      <w:rPr>
        <w:rFonts w:hint="eastAsia"/>
      </w:rPr>
    </w:lvl>
    <w:lvl w:ilvl="8" w:tentative="0">
      <w:start w:val="1"/>
      <w:numFmt w:val="decimal"/>
      <w:lvlText w:val="%1.%2.%3.%4.%5.%6.%7.%8.%9"/>
      <w:lvlJc w:val="left"/>
      <w:pPr>
        <w:ind w:left="3825" w:hanging="425"/>
      </w:pPr>
      <w:rPr>
        <w:rFonts w:hint="eastAsia"/>
      </w:rPr>
    </w:lvl>
  </w:abstractNum>
  <w:abstractNum w:abstractNumId="11">
    <w:nsid w:val="557C3F41"/>
    <w:multiLevelType w:val="multilevel"/>
    <w:tmpl w:val="557C3F41"/>
    <w:lvl w:ilvl="0" w:tentative="0">
      <w:start w:val="1"/>
      <w:numFmt w:val="decimal"/>
      <w:lvlText w:val="%1."/>
      <w:lvlJc w:val="left"/>
      <w:pPr>
        <w:ind w:left="866" w:hanging="440"/>
      </w:pPr>
    </w:lvl>
    <w:lvl w:ilvl="1" w:tentative="0">
      <w:start w:val="1"/>
      <w:numFmt w:val="lowerLetter"/>
      <w:lvlText w:val="%2)"/>
      <w:lvlJc w:val="left"/>
      <w:pPr>
        <w:ind w:left="1306" w:hanging="440"/>
      </w:pPr>
    </w:lvl>
    <w:lvl w:ilvl="2" w:tentative="0">
      <w:start w:val="1"/>
      <w:numFmt w:val="lowerRoman"/>
      <w:lvlText w:val="%3."/>
      <w:lvlJc w:val="right"/>
      <w:pPr>
        <w:ind w:left="1746" w:hanging="440"/>
      </w:pPr>
    </w:lvl>
    <w:lvl w:ilvl="3" w:tentative="0">
      <w:start w:val="1"/>
      <w:numFmt w:val="decimal"/>
      <w:lvlText w:val="%4."/>
      <w:lvlJc w:val="left"/>
      <w:pPr>
        <w:ind w:left="2186" w:hanging="440"/>
      </w:pPr>
    </w:lvl>
    <w:lvl w:ilvl="4" w:tentative="0">
      <w:start w:val="1"/>
      <w:numFmt w:val="lowerLetter"/>
      <w:lvlText w:val="%5)"/>
      <w:lvlJc w:val="left"/>
      <w:pPr>
        <w:ind w:left="2626" w:hanging="440"/>
      </w:pPr>
    </w:lvl>
    <w:lvl w:ilvl="5" w:tentative="0">
      <w:start w:val="1"/>
      <w:numFmt w:val="lowerRoman"/>
      <w:lvlText w:val="%6."/>
      <w:lvlJc w:val="right"/>
      <w:pPr>
        <w:ind w:left="3066" w:hanging="440"/>
      </w:pPr>
    </w:lvl>
    <w:lvl w:ilvl="6" w:tentative="0">
      <w:start w:val="1"/>
      <w:numFmt w:val="decimal"/>
      <w:lvlText w:val="%7."/>
      <w:lvlJc w:val="left"/>
      <w:pPr>
        <w:ind w:left="3506" w:hanging="440"/>
      </w:pPr>
    </w:lvl>
    <w:lvl w:ilvl="7" w:tentative="0">
      <w:start w:val="1"/>
      <w:numFmt w:val="lowerLetter"/>
      <w:lvlText w:val="%8)"/>
      <w:lvlJc w:val="left"/>
      <w:pPr>
        <w:ind w:left="3946" w:hanging="440"/>
      </w:pPr>
    </w:lvl>
    <w:lvl w:ilvl="8" w:tentative="0">
      <w:start w:val="1"/>
      <w:numFmt w:val="lowerRoman"/>
      <w:lvlText w:val="%9."/>
      <w:lvlJc w:val="right"/>
      <w:pPr>
        <w:ind w:left="4386" w:hanging="440"/>
      </w:pPr>
    </w:lvl>
  </w:abstractNum>
  <w:abstractNum w:abstractNumId="12">
    <w:nsid w:val="55875C14"/>
    <w:multiLevelType w:val="multilevel"/>
    <w:tmpl w:val="55875C14"/>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13">
    <w:nsid w:val="616B40E2"/>
    <w:multiLevelType w:val="singleLevel"/>
    <w:tmpl w:val="616B40E2"/>
    <w:lvl w:ilvl="0" w:tentative="0">
      <w:start w:val="1"/>
      <w:numFmt w:val="ideographTraditional"/>
      <w:suff w:val="nothing"/>
      <w:lvlText w:val="%1、"/>
      <w:lvlJc w:val="left"/>
      <w:rPr>
        <w:rFonts w:hint="eastAsia"/>
      </w:rPr>
    </w:lvl>
  </w:abstractNum>
  <w:abstractNum w:abstractNumId="14">
    <w:nsid w:val="63DE7ADE"/>
    <w:multiLevelType w:val="multilevel"/>
    <w:tmpl w:val="63DE7ADE"/>
    <w:lvl w:ilvl="0" w:tentative="0">
      <w:start w:val="1"/>
      <w:numFmt w:val="decimal"/>
      <w:lvlText w:val="%1."/>
      <w:lvlJc w:val="left"/>
      <w:pPr>
        <w:ind w:left="567"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64FB4BFD"/>
    <w:multiLevelType w:val="multilevel"/>
    <w:tmpl w:val="64FB4BF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441"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69D69EA"/>
    <w:multiLevelType w:val="multilevel"/>
    <w:tmpl w:val="669D69EA"/>
    <w:lvl w:ilvl="0" w:tentative="0">
      <w:start w:val="1"/>
      <w:numFmt w:val="decimal"/>
      <w:lvlText w:val="%1."/>
      <w:lvlJc w:val="left"/>
      <w:pPr>
        <w:ind w:left="840" w:hanging="420"/>
      </w:pPr>
      <w:rPr>
        <w:rFonts w:hint="eastAsia" w:eastAsia="仿宋_GB2312"/>
        <w:color w:val="auto"/>
        <w:sz w:val="28"/>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6E6F60E7"/>
    <w:multiLevelType w:val="multilevel"/>
    <w:tmpl w:val="6E6F60E7"/>
    <w:lvl w:ilvl="0" w:tentative="0">
      <w:start w:val="1"/>
      <w:numFmt w:val="decimal"/>
      <w:lvlText w:val="2.3.5.%1"/>
      <w:lvlJc w:val="left"/>
      <w:pPr>
        <w:tabs>
          <w:tab w:val="left" w:pos="1440"/>
        </w:tabs>
        <w:ind w:left="0" w:firstLine="0"/>
      </w:pPr>
      <w:rPr>
        <w:rFonts w:hint="eastAsia"/>
        <w:b/>
        <w:i w:val="0"/>
        <w:sz w:val="36"/>
      </w:rPr>
    </w:lvl>
    <w:lvl w:ilvl="1" w:tentative="0">
      <w:start w:val="1"/>
      <w:numFmt w:val="decimal"/>
      <w:lvlText w:val="第 %2 章 "/>
      <w:lvlJc w:val="left"/>
      <w:pPr>
        <w:tabs>
          <w:tab w:val="left" w:pos="1932"/>
        </w:tabs>
        <w:ind w:left="852" w:firstLine="0"/>
      </w:pPr>
      <w:rPr>
        <w:rFonts w:hint="eastAsia" w:eastAsia="黑体"/>
        <w:b/>
        <w:i w:val="0"/>
        <w:sz w:val="30"/>
      </w:rPr>
    </w:lvl>
    <w:lvl w:ilvl="2" w:tentative="0">
      <w:start w:val="1"/>
      <w:numFmt w:val="decimal"/>
      <w:pStyle w:val="148"/>
      <w:lvlText w:val="%2.%3"/>
      <w:lvlJc w:val="left"/>
      <w:pPr>
        <w:tabs>
          <w:tab w:val="left" w:pos="2880"/>
        </w:tabs>
        <w:ind w:left="2160" w:firstLine="0"/>
      </w:pPr>
      <w:rPr>
        <w:rFonts w:hint="default" w:ascii="Times New Roman" w:hAnsi="Times New Roman" w:eastAsia="黑体" w:cs="Times New Roman"/>
        <w:b/>
        <w:i w:val="0"/>
        <w:sz w:val="28"/>
      </w:rPr>
    </w:lvl>
    <w:lvl w:ilvl="3" w:tentative="0">
      <w:start w:val="1"/>
      <w:numFmt w:val="decimal"/>
      <w:lvlText w:val="%2.%3.%4"/>
      <w:lvlJc w:val="left"/>
      <w:pPr>
        <w:tabs>
          <w:tab w:val="left" w:pos="720"/>
        </w:tabs>
        <w:ind w:left="0" w:firstLine="0"/>
      </w:pPr>
      <w:rPr>
        <w:rFonts w:hint="default" w:ascii="Times New Roman" w:hAnsi="Times New Roman" w:eastAsia="黑体" w:cs="Times New Roman"/>
        <w:b/>
        <w:i w:val="0"/>
        <w:sz w:val="24"/>
        <w:lang w:val="en-US"/>
      </w:rPr>
    </w:lvl>
    <w:lvl w:ilvl="4" w:tentative="0">
      <w:start w:val="1"/>
      <w:numFmt w:val="decimal"/>
      <w:lvlText w:val="%2.%3.%4.%5"/>
      <w:lvlJc w:val="left"/>
      <w:pPr>
        <w:tabs>
          <w:tab w:val="left" w:pos="1080"/>
        </w:tabs>
        <w:ind w:left="0" w:firstLine="0"/>
      </w:pPr>
      <w:rPr>
        <w:rFonts w:hint="eastAsia" w:eastAsia="宋体"/>
        <w:b/>
        <w:i w:val="0"/>
        <w:sz w:val="24"/>
      </w:rPr>
    </w:lvl>
    <w:lvl w:ilvl="5" w:tentative="0">
      <w:start w:val="1"/>
      <w:numFmt w:val="decimal"/>
      <w:lvlText w:val="%2.%3.%4.%5.%6"/>
      <w:lvlJc w:val="left"/>
      <w:pPr>
        <w:tabs>
          <w:tab w:val="left" w:pos="1440"/>
        </w:tabs>
        <w:ind w:left="0" w:firstLine="0"/>
      </w:pPr>
      <w:rPr>
        <w:rFonts w:hint="eastAsia"/>
      </w:rPr>
    </w:lvl>
    <w:lvl w:ilvl="6" w:tentative="0">
      <w:start w:val="1"/>
      <w:numFmt w:val="decimal"/>
      <w:lvlText w:val="%2.%3.%4.%5.%6.%7"/>
      <w:lvlJc w:val="left"/>
      <w:pPr>
        <w:tabs>
          <w:tab w:val="left" w:pos="1800"/>
        </w:tabs>
        <w:ind w:left="0" w:firstLine="0"/>
      </w:pPr>
      <w:rPr>
        <w:rFonts w:hint="eastAsia"/>
      </w:rPr>
    </w:lvl>
    <w:lvl w:ilvl="7" w:tentative="0">
      <w:start w:val="1"/>
      <w:numFmt w:val="decimal"/>
      <w:lvlText w:val="%2.%3.%4.%5.%6.%7.%8"/>
      <w:lvlJc w:val="left"/>
      <w:pPr>
        <w:tabs>
          <w:tab w:val="left" w:pos="1800"/>
        </w:tabs>
        <w:ind w:left="0" w:firstLine="0"/>
      </w:pPr>
      <w:rPr>
        <w:rFonts w:hint="eastAsia"/>
      </w:rPr>
    </w:lvl>
    <w:lvl w:ilvl="8" w:tentative="0">
      <w:start w:val="1"/>
      <w:numFmt w:val="decimal"/>
      <w:lvlText w:val="%2.%3.%4.%5.%6.%7.%8.%9"/>
      <w:lvlJc w:val="left"/>
      <w:pPr>
        <w:tabs>
          <w:tab w:val="left" w:pos="2160"/>
        </w:tabs>
        <w:ind w:left="0" w:firstLine="0"/>
      </w:pPr>
      <w:rPr>
        <w:rFonts w:hint="eastAsia"/>
      </w:rPr>
    </w:lvl>
  </w:abstractNum>
  <w:abstractNum w:abstractNumId="18">
    <w:nsid w:val="6EBD111E"/>
    <w:multiLevelType w:val="multilevel"/>
    <w:tmpl w:val="6EBD111E"/>
    <w:lvl w:ilvl="0" w:tentative="0">
      <w:start w:val="1"/>
      <w:numFmt w:val="decimal"/>
      <w:lvlText w:val="%1."/>
      <w:lvlJc w:val="left"/>
      <w:pPr>
        <w:ind w:left="425" w:hanging="425"/>
      </w:pPr>
      <w:rPr>
        <w:rFonts w:hint="eastAsia"/>
        <w:b/>
      </w:rPr>
    </w:lvl>
    <w:lvl w:ilvl="1" w:tentative="0">
      <w:start w:val="1"/>
      <w:numFmt w:val="decimal"/>
      <w:lvlText w:val="%1.%2"/>
      <w:lvlJc w:val="left"/>
      <w:pPr>
        <w:ind w:left="992" w:hanging="567"/>
      </w:pPr>
      <w:rPr>
        <w:rFonts w:hint="eastAsia"/>
      </w:rPr>
    </w:lvl>
    <w:lvl w:ilvl="2" w:tentative="0">
      <w:start w:val="1"/>
      <w:numFmt w:val="decimal"/>
      <w:lvlText w:val="%1.%2.%3"/>
      <w:lvlJc w:val="left"/>
      <w:pPr>
        <w:ind w:left="567"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72F57E24"/>
    <w:multiLevelType w:val="multilevel"/>
    <w:tmpl w:val="72F57E24"/>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739B461F"/>
    <w:multiLevelType w:val="singleLevel"/>
    <w:tmpl w:val="739B461F"/>
    <w:lvl w:ilvl="0" w:tentative="0">
      <w:start w:val="1"/>
      <w:numFmt w:val="decimal"/>
      <w:lvlText w:val="%1."/>
      <w:lvlJc w:val="left"/>
      <w:pPr>
        <w:ind w:left="425" w:hanging="425"/>
      </w:pPr>
      <w:rPr>
        <w:rFonts w:hint="default"/>
      </w:rPr>
    </w:lvl>
  </w:abstractNum>
  <w:abstractNum w:abstractNumId="21">
    <w:nsid w:val="75F46A0E"/>
    <w:multiLevelType w:val="multilevel"/>
    <w:tmpl w:val="75F46A0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77413C4D"/>
    <w:multiLevelType w:val="multilevel"/>
    <w:tmpl w:val="77413C4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8"/>
  </w:num>
  <w:num w:numId="3">
    <w:abstractNumId w:val="21"/>
  </w:num>
  <w:num w:numId="4">
    <w:abstractNumId w:val="9"/>
  </w:num>
  <w:num w:numId="5">
    <w:abstractNumId w:val="10"/>
  </w:num>
  <w:num w:numId="6">
    <w:abstractNumId w:val="6"/>
  </w:num>
  <w:num w:numId="7">
    <w:abstractNumId w:val="22"/>
  </w:num>
  <w:num w:numId="8">
    <w:abstractNumId w:val="15"/>
  </w:num>
  <w:num w:numId="9">
    <w:abstractNumId w:val="4"/>
  </w:num>
  <w:num w:numId="10">
    <w:abstractNumId w:val="13"/>
  </w:num>
  <w:num w:numId="11">
    <w:abstractNumId w:val="12"/>
  </w:num>
  <w:num w:numId="12">
    <w:abstractNumId w:val="7"/>
  </w:num>
  <w:num w:numId="13">
    <w:abstractNumId w:val="11"/>
  </w:num>
  <w:num w:numId="14">
    <w:abstractNumId w:val="1"/>
  </w:num>
  <w:num w:numId="15">
    <w:abstractNumId w:val="3"/>
  </w:num>
  <w:num w:numId="16">
    <w:abstractNumId w:val="18"/>
  </w:num>
  <w:num w:numId="17">
    <w:abstractNumId w:val="14"/>
  </w:num>
  <w:num w:numId="18">
    <w:abstractNumId w:val="16"/>
  </w:num>
  <w:num w:numId="19">
    <w:abstractNumId w:val="5"/>
  </w:num>
  <w:num w:numId="20">
    <w:abstractNumId w:val="2"/>
  </w:num>
  <w:num w:numId="21">
    <w:abstractNumId w:val="20"/>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kZGVkMzI3M2M1NDhkYWU0NGJkNDM1ZTYzNzBjMmEifQ=="/>
  </w:docVars>
  <w:rsids>
    <w:rsidRoot w:val="006D1E24"/>
    <w:rsid w:val="00000937"/>
    <w:rsid w:val="0000160A"/>
    <w:rsid w:val="00001D14"/>
    <w:rsid w:val="000034D2"/>
    <w:rsid w:val="000040AE"/>
    <w:rsid w:val="00004907"/>
    <w:rsid w:val="00005295"/>
    <w:rsid w:val="00005869"/>
    <w:rsid w:val="0000597B"/>
    <w:rsid w:val="00006FC6"/>
    <w:rsid w:val="00010968"/>
    <w:rsid w:val="0001147D"/>
    <w:rsid w:val="0001194C"/>
    <w:rsid w:val="000124DB"/>
    <w:rsid w:val="00013089"/>
    <w:rsid w:val="00013768"/>
    <w:rsid w:val="000160B5"/>
    <w:rsid w:val="0001622F"/>
    <w:rsid w:val="00016B34"/>
    <w:rsid w:val="00016CB3"/>
    <w:rsid w:val="000170B1"/>
    <w:rsid w:val="000209C2"/>
    <w:rsid w:val="00020D9C"/>
    <w:rsid w:val="0002129D"/>
    <w:rsid w:val="00021317"/>
    <w:rsid w:val="00021A02"/>
    <w:rsid w:val="00021A11"/>
    <w:rsid w:val="00021A6A"/>
    <w:rsid w:val="00022786"/>
    <w:rsid w:val="00022C0A"/>
    <w:rsid w:val="000233AE"/>
    <w:rsid w:val="0002398D"/>
    <w:rsid w:val="0002403D"/>
    <w:rsid w:val="000240BD"/>
    <w:rsid w:val="00024E09"/>
    <w:rsid w:val="00027253"/>
    <w:rsid w:val="00027794"/>
    <w:rsid w:val="00027BA3"/>
    <w:rsid w:val="00030009"/>
    <w:rsid w:val="0003018F"/>
    <w:rsid w:val="00031090"/>
    <w:rsid w:val="000314B1"/>
    <w:rsid w:val="00033025"/>
    <w:rsid w:val="00033ED9"/>
    <w:rsid w:val="00034D5C"/>
    <w:rsid w:val="00036202"/>
    <w:rsid w:val="0003775A"/>
    <w:rsid w:val="00041066"/>
    <w:rsid w:val="0004206C"/>
    <w:rsid w:val="0004255D"/>
    <w:rsid w:val="00042C2B"/>
    <w:rsid w:val="0004440A"/>
    <w:rsid w:val="000445C6"/>
    <w:rsid w:val="00044F4F"/>
    <w:rsid w:val="00047CB9"/>
    <w:rsid w:val="00047E9C"/>
    <w:rsid w:val="000516A9"/>
    <w:rsid w:val="00051CBD"/>
    <w:rsid w:val="00053276"/>
    <w:rsid w:val="00054844"/>
    <w:rsid w:val="00055D7F"/>
    <w:rsid w:val="000560BC"/>
    <w:rsid w:val="000579F1"/>
    <w:rsid w:val="00057DF5"/>
    <w:rsid w:val="00057EE3"/>
    <w:rsid w:val="00060384"/>
    <w:rsid w:val="00060985"/>
    <w:rsid w:val="00060A8B"/>
    <w:rsid w:val="00060AEF"/>
    <w:rsid w:val="00061B23"/>
    <w:rsid w:val="00062473"/>
    <w:rsid w:val="00062A74"/>
    <w:rsid w:val="00062F4A"/>
    <w:rsid w:val="00063079"/>
    <w:rsid w:val="00064630"/>
    <w:rsid w:val="00064CCA"/>
    <w:rsid w:val="00065FCA"/>
    <w:rsid w:val="00066687"/>
    <w:rsid w:val="000676BC"/>
    <w:rsid w:val="0006789B"/>
    <w:rsid w:val="00067E14"/>
    <w:rsid w:val="00067F1F"/>
    <w:rsid w:val="0007010C"/>
    <w:rsid w:val="0007120B"/>
    <w:rsid w:val="000716E3"/>
    <w:rsid w:val="000719FF"/>
    <w:rsid w:val="00072567"/>
    <w:rsid w:val="000727CB"/>
    <w:rsid w:val="00073D2F"/>
    <w:rsid w:val="00073E0B"/>
    <w:rsid w:val="000743C1"/>
    <w:rsid w:val="000768D2"/>
    <w:rsid w:val="000770E2"/>
    <w:rsid w:val="00081C20"/>
    <w:rsid w:val="0008220C"/>
    <w:rsid w:val="00082750"/>
    <w:rsid w:val="000835FA"/>
    <w:rsid w:val="000846CA"/>
    <w:rsid w:val="000856CB"/>
    <w:rsid w:val="000878D0"/>
    <w:rsid w:val="000901AA"/>
    <w:rsid w:val="00092670"/>
    <w:rsid w:val="00094678"/>
    <w:rsid w:val="00094D61"/>
    <w:rsid w:val="00094E07"/>
    <w:rsid w:val="00096BF6"/>
    <w:rsid w:val="000972F7"/>
    <w:rsid w:val="000975BF"/>
    <w:rsid w:val="000A0EF5"/>
    <w:rsid w:val="000A107C"/>
    <w:rsid w:val="000A1448"/>
    <w:rsid w:val="000A2258"/>
    <w:rsid w:val="000A3C4C"/>
    <w:rsid w:val="000A3D14"/>
    <w:rsid w:val="000A4808"/>
    <w:rsid w:val="000A4F8D"/>
    <w:rsid w:val="000A5194"/>
    <w:rsid w:val="000A6B60"/>
    <w:rsid w:val="000A71E6"/>
    <w:rsid w:val="000B0B41"/>
    <w:rsid w:val="000B16C1"/>
    <w:rsid w:val="000B256E"/>
    <w:rsid w:val="000B262F"/>
    <w:rsid w:val="000B4277"/>
    <w:rsid w:val="000B49A3"/>
    <w:rsid w:val="000B55EC"/>
    <w:rsid w:val="000B6EB8"/>
    <w:rsid w:val="000B731B"/>
    <w:rsid w:val="000C0284"/>
    <w:rsid w:val="000C04F4"/>
    <w:rsid w:val="000C09BF"/>
    <w:rsid w:val="000C0E81"/>
    <w:rsid w:val="000C111F"/>
    <w:rsid w:val="000C1A26"/>
    <w:rsid w:val="000C1E9B"/>
    <w:rsid w:val="000C2F6A"/>
    <w:rsid w:val="000C3138"/>
    <w:rsid w:val="000C37EF"/>
    <w:rsid w:val="000C3D1F"/>
    <w:rsid w:val="000C3E63"/>
    <w:rsid w:val="000C44DA"/>
    <w:rsid w:val="000C4C17"/>
    <w:rsid w:val="000C5446"/>
    <w:rsid w:val="000D02B7"/>
    <w:rsid w:val="000D08CC"/>
    <w:rsid w:val="000D090B"/>
    <w:rsid w:val="000D0F64"/>
    <w:rsid w:val="000D1E52"/>
    <w:rsid w:val="000D2C2A"/>
    <w:rsid w:val="000D4214"/>
    <w:rsid w:val="000D43D9"/>
    <w:rsid w:val="000D74EC"/>
    <w:rsid w:val="000D7AC4"/>
    <w:rsid w:val="000E0247"/>
    <w:rsid w:val="000E045B"/>
    <w:rsid w:val="000E098F"/>
    <w:rsid w:val="000E1C06"/>
    <w:rsid w:val="000E1DFA"/>
    <w:rsid w:val="000E220A"/>
    <w:rsid w:val="000E2523"/>
    <w:rsid w:val="000E28EF"/>
    <w:rsid w:val="000E2DD2"/>
    <w:rsid w:val="000E4B58"/>
    <w:rsid w:val="000E5F8C"/>
    <w:rsid w:val="000E6427"/>
    <w:rsid w:val="000E649C"/>
    <w:rsid w:val="000E65C0"/>
    <w:rsid w:val="000E68A1"/>
    <w:rsid w:val="000E6CB7"/>
    <w:rsid w:val="000E78D4"/>
    <w:rsid w:val="000F0346"/>
    <w:rsid w:val="000F1501"/>
    <w:rsid w:val="000F1B76"/>
    <w:rsid w:val="000F4585"/>
    <w:rsid w:val="000F6700"/>
    <w:rsid w:val="000F6AD7"/>
    <w:rsid w:val="000F6C5A"/>
    <w:rsid w:val="001003DA"/>
    <w:rsid w:val="001006B1"/>
    <w:rsid w:val="00100F7D"/>
    <w:rsid w:val="00102BE9"/>
    <w:rsid w:val="00102CC8"/>
    <w:rsid w:val="00104246"/>
    <w:rsid w:val="00104542"/>
    <w:rsid w:val="001051DB"/>
    <w:rsid w:val="00105AE5"/>
    <w:rsid w:val="00107748"/>
    <w:rsid w:val="00107807"/>
    <w:rsid w:val="00107E05"/>
    <w:rsid w:val="00110A63"/>
    <w:rsid w:val="001112C1"/>
    <w:rsid w:val="00111515"/>
    <w:rsid w:val="00111BE3"/>
    <w:rsid w:val="00112C11"/>
    <w:rsid w:val="0011410E"/>
    <w:rsid w:val="00114EFC"/>
    <w:rsid w:val="00116F20"/>
    <w:rsid w:val="00117434"/>
    <w:rsid w:val="00117D04"/>
    <w:rsid w:val="001205A1"/>
    <w:rsid w:val="00120CA5"/>
    <w:rsid w:val="00122700"/>
    <w:rsid w:val="00122ED6"/>
    <w:rsid w:val="00123DD0"/>
    <w:rsid w:val="00124FFB"/>
    <w:rsid w:val="00125EC5"/>
    <w:rsid w:val="00126C0B"/>
    <w:rsid w:val="001306E5"/>
    <w:rsid w:val="00130D49"/>
    <w:rsid w:val="00132D5B"/>
    <w:rsid w:val="00135D28"/>
    <w:rsid w:val="0013604E"/>
    <w:rsid w:val="00136271"/>
    <w:rsid w:val="001368EF"/>
    <w:rsid w:val="00137CB0"/>
    <w:rsid w:val="0014064F"/>
    <w:rsid w:val="00141291"/>
    <w:rsid w:val="001413DE"/>
    <w:rsid w:val="00141E70"/>
    <w:rsid w:val="00141FD6"/>
    <w:rsid w:val="0014214A"/>
    <w:rsid w:val="00142E39"/>
    <w:rsid w:val="00143972"/>
    <w:rsid w:val="00143FB0"/>
    <w:rsid w:val="001464EC"/>
    <w:rsid w:val="00146EA4"/>
    <w:rsid w:val="001476AF"/>
    <w:rsid w:val="00150396"/>
    <w:rsid w:val="00150AB2"/>
    <w:rsid w:val="00150AED"/>
    <w:rsid w:val="00150C82"/>
    <w:rsid w:val="00151343"/>
    <w:rsid w:val="001521DF"/>
    <w:rsid w:val="00153502"/>
    <w:rsid w:val="001558E8"/>
    <w:rsid w:val="001559C5"/>
    <w:rsid w:val="0015610D"/>
    <w:rsid w:val="0015623B"/>
    <w:rsid w:val="001564B8"/>
    <w:rsid w:val="00156AD9"/>
    <w:rsid w:val="00157E10"/>
    <w:rsid w:val="00162177"/>
    <w:rsid w:val="001627EE"/>
    <w:rsid w:val="00163CA6"/>
    <w:rsid w:val="00166761"/>
    <w:rsid w:val="001672F8"/>
    <w:rsid w:val="00167FF3"/>
    <w:rsid w:val="00170760"/>
    <w:rsid w:val="001712B8"/>
    <w:rsid w:val="001739AA"/>
    <w:rsid w:val="00173C41"/>
    <w:rsid w:val="00174AD1"/>
    <w:rsid w:val="00174CD7"/>
    <w:rsid w:val="00174F8F"/>
    <w:rsid w:val="00175880"/>
    <w:rsid w:val="00176386"/>
    <w:rsid w:val="00176E83"/>
    <w:rsid w:val="00176F7E"/>
    <w:rsid w:val="00180041"/>
    <w:rsid w:val="00180827"/>
    <w:rsid w:val="00180DA0"/>
    <w:rsid w:val="00180FCE"/>
    <w:rsid w:val="00182766"/>
    <w:rsid w:val="00182B2A"/>
    <w:rsid w:val="00183011"/>
    <w:rsid w:val="001830EA"/>
    <w:rsid w:val="001842F9"/>
    <w:rsid w:val="001845D4"/>
    <w:rsid w:val="001848F1"/>
    <w:rsid w:val="00184F2C"/>
    <w:rsid w:val="001851E3"/>
    <w:rsid w:val="00185612"/>
    <w:rsid w:val="00185F3E"/>
    <w:rsid w:val="00185FB4"/>
    <w:rsid w:val="00186411"/>
    <w:rsid w:val="00186424"/>
    <w:rsid w:val="0018646D"/>
    <w:rsid w:val="00190F21"/>
    <w:rsid w:val="001925F1"/>
    <w:rsid w:val="00192C04"/>
    <w:rsid w:val="001935C5"/>
    <w:rsid w:val="00193C2A"/>
    <w:rsid w:val="001944D4"/>
    <w:rsid w:val="001945B0"/>
    <w:rsid w:val="00194696"/>
    <w:rsid w:val="00195240"/>
    <w:rsid w:val="0019635D"/>
    <w:rsid w:val="00196397"/>
    <w:rsid w:val="00197EE8"/>
    <w:rsid w:val="001A1026"/>
    <w:rsid w:val="001A2A5E"/>
    <w:rsid w:val="001A4CC4"/>
    <w:rsid w:val="001A5BFE"/>
    <w:rsid w:val="001A607F"/>
    <w:rsid w:val="001A7549"/>
    <w:rsid w:val="001A7B9F"/>
    <w:rsid w:val="001A7C37"/>
    <w:rsid w:val="001B0424"/>
    <w:rsid w:val="001B109E"/>
    <w:rsid w:val="001B1E47"/>
    <w:rsid w:val="001B2099"/>
    <w:rsid w:val="001B2883"/>
    <w:rsid w:val="001B2AC2"/>
    <w:rsid w:val="001B2B07"/>
    <w:rsid w:val="001B3F0F"/>
    <w:rsid w:val="001B57D1"/>
    <w:rsid w:val="001B5B09"/>
    <w:rsid w:val="001B641A"/>
    <w:rsid w:val="001B66D2"/>
    <w:rsid w:val="001B79BF"/>
    <w:rsid w:val="001C03ED"/>
    <w:rsid w:val="001C162C"/>
    <w:rsid w:val="001C17D9"/>
    <w:rsid w:val="001C189C"/>
    <w:rsid w:val="001C1A61"/>
    <w:rsid w:val="001C1E3D"/>
    <w:rsid w:val="001C228D"/>
    <w:rsid w:val="001C2359"/>
    <w:rsid w:val="001C2649"/>
    <w:rsid w:val="001C2B03"/>
    <w:rsid w:val="001C3630"/>
    <w:rsid w:val="001C374D"/>
    <w:rsid w:val="001C3F5C"/>
    <w:rsid w:val="001C412B"/>
    <w:rsid w:val="001C4386"/>
    <w:rsid w:val="001C5001"/>
    <w:rsid w:val="001C5464"/>
    <w:rsid w:val="001C560E"/>
    <w:rsid w:val="001C59FC"/>
    <w:rsid w:val="001C5D49"/>
    <w:rsid w:val="001C7B94"/>
    <w:rsid w:val="001D0369"/>
    <w:rsid w:val="001D0D90"/>
    <w:rsid w:val="001D0D9F"/>
    <w:rsid w:val="001D0DDC"/>
    <w:rsid w:val="001D1275"/>
    <w:rsid w:val="001D1D9C"/>
    <w:rsid w:val="001D201F"/>
    <w:rsid w:val="001D3099"/>
    <w:rsid w:val="001D3155"/>
    <w:rsid w:val="001D379E"/>
    <w:rsid w:val="001D40D0"/>
    <w:rsid w:val="001D433D"/>
    <w:rsid w:val="001D4482"/>
    <w:rsid w:val="001D4659"/>
    <w:rsid w:val="001D4752"/>
    <w:rsid w:val="001D4ACA"/>
    <w:rsid w:val="001D618A"/>
    <w:rsid w:val="001D645F"/>
    <w:rsid w:val="001D6D30"/>
    <w:rsid w:val="001E0048"/>
    <w:rsid w:val="001E0C47"/>
    <w:rsid w:val="001E0C97"/>
    <w:rsid w:val="001E15DC"/>
    <w:rsid w:val="001E2870"/>
    <w:rsid w:val="001E2A0A"/>
    <w:rsid w:val="001E2BF0"/>
    <w:rsid w:val="001E39E7"/>
    <w:rsid w:val="001E3E7D"/>
    <w:rsid w:val="001E3F05"/>
    <w:rsid w:val="001E4B1F"/>
    <w:rsid w:val="001E5650"/>
    <w:rsid w:val="001E640A"/>
    <w:rsid w:val="001E66A9"/>
    <w:rsid w:val="001E7596"/>
    <w:rsid w:val="001E7788"/>
    <w:rsid w:val="001F07E9"/>
    <w:rsid w:val="001F1771"/>
    <w:rsid w:val="001F2546"/>
    <w:rsid w:val="001F2F59"/>
    <w:rsid w:val="001F5418"/>
    <w:rsid w:val="001F5453"/>
    <w:rsid w:val="001F5CE2"/>
    <w:rsid w:val="001F6BD5"/>
    <w:rsid w:val="001F74E8"/>
    <w:rsid w:val="002010F2"/>
    <w:rsid w:val="002011BC"/>
    <w:rsid w:val="002017B3"/>
    <w:rsid w:val="0020216F"/>
    <w:rsid w:val="00202B4A"/>
    <w:rsid w:val="00203DA5"/>
    <w:rsid w:val="00203F19"/>
    <w:rsid w:val="00205154"/>
    <w:rsid w:val="002055C4"/>
    <w:rsid w:val="00205C2E"/>
    <w:rsid w:val="00205DA1"/>
    <w:rsid w:val="00206268"/>
    <w:rsid w:val="00207A8F"/>
    <w:rsid w:val="00207C31"/>
    <w:rsid w:val="00207C73"/>
    <w:rsid w:val="00210392"/>
    <w:rsid w:val="0021081A"/>
    <w:rsid w:val="002109CC"/>
    <w:rsid w:val="00210EED"/>
    <w:rsid w:val="00210FE3"/>
    <w:rsid w:val="00211BFA"/>
    <w:rsid w:val="002125A4"/>
    <w:rsid w:val="00213454"/>
    <w:rsid w:val="00213470"/>
    <w:rsid w:val="002166C1"/>
    <w:rsid w:val="00217911"/>
    <w:rsid w:val="00217BF5"/>
    <w:rsid w:val="00217C16"/>
    <w:rsid w:val="0022246C"/>
    <w:rsid w:val="00222817"/>
    <w:rsid w:val="00224C6B"/>
    <w:rsid w:val="002255BE"/>
    <w:rsid w:val="00227847"/>
    <w:rsid w:val="00227F7C"/>
    <w:rsid w:val="00230F6A"/>
    <w:rsid w:val="00230FFD"/>
    <w:rsid w:val="002315C9"/>
    <w:rsid w:val="00231C47"/>
    <w:rsid w:val="00232E61"/>
    <w:rsid w:val="00233045"/>
    <w:rsid w:val="00233E6B"/>
    <w:rsid w:val="00234542"/>
    <w:rsid w:val="00234EA4"/>
    <w:rsid w:val="0023604B"/>
    <w:rsid w:val="002369FE"/>
    <w:rsid w:val="00237DDB"/>
    <w:rsid w:val="00242938"/>
    <w:rsid w:val="00243101"/>
    <w:rsid w:val="002434D9"/>
    <w:rsid w:val="0024422F"/>
    <w:rsid w:val="00246597"/>
    <w:rsid w:val="00247E71"/>
    <w:rsid w:val="00250163"/>
    <w:rsid w:val="00251F31"/>
    <w:rsid w:val="002533A7"/>
    <w:rsid w:val="00254C4F"/>
    <w:rsid w:val="00254CB1"/>
    <w:rsid w:val="00254DD5"/>
    <w:rsid w:val="002569D6"/>
    <w:rsid w:val="0025745F"/>
    <w:rsid w:val="00257670"/>
    <w:rsid w:val="00257772"/>
    <w:rsid w:val="00257BA4"/>
    <w:rsid w:val="00257D77"/>
    <w:rsid w:val="00260CC4"/>
    <w:rsid w:val="00261B96"/>
    <w:rsid w:val="00261C39"/>
    <w:rsid w:val="00261D39"/>
    <w:rsid w:val="00263504"/>
    <w:rsid w:val="00263D8B"/>
    <w:rsid w:val="00264853"/>
    <w:rsid w:val="002649EF"/>
    <w:rsid w:val="00264F8F"/>
    <w:rsid w:val="00265137"/>
    <w:rsid w:val="002653E4"/>
    <w:rsid w:val="0026596A"/>
    <w:rsid w:val="00265D3C"/>
    <w:rsid w:val="00266376"/>
    <w:rsid w:val="0026656B"/>
    <w:rsid w:val="00266DAC"/>
    <w:rsid w:val="00266F33"/>
    <w:rsid w:val="0027044A"/>
    <w:rsid w:val="00270508"/>
    <w:rsid w:val="0027074D"/>
    <w:rsid w:val="00272C88"/>
    <w:rsid w:val="002747B2"/>
    <w:rsid w:val="00275F2E"/>
    <w:rsid w:val="00276C1D"/>
    <w:rsid w:val="00277C54"/>
    <w:rsid w:val="0028069C"/>
    <w:rsid w:val="00280713"/>
    <w:rsid w:val="00280A92"/>
    <w:rsid w:val="00280E8F"/>
    <w:rsid w:val="00281520"/>
    <w:rsid w:val="0028282F"/>
    <w:rsid w:val="00282972"/>
    <w:rsid w:val="002830EC"/>
    <w:rsid w:val="0028403A"/>
    <w:rsid w:val="002854FF"/>
    <w:rsid w:val="002857E7"/>
    <w:rsid w:val="0028594B"/>
    <w:rsid w:val="00286425"/>
    <w:rsid w:val="002864CD"/>
    <w:rsid w:val="00287A8C"/>
    <w:rsid w:val="00287C4F"/>
    <w:rsid w:val="00287F56"/>
    <w:rsid w:val="002911F1"/>
    <w:rsid w:val="0029151D"/>
    <w:rsid w:val="00291EFA"/>
    <w:rsid w:val="00292157"/>
    <w:rsid w:val="00292689"/>
    <w:rsid w:val="00293222"/>
    <w:rsid w:val="002933A4"/>
    <w:rsid w:val="00293652"/>
    <w:rsid w:val="00293C7A"/>
    <w:rsid w:val="00294025"/>
    <w:rsid w:val="00294153"/>
    <w:rsid w:val="00294F3F"/>
    <w:rsid w:val="00295D81"/>
    <w:rsid w:val="00296112"/>
    <w:rsid w:val="00296535"/>
    <w:rsid w:val="00297635"/>
    <w:rsid w:val="002A0120"/>
    <w:rsid w:val="002A411E"/>
    <w:rsid w:val="002A4BF5"/>
    <w:rsid w:val="002A50BE"/>
    <w:rsid w:val="002A5F03"/>
    <w:rsid w:val="002A5F70"/>
    <w:rsid w:val="002A6DBF"/>
    <w:rsid w:val="002A6E2F"/>
    <w:rsid w:val="002A6F11"/>
    <w:rsid w:val="002A7107"/>
    <w:rsid w:val="002B1672"/>
    <w:rsid w:val="002B2953"/>
    <w:rsid w:val="002B3064"/>
    <w:rsid w:val="002B40C5"/>
    <w:rsid w:val="002B4238"/>
    <w:rsid w:val="002B4289"/>
    <w:rsid w:val="002B57F4"/>
    <w:rsid w:val="002C01C6"/>
    <w:rsid w:val="002C07AD"/>
    <w:rsid w:val="002C17E2"/>
    <w:rsid w:val="002C2734"/>
    <w:rsid w:val="002C3215"/>
    <w:rsid w:val="002C364D"/>
    <w:rsid w:val="002C3771"/>
    <w:rsid w:val="002C3DDF"/>
    <w:rsid w:val="002C564D"/>
    <w:rsid w:val="002C5E1D"/>
    <w:rsid w:val="002C6C4D"/>
    <w:rsid w:val="002D41C3"/>
    <w:rsid w:val="002D52E4"/>
    <w:rsid w:val="002D5403"/>
    <w:rsid w:val="002D557F"/>
    <w:rsid w:val="002D5862"/>
    <w:rsid w:val="002D6F15"/>
    <w:rsid w:val="002D74A6"/>
    <w:rsid w:val="002D7600"/>
    <w:rsid w:val="002D794D"/>
    <w:rsid w:val="002D7DD0"/>
    <w:rsid w:val="002D7E97"/>
    <w:rsid w:val="002E0096"/>
    <w:rsid w:val="002E050A"/>
    <w:rsid w:val="002E19F8"/>
    <w:rsid w:val="002E1A4E"/>
    <w:rsid w:val="002E2131"/>
    <w:rsid w:val="002E2446"/>
    <w:rsid w:val="002E2A86"/>
    <w:rsid w:val="002E3181"/>
    <w:rsid w:val="002E31E7"/>
    <w:rsid w:val="002E32AA"/>
    <w:rsid w:val="002E398E"/>
    <w:rsid w:val="002E3D8B"/>
    <w:rsid w:val="002E46B7"/>
    <w:rsid w:val="002E5528"/>
    <w:rsid w:val="002E55B4"/>
    <w:rsid w:val="002E6A25"/>
    <w:rsid w:val="002E6B3F"/>
    <w:rsid w:val="002E71A2"/>
    <w:rsid w:val="002E7571"/>
    <w:rsid w:val="002F037F"/>
    <w:rsid w:val="002F04B7"/>
    <w:rsid w:val="002F055F"/>
    <w:rsid w:val="002F0E63"/>
    <w:rsid w:val="002F0E9B"/>
    <w:rsid w:val="002F1307"/>
    <w:rsid w:val="002F173C"/>
    <w:rsid w:val="002F2670"/>
    <w:rsid w:val="002F395F"/>
    <w:rsid w:val="002F4305"/>
    <w:rsid w:val="002F63B8"/>
    <w:rsid w:val="002F67EF"/>
    <w:rsid w:val="002F6854"/>
    <w:rsid w:val="002F6CEC"/>
    <w:rsid w:val="002F758B"/>
    <w:rsid w:val="002F7B43"/>
    <w:rsid w:val="00300CCB"/>
    <w:rsid w:val="003019EF"/>
    <w:rsid w:val="00303312"/>
    <w:rsid w:val="00303B14"/>
    <w:rsid w:val="0030400F"/>
    <w:rsid w:val="00304B7C"/>
    <w:rsid w:val="003051BE"/>
    <w:rsid w:val="00305E5F"/>
    <w:rsid w:val="00306195"/>
    <w:rsid w:val="00306EB1"/>
    <w:rsid w:val="00307F24"/>
    <w:rsid w:val="00310C54"/>
    <w:rsid w:val="00311579"/>
    <w:rsid w:val="003116CF"/>
    <w:rsid w:val="00312E67"/>
    <w:rsid w:val="00313178"/>
    <w:rsid w:val="00313C13"/>
    <w:rsid w:val="0031454E"/>
    <w:rsid w:val="00314673"/>
    <w:rsid w:val="003151A7"/>
    <w:rsid w:val="0031612A"/>
    <w:rsid w:val="0031700A"/>
    <w:rsid w:val="0031734A"/>
    <w:rsid w:val="00317B40"/>
    <w:rsid w:val="00320956"/>
    <w:rsid w:val="003221CE"/>
    <w:rsid w:val="00322665"/>
    <w:rsid w:val="00322D96"/>
    <w:rsid w:val="0032418D"/>
    <w:rsid w:val="0032552A"/>
    <w:rsid w:val="00325834"/>
    <w:rsid w:val="00326DB4"/>
    <w:rsid w:val="00330A21"/>
    <w:rsid w:val="00331C2B"/>
    <w:rsid w:val="00331E14"/>
    <w:rsid w:val="003330C2"/>
    <w:rsid w:val="00333A44"/>
    <w:rsid w:val="00335852"/>
    <w:rsid w:val="00336072"/>
    <w:rsid w:val="00337135"/>
    <w:rsid w:val="00337BFB"/>
    <w:rsid w:val="0034044C"/>
    <w:rsid w:val="003416B1"/>
    <w:rsid w:val="003424C5"/>
    <w:rsid w:val="00342C93"/>
    <w:rsid w:val="00342D42"/>
    <w:rsid w:val="00343DAF"/>
    <w:rsid w:val="00343FD9"/>
    <w:rsid w:val="00344BCE"/>
    <w:rsid w:val="003456D0"/>
    <w:rsid w:val="00345EF8"/>
    <w:rsid w:val="003469D9"/>
    <w:rsid w:val="00346D3F"/>
    <w:rsid w:val="00347031"/>
    <w:rsid w:val="0035050E"/>
    <w:rsid w:val="00350628"/>
    <w:rsid w:val="00350963"/>
    <w:rsid w:val="0035366E"/>
    <w:rsid w:val="00355398"/>
    <w:rsid w:val="0035687C"/>
    <w:rsid w:val="00356B01"/>
    <w:rsid w:val="00356F98"/>
    <w:rsid w:val="00357AC3"/>
    <w:rsid w:val="00361C00"/>
    <w:rsid w:val="00361EDB"/>
    <w:rsid w:val="003620DF"/>
    <w:rsid w:val="003627D2"/>
    <w:rsid w:val="00363D4F"/>
    <w:rsid w:val="0036458A"/>
    <w:rsid w:val="00367944"/>
    <w:rsid w:val="003707B6"/>
    <w:rsid w:val="00370B66"/>
    <w:rsid w:val="00370FFF"/>
    <w:rsid w:val="00372139"/>
    <w:rsid w:val="00372779"/>
    <w:rsid w:val="00372D5B"/>
    <w:rsid w:val="0037342B"/>
    <w:rsid w:val="00373F68"/>
    <w:rsid w:val="003744A2"/>
    <w:rsid w:val="0037478D"/>
    <w:rsid w:val="00375A09"/>
    <w:rsid w:val="00381A65"/>
    <w:rsid w:val="00381BC0"/>
    <w:rsid w:val="00381F10"/>
    <w:rsid w:val="00382D7B"/>
    <w:rsid w:val="0038375C"/>
    <w:rsid w:val="00385016"/>
    <w:rsid w:val="003850A8"/>
    <w:rsid w:val="00385140"/>
    <w:rsid w:val="00385730"/>
    <w:rsid w:val="00386842"/>
    <w:rsid w:val="003869B6"/>
    <w:rsid w:val="00386F7B"/>
    <w:rsid w:val="00387AB5"/>
    <w:rsid w:val="00387E4C"/>
    <w:rsid w:val="00387FCF"/>
    <w:rsid w:val="0039040B"/>
    <w:rsid w:val="00390BDE"/>
    <w:rsid w:val="00391035"/>
    <w:rsid w:val="00391474"/>
    <w:rsid w:val="003918C6"/>
    <w:rsid w:val="00392F4F"/>
    <w:rsid w:val="003935C5"/>
    <w:rsid w:val="00394DFC"/>
    <w:rsid w:val="00396D2D"/>
    <w:rsid w:val="00397815"/>
    <w:rsid w:val="00397BE2"/>
    <w:rsid w:val="003A006E"/>
    <w:rsid w:val="003A119C"/>
    <w:rsid w:val="003A12E8"/>
    <w:rsid w:val="003A166E"/>
    <w:rsid w:val="003A1F65"/>
    <w:rsid w:val="003A2C04"/>
    <w:rsid w:val="003A2C0F"/>
    <w:rsid w:val="003A2D7F"/>
    <w:rsid w:val="003A3719"/>
    <w:rsid w:val="003A500C"/>
    <w:rsid w:val="003A62D8"/>
    <w:rsid w:val="003A71C4"/>
    <w:rsid w:val="003B09CC"/>
    <w:rsid w:val="003B1BFF"/>
    <w:rsid w:val="003B3325"/>
    <w:rsid w:val="003B3418"/>
    <w:rsid w:val="003B34FF"/>
    <w:rsid w:val="003B3C91"/>
    <w:rsid w:val="003B3CC3"/>
    <w:rsid w:val="003B6288"/>
    <w:rsid w:val="003B654E"/>
    <w:rsid w:val="003B7A52"/>
    <w:rsid w:val="003C0EF7"/>
    <w:rsid w:val="003C169E"/>
    <w:rsid w:val="003C1BD2"/>
    <w:rsid w:val="003C2639"/>
    <w:rsid w:val="003C32CB"/>
    <w:rsid w:val="003C3666"/>
    <w:rsid w:val="003C3983"/>
    <w:rsid w:val="003C4255"/>
    <w:rsid w:val="003C4FC0"/>
    <w:rsid w:val="003C51A7"/>
    <w:rsid w:val="003C5CE8"/>
    <w:rsid w:val="003C5EDB"/>
    <w:rsid w:val="003C6389"/>
    <w:rsid w:val="003C6727"/>
    <w:rsid w:val="003C74B6"/>
    <w:rsid w:val="003C7B23"/>
    <w:rsid w:val="003D0802"/>
    <w:rsid w:val="003D149E"/>
    <w:rsid w:val="003D247C"/>
    <w:rsid w:val="003D2EE1"/>
    <w:rsid w:val="003D7616"/>
    <w:rsid w:val="003D7FD8"/>
    <w:rsid w:val="003E1168"/>
    <w:rsid w:val="003E2D43"/>
    <w:rsid w:val="003E32C0"/>
    <w:rsid w:val="003E5604"/>
    <w:rsid w:val="003E5DAE"/>
    <w:rsid w:val="003E6406"/>
    <w:rsid w:val="003E6D78"/>
    <w:rsid w:val="003E717C"/>
    <w:rsid w:val="003E7A8A"/>
    <w:rsid w:val="003E7E3A"/>
    <w:rsid w:val="003F00CD"/>
    <w:rsid w:val="003F0418"/>
    <w:rsid w:val="003F0C44"/>
    <w:rsid w:val="003F1B43"/>
    <w:rsid w:val="003F227F"/>
    <w:rsid w:val="003F2AF9"/>
    <w:rsid w:val="003F311F"/>
    <w:rsid w:val="003F3580"/>
    <w:rsid w:val="003F360D"/>
    <w:rsid w:val="003F43CE"/>
    <w:rsid w:val="003F50C5"/>
    <w:rsid w:val="003F5459"/>
    <w:rsid w:val="003F62AD"/>
    <w:rsid w:val="003F6DE6"/>
    <w:rsid w:val="003F6F4B"/>
    <w:rsid w:val="003F7856"/>
    <w:rsid w:val="00400B3E"/>
    <w:rsid w:val="0040109A"/>
    <w:rsid w:val="00401169"/>
    <w:rsid w:val="004011F8"/>
    <w:rsid w:val="004017B4"/>
    <w:rsid w:val="00401A3C"/>
    <w:rsid w:val="00401F00"/>
    <w:rsid w:val="0040230D"/>
    <w:rsid w:val="00403219"/>
    <w:rsid w:val="004039A8"/>
    <w:rsid w:val="00403BFF"/>
    <w:rsid w:val="00404AA1"/>
    <w:rsid w:val="00404ABE"/>
    <w:rsid w:val="004062F8"/>
    <w:rsid w:val="00407F26"/>
    <w:rsid w:val="004112EF"/>
    <w:rsid w:val="004121C5"/>
    <w:rsid w:val="00412D47"/>
    <w:rsid w:val="0041494B"/>
    <w:rsid w:val="00414E5D"/>
    <w:rsid w:val="004159C7"/>
    <w:rsid w:val="004165A9"/>
    <w:rsid w:val="00416AF9"/>
    <w:rsid w:val="00420FA4"/>
    <w:rsid w:val="00421449"/>
    <w:rsid w:val="0042197E"/>
    <w:rsid w:val="00422D64"/>
    <w:rsid w:val="00423465"/>
    <w:rsid w:val="00423DB6"/>
    <w:rsid w:val="00423DCE"/>
    <w:rsid w:val="00424495"/>
    <w:rsid w:val="00425096"/>
    <w:rsid w:val="004250FC"/>
    <w:rsid w:val="00425128"/>
    <w:rsid w:val="00425CE3"/>
    <w:rsid w:val="00426094"/>
    <w:rsid w:val="0042656E"/>
    <w:rsid w:val="00426B48"/>
    <w:rsid w:val="00426CB9"/>
    <w:rsid w:val="004277D7"/>
    <w:rsid w:val="004307EB"/>
    <w:rsid w:val="00431EED"/>
    <w:rsid w:val="00432010"/>
    <w:rsid w:val="00432214"/>
    <w:rsid w:val="00432F0C"/>
    <w:rsid w:val="00433686"/>
    <w:rsid w:val="00434F05"/>
    <w:rsid w:val="004352D7"/>
    <w:rsid w:val="00436072"/>
    <w:rsid w:val="004362FE"/>
    <w:rsid w:val="00437C38"/>
    <w:rsid w:val="00440381"/>
    <w:rsid w:val="00440853"/>
    <w:rsid w:val="00441824"/>
    <w:rsid w:val="004423F0"/>
    <w:rsid w:val="00443218"/>
    <w:rsid w:val="00443826"/>
    <w:rsid w:val="004458B1"/>
    <w:rsid w:val="00446E59"/>
    <w:rsid w:val="0044758F"/>
    <w:rsid w:val="00450DE0"/>
    <w:rsid w:val="00450FDB"/>
    <w:rsid w:val="0045173E"/>
    <w:rsid w:val="00451C55"/>
    <w:rsid w:val="00452340"/>
    <w:rsid w:val="00452403"/>
    <w:rsid w:val="00452A98"/>
    <w:rsid w:val="00453834"/>
    <w:rsid w:val="00454D2C"/>
    <w:rsid w:val="0045530D"/>
    <w:rsid w:val="004554D6"/>
    <w:rsid w:val="00456845"/>
    <w:rsid w:val="00456C5A"/>
    <w:rsid w:val="00456CE8"/>
    <w:rsid w:val="0045728D"/>
    <w:rsid w:val="00457F1E"/>
    <w:rsid w:val="0046099A"/>
    <w:rsid w:val="0046130B"/>
    <w:rsid w:val="004613BF"/>
    <w:rsid w:val="004615E7"/>
    <w:rsid w:val="004619CB"/>
    <w:rsid w:val="00461A4C"/>
    <w:rsid w:val="004629BF"/>
    <w:rsid w:val="00462CE0"/>
    <w:rsid w:val="00463CF7"/>
    <w:rsid w:val="00463D6C"/>
    <w:rsid w:val="0046422B"/>
    <w:rsid w:val="0046483A"/>
    <w:rsid w:val="00464A94"/>
    <w:rsid w:val="00464BED"/>
    <w:rsid w:val="0046568F"/>
    <w:rsid w:val="00465707"/>
    <w:rsid w:val="00465C58"/>
    <w:rsid w:val="00465F14"/>
    <w:rsid w:val="0046735C"/>
    <w:rsid w:val="004706A5"/>
    <w:rsid w:val="00470BBF"/>
    <w:rsid w:val="00470DFB"/>
    <w:rsid w:val="00472611"/>
    <w:rsid w:val="0047319A"/>
    <w:rsid w:val="004732B5"/>
    <w:rsid w:val="00474A74"/>
    <w:rsid w:val="00482891"/>
    <w:rsid w:val="00482B1F"/>
    <w:rsid w:val="00482F9B"/>
    <w:rsid w:val="00483139"/>
    <w:rsid w:val="00483BB5"/>
    <w:rsid w:val="00484A5B"/>
    <w:rsid w:val="00484C32"/>
    <w:rsid w:val="00484D35"/>
    <w:rsid w:val="00485149"/>
    <w:rsid w:val="00485FDC"/>
    <w:rsid w:val="00486247"/>
    <w:rsid w:val="00486C53"/>
    <w:rsid w:val="0048715D"/>
    <w:rsid w:val="004876D5"/>
    <w:rsid w:val="004905DE"/>
    <w:rsid w:val="004908F9"/>
    <w:rsid w:val="0049098E"/>
    <w:rsid w:val="0049133B"/>
    <w:rsid w:val="00492A9C"/>
    <w:rsid w:val="00492BFC"/>
    <w:rsid w:val="00493539"/>
    <w:rsid w:val="00494DEE"/>
    <w:rsid w:val="004951C8"/>
    <w:rsid w:val="004954AA"/>
    <w:rsid w:val="00495667"/>
    <w:rsid w:val="00497D45"/>
    <w:rsid w:val="004A02D3"/>
    <w:rsid w:val="004A09A6"/>
    <w:rsid w:val="004A194C"/>
    <w:rsid w:val="004A23A1"/>
    <w:rsid w:val="004A345E"/>
    <w:rsid w:val="004A5604"/>
    <w:rsid w:val="004A574E"/>
    <w:rsid w:val="004A596D"/>
    <w:rsid w:val="004A6ADC"/>
    <w:rsid w:val="004A6CBC"/>
    <w:rsid w:val="004A781A"/>
    <w:rsid w:val="004A7A57"/>
    <w:rsid w:val="004A7D86"/>
    <w:rsid w:val="004B01A1"/>
    <w:rsid w:val="004B0624"/>
    <w:rsid w:val="004B0951"/>
    <w:rsid w:val="004B0CAD"/>
    <w:rsid w:val="004B1F51"/>
    <w:rsid w:val="004B307E"/>
    <w:rsid w:val="004B582E"/>
    <w:rsid w:val="004B5AA1"/>
    <w:rsid w:val="004C0309"/>
    <w:rsid w:val="004C0425"/>
    <w:rsid w:val="004C0F9C"/>
    <w:rsid w:val="004C197B"/>
    <w:rsid w:val="004C1CF8"/>
    <w:rsid w:val="004C29F8"/>
    <w:rsid w:val="004C38C4"/>
    <w:rsid w:val="004C3A03"/>
    <w:rsid w:val="004C3BF4"/>
    <w:rsid w:val="004C4628"/>
    <w:rsid w:val="004C48E2"/>
    <w:rsid w:val="004C57EB"/>
    <w:rsid w:val="004C57EF"/>
    <w:rsid w:val="004C7964"/>
    <w:rsid w:val="004D07CA"/>
    <w:rsid w:val="004D13C1"/>
    <w:rsid w:val="004D1552"/>
    <w:rsid w:val="004D1731"/>
    <w:rsid w:val="004D2272"/>
    <w:rsid w:val="004D22F4"/>
    <w:rsid w:val="004D27D7"/>
    <w:rsid w:val="004D3245"/>
    <w:rsid w:val="004D3285"/>
    <w:rsid w:val="004D3651"/>
    <w:rsid w:val="004D3927"/>
    <w:rsid w:val="004D42BF"/>
    <w:rsid w:val="004D4BD2"/>
    <w:rsid w:val="004D4BFE"/>
    <w:rsid w:val="004D602F"/>
    <w:rsid w:val="004D69AC"/>
    <w:rsid w:val="004D7C71"/>
    <w:rsid w:val="004D7C84"/>
    <w:rsid w:val="004E033D"/>
    <w:rsid w:val="004E0925"/>
    <w:rsid w:val="004E0F59"/>
    <w:rsid w:val="004E18C8"/>
    <w:rsid w:val="004E1970"/>
    <w:rsid w:val="004E21C6"/>
    <w:rsid w:val="004E24FF"/>
    <w:rsid w:val="004E3223"/>
    <w:rsid w:val="004E49BC"/>
    <w:rsid w:val="004E6E5B"/>
    <w:rsid w:val="004E70C5"/>
    <w:rsid w:val="004E7D6B"/>
    <w:rsid w:val="004F0F17"/>
    <w:rsid w:val="004F11B4"/>
    <w:rsid w:val="004F1C32"/>
    <w:rsid w:val="004F549E"/>
    <w:rsid w:val="004F5728"/>
    <w:rsid w:val="004F57F0"/>
    <w:rsid w:val="004F5BEE"/>
    <w:rsid w:val="004F6437"/>
    <w:rsid w:val="004F65F8"/>
    <w:rsid w:val="004F6CC5"/>
    <w:rsid w:val="00501229"/>
    <w:rsid w:val="005014EC"/>
    <w:rsid w:val="005018E0"/>
    <w:rsid w:val="00502DF9"/>
    <w:rsid w:val="00503230"/>
    <w:rsid w:val="00505CD4"/>
    <w:rsid w:val="00507658"/>
    <w:rsid w:val="00512167"/>
    <w:rsid w:val="0051241B"/>
    <w:rsid w:val="00512735"/>
    <w:rsid w:val="00513163"/>
    <w:rsid w:val="00513E0B"/>
    <w:rsid w:val="00514234"/>
    <w:rsid w:val="00514297"/>
    <w:rsid w:val="00514617"/>
    <w:rsid w:val="005154CA"/>
    <w:rsid w:val="00515C1E"/>
    <w:rsid w:val="00515EB1"/>
    <w:rsid w:val="005165FB"/>
    <w:rsid w:val="00516EDF"/>
    <w:rsid w:val="00516FE7"/>
    <w:rsid w:val="00517B5D"/>
    <w:rsid w:val="00520559"/>
    <w:rsid w:val="00520659"/>
    <w:rsid w:val="00522064"/>
    <w:rsid w:val="005220E0"/>
    <w:rsid w:val="005227F2"/>
    <w:rsid w:val="00522E3E"/>
    <w:rsid w:val="005235B5"/>
    <w:rsid w:val="005242CA"/>
    <w:rsid w:val="00524427"/>
    <w:rsid w:val="00524A73"/>
    <w:rsid w:val="00525636"/>
    <w:rsid w:val="00525718"/>
    <w:rsid w:val="00525A72"/>
    <w:rsid w:val="00526363"/>
    <w:rsid w:val="00527532"/>
    <w:rsid w:val="00530B70"/>
    <w:rsid w:val="00530CB7"/>
    <w:rsid w:val="00531093"/>
    <w:rsid w:val="00531219"/>
    <w:rsid w:val="005316DA"/>
    <w:rsid w:val="00531998"/>
    <w:rsid w:val="00531BD1"/>
    <w:rsid w:val="00531CE4"/>
    <w:rsid w:val="00533720"/>
    <w:rsid w:val="00534354"/>
    <w:rsid w:val="0053445B"/>
    <w:rsid w:val="005348FF"/>
    <w:rsid w:val="00535D4C"/>
    <w:rsid w:val="005404CA"/>
    <w:rsid w:val="005420AD"/>
    <w:rsid w:val="00542212"/>
    <w:rsid w:val="00542516"/>
    <w:rsid w:val="0054294C"/>
    <w:rsid w:val="00542A7E"/>
    <w:rsid w:val="00543CA0"/>
    <w:rsid w:val="00543E79"/>
    <w:rsid w:val="00544CFA"/>
    <w:rsid w:val="005465C9"/>
    <w:rsid w:val="005473AE"/>
    <w:rsid w:val="0054749A"/>
    <w:rsid w:val="00550E53"/>
    <w:rsid w:val="00550FB1"/>
    <w:rsid w:val="005514A7"/>
    <w:rsid w:val="00552292"/>
    <w:rsid w:val="00552AB9"/>
    <w:rsid w:val="00553505"/>
    <w:rsid w:val="00554475"/>
    <w:rsid w:val="005547C4"/>
    <w:rsid w:val="00555E86"/>
    <w:rsid w:val="00555F21"/>
    <w:rsid w:val="005567FD"/>
    <w:rsid w:val="0056030C"/>
    <w:rsid w:val="005605AE"/>
    <w:rsid w:val="0056080C"/>
    <w:rsid w:val="00560D74"/>
    <w:rsid w:val="00560E96"/>
    <w:rsid w:val="00561EBB"/>
    <w:rsid w:val="00562124"/>
    <w:rsid w:val="005628C9"/>
    <w:rsid w:val="005632CF"/>
    <w:rsid w:val="0056360F"/>
    <w:rsid w:val="00563B14"/>
    <w:rsid w:val="00564925"/>
    <w:rsid w:val="00564D16"/>
    <w:rsid w:val="00565324"/>
    <w:rsid w:val="00565391"/>
    <w:rsid w:val="00566849"/>
    <w:rsid w:val="005677A4"/>
    <w:rsid w:val="0056789E"/>
    <w:rsid w:val="00567CC0"/>
    <w:rsid w:val="00567F63"/>
    <w:rsid w:val="00571214"/>
    <w:rsid w:val="0057201B"/>
    <w:rsid w:val="00572308"/>
    <w:rsid w:val="0057232D"/>
    <w:rsid w:val="005729DE"/>
    <w:rsid w:val="00572AE9"/>
    <w:rsid w:val="00572BCA"/>
    <w:rsid w:val="00573490"/>
    <w:rsid w:val="005738E9"/>
    <w:rsid w:val="005739E4"/>
    <w:rsid w:val="0057400A"/>
    <w:rsid w:val="00575101"/>
    <w:rsid w:val="005771F3"/>
    <w:rsid w:val="0057736F"/>
    <w:rsid w:val="005774C5"/>
    <w:rsid w:val="00577690"/>
    <w:rsid w:val="005809A2"/>
    <w:rsid w:val="00580D19"/>
    <w:rsid w:val="0058173A"/>
    <w:rsid w:val="00581A41"/>
    <w:rsid w:val="00581B14"/>
    <w:rsid w:val="0058259F"/>
    <w:rsid w:val="0058372C"/>
    <w:rsid w:val="00583873"/>
    <w:rsid w:val="00583ADB"/>
    <w:rsid w:val="00583FB6"/>
    <w:rsid w:val="005849F1"/>
    <w:rsid w:val="00584C9C"/>
    <w:rsid w:val="00584D54"/>
    <w:rsid w:val="00584F2B"/>
    <w:rsid w:val="00585F9E"/>
    <w:rsid w:val="00586A9C"/>
    <w:rsid w:val="005874D8"/>
    <w:rsid w:val="00590013"/>
    <w:rsid w:val="00590C46"/>
    <w:rsid w:val="005914B1"/>
    <w:rsid w:val="00591D23"/>
    <w:rsid w:val="00592BA7"/>
    <w:rsid w:val="00593C10"/>
    <w:rsid w:val="00594678"/>
    <w:rsid w:val="005959F1"/>
    <w:rsid w:val="005960D2"/>
    <w:rsid w:val="005977D1"/>
    <w:rsid w:val="005A0F69"/>
    <w:rsid w:val="005A1C47"/>
    <w:rsid w:val="005A3373"/>
    <w:rsid w:val="005A4334"/>
    <w:rsid w:val="005A4590"/>
    <w:rsid w:val="005A6906"/>
    <w:rsid w:val="005A69E3"/>
    <w:rsid w:val="005B1089"/>
    <w:rsid w:val="005B157C"/>
    <w:rsid w:val="005B19B7"/>
    <w:rsid w:val="005B1F45"/>
    <w:rsid w:val="005B26E9"/>
    <w:rsid w:val="005B376E"/>
    <w:rsid w:val="005B3D2E"/>
    <w:rsid w:val="005B417A"/>
    <w:rsid w:val="005B45CF"/>
    <w:rsid w:val="005B51B6"/>
    <w:rsid w:val="005B544B"/>
    <w:rsid w:val="005B5864"/>
    <w:rsid w:val="005B5A09"/>
    <w:rsid w:val="005B5B1D"/>
    <w:rsid w:val="005B5D99"/>
    <w:rsid w:val="005B65E5"/>
    <w:rsid w:val="005B667D"/>
    <w:rsid w:val="005B6BB6"/>
    <w:rsid w:val="005C0710"/>
    <w:rsid w:val="005C1766"/>
    <w:rsid w:val="005C377E"/>
    <w:rsid w:val="005C3928"/>
    <w:rsid w:val="005C4D56"/>
    <w:rsid w:val="005C55D3"/>
    <w:rsid w:val="005C584A"/>
    <w:rsid w:val="005C5B43"/>
    <w:rsid w:val="005C5D21"/>
    <w:rsid w:val="005C5DF9"/>
    <w:rsid w:val="005C5E79"/>
    <w:rsid w:val="005C689F"/>
    <w:rsid w:val="005C7045"/>
    <w:rsid w:val="005C7472"/>
    <w:rsid w:val="005C7874"/>
    <w:rsid w:val="005D06E1"/>
    <w:rsid w:val="005D0E48"/>
    <w:rsid w:val="005D13BE"/>
    <w:rsid w:val="005D26BE"/>
    <w:rsid w:val="005D3114"/>
    <w:rsid w:val="005D335D"/>
    <w:rsid w:val="005D3821"/>
    <w:rsid w:val="005D38A9"/>
    <w:rsid w:val="005D4C85"/>
    <w:rsid w:val="005D4ED8"/>
    <w:rsid w:val="005D4F96"/>
    <w:rsid w:val="005D5404"/>
    <w:rsid w:val="005D59AD"/>
    <w:rsid w:val="005D6187"/>
    <w:rsid w:val="005D6BDC"/>
    <w:rsid w:val="005D6EE0"/>
    <w:rsid w:val="005D6FA4"/>
    <w:rsid w:val="005D732F"/>
    <w:rsid w:val="005D7C7E"/>
    <w:rsid w:val="005D7EBB"/>
    <w:rsid w:val="005E01DA"/>
    <w:rsid w:val="005E14E9"/>
    <w:rsid w:val="005E155A"/>
    <w:rsid w:val="005E1BE0"/>
    <w:rsid w:val="005E2223"/>
    <w:rsid w:val="005E2F6E"/>
    <w:rsid w:val="005E2FF9"/>
    <w:rsid w:val="005E326D"/>
    <w:rsid w:val="005E3394"/>
    <w:rsid w:val="005E40D8"/>
    <w:rsid w:val="005E4FEE"/>
    <w:rsid w:val="005E5131"/>
    <w:rsid w:val="005E6798"/>
    <w:rsid w:val="005E68C1"/>
    <w:rsid w:val="005E7C2F"/>
    <w:rsid w:val="005F002C"/>
    <w:rsid w:val="005F0B8D"/>
    <w:rsid w:val="005F1BA7"/>
    <w:rsid w:val="005F20F9"/>
    <w:rsid w:val="005F216C"/>
    <w:rsid w:val="005F23ED"/>
    <w:rsid w:val="005F2F82"/>
    <w:rsid w:val="005F3889"/>
    <w:rsid w:val="005F466F"/>
    <w:rsid w:val="005F4BAA"/>
    <w:rsid w:val="005F4F0C"/>
    <w:rsid w:val="005F5026"/>
    <w:rsid w:val="005F57B9"/>
    <w:rsid w:val="005F60B4"/>
    <w:rsid w:val="005F612F"/>
    <w:rsid w:val="005F6314"/>
    <w:rsid w:val="005F7249"/>
    <w:rsid w:val="005F728F"/>
    <w:rsid w:val="005F77A0"/>
    <w:rsid w:val="00601C5D"/>
    <w:rsid w:val="0060299F"/>
    <w:rsid w:val="006034F5"/>
    <w:rsid w:val="006041B3"/>
    <w:rsid w:val="0060594D"/>
    <w:rsid w:val="00606456"/>
    <w:rsid w:val="00606804"/>
    <w:rsid w:val="00606B8B"/>
    <w:rsid w:val="006107B3"/>
    <w:rsid w:val="00610E5B"/>
    <w:rsid w:val="00611573"/>
    <w:rsid w:val="00611C60"/>
    <w:rsid w:val="00611CC4"/>
    <w:rsid w:val="00611F8D"/>
    <w:rsid w:val="00612801"/>
    <w:rsid w:val="00612B87"/>
    <w:rsid w:val="00612D9F"/>
    <w:rsid w:val="0061347B"/>
    <w:rsid w:val="00613F08"/>
    <w:rsid w:val="006146A5"/>
    <w:rsid w:val="00614E4B"/>
    <w:rsid w:val="006150EB"/>
    <w:rsid w:val="0061530F"/>
    <w:rsid w:val="00615D1E"/>
    <w:rsid w:val="00615E3B"/>
    <w:rsid w:val="00616E1D"/>
    <w:rsid w:val="00616F5E"/>
    <w:rsid w:val="006172D2"/>
    <w:rsid w:val="006174BE"/>
    <w:rsid w:val="006200B6"/>
    <w:rsid w:val="00620342"/>
    <w:rsid w:val="0062134A"/>
    <w:rsid w:val="00621649"/>
    <w:rsid w:val="006217CB"/>
    <w:rsid w:val="00621A1D"/>
    <w:rsid w:val="00621C45"/>
    <w:rsid w:val="00624503"/>
    <w:rsid w:val="00624C79"/>
    <w:rsid w:val="00625629"/>
    <w:rsid w:val="006256CE"/>
    <w:rsid w:val="00625C11"/>
    <w:rsid w:val="00627DB9"/>
    <w:rsid w:val="006300D3"/>
    <w:rsid w:val="00630224"/>
    <w:rsid w:val="00631C8B"/>
    <w:rsid w:val="00631CAC"/>
    <w:rsid w:val="00631E05"/>
    <w:rsid w:val="006325A2"/>
    <w:rsid w:val="006330C0"/>
    <w:rsid w:val="006336B2"/>
    <w:rsid w:val="00633E3E"/>
    <w:rsid w:val="00635155"/>
    <w:rsid w:val="00637451"/>
    <w:rsid w:val="00637613"/>
    <w:rsid w:val="00637FAB"/>
    <w:rsid w:val="00640B13"/>
    <w:rsid w:val="00640E1C"/>
    <w:rsid w:val="006411B1"/>
    <w:rsid w:val="006414E6"/>
    <w:rsid w:val="006418EC"/>
    <w:rsid w:val="00641CE8"/>
    <w:rsid w:val="00641DAD"/>
    <w:rsid w:val="00641F01"/>
    <w:rsid w:val="0064209E"/>
    <w:rsid w:val="0064249F"/>
    <w:rsid w:val="00642F71"/>
    <w:rsid w:val="00643401"/>
    <w:rsid w:val="0064383C"/>
    <w:rsid w:val="00644C85"/>
    <w:rsid w:val="00645443"/>
    <w:rsid w:val="00645702"/>
    <w:rsid w:val="006479D9"/>
    <w:rsid w:val="006505F7"/>
    <w:rsid w:val="006514E7"/>
    <w:rsid w:val="00651C60"/>
    <w:rsid w:val="006558F9"/>
    <w:rsid w:val="00656749"/>
    <w:rsid w:val="00656F1A"/>
    <w:rsid w:val="00660400"/>
    <w:rsid w:val="006610FF"/>
    <w:rsid w:val="0066130A"/>
    <w:rsid w:val="00661B94"/>
    <w:rsid w:val="00662671"/>
    <w:rsid w:val="00662BFA"/>
    <w:rsid w:val="00662F8A"/>
    <w:rsid w:val="00663DCA"/>
    <w:rsid w:val="0066477D"/>
    <w:rsid w:val="00664F6A"/>
    <w:rsid w:val="00665735"/>
    <w:rsid w:val="00665D2F"/>
    <w:rsid w:val="00666445"/>
    <w:rsid w:val="00666475"/>
    <w:rsid w:val="00666734"/>
    <w:rsid w:val="00666B01"/>
    <w:rsid w:val="00666D04"/>
    <w:rsid w:val="006675EC"/>
    <w:rsid w:val="00667E25"/>
    <w:rsid w:val="0067082B"/>
    <w:rsid w:val="0067206D"/>
    <w:rsid w:val="006731E3"/>
    <w:rsid w:val="00675619"/>
    <w:rsid w:val="0067638A"/>
    <w:rsid w:val="006765AB"/>
    <w:rsid w:val="00677E41"/>
    <w:rsid w:val="00680BB9"/>
    <w:rsid w:val="00680D0B"/>
    <w:rsid w:val="00680EBD"/>
    <w:rsid w:val="0068278C"/>
    <w:rsid w:val="006830D4"/>
    <w:rsid w:val="00683ED3"/>
    <w:rsid w:val="00685D83"/>
    <w:rsid w:val="006868C0"/>
    <w:rsid w:val="00686D3C"/>
    <w:rsid w:val="00687244"/>
    <w:rsid w:val="00687EDF"/>
    <w:rsid w:val="006912DA"/>
    <w:rsid w:val="006915A9"/>
    <w:rsid w:val="00692529"/>
    <w:rsid w:val="00692DA8"/>
    <w:rsid w:val="00693415"/>
    <w:rsid w:val="00694AAE"/>
    <w:rsid w:val="006958FA"/>
    <w:rsid w:val="00695A73"/>
    <w:rsid w:val="00695BE5"/>
    <w:rsid w:val="0069643C"/>
    <w:rsid w:val="006979BF"/>
    <w:rsid w:val="00697E9A"/>
    <w:rsid w:val="006A05E2"/>
    <w:rsid w:val="006A0B6D"/>
    <w:rsid w:val="006A0B75"/>
    <w:rsid w:val="006A1B5A"/>
    <w:rsid w:val="006A281F"/>
    <w:rsid w:val="006A2C2D"/>
    <w:rsid w:val="006A4251"/>
    <w:rsid w:val="006A44A0"/>
    <w:rsid w:val="006A5B08"/>
    <w:rsid w:val="006A61E8"/>
    <w:rsid w:val="006A66F8"/>
    <w:rsid w:val="006A6AB0"/>
    <w:rsid w:val="006A700D"/>
    <w:rsid w:val="006A7706"/>
    <w:rsid w:val="006A77A9"/>
    <w:rsid w:val="006B1612"/>
    <w:rsid w:val="006B2F38"/>
    <w:rsid w:val="006B45C6"/>
    <w:rsid w:val="006B4BFA"/>
    <w:rsid w:val="006B5212"/>
    <w:rsid w:val="006B548E"/>
    <w:rsid w:val="006B6131"/>
    <w:rsid w:val="006B7EE6"/>
    <w:rsid w:val="006C070D"/>
    <w:rsid w:val="006C0DDA"/>
    <w:rsid w:val="006C2017"/>
    <w:rsid w:val="006C2D6E"/>
    <w:rsid w:val="006C316B"/>
    <w:rsid w:val="006C327F"/>
    <w:rsid w:val="006C35DB"/>
    <w:rsid w:val="006C3739"/>
    <w:rsid w:val="006C3776"/>
    <w:rsid w:val="006C3DAC"/>
    <w:rsid w:val="006C454E"/>
    <w:rsid w:val="006C4C79"/>
    <w:rsid w:val="006C5785"/>
    <w:rsid w:val="006C57D3"/>
    <w:rsid w:val="006C5CA5"/>
    <w:rsid w:val="006C6314"/>
    <w:rsid w:val="006C636D"/>
    <w:rsid w:val="006C6919"/>
    <w:rsid w:val="006C6926"/>
    <w:rsid w:val="006C6F1E"/>
    <w:rsid w:val="006C7204"/>
    <w:rsid w:val="006D1E24"/>
    <w:rsid w:val="006D3574"/>
    <w:rsid w:val="006D3969"/>
    <w:rsid w:val="006D3ED6"/>
    <w:rsid w:val="006D40A3"/>
    <w:rsid w:val="006D4715"/>
    <w:rsid w:val="006D4B1F"/>
    <w:rsid w:val="006D6C33"/>
    <w:rsid w:val="006D73B0"/>
    <w:rsid w:val="006D763D"/>
    <w:rsid w:val="006E0CE4"/>
    <w:rsid w:val="006E1E5E"/>
    <w:rsid w:val="006E4787"/>
    <w:rsid w:val="006E4FF8"/>
    <w:rsid w:val="006E5A5C"/>
    <w:rsid w:val="006E6538"/>
    <w:rsid w:val="006E6625"/>
    <w:rsid w:val="006F0AEC"/>
    <w:rsid w:val="006F1779"/>
    <w:rsid w:val="006F19F8"/>
    <w:rsid w:val="006F1DA7"/>
    <w:rsid w:val="006F2060"/>
    <w:rsid w:val="006F2801"/>
    <w:rsid w:val="006F3050"/>
    <w:rsid w:val="006F3722"/>
    <w:rsid w:val="006F3B3B"/>
    <w:rsid w:val="006F4D5F"/>
    <w:rsid w:val="006F5741"/>
    <w:rsid w:val="006F6795"/>
    <w:rsid w:val="006F702F"/>
    <w:rsid w:val="006F787A"/>
    <w:rsid w:val="006F79E9"/>
    <w:rsid w:val="00701E8C"/>
    <w:rsid w:val="00702627"/>
    <w:rsid w:val="00702B0D"/>
    <w:rsid w:val="00704F0D"/>
    <w:rsid w:val="00705425"/>
    <w:rsid w:val="0070651A"/>
    <w:rsid w:val="007076CD"/>
    <w:rsid w:val="00707F17"/>
    <w:rsid w:val="00710157"/>
    <w:rsid w:val="00711072"/>
    <w:rsid w:val="00711513"/>
    <w:rsid w:val="007116E4"/>
    <w:rsid w:val="007117C8"/>
    <w:rsid w:val="00711852"/>
    <w:rsid w:val="00712655"/>
    <w:rsid w:val="00712674"/>
    <w:rsid w:val="00713189"/>
    <w:rsid w:val="00714423"/>
    <w:rsid w:val="00714A2F"/>
    <w:rsid w:val="00714CAB"/>
    <w:rsid w:val="00714DD9"/>
    <w:rsid w:val="00714F6F"/>
    <w:rsid w:val="00715132"/>
    <w:rsid w:val="007156F5"/>
    <w:rsid w:val="00715F54"/>
    <w:rsid w:val="007168F6"/>
    <w:rsid w:val="007179FE"/>
    <w:rsid w:val="00717A58"/>
    <w:rsid w:val="007207A0"/>
    <w:rsid w:val="007218C3"/>
    <w:rsid w:val="007228F4"/>
    <w:rsid w:val="007241FC"/>
    <w:rsid w:val="007243F8"/>
    <w:rsid w:val="00724945"/>
    <w:rsid w:val="00725462"/>
    <w:rsid w:val="00726492"/>
    <w:rsid w:val="0072687B"/>
    <w:rsid w:val="00730BE3"/>
    <w:rsid w:val="00732D8D"/>
    <w:rsid w:val="0073308E"/>
    <w:rsid w:val="007341CF"/>
    <w:rsid w:val="0073456F"/>
    <w:rsid w:val="00735EB9"/>
    <w:rsid w:val="00737467"/>
    <w:rsid w:val="00737B4B"/>
    <w:rsid w:val="00737F97"/>
    <w:rsid w:val="00740236"/>
    <w:rsid w:val="00741DD5"/>
    <w:rsid w:val="00743CFC"/>
    <w:rsid w:val="00743F5A"/>
    <w:rsid w:val="00746026"/>
    <w:rsid w:val="00746EE9"/>
    <w:rsid w:val="0074762E"/>
    <w:rsid w:val="0075038D"/>
    <w:rsid w:val="007510C1"/>
    <w:rsid w:val="007511E9"/>
    <w:rsid w:val="00751AE2"/>
    <w:rsid w:val="00751C15"/>
    <w:rsid w:val="00752B7D"/>
    <w:rsid w:val="00753151"/>
    <w:rsid w:val="00753505"/>
    <w:rsid w:val="0075432D"/>
    <w:rsid w:val="007547BB"/>
    <w:rsid w:val="007556E0"/>
    <w:rsid w:val="0075594E"/>
    <w:rsid w:val="00757AF5"/>
    <w:rsid w:val="00757CA4"/>
    <w:rsid w:val="0076103F"/>
    <w:rsid w:val="007617FA"/>
    <w:rsid w:val="0076273A"/>
    <w:rsid w:val="0076305C"/>
    <w:rsid w:val="00763061"/>
    <w:rsid w:val="00763AC0"/>
    <w:rsid w:val="00764635"/>
    <w:rsid w:val="0076488F"/>
    <w:rsid w:val="00766B60"/>
    <w:rsid w:val="0077007F"/>
    <w:rsid w:val="00770D55"/>
    <w:rsid w:val="007716B6"/>
    <w:rsid w:val="00771F86"/>
    <w:rsid w:val="007728A2"/>
    <w:rsid w:val="00773781"/>
    <w:rsid w:val="007744AD"/>
    <w:rsid w:val="0077458F"/>
    <w:rsid w:val="007746A1"/>
    <w:rsid w:val="00774C21"/>
    <w:rsid w:val="007752DD"/>
    <w:rsid w:val="00777C0A"/>
    <w:rsid w:val="007815E6"/>
    <w:rsid w:val="007817B6"/>
    <w:rsid w:val="0078188A"/>
    <w:rsid w:val="00782DB8"/>
    <w:rsid w:val="00782FEE"/>
    <w:rsid w:val="007832E9"/>
    <w:rsid w:val="00784770"/>
    <w:rsid w:val="00785084"/>
    <w:rsid w:val="00786348"/>
    <w:rsid w:val="00786D9E"/>
    <w:rsid w:val="007877AB"/>
    <w:rsid w:val="007877D5"/>
    <w:rsid w:val="00790047"/>
    <w:rsid w:val="007910F7"/>
    <w:rsid w:val="00791622"/>
    <w:rsid w:val="00791A34"/>
    <w:rsid w:val="00791CFD"/>
    <w:rsid w:val="00791E69"/>
    <w:rsid w:val="007929B4"/>
    <w:rsid w:val="00794DF4"/>
    <w:rsid w:val="007953F0"/>
    <w:rsid w:val="00795F22"/>
    <w:rsid w:val="00796CCB"/>
    <w:rsid w:val="007A175C"/>
    <w:rsid w:val="007A1A6B"/>
    <w:rsid w:val="007A1A9F"/>
    <w:rsid w:val="007A22FF"/>
    <w:rsid w:val="007A361F"/>
    <w:rsid w:val="007A38C7"/>
    <w:rsid w:val="007A463A"/>
    <w:rsid w:val="007A4AA7"/>
    <w:rsid w:val="007A5619"/>
    <w:rsid w:val="007A5F97"/>
    <w:rsid w:val="007A66C1"/>
    <w:rsid w:val="007A6AE8"/>
    <w:rsid w:val="007A6B71"/>
    <w:rsid w:val="007A75FE"/>
    <w:rsid w:val="007A78A8"/>
    <w:rsid w:val="007A7FCB"/>
    <w:rsid w:val="007B0491"/>
    <w:rsid w:val="007B057B"/>
    <w:rsid w:val="007B0BAC"/>
    <w:rsid w:val="007B0F68"/>
    <w:rsid w:val="007B16A6"/>
    <w:rsid w:val="007B218E"/>
    <w:rsid w:val="007B3149"/>
    <w:rsid w:val="007B432B"/>
    <w:rsid w:val="007B5036"/>
    <w:rsid w:val="007B6278"/>
    <w:rsid w:val="007B6419"/>
    <w:rsid w:val="007B703A"/>
    <w:rsid w:val="007B7131"/>
    <w:rsid w:val="007B7660"/>
    <w:rsid w:val="007C07A8"/>
    <w:rsid w:val="007C0D9D"/>
    <w:rsid w:val="007C3369"/>
    <w:rsid w:val="007C4A06"/>
    <w:rsid w:val="007C4A3F"/>
    <w:rsid w:val="007C4C1C"/>
    <w:rsid w:val="007C5755"/>
    <w:rsid w:val="007C7480"/>
    <w:rsid w:val="007D254F"/>
    <w:rsid w:val="007D38DB"/>
    <w:rsid w:val="007D411F"/>
    <w:rsid w:val="007D43F3"/>
    <w:rsid w:val="007D4699"/>
    <w:rsid w:val="007D55FF"/>
    <w:rsid w:val="007D6736"/>
    <w:rsid w:val="007D702C"/>
    <w:rsid w:val="007D70E5"/>
    <w:rsid w:val="007D7152"/>
    <w:rsid w:val="007D772E"/>
    <w:rsid w:val="007E05A9"/>
    <w:rsid w:val="007E0769"/>
    <w:rsid w:val="007E07B6"/>
    <w:rsid w:val="007E0A86"/>
    <w:rsid w:val="007E0CA3"/>
    <w:rsid w:val="007E12E8"/>
    <w:rsid w:val="007E1A8D"/>
    <w:rsid w:val="007E262A"/>
    <w:rsid w:val="007E2B79"/>
    <w:rsid w:val="007E3150"/>
    <w:rsid w:val="007E51A5"/>
    <w:rsid w:val="007E7E11"/>
    <w:rsid w:val="007F0F41"/>
    <w:rsid w:val="007F169F"/>
    <w:rsid w:val="007F306F"/>
    <w:rsid w:val="007F3375"/>
    <w:rsid w:val="007F6722"/>
    <w:rsid w:val="007F6996"/>
    <w:rsid w:val="007F7554"/>
    <w:rsid w:val="0080007B"/>
    <w:rsid w:val="00800580"/>
    <w:rsid w:val="008009FF"/>
    <w:rsid w:val="0080180B"/>
    <w:rsid w:val="0080185D"/>
    <w:rsid w:val="00801B42"/>
    <w:rsid w:val="0080277F"/>
    <w:rsid w:val="00802FD2"/>
    <w:rsid w:val="008035E3"/>
    <w:rsid w:val="00803645"/>
    <w:rsid w:val="00805C93"/>
    <w:rsid w:val="0080646B"/>
    <w:rsid w:val="008072D4"/>
    <w:rsid w:val="00807B0E"/>
    <w:rsid w:val="00807BCD"/>
    <w:rsid w:val="00810316"/>
    <w:rsid w:val="00810C97"/>
    <w:rsid w:val="00810E84"/>
    <w:rsid w:val="00813087"/>
    <w:rsid w:val="00813C16"/>
    <w:rsid w:val="00815B1A"/>
    <w:rsid w:val="008163A1"/>
    <w:rsid w:val="00816614"/>
    <w:rsid w:val="00816620"/>
    <w:rsid w:val="0081732F"/>
    <w:rsid w:val="008173AA"/>
    <w:rsid w:val="00821B06"/>
    <w:rsid w:val="008227B9"/>
    <w:rsid w:val="00822871"/>
    <w:rsid w:val="00823BA6"/>
    <w:rsid w:val="00823BF8"/>
    <w:rsid w:val="00824B53"/>
    <w:rsid w:val="00825EB1"/>
    <w:rsid w:val="00825F17"/>
    <w:rsid w:val="0082728A"/>
    <w:rsid w:val="00830214"/>
    <w:rsid w:val="00830B76"/>
    <w:rsid w:val="008312B8"/>
    <w:rsid w:val="00832641"/>
    <w:rsid w:val="00832C2E"/>
    <w:rsid w:val="00832E46"/>
    <w:rsid w:val="00833425"/>
    <w:rsid w:val="0083474E"/>
    <w:rsid w:val="00837ECC"/>
    <w:rsid w:val="00840B52"/>
    <w:rsid w:val="00840EA0"/>
    <w:rsid w:val="0084207A"/>
    <w:rsid w:val="008420EB"/>
    <w:rsid w:val="008428D4"/>
    <w:rsid w:val="00843D83"/>
    <w:rsid w:val="00844633"/>
    <w:rsid w:val="00845281"/>
    <w:rsid w:val="00846062"/>
    <w:rsid w:val="0084619B"/>
    <w:rsid w:val="0084635F"/>
    <w:rsid w:val="00846A98"/>
    <w:rsid w:val="00846DB4"/>
    <w:rsid w:val="0084705D"/>
    <w:rsid w:val="0085023C"/>
    <w:rsid w:val="00850BEA"/>
    <w:rsid w:val="00851C66"/>
    <w:rsid w:val="00852484"/>
    <w:rsid w:val="00852963"/>
    <w:rsid w:val="00852A47"/>
    <w:rsid w:val="00852D1A"/>
    <w:rsid w:val="00852E57"/>
    <w:rsid w:val="008533B2"/>
    <w:rsid w:val="0085545F"/>
    <w:rsid w:val="00855AC3"/>
    <w:rsid w:val="00855DD4"/>
    <w:rsid w:val="00855FA8"/>
    <w:rsid w:val="0085627B"/>
    <w:rsid w:val="0086008B"/>
    <w:rsid w:val="00860BFC"/>
    <w:rsid w:val="00860C7B"/>
    <w:rsid w:val="008611FF"/>
    <w:rsid w:val="00861638"/>
    <w:rsid w:val="00861FB6"/>
    <w:rsid w:val="008629B6"/>
    <w:rsid w:val="00863311"/>
    <w:rsid w:val="00864B0D"/>
    <w:rsid w:val="00866FEA"/>
    <w:rsid w:val="00870002"/>
    <w:rsid w:val="00870F1D"/>
    <w:rsid w:val="008717BD"/>
    <w:rsid w:val="00871F69"/>
    <w:rsid w:val="008722E5"/>
    <w:rsid w:val="0087275B"/>
    <w:rsid w:val="00873FFF"/>
    <w:rsid w:val="008741E8"/>
    <w:rsid w:val="00874B24"/>
    <w:rsid w:val="00874B8A"/>
    <w:rsid w:val="008754EB"/>
    <w:rsid w:val="00875676"/>
    <w:rsid w:val="00875D54"/>
    <w:rsid w:val="00875F68"/>
    <w:rsid w:val="0087618B"/>
    <w:rsid w:val="0087730E"/>
    <w:rsid w:val="008778A2"/>
    <w:rsid w:val="008779E9"/>
    <w:rsid w:val="0088000D"/>
    <w:rsid w:val="00880BE2"/>
    <w:rsid w:val="00880DBE"/>
    <w:rsid w:val="00880FE3"/>
    <w:rsid w:val="00881074"/>
    <w:rsid w:val="008816BF"/>
    <w:rsid w:val="0088341A"/>
    <w:rsid w:val="008837BA"/>
    <w:rsid w:val="00884775"/>
    <w:rsid w:val="008849BF"/>
    <w:rsid w:val="008878CB"/>
    <w:rsid w:val="00887E8A"/>
    <w:rsid w:val="00887F75"/>
    <w:rsid w:val="00890BCD"/>
    <w:rsid w:val="008927D5"/>
    <w:rsid w:val="008932A8"/>
    <w:rsid w:val="00893678"/>
    <w:rsid w:val="00894693"/>
    <w:rsid w:val="00895F3F"/>
    <w:rsid w:val="0089678B"/>
    <w:rsid w:val="008972F7"/>
    <w:rsid w:val="0089787D"/>
    <w:rsid w:val="00897DAC"/>
    <w:rsid w:val="00897F13"/>
    <w:rsid w:val="00897F65"/>
    <w:rsid w:val="008A1733"/>
    <w:rsid w:val="008A1D39"/>
    <w:rsid w:val="008A1E16"/>
    <w:rsid w:val="008A2629"/>
    <w:rsid w:val="008A26F8"/>
    <w:rsid w:val="008A39C4"/>
    <w:rsid w:val="008A5A51"/>
    <w:rsid w:val="008A6502"/>
    <w:rsid w:val="008B18FD"/>
    <w:rsid w:val="008B206D"/>
    <w:rsid w:val="008B2B8D"/>
    <w:rsid w:val="008B3FE6"/>
    <w:rsid w:val="008B4311"/>
    <w:rsid w:val="008B431E"/>
    <w:rsid w:val="008B4FEB"/>
    <w:rsid w:val="008B5708"/>
    <w:rsid w:val="008B5EF5"/>
    <w:rsid w:val="008B6145"/>
    <w:rsid w:val="008B7FE5"/>
    <w:rsid w:val="008C0C67"/>
    <w:rsid w:val="008C111D"/>
    <w:rsid w:val="008C178B"/>
    <w:rsid w:val="008C1BC7"/>
    <w:rsid w:val="008C2A4D"/>
    <w:rsid w:val="008C37BA"/>
    <w:rsid w:val="008C3840"/>
    <w:rsid w:val="008C70AE"/>
    <w:rsid w:val="008C7266"/>
    <w:rsid w:val="008C75BE"/>
    <w:rsid w:val="008C781C"/>
    <w:rsid w:val="008C7855"/>
    <w:rsid w:val="008D0081"/>
    <w:rsid w:val="008D03E0"/>
    <w:rsid w:val="008D0E03"/>
    <w:rsid w:val="008D1946"/>
    <w:rsid w:val="008D1CF6"/>
    <w:rsid w:val="008D2353"/>
    <w:rsid w:val="008D3078"/>
    <w:rsid w:val="008D3A42"/>
    <w:rsid w:val="008D48C8"/>
    <w:rsid w:val="008D5679"/>
    <w:rsid w:val="008D5A1D"/>
    <w:rsid w:val="008D5C77"/>
    <w:rsid w:val="008E0010"/>
    <w:rsid w:val="008E00EE"/>
    <w:rsid w:val="008E0C4F"/>
    <w:rsid w:val="008E1082"/>
    <w:rsid w:val="008E1562"/>
    <w:rsid w:val="008E2F98"/>
    <w:rsid w:val="008E32C0"/>
    <w:rsid w:val="008E3586"/>
    <w:rsid w:val="008E3BE6"/>
    <w:rsid w:val="008E3EE4"/>
    <w:rsid w:val="008E3F6F"/>
    <w:rsid w:val="008E4538"/>
    <w:rsid w:val="008E4874"/>
    <w:rsid w:val="008E49D5"/>
    <w:rsid w:val="008E58DE"/>
    <w:rsid w:val="008E5E74"/>
    <w:rsid w:val="008F004B"/>
    <w:rsid w:val="008F4E02"/>
    <w:rsid w:val="008F56EC"/>
    <w:rsid w:val="008F5B84"/>
    <w:rsid w:val="008F697F"/>
    <w:rsid w:val="008F777C"/>
    <w:rsid w:val="00900307"/>
    <w:rsid w:val="0090060E"/>
    <w:rsid w:val="00901B48"/>
    <w:rsid w:val="00902408"/>
    <w:rsid w:val="00903041"/>
    <w:rsid w:val="00903101"/>
    <w:rsid w:val="00905185"/>
    <w:rsid w:val="00905370"/>
    <w:rsid w:val="00906503"/>
    <w:rsid w:val="00907680"/>
    <w:rsid w:val="009077E8"/>
    <w:rsid w:val="009077FF"/>
    <w:rsid w:val="009103C1"/>
    <w:rsid w:val="00911BA0"/>
    <w:rsid w:val="00911D21"/>
    <w:rsid w:val="00914503"/>
    <w:rsid w:val="00916C5B"/>
    <w:rsid w:val="00916E62"/>
    <w:rsid w:val="0092084A"/>
    <w:rsid w:val="00921E2A"/>
    <w:rsid w:val="00921E50"/>
    <w:rsid w:val="0092333A"/>
    <w:rsid w:val="009233C8"/>
    <w:rsid w:val="0092350F"/>
    <w:rsid w:val="0092382C"/>
    <w:rsid w:val="009254F1"/>
    <w:rsid w:val="00925D45"/>
    <w:rsid w:val="00925D89"/>
    <w:rsid w:val="00927629"/>
    <w:rsid w:val="009302EE"/>
    <w:rsid w:val="00930321"/>
    <w:rsid w:val="009304CD"/>
    <w:rsid w:val="00930B74"/>
    <w:rsid w:val="0093175D"/>
    <w:rsid w:val="00931DA4"/>
    <w:rsid w:val="00932F4B"/>
    <w:rsid w:val="00932FA6"/>
    <w:rsid w:val="00934DE7"/>
    <w:rsid w:val="0093500C"/>
    <w:rsid w:val="00937277"/>
    <w:rsid w:val="009379AD"/>
    <w:rsid w:val="00937AC8"/>
    <w:rsid w:val="0094038E"/>
    <w:rsid w:val="00940D99"/>
    <w:rsid w:val="00941D0C"/>
    <w:rsid w:val="00943DA6"/>
    <w:rsid w:val="00945F08"/>
    <w:rsid w:val="0094774A"/>
    <w:rsid w:val="00950C71"/>
    <w:rsid w:val="00951230"/>
    <w:rsid w:val="00952287"/>
    <w:rsid w:val="00952C61"/>
    <w:rsid w:val="00952E75"/>
    <w:rsid w:val="00953518"/>
    <w:rsid w:val="00955CE1"/>
    <w:rsid w:val="00956633"/>
    <w:rsid w:val="00956D35"/>
    <w:rsid w:val="00957742"/>
    <w:rsid w:val="00957C81"/>
    <w:rsid w:val="00962957"/>
    <w:rsid w:val="00962FAF"/>
    <w:rsid w:val="00963822"/>
    <w:rsid w:val="00963E4D"/>
    <w:rsid w:val="00963ED1"/>
    <w:rsid w:val="00965D3C"/>
    <w:rsid w:val="00965DEC"/>
    <w:rsid w:val="0096602C"/>
    <w:rsid w:val="00966182"/>
    <w:rsid w:val="009661FA"/>
    <w:rsid w:val="00966853"/>
    <w:rsid w:val="00966B34"/>
    <w:rsid w:val="00970D3C"/>
    <w:rsid w:val="00971B9D"/>
    <w:rsid w:val="00971CA4"/>
    <w:rsid w:val="009727C5"/>
    <w:rsid w:val="00972928"/>
    <w:rsid w:val="00974FE6"/>
    <w:rsid w:val="00975F09"/>
    <w:rsid w:val="00976D44"/>
    <w:rsid w:val="0098063F"/>
    <w:rsid w:val="00980F02"/>
    <w:rsid w:val="0098201D"/>
    <w:rsid w:val="0098258C"/>
    <w:rsid w:val="009827CB"/>
    <w:rsid w:val="0098340C"/>
    <w:rsid w:val="00983518"/>
    <w:rsid w:val="00983604"/>
    <w:rsid w:val="009838B2"/>
    <w:rsid w:val="009839C4"/>
    <w:rsid w:val="00984F6F"/>
    <w:rsid w:val="009853D3"/>
    <w:rsid w:val="0098572E"/>
    <w:rsid w:val="009863D3"/>
    <w:rsid w:val="00986813"/>
    <w:rsid w:val="0098690A"/>
    <w:rsid w:val="0098733C"/>
    <w:rsid w:val="009873DC"/>
    <w:rsid w:val="009876B2"/>
    <w:rsid w:val="00991447"/>
    <w:rsid w:val="009917AE"/>
    <w:rsid w:val="00991FA2"/>
    <w:rsid w:val="00992E4A"/>
    <w:rsid w:val="00992FA8"/>
    <w:rsid w:val="00993858"/>
    <w:rsid w:val="00993FA5"/>
    <w:rsid w:val="00994596"/>
    <w:rsid w:val="0099463C"/>
    <w:rsid w:val="009946B9"/>
    <w:rsid w:val="00994D79"/>
    <w:rsid w:val="00995B69"/>
    <w:rsid w:val="0099603A"/>
    <w:rsid w:val="009972B7"/>
    <w:rsid w:val="009A0DAC"/>
    <w:rsid w:val="009A0F50"/>
    <w:rsid w:val="009A1129"/>
    <w:rsid w:val="009A184D"/>
    <w:rsid w:val="009A2F08"/>
    <w:rsid w:val="009A31D4"/>
    <w:rsid w:val="009A43F5"/>
    <w:rsid w:val="009A47FB"/>
    <w:rsid w:val="009A5DB0"/>
    <w:rsid w:val="009A61B8"/>
    <w:rsid w:val="009A6F8A"/>
    <w:rsid w:val="009A70FF"/>
    <w:rsid w:val="009A7438"/>
    <w:rsid w:val="009B0C1E"/>
    <w:rsid w:val="009B1E34"/>
    <w:rsid w:val="009B2760"/>
    <w:rsid w:val="009B33ED"/>
    <w:rsid w:val="009B3539"/>
    <w:rsid w:val="009B3775"/>
    <w:rsid w:val="009B409E"/>
    <w:rsid w:val="009B435E"/>
    <w:rsid w:val="009B4749"/>
    <w:rsid w:val="009B5947"/>
    <w:rsid w:val="009B6748"/>
    <w:rsid w:val="009C0737"/>
    <w:rsid w:val="009C0BC2"/>
    <w:rsid w:val="009C1319"/>
    <w:rsid w:val="009C1B32"/>
    <w:rsid w:val="009C26A7"/>
    <w:rsid w:val="009C2E4B"/>
    <w:rsid w:val="009C37E7"/>
    <w:rsid w:val="009C436E"/>
    <w:rsid w:val="009C446B"/>
    <w:rsid w:val="009C4750"/>
    <w:rsid w:val="009C60D0"/>
    <w:rsid w:val="009C654E"/>
    <w:rsid w:val="009C6D08"/>
    <w:rsid w:val="009C6D90"/>
    <w:rsid w:val="009C7E11"/>
    <w:rsid w:val="009D0301"/>
    <w:rsid w:val="009D0828"/>
    <w:rsid w:val="009D0AF9"/>
    <w:rsid w:val="009D1C07"/>
    <w:rsid w:val="009D1CC4"/>
    <w:rsid w:val="009D289C"/>
    <w:rsid w:val="009D2B2D"/>
    <w:rsid w:val="009D3253"/>
    <w:rsid w:val="009D39FA"/>
    <w:rsid w:val="009D4093"/>
    <w:rsid w:val="009D4A1E"/>
    <w:rsid w:val="009D4D93"/>
    <w:rsid w:val="009D5FDA"/>
    <w:rsid w:val="009D67CD"/>
    <w:rsid w:val="009D7270"/>
    <w:rsid w:val="009D7598"/>
    <w:rsid w:val="009E0DEA"/>
    <w:rsid w:val="009E0E38"/>
    <w:rsid w:val="009E274F"/>
    <w:rsid w:val="009E2C7A"/>
    <w:rsid w:val="009E3597"/>
    <w:rsid w:val="009E4FF9"/>
    <w:rsid w:val="009E5ED4"/>
    <w:rsid w:val="009E6120"/>
    <w:rsid w:val="009E6B4E"/>
    <w:rsid w:val="009E6C25"/>
    <w:rsid w:val="009E7330"/>
    <w:rsid w:val="009F060B"/>
    <w:rsid w:val="009F0DDF"/>
    <w:rsid w:val="009F0F30"/>
    <w:rsid w:val="009F12EE"/>
    <w:rsid w:val="009F155A"/>
    <w:rsid w:val="009F1A10"/>
    <w:rsid w:val="009F1F93"/>
    <w:rsid w:val="009F2931"/>
    <w:rsid w:val="009F2A36"/>
    <w:rsid w:val="009F2C5C"/>
    <w:rsid w:val="009F2DF8"/>
    <w:rsid w:val="009F34D1"/>
    <w:rsid w:val="009F4A4D"/>
    <w:rsid w:val="009F4EF4"/>
    <w:rsid w:val="009F5E3B"/>
    <w:rsid w:val="009F60E9"/>
    <w:rsid w:val="009F6275"/>
    <w:rsid w:val="009F7F8B"/>
    <w:rsid w:val="00A00023"/>
    <w:rsid w:val="00A003E6"/>
    <w:rsid w:val="00A01134"/>
    <w:rsid w:val="00A027A8"/>
    <w:rsid w:val="00A03872"/>
    <w:rsid w:val="00A03EAC"/>
    <w:rsid w:val="00A05C83"/>
    <w:rsid w:val="00A05EB1"/>
    <w:rsid w:val="00A06708"/>
    <w:rsid w:val="00A0760D"/>
    <w:rsid w:val="00A077D4"/>
    <w:rsid w:val="00A0789E"/>
    <w:rsid w:val="00A10D29"/>
    <w:rsid w:val="00A12C11"/>
    <w:rsid w:val="00A13C4C"/>
    <w:rsid w:val="00A14013"/>
    <w:rsid w:val="00A146D0"/>
    <w:rsid w:val="00A15200"/>
    <w:rsid w:val="00A15649"/>
    <w:rsid w:val="00A15734"/>
    <w:rsid w:val="00A17508"/>
    <w:rsid w:val="00A203C8"/>
    <w:rsid w:val="00A204B0"/>
    <w:rsid w:val="00A21041"/>
    <w:rsid w:val="00A21202"/>
    <w:rsid w:val="00A21A08"/>
    <w:rsid w:val="00A21B89"/>
    <w:rsid w:val="00A21C1F"/>
    <w:rsid w:val="00A22B78"/>
    <w:rsid w:val="00A238D7"/>
    <w:rsid w:val="00A24095"/>
    <w:rsid w:val="00A240BB"/>
    <w:rsid w:val="00A24819"/>
    <w:rsid w:val="00A24B66"/>
    <w:rsid w:val="00A24ECF"/>
    <w:rsid w:val="00A25EDF"/>
    <w:rsid w:val="00A26F33"/>
    <w:rsid w:val="00A2705E"/>
    <w:rsid w:val="00A3024E"/>
    <w:rsid w:val="00A30C14"/>
    <w:rsid w:val="00A30FAC"/>
    <w:rsid w:val="00A3195D"/>
    <w:rsid w:val="00A31A42"/>
    <w:rsid w:val="00A321DA"/>
    <w:rsid w:val="00A3278D"/>
    <w:rsid w:val="00A327EA"/>
    <w:rsid w:val="00A3280E"/>
    <w:rsid w:val="00A339BF"/>
    <w:rsid w:val="00A3504D"/>
    <w:rsid w:val="00A356D5"/>
    <w:rsid w:val="00A35CBC"/>
    <w:rsid w:val="00A3700C"/>
    <w:rsid w:val="00A37A44"/>
    <w:rsid w:val="00A40440"/>
    <w:rsid w:val="00A41475"/>
    <w:rsid w:val="00A44BCB"/>
    <w:rsid w:val="00A44F6D"/>
    <w:rsid w:val="00A45888"/>
    <w:rsid w:val="00A46D78"/>
    <w:rsid w:val="00A47B91"/>
    <w:rsid w:val="00A50242"/>
    <w:rsid w:val="00A50C0C"/>
    <w:rsid w:val="00A50EB0"/>
    <w:rsid w:val="00A5116D"/>
    <w:rsid w:val="00A514C2"/>
    <w:rsid w:val="00A5164F"/>
    <w:rsid w:val="00A51D6E"/>
    <w:rsid w:val="00A52642"/>
    <w:rsid w:val="00A526BC"/>
    <w:rsid w:val="00A52FDF"/>
    <w:rsid w:val="00A54402"/>
    <w:rsid w:val="00A54998"/>
    <w:rsid w:val="00A54A05"/>
    <w:rsid w:val="00A54ED3"/>
    <w:rsid w:val="00A60A03"/>
    <w:rsid w:val="00A613AC"/>
    <w:rsid w:val="00A62061"/>
    <w:rsid w:val="00A62B95"/>
    <w:rsid w:val="00A6371D"/>
    <w:rsid w:val="00A65011"/>
    <w:rsid w:val="00A6565C"/>
    <w:rsid w:val="00A659D5"/>
    <w:rsid w:val="00A6603F"/>
    <w:rsid w:val="00A66FA9"/>
    <w:rsid w:val="00A708C4"/>
    <w:rsid w:val="00A70DC6"/>
    <w:rsid w:val="00A70DC8"/>
    <w:rsid w:val="00A7289A"/>
    <w:rsid w:val="00A73942"/>
    <w:rsid w:val="00A73B0D"/>
    <w:rsid w:val="00A73B72"/>
    <w:rsid w:val="00A748C4"/>
    <w:rsid w:val="00A74ADB"/>
    <w:rsid w:val="00A758DA"/>
    <w:rsid w:val="00A76420"/>
    <w:rsid w:val="00A81304"/>
    <w:rsid w:val="00A83162"/>
    <w:rsid w:val="00A83D1B"/>
    <w:rsid w:val="00A84359"/>
    <w:rsid w:val="00A84B9D"/>
    <w:rsid w:val="00A85FA5"/>
    <w:rsid w:val="00A8604B"/>
    <w:rsid w:val="00A86199"/>
    <w:rsid w:val="00A865B3"/>
    <w:rsid w:val="00A86B2C"/>
    <w:rsid w:val="00A87960"/>
    <w:rsid w:val="00A925C1"/>
    <w:rsid w:val="00A92884"/>
    <w:rsid w:val="00A931DC"/>
    <w:rsid w:val="00A94598"/>
    <w:rsid w:val="00A94C32"/>
    <w:rsid w:val="00A960E3"/>
    <w:rsid w:val="00A96D39"/>
    <w:rsid w:val="00AA07A1"/>
    <w:rsid w:val="00AA0CA1"/>
    <w:rsid w:val="00AA144F"/>
    <w:rsid w:val="00AA1554"/>
    <w:rsid w:val="00AA209C"/>
    <w:rsid w:val="00AA25C2"/>
    <w:rsid w:val="00AA2FC6"/>
    <w:rsid w:val="00AA3463"/>
    <w:rsid w:val="00AA3C2D"/>
    <w:rsid w:val="00AA40AD"/>
    <w:rsid w:val="00AA4D09"/>
    <w:rsid w:val="00AA4FFD"/>
    <w:rsid w:val="00AA5754"/>
    <w:rsid w:val="00AA5908"/>
    <w:rsid w:val="00AA6D6B"/>
    <w:rsid w:val="00AA6DB0"/>
    <w:rsid w:val="00AA7105"/>
    <w:rsid w:val="00AA74A7"/>
    <w:rsid w:val="00AB0BCB"/>
    <w:rsid w:val="00AB0E89"/>
    <w:rsid w:val="00AB2C88"/>
    <w:rsid w:val="00AB3AC8"/>
    <w:rsid w:val="00AB3EDB"/>
    <w:rsid w:val="00AB47A2"/>
    <w:rsid w:val="00AB5164"/>
    <w:rsid w:val="00AB56D8"/>
    <w:rsid w:val="00AB5CBB"/>
    <w:rsid w:val="00AB693A"/>
    <w:rsid w:val="00AB720C"/>
    <w:rsid w:val="00AB7B5E"/>
    <w:rsid w:val="00AC0811"/>
    <w:rsid w:val="00AC1B39"/>
    <w:rsid w:val="00AC1FB6"/>
    <w:rsid w:val="00AC2066"/>
    <w:rsid w:val="00AC3F72"/>
    <w:rsid w:val="00AC50FF"/>
    <w:rsid w:val="00AC529B"/>
    <w:rsid w:val="00AC7304"/>
    <w:rsid w:val="00AC75F6"/>
    <w:rsid w:val="00AC7691"/>
    <w:rsid w:val="00AD04FE"/>
    <w:rsid w:val="00AD0B14"/>
    <w:rsid w:val="00AD0E52"/>
    <w:rsid w:val="00AD1119"/>
    <w:rsid w:val="00AD18C5"/>
    <w:rsid w:val="00AD1D93"/>
    <w:rsid w:val="00AD354A"/>
    <w:rsid w:val="00AD392E"/>
    <w:rsid w:val="00AD401E"/>
    <w:rsid w:val="00AD43B2"/>
    <w:rsid w:val="00AD4488"/>
    <w:rsid w:val="00AD501A"/>
    <w:rsid w:val="00AD5EDA"/>
    <w:rsid w:val="00AD67FC"/>
    <w:rsid w:val="00AD7B26"/>
    <w:rsid w:val="00AD7D63"/>
    <w:rsid w:val="00AD7D70"/>
    <w:rsid w:val="00AE0207"/>
    <w:rsid w:val="00AE0D0F"/>
    <w:rsid w:val="00AE1BAA"/>
    <w:rsid w:val="00AE217C"/>
    <w:rsid w:val="00AE2B09"/>
    <w:rsid w:val="00AE2CF8"/>
    <w:rsid w:val="00AE3FFF"/>
    <w:rsid w:val="00AE526D"/>
    <w:rsid w:val="00AE6625"/>
    <w:rsid w:val="00AE77B0"/>
    <w:rsid w:val="00AE7829"/>
    <w:rsid w:val="00AF172F"/>
    <w:rsid w:val="00AF240C"/>
    <w:rsid w:val="00AF2BE6"/>
    <w:rsid w:val="00AF3A22"/>
    <w:rsid w:val="00AF3F35"/>
    <w:rsid w:val="00AF4989"/>
    <w:rsid w:val="00AF6239"/>
    <w:rsid w:val="00AF6711"/>
    <w:rsid w:val="00AF7017"/>
    <w:rsid w:val="00AF76EC"/>
    <w:rsid w:val="00AF7BCF"/>
    <w:rsid w:val="00AF7D5B"/>
    <w:rsid w:val="00B004FA"/>
    <w:rsid w:val="00B00D84"/>
    <w:rsid w:val="00B00EA8"/>
    <w:rsid w:val="00B029E7"/>
    <w:rsid w:val="00B02BDA"/>
    <w:rsid w:val="00B02C8C"/>
    <w:rsid w:val="00B02F92"/>
    <w:rsid w:val="00B032A1"/>
    <w:rsid w:val="00B04192"/>
    <w:rsid w:val="00B04F08"/>
    <w:rsid w:val="00B06B80"/>
    <w:rsid w:val="00B077CC"/>
    <w:rsid w:val="00B07FB7"/>
    <w:rsid w:val="00B1038B"/>
    <w:rsid w:val="00B1092D"/>
    <w:rsid w:val="00B11232"/>
    <w:rsid w:val="00B11587"/>
    <w:rsid w:val="00B11A67"/>
    <w:rsid w:val="00B12648"/>
    <w:rsid w:val="00B13203"/>
    <w:rsid w:val="00B13CB7"/>
    <w:rsid w:val="00B13DFA"/>
    <w:rsid w:val="00B15480"/>
    <w:rsid w:val="00B15580"/>
    <w:rsid w:val="00B15768"/>
    <w:rsid w:val="00B15ACE"/>
    <w:rsid w:val="00B16686"/>
    <w:rsid w:val="00B17C93"/>
    <w:rsid w:val="00B17CF1"/>
    <w:rsid w:val="00B20DE6"/>
    <w:rsid w:val="00B21C42"/>
    <w:rsid w:val="00B222E0"/>
    <w:rsid w:val="00B23364"/>
    <w:rsid w:val="00B2362D"/>
    <w:rsid w:val="00B23EA6"/>
    <w:rsid w:val="00B24183"/>
    <w:rsid w:val="00B249FB"/>
    <w:rsid w:val="00B24C1D"/>
    <w:rsid w:val="00B2525B"/>
    <w:rsid w:val="00B25905"/>
    <w:rsid w:val="00B27B02"/>
    <w:rsid w:val="00B305FA"/>
    <w:rsid w:val="00B30A50"/>
    <w:rsid w:val="00B31BDC"/>
    <w:rsid w:val="00B31F4F"/>
    <w:rsid w:val="00B33CC1"/>
    <w:rsid w:val="00B33D5B"/>
    <w:rsid w:val="00B33EDC"/>
    <w:rsid w:val="00B3411C"/>
    <w:rsid w:val="00B341D2"/>
    <w:rsid w:val="00B342EB"/>
    <w:rsid w:val="00B34320"/>
    <w:rsid w:val="00B35E7A"/>
    <w:rsid w:val="00B3659D"/>
    <w:rsid w:val="00B37948"/>
    <w:rsid w:val="00B405CE"/>
    <w:rsid w:val="00B42701"/>
    <w:rsid w:val="00B43E52"/>
    <w:rsid w:val="00B448F1"/>
    <w:rsid w:val="00B45217"/>
    <w:rsid w:val="00B46456"/>
    <w:rsid w:val="00B464A3"/>
    <w:rsid w:val="00B46DB4"/>
    <w:rsid w:val="00B4723C"/>
    <w:rsid w:val="00B50005"/>
    <w:rsid w:val="00B511F9"/>
    <w:rsid w:val="00B52EB1"/>
    <w:rsid w:val="00B53C37"/>
    <w:rsid w:val="00B53FB6"/>
    <w:rsid w:val="00B54425"/>
    <w:rsid w:val="00B54BA5"/>
    <w:rsid w:val="00B550DB"/>
    <w:rsid w:val="00B55476"/>
    <w:rsid w:val="00B555B8"/>
    <w:rsid w:val="00B56479"/>
    <w:rsid w:val="00B578BD"/>
    <w:rsid w:val="00B57FC2"/>
    <w:rsid w:val="00B606C1"/>
    <w:rsid w:val="00B607F1"/>
    <w:rsid w:val="00B614B8"/>
    <w:rsid w:val="00B61E6B"/>
    <w:rsid w:val="00B628CF"/>
    <w:rsid w:val="00B6403A"/>
    <w:rsid w:val="00B6416B"/>
    <w:rsid w:val="00B64A0F"/>
    <w:rsid w:val="00B6581E"/>
    <w:rsid w:val="00B65A77"/>
    <w:rsid w:val="00B65D23"/>
    <w:rsid w:val="00B66093"/>
    <w:rsid w:val="00B668A7"/>
    <w:rsid w:val="00B66BD4"/>
    <w:rsid w:val="00B67910"/>
    <w:rsid w:val="00B70F37"/>
    <w:rsid w:val="00B712C7"/>
    <w:rsid w:val="00B71D6D"/>
    <w:rsid w:val="00B72274"/>
    <w:rsid w:val="00B727C3"/>
    <w:rsid w:val="00B72935"/>
    <w:rsid w:val="00B74869"/>
    <w:rsid w:val="00B75177"/>
    <w:rsid w:val="00B75A97"/>
    <w:rsid w:val="00B75DB6"/>
    <w:rsid w:val="00B77F15"/>
    <w:rsid w:val="00B809DD"/>
    <w:rsid w:val="00B81B9B"/>
    <w:rsid w:val="00B8288A"/>
    <w:rsid w:val="00B83361"/>
    <w:rsid w:val="00B83ADD"/>
    <w:rsid w:val="00B83C6E"/>
    <w:rsid w:val="00B8417B"/>
    <w:rsid w:val="00B86232"/>
    <w:rsid w:val="00B87253"/>
    <w:rsid w:val="00B87400"/>
    <w:rsid w:val="00B901BD"/>
    <w:rsid w:val="00B90691"/>
    <w:rsid w:val="00B91001"/>
    <w:rsid w:val="00B91E4C"/>
    <w:rsid w:val="00B928DC"/>
    <w:rsid w:val="00B92BAF"/>
    <w:rsid w:val="00B93069"/>
    <w:rsid w:val="00B937BD"/>
    <w:rsid w:val="00B93FC6"/>
    <w:rsid w:val="00B9448A"/>
    <w:rsid w:val="00B953A0"/>
    <w:rsid w:val="00B959E5"/>
    <w:rsid w:val="00B96D4B"/>
    <w:rsid w:val="00B97A37"/>
    <w:rsid w:val="00BA038C"/>
    <w:rsid w:val="00BA049A"/>
    <w:rsid w:val="00BA0B0F"/>
    <w:rsid w:val="00BA260F"/>
    <w:rsid w:val="00BA2C08"/>
    <w:rsid w:val="00BA30B5"/>
    <w:rsid w:val="00BA560E"/>
    <w:rsid w:val="00BA5662"/>
    <w:rsid w:val="00BA5874"/>
    <w:rsid w:val="00BA5C37"/>
    <w:rsid w:val="00BA6128"/>
    <w:rsid w:val="00BA7F1B"/>
    <w:rsid w:val="00BB041A"/>
    <w:rsid w:val="00BB0B34"/>
    <w:rsid w:val="00BB1691"/>
    <w:rsid w:val="00BB2E04"/>
    <w:rsid w:val="00BB5348"/>
    <w:rsid w:val="00BB59D3"/>
    <w:rsid w:val="00BB6429"/>
    <w:rsid w:val="00BB737A"/>
    <w:rsid w:val="00BB7CE5"/>
    <w:rsid w:val="00BC0741"/>
    <w:rsid w:val="00BC11EF"/>
    <w:rsid w:val="00BC12AB"/>
    <w:rsid w:val="00BC1D21"/>
    <w:rsid w:val="00BC2519"/>
    <w:rsid w:val="00BC2876"/>
    <w:rsid w:val="00BC299E"/>
    <w:rsid w:val="00BC3083"/>
    <w:rsid w:val="00BC4392"/>
    <w:rsid w:val="00BD2655"/>
    <w:rsid w:val="00BD3614"/>
    <w:rsid w:val="00BD49A3"/>
    <w:rsid w:val="00BD6921"/>
    <w:rsid w:val="00BD73CB"/>
    <w:rsid w:val="00BD7441"/>
    <w:rsid w:val="00BD7E4F"/>
    <w:rsid w:val="00BE0793"/>
    <w:rsid w:val="00BE2884"/>
    <w:rsid w:val="00BE2A0F"/>
    <w:rsid w:val="00BE3946"/>
    <w:rsid w:val="00BE4343"/>
    <w:rsid w:val="00BE4715"/>
    <w:rsid w:val="00BE4E08"/>
    <w:rsid w:val="00BE56B9"/>
    <w:rsid w:val="00BE5740"/>
    <w:rsid w:val="00BE5938"/>
    <w:rsid w:val="00BE63E9"/>
    <w:rsid w:val="00BE6936"/>
    <w:rsid w:val="00BE75CE"/>
    <w:rsid w:val="00BE769B"/>
    <w:rsid w:val="00BE78B4"/>
    <w:rsid w:val="00BF2371"/>
    <w:rsid w:val="00BF3BA8"/>
    <w:rsid w:val="00BF57DC"/>
    <w:rsid w:val="00BF580F"/>
    <w:rsid w:val="00BF6218"/>
    <w:rsid w:val="00BF6455"/>
    <w:rsid w:val="00BF7A38"/>
    <w:rsid w:val="00C00EB6"/>
    <w:rsid w:val="00C011F7"/>
    <w:rsid w:val="00C017D3"/>
    <w:rsid w:val="00C0187E"/>
    <w:rsid w:val="00C018EF"/>
    <w:rsid w:val="00C01D62"/>
    <w:rsid w:val="00C0357B"/>
    <w:rsid w:val="00C04680"/>
    <w:rsid w:val="00C04AC0"/>
    <w:rsid w:val="00C057FD"/>
    <w:rsid w:val="00C05B0D"/>
    <w:rsid w:val="00C07AC6"/>
    <w:rsid w:val="00C10007"/>
    <w:rsid w:val="00C10682"/>
    <w:rsid w:val="00C10A73"/>
    <w:rsid w:val="00C1202B"/>
    <w:rsid w:val="00C12155"/>
    <w:rsid w:val="00C12723"/>
    <w:rsid w:val="00C12A84"/>
    <w:rsid w:val="00C12D62"/>
    <w:rsid w:val="00C131DB"/>
    <w:rsid w:val="00C138CF"/>
    <w:rsid w:val="00C1455E"/>
    <w:rsid w:val="00C15CF0"/>
    <w:rsid w:val="00C17208"/>
    <w:rsid w:val="00C17D62"/>
    <w:rsid w:val="00C2016C"/>
    <w:rsid w:val="00C22172"/>
    <w:rsid w:val="00C228D1"/>
    <w:rsid w:val="00C2356D"/>
    <w:rsid w:val="00C2375F"/>
    <w:rsid w:val="00C23B89"/>
    <w:rsid w:val="00C2471B"/>
    <w:rsid w:val="00C249E9"/>
    <w:rsid w:val="00C24E26"/>
    <w:rsid w:val="00C25075"/>
    <w:rsid w:val="00C2513F"/>
    <w:rsid w:val="00C251EA"/>
    <w:rsid w:val="00C257C1"/>
    <w:rsid w:val="00C267AF"/>
    <w:rsid w:val="00C26CB0"/>
    <w:rsid w:val="00C2738A"/>
    <w:rsid w:val="00C31337"/>
    <w:rsid w:val="00C31B6E"/>
    <w:rsid w:val="00C33550"/>
    <w:rsid w:val="00C33810"/>
    <w:rsid w:val="00C33A8B"/>
    <w:rsid w:val="00C350EB"/>
    <w:rsid w:val="00C356ED"/>
    <w:rsid w:val="00C35ECE"/>
    <w:rsid w:val="00C40F7C"/>
    <w:rsid w:val="00C41D3C"/>
    <w:rsid w:val="00C43FE2"/>
    <w:rsid w:val="00C4439C"/>
    <w:rsid w:val="00C4654C"/>
    <w:rsid w:val="00C466B2"/>
    <w:rsid w:val="00C46E3F"/>
    <w:rsid w:val="00C47153"/>
    <w:rsid w:val="00C4789D"/>
    <w:rsid w:val="00C47A25"/>
    <w:rsid w:val="00C511C4"/>
    <w:rsid w:val="00C52262"/>
    <w:rsid w:val="00C53E65"/>
    <w:rsid w:val="00C53F57"/>
    <w:rsid w:val="00C55321"/>
    <w:rsid w:val="00C55E81"/>
    <w:rsid w:val="00C561AE"/>
    <w:rsid w:val="00C569DF"/>
    <w:rsid w:val="00C57ACB"/>
    <w:rsid w:val="00C57DF4"/>
    <w:rsid w:val="00C6123F"/>
    <w:rsid w:val="00C617D5"/>
    <w:rsid w:val="00C63357"/>
    <w:rsid w:val="00C63A64"/>
    <w:rsid w:val="00C63D6B"/>
    <w:rsid w:val="00C656C4"/>
    <w:rsid w:val="00C6586D"/>
    <w:rsid w:val="00C666D3"/>
    <w:rsid w:val="00C66745"/>
    <w:rsid w:val="00C66D16"/>
    <w:rsid w:val="00C67476"/>
    <w:rsid w:val="00C7007A"/>
    <w:rsid w:val="00C70909"/>
    <w:rsid w:val="00C7104D"/>
    <w:rsid w:val="00C7163F"/>
    <w:rsid w:val="00C71A39"/>
    <w:rsid w:val="00C72E98"/>
    <w:rsid w:val="00C74327"/>
    <w:rsid w:val="00C77C2A"/>
    <w:rsid w:val="00C81948"/>
    <w:rsid w:val="00C81EE5"/>
    <w:rsid w:val="00C823BB"/>
    <w:rsid w:val="00C8256D"/>
    <w:rsid w:val="00C83129"/>
    <w:rsid w:val="00C8392C"/>
    <w:rsid w:val="00C8504B"/>
    <w:rsid w:val="00C855D9"/>
    <w:rsid w:val="00C87453"/>
    <w:rsid w:val="00C90BDF"/>
    <w:rsid w:val="00C91390"/>
    <w:rsid w:val="00C92FA0"/>
    <w:rsid w:val="00C94864"/>
    <w:rsid w:val="00C94AB6"/>
    <w:rsid w:val="00C95BFA"/>
    <w:rsid w:val="00C97552"/>
    <w:rsid w:val="00C97925"/>
    <w:rsid w:val="00CA05D2"/>
    <w:rsid w:val="00CA1669"/>
    <w:rsid w:val="00CA17DD"/>
    <w:rsid w:val="00CA2E38"/>
    <w:rsid w:val="00CA2E53"/>
    <w:rsid w:val="00CA441A"/>
    <w:rsid w:val="00CA4BB3"/>
    <w:rsid w:val="00CA5C62"/>
    <w:rsid w:val="00CA61E5"/>
    <w:rsid w:val="00CA6243"/>
    <w:rsid w:val="00CA6FB0"/>
    <w:rsid w:val="00CA70A7"/>
    <w:rsid w:val="00CA71BC"/>
    <w:rsid w:val="00CA7501"/>
    <w:rsid w:val="00CB0191"/>
    <w:rsid w:val="00CB0E6B"/>
    <w:rsid w:val="00CB109F"/>
    <w:rsid w:val="00CB1484"/>
    <w:rsid w:val="00CB1A96"/>
    <w:rsid w:val="00CB1DD0"/>
    <w:rsid w:val="00CB28CF"/>
    <w:rsid w:val="00CB5C83"/>
    <w:rsid w:val="00CB5FE5"/>
    <w:rsid w:val="00CB69F2"/>
    <w:rsid w:val="00CB6DE0"/>
    <w:rsid w:val="00CB6F03"/>
    <w:rsid w:val="00CB7445"/>
    <w:rsid w:val="00CC02EB"/>
    <w:rsid w:val="00CC0981"/>
    <w:rsid w:val="00CC1C16"/>
    <w:rsid w:val="00CC20F9"/>
    <w:rsid w:val="00CC2798"/>
    <w:rsid w:val="00CC48A5"/>
    <w:rsid w:val="00CC6075"/>
    <w:rsid w:val="00CC6640"/>
    <w:rsid w:val="00CC6781"/>
    <w:rsid w:val="00CC6A16"/>
    <w:rsid w:val="00CC7467"/>
    <w:rsid w:val="00CD0552"/>
    <w:rsid w:val="00CD0E17"/>
    <w:rsid w:val="00CD1FCB"/>
    <w:rsid w:val="00CD2DE0"/>
    <w:rsid w:val="00CD31BA"/>
    <w:rsid w:val="00CD3BC0"/>
    <w:rsid w:val="00CD5967"/>
    <w:rsid w:val="00CE25F0"/>
    <w:rsid w:val="00CE299A"/>
    <w:rsid w:val="00CE2CEE"/>
    <w:rsid w:val="00CE31C3"/>
    <w:rsid w:val="00CE336C"/>
    <w:rsid w:val="00CE41B5"/>
    <w:rsid w:val="00CE420C"/>
    <w:rsid w:val="00CE4D9B"/>
    <w:rsid w:val="00CE5A8C"/>
    <w:rsid w:val="00CE5ABD"/>
    <w:rsid w:val="00CE61C7"/>
    <w:rsid w:val="00CE634F"/>
    <w:rsid w:val="00CE69F2"/>
    <w:rsid w:val="00CE706E"/>
    <w:rsid w:val="00CF00D4"/>
    <w:rsid w:val="00CF071E"/>
    <w:rsid w:val="00CF0727"/>
    <w:rsid w:val="00CF1F05"/>
    <w:rsid w:val="00CF2712"/>
    <w:rsid w:val="00CF36EF"/>
    <w:rsid w:val="00CF3761"/>
    <w:rsid w:val="00CF39D2"/>
    <w:rsid w:val="00CF3C2A"/>
    <w:rsid w:val="00CF4BC2"/>
    <w:rsid w:val="00CF4DAF"/>
    <w:rsid w:val="00CF4E71"/>
    <w:rsid w:val="00CF55A0"/>
    <w:rsid w:val="00CF5FB9"/>
    <w:rsid w:val="00CF6DD8"/>
    <w:rsid w:val="00CF7D8C"/>
    <w:rsid w:val="00D00E7A"/>
    <w:rsid w:val="00D0113F"/>
    <w:rsid w:val="00D01BC1"/>
    <w:rsid w:val="00D02C3A"/>
    <w:rsid w:val="00D0457F"/>
    <w:rsid w:val="00D05260"/>
    <w:rsid w:val="00D055E9"/>
    <w:rsid w:val="00D05D79"/>
    <w:rsid w:val="00D05E22"/>
    <w:rsid w:val="00D06433"/>
    <w:rsid w:val="00D06B19"/>
    <w:rsid w:val="00D06F1A"/>
    <w:rsid w:val="00D077AE"/>
    <w:rsid w:val="00D078C8"/>
    <w:rsid w:val="00D10552"/>
    <w:rsid w:val="00D1056B"/>
    <w:rsid w:val="00D10F74"/>
    <w:rsid w:val="00D12A4E"/>
    <w:rsid w:val="00D12AF4"/>
    <w:rsid w:val="00D13E87"/>
    <w:rsid w:val="00D1412D"/>
    <w:rsid w:val="00D14875"/>
    <w:rsid w:val="00D14CEE"/>
    <w:rsid w:val="00D15F70"/>
    <w:rsid w:val="00D16979"/>
    <w:rsid w:val="00D16BAC"/>
    <w:rsid w:val="00D17477"/>
    <w:rsid w:val="00D178E8"/>
    <w:rsid w:val="00D200E4"/>
    <w:rsid w:val="00D2193A"/>
    <w:rsid w:val="00D21A57"/>
    <w:rsid w:val="00D230A6"/>
    <w:rsid w:val="00D23431"/>
    <w:rsid w:val="00D235B2"/>
    <w:rsid w:val="00D23854"/>
    <w:rsid w:val="00D250AD"/>
    <w:rsid w:val="00D258BB"/>
    <w:rsid w:val="00D25F76"/>
    <w:rsid w:val="00D26160"/>
    <w:rsid w:val="00D266C5"/>
    <w:rsid w:val="00D266E5"/>
    <w:rsid w:val="00D26BF6"/>
    <w:rsid w:val="00D270D1"/>
    <w:rsid w:val="00D27DFD"/>
    <w:rsid w:val="00D3075E"/>
    <w:rsid w:val="00D30A5B"/>
    <w:rsid w:val="00D30CDE"/>
    <w:rsid w:val="00D31049"/>
    <w:rsid w:val="00D31464"/>
    <w:rsid w:val="00D3325F"/>
    <w:rsid w:val="00D346D4"/>
    <w:rsid w:val="00D3584A"/>
    <w:rsid w:val="00D35CF8"/>
    <w:rsid w:val="00D36070"/>
    <w:rsid w:val="00D36514"/>
    <w:rsid w:val="00D36C7D"/>
    <w:rsid w:val="00D36FBF"/>
    <w:rsid w:val="00D40444"/>
    <w:rsid w:val="00D4076B"/>
    <w:rsid w:val="00D40D44"/>
    <w:rsid w:val="00D425D7"/>
    <w:rsid w:val="00D43824"/>
    <w:rsid w:val="00D4393B"/>
    <w:rsid w:val="00D43AD9"/>
    <w:rsid w:val="00D44CBE"/>
    <w:rsid w:val="00D44D13"/>
    <w:rsid w:val="00D44D2A"/>
    <w:rsid w:val="00D44FAC"/>
    <w:rsid w:val="00D45617"/>
    <w:rsid w:val="00D47E9A"/>
    <w:rsid w:val="00D50023"/>
    <w:rsid w:val="00D5014D"/>
    <w:rsid w:val="00D510DA"/>
    <w:rsid w:val="00D51109"/>
    <w:rsid w:val="00D52AF0"/>
    <w:rsid w:val="00D52E3B"/>
    <w:rsid w:val="00D53511"/>
    <w:rsid w:val="00D54A61"/>
    <w:rsid w:val="00D5535D"/>
    <w:rsid w:val="00D57460"/>
    <w:rsid w:val="00D57AD2"/>
    <w:rsid w:val="00D60656"/>
    <w:rsid w:val="00D6111F"/>
    <w:rsid w:val="00D61791"/>
    <w:rsid w:val="00D61EEA"/>
    <w:rsid w:val="00D627F2"/>
    <w:rsid w:val="00D62B98"/>
    <w:rsid w:val="00D62CEE"/>
    <w:rsid w:val="00D63E3C"/>
    <w:rsid w:val="00D63F85"/>
    <w:rsid w:val="00D6546D"/>
    <w:rsid w:val="00D65B14"/>
    <w:rsid w:val="00D65D0D"/>
    <w:rsid w:val="00D66C40"/>
    <w:rsid w:val="00D70D57"/>
    <w:rsid w:val="00D71A2C"/>
    <w:rsid w:val="00D71E2A"/>
    <w:rsid w:val="00D72483"/>
    <w:rsid w:val="00D727D8"/>
    <w:rsid w:val="00D73B08"/>
    <w:rsid w:val="00D74CBB"/>
    <w:rsid w:val="00D751EB"/>
    <w:rsid w:val="00D75E7A"/>
    <w:rsid w:val="00D76D9A"/>
    <w:rsid w:val="00D77249"/>
    <w:rsid w:val="00D77377"/>
    <w:rsid w:val="00D773C1"/>
    <w:rsid w:val="00D77A92"/>
    <w:rsid w:val="00D77B92"/>
    <w:rsid w:val="00D80FD0"/>
    <w:rsid w:val="00D8104F"/>
    <w:rsid w:val="00D81C77"/>
    <w:rsid w:val="00D81EEC"/>
    <w:rsid w:val="00D8268E"/>
    <w:rsid w:val="00D829CE"/>
    <w:rsid w:val="00D82D0A"/>
    <w:rsid w:val="00D833A5"/>
    <w:rsid w:val="00D84085"/>
    <w:rsid w:val="00D857A8"/>
    <w:rsid w:val="00D8693A"/>
    <w:rsid w:val="00D86977"/>
    <w:rsid w:val="00D86F0F"/>
    <w:rsid w:val="00D87F16"/>
    <w:rsid w:val="00D91433"/>
    <w:rsid w:val="00D91A13"/>
    <w:rsid w:val="00D9288B"/>
    <w:rsid w:val="00D9307E"/>
    <w:rsid w:val="00D95526"/>
    <w:rsid w:val="00D96A88"/>
    <w:rsid w:val="00D96C52"/>
    <w:rsid w:val="00D974F6"/>
    <w:rsid w:val="00D9750E"/>
    <w:rsid w:val="00D976E6"/>
    <w:rsid w:val="00DA0534"/>
    <w:rsid w:val="00DA1831"/>
    <w:rsid w:val="00DA1A45"/>
    <w:rsid w:val="00DA267B"/>
    <w:rsid w:val="00DA45E9"/>
    <w:rsid w:val="00DA53D2"/>
    <w:rsid w:val="00DA560D"/>
    <w:rsid w:val="00DA70B4"/>
    <w:rsid w:val="00DA7B7F"/>
    <w:rsid w:val="00DA7CA8"/>
    <w:rsid w:val="00DA7F6C"/>
    <w:rsid w:val="00DB1CE4"/>
    <w:rsid w:val="00DB2BC7"/>
    <w:rsid w:val="00DB2DE0"/>
    <w:rsid w:val="00DB312B"/>
    <w:rsid w:val="00DB337C"/>
    <w:rsid w:val="00DB5593"/>
    <w:rsid w:val="00DB6102"/>
    <w:rsid w:val="00DB6BF1"/>
    <w:rsid w:val="00DB6CE4"/>
    <w:rsid w:val="00DB6D48"/>
    <w:rsid w:val="00DB7D9F"/>
    <w:rsid w:val="00DC057F"/>
    <w:rsid w:val="00DC0740"/>
    <w:rsid w:val="00DC12A4"/>
    <w:rsid w:val="00DC131E"/>
    <w:rsid w:val="00DC2E29"/>
    <w:rsid w:val="00DC4216"/>
    <w:rsid w:val="00DC44CB"/>
    <w:rsid w:val="00DC44E3"/>
    <w:rsid w:val="00DC5946"/>
    <w:rsid w:val="00DC5A3D"/>
    <w:rsid w:val="00DC63F5"/>
    <w:rsid w:val="00DC6A41"/>
    <w:rsid w:val="00DC7815"/>
    <w:rsid w:val="00DD0FF3"/>
    <w:rsid w:val="00DD1B2F"/>
    <w:rsid w:val="00DD2821"/>
    <w:rsid w:val="00DD28E9"/>
    <w:rsid w:val="00DD3F1D"/>
    <w:rsid w:val="00DD47B6"/>
    <w:rsid w:val="00DD48B3"/>
    <w:rsid w:val="00DD493C"/>
    <w:rsid w:val="00DD4B67"/>
    <w:rsid w:val="00DD4ECD"/>
    <w:rsid w:val="00DD5316"/>
    <w:rsid w:val="00DD6BE6"/>
    <w:rsid w:val="00DD72E5"/>
    <w:rsid w:val="00DD745C"/>
    <w:rsid w:val="00DE0680"/>
    <w:rsid w:val="00DE18A6"/>
    <w:rsid w:val="00DE2140"/>
    <w:rsid w:val="00DE27BA"/>
    <w:rsid w:val="00DE33B3"/>
    <w:rsid w:val="00DE38EC"/>
    <w:rsid w:val="00DE3E4F"/>
    <w:rsid w:val="00DE3FDA"/>
    <w:rsid w:val="00DE5C8C"/>
    <w:rsid w:val="00DE6E96"/>
    <w:rsid w:val="00DE7048"/>
    <w:rsid w:val="00DE763A"/>
    <w:rsid w:val="00DE7B53"/>
    <w:rsid w:val="00DE7B96"/>
    <w:rsid w:val="00DF051F"/>
    <w:rsid w:val="00DF1292"/>
    <w:rsid w:val="00DF2AE1"/>
    <w:rsid w:val="00DF2B48"/>
    <w:rsid w:val="00DF2C5A"/>
    <w:rsid w:val="00DF4333"/>
    <w:rsid w:val="00DF45E4"/>
    <w:rsid w:val="00DF6238"/>
    <w:rsid w:val="00DF6A02"/>
    <w:rsid w:val="00E00252"/>
    <w:rsid w:val="00E003DE"/>
    <w:rsid w:val="00E01EFE"/>
    <w:rsid w:val="00E033EB"/>
    <w:rsid w:val="00E05429"/>
    <w:rsid w:val="00E05491"/>
    <w:rsid w:val="00E05A24"/>
    <w:rsid w:val="00E05B06"/>
    <w:rsid w:val="00E06598"/>
    <w:rsid w:val="00E067A6"/>
    <w:rsid w:val="00E1015E"/>
    <w:rsid w:val="00E10D3C"/>
    <w:rsid w:val="00E11988"/>
    <w:rsid w:val="00E12476"/>
    <w:rsid w:val="00E128C3"/>
    <w:rsid w:val="00E12ECC"/>
    <w:rsid w:val="00E138AF"/>
    <w:rsid w:val="00E14266"/>
    <w:rsid w:val="00E15243"/>
    <w:rsid w:val="00E15833"/>
    <w:rsid w:val="00E161D2"/>
    <w:rsid w:val="00E169F4"/>
    <w:rsid w:val="00E16F9E"/>
    <w:rsid w:val="00E174DA"/>
    <w:rsid w:val="00E21E6F"/>
    <w:rsid w:val="00E22899"/>
    <w:rsid w:val="00E228B8"/>
    <w:rsid w:val="00E23D0C"/>
    <w:rsid w:val="00E23E50"/>
    <w:rsid w:val="00E25382"/>
    <w:rsid w:val="00E253E0"/>
    <w:rsid w:val="00E259E7"/>
    <w:rsid w:val="00E262E2"/>
    <w:rsid w:val="00E27E5B"/>
    <w:rsid w:val="00E30389"/>
    <w:rsid w:val="00E30500"/>
    <w:rsid w:val="00E30E0B"/>
    <w:rsid w:val="00E32226"/>
    <w:rsid w:val="00E328B1"/>
    <w:rsid w:val="00E342F9"/>
    <w:rsid w:val="00E345E6"/>
    <w:rsid w:val="00E3530B"/>
    <w:rsid w:val="00E35525"/>
    <w:rsid w:val="00E3599F"/>
    <w:rsid w:val="00E423BB"/>
    <w:rsid w:val="00E42C74"/>
    <w:rsid w:val="00E438B9"/>
    <w:rsid w:val="00E44823"/>
    <w:rsid w:val="00E44B00"/>
    <w:rsid w:val="00E46EA4"/>
    <w:rsid w:val="00E474BA"/>
    <w:rsid w:val="00E47CE9"/>
    <w:rsid w:val="00E50C51"/>
    <w:rsid w:val="00E50E2F"/>
    <w:rsid w:val="00E5162F"/>
    <w:rsid w:val="00E51B23"/>
    <w:rsid w:val="00E51F9D"/>
    <w:rsid w:val="00E524CB"/>
    <w:rsid w:val="00E527D1"/>
    <w:rsid w:val="00E52D91"/>
    <w:rsid w:val="00E545E4"/>
    <w:rsid w:val="00E54F9F"/>
    <w:rsid w:val="00E54FC8"/>
    <w:rsid w:val="00E5539D"/>
    <w:rsid w:val="00E553F4"/>
    <w:rsid w:val="00E555BF"/>
    <w:rsid w:val="00E55A02"/>
    <w:rsid w:val="00E600CA"/>
    <w:rsid w:val="00E60AA3"/>
    <w:rsid w:val="00E61D18"/>
    <w:rsid w:val="00E61EC7"/>
    <w:rsid w:val="00E62302"/>
    <w:rsid w:val="00E6275C"/>
    <w:rsid w:val="00E63CF3"/>
    <w:rsid w:val="00E64101"/>
    <w:rsid w:val="00E642E3"/>
    <w:rsid w:val="00E647C6"/>
    <w:rsid w:val="00E64A75"/>
    <w:rsid w:val="00E6516A"/>
    <w:rsid w:val="00E65CA7"/>
    <w:rsid w:val="00E66CB8"/>
    <w:rsid w:val="00E67565"/>
    <w:rsid w:val="00E67E9F"/>
    <w:rsid w:val="00E67F84"/>
    <w:rsid w:val="00E70EA2"/>
    <w:rsid w:val="00E715FF"/>
    <w:rsid w:val="00E71B79"/>
    <w:rsid w:val="00E72CEC"/>
    <w:rsid w:val="00E73CC1"/>
    <w:rsid w:val="00E74706"/>
    <w:rsid w:val="00E75736"/>
    <w:rsid w:val="00E75F05"/>
    <w:rsid w:val="00E76617"/>
    <w:rsid w:val="00E76ADB"/>
    <w:rsid w:val="00E76BAC"/>
    <w:rsid w:val="00E76C13"/>
    <w:rsid w:val="00E76EC2"/>
    <w:rsid w:val="00E76FA4"/>
    <w:rsid w:val="00E7794A"/>
    <w:rsid w:val="00E8015D"/>
    <w:rsid w:val="00E80D27"/>
    <w:rsid w:val="00E83653"/>
    <w:rsid w:val="00E83EA1"/>
    <w:rsid w:val="00E83FAA"/>
    <w:rsid w:val="00E8473F"/>
    <w:rsid w:val="00E85BEA"/>
    <w:rsid w:val="00E85D29"/>
    <w:rsid w:val="00E8697F"/>
    <w:rsid w:val="00E87698"/>
    <w:rsid w:val="00E877B4"/>
    <w:rsid w:val="00E87FDA"/>
    <w:rsid w:val="00E90004"/>
    <w:rsid w:val="00E9098E"/>
    <w:rsid w:val="00E90D5D"/>
    <w:rsid w:val="00E912A3"/>
    <w:rsid w:val="00E91E2D"/>
    <w:rsid w:val="00E945FB"/>
    <w:rsid w:val="00E951A6"/>
    <w:rsid w:val="00E95839"/>
    <w:rsid w:val="00E97396"/>
    <w:rsid w:val="00EA039B"/>
    <w:rsid w:val="00EA0E55"/>
    <w:rsid w:val="00EA1279"/>
    <w:rsid w:val="00EA1457"/>
    <w:rsid w:val="00EA30A6"/>
    <w:rsid w:val="00EA3FAA"/>
    <w:rsid w:val="00EA4E24"/>
    <w:rsid w:val="00EA66E1"/>
    <w:rsid w:val="00EA69B6"/>
    <w:rsid w:val="00EB1364"/>
    <w:rsid w:val="00EB15F0"/>
    <w:rsid w:val="00EB17DA"/>
    <w:rsid w:val="00EB273D"/>
    <w:rsid w:val="00EB2D26"/>
    <w:rsid w:val="00EB306E"/>
    <w:rsid w:val="00EB48A8"/>
    <w:rsid w:val="00EB4D67"/>
    <w:rsid w:val="00EB563B"/>
    <w:rsid w:val="00EB5E79"/>
    <w:rsid w:val="00EB67CA"/>
    <w:rsid w:val="00EB77FA"/>
    <w:rsid w:val="00EC01A9"/>
    <w:rsid w:val="00EC08AF"/>
    <w:rsid w:val="00EC0AF6"/>
    <w:rsid w:val="00EC1B83"/>
    <w:rsid w:val="00EC1F59"/>
    <w:rsid w:val="00EC30C4"/>
    <w:rsid w:val="00EC30CC"/>
    <w:rsid w:val="00EC3688"/>
    <w:rsid w:val="00EC59F0"/>
    <w:rsid w:val="00EC5E85"/>
    <w:rsid w:val="00EC604A"/>
    <w:rsid w:val="00EC61D9"/>
    <w:rsid w:val="00EC7317"/>
    <w:rsid w:val="00EC7E71"/>
    <w:rsid w:val="00EC7F4C"/>
    <w:rsid w:val="00ED0A2D"/>
    <w:rsid w:val="00ED1B8E"/>
    <w:rsid w:val="00ED21E7"/>
    <w:rsid w:val="00ED22AE"/>
    <w:rsid w:val="00ED2F89"/>
    <w:rsid w:val="00ED2FCF"/>
    <w:rsid w:val="00ED3323"/>
    <w:rsid w:val="00ED3481"/>
    <w:rsid w:val="00ED37ED"/>
    <w:rsid w:val="00ED489B"/>
    <w:rsid w:val="00ED5137"/>
    <w:rsid w:val="00ED5755"/>
    <w:rsid w:val="00ED646E"/>
    <w:rsid w:val="00ED741E"/>
    <w:rsid w:val="00EE0AB3"/>
    <w:rsid w:val="00EE1100"/>
    <w:rsid w:val="00EE2311"/>
    <w:rsid w:val="00EE27EF"/>
    <w:rsid w:val="00EE33D7"/>
    <w:rsid w:val="00EE4A68"/>
    <w:rsid w:val="00EE4B65"/>
    <w:rsid w:val="00EE5079"/>
    <w:rsid w:val="00EE593B"/>
    <w:rsid w:val="00EE775F"/>
    <w:rsid w:val="00EF04E7"/>
    <w:rsid w:val="00EF1A13"/>
    <w:rsid w:val="00EF34EF"/>
    <w:rsid w:val="00EF422C"/>
    <w:rsid w:val="00EF4A84"/>
    <w:rsid w:val="00EF5B5B"/>
    <w:rsid w:val="00EF6038"/>
    <w:rsid w:val="00EF62D3"/>
    <w:rsid w:val="00EF65D4"/>
    <w:rsid w:val="00EF6D2F"/>
    <w:rsid w:val="00EF6DD2"/>
    <w:rsid w:val="00EF7B03"/>
    <w:rsid w:val="00F00256"/>
    <w:rsid w:val="00F03C4B"/>
    <w:rsid w:val="00F03CF6"/>
    <w:rsid w:val="00F0519A"/>
    <w:rsid w:val="00F05298"/>
    <w:rsid w:val="00F05C14"/>
    <w:rsid w:val="00F06ABC"/>
    <w:rsid w:val="00F07504"/>
    <w:rsid w:val="00F07567"/>
    <w:rsid w:val="00F10354"/>
    <w:rsid w:val="00F1115C"/>
    <w:rsid w:val="00F153C6"/>
    <w:rsid w:val="00F155BD"/>
    <w:rsid w:val="00F15659"/>
    <w:rsid w:val="00F16857"/>
    <w:rsid w:val="00F16D7B"/>
    <w:rsid w:val="00F17FD3"/>
    <w:rsid w:val="00F20261"/>
    <w:rsid w:val="00F20689"/>
    <w:rsid w:val="00F20AD1"/>
    <w:rsid w:val="00F20DC5"/>
    <w:rsid w:val="00F2131D"/>
    <w:rsid w:val="00F215D2"/>
    <w:rsid w:val="00F217D4"/>
    <w:rsid w:val="00F2259D"/>
    <w:rsid w:val="00F2262D"/>
    <w:rsid w:val="00F2273E"/>
    <w:rsid w:val="00F22AE3"/>
    <w:rsid w:val="00F23F7D"/>
    <w:rsid w:val="00F26306"/>
    <w:rsid w:val="00F27207"/>
    <w:rsid w:val="00F3060C"/>
    <w:rsid w:val="00F31372"/>
    <w:rsid w:val="00F3188B"/>
    <w:rsid w:val="00F320CE"/>
    <w:rsid w:val="00F32296"/>
    <w:rsid w:val="00F32638"/>
    <w:rsid w:val="00F33854"/>
    <w:rsid w:val="00F33CC0"/>
    <w:rsid w:val="00F34141"/>
    <w:rsid w:val="00F346A3"/>
    <w:rsid w:val="00F34BBE"/>
    <w:rsid w:val="00F34FE0"/>
    <w:rsid w:val="00F35B6D"/>
    <w:rsid w:val="00F36A15"/>
    <w:rsid w:val="00F377DC"/>
    <w:rsid w:val="00F40B5B"/>
    <w:rsid w:val="00F4121F"/>
    <w:rsid w:val="00F417CB"/>
    <w:rsid w:val="00F41B4C"/>
    <w:rsid w:val="00F41BF6"/>
    <w:rsid w:val="00F41CA6"/>
    <w:rsid w:val="00F427ED"/>
    <w:rsid w:val="00F427FC"/>
    <w:rsid w:val="00F42B59"/>
    <w:rsid w:val="00F4340B"/>
    <w:rsid w:val="00F449FC"/>
    <w:rsid w:val="00F44C99"/>
    <w:rsid w:val="00F44D3B"/>
    <w:rsid w:val="00F45F0A"/>
    <w:rsid w:val="00F46375"/>
    <w:rsid w:val="00F470B4"/>
    <w:rsid w:val="00F500B1"/>
    <w:rsid w:val="00F511FC"/>
    <w:rsid w:val="00F513DD"/>
    <w:rsid w:val="00F51F72"/>
    <w:rsid w:val="00F52F5B"/>
    <w:rsid w:val="00F53566"/>
    <w:rsid w:val="00F5374E"/>
    <w:rsid w:val="00F53DDA"/>
    <w:rsid w:val="00F53ED1"/>
    <w:rsid w:val="00F54532"/>
    <w:rsid w:val="00F5458A"/>
    <w:rsid w:val="00F54B0F"/>
    <w:rsid w:val="00F54CE3"/>
    <w:rsid w:val="00F55822"/>
    <w:rsid w:val="00F56832"/>
    <w:rsid w:val="00F6005E"/>
    <w:rsid w:val="00F6189B"/>
    <w:rsid w:val="00F63C70"/>
    <w:rsid w:val="00F64154"/>
    <w:rsid w:val="00F64945"/>
    <w:rsid w:val="00F64D4C"/>
    <w:rsid w:val="00F6549B"/>
    <w:rsid w:val="00F65C9D"/>
    <w:rsid w:val="00F65F20"/>
    <w:rsid w:val="00F66494"/>
    <w:rsid w:val="00F664B2"/>
    <w:rsid w:val="00F700E3"/>
    <w:rsid w:val="00F702DD"/>
    <w:rsid w:val="00F703AD"/>
    <w:rsid w:val="00F70ECD"/>
    <w:rsid w:val="00F7120A"/>
    <w:rsid w:val="00F715CF"/>
    <w:rsid w:val="00F71E0C"/>
    <w:rsid w:val="00F720E2"/>
    <w:rsid w:val="00F736CB"/>
    <w:rsid w:val="00F73FAA"/>
    <w:rsid w:val="00F74E71"/>
    <w:rsid w:val="00F75D23"/>
    <w:rsid w:val="00F767DF"/>
    <w:rsid w:val="00F76C94"/>
    <w:rsid w:val="00F76CDC"/>
    <w:rsid w:val="00F8315C"/>
    <w:rsid w:val="00F84219"/>
    <w:rsid w:val="00F84A72"/>
    <w:rsid w:val="00F8506F"/>
    <w:rsid w:val="00F854C8"/>
    <w:rsid w:val="00F8594D"/>
    <w:rsid w:val="00F86012"/>
    <w:rsid w:val="00F8643A"/>
    <w:rsid w:val="00F866A8"/>
    <w:rsid w:val="00F87E20"/>
    <w:rsid w:val="00F91887"/>
    <w:rsid w:val="00F91BD8"/>
    <w:rsid w:val="00F92E71"/>
    <w:rsid w:val="00F9319F"/>
    <w:rsid w:val="00F935A4"/>
    <w:rsid w:val="00F938B4"/>
    <w:rsid w:val="00F94247"/>
    <w:rsid w:val="00F9437D"/>
    <w:rsid w:val="00F946D9"/>
    <w:rsid w:val="00F94C14"/>
    <w:rsid w:val="00F94F37"/>
    <w:rsid w:val="00F94FFE"/>
    <w:rsid w:val="00F96A56"/>
    <w:rsid w:val="00F96DA8"/>
    <w:rsid w:val="00F97BDF"/>
    <w:rsid w:val="00FA0183"/>
    <w:rsid w:val="00FA14C0"/>
    <w:rsid w:val="00FA153E"/>
    <w:rsid w:val="00FA178E"/>
    <w:rsid w:val="00FA278D"/>
    <w:rsid w:val="00FA3154"/>
    <w:rsid w:val="00FA320E"/>
    <w:rsid w:val="00FA537A"/>
    <w:rsid w:val="00FA597D"/>
    <w:rsid w:val="00FA5F16"/>
    <w:rsid w:val="00FA74C5"/>
    <w:rsid w:val="00FA79C7"/>
    <w:rsid w:val="00FA7CDB"/>
    <w:rsid w:val="00FB1E63"/>
    <w:rsid w:val="00FB32C2"/>
    <w:rsid w:val="00FB38AF"/>
    <w:rsid w:val="00FB5225"/>
    <w:rsid w:val="00FB5B3F"/>
    <w:rsid w:val="00FB5CD0"/>
    <w:rsid w:val="00FB63C7"/>
    <w:rsid w:val="00FB71C4"/>
    <w:rsid w:val="00FB7358"/>
    <w:rsid w:val="00FB7A3C"/>
    <w:rsid w:val="00FB7D1A"/>
    <w:rsid w:val="00FC0C89"/>
    <w:rsid w:val="00FC1EC1"/>
    <w:rsid w:val="00FC22A6"/>
    <w:rsid w:val="00FC3C97"/>
    <w:rsid w:val="00FC45BD"/>
    <w:rsid w:val="00FC478E"/>
    <w:rsid w:val="00FC5F24"/>
    <w:rsid w:val="00FC614C"/>
    <w:rsid w:val="00FC717E"/>
    <w:rsid w:val="00FC746B"/>
    <w:rsid w:val="00FC7955"/>
    <w:rsid w:val="00FD09CF"/>
    <w:rsid w:val="00FD0A93"/>
    <w:rsid w:val="00FD196D"/>
    <w:rsid w:val="00FD1D94"/>
    <w:rsid w:val="00FD2302"/>
    <w:rsid w:val="00FD304B"/>
    <w:rsid w:val="00FD4B8D"/>
    <w:rsid w:val="00FD50CA"/>
    <w:rsid w:val="00FD6886"/>
    <w:rsid w:val="00FD6A18"/>
    <w:rsid w:val="00FD7F50"/>
    <w:rsid w:val="00FE005E"/>
    <w:rsid w:val="00FE0E66"/>
    <w:rsid w:val="00FE16F0"/>
    <w:rsid w:val="00FE1755"/>
    <w:rsid w:val="00FE1819"/>
    <w:rsid w:val="00FE1B91"/>
    <w:rsid w:val="00FE1DB5"/>
    <w:rsid w:val="00FE28B8"/>
    <w:rsid w:val="00FE2B7D"/>
    <w:rsid w:val="00FE39BB"/>
    <w:rsid w:val="00FE3AFF"/>
    <w:rsid w:val="00FE3B8D"/>
    <w:rsid w:val="00FE4E08"/>
    <w:rsid w:val="00FE5B21"/>
    <w:rsid w:val="00FE5DDF"/>
    <w:rsid w:val="00FE5FEB"/>
    <w:rsid w:val="00FE6B12"/>
    <w:rsid w:val="00FE780D"/>
    <w:rsid w:val="00FE7D09"/>
    <w:rsid w:val="00FF424C"/>
    <w:rsid w:val="00FF4DE0"/>
    <w:rsid w:val="00FF636D"/>
    <w:rsid w:val="00FF64F2"/>
    <w:rsid w:val="00FF6C7B"/>
    <w:rsid w:val="00FF748B"/>
    <w:rsid w:val="01031673"/>
    <w:rsid w:val="015A2F9D"/>
    <w:rsid w:val="016B2414"/>
    <w:rsid w:val="017834BC"/>
    <w:rsid w:val="019B6E5B"/>
    <w:rsid w:val="01A572C2"/>
    <w:rsid w:val="01AA7E2D"/>
    <w:rsid w:val="0223372C"/>
    <w:rsid w:val="024E7BB8"/>
    <w:rsid w:val="02724107"/>
    <w:rsid w:val="02873BB9"/>
    <w:rsid w:val="028B00DF"/>
    <w:rsid w:val="02A12EA7"/>
    <w:rsid w:val="03134554"/>
    <w:rsid w:val="036411A9"/>
    <w:rsid w:val="036909A2"/>
    <w:rsid w:val="03770B2F"/>
    <w:rsid w:val="037E62D4"/>
    <w:rsid w:val="03A109C8"/>
    <w:rsid w:val="03B32626"/>
    <w:rsid w:val="03C44E26"/>
    <w:rsid w:val="044847DB"/>
    <w:rsid w:val="044E4D07"/>
    <w:rsid w:val="048E4E2C"/>
    <w:rsid w:val="04920992"/>
    <w:rsid w:val="04A520D3"/>
    <w:rsid w:val="055F2BD0"/>
    <w:rsid w:val="05812923"/>
    <w:rsid w:val="05876C93"/>
    <w:rsid w:val="05CE051B"/>
    <w:rsid w:val="05F186D1"/>
    <w:rsid w:val="05F53D8C"/>
    <w:rsid w:val="061C162C"/>
    <w:rsid w:val="061C7244"/>
    <w:rsid w:val="066D02E7"/>
    <w:rsid w:val="07240178"/>
    <w:rsid w:val="073A3B94"/>
    <w:rsid w:val="073D00B1"/>
    <w:rsid w:val="07517424"/>
    <w:rsid w:val="078C5B39"/>
    <w:rsid w:val="07BA496F"/>
    <w:rsid w:val="07D7585B"/>
    <w:rsid w:val="07FE3355"/>
    <w:rsid w:val="083C630F"/>
    <w:rsid w:val="0842770C"/>
    <w:rsid w:val="0880670A"/>
    <w:rsid w:val="08C25FDC"/>
    <w:rsid w:val="08F905C3"/>
    <w:rsid w:val="09372EA4"/>
    <w:rsid w:val="09991DF2"/>
    <w:rsid w:val="0A305AF7"/>
    <w:rsid w:val="0A3D0E73"/>
    <w:rsid w:val="0AB045B2"/>
    <w:rsid w:val="0AC576BE"/>
    <w:rsid w:val="0AEF24C8"/>
    <w:rsid w:val="0B515336"/>
    <w:rsid w:val="0B660459"/>
    <w:rsid w:val="0B7E6A92"/>
    <w:rsid w:val="0B8C1EB1"/>
    <w:rsid w:val="0BA76793"/>
    <w:rsid w:val="0C0B1806"/>
    <w:rsid w:val="0C4B4CC5"/>
    <w:rsid w:val="0C6002A2"/>
    <w:rsid w:val="0C7F00FE"/>
    <w:rsid w:val="0C803340"/>
    <w:rsid w:val="0CE11D04"/>
    <w:rsid w:val="0CE403CA"/>
    <w:rsid w:val="0D66338C"/>
    <w:rsid w:val="0D83493F"/>
    <w:rsid w:val="0DA60AB5"/>
    <w:rsid w:val="0DAA0122"/>
    <w:rsid w:val="0DAD20B0"/>
    <w:rsid w:val="0E2B27FF"/>
    <w:rsid w:val="0EEE3A8A"/>
    <w:rsid w:val="0F1738A1"/>
    <w:rsid w:val="0F653D3B"/>
    <w:rsid w:val="0F7C18C3"/>
    <w:rsid w:val="0F8A0EB4"/>
    <w:rsid w:val="0FB16810"/>
    <w:rsid w:val="0FC301A2"/>
    <w:rsid w:val="102B2AA8"/>
    <w:rsid w:val="106B4B1A"/>
    <w:rsid w:val="10714446"/>
    <w:rsid w:val="107E671F"/>
    <w:rsid w:val="10B03A48"/>
    <w:rsid w:val="11294667"/>
    <w:rsid w:val="113E2276"/>
    <w:rsid w:val="11904724"/>
    <w:rsid w:val="11A025A1"/>
    <w:rsid w:val="11A45C3D"/>
    <w:rsid w:val="11C25DB7"/>
    <w:rsid w:val="11E55183"/>
    <w:rsid w:val="121D7032"/>
    <w:rsid w:val="124401BA"/>
    <w:rsid w:val="125D3136"/>
    <w:rsid w:val="125E66E4"/>
    <w:rsid w:val="12BF1861"/>
    <w:rsid w:val="13000B05"/>
    <w:rsid w:val="136C166A"/>
    <w:rsid w:val="13793BFE"/>
    <w:rsid w:val="13881016"/>
    <w:rsid w:val="1393078D"/>
    <w:rsid w:val="13A75F56"/>
    <w:rsid w:val="13AC16D1"/>
    <w:rsid w:val="13AC7923"/>
    <w:rsid w:val="13BC5284"/>
    <w:rsid w:val="14277A2E"/>
    <w:rsid w:val="145A16C6"/>
    <w:rsid w:val="14B3232E"/>
    <w:rsid w:val="14E607E9"/>
    <w:rsid w:val="15556A44"/>
    <w:rsid w:val="156D7617"/>
    <w:rsid w:val="15782045"/>
    <w:rsid w:val="15AF35F5"/>
    <w:rsid w:val="15FE489C"/>
    <w:rsid w:val="161F4683"/>
    <w:rsid w:val="165C75B9"/>
    <w:rsid w:val="167116DE"/>
    <w:rsid w:val="167D4E04"/>
    <w:rsid w:val="167D7483"/>
    <w:rsid w:val="16B52C7E"/>
    <w:rsid w:val="177E673D"/>
    <w:rsid w:val="17B02D5B"/>
    <w:rsid w:val="17D276F8"/>
    <w:rsid w:val="17F27F0E"/>
    <w:rsid w:val="184A3AAF"/>
    <w:rsid w:val="187D5CFC"/>
    <w:rsid w:val="188361BF"/>
    <w:rsid w:val="188400AA"/>
    <w:rsid w:val="19477264"/>
    <w:rsid w:val="195E21C5"/>
    <w:rsid w:val="19A42F63"/>
    <w:rsid w:val="19C46D56"/>
    <w:rsid w:val="19D90D46"/>
    <w:rsid w:val="19E53D51"/>
    <w:rsid w:val="19F23FD0"/>
    <w:rsid w:val="1A0E783C"/>
    <w:rsid w:val="1A2024D1"/>
    <w:rsid w:val="1A8353BC"/>
    <w:rsid w:val="1AB10FCD"/>
    <w:rsid w:val="1ACE4F42"/>
    <w:rsid w:val="1AE53164"/>
    <w:rsid w:val="1AFD0547"/>
    <w:rsid w:val="1B101C96"/>
    <w:rsid w:val="1B231BC3"/>
    <w:rsid w:val="1B372A94"/>
    <w:rsid w:val="1B3939DF"/>
    <w:rsid w:val="1B744A16"/>
    <w:rsid w:val="1B8B2B71"/>
    <w:rsid w:val="1BAD66BE"/>
    <w:rsid w:val="1BBC1952"/>
    <w:rsid w:val="1BDA3F76"/>
    <w:rsid w:val="1BE36C4D"/>
    <w:rsid w:val="1C1C5CEC"/>
    <w:rsid w:val="1C5706D9"/>
    <w:rsid w:val="1CD8293A"/>
    <w:rsid w:val="1CD96BE2"/>
    <w:rsid w:val="1CF45F16"/>
    <w:rsid w:val="1D2812AE"/>
    <w:rsid w:val="1D4D5877"/>
    <w:rsid w:val="1D590B44"/>
    <w:rsid w:val="1DDC7B43"/>
    <w:rsid w:val="1DEC9A83"/>
    <w:rsid w:val="1E4D32E3"/>
    <w:rsid w:val="1E5C118E"/>
    <w:rsid w:val="1E5E3272"/>
    <w:rsid w:val="1E875225"/>
    <w:rsid w:val="1EAE123E"/>
    <w:rsid w:val="1EB97598"/>
    <w:rsid w:val="1F07796A"/>
    <w:rsid w:val="1F54662A"/>
    <w:rsid w:val="1FA56B94"/>
    <w:rsid w:val="1FD97001"/>
    <w:rsid w:val="201B00B0"/>
    <w:rsid w:val="20571A9E"/>
    <w:rsid w:val="205A2AE6"/>
    <w:rsid w:val="20A4177A"/>
    <w:rsid w:val="20AA0BD6"/>
    <w:rsid w:val="20BF70D3"/>
    <w:rsid w:val="20E7310B"/>
    <w:rsid w:val="21343C17"/>
    <w:rsid w:val="21874AFF"/>
    <w:rsid w:val="21AE40F9"/>
    <w:rsid w:val="22B04D29"/>
    <w:rsid w:val="22F10571"/>
    <w:rsid w:val="233A315C"/>
    <w:rsid w:val="236D2D45"/>
    <w:rsid w:val="239E30F5"/>
    <w:rsid w:val="23CA4AEC"/>
    <w:rsid w:val="23DC2E61"/>
    <w:rsid w:val="24036136"/>
    <w:rsid w:val="24D92454"/>
    <w:rsid w:val="24EB799F"/>
    <w:rsid w:val="252A07EB"/>
    <w:rsid w:val="2535371B"/>
    <w:rsid w:val="25450FC9"/>
    <w:rsid w:val="254A6A83"/>
    <w:rsid w:val="25CB11E0"/>
    <w:rsid w:val="25D54FCA"/>
    <w:rsid w:val="26166BD4"/>
    <w:rsid w:val="267454C1"/>
    <w:rsid w:val="26B22BED"/>
    <w:rsid w:val="26D94183"/>
    <w:rsid w:val="26FD297B"/>
    <w:rsid w:val="272F17CB"/>
    <w:rsid w:val="27315DD3"/>
    <w:rsid w:val="275013D5"/>
    <w:rsid w:val="27A977C5"/>
    <w:rsid w:val="28390822"/>
    <w:rsid w:val="289664D5"/>
    <w:rsid w:val="28D24539"/>
    <w:rsid w:val="2947366F"/>
    <w:rsid w:val="29B6081C"/>
    <w:rsid w:val="2A092A3C"/>
    <w:rsid w:val="2A2C58AE"/>
    <w:rsid w:val="2A577D69"/>
    <w:rsid w:val="2A88580B"/>
    <w:rsid w:val="2A9F5945"/>
    <w:rsid w:val="2AA00F59"/>
    <w:rsid w:val="2AD920D9"/>
    <w:rsid w:val="2B6A7885"/>
    <w:rsid w:val="2BC57D4F"/>
    <w:rsid w:val="2BE41B4A"/>
    <w:rsid w:val="2BF00B4C"/>
    <w:rsid w:val="2C137599"/>
    <w:rsid w:val="2C9A52DB"/>
    <w:rsid w:val="2CD234CF"/>
    <w:rsid w:val="2D1C25B9"/>
    <w:rsid w:val="2D224814"/>
    <w:rsid w:val="2D290A26"/>
    <w:rsid w:val="2D3B1ABA"/>
    <w:rsid w:val="2D995012"/>
    <w:rsid w:val="2DD77B0B"/>
    <w:rsid w:val="2E167AB8"/>
    <w:rsid w:val="2E416E2A"/>
    <w:rsid w:val="2E6D24D3"/>
    <w:rsid w:val="2E7B70DC"/>
    <w:rsid w:val="2EDD5573"/>
    <w:rsid w:val="2F707A67"/>
    <w:rsid w:val="2FA72901"/>
    <w:rsid w:val="2FAE1404"/>
    <w:rsid w:val="2FAE2AF9"/>
    <w:rsid w:val="2FB7186F"/>
    <w:rsid w:val="2FCA7E7D"/>
    <w:rsid w:val="2FF84ACE"/>
    <w:rsid w:val="301B6F89"/>
    <w:rsid w:val="30234019"/>
    <w:rsid w:val="30C45EC8"/>
    <w:rsid w:val="30E772EF"/>
    <w:rsid w:val="30F4754C"/>
    <w:rsid w:val="312F5073"/>
    <w:rsid w:val="3172701E"/>
    <w:rsid w:val="317E6003"/>
    <w:rsid w:val="318F1CB4"/>
    <w:rsid w:val="31BB1DAB"/>
    <w:rsid w:val="31CD7699"/>
    <w:rsid w:val="320F2A7B"/>
    <w:rsid w:val="324C3F04"/>
    <w:rsid w:val="326B5D90"/>
    <w:rsid w:val="328021DE"/>
    <w:rsid w:val="328107C5"/>
    <w:rsid w:val="328323C6"/>
    <w:rsid w:val="3286219E"/>
    <w:rsid w:val="32BC205E"/>
    <w:rsid w:val="337D24B6"/>
    <w:rsid w:val="33863EA5"/>
    <w:rsid w:val="33AC21EB"/>
    <w:rsid w:val="33E42A56"/>
    <w:rsid w:val="341A77C9"/>
    <w:rsid w:val="345362A0"/>
    <w:rsid w:val="34F503D1"/>
    <w:rsid w:val="35104918"/>
    <w:rsid w:val="351C0EE5"/>
    <w:rsid w:val="3545073D"/>
    <w:rsid w:val="356E45E1"/>
    <w:rsid w:val="360B4F40"/>
    <w:rsid w:val="3610620E"/>
    <w:rsid w:val="363B3D8B"/>
    <w:rsid w:val="36AF433D"/>
    <w:rsid w:val="36B43330"/>
    <w:rsid w:val="371A6C37"/>
    <w:rsid w:val="376D3D8A"/>
    <w:rsid w:val="377F85F7"/>
    <w:rsid w:val="3796167F"/>
    <w:rsid w:val="37A313FC"/>
    <w:rsid w:val="37C67E4C"/>
    <w:rsid w:val="37D10366"/>
    <w:rsid w:val="38563836"/>
    <w:rsid w:val="38634262"/>
    <w:rsid w:val="386C7793"/>
    <w:rsid w:val="39361621"/>
    <w:rsid w:val="39A03481"/>
    <w:rsid w:val="3A0A5A94"/>
    <w:rsid w:val="3A0E6C6E"/>
    <w:rsid w:val="3A2122C5"/>
    <w:rsid w:val="3A2908E1"/>
    <w:rsid w:val="3A2E75F3"/>
    <w:rsid w:val="3A3A3961"/>
    <w:rsid w:val="3A3DCE49"/>
    <w:rsid w:val="3A5E059F"/>
    <w:rsid w:val="3A712BA9"/>
    <w:rsid w:val="3AF51D2E"/>
    <w:rsid w:val="3B023329"/>
    <w:rsid w:val="3B0502BE"/>
    <w:rsid w:val="3B1E672F"/>
    <w:rsid w:val="3B7F431D"/>
    <w:rsid w:val="3B7F5CF5"/>
    <w:rsid w:val="3B8B3A23"/>
    <w:rsid w:val="3B990D34"/>
    <w:rsid w:val="3BF10E30"/>
    <w:rsid w:val="3C213FF7"/>
    <w:rsid w:val="3C30419D"/>
    <w:rsid w:val="3C3834BC"/>
    <w:rsid w:val="3C616837"/>
    <w:rsid w:val="3CE24B4C"/>
    <w:rsid w:val="3D73A09B"/>
    <w:rsid w:val="3D8F4E1F"/>
    <w:rsid w:val="3DDE3401"/>
    <w:rsid w:val="3E025257"/>
    <w:rsid w:val="3E3F2FCA"/>
    <w:rsid w:val="3E8A2508"/>
    <w:rsid w:val="3E98686A"/>
    <w:rsid w:val="3EAC3B39"/>
    <w:rsid w:val="3EE17BD1"/>
    <w:rsid w:val="3EE86984"/>
    <w:rsid w:val="3F11417D"/>
    <w:rsid w:val="3F1B309B"/>
    <w:rsid w:val="3F3361BD"/>
    <w:rsid w:val="3F3436FB"/>
    <w:rsid w:val="3F6648D9"/>
    <w:rsid w:val="3F755890"/>
    <w:rsid w:val="3F9C4EB3"/>
    <w:rsid w:val="3FE33CB2"/>
    <w:rsid w:val="3FEF8F70"/>
    <w:rsid w:val="402A221D"/>
    <w:rsid w:val="40733E91"/>
    <w:rsid w:val="40766E08"/>
    <w:rsid w:val="40B83554"/>
    <w:rsid w:val="40DB4042"/>
    <w:rsid w:val="40E373B2"/>
    <w:rsid w:val="40F45458"/>
    <w:rsid w:val="40FD63BF"/>
    <w:rsid w:val="411419D0"/>
    <w:rsid w:val="416D20C1"/>
    <w:rsid w:val="41744039"/>
    <w:rsid w:val="4220325F"/>
    <w:rsid w:val="424A3412"/>
    <w:rsid w:val="427C6750"/>
    <w:rsid w:val="428A71F0"/>
    <w:rsid w:val="4294306C"/>
    <w:rsid w:val="42AD5460"/>
    <w:rsid w:val="42BA6C0A"/>
    <w:rsid w:val="42E64558"/>
    <w:rsid w:val="43153834"/>
    <w:rsid w:val="43226E7B"/>
    <w:rsid w:val="434F77FF"/>
    <w:rsid w:val="43672D9B"/>
    <w:rsid w:val="437C064B"/>
    <w:rsid w:val="43950263"/>
    <w:rsid w:val="43964FA2"/>
    <w:rsid w:val="43C053B1"/>
    <w:rsid w:val="443C5B8E"/>
    <w:rsid w:val="448771F8"/>
    <w:rsid w:val="44BC72E2"/>
    <w:rsid w:val="44E956C1"/>
    <w:rsid w:val="44EE7AE3"/>
    <w:rsid w:val="451929A3"/>
    <w:rsid w:val="454C34AC"/>
    <w:rsid w:val="45902473"/>
    <w:rsid w:val="45AF66F3"/>
    <w:rsid w:val="45F020BA"/>
    <w:rsid w:val="45F67B77"/>
    <w:rsid w:val="4614088C"/>
    <w:rsid w:val="461F261F"/>
    <w:rsid w:val="463D180C"/>
    <w:rsid w:val="465157C7"/>
    <w:rsid w:val="46524C3B"/>
    <w:rsid w:val="46A43BC1"/>
    <w:rsid w:val="476A6995"/>
    <w:rsid w:val="47DD590B"/>
    <w:rsid w:val="47E063AC"/>
    <w:rsid w:val="47E61E54"/>
    <w:rsid w:val="47EE579B"/>
    <w:rsid w:val="481351B0"/>
    <w:rsid w:val="48622A3D"/>
    <w:rsid w:val="4867497F"/>
    <w:rsid w:val="487E577F"/>
    <w:rsid w:val="48857B56"/>
    <w:rsid w:val="48A40D33"/>
    <w:rsid w:val="48CC36A0"/>
    <w:rsid w:val="49071B2A"/>
    <w:rsid w:val="490B2684"/>
    <w:rsid w:val="491054AA"/>
    <w:rsid w:val="491A508E"/>
    <w:rsid w:val="4974451A"/>
    <w:rsid w:val="49E7590E"/>
    <w:rsid w:val="4A037229"/>
    <w:rsid w:val="4A14355C"/>
    <w:rsid w:val="4A3D1F42"/>
    <w:rsid w:val="4A523EC6"/>
    <w:rsid w:val="4A8600EE"/>
    <w:rsid w:val="4AAA0E60"/>
    <w:rsid w:val="4AEA6C89"/>
    <w:rsid w:val="4AEC533E"/>
    <w:rsid w:val="4B3D39E3"/>
    <w:rsid w:val="4B402DCD"/>
    <w:rsid w:val="4B977F95"/>
    <w:rsid w:val="4B9832C2"/>
    <w:rsid w:val="4BE54CF1"/>
    <w:rsid w:val="4BF432B8"/>
    <w:rsid w:val="4C0203D7"/>
    <w:rsid w:val="4C2265CD"/>
    <w:rsid w:val="4C3A5D98"/>
    <w:rsid w:val="4C4D2D4A"/>
    <w:rsid w:val="4C8011B4"/>
    <w:rsid w:val="4CA31E28"/>
    <w:rsid w:val="4CB7107B"/>
    <w:rsid w:val="4CBB7E1C"/>
    <w:rsid w:val="4DD17574"/>
    <w:rsid w:val="4DE12E32"/>
    <w:rsid w:val="4E0D565D"/>
    <w:rsid w:val="4E302DA4"/>
    <w:rsid w:val="4ECC7EDB"/>
    <w:rsid w:val="4EFA3E33"/>
    <w:rsid w:val="4F741450"/>
    <w:rsid w:val="4F74614D"/>
    <w:rsid w:val="4F8E54C1"/>
    <w:rsid w:val="4F8E5B53"/>
    <w:rsid w:val="4FA47EEA"/>
    <w:rsid w:val="505521CD"/>
    <w:rsid w:val="50F25217"/>
    <w:rsid w:val="51251E41"/>
    <w:rsid w:val="514900B1"/>
    <w:rsid w:val="515208AC"/>
    <w:rsid w:val="517250FA"/>
    <w:rsid w:val="51726126"/>
    <w:rsid w:val="51A63CB5"/>
    <w:rsid w:val="51C16649"/>
    <w:rsid w:val="51C56629"/>
    <w:rsid w:val="52484CBE"/>
    <w:rsid w:val="52575082"/>
    <w:rsid w:val="52B7373D"/>
    <w:rsid w:val="52D244AD"/>
    <w:rsid w:val="52D57838"/>
    <w:rsid w:val="52D844E6"/>
    <w:rsid w:val="52DB26BC"/>
    <w:rsid w:val="52EB05A3"/>
    <w:rsid w:val="52FA2008"/>
    <w:rsid w:val="53072C41"/>
    <w:rsid w:val="53195C0E"/>
    <w:rsid w:val="53472D43"/>
    <w:rsid w:val="537E7E86"/>
    <w:rsid w:val="53802D48"/>
    <w:rsid w:val="540C7B20"/>
    <w:rsid w:val="54275FF2"/>
    <w:rsid w:val="545E7027"/>
    <w:rsid w:val="54653E38"/>
    <w:rsid w:val="54884F56"/>
    <w:rsid w:val="551A298B"/>
    <w:rsid w:val="555F21B0"/>
    <w:rsid w:val="557B10EC"/>
    <w:rsid w:val="559F7783"/>
    <w:rsid w:val="55C904F4"/>
    <w:rsid w:val="55D31C6A"/>
    <w:rsid w:val="55E036B6"/>
    <w:rsid w:val="55E17DAE"/>
    <w:rsid w:val="564B3B0F"/>
    <w:rsid w:val="566102F3"/>
    <w:rsid w:val="566F44BB"/>
    <w:rsid w:val="56A81994"/>
    <w:rsid w:val="56DF6C36"/>
    <w:rsid w:val="56EE4CE0"/>
    <w:rsid w:val="56FD550F"/>
    <w:rsid w:val="57672288"/>
    <w:rsid w:val="5831467E"/>
    <w:rsid w:val="58435433"/>
    <w:rsid w:val="58746757"/>
    <w:rsid w:val="5885204F"/>
    <w:rsid w:val="58BB08ED"/>
    <w:rsid w:val="59043705"/>
    <w:rsid w:val="59070F51"/>
    <w:rsid w:val="591E5B38"/>
    <w:rsid w:val="593503BB"/>
    <w:rsid w:val="594124FF"/>
    <w:rsid w:val="594B2301"/>
    <w:rsid w:val="59961C59"/>
    <w:rsid w:val="5A146C55"/>
    <w:rsid w:val="5A783781"/>
    <w:rsid w:val="5A7A6B08"/>
    <w:rsid w:val="5AEA4FB7"/>
    <w:rsid w:val="5B1000D8"/>
    <w:rsid w:val="5B123B5B"/>
    <w:rsid w:val="5B57B184"/>
    <w:rsid w:val="5B621759"/>
    <w:rsid w:val="5B6323FC"/>
    <w:rsid w:val="5B6634E0"/>
    <w:rsid w:val="5BD333AC"/>
    <w:rsid w:val="5BF30816"/>
    <w:rsid w:val="5C3D3EC6"/>
    <w:rsid w:val="5CC93458"/>
    <w:rsid w:val="5CE31760"/>
    <w:rsid w:val="5DF83818"/>
    <w:rsid w:val="5E2B3502"/>
    <w:rsid w:val="5E5A46B1"/>
    <w:rsid w:val="5E5B259F"/>
    <w:rsid w:val="5EAE7D77"/>
    <w:rsid w:val="5ECB5C87"/>
    <w:rsid w:val="5EDC3512"/>
    <w:rsid w:val="5F3C79EC"/>
    <w:rsid w:val="5F963E59"/>
    <w:rsid w:val="5FAA7CB5"/>
    <w:rsid w:val="5FC16BA1"/>
    <w:rsid w:val="5FCF0583"/>
    <w:rsid w:val="5FEF52B2"/>
    <w:rsid w:val="5FF98581"/>
    <w:rsid w:val="5FFEFAAF"/>
    <w:rsid w:val="600A2A58"/>
    <w:rsid w:val="603A0EE5"/>
    <w:rsid w:val="60413A17"/>
    <w:rsid w:val="605A3989"/>
    <w:rsid w:val="60A65EA0"/>
    <w:rsid w:val="60B57EE1"/>
    <w:rsid w:val="6116361C"/>
    <w:rsid w:val="61556215"/>
    <w:rsid w:val="615A17F1"/>
    <w:rsid w:val="61883264"/>
    <w:rsid w:val="61C12720"/>
    <w:rsid w:val="61CA776D"/>
    <w:rsid w:val="62606AC0"/>
    <w:rsid w:val="627E0812"/>
    <w:rsid w:val="62E02AF7"/>
    <w:rsid w:val="62E14864"/>
    <w:rsid w:val="6305308B"/>
    <w:rsid w:val="63420E44"/>
    <w:rsid w:val="63D47AF2"/>
    <w:rsid w:val="63E213BE"/>
    <w:rsid w:val="64891552"/>
    <w:rsid w:val="64942F87"/>
    <w:rsid w:val="64C60513"/>
    <w:rsid w:val="64D4770D"/>
    <w:rsid w:val="64F6698C"/>
    <w:rsid w:val="65327C0A"/>
    <w:rsid w:val="654E7056"/>
    <w:rsid w:val="65673DF2"/>
    <w:rsid w:val="657C687A"/>
    <w:rsid w:val="65965811"/>
    <w:rsid w:val="65B5656A"/>
    <w:rsid w:val="65CB3E5D"/>
    <w:rsid w:val="65D73942"/>
    <w:rsid w:val="65DB7995"/>
    <w:rsid w:val="66112875"/>
    <w:rsid w:val="661D24AB"/>
    <w:rsid w:val="6621763B"/>
    <w:rsid w:val="66577AE6"/>
    <w:rsid w:val="666201D0"/>
    <w:rsid w:val="666530F7"/>
    <w:rsid w:val="66A41664"/>
    <w:rsid w:val="66A67B24"/>
    <w:rsid w:val="66C664AB"/>
    <w:rsid w:val="66DF3E29"/>
    <w:rsid w:val="67064B36"/>
    <w:rsid w:val="67146BDD"/>
    <w:rsid w:val="673F3E2C"/>
    <w:rsid w:val="674E6179"/>
    <w:rsid w:val="67530EA0"/>
    <w:rsid w:val="677683B7"/>
    <w:rsid w:val="678021DF"/>
    <w:rsid w:val="678E4F5D"/>
    <w:rsid w:val="67A02363"/>
    <w:rsid w:val="67A17048"/>
    <w:rsid w:val="67A81B24"/>
    <w:rsid w:val="67B35234"/>
    <w:rsid w:val="67C37D5D"/>
    <w:rsid w:val="67D93482"/>
    <w:rsid w:val="67DE5B76"/>
    <w:rsid w:val="67FC34BB"/>
    <w:rsid w:val="681442AE"/>
    <w:rsid w:val="681F736B"/>
    <w:rsid w:val="68334494"/>
    <w:rsid w:val="68335FDC"/>
    <w:rsid w:val="68406237"/>
    <w:rsid w:val="686434FE"/>
    <w:rsid w:val="68795E76"/>
    <w:rsid w:val="68BF68A9"/>
    <w:rsid w:val="68D32C1E"/>
    <w:rsid w:val="68E96ECE"/>
    <w:rsid w:val="691E3ADB"/>
    <w:rsid w:val="696D6A24"/>
    <w:rsid w:val="69CC2DAC"/>
    <w:rsid w:val="6A131E06"/>
    <w:rsid w:val="6A2D5507"/>
    <w:rsid w:val="6A3A4C5F"/>
    <w:rsid w:val="6A44145F"/>
    <w:rsid w:val="6A471166"/>
    <w:rsid w:val="6A62644C"/>
    <w:rsid w:val="6AD97C6D"/>
    <w:rsid w:val="6B064B96"/>
    <w:rsid w:val="6B100FDF"/>
    <w:rsid w:val="6B22293E"/>
    <w:rsid w:val="6B431148"/>
    <w:rsid w:val="6B670611"/>
    <w:rsid w:val="6B900247"/>
    <w:rsid w:val="6C0C17E7"/>
    <w:rsid w:val="6C1D1A10"/>
    <w:rsid w:val="6C9674AB"/>
    <w:rsid w:val="6CB627B8"/>
    <w:rsid w:val="6CBA06A2"/>
    <w:rsid w:val="6CD550F7"/>
    <w:rsid w:val="6D1159A2"/>
    <w:rsid w:val="6D3F74CE"/>
    <w:rsid w:val="6D455012"/>
    <w:rsid w:val="6D4B0377"/>
    <w:rsid w:val="6D605399"/>
    <w:rsid w:val="6DB84C76"/>
    <w:rsid w:val="6DCF434C"/>
    <w:rsid w:val="6DEA03C6"/>
    <w:rsid w:val="6E4E5C51"/>
    <w:rsid w:val="6ED1430D"/>
    <w:rsid w:val="6F1F54DB"/>
    <w:rsid w:val="6F5B358B"/>
    <w:rsid w:val="6F5F4320"/>
    <w:rsid w:val="6F96850C"/>
    <w:rsid w:val="700F4FBB"/>
    <w:rsid w:val="70620BD3"/>
    <w:rsid w:val="707556A3"/>
    <w:rsid w:val="70891654"/>
    <w:rsid w:val="70B04F4F"/>
    <w:rsid w:val="70C8281B"/>
    <w:rsid w:val="711B149B"/>
    <w:rsid w:val="715700E9"/>
    <w:rsid w:val="719C4070"/>
    <w:rsid w:val="71AA030C"/>
    <w:rsid w:val="71DB02E2"/>
    <w:rsid w:val="72062ED0"/>
    <w:rsid w:val="721647D0"/>
    <w:rsid w:val="721F523C"/>
    <w:rsid w:val="726F3674"/>
    <w:rsid w:val="72796507"/>
    <w:rsid w:val="728E701B"/>
    <w:rsid w:val="72925A66"/>
    <w:rsid w:val="729279B1"/>
    <w:rsid w:val="72BF552A"/>
    <w:rsid w:val="731B5CAB"/>
    <w:rsid w:val="731F2A10"/>
    <w:rsid w:val="732771E1"/>
    <w:rsid w:val="73883560"/>
    <w:rsid w:val="738A2DE8"/>
    <w:rsid w:val="73CF54FE"/>
    <w:rsid w:val="73D75975"/>
    <w:rsid w:val="740022F2"/>
    <w:rsid w:val="74012145"/>
    <w:rsid w:val="74416441"/>
    <w:rsid w:val="747D61D5"/>
    <w:rsid w:val="74C81746"/>
    <w:rsid w:val="74DC173A"/>
    <w:rsid w:val="74E91185"/>
    <w:rsid w:val="750207E3"/>
    <w:rsid w:val="75273484"/>
    <w:rsid w:val="752B5AB4"/>
    <w:rsid w:val="75B13CF6"/>
    <w:rsid w:val="75F50690"/>
    <w:rsid w:val="76387F19"/>
    <w:rsid w:val="765244C3"/>
    <w:rsid w:val="76AA3287"/>
    <w:rsid w:val="77395ACF"/>
    <w:rsid w:val="773B0084"/>
    <w:rsid w:val="777E0893"/>
    <w:rsid w:val="77C17DA0"/>
    <w:rsid w:val="77E054E8"/>
    <w:rsid w:val="77ECA3E2"/>
    <w:rsid w:val="77ED70D9"/>
    <w:rsid w:val="77F22A44"/>
    <w:rsid w:val="780530EF"/>
    <w:rsid w:val="78316DBD"/>
    <w:rsid w:val="78C625DB"/>
    <w:rsid w:val="78F40B19"/>
    <w:rsid w:val="78FE38F8"/>
    <w:rsid w:val="790931EB"/>
    <w:rsid w:val="791E11CD"/>
    <w:rsid w:val="7945606C"/>
    <w:rsid w:val="795C1CE8"/>
    <w:rsid w:val="796D21F3"/>
    <w:rsid w:val="797A7BCD"/>
    <w:rsid w:val="79B74816"/>
    <w:rsid w:val="79EF5E1E"/>
    <w:rsid w:val="7A1D5443"/>
    <w:rsid w:val="7A2F1E3C"/>
    <w:rsid w:val="7A317BB9"/>
    <w:rsid w:val="7A47390F"/>
    <w:rsid w:val="7A60326D"/>
    <w:rsid w:val="7A835A05"/>
    <w:rsid w:val="7AB47064"/>
    <w:rsid w:val="7AF44B97"/>
    <w:rsid w:val="7B306C2F"/>
    <w:rsid w:val="7BBD4F42"/>
    <w:rsid w:val="7BF22823"/>
    <w:rsid w:val="7BFB4E3F"/>
    <w:rsid w:val="7C225B08"/>
    <w:rsid w:val="7C36A8BC"/>
    <w:rsid w:val="7C535A68"/>
    <w:rsid w:val="7CD65A9A"/>
    <w:rsid w:val="7CE73AD5"/>
    <w:rsid w:val="7D1A3E96"/>
    <w:rsid w:val="7D294122"/>
    <w:rsid w:val="7D615DB9"/>
    <w:rsid w:val="7D6D409B"/>
    <w:rsid w:val="7D747B49"/>
    <w:rsid w:val="7D792FD6"/>
    <w:rsid w:val="7DA3099F"/>
    <w:rsid w:val="7DF696FE"/>
    <w:rsid w:val="7DFF7D24"/>
    <w:rsid w:val="7E7D2889"/>
    <w:rsid w:val="7EA74C91"/>
    <w:rsid w:val="7EA77352"/>
    <w:rsid w:val="7EEF521D"/>
    <w:rsid w:val="7EEF9A6F"/>
    <w:rsid w:val="7F22122D"/>
    <w:rsid w:val="7F2A517E"/>
    <w:rsid w:val="7F5F2709"/>
    <w:rsid w:val="7F693A59"/>
    <w:rsid w:val="7F7B3B0F"/>
    <w:rsid w:val="7F877DCD"/>
    <w:rsid w:val="7F97E66E"/>
    <w:rsid w:val="7F9F58D6"/>
    <w:rsid w:val="7FB26FEB"/>
    <w:rsid w:val="7FBF6A29"/>
    <w:rsid w:val="7FE1E17D"/>
    <w:rsid w:val="7FEC023B"/>
    <w:rsid w:val="7FEDD3E5"/>
    <w:rsid w:val="7FEFCC8E"/>
    <w:rsid w:val="7FFF334A"/>
    <w:rsid w:val="8FD14F4A"/>
    <w:rsid w:val="9BDD6B49"/>
    <w:rsid w:val="A8DF0A62"/>
    <w:rsid w:val="A93FE687"/>
    <w:rsid w:val="B7FD8F24"/>
    <w:rsid w:val="BCCF6467"/>
    <w:rsid w:val="BDFD82AF"/>
    <w:rsid w:val="BFEE48A2"/>
    <w:rsid w:val="CDFE2331"/>
    <w:rsid w:val="D5BF61B5"/>
    <w:rsid w:val="DED62258"/>
    <w:rsid w:val="DEF34F3F"/>
    <w:rsid w:val="DFAE3685"/>
    <w:rsid w:val="DFF9F571"/>
    <w:rsid w:val="E3CF9AA0"/>
    <w:rsid w:val="E7BBC4E0"/>
    <w:rsid w:val="E7FB6575"/>
    <w:rsid w:val="EDFFA6DC"/>
    <w:rsid w:val="EFDF28BA"/>
    <w:rsid w:val="EFFC1D3A"/>
    <w:rsid w:val="F777C8DF"/>
    <w:rsid w:val="FAE49CD5"/>
    <w:rsid w:val="FBCFA242"/>
    <w:rsid w:val="FEBF37AF"/>
    <w:rsid w:val="FFA70237"/>
    <w:rsid w:val="FFF6FAC1"/>
    <w:rsid w:val="FFFF9C5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link w:val="52"/>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53"/>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64"/>
    <w:qFormat/>
    <w:uiPriority w:val="0"/>
    <w:pPr>
      <w:autoSpaceDE w:val="0"/>
      <w:autoSpaceDN w:val="0"/>
      <w:adjustRightInd w:val="0"/>
      <w:spacing w:before="120" w:after="120" w:line="416" w:lineRule="atLeast"/>
      <w:outlineLvl w:val="2"/>
    </w:pPr>
    <w:rPr>
      <w:rFonts w:ascii="黑体"/>
      <w:kern w:val="0"/>
      <w:sz w:val="28"/>
      <w:szCs w:val="20"/>
    </w:rPr>
  </w:style>
  <w:style w:type="paragraph" w:styleId="7">
    <w:name w:val="heading 4"/>
    <w:basedOn w:val="1"/>
    <w:next w:val="1"/>
    <w:link w:val="56"/>
    <w:qFormat/>
    <w:uiPriority w:val="0"/>
    <w:pPr>
      <w:keepNext/>
      <w:outlineLvl w:val="3"/>
    </w:pPr>
    <w:rPr>
      <w:sz w:val="28"/>
      <w:szCs w:val="20"/>
    </w:rPr>
  </w:style>
  <w:style w:type="paragraph" w:styleId="8">
    <w:name w:val="heading 5"/>
    <w:basedOn w:val="1"/>
    <w:next w:val="1"/>
    <w:link w:val="57"/>
    <w:qFormat/>
    <w:uiPriority w:val="0"/>
    <w:pPr>
      <w:keepNext/>
      <w:keepLines/>
      <w:spacing w:before="280" w:after="290" w:line="376" w:lineRule="auto"/>
      <w:outlineLvl w:val="4"/>
    </w:pPr>
    <w:rPr>
      <w:b/>
      <w:bCs/>
      <w:sz w:val="28"/>
      <w:szCs w:val="28"/>
    </w:rPr>
  </w:style>
  <w:style w:type="paragraph" w:styleId="9">
    <w:name w:val="heading 6"/>
    <w:basedOn w:val="1"/>
    <w:next w:val="1"/>
    <w:link w:val="58"/>
    <w:qFormat/>
    <w:uiPriority w:val="0"/>
    <w:pPr>
      <w:keepNext/>
      <w:keepLines/>
      <w:spacing w:before="240" w:after="64" w:line="320" w:lineRule="auto"/>
      <w:outlineLvl w:val="5"/>
    </w:pPr>
    <w:rPr>
      <w:rFonts w:ascii="Arial" w:hAnsi="Arial" w:eastAsia="黑体"/>
      <w:b/>
      <w:bCs/>
      <w:sz w:val="24"/>
    </w:rPr>
  </w:style>
  <w:style w:type="paragraph" w:styleId="10">
    <w:name w:val="heading 7"/>
    <w:basedOn w:val="1"/>
    <w:next w:val="1"/>
    <w:link w:val="59"/>
    <w:qFormat/>
    <w:uiPriority w:val="0"/>
    <w:pPr>
      <w:keepNext/>
      <w:keepLines/>
      <w:spacing w:before="240" w:after="64" w:line="320" w:lineRule="auto"/>
      <w:outlineLvl w:val="6"/>
    </w:pPr>
    <w:rPr>
      <w:b/>
      <w:bCs/>
      <w:sz w:val="24"/>
    </w:rPr>
  </w:style>
  <w:style w:type="paragraph" w:styleId="11">
    <w:name w:val="heading 8"/>
    <w:basedOn w:val="1"/>
    <w:next w:val="1"/>
    <w:link w:val="60"/>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61"/>
    <w:qFormat/>
    <w:uiPriority w:val="0"/>
    <w:pPr>
      <w:keepNext/>
      <w:keepLines/>
      <w:spacing w:before="240" w:after="64" w:line="320" w:lineRule="auto"/>
      <w:outlineLvl w:val="8"/>
    </w:pPr>
    <w:rPr>
      <w:rFonts w:ascii="Arial" w:hAnsi="Arial" w:eastAsia="黑体"/>
      <w:szCs w:val="21"/>
    </w:rPr>
  </w:style>
  <w:style w:type="character" w:default="1" w:styleId="42">
    <w:name w:val="Default Paragraph Font"/>
    <w:semiHidden/>
    <w:unhideWhenUsed/>
    <w:qFormat/>
    <w:uiPriority w:val="1"/>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66"/>
    <w:qFormat/>
    <w:uiPriority w:val="99"/>
    <w:rPr>
      <w:sz w:val="28"/>
      <w:szCs w:val="20"/>
    </w:rPr>
  </w:style>
  <w:style w:type="paragraph" w:styleId="3">
    <w:name w:val="Body Text Indent"/>
    <w:basedOn w:val="1"/>
    <w:link w:val="67"/>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styleId="13">
    <w:name w:val="toc 7"/>
    <w:basedOn w:val="1"/>
    <w:next w:val="1"/>
    <w:unhideWhenUsed/>
    <w:qFormat/>
    <w:uiPriority w:val="39"/>
    <w:pPr>
      <w:ind w:left="2520" w:leftChars="1200"/>
    </w:pPr>
    <w:rPr>
      <w:rFonts w:ascii="Calibri" w:hAnsi="Calibri"/>
      <w:szCs w:val="22"/>
    </w:rPr>
  </w:style>
  <w:style w:type="paragraph" w:styleId="14">
    <w:name w:val="Normal Indent"/>
    <w:basedOn w:val="1"/>
    <w:link w:val="54"/>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5">
    <w:name w:val="Document Map"/>
    <w:basedOn w:val="1"/>
    <w:link w:val="64"/>
    <w:semiHidden/>
    <w:qFormat/>
    <w:uiPriority w:val="0"/>
    <w:rPr>
      <w:rFonts w:ascii="宋体"/>
      <w:sz w:val="18"/>
      <w:szCs w:val="18"/>
    </w:rPr>
  </w:style>
  <w:style w:type="paragraph" w:styleId="16">
    <w:name w:val="annotation text"/>
    <w:basedOn w:val="1"/>
    <w:link w:val="62"/>
    <w:unhideWhenUsed/>
    <w:qFormat/>
    <w:uiPriority w:val="99"/>
    <w:pPr>
      <w:jc w:val="left"/>
    </w:pPr>
  </w:style>
  <w:style w:type="paragraph" w:styleId="17">
    <w:name w:val="Body Text 3"/>
    <w:basedOn w:val="1"/>
    <w:link w:val="65"/>
    <w:unhideWhenUsed/>
    <w:qFormat/>
    <w:uiPriority w:val="99"/>
    <w:pPr>
      <w:spacing w:after="120"/>
    </w:pPr>
    <w:rPr>
      <w:sz w:val="16"/>
      <w:szCs w:val="16"/>
    </w:rPr>
  </w:style>
  <w:style w:type="paragraph" w:styleId="18">
    <w:name w:val="List 2"/>
    <w:basedOn w:val="1"/>
    <w:qFormat/>
    <w:uiPriority w:val="0"/>
    <w:pPr>
      <w:ind w:left="100" w:leftChars="200" w:hanging="200" w:hangingChars="200"/>
    </w:pPr>
  </w:style>
  <w:style w:type="paragraph" w:styleId="19">
    <w:name w:val="toc 5"/>
    <w:basedOn w:val="1"/>
    <w:next w:val="1"/>
    <w:unhideWhenUsed/>
    <w:qFormat/>
    <w:uiPriority w:val="39"/>
    <w:pPr>
      <w:ind w:left="1680" w:leftChars="800"/>
    </w:pPr>
    <w:rPr>
      <w:rFonts w:ascii="Calibri" w:hAnsi="Calibri"/>
      <w:szCs w:val="22"/>
    </w:rPr>
  </w:style>
  <w:style w:type="paragraph" w:styleId="20">
    <w:name w:val="toc 3"/>
    <w:basedOn w:val="1"/>
    <w:next w:val="1"/>
    <w:unhideWhenUsed/>
    <w:qFormat/>
    <w:uiPriority w:val="39"/>
    <w:pPr>
      <w:widowControl/>
      <w:snapToGrid w:val="0"/>
      <w:spacing w:line="440" w:lineRule="exact"/>
      <w:ind w:left="442"/>
      <w:jc w:val="left"/>
    </w:pPr>
    <w:rPr>
      <w:rFonts w:asciiTheme="minorHAnsi" w:hAnsiTheme="minorHAnsi" w:cstheme="minorBidi"/>
      <w:kern w:val="0"/>
      <w:szCs w:val="22"/>
    </w:rPr>
  </w:style>
  <w:style w:type="paragraph" w:styleId="21">
    <w:name w:val="Plain Text"/>
    <w:basedOn w:val="1"/>
    <w:link w:val="68"/>
    <w:qFormat/>
    <w:uiPriority w:val="0"/>
    <w:rPr>
      <w:rFonts w:ascii="宋体" w:hAnsi="Courier New"/>
      <w:szCs w:val="20"/>
    </w:rPr>
  </w:style>
  <w:style w:type="paragraph" w:styleId="22">
    <w:name w:val="toc 8"/>
    <w:basedOn w:val="1"/>
    <w:next w:val="1"/>
    <w:unhideWhenUsed/>
    <w:qFormat/>
    <w:uiPriority w:val="39"/>
    <w:pPr>
      <w:ind w:left="2940" w:leftChars="1400"/>
    </w:pPr>
    <w:rPr>
      <w:rFonts w:ascii="Calibri" w:hAnsi="Calibri"/>
      <w:szCs w:val="22"/>
    </w:rPr>
  </w:style>
  <w:style w:type="paragraph" w:styleId="23">
    <w:name w:val="Date"/>
    <w:basedOn w:val="1"/>
    <w:next w:val="1"/>
    <w:link w:val="69"/>
    <w:qFormat/>
    <w:uiPriority w:val="0"/>
    <w:pPr>
      <w:ind w:left="100" w:leftChars="2500"/>
    </w:pPr>
    <w:rPr>
      <w:szCs w:val="20"/>
    </w:rPr>
  </w:style>
  <w:style w:type="paragraph" w:styleId="24">
    <w:name w:val="Body Text Indent 2"/>
    <w:basedOn w:val="1"/>
    <w:link w:val="70"/>
    <w:qFormat/>
    <w:uiPriority w:val="0"/>
    <w:pPr>
      <w:spacing w:line="480" w:lineRule="auto"/>
      <w:ind w:firstLine="480" w:firstLineChars="200"/>
    </w:pPr>
    <w:rPr>
      <w:rFonts w:ascii="仿宋_GB2312" w:hAnsi="宋体" w:eastAsia="仿宋_GB2312"/>
      <w:sz w:val="24"/>
    </w:rPr>
  </w:style>
  <w:style w:type="paragraph" w:styleId="25">
    <w:name w:val="Balloon Text"/>
    <w:basedOn w:val="1"/>
    <w:link w:val="71"/>
    <w:unhideWhenUsed/>
    <w:qFormat/>
    <w:uiPriority w:val="0"/>
    <w:rPr>
      <w:sz w:val="18"/>
      <w:szCs w:val="18"/>
    </w:rPr>
  </w:style>
  <w:style w:type="paragraph" w:styleId="26">
    <w:name w:val="footer"/>
    <w:basedOn w:val="1"/>
    <w:link w:val="72"/>
    <w:unhideWhenUsed/>
    <w:qFormat/>
    <w:uiPriority w:val="0"/>
    <w:pPr>
      <w:tabs>
        <w:tab w:val="center" w:pos="4153"/>
        <w:tab w:val="right" w:pos="8306"/>
      </w:tabs>
      <w:snapToGrid w:val="0"/>
      <w:jc w:val="left"/>
    </w:pPr>
    <w:rPr>
      <w:sz w:val="18"/>
      <w:szCs w:val="18"/>
    </w:rPr>
  </w:style>
  <w:style w:type="paragraph" w:styleId="27">
    <w:name w:val="header"/>
    <w:basedOn w:val="1"/>
    <w:link w:val="73"/>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29">
    <w:name w:val="toc 4"/>
    <w:basedOn w:val="1"/>
    <w:next w:val="1"/>
    <w:unhideWhenUsed/>
    <w:qFormat/>
    <w:uiPriority w:val="39"/>
    <w:pPr>
      <w:ind w:left="1260" w:leftChars="600"/>
    </w:pPr>
    <w:rPr>
      <w:rFonts w:ascii="Calibri" w:hAnsi="Calibri"/>
      <w:szCs w:val="22"/>
    </w:rPr>
  </w:style>
  <w:style w:type="paragraph" w:styleId="30">
    <w:name w:val="Subtitle"/>
    <w:basedOn w:val="1"/>
    <w:next w:val="1"/>
    <w:link w:val="74"/>
    <w:qFormat/>
    <w:uiPriority w:val="0"/>
    <w:pPr>
      <w:spacing w:before="240" w:after="60" w:line="312" w:lineRule="auto"/>
      <w:jc w:val="center"/>
      <w:outlineLvl w:val="1"/>
    </w:pPr>
    <w:rPr>
      <w:rFonts w:ascii="Cambria" w:hAnsi="Cambria" w:cs="黑体"/>
      <w:b/>
      <w:bCs/>
      <w:kern w:val="28"/>
      <w:sz w:val="32"/>
      <w:szCs w:val="32"/>
    </w:rPr>
  </w:style>
  <w:style w:type="paragraph" w:styleId="31">
    <w:name w:val="toc 6"/>
    <w:basedOn w:val="1"/>
    <w:next w:val="1"/>
    <w:unhideWhenUsed/>
    <w:qFormat/>
    <w:uiPriority w:val="39"/>
    <w:pPr>
      <w:ind w:left="2100" w:leftChars="1000"/>
    </w:pPr>
    <w:rPr>
      <w:rFonts w:ascii="Calibri" w:hAnsi="Calibri"/>
      <w:szCs w:val="22"/>
    </w:rPr>
  </w:style>
  <w:style w:type="paragraph" w:styleId="32">
    <w:name w:val="Body Text Indent 3"/>
    <w:basedOn w:val="1"/>
    <w:link w:val="75"/>
    <w:qFormat/>
    <w:uiPriority w:val="0"/>
    <w:pPr>
      <w:spacing w:after="120" w:line="360" w:lineRule="atLeast"/>
      <w:ind w:firstLine="720" w:firstLineChars="300"/>
    </w:pPr>
    <w:rPr>
      <w:sz w:val="24"/>
      <w:szCs w:val="20"/>
    </w:rPr>
  </w:style>
  <w:style w:type="paragraph" w:styleId="33">
    <w:name w:val="toc 2"/>
    <w:basedOn w:val="1"/>
    <w:next w:val="1"/>
    <w:qFormat/>
    <w:uiPriority w:val="39"/>
    <w:pPr>
      <w:tabs>
        <w:tab w:val="left" w:pos="567"/>
        <w:tab w:val="right" w:leader="dot" w:pos="8505"/>
        <w:tab w:val="right" w:leader="dot" w:pos="9628"/>
      </w:tabs>
      <w:spacing w:line="440" w:lineRule="exact"/>
    </w:pPr>
  </w:style>
  <w:style w:type="paragraph" w:styleId="34">
    <w:name w:val="toc 9"/>
    <w:basedOn w:val="1"/>
    <w:next w:val="1"/>
    <w:unhideWhenUsed/>
    <w:qFormat/>
    <w:uiPriority w:val="39"/>
    <w:pPr>
      <w:ind w:left="3360" w:leftChars="1600"/>
    </w:pPr>
    <w:rPr>
      <w:rFonts w:ascii="Calibri" w:hAnsi="Calibri"/>
      <w:szCs w:val="22"/>
    </w:rPr>
  </w:style>
  <w:style w:type="paragraph" w:styleId="3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36">
    <w:name w:val="Title"/>
    <w:basedOn w:val="1"/>
    <w:next w:val="1"/>
    <w:link w:val="76"/>
    <w:qFormat/>
    <w:uiPriority w:val="0"/>
    <w:pPr>
      <w:spacing w:before="240" w:after="60"/>
      <w:jc w:val="center"/>
      <w:outlineLvl w:val="0"/>
    </w:pPr>
    <w:rPr>
      <w:rFonts w:ascii="Cambria" w:hAnsi="Cambria"/>
      <w:b/>
      <w:bCs/>
      <w:sz w:val="32"/>
      <w:szCs w:val="32"/>
    </w:rPr>
  </w:style>
  <w:style w:type="paragraph" w:styleId="37">
    <w:name w:val="annotation subject"/>
    <w:basedOn w:val="16"/>
    <w:next w:val="16"/>
    <w:link w:val="63"/>
    <w:semiHidden/>
    <w:qFormat/>
    <w:uiPriority w:val="0"/>
    <w:rPr>
      <w:b/>
      <w:bCs/>
      <w:szCs w:val="20"/>
    </w:rPr>
  </w:style>
  <w:style w:type="paragraph" w:styleId="38">
    <w:name w:val="Body Text First Indent"/>
    <w:basedOn w:val="2"/>
    <w:next w:val="31"/>
    <w:qFormat/>
    <w:uiPriority w:val="0"/>
    <w:pPr>
      <w:framePr w:wrap="around" w:vAnchor="margin" w:hAnchor="text" w:y="1"/>
      <w:widowControl w:val="0"/>
      <w:spacing w:after="120"/>
      <w:ind w:firstLine="420"/>
      <w:jc w:val="both"/>
    </w:pPr>
    <w:rPr>
      <w:rFonts w:ascii="Times New Roman" w:hAnsi="Times New Roman" w:eastAsia="Arial Unicode MS" w:cs="Arial Unicode MS"/>
      <w:color w:val="000000"/>
      <w:kern w:val="2"/>
      <w:sz w:val="21"/>
      <w:szCs w:val="21"/>
      <w:u w:color="000000"/>
      <w:lang w:val="en-US" w:eastAsia="zh-CN" w:bidi="ar-SA"/>
    </w:rPr>
  </w:style>
  <w:style w:type="paragraph" w:styleId="39">
    <w:name w:val="Body Text First Indent 2"/>
    <w:basedOn w:val="3"/>
    <w:next w:val="1"/>
    <w:qFormat/>
    <w:uiPriority w:val="0"/>
    <w:pPr>
      <w:ind w:firstLine="420" w:firstLineChars="200"/>
    </w:pPr>
  </w:style>
  <w:style w:type="table" w:styleId="41">
    <w:name w:val="Table Grid"/>
    <w:basedOn w:val="4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basedOn w:val="42"/>
    <w:qFormat/>
    <w:uiPriority w:val="22"/>
    <w:rPr>
      <w:b/>
    </w:rPr>
  </w:style>
  <w:style w:type="character" w:styleId="44">
    <w:name w:val="page number"/>
    <w:basedOn w:val="42"/>
    <w:qFormat/>
    <w:uiPriority w:val="0"/>
  </w:style>
  <w:style w:type="character" w:styleId="45">
    <w:name w:val="FollowedHyperlink"/>
    <w:qFormat/>
    <w:uiPriority w:val="0"/>
    <w:rPr>
      <w:color w:val="800080"/>
      <w:u w:val="single"/>
    </w:rPr>
  </w:style>
  <w:style w:type="character" w:styleId="46">
    <w:name w:val="Hyperlink"/>
    <w:qFormat/>
    <w:uiPriority w:val="99"/>
    <w:rPr>
      <w:color w:val="0000FF"/>
      <w:u w:val="single"/>
    </w:rPr>
  </w:style>
  <w:style w:type="character" w:styleId="47">
    <w:name w:val="annotation reference"/>
    <w:basedOn w:val="42"/>
    <w:qFormat/>
    <w:uiPriority w:val="0"/>
    <w:rPr>
      <w:sz w:val="21"/>
      <w:szCs w:val="21"/>
    </w:rPr>
  </w:style>
  <w:style w:type="paragraph" w:customStyle="1" w:styleId="48">
    <w:name w:val="标书正文1"/>
    <w:basedOn w:val="1"/>
    <w:qFormat/>
    <w:uiPriority w:val="0"/>
    <w:pPr>
      <w:spacing w:line="520" w:lineRule="exact"/>
      <w:ind w:firstLine="640" w:firstLineChars="200"/>
    </w:pPr>
  </w:style>
  <w:style w:type="paragraph" w:customStyle="1" w:styleId="4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0">
    <w:name w:val="_Style 2"/>
    <w:basedOn w:val="1"/>
    <w:qFormat/>
    <w:uiPriority w:val="0"/>
    <w:pPr>
      <w:widowControl/>
      <w:ind w:firstLine="420"/>
    </w:pPr>
    <w:rPr>
      <w:kern w:val="0"/>
      <w:szCs w:val="21"/>
    </w:rPr>
  </w:style>
  <w:style w:type="paragraph" w:customStyle="1" w:styleId="51">
    <w:name w:val="标题 60"/>
    <w:basedOn w:val="9"/>
    <w:qFormat/>
    <w:uiPriority w:val="0"/>
    <w:pPr>
      <w:spacing w:line="319" w:lineRule="auto"/>
      <w:ind w:firstLine="200" w:firstLineChars="200"/>
    </w:pPr>
    <w:rPr>
      <w:b w:val="0"/>
      <w:bCs w:val="0"/>
    </w:rPr>
  </w:style>
  <w:style w:type="character" w:customStyle="1" w:styleId="52">
    <w:name w:val="标题 1 字符"/>
    <w:basedOn w:val="42"/>
    <w:link w:val="4"/>
    <w:qFormat/>
    <w:uiPriority w:val="0"/>
    <w:rPr>
      <w:rFonts w:ascii="Times New Roman" w:hAnsi="Times New Roman" w:eastAsia="宋体" w:cs="Times New Roman"/>
      <w:b/>
      <w:bCs/>
      <w:kern w:val="44"/>
      <w:sz w:val="44"/>
      <w:szCs w:val="44"/>
    </w:rPr>
  </w:style>
  <w:style w:type="character" w:customStyle="1" w:styleId="53">
    <w:name w:val="标题 2 字符"/>
    <w:basedOn w:val="42"/>
    <w:link w:val="6"/>
    <w:qFormat/>
    <w:uiPriority w:val="0"/>
    <w:rPr>
      <w:rFonts w:ascii="Arial" w:hAnsi="Arial" w:eastAsia="黑体"/>
      <w:b/>
      <w:bCs/>
      <w:kern w:val="2"/>
      <w:sz w:val="32"/>
      <w:szCs w:val="32"/>
    </w:rPr>
  </w:style>
  <w:style w:type="character" w:customStyle="1" w:styleId="54">
    <w:name w:val="正文缩进 字符"/>
    <w:link w:val="14"/>
    <w:qFormat/>
    <w:uiPriority w:val="0"/>
    <w:rPr>
      <w:rFonts w:ascii="楷体_GB2312" w:eastAsia="楷体_GB2312"/>
      <w:sz w:val="28"/>
    </w:rPr>
  </w:style>
  <w:style w:type="character" w:customStyle="1" w:styleId="55">
    <w:name w:val="标题 3 字符"/>
    <w:basedOn w:val="42"/>
    <w:qFormat/>
    <w:uiPriority w:val="0"/>
    <w:rPr>
      <w:rFonts w:ascii="黑体" w:eastAsia="黑体"/>
      <w:sz w:val="28"/>
    </w:rPr>
  </w:style>
  <w:style w:type="character" w:customStyle="1" w:styleId="56">
    <w:name w:val="标题 4 字符"/>
    <w:basedOn w:val="42"/>
    <w:link w:val="7"/>
    <w:qFormat/>
    <w:uiPriority w:val="0"/>
    <w:rPr>
      <w:rFonts w:ascii="Times New Roman" w:hAnsi="Times New Roman" w:eastAsia="宋体" w:cs="Times New Roman"/>
      <w:sz w:val="28"/>
      <w:szCs w:val="20"/>
    </w:rPr>
  </w:style>
  <w:style w:type="character" w:customStyle="1" w:styleId="57">
    <w:name w:val="标题 5 字符"/>
    <w:basedOn w:val="42"/>
    <w:link w:val="8"/>
    <w:qFormat/>
    <w:uiPriority w:val="0"/>
    <w:rPr>
      <w:rFonts w:ascii="Times New Roman" w:hAnsi="Times New Roman" w:eastAsia="宋体" w:cs="Times New Roman"/>
      <w:b/>
      <w:bCs/>
      <w:sz w:val="28"/>
      <w:szCs w:val="28"/>
    </w:rPr>
  </w:style>
  <w:style w:type="character" w:customStyle="1" w:styleId="58">
    <w:name w:val="标题 6 字符"/>
    <w:basedOn w:val="42"/>
    <w:link w:val="9"/>
    <w:qFormat/>
    <w:uiPriority w:val="0"/>
    <w:rPr>
      <w:rFonts w:ascii="Arial" w:hAnsi="Arial" w:eastAsia="黑体" w:cs="Times New Roman"/>
      <w:b/>
      <w:bCs/>
      <w:sz w:val="24"/>
      <w:szCs w:val="24"/>
    </w:rPr>
  </w:style>
  <w:style w:type="character" w:customStyle="1" w:styleId="59">
    <w:name w:val="标题 7 字符"/>
    <w:basedOn w:val="42"/>
    <w:link w:val="10"/>
    <w:qFormat/>
    <w:uiPriority w:val="0"/>
    <w:rPr>
      <w:rFonts w:ascii="Times New Roman" w:hAnsi="Times New Roman" w:eastAsia="宋体" w:cs="Times New Roman"/>
      <w:b/>
      <w:bCs/>
      <w:sz w:val="24"/>
      <w:szCs w:val="24"/>
    </w:rPr>
  </w:style>
  <w:style w:type="character" w:customStyle="1" w:styleId="60">
    <w:name w:val="标题 8 字符"/>
    <w:basedOn w:val="42"/>
    <w:link w:val="11"/>
    <w:qFormat/>
    <w:uiPriority w:val="0"/>
    <w:rPr>
      <w:rFonts w:ascii="Arial" w:hAnsi="Arial" w:eastAsia="黑体" w:cs="Times New Roman"/>
      <w:sz w:val="24"/>
      <w:szCs w:val="24"/>
    </w:rPr>
  </w:style>
  <w:style w:type="character" w:customStyle="1" w:styleId="61">
    <w:name w:val="标题 9 字符"/>
    <w:basedOn w:val="42"/>
    <w:link w:val="12"/>
    <w:qFormat/>
    <w:uiPriority w:val="0"/>
    <w:rPr>
      <w:rFonts w:ascii="Arial" w:hAnsi="Arial" w:eastAsia="黑体" w:cs="Times New Roman"/>
      <w:szCs w:val="21"/>
    </w:rPr>
  </w:style>
  <w:style w:type="character" w:customStyle="1" w:styleId="62">
    <w:name w:val="批注文字 字符"/>
    <w:basedOn w:val="42"/>
    <w:link w:val="16"/>
    <w:qFormat/>
    <w:uiPriority w:val="99"/>
    <w:rPr>
      <w:rFonts w:ascii="Times New Roman" w:hAnsi="Times New Roman" w:eastAsia="宋体" w:cs="Times New Roman"/>
      <w:szCs w:val="24"/>
    </w:rPr>
  </w:style>
  <w:style w:type="character" w:customStyle="1" w:styleId="63">
    <w:name w:val="批注主题 字符"/>
    <w:basedOn w:val="62"/>
    <w:link w:val="37"/>
    <w:semiHidden/>
    <w:qFormat/>
    <w:uiPriority w:val="0"/>
    <w:rPr>
      <w:rFonts w:ascii="Times New Roman" w:hAnsi="Times New Roman" w:eastAsia="宋体" w:cs="Times New Roman"/>
      <w:b/>
      <w:bCs/>
      <w:szCs w:val="20"/>
    </w:rPr>
  </w:style>
  <w:style w:type="character" w:customStyle="1" w:styleId="64">
    <w:name w:val="文档结构图 字符"/>
    <w:basedOn w:val="42"/>
    <w:link w:val="15"/>
    <w:semiHidden/>
    <w:qFormat/>
    <w:uiPriority w:val="0"/>
    <w:rPr>
      <w:rFonts w:ascii="宋体" w:hAnsi="Times New Roman" w:eastAsia="宋体" w:cs="Times New Roman"/>
      <w:sz w:val="18"/>
      <w:szCs w:val="18"/>
    </w:rPr>
  </w:style>
  <w:style w:type="character" w:customStyle="1" w:styleId="65">
    <w:name w:val="正文文本 3 字符"/>
    <w:basedOn w:val="42"/>
    <w:link w:val="17"/>
    <w:semiHidden/>
    <w:qFormat/>
    <w:uiPriority w:val="99"/>
    <w:rPr>
      <w:rFonts w:ascii="Times New Roman" w:hAnsi="Times New Roman" w:eastAsia="宋体" w:cs="Times New Roman"/>
      <w:sz w:val="16"/>
      <w:szCs w:val="16"/>
    </w:rPr>
  </w:style>
  <w:style w:type="character" w:customStyle="1" w:styleId="66">
    <w:name w:val="正文文本 字符"/>
    <w:basedOn w:val="42"/>
    <w:link w:val="2"/>
    <w:qFormat/>
    <w:uiPriority w:val="0"/>
    <w:rPr>
      <w:rFonts w:ascii="Times New Roman" w:hAnsi="Times New Roman" w:eastAsia="宋体" w:cs="Times New Roman"/>
      <w:sz w:val="28"/>
      <w:szCs w:val="20"/>
    </w:rPr>
  </w:style>
  <w:style w:type="character" w:customStyle="1" w:styleId="67">
    <w:name w:val="正文文本缩进 字符"/>
    <w:basedOn w:val="42"/>
    <w:link w:val="3"/>
    <w:qFormat/>
    <w:uiPriority w:val="0"/>
    <w:rPr>
      <w:rFonts w:ascii="楷体_GB2312" w:hAnsi="Times New Roman" w:eastAsia="楷体_GB2312" w:cs="Times New Roman"/>
      <w:kern w:val="0"/>
      <w:sz w:val="28"/>
      <w:szCs w:val="20"/>
    </w:rPr>
  </w:style>
  <w:style w:type="character" w:customStyle="1" w:styleId="68">
    <w:name w:val="纯文本 字符"/>
    <w:basedOn w:val="42"/>
    <w:link w:val="21"/>
    <w:qFormat/>
    <w:uiPriority w:val="0"/>
    <w:rPr>
      <w:rFonts w:ascii="宋体" w:hAnsi="Courier New" w:eastAsia="宋体" w:cs="Times New Roman"/>
      <w:szCs w:val="20"/>
    </w:rPr>
  </w:style>
  <w:style w:type="character" w:customStyle="1" w:styleId="69">
    <w:name w:val="日期 字符"/>
    <w:basedOn w:val="42"/>
    <w:link w:val="23"/>
    <w:qFormat/>
    <w:uiPriority w:val="0"/>
    <w:rPr>
      <w:rFonts w:ascii="Times New Roman" w:hAnsi="Times New Roman" w:eastAsia="宋体" w:cs="Times New Roman"/>
      <w:szCs w:val="20"/>
    </w:rPr>
  </w:style>
  <w:style w:type="character" w:customStyle="1" w:styleId="70">
    <w:name w:val="正文文本缩进 2 字符"/>
    <w:basedOn w:val="42"/>
    <w:link w:val="24"/>
    <w:qFormat/>
    <w:uiPriority w:val="0"/>
    <w:rPr>
      <w:rFonts w:ascii="仿宋_GB2312" w:hAnsi="宋体" w:eastAsia="仿宋_GB2312" w:cs="Times New Roman"/>
      <w:sz w:val="24"/>
      <w:szCs w:val="24"/>
    </w:rPr>
  </w:style>
  <w:style w:type="character" w:customStyle="1" w:styleId="71">
    <w:name w:val="批注框文本 字符"/>
    <w:basedOn w:val="42"/>
    <w:link w:val="25"/>
    <w:semiHidden/>
    <w:qFormat/>
    <w:uiPriority w:val="0"/>
    <w:rPr>
      <w:rFonts w:ascii="Times New Roman" w:hAnsi="Times New Roman" w:eastAsia="宋体" w:cs="Times New Roman"/>
      <w:sz w:val="18"/>
      <w:szCs w:val="18"/>
    </w:rPr>
  </w:style>
  <w:style w:type="character" w:customStyle="1" w:styleId="72">
    <w:name w:val="页脚 字符"/>
    <w:basedOn w:val="42"/>
    <w:link w:val="26"/>
    <w:qFormat/>
    <w:uiPriority w:val="0"/>
    <w:rPr>
      <w:rFonts w:ascii="Times New Roman" w:hAnsi="Times New Roman" w:eastAsia="宋体" w:cs="Times New Roman"/>
      <w:sz w:val="18"/>
      <w:szCs w:val="18"/>
    </w:rPr>
  </w:style>
  <w:style w:type="character" w:customStyle="1" w:styleId="73">
    <w:name w:val="页眉 字符"/>
    <w:basedOn w:val="42"/>
    <w:link w:val="27"/>
    <w:qFormat/>
    <w:uiPriority w:val="0"/>
    <w:rPr>
      <w:rFonts w:ascii="Times New Roman" w:hAnsi="Times New Roman" w:eastAsia="宋体" w:cs="Times New Roman"/>
      <w:sz w:val="18"/>
      <w:szCs w:val="18"/>
    </w:rPr>
  </w:style>
  <w:style w:type="character" w:customStyle="1" w:styleId="74">
    <w:name w:val="副标题 字符"/>
    <w:basedOn w:val="42"/>
    <w:link w:val="30"/>
    <w:qFormat/>
    <w:uiPriority w:val="0"/>
    <w:rPr>
      <w:rFonts w:ascii="Cambria" w:hAnsi="Cambria" w:eastAsia="宋体" w:cs="黑体"/>
      <w:b/>
      <w:bCs/>
      <w:kern w:val="28"/>
      <w:sz w:val="32"/>
      <w:szCs w:val="32"/>
    </w:rPr>
  </w:style>
  <w:style w:type="character" w:customStyle="1" w:styleId="75">
    <w:name w:val="正文文本缩进 3 字符"/>
    <w:basedOn w:val="42"/>
    <w:link w:val="32"/>
    <w:qFormat/>
    <w:uiPriority w:val="0"/>
    <w:rPr>
      <w:rFonts w:ascii="Times New Roman" w:hAnsi="Times New Roman" w:eastAsia="宋体" w:cs="Times New Roman"/>
      <w:sz w:val="24"/>
      <w:szCs w:val="20"/>
    </w:rPr>
  </w:style>
  <w:style w:type="character" w:customStyle="1" w:styleId="76">
    <w:name w:val="标题 字符"/>
    <w:basedOn w:val="42"/>
    <w:link w:val="36"/>
    <w:qFormat/>
    <w:uiPriority w:val="0"/>
    <w:rPr>
      <w:rFonts w:ascii="Cambria" w:hAnsi="Cambria" w:eastAsia="宋体" w:cs="Times New Roman"/>
      <w:b/>
      <w:bCs/>
      <w:sz w:val="32"/>
      <w:szCs w:val="32"/>
    </w:rPr>
  </w:style>
  <w:style w:type="paragraph" w:customStyle="1" w:styleId="77">
    <w:name w:val="bt1bt1"/>
    <w:basedOn w:val="4"/>
    <w:qFormat/>
    <w:uiPriority w:val="0"/>
    <w:pPr>
      <w:spacing w:line="240" w:lineRule="auto"/>
      <w:jc w:val="center"/>
    </w:pPr>
    <w:rPr>
      <w:rFonts w:eastAsia="黑体"/>
      <w:b w:val="0"/>
      <w:sz w:val="36"/>
      <w:szCs w:val="36"/>
    </w:rPr>
  </w:style>
  <w:style w:type="paragraph" w:customStyle="1" w:styleId="78">
    <w:name w:val="列出段落1"/>
    <w:basedOn w:val="1"/>
    <w:link w:val="79"/>
    <w:unhideWhenUsed/>
    <w:qFormat/>
    <w:uiPriority w:val="0"/>
    <w:pPr>
      <w:ind w:firstLine="420" w:firstLineChars="200"/>
    </w:pPr>
  </w:style>
  <w:style w:type="character" w:customStyle="1" w:styleId="79">
    <w:name w:val="列表段落 字符"/>
    <w:link w:val="78"/>
    <w:qFormat/>
    <w:uiPriority w:val="0"/>
    <w:rPr>
      <w:rFonts w:ascii="Times New Roman" w:hAnsi="Times New Roman" w:eastAsia="宋体" w:cs="Times New Roman"/>
      <w:szCs w:val="24"/>
    </w:rPr>
  </w:style>
  <w:style w:type="paragraph" w:customStyle="1" w:styleId="80">
    <w:name w:val="TOC 标题1"/>
    <w:basedOn w:val="4"/>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81">
    <w:name w:val="TOC 标题11"/>
    <w:basedOn w:val="4"/>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82">
    <w:name w:val="_Style 36"/>
    <w:basedOn w:val="1"/>
    <w:qFormat/>
    <w:uiPriority w:val="34"/>
    <w:pPr>
      <w:ind w:firstLine="420" w:firstLineChars="200"/>
    </w:pPr>
    <w:rPr>
      <w:szCs w:val="20"/>
    </w:rPr>
  </w:style>
  <w:style w:type="paragraph" w:customStyle="1" w:styleId="83">
    <w:name w:val="Char Char Char Char Char Char Char Char Char Char Char Char Char"/>
    <w:basedOn w:val="15"/>
    <w:qFormat/>
    <w:uiPriority w:val="0"/>
    <w:pPr>
      <w:shd w:val="clear" w:color="auto" w:fill="000080"/>
    </w:pPr>
    <w:rPr>
      <w:rFonts w:ascii="Tahoma" w:hAnsi="Tahoma"/>
      <w:sz w:val="24"/>
      <w:szCs w:val="24"/>
    </w:rPr>
  </w:style>
  <w:style w:type="paragraph" w:customStyle="1" w:styleId="84">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85">
    <w:name w:val="新定义正文"/>
    <w:basedOn w:val="1"/>
    <w:qFormat/>
    <w:uiPriority w:val="0"/>
    <w:pPr>
      <w:widowControl/>
    </w:pPr>
    <w:rPr>
      <w:color w:val="000000"/>
      <w:szCs w:val="21"/>
    </w:rPr>
  </w:style>
  <w:style w:type="paragraph" w:customStyle="1" w:styleId="86">
    <w:name w:val="节"/>
    <w:basedOn w:val="6"/>
    <w:qFormat/>
    <w:uiPriority w:val="0"/>
    <w:pPr>
      <w:tabs>
        <w:tab w:val="left" w:pos="432"/>
        <w:tab w:val="left" w:pos="576"/>
      </w:tabs>
      <w:spacing w:line="240" w:lineRule="auto"/>
    </w:pPr>
    <w:rPr>
      <w:rFonts w:ascii="黑体"/>
      <w:b w:val="0"/>
      <w:sz w:val="28"/>
      <w:szCs w:val="28"/>
    </w:rPr>
  </w:style>
  <w:style w:type="paragraph" w:customStyle="1" w:styleId="87">
    <w:name w:val="TOC 标题2"/>
    <w:basedOn w:val="4"/>
    <w:next w:val="1"/>
    <w:unhideWhenUsed/>
    <w:qFormat/>
    <w:uiPriority w:val="39"/>
    <w:pPr>
      <w:widowControl/>
      <w:spacing w:before="480" w:after="0" w:line="276" w:lineRule="auto"/>
      <w:jc w:val="left"/>
      <w:outlineLvl w:val="9"/>
    </w:pPr>
    <w:rPr>
      <w:rFonts w:ascii="Cambria" w:hAnsi="Cambria" w:cs="黑体"/>
      <w:color w:val="365F90"/>
      <w:kern w:val="0"/>
      <w:sz w:val="28"/>
      <w:szCs w:val="28"/>
    </w:rPr>
  </w:style>
  <w:style w:type="paragraph" w:customStyle="1" w:styleId="88">
    <w:name w:val="列出段落11"/>
    <w:basedOn w:val="1"/>
    <w:qFormat/>
    <w:uiPriority w:val="34"/>
    <w:pPr>
      <w:ind w:firstLine="420" w:firstLineChars="200"/>
    </w:pPr>
    <w:rPr>
      <w:szCs w:val="20"/>
    </w:rPr>
  </w:style>
  <w:style w:type="paragraph" w:customStyle="1" w:styleId="8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90">
    <w:name w:val="Char Char1"/>
    <w:qFormat/>
    <w:uiPriority w:val="0"/>
    <w:rPr>
      <w:rFonts w:ascii="楷体_GB2312" w:eastAsia="楷体_GB2312"/>
      <w:sz w:val="28"/>
    </w:rPr>
  </w:style>
  <w:style w:type="character" w:customStyle="1" w:styleId="91">
    <w:name w:val="Char Char"/>
    <w:qFormat/>
    <w:uiPriority w:val="0"/>
    <w:rPr>
      <w:rFonts w:ascii="宋体"/>
      <w:kern w:val="2"/>
      <w:sz w:val="18"/>
      <w:szCs w:val="18"/>
    </w:rPr>
  </w:style>
  <w:style w:type="paragraph" w:customStyle="1" w:styleId="9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93">
    <w:name w:val="样式 标题 3 + (中文) 黑体 小四 非加粗 段前: 7.8 磅 段后: 0 磅 行距: 固定值 20 磅"/>
    <w:basedOn w:val="5"/>
    <w:qFormat/>
    <w:uiPriority w:val="0"/>
    <w:pPr>
      <w:autoSpaceDE/>
      <w:autoSpaceDN/>
      <w:adjustRightInd/>
      <w:spacing w:before="0" w:after="0" w:line="400" w:lineRule="exact"/>
    </w:pPr>
    <w:rPr>
      <w:rFonts w:ascii="Times New Roman" w:cs="宋体"/>
      <w:kern w:val="2"/>
      <w:sz w:val="24"/>
    </w:rPr>
  </w:style>
  <w:style w:type="character" w:customStyle="1" w:styleId="94">
    <w:name w:val="批注文字 Char1"/>
    <w:qFormat/>
    <w:uiPriority w:val="99"/>
    <w:rPr>
      <w:kern w:val="2"/>
      <w:sz w:val="21"/>
    </w:rPr>
  </w:style>
  <w:style w:type="paragraph" w:customStyle="1" w:styleId="95">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sz w:val="28"/>
      <w:szCs w:val="20"/>
    </w:rPr>
  </w:style>
  <w:style w:type="paragraph" w:customStyle="1" w:styleId="96">
    <w:name w:val="p0"/>
    <w:basedOn w:val="1"/>
    <w:qFormat/>
    <w:uiPriority w:val="0"/>
    <w:rPr>
      <w:szCs w:val="20"/>
    </w:rPr>
  </w:style>
  <w:style w:type="paragraph" w:customStyle="1" w:styleId="97">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98">
    <w:name w:val="normaltextrun"/>
    <w:basedOn w:val="42"/>
    <w:qFormat/>
    <w:uiPriority w:val="0"/>
  </w:style>
  <w:style w:type="character" w:customStyle="1" w:styleId="99">
    <w:name w:val="eop"/>
    <w:basedOn w:val="42"/>
    <w:qFormat/>
    <w:uiPriority w:val="0"/>
  </w:style>
  <w:style w:type="character" w:customStyle="1" w:styleId="100">
    <w:name w:val="列出段落 Char"/>
    <w:qFormat/>
    <w:uiPriority w:val="34"/>
    <w:rPr>
      <w:kern w:val="2"/>
      <w:sz w:val="21"/>
      <w:szCs w:val="24"/>
    </w:rPr>
  </w:style>
  <w:style w:type="character" w:customStyle="1" w:styleId="101">
    <w:name w:val="未处理的提及1"/>
    <w:basedOn w:val="42"/>
    <w:unhideWhenUsed/>
    <w:qFormat/>
    <w:uiPriority w:val="99"/>
    <w:rPr>
      <w:color w:val="605E5C"/>
      <w:shd w:val="clear" w:color="auto" w:fill="E1DFDD"/>
    </w:rPr>
  </w:style>
  <w:style w:type="paragraph" w:customStyle="1" w:styleId="102">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03">
    <w:name w:val="修订3"/>
    <w:hidden/>
    <w:semiHidden/>
    <w:qFormat/>
    <w:uiPriority w:val="99"/>
    <w:rPr>
      <w:rFonts w:ascii="Times New Roman" w:hAnsi="Times New Roman" w:eastAsia="宋体" w:cs="Times New Roman"/>
      <w:kern w:val="2"/>
      <w:sz w:val="21"/>
      <w:szCs w:val="24"/>
      <w:lang w:val="en-US" w:eastAsia="zh-CN" w:bidi="ar-SA"/>
    </w:rPr>
  </w:style>
  <w:style w:type="character" w:customStyle="1" w:styleId="104">
    <w:name w:val="文一 Char"/>
    <w:link w:val="105"/>
    <w:qFormat/>
    <w:locked/>
    <w:uiPriority w:val="0"/>
    <w:rPr>
      <w:spacing w:val="4"/>
      <w:sz w:val="24"/>
      <w:szCs w:val="24"/>
    </w:rPr>
  </w:style>
  <w:style w:type="paragraph" w:customStyle="1" w:styleId="105">
    <w:name w:val="文一"/>
    <w:basedOn w:val="1"/>
    <w:link w:val="104"/>
    <w:qFormat/>
    <w:uiPriority w:val="0"/>
    <w:pPr>
      <w:topLinePunct/>
      <w:adjustRightInd w:val="0"/>
      <w:snapToGrid w:val="0"/>
      <w:spacing w:line="360" w:lineRule="auto"/>
      <w:ind w:firstLine="200" w:firstLineChars="200"/>
    </w:pPr>
    <w:rPr>
      <w:spacing w:val="4"/>
      <w:kern w:val="0"/>
      <w:sz w:val="24"/>
    </w:rPr>
  </w:style>
  <w:style w:type="character" w:customStyle="1" w:styleId="106">
    <w:name w:val="未处理的提及2"/>
    <w:basedOn w:val="42"/>
    <w:unhideWhenUsed/>
    <w:qFormat/>
    <w:uiPriority w:val="99"/>
    <w:rPr>
      <w:color w:val="605E5C"/>
      <w:shd w:val="clear" w:color="auto" w:fill="E1DFDD"/>
    </w:rPr>
  </w:style>
  <w:style w:type="character" w:customStyle="1" w:styleId="107">
    <w:name w:val="p141"/>
    <w:qFormat/>
    <w:uiPriority w:val="0"/>
    <w:rPr>
      <w:sz w:val="21"/>
      <w:szCs w:val="21"/>
    </w:rPr>
  </w:style>
  <w:style w:type="paragraph" w:customStyle="1" w:styleId="108">
    <w:name w:val="列表段落1"/>
    <w:basedOn w:val="1"/>
    <w:unhideWhenUsed/>
    <w:qFormat/>
    <w:uiPriority w:val="34"/>
    <w:pPr>
      <w:ind w:firstLine="420" w:firstLineChars="200"/>
    </w:pPr>
  </w:style>
  <w:style w:type="paragraph" w:customStyle="1" w:styleId="109">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110">
    <w:name w:val="段"/>
    <w:link w:val="11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11">
    <w:name w:val="段 Char"/>
    <w:link w:val="110"/>
    <w:qFormat/>
    <w:uiPriority w:val="0"/>
    <w:rPr>
      <w:rFonts w:ascii="宋体"/>
      <w:sz w:val="21"/>
    </w:rPr>
  </w:style>
  <w:style w:type="paragraph" w:customStyle="1" w:styleId="112">
    <w:name w:val="列出段落2"/>
    <w:basedOn w:val="1"/>
    <w:unhideWhenUsed/>
    <w:qFormat/>
    <w:uiPriority w:val="34"/>
    <w:pPr>
      <w:ind w:firstLine="420" w:firstLineChars="200"/>
    </w:pPr>
  </w:style>
  <w:style w:type="table" w:customStyle="1" w:styleId="113">
    <w:name w:val="网格型1"/>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4">
    <w:name w:val="网格型2"/>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5">
    <w:name w:val="H正_1"/>
    <w:basedOn w:val="116"/>
    <w:qFormat/>
    <w:uiPriority w:val="0"/>
    <w:pPr>
      <w:spacing w:after="0" w:line="420" w:lineRule="auto"/>
      <w:ind w:firstLine="200" w:firstLineChars="200"/>
      <w:jc w:val="left"/>
    </w:pPr>
    <w:rPr>
      <w:bCs/>
      <w:spacing w:val="0"/>
      <w:kern w:val="2"/>
      <w:szCs w:val="24"/>
    </w:rPr>
  </w:style>
  <w:style w:type="paragraph" w:customStyle="1" w:styleId="116">
    <w:name w:val="正文_0"/>
    <w:qFormat/>
    <w:uiPriority w:val="0"/>
    <w:pPr>
      <w:widowControl w:val="0"/>
      <w:spacing w:after="120" w:line="360" w:lineRule="auto"/>
      <w:ind w:firstLine="425"/>
      <w:jc w:val="both"/>
    </w:pPr>
    <w:rPr>
      <w:rFonts w:ascii="Times New Roman" w:hAnsi="Times New Roman" w:eastAsia="宋体" w:cs="Times New Roman"/>
      <w:spacing w:val="10"/>
      <w:sz w:val="24"/>
      <w:lang w:val="en-US" w:eastAsia="zh-CN" w:bidi="ar-SA"/>
    </w:rPr>
  </w:style>
  <w:style w:type="paragraph" w:customStyle="1" w:styleId="117">
    <w:name w:val="H标_1"/>
    <w:basedOn w:val="118"/>
    <w:qFormat/>
    <w:uiPriority w:val="0"/>
    <w:pPr>
      <w:keepNext/>
      <w:keepLines/>
      <w:tabs>
        <w:tab w:val="left" w:pos="1300"/>
        <w:tab w:val="left" w:pos="1440"/>
        <w:tab w:val="left" w:pos="1932"/>
        <w:tab w:val="left" w:pos="6184"/>
      </w:tabs>
    </w:pPr>
    <w:rPr>
      <w:sz w:val="32"/>
    </w:rPr>
  </w:style>
  <w:style w:type="paragraph" w:customStyle="1" w:styleId="118">
    <w:name w:val="标题 1_0"/>
    <w:basedOn w:val="116"/>
    <w:next w:val="119"/>
    <w:qFormat/>
    <w:uiPriority w:val="0"/>
    <w:pPr>
      <w:pageBreakBefore/>
      <w:spacing w:before="120" w:after="60"/>
      <w:ind w:firstLine="0"/>
      <w:jc w:val="center"/>
      <w:outlineLvl w:val="0"/>
    </w:pPr>
    <w:rPr>
      <w:rFonts w:eastAsia="黑体"/>
      <w:b/>
      <w:sz w:val="36"/>
    </w:rPr>
  </w:style>
  <w:style w:type="paragraph" w:customStyle="1" w:styleId="119">
    <w:name w:val="方案正文"/>
    <w:basedOn w:val="116"/>
    <w:qFormat/>
    <w:uiPriority w:val="0"/>
    <w:pPr>
      <w:ind w:firstLine="200" w:firstLineChars="200"/>
    </w:pPr>
    <w:rPr>
      <w:bCs/>
    </w:rPr>
  </w:style>
  <w:style w:type="paragraph" w:customStyle="1" w:styleId="120">
    <w:name w:val="H表_1"/>
    <w:basedOn w:val="121"/>
    <w:qFormat/>
    <w:uiPriority w:val="0"/>
    <w:pPr>
      <w:widowControl/>
      <w:spacing w:line="240" w:lineRule="auto"/>
      <w:jc w:val="center"/>
    </w:pPr>
    <w:rPr>
      <w:rFonts w:ascii="宋体" w:hAnsi="宋体"/>
      <w:kern w:val="0"/>
      <w:sz w:val="20"/>
      <w:szCs w:val="20"/>
    </w:rPr>
  </w:style>
  <w:style w:type="paragraph" w:customStyle="1" w:styleId="121">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2">
    <w:name w:val="正文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23">
    <w:name w:val="文本"/>
    <w:basedOn w:val="116"/>
    <w:qFormat/>
    <w:uiPriority w:val="0"/>
    <w:pPr>
      <w:spacing w:after="0"/>
      <w:ind w:firstLine="420" w:firstLineChars="200"/>
      <w:jc w:val="left"/>
    </w:pPr>
    <w:rPr>
      <w:rFonts w:ascii="宋体" w:hAnsi="宋体"/>
      <w:spacing w:val="0"/>
      <w:kern w:val="2"/>
      <w:sz w:val="21"/>
      <w:szCs w:val="22"/>
    </w:rPr>
  </w:style>
  <w:style w:type="paragraph" w:customStyle="1" w:styleId="124">
    <w:name w:val="Table Paragraph"/>
    <w:basedOn w:val="122"/>
    <w:qFormat/>
    <w:uiPriority w:val="1"/>
    <w:pPr>
      <w:wordWrap/>
      <w:spacing w:line="240" w:lineRule="auto"/>
      <w:jc w:val="left"/>
    </w:pPr>
    <w:rPr>
      <w:rFonts w:ascii="等线" w:hAnsi="等线" w:eastAsia="等线"/>
      <w:kern w:val="0"/>
      <w:sz w:val="22"/>
      <w:lang w:eastAsia="en-US"/>
    </w:rPr>
  </w:style>
  <w:style w:type="paragraph" w:customStyle="1" w:styleId="125">
    <w:name w:val="正文_0_1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6">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H表正"/>
    <w:basedOn w:val="116"/>
    <w:qFormat/>
    <w:uiPriority w:val="0"/>
    <w:pPr>
      <w:widowControl/>
      <w:spacing w:after="0" w:line="240" w:lineRule="auto"/>
      <w:ind w:firstLine="0"/>
    </w:pPr>
    <w:rPr>
      <w:rFonts w:ascii="宋体" w:hAnsi="宋体"/>
      <w:color w:val="000000"/>
      <w:spacing w:val="0"/>
      <w:sz w:val="21"/>
      <w:szCs w:val="21"/>
    </w:rPr>
  </w:style>
  <w:style w:type="paragraph" w:customStyle="1" w:styleId="128">
    <w:name w:val="图形文本一号加粗"/>
    <w:qFormat/>
    <w:uiPriority w:val="0"/>
    <w:pPr>
      <w:jc w:val="center"/>
    </w:pPr>
    <w:rPr>
      <w:rFonts w:ascii="Times New Roman" w:hAnsi="Times New Roman" w:eastAsia="宋体" w:cs="Times New Roman"/>
      <w:b/>
      <w:sz w:val="52"/>
      <w:lang w:val="en-US" w:eastAsia="zh-CN" w:bidi="ar-SA"/>
    </w:rPr>
  </w:style>
  <w:style w:type="paragraph" w:customStyle="1" w:styleId="129">
    <w:name w:val="正文缩进_0"/>
    <w:basedOn w:val="121"/>
    <w:qFormat/>
    <w:uiPriority w:val="0"/>
    <w:pPr>
      <w:wordWrap/>
      <w:autoSpaceDE w:val="0"/>
      <w:autoSpaceDN w:val="0"/>
      <w:spacing w:line="360" w:lineRule="auto"/>
      <w:ind w:left="181" w:firstLine="420"/>
    </w:pPr>
    <w:rPr>
      <w:kern w:val="0"/>
      <w:sz w:val="24"/>
      <w:szCs w:val="20"/>
    </w:rPr>
  </w:style>
  <w:style w:type="paragraph" w:customStyle="1" w:styleId="130">
    <w:name w:val="a"/>
    <w:basedOn w:val="1"/>
    <w:qFormat/>
    <w:uiPriority w:val="0"/>
    <w:pPr>
      <w:widowControl/>
      <w:spacing w:before="100" w:beforeAutospacing="1" w:after="100" w:afterAutospacing="1"/>
      <w:jc w:val="left"/>
    </w:pPr>
    <w:rPr>
      <w:rFonts w:ascii="宋体" w:hAnsi="宋体" w:cs="宋体"/>
      <w:kern w:val="0"/>
      <w:sz w:val="24"/>
    </w:rPr>
  </w:style>
  <w:style w:type="paragraph" w:customStyle="1" w:styleId="131">
    <w:name w:val="正文缩进_1"/>
    <w:basedOn w:val="116"/>
    <w:qFormat/>
    <w:uiPriority w:val="0"/>
    <w:pPr>
      <w:spacing w:before="60" w:after="60"/>
      <w:ind w:firstLine="420"/>
    </w:pPr>
    <w:rPr>
      <w:rFonts w:ascii="宋体"/>
      <w:color w:val="000000"/>
      <w:spacing w:val="0"/>
      <w:kern w:val="2"/>
    </w:rPr>
  </w:style>
  <w:style w:type="paragraph" w:customStyle="1" w:styleId="132">
    <w:name w:val="正文首行缩进1"/>
    <w:basedOn w:val="133"/>
    <w:qFormat/>
    <w:uiPriority w:val="0"/>
    <w:pPr>
      <w:spacing w:after="60" w:line="400" w:lineRule="exact"/>
      <w:ind w:firstLine="476"/>
    </w:pPr>
    <w:rPr>
      <w:kern w:val="2"/>
    </w:rPr>
  </w:style>
  <w:style w:type="paragraph" w:customStyle="1" w:styleId="133">
    <w:name w:val="正文文本_0"/>
    <w:basedOn w:val="116"/>
    <w:qFormat/>
    <w:uiPriority w:val="99"/>
  </w:style>
  <w:style w:type="paragraph" w:customStyle="1" w:styleId="134">
    <w:name w:val="正文_2"/>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5">
    <w:name w:val="正文_1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6">
    <w:name w:val="正文_1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37">
    <w:name w:val="列出段落_1"/>
    <w:basedOn w:val="138"/>
    <w:qFormat/>
    <w:uiPriority w:val="0"/>
    <w:pPr>
      <w:ind w:firstLine="420" w:firstLineChars="200"/>
    </w:pPr>
    <w:rPr>
      <w:rFonts w:ascii="Times New Roman" w:hAnsi="Times New Roman"/>
      <w:sz w:val="20"/>
      <w:szCs w:val="24"/>
    </w:rPr>
  </w:style>
  <w:style w:type="paragraph" w:customStyle="1" w:styleId="138">
    <w:name w:val="正文_1_2"/>
    <w:qFormat/>
    <w:uiPriority w:val="0"/>
    <w:rPr>
      <w:rFonts w:ascii="Calibri" w:hAnsi="Calibri" w:eastAsia="宋体" w:cs="Times New Roman"/>
      <w:sz w:val="21"/>
      <w:lang w:val="en-US" w:eastAsia="zh-CN" w:bidi="ar-SA"/>
    </w:rPr>
  </w:style>
  <w:style w:type="paragraph" w:customStyle="1" w:styleId="139">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0">
    <w:name w:val="列出段落_0"/>
    <w:basedOn w:val="138"/>
    <w:qFormat/>
    <w:uiPriority w:val="0"/>
    <w:pPr>
      <w:ind w:firstLine="420" w:firstLineChars="200"/>
    </w:pPr>
    <w:rPr>
      <w:rFonts w:ascii="Times New Roman" w:hAnsi="Times New Roman"/>
      <w:sz w:val="20"/>
      <w:szCs w:val="24"/>
    </w:rPr>
  </w:style>
  <w:style w:type="paragraph" w:customStyle="1" w:styleId="141">
    <w:name w:val="正文_0_0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2">
    <w:name w:val="正文_1_0_0"/>
    <w:qFormat/>
    <w:uiPriority w:val="0"/>
    <w:pPr>
      <w:widowControl w:val="0"/>
      <w:wordWrap w:val="0"/>
      <w:spacing w:line="400" w:lineRule="exact"/>
      <w:contextualSpacing/>
      <w:jc w:val="both"/>
    </w:pPr>
    <w:rPr>
      <w:rFonts w:ascii="Calibri" w:hAnsi="Calibri" w:eastAsia="宋体" w:cs="Times New Roman"/>
      <w:kern w:val="2"/>
      <w:sz w:val="21"/>
      <w:szCs w:val="22"/>
      <w:lang w:val="en-US" w:eastAsia="zh-CN" w:bidi="ar-SA"/>
    </w:rPr>
  </w:style>
  <w:style w:type="paragraph" w:customStyle="1" w:styleId="143">
    <w:name w:val="正文_3"/>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45">
    <w:name w:val="列出段落3"/>
    <w:basedOn w:val="1"/>
    <w:unhideWhenUsed/>
    <w:qFormat/>
    <w:uiPriority w:val="99"/>
    <w:pPr>
      <w:ind w:firstLine="420" w:firstLineChars="200"/>
    </w:pPr>
  </w:style>
  <w:style w:type="paragraph" w:customStyle="1" w:styleId="146">
    <w:name w:val="列出段落4"/>
    <w:basedOn w:val="1"/>
    <w:unhideWhenUsed/>
    <w:qFormat/>
    <w:uiPriority w:val="99"/>
    <w:pPr>
      <w:ind w:firstLine="420" w:firstLineChars="200"/>
    </w:pPr>
  </w:style>
  <w:style w:type="paragraph" w:customStyle="1" w:styleId="147">
    <w:name w:val="符号列表"/>
    <w:basedOn w:val="1"/>
    <w:next w:val="78"/>
    <w:qFormat/>
    <w:uiPriority w:val="34"/>
    <w:pPr>
      <w:spacing w:line="500" w:lineRule="exact"/>
      <w:ind w:firstLine="480" w:firstLineChars="200"/>
    </w:pPr>
    <w:rPr>
      <w:rFonts w:eastAsia="仿宋_GB2312"/>
      <w:sz w:val="24"/>
      <w:szCs w:val="20"/>
    </w:rPr>
  </w:style>
  <w:style w:type="paragraph" w:customStyle="1" w:styleId="148">
    <w:name w:val="标题 3_0"/>
    <w:basedOn w:val="118"/>
    <w:next w:val="119"/>
    <w:qFormat/>
    <w:uiPriority w:val="0"/>
    <w:pPr>
      <w:pageBreakBefore w:val="0"/>
      <w:numPr>
        <w:ilvl w:val="2"/>
        <w:numId w:val="1"/>
      </w:numPr>
      <w:spacing w:before="60" w:line="240" w:lineRule="auto"/>
      <w:jc w:val="left"/>
      <w:outlineLvl w:val="2"/>
    </w:pPr>
    <w:rPr>
      <w:rFonts w:ascii="Calibri" w:hAnsi="Calibri"/>
      <w:spacing w:val="0"/>
      <w:kern w:val="2"/>
      <w:sz w:val="28"/>
      <w:szCs w:val="24"/>
      <w:lang w:val="zh-CN"/>
    </w:rPr>
  </w:style>
  <w:style w:type="paragraph" w:customStyle="1" w:styleId="149">
    <w:name w:val="列项●（二级）"/>
    <w:qFormat/>
    <w:uiPriority w:val="0"/>
    <w:pPr>
      <w:tabs>
        <w:tab w:val="left" w:pos="425"/>
        <w:tab w:val="left" w:pos="760"/>
        <w:tab w:val="left" w:pos="840"/>
      </w:tabs>
      <w:ind w:left="425" w:hanging="425"/>
      <w:jc w:val="both"/>
    </w:pPr>
    <w:rPr>
      <w:rFonts w:ascii="宋体" w:hAnsiTheme="minorHAnsi" w:eastAsiaTheme="minorEastAsia" w:cstheme="minorBidi"/>
      <w:sz w:val="21"/>
      <w:szCs w:val="22"/>
      <w:lang w:val="en-US" w:eastAsia="zh-CN" w:bidi="ar-SA"/>
    </w:rPr>
  </w:style>
  <w:style w:type="paragraph" w:customStyle="1" w:styleId="150">
    <w:name w:val="正文缩进1"/>
    <w:basedOn w:val="116"/>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1">
    <w:name w:val="正文缩进11"/>
    <w:basedOn w:val="116"/>
    <w:qFormat/>
    <w:uiPriority w:val="0"/>
    <w:pPr>
      <w:autoSpaceDE w:val="0"/>
      <w:autoSpaceDN w:val="0"/>
      <w:spacing w:after="0" w:line="240" w:lineRule="auto"/>
      <w:ind w:left="181" w:firstLine="420"/>
    </w:pPr>
    <w:rPr>
      <w:rFonts w:ascii="Calibri" w:hAnsi="Calibri"/>
      <w:spacing w:val="0"/>
      <w:kern w:val="2"/>
      <w:sz w:val="21"/>
      <w:szCs w:val="24"/>
    </w:rPr>
  </w:style>
  <w:style w:type="paragraph" w:customStyle="1" w:styleId="152">
    <w:name w:val="列出段落5"/>
    <w:basedOn w:val="1"/>
    <w:unhideWhenUsed/>
    <w:qFormat/>
    <w:uiPriority w:val="99"/>
    <w:pPr>
      <w:ind w:firstLine="420" w:firstLineChars="200"/>
    </w:pPr>
  </w:style>
  <w:style w:type="paragraph" w:customStyle="1" w:styleId="153">
    <w:name w:val="列出段落6"/>
    <w:basedOn w:val="1"/>
    <w:unhideWhenUsed/>
    <w:qFormat/>
    <w:uiPriority w:val="99"/>
    <w:pPr>
      <w:ind w:firstLine="420" w:firstLineChars="200"/>
    </w:pPr>
  </w:style>
  <w:style w:type="paragraph" w:customStyle="1" w:styleId="154">
    <w:name w:val="修订6"/>
    <w:hidden/>
    <w:unhideWhenUsed/>
    <w:qFormat/>
    <w:uiPriority w:val="99"/>
    <w:rPr>
      <w:rFonts w:ascii="Times New Roman" w:hAnsi="Times New Roman" w:eastAsia="宋体" w:cs="Times New Roman"/>
      <w:kern w:val="2"/>
      <w:sz w:val="21"/>
      <w:szCs w:val="24"/>
      <w:lang w:val="en-US" w:eastAsia="zh-CN" w:bidi="ar-SA"/>
    </w:rPr>
  </w:style>
  <w:style w:type="paragraph" w:styleId="155">
    <w:name w:val="List Paragraph"/>
    <w:basedOn w:val="1"/>
    <w:unhideWhenUsed/>
    <w:qFormat/>
    <w:uiPriority w:val="0"/>
    <w:pPr>
      <w:ind w:firstLine="420" w:firstLineChars="200"/>
    </w:pPr>
  </w:style>
  <w:style w:type="paragraph" w:customStyle="1" w:styleId="156">
    <w:name w:val="修订7"/>
    <w:hidden/>
    <w:semiHidden/>
    <w:qFormat/>
    <w:uiPriority w:val="99"/>
    <w:rPr>
      <w:rFonts w:ascii="Times New Roman" w:hAnsi="Times New Roman" w:eastAsia="宋体" w:cs="Times New Roman"/>
      <w:kern w:val="2"/>
      <w:sz w:val="21"/>
      <w:szCs w:val="24"/>
      <w:lang w:val="en-US" w:eastAsia="zh-CN" w:bidi="ar-SA"/>
    </w:rPr>
  </w:style>
  <w:style w:type="paragraph" w:customStyle="1" w:styleId="157">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58">
    <w:name w:val="s11"/>
    <w:qFormat/>
    <w:uiPriority w:val="0"/>
    <w:rPr>
      <w:rFonts w:ascii="ˎ̥" w:hAnsi="ˎ̥" w:cs="宋体"/>
      <w:b/>
      <w:color w:val="51585D"/>
      <w:kern w:val="0"/>
      <w:sz w:val="24"/>
      <w:szCs w:val="18"/>
    </w:rPr>
  </w:style>
  <w:style w:type="character" w:customStyle="1" w:styleId="159">
    <w:name w:val="s41"/>
    <w:basedOn w:val="42"/>
    <w:qFormat/>
    <w:uiPriority w:val="0"/>
    <w:rPr>
      <w:rFonts w:ascii="ˎ̥" w:hAnsi="ˎ̥" w:cs="宋体"/>
      <w:color w:val="51585D"/>
      <w:kern w:val="0"/>
      <w:sz w:val="24"/>
      <w:szCs w:val="18"/>
    </w:rPr>
  </w:style>
  <w:style w:type="paragraph" w:customStyle="1" w:styleId="160">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61">
    <w:name w:val="p7"/>
    <w:basedOn w:val="1"/>
    <w:qFormat/>
    <w:uiPriority w:val="0"/>
    <w:pPr>
      <w:spacing w:before="100" w:after="100"/>
      <w:ind w:left="420" w:hanging="420"/>
      <w:jc w:val="left"/>
    </w:pPr>
    <w:rPr>
      <w:rFonts w:ascii="微软雅黑" w:hAnsi="微软雅黑" w:eastAsia="微软雅黑"/>
      <w:kern w:val="0"/>
      <w:sz w:val="32"/>
      <w:szCs w:val="32"/>
    </w:rPr>
  </w:style>
  <w:style w:type="paragraph" w:customStyle="1" w:styleId="162">
    <w:name w:val="缺省文本"/>
    <w:basedOn w:val="1"/>
    <w:qFormat/>
    <w:uiPriority w:val="0"/>
    <w:pPr>
      <w:autoSpaceDE w:val="0"/>
      <w:autoSpaceDN w:val="0"/>
      <w:adjustRightInd w:val="0"/>
      <w:jc w:val="left"/>
    </w:pPr>
    <w:rPr>
      <w:kern w:val="0"/>
      <w:sz w:val="24"/>
    </w:rPr>
  </w:style>
  <w:style w:type="character" w:customStyle="1" w:styleId="163">
    <w:name w:val="无"/>
    <w:qFormat/>
    <w:uiPriority w:val="0"/>
  </w:style>
  <w:style w:type="character" w:customStyle="1" w:styleId="164">
    <w:name w:val="标题 3 字符1"/>
    <w:link w:val="5"/>
    <w:qFormat/>
    <w:uiPriority w:val="0"/>
    <w:rPr>
      <w:b/>
    </w:rPr>
  </w:style>
  <w:style w:type="character" w:customStyle="1" w:styleId="165">
    <w:name w:val="font51"/>
    <w:basedOn w:val="42"/>
    <w:qFormat/>
    <w:uiPriority w:val="0"/>
    <w:rPr>
      <w:rFonts w:hint="eastAsia" w:ascii="宋体" w:hAnsi="宋体" w:eastAsia="宋体" w:cs="宋体"/>
      <w:color w:val="000000"/>
      <w:sz w:val="22"/>
      <w:szCs w:val="22"/>
      <w:u w:val="none"/>
      <w:vertAlign w:val="superscript"/>
    </w:rPr>
  </w:style>
  <w:style w:type="character" w:customStyle="1" w:styleId="166">
    <w:name w:val="p141_0"/>
    <w:qFormat/>
    <w:uiPriority w:val="0"/>
    <w:rPr>
      <w:rFonts w:ascii="Calibri" w:hAnsi="Calibri"/>
      <w:sz w:val="21"/>
      <w:szCs w:val="21"/>
    </w:rPr>
  </w:style>
  <w:style w:type="character" w:customStyle="1" w:styleId="167">
    <w:name w:val="ca-2"/>
    <w:basedOn w:val="42"/>
    <w:qFormat/>
    <w:uiPriority w:val="0"/>
  </w:style>
  <w:style w:type="paragraph" w:customStyle="1" w:styleId="168">
    <w:name w:val="合同条款A"/>
    <w:basedOn w:val="1"/>
    <w:qFormat/>
    <w:uiPriority w:val="0"/>
    <w:pPr>
      <w:tabs>
        <w:tab w:val="left" w:pos="567"/>
      </w:tabs>
      <w:spacing w:after="240"/>
      <w:ind w:left="567" w:hanging="567"/>
      <w:outlineLvl w:val="0"/>
    </w:pPr>
    <w:rPr>
      <w:rFonts w:ascii="黑体" w:eastAsia="黑体"/>
      <w:b/>
      <w:szCs w:val="20"/>
    </w:rPr>
  </w:style>
  <w:style w:type="paragraph" w:customStyle="1" w:styleId="169">
    <w:name w:val="正文（政数局）"/>
    <w:basedOn w:val="1"/>
    <w:qFormat/>
    <w:uiPriority w:val="0"/>
    <w:pPr>
      <w:spacing w:line="400" w:lineRule="exact"/>
      <w:ind w:firstLine="200" w:firstLineChars="200"/>
      <w:contextualSpacing/>
    </w:pPr>
    <w:rPr>
      <w:rFonts w:ascii="仿宋_GB2312" w:hAnsi="仿宋_GB2312" w:eastAsia="仿宋_GB2312" w:cs="仿宋_GB2312"/>
      <w:sz w:val="24"/>
    </w:rPr>
  </w:style>
  <w:style w:type="paragraph" w:customStyle="1" w:styleId="170">
    <w:name w:val="_Style 3"/>
    <w:basedOn w:val="1"/>
    <w:qFormat/>
    <w:uiPriority w:val="0"/>
    <w:pPr>
      <w:ind w:firstLine="420" w:firstLineChars="200"/>
    </w:pPr>
    <w:rPr>
      <w:rFonts w:ascii="Calibri" w:hAnsi="Calibri"/>
      <w:sz w:val="20"/>
    </w:rPr>
  </w:style>
  <w:style w:type="paragraph" w:customStyle="1" w:styleId="171">
    <w:name w:val="List Paragraph1"/>
    <w:basedOn w:val="1"/>
    <w:qFormat/>
    <w:uiPriority w:val="99"/>
    <w:pPr>
      <w:ind w:firstLine="420" w:firstLineChars="200"/>
    </w:pPr>
  </w:style>
  <w:style w:type="paragraph" w:customStyle="1" w:styleId="172">
    <w:name w:val="Body text|1"/>
    <w:basedOn w:val="1"/>
    <w:qFormat/>
    <w:uiPriority w:val="0"/>
    <w:pPr>
      <w:widowControl w:val="0"/>
      <w:shd w:val="clear" w:color="auto" w:fill="auto"/>
      <w:spacing w:after="180"/>
      <w:ind w:firstLine="34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84</Pages>
  <Words>47324</Words>
  <Characters>52320</Characters>
  <Lines>270</Lines>
  <Paragraphs>76</Paragraphs>
  <TotalTime>50</TotalTime>
  <ScaleCrop>false</ScaleCrop>
  <LinksUpToDate>false</LinksUpToDate>
  <CharactersWithSpaces>54429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2022-12-14T02:22:00Z</dcterms:created>
  <dc:creator>MIIT</dc:creator>
  <cp:lastModifiedBy>张雪健</cp:lastModifiedBy>
  <cp:lastPrinted>2023-04-12T02:31:00Z</cp:lastPrinted>
  <dcterms:modified xsi:type="dcterms:W3CDTF">2023-04-12T08:13:03Z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5550C4C260444C7991FC9B0281DCD967_13</vt:lpwstr>
  </property>
</Properties>
</file>