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2025年百色市田阳区农产品产销推介服务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项目</w:t>
      </w:r>
    </w:p>
    <w:p>
      <w:pPr>
        <w:spacing w:line="276" w:lineRule="auto"/>
        <w:jc w:val="center"/>
        <w:rPr>
          <w:rFonts w:hint="eastAsia" w:ascii="仿宋" w:hAnsi="仿宋" w:eastAsia="仿宋" w:cs="仿宋"/>
          <w:b/>
          <w:bCs/>
          <w:sz w:val="44"/>
          <w:szCs w:val="44"/>
          <w:highlight w:val="none"/>
          <w:shd w:val="clear" w:color="auto" w:fill="FFFFFF"/>
        </w:rPr>
      </w:pPr>
    </w:p>
    <w:p>
      <w:pPr>
        <w:pStyle w:val="6"/>
        <w:rPr>
          <w:rFonts w:hint="eastAsia" w:ascii="仿宋" w:hAnsi="仿宋" w:eastAsia="仿宋" w:cs="仿宋"/>
          <w:b/>
          <w:bCs/>
          <w:sz w:val="44"/>
          <w:szCs w:val="44"/>
          <w:highlight w:val="none"/>
          <w:shd w:val="clear" w:color="auto" w:fill="FFFFFF"/>
        </w:rPr>
      </w:pPr>
    </w:p>
    <w:p>
      <w:pPr>
        <w:pStyle w:val="6"/>
        <w:rPr>
          <w:rFonts w:hint="eastAsia"/>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486" w:bottom="1440" w:left="1800" w:header="851" w:footer="992" w:gutter="0"/>
          <w:pgNumType w:fmt="decimal"/>
          <w:cols w:space="425" w:num="1"/>
          <w:titlePg/>
          <w:docGrid w:type="lines" w:linePitch="312" w:charSpace="0"/>
        </w:sectPr>
      </w:pPr>
      <w:bookmarkStart w:id="0" w:name="_Toc1651923"/>
      <w:bookmarkStart w:id="1" w:name="_Toc54357675"/>
    </w:p>
    <w:bookmarkEnd w:id="0"/>
    <w:bookmarkEnd w:id="1"/>
    <w:p>
      <w:pPr>
        <w:pStyle w:val="12"/>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2025年百色市田阳区农产品产销推介服务项目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5"/>
        <w:tblW w:w="9800" w:type="dxa"/>
        <w:tblInd w:w="-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98"/>
        <w:gridCol w:w="3784"/>
        <w:gridCol w:w="666"/>
        <w:gridCol w:w="886"/>
        <w:gridCol w:w="13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800" w:type="dxa"/>
            <w:gridSpan w:val="7"/>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b/>
                <w:bCs/>
                <w:color w:val="000000"/>
                <w:sz w:val="22"/>
                <w:szCs w:val="24"/>
              </w:rPr>
              <w:t>一、2025年百色市田阳区“壮山农鲜”（芒果）走进粤港澳大湾区品牌消费季产销对接会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66"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序号</w:t>
            </w:r>
          </w:p>
        </w:tc>
        <w:tc>
          <w:tcPr>
            <w:tcW w:w="1298"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类别</w:t>
            </w:r>
          </w:p>
        </w:tc>
        <w:tc>
          <w:tcPr>
            <w:tcW w:w="3784"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内容明细</w:t>
            </w:r>
          </w:p>
        </w:tc>
        <w:tc>
          <w:tcPr>
            <w:tcW w:w="666"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单位</w:t>
            </w:r>
          </w:p>
        </w:tc>
        <w:tc>
          <w:tcPr>
            <w:tcW w:w="886"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数量</w:t>
            </w:r>
          </w:p>
        </w:tc>
        <w:tc>
          <w:tcPr>
            <w:tcW w:w="1300" w:type="dxa"/>
            <w:tcBorders>
              <w:tl2br w:val="nil"/>
              <w:tr2bl w:val="nil"/>
            </w:tcBorders>
            <w:noWrap w:val="0"/>
            <w:vAlign w:val="top"/>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单价</w:t>
            </w:r>
          </w:p>
        </w:tc>
        <w:tc>
          <w:tcPr>
            <w:tcW w:w="1100" w:type="dxa"/>
            <w:tcBorders>
              <w:tl2br w:val="nil"/>
              <w:tr2bl w:val="nil"/>
            </w:tcBorders>
            <w:noWrap w:val="0"/>
            <w:vAlign w:val="top"/>
          </w:tcPr>
          <w:p>
            <w:pPr>
              <w:spacing w:beforeLines="0" w:afterLines="0"/>
              <w:jc w:val="center"/>
              <w:rPr>
                <w:rFonts w:hint="default" w:ascii="仿宋" w:hAnsi="仿宋" w:eastAsia="仿宋"/>
                <w:color w:val="000000"/>
                <w:sz w:val="22"/>
                <w:szCs w:val="24"/>
                <w:lang w:val="en-US" w:eastAsia="zh-CN"/>
              </w:rPr>
            </w:pPr>
            <w:r>
              <w:rPr>
                <w:rFonts w:hint="eastAsia" w:ascii="仿宋" w:hAnsi="仿宋" w:eastAsia="仿宋"/>
                <w:color w:val="000000"/>
                <w:sz w:val="22"/>
                <w:szCs w:val="24"/>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会场租赁</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活动地点暂定广州北京路恒润广场，面积不少于1000㎡，租赁时长不少于2天，含搭建时间、场地报批、安保安排和保洁服务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活动设计服务</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推介会KV设计、3D展区设计、施工图及延展物料设计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舞台</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钢木结构舞台，夹板找平，含地毯，22m*6m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132</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两侧楣板</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左侧楣板2.5m*2.5m、右侧楣板2.5m*2.5m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12.5</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led屏幕</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P3户外led屏幕  15m*（H）4m(硬弧），含分屏器+锁屏器+控屏师傅</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60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6</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舞台楼梯</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两侧2级楼梯，木结构，含地毯，3.1m*0.4m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7</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讲台</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讲台租赁+包边</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8</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音响设备</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单15音箱，配套麦克风、调音台，满足不少于1000㎡规模使用，含调音师</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9</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灯光设备</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灯柱，2条4米灯柱+6盏led帕灯，含灯光师</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10</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贵宾椅</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90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张</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11</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歌舞表演</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表演2个，不少于10人，含服饰、化妆、彩排+正式活动</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12</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农产品采购</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用于展示、品鉴、游戏奖品，包含但不限于新鲜芒果200斤、不少于100份芒果礼盒（每盒约4-5斤、芒果干108g/芒果酥100g，120包</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13</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摊位</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2m*2m帐篷摊位特色帐篷+KT板装饰包边+门头大KT板+木结构造型+彩灯带三面装饰，里面IBM陈列桌子+椅子2张</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15</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14</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签到区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桁架背板+双面KT板包边，尺寸5m*3m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15</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15</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打卡区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桁架背板+双面KT板包边，尺寸5m*3m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15</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16</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延展物料</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打卡手举牌:异形KT板，60cm*40cm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17</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饮用水</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瓶装水250ml,不少于200瓶，满足不少于90人饮用</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18</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数字人软件开发及制作</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供现场嘉宾、市民互动普及广西芒果品种、种植等知识，含专属形象及声音定制：1、声音克隆：2、形象克隆；3、听、说、看捕捉系统：提供语音识别（ASR）调用能力，需内置多模态感知模组，通过语音唤醒启动对话等；4、大脑：（1）大模型（Deepseek或通义千问）（2）知识库：支持自助上传知识库，并问答配置；5、后台管理平台：提供数字人智能交互管理平台，用户可自主配置知识库、人设、数字人、背景、实时交互调试等；支持数字人模型管理、对话管理、应答模块</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19</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媒体邀请</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省级及以上不少于5家媒体，分发不少于5篇次，含差旅</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20</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执行人员</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工作人员，负责活动统筹、物料统筹、接待统筹，指引互动、维持秩序，服务为期1天，人均限价不超过450元</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位</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21</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主持人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市级及以上主持人，含服饰、化妆、彩排+正式活动</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位</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22</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礼仪</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负责指引嘉宾就坐、上台等，含服饰、化妆、彩排+正式活动，人均限价不超过450元</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位</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23</w:t>
            </w:r>
          </w:p>
        </w:tc>
        <w:tc>
          <w:tcPr>
            <w:tcW w:w="1298" w:type="dxa"/>
            <w:vMerge w:val="restart"/>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嘉宾食宿、交通</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嘉宾围餐，主要用于报到当天晚餐，会议当天午餐和晚餐，每人每餐次餐标为100元，60人次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24</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嘉宾住宿，单人间/双人间(含早)，40间次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25</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高铁:百色-广州，往返20人</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26</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活动期前后接送参会人员，提供不少于一辆35座中巴，配司机，含油费和过路费，为期3天，每天每台次服务时间约5小时，超时另计</w:t>
            </w:r>
          </w:p>
        </w:tc>
        <w:tc>
          <w:tcPr>
            <w:tcW w:w="666" w:type="dxa"/>
            <w:tcBorders>
              <w:tl2br w:val="nil"/>
              <w:tr2bl w:val="nil"/>
            </w:tcBorders>
            <w:noWrap w:val="0"/>
            <w:vAlign w:val="center"/>
          </w:tcPr>
          <w:p>
            <w:pPr>
              <w:spacing w:beforeLines="0" w:afterLines="0"/>
              <w:jc w:val="center"/>
              <w:rPr>
                <w:rFonts w:hint="eastAsia" w:ascii="宋体" w:hAnsi="宋体"/>
                <w:color w:val="000000"/>
                <w:sz w:val="22"/>
                <w:szCs w:val="24"/>
              </w:rPr>
            </w:pPr>
            <w:r>
              <w:rPr>
                <w:rFonts w:hint="eastAsia" w:ascii="宋体" w:hAnsi="宋体"/>
                <w:color w:val="000000"/>
                <w:sz w:val="22"/>
                <w:szCs w:val="24"/>
              </w:rPr>
              <w:t>3</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台次</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27</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电路、线路辅件</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手提防水配电箱和电线设备、电线压槽100m，每个点位设置排插</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28</w:t>
            </w:r>
          </w:p>
        </w:tc>
        <w:tc>
          <w:tcPr>
            <w:tcW w:w="1298" w:type="dxa"/>
            <w:vMerge w:val="restart"/>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搭建和运输</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安装10人、撤场8人（按场地方要求通宵、静音搭建）</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29</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物料运输,往返2次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400" w:type="dxa"/>
            <w:gridSpan w:val="5"/>
            <w:tcBorders>
              <w:tl2br w:val="nil"/>
              <w:tr2bl w:val="nil"/>
            </w:tcBorders>
            <w:noWrap w:val="0"/>
            <w:vAlign w:val="center"/>
          </w:tcPr>
          <w:p>
            <w:pPr>
              <w:spacing w:beforeLines="0" w:afterLines="0"/>
              <w:jc w:val="center"/>
              <w:rPr>
                <w:rFonts w:hint="eastAsia" w:ascii="仿宋" w:hAnsi="仿宋" w:eastAsia="仿宋"/>
                <w:b/>
                <w:color w:val="000000"/>
                <w:sz w:val="22"/>
                <w:szCs w:val="24"/>
              </w:rPr>
            </w:pPr>
            <w:r>
              <w:rPr>
                <w:rFonts w:hint="eastAsia" w:ascii="仿宋" w:hAnsi="仿宋" w:eastAsia="仿宋"/>
                <w:b/>
                <w:color w:val="000000"/>
                <w:sz w:val="22"/>
                <w:szCs w:val="24"/>
              </w:rPr>
              <w:t>小计</w:t>
            </w:r>
          </w:p>
        </w:tc>
        <w:tc>
          <w:tcPr>
            <w:tcW w:w="2400" w:type="dxa"/>
            <w:gridSpan w:val="2"/>
            <w:tcBorders>
              <w:tl2br w:val="nil"/>
              <w:tr2bl w:val="nil"/>
            </w:tcBorders>
            <w:noWrap w:val="0"/>
            <w:vAlign w:val="center"/>
          </w:tcPr>
          <w:p>
            <w:pPr>
              <w:spacing w:beforeLines="0" w:afterLines="0"/>
              <w:jc w:val="both"/>
              <w:rPr>
                <w:rFonts w:hint="eastAsia" w:ascii="仿宋" w:hAnsi="仿宋" w:eastAsia="仿宋"/>
                <w:b/>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800" w:type="dxa"/>
            <w:gridSpan w:val="7"/>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b/>
                <w:bCs/>
                <w:color w:val="000000"/>
                <w:sz w:val="22"/>
                <w:szCs w:val="24"/>
              </w:rPr>
              <w:t>二、2025年百色市田阳区“壮山农鲜”农特产品融湾巡礼（珠海）专场展销会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序号</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类别</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内容明细</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单位</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数量</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单价</w:t>
            </w: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lang w:eastAsia="zh-CN"/>
              </w:rPr>
            </w:pPr>
            <w:r>
              <w:rPr>
                <w:rFonts w:hint="eastAsia" w:ascii="仿宋" w:hAnsi="仿宋" w:eastAsia="仿宋"/>
                <w:color w:val="000000"/>
                <w:sz w:val="22"/>
                <w:szCs w:val="24"/>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30</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场地租赁</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活动地点在珠海，具体位置待定，面积不少于500㎡，租赁时长不少于1天，含搭建时间、场地报批、安保安排和保洁服务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31</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活动设计服务</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推介会KV设计、3D展区设计、施工图及延展物料设计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套</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32</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舞台背板</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网格背板，四周发光灯带，中间发光主题字，KT板装饰8块，单块尺寸：3.5m*2m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56</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33</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舞台地台</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木制地台+铁条加固+地贴，尺寸：4m*3m*20cm，含地毯</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12</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34</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灯光设备</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四根灯光立柱打光全场，高4m，16盏led灯2.每个摊位布置灯光</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35</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音响设备</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音响和麦克风，用于乐队演出，满足不少于500㎡场地规模使用，含调音师</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36</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露营椅子</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张</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37</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门头</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桁架结构+双面KT板包边和装饰，尺寸10m*4m*1m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平方米</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38</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帐篷摊位</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帐篷摊位：2m*2m帐篷摊位白色帐篷+KT板装饰包边+门头大KT板+彩灯带三面装饰，里面IBM陈列桌子+椅子2张</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10</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39</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互动游戏区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铝制支架和称重台+5块KT板（60cm*40cm）装饰+IBM桌子+2张椅子</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40</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互动游戏区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桁架背板+双面KT板包边，尺寸：1.8m*3m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2</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41</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互动游戏区</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绣球道具，直径8cm 15个+篮子</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42</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打卡区1</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镂空木结构装饰背胶+铁制烤漆指引站牌 KT板装饰，地面地贴：4m*1.5m、整体尺寸：4m*3m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43</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企业展板</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桁架背板和KT板双面包边，射灯打光，4m*3m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44</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互动规则画架</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画架+KT板80cm*60cm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45</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延展物料</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打卡手举牌:异形KT板  60cm*40cm</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12</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个</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46</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饮用水</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瓶装水250ml,不少于200瓶；饮用矿泉水5L，共20桶，满足不少于90人饮用</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47</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节目表演</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不少于4个节目，约12人次，每个节目30分钟</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48</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媒体邀请</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省级及以上不少于5家媒体，分发不少于5篇次，含差旅</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49</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农产品采购</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用于展示、品鉴，包含但不限于新鲜芒果700斤、不少于50份芒果礼盒（每盒约4-5斤，包括但不限于新鲜芒果、田阳芒果制品）、芒果干108g/芒果酥100g，600包</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50</w:t>
            </w:r>
          </w:p>
        </w:tc>
        <w:tc>
          <w:tcPr>
            <w:tcW w:w="1298" w:type="dxa"/>
            <w:vMerge w:val="restart"/>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嘉宾食宿、交通</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嘉宾围餐，主要用于报到当天晚餐，会议当天午餐和晚餐，每人每餐次餐标为100元，75人次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51</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嘉宾住宿，单人间/双人间(含早)，50间次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52</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高铁:百色-珠海，往返25人</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53</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活动期前后接送参会人员，提供不少于一辆35座中巴，配司机，含油费和过路费，为期3天，每天每台次服务时间约5小时，超时另计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3</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台次</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54</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执行人员</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工作人员，负责活动统筹、物料统筹、接待统筹，指引互动、维持秩序，服务为期1天，人均限价不超过450元</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8</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位</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55</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电路、线路辅件</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手提防水配电箱和电线设备、电线压槽100m，每个点位设置排插</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56</w:t>
            </w:r>
          </w:p>
        </w:tc>
        <w:tc>
          <w:tcPr>
            <w:tcW w:w="1298" w:type="dxa"/>
            <w:vMerge w:val="restart"/>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搭建和运输</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安装10人、撤场8人（按场地方要求通宵、静音搭建）</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57</w:t>
            </w:r>
          </w:p>
        </w:tc>
        <w:tc>
          <w:tcPr>
            <w:tcW w:w="1298" w:type="dxa"/>
            <w:vMerge w:val="continue"/>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物料运输,往返2次</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400" w:type="dxa"/>
            <w:gridSpan w:val="5"/>
            <w:tcBorders>
              <w:tl2br w:val="nil"/>
              <w:tr2bl w:val="nil"/>
            </w:tcBorders>
            <w:noWrap w:val="0"/>
            <w:vAlign w:val="center"/>
          </w:tcPr>
          <w:p>
            <w:pPr>
              <w:spacing w:beforeLines="0" w:afterLines="0"/>
              <w:jc w:val="center"/>
              <w:rPr>
                <w:rFonts w:hint="eastAsia" w:ascii="仿宋" w:hAnsi="仿宋" w:eastAsia="仿宋"/>
                <w:b/>
                <w:color w:val="000000"/>
                <w:sz w:val="22"/>
                <w:szCs w:val="24"/>
              </w:rPr>
            </w:pPr>
            <w:r>
              <w:rPr>
                <w:rFonts w:hint="eastAsia" w:ascii="仿宋" w:hAnsi="仿宋" w:eastAsia="仿宋"/>
                <w:b/>
                <w:color w:val="000000"/>
                <w:sz w:val="22"/>
                <w:szCs w:val="24"/>
              </w:rPr>
              <w:t>小计</w:t>
            </w:r>
          </w:p>
        </w:tc>
        <w:tc>
          <w:tcPr>
            <w:tcW w:w="2400" w:type="dxa"/>
            <w:gridSpan w:val="2"/>
            <w:tcBorders>
              <w:tl2br w:val="nil"/>
              <w:tr2bl w:val="nil"/>
            </w:tcBorders>
            <w:noWrap w:val="0"/>
            <w:vAlign w:val="center"/>
          </w:tcPr>
          <w:p>
            <w:pPr>
              <w:spacing w:beforeLines="0" w:afterLines="0"/>
              <w:jc w:val="both"/>
              <w:rPr>
                <w:rFonts w:hint="eastAsia" w:ascii="仿宋" w:hAnsi="仿宋" w:eastAsia="仿宋"/>
                <w:b/>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800" w:type="dxa"/>
            <w:gridSpan w:val="7"/>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b/>
                <w:bCs/>
                <w:color w:val="000000"/>
                <w:sz w:val="22"/>
                <w:szCs w:val="24"/>
              </w:rPr>
              <w:t>三、地铁广告投放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序号</w:t>
            </w:r>
          </w:p>
        </w:tc>
        <w:tc>
          <w:tcPr>
            <w:tcW w:w="1298"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类别</w:t>
            </w:r>
          </w:p>
        </w:tc>
        <w:tc>
          <w:tcPr>
            <w:tcW w:w="3784"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内容明细</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单位</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数量</w:t>
            </w:r>
          </w:p>
        </w:tc>
        <w:tc>
          <w:tcPr>
            <w:tcW w:w="1300"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单价</w:t>
            </w:r>
          </w:p>
        </w:tc>
        <w:tc>
          <w:tcPr>
            <w:tcW w:w="1100" w:type="dxa"/>
            <w:tcBorders>
              <w:tl2br w:val="nil"/>
              <w:tr2bl w:val="nil"/>
            </w:tcBorders>
            <w:noWrap w:val="0"/>
            <w:vAlign w:val="center"/>
          </w:tcPr>
          <w:p>
            <w:pPr>
              <w:spacing w:beforeLines="0" w:afterLines="0"/>
              <w:jc w:val="center"/>
              <w:rPr>
                <w:rFonts w:hint="eastAsia" w:ascii="仿宋" w:hAnsi="仿宋" w:eastAsia="仿宋"/>
                <w:color w:val="000000"/>
                <w:sz w:val="22"/>
                <w:szCs w:val="24"/>
                <w:lang w:eastAsia="zh-CN"/>
              </w:rPr>
            </w:pPr>
            <w:r>
              <w:rPr>
                <w:rFonts w:hint="eastAsia" w:ascii="仿宋" w:hAnsi="仿宋" w:eastAsia="仿宋"/>
                <w:color w:val="000000"/>
                <w:sz w:val="22"/>
                <w:szCs w:val="24"/>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7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58</w:t>
            </w:r>
          </w:p>
        </w:tc>
        <w:tc>
          <w:tcPr>
            <w:tcW w:w="1298"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地铁广告投放</w:t>
            </w:r>
          </w:p>
        </w:tc>
        <w:tc>
          <w:tcPr>
            <w:tcW w:w="3784"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r>
              <w:rPr>
                <w:rFonts w:hint="eastAsia" w:ascii="仿宋" w:hAnsi="仿宋" w:eastAsia="仿宋"/>
                <w:color w:val="000000"/>
                <w:sz w:val="22"/>
                <w:szCs w:val="24"/>
              </w:rPr>
              <w:t>在广州地铁不少于5个站点投放百色农产品广告，包括但不限于十二封灯箱，不少于10个灯箱A+级别，投放时间为1个月（含发布费、媒体制作费）</w:t>
            </w:r>
          </w:p>
        </w:tc>
        <w:tc>
          <w:tcPr>
            <w:tcW w:w="66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1</w:t>
            </w:r>
          </w:p>
        </w:tc>
        <w:tc>
          <w:tcPr>
            <w:tcW w:w="886" w:type="dxa"/>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color w:val="000000"/>
                <w:sz w:val="22"/>
                <w:szCs w:val="24"/>
              </w:rPr>
              <w:t>项</w:t>
            </w:r>
          </w:p>
        </w:tc>
        <w:tc>
          <w:tcPr>
            <w:tcW w:w="13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c>
          <w:tcPr>
            <w:tcW w:w="1100" w:type="dxa"/>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400" w:type="dxa"/>
            <w:gridSpan w:val="5"/>
            <w:tcBorders>
              <w:tl2br w:val="nil"/>
              <w:tr2bl w:val="nil"/>
            </w:tcBorders>
            <w:noWrap w:val="0"/>
            <w:vAlign w:val="center"/>
          </w:tcPr>
          <w:p>
            <w:pPr>
              <w:spacing w:beforeLines="0" w:afterLines="0"/>
              <w:jc w:val="center"/>
              <w:rPr>
                <w:rFonts w:hint="eastAsia" w:ascii="仿宋" w:hAnsi="仿宋" w:eastAsia="仿宋" w:cstheme="minorBidi"/>
                <w:b/>
                <w:color w:val="000000"/>
                <w:kern w:val="2"/>
                <w:sz w:val="22"/>
                <w:szCs w:val="24"/>
                <w:lang w:val="en-US" w:eastAsia="zh-CN" w:bidi="ar-SA"/>
              </w:rPr>
            </w:pPr>
            <w:r>
              <w:rPr>
                <w:rFonts w:hint="eastAsia" w:ascii="仿宋" w:hAnsi="仿宋" w:eastAsia="仿宋"/>
                <w:b/>
                <w:color w:val="000000"/>
                <w:sz w:val="22"/>
                <w:szCs w:val="24"/>
              </w:rPr>
              <w:t>小计</w:t>
            </w:r>
          </w:p>
        </w:tc>
        <w:tc>
          <w:tcPr>
            <w:tcW w:w="2400" w:type="dxa"/>
            <w:gridSpan w:val="2"/>
            <w:tcBorders>
              <w:tl2br w:val="nil"/>
              <w:tr2bl w:val="nil"/>
            </w:tcBorders>
            <w:noWrap w:val="0"/>
            <w:vAlign w:val="center"/>
          </w:tcPr>
          <w:p>
            <w:pPr>
              <w:spacing w:beforeLines="0" w:afterLines="0"/>
              <w:jc w:val="both"/>
              <w:rPr>
                <w:rFonts w:hint="eastAsia" w:ascii="仿宋" w:hAnsi="仿宋" w:eastAsia="仿宋" w:cstheme="minorBidi"/>
                <w:b/>
                <w:color w:val="000000"/>
                <w:kern w:val="2"/>
                <w:sz w:val="22"/>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400" w:type="dxa"/>
            <w:gridSpan w:val="5"/>
            <w:tcBorders>
              <w:tl2br w:val="nil"/>
              <w:tr2bl w:val="nil"/>
            </w:tcBorders>
            <w:noWrap w:val="0"/>
            <w:vAlign w:val="center"/>
          </w:tcPr>
          <w:p>
            <w:pPr>
              <w:spacing w:beforeLines="0" w:afterLines="0"/>
              <w:jc w:val="center"/>
              <w:rPr>
                <w:rFonts w:hint="eastAsia" w:ascii="仿宋" w:hAnsi="仿宋" w:eastAsia="仿宋"/>
                <w:color w:val="000000"/>
                <w:sz w:val="22"/>
                <w:szCs w:val="24"/>
              </w:rPr>
            </w:pPr>
            <w:r>
              <w:rPr>
                <w:rFonts w:hint="eastAsia" w:ascii="仿宋" w:hAnsi="仿宋" w:eastAsia="仿宋"/>
                <w:b/>
                <w:bCs/>
                <w:color w:val="000000"/>
                <w:sz w:val="22"/>
                <w:szCs w:val="24"/>
                <w:lang w:val="en-US" w:eastAsia="zh-CN"/>
              </w:rPr>
              <w:t>总</w:t>
            </w:r>
            <w:r>
              <w:rPr>
                <w:rFonts w:hint="eastAsia" w:ascii="仿宋" w:hAnsi="仿宋" w:eastAsia="仿宋"/>
                <w:b/>
                <w:bCs/>
                <w:color w:val="000000"/>
                <w:sz w:val="22"/>
                <w:szCs w:val="24"/>
              </w:rPr>
              <w:t>计</w:t>
            </w:r>
          </w:p>
        </w:tc>
        <w:tc>
          <w:tcPr>
            <w:tcW w:w="2400" w:type="dxa"/>
            <w:gridSpan w:val="2"/>
            <w:tcBorders>
              <w:tl2br w:val="nil"/>
              <w:tr2bl w:val="nil"/>
            </w:tcBorders>
            <w:noWrap w:val="0"/>
            <w:vAlign w:val="center"/>
          </w:tcPr>
          <w:p>
            <w:pPr>
              <w:spacing w:beforeLines="0" w:afterLines="0"/>
              <w:jc w:val="both"/>
              <w:rPr>
                <w:rFonts w:hint="eastAsia" w:ascii="仿宋" w:hAnsi="仿宋" w:eastAsia="仿宋"/>
                <w:color w:val="000000"/>
                <w:sz w:val="22"/>
                <w:szCs w:val="24"/>
              </w:rPr>
            </w:pPr>
          </w:p>
        </w:tc>
      </w:tr>
    </w:tbl>
    <w:p>
      <w:pPr>
        <w:pStyle w:val="11"/>
        <w:spacing w:line="570" w:lineRule="exact"/>
        <w:ind w:firstLine="562" w:firstLineChars="200"/>
        <w:jc w:val="left"/>
        <w:rPr>
          <w:rFonts w:hint="eastAsia" w:ascii="仿宋" w:hAnsi="仿宋" w:eastAsia="仿宋" w:cs="仿宋"/>
          <w:b/>
          <w:color w:val="000000"/>
          <w:kern w:val="0"/>
          <w:sz w:val="28"/>
          <w:szCs w:val="28"/>
          <w:highlight w:val="none"/>
        </w:rPr>
      </w:pPr>
    </w:p>
    <w:p>
      <w:pPr>
        <w:pStyle w:val="11"/>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34146941"/>
      <w:bookmarkStart w:id="3" w:name="_Toc475472676"/>
      <w:bookmarkStart w:id="4" w:name="_Toc1651903"/>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提供2022年以来同类业绩（活动执行）案例不少于两项（附合同关键页）</w:t>
      </w:r>
      <w:r>
        <w:rPr>
          <w:rFonts w:hint="eastAsia" w:ascii="仿宋" w:hAnsi="仿宋" w:eastAsia="仿宋" w:cs="仿宋"/>
          <w:color w:val="000000"/>
          <w:sz w:val="28"/>
          <w:szCs w:val="28"/>
          <w:highlight w:val="none"/>
        </w:rPr>
        <w:t>。</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2025年百色市田阳区农产品产销推介服务项目</w:t>
      </w:r>
      <w:r>
        <w:rPr>
          <w:rFonts w:hint="eastAsia" w:ascii="仿宋" w:hAnsi="仿宋" w:eastAsia="仿宋" w:cs="仿宋"/>
          <w:bCs/>
          <w:color w:val="000000"/>
          <w:sz w:val="28"/>
          <w:szCs w:val="28"/>
          <w:highlight w:val="none"/>
        </w:rPr>
        <w:t>】的【洽谈、签约、项目服务联络等】事宜。</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2"/>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2"/>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2"/>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2"/>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2"/>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2"/>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2"/>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2"/>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2"/>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6"/>
        <w:rPr>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bl>
    <w:p>
      <w:pPr>
        <w:pStyle w:val="13"/>
        <w:spacing w:after="200" w:line="276" w:lineRule="auto"/>
        <w:ind w:firstLine="0" w:firstLineChars="0"/>
        <w:jc w:val="left"/>
        <w:rPr>
          <w:rFonts w:ascii="仿宋" w:hAnsi="仿宋" w:eastAsia="仿宋" w:cs="仿宋"/>
          <w:b/>
          <w:kern w:val="0"/>
          <w:sz w:val="28"/>
          <w:szCs w:val="28"/>
          <w:highlight w:val="none"/>
        </w:rPr>
      </w:pPr>
    </w:p>
    <w:p>
      <w:pPr>
        <w:pStyle w:val="13"/>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pPr>
        <w:pStyle w:val="13"/>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bookmarkStart w:id="5" w:name="_GoBack"/>
      <w:bookmarkEnd w:id="5"/>
    </w:p>
    <w:p>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5"/>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57E6B02"/>
    <w:rsid w:val="07DB2536"/>
    <w:rsid w:val="0E4226DB"/>
    <w:rsid w:val="12D70244"/>
    <w:rsid w:val="1C676ADD"/>
    <w:rsid w:val="1FAC6014"/>
    <w:rsid w:val="2F92180C"/>
    <w:rsid w:val="2FBE6793"/>
    <w:rsid w:val="31C64990"/>
    <w:rsid w:val="338D6E29"/>
    <w:rsid w:val="364B6993"/>
    <w:rsid w:val="394E537D"/>
    <w:rsid w:val="3F391D4B"/>
    <w:rsid w:val="419019DE"/>
    <w:rsid w:val="427F7E2D"/>
    <w:rsid w:val="43030A5E"/>
    <w:rsid w:val="449328CD"/>
    <w:rsid w:val="47697B58"/>
    <w:rsid w:val="4C132817"/>
    <w:rsid w:val="4E9F0761"/>
    <w:rsid w:val="4EEE4370"/>
    <w:rsid w:val="517D4052"/>
    <w:rsid w:val="55C817C9"/>
    <w:rsid w:val="57B40D6A"/>
    <w:rsid w:val="59287FF3"/>
    <w:rsid w:val="59F878CF"/>
    <w:rsid w:val="5D301FF8"/>
    <w:rsid w:val="5F0517A2"/>
    <w:rsid w:val="61F47A98"/>
    <w:rsid w:val="62194CB0"/>
    <w:rsid w:val="641A755E"/>
    <w:rsid w:val="6F7F2737"/>
    <w:rsid w:val="70447E3C"/>
    <w:rsid w:val="72F559FA"/>
    <w:rsid w:val="74A23B6A"/>
    <w:rsid w:val="760B6407"/>
    <w:rsid w:val="76BC1447"/>
    <w:rsid w:val="7C53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rPr>
      <w:rFonts w:ascii="Times New Roman" w:hAnsi="Times New Roman" w:eastAsia="宋体" w:cs="Times New Roman"/>
      <w:sz w:val="33"/>
      <w:szCs w:val="33"/>
    </w:rPr>
  </w:style>
  <w:style w:type="paragraph" w:styleId="4">
    <w:name w:val="toc 4"/>
    <w:basedOn w:val="1"/>
    <w:next w:val="1"/>
    <w:qFormat/>
    <w:uiPriority w:val="39"/>
    <w:pPr>
      <w:spacing w:line="360" w:lineRule="auto"/>
      <w:ind w:left="720" w:firstLine="425"/>
      <w:jc w:val="left"/>
    </w:pPr>
    <w:rPr>
      <w:spacing w:val="10"/>
      <w:kern w:val="0"/>
      <w:sz w:val="18"/>
      <w:szCs w:val="18"/>
    </w:rPr>
  </w:style>
  <w:style w:type="paragraph" w:styleId="5">
    <w:name w:val="index 8"/>
    <w:basedOn w:val="1"/>
    <w:next w:val="1"/>
    <w:unhideWhenUsed/>
    <w:qFormat/>
    <w:uiPriority w:val="99"/>
    <w:pPr>
      <w:ind w:left="2940"/>
      <w:jc w:val="left"/>
    </w:pPr>
  </w:style>
  <w:style w:type="paragraph" w:styleId="6">
    <w:name w:val="Body Text"/>
    <w:basedOn w:val="1"/>
    <w:next w:val="7"/>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7">
    <w:name w:val="Title"/>
    <w:basedOn w:val="1"/>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8">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9">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2">
    <w:name w:val="Normal (Web)"/>
    <w:basedOn w:val="1"/>
    <w:qFormat/>
    <w:uiPriority w:val="0"/>
    <w:pPr>
      <w:spacing w:beforeAutospacing="1" w:afterAutospacing="1"/>
      <w:jc w:val="left"/>
    </w:pPr>
    <w:rPr>
      <w:rFonts w:cs="Times New Roman"/>
      <w:kern w:val="0"/>
      <w:sz w:val="24"/>
    </w:rPr>
  </w:style>
  <w:style w:type="paragraph" w:styleId="13">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4">
    <w:name w:val="Body Text First Indent 2"/>
    <w:basedOn w:val="8"/>
    <w:next w:val="1"/>
    <w:qFormat/>
    <w:uiPriority w:val="0"/>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font41"/>
    <w:basedOn w:val="17"/>
    <w:qFormat/>
    <w:uiPriority w:val="0"/>
    <w:rPr>
      <w:rFonts w:hint="eastAsia" w:ascii="宋体" w:hAnsi="宋体" w:eastAsia="宋体" w:cs="宋体"/>
      <w:color w:val="000000"/>
      <w:sz w:val="22"/>
      <w:szCs w:val="22"/>
      <w:u w:val="none"/>
    </w:rPr>
  </w:style>
  <w:style w:type="character" w:customStyle="1" w:styleId="19">
    <w:name w:val="font121"/>
    <w:basedOn w:val="17"/>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3743</Words>
  <Characters>4164</Characters>
  <Lines>0</Lines>
  <Paragraphs>0</Paragraphs>
  <TotalTime>1</TotalTime>
  <ScaleCrop>false</ScaleCrop>
  <LinksUpToDate>false</LinksUpToDate>
  <CharactersWithSpaces>4377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2025-06-16T03:35:35Z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ABD2A60F99F94ED78743448A2EEB0337</vt:lpwstr>
  </property>
</Properties>
</file>