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720"/>
        <w:jc w:val="center"/>
        <w:rPr>
          <w:rFonts w:ascii="方正小标宋简体" w:hAnsi="方正小标宋简体" w:eastAsia="方正小标宋简体" w:cs="方正小标宋简体"/>
          <w:b w:val="0"/>
          <w:bCs w:val="0"/>
          <w:color w:val="000000"/>
          <w:kern w:val="0"/>
          <w:sz w:val="36"/>
          <w:szCs w:val="36"/>
          <w:lang w:bidi="ar"/>
        </w:rPr>
      </w:pPr>
      <w:bookmarkStart w:id="0" w:name="OLE_LINK2"/>
      <w:r>
        <w:rPr>
          <w:rFonts w:hint="eastAsia" w:ascii="方正小标宋简体" w:hAnsi="方正小标宋简体" w:eastAsia="方正小标宋简体" w:cs="方正小标宋简体"/>
          <w:b w:val="0"/>
          <w:bCs w:val="0"/>
          <w:color w:val="000000"/>
          <w:kern w:val="0"/>
          <w:sz w:val="36"/>
          <w:szCs w:val="36"/>
          <w:lang w:bidi="ar"/>
        </w:rPr>
        <w:t>中华人民共和国第十五届运动会</w:t>
      </w:r>
    </w:p>
    <w:p>
      <w:pPr>
        <w:widowControl/>
        <w:ind w:firstLine="720"/>
        <w:jc w:val="center"/>
        <w:rPr>
          <w:rFonts w:ascii="方正小标宋简体" w:hAnsi="方正小标宋简体" w:eastAsia="方正小标宋简体" w:cs="方正小标宋简体"/>
          <w:b w:val="0"/>
          <w:bCs w:val="0"/>
          <w:color w:val="000000"/>
          <w:kern w:val="0"/>
          <w:sz w:val="36"/>
          <w:szCs w:val="36"/>
          <w:lang w:bidi="ar"/>
        </w:rPr>
      </w:pPr>
      <w:r>
        <w:rPr>
          <w:rFonts w:hint="eastAsia" w:ascii="方正小标宋简体" w:hAnsi="方正小标宋简体" w:eastAsia="方正小标宋简体" w:cs="方正小标宋简体"/>
          <w:b w:val="0"/>
          <w:bCs w:val="0"/>
          <w:color w:val="000000"/>
          <w:kern w:val="0"/>
          <w:sz w:val="36"/>
          <w:szCs w:val="36"/>
          <w:lang w:bidi="ar"/>
        </w:rPr>
        <w:t xml:space="preserve">群众比赛国际象棋项目竞赛规程   </w:t>
      </w:r>
    </w:p>
    <w:p>
      <w:pPr>
        <w:pStyle w:val="2"/>
        <w:spacing w:before="1" w:line="560" w:lineRule="exact"/>
        <w:ind w:left="0" w:firstLine="628"/>
        <w:rPr>
          <w:rFonts w:ascii="STFangsong" w:hAnsi="STFangsong" w:eastAsia="STFangsong"/>
          <w:spacing w:val="-3"/>
          <w:sz w:val="36"/>
          <w:szCs w:val="36"/>
        </w:rPr>
      </w:pPr>
    </w:p>
    <w:p>
      <w:pPr>
        <w:pStyle w:val="2"/>
        <w:keepNext w:val="0"/>
        <w:keepLines w:val="0"/>
        <w:pageBreakBefore w:val="0"/>
        <w:kinsoku/>
        <w:overflowPunct/>
        <w:topLinePunct w:val="0"/>
        <w:autoSpaceDE/>
        <w:autoSpaceDN/>
        <w:bidi w:val="0"/>
        <w:spacing w:before="1" w:line="560" w:lineRule="exact"/>
        <w:ind w:left="0" w:firstLine="640"/>
        <w:textAlignment w:val="auto"/>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一</w:t>
      </w:r>
      <w:r>
        <w:rPr>
          <w:rFonts w:ascii="黑体" w:hAnsi="黑体" w:eastAsia="黑体" w:cs="黑体"/>
          <w:bCs/>
          <w:color w:val="000000"/>
          <w:sz w:val="32"/>
          <w:szCs w:val="32"/>
        </w:rPr>
        <w:t>、</w:t>
      </w:r>
      <w:r>
        <w:rPr>
          <w:rFonts w:hint="eastAsia" w:ascii="黑体" w:hAnsi="黑体" w:eastAsia="黑体" w:cs="黑体"/>
          <w:bCs/>
          <w:color w:val="000000"/>
          <w:sz w:val="32"/>
          <w:szCs w:val="32"/>
        </w:rPr>
        <w:t>竞赛项目</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（一）男子个人公开组</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（二）女子个人公开组</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（三）混合团体公开组</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（四）男子个人业余组</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（五）女子个人业余组</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（六）混合团体业余组</w:t>
      </w:r>
      <w:bookmarkEnd w:id="0"/>
    </w:p>
    <w:p>
      <w:pPr>
        <w:pStyle w:val="2"/>
        <w:keepNext w:val="0"/>
        <w:keepLines w:val="0"/>
        <w:pageBreakBefore w:val="0"/>
        <w:kinsoku/>
        <w:overflowPunct/>
        <w:topLinePunct w:val="0"/>
        <w:autoSpaceDE/>
        <w:autoSpaceDN/>
        <w:bidi w:val="0"/>
        <w:spacing w:before="1" w:line="560" w:lineRule="exact"/>
        <w:textAlignment w:val="auto"/>
        <w:rPr>
          <w:rFonts w:ascii="黑体" w:hAnsi="黑体" w:eastAsia="黑体" w:cs="黑体"/>
          <w:bCs/>
          <w:color w:val="000000"/>
          <w:sz w:val="32"/>
          <w:szCs w:val="32"/>
        </w:rPr>
      </w:pPr>
      <w:r>
        <w:rPr>
          <w:rFonts w:hint="eastAsia" w:ascii="黑体" w:hAnsi="黑体" w:eastAsia="黑体" w:cs="黑体"/>
          <w:bCs/>
          <w:color w:val="000000"/>
          <w:sz w:val="32"/>
          <w:szCs w:val="32"/>
        </w:rPr>
        <w:t xml:space="preserve">  </w:t>
      </w:r>
      <w:r>
        <w:rPr>
          <w:rFonts w:hint="eastAsia" w:ascii="黑体" w:hAnsi="黑体" w:eastAsia="黑体" w:cs="黑体"/>
          <w:bCs/>
          <w:color w:val="000000"/>
          <w:sz w:val="32"/>
          <w:szCs w:val="32"/>
          <w:lang w:eastAsia="zh-CN"/>
        </w:rPr>
        <w:t>二</w:t>
      </w:r>
      <w:r>
        <w:rPr>
          <w:rFonts w:hint="eastAsia" w:ascii="黑体" w:hAnsi="黑体" w:eastAsia="黑体" w:cs="黑体"/>
          <w:bCs/>
          <w:color w:val="000000"/>
          <w:sz w:val="32"/>
          <w:szCs w:val="32"/>
        </w:rPr>
        <w:t>、运动员资格与审查</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（一）运动员资格</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1.中华人民共和国公民。</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b w:val="0"/>
          <w:bCs w:val="0"/>
          <w:color w:val="auto"/>
          <w:sz w:val="32"/>
          <w:szCs w:val="32"/>
        </w:rPr>
      </w:pPr>
      <w:r>
        <w:rPr>
          <w:rFonts w:hint="eastAsia" w:ascii="仿宋" w:hAnsi="仿宋" w:eastAsia="仿宋" w:cs="仿宋"/>
          <w:sz w:val="32"/>
          <w:szCs w:val="32"/>
        </w:rPr>
        <w:t>2.经县级以上医务部门检查证明身体健康。</w:t>
      </w:r>
      <w:r>
        <w:rPr>
          <w:rFonts w:hint="eastAsia" w:ascii="仿宋" w:hAnsi="仿宋" w:eastAsia="仿宋" w:cs="仿宋"/>
          <w:b w:val="0"/>
          <w:bCs w:val="0"/>
          <w:color w:val="auto"/>
          <w:sz w:val="32"/>
          <w:szCs w:val="32"/>
        </w:rPr>
        <w:t>（体检时间应为预赛报名截止前90天）</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3.业余组运动员须年满25岁以上，70岁以下。（1955年1月1日至2000年</w:t>
      </w:r>
      <w:r>
        <w:rPr>
          <w:rFonts w:ascii="仿宋" w:hAnsi="仿宋" w:eastAsia="仿宋" w:cs="仿宋"/>
          <w:sz w:val="32"/>
          <w:szCs w:val="32"/>
        </w:rPr>
        <w:t>12</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日期间出生）。公开组须年满12岁以上，70岁以下（1955年1月1日至2013年12月31日期间出生）。</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4.运动员代表本人户籍所在地、长期居住地（省、自治区、直辖市、新疆生产建设兵团）或行业（行业体协）参加第十五届全运会群众赛事活动，时间划定为总规程颁布之日。</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以户口所在地报名的，提交户口本和身份证。如果身份证与户口本不一致，以户口本为准。</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以长期居住地报名的，提交居住证和社保缴纳记录。</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以行业报名的，提交工作证或劳动合同，同时提供企业单位的工资证明、纳税、社保缴纳证明材料。</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女55岁以上、男60岁以上已退休的运动员可不提交社保缴纳记录材料。</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以上证明材料须显示运动员本人于总规程颁布日（2023 年8月29日）之前所生活和工作的地方与所代表的参赛单位一致。</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color w:val="FF0000"/>
          <w:sz w:val="32"/>
          <w:szCs w:val="32"/>
        </w:rPr>
      </w:pPr>
      <w:r>
        <w:rPr>
          <w:rFonts w:hint="eastAsia" w:ascii="仿宋" w:hAnsi="仿宋" w:eastAsia="仿宋" w:cs="仿宋"/>
          <w:sz w:val="32"/>
          <w:szCs w:val="32"/>
        </w:rPr>
        <w:t>5.获得国家级运动健将（含）以上、国际棋联棋联大师FM(含）以上称号或者国际等级分达到2000分（含）以上的运动员不得报名业余组。国际等级分以预赛补充通知发布当月1日国际棋联公布的等级分信息为准。</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（二）资格审查</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1.一名运动员必须以同一身份报名，代表公开组或业余组参赛，禁止跨组参赛。</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2.竞委会将依据有关规定对运动员参赛资格进行审查，通过网络公示接受各参赛单位和社会监督。各参赛单位可利用自查、互查和举报等形式，对运动员参赛资格进行审核与</w:t>
      </w:r>
      <w:r>
        <w:rPr>
          <w:rFonts w:hint="eastAsia" w:ascii="仿宋" w:hAnsi="仿宋" w:eastAsia="仿宋"/>
          <w:sz w:val="32"/>
          <w:szCs w:val="32"/>
        </w:rPr>
        <w:t>监督。</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3.运动员在参赛资格上经查证属实有违反规定的，个人项目取消本人参赛资格和比赛成绩；团体项目取消全队参赛资格和比赛成绩。</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运动员（队）被取消参赛资格和比赛成绩的，已经完成的比赛结果不再改变，其被取消的名次依次递补。</w:t>
      </w:r>
    </w:p>
    <w:p>
      <w:pPr>
        <w:pStyle w:val="2"/>
        <w:keepNext w:val="0"/>
        <w:keepLines w:val="0"/>
        <w:pageBreakBefore w:val="0"/>
        <w:kinsoku/>
        <w:overflowPunct/>
        <w:topLinePunct w:val="0"/>
        <w:autoSpaceDE/>
        <w:autoSpaceDN/>
        <w:bidi w:val="0"/>
        <w:spacing w:before="1" w:line="560" w:lineRule="exact"/>
        <w:ind w:left="0" w:firstLine="640"/>
        <w:textAlignment w:val="auto"/>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三</w:t>
      </w:r>
      <w:r>
        <w:rPr>
          <w:rFonts w:hint="eastAsia" w:ascii="黑体" w:hAnsi="黑体" w:eastAsia="黑体" w:cs="黑体"/>
          <w:bCs/>
          <w:color w:val="000000"/>
          <w:sz w:val="32"/>
          <w:szCs w:val="32"/>
        </w:rPr>
        <w:t>、参加办法</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以省、自治区、直辖市、新疆生产建设兵团、香港特别行政区、澳门特别行政区、行业体协为单位，通过各省、自治区、直辖市、新疆生产建设兵团、行业（体协）体育主管部门以及香港特别行政区、澳门特别行政区政府相关部门报名参赛。</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（二）比赛分为预赛、决赛2个阶段。</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1.预赛</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每单位最多可报名7名男运动员和7名女运动员，其中男子个人公开组2人、女子个人公开组2人、混合团体公开组4人（2男2女）、男子个人业余组2人、女子个人业余组2人、混合团体业余组2人（1男1女）。</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团体不设替补队员。混合团体公开组前两台必须为男运动员，后两台必须为女运动员，混合团体业余组第一台必须为男运动员，第二台必须为女运动员。台次顺序在报名时提交，整个比赛期间不得更改。</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报名4个组别以上（含）的单位，可报领队1人、教练2人。报名4个组别以下的单位可报领队、教练各1人</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4</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预赛每组人数（队数）应为双数，若单数则由预赛承办方补单，补单人员只计算成绩不计名次。</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运动员不可兼项参赛。</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6</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获得直通决赛资格的单位不参加预赛。</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b w:val="0"/>
          <w:bCs w:val="0"/>
          <w:sz w:val="32"/>
          <w:szCs w:val="32"/>
        </w:rPr>
      </w:pPr>
      <w:r>
        <w:rPr>
          <w:rFonts w:hint="eastAsia" w:ascii="仿宋" w:hAnsi="仿宋" w:eastAsia="仿宋" w:cs="仿宋"/>
          <w:b w:val="0"/>
          <w:bCs w:val="0"/>
          <w:sz w:val="32"/>
          <w:szCs w:val="32"/>
        </w:rPr>
        <w:t>2.决赛</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（1）决赛由预赛前列名次和直通队伍组成，总数为每组12个</w:t>
      </w:r>
      <w:r>
        <w:rPr>
          <w:rFonts w:hint="eastAsia" w:ascii="仿宋" w:hAnsi="仿宋" w:eastAsia="仿宋" w:cs="仿宋"/>
          <w:b w:val="0"/>
          <w:bCs w:val="0"/>
          <w:color w:val="auto"/>
          <w:sz w:val="32"/>
          <w:szCs w:val="32"/>
          <w:lang w:eastAsia="zh-CN"/>
        </w:rPr>
        <w:t>队</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人</w:t>
      </w:r>
      <w:r>
        <w:rPr>
          <w:rFonts w:hint="eastAsia" w:ascii="仿宋" w:hAnsi="仿宋" w:eastAsia="仿宋" w:cs="仿宋"/>
          <w:b w:val="0"/>
          <w:bCs w:val="0"/>
          <w:color w:val="auto"/>
          <w:sz w:val="32"/>
          <w:szCs w:val="32"/>
        </w:rPr>
        <w:t>）。预赛晋级数量根据直通队伍报名数量决定，如该组直通队伍有4个队报名，预赛则取前8名进入决赛。直通队伍</w:t>
      </w:r>
      <w:r>
        <w:rPr>
          <w:rFonts w:hint="eastAsia" w:ascii="仿宋" w:hAnsi="仿宋" w:eastAsia="仿宋" w:cs="仿宋"/>
          <w:b w:val="0"/>
          <w:bCs w:val="0"/>
          <w:color w:val="auto"/>
          <w:sz w:val="32"/>
          <w:szCs w:val="32"/>
          <w:lang w:eastAsia="zh-CN"/>
        </w:rPr>
        <w:t>在预赛前</w:t>
      </w:r>
      <w:r>
        <w:rPr>
          <w:rFonts w:hint="eastAsia" w:ascii="仿宋" w:hAnsi="仿宋" w:eastAsia="仿宋" w:cs="仿宋"/>
          <w:b w:val="0"/>
          <w:bCs w:val="0"/>
          <w:color w:val="auto"/>
          <w:sz w:val="32"/>
          <w:szCs w:val="32"/>
        </w:rPr>
        <w:t>完成报名，预赛结束后获得决赛参赛资格的单位或个人因故无法参赛，其决赛资格将自动取消，不予替换，不依次替补。</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（2）参加4个组别以上（含）的单位，可报领队1人、教练2人，报名4个组别以下的单位可报领队、教练各1人。</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（三）特殊规定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1.广东省、香港特别行政区、澳门特别行政区</w:t>
      </w:r>
      <w:r>
        <w:rPr>
          <w:rFonts w:hint="eastAsia" w:ascii="仿宋" w:hAnsi="仿宋" w:eastAsia="仿宋" w:cs="仿宋"/>
          <w:sz w:val="32"/>
          <w:szCs w:val="32"/>
          <w:lang w:eastAsia="zh-CN"/>
        </w:rPr>
        <w:t>、台湾省</w:t>
      </w:r>
      <w:r>
        <w:rPr>
          <w:rFonts w:hint="eastAsia" w:ascii="仿宋" w:hAnsi="仿宋" w:eastAsia="仿宋" w:cs="仿宋"/>
          <w:sz w:val="32"/>
          <w:szCs w:val="32"/>
        </w:rPr>
        <w:t>队可以不参加预赛,直接参加决赛阶段所有组别的比赛。</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rPr>
        <w:t>2.</w:t>
      </w:r>
      <w:r>
        <w:rPr>
          <w:rFonts w:hint="eastAsia" w:ascii="仿宋" w:hAnsi="仿宋" w:eastAsia="仿宋" w:cs="仿宋"/>
          <w:color w:val="auto"/>
          <w:sz w:val="32"/>
          <w:szCs w:val="32"/>
        </w:rPr>
        <w:t>直通队伍最多可报名5名男运动员和5名女运动员进入决赛阶段，其中男子个人公开组1人、女子个人公开组1人、混合团体公开组4人（2男2女）、男子个人业余组1人、女子个人业余组1人、混合团体业余组2人（1男1女）。</w:t>
      </w:r>
      <w:r>
        <w:rPr>
          <w:rFonts w:hint="eastAsia" w:ascii="仿宋" w:hAnsi="仿宋" w:eastAsia="仿宋" w:cs="仿宋"/>
          <w:b w:val="0"/>
          <w:bCs w:val="0"/>
          <w:color w:val="auto"/>
          <w:sz w:val="32"/>
          <w:szCs w:val="32"/>
          <w:lang w:eastAsia="zh-CN"/>
        </w:rPr>
        <w:t>团体项目报名要求与预赛团体项目报名一致。</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.直通</w:t>
      </w:r>
      <w:r>
        <w:rPr>
          <w:rFonts w:hint="eastAsia" w:ascii="仿宋" w:hAnsi="仿宋" w:eastAsia="仿宋" w:cs="仿宋"/>
          <w:color w:val="auto"/>
          <w:sz w:val="32"/>
          <w:szCs w:val="32"/>
          <w:lang w:eastAsia="zh-CN"/>
        </w:rPr>
        <w:t>决赛阶段的参赛单位</w:t>
      </w:r>
      <w:r>
        <w:rPr>
          <w:rFonts w:hint="eastAsia" w:ascii="仿宋" w:hAnsi="仿宋" w:eastAsia="仿宋" w:cs="仿宋"/>
          <w:color w:val="auto"/>
          <w:sz w:val="32"/>
          <w:szCs w:val="32"/>
        </w:rPr>
        <w:t>须</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rPr>
        <w:t>预赛报名</w:t>
      </w:r>
      <w:r>
        <w:rPr>
          <w:rFonts w:hint="eastAsia" w:ascii="仿宋" w:hAnsi="仿宋" w:eastAsia="仿宋" w:cs="仿宋"/>
          <w:color w:val="auto"/>
          <w:sz w:val="32"/>
          <w:szCs w:val="32"/>
          <w:lang w:eastAsia="zh-CN"/>
        </w:rPr>
        <w:t>时间报名</w:t>
      </w:r>
      <w:r>
        <w:rPr>
          <w:rFonts w:hint="eastAsia" w:ascii="仿宋" w:hAnsi="仿宋" w:eastAsia="仿宋" w:cs="仿宋"/>
          <w:color w:val="auto"/>
          <w:sz w:val="32"/>
          <w:szCs w:val="32"/>
        </w:rPr>
        <w:t>，逾期视同放弃直通资格。</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（四）各参赛单位应广泛开展“我要上全运”赛事活动，营造全民全运氛围，宣传国际象棋项目文化，促进项目推广普及。</w:t>
      </w:r>
    </w:p>
    <w:p>
      <w:pPr>
        <w:pStyle w:val="2"/>
        <w:keepNext w:val="0"/>
        <w:keepLines w:val="0"/>
        <w:pageBreakBefore w:val="0"/>
        <w:kinsoku/>
        <w:overflowPunct/>
        <w:topLinePunct w:val="0"/>
        <w:autoSpaceDE/>
        <w:autoSpaceDN/>
        <w:bidi w:val="0"/>
        <w:spacing w:before="1" w:line="560" w:lineRule="exact"/>
        <w:ind w:left="0" w:firstLine="640"/>
        <w:textAlignment w:val="auto"/>
        <w:rPr>
          <w:rFonts w:ascii="黑体" w:hAnsi="黑体" w:eastAsia="黑体" w:cs="黑体"/>
          <w:bCs/>
          <w:color w:val="000000"/>
          <w:sz w:val="32"/>
          <w:szCs w:val="32"/>
        </w:rPr>
      </w:pPr>
      <w:r>
        <w:rPr>
          <w:rFonts w:hint="eastAsia" w:ascii="黑体" w:hAnsi="黑体" w:eastAsia="黑体" w:cs="黑体"/>
          <w:bCs/>
          <w:color w:val="000000"/>
          <w:sz w:val="32"/>
          <w:szCs w:val="32"/>
          <w:lang w:eastAsia="zh-CN"/>
        </w:rPr>
        <w:t>四</w:t>
      </w:r>
      <w:r>
        <w:rPr>
          <w:rFonts w:hint="eastAsia" w:ascii="黑体" w:hAnsi="黑体" w:eastAsia="黑体" w:cs="黑体"/>
          <w:bCs/>
          <w:color w:val="000000"/>
          <w:sz w:val="32"/>
          <w:szCs w:val="32"/>
        </w:rPr>
        <w:t>、竞赛办法</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（一）执行中国国际象棋协会审定的《2020版国际象棋裁判手册》。</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sz w:val="32"/>
          <w:szCs w:val="32"/>
        </w:rPr>
      </w:pPr>
      <w:r>
        <w:rPr>
          <w:rFonts w:hint="eastAsia" w:ascii="仿宋" w:hAnsi="仿宋" w:eastAsia="仿宋" w:cs="仿宋"/>
          <w:sz w:val="32"/>
          <w:szCs w:val="32"/>
        </w:rPr>
        <w:t>（二）</w:t>
      </w:r>
      <w:r>
        <w:rPr>
          <w:rFonts w:hint="eastAsia" w:ascii="仿宋" w:hAnsi="仿宋" w:eastAsia="仿宋"/>
          <w:sz w:val="32"/>
          <w:szCs w:val="32"/>
        </w:rPr>
        <w:t>预赛赛制　</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sz w:val="32"/>
          <w:szCs w:val="32"/>
        </w:rPr>
        <w:t>1.</w:t>
      </w:r>
      <w:r>
        <w:rPr>
          <w:rFonts w:hint="eastAsia" w:ascii="仿宋" w:hAnsi="仿宋" w:eastAsia="仿宋"/>
          <w:color w:val="auto"/>
          <w:sz w:val="32"/>
          <w:szCs w:val="32"/>
          <w:lang w:eastAsia="zh-CN"/>
        </w:rPr>
        <w:t>预赛每组</w:t>
      </w:r>
      <w:r>
        <w:rPr>
          <w:rFonts w:hint="eastAsia" w:ascii="仿宋" w:hAnsi="仿宋" w:eastAsia="仿宋"/>
          <w:color w:val="auto"/>
          <w:sz w:val="32"/>
          <w:szCs w:val="32"/>
        </w:rPr>
        <w:t>报名超过20人</w:t>
      </w:r>
      <w:r>
        <w:rPr>
          <w:rFonts w:hint="eastAsia" w:ascii="仿宋" w:hAnsi="仿宋" w:eastAsia="仿宋"/>
          <w:color w:val="auto"/>
          <w:sz w:val="32"/>
          <w:szCs w:val="32"/>
          <w:lang w:eastAsia="zh-CN"/>
        </w:rPr>
        <w:t>（个人项目）或</w:t>
      </w:r>
      <w:r>
        <w:rPr>
          <w:rFonts w:hint="eastAsia" w:ascii="仿宋" w:hAnsi="仿宋" w:eastAsia="仿宋"/>
          <w:color w:val="auto"/>
          <w:sz w:val="32"/>
          <w:szCs w:val="32"/>
          <w:lang w:val="en-US" w:eastAsia="zh-CN"/>
        </w:rPr>
        <w:t>20个</w:t>
      </w:r>
      <w:r>
        <w:rPr>
          <w:rFonts w:hint="eastAsia" w:ascii="仿宋" w:hAnsi="仿宋" w:eastAsia="仿宋"/>
          <w:color w:val="auto"/>
          <w:sz w:val="32"/>
          <w:szCs w:val="32"/>
        </w:rPr>
        <w:t>队</w:t>
      </w:r>
      <w:r>
        <w:rPr>
          <w:rFonts w:hint="eastAsia" w:ascii="仿宋" w:hAnsi="仿宋" w:eastAsia="仿宋"/>
          <w:color w:val="auto"/>
          <w:sz w:val="32"/>
          <w:szCs w:val="32"/>
          <w:lang w:eastAsia="zh-CN"/>
        </w:rPr>
        <w:t>（团体项目）</w:t>
      </w:r>
      <w:r>
        <w:rPr>
          <w:rFonts w:hint="eastAsia" w:ascii="仿宋" w:hAnsi="仿宋" w:eastAsia="仿宋"/>
          <w:color w:val="auto"/>
          <w:sz w:val="32"/>
          <w:szCs w:val="32"/>
        </w:rPr>
        <w:t>采用9轮瑞士制；报名在20人</w:t>
      </w:r>
      <w:r>
        <w:rPr>
          <w:rFonts w:hint="eastAsia" w:ascii="仿宋" w:hAnsi="仿宋" w:eastAsia="仿宋"/>
          <w:color w:val="auto"/>
          <w:sz w:val="32"/>
          <w:szCs w:val="32"/>
          <w:lang w:eastAsia="zh-CN"/>
        </w:rPr>
        <w:t>或</w:t>
      </w:r>
      <w:r>
        <w:rPr>
          <w:rFonts w:hint="eastAsia" w:ascii="仿宋" w:hAnsi="仿宋" w:eastAsia="仿宋"/>
          <w:color w:val="auto"/>
          <w:sz w:val="32"/>
          <w:szCs w:val="32"/>
          <w:lang w:val="en-US" w:eastAsia="zh-CN"/>
        </w:rPr>
        <w:t>20个</w:t>
      </w:r>
      <w:r>
        <w:rPr>
          <w:rFonts w:hint="eastAsia" w:ascii="仿宋" w:hAnsi="仿宋" w:eastAsia="仿宋"/>
          <w:color w:val="auto"/>
          <w:sz w:val="32"/>
          <w:szCs w:val="32"/>
        </w:rPr>
        <w:t>队（含）以下采用7轮瑞士制；报名10</w:t>
      </w:r>
      <w:r>
        <w:rPr>
          <w:rFonts w:hint="eastAsia" w:ascii="仿宋" w:hAnsi="仿宋" w:eastAsia="仿宋"/>
          <w:color w:val="auto"/>
          <w:sz w:val="32"/>
          <w:szCs w:val="32"/>
          <w:lang w:eastAsia="zh-CN"/>
        </w:rPr>
        <w:t>人或</w:t>
      </w:r>
      <w:r>
        <w:rPr>
          <w:rFonts w:hint="eastAsia" w:ascii="仿宋" w:hAnsi="仿宋" w:eastAsia="仿宋"/>
          <w:color w:val="auto"/>
          <w:sz w:val="32"/>
          <w:szCs w:val="32"/>
          <w:lang w:val="en-US" w:eastAsia="zh-CN"/>
        </w:rPr>
        <w:t>10个队</w:t>
      </w:r>
      <w:r>
        <w:rPr>
          <w:rFonts w:hint="eastAsia" w:ascii="仿宋" w:hAnsi="仿宋" w:eastAsia="仿宋"/>
          <w:color w:val="auto"/>
          <w:sz w:val="32"/>
          <w:szCs w:val="32"/>
        </w:rPr>
        <w:t>（含）以下采用伯格制单循环，不足8人</w:t>
      </w:r>
      <w:r>
        <w:rPr>
          <w:rFonts w:hint="eastAsia" w:ascii="仿宋" w:hAnsi="仿宋" w:eastAsia="仿宋"/>
          <w:color w:val="auto"/>
          <w:sz w:val="32"/>
          <w:szCs w:val="32"/>
          <w:lang w:eastAsia="zh-CN"/>
        </w:rPr>
        <w:t>或</w:t>
      </w:r>
      <w:r>
        <w:rPr>
          <w:rFonts w:hint="eastAsia" w:ascii="仿宋" w:hAnsi="仿宋" w:eastAsia="仿宋"/>
          <w:color w:val="auto"/>
          <w:sz w:val="32"/>
          <w:szCs w:val="32"/>
          <w:lang w:val="en-US" w:eastAsia="zh-CN"/>
        </w:rPr>
        <w:t>8个</w:t>
      </w:r>
      <w:r>
        <w:rPr>
          <w:rFonts w:hint="eastAsia" w:ascii="仿宋" w:hAnsi="仿宋" w:eastAsia="仿宋"/>
          <w:color w:val="auto"/>
          <w:sz w:val="32"/>
          <w:szCs w:val="32"/>
        </w:rPr>
        <w:t>队（含）则取消该组设置。</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2.比赛时限为每方25分钟每步棋加10秒</w:t>
      </w:r>
      <w:r>
        <w:rPr>
          <w:rFonts w:ascii="仿宋" w:hAnsi="仿宋" w:eastAsia="仿宋"/>
          <w:color w:val="auto"/>
          <w:sz w:val="32"/>
          <w:szCs w:val="32"/>
        </w:rPr>
        <w:t>。　　</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3.</w:t>
      </w:r>
      <w:r>
        <w:rPr>
          <w:rFonts w:ascii="仿宋" w:hAnsi="仿宋" w:eastAsia="仿宋"/>
          <w:color w:val="auto"/>
          <w:sz w:val="32"/>
          <w:szCs w:val="32"/>
        </w:rPr>
        <w:t>名次按照以下顺序排出</w:t>
      </w:r>
      <w:r>
        <w:rPr>
          <w:rFonts w:hint="eastAsia" w:ascii="仿宋" w:hAnsi="仿宋" w:eastAsia="仿宋"/>
          <w:color w:val="auto"/>
          <w:sz w:val="32"/>
          <w:szCs w:val="32"/>
          <w:lang w:eastAsia="zh-CN"/>
        </w:rPr>
        <w:t>。</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个人项目</w:t>
      </w:r>
      <w:r>
        <w:rPr>
          <w:rFonts w:hint="eastAsia" w:ascii="仿宋" w:hAnsi="仿宋" w:eastAsia="仿宋"/>
          <w:color w:val="auto"/>
          <w:sz w:val="32"/>
          <w:szCs w:val="32"/>
        </w:rPr>
        <w:t>瑞士制：</w:t>
      </w:r>
      <w:r>
        <w:rPr>
          <w:rFonts w:ascii="仿宋" w:hAnsi="仿宋" w:eastAsia="仿宋"/>
          <w:color w:val="auto"/>
          <w:sz w:val="32"/>
          <w:szCs w:val="32"/>
        </w:rPr>
        <w:t>积分、扣除对手分1型</w:t>
      </w:r>
      <w:r>
        <w:rPr>
          <w:rFonts w:hint="eastAsia" w:ascii="仿宋" w:hAnsi="仿宋" w:eastAsia="仿宋"/>
          <w:color w:val="auto"/>
          <w:sz w:val="32"/>
          <w:szCs w:val="32"/>
        </w:rPr>
        <w:t>；</w:t>
      </w:r>
      <w:r>
        <w:rPr>
          <w:rFonts w:ascii="仿宋" w:hAnsi="仿宋" w:eastAsia="仿宋"/>
          <w:color w:val="auto"/>
          <w:sz w:val="32"/>
          <w:szCs w:val="32"/>
        </w:rPr>
        <w:t>扣除</w:t>
      </w:r>
    </w:p>
    <w:p>
      <w:pPr>
        <w:keepNext w:val="0"/>
        <w:keepLines w:val="0"/>
        <w:pageBreakBefore w:val="0"/>
        <w:kinsoku/>
        <w:overflowPunct/>
        <w:topLinePunct w:val="0"/>
        <w:autoSpaceDE/>
        <w:autoSpaceDN/>
        <w:bidi w:val="0"/>
        <w:spacing w:line="560" w:lineRule="exact"/>
        <w:textAlignment w:val="auto"/>
        <w:rPr>
          <w:rFonts w:ascii="仿宋" w:hAnsi="仿宋" w:eastAsia="仿宋"/>
          <w:color w:val="auto"/>
          <w:sz w:val="32"/>
          <w:szCs w:val="32"/>
        </w:rPr>
      </w:pPr>
      <w:r>
        <w:rPr>
          <w:rFonts w:ascii="仿宋" w:hAnsi="仿宋" w:eastAsia="仿宋"/>
          <w:color w:val="auto"/>
          <w:sz w:val="32"/>
          <w:szCs w:val="32"/>
        </w:rPr>
        <w:t>对手分</w:t>
      </w:r>
      <w:r>
        <w:rPr>
          <w:rFonts w:hint="eastAsia" w:ascii="仿宋" w:hAnsi="仿宋" w:eastAsia="仿宋"/>
          <w:color w:val="auto"/>
          <w:sz w:val="32"/>
          <w:szCs w:val="32"/>
        </w:rPr>
        <w:t>2</w:t>
      </w:r>
      <w:r>
        <w:rPr>
          <w:rFonts w:ascii="仿宋" w:hAnsi="仿宋" w:eastAsia="仿宋"/>
          <w:color w:val="auto"/>
          <w:sz w:val="32"/>
          <w:szCs w:val="32"/>
        </w:rPr>
        <w:t>型</w:t>
      </w:r>
      <w:r>
        <w:rPr>
          <w:rFonts w:hint="eastAsia" w:ascii="仿宋" w:hAnsi="仿宋" w:eastAsia="仿宋"/>
          <w:color w:val="auto"/>
          <w:sz w:val="32"/>
          <w:szCs w:val="32"/>
        </w:rPr>
        <w:t>；</w:t>
      </w:r>
      <w:r>
        <w:rPr>
          <w:rFonts w:ascii="仿宋" w:hAnsi="仿宋" w:eastAsia="仿宋"/>
          <w:color w:val="auto"/>
          <w:sz w:val="32"/>
          <w:szCs w:val="32"/>
        </w:rPr>
        <w:t>对手分</w:t>
      </w:r>
      <w:r>
        <w:rPr>
          <w:rFonts w:hint="eastAsia" w:ascii="仿宋" w:hAnsi="仿宋" w:eastAsia="仿宋"/>
          <w:color w:val="auto"/>
          <w:sz w:val="32"/>
          <w:szCs w:val="32"/>
        </w:rPr>
        <w:t>；</w:t>
      </w:r>
      <w:r>
        <w:rPr>
          <w:rFonts w:ascii="仿宋" w:hAnsi="仿宋" w:eastAsia="仿宋"/>
          <w:color w:val="auto"/>
          <w:sz w:val="32"/>
          <w:szCs w:val="32"/>
        </w:rPr>
        <w:t>胜局数</w:t>
      </w:r>
      <w:r>
        <w:rPr>
          <w:rFonts w:hint="eastAsia" w:ascii="仿宋" w:hAnsi="仿宋" w:eastAsia="仿宋"/>
          <w:color w:val="auto"/>
          <w:sz w:val="32"/>
          <w:szCs w:val="32"/>
        </w:rPr>
        <w:t>；</w:t>
      </w:r>
      <w:r>
        <w:rPr>
          <w:rFonts w:ascii="仿宋" w:hAnsi="仿宋" w:eastAsia="仿宋"/>
          <w:color w:val="auto"/>
          <w:sz w:val="32"/>
          <w:szCs w:val="32"/>
        </w:rPr>
        <w:t>如仍无法区分则加赛决胜局快棋(白方5分钟，黑方4分钟，和棋视为黑胜，60步以后每步棋加2秒)。</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w:t>
      </w:r>
      <w:r>
        <w:rPr>
          <w:rFonts w:hint="eastAsia" w:ascii="仿宋" w:hAnsi="仿宋" w:eastAsia="仿宋"/>
          <w:color w:val="auto"/>
          <w:sz w:val="32"/>
          <w:szCs w:val="32"/>
        </w:rPr>
        <w:t>个人项目伯格制单循环：积分、直胜；索尼伯恩伯格；</w:t>
      </w:r>
      <w:r>
        <w:rPr>
          <w:rFonts w:ascii="仿宋" w:hAnsi="仿宋" w:eastAsia="仿宋"/>
          <w:color w:val="auto"/>
          <w:sz w:val="32"/>
          <w:szCs w:val="32"/>
        </w:rPr>
        <w:t>胜</w:t>
      </w:r>
      <w:r>
        <w:rPr>
          <w:rFonts w:hint="eastAsia" w:ascii="仿宋" w:hAnsi="仿宋" w:eastAsia="仿宋"/>
          <w:color w:val="auto"/>
          <w:sz w:val="32"/>
          <w:szCs w:val="32"/>
        </w:rPr>
        <w:t>局</w:t>
      </w:r>
      <w:r>
        <w:rPr>
          <w:rFonts w:ascii="仿宋" w:hAnsi="仿宋" w:eastAsia="仿宋"/>
          <w:color w:val="auto"/>
          <w:sz w:val="32"/>
          <w:szCs w:val="32"/>
        </w:rPr>
        <w:t>数</w:t>
      </w:r>
      <w:r>
        <w:rPr>
          <w:rFonts w:hint="eastAsia" w:ascii="仿宋" w:hAnsi="仿宋" w:eastAsia="仿宋"/>
          <w:color w:val="auto"/>
          <w:sz w:val="32"/>
          <w:szCs w:val="32"/>
        </w:rPr>
        <w:t>；</w:t>
      </w:r>
      <w:r>
        <w:rPr>
          <w:rFonts w:ascii="仿宋" w:hAnsi="仿宋" w:eastAsia="仿宋"/>
          <w:color w:val="auto"/>
          <w:sz w:val="32"/>
          <w:szCs w:val="32"/>
        </w:rPr>
        <w:t>如仍无法区分则</w:t>
      </w:r>
      <w:r>
        <w:rPr>
          <w:rFonts w:hint="eastAsia" w:ascii="仿宋" w:hAnsi="仿宋" w:eastAsia="仿宋"/>
          <w:color w:val="auto"/>
          <w:sz w:val="32"/>
          <w:szCs w:val="32"/>
        </w:rPr>
        <w:t>加赛决胜局快棋</w:t>
      </w:r>
      <w:r>
        <w:rPr>
          <w:rFonts w:ascii="仿宋" w:hAnsi="仿宋" w:eastAsia="仿宋"/>
          <w:color w:val="auto"/>
          <w:sz w:val="32"/>
          <w:szCs w:val="32"/>
        </w:rPr>
        <w:t>(白方5分钟，黑方4分钟，和棋视为黑胜，60步以后每步棋加2秒)。　</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团体项目：场分(胜为2分，和为1分)</w:t>
      </w:r>
      <w:r>
        <w:rPr>
          <w:rFonts w:hint="eastAsia" w:ascii="仿宋" w:hAnsi="仿宋" w:eastAsia="仿宋"/>
          <w:color w:val="auto"/>
          <w:sz w:val="32"/>
          <w:szCs w:val="32"/>
        </w:rPr>
        <w:t>；</w:t>
      </w:r>
      <w:r>
        <w:rPr>
          <w:rFonts w:ascii="仿宋" w:hAnsi="仿宋" w:eastAsia="仿宋"/>
          <w:color w:val="auto"/>
          <w:sz w:val="32"/>
          <w:szCs w:val="32"/>
        </w:rPr>
        <w:t>局分</w:t>
      </w:r>
      <w:r>
        <w:rPr>
          <w:rFonts w:hint="eastAsia" w:ascii="仿宋" w:hAnsi="仿宋" w:eastAsia="仿宋"/>
          <w:color w:val="auto"/>
          <w:sz w:val="32"/>
          <w:szCs w:val="32"/>
        </w:rPr>
        <w:t>；团体赛索尼伯恩伯格；</w:t>
      </w:r>
      <w:r>
        <w:rPr>
          <w:rFonts w:ascii="仿宋" w:hAnsi="仿宋" w:eastAsia="仿宋"/>
          <w:color w:val="auto"/>
          <w:sz w:val="32"/>
          <w:szCs w:val="32"/>
        </w:rPr>
        <w:t>如仍无法区分则由双方第1台</w:t>
      </w:r>
      <w:r>
        <w:rPr>
          <w:rFonts w:hint="eastAsia" w:ascii="仿宋" w:hAnsi="仿宋" w:eastAsia="仿宋"/>
          <w:color w:val="auto"/>
          <w:sz w:val="32"/>
          <w:szCs w:val="32"/>
        </w:rPr>
        <w:t>加赛决胜局快棋</w:t>
      </w:r>
      <w:r>
        <w:rPr>
          <w:rFonts w:ascii="仿宋" w:hAnsi="仿宋" w:eastAsia="仿宋"/>
          <w:color w:val="auto"/>
          <w:sz w:val="32"/>
          <w:szCs w:val="32"/>
        </w:rPr>
        <w:t>(白方5分钟，黑方4分钟，和棋视为黑胜，60步以后每步棋加2秒)。　　</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（三）</w:t>
      </w:r>
      <w:r>
        <w:rPr>
          <w:rFonts w:ascii="仿宋" w:hAnsi="仿宋" w:eastAsia="仿宋"/>
          <w:color w:val="auto"/>
          <w:sz w:val="32"/>
          <w:szCs w:val="32"/>
        </w:rPr>
        <w:t>决赛赛制　　</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决赛由伯格制单循环赛、对抗晋级赛两个阶段组成。时限和预赛时限一致(包括加赛决胜局快棋时限)</w:t>
      </w:r>
      <w:r>
        <w:rPr>
          <w:rFonts w:hint="eastAsia" w:ascii="仿宋" w:hAnsi="仿宋" w:eastAsia="仿宋"/>
          <w:color w:val="auto"/>
          <w:sz w:val="32"/>
          <w:szCs w:val="32"/>
        </w:rPr>
        <w:t>。</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各组先采用伯格制单循环赛决出名次。名次由以下顺序排出。</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个人项目：</w:t>
      </w:r>
      <w:bookmarkStart w:id="1" w:name="_Hlk164721901"/>
      <w:r>
        <w:rPr>
          <w:rFonts w:ascii="仿宋" w:hAnsi="仿宋" w:eastAsia="仿宋"/>
          <w:color w:val="auto"/>
          <w:sz w:val="32"/>
          <w:szCs w:val="32"/>
        </w:rPr>
        <w:t>积分、直胜</w:t>
      </w:r>
      <w:r>
        <w:rPr>
          <w:rFonts w:hint="eastAsia" w:ascii="仿宋" w:hAnsi="仿宋" w:eastAsia="仿宋"/>
          <w:color w:val="auto"/>
          <w:sz w:val="32"/>
          <w:szCs w:val="32"/>
        </w:rPr>
        <w:t>；索尼伯恩伯格；</w:t>
      </w:r>
      <w:r>
        <w:rPr>
          <w:rFonts w:ascii="仿宋" w:hAnsi="仿宋" w:eastAsia="仿宋"/>
          <w:color w:val="auto"/>
          <w:sz w:val="32"/>
          <w:szCs w:val="32"/>
        </w:rPr>
        <w:t>胜局数</w:t>
      </w:r>
      <w:r>
        <w:rPr>
          <w:rFonts w:hint="eastAsia" w:ascii="仿宋" w:hAnsi="仿宋" w:eastAsia="仿宋"/>
          <w:color w:val="auto"/>
          <w:sz w:val="32"/>
          <w:szCs w:val="32"/>
        </w:rPr>
        <w:t>；</w:t>
      </w:r>
      <w:r>
        <w:rPr>
          <w:rFonts w:ascii="仿宋" w:hAnsi="仿宋" w:eastAsia="仿宋"/>
          <w:color w:val="auto"/>
          <w:sz w:val="32"/>
          <w:szCs w:val="32"/>
        </w:rPr>
        <w:t>如仍无法区分则加赛决胜局快棋。</w:t>
      </w:r>
      <w:bookmarkEnd w:id="1"/>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团体项目：场分(胜为2分，和为1分)</w:t>
      </w:r>
      <w:r>
        <w:rPr>
          <w:rFonts w:hint="eastAsia" w:ascii="仿宋" w:hAnsi="仿宋" w:eastAsia="仿宋"/>
          <w:color w:val="auto"/>
          <w:sz w:val="32"/>
          <w:szCs w:val="32"/>
        </w:rPr>
        <w:t>；</w:t>
      </w:r>
      <w:r>
        <w:rPr>
          <w:rFonts w:ascii="仿宋" w:hAnsi="仿宋" w:eastAsia="仿宋"/>
          <w:color w:val="auto"/>
          <w:sz w:val="32"/>
          <w:szCs w:val="32"/>
        </w:rPr>
        <w:t>局分</w:t>
      </w:r>
      <w:bookmarkStart w:id="2" w:name="_Hlk164722098"/>
      <w:r>
        <w:rPr>
          <w:rFonts w:hint="eastAsia" w:ascii="仿宋" w:hAnsi="仿宋" w:eastAsia="仿宋"/>
          <w:color w:val="auto"/>
          <w:sz w:val="32"/>
          <w:szCs w:val="32"/>
        </w:rPr>
        <w:t>；</w:t>
      </w:r>
      <w:r>
        <w:rPr>
          <w:rFonts w:ascii="仿宋" w:hAnsi="仿宋" w:eastAsia="仿宋"/>
          <w:color w:val="auto"/>
          <w:sz w:val="32"/>
          <w:szCs w:val="32"/>
        </w:rPr>
        <w:t>团体赛索尼伯恩伯格</w:t>
      </w:r>
      <w:r>
        <w:rPr>
          <w:rFonts w:hint="eastAsia" w:ascii="仿宋" w:hAnsi="仿宋" w:eastAsia="仿宋"/>
          <w:color w:val="auto"/>
          <w:sz w:val="32"/>
          <w:szCs w:val="32"/>
        </w:rPr>
        <w:t>；</w:t>
      </w:r>
      <w:r>
        <w:rPr>
          <w:rFonts w:ascii="仿宋" w:hAnsi="仿宋" w:eastAsia="仿宋"/>
          <w:color w:val="auto"/>
          <w:sz w:val="32"/>
          <w:szCs w:val="32"/>
        </w:rPr>
        <w:t>如仍无法区分则由双方第1台加赛决胜局</w:t>
      </w:r>
      <w:r>
        <w:rPr>
          <w:rFonts w:hint="eastAsia" w:ascii="仿宋" w:hAnsi="仿宋" w:eastAsia="仿宋"/>
          <w:color w:val="auto"/>
          <w:sz w:val="32"/>
          <w:szCs w:val="32"/>
        </w:rPr>
        <w:t>快</w:t>
      </w:r>
      <w:r>
        <w:rPr>
          <w:rFonts w:ascii="仿宋" w:hAnsi="仿宋" w:eastAsia="仿宋"/>
          <w:color w:val="auto"/>
          <w:sz w:val="32"/>
          <w:szCs w:val="32"/>
        </w:rPr>
        <w:t>棋。</w:t>
      </w:r>
      <w:bookmarkEnd w:id="2"/>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3</w:t>
      </w:r>
      <w:r>
        <w:rPr>
          <w:rFonts w:hint="eastAsia" w:ascii="仿宋" w:hAnsi="仿宋" w:eastAsia="仿宋"/>
          <w:color w:val="auto"/>
          <w:sz w:val="32"/>
          <w:szCs w:val="32"/>
          <w:lang w:eastAsia="zh-CN"/>
        </w:rPr>
        <w:t>.</w:t>
      </w:r>
      <w:r>
        <w:rPr>
          <w:rFonts w:ascii="仿宋" w:hAnsi="仿宋" w:eastAsia="仿宋"/>
          <w:color w:val="auto"/>
          <w:sz w:val="32"/>
          <w:szCs w:val="32"/>
        </w:rPr>
        <w:t>伯格制单循环赛的第1-4名通过重新抽签配对</w:t>
      </w:r>
      <w:r>
        <w:rPr>
          <w:rFonts w:hint="eastAsia" w:ascii="仿宋" w:hAnsi="仿宋" w:eastAsia="仿宋"/>
          <w:color w:val="auto"/>
          <w:sz w:val="32"/>
          <w:szCs w:val="32"/>
        </w:rPr>
        <w:t>进入对抗晋级赛。胜者进入冠亚军决战，</w:t>
      </w:r>
      <w:r>
        <w:rPr>
          <w:rFonts w:hint="eastAsia" w:ascii="仿宋" w:hAnsi="仿宋" w:eastAsia="仿宋"/>
          <w:color w:val="auto"/>
          <w:sz w:val="32"/>
          <w:szCs w:val="32"/>
          <w:lang w:eastAsia="zh-CN"/>
        </w:rPr>
        <w:t>负者</w:t>
      </w:r>
      <w:r>
        <w:rPr>
          <w:rFonts w:hint="eastAsia" w:ascii="仿宋" w:hAnsi="仿宋" w:eastAsia="仿宋"/>
          <w:color w:val="auto"/>
          <w:sz w:val="32"/>
          <w:szCs w:val="32"/>
        </w:rPr>
        <w:t>进入</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名决战，冠亚军决战和</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名决战同样采用</w:t>
      </w:r>
      <w:r>
        <w:rPr>
          <w:rFonts w:hint="eastAsia" w:ascii="仿宋" w:hAnsi="仿宋" w:eastAsia="仿宋"/>
          <w:color w:val="auto"/>
          <w:sz w:val="32"/>
          <w:szCs w:val="32"/>
          <w:lang w:eastAsia="zh-CN"/>
        </w:rPr>
        <w:t>两</w:t>
      </w:r>
      <w:r>
        <w:rPr>
          <w:rFonts w:ascii="仿宋" w:hAnsi="仿宋" w:eastAsia="仿宋"/>
          <w:color w:val="auto"/>
          <w:sz w:val="32"/>
          <w:szCs w:val="32"/>
        </w:rPr>
        <w:t>轮对抗。</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如果</w:t>
      </w:r>
      <w:r>
        <w:rPr>
          <w:rFonts w:hint="eastAsia" w:ascii="仿宋" w:hAnsi="仿宋" w:eastAsia="仿宋"/>
          <w:color w:val="auto"/>
          <w:sz w:val="32"/>
          <w:szCs w:val="32"/>
          <w:lang w:val="en-US" w:eastAsia="zh-CN"/>
        </w:rPr>
        <w:t>两</w:t>
      </w:r>
      <w:r>
        <w:rPr>
          <w:rFonts w:ascii="仿宋" w:hAnsi="仿宋" w:eastAsia="仿宋"/>
          <w:color w:val="auto"/>
          <w:sz w:val="32"/>
          <w:szCs w:val="32"/>
        </w:rPr>
        <w:t>轮打平，个人项目直接加赛决胜局快棋，团体项目场分相同的情况下，先比局分，如果相同则进入加赛，由双方的第1台加赛决胜局快棋。</w:t>
      </w:r>
    </w:p>
    <w:p>
      <w:pPr>
        <w:keepNext w:val="0"/>
        <w:keepLines w:val="0"/>
        <w:pageBreakBefore w:val="0"/>
        <w:numPr>
          <w:ilvl w:val="0"/>
          <w:numId w:val="1"/>
        </w:numPr>
        <w:kinsoku/>
        <w:overflowPunct/>
        <w:topLinePunct w:val="0"/>
        <w:autoSpaceDE/>
        <w:autoSpaceDN/>
        <w:bidi w:val="0"/>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晋级和</w:t>
      </w:r>
      <w:r>
        <w:rPr>
          <w:rFonts w:ascii="仿宋" w:hAnsi="仿宋" w:eastAsia="仿宋"/>
          <w:color w:val="auto"/>
          <w:sz w:val="32"/>
          <w:szCs w:val="32"/>
        </w:rPr>
        <w:t>名次</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1.预赛各组前列名次和直通队伍共12人或12队晋级决赛。(详见三、参加办法)</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2.</w:t>
      </w:r>
      <w:r>
        <w:rPr>
          <w:rFonts w:ascii="仿宋" w:hAnsi="仿宋" w:eastAsia="仿宋"/>
          <w:color w:val="auto"/>
          <w:sz w:val="32"/>
          <w:szCs w:val="32"/>
        </w:rPr>
        <w:t>决赛阶段对抗晋级赛第1-4名和伯格制单循环赛第5-8名为决赛最终获奖名次。</w:t>
      </w:r>
    </w:p>
    <w:p>
      <w:pPr>
        <w:pStyle w:val="2"/>
        <w:keepNext w:val="0"/>
        <w:keepLines w:val="0"/>
        <w:pageBreakBefore w:val="0"/>
        <w:kinsoku/>
        <w:overflowPunct/>
        <w:topLinePunct w:val="0"/>
        <w:autoSpaceDE/>
        <w:autoSpaceDN/>
        <w:bidi w:val="0"/>
        <w:spacing w:before="1" w:line="560" w:lineRule="exact"/>
        <w:ind w:left="0" w:firstLine="640"/>
        <w:textAlignment w:val="auto"/>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五</w:t>
      </w:r>
      <w:r>
        <w:rPr>
          <w:rFonts w:hint="eastAsia" w:ascii="黑体" w:hAnsi="黑体" w:eastAsia="黑体" w:cs="黑体"/>
          <w:bCs/>
          <w:color w:val="000000"/>
          <w:sz w:val="32"/>
          <w:szCs w:val="32"/>
        </w:rPr>
        <w:t>、奖励</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（一）决赛各组录取前8名，名次不并列。</w:t>
      </w:r>
      <w:r>
        <w:rPr>
          <w:rFonts w:hint="eastAsia" w:ascii="仿宋_GB2312" w:hAnsi="仿宋_GB2312" w:eastAsia="仿宋_GB2312" w:cs="仿宋_GB2312"/>
          <w:sz w:val="32"/>
          <w:szCs w:val="32"/>
        </w:rPr>
        <w:t>颁发获奖证书，同时对前3名颁发金、银、铜牌。</w:t>
      </w:r>
      <w:r>
        <w:rPr>
          <w:rFonts w:hint="eastAsia" w:ascii="仿宋" w:hAnsi="仿宋" w:eastAsia="仿宋"/>
          <w:sz w:val="32"/>
          <w:szCs w:val="32"/>
        </w:rPr>
        <w:t>参赛队数量不足8队，按照实际参赛队数量奖励。</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（二）对所有参加决赛的运动员颁发电子参赛证书。</w:t>
      </w:r>
    </w:p>
    <w:p>
      <w:pPr>
        <w:pStyle w:val="2"/>
        <w:keepNext w:val="0"/>
        <w:keepLines w:val="0"/>
        <w:pageBreakBefore w:val="0"/>
        <w:kinsoku/>
        <w:overflowPunct/>
        <w:topLinePunct w:val="0"/>
        <w:autoSpaceDE/>
        <w:autoSpaceDN/>
        <w:bidi w:val="0"/>
        <w:spacing w:before="1" w:line="560" w:lineRule="exact"/>
        <w:ind w:left="0" w:firstLine="640"/>
        <w:textAlignment w:val="auto"/>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六</w:t>
      </w:r>
      <w:r>
        <w:rPr>
          <w:rFonts w:hint="eastAsia" w:ascii="黑体" w:hAnsi="黑体" w:eastAsia="黑体" w:cs="黑体"/>
          <w:bCs/>
          <w:color w:val="000000"/>
          <w:sz w:val="32"/>
          <w:szCs w:val="32"/>
        </w:rPr>
        <w:t>、报</w:t>
      </w:r>
      <w:r>
        <w:rPr>
          <w:rFonts w:hint="eastAsia" w:ascii="黑体" w:hAnsi="黑体" w:eastAsia="黑体" w:cs="黑体"/>
          <w:bCs/>
          <w:color w:val="000000"/>
          <w:sz w:val="32"/>
          <w:szCs w:val="32"/>
          <w:lang w:eastAsia="zh-CN"/>
        </w:rPr>
        <w:t>名</w:t>
      </w:r>
      <w:r>
        <w:rPr>
          <w:rFonts w:hint="eastAsia" w:ascii="黑体" w:hAnsi="黑体" w:eastAsia="黑体" w:cs="黑体"/>
          <w:bCs/>
          <w:color w:val="000000"/>
          <w:sz w:val="32"/>
          <w:szCs w:val="32"/>
        </w:rPr>
        <w:t>和报</w:t>
      </w:r>
      <w:r>
        <w:rPr>
          <w:rFonts w:hint="eastAsia" w:ascii="黑体" w:hAnsi="黑体" w:eastAsia="黑体" w:cs="黑体"/>
          <w:bCs/>
          <w:color w:val="000000"/>
          <w:sz w:val="32"/>
          <w:szCs w:val="32"/>
          <w:lang w:eastAsia="zh-CN"/>
        </w:rPr>
        <w:t>到</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s="仿宋"/>
          <w:bCs/>
          <w:sz w:val="32"/>
          <w:szCs w:val="32"/>
        </w:rPr>
        <w:t>（一）</w:t>
      </w:r>
      <w:r>
        <w:rPr>
          <w:rFonts w:hint="eastAsia" w:ascii="仿宋" w:hAnsi="仿宋" w:eastAsia="仿宋"/>
          <w:color w:val="000000"/>
          <w:sz w:val="32"/>
          <w:szCs w:val="32"/>
        </w:rPr>
        <w:t>各省、自治区、直辖市、</w:t>
      </w:r>
      <w:r>
        <w:rPr>
          <w:rFonts w:hint="eastAsia" w:ascii="仿宋" w:hAnsi="仿宋" w:eastAsia="仿宋"/>
          <w:bCs/>
          <w:color w:val="000000"/>
          <w:sz w:val="32"/>
          <w:szCs w:val="32"/>
        </w:rPr>
        <w:t>新疆生产建设兵团</w:t>
      </w:r>
      <w:r>
        <w:rPr>
          <w:rFonts w:hint="eastAsia" w:ascii="仿宋" w:hAnsi="仿宋" w:eastAsia="仿宋"/>
          <w:color w:val="000000"/>
          <w:sz w:val="32"/>
          <w:szCs w:val="32"/>
        </w:rPr>
        <w:t>和相关行业体协负责组织本行政区域内预赛报名工作。</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b w:val="0"/>
          <w:bCs w:val="0"/>
          <w:color w:val="auto"/>
          <w:sz w:val="32"/>
          <w:szCs w:val="32"/>
        </w:rPr>
      </w:pPr>
      <w:r>
        <w:rPr>
          <w:rFonts w:hint="eastAsia" w:ascii="仿宋" w:hAnsi="仿宋" w:eastAsia="仿宋"/>
          <w:b w:val="0"/>
          <w:bCs w:val="0"/>
          <w:color w:val="auto"/>
          <w:sz w:val="32"/>
          <w:szCs w:val="32"/>
        </w:rPr>
        <w:t>（二）各参赛单位依据预赛、决赛补充通知报名，</w:t>
      </w:r>
      <w:r>
        <w:rPr>
          <w:rFonts w:hint="eastAsia" w:ascii="仿宋" w:hAnsi="仿宋" w:eastAsia="仿宋" w:cs="仿宋"/>
          <w:b w:val="0"/>
          <w:bCs w:val="0"/>
          <w:color w:val="auto"/>
          <w:sz w:val="32"/>
          <w:szCs w:val="32"/>
        </w:rPr>
        <w:t>预赛和决赛补充通知，将另行通知。</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联系人：王浩丞</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电话：01087559154</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lang w:eastAsia="zh-CN"/>
        </w:rPr>
        <w:t>电子邮箱</w:t>
      </w:r>
      <w:r>
        <w:rPr>
          <w:rFonts w:hint="eastAsia" w:ascii="仿宋" w:hAnsi="仿宋" w:eastAsia="仿宋" w:cs="仿宋"/>
          <w:bCs/>
          <w:sz w:val="32"/>
          <w:szCs w:val="32"/>
        </w:rPr>
        <w:t>：853914100@qq.com</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地址：北京市东城区天坛东路八十号中国棋院国际象棋部</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eastAsia="zh-CN"/>
        </w:rPr>
        <w:t>三</w:t>
      </w:r>
      <w:r>
        <w:rPr>
          <w:rFonts w:hint="eastAsia" w:ascii="仿宋" w:hAnsi="仿宋" w:eastAsia="仿宋"/>
          <w:color w:val="000000"/>
          <w:sz w:val="32"/>
          <w:szCs w:val="32"/>
        </w:rPr>
        <w:t>）报到</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1.技术官员在比赛开始前4天报到，比赛结束后1天离会；因赛前准备工作需要提前报到的人员，须报国家体育总局批准。</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2.各参赛队在比赛开始前2天报到，比赛结束后1天离会。</w:t>
      </w:r>
    </w:p>
    <w:p>
      <w:pPr>
        <w:pStyle w:val="2"/>
        <w:keepNext w:val="0"/>
        <w:keepLines w:val="0"/>
        <w:pageBreakBefore w:val="0"/>
        <w:kinsoku/>
        <w:overflowPunct/>
        <w:topLinePunct w:val="0"/>
        <w:autoSpaceDE/>
        <w:autoSpaceDN/>
        <w:bidi w:val="0"/>
        <w:spacing w:before="1" w:line="560" w:lineRule="exact"/>
        <w:ind w:left="0" w:firstLine="640"/>
        <w:textAlignment w:val="auto"/>
        <w:rPr>
          <w:rFonts w:ascii="黑体" w:hAnsi="黑体" w:eastAsia="黑体" w:cs="黑体"/>
          <w:bCs/>
          <w:color w:val="000000"/>
          <w:sz w:val="32"/>
          <w:szCs w:val="32"/>
        </w:rPr>
      </w:pPr>
      <w:r>
        <w:rPr>
          <w:rFonts w:hint="eastAsia" w:ascii="黑体" w:hAnsi="黑体" w:eastAsia="黑体" w:cs="黑体"/>
          <w:bCs/>
          <w:color w:val="000000"/>
          <w:sz w:val="32"/>
          <w:szCs w:val="32"/>
          <w:lang w:eastAsia="zh-CN"/>
        </w:rPr>
        <w:t>七</w:t>
      </w:r>
      <w:r>
        <w:rPr>
          <w:rFonts w:hint="eastAsia" w:ascii="黑体" w:hAnsi="黑体" w:eastAsia="黑体" w:cs="黑体"/>
          <w:bCs/>
          <w:color w:val="000000"/>
          <w:sz w:val="32"/>
          <w:szCs w:val="32"/>
        </w:rPr>
        <w:t>、经费</w:t>
      </w:r>
    </w:p>
    <w:p>
      <w:pPr>
        <w:keepNext w:val="0"/>
        <w:keepLines w:val="0"/>
        <w:pageBreakBefore w:val="0"/>
        <w:widowControl/>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 w:hAnsi="仿宋" w:eastAsia="仿宋" w:cs="仿宋"/>
          <w:bCs/>
          <w:sz w:val="32"/>
          <w:szCs w:val="32"/>
        </w:rPr>
        <w:t>（一）</w:t>
      </w:r>
      <w:r>
        <w:rPr>
          <w:rFonts w:hint="eastAsia" w:ascii="仿宋_GB2312" w:hAnsi="仿宋_GB2312" w:eastAsia="仿宋_GB2312" w:cs="仿宋_GB2312"/>
          <w:bCs/>
          <w:sz w:val="32"/>
          <w:szCs w:val="32"/>
          <w:lang w:eastAsia="zh-CN"/>
        </w:rPr>
        <w:t>各队伍参加</w:t>
      </w:r>
      <w:r>
        <w:rPr>
          <w:rFonts w:hint="eastAsia" w:ascii="仿宋_GB2312" w:hAnsi="仿宋_GB2312" w:eastAsia="仿宋_GB2312" w:cs="仿宋_GB2312"/>
          <w:sz w:val="32"/>
          <w:szCs w:val="32"/>
        </w:rPr>
        <w:t>预赛</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自理。决赛期间各运动队须按规定交纳一定数额的伙食费，</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会统一安排运动队按期报到至离会期间正式在编人员的食宿和必要的市内交通。</w:t>
      </w:r>
    </w:p>
    <w:p>
      <w:pPr>
        <w:keepNext w:val="0"/>
        <w:keepLines w:val="0"/>
        <w:pageBreakBefore w:val="0"/>
        <w:widowControl/>
        <w:kinsoku/>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 w:hAnsi="仿宋" w:eastAsia="仿宋" w:cs="仿宋"/>
          <w:sz w:val="32"/>
          <w:szCs w:val="32"/>
        </w:rPr>
        <w:t>二</w:t>
      </w:r>
      <w:r>
        <w:rPr>
          <w:rFonts w:hint="eastAsia" w:ascii="仿宋_GB2312" w:hAnsi="仿宋_GB2312" w:eastAsia="仿宋_GB2312" w:cs="仿宋_GB2312"/>
          <w:sz w:val="32"/>
          <w:szCs w:val="32"/>
        </w:rPr>
        <w:t>）技术官员正式报到至离会期间，</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会将负担其食宿、差旅、市内交通、工作补贴等相关费用。</w:t>
      </w:r>
    </w:p>
    <w:p>
      <w:pPr>
        <w:pStyle w:val="2"/>
        <w:keepNext w:val="0"/>
        <w:keepLines w:val="0"/>
        <w:pageBreakBefore w:val="0"/>
        <w:kinsoku/>
        <w:overflowPunct/>
        <w:topLinePunct w:val="0"/>
        <w:autoSpaceDE/>
        <w:autoSpaceDN/>
        <w:bidi w:val="0"/>
        <w:spacing w:before="1" w:line="560" w:lineRule="exact"/>
        <w:ind w:left="0" w:firstLine="640"/>
        <w:textAlignment w:val="auto"/>
        <w:rPr>
          <w:rFonts w:ascii="黑体" w:hAnsi="黑体" w:eastAsia="黑体" w:cs="黑体"/>
          <w:bCs/>
          <w:color w:val="000000"/>
          <w:sz w:val="32"/>
          <w:szCs w:val="32"/>
        </w:rPr>
      </w:pPr>
      <w:r>
        <w:rPr>
          <w:rFonts w:hint="eastAsia" w:ascii="黑体" w:hAnsi="黑体" w:eastAsia="黑体" w:cs="黑体"/>
          <w:bCs/>
          <w:color w:val="000000"/>
          <w:sz w:val="32"/>
          <w:szCs w:val="32"/>
          <w:lang w:eastAsia="zh-CN"/>
        </w:rPr>
        <w:t>八</w:t>
      </w:r>
      <w:r>
        <w:rPr>
          <w:rFonts w:hint="eastAsia" w:ascii="黑体" w:hAnsi="黑体" w:eastAsia="黑体" w:cs="黑体"/>
          <w:bCs/>
          <w:color w:val="000000"/>
          <w:sz w:val="32"/>
          <w:szCs w:val="32"/>
        </w:rPr>
        <w:t>、技术官员</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裁判员、技术代表和工作人员由中国国际象棋协会选派组织。</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CESI黑体-GB13000" w:hAnsi="CESI黑体-GB13000" w:eastAsia="CESI黑体-GB13000" w:cs="CESI黑体-GB13000"/>
          <w:bCs/>
          <w:color w:val="000000"/>
          <w:sz w:val="32"/>
          <w:szCs w:val="32"/>
        </w:rPr>
      </w:pPr>
      <w:r>
        <w:rPr>
          <w:rFonts w:hint="eastAsia" w:ascii="CESI黑体-GB13000" w:hAnsi="CESI黑体-GB13000" w:eastAsia="CESI黑体-GB13000" w:cs="CESI黑体-GB13000"/>
          <w:sz w:val="32"/>
          <w:szCs w:val="32"/>
          <w:lang w:eastAsia="zh-CN"/>
        </w:rPr>
        <w:t>九、</w:t>
      </w:r>
      <w:r>
        <w:rPr>
          <w:rFonts w:hint="eastAsia" w:ascii="CESI黑体-GB13000" w:hAnsi="CESI黑体-GB13000" w:eastAsia="CESI黑体-GB13000" w:cs="CESI黑体-GB13000"/>
          <w:bCs/>
          <w:color w:val="000000"/>
          <w:sz w:val="32"/>
          <w:szCs w:val="32"/>
        </w:rPr>
        <w:t>反兴奋剂</w:t>
      </w:r>
    </w:p>
    <w:p>
      <w:pPr>
        <w:pStyle w:val="2"/>
        <w:keepNext w:val="0"/>
        <w:keepLines w:val="0"/>
        <w:pageBreakBefore w:val="0"/>
        <w:kinsoku/>
        <w:overflowPunct/>
        <w:topLinePunct w:val="0"/>
        <w:autoSpaceDE/>
        <w:autoSpaceDN/>
        <w:bidi w:val="0"/>
        <w:spacing w:before="1"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（一）兴奋剂检查和处罚按照国家体育总局有关规定执行。</w:t>
      </w:r>
    </w:p>
    <w:p>
      <w:pPr>
        <w:pStyle w:val="2"/>
        <w:keepNext w:val="0"/>
        <w:keepLines w:val="0"/>
        <w:pageBreakBefore w:val="0"/>
        <w:kinsoku/>
        <w:overflowPunct/>
        <w:topLinePunct w:val="0"/>
        <w:autoSpaceDE/>
        <w:autoSpaceDN/>
        <w:bidi w:val="0"/>
        <w:spacing w:before="1"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（二）参赛运动员、教练员及工作人员自觉接受反兴奋剂</w:t>
      </w:r>
      <w:r>
        <w:rPr>
          <w:rFonts w:hint="eastAsia" w:ascii="仿宋_GB2312" w:hAnsi="仿宋_GB2312" w:eastAsia="仿宋_GB2312" w:cs="仿宋_GB2312"/>
          <w:sz w:val="32"/>
          <w:szCs w:val="32"/>
          <w:lang w:eastAsia="zh-CN"/>
        </w:rPr>
        <w:t>教</w:t>
      </w:r>
      <w:bookmarkStart w:id="3" w:name="_GoBack"/>
      <w:bookmarkEnd w:id="3"/>
      <w:r>
        <w:rPr>
          <w:rFonts w:hint="eastAsia" w:ascii="仿宋_GB2312" w:hAnsi="仿宋_GB2312" w:eastAsia="仿宋_GB2312" w:cs="仿宋_GB2312"/>
          <w:sz w:val="32"/>
          <w:szCs w:val="32"/>
        </w:rPr>
        <w:t>育，通过中国反兴奋剂教育平台（https://cleanmedal.chinada.cn/）“十五运会反兴奋剂教育专区（群众赛事入口）”参加学习。</w:t>
      </w:r>
    </w:p>
    <w:p>
      <w:pPr>
        <w:pStyle w:val="2"/>
        <w:keepNext w:val="0"/>
        <w:keepLines w:val="0"/>
        <w:pageBreakBefore w:val="0"/>
        <w:kinsoku/>
        <w:overflowPunct/>
        <w:topLinePunct w:val="0"/>
        <w:autoSpaceDE/>
        <w:autoSpaceDN/>
        <w:bidi w:val="0"/>
        <w:spacing w:before="1"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（三）实施决赛阶段运动员反兴奋剂教育准入，决赛运动员在上述平台考试合格获得证书后具备参赛资格，决赛前提交反兴奋剂考试合格证书。</w:t>
      </w:r>
    </w:p>
    <w:p>
      <w:pPr>
        <w:pStyle w:val="2"/>
        <w:keepNext w:val="0"/>
        <w:keepLines w:val="0"/>
        <w:pageBreakBefore w:val="0"/>
        <w:kinsoku/>
        <w:overflowPunct/>
        <w:topLinePunct w:val="0"/>
        <w:autoSpaceDE/>
        <w:autoSpaceDN/>
        <w:bidi w:val="0"/>
        <w:spacing w:before="1" w:line="560" w:lineRule="exact"/>
        <w:ind w:left="0" w:firstLine="640"/>
        <w:textAlignment w:val="auto"/>
        <w:rPr>
          <w:rFonts w:ascii="黑体" w:hAnsi="黑体" w:eastAsia="黑体" w:cs="黑体"/>
          <w:bCs/>
          <w:color w:val="000000"/>
          <w:sz w:val="32"/>
          <w:szCs w:val="32"/>
        </w:rPr>
      </w:pPr>
      <w:r>
        <w:rPr>
          <w:rFonts w:hint="eastAsia" w:ascii="黑体" w:hAnsi="黑体" w:eastAsia="黑体" w:cs="黑体"/>
          <w:bCs/>
          <w:color w:val="000000"/>
          <w:sz w:val="32"/>
          <w:szCs w:val="32"/>
        </w:rPr>
        <w:t>十、其他</w:t>
      </w:r>
    </w:p>
    <w:p>
      <w:pPr>
        <w:keepNext w:val="0"/>
        <w:keepLines w:val="0"/>
        <w:pageBreakBefore w:val="0"/>
        <w:kinsoku/>
        <w:overflowPunct/>
        <w:topLinePunct w:val="0"/>
        <w:autoSpaceDE/>
        <w:autoSpaceDN/>
        <w:bidi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参赛队伍自行购买赛事活动以及路途人身意外保险。</w:t>
      </w:r>
    </w:p>
    <w:p>
      <w:pPr>
        <w:keepNext w:val="0"/>
        <w:keepLines w:val="0"/>
        <w:pageBreakBefore w:val="0"/>
        <w:kinsoku/>
        <w:overflowPunct/>
        <w:topLinePunct w:val="0"/>
        <w:autoSpaceDE/>
        <w:autoSpaceDN/>
        <w:bidi w:val="0"/>
        <w:spacing w:line="560" w:lineRule="exact"/>
        <w:ind w:left="628"/>
        <w:textAlignment w:val="auto"/>
        <w:rPr>
          <w:rFonts w:ascii="黑体" w:hAnsi="黑体" w:eastAsia="黑体" w:cs="黑体"/>
          <w:color w:val="000000"/>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、本规程解释权属国家体育总局棋牌管理中心（中</w:t>
      </w:r>
    </w:p>
    <w:p>
      <w:pPr>
        <w:keepNext w:val="0"/>
        <w:keepLines w:val="0"/>
        <w:pageBreakBefore w:val="0"/>
        <w:kinsoku/>
        <w:overflowPunct/>
        <w:topLinePunct w:val="0"/>
        <w:autoSpaceDE/>
        <w:autoSpaceDN/>
        <w:bidi w:val="0"/>
        <w:spacing w:line="560" w:lineRule="exact"/>
        <w:textAlignment w:val="auto"/>
        <w:rPr>
          <w:rFonts w:ascii="黑体" w:hAnsi="黑体" w:eastAsia="黑体" w:cs="黑体"/>
          <w:color w:val="000000"/>
          <w:sz w:val="32"/>
          <w:szCs w:val="32"/>
        </w:rPr>
      </w:pPr>
      <w:r>
        <w:rPr>
          <w:rFonts w:hint="eastAsia" w:ascii="黑体" w:hAnsi="黑体" w:eastAsia="黑体" w:cs="黑体"/>
          <w:color w:val="000000"/>
          <w:sz w:val="32"/>
          <w:szCs w:val="32"/>
        </w:rPr>
        <w:t>国国际象棋协会）。</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、未尽事宜，另行通知</w:t>
      </w:r>
      <w:r>
        <w:rPr>
          <w:rFonts w:hint="eastAsia" w:ascii="黑体" w:hAnsi="黑体" w:eastAsia="黑体" w:cs="黑体"/>
          <w:color w:val="000000"/>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STFangsong">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13000">
    <w:altName w:val="方正黑体_GBK"/>
    <w:panose1 w:val="020005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B52B6B"/>
    <w:multiLevelType w:val="singleLevel"/>
    <w:tmpl w:val="A6B52B6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NTNmNGU3ZjEyOGNkNTQxM2EwYTc2YTQzZTJkM2MifQ=="/>
  </w:docVars>
  <w:rsids>
    <w:rsidRoot w:val="F9B6C61F"/>
    <w:rsid w:val="00026602"/>
    <w:rsid w:val="00056B8D"/>
    <w:rsid w:val="000605ED"/>
    <w:rsid w:val="000E0086"/>
    <w:rsid w:val="000E215D"/>
    <w:rsid w:val="00126AA0"/>
    <w:rsid w:val="001571B3"/>
    <w:rsid w:val="0017017D"/>
    <w:rsid w:val="0028237C"/>
    <w:rsid w:val="002A0196"/>
    <w:rsid w:val="002A08F5"/>
    <w:rsid w:val="002A7FFD"/>
    <w:rsid w:val="002B2E09"/>
    <w:rsid w:val="003367AC"/>
    <w:rsid w:val="00343274"/>
    <w:rsid w:val="00382476"/>
    <w:rsid w:val="003C656F"/>
    <w:rsid w:val="004F1B0F"/>
    <w:rsid w:val="00512973"/>
    <w:rsid w:val="005424A0"/>
    <w:rsid w:val="005862DF"/>
    <w:rsid w:val="00590CE5"/>
    <w:rsid w:val="005A18DD"/>
    <w:rsid w:val="005C5636"/>
    <w:rsid w:val="005D070C"/>
    <w:rsid w:val="006D05FF"/>
    <w:rsid w:val="00753D58"/>
    <w:rsid w:val="007E05B6"/>
    <w:rsid w:val="0084208F"/>
    <w:rsid w:val="008D6170"/>
    <w:rsid w:val="009B0AEE"/>
    <w:rsid w:val="009C0CFC"/>
    <w:rsid w:val="00A41B50"/>
    <w:rsid w:val="00A6099D"/>
    <w:rsid w:val="00AB72C3"/>
    <w:rsid w:val="00B27C6C"/>
    <w:rsid w:val="00B43260"/>
    <w:rsid w:val="00B63930"/>
    <w:rsid w:val="00B7117E"/>
    <w:rsid w:val="00C340A3"/>
    <w:rsid w:val="00C60BB7"/>
    <w:rsid w:val="00C85F2A"/>
    <w:rsid w:val="00CB5E8E"/>
    <w:rsid w:val="00CC7994"/>
    <w:rsid w:val="00D77A24"/>
    <w:rsid w:val="00D952B8"/>
    <w:rsid w:val="00DA1369"/>
    <w:rsid w:val="00DB2ADB"/>
    <w:rsid w:val="00E201F3"/>
    <w:rsid w:val="00E2699B"/>
    <w:rsid w:val="00E84F40"/>
    <w:rsid w:val="00EB25DE"/>
    <w:rsid w:val="00FB0920"/>
    <w:rsid w:val="053B2E5E"/>
    <w:rsid w:val="06F353E5"/>
    <w:rsid w:val="07746409"/>
    <w:rsid w:val="08182D13"/>
    <w:rsid w:val="08DA426D"/>
    <w:rsid w:val="08EA1807"/>
    <w:rsid w:val="09040B85"/>
    <w:rsid w:val="0CBA1D0A"/>
    <w:rsid w:val="0D1A11F8"/>
    <w:rsid w:val="0FD74C28"/>
    <w:rsid w:val="114E546B"/>
    <w:rsid w:val="128F60A5"/>
    <w:rsid w:val="133D09EF"/>
    <w:rsid w:val="157A2BA8"/>
    <w:rsid w:val="15892A71"/>
    <w:rsid w:val="15A82B36"/>
    <w:rsid w:val="17F859A4"/>
    <w:rsid w:val="19EB1D39"/>
    <w:rsid w:val="1B53585A"/>
    <w:rsid w:val="1C0C5A7F"/>
    <w:rsid w:val="1E875B44"/>
    <w:rsid w:val="1FF61E45"/>
    <w:rsid w:val="1FFB7720"/>
    <w:rsid w:val="21D95E1E"/>
    <w:rsid w:val="24436999"/>
    <w:rsid w:val="245A1F25"/>
    <w:rsid w:val="254774AC"/>
    <w:rsid w:val="25D81AFB"/>
    <w:rsid w:val="27313F6F"/>
    <w:rsid w:val="28023F27"/>
    <w:rsid w:val="2A830D8A"/>
    <w:rsid w:val="2D3E1194"/>
    <w:rsid w:val="2D4C6180"/>
    <w:rsid w:val="2EFC2DAA"/>
    <w:rsid w:val="2FD44507"/>
    <w:rsid w:val="32267207"/>
    <w:rsid w:val="32AE0C4A"/>
    <w:rsid w:val="33224F6A"/>
    <w:rsid w:val="344A6670"/>
    <w:rsid w:val="34CE54F3"/>
    <w:rsid w:val="35B77D36"/>
    <w:rsid w:val="35DE2F03"/>
    <w:rsid w:val="364265BA"/>
    <w:rsid w:val="37382218"/>
    <w:rsid w:val="376213AD"/>
    <w:rsid w:val="37E01AE9"/>
    <w:rsid w:val="37E26F10"/>
    <w:rsid w:val="387F30A6"/>
    <w:rsid w:val="387F62EE"/>
    <w:rsid w:val="397877DC"/>
    <w:rsid w:val="3B7051B6"/>
    <w:rsid w:val="3BDFD6BC"/>
    <w:rsid w:val="3E7A3FF6"/>
    <w:rsid w:val="3EF7155B"/>
    <w:rsid w:val="3F73C768"/>
    <w:rsid w:val="3FED9B67"/>
    <w:rsid w:val="41372F02"/>
    <w:rsid w:val="414C7196"/>
    <w:rsid w:val="43D146B8"/>
    <w:rsid w:val="450565E9"/>
    <w:rsid w:val="45083D2A"/>
    <w:rsid w:val="45576E3F"/>
    <w:rsid w:val="4593663E"/>
    <w:rsid w:val="46250CEB"/>
    <w:rsid w:val="46B46CD3"/>
    <w:rsid w:val="46FC1A4C"/>
    <w:rsid w:val="473117C3"/>
    <w:rsid w:val="489932CB"/>
    <w:rsid w:val="48AF2B85"/>
    <w:rsid w:val="4BFDC66E"/>
    <w:rsid w:val="4CA02399"/>
    <w:rsid w:val="4D204A25"/>
    <w:rsid w:val="50BA0A95"/>
    <w:rsid w:val="50D51B07"/>
    <w:rsid w:val="511703CE"/>
    <w:rsid w:val="513E0909"/>
    <w:rsid w:val="514D7CC5"/>
    <w:rsid w:val="514E10F6"/>
    <w:rsid w:val="51E87C3A"/>
    <w:rsid w:val="53DF6288"/>
    <w:rsid w:val="543A5BBF"/>
    <w:rsid w:val="543D4CB7"/>
    <w:rsid w:val="54D1276A"/>
    <w:rsid w:val="55CD093B"/>
    <w:rsid w:val="55F50D6E"/>
    <w:rsid w:val="5687485C"/>
    <w:rsid w:val="56E16569"/>
    <w:rsid w:val="57461E32"/>
    <w:rsid w:val="597C5432"/>
    <w:rsid w:val="5CA644DC"/>
    <w:rsid w:val="5CC423A8"/>
    <w:rsid w:val="5F645411"/>
    <w:rsid w:val="601E438A"/>
    <w:rsid w:val="6052563D"/>
    <w:rsid w:val="608C66DA"/>
    <w:rsid w:val="613E7912"/>
    <w:rsid w:val="6162474A"/>
    <w:rsid w:val="61BB564B"/>
    <w:rsid w:val="63FE0CF8"/>
    <w:rsid w:val="640C38D5"/>
    <w:rsid w:val="641845FB"/>
    <w:rsid w:val="659052B4"/>
    <w:rsid w:val="676929D0"/>
    <w:rsid w:val="67FB3671"/>
    <w:rsid w:val="68014CBD"/>
    <w:rsid w:val="683342E1"/>
    <w:rsid w:val="697A2F79"/>
    <w:rsid w:val="6A227F3F"/>
    <w:rsid w:val="6AF721EF"/>
    <w:rsid w:val="6C301706"/>
    <w:rsid w:val="6CBEAFC1"/>
    <w:rsid w:val="6CCF2434"/>
    <w:rsid w:val="6DDC8272"/>
    <w:rsid w:val="6DFA87D1"/>
    <w:rsid w:val="6FBF6575"/>
    <w:rsid w:val="6FFFFFFE"/>
    <w:rsid w:val="7055204A"/>
    <w:rsid w:val="73FDD2B4"/>
    <w:rsid w:val="746F9631"/>
    <w:rsid w:val="75BF2884"/>
    <w:rsid w:val="75C90D7D"/>
    <w:rsid w:val="75E458C7"/>
    <w:rsid w:val="75F9F270"/>
    <w:rsid w:val="766034F6"/>
    <w:rsid w:val="7771CA73"/>
    <w:rsid w:val="78A23203"/>
    <w:rsid w:val="79FD126A"/>
    <w:rsid w:val="7B6F4A91"/>
    <w:rsid w:val="7B8C5EE0"/>
    <w:rsid w:val="7D73493A"/>
    <w:rsid w:val="7DFF3434"/>
    <w:rsid w:val="7E2B6F43"/>
    <w:rsid w:val="7F3AE401"/>
    <w:rsid w:val="7F8E7367"/>
    <w:rsid w:val="7FBD1DE1"/>
    <w:rsid w:val="7FBFF3F9"/>
    <w:rsid w:val="7FEBE4B6"/>
    <w:rsid w:val="7FEE51AF"/>
    <w:rsid w:val="7FEFFC1E"/>
    <w:rsid w:val="7FFE5370"/>
    <w:rsid w:val="AF254C75"/>
    <w:rsid w:val="AF7F8328"/>
    <w:rsid w:val="AFBFB2E1"/>
    <w:rsid w:val="B7DA8655"/>
    <w:rsid w:val="BB0B69A3"/>
    <w:rsid w:val="BFA75DA9"/>
    <w:rsid w:val="BFE65773"/>
    <w:rsid w:val="BFF1921A"/>
    <w:rsid w:val="BFFFB3D1"/>
    <w:rsid w:val="CEFBA01E"/>
    <w:rsid w:val="CEFCCF3B"/>
    <w:rsid w:val="CF7F7882"/>
    <w:rsid w:val="CFFE31A2"/>
    <w:rsid w:val="D2FF2719"/>
    <w:rsid w:val="D7EAAFDC"/>
    <w:rsid w:val="D7FF705F"/>
    <w:rsid w:val="DBFA5DF1"/>
    <w:rsid w:val="DCFD3C33"/>
    <w:rsid w:val="DEB38671"/>
    <w:rsid w:val="DF97CF73"/>
    <w:rsid w:val="E6C6EADD"/>
    <w:rsid w:val="E7AF8119"/>
    <w:rsid w:val="E96D51B3"/>
    <w:rsid w:val="EBF4DDB0"/>
    <w:rsid w:val="EEE7E3CB"/>
    <w:rsid w:val="EF9FDF9D"/>
    <w:rsid w:val="EFDFBCD6"/>
    <w:rsid w:val="EFF9D4EF"/>
    <w:rsid w:val="EFFF8BDE"/>
    <w:rsid w:val="EFFFCE9E"/>
    <w:rsid w:val="F36F1597"/>
    <w:rsid w:val="F7BF36D0"/>
    <w:rsid w:val="F7DFCB80"/>
    <w:rsid w:val="F7FD5A83"/>
    <w:rsid w:val="F9B6C61F"/>
    <w:rsid w:val="F9FF971F"/>
    <w:rsid w:val="FB778232"/>
    <w:rsid w:val="FC776CC5"/>
    <w:rsid w:val="FDF04D15"/>
    <w:rsid w:val="FDF72A20"/>
    <w:rsid w:val="FE3FE8FE"/>
    <w:rsid w:val="FE5BB072"/>
    <w:rsid w:val="FED6968C"/>
    <w:rsid w:val="FF4EF488"/>
    <w:rsid w:val="FF8F5BBB"/>
    <w:rsid w:val="FFE8192B"/>
    <w:rsid w:val="FFF32732"/>
    <w:rsid w:val="FFFDCE5F"/>
    <w:rsid w:val="FFFEE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paragraph" w:styleId="9">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3185</Words>
  <Characters>3322</Characters>
  <Lines>24</Lines>
  <Paragraphs>7</Paragraphs>
  <TotalTime>24</TotalTime>
  <ScaleCrop>false</ScaleCrop>
  <LinksUpToDate>false</LinksUpToDate>
  <CharactersWithSpaces>3346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2021-01-26T23:38:00Z</dcterms:created>
  <dc:creator>qinyue</dc:creator>
  <cp:lastModifiedBy>hehongyu</cp:lastModifiedBy>
  <cp:lastPrinted>2024-04-29T01:29:00Z</cp:lastPrinted>
  <dcterms:modified xsi:type="dcterms:W3CDTF">2024-07-10T16:33:17Z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8363A2C881B70FC60C4F6966ED31E690</vt:lpwstr>
  </property>
</Properties>
</file>