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adjustRightInd w:val="0"/>
        <w:snapToGrid w:val="0"/>
        <w:spacing w:before="72" w:after="72" w:line="600" w:lineRule="atLeast"/>
        <w:jc w:val="center"/>
        <w:rPr>
          <w:rFonts w:hint="eastAsia" w:ascii="黑体" w:eastAsia="黑体"/>
          <w:b/>
          <w:color w:val="auto"/>
          <w:sz w:val="60"/>
          <w:szCs w:val="60"/>
          <w:highlight w:val="none"/>
          <w:lang w:val="en-US" w:eastAsia="zh-CN"/>
        </w:rPr>
      </w:pPr>
    </w:p>
    <w:p>
      <w:pPr>
        <w:keepNext w:val="0"/>
        <w:keepLines w:val="0"/>
        <w:pageBreakBefore w:val="0"/>
        <w:widowControl w:val="0"/>
        <w:tabs>
          <w:tab w:val="left" w:pos="0"/>
          <w:tab w:val="left" w:pos="6660"/>
        </w:tabs>
        <w:kinsoku/>
        <w:wordWrap/>
        <w:overflowPunct/>
        <w:topLinePunct w:val="0"/>
        <w:autoSpaceDE/>
        <w:autoSpaceDN/>
        <w:bidi w:val="0"/>
        <w:adjustRightInd w:val="0"/>
        <w:snapToGrid w:val="0"/>
        <w:spacing w:before="72" w:after="72" w:line="600" w:lineRule="atLeast"/>
        <w:jc w:val="center"/>
        <w:textAlignment w:val="auto"/>
        <w:rPr>
          <w:rFonts w:hint="eastAsia" w:ascii="黑体" w:eastAsia="黑体"/>
          <w:b/>
          <w:color w:val="auto"/>
          <w:sz w:val="76"/>
          <w:szCs w:val="76"/>
          <w:highlight w:val="none"/>
          <w:lang w:eastAsia="zh-CN"/>
        </w:rPr>
      </w:pPr>
      <w:r>
        <w:rPr>
          <w:rFonts w:hint="eastAsia" w:ascii="黑体" w:eastAsia="黑体"/>
          <w:b/>
          <w:color w:val="auto"/>
          <w:sz w:val="76"/>
          <w:szCs w:val="76"/>
          <w:highlight w:val="none"/>
          <w:lang w:eastAsia="zh-CN"/>
        </w:rPr>
        <w:t>中山黄圃腊味展示中心多媒体集成服务</w:t>
      </w:r>
    </w:p>
    <w:p>
      <w:pPr>
        <w:tabs>
          <w:tab w:val="left" w:pos="420"/>
          <w:tab w:val="left" w:pos="6660"/>
        </w:tabs>
        <w:adjustRightInd w:val="0"/>
        <w:snapToGrid w:val="0"/>
        <w:spacing w:before="72" w:after="72" w:line="600" w:lineRule="atLeast"/>
        <w:jc w:val="center"/>
        <w:rPr>
          <w:rFonts w:ascii="黑体" w:eastAsia="黑体"/>
          <w:b/>
          <w:color w:val="auto"/>
          <w:sz w:val="70"/>
          <w:szCs w:val="70"/>
          <w:highlight w:val="none"/>
        </w:rPr>
      </w:pPr>
    </w:p>
    <w:p>
      <w:pPr>
        <w:tabs>
          <w:tab w:val="left" w:pos="420"/>
          <w:tab w:val="left" w:pos="6660"/>
        </w:tabs>
        <w:adjustRightInd w:val="0"/>
        <w:snapToGrid w:val="0"/>
        <w:spacing w:before="72" w:after="72" w:line="600" w:lineRule="atLeast"/>
        <w:jc w:val="center"/>
        <w:rPr>
          <w:rFonts w:ascii="黑体" w:eastAsia="黑体"/>
          <w:b/>
          <w:color w:val="auto"/>
          <w:sz w:val="70"/>
          <w:szCs w:val="70"/>
          <w:highlight w:val="none"/>
        </w:rPr>
      </w:pPr>
    </w:p>
    <w:p>
      <w:pPr>
        <w:tabs>
          <w:tab w:val="left" w:pos="420"/>
          <w:tab w:val="left" w:pos="6660"/>
        </w:tabs>
        <w:spacing w:before="72" w:after="72" w:line="1200" w:lineRule="atLeast"/>
        <w:jc w:val="center"/>
        <w:rPr>
          <w:rFonts w:ascii="黑体" w:eastAsia="黑体"/>
          <w:b/>
          <w:color w:val="auto"/>
          <w:sz w:val="90"/>
          <w:szCs w:val="90"/>
          <w:highlight w:val="none"/>
        </w:rPr>
      </w:pPr>
      <w:r>
        <w:rPr>
          <w:rFonts w:hint="eastAsia" w:ascii="黑体" w:eastAsia="黑体"/>
          <w:b/>
          <w:color w:val="auto"/>
          <w:sz w:val="90"/>
          <w:szCs w:val="90"/>
          <w:highlight w:val="none"/>
        </w:rPr>
        <w:t>服务采购</w:t>
      </w:r>
    </w:p>
    <w:p>
      <w:pPr>
        <w:tabs>
          <w:tab w:val="left" w:pos="420"/>
          <w:tab w:val="left" w:pos="6660"/>
        </w:tabs>
        <w:spacing w:before="72" w:after="72" w:line="1200" w:lineRule="atLeast"/>
        <w:jc w:val="center"/>
        <w:rPr>
          <w:rFonts w:ascii="黑体" w:eastAsia="黑体"/>
          <w:b/>
          <w:color w:val="auto"/>
          <w:sz w:val="90"/>
          <w:szCs w:val="90"/>
          <w:highlight w:val="none"/>
        </w:rPr>
      </w:pPr>
      <w:r>
        <w:rPr>
          <w:rFonts w:hint="eastAsia" w:ascii="黑体" w:eastAsia="黑体"/>
          <w:b/>
          <w:color w:val="auto"/>
          <w:sz w:val="90"/>
          <w:szCs w:val="90"/>
          <w:highlight w:val="none"/>
        </w:rPr>
        <w:t>公开招标文件</w:t>
      </w:r>
    </w:p>
    <w:p>
      <w:pPr>
        <w:pStyle w:val="25"/>
        <w:spacing w:line="360" w:lineRule="auto"/>
        <w:ind w:left="0" w:leftChars="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lang w:eastAsia="zh-CN"/>
        </w:rPr>
        <w:t>（</w:t>
      </w:r>
      <w:r>
        <w:rPr>
          <w:rFonts w:hint="eastAsia" w:ascii="黑体" w:hAnsi="黑体" w:eastAsia="黑体" w:cs="黑体"/>
          <w:color w:val="auto"/>
          <w:sz w:val="36"/>
          <w:szCs w:val="36"/>
          <w:highlight w:val="none"/>
        </w:rPr>
        <w:t>项目编号：</w:t>
      </w:r>
      <w:r>
        <w:rPr>
          <w:rFonts w:hint="eastAsia" w:ascii="黑体" w:hAnsi="黑体" w:eastAsia="黑体" w:cs="黑体"/>
          <w:color w:val="auto"/>
          <w:sz w:val="36"/>
          <w:szCs w:val="36"/>
          <w:highlight w:val="none"/>
          <w:lang w:eastAsia="zh-CN"/>
        </w:rPr>
        <w:t>1210-2340YDZB5954）</w:t>
      </w:r>
    </w:p>
    <w:p>
      <w:pPr>
        <w:rPr>
          <w:rFonts w:ascii="黑体" w:hAnsi="黑体" w:eastAsia="黑体" w:cs="黑体"/>
          <w:color w:val="auto"/>
          <w:sz w:val="36"/>
          <w:szCs w:val="36"/>
          <w:highlight w:val="none"/>
        </w:rPr>
      </w:pPr>
    </w:p>
    <w:p>
      <w:pPr>
        <w:spacing w:before="72" w:after="72"/>
        <w:jc w:val="center"/>
        <w:rPr>
          <w:color w:val="auto"/>
          <w:highlight w:val="none"/>
        </w:rPr>
      </w:pPr>
    </w:p>
    <w:p>
      <w:pPr>
        <w:spacing w:before="72" w:after="72"/>
        <w:jc w:val="center"/>
        <w:rPr>
          <w:color w:val="auto"/>
          <w:highlight w:val="none"/>
        </w:rPr>
      </w:pPr>
    </w:p>
    <w:p>
      <w:pPr>
        <w:rPr>
          <w:rFonts w:hAnsi="宋体"/>
          <w:bCs/>
          <w:color w:val="auto"/>
          <w:sz w:val="32"/>
          <w:szCs w:val="32"/>
          <w:highlight w:val="none"/>
        </w:rPr>
      </w:pPr>
    </w:p>
    <w:p>
      <w:pPr>
        <w:rPr>
          <w:rFonts w:hAnsi="宋体"/>
          <w:bCs/>
          <w:color w:val="auto"/>
          <w:sz w:val="32"/>
          <w:szCs w:val="32"/>
          <w:highlight w:val="none"/>
        </w:rPr>
      </w:pPr>
    </w:p>
    <w:p>
      <w:pPr>
        <w:spacing w:line="700" w:lineRule="exact"/>
        <w:jc w:val="center"/>
        <w:rPr>
          <w:rFonts w:ascii="黑体" w:eastAsia="黑体"/>
          <w:color w:val="auto"/>
          <w:sz w:val="48"/>
          <w:szCs w:val="48"/>
          <w:highlight w:val="none"/>
        </w:rPr>
      </w:pPr>
      <w:bookmarkStart w:id="0" w:name="_Toc168288363"/>
      <w:bookmarkStart w:id="1" w:name="_Toc50691018"/>
      <w:bookmarkStart w:id="2" w:name="_Toc372468299"/>
      <w:bookmarkStart w:id="3" w:name="_Toc50737317"/>
      <w:bookmarkStart w:id="4" w:name="_Toc182886646"/>
      <w:bookmarkStart w:id="5" w:name="_Toc50736465"/>
      <w:bookmarkStart w:id="6" w:name="_Toc183316708"/>
      <w:bookmarkStart w:id="7" w:name="_Toc50737285"/>
      <w:bookmarkStart w:id="8" w:name="_Toc423021938"/>
      <w:r>
        <w:rPr>
          <w:rFonts w:hint="eastAsia" w:ascii="黑体" w:hAnsi="宋体" w:eastAsia="黑体"/>
          <w:color w:val="auto"/>
          <w:sz w:val="48"/>
          <w:szCs w:val="48"/>
          <w:highlight w:val="none"/>
        </w:rPr>
        <w:t>广东有德招标采购有限公司</w:t>
      </w:r>
    </w:p>
    <w:p>
      <w:pPr>
        <w:spacing w:line="700" w:lineRule="exact"/>
        <w:jc w:val="center"/>
        <w:rPr>
          <w:color w:val="auto"/>
          <w:highlight w:val="none"/>
        </w:rPr>
      </w:pPr>
      <w:r>
        <w:rPr>
          <w:rFonts w:hint="eastAsia" w:ascii="黑体" w:hAnsi="宋体" w:eastAsia="黑体"/>
          <w:color w:val="auto"/>
          <w:sz w:val="48"/>
          <w:szCs w:val="48"/>
          <w:highlight w:val="none"/>
        </w:rPr>
        <w:t>二〇二</w:t>
      </w:r>
      <w:r>
        <w:rPr>
          <w:rFonts w:hint="eastAsia" w:ascii="黑体" w:hAnsi="宋体" w:eastAsia="黑体"/>
          <w:color w:val="auto"/>
          <w:sz w:val="48"/>
          <w:szCs w:val="48"/>
          <w:highlight w:val="none"/>
          <w:lang w:eastAsia="zh-CN"/>
        </w:rPr>
        <w:t>三</w:t>
      </w:r>
      <w:r>
        <w:rPr>
          <w:rFonts w:hint="eastAsia" w:ascii="黑体" w:hAnsi="宋体" w:eastAsia="黑体"/>
          <w:color w:val="auto"/>
          <w:sz w:val="48"/>
          <w:szCs w:val="48"/>
          <w:highlight w:val="none"/>
        </w:rPr>
        <w:t>年</w:t>
      </w:r>
      <w:r>
        <w:rPr>
          <w:rFonts w:hint="eastAsia" w:ascii="黑体" w:hAnsi="宋体" w:eastAsia="黑体"/>
          <w:color w:val="auto"/>
          <w:sz w:val="48"/>
          <w:szCs w:val="48"/>
          <w:highlight w:val="none"/>
          <w:lang w:eastAsia="zh-CN"/>
        </w:rPr>
        <w:t>三</w:t>
      </w:r>
      <w:r>
        <w:rPr>
          <w:rFonts w:hint="eastAsia" w:ascii="黑体" w:hAnsi="宋体" w:eastAsia="黑体"/>
          <w:color w:val="auto"/>
          <w:sz w:val="48"/>
          <w:szCs w:val="48"/>
          <w:highlight w:val="none"/>
        </w:rPr>
        <w:t>月</w:t>
      </w:r>
    </w:p>
    <w:p>
      <w:pPr>
        <w:pStyle w:val="3"/>
        <w:adjustRightInd w:val="0"/>
        <w:snapToGrid w:val="0"/>
        <w:spacing w:before="0" w:after="0" w:line="360" w:lineRule="auto"/>
        <w:jc w:val="center"/>
        <w:rPr>
          <w:color w:val="auto"/>
          <w:highlight w:val="none"/>
        </w:rPr>
        <w:sectPr>
          <w:footerReference r:id="rId3" w:type="default"/>
          <w:pgSz w:w="11906" w:h="16838"/>
          <w:pgMar w:top="1440" w:right="1800" w:bottom="1440" w:left="1800" w:header="851" w:footer="822" w:gutter="0"/>
          <w:pgNumType w:start="1"/>
          <w:cols w:space="720" w:num="1"/>
          <w:docGrid w:linePitch="312" w:charSpace="0"/>
        </w:sectPr>
      </w:pPr>
      <w:bookmarkStart w:id="9" w:name="_Toc24194"/>
      <w:bookmarkStart w:id="10" w:name="_Toc628"/>
    </w:p>
    <w:p>
      <w:pPr>
        <w:pStyle w:val="3"/>
        <w:adjustRightInd w:val="0"/>
        <w:snapToGrid w:val="0"/>
        <w:spacing w:before="0" w:after="0" w:line="360" w:lineRule="auto"/>
        <w:jc w:val="center"/>
        <w:rPr>
          <w:color w:val="auto"/>
          <w:highlight w:val="none"/>
        </w:rPr>
      </w:pPr>
      <w:bookmarkStart w:id="11" w:name="_Toc506125798"/>
      <w:bookmarkStart w:id="12" w:name="_Toc17388"/>
      <w:bookmarkStart w:id="13" w:name="_Toc2055"/>
      <w:bookmarkStart w:id="14" w:name="_Toc22520"/>
      <w:bookmarkStart w:id="15" w:name="_Toc497396900"/>
      <w:bookmarkStart w:id="16" w:name="_Toc17334"/>
      <w:bookmarkStart w:id="17" w:name="_Toc16516"/>
      <w:bookmarkStart w:id="18" w:name="_Toc506124737"/>
      <w:bookmarkStart w:id="19" w:name="_Toc24293"/>
      <w:r>
        <w:rPr>
          <w:rFonts w:hint="eastAsia"/>
          <w:color w:val="auto"/>
          <w:highlight w:val="none"/>
        </w:rPr>
        <w:t>温馨提示</w:t>
      </w:r>
      <w:r>
        <w:rPr>
          <w:rFonts w:hint="eastAsia"/>
          <w:color w:val="auto"/>
          <w:highlight w:val="none"/>
          <w:lang w:eastAsia="zh-CN"/>
        </w:rPr>
        <w:t>：</w:t>
      </w:r>
      <w:r>
        <w:rPr>
          <w:rFonts w:hint="eastAsia"/>
          <w:color w:val="auto"/>
          <w:highlight w:val="none"/>
        </w:rPr>
        <w:t xml:space="preserve"> 投标人投标特别注意事项</w:t>
      </w:r>
      <w:bookmarkEnd w:id="9"/>
      <w:bookmarkEnd w:id="10"/>
      <w:bookmarkEnd w:id="11"/>
      <w:bookmarkEnd w:id="12"/>
      <w:bookmarkEnd w:id="13"/>
      <w:bookmarkEnd w:id="14"/>
      <w:bookmarkEnd w:id="15"/>
      <w:bookmarkEnd w:id="16"/>
      <w:bookmarkEnd w:id="17"/>
      <w:bookmarkEnd w:id="18"/>
      <w:bookmarkEnd w:id="19"/>
    </w:p>
    <w:p>
      <w:pPr>
        <w:numPr>
          <w:ilvl w:val="0"/>
          <w:numId w:val="1"/>
        </w:numPr>
        <w:spacing w:line="360" w:lineRule="auto"/>
        <w:rPr>
          <w:color w:val="auto"/>
          <w:sz w:val="24"/>
          <w:highlight w:val="none"/>
        </w:rPr>
      </w:pPr>
      <w:r>
        <w:rPr>
          <w:rFonts w:hint="eastAsia"/>
          <w:color w:val="auto"/>
          <w:sz w:val="24"/>
          <w:highlight w:val="none"/>
        </w:rPr>
        <w:t>请投标人特别留意招标文件上注明的投标截止和开标时间，逾期送达的投标文件本公司恕不接收。</w:t>
      </w:r>
    </w:p>
    <w:p>
      <w:pPr>
        <w:numPr>
          <w:ilvl w:val="0"/>
          <w:numId w:val="1"/>
        </w:numPr>
        <w:spacing w:line="360" w:lineRule="auto"/>
        <w:rPr>
          <w:b/>
          <w:bCs/>
          <w:color w:val="auto"/>
          <w:sz w:val="24"/>
          <w:highlight w:val="none"/>
        </w:rPr>
      </w:pPr>
      <w:r>
        <w:rPr>
          <w:rFonts w:hint="eastAsia"/>
          <w:b/>
          <w:bCs/>
          <w:color w:val="auto"/>
          <w:sz w:val="24"/>
          <w:highlight w:val="none"/>
        </w:rPr>
        <w:t>领购招标文件或缴交中标服务费的账户：</w:t>
      </w:r>
    </w:p>
    <w:p>
      <w:pPr>
        <w:spacing w:line="360" w:lineRule="auto"/>
        <w:ind w:left="420" w:firstLine="480" w:firstLineChars="200"/>
        <w:rPr>
          <w:color w:val="auto"/>
          <w:sz w:val="24"/>
          <w:highlight w:val="none"/>
        </w:rPr>
      </w:pPr>
      <w:r>
        <w:rPr>
          <w:rFonts w:hint="eastAsia"/>
          <w:color w:val="auto"/>
          <w:sz w:val="24"/>
          <w:highlight w:val="none"/>
        </w:rPr>
        <w:t>账号：38610188000123567，开户银行：中国光大银行广州分行，收款人：广东有德招标采购有限公司</w:t>
      </w:r>
    </w:p>
    <w:p>
      <w:pPr>
        <w:numPr>
          <w:ilvl w:val="0"/>
          <w:numId w:val="1"/>
        </w:numPr>
        <w:spacing w:line="360" w:lineRule="auto"/>
        <w:rPr>
          <w:b/>
          <w:bCs/>
          <w:color w:val="auto"/>
          <w:sz w:val="24"/>
          <w:highlight w:val="none"/>
        </w:rPr>
      </w:pPr>
      <w:r>
        <w:rPr>
          <w:rFonts w:hint="eastAsia"/>
          <w:b/>
          <w:bCs/>
          <w:color w:val="auto"/>
          <w:sz w:val="24"/>
          <w:highlight w:val="none"/>
        </w:rPr>
        <w:t>交纳投标保证金的账户：</w:t>
      </w:r>
    </w:p>
    <w:p>
      <w:pPr>
        <w:spacing w:line="360" w:lineRule="auto"/>
        <w:ind w:left="420" w:firstLine="480" w:firstLineChars="200"/>
        <w:rPr>
          <w:color w:val="auto"/>
          <w:sz w:val="24"/>
          <w:highlight w:val="none"/>
        </w:rPr>
      </w:pPr>
      <w:r>
        <w:rPr>
          <w:rFonts w:hint="eastAsia"/>
          <w:color w:val="auto"/>
          <w:sz w:val="24"/>
          <w:highlight w:val="none"/>
        </w:rPr>
        <w:t>账号：120906120910101，开户银行：招商银行广州天润路支行，收款人：广东有德招标采购有限公司</w:t>
      </w:r>
    </w:p>
    <w:p>
      <w:pPr>
        <w:numPr>
          <w:ilvl w:val="0"/>
          <w:numId w:val="1"/>
        </w:numPr>
        <w:spacing w:line="360" w:lineRule="auto"/>
        <w:rPr>
          <w:color w:val="auto"/>
          <w:sz w:val="24"/>
          <w:highlight w:val="none"/>
        </w:rPr>
      </w:pPr>
      <w:r>
        <w:rPr>
          <w:rFonts w:hint="eastAsia"/>
          <w:color w:val="auto"/>
          <w:sz w:val="24"/>
          <w:highlight w:val="none"/>
        </w:rPr>
        <w:t>招标文件有“★”的地方为实质性的指标要求，必须一一响应。若有一项带“★”的指标要求未响应或不满足，将按投标无效处理。</w:t>
      </w:r>
    </w:p>
    <w:p>
      <w:pPr>
        <w:numPr>
          <w:ilvl w:val="0"/>
          <w:numId w:val="1"/>
        </w:numPr>
        <w:spacing w:line="360" w:lineRule="auto"/>
        <w:rPr>
          <w:color w:val="auto"/>
          <w:sz w:val="24"/>
          <w:highlight w:val="none"/>
        </w:rPr>
      </w:pPr>
      <w:r>
        <w:rPr>
          <w:rFonts w:hint="eastAsia"/>
          <w:color w:val="auto"/>
          <w:sz w:val="24"/>
          <w:highlight w:val="none"/>
        </w:rPr>
        <w:t>请正确填写《开标一览表》，含有包组的投标项目需分开报价，制作投标文件时可分开装订也可统一装订，但都必须密封。</w:t>
      </w:r>
    </w:p>
    <w:p>
      <w:pPr>
        <w:numPr>
          <w:ilvl w:val="0"/>
          <w:numId w:val="1"/>
        </w:numPr>
        <w:spacing w:line="360" w:lineRule="auto"/>
        <w:rPr>
          <w:color w:val="auto"/>
          <w:sz w:val="24"/>
          <w:highlight w:val="none"/>
        </w:rPr>
      </w:pPr>
      <w:r>
        <w:rPr>
          <w:rFonts w:hint="eastAsia"/>
          <w:color w:val="auto"/>
          <w:sz w:val="24"/>
          <w:highlight w:val="none"/>
        </w:rPr>
        <w:t>请仔细检查《投标函》、《开标一览表》等重要格式文件是否有按要求盖公章或签名。</w:t>
      </w:r>
    </w:p>
    <w:p>
      <w:pPr>
        <w:numPr>
          <w:ilvl w:val="0"/>
          <w:numId w:val="1"/>
        </w:numPr>
        <w:spacing w:line="360" w:lineRule="auto"/>
        <w:rPr>
          <w:color w:val="auto"/>
          <w:sz w:val="24"/>
          <w:highlight w:val="none"/>
        </w:rPr>
      </w:pPr>
      <w:r>
        <w:rPr>
          <w:rFonts w:hint="eastAsia"/>
          <w:color w:val="auto"/>
          <w:sz w:val="24"/>
          <w:highlight w:val="none"/>
        </w:rPr>
        <w:t>投标文件应按顺序编制页码。</w:t>
      </w:r>
    </w:p>
    <w:p>
      <w:pPr>
        <w:numPr>
          <w:ilvl w:val="0"/>
          <w:numId w:val="1"/>
        </w:numPr>
        <w:spacing w:line="360" w:lineRule="auto"/>
        <w:rPr>
          <w:color w:val="auto"/>
          <w:sz w:val="24"/>
          <w:highlight w:val="none"/>
        </w:rPr>
      </w:pPr>
      <w:r>
        <w:rPr>
          <w:rFonts w:hint="eastAsia"/>
          <w:color w:val="auto"/>
          <w:sz w:val="24"/>
          <w:highlight w:val="none"/>
        </w:rPr>
        <w:t>招标文件如允许分公司投标的，需提供具有法人资格的总公司有效的营业执照副本复印件及对被授权人的授权书。</w:t>
      </w:r>
    </w:p>
    <w:p>
      <w:pPr>
        <w:numPr>
          <w:ilvl w:val="0"/>
          <w:numId w:val="1"/>
        </w:numPr>
        <w:spacing w:line="360" w:lineRule="auto"/>
        <w:rPr>
          <w:color w:val="auto"/>
          <w:sz w:val="24"/>
          <w:highlight w:val="none"/>
        </w:rPr>
      </w:pPr>
      <w:r>
        <w:rPr>
          <w:rFonts w:hint="eastAsia"/>
          <w:color w:val="auto"/>
          <w:sz w:val="24"/>
          <w:highlight w:val="none"/>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pPr>
        <w:spacing w:line="360" w:lineRule="auto"/>
        <w:rPr>
          <w:color w:val="auto"/>
          <w:sz w:val="24"/>
          <w:highlight w:val="none"/>
        </w:rPr>
      </w:pPr>
    </w:p>
    <w:p>
      <w:pPr>
        <w:spacing w:line="360" w:lineRule="auto"/>
        <w:jc w:val="center"/>
        <w:rPr>
          <w:b/>
          <w:bCs/>
          <w:color w:val="auto"/>
          <w:sz w:val="18"/>
          <w:szCs w:val="18"/>
          <w:highlight w:val="none"/>
        </w:rPr>
      </w:pPr>
      <w:r>
        <w:rPr>
          <w:rFonts w:hint="eastAsia"/>
          <w:b/>
          <w:bCs/>
          <w:color w:val="auto"/>
          <w:sz w:val="18"/>
          <w:szCs w:val="18"/>
          <w:highlight w:val="none"/>
        </w:rPr>
        <w:t>（本提示非招标文件的组成部分，仅作善意提醒。若与招标文件有不同之处，以招标文件为准。）</w:t>
      </w:r>
    </w:p>
    <w:p>
      <w:pPr>
        <w:rPr>
          <w:color w:val="auto"/>
          <w:highlight w:val="none"/>
        </w:rPr>
      </w:pPr>
    </w:p>
    <w:p>
      <w:pPr>
        <w:rPr>
          <w:color w:val="auto"/>
          <w:highlight w:val="none"/>
        </w:rPr>
        <w:sectPr>
          <w:headerReference r:id="rId4" w:type="default"/>
          <w:footerReference r:id="rId5" w:type="default"/>
          <w:pgSz w:w="11906" w:h="16838"/>
          <w:pgMar w:top="1440" w:right="1800" w:bottom="1440" w:left="1800" w:header="851" w:footer="822" w:gutter="0"/>
          <w:pgNumType w:start="1"/>
          <w:cols w:space="720" w:num="1"/>
          <w:docGrid w:linePitch="312" w:charSpace="0"/>
        </w:sectPr>
      </w:pPr>
    </w:p>
    <w:p>
      <w:pPr>
        <w:jc w:val="center"/>
        <w:rPr>
          <w:b/>
          <w:bCs/>
          <w:color w:val="auto"/>
          <w:sz w:val="24"/>
          <w:szCs w:val="32"/>
          <w:highlight w:val="none"/>
        </w:rPr>
      </w:pPr>
      <w:r>
        <w:rPr>
          <w:rFonts w:ascii="宋体" w:hAnsi="宋体" w:eastAsia="宋体"/>
          <w:b/>
          <w:bCs/>
          <w:color w:val="auto"/>
          <w:sz w:val="24"/>
          <w:szCs w:val="32"/>
          <w:highlight w:val="none"/>
        </w:rPr>
        <w:t>目录</w:t>
      </w:r>
    </w:p>
    <w:p>
      <w:pPr>
        <w:pStyle w:val="30"/>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TOC \o "1-3" \h \u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_Toc2253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第一章投标邀请函</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_Toc2253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_Toc12219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第二章投标人须知</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_Toc12219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_Toc24974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投标人须知前附表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_Toc24974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_Toc29537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 总则</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_Toc29537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_Toc1327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 招标项目与采购当事人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_Toc1327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 合格的投标人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_Toc607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_Toc6579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3. 合格的服务</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_Toc6579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_Toc29441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 招标文件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_Toc29441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_Toc25963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4. 招标文件的编制依据和组成</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_Toc25963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_Toc16032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5. 招标文件的澄清和修改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_Toc16032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_Toc24407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6. 答疑会或踏勘现场</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_Toc24407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_Toc32547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（三） 投标文件的编制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_Toc32547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_Toc17690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7. 投标语言和计量单位</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_Toc17690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_Toc16782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8. 投标文件的构成</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_Toc16782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_Toc26069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9. 投标文件编制注意事项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_Toc26069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_Toc24069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10. 投标文件的式样和签署</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_Toc24069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_Toc28823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11. 投标有效期</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_Toc28823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_Toc2284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12. 投标报价</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_Toc2284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_Toc19326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13. 联合体投标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_Toc19326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_Toc11789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14. 证明投标人合格和资格的文件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_Toc11789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_Toc24770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15. 证明服务的合格性和符合招标文件规定的文件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_Toc24770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17</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_Toc28140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16. 投标保证金</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_Toc28140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_Toc31043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17. 投标保证金的退还条件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_Toc31043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_Toc5805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（四） 投标文件的递交</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_Toc5805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_Toc14416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18. 投标文件的密封和标记</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_Toc14416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_Toc32057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19. 投标文件递交要求</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_Toc32057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_Toc10933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20. 投标截止</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_Toc10933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21. 投标文件的修改和撤回</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19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_Toc11109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（五） 开标与评标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_Toc11109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_Toc4154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22. 开标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_Toc4154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_Toc12848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23. 评标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_Toc12848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_Toc6364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24. 定标原则和授标</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_Toc6364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21</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_Toc1380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25. 中标通知书</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_Toc1380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_Toc2966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（六） 异议及投诉</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_Toc2966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_Toc19794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26. 异议</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_Toc19794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_Toc9239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27. 投诉</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_Toc9239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_Toc16646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（七） 授予合同</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_Toc16646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_Toc26355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28. 合同的订立</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_Toc26355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_Toc7602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29. 合同的履行</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_Toc7602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_Toc25548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30. 履约保证金</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_Toc25548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snapToGrid w:val="0"/>
        <w:spacing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_Toc26281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31. 招标代理服务费</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_Toc26281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_Toc25092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第三章评分体系与标准</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_Toc25092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_Toc6607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（一） 评标方法</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_Toc6607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_Toc5067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（二） 评标流程</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_Toc5067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_Toc9451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（三） 初步评审</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_Toc9451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_Toc2754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（四） 详细评审</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_Toc2754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_Toc2631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lang w:val="zh-CN"/>
        </w:rPr>
        <w:t>（五） 附表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_Toc2631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29</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_Toc17035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第四章用户需求书</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_Toc17035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36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_Toc22392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第五章合同格式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_Toc22392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44</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0"/>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_Toc14744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第六章投标文件格式</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_Toc14744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50</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_Toc7375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第一部分自查表</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_Toc7375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52</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_Toc3841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第二部分初审文件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_Toc3841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56</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_Toc25303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第三部分商务文件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_Toc25303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68</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_Toc27154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第四部分技术文件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_Toc27154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75</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pStyle w:val="35"/>
        <w:keepNext w:val="0"/>
        <w:keepLines w:val="0"/>
        <w:pageBreakBefore w:val="0"/>
        <w:widowControl w:val="0"/>
        <w:tabs>
          <w:tab w:val="right" w:leader="dot" w:pos="8306"/>
        </w:tabs>
        <w:kinsoku/>
        <w:wordWrap/>
        <w:overflowPunct/>
        <w:topLinePunct w:val="0"/>
        <w:autoSpaceDE/>
        <w:autoSpaceDN/>
        <w:bidi w:val="0"/>
        <w:snapToGrid w:val="0"/>
        <w:spacing w:before="0" w:line="360" w:lineRule="auto"/>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\l _Toc10741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第五部分报价文件</w:t>
      </w:r>
      <w:r>
        <w:rPr>
          <w:rFonts w:hint="eastAsia" w:ascii="宋体" w:hAnsi="宋体" w:eastAsia="宋体" w:cs="宋体"/>
          <w:i w:val="0"/>
          <w:iCs w:val="0"/>
          <w:color w:val="auto"/>
          <w:sz w:val="24"/>
          <w:szCs w:val="24"/>
          <w:highlight w:val="none"/>
        </w:rPr>
        <w:tab/>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PAGEREF _Toc10741 \h </w:instrText>
      </w:r>
      <w:r>
        <w:rPr>
          <w:rFonts w:hint="eastAsia" w:ascii="宋体" w:hAnsi="宋体" w:eastAsia="宋体" w:cs="宋体"/>
          <w:i w:val="0"/>
          <w:iCs w:val="0"/>
          <w:color w:val="auto"/>
          <w:sz w:val="24"/>
          <w:szCs w:val="24"/>
          <w:highlight w:val="none"/>
        </w:rPr>
        <w:fldChar w:fldCharType="separate"/>
      </w:r>
      <w:r>
        <w:rPr>
          <w:rFonts w:hint="eastAsia" w:ascii="宋体" w:hAnsi="宋体" w:eastAsia="宋体" w:cs="宋体"/>
          <w:i w:val="0"/>
          <w:iCs w:val="0"/>
          <w:color w:val="auto"/>
          <w:sz w:val="24"/>
          <w:szCs w:val="24"/>
          <w:highlight w:val="none"/>
        </w:rPr>
        <w:t>83</w:t>
      </w:r>
      <w:r>
        <w:rPr>
          <w:rFonts w:hint="eastAsia" w:ascii="宋体" w:hAnsi="宋体" w:eastAsia="宋体" w:cs="宋体"/>
          <w:i w:val="0"/>
          <w:iCs w:val="0"/>
          <w:color w:val="auto"/>
          <w:sz w:val="24"/>
          <w:szCs w:val="24"/>
          <w:highlight w:val="none"/>
        </w:rPr>
        <w:fldChar w:fldCharType="end"/>
      </w:r>
      <w:r>
        <w:rPr>
          <w:rFonts w:hint="eastAsia" w:ascii="宋体" w:hAnsi="宋体" w:eastAsia="宋体" w:cs="宋体"/>
          <w:i w:val="0"/>
          <w:iCs w:val="0"/>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宋体" w:cs="宋体"/>
          <w:iCs/>
          <w:color w:val="auto"/>
          <w:szCs w:val="21"/>
          <w:highlight w:val="none"/>
        </w:rPr>
      </w:pPr>
      <w:r>
        <w:rPr>
          <w:rFonts w:hint="eastAsia" w:ascii="宋体" w:hAnsi="宋体" w:eastAsia="宋体" w:cs="宋体"/>
          <w:i w:val="0"/>
          <w:iCs w:val="0"/>
          <w:color w:val="auto"/>
          <w:sz w:val="24"/>
          <w:szCs w:val="24"/>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bookmarkStart w:id="20" w:name="_Toc2798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bookmarkStart w:id="558" w:name="_GoBack"/>
      <w:bookmarkEnd w:id="558"/>
    </w:p>
    <w:p>
      <w:pPr>
        <w:pStyle w:val="34"/>
        <w:rPr>
          <w:color w:val="auto"/>
          <w:highlight w:val="none"/>
        </w:rPr>
      </w:pPr>
    </w:p>
    <w:p>
      <w:pPr>
        <w:pStyle w:val="34"/>
        <w:rPr>
          <w:color w:val="auto"/>
          <w:highlight w:val="none"/>
        </w:rPr>
      </w:pPr>
    </w:p>
    <w:p>
      <w:pPr>
        <w:rPr>
          <w:color w:val="auto"/>
          <w:highlight w:val="none"/>
        </w:rPr>
      </w:pPr>
    </w:p>
    <w:p>
      <w:pPr>
        <w:rPr>
          <w:color w:val="auto"/>
          <w:highlight w:val="none"/>
        </w:rPr>
      </w:pPr>
    </w:p>
    <w:p>
      <w:pPr>
        <w:rPr>
          <w:color w:val="auto"/>
          <w:highlight w:val="none"/>
        </w:rPr>
      </w:pPr>
    </w:p>
    <w:p>
      <w:pPr>
        <w:pStyle w:val="3"/>
        <w:jc w:val="center"/>
        <w:rPr>
          <w:color w:val="auto"/>
          <w:highlight w:val="none"/>
        </w:rPr>
      </w:pPr>
      <w:bookmarkStart w:id="21" w:name="_Toc21441"/>
      <w:bookmarkStart w:id="22" w:name="_Toc16122"/>
      <w:bookmarkStart w:id="23" w:name="_Toc14970"/>
      <w:bookmarkStart w:id="24" w:name="_Toc2253"/>
      <w:r>
        <w:rPr>
          <w:rFonts w:hint="eastAsia"/>
          <w:color w:val="auto"/>
          <w:highlight w:val="none"/>
        </w:rPr>
        <w:t>第一章</w:t>
      </w:r>
      <w:bookmarkEnd w:id="0"/>
      <w:bookmarkEnd w:id="1"/>
      <w:bookmarkEnd w:id="2"/>
      <w:bookmarkEnd w:id="3"/>
      <w:bookmarkEnd w:id="4"/>
      <w:bookmarkEnd w:id="5"/>
      <w:bookmarkEnd w:id="6"/>
      <w:bookmarkEnd w:id="7"/>
      <w:r>
        <w:rPr>
          <w:rFonts w:hint="eastAsia"/>
          <w:color w:val="auto"/>
          <w:highlight w:val="none"/>
        </w:rPr>
        <w:t>投标邀请函</w:t>
      </w:r>
      <w:bookmarkEnd w:id="8"/>
      <w:bookmarkEnd w:id="20"/>
      <w:bookmarkEnd w:id="21"/>
      <w:bookmarkEnd w:id="22"/>
      <w:bookmarkEnd w:id="23"/>
      <w:bookmarkEnd w:id="24"/>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bCs/>
          <w:color w:val="auto"/>
          <w:sz w:val="32"/>
          <w:szCs w:val="32"/>
          <w:highlight w:val="none"/>
        </w:rPr>
      </w:pPr>
      <w:bookmarkStart w:id="25" w:name="_Toc4675"/>
      <w:bookmarkStart w:id="26" w:name="_Toc4951"/>
      <w:r>
        <w:rPr>
          <w:rFonts w:hint="eastAsia" w:ascii="黑体" w:eastAsia="黑体"/>
          <w:b/>
          <w:bCs/>
          <w:color w:val="auto"/>
          <w:sz w:val="32"/>
          <w:szCs w:val="32"/>
          <w:highlight w:val="none"/>
        </w:rPr>
        <w:br w:type="page"/>
      </w:r>
      <w:r>
        <w:rPr>
          <w:rFonts w:hint="eastAsia" w:ascii="黑体" w:eastAsia="黑体"/>
          <w:b/>
          <w:bCs/>
          <w:color w:val="auto"/>
          <w:sz w:val="32"/>
          <w:szCs w:val="32"/>
          <w:highlight w:val="none"/>
        </w:rPr>
        <w:t>投标邀请函</w:t>
      </w:r>
      <w:bookmarkEnd w:id="25"/>
      <w:bookmarkEnd w:id="26"/>
    </w:p>
    <w:p>
      <w:pPr>
        <w:adjustRightInd w:val="0"/>
        <w:snapToGrid w:val="0"/>
        <w:spacing w:line="42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广东有德招标采购有限公司</w:t>
      </w:r>
      <w:r>
        <w:rPr>
          <w:rFonts w:hint="eastAsia" w:ascii="宋体" w:hAnsi="宋体" w:eastAsia="宋体" w:cs="宋体"/>
          <w:color w:val="auto"/>
          <w:sz w:val="24"/>
          <w:highlight w:val="none"/>
          <w:lang w:eastAsia="zh-CN"/>
        </w:rPr>
        <w:t>受广东南方农村报经营有限公司</w:t>
      </w:r>
      <w:r>
        <w:rPr>
          <w:rFonts w:hint="eastAsia" w:ascii="宋体" w:hAnsi="宋体" w:eastAsia="宋体" w:cs="宋体"/>
          <w:color w:val="auto"/>
          <w:sz w:val="24"/>
          <w:highlight w:val="none"/>
        </w:rPr>
        <w:t>的委托，就</w:t>
      </w:r>
      <w:r>
        <w:rPr>
          <w:rFonts w:hint="eastAsia" w:ascii="宋体" w:hAnsi="宋体" w:eastAsia="宋体" w:cs="宋体"/>
          <w:color w:val="auto"/>
          <w:sz w:val="24"/>
          <w:highlight w:val="none"/>
          <w:lang w:eastAsia="zh-CN"/>
        </w:rPr>
        <w:t>中山黄圃腊味展示中心多媒体集成服务</w:t>
      </w:r>
      <w:r>
        <w:rPr>
          <w:rFonts w:hint="eastAsia" w:ascii="宋体" w:hAnsi="宋体" w:eastAsia="宋体" w:cs="宋体"/>
          <w:color w:val="auto"/>
          <w:sz w:val="24"/>
          <w:highlight w:val="none"/>
        </w:rPr>
        <w:t>进行公开招标采购，欢迎符合资格条件的供应商（服务商）投标。</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1210-2340YDZB5954</w:t>
      </w:r>
    </w:p>
    <w:p>
      <w:pPr>
        <w:numPr>
          <w:ilvl w:val="0"/>
          <w:numId w:val="2"/>
        </w:numPr>
        <w:adjustRightInd w:val="0"/>
        <w:snapToGrid w:val="0"/>
        <w:spacing w:line="420" w:lineRule="exact"/>
        <w:ind w:left="2100" w:leftChars="200" w:hanging="1680"/>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中山黄圃腊味展示中心多媒体集成服务</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采购项目预算金额</w:t>
      </w:r>
      <w:r>
        <w:rPr>
          <w:rFonts w:hint="eastAsia" w:ascii="宋体" w:hAnsi="宋体" w:eastAsia="宋体" w:cs="宋体"/>
          <w:color w:val="auto"/>
          <w:sz w:val="24"/>
          <w:highlight w:val="none"/>
          <w:lang w:eastAsia="zh-CN"/>
        </w:rPr>
        <w:t>（含税）</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lang w:eastAsia="zh-CN"/>
        </w:rPr>
        <w:t>53万</w:t>
      </w:r>
      <w:r>
        <w:rPr>
          <w:rFonts w:hint="eastAsia" w:ascii="宋体" w:hAnsi="宋体" w:eastAsia="宋体" w:cs="宋体"/>
          <w:color w:val="auto"/>
          <w:sz w:val="24"/>
          <w:highlight w:val="none"/>
        </w:rPr>
        <w:t>元</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项目内容及需求：</w:t>
      </w:r>
    </w:p>
    <w:p>
      <w:pPr>
        <w:numPr>
          <w:ilvl w:val="0"/>
          <w:numId w:val="3"/>
        </w:numPr>
        <w:tabs>
          <w:tab w:val="left" w:pos="840"/>
          <w:tab w:val="left" w:pos="1080"/>
        </w:tabs>
        <w:adjustRightInd w:val="0"/>
        <w:snapToGrid w:val="0"/>
        <w:spacing w:line="420" w:lineRule="exact"/>
        <w:rPr>
          <w:rFonts w:ascii="宋体" w:hAnsi="宋体"/>
          <w:color w:val="auto"/>
          <w:sz w:val="24"/>
          <w:highlight w:val="none"/>
        </w:rPr>
      </w:pPr>
      <w:r>
        <w:rPr>
          <w:rFonts w:hint="eastAsia" w:ascii="宋体" w:hAnsi="宋体"/>
          <w:color w:val="auto"/>
          <w:sz w:val="24"/>
          <w:highlight w:val="none"/>
        </w:rPr>
        <w:t>项目内容：</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611"/>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pct"/>
            <w:shd w:val="clear" w:color="auto" w:fill="EAEAEA"/>
            <w:noWrap w:val="0"/>
            <w:vAlign w:val="center"/>
          </w:tcPr>
          <w:p>
            <w:pPr>
              <w:widowControl/>
              <w:adjustRightInd w:val="0"/>
              <w:snapToGrid w:val="0"/>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采购内容</w:t>
            </w:r>
          </w:p>
        </w:tc>
        <w:tc>
          <w:tcPr>
            <w:tcW w:w="1532" w:type="pct"/>
            <w:shd w:val="clear" w:color="auto" w:fill="EAEAEA"/>
            <w:noWrap w:val="0"/>
            <w:vAlign w:val="center"/>
          </w:tcPr>
          <w:p>
            <w:pPr>
              <w:widowControl/>
              <w:adjustRightInd w:val="0"/>
              <w:snapToGrid w:val="0"/>
              <w:jc w:val="center"/>
              <w:rPr>
                <w:rFonts w:hint="default"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rPr>
              <w:t>最高限价</w:t>
            </w:r>
            <w:r>
              <w:rPr>
                <w:rFonts w:hint="eastAsia" w:ascii="宋体" w:hAnsi="宋体" w:eastAsia="宋体" w:cs="宋体"/>
                <w:b/>
                <w:bCs/>
                <w:color w:val="auto"/>
                <w:kern w:val="0"/>
                <w:sz w:val="24"/>
                <w:highlight w:val="none"/>
                <w:lang w:eastAsia="zh-CN"/>
              </w:rPr>
              <w:t>（</w:t>
            </w:r>
            <w:r>
              <w:rPr>
                <w:rFonts w:hint="eastAsia" w:ascii="宋体" w:hAnsi="宋体" w:eastAsia="宋体" w:cs="宋体"/>
                <w:b/>
                <w:bCs/>
                <w:color w:val="auto"/>
                <w:kern w:val="0"/>
                <w:sz w:val="24"/>
                <w:highlight w:val="none"/>
                <w:lang w:val="en-US" w:eastAsia="zh-CN"/>
              </w:rPr>
              <w:t>含税）</w:t>
            </w:r>
          </w:p>
        </w:tc>
        <w:tc>
          <w:tcPr>
            <w:tcW w:w="1832" w:type="pct"/>
            <w:shd w:val="clear" w:color="auto" w:fill="EAEAEA"/>
            <w:noWrap w:val="0"/>
            <w:vAlign w:val="center"/>
          </w:tcPr>
          <w:p>
            <w:pPr>
              <w:widowControl/>
              <w:adjustRightInd w:val="0"/>
              <w:snapToGrid w:val="0"/>
              <w:jc w:val="center"/>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4" w:type="pct"/>
            <w:noWrap w:val="0"/>
            <w:vAlign w:val="center"/>
          </w:tcPr>
          <w:p>
            <w:pPr>
              <w:widowControl/>
              <w:tabs>
                <w:tab w:val="left" w:pos="0"/>
              </w:tabs>
              <w:jc w:val="center"/>
              <w:rPr>
                <w:rFonts w:hint="eastAsia" w:ascii="宋体" w:hAnsi="宋体" w:eastAsia="宋体" w:cs="楷体_GB2312"/>
                <w:color w:val="auto"/>
                <w:sz w:val="24"/>
                <w:highlight w:val="none"/>
                <w:lang w:eastAsia="zh-CN"/>
              </w:rPr>
            </w:pPr>
            <w:r>
              <w:rPr>
                <w:rFonts w:hint="eastAsia" w:ascii="宋体" w:hAnsi="宋体" w:eastAsia="宋体" w:cs="宋体"/>
                <w:color w:val="auto"/>
                <w:sz w:val="24"/>
                <w:highlight w:val="none"/>
                <w:lang w:eastAsia="zh-CN"/>
              </w:rPr>
              <w:t>中山黄圃腊味展示中心多媒体集成服务</w:t>
            </w:r>
          </w:p>
        </w:tc>
        <w:tc>
          <w:tcPr>
            <w:tcW w:w="1532" w:type="pct"/>
            <w:noWrap w:val="0"/>
            <w:vAlign w:val="center"/>
          </w:tcPr>
          <w:p>
            <w:pPr>
              <w:widowControl/>
              <w:tabs>
                <w:tab w:val="left" w:pos="0"/>
              </w:tabs>
              <w:jc w:val="center"/>
              <w:rPr>
                <w:rFonts w:ascii="宋体" w:hAnsi="宋体" w:eastAsia="宋体"/>
                <w:color w:val="auto"/>
                <w:kern w:val="0"/>
                <w:sz w:val="24"/>
                <w:highlight w:val="none"/>
              </w:rPr>
            </w:pP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lang w:eastAsia="zh-CN"/>
              </w:rPr>
              <w:t>53万</w:t>
            </w:r>
            <w:r>
              <w:rPr>
                <w:rFonts w:hint="eastAsia" w:ascii="宋体" w:hAnsi="宋体" w:eastAsia="宋体" w:cs="宋体"/>
                <w:color w:val="auto"/>
                <w:sz w:val="24"/>
                <w:highlight w:val="none"/>
              </w:rPr>
              <w:t>元</w:t>
            </w:r>
          </w:p>
        </w:tc>
        <w:tc>
          <w:tcPr>
            <w:tcW w:w="1832" w:type="pct"/>
            <w:noWrap w:val="0"/>
            <w:vAlign w:val="center"/>
          </w:tcPr>
          <w:p>
            <w:pPr>
              <w:pStyle w:val="16"/>
              <w:jc w:val="left"/>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签订合同后7个工作日内施工，总施工期为50个工作日</w:t>
            </w:r>
            <w:r>
              <w:rPr>
                <w:rFonts w:hint="eastAsia"/>
                <w:color w:val="auto"/>
                <w:highlight w:val="none"/>
                <w:lang w:val="en-US" w:eastAsia="zh-CN"/>
              </w:rPr>
              <w:t>内</w:t>
            </w:r>
            <w:r>
              <w:rPr>
                <w:rFonts w:hint="eastAsia" w:ascii="宋体" w:hAnsi="宋体"/>
                <w:color w:val="auto"/>
                <w:kern w:val="0"/>
                <w:sz w:val="24"/>
                <w:highlight w:val="none"/>
                <w:lang w:val="en-US" w:eastAsia="zh-CN"/>
              </w:rPr>
              <w:t>，免费质保期为一年。</w:t>
            </w:r>
          </w:p>
        </w:tc>
      </w:tr>
    </w:tbl>
    <w:p>
      <w:pPr>
        <w:numPr>
          <w:ilvl w:val="0"/>
          <w:numId w:val="3"/>
        </w:numPr>
        <w:tabs>
          <w:tab w:val="left" w:pos="1092"/>
        </w:tabs>
        <w:adjustRightInd w:val="0"/>
        <w:snapToGrid w:val="0"/>
        <w:spacing w:line="420" w:lineRule="exact"/>
        <w:rPr>
          <w:rFonts w:ascii="宋体" w:hAnsi="宋体"/>
          <w:color w:val="auto"/>
          <w:sz w:val="24"/>
          <w:highlight w:val="none"/>
        </w:rPr>
      </w:pPr>
      <w:r>
        <w:rPr>
          <w:rFonts w:hint="eastAsia" w:ascii="宋体" w:hAnsi="宋体"/>
          <w:color w:val="auto"/>
          <w:sz w:val="24"/>
          <w:highlight w:val="none"/>
        </w:rPr>
        <w:t>服务要求：详见本招标文件第四章《用户需求书》。</w:t>
      </w:r>
    </w:p>
    <w:p>
      <w:pPr>
        <w:numPr>
          <w:ilvl w:val="0"/>
          <w:numId w:val="3"/>
        </w:numPr>
        <w:tabs>
          <w:tab w:val="left" w:pos="1092"/>
        </w:tabs>
        <w:adjustRightInd w:val="0"/>
        <w:snapToGrid w:val="0"/>
        <w:spacing w:line="420" w:lineRule="exact"/>
        <w:rPr>
          <w:rFonts w:ascii="宋体" w:hAnsi="宋体"/>
          <w:iCs/>
          <w:color w:val="auto"/>
          <w:sz w:val="24"/>
          <w:highlight w:val="none"/>
        </w:rPr>
      </w:pPr>
      <w:r>
        <w:rPr>
          <w:rFonts w:hint="eastAsia" w:ascii="宋体" w:hAnsi="宋体"/>
          <w:iCs/>
          <w:color w:val="auto"/>
          <w:sz w:val="24"/>
          <w:highlight w:val="none"/>
        </w:rPr>
        <w:t>本项目为一个整体，投标人须对全部内容进行投标，不得分拆。</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供应商（服务商）资格：</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须在中华人民共和国境内注册的具有独立承担民事责任能力的法人或其他组织，提供营业执照（分公司投标须得到总公司授权，同时提供总公司营业执照及盖章授权函）；</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具有良好的商业信誉和健全的财务会计制度</w:t>
      </w:r>
      <w:r>
        <w:rPr>
          <w:rFonts w:hint="eastAsia" w:ascii="宋体" w:hAnsi="宋体" w:eastAsia="宋体" w:cs="Times New Roman"/>
          <w:iCs/>
          <w:color w:val="auto"/>
          <w:sz w:val="24"/>
          <w:highlight w:val="none"/>
          <w:lang w:eastAsia="zh-CN"/>
        </w:rPr>
        <w:t>（投标时提供202</w:t>
      </w:r>
      <w:r>
        <w:rPr>
          <w:rFonts w:hint="eastAsia" w:ascii="宋体" w:hAnsi="宋体" w:eastAsia="宋体" w:cs="Times New Roman"/>
          <w:iCs/>
          <w:color w:val="auto"/>
          <w:sz w:val="24"/>
          <w:highlight w:val="none"/>
          <w:lang w:val="en-US" w:eastAsia="zh-CN"/>
        </w:rPr>
        <w:t>1</w:t>
      </w:r>
      <w:r>
        <w:rPr>
          <w:rFonts w:hint="eastAsia" w:ascii="宋体" w:hAnsi="宋体" w:eastAsia="宋体" w:cs="Times New Roman"/>
          <w:iCs/>
          <w:color w:val="auto"/>
          <w:sz w:val="24"/>
          <w:highlight w:val="none"/>
          <w:lang w:eastAsia="zh-CN"/>
        </w:rPr>
        <w:t>年</w:t>
      </w:r>
      <w:r>
        <w:rPr>
          <w:rFonts w:hint="eastAsia" w:ascii="宋体" w:hAnsi="宋体" w:eastAsia="宋体" w:cs="Times New Roman"/>
          <w:iCs/>
          <w:color w:val="auto"/>
          <w:sz w:val="24"/>
          <w:highlight w:val="none"/>
          <w:lang w:val="en-US" w:eastAsia="zh-CN"/>
        </w:rPr>
        <w:t>经第三方出具的</w:t>
      </w:r>
      <w:r>
        <w:rPr>
          <w:rFonts w:hint="eastAsia" w:ascii="宋体" w:hAnsi="宋体" w:eastAsia="宋体" w:cs="Times New Roman"/>
          <w:iCs/>
          <w:color w:val="auto"/>
          <w:sz w:val="24"/>
          <w:highlight w:val="none"/>
          <w:lang w:eastAsia="zh-CN"/>
        </w:rPr>
        <w:t>财务状况报告或2022年以来任何一个月的财务报表或基本</w:t>
      </w:r>
      <w:r>
        <w:rPr>
          <w:rFonts w:hint="eastAsia" w:ascii="宋体" w:hAnsi="宋体" w:eastAsia="宋体" w:cs="Times New Roman"/>
          <w:iCs/>
          <w:color w:val="auto"/>
          <w:sz w:val="24"/>
          <w:highlight w:val="none"/>
          <w:lang w:val="en-US" w:eastAsia="zh-CN"/>
        </w:rPr>
        <w:t>户</w:t>
      </w:r>
      <w:r>
        <w:rPr>
          <w:rFonts w:hint="eastAsia" w:ascii="宋体" w:hAnsi="宋体" w:eastAsia="宋体" w:cs="Times New Roman"/>
          <w:iCs/>
          <w:color w:val="auto"/>
          <w:sz w:val="24"/>
          <w:highlight w:val="none"/>
          <w:lang w:eastAsia="zh-CN"/>
        </w:rPr>
        <w:t>开户</w:t>
      </w:r>
      <w:r>
        <w:rPr>
          <w:rFonts w:hint="eastAsia" w:ascii="宋体" w:hAnsi="宋体" w:eastAsia="宋体" w:cs="Times New Roman"/>
          <w:iCs/>
          <w:color w:val="auto"/>
          <w:sz w:val="24"/>
          <w:highlight w:val="none"/>
          <w:lang w:val="en-US" w:eastAsia="zh-CN"/>
        </w:rPr>
        <w:t>银行</w:t>
      </w:r>
      <w:r>
        <w:rPr>
          <w:rFonts w:hint="eastAsia" w:ascii="宋体" w:hAnsi="宋体" w:eastAsia="宋体" w:cs="Times New Roman"/>
          <w:iCs/>
          <w:color w:val="auto"/>
          <w:sz w:val="24"/>
          <w:highlight w:val="none"/>
          <w:lang w:eastAsia="zh-CN"/>
        </w:rPr>
        <w:t>出具的资信证明</w:t>
      </w:r>
      <w:r>
        <w:rPr>
          <w:rFonts w:hint="eastAsia" w:ascii="宋体" w:hAnsi="宋体" w:eastAsia="宋体" w:cs="Times New Roman"/>
          <w:iCs/>
          <w:color w:val="auto"/>
          <w:sz w:val="24"/>
          <w:highlight w:val="none"/>
          <w:lang w:val="en-US" w:eastAsia="zh-CN"/>
        </w:rPr>
        <w:t>复印件或提供书面声明</w:t>
      </w:r>
      <w:r>
        <w:rPr>
          <w:rFonts w:hint="eastAsia" w:ascii="宋体" w:hAnsi="宋体" w:eastAsia="宋体" w:cs="Times New Roman"/>
          <w:iCs/>
          <w:color w:val="auto"/>
          <w:sz w:val="24"/>
          <w:highlight w:val="none"/>
          <w:lang w:eastAsia="zh-CN"/>
        </w:rPr>
        <w:t>。）</w:t>
      </w:r>
      <w:r>
        <w:rPr>
          <w:rFonts w:hint="eastAsia" w:ascii="宋体" w:hAnsi="宋体" w:eastAsia="宋体" w:cs="Times New Roman"/>
          <w:iCs/>
          <w:color w:val="auto"/>
          <w:sz w:val="24"/>
          <w:highlight w:val="none"/>
        </w:rPr>
        <w:t>；</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有依法缴纳税收和社会保障资金的良好记录</w:t>
      </w:r>
      <w:r>
        <w:rPr>
          <w:rFonts w:hint="eastAsia" w:ascii="宋体" w:hAnsi="宋体" w:eastAsia="宋体" w:cs="Times New Roman"/>
          <w:iCs/>
          <w:color w:val="auto"/>
          <w:sz w:val="24"/>
          <w:highlight w:val="none"/>
          <w:lang w:eastAsia="zh-CN"/>
        </w:rPr>
        <w:t>（提供投标截止日前6个月内任意1个月依法缴纳税收和社会保障资金的相关材料。如依法免税或不需要缴纳社会保障资金的</w:t>
      </w:r>
      <w:r>
        <w:rPr>
          <w:rFonts w:hint="eastAsia" w:ascii="宋体" w:hAnsi="宋体" w:eastAsia="宋体" w:cs="Times New Roman"/>
          <w:iCs/>
          <w:color w:val="auto"/>
          <w:sz w:val="24"/>
          <w:highlight w:val="none"/>
          <w:lang w:val="en-US" w:eastAsia="zh-CN"/>
        </w:rPr>
        <w:t>相关材料</w:t>
      </w:r>
      <w:r>
        <w:rPr>
          <w:rFonts w:hint="eastAsia" w:ascii="宋体" w:hAnsi="宋体" w:eastAsia="宋体" w:cs="Times New Roman"/>
          <w:iCs/>
          <w:color w:val="auto"/>
          <w:sz w:val="24"/>
          <w:highlight w:val="none"/>
          <w:lang w:eastAsia="zh-CN"/>
        </w:rPr>
        <w:t>，</w:t>
      </w:r>
      <w:r>
        <w:rPr>
          <w:rFonts w:hint="eastAsia" w:ascii="宋体" w:hAnsi="宋体" w:eastAsia="宋体" w:cs="Times New Roman"/>
          <w:iCs/>
          <w:color w:val="auto"/>
          <w:sz w:val="24"/>
          <w:highlight w:val="none"/>
          <w:lang w:val="en-US" w:eastAsia="zh-CN"/>
        </w:rPr>
        <w:t>如依法免税或不需要缴纳社会保障资金的，</w:t>
      </w:r>
      <w:r>
        <w:rPr>
          <w:rFonts w:hint="eastAsia" w:ascii="宋体" w:hAnsi="宋体" w:eastAsia="宋体" w:cs="Times New Roman"/>
          <w:iCs/>
          <w:color w:val="auto"/>
          <w:sz w:val="24"/>
          <w:highlight w:val="none"/>
          <w:lang w:eastAsia="zh-CN"/>
        </w:rPr>
        <w:t>提供相应证明材料。</w:t>
      </w:r>
      <w:r>
        <w:rPr>
          <w:rFonts w:hint="eastAsia" w:ascii="宋体" w:hAnsi="宋体" w:eastAsia="宋体" w:cs="Times New Roman"/>
          <w:iCs/>
          <w:color w:val="auto"/>
          <w:sz w:val="24"/>
          <w:highlight w:val="none"/>
          <w:lang w:val="en-US" w:eastAsia="zh-CN"/>
        </w:rPr>
        <w:t>或提供依法缴纳税收和社会保障资金的良好记录书面声明</w:t>
      </w:r>
      <w:r>
        <w:rPr>
          <w:rFonts w:hint="eastAsia" w:ascii="宋体" w:hAnsi="宋体" w:eastAsia="宋体" w:cs="Times New Roman"/>
          <w:iCs/>
          <w:color w:val="auto"/>
          <w:sz w:val="24"/>
          <w:highlight w:val="none"/>
          <w:lang w:eastAsia="zh-CN"/>
        </w:rPr>
        <w:t>）；</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具备履行合同所必需的设备和专业技术能力</w:t>
      </w:r>
      <w:r>
        <w:rPr>
          <w:rFonts w:hint="eastAsia" w:ascii="宋体" w:hAnsi="宋体" w:eastAsia="宋体" w:cs="Times New Roman"/>
          <w:iCs/>
          <w:color w:val="auto"/>
          <w:sz w:val="24"/>
          <w:highlight w:val="none"/>
          <w:lang w:eastAsia="zh-CN"/>
        </w:rPr>
        <w:t>（提供证明材料或书面声明）；</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参加招标活动前3年内在经营活动中没有重大违法记录</w:t>
      </w:r>
      <w:r>
        <w:rPr>
          <w:rFonts w:hint="eastAsia" w:ascii="宋体" w:hAnsi="宋体" w:eastAsia="宋体" w:cs="Times New Roman"/>
          <w:iCs/>
          <w:color w:val="auto"/>
          <w:sz w:val="24"/>
          <w:highlight w:val="none"/>
          <w:lang w:eastAsia="zh-CN"/>
        </w:rPr>
        <w:t>（提供书面声明）</w:t>
      </w:r>
      <w:r>
        <w:rPr>
          <w:rFonts w:hint="eastAsia" w:ascii="宋体" w:hAnsi="宋体" w:eastAsia="宋体" w:cs="Times New Roman"/>
          <w:iCs/>
          <w:color w:val="auto"/>
          <w:sz w:val="24"/>
          <w:highlight w:val="none"/>
        </w:rPr>
        <w:t>；</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单位负责人为同一人或者存在直接控股、管理关系的不同供应商，不得参加同一合同项下的政府采购活动</w:t>
      </w:r>
      <w:r>
        <w:rPr>
          <w:rFonts w:hint="eastAsia" w:ascii="宋体" w:hAnsi="宋体" w:eastAsia="宋体" w:cs="Times New Roman"/>
          <w:iCs/>
          <w:color w:val="auto"/>
          <w:sz w:val="24"/>
          <w:highlight w:val="none"/>
          <w:lang w:eastAsia="zh-CN"/>
        </w:rPr>
        <w:t>（提供</w:t>
      </w:r>
      <w:r>
        <w:rPr>
          <w:rFonts w:hint="eastAsia" w:ascii="宋体" w:hAnsi="宋体" w:eastAsia="宋体" w:cs="Times New Roman"/>
          <w:iCs/>
          <w:color w:val="auto"/>
          <w:sz w:val="24"/>
          <w:highlight w:val="none"/>
        </w:rPr>
        <w:t>书面声明</w:t>
      </w:r>
      <w:r>
        <w:rPr>
          <w:rFonts w:hint="eastAsia" w:ascii="宋体" w:hAnsi="宋体" w:eastAsia="宋体" w:cs="Times New Roman"/>
          <w:iCs/>
          <w:color w:val="auto"/>
          <w:sz w:val="24"/>
          <w:highlight w:val="none"/>
          <w:lang w:eastAsia="zh-CN"/>
        </w:rPr>
        <w:t>）</w:t>
      </w:r>
      <w:r>
        <w:rPr>
          <w:rFonts w:hint="eastAsia" w:ascii="宋体" w:hAnsi="宋体" w:eastAsia="宋体" w:cs="Times New Roman"/>
          <w:iCs/>
          <w:color w:val="auto"/>
          <w:sz w:val="24"/>
          <w:highlight w:val="none"/>
        </w:rPr>
        <w:t>；</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在“信用中国”网站（www.creditchina.gov.cn）、中国政府采购网（www.ccgp.gov.cn）没有被列入失信被执行人、</w:t>
      </w:r>
      <w:r>
        <w:rPr>
          <w:rFonts w:hint="eastAsia" w:ascii="宋体" w:hAnsi="宋体" w:eastAsia="宋体" w:cs="Times New Roman"/>
          <w:iCs/>
          <w:color w:val="auto"/>
          <w:sz w:val="24"/>
          <w:highlight w:val="none"/>
          <w:lang w:eastAsia="zh-CN"/>
        </w:rPr>
        <w:t>重大税收违法失信主体</w:t>
      </w:r>
      <w:r>
        <w:rPr>
          <w:rFonts w:hint="eastAsia" w:ascii="宋体" w:hAnsi="宋体" w:eastAsia="宋体" w:cs="Times New Roman"/>
          <w:iCs/>
          <w:color w:val="auto"/>
          <w:sz w:val="24"/>
          <w:highlight w:val="none"/>
        </w:rPr>
        <w:t>、政府采购严重违法失信行为记录名单（以开标时在“信用中国”网站（www.creditchina.gov.cn）及中国政府采购网(www.ccgp.gov.cn)查询结果为准，如相关失信记录已失效，投标人需提供相关证明资料）</w:t>
      </w:r>
      <w:r>
        <w:rPr>
          <w:rFonts w:hint="eastAsia" w:ascii="宋体" w:hAnsi="宋体" w:eastAsia="宋体" w:cs="Times New Roman"/>
          <w:iCs/>
          <w:color w:val="auto"/>
          <w:sz w:val="24"/>
          <w:highlight w:val="none"/>
          <w:lang w:eastAsia="zh-CN"/>
        </w:rPr>
        <w:t>；</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本项目不接受联合体投标；</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本项目不允许分包或转包；</w:t>
      </w:r>
    </w:p>
    <w:p>
      <w:pPr>
        <w:numPr>
          <w:ilvl w:val="0"/>
          <w:numId w:val="4"/>
        </w:numPr>
        <w:tabs>
          <w:tab w:val="left" w:pos="1092"/>
        </w:tabs>
        <w:adjustRightInd w:val="0"/>
        <w:snapToGrid w:val="0"/>
        <w:spacing w:line="420" w:lineRule="exact"/>
        <w:rPr>
          <w:rFonts w:hint="eastAsia" w:ascii="宋体" w:hAnsi="宋体" w:eastAsia="宋体" w:cs="Times New Roman"/>
          <w:iCs/>
          <w:color w:val="auto"/>
          <w:sz w:val="24"/>
          <w:highlight w:val="none"/>
        </w:rPr>
      </w:pPr>
      <w:r>
        <w:rPr>
          <w:rFonts w:hint="eastAsia" w:ascii="宋体" w:hAnsi="宋体" w:eastAsia="宋体" w:cs="Times New Roman"/>
          <w:iCs/>
          <w:color w:val="auto"/>
          <w:sz w:val="24"/>
          <w:highlight w:val="none"/>
        </w:rPr>
        <w:t>已领购本项目招标文件</w:t>
      </w:r>
      <w:r>
        <w:rPr>
          <w:rFonts w:hint="eastAsia" w:ascii="宋体" w:hAnsi="宋体" w:eastAsia="宋体" w:cs="Times New Roman"/>
          <w:iCs/>
          <w:color w:val="auto"/>
          <w:sz w:val="24"/>
          <w:highlight w:val="none"/>
          <w:lang w:eastAsia="zh-CN"/>
        </w:rPr>
        <w:t>。</w:t>
      </w:r>
    </w:p>
    <w:p>
      <w:pPr>
        <w:tabs>
          <w:tab w:val="left" w:pos="1092"/>
        </w:tabs>
        <w:adjustRightInd w:val="0"/>
        <w:snapToGrid w:val="0"/>
        <w:spacing w:line="420" w:lineRule="exact"/>
        <w:ind w:left="450"/>
        <w:rPr>
          <w:rFonts w:ascii="宋体" w:hAnsi="宋体" w:eastAsia="宋体" w:cs="宋体"/>
          <w:color w:val="auto"/>
          <w:sz w:val="24"/>
          <w:highlight w:val="none"/>
        </w:rPr>
      </w:pPr>
      <w:r>
        <w:rPr>
          <w:rFonts w:hint="eastAsia" w:ascii="宋体" w:hAnsi="宋体" w:eastAsia="宋体" w:cs="宋体"/>
          <w:color w:val="auto"/>
          <w:sz w:val="24"/>
          <w:highlight w:val="none"/>
        </w:rPr>
        <w:t>备注：</w:t>
      </w:r>
    </w:p>
    <w:p>
      <w:pPr>
        <w:numPr>
          <w:ilvl w:val="0"/>
          <w:numId w:val="5"/>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请投标人凭《投标登记表》（http://www.youde.net网站下载）加盖公司公章至招标代理机构处领购招标文件：</w:t>
      </w:r>
    </w:p>
    <w:p>
      <w:pPr>
        <w:numPr>
          <w:ilvl w:val="0"/>
          <w:numId w:val="5"/>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邮购招标文件者，请将领购资料扫描件发至招标代理机构邮箱（E－mail：youde_zb@163.com），经招标代理机构工作人员确认后办理相关手续。在任何情况下招标代理机构对邮寄过程中发生的迟交或遗失均不承担责任。</w:t>
      </w:r>
    </w:p>
    <w:p>
      <w:pPr>
        <w:numPr>
          <w:ilvl w:val="0"/>
          <w:numId w:val="5"/>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领购招标文件账户信息（招标代理机构只接受以投标人名义的汇款，不接受个人的汇款及其它款项）：</w:t>
      </w:r>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788" w:hanging="147"/>
        <w:textAlignment w:val="auto"/>
        <w:outlineLvl w:val="9"/>
        <w:rPr>
          <w:rFonts w:ascii="宋体" w:hAnsi="宋体" w:cs="宋体"/>
          <w:bCs/>
          <w:color w:val="auto"/>
          <w:sz w:val="24"/>
          <w:highlight w:val="none"/>
        </w:rPr>
      </w:pPr>
      <w:bookmarkStart w:id="27" w:name="_Toc25355"/>
      <w:bookmarkStart w:id="28" w:name="_Toc22649"/>
      <w:bookmarkStart w:id="29" w:name="_Toc4610"/>
      <w:r>
        <w:rPr>
          <w:rFonts w:hint="eastAsia" w:ascii="宋体" w:hAnsi="宋体" w:cs="宋体"/>
          <w:bCs/>
          <w:color w:val="auto"/>
          <w:sz w:val="24"/>
          <w:highlight w:val="none"/>
        </w:rPr>
        <w:t>开户银行名称：中国光大银行广州分行</w:t>
      </w:r>
      <w:bookmarkEnd w:id="27"/>
      <w:bookmarkEnd w:id="28"/>
      <w:bookmarkEnd w:id="29"/>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788" w:hanging="147"/>
        <w:textAlignment w:val="auto"/>
        <w:outlineLvl w:val="9"/>
        <w:rPr>
          <w:rFonts w:ascii="宋体" w:hAnsi="宋体" w:cs="宋体"/>
          <w:bCs/>
          <w:color w:val="auto"/>
          <w:sz w:val="24"/>
          <w:highlight w:val="none"/>
        </w:rPr>
      </w:pPr>
      <w:bookmarkStart w:id="30" w:name="_Toc25742"/>
      <w:bookmarkStart w:id="31" w:name="_Toc29206"/>
      <w:bookmarkStart w:id="32" w:name="_Toc8655"/>
      <w:r>
        <w:rPr>
          <w:rFonts w:hint="eastAsia" w:ascii="宋体" w:hAnsi="宋体" w:cs="宋体"/>
          <w:bCs/>
          <w:color w:val="auto"/>
          <w:sz w:val="24"/>
          <w:highlight w:val="none"/>
        </w:rPr>
        <w:t>单位名称：</w:t>
      </w:r>
      <w:r>
        <w:rPr>
          <w:rFonts w:hint="eastAsia" w:ascii="宋体" w:hAnsi="宋体"/>
          <w:color w:val="auto"/>
          <w:sz w:val="24"/>
          <w:highlight w:val="none"/>
        </w:rPr>
        <w:t>广东有德招标采购有限公司</w:t>
      </w:r>
      <w:bookmarkEnd w:id="30"/>
      <w:bookmarkEnd w:id="31"/>
      <w:bookmarkEnd w:id="32"/>
    </w:p>
    <w:p>
      <w:pPr>
        <w:keepNext w:val="0"/>
        <w:keepLines w:val="0"/>
        <w:pageBreakBefore w:val="0"/>
        <w:widowControl w:val="0"/>
        <w:numPr>
          <w:ilvl w:val="0"/>
          <w:numId w:val="6"/>
        </w:numPr>
        <w:kinsoku/>
        <w:wordWrap/>
        <w:overflowPunct/>
        <w:topLinePunct w:val="0"/>
        <w:autoSpaceDE/>
        <w:autoSpaceDN/>
        <w:bidi w:val="0"/>
        <w:adjustRightInd w:val="0"/>
        <w:snapToGrid w:val="0"/>
        <w:spacing w:line="420" w:lineRule="exact"/>
        <w:ind w:left="788" w:hanging="147"/>
        <w:textAlignment w:val="auto"/>
        <w:outlineLvl w:val="9"/>
        <w:rPr>
          <w:rFonts w:ascii="宋体" w:hAnsi="宋体" w:cs="宋体"/>
          <w:bCs/>
          <w:color w:val="auto"/>
          <w:sz w:val="24"/>
          <w:highlight w:val="none"/>
        </w:rPr>
      </w:pPr>
      <w:bookmarkStart w:id="33" w:name="_Toc32125"/>
      <w:bookmarkStart w:id="34" w:name="_Toc17837"/>
      <w:bookmarkStart w:id="35" w:name="_Toc8628"/>
      <w:r>
        <w:rPr>
          <w:rFonts w:hint="eastAsia" w:ascii="宋体" w:hAnsi="宋体" w:cs="宋体"/>
          <w:bCs/>
          <w:color w:val="auto"/>
          <w:sz w:val="24"/>
          <w:highlight w:val="none"/>
        </w:rPr>
        <w:t>账号：38610188000123567</w:t>
      </w:r>
      <w:bookmarkEnd w:id="33"/>
      <w:bookmarkEnd w:id="34"/>
      <w:bookmarkEnd w:id="35"/>
    </w:p>
    <w:p>
      <w:pPr>
        <w:numPr>
          <w:ilvl w:val="0"/>
          <w:numId w:val="5"/>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招标代理机构网址：http://www.youde.net</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符合资格的供应商（服务商）应当在202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日至202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日期间（上午09:00至12:00</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下午14:30至17:30，法定节假日除外）到广东有德招标采购有限公司（详细地址：广州市天河北路626号保利中宇广场A座25楼，联系电话：020-88260060）领购招标文件，招标文件每套售价150元（人民币），售后不退。</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投标截止时间：202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分（投标文件开始递交时间：202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提交投标文件地点：</w:t>
      </w:r>
      <w:r>
        <w:rPr>
          <w:rFonts w:hint="eastAsia" w:ascii="宋体" w:hAnsi="宋体" w:eastAsia="宋体"/>
          <w:color w:val="auto"/>
          <w:sz w:val="24"/>
          <w:highlight w:val="none"/>
        </w:rPr>
        <w:t>广州市天河北路626号保利中宇广场A座25楼</w:t>
      </w:r>
      <w:r>
        <w:rPr>
          <w:rFonts w:hint="eastAsia" w:ascii="宋体" w:hAnsi="宋体"/>
          <w:color w:val="auto"/>
          <w:sz w:val="24"/>
          <w:highlight w:val="none"/>
        </w:rPr>
        <w:t xml:space="preserve"> </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开标时间：202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开标地点：</w:t>
      </w:r>
      <w:r>
        <w:rPr>
          <w:rFonts w:hint="eastAsia" w:ascii="宋体" w:hAnsi="宋体" w:eastAsia="宋体"/>
          <w:color w:val="auto"/>
          <w:sz w:val="24"/>
          <w:highlight w:val="none"/>
        </w:rPr>
        <w:t>广州市天河北路626号保利中宇广场A座25楼</w:t>
      </w:r>
    </w:p>
    <w:p>
      <w:pPr>
        <w:numPr>
          <w:ilvl w:val="0"/>
          <w:numId w:val="2"/>
        </w:numPr>
        <w:adjustRightInd w:val="0"/>
        <w:snapToGrid w:val="0"/>
        <w:spacing w:line="420" w:lineRule="exact"/>
        <w:rPr>
          <w:rFonts w:ascii="宋体" w:hAnsi="宋体" w:eastAsia="宋体" w:cs="宋体"/>
          <w:color w:val="auto"/>
          <w:sz w:val="24"/>
          <w:highlight w:val="none"/>
        </w:rPr>
      </w:pPr>
      <w:r>
        <w:rPr>
          <w:rFonts w:hint="eastAsia" w:ascii="宋体" w:hAnsi="宋体" w:eastAsia="宋体" w:cs="宋体"/>
          <w:color w:val="auto"/>
          <w:sz w:val="24"/>
          <w:highlight w:val="none"/>
        </w:rPr>
        <w:t>联系事项</w:t>
      </w:r>
    </w:p>
    <w:p>
      <w:pPr>
        <w:snapToGrid w:val="0"/>
        <w:spacing w:line="420" w:lineRule="exact"/>
        <w:ind w:firstLine="1159" w:firstLineChars="483"/>
        <w:rPr>
          <w:rFonts w:hint="eastAsia" w:ascii="宋体" w:hAnsi="宋体" w:eastAsia="宋体"/>
          <w:color w:val="auto"/>
          <w:sz w:val="24"/>
          <w:highlight w:val="none"/>
          <w:lang w:eastAsia="zh-CN"/>
        </w:rPr>
      </w:pPr>
      <w:r>
        <w:rPr>
          <w:rFonts w:hint="eastAsia" w:ascii="宋体" w:hAnsi="宋体"/>
          <w:color w:val="auto"/>
          <w:sz w:val="24"/>
          <w:highlight w:val="none"/>
        </w:rPr>
        <w:t>招标人：</w:t>
      </w:r>
      <w:r>
        <w:rPr>
          <w:rFonts w:hint="eastAsia" w:ascii="宋体" w:hAnsi="宋体"/>
          <w:color w:val="auto"/>
          <w:sz w:val="24"/>
          <w:highlight w:val="none"/>
          <w:lang w:eastAsia="zh-CN"/>
        </w:rPr>
        <w:t>广东南方农村报经营有限公司</w:t>
      </w:r>
    </w:p>
    <w:p>
      <w:pPr>
        <w:snapToGrid w:val="0"/>
        <w:spacing w:line="420" w:lineRule="exact"/>
        <w:ind w:firstLine="1159" w:firstLineChars="483"/>
        <w:rPr>
          <w:rFonts w:ascii="宋体" w:hAnsi="宋体"/>
          <w:color w:val="auto"/>
          <w:sz w:val="24"/>
          <w:highlight w:val="none"/>
        </w:rPr>
      </w:pPr>
      <w:r>
        <w:rPr>
          <w:rFonts w:hint="eastAsia" w:ascii="宋体" w:hAnsi="宋体"/>
          <w:color w:val="auto"/>
          <w:sz w:val="24"/>
          <w:highlight w:val="none"/>
        </w:rPr>
        <w:t>地址：广州市越秀区广州大道中289号</w:t>
      </w:r>
    </w:p>
    <w:p>
      <w:pPr>
        <w:snapToGrid w:val="0"/>
        <w:spacing w:line="420" w:lineRule="exact"/>
        <w:ind w:firstLine="1159" w:firstLineChars="483"/>
        <w:rPr>
          <w:rFonts w:hint="default" w:ascii="宋体" w:hAnsi="宋体" w:eastAsia="宋体"/>
          <w:color w:val="auto"/>
          <w:sz w:val="24"/>
          <w:highlight w:val="none"/>
          <w:lang w:val="en-US" w:eastAsia="zh-CN"/>
        </w:rPr>
      </w:pPr>
      <w:r>
        <w:rPr>
          <w:rFonts w:hint="eastAsia" w:ascii="宋体" w:hAnsi="宋体"/>
          <w:color w:val="auto"/>
          <w:sz w:val="24"/>
          <w:highlight w:val="none"/>
        </w:rPr>
        <w:t>联系人：</w:t>
      </w:r>
      <w:r>
        <w:rPr>
          <w:rFonts w:hint="eastAsia" w:ascii="宋体" w:hAnsi="宋体"/>
          <w:color w:val="auto"/>
          <w:sz w:val="24"/>
          <w:highlight w:val="none"/>
          <w:lang w:val="en-US" w:eastAsia="zh-CN"/>
        </w:rPr>
        <w:t>崔女士</w:t>
      </w:r>
    </w:p>
    <w:p>
      <w:pPr>
        <w:snapToGrid w:val="0"/>
        <w:spacing w:line="420" w:lineRule="exact"/>
        <w:ind w:firstLine="1159" w:firstLineChars="483"/>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联系电话：13138607200</w:t>
      </w:r>
    </w:p>
    <w:p>
      <w:pPr>
        <w:snapToGrid w:val="0"/>
        <w:spacing w:line="420" w:lineRule="exact"/>
        <w:ind w:firstLine="1159" w:firstLineChars="483"/>
        <w:rPr>
          <w:rFonts w:ascii="宋体" w:hAnsi="宋体"/>
          <w:color w:val="auto"/>
          <w:sz w:val="24"/>
          <w:highlight w:val="none"/>
        </w:rPr>
      </w:pPr>
      <w:r>
        <w:rPr>
          <w:rFonts w:hint="eastAsia" w:ascii="宋体" w:hAnsi="宋体"/>
          <w:color w:val="auto"/>
          <w:sz w:val="24"/>
          <w:highlight w:val="none"/>
        </w:rPr>
        <w:t>招标代理机构：广东有德招标采购有限公司</w:t>
      </w:r>
    </w:p>
    <w:p>
      <w:pPr>
        <w:snapToGrid w:val="0"/>
        <w:spacing w:line="420" w:lineRule="exact"/>
        <w:ind w:firstLine="1159" w:firstLineChars="483"/>
        <w:rPr>
          <w:rFonts w:ascii="宋体" w:hAnsi="宋体"/>
          <w:color w:val="auto"/>
          <w:sz w:val="24"/>
          <w:highlight w:val="none"/>
        </w:rPr>
      </w:pPr>
      <w:r>
        <w:rPr>
          <w:rFonts w:hint="eastAsia" w:ascii="宋体" w:hAnsi="宋体"/>
          <w:color w:val="auto"/>
          <w:sz w:val="24"/>
          <w:highlight w:val="none"/>
        </w:rPr>
        <w:t xml:space="preserve">地址：广州市天河北路626号保利中宇广场A座25楼 </w:t>
      </w:r>
    </w:p>
    <w:p>
      <w:pPr>
        <w:snapToGrid w:val="0"/>
        <w:spacing w:line="420" w:lineRule="exact"/>
        <w:ind w:firstLine="1159" w:firstLineChars="483"/>
        <w:rPr>
          <w:rFonts w:ascii="宋体" w:hAnsi="宋体"/>
          <w:color w:val="auto"/>
          <w:sz w:val="24"/>
          <w:highlight w:val="none"/>
        </w:rPr>
      </w:pPr>
      <w:r>
        <w:rPr>
          <w:rFonts w:hint="eastAsia" w:ascii="宋体" w:hAnsi="宋体"/>
          <w:color w:val="auto"/>
          <w:sz w:val="24"/>
          <w:highlight w:val="none"/>
        </w:rPr>
        <w:t>联系人：黄</w:t>
      </w:r>
      <w:r>
        <w:rPr>
          <w:rFonts w:hint="eastAsia" w:ascii="宋体" w:hAnsi="宋体" w:eastAsia="宋体" w:cs="宋体"/>
          <w:color w:val="auto"/>
          <w:sz w:val="24"/>
          <w:highlight w:val="none"/>
        </w:rPr>
        <w:t>小姐、倪小姐</w:t>
      </w:r>
    </w:p>
    <w:p>
      <w:pPr>
        <w:snapToGrid w:val="0"/>
        <w:spacing w:line="420" w:lineRule="exact"/>
        <w:ind w:firstLine="1159" w:firstLineChars="483"/>
        <w:rPr>
          <w:rFonts w:ascii="宋体" w:hAnsi="宋体" w:eastAsia="宋体"/>
          <w:color w:val="auto"/>
          <w:sz w:val="24"/>
          <w:highlight w:val="none"/>
        </w:rPr>
      </w:pPr>
      <w:r>
        <w:rPr>
          <w:rFonts w:hint="eastAsia" w:ascii="宋体" w:hAnsi="宋体"/>
          <w:color w:val="auto"/>
          <w:sz w:val="24"/>
          <w:highlight w:val="none"/>
        </w:rPr>
        <w:t>联系电话：</w:t>
      </w:r>
      <w:r>
        <w:rPr>
          <w:rFonts w:hint="eastAsia" w:ascii="宋体" w:hAnsi="宋体" w:eastAsia="宋体" w:cs="宋体"/>
          <w:color w:val="auto"/>
          <w:sz w:val="24"/>
          <w:highlight w:val="none"/>
        </w:rPr>
        <w:t>020-83627862</w:t>
      </w:r>
    </w:p>
    <w:p>
      <w:pPr>
        <w:adjustRightInd w:val="0"/>
        <w:snapToGrid w:val="0"/>
        <w:spacing w:line="420" w:lineRule="exact"/>
        <w:ind w:firstLine="5832" w:firstLineChars="2430"/>
        <w:jc w:val="right"/>
        <w:rPr>
          <w:rFonts w:ascii="宋体" w:hAnsi="宋体"/>
          <w:color w:val="auto"/>
          <w:sz w:val="24"/>
          <w:highlight w:val="none"/>
        </w:rPr>
      </w:pPr>
    </w:p>
    <w:p>
      <w:pPr>
        <w:adjustRightInd w:val="0"/>
        <w:snapToGrid w:val="0"/>
        <w:spacing w:line="420" w:lineRule="exact"/>
        <w:jc w:val="right"/>
        <w:rPr>
          <w:rFonts w:ascii="宋体" w:hAnsi="宋体"/>
          <w:color w:val="auto"/>
          <w:sz w:val="24"/>
          <w:highlight w:val="none"/>
        </w:rPr>
      </w:pPr>
      <w:r>
        <w:rPr>
          <w:rFonts w:hint="eastAsia" w:ascii="宋体" w:hAnsi="宋体"/>
          <w:color w:val="auto"/>
          <w:sz w:val="24"/>
          <w:highlight w:val="none"/>
        </w:rPr>
        <w:t>广东有德招标采购有限公司</w:t>
      </w:r>
    </w:p>
    <w:p>
      <w:pPr>
        <w:adjustRightInd w:val="0"/>
        <w:snapToGrid w:val="0"/>
        <w:spacing w:line="420" w:lineRule="exact"/>
        <w:ind w:firstLine="5880" w:firstLineChars="2450"/>
        <w:jc w:val="right"/>
        <w:rPr>
          <w:rFonts w:ascii="宋体" w:hAnsi="宋体"/>
          <w:color w:val="auto"/>
          <w:sz w:val="24"/>
          <w:highlight w:val="none"/>
        </w:rPr>
      </w:pPr>
      <w:r>
        <w:rPr>
          <w:rFonts w:hint="eastAsia" w:ascii="宋体" w:hAnsi="宋体"/>
          <w:color w:val="auto"/>
          <w:sz w:val="24"/>
          <w:highlight w:val="none"/>
        </w:rPr>
        <w:t>二〇二</w:t>
      </w:r>
      <w:r>
        <w:rPr>
          <w:rFonts w:hint="eastAsia" w:ascii="宋体" w:hAnsi="宋体"/>
          <w:color w:val="auto"/>
          <w:sz w:val="24"/>
          <w:highlight w:val="none"/>
          <w:lang w:eastAsia="zh-CN"/>
        </w:rPr>
        <w:t>三</w:t>
      </w:r>
      <w:r>
        <w:rPr>
          <w:rFonts w:hint="eastAsia" w:ascii="宋体" w:hAnsi="宋体"/>
          <w:color w:val="auto"/>
          <w:sz w:val="24"/>
          <w:highlight w:val="none"/>
        </w:rPr>
        <w:t>年</w:t>
      </w:r>
      <w:r>
        <w:rPr>
          <w:rFonts w:hint="eastAsia" w:ascii="宋体" w:hAnsi="宋体"/>
          <w:color w:val="auto"/>
          <w:sz w:val="24"/>
          <w:highlight w:val="none"/>
          <w:lang w:eastAsia="zh-CN"/>
        </w:rPr>
        <w:t>三</w:t>
      </w:r>
      <w:r>
        <w:rPr>
          <w:rFonts w:hint="eastAsia" w:ascii="宋体" w:hAnsi="宋体"/>
          <w:color w:val="auto"/>
          <w:sz w:val="24"/>
          <w:highlight w:val="none"/>
        </w:rPr>
        <w:t>月</w:t>
      </w:r>
      <w:r>
        <w:rPr>
          <w:rFonts w:hint="eastAsia" w:ascii="宋体" w:hAnsi="宋体"/>
          <w:color w:val="auto"/>
          <w:sz w:val="24"/>
          <w:highlight w:val="none"/>
          <w:lang w:eastAsia="zh-CN"/>
        </w:rPr>
        <w:t>三</w:t>
      </w:r>
      <w:r>
        <w:rPr>
          <w:rFonts w:hint="eastAsia" w:ascii="宋体" w:hAnsi="宋体"/>
          <w:color w:val="auto"/>
          <w:sz w:val="24"/>
          <w:highlight w:val="none"/>
        </w:rPr>
        <w:t>日</w:t>
      </w:r>
    </w:p>
    <w:p>
      <w:pPr>
        <w:rPr>
          <w:color w:val="auto"/>
          <w:highlight w:val="none"/>
        </w:rPr>
      </w:pPr>
      <w:bookmarkStart w:id="36" w:name="_Toc23439"/>
      <w:bookmarkStart w:id="37" w:name="_Toc423021939"/>
      <w:r>
        <w:rPr>
          <w:rFonts w:hint="eastAsia"/>
          <w:color w:val="auto"/>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before="5280" w:beforeLines="2200" w:after="5280" w:afterLines="2200"/>
        <w:jc w:val="center"/>
        <w:rPr>
          <w:color w:val="auto"/>
          <w:highlight w:val="none"/>
        </w:rPr>
      </w:pPr>
      <w:bookmarkStart w:id="38" w:name="_Toc17909"/>
      <w:bookmarkStart w:id="39" w:name="_Toc6635"/>
      <w:bookmarkStart w:id="40" w:name="_Toc26904"/>
      <w:bookmarkStart w:id="41" w:name="_Toc12219"/>
      <w:r>
        <w:rPr>
          <w:rFonts w:hint="eastAsia"/>
          <w:color w:val="auto"/>
          <w:highlight w:val="none"/>
        </w:rPr>
        <w:t>第二章投标人须知</w:t>
      </w:r>
      <w:bookmarkEnd w:id="36"/>
      <w:bookmarkEnd w:id="37"/>
      <w:bookmarkEnd w:id="38"/>
      <w:bookmarkEnd w:id="39"/>
      <w:bookmarkEnd w:id="40"/>
      <w:bookmarkEnd w:id="41"/>
    </w:p>
    <w:p>
      <w:pPr>
        <w:rPr>
          <w:color w:val="auto"/>
          <w:highlight w:val="none"/>
        </w:rPr>
      </w:pPr>
    </w:p>
    <w:p>
      <w:pPr>
        <w:rPr>
          <w:color w:val="auto"/>
          <w:highlight w:val="none"/>
        </w:rPr>
      </w:pPr>
    </w:p>
    <w:p>
      <w:pPr>
        <w:pStyle w:val="4"/>
        <w:jc w:val="center"/>
        <w:rPr>
          <w:color w:val="auto"/>
          <w:highlight w:val="none"/>
        </w:rPr>
      </w:pPr>
      <w:bookmarkStart w:id="42" w:name="_Toc22617"/>
      <w:bookmarkStart w:id="43" w:name="_Toc15780"/>
      <w:bookmarkStart w:id="44" w:name="_Toc26303"/>
      <w:bookmarkStart w:id="45" w:name="_Toc18162"/>
      <w:bookmarkStart w:id="46" w:name="_Toc24974"/>
      <w:r>
        <w:rPr>
          <w:rFonts w:hint="eastAsia"/>
          <w:color w:val="auto"/>
          <w:highlight w:val="none"/>
        </w:rPr>
        <w:t>投标人须知前附表</w:t>
      </w:r>
      <w:bookmarkEnd w:id="42"/>
      <w:bookmarkEnd w:id="43"/>
      <w:bookmarkEnd w:id="44"/>
      <w:bookmarkEnd w:id="45"/>
      <w:bookmarkEnd w:id="46"/>
    </w:p>
    <w:p>
      <w:pPr>
        <w:spacing w:before="240" w:beforeLines="100" w:line="360" w:lineRule="auto"/>
        <w:ind w:right="-174" w:rightChars="-83"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本表的条款项号是与本章《投标人须知》条款项号对应的，或增加的条款，是对本章的补充、修改和完善，如果有矛盾的话，应以本表为准。</w:t>
      </w:r>
    </w:p>
    <w:tbl>
      <w:tblPr>
        <w:tblStyle w:val="41"/>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29"/>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276" w:type="dxa"/>
            <w:gridSpan w:val="2"/>
            <w:shd w:val="clear" w:color="auto" w:fill="EAEAEA"/>
            <w:noWrap w:val="0"/>
            <w:vAlign w:val="center"/>
          </w:tcPr>
          <w:p>
            <w:pPr>
              <w:adjustRightInd w:val="0"/>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条款项号</w:t>
            </w:r>
          </w:p>
        </w:tc>
        <w:tc>
          <w:tcPr>
            <w:tcW w:w="7381" w:type="dxa"/>
            <w:shd w:val="clear" w:color="auto" w:fill="EAEAEA"/>
            <w:noWrap w:val="0"/>
            <w:vAlign w:val="center"/>
          </w:tcPr>
          <w:p>
            <w:pPr>
              <w:adjustRightInd w:val="0"/>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7" w:type="dxa"/>
            <w:gridSpan w:val="3"/>
            <w:noWrap w:val="0"/>
            <w:vAlign w:val="center"/>
          </w:tcPr>
          <w:p>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7" w:type="dxa"/>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7410" w:type="dxa"/>
            <w:gridSpan w:val="2"/>
            <w:noWrap w:val="0"/>
            <w:vAlign w:val="center"/>
          </w:tcPr>
          <w:p>
            <w:pPr>
              <w:adjustRightInd w:val="0"/>
              <w:snapToGrid w:val="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资金性质：</w:t>
            </w:r>
            <w:r>
              <w:rPr>
                <w:rFonts w:hint="eastAsia" w:ascii="宋体" w:hAnsi="宋体" w:eastAsia="宋体" w:cs="宋体"/>
                <w:color w:val="auto"/>
                <w:sz w:val="24"/>
                <w:highlight w:val="none"/>
              </w:rPr>
              <w:t>自筹资金</w:t>
            </w:r>
            <w:bookmarkStart w:id="47" w:name="资金性质"/>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7" w:type="dxa"/>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7410" w:type="dxa"/>
            <w:gridSpan w:val="2"/>
            <w:noWrap w:val="0"/>
            <w:vAlign w:val="center"/>
          </w:tcPr>
          <w:p>
            <w:pPr>
              <w:adjustRightInd w:val="0"/>
              <w:snapToGrid w:val="0"/>
              <w:rPr>
                <w:rFonts w:hint="eastAsia" w:ascii="宋体" w:hAnsi="宋体" w:eastAsia="宋体"/>
                <w:color w:val="auto"/>
                <w:sz w:val="24"/>
                <w:highlight w:val="none"/>
                <w:lang w:eastAsia="zh-CN"/>
              </w:rPr>
            </w:pPr>
            <w:r>
              <w:rPr>
                <w:rFonts w:hint="eastAsia" w:ascii="宋体" w:hAnsi="宋体"/>
                <w:color w:val="auto"/>
                <w:sz w:val="24"/>
                <w:highlight w:val="none"/>
              </w:rPr>
              <w:t>招标人：</w:t>
            </w:r>
            <w:r>
              <w:rPr>
                <w:rFonts w:hint="eastAsia" w:ascii="宋体" w:hAnsi="宋体"/>
                <w:color w:val="auto"/>
                <w:sz w:val="24"/>
                <w:highlight w:val="none"/>
                <w:lang w:eastAsia="zh-CN"/>
              </w:rPr>
              <w:t>广东南方农村报经营有限公司</w:t>
            </w:r>
          </w:p>
          <w:p>
            <w:pPr>
              <w:adjustRightInd w:val="0"/>
              <w:snapToGrid w:val="0"/>
              <w:rPr>
                <w:rFonts w:ascii="宋体" w:hAnsi="宋体"/>
                <w:color w:val="auto"/>
                <w:sz w:val="24"/>
                <w:highlight w:val="none"/>
              </w:rPr>
            </w:pPr>
            <w:r>
              <w:rPr>
                <w:rFonts w:hint="eastAsia" w:ascii="宋体" w:hAnsi="宋体"/>
                <w:color w:val="auto"/>
                <w:sz w:val="24"/>
                <w:highlight w:val="none"/>
              </w:rPr>
              <w:t>地址：广州市越秀区广州大道中289号</w:t>
            </w:r>
          </w:p>
          <w:p>
            <w:pPr>
              <w:adjustRightInd w:val="0"/>
              <w:snapToGrid w:val="0"/>
              <w:rPr>
                <w:rFonts w:hint="default" w:ascii="宋体" w:hAnsi="宋体"/>
                <w:color w:val="auto"/>
                <w:sz w:val="24"/>
                <w:highlight w:val="none"/>
                <w:lang w:val="en-US" w:eastAsia="zh-CN"/>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崔女士</w:t>
            </w:r>
          </w:p>
          <w:p>
            <w:pPr>
              <w:adjustRightInd w:val="0"/>
              <w:snapToGrid w:val="0"/>
              <w:rPr>
                <w:rFonts w:hint="default" w:ascii="宋体" w:hAnsi="宋体"/>
                <w:color w:val="auto"/>
                <w:sz w:val="24"/>
                <w:highlight w:val="none"/>
                <w:lang w:val="en-US" w:eastAsia="zh-CN"/>
              </w:rPr>
            </w:pPr>
            <w:r>
              <w:rPr>
                <w:rFonts w:hint="eastAsia" w:ascii="宋体" w:hAnsi="宋体"/>
                <w:color w:val="auto"/>
                <w:sz w:val="24"/>
                <w:highlight w:val="none"/>
                <w:lang w:eastAsia="zh-CN"/>
              </w:rPr>
              <w:t>联系电话：</w:t>
            </w:r>
            <w:r>
              <w:rPr>
                <w:rFonts w:hint="eastAsia" w:ascii="宋体" w:hAnsi="宋体"/>
                <w:color w:val="auto"/>
                <w:sz w:val="24"/>
                <w:highlight w:val="none"/>
                <w:lang w:val="en-US" w:eastAsia="zh-CN"/>
              </w:rPr>
              <w:t>13138607200</w:t>
            </w:r>
          </w:p>
          <w:p>
            <w:pPr>
              <w:adjustRightInd w:val="0"/>
              <w:snapToGrid w:val="0"/>
              <w:rPr>
                <w:rFonts w:ascii="宋体" w:hAnsi="宋体"/>
                <w:color w:val="auto"/>
                <w:sz w:val="24"/>
                <w:highlight w:val="none"/>
              </w:rPr>
            </w:pPr>
            <w:r>
              <w:rPr>
                <w:rFonts w:hint="eastAsia" w:ascii="宋体" w:hAnsi="宋体"/>
                <w:color w:val="auto"/>
                <w:sz w:val="24"/>
                <w:highlight w:val="none"/>
              </w:rPr>
              <w:t>招标代理机构：广东有德招标采购有限公司</w:t>
            </w:r>
          </w:p>
          <w:p>
            <w:pPr>
              <w:adjustRightInd w:val="0"/>
              <w:snapToGrid w:val="0"/>
              <w:rPr>
                <w:rFonts w:ascii="宋体" w:hAnsi="宋体"/>
                <w:color w:val="auto"/>
                <w:sz w:val="24"/>
                <w:highlight w:val="none"/>
              </w:rPr>
            </w:pPr>
            <w:r>
              <w:rPr>
                <w:rFonts w:hint="eastAsia" w:ascii="宋体" w:hAnsi="宋体"/>
                <w:color w:val="auto"/>
                <w:sz w:val="24"/>
                <w:highlight w:val="none"/>
              </w:rPr>
              <w:t>地址：广州市天河北</w:t>
            </w:r>
            <w:r>
              <w:rPr>
                <w:rFonts w:hint="eastAsia" w:ascii="宋体" w:hAnsi="宋体"/>
                <w:color w:val="auto"/>
                <w:sz w:val="24"/>
                <w:highlight w:val="none"/>
              </w:rPr>
              <w:t xml:space="preserve">路626号保利中宇广场A座25楼 </w:t>
            </w:r>
          </w:p>
          <w:p>
            <w:pPr>
              <w:adjustRightInd w:val="0"/>
              <w:snapToGrid w:val="0"/>
              <w:rPr>
                <w:rFonts w:ascii="宋体" w:hAnsi="宋体"/>
                <w:color w:val="auto"/>
                <w:sz w:val="24"/>
                <w:highlight w:val="none"/>
              </w:rPr>
            </w:pPr>
            <w:r>
              <w:rPr>
                <w:rFonts w:hint="eastAsia" w:ascii="宋体" w:hAnsi="宋体"/>
                <w:color w:val="auto"/>
                <w:sz w:val="24"/>
                <w:highlight w:val="none"/>
              </w:rPr>
              <w:t>联系人：黄小姐、倪小姐</w:t>
            </w:r>
          </w:p>
          <w:p>
            <w:pPr>
              <w:adjustRightInd w:val="0"/>
              <w:snapToGrid w:val="0"/>
              <w:rPr>
                <w:rFonts w:ascii="宋体" w:hAnsi="宋体"/>
                <w:color w:val="auto"/>
                <w:sz w:val="24"/>
                <w:highlight w:val="none"/>
              </w:rPr>
            </w:pPr>
            <w:r>
              <w:rPr>
                <w:rFonts w:hint="eastAsia" w:ascii="宋体" w:hAnsi="宋体"/>
                <w:color w:val="auto"/>
                <w:sz w:val="24"/>
                <w:highlight w:val="none"/>
              </w:rPr>
              <w:t>联系电话020-83627862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57" w:type="dxa"/>
            <w:gridSpan w:val="3"/>
            <w:noWrap w:val="0"/>
            <w:vAlign w:val="center"/>
          </w:tcPr>
          <w:p>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（二）招标文件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6.1</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答疑会或踏勘现场：本项目不集中举行答疑会或踏勘现场。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57" w:type="dxa"/>
            <w:gridSpan w:val="3"/>
            <w:noWrap w:val="0"/>
            <w:vAlign w:val="center"/>
          </w:tcPr>
          <w:p>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（三）投标文件编制要求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10.1</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投标文件正本</w:t>
            </w:r>
            <w:r>
              <w:rPr>
                <w:rFonts w:hint="eastAsia" w:ascii="宋体" w:hAnsi="宋体" w:eastAsia="宋体" w:cs="宋体"/>
                <w:b/>
                <w:bCs/>
                <w:color w:val="auto"/>
                <w:sz w:val="24"/>
                <w:highlight w:val="none"/>
                <w:u w:val="single"/>
              </w:rPr>
              <w:t>1</w:t>
            </w:r>
            <w:r>
              <w:rPr>
                <w:rFonts w:hint="eastAsia" w:ascii="宋体" w:hAnsi="宋体" w:eastAsia="宋体" w:cs="宋体"/>
                <w:color w:val="auto"/>
                <w:sz w:val="24"/>
                <w:highlight w:val="none"/>
              </w:rPr>
              <w:t>套，副本</w:t>
            </w:r>
            <w:r>
              <w:rPr>
                <w:rFonts w:hint="eastAsia" w:ascii="宋体" w:hAnsi="宋体" w:eastAsia="宋体" w:cs="宋体"/>
                <w:b/>
                <w:bCs/>
                <w:color w:val="auto"/>
                <w:sz w:val="24"/>
                <w:highlight w:val="none"/>
                <w:u w:val="single"/>
              </w:rPr>
              <w:t>5</w:t>
            </w:r>
            <w:r>
              <w:rPr>
                <w:rFonts w:hint="eastAsia" w:ascii="宋体" w:hAnsi="宋体" w:eastAsia="宋体" w:cs="宋体"/>
                <w:color w:val="auto"/>
                <w:sz w:val="24"/>
                <w:highlight w:val="none"/>
              </w:rPr>
              <w:t>套，唱标信封</w:t>
            </w:r>
            <w:r>
              <w:rPr>
                <w:rFonts w:hint="eastAsia" w:ascii="宋体" w:hAnsi="宋体" w:eastAsia="宋体" w:cs="宋体"/>
                <w:b/>
                <w:bCs/>
                <w:color w:val="auto"/>
                <w:sz w:val="24"/>
                <w:highlight w:val="none"/>
                <w:u w:val="single"/>
              </w:rPr>
              <w:t>1</w:t>
            </w:r>
            <w:r>
              <w:rPr>
                <w:rFonts w:hint="eastAsia" w:ascii="宋体" w:hAnsi="宋体" w:eastAsia="宋体" w:cs="宋体"/>
                <w:color w:val="auto"/>
                <w:sz w:val="24"/>
                <w:highlight w:val="none"/>
              </w:rPr>
              <w:t>份，电子文件</w:t>
            </w:r>
            <w:r>
              <w:rPr>
                <w:rFonts w:hint="eastAsia" w:ascii="宋体" w:hAnsi="宋体" w:eastAsia="宋体" w:cs="宋体"/>
                <w:b/>
                <w:bCs/>
                <w:color w:val="auto"/>
                <w:sz w:val="24"/>
                <w:highlight w:val="none"/>
                <w:u w:val="single"/>
              </w:rPr>
              <w:t>1</w:t>
            </w:r>
            <w:r>
              <w:rPr>
                <w:rFonts w:hint="eastAsia" w:ascii="宋体" w:hAnsi="宋体" w:eastAsia="宋体" w:cs="宋体"/>
                <w:color w:val="auto"/>
                <w:sz w:val="24"/>
                <w:highlight w:val="none"/>
              </w:rPr>
              <w:t>份（U盘）。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11.1</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12.8</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本项目不接受备选方案。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12.9</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本项目不接受具有附加条件的报价。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16.1</w:t>
            </w:r>
          </w:p>
        </w:tc>
        <w:tc>
          <w:tcPr>
            <w:tcW w:w="7381" w:type="dxa"/>
            <w:noWrap w:val="0"/>
            <w:vAlign w:val="center"/>
          </w:tcPr>
          <w:p>
            <w:pPr>
              <w:numPr>
                <w:ilvl w:val="0"/>
                <w:numId w:val="7"/>
              </w:numPr>
              <w:adjustRightInd w:val="0"/>
              <w:snapToGrid w:val="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本项目投标保证金金额：￥</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000</w:t>
            </w:r>
            <w:r>
              <w:rPr>
                <w:rFonts w:hint="eastAsia" w:ascii="宋体" w:hAnsi="宋体" w:eastAsia="宋体" w:cs="宋体"/>
                <w:color w:val="auto"/>
                <w:sz w:val="24"/>
                <w:highlight w:val="none"/>
              </w:rPr>
              <w:t>.00（人民币</w:t>
            </w:r>
            <w:r>
              <w:rPr>
                <w:rFonts w:hint="eastAsia" w:ascii="宋体" w:hAnsi="宋体" w:eastAsia="宋体" w:cs="宋体"/>
                <w:color w:val="auto"/>
                <w:sz w:val="24"/>
                <w:highlight w:val="none"/>
                <w:lang w:eastAsia="zh-CN"/>
              </w:rPr>
              <w:t>壹万元整</w:t>
            </w:r>
            <w:r>
              <w:rPr>
                <w:rFonts w:hint="eastAsia" w:ascii="宋体" w:hAnsi="宋体" w:eastAsia="宋体" w:cs="宋体"/>
                <w:color w:val="auto"/>
                <w:sz w:val="24"/>
                <w:highlight w:val="none"/>
              </w:rPr>
              <w:t>）</w:t>
            </w:r>
          </w:p>
          <w:p>
            <w:pPr>
              <w:numPr>
                <w:ilvl w:val="0"/>
                <w:numId w:val="7"/>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lang w:val="zh-CN"/>
              </w:rPr>
              <w:t>投标保证金应在投标截止前一工作日到达以下指定账户，逾期不予受理：</w:t>
            </w:r>
          </w:p>
          <w:p>
            <w:pPr>
              <w:adjustRightInd w:val="0"/>
              <w:snapToGrid w:val="0"/>
              <w:ind w:left="397" w:leftChars="189" w:firstLine="21" w:firstLineChars="9"/>
              <w:rPr>
                <w:rFonts w:ascii="宋体" w:hAnsi="宋体" w:eastAsia="宋体" w:cs="宋体"/>
                <w:color w:val="auto"/>
                <w:sz w:val="24"/>
                <w:highlight w:val="none"/>
              </w:rPr>
            </w:pPr>
            <w:r>
              <w:rPr>
                <w:rFonts w:hint="eastAsia" w:ascii="宋体" w:hAnsi="宋体" w:eastAsia="宋体" w:cs="宋体"/>
                <w:color w:val="auto"/>
                <w:sz w:val="24"/>
                <w:highlight w:val="none"/>
              </w:rPr>
              <w:t>收款单位名称：广东有德招标采购有限公司</w:t>
            </w:r>
          </w:p>
          <w:p>
            <w:pPr>
              <w:adjustRightInd w:val="0"/>
              <w:snapToGrid w:val="0"/>
              <w:ind w:left="397" w:leftChars="189" w:firstLine="21" w:firstLineChars="9"/>
              <w:rPr>
                <w:rFonts w:ascii="宋体" w:hAnsi="宋体" w:eastAsia="宋体" w:cs="宋体"/>
                <w:color w:val="auto"/>
                <w:sz w:val="24"/>
                <w:highlight w:val="none"/>
              </w:rPr>
            </w:pPr>
            <w:r>
              <w:rPr>
                <w:rFonts w:hint="eastAsia" w:ascii="宋体" w:hAnsi="宋体" w:eastAsia="宋体" w:cs="宋体"/>
                <w:color w:val="auto"/>
                <w:sz w:val="24"/>
                <w:highlight w:val="none"/>
              </w:rPr>
              <w:t>开户银行：招商银行广州天润路支行</w:t>
            </w:r>
          </w:p>
          <w:p>
            <w:pPr>
              <w:adjustRightInd w:val="0"/>
              <w:snapToGrid w:val="0"/>
              <w:ind w:left="397" w:leftChars="189" w:firstLine="21" w:firstLineChars="9"/>
              <w:rPr>
                <w:rFonts w:ascii="宋体" w:hAnsi="宋体" w:eastAsia="宋体" w:cs="宋体"/>
                <w:color w:val="auto"/>
                <w:sz w:val="24"/>
                <w:highlight w:val="none"/>
              </w:rPr>
            </w:pPr>
            <w:r>
              <w:rPr>
                <w:rFonts w:hint="eastAsia" w:ascii="宋体" w:hAnsi="宋体" w:eastAsia="宋体" w:cs="宋体"/>
                <w:color w:val="auto"/>
                <w:sz w:val="24"/>
                <w:highlight w:val="none"/>
              </w:rPr>
              <w:t>账号：120906120910101</w:t>
            </w:r>
          </w:p>
          <w:p>
            <w:pPr>
              <w:adjustRightInd w:val="0"/>
              <w:snapToGrid w:val="0"/>
              <w:ind w:left="397" w:leftChars="189" w:firstLine="21" w:firstLineChars="9"/>
              <w:rPr>
                <w:rFonts w:ascii="宋体" w:hAnsi="宋体" w:eastAsia="宋体" w:cs="宋体"/>
                <w:color w:val="auto"/>
                <w:sz w:val="24"/>
                <w:highlight w:val="none"/>
              </w:rPr>
            </w:pPr>
            <w:r>
              <w:rPr>
                <w:rFonts w:hint="eastAsia" w:ascii="宋体" w:hAnsi="宋体" w:eastAsia="宋体" w:cs="宋体"/>
                <w:color w:val="auto"/>
                <w:sz w:val="24"/>
                <w:highlight w:val="none"/>
              </w:rPr>
              <w:t>联系人：江小姐、余小姐</w:t>
            </w:r>
          </w:p>
          <w:p>
            <w:pPr>
              <w:adjustRightInd w:val="0"/>
              <w:snapToGrid w:val="0"/>
              <w:ind w:left="397" w:leftChars="189" w:firstLine="21" w:firstLineChars="9"/>
              <w:rPr>
                <w:rFonts w:ascii="宋体" w:hAnsi="宋体" w:eastAsia="宋体" w:cs="宋体"/>
                <w:color w:val="auto"/>
                <w:sz w:val="24"/>
                <w:highlight w:val="none"/>
              </w:rPr>
            </w:pPr>
            <w:r>
              <w:rPr>
                <w:rFonts w:hint="eastAsia" w:ascii="宋体" w:hAnsi="宋体" w:eastAsia="宋体" w:cs="宋体"/>
                <w:color w:val="auto"/>
                <w:sz w:val="24"/>
                <w:highlight w:val="none"/>
              </w:rPr>
              <w:t>联系电话：020-87595661、87595690</w:t>
            </w:r>
          </w:p>
          <w:p>
            <w:pPr>
              <w:adjustRightInd w:val="0"/>
              <w:snapToGrid w:val="0"/>
              <w:ind w:left="321" w:leftChars="153"/>
              <w:jc w:val="left"/>
              <w:rPr>
                <w:rFonts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val="zh-CN"/>
              </w:rPr>
              <w:t>投标人请在缴款凭证备注栏写明“项目编号：</w:t>
            </w:r>
            <w:r>
              <w:rPr>
                <w:rFonts w:hint="eastAsia" w:ascii="宋体" w:hAnsi="宋体" w:eastAsia="宋体" w:cs="宋体"/>
                <w:b/>
                <w:color w:val="auto"/>
                <w:sz w:val="24"/>
                <w:highlight w:val="none"/>
                <w:u w:val="single"/>
                <w:lang w:val="zh-CN"/>
              </w:rPr>
              <w:t>1210-2340YDZB5954</w:t>
            </w:r>
            <w:r>
              <w:rPr>
                <w:rFonts w:hint="eastAsia" w:ascii="宋体" w:hAnsi="宋体" w:eastAsia="宋体" w:cs="宋体"/>
                <w:b/>
                <w:color w:val="auto"/>
                <w:sz w:val="24"/>
                <w:highlight w:val="none"/>
                <w:lang w:val="zh-CN"/>
              </w:rPr>
              <w:t>投标保证金”，以便查询。</w:t>
            </w:r>
            <w:r>
              <w:rPr>
                <w:rFonts w:hint="eastAsia" w:ascii="宋体" w:hAnsi="宋体" w:eastAsia="宋体" w:cs="宋体"/>
                <w:b/>
                <w:color w:val="auto"/>
                <w:sz w:val="24"/>
                <w:highlight w:val="none"/>
              </w:rPr>
              <w:t>（上述账号只接受以投标人名义的转账，不接受以个人名义及其他款项的转账）</w:t>
            </w:r>
          </w:p>
          <w:p>
            <w:pPr>
              <w:numPr>
                <w:ilvl w:val="0"/>
                <w:numId w:val="7"/>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lang w:val="zh-CN"/>
              </w:rPr>
              <w:t>投标人以银行保函或投标担保函形式交纳投标保证金的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请于投标截止时间的前一工作日下午</w:t>
            </w:r>
            <w:r>
              <w:rPr>
                <w:rFonts w:hint="eastAsia" w:ascii="宋体" w:hAnsi="宋体" w:eastAsia="宋体" w:cs="宋体"/>
                <w:color w:val="auto"/>
                <w:sz w:val="24"/>
                <w:highlight w:val="none"/>
              </w:rPr>
              <w:t>17:30</w:t>
            </w:r>
            <w:r>
              <w:rPr>
                <w:rFonts w:hint="eastAsia" w:ascii="宋体" w:hAnsi="宋体" w:eastAsia="宋体" w:cs="宋体"/>
                <w:color w:val="auto"/>
                <w:sz w:val="24"/>
                <w:highlight w:val="none"/>
                <w:lang w:val="zh-CN"/>
              </w:rPr>
              <w:t>前将《银行保函》或《投标担保函》</w:t>
            </w:r>
            <w:r>
              <w:rPr>
                <w:rFonts w:hint="eastAsia" w:ascii="宋体" w:hAnsi="宋体" w:eastAsia="宋体" w:cs="宋体"/>
                <w:color w:val="auto"/>
                <w:sz w:val="24"/>
                <w:highlight w:val="none"/>
              </w:rPr>
              <w:t>发至招标代理机构邮箱（E－mail：</w:t>
            </w:r>
            <w:r>
              <w:rPr>
                <w:color w:val="auto"/>
                <w:highlight w:val="none"/>
              </w:rPr>
              <w:fldChar w:fldCharType="begin"/>
            </w:r>
            <w:r>
              <w:rPr>
                <w:color w:val="auto"/>
                <w:highlight w:val="none"/>
              </w:rPr>
              <w:instrText xml:space="preserve"> HYPERLINK "mailto:youde_zb@163.com" </w:instrText>
            </w:r>
            <w:r>
              <w:rPr>
                <w:color w:val="auto"/>
                <w:highlight w:val="none"/>
              </w:rPr>
              <w:fldChar w:fldCharType="separate"/>
            </w:r>
            <w:r>
              <w:rPr>
                <w:rFonts w:hint="eastAsia" w:ascii="宋体" w:hAnsi="宋体" w:eastAsia="宋体" w:cs="宋体"/>
                <w:color w:val="auto"/>
                <w:sz w:val="24"/>
                <w:highlight w:val="none"/>
              </w:rPr>
              <w:t>youde_zb@163.com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w:t>
            </w:r>
          </w:p>
          <w:p>
            <w:pPr>
              <w:numPr>
                <w:ilvl w:val="0"/>
                <w:numId w:val="7"/>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lang w:val="zh-CN"/>
              </w:rPr>
              <w:t>有效期：投标保证金应在投标有效期内有效。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57" w:type="dxa"/>
            <w:gridSpan w:val="3"/>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b/>
                <w:color w:val="auto"/>
                <w:sz w:val="24"/>
                <w:highlight w:val="none"/>
              </w:rPr>
              <w:t>（五）开标与评标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23.1.1</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bCs/>
                <w:color w:val="auto"/>
                <w:sz w:val="24"/>
                <w:highlight w:val="none"/>
              </w:rPr>
              <w:t>评标委员会由5名单数组成，</w:t>
            </w:r>
            <w:r>
              <w:rPr>
                <w:rFonts w:hint="eastAsia" w:ascii="宋体" w:hAnsi="宋体" w:cs="宋体"/>
                <w:bCs/>
                <w:color w:val="auto"/>
                <w:sz w:val="24"/>
                <w:highlight w:val="none"/>
              </w:rPr>
              <w:t>其中招标人代表</w:t>
            </w:r>
            <w:r>
              <w:rPr>
                <w:rFonts w:hint="eastAsia" w:ascii="宋体" w:hAnsi="宋体" w:cs="宋体"/>
                <w:b/>
                <w:color w:val="auto"/>
                <w:sz w:val="24"/>
                <w:highlight w:val="none"/>
                <w:u w:val="single"/>
              </w:rPr>
              <w:t>1</w:t>
            </w:r>
            <w:r>
              <w:rPr>
                <w:rFonts w:hint="eastAsia" w:ascii="宋体" w:hAnsi="宋体" w:cs="宋体"/>
                <w:bCs/>
                <w:color w:val="auto"/>
                <w:sz w:val="24"/>
                <w:highlight w:val="none"/>
              </w:rPr>
              <w:t>名，其余</w:t>
            </w:r>
            <w:r>
              <w:rPr>
                <w:rFonts w:hint="eastAsia" w:ascii="宋体" w:hAnsi="宋体" w:cs="宋体"/>
                <w:b/>
                <w:color w:val="auto"/>
                <w:sz w:val="24"/>
                <w:highlight w:val="none"/>
                <w:u w:val="single"/>
              </w:rPr>
              <w:t>4</w:t>
            </w:r>
            <w:r>
              <w:rPr>
                <w:rFonts w:hint="eastAsia" w:ascii="宋体" w:hAnsi="宋体" w:cs="宋体"/>
                <w:bCs/>
                <w:color w:val="auto"/>
                <w:sz w:val="24"/>
                <w:highlight w:val="none"/>
              </w:rPr>
              <w:t>名专家从专家库随机抽取产生。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23.1.3</w:t>
            </w:r>
          </w:p>
        </w:tc>
        <w:tc>
          <w:tcPr>
            <w:tcW w:w="7381" w:type="dxa"/>
            <w:noWrap w:val="0"/>
            <w:vAlign w:val="center"/>
          </w:tcPr>
          <w:p>
            <w:pPr>
              <w:adjustRightInd w:val="0"/>
              <w:snapToGrid w:val="0"/>
              <w:rPr>
                <w:rFonts w:ascii="宋体" w:hAnsi="宋体" w:eastAsia="宋体" w:cs="宋体"/>
                <w:bCs/>
                <w:color w:val="auto"/>
                <w:sz w:val="24"/>
                <w:highlight w:val="none"/>
              </w:rPr>
            </w:pPr>
            <w:r>
              <w:rPr>
                <w:rFonts w:hint="eastAsia" w:ascii="宋体" w:hAnsi="宋体" w:eastAsia="宋体" w:cs="宋体"/>
                <w:bCs/>
                <w:color w:val="auto"/>
                <w:sz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24.2</w:t>
            </w:r>
          </w:p>
        </w:tc>
        <w:tc>
          <w:tcPr>
            <w:tcW w:w="7381" w:type="dxa"/>
            <w:noWrap w:val="0"/>
            <w:vAlign w:val="center"/>
          </w:tcPr>
          <w:p>
            <w:pPr>
              <w:adjustRightInd w:val="0"/>
              <w:snapToGrid w:val="0"/>
              <w:rPr>
                <w:rFonts w:ascii="宋体" w:hAnsi="宋体" w:cs="宋体"/>
                <w:bCs/>
                <w:color w:val="auto"/>
                <w:sz w:val="24"/>
                <w:highlight w:val="none"/>
              </w:rPr>
            </w:pPr>
            <w:r>
              <w:rPr>
                <w:rFonts w:hint="eastAsia" w:ascii="宋体" w:hAnsi="宋体" w:eastAsia="宋体" w:cs="宋体"/>
                <w:bCs/>
                <w:color w:val="auto"/>
                <w:sz w:val="24"/>
                <w:highlight w:val="none"/>
              </w:rPr>
              <w:t>定标原则：</w:t>
            </w:r>
            <w:r>
              <w:rPr>
                <w:rFonts w:hint="eastAsia" w:ascii="宋体" w:hAnsi="宋体" w:cs="宋体"/>
                <w:bCs/>
                <w:color w:val="auto"/>
                <w:sz w:val="24"/>
                <w:highlight w:val="none"/>
              </w:rPr>
              <w:t>推荐综合得分排名第一的投标人为第一中标候选人，排名第二的投标人为第二中标候选人，排名第三的投标人为第三中标候选人。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657" w:type="dxa"/>
            <w:gridSpan w:val="3"/>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b/>
                <w:color w:val="auto"/>
                <w:sz w:val="24"/>
                <w:highlight w:val="none"/>
              </w:rPr>
              <w:t>（七）授予合同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30.1</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履约保证金：</w:t>
            </w:r>
            <w:r>
              <w:rPr>
                <w:rFonts w:hint="eastAsia" w:ascii="宋体" w:hAnsi="宋体"/>
                <w:color w:val="auto"/>
                <w:sz w:val="24"/>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33.1</w:t>
            </w:r>
          </w:p>
        </w:tc>
        <w:tc>
          <w:tcPr>
            <w:tcW w:w="7381" w:type="dxa"/>
            <w:noWrap w:val="0"/>
            <w:vAlign w:val="center"/>
          </w:tcPr>
          <w:p>
            <w:pPr>
              <w:numPr>
                <w:ilvl w:val="0"/>
                <w:numId w:val="8"/>
              </w:numPr>
              <w:tabs>
                <w:tab w:val="left" w:pos="425"/>
              </w:tabs>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中标人须向招标代理机构按如下标准和规定交纳招标代理服务费：</w:t>
            </w:r>
          </w:p>
          <w:p>
            <w:pPr>
              <w:numPr>
                <w:ilvl w:val="0"/>
                <w:numId w:val="9"/>
              </w:numPr>
              <w:adjustRightInd w:val="0"/>
              <w:snapToGrid w:val="0"/>
              <w:ind w:left="680" w:hanging="680"/>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招标代理服务费</w:t>
            </w:r>
            <w:r>
              <w:rPr>
                <w:rFonts w:hint="eastAsia" w:ascii="宋体" w:hAnsi="宋体" w:cs="宋体"/>
                <w:color w:val="auto"/>
                <w:sz w:val="24"/>
                <w:highlight w:val="none"/>
              </w:rPr>
              <w:t>以本项目预算金额</w:t>
            </w:r>
            <w:r>
              <w:rPr>
                <w:rFonts w:hint="eastAsia" w:ascii="宋体" w:hAnsi="宋体" w:cs="宋体"/>
                <w:bCs/>
                <w:color w:val="auto"/>
                <w:sz w:val="24"/>
                <w:highlight w:val="none"/>
              </w:rPr>
              <w:t>作为计算基数</w:t>
            </w:r>
            <w:r>
              <w:rPr>
                <w:rFonts w:hint="eastAsia" w:ascii="宋体" w:hAnsi="宋体" w:cs="宋体"/>
                <w:color w:val="auto"/>
                <w:sz w:val="24"/>
                <w:highlight w:val="none"/>
              </w:rPr>
              <w:t>，按原国家计委《招标代理服务收费管理暂行办法》（计价格[2002]1980号）规定的</w:t>
            </w:r>
            <w:r>
              <w:rPr>
                <w:rFonts w:hint="eastAsia" w:ascii="宋体" w:hAnsi="宋体" w:cs="宋体"/>
                <w:b/>
                <w:bCs/>
                <w:color w:val="auto"/>
                <w:sz w:val="24"/>
                <w:highlight w:val="none"/>
              </w:rPr>
              <w:t>“服务类”</w:t>
            </w:r>
            <w:r>
              <w:rPr>
                <w:rFonts w:hint="eastAsia" w:ascii="宋体" w:hAnsi="宋体" w:cs="宋体"/>
                <w:color w:val="auto"/>
                <w:sz w:val="24"/>
                <w:highlight w:val="none"/>
              </w:rPr>
              <w:t>收费标准下浮40%计算。</w:t>
            </w:r>
          </w:p>
          <w:p>
            <w:pPr>
              <w:numPr>
                <w:ilvl w:val="0"/>
                <w:numId w:val="9"/>
              </w:numPr>
              <w:adjustRightInd w:val="0"/>
              <w:snapToGrid w:val="0"/>
              <w:ind w:left="680" w:hanging="680"/>
              <w:rPr>
                <w:rFonts w:ascii="宋体" w:hAnsi="宋体" w:eastAsia="宋体" w:cs="宋体"/>
                <w:color w:val="auto"/>
                <w:sz w:val="24"/>
                <w:highlight w:val="none"/>
              </w:rPr>
            </w:pPr>
            <w:r>
              <w:rPr>
                <w:rFonts w:hint="eastAsia" w:ascii="宋体" w:hAnsi="宋体" w:eastAsia="宋体" w:cs="宋体"/>
                <w:color w:val="auto"/>
                <w:sz w:val="24"/>
                <w:highlight w:val="none"/>
              </w:rPr>
              <w:t>招标代理服务费的交纳形式：采用现金或转账付款方式。</w:t>
            </w:r>
          </w:p>
          <w:p>
            <w:pPr>
              <w:numPr>
                <w:ilvl w:val="0"/>
                <w:numId w:val="9"/>
              </w:numPr>
              <w:adjustRightInd w:val="0"/>
              <w:snapToGrid w:val="0"/>
              <w:ind w:left="680" w:hanging="680"/>
              <w:rPr>
                <w:rFonts w:ascii="宋体" w:hAnsi="宋体" w:eastAsia="宋体" w:cs="宋体"/>
                <w:color w:val="auto"/>
                <w:sz w:val="24"/>
                <w:highlight w:val="none"/>
              </w:rPr>
            </w:pPr>
            <w:r>
              <w:rPr>
                <w:rFonts w:hint="eastAsia" w:ascii="宋体" w:hAnsi="宋体" w:eastAsia="宋体" w:cs="宋体"/>
                <w:color w:val="auto"/>
                <w:sz w:val="24"/>
                <w:highlight w:val="none"/>
              </w:rPr>
              <w:t>招标代理服务费付至：</w:t>
            </w:r>
          </w:p>
          <w:p>
            <w:pPr>
              <w:adjustRightInd w:val="0"/>
              <w:snapToGrid w:val="0"/>
              <w:ind w:firstLine="698" w:firstLineChars="291"/>
              <w:rPr>
                <w:rFonts w:ascii="宋体" w:hAnsi="宋体" w:eastAsia="宋体" w:cs="宋体"/>
                <w:color w:val="auto"/>
                <w:sz w:val="24"/>
                <w:highlight w:val="none"/>
              </w:rPr>
            </w:pPr>
            <w:r>
              <w:rPr>
                <w:rFonts w:hint="eastAsia" w:ascii="宋体" w:hAnsi="宋体" w:eastAsia="宋体" w:cs="宋体"/>
                <w:color w:val="auto"/>
                <w:sz w:val="24"/>
                <w:highlight w:val="none"/>
              </w:rPr>
              <w:t>收款人名称：广东有德招标采购有限公司</w:t>
            </w:r>
          </w:p>
          <w:p>
            <w:pPr>
              <w:adjustRightInd w:val="0"/>
              <w:snapToGrid w:val="0"/>
              <w:ind w:firstLine="698" w:firstLineChars="291"/>
              <w:rPr>
                <w:rFonts w:ascii="宋体" w:hAnsi="宋体" w:eastAsia="宋体" w:cs="宋体"/>
                <w:color w:val="auto"/>
                <w:sz w:val="24"/>
                <w:highlight w:val="none"/>
              </w:rPr>
            </w:pPr>
            <w:r>
              <w:rPr>
                <w:rFonts w:hint="eastAsia" w:ascii="宋体" w:hAnsi="宋体" w:eastAsia="宋体" w:cs="宋体"/>
                <w:color w:val="auto"/>
                <w:sz w:val="24"/>
                <w:highlight w:val="none"/>
              </w:rPr>
              <w:t>开户银行：中国光大银行广州分行</w:t>
            </w:r>
          </w:p>
          <w:p>
            <w:pPr>
              <w:adjustRightInd w:val="0"/>
              <w:snapToGrid w:val="0"/>
              <w:ind w:firstLine="698" w:firstLineChars="291"/>
              <w:rPr>
                <w:rFonts w:ascii="宋体" w:hAnsi="宋体" w:eastAsia="宋体" w:cs="宋体"/>
                <w:color w:val="auto"/>
                <w:sz w:val="24"/>
                <w:highlight w:val="none"/>
              </w:rPr>
            </w:pPr>
            <w:r>
              <w:rPr>
                <w:rFonts w:hint="eastAsia" w:ascii="宋体" w:hAnsi="宋体" w:eastAsia="宋体" w:cs="宋体"/>
                <w:color w:val="auto"/>
                <w:sz w:val="24"/>
                <w:highlight w:val="none"/>
              </w:rPr>
              <w:t>账    号：38610188000123567</w:t>
            </w:r>
          </w:p>
          <w:p>
            <w:pPr>
              <w:adjustRightInd w:val="0"/>
              <w:snapToGrid w:val="0"/>
              <w:ind w:firstLine="698" w:firstLineChars="291"/>
              <w:rPr>
                <w:rFonts w:ascii="宋体" w:hAnsi="宋体" w:eastAsia="宋体" w:cs="宋体"/>
                <w:color w:val="auto"/>
                <w:sz w:val="24"/>
                <w:highlight w:val="none"/>
              </w:rPr>
            </w:pPr>
            <w:r>
              <w:rPr>
                <w:rFonts w:hint="eastAsia" w:ascii="宋体" w:hAnsi="宋体" w:eastAsia="宋体" w:cs="宋体"/>
                <w:color w:val="auto"/>
                <w:sz w:val="24"/>
                <w:highlight w:val="none"/>
              </w:rPr>
              <w:t>中标人向招标代理机构交纳招标代理服务费后，凭授权委托书和领取人身份证复印件并加盖公司公章领取《中标通知书》。如采用电汇或银行转账的，须同时递交招标代理服务费缴费凭证复印件并加盖公章。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57" w:type="dxa"/>
            <w:gridSpan w:val="3"/>
            <w:noWrap w:val="0"/>
            <w:vAlign w:val="center"/>
          </w:tcPr>
          <w:p>
            <w:pPr>
              <w:adjustRightInd w:val="0"/>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补充条款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 w:type="dxa"/>
            <w:gridSpan w:val="2"/>
            <w:noWrap w:val="0"/>
            <w:vAlign w:val="center"/>
          </w:tcPr>
          <w:p>
            <w:pPr>
              <w:adjustRightInd w:val="0"/>
              <w:snapToGrid w:val="0"/>
              <w:jc w:val="center"/>
              <w:rPr>
                <w:rFonts w:ascii="宋体" w:hAnsi="宋体" w:eastAsia="宋体" w:cs="宋体"/>
                <w:color w:val="auto"/>
                <w:sz w:val="24"/>
                <w:highlight w:val="none"/>
              </w:rPr>
            </w:pPr>
            <w:r>
              <w:rPr>
                <w:rFonts w:hint="eastAsia" w:ascii="宋体" w:hAnsi="宋体" w:eastAsia="宋体" w:cs="宋体"/>
                <w:bCs/>
                <w:color w:val="auto"/>
                <w:sz w:val="24"/>
                <w:highlight w:val="none"/>
              </w:rPr>
              <w:t>信息发布媒体</w:t>
            </w:r>
          </w:p>
        </w:tc>
        <w:tc>
          <w:tcPr>
            <w:tcW w:w="7381" w:type="dxa"/>
            <w:noWrap w:val="0"/>
            <w:vAlign w:val="center"/>
          </w:tcPr>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中国招投标公共服务平台（www.cebpubservice.com）</w:t>
            </w: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中国采购与招标网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www.chinabidding.com.cn)</w:t>
            </w: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中国招投标网（www.infobidding.com）</w:t>
            </w: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广东有德招标采购有限公司网站（www.youde.net）</w:t>
            </w:r>
          </w:p>
          <w:p>
            <w:p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南方网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www.southcn.com/zbtb/zbgg/node_374095.htm)</w:t>
            </w:r>
          </w:p>
          <w:p>
            <w:pPr>
              <w:adjustRightInd w:val="0"/>
              <w:snapToGrid w:val="0"/>
              <w:rPr>
                <w:color w:val="auto"/>
                <w:highlight w:val="none"/>
              </w:rPr>
            </w:pPr>
            <w:r>
              <w:rPr>
                <w:rFonts w:hint="eastAsia" w:ascii="宋体" w:hAnsi="宋体" w:eastAsia="宋体" w:cs="宋体"/>
                <w:color w:val="auto"/>
                <w:sz w:val="24"/>
                <w:highlight w:val="none"/>
              </w:rPr>
              <w:t>《南方日报》</w:t>
            </w:r>
          </w:p>
        </w:tc>
      </w:tr>
    </w:tbl>
    <w:p>
      <w:pPr>
        <w:rPr>
          <w:color w:val="auto"/>
          <w:highlight w:val="none"/>
        </w:rPr>
      </w:pPr>
    </w:p>
    <w:p>
      <w:pPr>
        <w:rPr>
          <w:color w:val="auto"/>
          <w:highlight w:val="none"/>
        </w:rPr>
      </w:pPr>
      <w:r>
        <w:rPr>
          <w:color w:val="auto"/>
          <w:highlight w:val="none"/>
        </w:rPr>
        <w:br w:type="page"/>
      </w:r>
    </w:p>
    <w:p>
      <w:pPr>
        <w:pStyle w:val="4"/>
        <w:numPr>
          <w:ilvl w:val="0"/>
          <w:numId w:val="10"/>
        </w:numPr>
        <w:jc w:val="center"/>
        <w:rPr>
          <w:color w:val="auto"/>
          <w:highlight w:val="none"/>
        </w:rPr>
      </w:pPr>
      <w:bookmarkStart w:id="48" w:name="_Toc8865"/>
      <w:bookmarkStart w:id="49" w:name="_Toc423021940"/>
      <w:bookmarkStart w:id="50" w:name="_Toc7064"/>
      <w:bookmarkStart w:id="51" w:name="_Toc29537"/>
      <w:bookmarkStart w:id="52" w:name="_Toc16331"/>
      <w:bookmarkStart w:id="53" w:name="_Toc4284"/>
      <w:r>
        <w:rPr>
          <w:color w:val="auto"/>
          <w:highlight w:val="none"/>
        </w:rPr>
        <w:t>总则</w:t>
      </w:r>
      <w:bookmarkEnd w:id="48"/>
      <w:bookmarkEnd w:id="49"/>
      <w:bookmarkEnd w:id="50"/>
      <w:bookmarkEnd w:id="51"/>
      <w:bookmarkEnd w:id="52"/>
      <w:bookmarkEnd w:id="53"/>
    </w:p>
    <w:p>
      <w:pPr>
        <w:pStyle w:val="5"/>
        <w:numPr>
          <w:ilvl w:val="0"/>
          <w:numId w:val="11"/>
        </w:numPr>
        <w:ind w:hanging="5"/>
        <w:rPr>
          <w:color w:val="auto"/>
          <w:sz w:val="28"/>
          <w:szCs w:val="28"/>
          <w:highlight w:val="none"/>
          <w:lang w:val="zh-CN"/>
        </w:rPr>
      </w:pPr>
      <w:bookmarkStart w:id="54" w:name="_Toc13429"/>
      <w:bookmarkStart w:id="55" w:name="_Toc5689"/>
      <w:bookmarkStart w:id="56" w:name="_Toc14827"/>
      <w:bookmarkStart w:id="57" w:name="_Toc1327"/>
      <w:bookmarkStart w:id="58" w:name="_Toc21070"/>
      <w:r>
        <w:rPr>
          <w:rFonts w:hint="eastAsia"/>
          <w:color w:val="auto"/>
          <w:sz w:val="28"/>
          <w:szCs w:val="28"/>
          <w:highlight w:val="none"/>
          <w:lang w:val="zh-CN"/>
        </w:rPr>
        <w:t>招标项目与采购当事人</w:t>
      </w:r>
      <w:bookmarkEnd w:id="54"/>
      <w:bookmarkEnd w:id="55"/>
      <w:bookmarkEnd w:id="56"/>
      <w:bookmarkEnd w:id="57"/>
      <w:bookmarkEnd w:id="58"/>
    </w:p>
    <w:p>
      <w:pPr>
        <w:numPr>
          <w:ilvl w:val="1"/>
          <w:numId w:val="12"/>
        </w:numPr>
        <w:tabs>
          <w:tab w:val="left" w:pos="1020"/>
          <w:tab w:val="left" w:pos="1260"/>
          <w:tab w:val="clear" w:pos="907"/>
        </w:tabs>
        <w:spacing w:line="360" w:lineRule="auto"/>
        <w:ind w:left="1007" w:hanging="587"/>
        <w:rPr>
          <w:rFonts w:ascii="宋体" w:hAnsi="宋体" w:eastAsia="宋体" w:cs="宋体"/>
          <w:color w:val="auto"/>
          <w:sz w:val="24"/>
          <w:highlight w:val="none"/>
          <w:lang w:val="zh-CN"/>
        </w:rPr>
      </w:pPr>
      <w:bookmarkStart w:id="59" w:name="_Toc21444"/>
      <w:r>
        <w:rPr>
          <w:rFonts w:hint="eastAsia" w:ascii="宋体" w:hAnsi="宋体" w:eastAsia="宋体" w:cs="宋体"/>
          <w:color w:val="auto"/>
          <w:sz w:val="24"/>
          <w:highlight w:val="none"/>
          <w:lang w:val="zh-CN"/>
        </w:rPr>
        <w:t>本招标文件</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中所述的招标人已经获得足以支付本次采购后所签订的合同项下的款项。</w:t>
      </w:r>
    </w:p>
    <w:p>
      <w:pPr>
        <w:numPr>
          <w:ilvl w:val="1"/>
          <w:numId w:val="12"/>
        </w:numPr>
        <w:tabs>
          <w:tab w:val="left" w:pos="1020"/>
          <w:tab w:val="left" w:pos="1260"/>
          <w:tab w:val="clear" w:pos="907"/>
        </w:tabs>
        <w:spacing w:line="360" w:lineRule="auto"/>
        <w:ind w:left="1007" w:hanging="58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本次采购的招标人和招标代理机构（以下简称招标代理机构）的名称、地址、联系人、电话、传真和电子邮箱见</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w:t>
      </w:r>
    </w:p>
    <w:p>
      <w:pPr>
        <w:pStyle w:val="5"/>
        <w:numPr>
          <w:ilvl w:val="0"/>
          <w:numId w:val="11"/>
        </w:numPr>
        <w:ind w:hanging="5"/>
        <w:rPr>
          <w:color w:val="auto"/>
          <w:sz w:val="28"/>
          <w:szCs w:val="28"/>
          <w:highlight w:val="none"/>
          <w:lang w:val="zh-CN"/>
        </w:rPr>
      </w:pPr>
      <w:bookmarkStart w:id="60" w:name="_Toc607"/>
      <w:bookmarkStart w:id="61" w:name="_Toc22760"/>
      <w:bookmarkStart w:id="62" w:name="_Toc7950"/>
      <w:bookmarkStart w:id="63" w:name="_Toc19883"/>
      <w:r>
        <w:rPr>
          <w:rFonts w:hint="eastAsia"/>
          <w:color w:val="auto"/>
          <w:sz w:val="28"/>
          <w:szCs w:val="28"/>
          <w:highlight w:val="none"/>
          <w:lang w:val="zh-CN"/>
        </w:rPr>
        <w:t>合格的投标人</w:t>
      </w:r>
      <w:bookmarkEnd w:id="59"/>
      <w:bookmarkEnd w:id="60"/>
      <w:bookmarkEnd w:id="61"/>
      <w:bookmarkEnd w:id="62"/>
      <w:bookmarkEnd w:id="63"/>
    </w:p>
    <w:p>
      <w:pPr>
        <w:tabs>
          <w:tab w:val="left" w:pos="1020"/>
          <w:tab w:val="left" w:pos="1260"/>
        </w:tabs>
        <w:spacing w:line="360" w:lineRule="auto"/>
        <w:ind w:left="420"/>
        <w:rPr>
          <w:rFonts w:ascii="宋体" w:hAnsi="宋体" w:eastAsia="宋体" w:cs="宋体"/>
          <w:color w:val="auto"/>
          <w:sz w:val="24"/>
          <w:highlight w:val="none"/>
          <w:lang w:val="zh-CN"/>
        </w:rPr>
      </w:pPr>
      <w:bookmarkStart w:id="64" w:name="_Toc17172"/>
      <w:bookmarkStart w:id="65" w:name="_Toc26246"/>
      <w:r>
        <w:rPr>
          <w:rFonts w:hint="eastAsia" w:ascii="宋体" w:hAnsi="宋体" w:eastAsia="宋体" w:cs="宋体"/>
          <w:color w:val="auto"/>
          <w:sz w:val="24"/>
          <w:highlight w:val="none"/>
          <w:lang w:val="zh-CN"/>
        </w:rPr>
        <w:t>见招标文件第一章“投标邀请函”“五、供应商（服务商）资格”。</w:t>
      </w:r>
    </w:p>
    <w:p>
      <w:pPr>
        <w:pStyle w:val="5"/>
        <w:numPr>
          <w:ilvl w:val="0"/>
          <w:numId w:val="11"/>
        </w:numPr>
        <w:ind w:hanging="5"/>
        <w:rPr>
          <w:color w:val="auto"/>
          <w:sz w:val="28"/>
          <w:szCs w:val="28"/>
          <w:highlight w:val="none"/>
          <w:lang w:val="zh-CN"/>
        </w:rPr>
      </w:pPr>
      <w:bookmarkStart w:id="66" w:name="_Toc6352"/>
      <w:bookmarkStart w:id="67" w:name="_Toc31142"/>
      <w:bookmarkStart w:id="68" w:name="_Toc6579"/>
      <w:r>
        <w:rPr>
          <w:rFonts w:hint="eastAsia"/>
          <w:color w:val="auto"/>
          <w:sz w:val="28"/>
          <w:szCs w:val="28"/>
          <w:highlight w:val="none"/>
          <w:lang w:val="zh-CN"/>
        </w:rPr>
        <w:t>合格的服务</w:t>
      </w:r>
      <w:bookmarkEnd w:id="64"/>
      <w:bookmarkEnd w:id="65"/>
      <w:bookmarkEnd w:id="66"/>
      <w:bookmarkEnd w:id="67"/>
      <w:bookmarkEnd w:id="68"/>
    </w:p>
    <w:p>
      <w:pPr>
        <w:numPr>
          <w:ilvl w:val="1"/>
          <w:numId w:val="13"/>
        </w:numPr>
        <w:tabs>
          <w:tab w:val="left" w:pos="1040"/>
          <w:tab w:val="left" w:pos="1260"/>
          <w:tab w:val="clear" w:pos="907"/>
        </w:tabs>
        <w:spacing w:line="360" w:lineRule="auto"/>
        <w:ind w:left="1027" w:hanging="6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服务是指投标人按招标文件的规定完成的全部服务内容，包括完成服务所需的货物，及须承担的技术支持、培训和其它伴随服务。</w:t>
      </w:r>
    </w:p>
    <w:p>
      <w:pPr>
        <w:numPr>
          <w:ilvl w:val="1"/>
          <w:numId w:val="13"/>
        </w:numPr>
        <w:tabs>
          <w:tab w:val="left" w:pos="1040"/>
          <w:tab w:val="left" w:pos="1260"/>
          <w:tab w:val="clear" w:pos="907"/>
        </w:tabs>
        <w:spacing w:line="360" w:lineRule="auto"/>
        <w:ind w:left="1027" w:hanging="6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投标人提供的所有服务，其质量、技术等必须符合国家、行业现行法律、法规的相关标准及用户需求。</w:t>
      </w:r>
    </w:p>
    <w:p>
      <w:pPr>
        <w:numPr>
          <w:ilvl w:val="1"/>
          <w:numId w:val="13"/>
        </w:numPr>
        <w:tabs>
          <w:tab w:val="left" w:pos="1040"/>
          <w:tab w:val="left" w:pos="1260"/>
          <w:tab w:val="clear" w:pos="907"/>
        </w:tabs>
        <w:spacing w:line="360" w:lineRule="auto"/>
        <w:ind w:left="1027" w:hanging="6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招标人有权拒绝接受任何不合格的服务，由此产生的费用及相关后果均由供应商（服务商）自行承担。</w:t>
      </w:r>
    </w:p>
    <w:p>
      <w:pPr>
        <w:numPr>
          <w:ilvl w:val="1"/>
          <w:numId w:val="13"/>
        </w:numPr>
        <w:tabs>
          <w:tab w:val="left" w:pos="1040"/>
          <w:tab w:val="left" w:pos="1260"/>
          <w:tab w:val="clear" w:pos="907"/>
        </w:tabs>
        <w:spacing w:line="360" w:lineRule="auto"/>
        <w:ind w:left="1027" w:hanging="6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应保证本项目的技术、服务或其任何一部分不会产生因第三方提出侵犯其专利权、商标权或其他知识产权而引起的法律和经济纠纷。如果投标人不拥有相应的知识产权，则须在报价中包含合法获取该知识产权的相关费用，并在投标文件中附有相关证明文件。如因第三方投诉或起诉给甲方造成损失，则所有费用（包括但不限于赔偿金及律师费等相关费用）由</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val="zh-CN"/>
        </w:rPr>
        <w:t>承担。</w:t>
      </w:r>
    </w:p>
    <w:p>
      <w:pPr>
        <w:pStyle w:val="4"/>
        <w:numPr>
          <w:ilvl w:val="0"/>
          <w:numId w:val="10"/>
        </w:numPr>
        <w:jc w:val="center"/>
        <w:rPr>
          <w:color w:val="auto"/>
          <w:highlight w:val="none"/>
        </w:rPr>
      </w:pPr>
      <w:bookmarkStart w:id="69" w:name="_Toc29441"/>
      <w:bookmarkStart w:id="70" w:name="_Toc27329"/>
      <w:bookmarkStart w:id="71" w:name="_Toc15844"/>
      <w:r>
        <w:rPr>
          <w:color w:val="auto"/>
          <w:highlight w:val="none"/>
        </w:rPr>
        <w:t>招标文件</w:t>
      </w:r>
      <w:bookmarkEnd w:id="69"/>
      <w:bookmarkEnd w:id="70"/>
      <w:bookmarkEnd w:id="71"/>
    </w:p>
    <w:p>
      <w:pPr>
        <w:pStyle w:val="5"/>
        <w:numPr>
          <w:ilvl w:val="0"/>
          <w:numId w:val="11"/>
        </w:numPr>
        <w:ind w:hanging="5"/>
        <w:rPr>
          <w:color w:val="auto"/>
          <w:sz w:val="28"/>
          <w:szCs w:val="28"/>
          <w:highlight w:val="none"/>
          <w:lang w:val="zh-CN"/>
        </w:rPr>
      </w:pPr>
      <w:bookmarkStart w:id="72" w:name="_Toc4639"/>
      <w:bookmarkStart w:id="73" w:name="_Toc25963"/>
      <w:bookmarkStart w:id="74" w:name="_Toc27218"/>
      <w:bookmarkStart w:id="75" w:name="_Toc11137"/>
      <w:r>
        <w:rPr>
          <w:rFonts w:hint="eastAsia"/>
          <w:color w:val="auto"/>
          <w:sz w:val="28"/>
          <w:szCs w:val="28"/>
          <w:highlight w:val="none"/>
          <w:lang w:val="zh-CN"/>
        </w:rPr>
        <w:t>招标文件的编制依据和组成</w:t>
      </w:r>
      <w:bookmarkEnd w:id="72"/>
      <w:bookmarkEnd w:id="73"/>
      <w:bookmarkEnd w:id="74"/>
      <w:bookmarkEnd w:id="75"/>
    </w:p>
    <w:p>
      <w:pPr>
        <w:numPr>
          <w:ilvl w:val="1"/>
          <w:numId w:val="14"/>
        </w:numPr>
        <w:tabs>
          <w:tab w:val="left" w:pos="1040"/>
          <w:tab w:val="left" w:pos="1260"/>
          <w:tab w:val="clear" w:pos="907"/>
        </w:tabs>
        <w:spacing w:line="360" w:lineRule="auto"/>
        <w:ind w:left="1047" w:hanging="627"/>
        <w:rPr>
          <w:rFonts w:ascii="宋体" w:hAnsi="宋体" w:eastAsia="宋体" w:cs="宋体"/>
          <w:color w:val="auto"/>
          <w:sz w:val="24"/>
          <w:highlight w:val="none"/>
          <w:lang w:val="zh-CN"/>
        </w:rPr>
      </w:pPr>
      <w:bookmarkStart w:id="76" w:name="_Toc413373035"/>
      <w:bookmarkStart w:id="77" w:name="_Toc413372889"/>
      <w:bookmarkStart w:id="78" w:name="_Toc413372447"/>
      <w:r>
        <w:rPr>
          <w:rFonts w:hint="eastAsia" w:ascii="宋体" w:hAnsi="宋体" w:eastAsia="宋体" w:cs="宋体"/>
          <w:color w:val="auto"/>
          <w:sz w:val="24"/>
          <w:highlight w:val="none"/>
          <w:lang w:val="zh-CN"/>
        </w:rPr>
        <w:t>本招标文件的编制依据参照</w:t>
      </w:r>
      <w:r>
        <w:rPr>
          <w:rFonts w:hint="eastAsia" w:ascii="宋体" w:hAnsi="宋体" w:eastAsia="宋体" w:cs="宋体"/>
          <w:color w:val="auto"/>
          <w:sz w:val="24"/>
          <w:highlight w:val="none"/>
        </w:rPr>
        <w:t>《中华人民共和国招标投标法》《中华人民共和国招标投标法实施条例》</w:t>
      </w:r>
      <w:r>
        <w:rPr>
          <w:rFonts w:hint="eastAsia" w:ascii="宋体" w:hAnsi="宋体" w:eastAsia="宋体" w:cs="宋体"/>
          <w:color w:val="auto"/>
          <w:sz w:val="24"/>
          <w:highlight w:val="none"/>
          <w:lang w:val="zh-CN"/>
        </w:rPr>
        <w:t>及其配套的法规、规章、规范性文件等。</w:t>
      </w:r>
      <w:bookmarkEnd w:id="76"/>
      <w:bookmarkEnd w:id="77"/>
      <w:bookmarkEnd w:id="78"/>
    </w:p>
    <w:p>
      <w:pPr>
        <w:numPr>
          <w:ilvl w:val="1"/>
          <w:numId w:val="14"/>
        </w:numPr>
        <w:tabs>
          <w:tab w:val="left" w:pos="1040"/>
          <w:tab w:val="left" w:pos="1260"/>
          <w:tab w:val="clear" w:pos="907"/>
        </w:tabs>
        <w:spacing w:line="360" w:lineRule="auto"/>
        <w:ind w:left="1047" w:hanging="62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招标文件由下列文件以及在招标过程中发出的澄清、修改和补充文件组成，共六章：</w:t>
      </w:r>
    </w:p>
    <w:p>
      <w:pPr>
        <w:adjustRightInd w:val="0"/>
        <w:snapToGrid w:val="0"/>
        <w:spacing w:line="360" w:lineRule="auto"/>
        <w:ind w:firstLine="1260" w:firstLineChars="525"/>
        <w:rPr>
          <w:rFonts w:ascii="宋体" w:hAnsi="宋体" w:eastAsia="宋体" w:cs="宋体"/>
          <w:color w:val="auto"/>
          <w:sz w:val="24"/>
          <w:highlight w:val="none"/>
        </w:rPr>
      </w:pPr>
      <w:r>
        <w:rPr>
          <w:rFonts w:hint="eastAsia" w:ascii="宋体" w:hAnsi="宋体" w:eastAsia="宋体" w:cs="宋体"/>
          <w:color w:val="auto"/>
          <w:sz w:val="24"/>
          <w:highlight w:val="none"/>
        </w:rPr>
        <w:t>第一章 投标邀请函</w:t>
      </w:r>
    </w:p>
    <w:p>
      <w:pPr>
        <w:adjustRightInd w:val="0"/>
        <w:snapToGrid w:val="0"/>
        <w:spacing w:line="360" w:lineRule="auto"/>
        <w:ind w:firstLine="1260" w:firstLineChars="525"/>
        <w:rPr>
          <w:rFonts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pPr>
        <w:adjustRightInd w:val="0"/>
        <w:snapToGrid w:val="0"/>
        <w:spacing w:line="360" w:lineRule="auto"/>
        <w:ind w:firstLine="1260" w:firstLineChars="525"/>
        <w:rPr>
          <w:rFonts w:ascii="宋体" w:hAnsi="宋体" w:eastAsia="宋体" w:cs="宋体"/>
          <w:color w:val="auto"/>
          <w:sz w:val="24"/>
          <w:highlight w:val="none"/>
        </w:rPr>
      </w:pPr>
      <w:r>
        <w:rPr>
          <w:rFonts w:hint="eastAsia" w:ascii="宋体" w:hAnsi="宋体" w:eastAsia="宋体" w:cs="宋体"/>
          <w:color w:val="auto"/>
          <w:sz w:val="24"/>
          <w:highlight w:val="none"/>
        </w:rPr>
        <w:t>第三章 评标体系与标准</w:t>
      </w:r>
    </w:p>
    <w:p>
      <w:pPr>
        <w:adjustRightInd w:val="0"/>
        <w:snapToGrid w:val="0"/>
        <w:spacing w:line="360" w:lineRule="auto"/>
        <w:ind w:firstLine="1260" w:firstLineChars="525"/>
        <w:rPr>
          <w:rFonts w:ascii="宋体" w:hAnsi="宋体" w:eastAsia="宋体" w:cs="宋体"/>
          <w:color w:val="auto"/>
          <w:sz w:val="24"/>
          <w:highlight w:val="none"/>
        </w:rPr>
      </w:pPr>
      <w:r>
        <w:rPr>
          <w:rFonts w:hint="eastAsia" w:ascii="宋体" w:hAnsi="宋体" w:eastAsia="宋体" w:cs="宋体"/>
          <w:color w:val="auto"/>
          <w:sz w:val="24"/>
          <w:highlight w:val="none"/>
        </w:rPr>
        <w:t>第四章 用户需求书</w:t>
      </w:r>
    </w:p>
    <w:p>
      <w:pPr>
        <w:adjustRightInd w:val="0"/>
        <w:snapToGrid w:val="0"/>
        <w:spacing w:line="360" w:lineRule="auto"/>
        <w:ind w:firstLine="1260" w:firstLineChars="525"/>
        <w:rPr>
          <w:rFonts w:ascii="宋体" w:hAnsi="宋体" w:eastAsia="宋体" w:cs="宋体"/>
          <w:color w:val="auto"/>
          <w:sz w:val="24"/>
          <w:highlight w:val="none"/>
        </w:rPr>
      </w:pPr>
      <w:r>
        <w:rPr>
          <w:rFonts w:hint="eastAsia" w:ascii="宋体" w:hAnsi="宋体" w:eastAsia="宋体" w:cs="宋体"/>
          <w:color w:val="auto"/>
          <w:sz w:val="24"/>
          <w:highlight w:val="none"/>
        </w:rPr>
        <w:t>第五章 合同格式</w:t>
      </w:r>
    </w:p>
    <w:p>
      <w:pPr>
        <w:adjustRightInd w:val="0"/>
        <w:snapToGrid w:val="0"/>
        <w:spacing w:line="360" w:lineRule="auto"/>
        <w:ind w:firstLine="1260" w:firstLineChars="525"/>
        <w:rPr>
          <w:rFonts w:ascii="宋体" w:hAnsi="宋体" w:eastAsia="宋体" w:cs="宋体"/>
          <w:color w:val="auto"/>
          <w:sz w:val="24"/>
          <w:highlight w:val="none"/>
          <w:lang w:val="zh-CN"/>
        </w:rPr>
      </w:pPr>
      <w:r>
        <w:rPr>
          <w:rFonts w:hint="eastAsia" w:ascii="宋体" w:hAnsi="宋体" w:eastAsia="宋体" w:cs="宋体"/>
          <w:color w:val="auto"/>
          <w:sz w:val="24"/>
          <w:highlight w:val="none"/>
        </w:rPr>
        <w:t>第六章 投标文件格式</w:t>
      </w:r>
    </w:p>
    <w:p>
      <w:pPr>
        <w:numPr>
          <w:ilvl w:val="1"/>
          <w:numId w:val="14"/>
        </w:numPr>
        <w:tabs>
          <w:tab w:val="left" w:pos="1040"/>
          <w:tab w:val="left" w:pos="1260"/>
          <w:tab w:val="clear" w:pos="907"/>
        </w:tabs>
        <w:spacing w:line="360" w:lineRule="auto"/>
        <w:ind w:left="1047" w:hanging="62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pPr>
        <w:pStyle w:val="5"/>
        <w:numPr>
          <w:ilvl w:val="0"/>
          <w:numId w:val="11"/>
        </w:numPr>
        <w:ind w:hanging="5"/>
        <w:rPr>
          <w:color w:val="auto"/>
          <w:sz w:val="28"/>
          <w:szCs w:val="28"/>
          <w:highlight w:val="none"/>
          <w:lang w:val="zh-CN"/>
        </w:rPr>
      </w:pPr>
      <w:bookmarkStart w:id="79" w:name="_Toc12309"/>
      <w:bookmarkStart w:id="80" w:name="_Toc17529"/>
      <w:bookmarkStart w:id="81" w:name="_Toc16032"/>
      <w:bookmarkStart w:id="82" w:name="_Toc12572"/>
      <w:bookmarkStart w:id="83" w:name="_Toc10350"/>
      <w:r>
        <w:rPr>
          <w:rFonts w:hint="eastAsia"/>
          <w:color w:val="auto"/>
          <w:sz w:val="28"/>
          <w:szCs w:val="28"/>
          <w:highlight w:val="none"/>
          <w:lang w:val="zh-CN"/>
        </w:rPr>
        <w:t>招标文件的澄清和修改</w:t>
      </w:r>
      <w:bookmarkEnd w:id="79"/>
      <w:bookmarkEnd w:id="80"/>
      <w:bookmarkEnd w:id="81"/>
      <w:bookmarkEnd w:id="82"/>
      <w:bookmarkEnd w:id="83"/>
    </w:p>
    <w:p>
      <w:pPr>
        <w:numPr>
          <w:ilvl w:val="1"/>
          <w:numId w:val="15"/>
        </w:numPr>
        <w:tabs>
          <w:tab w:val="left" w:pos="1080"/>
          <w:tab w:val="left" w:pos="126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人可以对已发出的招标文件进行必要的澄清或者修改。澄清或者修改的内容可能影响者投标文件编制的，招标人应当在提交投标截止时间至少15日前，以书面形式通知所有获取招标文件的潜在投标人；不足15日的，招标人应当顺延提交投标文件的截止时间。</w:t>
      </w:r>
    </w:p>
    <w:p>
      <w:pPr>
        <w:numPr>
          <w:ilvl w:val="1"/>
          <w:numId w:val="15"/>
        </w:numPr>
        <w:tabs>
          <w:tab w:val="left" w:pos="1080"/>
          <w:tab w:val="left" w:pos="126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潜在投标人或者其他利害关系人对招标文件有异议的，应当在投标截止时间10日前提出。招标人应当自收到异议之日起3日内作出答复。</w:t>
      </w:r>
    </w:p>
    <w:p>
      <w:pPr>
        <w:numPr>
          <w:ilvl w:val="1"/>
          <w:numId w:val="15"/>
        </w:numPr>
        <w:tabs>
          <w:tab w:val="left" w:pos="1080"/>
          <w:tab w:val="left" w:pos="126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cs="宋体"/>
          <w:color w:val="auto"/>
          <w:sz w:val="24"/>
          <w:highlight w:val="none"/>
        </w:rPr>
        <w:t>已领购招标文件投标人在收到上述通知后，应在24小时内以书面形式向招标代理机构确认，若投标人未在24小时内书面回复确认将视为同意修改内容，并有责任履行相应的义务。</w:t>
      </w:r>
    </w:p>
    <w:p>
      <w:pPr>
        <w:numPr>
          <w:ilvl w:val="1"/>
          <w:numId w:val="15"/>
        </w:numPr>
        <w:tabs>
          <w:tab w:val="left" w:pos="1080"/>
          <w:tab w:val="left" w:pos="126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招标文件的修改内容为招标文件的组成部分。</w:t>
      </w:r>
    </w:p>
    <w:p>
      <w:pPr>
        <w:numPr>
          <w:ilvl w:val="1"/>
          <w:numId w:val="15"/>
        </w:numPr>
        <w:tabs>
          <w:tab w:val="left" w:pos="1080"/>
          <w:tab w:val="left" w:pos="126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招标文件的澄清或修改均以书面形式明确的内容为准。当招标文件的澄清、修改、补充等在同一内容的表述不一致时，以最后发出的书面文件为准。</w:t>
      </w:r>
    </w:p>
    <w:p>
      <w:pPr>
        <w:numPr>
          <w:ilvl w:val="1"/>
          <w:numId w:val="15"/>
        </w:numPr>
        <w:tabs>
          <w:tab w:val="left" w:pos="1080"/>
          <w:tab w:val="left" w:pos="126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numPr>
          <w:ilvl w:val="0"/>
          <w:numId w:val="11"/>
        </w:numPr>
        <w:ind w:hanging="5"/>
        <w:rPr>
          <w:color w:val="auto"/>
          <w:sz w:val="28"/>
          <w:szCs w:val="28"/>
          <w:highlight w:val="none"/>
          <w:lang w:val="zh-CN"/>
        </w:rPr>
      </w:pPr>
      <w:bookmarkStart w:id="84" w:name="_Toc24407"/>
      <w:bookmarkStart w:id="85" w:name="_Toc16477"/>
      <w:bookmarkStart w:id="86" w:name="_Toc20221"/>
      <w:bookmarkStart w:id="87" w:name="_Toc110"/>
      <w:r>
        <w:rPr>
          <w:rFonts w:hint="eastAsia"/>
          <w:color w:val="auto"/>
          <w:sz w:val="28"/>
          <w:szCs w:val="28"/>
          <w:highlight w:val="none"/>
          <w:lang w:val="zh-CN"/>
        </w:rPr>
        <w:t>答疑会或踏勘现场</w:t>
      </w:r>
      <w:bookmarkEnd w:id="84"/>
      <w:bookmarkEnd w:id="85"/>
      <w:bookmarkEnd w:id="86"/>
      <w:bookmarkEnd w:id="87"/>
    </w:p>
    <w:p>
      <w:pPr>
        <w:numPr>
          <w:ilvl w:val="1"/>
          <w:numId w:val="16"/>
        </w:numPr>
        <w:tabs>
          <w:tab w:val="left" w:pos="1140"/>
          <w:tab w:val="left" w:pos="1260"/>
          <w:tab w:val="clear" w:pos="907"/>
        </w:tabs>
        <w:spacing w:line="360" w:lineRule="auto"/>
        <w:ind w:left="1087" w:hanging="667"/>
        <w:rPr>
          <w:rFonts w:ascii="宋体" w:hAnsi="宋体" w:eastAsia="宋体" w:cs="宋体"/>
          <w:color w:val="auto"/>
          <w:sz w:val="24"/>
          <w:highlight w:val="none"/>
          <w:lang w:val="zh-CN"/>
        </w:rPr>
      </w:pPr>
      <w:bookmarkStart w:id="88" w:name="_Toc14980"/>
      <w:bookmarkStart w:id="89" w:name="_Toc423021942"/>
      <w:r>
        <w:rPr>
          <w:rFonts w:hint="eastAsia" w:ascii="宋体" w:hAnsi="宋体" w:eastAsia="宋体" w:cs="宋体"/>
          <w:color w:val="auto"/>
          <w:sz w:val="24"/>
          <w:highlight w:val="none"/>
          <w:lang w:val="zh-CN"/>
        </w:rPr>
        <w:t>除非</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 xml:space="preserve">中另有规定，本项目不举行集中答疑会或统一组织踏勘现场，如举行集中答疑会或踏勘现场的，则按以下规定： </w:t>
      </w:r>
    </w:p>
    <w:p>
      <w:pPr>
        <w:numPr>
          <w:ilvl w:val="2"/>
          <w:numId w:val="17"/>
        </w:numPr>
        <w:tabs>
          <w:tab w:val="clear" w:pos="907"/>
        </w:tabs>
        <w:spacing w:line="360" w:lineRule="auto"/>
        <w:ind w:left="1267" w:hanging="8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按</w:t>
      </w:r>
      <w:r>
        <w:rPr>
          <w:rFonts w:hint="eastAsia" w:ascii="宋体" w:hAnsi="宋体" w:eastAsia="宋体" w:cs="宋体"/>
          <w:b/>
          <w:bCs/>
          <w:color w:val="auto"/>
          <w:sz w:val="24"/>
          <w:highlight w:val="none"/>
          <w:lang w:val="zh-CN"/>
        </w:rPr>
        <w:t>投标邀请函</w:t>
      </w:r>
      <w:r>
        <w:rPr>
          <w:rFonts w:hint="eastAsia" w:ascii="宋体" w:hAnsi="宋体" w:eastAsia="宋体" w:cs="宋体"/>
          <w:color w:val="auto"/>
          <w:sz w:val="24"/>
          <w:highlight w:val="none"/>
          <w:lang w:val="zh-CN"/>
        </w:rPr>
        <w:t>中规定的日期、时间和地点组织公开答疑会或踏勘现场</w:t>
      </w:r>
      <w:r>
        <w:rPr>
          <w:rFonts w:hint="eastAsia" w:ascii="宋体" w:hAnsi="宋体" w:eastAsia="宋体" w:cs="宋体"/>
          <w:color w:val="auto"/>
          <w:sz w:val="24"/>
          <w:highlight w:val="none"/>
        </w:rPr>
        <w:t>。</w:t>
      </w:r>
    </w:p>
    <w:p>
      <w:pPr>
        <w:numPr>
          <w:ilvl w:val="2"/>
          <w:numId w:val="17"/>
        </w:numPr>
        <w:tabs>
          <w:tab w:val="clear" w:pos="907"/>
        </w:tabs>
        <w:spacing w:line="360" w:lineRule="auto"/>
        <w:ind w:left="1267" w:hanging="847"/>
        <w:rPr>
          <w:rFonts w:ascii="宋体" w:hAnsi="宋体" w:cs="宋体"/>
          <w:color w:val="auto"/>
          <w:sz w:val="24"/>
          <w:highlight w:val="none"/>
          <w:lang w:val="zh-CN"/>
        </w:rPr>
      </w:pPr>
      <w:r>
        <w:rPr>
          <w:rFonts w:hint="eastAsia" w:ascii="宋体" w:hAnsi="宋体" w:cs="宋体"/>
          <w:color w:val="auto"/>
          <w:sz w:val="24"/>
          <w:highlight w:val="none"/>
          <w:lang w:val="zh-CN"/>
        </w:rPr>
        <w:t>投标人若对本项目提出疑问，需在答疑会召开或踏勘现场举行之日前至少一个工作日将问题清单以书面形式（加盖公章）提交至招标代理机构，投标人代表于规定的时间和地点出席答疑会或参加踏勘现场。</w:t>
      </w:r>
    </w:p>
    <w:p>
      <w:pPr>
        <w:numPr>
          <w:ilvl w:val="2"/>
          <w:numId w:val="17"/>
        </w:numPr>
        <w:tabs>
          <w:tab w:val="clear" w:pos="907"/>
        </w:tabs>
        <w:spacing w:line="360" w:lineRule="auto"/>
        <w:ind w:left="1267" w:hanging="847"/>
        <w:rPr>
          <w:rFonts w:ascii="宋体" w:hAnsi="宋体" w:cs="宋体"/>
          <w:color w:val="auto"/>
          <w:sz w:val="24"/>
          <w:highlight w:val="none"/>
          <w:lang w:val="zh-CN"/>
        </w:rPr>
      </w:pPr>
      <w:r>
        <w:rPr>
          <w:rFonts w:hint="eastAsia" w:ascii="宋体" w:hAnsi="宋体" w:cs="宋体"/>
          <w:color w:val="auto"/>
          <w:sz w:val="24"/>
          <w:highlight w:val="none"/>
          <w:lang w:val="zh-CN"/>
        </w:rPr>
        <w:t>已购买招标文件的投标人如不出席答疑会或参加踏勘现场视为对招标文件所有内容无任何异议。</w:t>
      </w:r>
    </w:p>
    <w:p>
      <w:pPr>
        <w:pStyle w:val="4"/>
        <w:numPr>
          <w:ilvl w:val="0"/>
          <w:numId w:val="10"/>
        </w:numPr>
        <w:jc w:val="center"/>
        <w:rPr>
          <w:color w:val="auto"/>
          <w:highlight w:val="none"/>
        </w:rPr>
      </w:pPr>
      <w:bookmarkStart w:id="90" w:name="_Toc5760"/>
      <w:bookmarkStart w:id="91" w:name="_Toc32547"/>
      <w:bookmarkStart w:id="92" w:name="_Toc31120"/>
      <w:bookmarkStart w:id="93" w:name="_Toc29591"/>
      <w:r>
        <w:rPr>
          <w:color w:val="auto"/>
          <w:highlight w:val="none"/>
        </w:rPr>
        <w:t>投标文件</w:t>
      </w:r>
      <w:r>
        <w:rPr>
          <w:rFonts w:hint="eastAsia"/>
          <w:color w:val="auto"/>
          <w:highlight w:val="none"/>
        </w:rPr>
        <w:t>的</w:t>
      </w:r>
      <w:r>
        <w:rPr>
          <w:color w:val="auto"/>
          <w:highlight w:val="none"/>
        </w:rPr>
        <w:t>编制</w:t>
      </w:r>
      <w:bookmarkEnd w:id="88"/>
      <w:bookmarkEnd w:id="89"/>
      <w:bookmarkEnd w:id="90"/>
      <w:bookmarkEnd w:id="91"/>
      <w:bookmarkEnd w:id="92"/>
      <w:bookmarkEnd w:id="93"/>
    </w:p>
    <w:p>
      <w:pPr>
        <w:pStyle w:val="5"/>
        <w:numPr>
          <w:ilvl w:val="0"/>
          <w:numId w:val="11"/>
        </w:numPr>
        <w:ind w:hanging="5"/>
        <w:rPr>
          <w:color w:val="auto"/>
          <w:sz w:val="28"/>
          <w:szCs w:val="28"/>
          <w:highlight w:val="none"/>
          <w:lang w:val="zh-CN"/>
        </w:rPr>
      </w:pPr>
      <w:bookmarkStart w:id="94" w:name="_Toc17690"/>
      <w:bookmarkStart w:id="95" w:name="_Toc595"/>
      <w:bookmarkStart w:id="96" w:name="_Toc22361"/>
      <w:bookmarkStart w:id="97" w:name="_Toc21352"/>
      <w:bookmarkStart w:id="98" w:name="_Toc6448"/>
      <w:r>
        <w:rPr>
          <w:rFonts w:hint="eastAsia"/>
          <w:color w:val="auto"/>
          <w:sz w:val="28"/>
          <w:szCs w:val="28"/>
          <w:highlight w:val="none"/>
          <w:lang w:val="zh-CN"/>
        </w:rPr>
        <w:t>投标语言和计量单位</w:t>
      </w:r>
      <w:bookmarkEnd w:id="94"/>
      <w:bookmarkEnd w:id="95"/>
      <w:bookmarkEnd w:id="96"/>
      <w:bookmarkEnd w:id="97"/>
      <w:bookmarkEnd w:id="98"/>
    </w:p>
    <w:p>
      <w:pPr>
        <w:numPr>
          <w:ilvl w:val="1"/>
          <w:numId w:val="18"/>
        </w:numPr>
        <w:tabs>
          <w:tab w:val="left" w:pos="1120"/>
          <w:tab w:val="clear" w:pos="907"/>
        </w:tabs>
        <w:spacing w:line="360" w:lineRule="auto"/>
        <w:ind w:left="1127" w:hanging="7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pPr>
        <w:numPr>
          <w:ilvl w:val="1"/>
          <w:numId w:val="18"/>
        </w:numPr>
        <w:tabs>
          <w:tab w:val="left" w:pos="1120"/>
          <w:tab w:val="clear" w:pos="907"/>
        </w:tabs>
        <w:spacing w:line="360" w:lineRule="auto"/>
        <w:ind w:left="1127" w:hanging="7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除非招标文件中有特殊要求，投标文件中的计量单位应采用中华人民共和国法定计量单位。</w:t>
      </w:r>
    </w:p>
    <w:p>
      <w:pPr>
        <w:numPr>
          <w:ilvl w:val="1"/>
          <w:numId w:val="18"/>
        </w:numPr>
        <w:tabs>
          <w:tab w:val="left" w:pos="1120"/>
          <w:tab w:val="clear" w:pos="907"/>
        </w:tabs>
        <w:spacing w:line="360" w:lineRule="auto"/>
        <w:ind w:left="1127" w:hanging="70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pPr>
        <w:pStyle w:val="5"/>
        <w:numPr>
          <w:ilvl w:val="0"/>
          <w:numId w:val="11"/>
        </w:numPr>
        <w:ind w:hanging="5"/>
        <w:rPr>
          <w:color w:val="auto"/>
          <w:sz w:val="28"/>
          <w:szCs w:val="28"/>
          <w:highlight w:val="none"/>
          <w:lang w:val="zh-CN"/>
        </w:rPr>
      </w:pPr>
      <w:bookmarkStart w:id="99" w:name="_Toc3939"/>
      <w:bookmarkStart w:id="100" w:name="_Toc16782"/>
      <w:bookmarkStart w:id="101" w:name="_Toc13183"/>
      <w:bookmarkStart w:id="102" w:name="_Toc11148"/>
      <w:bookmarkStart w:id="103" w:name="_Toc15592"/>
      <w:r>
        <w:rPr>
          <w:rFonts w:hint="eastAsia"/>
          <w:color w:val="auto"/>
          <w:sz w:val="28"/>
          <w:szCs w:val="28"/>
          <w:highlight w:val="none"/>
          <w:lang w:val="zh-CN"/>
        </w:rPr>
        <w:t>投标文件的构成</w:t>
      </w:r>
      <w:bookmarkEnd w:id="99"/>
      <w:bookmarkEnd w:id="100"/>
      <w:bookmarkEnd w:id="101"/>
      <w:bookmarkEnd w:id="102"/>
      <w:bookmarkEnd w:id="103"/>
    </w:p>
    <w:p>
      <w:pPr>
        <w:numPr>
          <w:ilvl w:val="1"/>
          <w:numId w:val="19"/>
        </w:numPr>
        <w:tabs>
          <w:tab w:val="left" w:pos="1260"/>
          <w:tab w:val="clear" w:pos="907"/>
        </w:tabs>
        <w:spacing w:line="360" w:lineRule="auto"/>
        <w:ind w:left="1047" w:hanging="62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投标人编写的投标文件应包括自查表、初审文件、商务文件、技术文件，编排顺序可参见“第六章投标文件格式” ，包括但不限于其中所列表格、文件及证明资料。</w:t>
      </w:r>
    </w:p>
    <w:p>
      <w:pPr>
        <w:numPr>
          <w:ilvl w:val="1"/>
          <w:numId w:val="19"/>
        </w:numPr>
        <w:tabs>
          <w:tab w:val="left" w:pos="1260"/>
          <w:tab w:val="clear" w:pos="907"/>
        </w:tabs>
        <w:spacing w:line="360" w:lineRule="auto"/>
        <w:ind w:left="1047" w:hanging="62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投标文件的构成应符合法律法规及招标文件的要求。</w:t>
      </w:r>
    </w:p>
    <w:p>
      <w:pPr>
        <w:pStyle w:val="5"/>
        <w:numPr>
          <w:ilvl w:val="0"/>
          <w:numId w:val="11"/>
        </w:numPr>
        <w:ind w:hanging="5"/>
        <w:rPr>
          <w:color w:val="auto"/>
          <w:sz w:val="28"/>
          <w:szCs w:val="28"/>
          <w:highlight w:val="none"/>
          <w:lang w:val="zh-CN"/>
        </w:rPr>
      </w:pPr>
      <w:bookmarkStart w:id="104" w:name="_Toc31760"/>
      <w:bookmarkStart w:id="105" w:name="_Toc26069"/>
      <w:bookmarkStart w:id="106" w:name="_Toc1487"/>
      <w:bookmarkStart w:id="107" w:name="_Toc21556"/>
      <w:bookmarkStart w:id="108" w:name="_Toc17724"/>
      <w:r>
        <w:rPr>
          <w:rFonts w:hint="eastAsia"/>
          <w:color w:val="auto"/>
          <w:sz w:val="28"/>
          <w:szCs w:val="28"/>
          <w:highlight w:val="none"/>
          <w:lang w:val="zh-CN"/>
        </w:rPr>
        <w:t>投标文件编制注意事项</w:t>
      </w:r>
      <w:bookmarkEnd w:id="104"/>
      <w:bookmarkEnd w:id="105"/>
      <w:bookmarkEnd w:id="106"/>
      <w:bookmarkEnd w:id="107"/>
      <w:bookmarkEnd w:id="108"/>
    </w:p>
    <w:p>
      <w:pPr>
        <w:numPr>
          <w:ilvl w:val="1"/>
          <w:numId w:val="20"/>
        </w:numPr>
        <w:tabs>
          <w:tab w:val="left" w:pos="1220"/>
          <w:tab w:val="clear" w:pos="907"/>
        </w:tabs>
        <w:spacing w:line="360" w:lineRule="auto"/>
        <w:ind w:left="1067" w:hanging="6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投标人应完整、真实、准确地填写招标文件中提供的投标函以及招标文件中规定的其它所有内容。</w:t>
      </w:r>
    </w:p>
    <w:p>
      <w:pPr>
        <w:numPr>
          <w:ilvl w:val="1"/>
          <w:numId w:val="20"/>
        </w:numPr>
        <w:tabs>
          <w:tab w:val="left" w:pos="1100"/>
          <w:tab w:val="left" w:pos="1220"/>
          <w:tab w:val="clear" w:pos="907"/>
        </w:tabs>
        <w:spacing w:line="360" w:lineRule="auto"/>
        <w:ind w:left="1067" w:hanging="647"/>
        <w:rPr>
          <w:rFonts w:ascii="宋体" w:hAnsi="宋体" w:eastAsia="宋体" w:cs="宋体"/>
          <w:b/>
          <w:bCs/>
          <w:color w:val="auto"/>
          <w:sz w:val="24"/>
          <w:highlight w:val="none"/>
          <w:u w:val="single"/>
          <w:lang w:val="zh-CN"/>
        </w:rPr>
      </w:pPr>
      <w:r>
        <w:rPr>
          <w:rFonts w:hint="eastAsia" w:ascii="宋体" w:hAnsi="宋体" w:eastAsia="宋体" w:cs="宋体"/>
          <w:color w:val="auto"/>
          <w:sz w:val="24"/>
          <w:highlight w:val="none"/>
          <w:lang w:val="zh-CN"/>
        </w:rPr>
        <w:t>招标文件中有多个包组，投标人可对其中一个包组进行投标，但不得只对一个包组中的内容拆分投标。</w:t>
      </w:r>
    </w:p>
    <w:p>
      <w:pPr>
        <w:numPr>
          <w:ilvl w:val="1"/>
          <w:numId w:val="20"/>
        </w:numPr>
        <w:tabs>
          <w:tab w:val="left" w:pos="1100"/>
          <w:tab w:val="left" w:pos="1220"/>
          <w:tab w:val="clear" w:pos="907"/>
        </w:tabs>
        <w:spacing w:line="360" w:lineRule="auto"/>
        <w:ind w:left="1067" w:hanging="6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投标人必须对投标文件所提供的全部资料的真实性承担法律责任，并无条件接受招标人或招标代理机构及政府采购监督管理部门等对其中任何资料进行核实的要求。</w:t>
      </w:r>
    </w:p>
    <w:p>
      <w:pPr>
        <w:numPr>
          <w:ilvl w:val="1"/>
          <w:numId w:val="20"/>
        </w:numPr>
        <w:tabs>
          <w:tab w:val="left" w:pos="1100"/>
          <w:tab w:val="left" w:pos="1220"/>
          <w:tab w:val="clear" w:pos="907"/>
        </w:tabs>
        <w:spacing w:line="360" w:lineRule="auto"/>
        <w:ind w:left="1067" w:hanging="6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投标人的投标文件只填写和提供了本招标文件要求的部分内容和附件，或没有提供招标文件中所要求的全部资料及数据，由此造成的后果和责任由投标人承担。</w:t>
      </w:r>
    </w:p>
    <w:p>
      <w:pPr>
        <w:pStyle w:val="5"/>
        <w:numPr>
          <w:ilvl w:val="0"/>
          <w:numId w:val="11"/>
        </w:numPr>
        <w:ind w:hanging="5"/>
        <w:rPr>
          <w:color w:val="auto"/>
          <w:sz w:val="28"/>
          <w:szCs w:val="28"/>
          <w:highlight w:val="none"/>
          <w:lang w:val="zh-CN"/>
        </w:rPr>
      </w:pPr>
      <w:bookmarkStart w:id="109" w:name="_Toc17622"/>
      <w:bookmarkStart w:id="110" w:name="_Toc32437"/>
      <w:bookmarkStart w:id="111" w:name="_Toc31650"/>
      <w:bookmarkStart w:id="112" w:name="_Toc24069"/>
      <w:bookmarkStart w:id="113" w:name="_Toc26873"/>
      <w:r>
        <w:rPr>
          <w:rFonts w:hint="eastAsia"/>
          <w:color w:val="auto"/>
          <w:sz w:val="28"/>
          <w:szCs w:val="28"/>
          <w:highlight w:val="none"/>
          <w:lang w:val="zh-CN"/>
        </w:rPr>
        <w:t>投标文件的式样和签署</w:t>
      </w:r>
      <w:bookmarkEnd w:id="109"/>
      <w:bookmarkEnd w:id="110"/>
      <w:bookmarkEnd w:id="111"/>
      <w:bookmarkEnd w:id="112"/>
      <w:bookmarkEnd w:id="113"/>
    </w:p>
    <w:p>
      <w:pPr>
        <w:numPr>
          <w:ilvl w:val="1"/>
          <w:numId w:val="21"/>
        </w:numPr>
        <w:tabs>
          <w:tab w:val="left" w:pos="1080"/>
          <w:tab w:val="left" w:pos="1220"/>
          <w:tab w:val="clear" w:pos="907"/>
        </w:tabs>
        <w:spacing w:line="360" w:lineRule="auto"/>
        <w:ind w:left="1107" w:hanging="68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投标人应制作投标文件正本一本、电子文件（电子文件为U盘介质，采用</w:t>
      </w:r>
      <w:r>
        <w:rPr>
          <w:rFonts w:hint="eastAsia" w:ascii="宋体" w:hAnsi="宋体" w:cs="宋体"/>
          <w:color w:val="auto"/>
          <w:sz w:val="24"/>
          <w:highlight w:val="none"/>
          <w:lang w:val="zh-CN"/>
        </w:rPr>
        <w:t>Word格式及PDF格式（PDF格式应为投标文件正式盖章及签字扫描件）</w:t>
      </w:r>
      <w:r>
        <w:rPr>
          <w:rFonts w:hint="eastAsia" w:ascii="宋体" w:hAnsi="宋体" w:eastAsia="宋体" w:cs="宋体"/>
          <w:color w:val="auto"/>
          <w:sz w:val="24"/>
          <w:highlight w:val="none"/>
          <w:lang w:val="zh-CN"/>
        </w:rPr>
        <w:t>，不留密码，无病毒，不压缩。）和</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中规定数目的副本，投标文件副本可采用正本的复印件。每套投标文件须清楚地标明“正本”或“副本”，若副本与正本不符，以正本为准。纸质招标文件与电子介质招标文件具有同等法律效力，除另有约定外，两者出现不一致时，以纸质招标文件为准。</w:t>
      </w:r>
    </w:p>
    <w:p>
      <w:pPr>
        <w:numPr>
          <w:ilvl w:val="1"/>
          <w:numId w:val="21"/>
        </w:numPr>
        <w:tabs>
          <w:tab w:val="left" w:pos="1080"/>
          <w:tab w:val="left" w:pos="1220"/>
          <w:tab w:val="clear" w:pos="907"/>
        </w:tabs>
        <w:spacing w:line="360" w:lineRule="auto"/>
        <w:ind w:left="1107" w:hanging="68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的正本须用A4纸打印或用不褪色墨水书写，招标文件要求签名的由法定代表人或经其正式授权的代表签字，投标文件封面及要求盖章处须加盖投标人公章；投标文件的副本可采用正本的复印件，并与正本具有同等法律效力。</w:t>
      </w:r>
    </w:p>
    <w:p>
      <w:pPr>
        <w:numPr>
          <w:ilvl w:val="1"/>
          <w:numId w:val="21"/>
        </w:numPr>
        <w:tabs>
          <w:tab w:val="left" w:pos="1080"/>
          <w:tab w:val="left" w:pos="1220"/>
          <w:tab w:val="clear" w:pos="907"/>
        </w:tabs>
        <w:spacing w:line="360" w:lineRule="auto"/>
        <w:ind w:left="1107" w:hanging="68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除对差错处做必要修改外，投标文件一般不得行间插字、涂改或增删，如有上述改动，必须由法定代表人或经其授权的代表在修改处旁边签字或加盖投标人公章。</w:t>
      </w:r>
    </w:p>
    <w:p>
      <w:pPr>
        <w:pStyle w:val="5"/>
        <w:numPr>
          <w:ilvl w:val="0"/>
          <w:numId w:val="11"/>
        </w:numPr>
        <w:ind w:hanging="5"/>
        <w:rPr>
          <w:color w:val="auto"/>
          <w:sz w:val="28"/>
          <w:szCs w:val="28"/>
          <w:highlight w:val="none"/>
          <w:lang w:val="zh-CN"/>
        </w:rPr>
      </w:pPr>
      <w:bookmarkStart w:id="114" w:name="_Toc14361"/>
      <w:bookmarkStart w:id="115" w:name="_Toc9295"/>
      <w:bookmarkStart w:id="116" w:name="_Toc28557"/>
      <w:bookmarkStart w:id="117" w:name="_Toc28823"/>
      <w:bookmarkStart w:id="118" w:name="_Toc13486"/>
      <w:r>
        <w:rPr>
          <w:rFonts w:hint="eastAsia"/>
          <w:color w:val="auto"/>
          <w:sz w:val="28"/>
          <w:szCs w:val="28"/>
          <w:highlight w:val="none"/>
          <w:lang w:val="zh-CN"/>
        </w:rPr>
        <w:t>投标有效期</w:t>
      </w:r>
      <w:bookmarkEnd w:id="114"/>
      <w:bookmarkEnd w:id="115"/>
      <w:bookmarkEnd w:id="116"/>
      <w:bookmarkEnd w:id="117"/>
      <w:bookmarkEnd w:id="118"/>
    </w:p>
    <w:p>
      <w:pPr>
        <w:numPr>
          <w:ilvl w:val="1"/>
          <w:numId w:val="22"/>
        </w:numPr>
        <w:tabs>
          <w:tab w:val="left" w:pos="1080"/>
          <w:tab w:val="left" w:pos="1220"/>
          <w:tab w:val="clear" w:pos="907"/>
        </w:tabs>
        <w:spacing w:line="360" w:lineRule="auto"/>
        <w:ind w:left="1047" w:hanging="62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TW"/>
        </w:rPr>
        <w:t>投标有效期自招标文件规定的投标文件递交截止时间起算，并按投标人须知前附表中所述期限内有效。投标有效期比规定时间短的投标将被认定为非实质性响应，视为无效投标。</w:t>
      </w:r>
    </w:p>
    <w:p>
      <w:pPr>
        <w:numPr>
          <w:ilvl w:val="1"/>
          <w:numId w:val="22"/>
        </w:numPr>
        <w:tabs>
          <w:tab w:val="left" w:pos="1080"/>
          <w:tab w:val="left" w:pos="1220"/>
          <w:tab w:val="clear" w:pos="907"/>
        </w:tabs>
        <w:spacing w:line="360" w:lineRule="auto"/>
        <w:ind w:left="1047" w:hanging="62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TW"/>
        </w:rPr>
        <w:t>特殊情况下</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TW"/>
        </w:rPr>
        <w:t>在原投标有效期期满之前</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TW"/>
        </w:rPr>
        <w:t>招标代理机构可要求投标人延长投标有效期。这种要求与答复均应以书面形式提交。投标人可拒绝招标代理机构的这种要求</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TW"/>
        </w:rPr>
        <w:t>其投标保证金将</w:t>
      </w:r>
      <w:r>
        <w:rPr>
          <w:rFonts w:hint="eastAsia" w:ascii="宋体" w:hAnsi="宋体" w:eastAsia="宋体" w:cs="宋体"/>
          <w:color w:val="auto"/>
          <w:sz w:val="24"/>
          <w:highlight w:val="none"/>
          <w:lang w:val="zh-CN"/>
        </w:rPr>
        <w:t>予以退还，</w:t>
      </w:r>
      <w:r>
        <w:rPr>
          <w:rFonts w:hint="eastAsia" w:ascii="宋体" w:hAnsi="宋体" w:eastAsia="宋体" w:cs="宋体"/>
          <w:color w:val="auto"/>
          <w:sz w:val="24"/>
          <w:highlight w:val="none"/>
          <w:lang w:val="zh-CN" w:eastAsia="zh-TW"/>
        </w:rPr>
        <w:t>但其投标在原投标有效期期满后将不再有效。同意延长投标有效期的投标人将不会被要求和允许修正其投标</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TW"/>
        </w:rPr>
        <w:t>而只会被要求相应地延长其投标保证金的有效期。在这种情况下</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zh-CN" w:eastAsia="zh-TW"/>
        </w:rPr>
        <w:t>本须知有关投标保证金的退还和</w:t>
      </w:r>
      <w:r>
        <w:rPr>
          <w:rFonts w:hint="eastAsia" w:ascii="宋体" w:hAnsi="宋体" w:eastAsia="宋体" w:cs="宋体"/>
          <w:color w:val="auto"/>
          <w:sz w:val="24"/>
          <w:highlight w:val="none"/>
          <w:lang w:val="zh-CN"/>
        </w:rPr>
        <w:t>不予退还</w:t>
      </w:r>
      <w:r>
        <w:rPr>
          <w:rFonts w:hint="eastAsia" w:ascii="宋体" w:hAnsi="宋体" w:eastAsia="宋体" w:cs="宋体"/>
          <w:color w:val="auto"/>
          <w:sz w:val="24"/>
          <w:highlight w:val="none"/>
          <w:lang w:val="zh-CN" w:eastAsia="zh-TW"/>
        </w:rPr>
        <w:t>的规定将在延长了的有效期内继续有效。</w:t>
      </w:r>
    </w:p>
    <w:p>
      <w:pPr>
        <w:pStyle w:val="5"/>
        <w:numPr>
          <w:ilvl w:val="0"/>
          <w:numId w:val="11"/>
        </w:numPr>
        <w:ind w:hanging="5"/>
        <w:rPr>
          <w:color w:val="auto"/>
          <w:sz w:val="28"/>
          <w:szCs w:val="28"/>
          <w:highlight w:val="none"/>
          <w:lang w:val="zh-CN"/>
        </w:rPr>
      </w:pPr>
      <w:bookmarkStart w:id="119" w:name="_Toc751"/>
      <w:bookmarkStart w:id="120" w:name="_Toc24642"/>
      <w:bookmarkStart w:id="121" w:name="_Toc22643"/>
      <w:bookmarkStart w:id="122" w:name="_Toc483642668"/>
      <w:bookmarkStart w:id="123" w:name="_Toc2284"/>
      <w:r>
        <w:rPr>
          <w:rFonts w:hint="eastAsia"/>
          <w:color w:val="auto"/>
          <w:sz w:val="28"/>
          <w:szCs w:val="28"/>
          <w:highlight w:val="none"/>
          <w:lang w:val="zh-CN"/>
        </w:rPr>
        <w:t>投标报价</w:t>
      </w:r>
      <w:bookmarkEnd w:id="119"/>
      <w:bookmarkEnd w:id="120"/>
      <w:bookmarkEnd w:id="121"/>
      <w:bookmarkEnd w:id="122"/>
      <w:bookmarkEnd w:id="123"/>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投标人应按照“第四章　用户需求书”中规定的内容、责任范围进行报价。并按《开标一览表》及《投标明细报价表》的要求报出总价和分项价格。投标总价中不得包含招标文件要求以外的内容，否则，在评标时不予核减。投标总价中也不得缺漏招标文件所要求的内容，否则，将被视为包含在投标报价中。</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总价是在投标人可以独立完成本项目，并满足预期实施效果和符合自身合法利益的前提下，通过准确核算后所报出的全部服务所需的包干费用，包括履行合同所有相关服务所需的费用、保险费、各种税费、其他一切隐含及不可预见的费用等。</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投标明细报价表内容应包含：</w:t>
      </w:r>
    </w:p>
    <w:p>
      <w:pPr>
        <w:numPr>
          <w:ilvl w:val="2"/>
          <w:numId w:val="24"/>
        </w:numPr>
        <w:tabs>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招标文件要求的全部服务所需的费用；</w:t>
      </w:r>
    </w:p>
    <w:p>
      <w:pPr>
        <w:numPr>
          <w:ilvl w:val="2"/>
          <w:numId w:val="24"/>
        </w:numPr>
        <w:tabs>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投标报价均应包含所有的税费；</w:t>
      </w:r>
    </w:p>
    <w:p>
      <w:pPr>
        <w:numPr>
          <w:ilvl w:val="2"/>
          <w:numId w:val="24"/>
        </w:numPr>
        <w:tabs>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其他一切隐含及不可预见的费用。</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本项目采用总价包干，投标报价即为合同价，中标人不得在中标后提出任何增加费用要求，投标人在投标时应充分考虑相关风险性因素。</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对于报价免费的内容须标明“免费”。</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投标人根据本须知第1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.2条的规定将投标报价分成几部分，只是为了方便对投标文件进行比较，并不限制招标人以上述任何条件订立合同的权力。</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投标人所报的投标价在合同执行过程中是固定不变的，不得以任何理由予以变更。任何包含价格调整要求的投标将被认为是非实质性响应投标而被拒绝。</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除</w:t>
      </w:r>
      <w:r>
        <w:rPr>
          <w:rFonts w:hint="eastAsia" w:ascii="黑体" w:hAnsi="黑体" w:eastAsia="黑体" w:cs="黑体"/>
          <w:b/>
          <w:bCs/>
          <w:color w:val="auto"/>
          <w:sz w:val="24"/>
          <w:highlight w:val="none"/>
          <w:lang w:val="zh-CN"/>
        </w:rPr>
        <w:t>投标人须知前附表</w:t>
      </w:r>
      <w:r>
        <w:rPr>
          <w:rFonts w:hint="eastAsia" w:ascii="宋体" w:hAnsi="宋体" w:eastAsia="宋体" w:cs="宋体"/>
          <w:color w:val="auto"/>
          <w:sz w:val="24"/>
          <w:highlight w:val="none"/>
          <w:lang w:val="zh-CN"/>
        </w:rPr>
        <w:t>中另有规定外，本次招标不接受选择性报价，否则将被视为无效投标。</w:t>
      </w:r>
    </w:p>
    <w:p>
      <w:pPr>
        <w:numPr>
          <w:ilvl w:val="1"/>
          <w:numId w:val="23"/>
        </w:numPr>
        <w:tabs>
          <w:tab w:val="left" w:pos="1100"/>
          <w:tab w:val="left" w:pos="1220"/>
          <w:tab w:val="clear" w:pos="907"/>
        </w:tabs>
        <w:spacing w:line="360" w:lineRule="auto"/>
        <w:ind w:left="1087" w:hanging="6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除</w:t>
      </w:r>
      <w:r>
        <w:rPr>
          <w:rFonts w:hint="eastAsia" w:ascii="黑体" w:hAnsi="黑体" w:eastAsia="黑体" w:cs="黑体"/>
          <w:b/>
          <w:bCs/>
          <w:color w:val="auto"/>
          <w:sz w:val="24"/>
          <w:highlight w:val="none"/>
          <w:lang w:val="zh-CN"/>
        </w:rPr>
        <w:t>投标人须知前附表</w:t>
      </w:r>
      <w:r>
        <w:rPr>
          <w:rFonts w:hint="eastAsia" w:ascii="宋体" w:hAnsi="宋体" w:eastAsia="宋体" w:cs="宋体"/>
          <w:color w:val="auto"/>
          <w:sz w:val="24"/>
          <w:highlight w:val="none"/>
          <w:lang w:val="zh-CN"/>
        </w:rPr>
        <w:t>中另有规定外，本次招标不接受具有附加条件的报价，否则将被视为无效投标。</w:t>
      </w:r>
    </w:p>
    <w:p>
      <w:pPr>
        <w:pStyle w:val="5"/>
        <w:numPr>
          <w:ilvl w:val="0"/>
          <w:numId w:val="11"/>
        </w:numPr>
        <w:ind w:hanging="5"/>
        <w:rPr>
          <w:color w:val="auto"/>
          <w:sz w:val="28"/>
          <w:szCs w:val="28"/>
          <w:highlight w:val="none"/>
          <w:lang w:val="zh-CN"/>
        </w:rPr>
      </w:pPr>
      <w:bookmarkStart w:id="124" w:name="_Toc23285"/>
      <w:bookmarkStart w:id="125" w:name="_Toc10667"/>
      <w:bookmarkStart w:id="126" w:name="_Toc19326"/>
      <w:bookmarkStart w:id="127" w:name="_Toc28304"/>
      <w:bookmarkStart w:id="128" w:name="_Toc1049"/>
      <w:r>
        <w:rPr>
          <w:rFonts w:hint="eastAsia"/>
          <w:color w:val="auto"/>
          <w:sz w:val="28"/>
          <w:szCs w:val="28"/>
          <w:highlight w:val="none"/>
          <w:lang w:val="zh-CN"/>
        </w:rPr>
        <w:t>联合体投标</w:t>
      </w:r>
      <w:bookmarkEnd w:id="124"/>
      <w:bookmarkEnd w:id="125"/>
      <w:bookmarkEnd w:id="126"/>
      <w:bookmarkEnd w:id="127"/>
      <w:bookmarkEnd w:id="128"/>
    </w:p>
    <w:p>
      <w:pPr>
        <w:numPr>
          <w:ilvl w:val="1"/>
          <w:numId w:val="25"/>
        </w:numPr>
        <w:tabs>
          <w:tab w:val="left" w:pos="1060"/>
        </w:tabs>
        <w:spacing w:line="360" w:lineRule="auto"/>
        <w:ind w:hanging="48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除非</w:t>
      </w:r>
      <w:r>
        <w:rPr>
          <w:rFonts w:hint="eastAsia" w:ascii="宋体" w:hAnsi="宋体" w:eastAsia="宋体" w:cs="宋体"/>
          <w:b/>
          <w:bCs/>
          <w:color w:val="auto"/>
          <w:sz w:val="26"/>
          <w:szCs w:val="26"/>
          <w:highlight w:val="none"/>
          <w:lang w:val="zh-CN" w:eastAsia="zh-TW"/>
        </w:rPr>
        <w:t>投标邀请函</w:t>
      </w:r>
      <w:r>
        <w:rPr>
          <w:rFonts w:hint="eastAsia" w:ascii="宋体" w:hAnsi="宋体" w:eastAsia="宋体" w:cs="宋体"/>
          <w:color w:val="auto"/>
          <w:sz w:val="24"/>
          <w:highlight w:val="none"/>
          <w:lang w:val="zh-CN" w:eastAsia="zh-TW"/>
        </w:rPr>
        <w:t>中另有规定，本项目不接受联合体投标。</w:t>
      </w:r>
    </w:p>
    <w:p>
      <w:pPr>
        <w:numPr>
          <w:ilvl w:val="1"/>
          <w:numId w:val="25"/>
        </w:numPr>
        <w:tabs>
          <w:tab w:val="left" w:pos="1060"/>
        </w:tabs>
        <w:spacing w:line="360" w:lineRule="auto"/>
        <w:ind w:hanging="48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若投标邀请函中允许联合体投标的，则必须满足：</w:t>
      </w:r>
    </w:p>
    <w:p>
      <w:pPr>
        <w:numPr>
          <w:ilvl w:val="2"/>
          <w:numId w:val="26"/>
        </w:numPr>
        <w:tabs>
          <w:tab w:val="left" w:pos="1260"/>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以联合体形式参加投标的，联合体各方均须符合投标邀请函“投标人资格要求”的一般规定，并至少有一方符合“投标人资格要求”的特殊条款要求。</w:t>
      </w:r>
    </w:p>
    <w:p>
      <w:pPr>
        <w:numPr>
          <w:ilvl w:val="2"/>
          <w:numId w:val="26"/>
        </w:numPr>
        <w:tabs>
          <w:tab w:val="left" w:pos="1260"/>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pPr>
        <w:numPr>
          <w:ilvl w:val="2"/>
          <w:numId w:val="26"/>
        </w:numPr>
        <w:tabs>
          <w:tab w:val="left" w:pos="1260"/>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联合体投标的，可以由联合体的一方或者各方共同提交投标保证金，以一方名义提交投标保证金的，对联合体各方均具有约束力。</w:t>
      </w:r>
    </w:p>
    <w:p>
      <w:pPr>
        <w:numPr>
          <w:ilvl w:val="2"/>
          <w:numId w:val="26"/>
        </w:numPr>
        <w:tabs>
          <w:tab w:val="left" w:pos="1260"/>
        </w:tabs>
        <w:spacing w:line="360" w:lineRule="auto"/>
        <w:ind w:hanging="487"/>
        <w:rPr>
          <w:rFonts w:ascii="宋体" w:hAnsi="宋体" w:cs="宋体"/>
          <w:color w:val="auto"/>
          <w:sz w:val="24"/>
          <w:highlight w:val="none"/>
          <w:lang w:val="zh-CN"/>
        </w:rPr>
      </w:pPr>
      <w:r>
        <w:rPr>
          <w:rFonts w:hint="eastAsia" w:ascii="宋体" w:hAnsi="宋体" w:cs="宋体"/>
          <w:color w:val="auto"/>
          <w:sz w:val="24"/>
          <w:highlight w:val="none"/>
          <w:lang w:val="zh-CN"/>
        </w:rPr>
        <w:t>联合体中标的，联合体各方应当共同与招标人签订合同。</w:t>
      </w:r>
    </w:p>
    <w:p>
      <w:pPr>
        <w:pStyle w:val="5"/>
        <w:numPr>
          <w:ilvl w:val="0"/>
          <w:numId w:val="11"/>
        </w:numPr>
        <w:ind w:hanging="5"/>
        <w:rPr>
          <w:color w:val="auto"/>
          <w:sz w:val="28"/>
          <w:szCs w:val="28"/>
          <w:highlight w:val="none"/>
          <w:lang w:val="zh-CN"/>
        </w:rPr>
      </w:pPr>
      <w:bookmarkStart w:id="129" w:name="_Toc18317"/>
      <w:bookmarkStart w:id="130" w:name="_Toc11789"/>
      <w:bookmarkStart w:id="131" w:name="_Toc19674"/>
      <w:bookmarkStart w:id="132" w:name="_Toc11591"/>
      <w:bookmarkStart w:id="133" w:name="_Toc18435"/>
      <w:r>
        <w:rPr>
          <w:rFonts w:hint="eastAsia"/>
          <w:color w:val="auto"/>
          <w:sz w:val="28"/>
          <w:szCs w:val="28"/>
          <w:highlight w:val="none"/>
          <w:lang w:val="zh-CN"/>
        </w:rPr>
        <w:t>证明投标人合格和资格的文件</w:t>
      </w:r>
      <w:bookmarkEnd w:id="129"/>
      <w:bookmarkEnd w:id="130"/>
      <w:bookmarkEnd w:id="131"/>
      <w:bookmarkEnd w:id="132"/>
      <w:bookmarkEnd w:id="133"/>
    </w:p>
    <w:p>
      <w:pPr>
        <w:numPr>
          <w:ilvl w:val="1"/>
          <w:numId w:val="27"/>
        </w:numPr>
        <w:tabs>
          <w:tab w:val="left" w:pos="120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投标人应提交证明其有资格参加投标和中标后有能力履行合同的文件，并作为其投标文件的一部分。</w:t>
      </w:r>
    </w:p>
    <w:p>
      <w:pPr>
        <w:numPr>
          <w:ilvl w:val="1"/>
          <w:numId w:val="27"/>
        </w:numPr>
        <w:tabs>
          <w:tab w:val="left" w:pos="120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投标人提交的证明其中标后能履行合同的资格证明文件应包括下列文件：</w:t>
      </w:r>
    </w:p>
    <w:p>
      <w:pPr>
        <w:numPr>
          <w:ilvl w:val="2"/>
          <w:numId w:val="28"/>
        </w:numPr>
        <w:spacing w:line="360" w:lineRule="auto"/>
        <w:ind w:hanging="487"/>
        <w:rPr>
          <w:rFonts w:ascii="宋体" w:hAnsi="宋体" w:cs="宋体"/>
          <w:color w:val="auto"/>
          <w:sz w:val="24"/>
          <w:highlight w:val="none"/>
          <w:lang w:val="zh-CN"/>
        </w:rPr>
      </w:pPr>
      <w:r>
        <w:rPr>
          <w:rFonts w:hint="eastAsia" w:ascii="宋体" w:hAnsi="宋体" w:cs="宋体"/>
          <w:color w:val="auto"/>
          <w:sz w:val="24"/>
          <w:highlight w:val="none"/>
          <w:lang w:val="zh-CN"/>
        </w:rPr>
        <w:t>证明投标人已具备履行合同所需的财务、技术和生产能力的文件。</w:t>
      </w:r>
    </w:p>
    <w:p>
      <w:pPr>
        <w:numPr>
          <w:ilvl w:val="2"/>
          <w:numId w:val="28"/>
        </w:numPr>
        <w:spacing w:line="360" w:lineRule="auto"/>
        <w:ind w:hanging="487"/>
        <w:rPr>
          <w:rFonts w:ascii="宋体" w:hAnsi="宋体" w:cs="宋体"/>
          <w:color w:val="auto"/>
          <w:sz w:val="24"/>
          <w:highlight w:val="none"/>
          <w:lang w:val="zh-CN"/>
        </w:rPr>
      </w:pPr>
      <w:r>
        <w:rPr>
          <w:rFonts w:hint="eastAsia" w:ascii="宋体" w:hAnsi="宋体" w:cs="宋体"/>
          <w:color w:val="auto"/>
          <w:sz w:val="24"/>
          <w:highlight w:val="none"/>
          <w:lang w:val="zh-CN"/>
        </w:rPr>
        <w:t>证明投标人满足招标文件业绩要求的文件。</w:t>
      </w:r>
    </w:p>
    <w:p>
      <w:pPr>
        <w:pStyle w:val="5"/>
        <w:numPr>
          <w:ilvl w:val="0"/>
          <w:numId w:val="11"/>
        </w:numPr>
        <w:ind w:hanging="5"/>
        <w:rPr>
          <w:color w:val="auto"/>
          <w:sz w:val="28"/>
          <w:szCs w:val="28"/>
          <w:highlight w:val="none"/>
          <w:lang w:val="zh-CN"/>
        </w:rPr>
      </w:pPr>
      <w:bookmarkStart w:id="134" w:name="_Toc13085"/>
      <w:bookmarkStart w:id="135" w:name="_Toc9356"/>
      <w:bookmarkStart w:id="136" w:name="_Toc31097"/>
      <w:bookmarkStart w:id="137" w:name="_Toc24754"/>
      <w:bookmarkStart w:id="138" w:name="_Toc24770"/>
      <w:r>
        <w:rPr>
          <w:rFonts w:hint="eastAsia"/>
          <w:color w:val="auto"/>
          <w:sz w:val="28"/>
          <w:szCs w:val="28"/>
          <w:highlight w:val="none"/>
          <w:lang w:val="zh-CN"/>
        </w:rPr>
        <w:t>证明服务的合格性和符合招标文件规定的文件</w:t>
      </w:r>
      <w:bookmarkEnd w:id="134"/>
      <w:bookmarkEnd w:id="135"/>
      <w:bookmarkEnd w:id="136"/>
      <w:bookmarkEnd w:id="137"/>
      <w:bookmarkEnd w:id="138"/>
    </w:p>
    <w:p>
      <w:pPr>
        <w:numPr>
          <w:ilvl w:val="1"/>
          <w:numId w:val="29"/>
        </w:numPr>
        <w:tabs>
          <w:tab w:val="left" w:pos="1180"/>
          <w:tab w:val="clear" w:pos="907"/>
        </w:tabs>
        <w:spacing w:line="360" w:lineRule="auto"/>
        <w:ind w:left="1173" w:leftChars="227" w:hanging="696" w:hangingChars="290"/>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投标人应提交证明文件，证明其拟投标的服务的合格性符合招标文件规定。该证明文件作为投标文件的一部分。</w:t>
      </w:r>
    </w:p>
    <w:p>
      <w:pPr>
        <w:numPr>
          <w:ilvl w:val="1"/>
          <w:numId w:val="29"/>
        </w:numPr>
        <w:tabs>
          <w:tab w:val="left" w:pos="1180"/>
          <w:tab w:val="clear" w:pos="907"/>
        </w:tabs>
        <w:spacing w:line="360" w:lineRule="auto"/>
        <w:ind w:left="1173" w:leftChars="227" w:hanging="696" w:hangingChars="290"/>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证明服务与招标文件的要求相一致的文件，可以是文字资料、图纸和数据，它包括：</w:t>
      </w:r>
    </w:p>
    <w:p>
      <w:pPr>
        <w:numPr>
          <w:ilvl w:val="2"/>
          <w:numId w:val="30"/>
        </w:numPr>
        <w:spacing w:line="360" w:lineRule="auto"/>
        <w:ind w:hanging="487"/>
        <w:rPr>
          <w:rFonts w:ascii="宋体" w:hAnsi="宋体" w:cs="宋体"/>
          <w:color w:val="auto"/>
          <w:sz w:val="24"/>
          <w:highlight w:val="none"/>
          <w:lang w:val="zh-CN"/>
        </w:rPr>
      </w:pPr>
      <w:r>
        <w:rPr>
          <w:rFonts w:hint="eastAsia" w:ascii="宋体" w:hAnsi="宋体" w:cs="宋体"/>
          <w:color w:val="auto"/>
          <w:sz w:val="24"/>
          <w:highlight w:val="none"/>
          <w:lang w:val="zh-CN" w:eastAsia="zh-TW"/>
        </w:rPr>
        <w:t>服务的主要内容、方案、质量、标准等。</w:t>
      </w:r>
    </w:p>
    <w:p>
      <w:pPr>
        <w:numPr>
          <w:ilvl w:val="2"/>
          <w:numId w:val="30"/>
        </w:numPr>
        <w:tabs>
          <w:tab w:val="left" w:pos="1060"/>
          <w:tab w:val="clear" w:pos="907"/>
        </w:tabs>
        <w:spacing w:line="360" w:lineRule="auto"/>
        <w:ind w:left="1247" w:hanging="827"/>
        <w:rPr>
          <w:rFonts w:ascii="宋体" w:hAnsi="宋体" w:cs="宋体"/>
          <w:color w:val="auto"/>
          <w:sz w:val="24"/>
          <w:highlight w:val="none"/>
          <w:lang w:val="zh-CN"/>
        </w:rPr>
      </w:pPr>
      <w:r>
        <w:rPr>
          <w:rFonts w:hint="eastAsia" w:ascii="宋体" w:hAnsi="宋体" w:cs="宋体"/>
          <w:color w:val="auto"/>
          <w:sz w:val="24"/>
          <w:highlight w:val="none"/>
          <w:lang w:val="zh-CN"/>
        </w:rPr>
        <w:t>对照招标文件的服务内容与要求，逐条说明所提供服务已对招标文件的服务内容与要求作出了实质性响应，并申明与服务内容与要求的偏差和例外。特别是对有具体参数要求的指标，投标人须提供投标服务的具体参数值。</w:t>
      </w:r>
    </w:p>
    <w:p>
      <w:pPr>
        <w:pStyle w:val="5"/>
        <w:numPr>
          <w:ilvl w:val="0"/>
          <w:numId w:val="11"/>
        </w:numPr>
        <w:ind w:hanging="5"/>
        <w:rPr>
          <w:color w:val="auto"/>
          <w:sz w:val="28"/>
          <w:szCs w:val="28"/>
          <w:highlight w:val="none"/>
          <w:lang w:val="zh-CN"/>
        </w:rPr>
      </w:pPr>
      <w:bookmarkStart w:id="139" w:name="_Toc28140"/>
      <w:bookmarkStart w:id="140" w:name="_Toc32378"/>
      <w:bookmarkStart w:id="141" w:name="_Toc15333"/>
      <w:bookmarkStart w:id="142" w:name="_Toc25324"/>
      <w:bookmarkStart w:id="143" w:name="_Toc24842"/>
      <w:r>
        <w:rPr>
          <w:rFonts w:hint="eastAsia"/>
          <w:color w:val="auto"/>
          <w:sz w:val="28"/>
          <w:szCs w:val="28"/>
          <w:highlight w:val="none"/>
          <w:lang w:val="zh-CN"/>
        </w:rPr>
        <w:t>投标保证金</w:t>
      </w:r>
      <w:bookmarkEnd w:id="139"/>
      <w:bookmarkEnd w:id="140"/>
      <w:bookmarkEnd w:id="141"/>
      <w:bookmarkEnd w:id="142"/>
      <w:bookmarkEnd w:id="143"/>
    </w:p>
    <w:p>
      <w:pPr>
        <w:numPr>
          <w:ilvl w:val="1"/>
          <w:numId w:val="31"/>
        </w:numPr>
        <w:tabs>
          <w:tab w:val="left" w:pos="1100"/>
        </w:tabs>
        <w:spacing w:line="360" w:lineRule="auto"/>
        <w:ind w:left="1137" w:leftChars="227" w:hanging="660" w:hangingChars="275"/>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投标人须按</w:t>
      </w:r>
      <w:r>
        <w:rPr>
          <w:rFonts w:hint="eastAsia" w:ascii="黑体" w:hAnsi="黑体" w:eastAsia="黑体" w:cs="黑体"/>
          <w:b/>
          <w:bCs/>
          <w:color w:val="auto"/>
          <w:sz w:val="24"/>
          <w:highlight w:val="none"/>
          <w:lang w:val="zh-CN"/>
        </w:rPr>
        <w:t>投标人须知前附表</w:t>
      </w:r>
      <w:r>
        <w:rPr>
          <w:rFonts w:hint="eastAsia" w:ascii="宋体" w:hAnsi="宋体" w:eastAsia="宋体" w:cs="宋体"/>
          <w:color w:val="auto"/>
          <w:sz w:val="24"/>
          <w:highlight w:val="none"/>
          <w:lang w:val="zh-CN" w:eastAsia="zh-TW"/>
        </w:rPr>
        <w:t>中规定的金额和交纳期限向招标代理机构交纳投标保证金，并作为其投标文件的组成部分。</w:t>
      </w:r>
    </w:p>
    <w:p>
      <w:pPr>
        <w:pStyle w:val="5"/>
        <w:numPr>
          <w:ilvl w:val="0"/>
          <w:numId w:val="11"/>
        </w:numPr>
        <w:ind w:hanging="5"/>
        <w:rPr>
          <w:color w:val="auto"/>
          <w:sz w:val="28"/>
          <w:szCs w:val="28"/>
          <w:highlight w:val="none"/>
          <w:lang w:val="zh-CN"/>
        </w:rPr>
      </w:pPr>
      <w:bookmarkStart w:id="144" w:name="_Toc4668"/>
      <w:bookmarkStart w:id="145" w:name="_Toc10451"/>
      <w:bookmarkStart w:id="146" w:name="_Toc24733"/>
      <w:bookmarkStart w:id="147" w:name="_Toc1384"/>
      <w:bookmarkStart w:id="148" w:name="_Toc31043"/>
      <w:r>
        <w:rPr>
          <w:rFonts w:hint="eastAsia"/>
          <w:color w:val="auto"/>
          <w:sz w:val="28"/>
          <w:szCs w:val="28"/>
          <w:highlight w:val="none"/>
          <w:lang w:val="zh-CN"/>
        </w:rPr>
        <w:t>投标保证金的退还条件</w:t>
      </w:r>
      <w:bookmarkEnd w:id="144"/>
      <w:bookmarkEnd w:id="145"/>
      <w:bookmarkEnd w:id="146"/>
      <w:bookmarkEnd w:id="147"/>
      <w:bookmarkEnd w:id="148"/>
    </w:p>
    <w:p>
      <w:pPr>
        <w:numPr>
          <w:ilvl w:val="1"/>
          <w:numId w:val="32"/>
        </w:numPr>
        <w:tabs>
          <w:tab w:val="left" w:pos="1180"/>
          <w:tab w:val="clear" w:pos="907"/>
        </w:tabs>
        <w:spacing w:line="360" w:lineRule="auto"/>
        <w:ind w:left="1133" w:leftChars="229" w:hanging="652" w:hangingChars="272"/>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如无质疑或投诉，未中标的投标人保证金，在中标通知书发出后五个工作日内退还；如有质疑或投诉，招标人或采购代理机构将在质疑或投诉处理完毕后退还。</w:t>
      </w:r>
    </w:p>
    <w:p>
      <w:pPr>
        <w:numPr>
          <w:ilvl w:val="1"/>
          <w:numId w:val="32"/>
        </w:numPr>
        <w:tabs>
          <w:tab w:val="left" w:pos="1180"/>
        </w:tabs>
        <w:spacing w:line="360" w:lineRule="auto"/>
        <w:ind w:left="1133" w:leftChars="229" w:hanging="652" w:hangingChars="272"/>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中标人的投标保证金，在中标人与招标人签订采购合同，并将合同原件送采购代理机构备案后五个工作日内退还。</w:t>
      </w:r>
    </w:p>
    <w:p>
      <w:pPr>
        <w:numPr>
          <w:ilvl w:val="1"/>
          <w:numId w:val="32"/>
        </w:numPr>
        <w:tabs>
          <w:tab w:val="left" w:pos="1180"/>
        </w:tabs>
        <w:spacing w:line="360" w:lineRule="auto"/>
        <w:ind w:left="0" w:firstLine="480" w:firstLineChars="200"/>
        <w:rPr>
          <w:rFonts w:ascii="宋体" w:hAnsi="宋体" w:eastAsia="宋体" w:cs="宋体"/>
          <w:color w:val="auto"/>
          <w:sz w:val="24"/>
          <w:highlight w:val="none"/>
          <w:lang w:val="zh-CN" w:eastAsia="zh-TW"/>
        </w:rPr>
      </w:pPr>
      <w:bookmarkStart w:id="149" w:name="_Toc11559"/>
      <w:r>
        <w:rPr>
          <w:rFonts w:hint="eastAsia" w:ascii="宋体" w:hAnsi="宋体" w:eastAsia="宋体" w:cs="宋体"/>
          <w:color w:val="auto"/>
          <w:sz w:val="24"/>
          <w:highlight w:val="none"/>
          <w:lang w:val="zh-CN" w:eastAsia="zh-TW"/>
        </w:rPr>
        <w:t>下列任一情况发生时，投标保证金将不予退还</w:t>
      </w:r>
      <w:bookmarkEnd w:id="149"/>
      <w:r>
        <w:rPr>
          <w:rFonts w:hint="eastAsia" w:ascii="宋体" w:hAnsi="宋体" w:eastAsia="宋体" w:cs="宋体"/>
          <w:color w:val="auto"/>
          <w:sz w:val="24"/>
          <w:highlight w:val="none"/>
          <w:lang w:val="zh-CN" w:eastAsia="zh-TW"/>
        </w:rPr>
        <w:t>：</w:t>
      </w:r>
    </w:p>
    <w:p>
      <w:pPr>
        <w:numPr>
          <w:ilvl w:val="2"/>
          <w:numId w:val="33"/>
        </w:numPr>
        <w:spacing w:line="360" w:lineRule="auto"/>
        <w:ind w:left="0" w:firstLine="480" w:firstLineChars="200"/>
        <w:rPr>
          <w:rFonts w:ascii="宋体" w:hAnsi="宋体" w:cs="宋体"/>
          <w:color w:val="auto"/>
          <w:sz w:val="24"/>
          <w:highlight w:val="none"/>
          <w:lang w:val="zh-CN" w:eastAsia="zh-TW"/>
        </w:rPr>
      </w:pPr>
      <w:r>
        <w:rPr>
          <w:rFonts w:hint="eastAsia" w:ascii="宋体" w:hAnsi="宋体" w:cs="宋体"/>
          <w:color w:val="auto"/>
          <w:sz w:val="24"/>
          <w:highlight w:val="none"/>
          <w:lang w:val="zh-CN" w:eastAsia="zh-TW"/>
        </w:rPr>
        <w:t>投标人在招标文件规定的投标有效期内撤回其投标的；</w:t>
      </w:r>
    </w:p>
    <w:p>
      <w:pPr>
        <w:numPr>
          <w:ilvl w:val="2"/>
          <w:numId w:val="33"/>
        </w:numPr>
        <w:spacing w:line="360" w:lineRule="auto"/>
        <w:ind w:left="1293" w:leftChars="227" w:hanging="816" w:hangingChars="340"/>
        <w:rPr>
          <w:rFonts w:ascii="宋体" w:hAnsi="宋体" w:cs="宋体"/>
          <w:color w:val="auto"/>
          <w:sz w:val="24"/>
          <w:highlight w:val="none"/>
          <w:lang w:val="zh-CN" w:eastAsia="zh-TW"/>
        </w:rPr>
      </w:pPr>
      <w:r>
        <w:rPr>
          <w:rFonts w:hint="eastAsia" w:ascii="宋体" w:hAnsi="宋体" w:cs="宋体"/>
          <w:color w:val="auto"/>
          <w:sz w:val="24"/>
          <w:highlight w:val="none"/>
          <w:lang w:val="zh-CN" w:eastAsia="zh-TW"/>
        </w:rPr>
        <w:t>中标人中标后无正当理由放弃中标或在规定期限内未按本须知规定签订合同的；</w:t>
      </w:r>
    </w:p>
    <w:p>
      <w:pPr>
        <w:numPr>
          <w:ilvl w:val="2"/>
          <w:numId w:val="33"/>
        </w:numPr>
        <w:spacing w:line="360" w:lineRule="auto"/>
        <w:ind w:left="1293" w:leftChars="227" w:hanging="816" w:hangingChars="340"/>
        <w:rPr>
          <w:rFonts w:ascii="宋体" w:hAnsi="宋体" w:cs="宋体"/>
          <w:color w:val="auto"/>
          <w:sz w:val="24"/>
          <w:highlight w:val="none"/>
          <w:lang w:val="zh-CN" w:eastAsia="zh-TW"/>
        </w:rPr>
      </w:pPr>
      <w:r>
        <w:rPr>
          <w:rFonts w:hint="eastAsia" w:ascii="宋体" w:hAnsi="宋体" w:cs="宋体"/>
          <w:color w:val="auto"/>
          <w:sz w:val="24"/>
          <w:highlight w:val="none"/>
          <w:lang w:val="zh-CN" w:eastAsia="zh-TW"/>
        </w:rPr>
        <w:t>中标人在规定期限内未按本须知规定提供履约保证金的；</w:t>
      </w:r>
    </w:p>
    <w:p>
      <w:pPr>
        <w:numPr>
          <w:ilvl w:val="2"/>
          <w:numId w:val="33"/>
        </w:numPr>
        <w:spacing w:line="360" w:lineRule="auto"/>
        <w:ind w:left="1293" w:leftChars="227" w:hanging="816" w:hangingChars="340"/>
        <w:rPr>
          <w:rFonts w:ascii="宋体" w:hAnsi="宋体" w:cs="宋体"/>
          <w:color w:val="auto"/>
          <w:sz w:val="24"/>
          <w:highlight w:val="none"/>
          <w:lang w:val="zh-CN" w:eastAsia="zh-TW"/>
        </w:rPr>
      </w:pPr>
      <w:r>
        <w:rPr>
          <w:rFonts w:hint="eastAsia" w:ascii="宋体" w:hAnsi="宋体" w:cs="宋体"/>
          <w:color w:val="auto"/>
          <w:sz w:val="24"/>
          <w:highlight w:val="none"/>
          <w:lang w:val="zh-CN" w:eastAsia="zh-TW"/>
        </w:rPr>
        <w:t>中标人未按本须知规定缴交招标代理服务费的；</w:t>
      </w:r>
    </w:p>
    <w:p>
      <w:pPr>
        <w:numPr>
          <w:ilvl w:val="2"/>
          <w:numId w:val="33"/>
        </w:numPr>
        <w:spacing w:line="360" w:lineRule="auto"/>
        <w:ind w:left="1293" w:leftChars="227" w:hanging="816" w:hangingChars="340"/>
        <w:rPr>
          <w:rFonts w:ascii="宋体" w:hAnsi="宋体" w:cs="宋体"/>
          <w:color w:val="auto"/>
          <w:sz w:val="24"/>
          <w:highlight w:val="none"/>
          <w:lang w:val="zh-CN" w:eastAsia="zh-TW"/>
        </w:rPr>
      </w:pPr>
      <w:r>
        <w:rPr>
          <w:rFonts w:hint="eastAsia" w:ascii="宋体" w:hAnsi="宋体" w:cs="宋体"/>
          <w:color w:val="auto"/>
          <w:sz w:val="24"/>
          <w:highlight w:val="none"/>
          <w:lang w:val="zh-CN" w:eastAsia="zh-TW"/>
        </w:rPr>
        <w:t>投标人捏造事实、提供虚假材料或者以非法手段取得证明材料进行异议投诉的。</w:t>
      </w:r>
    </w:p>
    <w:p>
      <w:pPr>
        <w:pStyle w:val="4"/>
        <w:numPr>
          <w:ilvl w:val="0"/>
          <w:numId w:val="10"/>
        </w:numPr>
        <w:jc w:val="center"/>
        <w:rPr>
          <w:color w:val="auto"/>
          <w:highlight w:val="none"/>
        </w:rPr>
      </w:pPr>
      <w:bookmarkStart w:id="150" w:name="_Toc11278"/>
      <w:bookmarkStart w:id="151" w:name="_Toc5805"/>
      <w:bookmarkStart w:id="152" w:name="_Toc423021944"/>
      <w:bookmarkStart w:id="153" w:name="_Toc19319"/>
      <w:bookmarkStart w:id="154" w:name="_Toc30311"/>
      <w:bookmarkStart w:id="155" w:name="_Toc10947"/>
      <w:r>
        <w:rPr>
          <w:color w:val="auto"/>
          <w:highlight w:val="none"/>
        </w:rPr>
        <w:t>投标文件的递交</w:t>
      </w:r>
      <w:bookmarkEnd w:id="150"/>
      <w:bookmarkEnd w:id="151"/>
      <w:bookmarkEnd w:id="152"/>
      <w:bookmarkEnd w:id="153"/>
      <w:bookmarkEnd w:id="154"/>
      <w:bookmarkEnd w:id="155"/>
    </w:p>
    <w:p>
      <w:pPr>
        <w:pStyle w:val="5"/>
        <w:numPr>
          <w:ilvl w:val="0"/>
          <w:numId w:val="11"/>
        </w:numPr>
        <w:ind w:hanging="5"/>
        <w:rPr>
          <w:color w:val="auto"/>
          <w:sz w:val="28"/>
          <w:szCs w:val="28"/>
          <w:highlight w:val="none"/>
          <w:lang w:val="zh-CN"/>
        </w:rPr>
      </w:pPr>
      <w:bookmarkStart w:id="156" w:name="_Toc14416"/>
      <w:bookmarkStart w:id="157" w:name="_Toc22785"/>
      <w:bookmarkStart w:id="158" w:name="_Toc32088"/>
      <w:bookmarkStart w:id="159" w:name="_Toc5203"/>
      <w:bookmarkStart w:id="160" w:name="_Toc5144"/>
      <w:r>
        <w:rPr>
          <w:rFonts w:hint="eastAsia"/>
          <w:color w:val="auto"/>
          <w:sz w:val="28"/>
          <w:szCs w:val="28"/>
          <w:highlight w:val="none"/>
          <w:lang w:val="zh-CN"/>
        </w:rPr>
        <w:t>投标文件的密封和标记</w:t>
      </w:r>
      <w:bookmarkEnd w:id="156"/>
      <w:bookmarkEnd w:id="157"/>
      <w:bookmarkEnd w:id="158"/>
      <w:bookmarkEnd w:id="159"/>
      <w:bookmarkEnd w:id="160"/>
    </w:p>
    <w:p>
      <w:pPr>
        <w:numPr>
          <w:ilvl w:val="1"/>
          <w:numId w:val="34"/>
        </w:numPr>
        <w:tabs>
          <w:tab w:val="left" w:pos="1200"/>
          <w:tab w:val="clear" w:pos="907"/>
        </w:tabs>
        <w:spacing w:line="360" w:lineRule="auto"/>
        <w:ind w:left="1247" w:hanging="827"/>
        <w:rPr>
          <w:rFonts w:ascii="宋体" w:hAnsi="宋体" w:eastAsia="宋体" w:cs="宋体"/>
          <w:b/>
          <w:bCs/>
          <w:color w:val="auto"/>
          <w:sz w:val="24"/>
          <w:highlight w:val="none"/>
          <w:u w:val="single"/>
          <w:lang w:val="zh-CN" w:eastAsia="zh-TW"/>
        </w:rPr>
      </w:pPr>
      <w:r>
        <w:rPr>
          <w:rFonts w:hint="eastAsia" w:ascii="宋体" w:hAnsi="宋体" w:eastAsia="宋体" w:cs="宋体"/>
          <w:color w:val="auto"/>
          <w:sz w:val="24"/>
          <w:highlight w:val="none"/>
          <w:lang w:val="zh-CN" w:eastAsia="zh-TW"/>
        </w:rPr>
        <w:t>投标人应将投标文件正本和所有副本分开密封，且在封套上标明“正本”“副本”字样。</w:t>
      </w:r>
    </w:p>
    <w:p>
      <w:pPr>
        <w:numPr>
          <w:ilvl w:val="1"/>
          <w:numId w:val="34"/>
        </w:numPr>
        <w:tabs>
          <w:tab w:val="left" w:pos="1200"/>
          <w:tab w:val="clear" w:pos="907"/>
        </w:tabs>
        <w:spacing w:line="360" w:lineRule="auto"/>
        <w:ind w:left="1247" w:hanging="827"/>
        <w:rPr>
          <w:rFonts w:ascii="宋体" w:hAnsi="宋体" w:eastAsia="宋体" w:cs="宋体"/>
          <w:b/>
          <w:bCs/>
          <w:color w:val="auto"/>
          <w:sz w:val="24"/>
          <w:highlight w:val="none"/>
          <w:u w:val="single"/>
          <w:lang w:val="zh-CN" w:eastAsia="zh-TW"/>
        </w:rPr>
      </w:pPr>
      <w:r>
        <w:rPr>
          <w:rFonts w:hint="eastAsia" w:ascii="宋体" w:hAnsi="宋体" w:eastAsia="宋体" w:cs="宋体"/>
          <w:b/>
          <w:bCs/>
          <w:color w:val="auto"/>
          <w:sz w:val="24"/>
          <w:highlight w:val="none"/>
          <w:u w:val="single"/>
          <w:lang w:val="zh-CN" w:eastAsia="zh-TW"/>
        </w:rPr>
        <w:t>为方便开标唱标，投标人应将投标函、开标一览表、法定代表人证明书和法定代表人授权委托书、投标保证金交纳凭证、退还投标保证金说明单独密封提交，并在封套上标明“唱标信封”字样。“唱标信封”份数及签章等要求与投标文件正本相同。</w:t>
      </w:r>
    </w:p>
    <w:p>
      <w:pPr>
        <w:pStyle w:val="5"/>
        <w:numPr>
          <w:ilvl w:val="0"/>
          <w:numId w:val="11"/>
        </w:numPr>
        <w:ind w:hanging="5"/>
        <w:rPr>
          <w:color w:val="auto"/>
          <w:sz w:val="28"/>
          <w:szCs w:val="28"/>
          <w:highlight w:val="none"/>
          <w:lang w:val="zh-CN"/>
        </w:rPr>
      </w:pPr>
      <w:bookmarkStart w:id="161" w:name="_Toc27599"/>
      <w:bookmarkStart w:id="162" w:name="_Toc19944"/>
      <w:bookmarkStart w:id="163" w:name="_Toc32057"/>
      <w:bookmarkStart w:id="164" w:name="_Toc1590"/>
      <w:bookmarkStart w:id="165" w:name="_Toc22553"/>
      <w:r>
        <w:rPr>
          <w:rFonts w:hint="eastAsia"/>
          <w:color w:val="auto"/>
          <w:sz w:val="28"/>
          <w:szCs w:val="28"/>
          <w:highlight w:val="none"/>
          <w:lang w:val="zh-CN"/>
        </w:rPr>
        <w:t>投标文件递交要求</w:t>
      </w:r>
      <w:bookmarkEnd w:id="161"/>
      <w:bookmarkEnd w:id="162"/>
      <w:bookmarkEnd w:id="163"/>
      <w:bookmarkEnd w:id="164"/>
      <w:bookmarkEnd w:id="165"/>
    </w:p>
    <w:p>
      <w:pPr>
        <w:numPr>
          <w:ilvl w:val="1"/>
          <w:numId w:val="35"/>
        </w:numPr>
        <w:tabs>
          <w:tab w:val="left" w:pos="1180"/>
        </w:tabs>
        <w:spacing w:line="360" w:lineRule="auto"/>
        <w:ind w:hanging="48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投标文件及密封外套须清楚标明投标人名称和地址并加盖单位公章。</w:t>
      </w:r>
    </w:p>
    <w:p>
      <w:pPr>
        <w:numPr>
          <w:ilvl w:val="1"/>
          <w:numId w:val="35"/>
        </w:numPr>
        <w:tabs>
          <w:tab w:val="left" w:pos="1180"/>
          <w:tab w:val="clear" w:pos="907"/>
        </w:tabs>
        <w:spacing w:line="360" w:lineRule="auto"/>
        <w:ind w:left="1187" w:hanging="767"/>
        <w:rPr>
          <w:rFonts w:ascii="宋体" w:hAnsi="宋体" w:eastAsia="宋体" w:cs="宋体"/>
          <w:b/>
          <w:bCs/>
          <w:color w:val="auto"/>
          <w:sz w:val="24"/>
          <w:highlight w:val="none"/>
          <w:u w:val="single"/>
          <w:lang w:val="zh-CN" w:eastAsia="zh-TW"/>
        </w:rPr>
      </w:pPr>
      <w:r>
        <w:rPr>
          <w:rFonts w:hint="eastAsia" w:ascii="宋体" w:hAnsi="宋体" w:eastAsia="宋体" w:cs="宋体"/>
          <w:color w:val="auto"/>
          <w:sz w:val="24"/>
          <w:highlight w:val="none"/>
          <w:lang w:val="zh-CN" w:eastAsia="zh-TW"/>
        </w:rPr>
        <w:t>清楚注明投标邀请函中指明的</w:t>
      </w:r>
      <w:r>
        <w:rPr>
          <w:rFonts w:hint="eastAsia" w:ascii="宋体" w:hAnsi="宋体" w:eastAsia="宋体" w:cs="宋体"/>
          <w:b/>
          <w:bCs/>
          <w:color w:val="auto"/>
          <w:sz w:val="24"/>
          <w:highlight w:val="none"/>
          <w:u w:val="single"/>
          <w:lang w:val="zh-CN" w:eastAsia="zh-TW"/>
        </w:rPr>
        <w:t>项目名称、项目编号、包组号（如有）和“在（招标文件中规定的开标日期和时间）之前不得启封”</w:t>
      </w:r>
      <w:r>
        <w:rPr>
          <w:rFonts w:hint="eastAsia" w:ascii="宋体" w:hAnsi="宋体" w:eastAsia="宋体" w:cs="宋体"/>
          <w:color w:val="auto"/>
          <w:sz w:val="24"/>
          <w:highlight w:val="none"/>
          <w:lang w:val="zh-CN" w:eastAsia="zh-TW"/>
        </w:rPr>
        <w:t xml:space="preserve">的字样。 </w:t>
      </w:r>
    </w:p>
    <w:p>
      <w:pPr>
        <w:numPr>
          <w:ilvl w:val="1"/>
          <w:numId w:val="35"/>
        </w:numPr>
        <w:tabs>
          <w:tab w:val="left" w:pos="1180"/>
          <w:tab w:val="clear" w:pos="907"/>
        </w:tabs>
        <w:spacing w:line="360" w:lineRule="auto"/>
        <w:ind w:left="1187" w:hanging="767"/>
        <w:rPr>
          <w:rFonts w:ascii="宋体" w:hAnsi="宋体" w:eastAsia="宋体" w:cs="宋体"/>
          <w:b/>
          <w:bCs/>
          <w:color w:val="auto"/>
          <w:sz w:val="24"/>
          <w:highlight w:val="none"/>
          <w:u w:val="single"/>
          <w:lang w:val="zh-CN" w:eastAsia="zh-TW"/>
        </w:rPr>
      </w:pPr>
      <w:r>
        <w:rPr>
          <w:rFonts w:hint="eastAsia" w:ascii="宋体" w:hAnsi="宋体" w:eastAsia="宋体" w:cs="宋体"/>
          <w:color w:val="auto"/>
          <w:sz w:val="24"/>
          <w:highlight w:val="none"/>
          <w:lang w:val="zh-CN" w:eastAsia="zh-TW"/>
        </w:rPr>
        <w:t>如果投标人未按</w:t>
      </w:r>
      <w:r>
        <w:rPr>
          <w:rFonts w:hint="eastAsia" w:ascii="宋体" w:hAnsi="宋体" w:eastAsia="宋体" w:cs="宋体"/>
          <w:color w:val="auto"/>
          <w:sz w:val="24"/>
          <w:highlight w:val="none"/>
        </w:rPr>
        <w:t>本须知18</w:t>
      </w:r>
      <w:r>
        <w:rPr>
          <w:rFonts w:hint="eastAsia" w:ascii="宋体" w:hAnsi="宋体" w:eastAsia="宋体" w:cs="宋体"/>
          <w:color w:val="auto"/>
          <w:sz w:val="24"/>
          <w:highlight w:val="none"/>
          <w:lang w:val="zh-CN" w:eastAsia="zh-TW"/>
        </w:rPr>
        <w:t>款要求加写标记和密封，招标代理机构对误投或提前启封概不负责。</w:t>
      </w:r>
    </w:p>
    <w:p>
      <w:pPr>
        <w:pStyle w:val="5"/>
        <w:numPr>
          <w:ilvl w:val="0"/>
          <w:numId w:val="11"/>
        </w:numPr>
        <w:ind w:hanging="5"/>
        <w:rPr>
          <w:color w:val="auto"/>
          <w:sz w:val="28"/>
          <w:szCs w:val="28"/>
          <w:highlight w:val="none"/>
          <w:lang w:val="zh-CN"/>
        </w:rPr>
      </w:pPr>
      <w:bookmarkStart w:id="166" w:name="_Toc24470"/>
      <w:bookmarkStart w:id="167" w:name="_Toc22077"/>
      <w:bookmarkStart w:id="168" w:name="_Toc3275"/>
      <w:bookmarkStart w:id="169" w:name="_Toc8349"/>
      <w:bookmarkStart w:id="170" w:name="_Toc10933"/>
      <w:r>
        <w:rPr>
          <w:rFonts w:hint="eastAsia"/>
          <w:color w:val="auto"/>
          <w:sz w:val="28"/>
          <w:szCs w:val="28"/>
          <w:highlight w:val="none"/>
          <w:lang w:val="zh-CN"/>
        </w:rPr>
        <w:t>投标截止</w:t>
      </w:r>
      <w:bookmarkEnd w:id="166"/>
      <w:bookmarkEnd w:id="167"/>
      <w:bookmarkEnd w:id="168"/>
      <w:bookmarkEnd w:id="169"/>
      <w:bookmarkEnd w:id="170"/>
    </w:p>
    <w:p>
      <w:pPr>
        <w:numPr>
          <w:ilvl w:val="1"/>
          <w:numId w:val="36"/>
        </w:numPr>
        <w:tabs>
          <w:tab w:val="left" w:pos="120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投标人应在不迟于</w:t>
      </w:r>
      <w:r>
        <w:rPr>
          <w:rFonts w:hint="eastAsia" w:ascii="宋体" w:hAnsi="宋体" w:eastAsia="宋体" w:cs="宋体"/>
          <w:b/>
          <w:bCs/>
          <w:color w:val="auto"/>
          <w:sz w:val="24"/>
          <w:highlight w:val="none"/>
          <w:lang w:val="zh-CN" w:eastAsia="zh-TW"/>
        </w:rPr>
        <w:t>投标邀请函</w:t>
      </w:r>
      <w:r>
        <w:rPr>
          <w:rFonts w:hint="eastAsia" w:ascii="宋体" w:hAnsi="宋体" w:eastAsia="宋体" w:cs="宋体"/>
          <w:color w:val="auto"/>
          <w:sz w:val="24"/>
          <w:highlight w:val="none"/>
          <w:lang w:val="zh-CN" w:eastAsia="zh-TW"/>
        </w:rPr>
        <w:t>中规定的截止日期和时间将投标文件递交至招标代理机构，递交地点应是</w:t>
      </w:r>
      <w:r>
        <w:rPr>
          <w:rFonts w:hint="eastAsia" w:ascii="宋体" w:hAnsi="宋体" w:eastAsia="宋体" w:cs="宋体"/>
          <w:b/>
          <w:bCs/>
          <w:color w:val="auto"/>
          <w:sz w:val="24"/>
          <w:highlight w:val="none"/>
          <w:lang w:val="zh-CN" w:eastAsia="zh-TW"/>
        </w:rPr>
        <w:t>投标邀请函</w:t>
      </w:r>
      <w:r>
        <w:rPr>
          <w:rFonts w:hint="eastAsia" w:ascii="宋体" w:hAnsi="宋体" w:eastAsia="宋体" w:cs="宋体"/>
          <w:color w:val="auto"/>
          <w:sz w:val="24"/>
          <w:highlight w:val="none"/>
          <w:lang w:val="zh-CN" w:eastAsia="zh-TW"/>
        </w:rPr>
        <w:t>中指明的地址。</w:t>
      </w:r>
    </w:p>
    <w:p>
      <w:pPr>
        <w:numPr>
          <w:ilvl w:val="1"/>
          <w:numId w:val="36"/>
        </w:numPr>
        <w:tabs>
          <w:tab w:val="left" w:pos="120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pPr>
        <w:numPr>
          <w:ilvl w:val="1"/>
          <w:numId w:val="36"/>
        </w:numPr>
        <w:tabs>
          <w:tab w:val="left" w:pos="120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招标代理机构将拒绝接收在招标文件规定的投标截止时间之后收到的任何投标文件。</w:t>
      </w:r>
    </w:p>
    <w:p>
      <w:pPr>
        <w:pStyle w:val="5"/>
        <w:numPr>
          <w:ilvl w:val="0"/>
          <w:numId w:val="11"/>
        </w:numPr>
        <w:ind w:hanging="5"/>
        <w:rPr>
          <w:color w:val="auto"/>
          <w:sz w:val="28"/>
          <w:szCs w:val="28"/>
          <w:highlight w:val="none"/>
          <w:lang w:val="zh-CN"/>
        </w:rPr>
      </w:pPr>
      <w:bookmarkStart w:id="171" w:name="_Toc26155"/>
      <w:bookmarkStart w:id="172" w:name="_Toc1816"/>
      <w:bookmarkStart w:id="173" w:name="_Toc137"/>
      <w:bookmarkStart w:id="174" w:name="_Toc1809"/>
      <w:bookmarkStart w:id="175" w:name="_Toc26306"/>
      <w:r>
        <w:rPr>
          <w:rFonts w:hint="eastAsia"/>
          <w:color w:val="auto"/>
          <w:sz w:val="28"/>
          <w:szCs w:val="28"/>
          <w:highlight w:val="none"/>
          <w:lang w:val="zh-CN"/>
        </w:rPr>
        <w:t>投标文件的修改和撤回</w:t>
      </w:r>
      <w:bookmarkEnd w:id="171"/>
      <w:bookmarkEnd w:id="172"/>
      <w:bookmarkEnd w:id="173"/>
      <w:bookmarkEnd w:id="174"/>
      <w:bookmarkEnd w:id="175"/>
    </w:p>
    <w:p>
      <w:pPr>
        <w:numPr>
          <w:ilvl w:val="1"/>
          <w:numId w:val="37"/>
        </w:numPr>
        <w:tabs>
          <w:tab w:val="left" w:pos="122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投标人在投标截止时间前，可以对其递交的投标文件进行补充、修改或撤回，但应书面通知招标代理机构。补充、修改的内容应当按招标文件的要求签署、盖章，并作为投标文件的组成部分。</w:t>
      </w:r>
    </w:p>
    <w:p>
      <w:pPr>
        <w:numPr>
          <w:ilvl w:val="1"/>
          <w:numId w:val="37"/>
        </w:numPr>
        <w:tabs>
          <w:tab w:val="left" w:pos="1220"/>
        </w:tabs>
        <w:spacing w:line="360" w:lineRule="auto"/>
        <w:ind w:hanging="48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在投标截止时间之后，投标人不得对其投标文件做任何修改。</w:t>
      </w:r>
    </w:p>
    <w:p>
      <w:pPr>
        <w:numPr>
          <w:ilvl w:val="1"/>
          <w:numId w:val="37"/>
        </w:numPr>
        <w:tabs>
          <w:tab w:val="left" w:pos="1220"/>
          <w:tab w:val="clear" w:pos="907"/>
        </w:tabs>
        <w:spacing w:line="360" w:lineRule="auto"/>
        <w:ind w:left="1247" w:hanging="82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从投标截止期至招标文件规定的投标有效期期满的这段时间内，投标人不得撤回其投标，否则其投标保证金将按照本须知的规定不予退还。</w:t>
      </w:r>
    </w:p>
    <w:p>
      <w:pPr>
        <w:numPr>
          <w:ilvl w:val="1"/>
          <w:numId w:val="37"/>
        </w:numPr>
        <w:tabs>
          <w:tab w:val="left" w:pos="1220"/>
        </w:tabs>
        <w:spacing w:line="360" w:lineRule="auto"/>
        <w:ind w:hanging="487"/>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除非招标文件另有规定或说明，投标文件一律不予退还。</w:t>
      </w:r>
    </w:p>
    <w:p>
      <w:pPr>
        <w:pStyle w:val="4"/>
        <w:numPr>
          <w:ilvl w:val="0"/>
          <w:numId w:val="10"/>
        </w:numPr>
        <w:jc w:val="center"/>
        <w:rPr>
          <w:color w:val="auto"/>
          <w:highlight w:val="none"/>
        </w:rPr>
      </w:pPr>
      <w:bookmarkStart w:id="176" w:name="_Toc11109"/>
      <w:bookmarkStart w:id="177" w:name="_Toc18538"/>
      <w:bookmarkStart w:id="178" w:name="_Toc423021945"/>
      <w:bookmarkStart w:id="179" w:name="_Toc21950"/>
      <w:bookmarkStart w:id="180" w:name="_Toc9900"/>
      <w:bookmarkStart w:id="181" w:name="_Toc1851"/>
      <w:r>
        <w:rPr>
          <w:color w:val="auto"/>
          <w:highlight w:val="none"/>
        </w:rPr>
        <w:t>开标</w:t>
      </w:r>
      <w:r>
        <w:rPr>
          <w:rFonts w:hint="eastAsia"/>
          <w:color w:val="auto"/>
          <w:highlight w:val="none"/>
        </w:rPr>
        <w:t>与</w:t>
      </w:r>
      <w:r>
        <w:rPr>
          <w:color w:val="auto"/>
          <w:highlight w:val="none"/>
        </w:rPr>
        <w:t>评标</w:t>
      </w:r>
      <w:bookmarkEnd w:id="176"/>
      <w:bookmarkEnd w:id="177"/>
      <w:bookmarkEnd w:id="178"/>
      <w:bookmarkEnd w:id="179"/>
      <w:bookmarkEnd w:id="180"/>
      <w:bookmarkEnd w:id="181"/>
    </w:p>
    <w:p>
      <w:pPr>
        <w:pStyle w:val="5"/>
        <w:numPr>
          <w:ilvl w:val="0"/>
          <w:numId w:val="11"/>
        </w:numPr>
        <w:ind w:hanging="5"/>
        <w:rPr>
          <w:color w:val="auto"/>
          <w:sz w:val="28"/>
          <w:szCs w:val="28"/>
          <w:highlight w:val="none"/>
          <w:lang w:val="zh-CN"/>
        </w:rPr>
      </w:pPr>
      <w:bookmarkStart w:id="182" w:name="_Toc4154"/>
      <w:bookmarkStart w:id="183" w:name="_Toc19097"/>
      <w:bookmarkStart w:id="184" w:name="_Toc20889"/>
      <w:bookmarkStart w:id="185" w:name="_Toc27322"/>
      <w:bookmarkStart w:id="186" w:name="_Toc4893"/>
      <w:r>
        <w:rPr>
          <w:rFonts w:hint="eastAsia"/>
          <w:color w:val="auto"/>
          <w:sz w:val="28"/>
          <w:szCs w:val="28"/>
          <w:highlight w:val="none"/>
          <w:lang w:val="zh-CN"/>
        </w:rPr>
        <w:t>开标</w:t>
      </w:r>
      <w:bookmarkEnd w:id="182"/>
      <w:bookmarkEnd w:id="183"/>
      <w:bookmarkEnd w:id="184"/>
      <w:bookmarkEnd w:id="185"/>
      <w:bookmarkEnd w:id="186"/>
    </w:p>
    <w:p>
      <w:pPr>
        <w:numPr>
          <w:ilvl w:val="1"/>
          <w:numId w:val="38"/>
        </w:numPr>
        <w:tabs>
          <w:tab w:val="left" w:pos="1120"/>
        </w:tabs>
        <w:spacing w:line="360" w:lineRule="auto"/>
        <w:ind w:left="1077" w:leftChars="227" w:hanging="600" w:hangingChars="25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TW"/>
        </w:rPr>
        <w:t>招标代理机构按</w:t>
      </w:r>
      <w:r>
        <w:rPr>
          <w:rFonts w:hint="eastAsia" w:ascii="宋体" w:hAnsi="宋体" w:eastAsia="宋体" w:cs="宋体"/>
          <w:b/>
          <w:bCs/>
          <w:color w:val="auto"/>
          <w:sz w:val="24"/>
          <w:highlight w:val="none"/>
          <w:lang w:val="zh-CN" w:eastAsia="zh-TW"/>
        </w:rPr>
        <w:t>投标邀请函</w:t>
      </w:r>
      <w:r>
        <w:rPr>
          <w:rFonts w:hint="eastAsia" w:ascii="宋体" w:hAnsi="宋体" w:eastAsia="宋体" w:cs="宋体"/>
          <w:color w:val="auto"/>
          <w:sz w:val="24"/>
          <w:highlight w:val="none"/>
          <w:lang w:val="zh-CN" w:eastAsia="zh-TW"/>
        </w:rPr>
        <w:t>中规定的日期、时间和地点组织公开开标。开标时邀请所有投标人代表参加。投标人法定代表人或其授权代表必须持本人身份证准时参加开标会，并签到证明其出席开标会议，否则视为该投标人自动退出投标。</w:t>
      </w:r>
    </w:p>
    <w:p>
      <w:pPr>
        <w:numPr>
          <w:ilvl w:val="1"/>
          <w:numId w:val="38"/>
        </w:numPr>
        <w:tabs>
          <w:tab w:val="left" w:pos="1120"/>
        </w:tabs>
        <w:spacing w:line="360" w:lineRule="auto"/>
        <w:ind w:left="1077" w:leftChars="227" w:hanging="600" w:hangingChars="25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开标由招标代理机构主持，招标人、投标人和有关方面代表参加。评标委员会专家成员不参加开标会议。</w:t>
      </w:r>
    </w:p>
    <w:p>
      <w:pPr>
        <w:numPr>
          <w:ilvl w:val="1"/>
          <w:numId w:val="38"/>
        </w:numPr>
        <w:tabs>
          <w:tab w:val="left" w:pos="1120"/>
        </w:tabs>
        <w:spacing w:line="360" w:lineRule="auto"/>
        <w:ind w:left="1077" w:leftChars="227" w:hanging="600" w:hangingChars="25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eastAsia="zh-TW"/>
        </w:rPr>
        <w:t>开标</w:t>
      </w:r>
      <w:r>
        <w:rPr>
          <w:rFonts w:hint="eastAsia" w:ascii="宋体" w:hAnsi="宋体" w:eastAsia="宋体" w:cs="宋体"/>
          <w:color w:val="auto"/>
          <w:sz w:val="24"/>
          <w:highlight w:val="none"/>
          <w:lang w:val="zh-CN"/>
        </w:rPr>
        <w:t>前，按</w:t>
      </w:r>
      <w:r>
        <w:rPr>
          <w:rFonts w:hint="eastAsia" w:ascii="宋体" w:hAnsi="宋体" w:eastAsia="宋体" w:cs="宋体"/>
          <w:color w:val="auto"/>
          <w:sz w:val="24"/>
          <w:highlight w:val="none"/>
          <w:lang w:val="zh-CN" w:eastAsia="zh-TW"/>
        </w:rPr>
        <w:t>签到顺序递交投标文件的</w:t>
      </w:r>
      <w:r>
        <w:rPr>
          <w:rFonts w:hint="eastAsia" w:ascii="宋体" w:hAnsi="宋体" w:eastAsia="宋体" w:cs="宋体"/>
          <w:b/>
          <w:bCs/>
          <w:color w:val="auto"/>
          <w:sz w:val="24"/>
          <w:highlight w:val="none"/>
          <w:lang w:val="zh-CN" w:eastAsia="zh-TW"/>
        </w:rPr>
        <w:t>前三名</w:t>
      </w:r>
      <w:r>
        <w:rPr>
          <w:rFonts w:hint="eastAsia" w:ascii="宋体" w:hAnsi="宋体" w:eastAsia="宋体" w:cs="宋体"/>
          <w:color w:val="auto"/>
          <w:sz w:val="24"/>
          <w:highlight w:val="none"/>
          <w:lang w:val="zh-CN"/>
        </w:rPr>
        <w:t>授权</w:t>
      </w:r>
      <w:r>
        <w:rPr>
          <w:rFonts w:hint="eastAsia" w:ascii="宋体" w:hAnsi="宋体" w:eastAsia="宋体" w:cs="宋体"/>
          <w:color w:val="auto"/>
          <w:sz w:val="24"/>
          <w:highlight w:val="none"/>
          <w:lang w:val="zh-CN" w:eastAsia="zh-TW"/>
        </w:rPr>
        <w:t>代表</w:t>
      </w:r>
      <w:r>
        <w:rPr>
          <w:rFonts w:hint="eastAsia" w:ascii="宋体" w:hAnsi="宋体" w:eastAsia="宋体" w:cs="宋体"/>
          <w:color w:val="auto"/>
          <w:sz w:val="24"/>
          <w:highlight w:val="none"/>
          <w:lang w:val="zh-CN"/>
        </w:rPr>
        <w:t>检查所有</w:t>
      </w:r>
      <w:r>
        <w:rPr>
          <w:rFonts w:hint="eastAsia" w:ascii="宋体" w:hAnsi="宋体" w:eastAsia="宋体" w:cs="宋体"/>
          <w:color w:val="auto"/>
          <w:sz w:val="24"/>
          <w:highlight w:val="none"/>
          <w:lang w:val="zh-CN" w:eastAsia="zh-TW"/>
        </w:rPr>
        <w:t>投标文件的密封情况</w:t>
      </w:r>
      <w:r>
        <w:rPr>
          <w:rFonts w:hint="eastAsia" w:ascii="宋体" w:hAnsi="宋体" w:eastAsia="宋体" w:cs="宋体"/>
          <w:color w:val="auto"/>
          <w:sz w:val="24"/>
          <w:highlight w:val="none"/>
          <w:lang w:val="zh-CN"/>
        </w:rPr>
        <w:t>。经确认密封完好后，由招标代理机构工作人员当众拆开唱标信封，并宣读投标人名称、投标价格、价格折扣、投标文件的其他主要内容和招标文件允许提供的备选投标人案，以及招标代理机构认为合适的其他内容。</w:t>
      </w:r>
    </w:p>
    <w:p>
      <w:pPr>
        <w:numPr>
          <w:ilvl w:val="1"/>
          <w:numId w:val="38"/>
        </w:numPr>
        <w:tabs>
          <w:tab w:val="left" w:pos="1120"/>
        </w:tabs>
        <w:spacing w:line="360" w:lineRule="auto"/>
        <w:ind w:left="1077" w:leftChars="227" w:hanging="600" w:hangingChars="250"/>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未宣读的投标价格、价格折扣和招标文件允许提供的备选投标人案等实质内容，评标时不予考虑。</w:t>
      </w:r>
    </w:p>
    <w:p>
      <w:pPr>
        <w:numPr>
          <w:ilvl w:val="1"/>
          <w:numId w:val="38"/>
        </w:numPr>
        <w:tabs>
          <w:tab w:val="left" w:pos="1120"/>
          <w:tab w:val="left" w:pos="1220"/>
        </w:tabs>
        <w:spacing w:line="360" w:lineRule="auto"/>
        <w:ind w:left="1259" w:leftChars="228" w:hanging="780" w:hangingChars="325"/>
        <w:rPr>
          <w:rFonts w:ascii="宋体" w:hAnsi="宋体" w:eastAsia="宋体" w:cs="宋体"/>
          <w:bCs/>
          <w:color w:val="auto"/>
          <w:sz w:val="24"/>
          <w:highlight w:val="none"/>
          <w:lang w:val="zh-CN"/>
        </w:rPr>
      </w:pPr>
      <w:r>
        <w:rPr>
          <w:rFonts w:hint="eastAsia" w:ascii="宋体" w:hAnsi="宋体" w:eastAsia="宋体" w:cs="宋体"/>
          <w:color w:val="auto"/>
          <w:sz w:val="24"/>
          <w:highlight w:val="none"/>
          <w:lang w:val="zh-CN"/>
        </w:rPr>
        <w:t>招标代理机构将做开标记录，并由投标人代表及有关人员签字确认。</w:t>
      </w:r>
    </w:p>
    <w:p>
      <w:pPr>
        <w:numPr>
          <w:ilvl w:val="1"/>
          <w:numId w:val="38"/>
        </w:numPr>
        <w:tabs>
          <w:tab w:val="left" w:pos="1120"/>
        </w:tabs>
        <w:spacing w:line="360" w:lineRule="auto"/>
        <w:ind w:left="1077" w:leftChars="227" w:hanging="600" w:hangingChars="250"/>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开标时，投标文件中开标一览表内容与投标明细报价表内容不一致的，以开标一览表为准。</w:t>
      </w:r>
    </w:p>
    <w:p>
      <w:pPr>
        <w:numPr>
          <w:ilvl w:val="1"/>
          <w:numId w:val="38"/>
        </w:numPr>
        <w:tabs>
          <w:tab w:val="left" w:pos="1120"/>
        </w:tabs>
        <w:spacing w:line="360" w:lineRule="auto"/>
        <w:ind w:left="1077" w:leftChars="227" w:hanging="600" w:hangingChars="250"/>
        <w:rPr>
          <w:rFonts w:ascii="宋体" w:hAnsi="宋体" w:eastAsia="宋体" w:cs="宋体"/>
          <w:color w:val="auto"/>
          <w:sz w:val="24"/>
          <w:highlight w:val="none"/>
          <w:lang w:val="zh-CN" w:eastAsia="zh-TW"/>
        </w:rPr>
      </w:pPr>
      <w:r>
        <w:rPr>
          <w:rFonts w:hint="eastAsia" w:ascii="宋体" w:hAnsi="宋体" w:eastAsia="宋体" w:cs="宋体"/>
          <w:color w:val="auto"/>
          <w:sz w:val="24"/>
          <w:highlight w:val="none"/>
          <w:lang w:val="zh-CN" w:eastAsia="zh-TW"/>
        </w:rPr>
        <w:t>在招标文件要求提交投标文件截止时间前收到的所有投标文件不足三家时，不予以拆封、宣读，将作流标处理。投标人递交的投标文件原封退还。</w:t>
      </w:r>
    </w:p>
    <w:p>
      <w:pPr>
        <w:pStyle w:val="5"/>
        <w:numPr>
          <w:ilvl w:val="0"/>
          <w:numId w:val="11"/>
        </w:numPr>
        <w:ind w:hanging="5"/>
        <w:rPr>
          <w:color w:val="auto"/>
          <w:sz w:val="28"/>
          <w:szCs w:val="28"/>
          <w:highlight w:val="none"/>
          <w:lang w:val="zh-CN"/>
        </w:rPr>
      </w:pPr>
      <w:bookmarkStart w:id="187" w:name="_Toc17883"/>
      <w:bookmarkStart w:id="188" w:name="_Toc24480"/>
      <w:bookmarkStart w:id="189" w:name="_Toc11294"/>
      <w:bookmarkStart w:id="190" w:name="_Toc31826"/>
      <w:bookmarkStart w:id="191" w:name="_Toc12848"/>
      <w:r>
        <w:rPr>
          <w:rFonts w:hint="eastAsia"/>
          <w:color w:val="auto"/>
          <w:sz w:val="28"/>
          <w:szCs w:val="28"/>
          <w:highlight w:val="none"/>
          <w:lang w:val="zh-CN"/>
        </w:rPr>
        <w:t>评标</w:t>
      </w:r>
      <w:bookmarkEnd w:id="187"/>
      <w:bookmarkEnd w:id="188"/>
      <w:bookmarkEnd w:id="189"/>
      <w:bookmarkEnd w:id="190"/>
      <w:bookmarkEnd w:id="191"/>
    </w:p>
    <w:p>
      <w:pPr>
        <w:numPr>
          <w:ilvl w:val="1"/>
          <w:numId w:val="39"/>
        </w:numPr>
        <w:tabs>
          <w:tab w:val="left" w:pos="1100"/>
          <w:tab w:val="left" w:pos="1220"/>
        </w:tabs>
        <w:spacing w:line="360" w:lineRule="auto"/>
        <w:ind w:left="1060" w:leftChars="228" w:hanging="581" w:hangingChars="241"/>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评标委员会</w:t>
      </w:r>
    </w:p>
    <w:p>
      <w:pPr>
        <w:numPr>
          <w:ilvl w:val="2"/>
          <w:numId w:val="40"/>
        </w:numPr>
        <w:tabs>
          <w:tab w:val="left" w:pos="1300"/>
        </w:tabs>
        <w:spacing w:line="360" w:lineRule="auto"/>
        <w:ind w:left="1254" w:leftChars="227" w:hanging="777" w:hangingChars="324"/>
        <w:rPr>
          <w:rFonts w:ascii="宋体" w:hAnsi="宋体" w:eastAsia="宋体" w:cs="宋体"/>
          <w:color w:val="auto"/>
          <w:sz w:val="24"/>
          <w:highlight w:val="none"/>
          <w:lang w:val="zh-CN"/>
        </w:rPr>
      </w:pPr>
      <w:r>
        <w:rPr>
          <w:rFonts w:hint="eastAsia" w:ascii="宋体" w:hAnsi="宋体" w:cs="宋体"/>
          <w:color w:val="auto"/>
          <w:sz w:val="24"/>
          <w:highlight w:val="none"/>
          <w:lang w:val="zh-CN"/>
        </w:rPr>
        <w:t>本项目评标由依照政府采购法律、法规、规章、规范性文件规定组建的评标委员会负责。评标委员会成员由招标人代表和技术、经济等方面的专家组成。招标人代表人数</w:t>
      </w:r>
      <w:r>
        <w:rPr>
          <w:rFonts w:hint="eastAsia" w:ascii="宋体" w:hAnsi="宋体" w:eastAsia="宋体" w:cs="宋体"/>
          <w:color w:val="auto"/>
          <w:sz w:val="24"/>
          <w:highlight w:val="none"/>
          <w:lang w:val="zh-CN"/>
        </w:rPr>
        <w:t>、专家人数及专业构成按</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的规定确定。</w:t>
      </w:r>
    </w:p>
    <w:p>
      <w:pPr>
        <w:numPr>
          <w:ilvl w:val="2"/>
          <w:numId w:val="40"/>
        </w:numPr>
        <w:tabs>
          <w:tab w:val="left" w:pos="1300"/>
        </w:tabs>
        <w:spacing w:line="360" w:lineRule="auto"/>
        <w:ind w:left="1269" w:leftChars="226" w:hanging="794" w:hangingChars="331"/>
        <w:rPr>
          <w:rFonts w:ascii="宋体" w:hAnsi="宋体" w:cs="宋体"/>
          <w:color w:val="auto"/>
          <w:sz w:val="24"/>
          <w:highlight w:val="none"/>
          <w:lang w:val="zh-CN"/>
        </w:rPr>
      </w:pPr>
      <w:r>
        <w:rPr>
          <w:rFonts w:hint="eastAsia" w:ascii="宋体" w:hAnsi="宋体" w:cs="宋体"/>
          <w:color w:val="auto"/>
          <w:sz w:val="24"/>
          <w:highlight w:val="none"/>
          <w:lang w:val="zh-CN"/>
        </w:rPr>
        <w:t>评标委员会名单在评审结果确定前严格保密。评审专家有下列情形之一的，受到邀请应主动提出回避，采购当事人也可以要求该评审专家回避：</w:t>
      </w:r>
    </w:p>
    <w:p>
      <w:pPr>
        <w:numPr>
          <w:ilvl w:val="0"/>
          <w:numId w:val="41"/>
        </w:numPr>
        <w:tabs>
          <w:tab w:val="left" w:pos="851"/>
          <w:tab w:val="left" w:pos="993"/>
          <w:tab w:val="left" w:pos="1134"/>
        </w:tab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三年内曾在参加该招标项目供应商（服务商）中任职或担任顾问的；</w:t>
      </w:r>
    </w:p>
    <w:p>
      <w:pPr>
        <w:numPr>
          <w:ilvl w:val="0"/>
          <w:numId w:val="41"/>
        </w:numPr>
        <w:tabs>
          <w:tab w:val="left" w:pos="993"/>
          <w:tab w:val="left" w:pos="1134"/>
        </w:tabs>
        <w:spacing w:line="360" w:lineRule="auto"/>
        <w:ind w:left="1097" w:hanging="700"/>
        <w:rPr>
          <w:rFonts w:ascii="宋体" w:hAnsi="宋体" w:eastAsia="宋体" w:cs="宋体"/>
          <w:color w:val="auto"/>
          <w:sz w:val="24"/>
          <w:highlight w:val="none"/>
        </w:rPr>
      </w:pPr>
      <w:r>
        <w:rPr>
          <w:rFonts w:hint="eastAsia" w:ascii="宋体" w:hAnsi="宋体" w:eastAsia="宋体" w:cs="宋体"/>
          <w:color w:val="auto"/>
          <w:sz w:val="24"/>
          <w:highlight w:val="none"/>
        </w:rPr>
        <w:t>配偶或直系亲属在参加该招标项目的供应商（服务商）中任职或担任顾问的；</w:t>
      </w:r>
    </w:p>
    <w:p>
      <w:pPr>
        <w:numPr>
          <w:ilvl w:val="0"/>
          <w:numId w:val="41"/>
        </w:numPr>
        <w:tabs>
          <w:tab w:val="left" w:pos="993"/>
          <w:tab w:val="left" w:pos="1134"/>
        </w:tabs>
        <w:spacing w:line="360" w:lineRule="auto"/>
        <w:ind w:left="1097" w:hanging="700"/>
        <w:rPr>
          <w:rFonts w:ascii="宋体" w:hAnsi="宋体" w:eastAsia="宋体" w:cs="宋体"/>
          <w:color w:val="auto"/>
          <w:sz w:val="24"/>
          <w:highlight w:val="none"/>
        </w:rPr>
      </w:pPr>
      <w:r>
        <w:rPr>
          <w:rFonts w:hint="eastAsia" w:ascii="宋体" w:hAnsi="宋体" w:eastAsia="宋体" w:cs="宋体"/>
          <w:color w:val="auto"/>
          <w:sz w:val="24"/>
          <w:highlight w:val="none"/>
        </w:rPr>
        <w:t>与参加该招标项目供应商（服务商）发生过法律纠纷的；</w:t>
      </w:r>
    </w:p>
    <w:p>
      <w:pPr>
        <w:numPr>
          <w:ilvl w:val="0"/>
          <w:numId w:val="41"/>
        </w:numPr>
        <w:tabs>
          <w:tab w:val="left" w:pos="993"/>
          <w:tab w:val="left" w:pos="1134"/>
        </w:tabs>
        <w:spacing w:line="360" w:lineRule="auto"/>
        <w:ind w:left="1097" w:hanging="700"/>
        <w:rPr>
          <w:rFonts w:ascii="宋体" w:hAnsi="宋体" w:eastAsia="宋体" w:cs="宋体"/>
          <w:color w:val="auto"/>
          <w:sz w:val="24"/>
          <w:highlight w:val="none"/>
        </w:rPr>
      </w:pPr>
      <w:r>
        <w:rPr>
          <w:rFonts w:hint="eastAsia" w:ascii="宋体" w:hAnsi="宋体" w:eastAsia="宋体" w:cs="宋体"/>
          <w:color w:val="auto"/>
          <w:sz w:val="24"/>
          <w:highlight w:val="none"/>
        </w:rPr>
        <w:t>任职单位与招标人或参与该招标项目供应商（服务商）存在行政隶属关系的；</w:t>
      </w:r>
    </w:p>
    <w:p>
      <w:pPr>
        <w:numPr>
          <w:ilvl w:val="0"/>
          <w:numId w:val="41"/>
        </w:numPr>
        <w:tabs>
          <w:tab w:val="left" w:pos="851"/>
          <w:tab w:val="left" w:pos="993"/>
          <w:tab w:val="left" w:pos="1134"/>
        </w:tab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参与招标文件论证或进口产品论证的；</w:t>
      </w:r>
    </w:p>
    <w:p>
      <w:pPr>
        <w:numPr>
          <w:ilvl w:val="0"/>
          <w:numId w:val="41"/>
        </w:numPr>
        <w:tabs>
          <w:tab w:val="left" w:pos="851"/>
          <w:tab w:val="left" w:pos="993"/>
          <w:tab w:val="left" w:pos="1134"/>
        </w:tab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法律、法规、规章规定应当回避以及其他可能影响公正评审的。</w:t>
      </w:r>
    </w:p>
    <w:p>
      <w:pPr>
        <w:numPr>
          <w:ilvl w:val="2"/>
          <w:numId w:val="40"/>
        </w:numPr>
        <w:tabs>
          <w:tab w:val="left" w:pos="1300"/>
        </w:tabs>
        <w:spacing w:line="360" w:lineRule="auto"/>
        <w:ind w:left="1269" w:leftChars="226" w:hanging="794" w:hangingChars="331"/>
        <w:rPr>
          <w:rFonts w:ascii="宋体" w:hAnsi="宋体" w:cs="宋体"/>
          <w:color w:val="auto"/>
          <w:sz w:val="24"/>
          <w:highlight w:val="none"/>
          <w:lang w:val="zh-CN"/>
        </w:rPr>
      </w:pPr>
      <w:r>
        <w:rPr>
          <w:rFonts w:hint="eastAsia" w:ascii="宋体" w:hAnsi="宋体" w:cs="宋体"/>
          <w:color w:val="auto"/>
          <w:sz w:val="24"/>
          <w:highlight w:val="none"/>
          <w:lang w:val="zh-CN"/>
        </w:rPr>
        <w:t>评标委员会将按照投标人须知前附表中确定的评标方法和本招标文件第三章规定的评分体系与标准进行评标。</w:t>
      </w:r>
    </w:p>
    <w:p>
      <w:pPr>
        <w:numPr>
          <w:ilvl w:val="1"/>
          <w:numId w:val="39"/>
        </w:numPr>
        <w:tabs>
          <w:tab w:val="left" w:pos="1100"/>
          <w:tab w:val="left" w:pos="1220"/>
        </w:tabs>
        <w:spacing w:line="360" w:lineRule="auto"/>
        <w:ind w:left="1060" w:leftChars="228" w:hanging="581" w:hangingChars="241"/>
        <w:rPr>
          <w:rFonts w:ascii="宋体" w:hAnsi="宋体" w:eastAsia="宋体" w:cs="宋体"/>
          <w:color w:val="auto"/>
          <w:sz w:val="24"/>
          <w:highlight w:val="none"/>
          <w:lang w:val="zh-CN"/>
        </w:rPr>
      </w:pPr>
      <w:r>
        <w:rPr>
          <w:rFonts w:hint="eastAsia" w:ascii="宋体" w:hAnsi="宋体" w:eastAsia="宋体" w:cs="宋体"/>
          <w:b/>
          <w:bCs/>
          <w:color w:val="auto"/>
          <w:sz w:val="24"/>
          <w:highlight w:val="none"/>
          <w:lang w:val="zh-CN"/>
        </w:rPr>
        <w:t>评标细则：</w:t>
      </w:r>
      <w:r>
        <w:rPr>
          <w:rFonts w:hint="eastAsia" w:ascii="宋体" w:hAnsi="宋体" w:eastAsia="宋体" w:cs="宋体"/>
          <w:color w:val="auto"/>
          <w:sz w:val="24"/>
          <w:highlight w:val="none"/>
          <w:lang w:val="zh-CN"/>
        </w:rPr>
        <w:t>详见本招标文件“第三章评分体系与标准”。</w:t>
      </w:r>
    </w:p>
    <w:p>
      <w:pPr>
        <w:pStyle w:val="5"/>
        <w:numPr>
          <w:ilvl w:val="0"/>
          <w:numId w:val="11"/>
        </w:numPr>
        <w:ind w:hanging="5"/>
        <w:rPr>
          <w:color w:val="auto"/>
          <w:sz w:val="28"/>
          <w:szCs w:val="28"/>
          <w:highlight w:val="none"/>
          <w:lang w:val="zh-CN"/>
        </w:rPr>
      </w:pPr>
      <w:bookmarkStart w:id="192" w:name="_Toc24123"/>
      <w:bookmarkStart w:id="193" w:name="_Toc13417"/>
      <w:bookmarkStart w:id="194" w:name="_Toc6364"/>
      <w:bookmarkStart w:id="195" w:name="_Toc12676"/>
      <w:bookmarkStart w:id="196" w:name="_Toc4914"/>
      <w:r>
        <w:rPr>
          <w:rFonts w:hint="eastAsia"/>
          <w:color w:val="auto"/>
          <w:sz w:val="28"/>
          <w:szCs w:val="28"/>
          <w:highlight w:val="none"/>
          <w:lang w:val="zh-CN"/>
        </w:rPr>
        <w:t>定标原则和授标</w:t>
      </w:r>
      <w:bookmarkEnd w:id="192"/>
      <w:bookmarkEnd w:id="193"/>
      <w:bookmarkEnd w:id="194"/>
      <w:bookmarkEnd w:id="195"/>
      <w:bookmarkEnd w:id="196"/>
    </w:p>
    <w:p>
      <w:pPr>
        <w:numPr>
          <w:ilvl w:val="1"/>
          <w:numId w:val="42"/>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评标委员会按照招标文件确定的评标方法、步骤、标准，对投标文件进行评审，提出书面评标报告。</w:t>
      </w:r>
    </w:p>
    <w:p>
      <w:pPr>
        <w:numPr>
          <w:ilvl w:val="1"/>
          <w:numId w:val="42"/>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采用综合评分法的，按评审后投标人得分由高到低的顺序排列。得分相同的，按投标报价由低到高顺序排列。得分且投标报价相同的，按技术指标优劣顺序排列。综合评分相同，且评标价和技术评分均相同的，名次由评标委员会抽签决定。除</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另有规定，本项目</w:t>
      </w:r>
      <w:r>
        <w:rPr>
          <w:rFonts w:hint="eastAsia" w:ascii="宋体" w:hAnsi="宋体" w:cs="宋体"/>
          <w:bCs/>
          <w:color w:val="auto"/>
          <w:sz w:val="24"/>
          <w:highlight w:val="none"/>
        </w:rPr>
        <w:t>推荐综合得分排名第一的投标人为第一中标候选人，排名第二的投标人为第二中标候选人，排名第三的投标人为第三中标候选人。</w:t>
      </w:r>
    </w:p>
    <w:p>
      <w:pPr>
        <w:numPr>
          <w:ilvl w:val="1"/>
          <w:numId w:val="42"/>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评标委员会提交评标报告和推荐中标意见报招标人确认，招标人在收到评标报告后的法定时间内，按照评标报告中推荐的中标候选人顺序确定中标人，也可以事先授权评标委员会直接确定中标人。</w:t>
      </w:r>
    </w:p>
    <w:p>
      <w:pPr>
        <w:numPr>
          <w:ilvl w:val="1"/>
          <w:numId w:val="42"/>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定标后，招标人将就规定的内容在信息媒体上公示三日。</w:t>
      </w:r>
    </w:p>
    <w:p>
      <w:pPr>
        <w:numPr>
          <w:ilvl w:val="1"/>
          <w:numId w:val="42"/>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numPr>
          <w:ilvl w:val="0"/>
          <w:numId w:val="11"/>
        </w:numPr>
        <w:ind w:hanging="5"/>
        <w:rPr>
          <w:color w:val="auto"/>
          <w:sz w:val="28"/>
          <w:szCs w:val="28"/>
          <w:highlight w:val="none"/>
          <w:lang w:val="zh-CN"/>
        </w:rPr>
      </w:pPr>
      <w:bookmarkStart w:id="197" w:name="_Toc1380"/>
      <w:bookmarkStart w:id="198" w:name="_Toc3779"/>
      <w:bookmarkStart w:id="199" w:name="_Toc9681"/>
      <w:bookmarkStart w:id="200" w:name="_Toc67"/>
      <w:bookmarkStart w:id="201" w:name="_Toc7028"/>
      <w:r>
        <w:rPr>
          <w:rFonts w:hint="eastAsia"/>
          <w:color w:val="auto"/>
          <w:sz w:val="28"/>
          <w:szCs w:val="28"/>
          <w:highlight w:val="none"/>
          <w:lang w:val="zh-CN"/>
        </w:rPr>
        <w:t>中标通知书</w:t>
      </w:r>
      <w:bookmarkEnd w:id="197"/>
      <w:bookmarkEnd w:id="198"/>
      <w:bookmarkEnd w:id="199"/>
      <w:bookmarkEnd w:id="200"/>
      <w:bookmarkEnd w:id="201"/>
    </w:p>
    <w:p>
      <w:pPr>
        <w:numPr>
          <w:ilvl w:val="1"/>
          <w:numId w:val="43"/>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公示期满后，招标代理机构在信息媒体发布中标公告，并同时向中标人发放《中标通知书》。</w:t>
      </w:r>
    </w:p>
    <w:p>
      <w:pPr>
        <w:numPr>
          <w:ilvl w:val="1"/>
          <w:numId w:val="43"/>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《中标通知书》对中标人和招标人具有同等法律效力。</w:t>
      </w:r>
    </w:p>
    <w:p>
      <w:pPr>
        <w:numPr>
          <w:ilvl w:val="1"/>
          <w:numId w:val="43"/>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《中标通知书》将作为授予合同资格的合法依据，是合同的一个组成部分。</w:t>
      </w:r>
    </w:p>
    <w:p>
      <w:pPr>
        <w:pStyle w:val="4"/>
        <w:numPr>
          <w:ilvl w:val="0"/>
          <w:numId w:val="10"/>
        </w:numPr>
        <w:jc w:val="center"/>
        <w:rPr>
          <w:color w:val="auto"/>
          <w:highlight w:val="none"/>
        </w:rPr>
      </w:pPr>
      <w:bookmarkStart w:id="202" w:name="_Toc32640"/>
      <w:bookmarkStart w:id="203" w:name="_Toc9139"/>
      <w:bookmarkStart w:id="204" w:name="_Toc21173"/>
      <w:bookmarkStart w:id="205" w:name="_Toc2966"/>
      <w:r>
        <w:rPr>
          <w:rFonts w:hint="eastAsia"/>
          <w:color w:val="auto"/>
          <w:highlight w:val="none"/>
        </w:rPr>
        <w:t>异议及投诉</w:t>
      </w:r>
      <w:bookmarkEnd w:id="202"/>
      <w:bookmarkEnd w:id="203"/>
      <w:bookmarkEnd w:id="204"/>
      <w:bookmarkEnd w:id="205"/>
    </w:p>
    <w:p>
      <w:pPr>
        <w:pStyle w:val="5"/>
        <w:numPr>
          <w:ilvl w:val="0"/>
          <w:numId w:val="11"/>
        </w:numPr>
        <w:ind w:hanging="5"/>
        <w:rPr>
          <w:color w:val="auto"/>
          <w:sz w:val="28"/>
          <w:szCs w:val="28"/>
          <w:highlight w:val="none"/>
          <w:lang w:val="zh-CN"/>
        </w:rPr>
      </w:pPr>
      <w:bookmarkStart w:id="206" w:name="_Toc13947"/>
      <w:bookmarkStart w:id="207" w:name="_Toc7531"/>
      <w:bookmarkStart w:id="208" w:name="_Toc19794"/>
      <w:bookmarkStart w:id="209" w:name="_Toc8431"/>
      <w:r>
        <w:rPr>
          <w:rFonts w:hint="eastAsia"/>
          <w:color w:val="auto"/>
          <w:sz w:val="28"/>
          <w:szCs w:val="28"/>
          <w:highlight w:val="none"/>
          <w:lang w:val="zh-CN"/>
        </w:rPr>
        <w:t>异议</w:t>
      </w:r>
      <w:bookmarkEnd w:id="206"/>
      <w:bookmarkEnd w:id="207"/>
      <w:bookmarkEnd w:id="208"/>
      <w:bookmarkEnd w:id="209"/>
    </w:p>
    <w:p>
      <w:pPr>
        <w:numPr>
          <w:ilvl w:val="1"/>
          <w:numId w:val="44"/>
        </w:numPr>
        <w:tabs>
          <w:tab w:val="left" w:pos="1200"/>
        </w:tabs>
        <w:spacing w:line="360" w:lineRule="auto"/>
        <w:ind w:left="1259" w:leftChars="228" w:hanging="780" w:hangingChars="325"/>
        <w:rPr>
          <w:rFonts w:ascii="宋体" w:hAnsi="宋体" w:eastAsia="宋体" w:cs="宋体"/>
          <w:color w:val="auto"/>
          <w:sz w:val="24"/>
          <w:highlight w:val="none"/>
        </w:rPr>
      </w:pPr>
      <w:r>
        <w:rPr>
          <w:rFonts w:hint="eastAsia" w:ascii="宋体" w:hAnsi="宋体" w:eastAsia="宋体" w:cs="宋体"/>
          <w:color w:val="auto"/>
          <w:sz w:val="24"/>
          <w:highlight w:val="none"/>
        </w:rPr>
        <w:t>投标人或者其他利害关系人对依法必须进行招标的项目的评标结果有异议的，应当在中标候选人公示期间，以书面形式向招标人或招标代理机构提出异议，逾期异议无效。</w:t>
      </w:r>
    </w:p>
    <w:p>
      <w:pPr>
        <w:numPr>
          <w:ilvl w:val="1"/>
          <w:numId w:val="44"/>
        </w:numPr>
        <w:tabs>
          <w:tab w:val="left" w:pos="1200"/>
        </w:tabs>
        <w:spacing w:line="360" w:lineRule="auto"/>
        <w:ind w:left="1259" w:leftChars="228" w:hanging="780" w:hangingChars="325"/>
        <w:rPr>
          <w:rFonts w:ascii="宋体" w:hAnsi="宋体" w:eastAsia="宋体" w:cs="宋体"/>
          <w:color w:val="auto"/>
          <w:sz w:val="24"/>
          <w:highlight w:val="none"/>
        </w:rPr>
      </w:pPr>
      <w:r>
        <w:rPr>
          <w:rFonts w:hint="eastAsia" w:ascii="宋体" w:hAnsi="宋体" w:eastAsia="宋体" w:cs="宋体"/>
          <w:color w:val="auto"/>
          <w:sz w:val="24"/>
          <w:highlight w:val="none"/>
        </w:rPr>
        <w:t>异议函应当署名。异议供应商（服务商）为自然人的，应当由本人签字；异议供应商（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pPr>
        <w:numPr>
          <w:ilvl w:val="1"/>
          <w:numId w:val="44"/>
        </w:numPr>
        <w:tabs>
          <w:tab w:val="left" w:pos="1200"/>
        </w:tabs>
        <w:spacing w:line="360" w:lineRule="auto"/>
        <w:ind w:left="1259" w:leftChars="228" w:hanging="780" w:hangingChars="325"/>
        <w:rPr>
          <w:rFonts w:ascii="宋体" w:hAnsi="宋体" w:eastAsia="宋体" w:cs="宋体"/>
          <w:color w:val="auto"/>
          <w:sz w:val="24"/>
          <w:highlight w:val="none"/>
        </w:rPr>
      </w:pPr>
      <w:r>
        <w:rPr>
          <w:rFonts w:hint="eastAsia" w:ascii="宋体" w:hAnsi="宋体" w:eastAsia="宋体" w:cs="宋体"/>
          <w:color w:val="auto"/>
          <w:sz w:val="24"/>
          <w:highlight w:val="none"/>
        </w:rPr>
        <w:t>异议内容必须以书面形式向招标人或招标代理机构提出，投标人以电话、传真或电邮形式提交的异议属于无效异议。</w:t>
      </w:r>
    </w:p>
    <w:p>
      <w:pPr>
        <w:pStyle w:val="5"/>
        <w:numPr>
          <w:ilvl w:val="0"/>
          <w:numId w:val="11"/>
        </w:numPr>
        <w:ind w:hanging="5"/>
        <w:rPr>
          <w:color w:val="auto"/>
          <w:sz w:val="28"/>
          <w:szCs w:val="28"/>
          <w:highlight w:val="none"/>
          <w:lang w:val="zh-CN"/>
        </w:rPr>
      </w:pPr>
      <w:bookmarkStart w:id="210" w:name="_Toc27632"/>
      <w:bookmarkStart w:id="211" w:name="_Toc25587"/>
      <w:bookmarkStart w:id="212" w:name="_Toc15616"/>
      <w:bookmarkStart w:id="213" w:name="_Toc20615"/>
      <w:bookmarkStart w:id="214" w:name="_Toc29762"/>
      <w:bookmarkStart w:id="215" w:name="_Toc9239"/>
      <w:r>
        <w:rPr>
          <w:rFonts w:hint="eastAsia"/>
          <w:color w:val="auto"/>
          <w:sz w:val="28"/>
          <w:szCs w:val="28"/>
          <w:highlight w:val="none"/>
          <w:lang w:val="zh-CN"/>
        </w:rPr>
        <w:t>投诉</w:t>
      </w:r>
      <w:bookmarkEnd w:id="210"/>
      <w:bookmarkEnd w:id="211"/>
      <w:bookmarkEnd w:id="212"/>
      <w:bookmarkEnd w:id="213"/>
      <w:bookmarkEnd w:id="214"/>
      <w:bookmarkEnd w:id="215"/>
    </w:p>
    <w:p>
      <w:pPr>
        <w:numPr>
          <w:ilvl w:val="1"/>
          <w:numId w:val="45"/>
        </w:numPr>
        <w:tabs>
          <w:tab w:val="left" w:pos="1220"/>
        </w:tabs>
        <w:spacing w:line="360" w:lineRule="auto"/>
        <w:ind w:left="1259" w:leftChars="228" w:hanging="780" w:hangingChars="325"/>
        <w:rPr>
          <w:rFonts w:ascii="宋体" w:hAnsi="宋体" w:eastAsia="宋体" w:cs="宋体"/>
          <w:color w:val="auto"/>
          <w:sz w:val="24"/>
          <w:highlight w:val="none"/>
        </w:rPr>
      </w:pPr>
      <w:r>
        <w:rPr>
          <w:rFonts w:hint="eastAsia" w:ascii="宋体" w:hAnsi="宋体" w:eastAsia="宋体" w:cs="宋体"/>
          <w:color w:val="auto"/>
          <w:sz w:val="24"/>
          <w:highlight w:val="none"/>
        </w:rPr>
        <w:t>供应商（服务商）对招标人、招标代理机构的异议答复不满意，或者招标人、招标代理机构未在规定期限内作出答复的，可以在答复期满后10日内向招标人的监督部门提起投诉。</w:t>
      </w:r>
    </w:p>
    <w:p>
      <w:pPr>
        <w:pStyle w:val="4"/>
        <w:numPr>
          <w:ilvl w:val="0"/>
          <w:numId w:val="10"/>
        </w:numPr>
        <w:jc w:val="center"/>
        <w:rPr>
          <w:color w:val="auto"/>
          <w:highlight w:val="none"/>
        </w:rPr>
      </w:pPr>
      <w:bookmarkStart w:id="216" w:name="_Toc22486"/>
      <w:bookmarkStart w:id="217" w:name="_Toc16646"/>
      <w:bookmarkStart w:id="218" w:name="_Toc6940"/>
      <w:bookmarkStart w:id="219" w:name="_Toc5622"/>
      <w:bookmarkStart w:id="220" w:name="_Toc423021947"/>
      <w:bookmarkStart w:id="221" w:name="_Toc1069"/>
      <w:r>
        <w:rPr>
          <w:rFonts w:hint="eastAsia"/>
          <w:color w:val="auto"/>
          <w:highlight w:val="none"/>
        </w:rPr>
        <w:t>授予</w:t>
      </w:r>
      <w:r>
        <w:rPr>
          <w:color w:val="auto"/>
          <w:highlight w:val="none"/>
        </w:rPr>
        <w:t>合同</w:t>
      </w:r>
      <w:bookmarkEnd w:id="216"/>
      <w:bookmarkEnd w:id="217"/>
      <w:bookmarkEnd w:id="218"/>
      <w:bookmarkEnd w:id="219"/>
      <w:bookmarkEnd w:id="220"/>
      <w:bookmarkEnd w:id="221"/>
    </w:p>
    <w:p>
      <w:pPr>
        <w:pStyle w:val="5"/>
        <w:numPr>
          <w:ilvl w:val="0"/>
          <w:numId w:val="11"/>
        </w:numPr>
        <w:ind w:hanging="5"/>
        <w:rPr>
          <w:color w:val="auto"/>
          <w:sz w:val="28"/>
          <w:szCs w:val="28"/>
          <w:highlight w:val="none"/>
          <w:lang w:val="zh-CN"/>
        </w:rPr>
      </w:pPr>
      <w:bookmarkStart w:id="222" w:name="_Toc31689"/>
      <w:bookmarkStart w:id="223" w:name="_Toc3541"/>
      <w:bookmarkStart w:id="224" w:name="_Toc6267"/>
      <w:bookmarkStart w:id="225" w:name="_Toc26355"/>
      <w:bookmarkStart w:id="226" w:name="_Toc30723"/>
      <w:r>
        <w:rPr>
          <w:rFonts w:hint="eastAsia"/>
          <w:color w:val="auto"/>
          <w:sz w:val="28"/>
          <w:szCs w:val="28"/>
          <w:highlight w:val="none"/>
          <w:lang w:val="zh-CN"/>
        </w:rPr>
        <w:t>合同的订立</w:t>
      </w:r>
      <w:bookmarkEnd w:id="222"/>
      <w:bookmarkEnd w:id="223"/>
      <w:bookmarkEnd w:id="224"/>
      <w:bookmarkEnd w:id="225"/>
      <w:bookmarkEnd w:id="226"/>
    </w:p>
    <w:p>
      <w:pPr>
        <w:numPr>
          <w:ilvl w:val="1"/>
          <w:numId w:val="46"/>
        </w:numPr>
        <w:tabs>
          <w:tab w:val="left" w:pos="1220"/>
        </w:tabs>
        <w:spacing w:line="360" w:lineRule="auto"/>
        <w:ind w:left="1273" w:leftChars="227" w:hanging="796" w:hangingChars="332"/>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人与中标人（服务商）自中标通知书发出之日起三十日内，按招标文件要求和中标人（服务商）投标文件承诺签订书面合同，但不得超出招标文件和中标人（服务商）投标文件的范围、也不得再行订立背离合同实质性内容的其他协议。</w:t>
      </w:r>
    </w:p>
    <w:p>
      <w:pPr>
        <w:numPr>
          <w:ilvl w:val="1"/>
          <w:numId w:val="46"/>
        </w:numPr>
        <w:tabs>
          <w:tab w:val="left" w:pos="1220"/>
        </w:tabs>
        <w:spacing w:line="360" w:lineRule="auto"/>
        <w:ind w:left="1273" w:leftChars="227" w:hanging="796" w:hangingChars="332"/>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招标文件、中标人的投标文件及其澄清文件等，均为签订合同的依据。</w:t>
      </w:r>
    </w:p>
    <w:p>
      <w:pPr>
        <w:pStyle w:val="5"/>
        <w:numPr>
          <w:ilvl w:val="0"/>
          <w:numId w:val="11"/>
        </w:numPr>
        <w:ind w:hanging="5"/>
        <w:rPr>
          <w:color w:val="auto"/>
          <w:sz w:val="28"/>
          <w:szCs w:val="28"/>
          <w:highlight w:val="none"/>
          <w:lang w:val="zh-CN"/>
        </w:rPr>
      </w:pPr>
      <w:bookmarkStart w:id="227" w:name="_Toc7602"/>
      <w:bookmarkStart w:id="228" w:name="_Toc28839"/>
      <w:bookmarkStart w:id="229" w:name="_Toc12285"/>
      <w:bookmarkStart w:id="230" w:name="_Toc10816"/>
      <w:bookmarkStart w:id="231" w:name="_Toc25430"/>
      <w:r>
        <w:rPr>
          <w:rFonts w:hint="eastAsia"/>
          <w:color w:val="auto"/>
          <w:sz w:val="28"/>
          <w:szCs w:val="28"/>
          <w:highlight w:val="none"/>
          <w:lang w:val="zh-CN"/>
        </w:rPr>
        <w:t>合同的履行</w:t>
      </w:r>
      <w:bookmarkEnd w:id="227"/>
      <w:bookmarkEnd w:id="228"/>
      <w:bookmarkEnd w:id="229"/>
      <w:bookmarkEnd w:id="230"/>
      <w:bookmarkEnd w:id="231"/>
    </w:p>
    <w:p>
      <w:pPr>
        <w:numPr>
          <w:ilvl w:val="1"/>
          <w:numId w:val="47"/>
        </w:numPr>
        <w:tabs>
          <w:tab w:val="left" w:pos="1200"/>
          <w:tab w:val="left" w:pos="1260"/>
        </w:tabs>
        <w:spacing w:line="360" w:lineRule="auto"/>
        <w:ind w:left="1273" w:leftChars="227" w:hanging="796" w:hangingChars="332"/>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pPr>
        <w:numPr>
          <w:ilvl w:val="1"/>
          <w:numId w:val="47"/>
        </w:numPr>
        <w:tabs>
          <w:tab w:val="left" w:pos="1200"/>
          <w:tab w:val="left" w:pos="1260"/>
        </w:tabs>
        <w:spacing w:line="360" w:lineRule="auto"/>
        <w:ind w:left="1273" w:leftChars="227" w:hanging="796" w:hangingChars="332"/>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合同履行中，招标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pPr>
        <w:pStyle w:val="5"/>
        <w:numPr>
          <w:ilvl w:val="0"/>
          <w:numId w:val="11"/>
        </w:numPr>
        <w:ind w:hanging="5"/>
        <w:rPr>
          <w:color w:val="auto"/>
          <w:sz w:val="28"/>
          <w:szCs w:val="28"/>
          <w:highlight w:val="none"/>
          <w:lang w:val="zh-CN"/>
        </w:rPr>
      </w:pPr>
      <w:bookmarkStart w:id="232" w:name="_Toc9297"/>
      <w:bookmarkStart w:id="233" w:name="_Toc25548"/>
      <w:bookmarkStart w:id="234" w:name="_Toc12849"/>
      <w:bookmarkStart w:id="235" w:name="_Toc28482"/>
      <w:bookmarkStart w:id="236" w:name="_Toc4411"/>
      <w:r>
        <w:rPr>
          <w:rFonts w:hint="eastAsia"/>
          <w:color w:val="auto"/>
          <w:sz w:val="28"/>
          <w:szCs w:val="28"/>
          <w:highlight w:val="none"/>
          <w:lang w:val="zh-CN"/>
        </w:rPr>
        <w:t>履约保证金</w:t>
      </w:r>
      <w:bookmarkEnd w:id="232"/>
      <w:bookmarkEnd w:id="233"/>
      <w:bookmarkEnd w:id="234"/>
      <w:bookmarkEnd w:id="235"/>
      <w:bookmarkEnd w:id="236"/>
    </w:p>
    <w:p>
      <w:pPr>
        <w:numPr>
          <w:ilvl w:val="1"/>
          <w:numId w:val="48"/>
        </w:numPr>
        <w:tabs>
          <w:tab w:val="left" w:pos="1220"/>
        </w:tabs>
        <w:spacing w:line="360" w:lineRule="auto"/>
        <w:ind w:left="1259" w:leftChars="228" w:hanging="780" w:hangingChars="325"/>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招标文件要求中标人提交履约保证金的，中标人应按照</w:t>
      </w:r>
      <w:r>
        <w:rPr>
          <w:rFonts w:hint="eastAsia" w:ascii="宋体" w:hAnsi="宋体" w:eastAsia="宋体" w:cs="宋体"/>
          <w:b/>
          <w:bCs/>
          <w:color w:val="auto"/>
          <w:sz w:val="24"/>
          <w:highlight w:val="none"/>
          <w:lang w:val="zh-CN"/>
        </w:rPr>
        <w:t>投标人须知前附表</w:t>
      </w:r>
      <w:r>
        <w:rPr>
          <w:rFonts w:hint="eastAsia" w:ascii="宋体" w:hAnsi="宋体" w:eastAsia="宋体" w:cs="宋体"/>
          <w:color w:val="auto"/>
          <w:sz w:val="24"/>
          <w:highlight w:val="none"/>
          <w:lang w:val="zh-CN"/>
        </w:rPr>
        <w:t>规定的金额，以支票、汇票、本票或者金融机构、担保机构出具的保函等非现金形式向招标人提交。</w:t>
      </w:r>
    </w:p>
    <w:p>
      <w:pPr>
        <w:rPr>
          <w:color w:val="auto"/>
          <w:highlight w:val="none"/>
        </w:rPr>
      </w:pPr>
      <w:bookmarkStart w:id="237" w:name="_Toc182886647"/>
      <w:bookmarkStart w:id="238" w:name="_Toc183316709"/>
      <w:bookmarkStart w:id="239" w:name="_Toc372468300"/>
      <w:bookmarkStart w:id="240" w:name="_Toc423021950"/>
      <w:bookmarkStart w:id="241" w:name="_Toc30599"/>
    </w:p>
    <w:p>
      <w:pPr>
        <w:pStyle w:val="5"/>
        <w:numPr>
          <w:ilvl w:val="0"/>
          <w:numId w:val="11"/>
        </w:numPr>
        <w:ind w:hanging="5"/>
        <w:rPr>
          <w:color w:val="auto"/>
          <w:sz w:val="28"/>
          <w:szCs w:val="28"/>
          <w:highlight w:val="none"/>
          <w:lang w:val="zh-CN"/>
        </w:rPr>
      </w:pPr>
      <w:bookmarkStart w:id="242" w:name="_Toc10914"/>
      <w:bookmarkStart w:id="243" w:name="_Toc7020"/>
      <w:bookmarkStart w:id="244" w:name="_Toc26281"/>
      <w:bookmarkStart w:id="245" w:name="_Toc3423"/>
      <w:bookmarkStart w:id="246" w:name="_Toc30046"/>
      <w:bookmarkStart w:id="247" w:name="_Toc5553"/>
      <w:r>
        <w:rPr>
          <w:rFonts w:hint="eastAsia"/>
          <w:color w:val="auto"/>
          <w:sz w:val="28"/>
          <w:szCs w:val="28"/>
          <w:highlight w:val="none"/>
          <w:lang w:val="zh-CN"/>
        </w:rPr>
        <w:t>招标代理服务费</w:t>
      </w:r>
      <w:bookmarkEnd w:id="242"/>
      <w:bookmarkEnd w:id="243"/>
      <w:bookmarkEnd w:id="244"/>
      <w:bookmarkEnd w:id="245"/>
      <w:bookmarkEnd w:id="246"/>
      <w:bookmarkEnd w:id="247"/>
    </w:p>
    <w:p>
      <w:pPr>
        <w:numPr>
          <w:ilvl w:val="1"/>
          <w:numId w:val="49"/>
        </w:numPr>
        <w:tabs>
          <w:tab w:val="left" w:pos="1140"/>
        </w:tabs>
        <w:spacing w:line="360" w:lineRule="auto"/>
        <w:ind w:left="1175" w:leftChars="227" w:hanging="698" w:hangingChars="291"/>
        <w:rPr>
          <w:color w:val="auto"/>
          <w:highlight w:val="none"/>
        </w:rPr>
      </w:pPr>
      <w:r>
        <w:rPr>
          <w:rFonts w:hint="eastAsia" w:ascii="宋体" w:hAnsi="宋体" w:eastAsia="宋体" w:cs="宋体"/>
          <w:color w:val="auto"/>
          <w:sz w:val="24"/>
          <w:highlight w:val="none"/>
          <w:lang w:val="zh-CN"/>
        </w:rPr>
        <w:t>中标人应按照</w:t>
      </w:r>
      <w:r>
        <w:rPr>
          <w:rFonts w:hint="eastAsia" w:ascii="黑体" w:hAnsi="黑体" w:eastAsia="黑体" w:cs="黑体"/>
          <w:b/>
          <w:bCs/>
          <w:color w:val="auto"/>
          <w:sz w:val="24"/>
          <w:highlight w:val="none"/>
          <w:lang w:val="zh-CN"/>
        </w:rPr>
        <w:t>投标人须知前附表</w:t>
      </w:r>
      <w:r>
        <w:rPr>
          <w:rFonts w:hint="eastAsia" w:ascii="宋体" w:hAnsi="宋体" w:eastAsia="宋体" w:cs="宋体"/>
          <w:color w:val="auto"/>
          <w:sz w:val="24"/>
          <w:highlight w:val="none"/>
          <w:lang w:val="zh-CN"/>
        </w:rPr>
        <w:t>中的规定交纳招标代理服务费。否则，其投标保证金将不予退还。</w:t>
      </w:r>
      <w:bookmarkStart w:id="248" w:name="_Toc15552"/>
    </w:p>
    <w:p>
      <w:pPr>
        <w:pStyle w:val="68"/>
        <w:rPr>
          <w:color w:val="auto"/>
          <w:highlight w:val="none"/>
        </w:rPr>
      </w:pPr>
    </w:p>
    <w:p>
      <w:pPr>
        <w:pStyle w:val="3"/>
        <w:spacing w:before="6000" w:beforeLines="2500" w:after="5280" w:afterLines="2200"/>
        <w:jc w:val="center"/>
        <w:rPr>
          <w:color w:val="auto"/>
          <w:highlight w:val="none"/>
        </w:rPr>
      </w:pPr>
    </w:p>
    <w:p>
      <w:pPr>
        <w:pStyle w:val="3"/>
        <w:spacing w:before="5280" w:beforeLines="2200" w:after="5280" w:afterLines="2200"/>
        <w:jc w:val="center"/>
        <w:rPr>
          <w:color w:val="auto"/>
          <w:highlight w:val="none"/>
        </w:rPr>
      </w:pPr>
      <w:bookmarkStart w:id="249" w:name="_Toc30682"/>
      <w:bookmarkStart w:id="250" w:name="_Toc25092"/>
      <w:bookmarkStart w:id="251" w:name="_Toc6606"/>
      <w:r>
        <w:rPr>
          <w:rFonts w:hint="eastAsia"/>
          <w:color w:val="auto"/>
          <w:highlight w:val="none"/>
        </w:rPr>
        <w:t>第三章</w:t>
      </w:r>
      <w:bookmarkEnd w:id="237"/>
      <w:bookmarkEnd w:id="238"/>
      <w:bookmarkEnd w:id="239"/>
      <w:r>
        <w:rPr>
          <w:rFonts w:hint="eastAsia"/>
          <w:color w:val="auto"/>
          <w:highlight w:val="none"/>
        </w:rPr>
        <w:t>评分体系与标准</w:t>
      </w:r>
      <w:bookmarkEnd w:id="240"/>
      <w:bookmarkEnd w:id="241"/>
      <w:bookmarkEnd w:id="248"/>
      <w:bookmarkEnd w:id="249"/>
      <w:bookmarkEnd w:id="250"/>
      <w:bookmarkEnd w:id="251"/>
    </w:p>
    <w:p>
      <w:pPr>
        <w:spacing w:before="72" w:after="72"/>
        <w:rPr>
          <w:color w:val="auto"/>
          <w:sz w:val="24"/>
          <w:highlight w:val="none"/>
        </w:rPr>
      </w:pPr>
    </w:p>
    <w:p>
      <w:pPr>
        <w:rPr>
          <w:rFonts w:ascii="黑体" w:eastAsia="黑体"/>
          <w:b/>
          <w:bCs/>
          <w:color w:val="auto"/>
          <w:sz w:val="32"/>
          <w:szCs w:val="32"/>
          <w:highlight w:val="none"/>
        </w:rPr>
      </w:pPr>
      <w:r>
        <w:rPr>
          <w:rFonts w:hint="eastAsia" w:ascii="黑体" w:eastAsia="黑体"/>
          <w:b/>
          <w:bCs/>
          <w:color w:val="auto"/>
          <w:sz w:val="32"/>
          <w:szCs w:val="32"/>
          <w:highlight w:val="none"/>
        </w:rPr>
        <w:br w:type="page"/>
      </w:r>
    </w:p>
    <w:p>
      <w:pPr>
        <w:spacing w:line="360" w:lineRule="auto"/>
        <w:jc w:val="center"/>
        <w:rPr>
          <w:rFonts w:ascii="黑体" w:eastAsia="黑体"/>
          <w:b/>
          <w:bCs/>
          <w:color w:val="auto"/>
          <w:sz w:val="32"/>
          <w:szCs w:val="32"/>
          <w:highlight w:val="none"/>
        </w:rPr>
      </w:pPr>
      <w:r>
        <w:rPr>
          <w:rFonts w:hint="eastAsia" w:ascii="黑体" w:eastAsia="黑体"/>
          <w:b/>
          <w:bCs/>
          <w:color w:val="auto"/>
          <w:sz w:val="32"/>
          <w:szCs w:val="32"/>
          <w:highlight w:val="none"/>
        </w:rPr>
        <w:t>评分体系与标准</w:t>
      </w:r>
    </w:p>
    <w:p>
      <w:pPr>
        <w:pStyle w:val="4"/>
        <w:numPr>
          <w:ilvl w:val="0"/>
          <w:numId w:val="50"/>
        </w:numPr>
        <w:adjustRightInd w:val="0"/>
        <w:snapToGrid w:val="0"/>
        <w:spacing w:before="0" w:after="0" w:line="360" w:lineRule="auto"/>
        <w:jc w:val="left"/>
        <w:rPr>
          <w:rFonts w:ascii="宋体" w:hAnsi="宋体" w:eastAsia="宋体" w:cs="宋体"/>
          <w:color w:val="auto"/>
          <w:sz w:val="24"/>
          <w:szCs w:val="24"/>
          <w:highlight w:val="none"/>
        </w:rPr>
      </w:pPr>
      <w:bookmarkStart w:id="252" w:name="_Toc19963"/>
      <w:bookmarkStart w:id="253" w:name="_Toc23501"/>
      <w:bookmarkStart w:id="254" w:name="_Toc2726"/>
      <w:bookmarkStart w:id="255" w:name="_Toc5450"/>
      <w:bookmarkStart w:id="256" w:name="_Toc24056"/>
      <w:bookmarkStart w:id="257" w:name="_Toc24559"/>
      <w:bookmarkStart w:id="258" w:name="_Toc6607"/>
      <w:r>
        <w:rPr>
          <w:rFonts w:hint="eastAsia" w:ascii="宋体" w:hAnsi="宋体" w:eastAsia="宋体" w:cs="宋体"/>
          <w:color w:val="auto"/>
          <w:sz w:val="24"/>
          <w:szCs w:val="24"/>
          <w:highlight w:val="none"/>
        </w:rPr>
        <w:t>评标方法</w:t>
      </w:r>
      <w:bookmarkEnd w:id="252"/>
      <w:bookmarkEnd w:id="253"/>
      <w:bookmarkEnd w:id="254"/>
      <w:bookmarkEnd w:id="255"/>
      <w:bookmarkEnd w:id="256"/>
      <w:bookmarkEnd w:id="257"/>
      <w:bookmarkEnd w:id="258"/>
    </w:p>
    <w:p>
      <w:pPr>
        <w:adjustRightInd w:val="0"/>
        <w:snapToGrid w:val="0"/>
        <w:spacing w:line="360" w:lineRule="auto"/>
        <w:ind w:firstLine="638" w:firstLineChars="266"/>
        <w:rPr>
          <w:rFonts w:ascii="宋体" w:hAnsi="宋体" w:eastAsia="宋体" w:cs="宋体"/>
          <w:bCs/>
          <w:color w:val="auto"/>
          <w:sz w:val="24"/>
          <w:highlight w:val="none"/>
        </w:rPr>
      </w:pPr>
      <w:r>
        <w:rPr>
          <w:rFonts w:hint="eastAsia" w:ascii="宋体" w:hAnsi="宋体" w:eastAsia="宋体" w:cs="宋体"/>
          <w:bCs/>
          <w:color w:val="auto"/>
          <w:sz w:val="24"/>
          <w:highlight w:val="none"/>
        </w:rPr>
        <w:t>本次评标采用综合评分法，即在最大限度地满足招标文件实质性要求前提下，按照招标文件中规定的各项因素进行综合评审后，以评标总得分最高的投标人作为中标候选供应商（服务商）或者中标人（服务商）的评标方法。</w:t>
      </w:r>
    </w:p>
    <w:p>
      <w:pPr>
        <w:pStyle w:val="4"/>
        <w:numPr>
          <w:ilvl w:val="0"/>
          <w:numId w:val="50"/>
        </w:numPr>
        <w:adjustRightInd w:val="0"/>
        <w:snapToGrid w:val="0"/>
        <w:spacing w:before="0" w:after="0" w:line="360" w:lineRule="auto"/>
        <w:jc w:val="left"/>
        <w:rPr>
          <w:rFonts w:ascii="宋体" w:hAnsi="宋体" w:eastAsia="宋体" w:cs="宋体"/>
          <w:color w:val="auto"/>
          <w:sz w:val="24"/>
          <w:szCs w:val="24"/>
          <w:highlight w:val="none"/>
        </w:rPr>
      </w:pPr>
      <w:bookmarkStart w:id="259" w:name="_Toc23511"/>
      <w:bookmarkStart w:id="260" w:name="_Toc14711"/>
      <w:bookmarkStart w:id="261" w:name="_Toc30198"/>
      <w:bookmarkStart w:id="262" w:name="_Toc3659"/>
      <w:bookmarkStart w:id="263" w:name="_Toc29992"/>
      <w:bookmarkStart w:id="264" w:name="_Toc17553"/>
      <w:bookmarkStart w:id="265" w:name="_Toc5067"/>
      <w:r>
        <w:rPr>
          <w:rFonts w:hint="eastAsia" w:ascii="宋体" w:hAnsi="宋体" w:eastAsia="宋体" w:cs="宋体"/>
          <w:color w:val="auto"/>
          <w:sz w:val="24"/>
          <w:szCs w:val="24"/>
          <w:highlight w:val="none"/>
        </w:rPr>
        <w:t>评标流程</w:t>
      </w:r>
      <w:bookmarkEnd w:id="259"/>
      <w:bookmarkEnd w:id="260"/>
      <w:bookmarkEnd w:id="261"/>
      <w:bookmarkEnd w:id="262"/>
      <w:bookmarkEnd w:id="263"/>
      <w:bookmarkEnd w:id="264"/>
      <w:bookmarkEnd w:id="265"/>
    </w:p>
    <w:p>
      <w:pPr>
        <w:numPr>
          <w:ilvl w:val="1"/>
          <w:numId w:val="51"/>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投标文件初步审查</w:t>
      </w:r>
    </w:p>
    <w:p>
      <w:pPr>
        <w:numPr>
          <w:ilvl w:val="1"/>
          <w:numId w:val="51"/>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投标文件详细评审（商务评审、技术评审及价格评审）</w:t>
      </w:r>
    </w:p>
    <w:p>
      <w:pPr>
        <w:numPr>
          <w:ilvl w:val="1"/>
          <w:numId w:val="51"/>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综合评分汇总及中标推荐</w:t>
      </w:r>
    </w:p>
    <w:p>
      <w:pPr>
        <w:pStyle w:val="4"/>
        <w:numPr>
          <w:ilvl w:val="0"/>
          <w:numId w:val="50"/>
        </w:numPr>
        <w:adjustRightInd w:val="0"/>
        <w:snapToGrid w:val="0"/>
        <w:spacing w:before="0" w:after="0" w:line="360" w:lineRule="auto"/>
        <w:jc w:val="left"/>
        <w:rPr>
          <w:rFonts w:ascii="宋体" w:hAnsi="宋体" w:eastAsia="宋体" w:cs="宋体"/>
          <w:color w:val="auto"/>
          <w:sz w:val="24"/>
          <w:szCs w:val="24"/>
          <w:highlight w:val="none"/>
          <w:lang w:val="zh-CN"/>
        </w:rPr>
      </w:pPr>
      <w:bookmarkStart w:id="266" w:name="_Toc18958"/>
      <w:bookmarkStart w:id="267" w:name="_Toc29918"/>
      <w:bookmarkStart w:id="268" w:name="_Toc9804"/>
      <w:bookmarkStart w:id="269" w:name="_Toc7578"/>
      <w:bookmarkStart w:id="270" w:name="_Toc9451"/>
      <w:bookmarkStart w:id="271" w:name="_Toc30393"/>
      <w:bookmarkStart w:id="272" w:name="_Toc332"/>
      <w:r>
        <w:rPr>
          <w:rFonts w:hint="eastAsia" w:ascii="宋体" w:hAnsi="宋体" w:eastAsia="宋体" w:cs="宋体"/>
          <w:color w:val="auto"/>
          <w:sz w:val="24"/>
          <w:szCs w:val="24"/>
          <w:highlight w:val="none"/>
          <w:lang w:val="zh-CN"/>
        </w:rPr>
        <w:t>初步评审</w:t>
      </w:r>
      <w:bookmarkEnd w:id="266"/>
      <w:bookmarkEnd w:id="267"/>
      <w:bookmarkEnd w:id="268"/>
      <w:bookmarkEnd w:id="269"/>
      <w:bookmarkEnd w:id="270"/>
      <w:bookmarkEnd w:id="271"/>
      <w:bookmarkEnd w:id="272"/>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投标文件的初审即为资格及符合性检查。评标委员会根据《资格性检查及符合性检查表》（见附表</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 xml:space="preserve">）内容逐条审查每份投标文件是否实质上响应了招标文件的要求，主要审查投标文件是否完整、有关资格证明文件是否齐全有效、文件签署是否合格、是否按招标文件的规定密封和标记、投标人是否交纳了投标保证金、投标有效期是否满足要求等。 </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只有全部满足《资格性检查及符合性检查表》所列各项要求的投标才是有效投标，只要不满足《资格性检查及符合性检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的投标报价明显低于其他投标报价，评标委员会将要求该投标人做出书面说明并提供相关证明材料。投标人不能合理说明理由或者不能提供相关证明材料的，评标委员会将认定该投标人以低于成本报价竞标，其投标作无效标处理。</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对于投标文件中不构成实质性偏差的不正规、不一致或不规则，评标委员会可以接受，但这种接受不能损害或影响任何投标人的相对排序。</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委员会在对投标人进行资格性检查和符合性检查时，发现投标人有下列情形之一的，视为投标人实质上没有响应招标文件的要求，将作废标处理。投标人不得通过修正或撤销不合要求的偏离或保留从而使其投标成为实质上响应的投标。</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投标文件没有投标人加盖公章、投标人法定代表人或经其正式授权的代表签名或盖章的；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投标文件未编制目录、未按顺序编制页码的；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投标文件提供虚假材料的；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投标文件未完全满足招标文件带“★”号的条款或指标的；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投标人没有按招标文件的要求提交相关证件、证明文件、合同和其他文件的原件、复印件或提交的原件与复印件不一致的；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投标人报价不确定或超过招标文件中列出的采购预算（最高限价）的；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投标人未按招标文件要求交纳投标保证金的；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联合体投标未提交联合体各方共同投标协议的；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投标人投标报价低于企业的成本价的；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评审期间，投标人没有按评标委员会的要求提交经授权代表签字的澄清、说明、补正或改变了投标文件的实质性内容的；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投标人对招标人、评标委员会、招标代理机构及其工作人员施加影响，有碍公平、公正的；</w:t>
      </w:r>
    </w:p>
    <w:p>
      <w:pPr>
        <w:numPr>
          <w:ilvl w:val="0"/>
          <w:numId w:val="53"/>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color w:val="auto"/>
          <w:sz w:val="24"/>
          <w:highlight w:val="none"/>
        </w:rPr>
        <w:t>法律、法规和招标文件规定的其他无效情形。</w:t>
      </w:r>
    </w:p>
    <w:p>
      <w:pPr>
        <w:numPr>
          <w:ilvl w:val="1"/>
          <w:numId w:val="52"/>
        </w:numPr>
        <w:tabs>
          <w:tab w:val="left" w:pos="124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如发生下列情形之一的，本项目废标：</w:t>
      </w:r>
    </w:p>
    <w:p>
      <w:pPr>
        <w:numPr>
          <w:ilvl w:val="0"/>
          <w:numId w:val="54"/>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cs="宋体"/>
          <w:color w:val="auto"/>
          <w:sz w:val="24"/>
          <w:highlight w:val="none"/>
        </w:rPr>
        <w:t>符合专业条件的供应商（服务商）或者对招标文件作实质响应的供应商（服务商）只有一家的；</w:t>
      </w:r>
    </w:p>
    <w:p>
      <w:pPr>
        <w:numPr>
          <w:ilvl w:val="0"/>
          <w:numId w:val="54"/>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出现影响采购公正的违法、违规行为的；</w:t>
      </w:r>
    </w:p>
    <w:p>
      <w:pPr>
        <w:numPr>
          <w:ilvl w:val="0"/>
          <w:numId w:val="54"/>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投标人的报价均超过了采购预算，招标人不能支付的；</w:t>
      </w:r>
    </w:p>
    <w:p>
      <w:pPr>
        <w:numPr>
          <w:ilvl w:val="0"/>
          <w:numId w:val="54"/>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rPr>
      </w:pPr>
      <w:r>
        <w:rPr>
          <w:rFonts w:hint="eastAsia" w:ascii="宋体" w:hAnsi="宋体" w:eastAsia="宋体" w:cs="宋体"/>
          <w:color w:val="auto"/>
          <w:sz w:val="24"/>
          <w:highlight w:val="none"/>
        </w:rPr>
        <w:t>因重大变故，采购任务取消的。</w:t>
      </w:r>
    </w:p>
    <w:p>
      <w:pPr>
        <w:numPr>
          <w:ilvl w:val="1"/>
          <w:numId w:val="52"/>
        </w:numPr>
        <w:tabs>
          <w:tab w:val="left" w:pos="1220"/>
          <w:tab w:val="clear" w:pos="907"/>
        </w:tabs>
        <w:adjustRightInd w:val="0"/>
        <w:snapToGrid w:val="0"/>
        <w:spacing w:line="360" w:lineRule="auto"/>
        <w:ind w:left="1187" w:hanging="54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投标文件的澄清</w:t>
      </w:r>
    </w:p>
    <w:p>
      <w:pPr>
        <w:numPr>
          <w:ilvl w:val="0"/>
          <w:numId w:val="55"/>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pPr>
        <w:numPr>
          <w:ilvl w:val="0"/>
          <w:numId w:val="55"/>
        </w:numPr>
        <w:tabs>
          <w:tab w:val="left" w:pos="975"/>
          <w:tab w:val="left" w:pos="1240"/>
        </w:tabs>
        <w:adjustRightInd w:val="0"/>
        <w:snapToGrid w:val="0"/>
        <w:spacing w:line="360" w:lineRule="auto"/>
        <w:ind w:left="1296" w:leftChars="303" w:hanging="66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投标人的澄清文件是其投标文件的组成部分。</w:t>
      </w:r>
    </w:p>
    <w:p>
      <w:pPr>
        <w:pStyle w:val="4"/>
        <w:numPr>
          <w:ilvl w:val="0"/>
          <w:numId w:val="50"/>
        </w:numPr>
        <w:adjustRightInd w:val="0"/>
        <w:snapToGrid w:val="0"/>
        <w:spacing w:before="0" w:after="0" w:line="360" w:lineRule="auto"/>
        <w:jc w:val="left"/>
        <w:rPr>
          <w:rFonts w:ascii="宋体" w:hAnsi="宋体" w:eastAsia="宋体" w:cs="宋体"/>
          <w:color w:val="auto"/>
          <w:sz w:val="24"/>
          <w:szCs w:val="24"/>
          <w:highlight w:val="none"/>
          <w:lang w:val="zh-CN"/>
        </w:rPr>
      </w:pPr>
      <w:bookmarkStart w:id="273" w:name="_Toc23079"/>
      <w:bookmarkStart w:id="274" w:name="_Toc152"/>
      <w:bookmarkStart w:id="275" w:name="_Toc29739"/>
      <w:bookmarkStart w:id="276" w:name="_Toc25270"/>
      <w:bookmarkStart w:id="277" w:name="_Toc27875"/>
      <w:bookmarkStart w:id="278" w:name="_Toc2754"/>
      <w:bookmarkStart w:id="279" w:name="_Toc8047"/>
      <w:r>
        <w:rPr>
          <w:rFonts w:hint="eastAsia" w:ascii="宋体" w:hAnsi="宋体" w:eastAsia="宋体" w:cs="宋体"/>
          <w:color w:val="auto"/>
          <w:sz w:val="24"/>
          <w:szCs w:val="24"/>
          <w:highlight w:val="none"/>
          <w:lang w:val="zh-CN"/>
        </w:rPr>
        <w:t>详细评审</w:t>
      </w:r>
      <w:bookmarkEnd w:id="273"/>
      <w:bookmarkEnd w:id="274"/>
      <w:bookmarkEnd w:id="275"/>
      <w:bookmarkEnd w:id="276"/>
      <w:bookmarkEnd w:id="277"/>
      <w:bookmarkEnd w:id="278"/>
      <w:bookmarkEnd w:id="279"/>
    </w:p>
    <w:p>
      <w:pPr>
        <w:numPr>
          <w:ilvl w:val="1"/>
          <w:numId w:val="56"/>
        </w:numPr>
        <w:tabs>
          <w:tab w:val="left" w:pos="1220"/>
          <w:tab w:val="clear" w:pos="907"/>
        </w:tabs>
        <w:adjustRightInd w:val="0"/>
        <w:snapToGrid w:val="0"/>
        <w:spacing w:line="360" w:lineRule="auto"/>
        <w:ind w:left="1207" w:hanging="5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详细评审是对通过初审的有效投标人进行技术和商务方面的评分。评分总值最高为100分，各分项的分值分配见附表</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p>
    <w:p>
      <w:pPr>
        <w:numPr>
          <w:ilvl w:val="1"/>
          <w:numId w:val="56"/>
        </w:numPr>
        <w:tabs>
          <w:tab w:val="left" w:pos="1220"/>
          <w:tab w:val="clear" w:pos="907"/>
        </w:tabs>
        <w:adjustRightInd w:val="0"/>
        <w:snapToGrid w:val="0"/>
        <w:spacing w:line="360" w:lineRule="auto"/>
        <w:ind w:left="1207" w:hanging="567"/>
        <w:rPr>
          <w:rFonts w:ascii="宋体" w:hAnsi="宋体" w:eastAsia="宋体" w:cs="宋体"/>
          <w:color w:val="auto"/>
          <w:sz w:val="24"/>
          <w:highlight w:val="none"/>
          <w:shd w:val="clear" w:color="auto" w:fill="FFFFFF"/>
          <w:lang w:val="zh-CN"/>
        </w:rPr>
      </w:pPr>
      <w:r>
        <w:rPr>
          <w:rFonts w:hint="eastAsia" w:ascii="宋体" w:hAnsi="宋体" w:eastAsia="宋体" w:cs="宋体"/>
          <w:color w:val="auto"/>
          <w:sz w:val="24"/>
          <w:highlight w:val="none"/>
          <w:shd w:val="clear" w:color="auto" w:fill="FFFFFF"/>
          <w:lang w:val="zh-CN"/>
        </w:rPr>
        <w:t>技术评审：见附表3</w:t>
      </w:r>
    </w:p>
    <w:p>
      <w:pPr>
        <w:numPr>
          <w:ilvl w:val="1"/>
          <w:numId w:val="56"/>
        </w:numPr>
        <w:tabs>
          <w:tab w:val="left" w:pos="1220"/>
          <w:tab w:val="clear" w:pos="907"/>
        </w:tabs>
        <w:adjustRightInd w:val="0"/>
        <w:snapToGrid w:val="0"/>
        <w:spacing w:line="360" w:lineRule="auto"/>
        <w:ind w:left="1207" w:hanging="567"/>
        <w:rPr>
          <w:rFonts w:ascii="宋体" w:hAnsi="宋体" w:eastAsia="宋体" w:cs="宋体"/>
          <w:color w:val="auto"/>
          <w:sz w:val="24"/>
          <w:highlight w:val="none"/>
          <w:shd w:val="clear" w:color="auto" w:fill="FFFFFF"/>
          <w:lang w:val="zh-CN"/>
        </w:rPr>
      </w:pPr>
      <w:r>
        <w:rPr>
          <w:rFonts w:hint="eastAsia" w:ascii="宋体" w:hAnsi="宋体" w:eastAsia="宋体" w:cs="宋体"/>
          <w:color w:val="auto"/>
          <w:sz w:val="24"/>
          <w:highlight w:val="none"/>
          <w:shd w:val="clear" w:color="auto" w:fill="FFFFFF"/>
          <w:lang w:val="zh-CN"/>
        </w:rPr>
        <w:t>商务评审：见附表</w:t>
      </w:r>
      <w:r>
        <w:rPr>
          <w:rFonts w:hint="eastAsia" w:ascii="宋体" w:hAnsi="宋体" w:eastAsia="宋体" w:cs="宋体"/>
          <w:color w:val="auto"/>
          <w:sz w:val="24"/>
          <w:highlight w:val="none"/>
          <w:shd w:val="clear" w:color="auto" w:fill="FFFFFF"/>
        </w:rPr>
        <w:t>4</w:t>
      </w:r>
    </w:p>
    <w:p>
      <w:pPr>
        <w:numPr>
          <w:ilvl w:val="1"/>
          <w:numId w:val="56"/>
        </w:numPr>
        <w:tabs>
          <w:tab w:val="left" w:pos="1220"/>
          <w:tab w:val="clear" w:pos="907"/>
        </w:tabs>
        <w:adjustRightInd w:val="0"/>
        <w:snapToGrid w:val="0"/>
        <w:spacing w:line="360" w:lineRule="auto"/>
        <w:ind w:left="1207" w:hanging="5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价格评审：评标委员会对各个有效投标人的投标报价进行校核、评审或作出必要的修正，并按价格评分办法计算其价格评分。</w:t>
      </w:r>
    </w:p>
    <w:p>
      <w:pPr>
        <w:numPr>
          <w:ilvl w:val="0"/>
          <w:numId w:val="57"/>
        </w:numPr>
        <w:tabs>
          <w:tab w:val="left" w:pos="1280"/>
          <w:tab w:val="clear" w:pos="1077"/>
        </w:tabs>
        <w:adjustRightInd w:val="0"/>
        <w:snapToGrid w:val="0"/>
        <w:spacing w:line="360" w:lineRule="auto"/>
        <w:ind w:left="1277" w:hanging="63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投标报价的校核及对报价错误的处理与修正原则：评标委员会详细分析、核准供应商（服务商）价格表，检查其是否存在计算上或累加上的算术错误，并按以下原则进行修正：</w:t>
      </w:r>
    </w:p>
    <w:p>
      <w:pPr>
        <w:numPr>
          <w:ilvl w:val="0"/>
          <w:numId w:val="58"/>
        </w:numPr>
        <w:tabs>
          <w:tab w:val="left" w:pos="1134"/>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投标文件的大写金额与小写金额不一致的，以大写金额为准。</w:t>
      </w:r>
    </w:p>
    <w:p>
      <w:pPr>
        <w:numPr>
          <w:ilvl w:val="0"/>
          <w:numId w:val="58"/>
        </w:numPr>
        <w:tabs>
          <w:tab w:val="left" w:pos="1134"/>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总价金额与按单价汇总金额不一致的，以单价金额计算结果为准。</w:t>
      </w:r>
    </w:p>
    <w:p>
      <w:pPr>
        <w:numPr>
          <w:ilvl w:val="0"/>
          <w:numId w:val="58"/>
        </w:numPr>
        <w:tabs>
          <w:tab w:val="left" w:pos="1134"/>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单价金额小数点有明显错位的，以总价为准，并修改单价。</w:t>
      </w:r>
    </w:p>
    <w:p>
      <w:pPr>
        <w:tabs>
          <w:tab w:val="left" w:pos="1134"/>
        </w:tabs>
        <w:adjustRightInd w:val="0"/>
        <w:snapToGrid w:val="0"/>
        <w:spacing w:line="360" w:lineRule="auto"/>
        <w:ind w:left="840"/>
        <w:rPr>
          <w:rFonts w:ascii="宋体" w:hAnsi="宋体" w:eastAsia="宋体" w:cs="宋体"/>
          <w:color w:val="auto"/>
          <w:sz w:val="24"/>
          <w:highlight w:val="none"/>
        </w:rPr>
      </w:pPr>
      <w:r>
        <w:rPr>
          <w:rFonts w:hint="eastAsia" w:ascii="宋体" w:hAnsi="宋体" w:eastAsia="宋体" w:cs="宋体"/>
          <w:b/>
          <w:color w:val="auto"/>
          <w:sz w:val="24"/>
          <w:highlight w:val="none"/>
        </w:rPr>
        <w:t>同时出现两种以上不一致的，按照上述规定的顺序修正。修正后的报价经投标人确认后产生约束力，投标人不确认的，其投标无效。</w:t>
      </w:r>
    </w:p>
    <w:p>
      <w:pPr>
        <w:numPr>
          <w:ilvl w:val="0"/>
          <w:numId w:val="57"/>
        </w:numPr>
        <w:tabs>
          <w:tab w:val="left" w:pos="1280"/>
          <w:tab w:val="clear" w:pos="1077"/>
        </w:tabs>
        <w:adjustRightInd w:val="0"/>
        <w:snapToGrid w:val="0"/>
        <w:spacing w:line="360" w:lineRule="auto"/>
        <w:ind w:left="1277" w:hanging="63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投标报价缺漏项的处理：对投标货物、服务投标报价缺漏项的，评标委员会将以其他投标人对应项的最高投标报价补充计入其评标总价；若其中标，有关该内容的合同价格不予调整。</w:t>
      </w:r>
    </w:p>
    <w:p>
      <w:pPr>
        <w:numPr>
          <w:ilvl w:val="0"/>
          <w:numId w:val="57"/>
        </w:numPr>
        <w:tabs>
          <w:tab w:val="left" w:pos="1280"/>
          <w:tab w:val="clear" w:pos="1077"/>
        </w:tabs>
        <w:adjustRightInd w:val="0"/>
        <w:snapToGrid w:val="0"/>
        <w:spacing w:line="360" w:lineRule="auto"/>
        <w:ind w:left="1277" w:hanging="63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评标价的确定：按上述条款校核修正后的价格为评标价。</w:t>
      </w:r>
    </w:p>
    <w:p>
      <w:pPr>
        <w:numPr>
          <w:ilvl w:val="0"/>
          <w:numId w:val="57"/>
        </w:numPr>
        <w:tabs>
          <w:tab w:val="left" w:pos="1280"/>
          <w:tab w:val="clear" w:pos="1077"/>
        </w:tabs>
        <w:adjustRightInd w:val="0"/>
        <w:snapToGrid w:val="0"/>
        <w:spacing w:line="360" w:lineRule="auto"/>
        <w:ind w:left="1277" w:hanging="63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计算价格评分：详见附表5：价格评审表</w:t>
      </w:r>
    </w:p>
    <w:p>
      <w:pPr>
        <w:numPr>
          <w:ilvl w:val="1"/>
          <w:numId w:val="56"/>
        </w:numPr>
        <w:tabs>
          <w:tab w:val="left" w:pos="1220"/>
          <w:tab w:val="clear" w:pos="907"/>
        </w:tabs>
        <w:adjustRightInd w:val="0"/>
        <w:snapToGrid w:val="0"/>
        <w:spacing w:line="360" w:lineRule="auto"/>
        <w:ind w:left="1207" w:hanging="5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评标总得分及其统计</w:t>
      </w:r>
    </w:p>
    <w:p>
      <w:pPr>
        <w:numPr>
          <w:ilvl w:val="0"/>
          <w:numId w:val="59"/>
        </w:numPr>
        <w:tabs>
          <w:tab w:val="left" w:pos="1280"/>
          <w:tab w:val="clear" w:pos="1077"/>
        </w:tabs>
        <w:adjustRightInd w:val="0"/>
        <w:snapToGrid w:val="0"/>
        <w:spacing w:line="360" w:lineRule="auto"/>
        <w:ind w:left="1297" w:hanging="65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按照评标程序、评分标准及权重分配的规定，评标委员会各成员分别就各个有效投标人的商务状况、技术状况及其对招标文件要求的响应情况进行评分，将各评委评分的算术平均值作为该投标人的商务评分或技术评分。然后，根据比价原则评出价格评分。将商务评分、技术评分和价格评分相加得出评标总得分（评标总得分分值按四舍五入原则精确到小数点后两位数）。</w:t>
      </w:r>
    </w:p>
    <w:p>
      <w:pPr>
        <w:numPr>
          <w:ilvl w:val="1"/>
          <w:numId w:val="56"/>
        </w:numPr>
        <w:tabs>
          <w:tab w:val="left" w:pos="1220"/>
          <w:tab w:val="clear" w:pos="907"/>
        </w:tabs>
        <w:adjustRightInd w:val="0"/>
        <w:snapToGrid w:val="0"/>
        <w:spacing w:line="360" w:lineRule="auto"/>
        <w:ind w:left="1207" w:hanging="5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推荐意见</w:t>
      </w:r>
    </w:p>
    <w:p>
      <w:pPr>
        <w:tabs>
          <w:tab w:val="left" w:pos="1220"/>
        </w:tabs>
        <w:adjustRightInd w:val="0"/>
        <w:snapToGrid w:val="0"/>
        <w:spacing w:line="360" w:lineRule="auto"/>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详见本招标文件第二章投标人须知第</w:t>
      </w:r>
      <w:r>
        <w:rPr>
          <w:rFonts w:hint="eastAsia" w:ascii="宋体" w:hAnsi="宋体" w:eastAsia="宋体" w:cs="宋体"/>
          <w:color w:val="auto"/>
          <w:sz w:val="24"/>
          <w:highlight w:val="none"/>
        </w:rPr>
        <w:t>24款相关内容。</w:t>
      </w:r>
    </w:p>
    <w:p>
      <w:pPr>
        <w:pStyle w:val="4"/>
        <w:numPr>
          <w:ilvl w:val="0"/>
          <w:numId w:val="50"/>
        </w:numPr>
        <w:adjustRightInd w:val="0"/>
        <w:snapToGrid w:val="0"/>
        <w:spacing w:before="0" w:after="0" w:line="360" w:lineRule="auto"/>
        <w:jc w:val="left"/>
        <w:rPr>
          <w:rFonts w:ascii="宋体" w:hAnsi="宋体" w:eastAsia="宋体" w:cs="宋体"/>
          <w:color w:val="auto"/>
          <w:sz w:val="24"/>
          <w:szCs w:val="24"/>
          <w:highlight w:val="none"/>
          <w:lang w:val="zh-CN"/>
        </w:rPr>
      </w:pPr>
      <w:bookmarkStart w:id="280" w:name="_Toc30220"/>
      <w:bookmarkStart w:id="281" w:name="_Toc17517"/>
      <w:bookmarkStart w:id="282" w:name="_Toc11968"/>
      <w:bookmarkStart w:id="283" w:name="_Toc2954"/>
      <w:bookmarkStart w:id="284" w:name="_Toc25505"/>
      <w:bookmarkStart w:id="285" w:name="_Toc2631"/>
      <w:bookmarkStart w:id="286" w:name="_Toc25275"/>
      <w:r>
        <w:rPr>
          <w:rFonts w:hint="eastAsia" w:ascii="宋体" w:hAnsi="宋体" w:eastAsia="宋体" w:cs="宋体"/>
          <w:color w:val="auto"/>
          <w:sz w:val="24"/>
          <w:szCs w:val="24"/>
          <w:highlight w:val="none"/>
          <w:lang w:val="zh-CN"/>
        </w:rPr>
        <w:t>附表</w:t>
      </w:r>
      <w:bookmarkEnd w:id="280"/>
      <w:bookmarkEnd w:id="281"/>
      <w:bookmarkEnd w:id="282"/>
      <w:bookmarkEnd w:id="283"/>
      <w:bookmarkEnd w:id="284"/>
      <w:bookmarkEnd w:id="285"/>
      <w:bookmarkEnd w:id="286"/>
    </w:p>
    <w:p>
      <w:pPr>
        <w:numPr>
          <w:ilvl w:val="1"/>
          <w:numId w:val="60"/>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附表</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zh-CN"/>
        </w:rPr>
        <w:t>资格性检查及符合性检查表</w:t>
      </w:r>
    </w:p>
    <w:p>
      <w:pPr>
        <w:numPr>
          <w:ilvl w:val="1"/>
          <w:numId w:val="60"/>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附表</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技术、商务及价格权重分配</w:t>
      </w:r>
    </w:p>
    <w:p>
      <w:pPr>
        <w:numPr>
          <w:ilvl w:val="1"/>
          <w:numId w:val="60"/>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附表</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zh-CN"/>
        </w:rPr>
        <w:t>技术评审表</w:t>
      </w:r>
    </w:p>
    <w:p>
      <w:pPr>
        <w:numPr>
          <w:ilvl w:val="1"/>
          <w:numId w:val="60"/>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附表</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zh-CN"/>
        </w:rPr>
        <w:t>商务评审表</w:t>
      </w:r>
    </w:p>
    <w:p>
      <w:pPr>
        <w:numPr>
          <w:ilvl w:val="1"/>
          <w:numId w:val="60"/>
        </w:numPr>
        <w:tabs>
          <w:tab w:val="left" w:pos="1220"/>
        </w:tabs>
        <w:adjustRightInd w:val="0"/>
        <w:snapToGrid w:val="0"/>
        <w:spacing w:line="360" w:lineRule="auto"/>
        <w:ind w:hanging="267"/>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附表5：价格评审表</w:t>
      </w:r>
    </w:p>
    <w:p>
      <w:pPr>
        <w:tabs>
          <w:tab w:val="left" w:pos="360"/>
          <w:tab w:val="left" w:pos="1030"/>
        </w:tabs>
        <w:spacing w:before="120"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附表1：资格性检查及符合性检查表</w:t>
      </w:r>
    </w:p>
    <w:tbl>
      <w:tblPr>
        <w:tblStyle w:val="41"/>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2251"/>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shd w:val="clear" w:color="auto" w:fill="EAEAE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序号</w:t>
            </w:r>
          </w:p>
        </w:tc>
        <w:tc>
          <w:tcPr>
            <w:tcW w:w="1080" w:type="dxa"/>
            <w:shd w:val="clear" w:color="auto" w:fill="EAEAE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审查</w:t>
            </w:r>
          </w:p>
          <w:p>
            <w:pPr>
              <w:adjustRightInd w:val="0"/>
              <w:snapToGrid w:val="0"/>
              <w:jc w:val="center"/>
              <w:rPr>
                <w:rFonts w:ascii="宋体" w:hAnsi="宋体"/>
                <w:b/>
                <w:color w:val="auto"/>
                <w:sz w:val="24"/>
                <w:highlight w:val="none"/>
              </w:rPr>
            </w:pPr>
            <w:r>
              <w:rPr>
                <w:rFonts w:hint="eastAsia" w:ascii="宋体" w:hAnsi="宋体"/>
                <w:b/>
                <w:color w:val="auto"/>
                <w:sz w:val="24"/>
                <w:highlight w:val="none"/>
              </w:rPr>
              <w:t>项目</w:t>
            </w:r>
          </w:p>
        </w:tc>
        <w:tc>
          <w:tcPr>
            <w:tcW w:w="2251" w:type="dxa"/>
            <w:shd w:val="clear" w:color="auto" w:fill="EAEAE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审查内容</w:t>
            </w:r>
          </w:p>
        </w:tc>
        <w:tc>
          <w:tcPr>
            <w:tcW w:w="4566" w:type="dxa"/>
            <w:shd w:val="clear" w:color="auto" w:fill="EAEAE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080"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资格性检查</w:t>
            </w: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合格投标人</w:t>
            </w:r>
          </w:p>
        </w:tc>
        <w:tc>
          <w:tcPr>
            <w:tcW w:w="4566" w:type="dxa"/>
            <w:noWrap w:val="0"/>
            <w:vAlign w:val="center"/>
          </w:tcPr>
          <w:p>
            <w:pPr>
              <w:adjustRightInd w:val="0"/>
              <w:snapToGrid w:val="0"/>
              <w:rPr>
                <w:rFonts w:ascii="宋体" w:hAnsi="宋体" w:cs="Tahoma"/>
                <w:color w:val="auto"/>
                <w:sz w:val="24"/>
                <w:highlight w:val="none"/>
              </w:rPr>
            </w:pPr>
            <w:r>
              <w:rPr>
                <w:rFonts w:hint="eastAsia" w:ascii="宋体" w:hAnsi="宋体" w:cs="Tahoma"/>
                <w:color w:val="auto"/>
                <w:sz w:val="24"/>
                <w:highlight w:val="none"/>
              </w:rPr>
              <w:t>详见投标邀请函中“供应商（服务商）资格”相应条款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5" w:type="dxa"/>
            <w:gridSpan w:val="4"/>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不能通过资格性检查的投标人，无需进行以下内容的审查。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restart"/>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080" w:type="dxa"/>
            <w:vMerge w:val="restart"/>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符合性检查</w:t>
            </w: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投标函</w:t>
            </w:r>
            <w:r>
              <w:rPr>
                <w:rFonts w:hint="eastAsia" w:ascii="宋体" w:hAnsi="宋体"/>
                <w:color w:val="auto"/>
                <w:sz w:val="24"/>
                <w:highlight w:val="none"/>
                <w:lang w:eastAsia="zh-CN"/>
              </w:rPr>
              <w:t>（</w:t>
            </w:r>
            <w:r>
              <w:rPr>
                <w:rFonts w:hint="eastAsia" w:ascii="宋体" w:hAnsi="宋体"/>
                <w:color w:val="auto"/>
                <w:sz w:val="24"/>
                <w:highlight w:val="none"/>
              </w:rPr>
              <w:t>原件</w:t>
            </w:r>
            <w:r>
              <w:rPr>
                <w:rFonts w:hint="eastAsia" w:ascii="宋体" w:hAnsi="宋体"/>
                <w:color w:val="auto"/>
                <w:sz w:val="24"/>
                <w:highlight w:val="none"/>
                <w:lang w:eastAsia="zh-CN"/>
              </w:rPr>
              <w:t>）</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法定代表人（负责人）证明书及法定代表人（负责人）授权委托书</w:t>
            </w:r>
            <w:r>
              <w:rPr>
                <w:rFonts w:hint="eastAsia" w:ascii="宋体" w:hAnsi="宋体"/>
                <w:color w:val="auto"/>
                <w:sz w:val="24"/>
                <w:highlight w:val="none"/>
                <w:lang w:eastAsia="zh-CN"/>
              </w:rPr>
              <w:t>（</w:t>
            </w:r>
            <w:r>
              <w:rPr>
                <w:rFonts w:hint="eastAsia" w:ascii="宋体" w:hAnsi="宋体"/>
                <w:color w:val="auto"/>
                <w:sz w:val="24"/>
                <w:highlight w:val="none"/>
              </w:rPr>
              <w:t>原件</w:t>
            </w:r>
            <w:r>
              <w:rPr>
                <w:rFonts w:hint="eastAsia" w:ascii="宋体" w:hAnsi="宋体"/>
                <w:color w:val="auto"/>
                <w:sz w:val="24"/>
                <w:highlight w:val="none"/>
                <w:lang w:eastAsia="zh-CN"/>
              </w:rPr>
              <w:t>）</w:t>
            </w:r>
          </w:p>
          <w:p>
            <w:pPr>
              <w:adjustRightInd w:val="0"/>
              <w:snapToGrid w:val="0"/>
              <w:jc w:val="center"/>
              <w:rPr>
                <w:rFonts w:ascii="宋体" w:hAnsi="宋体"/>
                <w:color w:val="auto"/>
                <w:sz w:val="24"/>
                <w:highlight w:val="none"/>
              </w:rPr>
            </w:pPr>
            <w:r>
              <w:rPr>
                <w:rFonts w:hint="eastAsia" w:ascii="宋体" w:hAnsi="宋体"/>
                <w:color w:val="auto"/>
                <w:sz w:val="24"/>
                <w:highlight w:val="none"/>
              </w:rPr>
              <w:t>注：法定代表人（负责人）投标的只须提供法定代表人（负责人）证明书</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vMerge w:val="restart"/>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报价要求</w:t>
            </w:r>
          </w:p>
        </w:tc>
        <w:tc>
          <w:tcPr>
            <w:tcW w:w="4566" w:type="dxa"/>
            <w:noWrap w:val="0"/>
            <w:vAlign w:val="center"/>
          </w:tcPr>
          <w:p>
            <w:pPr>
              <w:tabs>
                <w:tab w:val="left" w:pos="2880"/>
              </w:tabs>
              <w:adjustRightInd w:val="0"/>
              <w:snapToGrid w:val="0"/>
              <w:ind w:left="40" w:leftChars="19"/>
              <w:rPr>
                <w:rFonts w:ascii="宋体" w:hAnsi="宋体"/>
                <w:color w:val="auto"/>
                <w:sz w:val="24"/>
                <w:highlight w:val="none"/>
              </w:rPr>
            </w:pPr>
            <w:r>
              <w:rPr>
                <w:rFonts w:hint="eastAsia" w:ascii="宋体" w:hAnsi="宋体" w:cs="Tahoma"/>
                <w:color w:val="auto"/>
                <w:kern w:val="28"/>
                <w:sz w:val="24"/>
                <w:highlight w:val="none"/>
              </w:rPr>
              <w:t>投标报价是固定价且是唯一的，投标报价未超出最高限价。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vMerge w:val="continue"/>
            <w:noWrap w:val="0"/>
            <w:vAlign w:val="center"/>
          </w:tcPr>
          <w:p>
            <w:pPr>
              <w:adjustRightInd w:val="0"/>
              <w:snapToGrid w:val="0"/>
              <w:jc w:val="center"/>
              <w:rPr>
                <w:rFonts w:ascii="宋体" w:hAnsi="宋体"/>
                <w:color w:val="auto"/>
                <w:sz w:val="24"/>
                <w:highlight w:val="none"/>
              </w:rPr>
            </w:pPr>
          </w:p>
        </w:tc>
        <w:tc>
          <w:tcPr>
            <w:tcW w:w="4566" w:type="dxa"/>
            <w:noWrap w:val="0"/>
            <w:vAlign w:val="center"/>
          </w:tcPr>
          <w:p>
            <w:pPr>
              <w:tabs>
                <w:tab w:val="left" w:pos="2880"/>
              </w:tabs>
              <w:adjustRightInd w:val="0"/>
              <w:snapToGrid w:val="0"/>
              <w:ind w:left="40" w:leftChars="19"/>
              <w:rPr>
                <w:rFonts w:ascii="宋体" w:hAnsi="宋体" w:cs="Tahoma"/>
                <w:color w:val="auto"/>
                <w:kern w:val="28"/>
                <w:sz w:val="24"/>
                <w:highlight w:val="none"/>
              </w:rPr>
            </w:pPr>
            <w:r>
              <w:rPr>
                <w:rFonts w:hint="eastAsia" w:ascii="宋体" w:hAnsi="宋体" w:cs="Tahoma"/>
                <w:color w:val="auto"/>
                <w:kern w:val="28"/>
                <w:sz w:val="24"/>
                <w:highlight w:val="none"/>
              </w:rPr>
              <w:t>若投标报价明显低于投标人个别成本，投标人应能作出合理说明。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vMerge w:val="continue"/>
            <w:noWrap w:val="0"/>
            <w:vAlign w:val="center"/>
          </w:tcPr>
          <w:p>
            <w:pPr>
              <w:adjustRightInd w:val="0"/>
              <w:snapToGrid w:val="0"/>
              <w:jc w:val="center"/>
              <w:rPr>
                <w:rFonts w:ascii="宋体" w:hAnsi="宋体"/>
                <w:color w:val="auto"/>
                <w:sz w:val="24"/>
                <w:highlight w:val="none"/>
              </w:rPr>
            </w:pPr>
          </w:p>
        </w:tc>
        <w:tc>
          <w:tcPr>
            <w:tcW w:w="4566" w:type="dxa"/>
            <w:noWrap w:val="0"/>
            <w:vAlign w:val="center"/>
          </w:tcPr>
          <w:p>
            <w:pPr>
              <w:tabs>
                <w:tab w:val="left" w:pos="2880"/>
              </w:tabs>
              <w:adjustRightInd w:val="0"/>
              <w:snapToGrid w:val="0"/>
              <w:ind w:left="40" w:leftChars="19"/>
              <w:rPr>
                <w:rFonts w:ascii="宋体" w:hAnsi="宋体" w:cs="Tahoma"/>
                <w:color w:val="auto"/>
                <w:kern w:val="28"/>
                <w:sz w:val="24"/>
                <w:highlight w:val="none"/>
              </w:rPr>
            </w:pPr>
            <w:r>
              <w:rPr>
                <w:rFonts w:hint="eastAsia" w:ascii="宋体" w:hAnsi="宋体" w:cs="Tahoma"/>
                <w:color w:val="auto"/>
                <w:kern w:val="28"/>
                <w:sz w:val="24"/>
                <w:highlight w:val="none"/>
              </w:rPr>
              <w:t>招标文件不接受提交备选方案。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投标文件的完整性</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投标文件完整且按序编制目录及页码，投标内容基本完整，无重大错漏，并按要求密封、签署、盖章。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服务期</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s="Tahoma"/>
                <w:color w:val="auto"/>
                <w:sz w:val="24"/>
                <w:highlight w:val="none"/>
              </w:rPr>
              <w:t>投标保证金</w:t>
            </w:r>
          </w:p>
        </w:tc>
        <w:tc>
          <w:tcPr>
            <w:tcW w:w="4566" w:type="dxa"/>
            <w:noWrap w:val="0"/>
            <w:vAlign w:val="center"/>
          </w:tcPr>
          <w:p>
            <w:pPr>
              <w:adjustRightInd w:val="0"/>
              <w:snapToGrid w:val="0"/>
              <w:rPr>
                <w:rFonts w:ascii="宋体" w:hAnsi="宋体"/>
                <w:color w:val="auto"/>
                <w:sz w:val="24"/>
                <w:highlight w:val="none"/>
              </w:rPr>
            </w:pPr>
            <w:r>
              <w:rPr>
                <w:rFonts w:hint="eastAsia" w:ascii="宋体" w:hAnsi="宋体"/>
                <w:color w:val="auto"/>
                <w:sz w:val="24"/>
                <w:highlight w:val="none"/>
              </w:rPr>
              <w:t>已按招标文件要求提交足额投标保证金或投标担保函。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投标有效期</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投标截止日起90天。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招标代理服务费支付承诺书</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已按招标文件要求提交招标代理服务费支付承诺书。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带★条款</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28" w:type="dxa"/>
            <w:vMerge w:val="continue"/>
            <w:noWrap w:val="0"/>
            <w:vAlign w:val="center"/>
          </w:tcPr>
          <w:p>
            <w:pPr>
              <w:adjustRightInd w:val="0"/>
              <w:snapToGrid w:val="0"/>
              <w:jc w:val="center"/>
              <w:rPr>
                <w:rFonts w:ascii="宋体" w:hAnsi="宋体"/>
                <w:color w:val="auto"/>
                <w:sz w:val="24"/>
                <w:highlight w:val="none"/>
              </w:rPr>
            </w:pPr>
          </w:p>
        </w:tc>
        <w:tc>
          <w:tcPr>
            <w:tcW w:w="1080" w:type="dxa"/>
            <w:vMerge w:val="continue"/>
            <w:noWrap w:val="0"/>
            <w:vAlign w:val="center"/>
          </w:tcPr>
          <w:p>
            <w:pPr>
              <w:adjustRightInd w:val="0"/>
              <w:snapToGrid w:val="0"/>
              <w:jc w:val="center"/>
              <w:rPr>
                <w:rFonts w:ascii="宋体" w:hAnsi="宋体"/>
                <w:color w:val="auto"/>
                <w:sz w:val="24"/>
                <w:highlight w:val="none"/>
              </w:rPr>
            </w:pPr>
          </w:p>
        </w:tc>
        <w:tc>
          <w:tcPr>
            <w:tcW w:w="2251" w:type="dxa"/>
            <w:noWrap w:val="0"/>
            <w:vAlign w:val="center"/>
          </w:tcPr>
          <w:p>
            <w:pPr>
              <w:adjustRightInd w:val="0"/>
              <w:snapToGrid w:val="0"/>
              <w:jc w:val="center"/>
              <w:rPr>
                <w:rFonts w:ascii="宋体" w:hAnsi="宋体"/>
                <w:color w:val="auto"/>
                <w:sz w:val="24"/>
                <w:highlight w:val="none"/>
              </w:rPr>
            </w:pPr>
            <w:r>
              <w:rPr>
                <w:rFonts w:hint="eastAsia" w:ascii="宋体" w:hAnsi="宋体"/>
                <w:color w:val="auto"/>
                <w:sz w:val="24"/>
                <w:highlight w:val="none"/>
              </w:rPr>
              <w:t>其他要求</w:t>
            </w:r>
          </w:p>
        </w:tc>
        <w:tc>
          <w:tcPr>
            <w:tcW w:w="4566" w:type="dxa"/>
            <w:noWrap w:val="0"/>
            <w:vAlign w:val="center"/>
          </w:tcPr>
          <w:p>
            <w:pPr>
              <w:adjustRightInd w:val="0"/>
              <w:snapToGrid w:val="0"/>
              <w:ind w:left="40" w:leftChars="19"/>
              <w:rPr>
                <w:rFonts w:ascii="宋体" w:hAnsi="宋体"/>
                <w:color w:val="auto"/>
                <w:sz w:val="24"/>
                <w:highlight w:val="none"/>
              </w:rPr>
            </w:pPr>
            <w:r>
              <w:rPr>
                <w:rFonts w:hint="eastAsia" w:ascii="宋体" w:hAnsi="宋体"/>
                <w:color w:val="auto"/>
                <w:sz w:val="24"/>
                <w:highlight w:val="none"/>
              </w:rPr>
              <w:t>没有出现法律、法规和招标文件规定的其他投标无效情形。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8" w:type="dxa"/>
            <w:gridSpan w:val="2"/>
            <w:shd w:val="clear" w:color="auto" w:fill="EAEAEA"/>
            <w:noWrap w:val="0"/>
            <w:vAlign w:val="center"/>
          </w:tcPr>
          <w:p>
            <w:pPr>
              <w:adjustRightInd w:val="0"/>
              <w:snapToGrid w:val="0"/>
              <w:jc w:val="center"/>
              <w:rPr>
                <w:rFonts w:ascii="宋体" w:hAnsi="宋体"/>
                <w:b/>
                <w:color w:val="auto"/>
                <w:sz w:val="24"/>
                <w:highlight w:val="none"/>
              </w:rPr>
            </w:pPr>
            <w:r>
              <w:rPr>
                <w:rFonts w:hint="eastAsia" w:ascii="宋体" w:hAnsi="宋体"/>
                <w:b/>
                <w:color w:val="auto"/>
                <w:sz w:val="24"/>
                <w:highlight w:val="none"/>
              </w:rPr>
              <w:t>结　　论</w:t>
            </w:r>
          </w:p>
        </w:tc>
        <w:tc>
          <w:tcPr>
            <w:tcW w:w="6817" w:type="dxa"/>
            <w:gridSpan w:val="2"/>
            <w:shd w:val="clear" w:color="auto" w:fill="EAEAEA"/>
            <w:noWrap w:val="0"/>
            <w:vAlign w:val="center"/>
          </w:tcPr>
          <w:p>
            <w:pPr>
              <w:adjustRightInd w:val="0"/>
              <w:snapToGrid w:val="0"/>
              <w:jc w:val="center"/>
              <w:rPr>
                <w:rFonts w:ascii="宋体" w:hAnsi="宋体"/>
                <w:color w:val="auto"/>
                <w:sz w:val="24"/>
                <w:highlight w:val="none"/>
              </w:rPr>
            </w:pPr>
          </w:p>
        </w:tc>
      </w:tr>
    </w:tbl>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备注：1、每一项符合的打“○”，不符合的打“×”。2、“结论”一栏填写“通过”或“不通过”；任何一项出现“×”的，结论为不通过。不通过的为无效投标。3、汇总时出现不同意见的，评标委员会按简单多数原则表决决定。</w:t>
      </w:r>
    </w:p>
    <w:p>
      <w:pPr>
        <w:widowControl/>
        <w:jc w:val="left"/>
        <w:rPr>
          <w:rFonts w:ascii="宋体" w:hAnsi="宋体" w:eastAsia="宋体" w:cs="宋体"/>
          <w:b/>
          <w:color w:val="auto"/>
          <w:sz w:val="24"/>
          <w:highlight w:val="none"/>
        </w:rPr>
      </w:pPr>
      <w:r>
        <w:rPr>
          <w:rFonts w:ascii="宋体" w:hAnsi="宋体" w:eastAsia="宋体" w:cs="宋体"/>
          <w:b/>
          <w:color w:val="auto"/>
          <w:sz w:val="24"/>
          <w:highlight w:val="none"/>
        </w:rPr>
        <w:br w:type="page"/>
      </w:r>
      <w:r>
        <w:rPr>
          <w:rFonts w:hint="eastAsia" w:ascii="宋体" w:hAnsi="宋体" w:eastAsia="宋体" w:cs="宋体"/>
          <w:b/>
          <w:color w:val="auto"/>
          <w:sz w:val="24"/>
          <w:highlight w:val="none"/>
        </w:rPr>
        <w:t>附表2：技术及商务分值分配</w:t>
      </w:r>
    </w:p>
    <w:tbl>
      <w:tblPr>
        <w:tblStyle w:val="41"/>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50" w:type="pct"/>
            <w:shd w:val="clear" w:color="auto" w:fill="EAEAEA"/>
            <w:noWrap w:val="0"/>
            <w:vAlign w:val="center"/>
          </w:tcPr>
          <w:p>
            <w:pPr>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评分项目</w:t>
            </w:r>
          </w:p>
        </w:tc>
        <w:tc>
          <w:tcPr>
            <w:tcW w:w="1250" w:type="pct"/>
            <w:tcBorders>
              <w:right w:val="single" w:color="auto" w:sz="4" w:space="0"/>
            </w:tcBorders>
            <w:shd w:val="clear" w:color="auto" w:fill="EAEAEA"/>
            <w:noWrap w:val="0"/>
            <w:vAlign w:val="center"/>
          </w:tcPr>
          <w:p>
            <w:pPr>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技术</w:t>
            </w:r>
          </w:p>
        </w:tc>
        <w:tc>
          <w:tcPr>
            <w:tcW w:w="1250" w:type="pct"/>
            <w:tcBorders>
              <w:left w:val="single" w:color="auto" w:sz="4" w:space="0"/>
            </w:tcBorders>
            <w:shd w:val="clear" w:color="auto" w:fill="EAEAEA"/>
            <w:noWrap w:val="0"/>
            <w:vAlign w:val="center"/>
          </w:tcPr>
          <w:p>
            <w:pPr>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商务</w:t>
            </w:r>
          </w:p>
        </w:tc>
        <w:tc>
          <w:tcPr>
            <w:tcW w:w="1250" w:type="pct"/>
            <w:shd w:val="clear" w:color="auto" w:fill="EAEAEA"/>
            <w:noWrap w:val="0"/>
            <w:vAlign w:val="center"/>
          </w:tcPr>
          <w:p>
            <w:pPr>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50" w:type="pct"/>
            <w:noWrap w:val="0"/>
            <w:vAlign w:val="center"/>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分值</w:t>
            </w:r>
          </w:p>
        </w:tc>
        <w:tc>
          <w:tcPr>
            <w:tcW w:w="1250" w:type="pct"/>
            <w:tcBorders>
              <w:right w:val="single" w:color="auto" w:sz="4" w:space="0"/>
            </w:tcBorders>
            <w:noWrap w:val="0"/>
            <w:vAlign w:val="center"/>
          </w:tcPr>
          <w:p>
            <w:pPr>
              <w:spacing w:before="72" w:after="72"/>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tc>
        <w:tc>
          <w:tcPr>
            <w:tcW w:w="1250" w:type="pct"/>
            <w:tcBorders>
              <w:left w:val="single" w:color="auto" w:sz="4" w:space="0"/>
            </w:tcBorders>
            <w:noWrap w:val="0"/>
            <w:vAlign w:val="center"/>
          </w:tcPr>
          <w:p>
            <w:pPr>
              <w:spacing w:before="72" w:after="72"/>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tc>
        <w:tc>
          <w:tcPr>
            <w:tcW w:w="1250" w:type="pct"/>
            <w:noWrap w:val="0"/>
            <w:vAlign w:val="center"/>
          </w:tcPr>
          <w:p>
            <w:pPr>
              <w:spacing w:before="72" w:after="72"/>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分</w:t>
            </w:r>
          </w:p>
        </w:tc>
      </w:tr>
    </w:tbl>
    <w:p>
      <w:pPr>
        <w:tabs>
          <w:tab w:val="left" w:pos="360"/>
          <w:tab w:val="left" w:pos="1030"/>
        </w:tabs>
        <w:spacing w:before="120" w:line="360" w:lineRule="auto"/>
        <w:rPr>
          <w:rFonts w:ascii="宋体" w:hAnsi="宋体" w:eastAsia="宋体" w:cs="宋体"/>
          <w:b/>
          <w:color w:val="auto"/>
          <w:sz w:val="24"/>
          <w:highlight w:val="none"/>
        </w:rPr>
      </w:pPr>
    </w:p>
    <w:p>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附表3：技术评审表</w:t>
      </w:r>
    </w:p>
    <w:tbl>
      <w:tblPr>
        <w:tblStyle w:val="4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705"/>
        <w:gridCol w:w="611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shd w:val="clear" w:color="auto" w:fill="EAEAEA"/>
            <w:noWrap w:val="0"/>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05" w:type="dxa"/>
            <w:shd w:val="clear" w:color="auto" w:fill="EAEAEA"/>
            <w:noWrap w:val="0"/>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119" w:type="dxa"/>
            <w:shd w:val="clear" w:color="auto" w:fill="EAEAEA"/>
            <w:noWrap w:val="0"/>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评审细则</w:t>
            </w:r>
          </w:p>
        </w:tc>
        <w:tc>
          <w:tcPr>
            <w:tcW w:w="777" w:type="dxa"/>
            <w:shd w:val="clear" w:color="auto" w:fill="EAEAEA"/>
            <w:noWrap w:val="0"/>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最高</w:t>
            </w:r>
          </w:p>
          <w:p>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noWrap w:val="0"/>
            <w:vAlign w:val="center"/>
          </w:tcPr>
          <w:p>
            <w:pPr>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05" w:type="dxa"/>
            <w:noWrap w:val="0"/>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整体系统技术方案响应情况</w:t>
            </w:r>
          </w:p>
        </w:tc>
        <w:tc>
          <w:tcPr>
            <w:tcW w:w="6119" w:type="dxa"/>
            <w:noWrap w:val="0"/>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投标人的整体方案，包括对重点难点的理解和分析、业务工作安排、工作流程、执行标准、配合措施、定制时间及成果提交等是否具体、详细、完善、有利于项目实施进行评价：</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整体方案具体、详细、完善、有利于项目实施,完全满足采购需求，得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整体方案较具体、详细、完善、有利于项目实施, 基本满足采购需求，得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3.整体方案较差、不利于项目实施, 部分满足采购需求，5分；</w:t>
            </w:r>
          </w:p>
          <w:p>
            <w:pPr>
              <w:jc w:val="left"/>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.其他或未响应，得0分。</w:t>
            </w:r>
          </w:p>
        </w:tc>
        <w:tc>
          <w:tcPr>
            <w:tcW w:w="777" w:type="dxa"/>
            <w:noWrap w:val="0"/>
            <w:vAlign w:val="center"/>
          </w:tcPr>
          <w:p>
            <w:pPr>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noWrap w:val="0"/>
            <w:vAlign w:val="center"/>
          </w:tcPr>
          <w:p>
            <w:pPr>
              <w:adjustRightInd w:val="0"/>
              <w:snapToGri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705" w:type="dxa"/>
            <w:noWrap w:val="0"/>
            <w:vAlign w:val="center"/>
          </w:tcPr>
          <w:p>
            <w:pPr>
              <w:pStyle w:val="40"/>
              <w:ind w:left="0" w:leftChars="0" w:firstLine="0" w:firstLineChars="0"/>
              <w:rPr>
                <w:rFonts w:hint="default" w:eastAsia="宋体"/>
                <w:color w:val="auto"/>
                <w:highlight w:val="none"/>
                <w:lang w:val="en-US" w:eastAsia="zh-CN"/>
              </w:rPr>
            </w:pPr>
            <w:r>
              <w:rPr>
                <w:rFonts w:hint="eastAsia" w:ascii="宋体" w:hAnsi="宋体" w:cs="宋体"/>
                <w:color w:val="auto"/>
                <w:kern w:val="0"/>
                <w:sz w:val="24"/>
                <w:szCs w:val="24"/>
                <w:highlight w:val="none"/>
                <w:lang w:val="en-US" w:eastAsia="zh-CN"/>
              </w:rPr>
              <w:t>产品的先进性、可靠性</w:t>
            </w:r>
          </w:p>
        </w:tc>
        <w:tc>
          <w:tcPr>
            <w:tcW w:w="6119" w:type="dxa"/>
            <w:noWrap w:val="0"/>
            <w:vAlign w:val="center"/>
          </w:tcPr>
          <w:p>
            <w:pPr>
              <w:spacing w:line="300" w:lineRule="exact"/>
              <w:jc w:val="left"/>
              <w:rPr>
                <w:rFonts w:ascii="宋体" w:hAnsi="宋体" w:cs="宋体"/>
                <w:color w:val="auto"/>
                <w:sz w:val="24"/>
                <w:highlight w:val="none"/>
              </w:rPr>
            </w:pPr>
            <w:r>
              <w:rPr>
                <w:rFonts w:hint="eastAsia" w:ascii="宋体" w:hAnsi="宋体" w:cs="宋体"/>
                <w:color w:val="auto"/>
                <w:kern w:val="0"/>
                <w:sz w:val="24"/>
                <w:highlight w:val="none"/>
              </w:rPr>
              <w:t>对各投标人所投产品的</w:t>
            </w:r>
            <w:r>
              <w:rPr>
                <w:rFonts w:hint="eastAsia" w:ascii="宋体" w:hAnsi="宋体" w:cs="宋体"/>
                <w:color w:val="auto"/>
                <w:sz w:val="24"/>
                <w:highlight w:val="none"/>
              </w:rPr>
              <w:t>技术水平、技术性能、</w:t>
            </w:r>
            <w:r>
              <w:rPr>
                <w:rFonts w:hint="eastAsia" w:ascii="宋体" w:hAnsi="宋体" w:cs="宋体"/>
                <w:color w:val="auto"/>
                <w:kern w:val="0"/>
                <w:sz w:val="24"/>
                <w:highlight w:val="none"/>
              </w:rPr>
              <w:t>配置先进性、稳定性</w:t>
            </w:r>
            <w:r>
              <w:rPr>
                <w:rFonts w:hint="eastAsia" w:ascii="宋体" w:hAnsi="宋体" w:cs="宋体"/>
                <w:color w:val="auto"/>
                <w:sz w:val="24"/>
                <w:highlight w:val="none"/>
              </w:rPr>
              <w:t>进行综合评审：</w:t>
            </w:r>
          </w:p>
          <w:p>
            <w:pPr>
              <w:spacing w:line="300" w:lineRule="exact"/>
              <w:jc w:val="left"/>
              <w:rPr>
                <w:rFonts w:ascii="宋体" w:hAnsi="宋体" w:cs="宋体"/>
                <w:color w:val="auto"/>
                <w:sz w:val="24"/>
                <w:highlight w:val="none"/>
              </w:rPr>
            </w:pPr>
            <w:r>
              <w:rPr>
                <w:rFonts w:hint="eastAsia" w:ascii="宋体" w:hAnsi="宋体" w:cs="宋体"/>
                <w:color w:val="auto"/>
                <w:sz w:val="24"/>
                <w:highlight w:val="none"/>
              </w:rPr>
              <w:t>技术水平在同类产品中领先，技术性能明显优于同类产品，所投产品整机工艺精良，关键部件匹配性高，得</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pPr>
              <w:spacing w:line="300" w:lineRule="exact"/>
              <w:jc w:val="left"/>
              <w:rPr>
                <w:rFonts w:ascii="宋体" w:hAnsi="宋体" w:cs="宋体"/>
                <w:color w:val="auto"/>
                <w:sz w:val="24"/>
                <w:highlight w:val="none"/>
              </w:rPr>
            </w:pPr>
            <w:r>
              <w:rPr>
                <w:rFonts w:hint="eastAsia" w:ascii="宋体" w:hAnsi="宋体" w:cs="宋体"/>
                <w:color w:val="auto"/>
                <w:sz w:val="24"/>
                <w:highlight w:val="none"/>
              </w:rPr>
              <w:t>技术水平在同类产品中属于中等，性能一般，所投产品整机工艺一般，关键部件匹配性一般，得</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w:t>
            </w:r>
          </w:p>
          <w:p>
            <w:p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技术水平在同类产品中较落后，性能较差，所投产品整机工艺粗糙，关键部件基本不匹配，得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777" w:type="dxa"/>
            <w:noWrap w:val="0"/>
            <w:vAlign w:val="center"/>
          </w:tcPr>
          <w:p>
            <w:pPr>
              <w:adjustRightInd w:val="0"/>
              <w:snapToGrid w:val="0"/>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noWrap w:val="0"/>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p>
        </w:tc>
        <w:tc>
          <w:tcPr>
            <w:tcW w:w="1705" w:type="dxa"/>
            <w:noWrap w:val="0"/>
            <w:vAlign w:val="center"/>
          </w:tcPr>
          <w:p>
            <w:pPr>
              <w:jc w:val="center"/>
              <w:rPr>
                <w:rFonts w:hint="eastAsia" w:ascii="宋体" w:hAnsi="宋体" w:cs="宋体"/>
                <w:color w:val="auto"/>
                <w:kern w:val="0"/>
                <w:sz w:val="24"/>
                <w:szCs w:val="24"/>
                <w:highlight w:val="none"/>
                <w:lang w:val="en-US" w:eastAsia="zh-CN"/>
              </w:rPr>
            </w:pPr>
            <w:r>
              <w:rPr>
                <w:rFonts w:hint="eastAsia" w:ascii="宋体" w:hAnsi="宋体" w:cs="宋体"/>
                <w:color w:val="auto"/>
                <w:sz w:val="24"/>
                <w:highlight w:val="none"/>
              </w:rPr>
              <w:t>项目安装、调试、培训方案</w:t>
            </w:r>
          </w:p>
        </w:tc>
        <w:tc>
          <w:tcPr>
            <w:tcW w:w="6119" w:type="dxa"/>
            <w:noWrap w:val="0"/>
            <w:vAlign w:val="center"/>
          </w:tcPr>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根据各供应商针对本项目的各项详细方案的可行性、细致程度、具体程度等进行评价：</w:t>
            </w:r>
          </w:p>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方案科学、合理的，得</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分；</w:t>
            </w:r>
          </w:p>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方案较科学、合理的，得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w:t>
            </w:r>
          </w:p>
          <w:p>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方案整体偏离实际要求、较差的，得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pPr>
              <w:rPr>
                <w:rFonts w:hint="eastAsia" w:ascii="宋体" w:hAnsi="宋体" w:cs="宋体"/>
                <w:color w:val="auto"/>
                <w:sz w:val="24"/>
                <w:highlight w:val="none"/>
              </w:rPr>
            </w:pPr>
            <w:r>
              <w:rPr>
                <w:rFonts w:hint="eastAsia" w:ascii="宋体" w:hAnsi="宋体" w:cs="宋体"/>
                <w:color w:val="auto"/>
                <w:sz w:val="24"/>
                <w:highlight w:val="none"/>
              </w:rPr>
              <w:t>不提供不得分。</w:t>
            </w:r>
          </w:p>
        </w:tc>
        <w:tc>
          <w:tcPr>
            <w:tcW w:w="777" w:type="dxa"/>
            <w:noWrap w:val="0"/>
            <w:vAlign w:val="center"/>
          </w:tcPr>
          <w:p>
            <w:pPr>
              <w:adjustRightInd w:val="0"/>
              <w:snapToGrid w:val="0"/>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84" w:type="dxa"/>
            <w:noWrap w:val="0"/>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1705" w:type="dxa"/>
            <w:noWrap w:val="0"/>
            <w:vAlign w:val="center"/>
          </w:tcPr>
          <w:p>
            <w:pPr>
              <w:jc w:val="center"/>
              <w:rPr>
                <w:rFonts w:hint="eastAsia" w:ascii="宋体" w:hAnsi="宋体"/>
                <w:color w:val="auto"/>
                <w:kern w:val="0"/>
                <w:sz w:val="24"/>
                <w:highlight w:val="none"/>
              </w:rPr>
            </w:pPr>
            <w:r>
              <w:rPr>
                <w:rFonts w:hint="eastAsia" w:ascii="宋体" w:hAnsi="宋体"/>
                <w:color w:val="auto"/>
                <w:kern w:val="0"/>
                <w:sz w:val="24"/>
                <w:highlight w:val="none"/>
              </w:rPr>
              <w:t>质量标准及质量保证措施</w:t>
            </w:r>
          </w:p>
        </w:tc>
        <w:tc>
          <w:tcPr>
            <w:tcW w:w="6119" w:type="dxa"/>
            <w:noWrap w:val="0"/>
            <w:vAlign w:val="center"/>
          </w:tcPr>
          <w:p>
            <w:pPr>
              <w:widowControl/>
              <w:rPr>
                <w:rFonts w:hint="eastAsia" w:ascii="宋体" w:hAnsi="宋体"/>
                <w:color w:val="auto"/>
                <w:kern w:val="0"/>
                <w:sz w:val="24"/>
                <w:highlight w:val="none"/>
              </w:rPr>
            </w:pPr>
            <w:r>
              <w:rPr>
                <w:rFonts w:hint="eastAsia" w:ascii="宋体" w:hAnsi="宋体"/>
                <w:color w:val="auto"/>
                <w:kern w:val="0"/>
                <w:sz w:val="24"/>
                <w:highlight w:val="none"/>
              </w:rPr>
              <w:t>工程质量保证措施明确、具体、可行、针对性好、各项措施落实，得</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分。</w:t>
            </w:r>
          </w:p>
          <w:p>
            <w:pPr>
              <w:widowControl/>
              <w:rPr>
                <w:rFonts w:hint="eastAsia" w:ascii="宋体" w:hAnsi="宋体"/>
                <w:color w:val="auto"/>
                <w:kern w:val="0"/>
                <w:sz w:val="24"/>
                <w:highlight w:val="none"/>
                <w:lang w:val="zh-CN"/>
              </w:rPr>
            </w:pPr>
            <w:r>
              <w:rPr>
                <w:rFonts w:hint="eastAsia" w:ascii="宋体" w:hAnsi="宋体"/>
                <w:color w:val="auto"/>
                <w:kern w:val="0"/>
                <w:sz w:val="24"/>
                <w:highlight w:val="none"/>
                <w:lang w:val="zh-CN"/>
              </w:rPr>
              <w:t>工程质量保证措施较明确、较具体、较可行、较落实，得</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lang w:val="zh-CN"/>
              </w:rPr>
              <w:t>分。</w:t>
            </w:r>
          </w:p>
          <w:p>
            <w:pPr>
              <w:widowControl/>
              <w:rPr>
                <w:rFonts w:hint="eastAsia" w:ascii="宋体" w:hAnsi="宋体"/>
                <w:color w:val="auto"/>
                <w:kern w:val="0"/>
                <w:sz w:val="24"/>
                <w:highlight w:val="none"/>
                <w:lang w:val="zh-CN"/>
              </w:rPr>
            </w:pPr>
            <w:r>
              <w:rPr>
                <w:rFonts w:hint="eastAsia" w:ascii="宋体" w:hAnsi="宋体"/>
                <w:color w:val="auto"/>
                <w:kern w:val="0"/>
                <w:sz w:val="24"/>
                <w:highlight w:val="none"/>
                <w:lang w:val="zh-CN"/>
              </w:rPr>
              <w:t>工程质量保证措施一般化、但对工程质量保证措施有认识，得</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val="zh-CN"/>
              </w:rPr>
              <w:t>分。</w:t>
            </w:r>
          </w:p>
          <w:p>
            <w:pPr>
              <w:rPr>
                <w:rFonts w:hint="eastAsia" w:ascii="宋体" w:hAnsi="宋体"/>
                <w:color w:val="auto"/>
                <w:kern w:val="0"/>
                <w:sz w:val="24"/>
                <w:szCs w:val="20"/>
                <w:highlight w:val="none"/>
              </w:rPr>
            </w:pPr>
            <w:r>
              <w:rPr>
                <w:rFonts w:hint="eastAsia" w:ascii="宋体" w:hAnsi="宋体"/>
                <w:color w:val="auto"/>
                <w:kern w:val="0"/>
                <w:sz w:val="24"/>
                <w:highlight w:val="none"/>
                <w:lang w:val="zh-CN"/>
              </w:rPr>
              <w:t>工程质量保证措施不太合理，得0分。</w:t>
            </w:r>
          </w:p>
        </w:tc>
        <w:tc>
          <w:tcPr>
            <w:tcW w:w="777" w:type="dxa"/>
            <w:noWrap w:val="0"/>
            <w:vAlign w:val="center"/>
          </w:tcPr>
          <w:p>
            <w:pPr>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noWrap w:val="0"/>
            <w:vAlign w:val="center"/>
          </w:tcPr>
          <w:p>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1705"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验收标准和实施方法</w:t>
            </w:r>
          </w:p>
        </w:tc>
        <w:tc>
          <w:tcPr>
            <w:tcW w:w="6119" w:type="dxa"/>
            <w:noWrap w:val="0"/>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投标人的整体方案，包括对验收的标准及实施方法是否具体、详细、完善、有利于项目实施进行评价：</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整体方案具体、详细、完善、完全满足采购需求，得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整体方案较具体、详细、完善、 基本满足采购需求，得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分； </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整体方案</w:t>
            </w:r>
            <w:r>
              <w:rPr>
                <w:rFonts w:hint="eastAsia" w:ascii="宋体" w:hAnsi="宋体" w:eastAsia="宋体" w:cs="宋体"/>
                <w:color w:val="auto"/>
                <w:sz w:val="24"/>
                <w:szCs w:val="24"/>
                <w:highlight w:val="none"/>
                <w:lang w:eastAsia="zh-CN"/>
              </w:rPr>
              <w:t>不够</w:t>
            </w:r>
            <w:r>
              <w:rPr>
                <w:rFonts w:hint="eastAsia" w:ascii="宋体" w:hAnsi="宋体" w:eastAsia="宋体" w:cs="宋体"/>
                <w:color w:val="auto"/>
                <w:sz w:val="24"/>
                <w:szCs w:val="24"/>
                <w:highlight w:val="none"/>
              </w:rPr>
              <w:t>具体、</w:t>
            </w:r>
            <w:r>
              <w:rPr>
                <w:rFonts w:hint="eastAsia" w:ascii="宋体" w:hAnsi="宋体" w:eastAsia="宋体" w:cs="宋体"/>
                <w:color w:val="auto"/>
                <w:sz w:val="24"/>
                <w:szCs w:val="24"/>
                <w:highlight w:val="none"/>
                <w:lang w:eastAsia="zh-CN"/>
              </w:rPr>
              <w:t>完善，未能</w:t>
            </w:r>
            <w:r>
              <w:rPr>
                <w:rFonts w:hint="eastAsia" w:ascii="宋体" w:hAnsi="宋体" w:eastAsia="宋体" w:cs="宋体"/>
                <w:color w:val="auto"/>
                <w:sz w:val="24"/>
                <w:szCs w:val="24"/>
                <w:highlight w:val="none"/>
              </w:rPr>
              <w:t>满足采购需求，得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其他或未响应，得0分。</w:t>
            </w:r>
          </w:p>
        </w:tc>
        <w:tc>
          <w:tcPr>
            <w:tcW w:w="777" w:type="dxa"/>
            <w:noWrap w:val="0"/>
            <w:vAlign w:val="center"/>
          </w:tcPr>
          <w:p>
            <w:pPr>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4" w:type="dxa"/>
            <w:noWrap w:val="0"/>
            <w:vAlign w:val="center"/>
          </w:tcPr>
          <w:p>
            <w:pPr>
              <w:adjustRightInd w:val="0"/>
              <w:snapToGrid w:val="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1705" w:type="dxa"/>
            <w:noWrap w:val="0"/>
            <w:vAlign w:val="center"/>
          </w:tcPr>
          <w:p>
            <w:pPr>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售后服务方案</w:t>
            </w:r>
          </w:p>
        </w:tc>
        <w:tc>
          <w:tcPr>
            <w:tcW w:w="6119" w:type="dxa"/>
            <w:noWrap w:val="0"/>
            <w:vAlign w:val="top"/>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投标人提供的售后服务方案完整且合理的，得</w:t>
            </w: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分；</w:t>
            </w:r>
          </w:p>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投标人提供的售后服务方案较完整，有一定的合理性，得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投标人提供的售后服务方案不完整且合理性低的，得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未提供方案，得0分。</w:t>
            </w:r>
          </w:p>
        </w:tc>
        <w:tc>
          <w:tcPr>
            <w:tcW w:w="777" w:type="dxa"/>
            <w:noWrap w:val="0"/>
            <w:vAlign w:val="center"/>
          </w:tcPr>
          <w:p>
            <w:pPr>
              <w:adjustRightInd w:val="0"/>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08" w:type="dxa"/>
            <w:gridSpan w:val="3"/>
            <w:shd w:val="clear" w:color="auto" w:fill="EAEAEA"/>
            <w:noWrap w:val="0"/>
            <w:vAlign w:val="center"/>
          </w:tcPr>
          <w:p>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tc>
        <w:tc>
          <w:tcPr>
            <w:tcW w:w="777" w:type="dxa"/>
            <w:shd w:val="clear" w:color="auto" w:fill="EAEAEA"/>
            <w:noWrap w:val="0"/>
            <w:vAlign w:val="center"/>
          </w:tcPr>
          <w:p>
            <w:pPr>
              <w:adjustRightInd w:val="0"/>
              <w:snapToGrid w:val="0"/>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50</w:t>
            </w:r>
            <w:r>
              <w:rPr>
                <w:rFonts w:hint="eastAsia" w:ascii="宋体" w:hAnsi="宋体" w:eastAsia="宋体" w:cs="宋体"/>
                <w:b/>
                <w:color w:val="auto"/>
                <w:sz w:val="24"/>
                <w:szCs w:val="24"/>
                <w:highlight w:val="none"/>
              </w:rPr>
              <w:t>分</w:t>
            </w:r>
          </w:p>
        </w:tc>
      </w:tr>
    </w:tbl>
    <w:p>
      <w:pPr>
        <w:spacing w:before="120" w:beforeLines="50" w:line="360" w:lineRule="auto"/>
        <w:rPr>
          <w:rFonts w:ascii="宋体" w:hAnsi="宋体" w:eastAsia="宋体" w:cs="宋体"/>
          <w:b/>
          <w:bCs/>
          <w:color w:val="auto"/>
          <w:sz w:val="24"/>
          <w:highlight w:val="none"/>
        </w:rPr>
      </w:pPr>
      <w:r>
        <w:rPr>
          <w:rFonts w:hint="eastAsia" w:ascii="宋体" w:hAnsi="宋体" w:eastAsia="宋体" w:cs="宋体"/>
          <w:color w:val="auto"/>
          <w:sz w:val="24"/>
          <w:highlight w:val="none"/>
        </w:rPr>
        <w:t>备注：上表中要求提供佐证材料的，投标人必须提供，否则计0分。</w:t>
      </w:r>
    </w:p>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附表4：商务评审表</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74"/>
        <w:gridCol w:w="1377"/>
        <w:gridCol w:w="5631"/>
        <w:gridCol w:w="8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96" w:type="pct"/>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808" w:type="pct"/>
            <w:shd w:val="clear" w:color="auto" w:fill="EAEAEA"/>
            <w:noWrap w:val="0"/>
            <w:vAlign w:val="center"/>
          </w:tcPr>
          <w:p>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评审项目</w:t>
            </w:r>
          </w:p>
        </w:tc>
        <w:tc>
          <w:tcPr>
            <w:tcW w:w="3304" w:type="pct"/>
            <w:shd w:val="clear" w:color="auto" w:fill="EAEAEA"/>
            <w:noWrap w:val="0"/>
            <w:vAlign w:val="center"/>
          </w:tcPr>
          <w:p>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评审细则</w:t>
            </w:r>
          </w:p>
        </w:tc>
        <w:tc>
          <w:tcPr>
            <w:tcW w:w="491" w:type="pct"/>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最高分值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808"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同类项目经验</w:t>
            </w:r>
          </w:p>
        </w:tc>
        <w:tc>
          <w:tcPr>
            <w:tcW w:w="3304" w:type="pct"/>
            <w:noWrap w:val="0"/>
            <w:vAlign w:val="center"/>
          </w:tcPr>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2019年1月1日以来（以合同</w:t>
            </w:r>
            <w:r>
              <w:rPr>
                <w:rFonts w:hint="eastAsia" w:ascii="宋体" w:hAnsi="宋体" w:eastAsia="宋体" w:cs="宋体"/>
                <w:color w:val="auto"/>
                <w:sz w:val="24"/>
                <w:highlight w:val="none"/>
                <w:lang w:val="en-US" w:eastAsia="zh-CN"/>
              </w:rPr>
              <w:t>或其他证明材料</w:t>
            </w:r>
            <w:r>
              <w:rPr>
                <w:rFonts w:hint="eastAsia" w:ascii="宋体" w:hAnsi="宋体" w:eastAsia="宋体" w:cs="宋体"/>
                <w:color w:val="auto"/>
                <w:sz w:val="24"/>
                <w:highlight w:val="none"/>
              </w:rPr>
              <w:t>日期为准），具有的与本项目类似业绩的</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每提供一项</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分，本项最高得</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分。</w:t>
            </w: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注:提供合同关键页</w:t>
            </w:r>
            <w:r>
              <w:rPr>
                <w:rFonts w:hint="eastAsia" w:ascii="宋体" w:hAnsi="宋体" w:eastAsia="宋体" w:cs="宋体"/>
                <w:color w:val="auto"/>
                <w:sz w:val="24"/>
                <w:highlight w:val="none"/>
                <w:lang w:val="en-US" w:eastAsia="zh-CN"/>
              </w:rPr>
              <w:t>和有效发票复印件</w:t>
            </w:r>
            <w:r>
              <w:rPr>
                <w:rFonts w:hint="eastAsia" w:ascii="宋体" w:hAnsi="宋体" w:eastAsia="宋体" w:cs="宋体"/>
                <w:color w:val="auto"/>
                <w:sz w:val="24"/>
                <w:highlight w:val="none"/>
              </w:rPr>
              <w:t>（含签订合同双方的单位名称、合同项目名称</w:t>
            </w:r>
            <w:r>
              <w:rPr>
                <w:rFonts w:hint="eastAsia" w:ascii="宋体" w:hAnsi="宋体" w:eastAsia="宋体" w:cs="宋体"/>
                <w:color w:val="auto"/>
                <w:sz w:val="24"/>
                <w:highlight w:val="none"/>
                <w:lang w:eastAsia="zh-CN"/>
              </w:rPr>
              <w:t>、项目内容</w:t>
            </w:r>
            <w:r>
              <w:rPr>
                <w:rFonts w:hint="eastAsia" w:ascii="宋体" w:hAnsi="宋体" w:eastAsia="宋体" w:cs="宋体"/>
                <w:color w:val="auto"/>
                <w:sz w:val="24"/>
                <w:highlight w:val="none"/>
              </w:rPr>
              <w:t>与含签订合同双方的落款盖章、签订日期的关键页)复印件作为证明资料，如合同体现不了上述合同内容，须提供业主出具的证明材料。</w:t>
            </w:r>
          </w:p>
        </w:tc>
        <w:tc>
          <w:tcPr>
            <w:tcW w:w="491" w:type="pct"/>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 w:type="pct"/>
            <w:noWrap w:val="0"/>
            <w:vAlign w:val="center"/>
          </w:tcPr>
          <w:p>
            <w:pPr>
              <w:tabs>
                <w:tab w:val="left" w:pos="142"/>
              </w:tabs>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808" w:type="pct"/>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产品授权</w:t>
            </w:r>
          </w:p>
        </w:tc>
        <w:tc>
          <w:tcPr>
            <w:tcW w:w="3304" w:type="pct"/>
            <w:noWrap w:val="0"/>
            <w:vAlign w:val="center"/>
          </w:tcPr>
          <w:p>
            <w:pPr>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投标人提供的服务设备清单中的产品，如拥有自主生产设备或厂商授权证书</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每份得</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分，最高</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注：提供</w:t>
            </w:r>
            <w:r>
              <w:rPr>
                <w:rFonts w:hint="eastAsia" w:ascii="宋体" w:hAnsi="宋体" w:eastAsia="宋体" w:cs="宋体"/>
                <w:color w:val="auto"/>
                <w:sz w:val="24"/>
                <w:highlight w:val="none"/>
                <w:lang w:val="en-US" w:eastAsia="zh-CN"/>
              </w:rPr>
              <w:t>证明材料</w:t>
            </w:r>
            <w:r>
              <w:rPr>
                <w:rFonts w:hint="eastAsia" w:ascii="宋体" w:hAnsi="宋体" w:eastAsia="宋体" w:cs="宋体"/>
                <w:color w:val="auto"/>
                <w:sz w:val="24"/>
                <w:highlight w:val="none"/>
              </w:rPr>
              <w:t>。</w:t>
            </w:r>
          </w:p>
        </w:tc>
        <w:tc>
          <w:tcPr>
            <w:tcW w:w="491" w:type="pct"/>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 w:type="pct"/>
            <w:noWrap w:val="0"/>
            <w:vAlign w:val="center"/>
          </w:tcPr>
          <w:p>
            <w:pPr>
              <w:tabs>
                <w:tab w:val="left" w:pos="142"/>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08"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拟安排的项目经理情况（仅限一人）</w:t>
            </w:r>
          </w:p>
        </w:tc>
        <w:tc>
          <w:tcPr>
            <w:tcW w:w="3304" w:type="pct"/>
            <w:noWrap w:val="0"/>
            <w:vAlign w:val="top"/>
          </w:tcPr>
          <w:p>
            <w:pPr>
              <w:numPr>
                <w:ilvl w:val="0"/>
                <w:numId w:val="61"/>
              </w:num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具有信息系统项目管理师证书</w:t>
            </w:r>
            <w:r>
              <w:rPr>
                <w:rFonts w:hint="eastAsia" w:ascii="宋体" w:hAnsi="宋体" w:eastAsia="宋体" w:cs="宋体"/>
                <w:color w:val="auto"/>
                <w:sz w:val="24"/>
                <w:highlight w:val="none"/>
                <w:lang w:eastAsia="zh-CN"/>
              </w:rPr>
              <w:t>、系统分析师证书、系统规划与管理师证书、注册信息安全管理人员（CISO）证书、电子工程师证书、一级建造师（通信与广电工程），</w:t>
            </w:r>
            <w:r>
              <w:rPr>
                <w:rFonts w:hint="eastAsia" w:ascii="宋体" w:hAnsi="宋体" w:eastAsia="宋体" w:cs="宋体"/>
                <w:color w:val="auto"/>
                <w:sz w:val="24"/>
                <w:highlight w:val="none"/>
                <w:lang w:val="en-US" w:eastAsia="zh-CN"/>
              </w:rPr>
              <w:t>拥有其中一个得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分，满足三个证书以上得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pPr>
              <w:numPr>
                <w:ilvl w:val="0"/>
                <w:numId w:val="61"/>
              </w:num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本科或以上学历，满足得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w:t>
            </w:r>
          </w:p>
          <w:p>
            <w:pPr>
              <w:numPr>
                <w:ilvl w:val="0"/>
                <w:numId w:val="0"/>
              </w:num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rPr>
              <w:t>须提供学历、资质证明材料及</w:t>
            </w:r>
            <w:r>
              <w:rPr>
                <w:rFonts w:hint="eastAsia" w:ascii="宋体" w:hAnsi="宋体" w:eastAsia="宋体" w:cs="宋体"/>
                <w:color w:val="auto"/>
                <w:sz w:val="24"/>
                <w:highlight w:val="none"/>
                <w:lang w:val="en-US" w:eastAsia="zh-CN"/>
              </w:rPr>
              <w:t>该人员</w:t>
            </w:r>
            <w:r>
              <w:rPr>
                <w:rFonts w:hint="eastAsia" w:ascii="宋体" w:hAnsi="宋体" w:eastAsia="宋体" w:cs="宋体"/>
                <w:color w:val="auto"/>
                <w:sz w:val="24"/>
                <w:highlight w:val="none"/>
              </w:rPr>
              <w:t>在本项目投标截止日之2022年1月至今投标人为其购买的任意一个月社保证明。</w:t>
            </w:r>
          </w:p>
        </w:tc>
        <w:tc>
          <w:tcPr>
            <w:tcW w:w="491" w:type="pct"/>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96" w:type="pct"/>
            <w:noWrap w:val="0"/>
            <w:vAlign w:val="center"/>
          </w:tcPr>
          <w:p>
            <w:pPr>
              <w:tabs>
                <w:tab w:val="left" w:pos="142"/>
              </w:tabs>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808" w:type="pct"/>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拟安排的项目团队成员（项目经理除外）</w:t>
            </w:r>
          </w:p>
        </w:tc>
        <w:tc>
          <w:tcPr>
            <w:tcW w:w="3304" w:type="pct"/>
            <w:noWrap w:val="0"/>
            <w:vAlign w:val="top"/>
          </w:tcPr>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项目团队人员具有</w:t>
            </w:r>
            <w:r>
              <w:rPr>
                <w:rFonts w:hint="eastAsia" w:ascii="宋体" w:hAnsi="宋体" w:eastAsia="宋体" w:cs="宋体"/>
                <w:color w:val="auto"/>
                <w:sz w:val="24"/>
                <w:highlight w:val="none"/>
                <w:lang w:val="en-US" w:eastAsia="zh-CN"/>
              </w:rPr>
              <w:t>系统规划与管理师、信息</w:t>
            </w:r>
            <w:r>
              <w:rPr>
                <w:rFonts w:hint="eastAsia" w:ascii="宋体" w:hAnsi="宋体" w:eastAsia="宋体" w:cs="宋体"/>
                <w:color w:val="auto"/>
                <w:sz w:val="24"/>
                <w:highlight w:val="none"/>
              </w:rPr>
              <w:t>系统项目管理师、</w:t>
            </w:r>
            <w:r>
              <w:rPr>
                <w:rFonts w:hint="eastAsia" w:ascii="宋体" w:hAnsi="宋体" w:eastAsia="宋体" w:cs="宋体"/>
                <w:color w:val="auto"/>
                <w:sz w:val="24"/>
                <w:highlight w:val="none"/>
                <w:lang w:val="en-US" w:eastAsia="zh-CN"/>
              </w:rPr>
              <w:t>系统集成项目管理工程师、信息安全保障人员认证证书（CISAW）、</w:t>
            </w:r>
            <w:r>
              <w:rPr>
                <w:rFonts w:hint="eastAsia" w:ascii="宋体" w:hAnsi="宋体" w:eastAsia="宋体" w:cs="宋体"/>
                <w:color w:val="auto"/>
                <w:sz w:val="24"/>
                <w:highlight w:val="none"/>
              </w:rPr>
              <w:t>软件设计师、高级软件工程师、软件工程造价师认证证书，每提供1种类型的人员证书得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分，满分</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分。同一人具有多个证书不重复计分。同一证具有多个人员不重复计分。</w:t>
            </w:r>
          </w:p>
          <w:p>
            <w:pPr>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rPr>
              <w:t>须提供资质证明材料及该</w:t>
            </w:r>
            <w:r>
              <w:rPr>
                <w:rFonts w:hint="eastAsia" w:ascii="宋体" w:hAnsi="宋体" w:eastAsia="宋体" w:cs="宋体"/>
                <w:color w:val="auto"/>
                <w:sz w:val="24"/>
                <w:highlight w:val="none"/>
                <w:lang w:val="en-US" w:eastAsia="zh-CN"/>
              </w:rPr>
              <w:t>成</w:t>
            </w:r>
            <w:r>
              <w:rPr>
                <w:rFonts w:hint="eastAsia" w:ascii="宋体" w:hAnsi="宋体" w:eastAsia="宋体" w:cs="宋体"/>
                <w:color w:val="auto"/>
                <w:sz w:val="24"/>
                <w:highlight w:val="none"/>
              </w:rPr>
              <w:t>员在本项目投标截止日之2022年1月至今投标人为其购买的任意一个月社保证明。</w:t>
            </w:r>
          </w:p>
        </w:tc>
        <w:tc>
          <w:tcPr>
            <w:tcW w:w="491" w:type="pct"/>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508" w:type="pct"/>
            <w:gridSpan w:val="3"/>
            <w:shd w:val="clear" w:color="auto" w:fill="EAEAEA"/>
            <w:noWrap w:val="0"/>
            <w:vAlign w:val="center"/>
          </w:tcPr>
          <w:p>
            <w:pPr>
              <w:adjustRightInd w:val="0"/>
              <w:snapToGrid w:val="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合计</w:t>
            </w:r>
          </w:p>
        </w:tc>
        <w:tc>
          <w:tcPr>
            <w:tcW w:w="491" w:type="pct"/>
            <w:shd w:val="clear" w:color="auto" w:fill="EAEAEA"/>
            <w:noWrap w:val="0"/>
            <w:vAlign w:val="center"/>
          </w:tcPr>
          <w:p>
            <w:pPr>
              <w:adjustRightInd w:val="0"/>
              <w:snapToGrid w:val="0"/>
              <w:jc w:val="center"/>
              <w:rPr>
                <w:rFonts w:ascii="宋体" w:hAnsi="宋体" w:eastAsia="宋体" w:cs="宋体"/>
                <w:b/>
                <w:color w:val="auto"/>
                <w:sz w:val="24"/>
                <w:highlight w:val="none"/>
              </w:rPr>
            </w:pPr>
            <w:r>
              <w:rPr>
                <w:rFonts w:hint="eastAsia" w:ascii="宋体" w:hAnsi="宋体" w:cs="宋体"/>
                <w:b/>
                <w:color w:val="auto"/>
                <w:sz w:val="24"/>
                <w:highlight w:val="none"/>
                <w:lang w:val="en-US" w:eastAsia="zh-CN"/>
              </w:rPr>
              <w:t>20</w:t>
            </w:r>
            <w:r>
              <w:rPr>
                <w:rFonts w:hint="eastAsia" w:ascii="宋体" w:hAnsi="宋体" w:eastAsia="宋体" w:cs="宋体"/>
                <w:b/>
                <w:color w:val="auto"/>
                <w:sz w:val="24"/>
                <w:highlight w:val="none"/>
              </w:rPr>
              <w:t>分</w:t>
            </w:r>
          </w:p>
        </w:tc>
      </w:tr>
    </w:tbl>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备注：上表中要求提供佐证材料的，投标人必须提供，否则计0分。</w:t>
      </w:r>
    </w:p>
    <w:p>
      <w:pPr>
        <w:widowControl/>
        <w:jc w:val="left"/>
        <w:rPr>
          <w:rFonts w:ascii="宋体" w:hAnsi="宋体" w:eastAsia="宋体" w:cs="宋体"/>
          <w:color w:val="auto"/>
          <w:sz w:val="24"/>
          <w:highlight w:val="none"/>
        </w:rPr>
      </w:pPr>
    </w:p>
    <w:p>
      <w:pPr>
        <w:widowControl/>
        <w:jc w:val="left"/>
        <w:rPr>
          <w:rFonts w:ascii="宋体" w:hAnsi="宋体" w:eastAsia="宋体" w:cs="宋体"/>
          <w:b/>
          <w:color w:val="auto"/>
          <w:sz w:val="24"/>
          <w:highlight w:val="none"/>
        </w:rPr>
      </w:pPr>
    </w:p>
    <w:p>
      <w:pPr>
        <w:rPr>
          <w:rFonts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附表5：价格评审表</w:t>
      </w:r>
    </w:p>
    <w:tbl>
      <w:tblPr>
        <w:tblStyle w:val="41"/>
        <w:tblW w:w="0" w:type="auto"/>
        <w:jc w:val="center"/>
        <w:tblLayout w:type="fixed"/>
        <w:tblCellMar>
          <w:top w:w="0" w:type="dxa"/>
          <w:left w:w="108" w:type="dxa"/>
          <w:bottom w:w="0" w:type="dxa"/>
          <w:right w:w="108" w:type="dxa"/>
        </w:tblCellMar>
      </w:tblPr>
      <w:tblGrid>
        <w:gridCol w:w="2911"/>
        <w:gridCol w:w="1494"/>
        <w:gridCol w:w="1418"/>
        <w:gridCol w:w="1417"/>
        <w:gridCol w:w="1418"/>
      </w:tblGrid>
      <w:tr>
        <w:tblPrEx>
          <w:tblCellMar>
            <w:top w:w="0" w:type="dxa"/>
            <w:left w:w="108" w:type="dxa"/>
            <w:bottom w:w="0" w:type="dxa"/>
            <w:right w:w="108" w:type="dxa"/>
          </w:tblCellMar>
        </w:tblPrEx>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Calibri" w:hAnsi="Calibri" w:eastAsia="宋体" w:cs="Times New Roman"/>
                <w:b/>
                <w:bCs/>
                <w:color w:val="auto"/>
                <w:highlight w:val="none"/>
              </w:rPr>
            </w:pPr>
            <w:r>
              <w:rPr>
                <w:rFonts w:hint="eastAsia" w:ascii="宋体" w:hAnsi="Calibri" w:eastAsia="宋体" w:cs="Times New Roman"/>
                <w:b/>
                <w:bCs/>
                <w:color w:val="auto"/>
                <w:sz w:val="24"/>
                <w:highlight w:val="none"/>
              </w:rPr>
              <w:t>投标人名称</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r>
      <w:tr>
        <w:tblPrEx>
          <w:tblCellMar>
            <w:top w:w="0" w:type="dxa"/>
            <w:left w:w="108" w:type="dxa"/>
            <w:bottom w:w="0" w:type="dxa"/>
            <w:right w:w="108" w:type="dxa"/>
          </w:tblCellMar>
        </w:tblPrEx>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宋体" w:hAnsi="Calibri" w:eastAsia="宋体" w:cs="Times New Roman"/>
                <w:b/>
                <w:bCs/>
                <w:color w:val="auto"/>
                <w:sz w:val="24"/>
                <w:highlight w:val="none"/>
              </w:rPr>
            </w:pPr>
            <w:r>
              <w:rPr>
                <w:rFonts w:hint="eastAsia" w:ascii="宋体" w:hAnsi="Calibri" w:eastAsia="宋体" w:cs="Times New Roman"/>
                <w:b/>
                <w:bCs/>
                <w:color w:val="auto"/>
                <w:sz w:val="24"/>
                <w:highlight w:val="none"/>
              </w:rPr>
              <w:t>投标报价（A）</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r>
      <w:tr>
        <w:tblPrEx>
          <w:tblCellMar>
            <w:top w:w="0" w:type="dxa"/>
            <w:left w:w="108" w:type="dxa"/>
            <w:bottom w:w="0" w:type="dxa"/>
            <w:right w:w="108" w:type="dxa"/>
          </w:tblCellMar>
        </w:tblPrEx>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宋体" w:hAnsi="Calibri" w:eastAsia="宋体" w:cs="Times New Roman"/>
                <w:b/>
                <w:bCs/>
                <w:color w:val="auto"/>
                <w:sz w:val="24"/>
                <w:highlight w:val="none"/>
              </w:rPr>
            </w:pPr>
            <w:r>
              <w:rPr>
                <w:rFonts w:hint="eastAsia" w:ascii="宋体" w:hAnsi="Calibri" w:eastAsia="宋体" w:cs="Times New Roman"/>
                <w:b/>
                <w:bCs/>
                <w:color w:val="auto"/>
                <w:sz w:val="24"/>
                <w:highlight w:val="none"/>
              </w:rPr>
              <w:t>评标基准价（B）</w:t>
            </w:r>
          </w:p>
        </w:tc>
        <w:tc>
          <w:tcPr>
            <w:tcW w:w="574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Calibri" w:eastAsia="宋体" w:cs="Times New Roman"/>
                <w:bCs/>
                <w:color w:val="auto"/>
                <w:sz w:val="24"/>
                <w:highlight w:val="none"/>
              </w:rPr>
            </w:pPr>
          </w:p>
        </w:tc>
      </w:tr>
      <w:tr>
        <w:tblPrEx>
          <w:tblCellMar>
            <w:top w:w="0" w:type="dxa"/>
            <w:left w:w="108" w:type="dxa"/>
            <w:bottom w:w="0" w:type="dxa"/>
            <w:right w:w="108" w:type="dxa"/>
          </w:tblCellMar>
        </w:tblPrEx>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宋体" w:hAnsi="Calibri" w:eastAsia="宋体" w:cs="Times New Roman"/>
                <w:b/>
                <w:bCs/>
                <w:color w:val="auto"/>
                <w:sz w:val="24"/>
                <w:highlight w:val="none"/>
              </w:rPr>
            </w:pPr>
            <w:r>
              <w:rPr>
                <w:rFonts w:hint="eastAsia" w:ascii="宋体" w:hAnsi="Calibri" w:eastAsia="宋体" w:cs="Times New Roman"/>
                <w:b/>
                <w:bCs/>
                <w:color w:val="auto"/>
                <w:sz w:val="24"/>
                <w:highlight w:val="none"/>
              </w:rPr>
              <w:t>偏差（（A-B）/B）（%）</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r>
      <w:tr>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宋体" w:hAnsi="Calibri" w:eastAsia="宋体" w:cs="Times New Roman"/>
                <w:b/>
                <w:bCs/>
                <w:color w:val="auto"/>
                <w:sz w:val="24"/>
                <w:highlight w:val="none"/>
              </w:rPr>
            </w:pPr>
            <w:r>
              <w:rPr>
                <w:rFonts w:hint="eastAsia" w:ascii="宋体" w:hAnsi="Calibri" w:eastAsia="宋体" w:cs="Times New Roman"/>
                <w:b/>
                <w:bCs/>
                <w:color w:val="auto"/>
                <w:sz w:val="24"/>
                <w:highlight w:val="none"/>
              </w:rPr>
              <w:t>减分</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r>
      <w:tr>
        <w:tblPrEx>
          <w:tblCellMar>
            <w:top w:w="0" w:type="dxa"/>
            <w:left w:w="108" w:type="dxa"/>
            <w:bottom w:w="0" w:type="dxa"/>
            <w:right w:w="108" w:type="dxa"/>
          </w:tblCellMar>
        </w:tblPrEx>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宋体" w:hAnsi="Calibri" w:eastAsia="宋体" w:cs="Times New Roman"/>
                <w:b/>
                <w:bCs/>
                <w:color w:val="auto"/>
                <w:sz w:val="24"/>
                <w:highlight w:val="none"/>
              </w:rPr>
            </w:pPr>
            <w:r>
              <w:rPr>
                <w:rFonts w:hint="eastAsia" w:ascii="宋体" w:hAnsi="Calibri" w:eastAsia="宋体" w:cs="Times New Roman"/>
                <w:b/>
                <w:bCs/>
                <w:color w:val="auto"/>
                <w:sz w:val="24"/>
                <w:highlight w:val="none"/>
              </w:rPr>
              <w:t>得分</w:t>
            </w:r>
            <w:r>
              <w:rPr>
                <w:rFonts w:hint="eastAsia" w:ascii="宋体" w:eastAsia="宋体" w:cs="Times New Roman"/>
                <w:b/>
                <w:bCs/>
                <w:color w:val="auto"/>
                <w:sz w:val="24"/>
                <w:highlight w:val="none"/>
                <w:lang w:eastAsia="zh-CN"/>
              </w:rPr>
              <w:t>（</w:t>
            </w:r>
            <w:r>
              <w:rPr>
                <w:rFonts w:hint="eastAsia" w:ascii="宋体" w:cs="Times New Roman"/>
                <w:b/>
                <w:bCs/>
                <w:color w:val="auto"/>
                <w:sz w:val="24"/>
                <w:highlight w:val="none"/>
                <w:lang w:val="en-US" w:eastAsia="zh-CN"/>
              </w:rPr>
              <w:t>30</w:t>
            </w:r>
            <w:r>
              <w:rPr>
                <w:rFonts w:hint="eastAsia" w:ascii="宋体" w:eastAsia="宋体" w:cs="Times New Roman"/>
                <w:b/>
                <w:bCs/>
                <w:color w:val="auto"/>
                <w:sz w:val="24"/>
                <w:highlight w:val="none"/>
                <w:lang w:eastAsia="zh-CN"/>
              </w:rPr>
              <w:t>－</w:t>
            </w:r>
            <w:r>
              <w:rPr>
                <w:rFonts w:hint="eastAsia" w:ascii="宋体" w:hAnsi="Calibri" w:eastAsia="宋体" w:cs="Times New Roman"/>
                <w:b/>
                <w:bCs/>
                <w:color w:val="auto"/>
                <w:sz w:val="24"/>
                <w:highlight w:val="none"/>
              </w:rPr>
              <w:t>减分</w:t>
            </w:r>
            <w:r>
              <w:rPr>
                <w:rFonts w:hint="eastAsia" w:ascii="宋体" w:eastAsia="宋体" w:cs="Times New Roman"/>
                <w:b/>
                <w:bCs/>
                <w:color w:val="auto"/>
                <w:sz w:val="24"/>
                <w:highlight w:val="none"/>
                <w:lang w:eastAsia="zh-CN"/>
              </w:rPr>
              <w:t>）</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r>
      <w:tr>
        <w:tblPrEx>
          <w:tblCellMar>
            <w:top w:w="0" w:type="dxa"/>
            <w:left w:w="108" w:type="dxa"/>
            <w:bottom w:w="0" w:type="dxa"/>
            <w:right w:w="108" w:type="dxa"/>
          </w:tblCellMar>
        </w:tblPrEx>
        <w:trPr>
          <w:trHeight w:val="454" w:hRule="atLeast"/>
          <w:jc w:val="center"/>
        </w:trPr>
        <w:tc>
          <w:tcPr>
            <w:tcW w:w="2911" w:type="dxa"/>
            <w:tcBorders>
              <w:top w:val="single" w:color="auto" w:sz="4" w:space="0"/>
              <w:left w:val="single" w:color="auto" w:sz="4" w:space="0"/>
              <w:bottom w:val="single" w:color="auto" w:sz="4" w:space="0"/>
              <w:right w:val="single" w:color="auto" w:sz="4" w:space="0"/>
            </w:tcBorders>
            <w:shd w:val="clear" w:color="auto" w:fill="EAEAEA"/>
            <w:noWrap w:val="0"/>
            <w:vAlign w:val="center"/>
          </w:tcPr>
          <w:p>
            <w:pPr>
              <w:jc w:val="center"/>
              <w:rPr>
                <w:rFonts w:ascii="宋体" w:hAnsi="Calibri" w:eastAsia="宋体" w:cs="Times New Roman"/>
                <w:b/>
                <w:bCs/>
                <w:color w:val="auto"/>
                <w:sz w:val="24"/>
                <w:highlight w:val="none"/>
              </w:rPr>
            </w:pPr>
            <w:r>
              <w:rPr>
                <w:rFonts w:hint="eastAsia" w:ascii="宋体" w:hAnsi="Calibri" w:eastAsia="宋体" w:cs="Times New Roman"/>
                <w:b/>
                <w:bCs/>
                <w:color w:val="auto"/>
                <w:sz w:val="24"/>
                <w:highlight w:val="none"/>
              </w:rPr>
              <w:t>得分排名次序</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宋体" w:hAnsi="Calibri" w:eastAsia="宋体" w:cs="Times New Roman"/>
                <w:color w:val="auto"/>
                <w:sz w:val="24"/>
                <w:highlight w:val="none"/>
              </w:rPr>
            </w:pPr>
          </w:p>
        </w:tc>
      </w:tr>
    </w:tbl>
    <w:p>
      <w:pPr>
        <w:adjustRightInd w:val="0"/>
        <w:snapToGrid w:val="0"/>
        <w:spacing w:line="360" w:lineRule="auto"/>
        <w:rPr>
          <w:rFonts w:ascii="宋体" w:hAnsi="Calibri" w:eastAsia="宋体" w:cs="宋体"/>
          <w:color w:val="auto"/>
          <w:sz w:val="24"/>
          <w:highlight w:val="none"/>
        </w:rPr>
      </w:pPr>
      <w:r>
        <w:rPr>
          <w:rFonts w:hint="eastAsia" w:ascii="宋体" w:hAnsi="Calibri" w:eastAsia="宋体" w:cs="宋体"/>
          <w:color w:val="auto"/>
          <w:sz w:val="24"/>
          <w:highlight w:val="none"/>
        </w:rPr>
        <w:t>备注：</w:t>
      </w:r>
    </w:p>
    <w:p>
      <w:pPr>
        <w:adjustRightInd w:val="0"/>
        <w:snapToGrid w:val="0"/>
        <w:spacing w:line="360" w:lineRule="auto"/>
        <w:ind w:firstLine="480" w:firstLineChars="200"/>
        <w:rPr>
          <w:rFonts w:ascii="宋体" w:hAnsi="Calibri" w:eastAsia="宋体" w:cs="宋体"/>
          <w:color w:val="auto"/>
          <w:sz w:val="24"/>
          <w:highlight w:val="none"/>
        </w:rPr>
      </w:pPr>
      <w:r>
        <w:rPr>
          <w:rFonts w:hint="eastAsia" w:ascii="宋体" w:hAnsi="Calibri" w:eastAsia="宋体" w:cs="宋体"/>
          <w:color w:val="auto"/>
          <w:sz w:val="24"/>
          <w:highlight w:val="none"/>
        </w:rPr>
        <w:t>①若通过资格性检查及符合性检查的投标人在5名或以内的，以通过资格性检查及符合性检查各投标人的总报价的算术平均值</w:t>
      </w:r>
      <w:r>
        <w:rPr>
          <w:rFonts w:hint="eastAsia" w:ascii="Calibri" w:hAnsi="Calibri" w:eastAsia="宋体" w:cs="宋体"/>
          <w:color w:val="auto"/>
          <w:sz w:val="24"/>
          <w:highlight w:val="none"/>
        </w:rPr>
        <w:t>作</w:t>
      </w:r>
      <w:r>
        <w:rPr>
          <w:rFonts w:hint="eastAsia" w:ascii="宋体" w:hAnsi="Calibri" w:eastAsia="宋体" w:cs="宋体"/>
          <w:color w:val="auto"/>
          <w:sz w:val="24"/>
          <w:highlight w:val="none"/>
        </w:rPr>
        <w:t>为评标基准价；若通过资格性检查及符合性检查的投标人在6名或以上的，则在通过资格性检查及符合性检查的各投标人的总报价中，去掉一个最高价和一个最低价后，剩余报价算术平均值</w:t>
      </w:r>
      <w:r>
        <w:rPr>
          <w:rFonts w:hint="eastAsia" w:ascii="Calibri" w:hAnsi="Calibri" w:eastAsia="宋体" w:cs="宋体"/>
          <w:color w:val="auto"/>
          <w:sz w:val="24"/>
          <w:highlight w:val="none"/>
        </w:rPr>
        <w:t>作</w:t>
      </w:r>
      <w:r>
        <w:rPr>
          <w:rFonts w:hint="eastAsia" w:ascii="宋体" w:hAnsi="Calibri" w:eastAsia="宋体" w:cs="宋体"/>
          <w:color w:val="auto"/>
          <w:sz w:val="24"/>
          <w:highlight w:val="none"/>
        </w:rPr>
        <w:t>为评标基准价。</w:t>
      </w:r>
    </w:p>
    <w:p>
      <w:pPr>
        <w:spacing w:line="360" w:lineRule="auto"/>
        <w:ind w:firstLine="480" w:firstLineChars="200"/>
        <w:rPr>
          <w:rFonts w:ascii="宋体" w:hAnsi="宋体" w:eastAsia="宋体" w:cs="宋体"/>
          <w:color w:val="auto"/>
          <w:sz w:val="24"/>
          <w:highlight w:val="none"/>
        </w:rPr>
        <w:sectPr>
          <w:pgSz w:w="11906" w:h="16838"/>
          <w:pgMar w:top="1440" w:right="1800" w:bottom="1440" w:left="1800" w:header="851" w:footer="822" w:gutter="0"/>
          <w:cols w:space="720" w:num="1"/>
          <w:docGrid w:linePitch="312" w:charSpace="0"/>
        </w:sectPr>
      </w:pPr>
      <w:r>
        <w:rPr>
          <w:rFonts w:hint="eastAsia" w:ascii="宋体" w:hAnsi="Calibri" w:eastAsia="宋体" w:cs="宋体"/>
          <w:color w:val="auto"/>
          <w:sz w:val="24"/>
          <w:highlight w:val="none"/>
        </w:rPr>
        <w:t>②当评标价等于评标基准价时得</w:t>
      </w:r>
      <w:r>
        <w:rPr>
          <w:rFonts w:hint="eastAsia" w:ascii="宋体" w:cs="宋体"/>
          <w:color w:val="auto"/>
          <w:sz w:val="24"/>
          <w:highlight w:val="none"/>
          <w:lang w:val="en-US" w:eastAsia="zh-CN"/>
        </w:rPr>
        <w:t>30</w:t>
      </w:r>
      <w:r>
        <w:rPr>
          <w:rFonts w:hint="eastAsia" w:ascii="宋体" w:hAnsi="Calibri" w:eastAsia="宋体" w:cs="宋体"/>
          <w:color w:val="auto"/>
          <w:sz w:val="24"/>
          <w:highlight w:val="none"/>
        </w:rPr>
        <w:t>分，评标价每高于评标基准价1%，扣1分，每低于评标基准价1%，扣0.5分，扣至0分为止。得分精确到小数点后两位。（偏差率不足1%的按1%计算）</w:t>
      </w:r>
    </w:p>
    <w:p>
      <w:pPr>
        <w:pStyle w:val="3"/>
        <w:spacing w:before="6000" w:beforeLines="2500" w:after="5280" w:afterLines="2200" w:line="0" w:lineRule="atLeast"/>
        <w:jc w:val="center"/>
        <w:rPr>
          <w:color w:val="auto"/>
          <w:highlight w:val="none"/>
        </w:rPr>
      </w:pPr>
      <w:bookmarkStart w:id="287" w:name="_Toc14045"/>
      <w:bookmarkStart w:id="288" w:name="_Toc29668"/>
      <w:bookmarkStart w:id="289" w:name="_Toc17035"/>
      <w:bookmarkStart w:id="290" w:name="_Toc423021951"/>
      <w:bookmarkStart w:id="291" w:name="_Toc2252"/>
      <w:bookmarkStart w:id="292" w:name="_Toc2697"/>
      <w:r>
        <w:rPr>
          <w:rFonts w:hint="eastAsia"/>
          <w:color w:val="auto"/>
          <w:highlight w:val="none"/>
        </w:rPr>
        <w:t>第四章用户需求书</w:t>
      </w:r>
      <w:bookmarkEnd w:id="287"/>
      <w:bookmarkEnd w:id="288"/>
      <w:bookmarkEnd w:id="289"/>
      <w:bookmarkEnd w:id="290"/>
      <w:bookmarkEnd w:id="291"/>
      <w:bookmarkEnd w:id="292"/>
    </w:p>
    <w:p>
      <w:pPr>
        <w:spacing w:before="72" w:after="72" w:line="360" w:lineRule="auto"/>
        <w:ind w:firstLine="480" w:firstLineChars="200"/>
        <w:rPr>
          <w:rFonts w:ascii="宋体" w:hAnsi="宋体"/>
          <w:color w:val="auto"/>
          <w:sz w:val="24"/>
          <w:highlight w:val="none"/>
        </w:rPr>
      </w:pPr>
    </w:p>
    <w:p>
      <w:pPr>
        <w:spacing w:before="72" w:after="72" w:line="360" w:lineRule="auto"/>
        <w:ind w:firstLine="480" w:firstLineChars="200"/>
        <w:rPr>
          <w:rFonts w:ascii="宋体" w:hAnsi="宋体"/>
          <w:color w:val="auto"/>
          <w:sz w:val="24"/>
          <w:highlight w:val="none"/>
        </w:rPr>
      </w:pPr>
    </w:p>
    <w:p>
      <w:pPr>
        <w:spacing w:before="72" w:after="72" w:line="360" w:lineRule="auto"/>
        <w:ind w:firstLine="480" w:firstLineChars="200"/>
        <w:rPr>
          <w:rFonts w:ascii="宋体" w:hAnsi="宋体"/>
          <w:color w:val="auto"/>
          <w:sz w:val="24"/>
          <w:highlight w:val="none"/>
        </w:rPr>
      </w:pPr>
    </w:p>
    <w:p>
      <w:pPr>
        <w:spacing w:before="72" w:after="72" w:line="360" w:lineRule="auto"/>
        <w:ind w:firstLine="480" w:firstLineChars="200"/>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after="480" w:afterLines="200"/>
        <w:ind w:firstLine="0" w:firstLineChars="0"/>
        <w:jc w:val="center"/>
        <w:textAlignment w:val="auto"/>
        <w:rPr>
          <w:rFonts w:ascii="宋体" w:hAnsi="宋体" w:eastAsia="宋体" w:cs="宋体"/>
          <w:b/>
          <w:bCs/>
          <w:color w:val="auto"/>
          <w:sz w:val="32"/>
          <w:szCs w:val="32"/>
          <w:highlight w:val="none"/>
        </w:rPr>
      </w:pPr>
      <w:bookmarkStart w:id="293" w:name="_Toc50737322"/>
      <w:bookmarkStart w:id="294" w:name="_Toc50691023"/>
      <w:bookmarkStart w:id="295" w:name="_Toc50736470"/>
      <w:bookmarkStart w:id="296" w:name="_Toc168288368"/>
      <w:bookmarkStart w:id="297" w:name="_Toc50737290"/>
      <w:bookmarkStart w:id="298" w:name="_Toc182886660"/>
      <w:bookmarkStart w:id="299" w:name="_Toc423021952"/>
      <w:bookmarkStart w:id="300" w:name="_Toc16117"/>
      <w:bookmarkStart w:id="301" w:name="_Toc372468320"/>
      <w:bookmarkStart w:id="302" w:name="_Toc32670"/>
      <w:bookmarkStart w:id="303" w:name="_Toc183316721"/>
      <w:r>
        <w:rPr>
          <w:rFonts w:hint="eastAsia" w:ascii="宋体" w:hAnsi="宋体" w:eastAsia="宋体" w:cs="宋体"/>
          <w:b/>
          <w:bCs/>
          <w:color w:val="auto"/>
          <w:sz w:val="32"/>
          <w:szCs w:val="32"/>
          <w:highlight w:val="none"/>
        </w:rPr>
        <w:t>用户需求书</w:t>
      </w:r>
    </w:p>
    <w:p>
      <w:pPr>
        <w:adjustRightInd w:val="0"/>
        <w:snapToGrid w:val="0"/>
        <w:spacing w:line="360" w:lineRule="auto"/>
        <w:ind w:firstLine="442" w:firstLineChars="200"/>
        <w:jc w:val="left"/>
        <w:rPr>
          <w:rFonts w:hint="eastAsia" w:ascii="宋体" w:hAnsi="宋体"/>
          <w:b/>
          <w:bCs/>
          <w:color w:val="auto"/>
          <w:sz w:val="22"/>
          <w:szCs w:val="22"/>
          <w:highlight w:val="none"/>
          <w:u w:val="double"/>
        </w:rPr>
      </w:pPr>
      <w:bookmarkStart w:id="304" w:name="_Toc319504147"/>
      <w:bookmarkEnd w:id="304"/>
      <w:bookmarkStart w:id="305" w:name="_Toc365971986"/>
      <w:bookmarkStart w:id="306" w:name="_Toc295597949"/>
      <w:bookmarkStart w:id="307" w:name="_Toc6926285"/>
      <w:bookmarkStart w:id="308" w:name="_Toc280016727"/>
      <w:bookmarkStart w:id="309" w:name="_Toc396765363"/>
      <w:bookmarkStart w:id="310" w:name="_Toc280860126"/>
      <w:bookmarkStart w:id="311" w:name="_Toc280730362"/>
      <w:bookmarkStart w:id="312" w:name="_Toc295597605"/>
      <w:r>
        <w:rPr>
          <w:rFonts w:hint="eastAsia" w:ascii="宋体" w:hAnsi="宋体"/>
          <w:b/>
          <w:bCs/>
          <w:color w:val="auto"/>
          <w:sz w:val="22"/>
          <w:szCs w:val="22"/>
          <w:highlight w:val="none"/>
          <w:u w:val="double"/>
        </w:rPr>
        <w:t>说明：招标文件有“★”的地方为实质性的指标要求，必须一一响应。若有一项带“★”的指标要求未响应或不满足，将按</w:t>
      </w:r>
      <w:r>
        <w:rPr>
          <w:rFonts w:hint="eastAsia" w:ascii="宋体" w:hAnsi="宋体"/>
          <w:b/>
          <w:bCs/>
          <w:color w:val="auto"/>
          <w:sz w:val="22"/>
          <w:szCs w:val="22"/>
          <w:highlight w:val="none"/>
          <w:u w:val="double"/>
          <w:lang w:eastAsia="zh-CN"/>
        </w:rPr>
        <w:t>投标</w:t>
      </w:r>
      <w:r>
        <w:rPr>
          <w:rFonts w:hint="eastAsia" w:ascii="宋体" w:hAnsi="宋体"/>
          <w:b/>
          <w:bCs/>
          <w:color w:val="auto"/>
          <w:sz w:val="22"/>
          <w:szCs w:val="22"/>
          <w:highlight w:val="none"/>
          <w:u w:val="double"/>
        </w:rPr>
        <w:t>无效处理。</w:t>
      </w:r>
    </w:p>
    <w:bookmarkEnd w:id="305"/>
    <w:bookmarkEnd w:id="306"/>
    <w:bookmarkEnd w:id="307"/>
    <w:bookmarkEnd w:id="308"/>
    <w:bookmarkEnd w:id="309"/>
    <w:bookmarkEnd w:id="310"/>
    <w:bookmarkEnd w:id="311"/>
    <w:bookmarkEnd w:id="312"/>
    <w:p>
      <w:pPr>
        <w:keepNext w:val="0"/>
        <w:keepLines w:val="0"/>
        <w:pageBreakBefore w:val="0"/>
        <w:widowControl w:val="0"/>
        <w:kinsoku/>
        <w:wordWrap/>
        <w:overflowPunct/>
        <w:topLinePunct w:val="0"/>
        <w:autoSpaceDE/>
        <w:autoSpaceDN/>
        <w:bidi w:val="0"/>
        <w:adjustRightInd/>
        <w:snapToGrid w:val="0"/>
        <w:spacing w:before="313" w:beforeLines="100"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一、项目概况</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项目名称：</w:t>
      </w:r>
      <w:r>
        <w:rPr>
          <w:rFonts w:hint="eastAsia" w:ascii="宋体" w:hAnsi="宋体" w:eastAsia="宋体" w:cs="宋体"/>
          <w:b w:val="0"/>
          <w:bCs w:val="0"/>
          <w:color w:val="auto"/>
          <w:kern w:val="2"/>
          <w:sz w:val="24"/>
          <w:szCs w:val="24"/>
          <w:highlight w:val="none"/>
          <w:lang w:val="en-US" w:eastAsia="zh-CN"/>
        </w:rPr>
        <w:t>中山黄圃腊味展示中心多媒体集成服务</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概况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本项目拟通过公开招标的方式选取一名中标人，中标人根据招标人要求完成</w:t>
      </w:r>
      <w:r>
        <w:rPr>
          <w:rFonts w:hint="eastAsia" w:ascii="宋体" w:hAnsi="宋体" w:eastAsia="宋体" w:cs="宋体"/>
          <w:b w:val="0"/>
          <w:bCs w:val="0"/>
          <w:color w:val="auto"/>
          <w:kern w:val="2"/>
          <w:sz w:val="24"/>
          <w:szCs w:val="24"/>
          <w:highlight w:val="none"/>
          <w:lang w:val="en-US" w:eastAsia="zh-CN"/>
        </w:rPr>
        <w:t>中山黄圃腊味展示中心多媒体设备搭建及内容制作集成服务。</w:t>
      </w:r>
    </w:p>
    <w:p>
      <w:pPr>
        <w:keepNext w:val="0"/>
        <w:keepLines w:val="0"/>
        <w:pageBreakBefore w:val="0"/>
        <w:widowControl w:val="0"/>
        <w:kinsoku/>
        <w:wordWrap/>
        <w:overflowPunct/>
        <w:topLinePunct w:val="0"/>
        <w:bidi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（三）标的额：</w:t>
      </w:r>
      <w:r>
        <w:rPr>
          <w:rFonts w:hint="eastAsia" w:ascii="宋体" w:hAnsi="宋体" w:eastAsia="宋体" w:cs="宋体"/>
          <w:color w:val="auto"/>
          <w:sz w:val="24"/>
          <w:szCs w:val="24"/>
          <w:highlight w:val="none"/>
          <w:u w:val="none"/>
          <w:lang w:val="en-US" w:eastAsia="zh-CN"/>
        </w:rPr>
        <w:t>人民币伍拾叁万圆整，含税</w:t>
      </w:r>
      <w:r>
        <w:rPr>
          <w:rFonts w:hint="eastAsia" w:ascii="宋体" w:hAnsi="宋体" w:eastAsia="宋体" w:cs="宋体"/>
          <w:color w:val="auto"/>
          <w:sz w:val="24"/>
          <w:szCs w:val="24"/>
          <w:highlight w:val="none"/>
          <w:lang w:val="en-US" w:eastAsia="zh-CN"/>
        </w:rPr>
        <w:t>(小写：￥530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000.00)。</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（四）展示中心地址：广东省中山市黄圃镇中国食品工业示范基地研发中心。</w:t>
      </w:r>
      <w:bookmarkStart w:id="313" w:name="_Toc66784403"/>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二、项目招标内容及要求</w:t>
      </w:r>
      <w:bookmarkEnd w:id="313"/>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（一）总体要求</w:t>
      </w:r>
    </w:p>
    <w:p>
      <w:pPr>
        <w:keepNext w:val="0"/>
        <w:keepLines w:val="0"/>
        <w:pageBreakBefore w:val="0"/>
        <w:widowControl w:val="0"/>
        <w:tabs>
          <w:tab w:val="left" w:pos="90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针对展示中心一楼三处多媒体设备预留位置进行搭建及展示页面内容制作，具体以招标人提供的服务清单为准，(详见</w:t>
      </w:r>
      <w:r>
        <w:rPr>
          <w:rFonts w:hint="eastAsia" w:ascii="宋体" w:hAnsi="宋体" w:eastAsia="宋体" w:cs="宋体"/>
          <w:color w:val="auto"/>
          <w:kern w:val="2"/>
          <w:sz w:val="24"/>
          <w:szCs w:val="24"/>
          <w:highlight w:val="none"/>
          <w:lang w:val="en-US" w:eastAsia="zh-CN"/>
        </w:rPr>
        <w:t>《附件1：服务设备清单》</w:t>
      </w:r>
      <w:r>
        <w:rPr>
          <w:rFonts w:hint="eastAsia" w:ascii="宋体" w:hAnsi="宋体" w:eastAsia="宋体" w:cs="宋体"/>
          <w:color w:val="auto"/>
          <w:kern w:val="2"/>
          <w:sz w:val="24"/>
          <w:szCs w:val="24"/>
          <w:highlight w:val="none"/>
          <w:lang w:val="en-US" w:eastAsia="zh-CN"/>
        </w:rPr>
        <w:t>）</w:t>
      </w:r>
    </w:p>
    <w:p>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（二）具体内容及服务要求</w:t>
      </w:r>
    </w:p>
    <w:p>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1、投标人根据服务设备清单提供投标产品的品牌</w:t>
      </w:r>
      <w:r>
        <w:rPr>
          <w:rFonts w:hint="eastAsia" w:ascii="宋体" w:hAnsi="宋体" w:cs="宋体"/>
          <w:b w:val="0"/>
          <w:bCs w:val="0"/>
          <w:color w:val="auto"/>
          <w:kern w:val="2"/>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rPr>
        <w:t>型号</w:t>
      </w:r>
      <w:r>
        <w:rPr>
          <w:rFonts w:hint="eastAsia" w:ascii="宋体" w:hAnsi="宋体" w:cs="宋体"/>
          <w:b w:val="0"/>
          <w:bCs w:val="0"/>
          <w:color w:val="auto"/>
          <w:kern w:val="2"/>
          <w:sz w:val="24"/>
          <w:szCs w:val="24"/>
          <w:highlight w:val="none"/>
          <w:lang w:val="en-US" w:eastAsia="zh-CN"/>
        </w:rPr>
        <w:t>和</w:t>
      </w:r>
      <w:r>
        <w:rPr>
          <w:rFonts w:hint="eastAsia" w:ascii="宋体" w:hAnsi="宋体" w:eastAsia="宋体" w:cs="宋体"/>
          <w:b w:val="0"/>
          <w:bCs w:val="0"/>
          <w:color w:val="auto"/>
          <w:kern w:val="2"/>
          <w:sz w:val="24"/>
          <w:szCs w:val="24"/>
          <w:highlight w:val="none"/>
          <w:lang w:val="en-US" w:eastAsia="zh-CN"/>
        </w:rPr>
        <w:t>详细的技术参数等。</w:t>
      </w:r>
    </w:p>
    <w:p>
      <w:pPr>
        <w:keepNext w:val="0"/>
        <w:keepLines w:val="0"/>
        <w:pageBreakBefore w:val="0"/>
        <w:widowControl w:val="0"/>
        <w:numPr>
          <w:ilvl w:val="0"/>
          <w:numId w:val="0"/>
        </w:numPr>
        <w:tabs>
          <w:tab w:val="left" w:pos="90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2、服务团队必须具备软件开发能力，根据招标人要求定制化</w:t>
      </w:r>
      <w:r>
        <w:rPr>
          <w:rFonts w:hint="eastAsia" w:ascii="宋体" w:hAnsi="宋体" w:eastAsia="宋体" w:cs="宋体"/>
          <w:color w:val="auto"/>
          <w:sz w:val="24"/>
          <w:szCs w:val="24"/>
          <w:highlight w:val="none"/>
          <w:lang w:val="en-US" w:eastAsia="zh-CN"/>
        </w:rPr>
        <w:t>开发、搭建线上展示系统，服务期间持续更新信息。</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3、提供</w:t>
      </w:r>
      <w:r>
        <w:rPr>
          <w:rFonts w:hint="eastAsia" w:ascii="宋体" w:hAnsi="宋体" w:eastAsia="宋体" w:cs="宋体"/>
          <w:color w:val="auto"/>
          <w:sz w:val="24"/>
          <w:szCs w:val="24"/>
          <w:highlight w:val="none"/>
          <w:lang w:val="en-US" w:eastAsia="zh-CN"/>
        </w:rPr>
        <w:t>项目服务方案，包括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施工方案、安全措施方案、进度计划及售后服务方案等。</w:t>
      </w:r>
    </w:p>
    <w:p>
      <w:pPr>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4、提供一年期免费售后服务。</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（三）服务期</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签订合同后7个工作日内施工，总服务</w:t>
      </w:r>
      <w:r>
        <w:rPr>
          <w:rFonts w:hint="eastAsia" w:ascii="宋体" w:hAnsi="宋体" w:eastAsia="宋体" w:cs="宋体"/>
          <w:color w:val="auto"/>
          <w:kern w:val="2"/>
          <w:sz w:val="24"/>
          <w:szCs w:val="24"/>
          <w:highlight w:val="none"/>
          <w:lang w:val="en-US" w:eastAsia="zh-CN"/>
        </w:rPr>
        <w:t>期为50个工作日内。</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四）质量要求</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进场的所有产品必须是优质、全新、未用、配套齐全、无损的，且主要技术参数符合要求。经招标人检验其规格、质量和数量，签字认可后方可施工；检验不合格的，供应商应予无条件调换。</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（五）竣工</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1、供应商必须按照合同约定的竣工日期或招标人同意顺延的服务期竣工。</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2、因供应商原因不能按照协议书约定的竣工日期或招标人同意顺延的服务期竣工的，供应商承担违约责任。</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施工中招标人如需提前竣工，双方协商一致后应签订提前竣工协议，作为合同文件组成部分。提前竣工协议应包括供应商为保证项目质量和安全采取的措施、招标人为提前竣工提供的条件以及提前竣工所需的追加合同价款等内容。</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（六）施工要求</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1、供应商应提供良好的技术支持和快速的应急响应和处理能力。</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2、供应商应严格执行招标人所要求的施工工艺规范及相关规定，供应商自行承担与</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lang w:val="en-US" w:eastAsia="zh-CN"/>
        </w:rPr>
        <w:t>项目有关的安全责任。项目实施过程中，若出现重大安全事故，依据相关法律法规的规定供应商需暂停施工，由此对服务期造成延误，供应商应承担相关的违约责任。</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3、供应商不得以任何形式将项目全部或部分转包给第三方。</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4、在施工中接头和隐蔽工程部分，应严格按照规范程序和要求进行施工，隐蔽工程需经招标人书面确认后方可施工，并作为报验资料存档。</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5、供应商应按安全施工有关规定，采取严格、科学的安全防护措施，确保施工安全和第三者的安全，承担由于自身安全措施不力造成事故的责任和发生的费用。</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6、供应商进场施工前，需提前通知招标人，由招标人提供可满足安装施工条件的场地。</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7、整个实施服务期间，供应商应遵守招标人有关规章制度，凡由于供应商原因造成的安全责任事故，由供应商自行负责。</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8、供应商施工过程中应做到工完场清，以保证现场干净、整洁、有序。</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val="en-US" w:eastAsia="zh-CN"/>
        </w:rPr>
        <w:t>三</w:t>
      </w:r>
      <w:r>
        <w:rPr>
          <w:rFonts w:hint="eastAsia" w:ascii="宋体" w:hAnsi="宋体" w:eastAsia="宋体" w:cs="宋体"/>
          <w:b/>
          <w:bCs/>
          <w:color w:val="auto"/>
          <w:kern w:val="2"/>
          <w:sz w:val="24"/>
          <w:szCs w:val="24"/>
          <w:highlight w:val="none"/>
          <w:lang w:eastAsia="zh-CN"/>
        </w:rPr>
        <w:t>、验收标准</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验收依据：</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rPr>
        <w:t>文件、投标文件、合同、厂家货物技术标准说明及国家有关的质量标准规定，均为验收依据。</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货物验收：货物运抵</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处后由双方对照采购清单及技术要求进行验收。</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根据招标要求进行货物安装、调试、</w:t>
      </w:r>
      <w:r>
        <w:rPr>
          <w:rFonts w:hint="eastAsia" w:ascii="宋体" w:hAnsi="宋体" w:cs="宋体"/>
          <w:color w:val="auto"/>
          <w:kern w:val="2"/>
          <w:sz w:val="24"/>
          <w:szCs w:val="24"/>
          <w:highlight w:val="none"/>
          <w:lang w:eastAsia="zh-CN"/>
        </w:rPr>
        <w:t>软件功能</w:t>
      </w:r>
      <w:r>
        <w:rPr>
          <w:rFonts w:hint="eastAsia" w:ascii="宋体" w:hAnsi="宋体" w:eastAsia="宋体" w:cs="宋体"/>
          <w:color w:val="auto"/>
          <w:kern w:val="2"/>
          <w:sz w:val="24"/>
          <w:szCs w:val="24"/>
          <w:highlight w:val="none"/>
        </w:rPr>
        <w:t>测试</w:t>
      </w:r>
      <w:r>
        <w:rPr>
          <w:rFonts w:hint="eastAsia" w:ascii="宋体" w:hAnsi="宋体" w:cs="宋体"/>
          <w:color w:val="auto"/>
          <w:kern w:val="2"/>
          <w:sz w:val="24"/>
          <w:szCs w:val="24"/>
          <w:highlight w:val="none"/>
          <w:lang w:eastAsia="zh-CN"/>
        </w:rPr>
        <w:t>，直到符合技术要求</w:t>
      </w:r>
      <w:r>
        <w:rPr>
          <w:rFonts w:hint="eastAsia" w:ascii="宋体" w:hAnsi="宋体" w:eastAsia="宋体" w:cs="宋体"/>
          <w:color w:val="auto"/>
          <w:kern w:val="2"/>
          <w:sz w:val="24"/>
          <w:szCs w:val="24"/>
          <w:highlight w:val="none"/>
        </w:rPr>
        <w:t>，</w:t>
      </w:r>
      <w:r>
        <w:rPr>
          <w:rFonts w:hint="eastAsia" w:ascii="宋体" w:hAnsi="宋体" w:cs="宋体"/>
          <w:color w:val="auto"/>
          <w:kern w:val="2"/>
          <w:sz w:val="24"/>
          <w:szCs w:val="24"/>
          <w:highlight w:val="none"/>
          <w:lang w:eastAsia="zh-CN"/>
        </w:rPr>
        <w:t>出具验收报告及合格的性能测试报告</w:t>
      </w:r>
      <w:r>
        <w:rPr>
          <w:rFonts w:hint="eastAsia" w:ascii="宋体" w:hAnsi="宋体" w:eastAsia="宋体" w:cs="宋体"/>
          <w:color w:val="auto"/>
          <w:kern w:val="2"/>
          <w:sz w:val="24"/>
          <w:szCs w:val="24"/>
          <w:highlight w:val="none"/>
        </w:rPr>
        <w:t>。</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eastAsia="zh-CN"/>
        </w:rPr>
        <w:t>）提供验收材料内容包含安装调试、系统试运行、测试、系统培训、验收内容的详细说明文档</w:t>
      </w:r>
      <w:r>
        <w:rPr>
          <w:rFonts w:hint="eastAsia" w:ascii="宋体" w:hAnsi="宋体" w:cs="宋体"/>
          <w:color w:val="auto"/>
          <w:kern w:val="2"/>
          <w:sz w:val="24"/>
          <w:szCs w:val="24"/>
          <w:highlight w:val="none"/>
          <w:lang w:eastAsia="zh-CN"/>
        </w:rPr>
        <w:t>。</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eastAsia="zh-CN"/>
        </w:rPr>
        <w:t>（五）</w:t>
      </w:r>
      <w:r>
        <w:rPr>
          <w:rFonts w:hint="eastAsia" w:ascii="宋体" w:hAnsi="宋体" w:eastAsia="宋体" w:cs="宋体"/>
          <w:color w:val="auto"/>
          <w:kern w:val="2"/>
          <w:sz w:val="24"/>
          <w:szCs w:val="24"/>
          <w:highlight w:val="none"/>
        </w:rPr>
        <w:t>验收时</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必须派代表参加。</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cs="宋体"/>
          <w:color w:val="auto"/>
          <w:kern w:val="2"/>
          <w:sz w:val="24"/>
          <w:szCs w:val="24"/>
          <w:highlight w:val="none"/>
          <w:lang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验收过程所发生的一切费用由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承担。</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四、运输和包装要求</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包装：货物交货时应按国家有关标准要求进行包装。</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包装必须与运输方式相适应，包装方式的确定及包装费用均由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负责；由于不适当的包装而造成货物在运输过程中有任何损坏由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包装应足以承受整个过程中的运输、转运、装卸、储存等，充分考虑到运输途中的各种情况(如暴露于恶劣气候等)和地区的气候特点，以及露天存放的需要。</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专用工具及备品备件应分别包装，并在包装箱外加以注明其用处。</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负责将所有货物送至</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指定地点。</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t>五、售后服务要求</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供应商保证所提供的设备是全新、未曾使用过的，其质量、规格及技术特征符合</w:t>
      </w:r>
      <w:r>
        <w:rPr>
          <w:rFonts w:hint="eastAsia" w:ascii="宋体" w:hAnsi="宋体" w:eastAsia="宋体" w:cs="宋体"/>
          <w:color w:val="auto"/>
          <w:kern w:val="2"/>
          <w:sz w:val="24"/>
          <w:szCs w:val="24"/>
          <w:highlight w:val="none"/>
          <w:lang w:eastAsia="zh-CN"/>
        </w:rPr>
        <w:t>招</w:t>
      </w:r>
      <w:r>
        <w:rPr>
          <w:rFonts w:hint="eastAsia" w:ascii="宋体" w:hAnsi="宋体" w:eastAsia="宋体" w:cs="宋体"/>
          <w:color w:val="auto"/>
          <w:kern w:val="2"/>
          <w:sz w:val="24"/>
          <w:szCs w:val="24"/>
          <w:highlight w:val="none"/>
          <w:lang w:eastAsia="zh-CN"/>
        </w:rPr>
        <w:t>标</w:t>
      </w:r>
      <w:r>
        <w:rPr>
          <w:rFonts w:hint="eastAsia" w:ascii="宋体" w:hAnsi="宋体" w:eastAsia="宋体" w:cs="宋体"/>
          <w:color w:val="auto"/>
          <w:kern w:val="2"/>
          <w:sz w:val="24"/>
          <w:szCs w:val="24"/>
          <w:highlight w:val="none"/>
        </w:rPr>
        <w:t>文件</w:t>
      </w:r>
      <w:r>
        <w:rPr>
          <w:rFonts w:hint="eastAsia" w:ascii="宋体" w:hAnsi="宋体" w:eastAsia="宋体" w:cs="宋体"/>
          <w:color w:val="auto"/>
          <w:kern w:val="2"/>
          <w:sz w:val="24"/>
          <w:szCs w:val="24"/>
          <w:highlight w:val="none"/>
        </w:rPr>
        <w:t>的要求，按照本项目特点提供长期良好的售后服务。</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lang w:val="en-US" w:eastAsia="zh-CN"/>
        </w:rPr>
        <w:t>二</w:t>
      </w: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质保期：自所有施工内容验收合格之日起计算，</w:t>
      </w:r>
      <w:r>
        <w:rPr>
          <w:rFonts w:hint="eastAsia" w:ascii="宋体" w:hAnsi="宋体" w:eastAsia="宋体" w:cs="宋体"/>
          <w:color w:val="auto"/>
          <w:kern w:val="2"/>
          <w:sz w:val="24"/>
          <w:szCs w:val="24"/>
          <w:highlight w:val="none"/>
        </w:rPr>
        <w:t>提供不少于</w:t>
      </w:r>
      <w:r>
        <w:rPr>
          <w:rFonts w:hint="eastAsia" w:ascii="宋体" w:hAnsi="宋体" w:eastAsia="宋体" w:cs="宋体"/>
          <w:bCs w:val="0"/>
          <w:color w:val="auto"/>
          <w:kern w:val="2"/>
          <w:sz w:val="24"/>
          <w:szCs w:val="24"/>
          <w:highlight w:val="none"/>
          <w:lang w:bidi="ar"/>
        </w:rPr>
        <w:t>1年的</w:t>
      </w:r>
      <w:r>
        <w:rPr>
          <w:rFonts w:hint="eastAsia" w:ascii="宋体" w:hAnsi="宋体" w:eastAsia="宋体" w:cs="宋体"/>
          <w:color w:val="auto"/>
          <w:kern w:val="2"/>
          <w:sz w:val="24"/>
          <w:szCs w:val="24"/>
          <w:highlight w:val="none"/>
        </w:rPr>
        <w:t>免费质保期。</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质保期内，设备发生任何质量问题，均由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负责免费修复，失效零件予以免费更换，更换时所发生的商检、运输等费用均由</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负责。供应商应对此作出书面承诺。</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在质保期间出现故障，</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应在接到</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通知后2小时以内响应，24小时内维修人员到场，48小时内排除故障。48小时内无法排除故障的，须在3个日历日内提供代用设备或提出经</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同意的解决方案。</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质保期满前1个月，</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应就所有货物进行一次免费全面检查，并写出正式报告。如发现潜在问题，应负责排除。如出现质量问题，应对设备进行免费维修和零配件的更换，直至设备及系统能正常工作和运行。</w:t>
      </w:r>
      <w:r>
        <w:rPr>
          <w:rFonts w:hint="eastAsia" w:ascii="宋体" w:hAnsi="宋体" w:eastAsia="宋体" w:cs="宋体"/>
          <w:color w:val="auto"/>
          <w:kern w:val="2"/>
          <w:sz w:val="24"/>
          <w:szCs w:val="24"/>
          <w:highlight w:val="none"/>
          <w:lang w:bidi="ar"/>
        </w:rPr>
        <w:t> </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eastAsia="zh-CN"/>
        </w:rPr>
      </w:pPr>
      <w:bookmarkStart w:id="314" w:name="_Toc624"/>
      <w:r>
        <w:rPr>
          <w:rFonts w:hint="eastAsia" w:ascii="宋体" w:hAnsi="宋体" w:eastAsia="宋体" w:cs="宋体"/>
          <w:b/>
          <w:bCs/>
          <w:color w:val="auto"/>
          <w:kern w:val="2"/>
          <w:sz w:val="24"/>
          <w:szCs w:val="24"/>
          <w:highlight w:val="none"/>
          <w:lang w:eastAsia="zh-CN"/>
        </w:rPr>
        <w:t>六</w:t>
      </w:r>
      <w:r>
        <w:rPr>
          <w:rFonts w:hint="eastAsia" w:ascii="宋体" w:hAnsi="宋体" w:eastAsia="宋体" w:cs="宋体"/>
          <w:b/>
          <w:bCs/>
          <w:color w:val="auto"/>
          <w:kern w:val="2"/>
          <w:sz w:val="24"/>
          <w:szCs w:val="24"/>
          <w:highlight w:val="none"/>
        </w:rPr>
        <w:t>、违约责任</w:t>
      </w:r>
      <w:bookmarkEnd w:id="314"/>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一</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因</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原因造成合同无法按时签订，视为</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违约，</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有权没收其投标保</w:t>
      </w:r>
      <w:r>
        <w:rPr>
          <w:rFonts w:hint="eastAsia" w:ascii="宋体" w:hAnsi="宋体" w:eastAsia="宋体" w:cs="宋体"/>
          <w:color w:val="auto"/>
          <w:kern w:val="2"/>
          <w:sz w:val="24"/>
          <w:szCs w:val="24"/>
          <w:highlight w:val="none"/>
          <w:lang w:val="en-US" w:eastAsia="zh-CN"/>
        </w:rPr>
        <w:t>证</w:t>
      </w:r>
      <w:r>
        <w:rPr>
          <w:rFonts w:hint="eastAsia" w:ascii="宋体" w:hAnsi="宋体" w:eastAsia="宋体" w:cs="宋体"/>
          <w:color w:val="auto"/>
          <w:kern w:val="2"/>
          <w:sz w:val="24"/>
          <w:szCs w:val="24"/>
          <w:highlight w:val="none"/>
        </w:rPr>
        <w:t>金，如投标保证金不能弥补</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违约对</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造成的损失的，</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还需另行支付相应的赔偿。</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因</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原因发生重大质量事故，除依约承担赔偿责任外，还将按有关质量管理办法规定执行。同时，</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有权保留更换</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的权利，并报相关行政主管部门处罚。</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若发生死亡安全事故，除按国家有关安全管理规定及</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有关安全管理办法执行</w:t>
      </w:r>
      <w:r>
        <w:rPr>
          <w:rFonts w:hint="eastAsia" w:ascii="宋体" w:hAnsi="宋体" w:eastAsia="宋体" w:cs="宋体"/>
          <w:color w:val="auto"/>
          <w:kern w:val="2"/>
          <w:sz w:val="24"/>
          <w:szCs w:val="24"/>
          <w:highlight w:val="none"/>
          <w:lang w:val="en-US" w:eastAsia="zh-CN"/>
        </w:rPr>
        <w:t>外</w:t>
      </w:r>
      <w:r>
        <w:rPr>
          <w:rFonts w:hint="eastAsia" w:ascii="宋体" w:hAnsi="宋体" w:eastAsia="宋体" w:cs="宋体"/>
          <w:color w:val="auto"/>
          <w:kern w:val="2"/>
          <w:sz w:val="24"/>
          <w:szCs w:val="24"/>
          <w:highlight w:val="none"/>
        </w:rPr>
        <w:t>，并报相关行政主管部门处罚；发生重大安全事故或特大安全事故，除按国家有关安全管理规定及</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有关安全管理办法执行外，</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保留更换</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，给</w:t>
      </w:r>
      <w:r>
        <w:rPr>
          <w:rFonts w:hint="eastAsia" w:ascii="宋体" w:hAnsi="宋体" w:eastAsia="宋体" w:cs="宋体"/>
          <w:color w:val="auto"/>
          <w:kern w:val="2"/>
          <w:sz w:val="24"/>
          <w:szCs w:val="24"/>
          <w:highlight w:val="none"/>
          <w:lang w:eastAsia="zh-CN"/>
        </w:rPr>
        <w:t>招标人</w:t>
      </w:r>
      <w:r>
        <w:rPr>
          <w:rFonts w:hint="eastAsia" w:ascii="宋体" w:hAnsi="宋体" w:eastAsia="宋体" w:cs="宋体"/>
          <w:color w:val="auto"/>
          <w:kern w:val="2"/>
          <w:sz w:val="24"/>
          <w:szCs w:val="24"/>
          <w:highlight w:val="none"/>
        </w:rPr>
        <w:t>造成的损失，还应承担赔偿责任。</w:t>
      </w:r>
    </w:p>
    <w:p>
      <w:pPr>
        <w:pStyle w:val="98"/>
        <w:keepNext w:val="0"/>
        <w:keepLines w:val="0"/>
        <w:pageBreakBefore w:val="0"/>
        <w:widowControl w:val="0"/>
        <w:kinsoku/>
        <w:wordWrap/>
        <w:overflowPunct/>
        <w:topLinePunct w:val="0"/>
        <w:bidi w:val="0"/>
        <w:snapToGrid w:val="0"/>
        <w:spacing w:line="360" w:lineRule="auto"/>
        <w:ind w:left="0" w:leftChars="0" w:firstLine="480" w:firstLineChars="200"/>
        <w:textAlignment w:val="auto"/>
        <w:rPr>
          <w:rFonts w:hint="eastAsia" w:ascii="宋体" w:hAnsi="宋体" w:eastAsia="宋体" w:cs="宋体"/>
          <w:b w:val="0"/>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在明确违约责任后，</w:t>
      </w:r>
      <w:r>
        <w:rPr>
          <w:rFonts w:hint="eastAsia" w:ascii="宋体" w:hAnsi="宋体" w:eastAsia="宋体" w:cs="宋体"/>
          <w:color w:val="auto"/>
          <w:kern w:val="2"/>
          <w:sz w:val="24"/>
          <w:szCs w:val="24"/>
          <w:highlight w:val="none"/>
          <w:lang w:eastAsia="zh-CN"/>
        </w:rPr>
        <w:t>供应商</w:t>
      </w:r>
      <w:r>
        <w:rPr>
          <w:rFonts w:hint="eastAsia" w:ascii="宋体" w:hAnsi="宋体" w:eastAsia="宋体" w:cs="宋体"/>
          <w:color w:val="auto"/>
          <w:kern w:val="2"/>
          <w:sz w:val="24"/>
          <w:szCs w:val="24"/>
          <w:highlight w:val="none"/>
        </w:rPr>
        <w:t>应在接到书面通知书起七天内支付违约金、赔偿金等。</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eastAsia="zh-CN"/>
        </w:rPr>
        <w:t>七</w:t>
      </w:r>
      <w:r>
        <w:rPr>
          <w:rFonts w:hint="eastAsia" w:ascii="宋体" w:hAnsi="宋体" w:eastAsia="宋体" w:cs="宋体"/>
          <w:b/>
          <w:bCs/>
          <w:color w:val="auto"/>
          <w:kern w:val="2"/>
          <w:sz w:val="24"/>
          <w:szCs w:val="24"/>
          <w:highlight w:val="none"/>
        </w:rPr>
        <w:t>、其它要求</w:t>
      </w:r>
    </w:p>
    <w:p>
      <w:pPr>
        <w:pStyle w:val="13"/>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shd w:val="clear" w:color="auto" w:fill="FFFFFF"/>
        </w:rPr>
      </w:pPr>
      <w:r>
        <w:rPr>
          <w:rFonts w:hint="eastAsia" w:ascii="宋体" w:hAnsi="宋体" w:eastAsia="宋体" w:cs="宋体"/>
          <w:color w:val="auto"/>
          <w:kern w:val="2"/>
          <w:sz w:val="24"/>
          <w:szCs w:val="24"/>
          <w:highlight w:val="none"/>
        </w:rPr>
        <w:t>本</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rPr>
        <w:t>文件未明确的其它约定事项或条款，待</w:t>
      </w:r>
      <w:r>
        <w:rPr>
          <w:rFonts w:hint="eastAsia" w:ascii="宋体" w:hAnsi="宋体" w:eastAsia="宋体" w:cs="宋体"/>
          <w:color w:val="auto"/>
          <w:kern w:val="2"/>
          <w:sz w:val="24"/>
          <w:szCs w:val="24"/>
          <w:highlight w:val="none"/>
          <w:lang w:val="en-US" w:eastAsia="zh-CN"/>
        </w:rPr>
        <w:t>招标人</w:t>
      </w:r>
      <w:r>
        <w:rPr>
          <w:rFonts w:hint="eastAsia" w:ascii="宋体" w:hAnsi="宋体" w:eastAsia="宋体" w:cs="宋体"/>
          <w:color w:val="auto"/>
          <w:kern w:val="2"/>
          <w:sz w:val="24"/>
          <w:szCs w:val="24"/>
          <w:highlight w:val="none"/>
        </w:rPr>
        <w:t>与</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rPr>
        <w:t>供应商签订合同时，由双方协商订立。</w:t>
      </w:r>
    </w:p>
    <w:p>
      <w:pPr>
        <w:pStyle w:val="98"/>
        <w:keepNext w:val="0"/>
        <w:keepLines w:val="0"/>
        <w:pageBreakBefore w:val="0"/>
        <w:widowControl w:val="0"/>
        <w:kinsoku/>
        <w:wordWrap/>
        <w:overflowPunct/>
        <w:topLinePunct w:val="0"/>
        <w:bidi w:val="0"/>
        <w:snapToGrid w:val="0"/>
        <w:spacing w:line="360" w:lineRule="auto"/>
        <w:ind w:left="0" w:leftChars="0" w:firstLine="482" w:firstLineChars="200"/>
        <w:textAlignment w:val="auto"/>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lang w:eastAsia="zh-CN"/>
        </w:rPr>
        <w:br w:type="page"/>
      </w:r>
      <w:r>
        <w:rPr>
          <w:rFonts w:hint="eastAsia" w:ascii="宋体" w:hAnsi="宋体" w:eastAsia="宋体" w:cs="宋体"/>
          <w:b/>
          <w:bCs/>
          <w:color w:val="auto"/>
          <w:kern w:val="2"/>
          <w:sz w:val="24"/>
          <w:szCs w:val="24"/>
          <w:highlight w:val="none"/>
          <w:lang w:eastAsia="zh-CN"/>
        </w:rPr>
        <w:t>附件1:服务设备清单</w:t>
      </w:r>
    </w:p>
    <w:tbl>
      <w:tblPr>
        <w:tblStyle w:val="41"/>
        <w:tblW w:w="508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4"/>
        <w:gridCol w:w="4216"/>
        <w:gridCol w:w="692"/>
        <w:gridCol w:w="901"/>
        <w:gridCol w:w="1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项目</w:t>
            </w:r>
          </w:p>
        </w:tc>
        <w:tc>
          <w:tcPr>
            <w:tcW w:w="2430"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内容</w:t>
            </w:r>
          </w:p>
        </w:tc>
        <w:tc>
          <w:tcPr>
            <w:tcW w:w="398"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数量</w:t>
            </w:r>
          </w:p>
        </w:tc>
        <w:tc>
          <w:tcPr>
            <w:tcW w:w="519"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单位</w:t>
            </w:r>
          </w:p>
        </w:tc>
        <w:tc>
          <w:tcPr>
            <w:tcW w:w="939" w:type="pct"/>
            <w:tcBorders>
              <w:left w:val="single" w:color="000000" w:sz="4" w:space="0"/>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品牌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LED曲线屏</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P2.5室内全彩曲屏幕，尺寸7x3米。模组尺寸不低320*160mm，刷新率不低于 3840 HZ，亮度不低于1200cd/㎡</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全彩专用接收卡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44</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全彩专用发送卡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4k处理器</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可以支持多路信号发送，接入切换和拼接</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电源</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LED屏专用电源</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rPr>
            </w:pPr>
            <w:r>
              <w:rPr>
                <w:rFonts w:hint="eastAsia" w:ascii="宋体" w:hAnsi="宋体" w:eastAsia="宋体" w:cs="宋体"/>
                <w:color w:val="auto"/>
                <w:spacing w:val="-11"/>
                <w:kern w:val="0"/>
                <w:sz w:val="24"/>
                <w:szCs w:val="24"/>
                <w:highlight w:val="none"/>
                <w:lang w:val="en-US" w:eastAsia="zh-CN"/>
              </w:rPr>
              <w:t>72</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屏体钢架结构</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尺寸7x3米，边框及支撑钢结构，需要包边</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工程专用主机</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CPU性能不低12代i5，显卡性能不低于RTX3060，内存不低于DRR4 16GB，硬盘类型不低于SATA512G固态；千兆网卡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需供应商提供详细配置、产品品牌和型号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音响</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功放+音响；带话筒不少于1个</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需供应商提供详细配置、产品品牌和型号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触控一体机</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32寸，含底座，配置CPU性能不低10代i5，内存不低于DRR4 16GB</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设备汇总机柜</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机柜摆放所有主机设备</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按设备摆放数量及大小定制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机房弱电布线、分屏器、网线</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线材材料与安装工程（超五类网线、音频线、电源线、辅线、分屏器、线管线槽等）</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软件定制服务</w:t>
            </w:r>
          </w:p>
        </w:tc>
        <w:tc>
          <w:tcPr>
            <w:tcW w:w="2430" w:type="pct"/>
            <w:tcBorders>
              <w:top w:val="single" w:color="000000" w:sz="4" w:space="0"/>
              <w:left w:val="single" w:color="000000" w:sz="4" w:space="0"/>
              <w:bottom w:val="single" w:color="000000" w:sz="4" w:space="0"/>
              <w:right w:val="single" w:color="000000" w:sz="4" w:space="0"/>
            </w:tcBorders>
            <w:noWrap/>
            <w:vAlign w:val="center"/>
          </w:tcPr>
          <w:p>
            <w:pPr>
              <w:pStyle w:val="99"/>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视频播控系统/产品层级查询与展示联动系统开发定制（一体机和led屏同步联动），开发、搭建线上展示系统，服务期间持续更新信息</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000000" w:sz="4" w:space="0"/>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LED直屏</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P2.5室内全彩屏幕，尺寸6x3米。模组尺寸不低320*160mm，刷新率不低于 3840 HZ，亮度不低于1200cd/㎡</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18</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全彩专用接收卡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38</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全彩专用发送卡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4k处理器</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可以支持多路信号发送，接入切换和拼接</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电源</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LED屏专用电源</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62</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屏体钢架结构</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尺寸6x3米，边框及支撑钢结构，需要包边</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18</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工程专用主机</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CPU性能不低12代i5，显卡性能不低于RTX3060，内存不低于DRR4 16GB，硬盘类型不低于SATA512G固态;千兆网卡</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需供应商提供详细配置、产品品牌和型号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音响</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功放+音响。带话筒不少于1个</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需供应商提供详细配置、产品品牌和型号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触控一体机</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32寸，含底座，配置CPU性能不低10代i5，内存不低于DRR4 16GB</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设备汇总机柜</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机柜摆放所有主机设备</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按设备摆放数量及大小定制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机房弱电布线、分屏器、网线</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线材材料与安装工程（超五类网线、音频线、电源线、辅线、分屏器、线管线槽等）</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软件定制服务</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视频播控系统/产品层级查询与展示联动系统开发定制（一体机和led屏同步联动），开发、搭建线上展示系统，服务期间持续更新信息</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电视机</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75寸，4k电视机</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底座</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电视机立架</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线材</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电线电缆及辅材</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default" w:ascii="宋体" w:hAnsi="宋体" w:eastAsia="宋体" w:cs="宋体"/>
                <w:b/>
                <w:bCs/>
                <w:color w:val="auto"/>
                <w:spacing w:val="-11"/>
                <w:kern w:val="0"/>
                <w:sz w:val="24"/>
                <w:szCs w:val="24"/>
                <w:highlight w:val="none"/>
                <w:lang w:val="en-US" w:eastAsia="zh-CN"/>
              </w:rPr>
            </w:pPr>
            <w:r>
              <w:rPr>
                <w:rFonts w:hint="eastAsia" w:ascii="宋体" w:hAnsi="宋体" w:cs="宋体"/>
                <w:b/>
                <w:bCs/>
                <w:color w:val="auto"/>
                <w:spacing w:val="-11"/>
                <w:kern w:val="0"/>
                <w:sz w:val="24"/>
                <w:szCs w:val="24"/>
                <w:highlight w:val="none"/>
                <w:lang w:val="en-US" w:eastAsia="zh-CN"/>
              </w:rPr>
              <w:t>多媒体设备四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85寸显示屏（不可触控屏）</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外形尺寸</w:t>
            </w:r>
            <w:r>
              <w:rPr>
                <w:rFonts w:hint="eastAsia" w:ascii="宋体" w:hAnsi="宋体" w:cs="宋体"/>
                <w:color w:val="auto"/>
                <w:spacing w:val="-11"/>
                <w:kern w:val="0"/>
                <w:sz w:val="24"/>
                <w:szCs w:val="24"/>
                <w:highlight w:val="none"/>
                <w:lang w:val="en-US" w:eastAsia="zh-CN"/>
              </w:rPr>
              <w:t>不低于</w:t>
            </w:r>
            <w:r>
              <w:rPr>
                <w:rFonts w:hint="eastAsia" w:ascii="宋体" w:hAnsi="宋体" w:eastAsia="宋体" w:cs="宋体"/>
                <w:color w:val="auto"/>
                <w:spacing w:val="-11"/>
                <w:kern w:val="0"/>
                <w:sz w:val="24"/>
                <w:szCs w:val="24"/>
                <w:highlight w:val="none"/>
                <w:lang w:val="en-US" w:eastAsia="zh-CN"/>
              </w:rPr>
              <w:t>1930*1115*102mm；分辨率</w:t>
            </w:r>
            <w:r>
              <w:rPr>
                <w:rFonts w:hint="eastAsia" w:ascii="宋体" w:hAnsi="宋体" w:cs="宋体"/>
                <w:color w:val="auto"/>
                <w:spacing w:val="-11"/>
                <w:kern w:val="0"/>
                <w:sz w:val="24"/>
                <w:szCs w:val="24"/>
                <w:highlight w:val="none"/>
                <w:lang w:val="en-US" w:eastAsia="zh-CN"/>
              </w:rPr>
              <w:t>不低于</w:t>
            </w:r>
            <w:r>
              <w:rPr>
                <w:rFonts w:hint="eastAsia" w:ascii="宋体" w:hAnsi="宋体" w:eastAsia="宋体" w:cs="宋体"/>
                <w:color w:val="auto"/>
                <w:spacing w:val="-11"/>
                <w:kern w:val="0"/>
                <w:sz w:val="24"/>
                <w:szCs w:val="24"/>
                <w:highlight w:val="none"/>
                <w:lang w:val="en-US" w:eastAsia="zh-CN"/>
              </w:rPr>
              <w:t>1080X1920；</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屏幕背挂支架</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85寸屏幕</w:t>
            </w:r>
            <w:r>
              <w:rPr>
                <w:rFonts w:hint="eastAsia" w:ascii="宋体" w:hAnsi="宋体" w:cs="宋体"/>
                <w:color w:val="auto"/>
                <w:spacing w:val="-11"/>
                <w:kern w:val="0"/>
                <w:sz w:val="24"/>
                <w:szCs w:val="24"/>
                <w:highlight w:val="none"/>
                <w:lang w:val="en-US" w:eastAsia="zh-CN"/>
              </w:rPr>
              <w:t>配套</w:t>
            </w:r>
            <w:r>
              <w:rPr>
                <w:rFonts w:hint="eastAsia" w:ascii="宋体" w:hAnsi="宋体" w:eastAsia="宋体" w:cs="宋体"/>
                <w:color w:val="auto"/>
                <w:spacing w:val="-11"/>
                <w:kern w:val="0"/>
                <w:sz w:val="24"/>
                <w:szCs w:val="24"/>
                <w:highlight w:val="none"/>
                <w:lang w:val="en-US" w:eastAsia="zh-CN"/>
              </w:rPr>
              <w:t>支架</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触摸感应器</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针对展板喷绘图案</w:t>
            </w:r>
            <w:r>
              <w:rPr>
                <w:rFonts w:hint="eastAsia" w:ascii="宋体" w:hAnsi="宋体" w:cs="宋体"/>
                <w:color w:val="auto"/>
                <w:spacing w:val="-11"/>
                <w:kern w:val="0"/>
                <w:sz w:val="24"/>
                <w:szCs w:val="24"/>
                <w:highlight w:val="none"/>
                <w:lang w:val="en-US" w:eastAsia="zh-CN"/>
              </w:rPr>
              <w:t>，</w:t>
            </w:r>
            <w:r>
              <w:rPr>
                <w:rFonts w:hint="eastAsia" w:ascii="宋体" w:hAnsi="宋体" w:eastAsia="宋体" w:cs="宋体"/>
                <w:color w:val="auto"/>
                <w:spacing w:val="-11"/>
                <w:kern w:val="0"/>
                <w:sz w:val="24"/>
                <w:szCs w:val="24"/>
                <w:highlight w:val="none"/>
                <w:lang w:val="en-US" w:eastAsia="zh-CN"/>
              </w:rPr>
              <w:t xml:space="preserve">实现可触控 </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电脑主机</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i7 10700/Intel Z590芯片组的主板（多PCI-E显卡插槽）/16gddr4 3200内存/240G高速m.2SSD/500w 电源/ 机箱，2G独显</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控制电路板与线路</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触摸信号处理器</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多媒体吸顶音箱</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带功放 吸顶音箱</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需供应商提供品牌和型号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程序开发</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展板喷绘图案的触点控制，响应屏幕动画</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现场实拍视频制作</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12个工艺流程 差旅/实拍/剪辑/后期</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设备图形绘制/展墙设计</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工艺设备</w:t>
            </w:r>
            <w:r>
              <w:rPr>
                <w:rFonts w:hint="eastAsia" w:ascii="宋体" w:hAnsi="宋体" w:cs="宋体"/>
                <w:color w:val="auto"/>
                <w:spacing w:val="-11"/>
                <w:kern w:val="0"/>
                <w:sz w:val="24"/>
                <w:szCs w:val="24"/>
                <w:highlight w:val="none"/>
                <w:lang w:val="en-US" w:eastAsia="zh-CN"/>
              </w:rPr>
              <w:t>，</w:t>
            </w:r>
            <w:r>
              <w:rPr>
                <w:rFonts w:hint="eastAsia" w:ascii="宋体" w:hAnsi="宋体" w:eastAsia="宋体" w:cs="宋体"/>
                <w:color w:val="auto"/>
                <w:spacing w:val="-11"/>
                <w:kern w:val="0"/>
                <w:sz w:val="24"/>
                <w:szCs w:val="24"/>
                <w:highlight w:val="none"/>
                <w:lang w:val="en-US" w:eastAsia="zh-CN"/>
              </w:rPr>
              <w:t>图形绘制 12个流程图</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套</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5"/>
            <w:tcBorders>
              <w:top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cs="宋体"/>
                <w:b/>
                <w:bCs/>
                <w:color w:val="auto"/>
                <w:spacing w:val="-11"/>
                <w:kern w:val="0"/>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网络设备</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网络设备及安装（含1年售后）</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网费</w:t>
            </w:r>
          </w:p>
        </w:tc>
        <w:tc>
          <w:tcPr>
            <w:tcW w:w="2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2条，带宽下行不少于100M，一年</w:t>
            </w:r>
          </w:p>
        </w:tc>
        <w:tc>
          <w:tcPr>
            <w:tcW w:w="3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5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项</w:t>
            </w:r>
          </w:p>
        </w:tc>
        <w:tc>
          <w:tcPr>
            <w:tcW w:w="939"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p>
        </w:tc>
      </w:tr>
    </w:tbl>
    <w:p>
      <w:pPr>
        <w:pStyle w:val="13"/>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br w:type="page"/>
      </w:r>
    </w:p>
    <w:p>
      <w:pPr>
        <w:pStyle w:val="3"/>
        <w:spacing w:before="5280" w:beforeLines="2200" w:after="5280" w:afterLines="2200"/>
        <w:jc w:val="center"/>
        <w:rPr>
          <w:rFonts w:hint="eastAsia"/>
          <w:color w:val="auto"/>
          <w:highlight w:val="none"/>
        </w:rPr>
      </w:pPr>
      <w:bookmarkStart w:id="315" w:name="_Toc381"/>
      <w:bookmarkStart w:id="316" w:name="_Toc12687"/>
      <w:bookmarkStart w:id="317" w:name="_Toc22392"/>
    </w:p>
    <w:p>
      <w:pPr>
        <w:pStyle w:val="3"/>
        <w:spacing w:before="5280" w:beforeLines="2200" w:after="5280" w:afterLines="2200"/>
        <w:jc w:val="center"/>
        <w:rPr>
          <w:color w:val="auto"/>
          <w:highlight w:val="none"/>
        </w:rPr>
      </w:pPr>
      <w:r>
        <w:rPr>
          <w:rFonts w:hint="eastAsia"/>
          <w:color w:val="auto"/>
          <w:highlight w:val="none"/>
        </w:rPr>
        <w:t>第五章</w:t>
      </w:r>
      <w:bookmarkEnd w:id="293"/>
      <w:bookmarkEnd w:id="294"/>
      <w:bookmarkEnd w:id="295"/>
      <w:bookmarkEnd w:id="296"/>
      <w:bookmarkEnd w:id="297"/>
      <w:r>
        <w:rPr>
          <w:rFonts w:hint="eastAsia"/>
          <w:color w:val="auto"/>
          <w:highlight w:val="none"/>
        </w:rPr>
        <w:t>合同格式</w:t>
      </w:r>
      <w:bookmarkEnd w:id="298"/>
      <w:bookmarkEnd w:id="299"/>
      <w:bookmarkEnd w:id="300"/>
      <w:bookmarkEnd w:id="301"/>
      <w:bookmarkEnd w:id="302"/>
      <w:bookmarkEnd w:id="303"/>
      <w:bookmarkEnd w:id="315"/>
      <w:bookmarkEnd w:id="316"/>
      <w:bookmarkEnd w:id="317"/>
    </w:p>
    <w:p>
      <w:pPr>
        <w:keepNext w:val="0"/>
        <w:keepLines w:val="0"/>
        <w:pageBreakBefore w:val="0"/>
        <w:widowControl/>
        <w:suppressLineNumbers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Hans"/>
        </w:rPr>
      </w:pPr>
      <w:r>
        <w:rPr>
          <w:rFonts w:ascii="宋体" w:hAnsi="宋体"/>
          <w:b/>
          <w:color w:val="auto"/>
          <w:sz w:val="52"/>
          <w:szCs w:val="52"/>
          <w:highlight w:val="none"/>
        </w:rPr>
        <w:br w:type="page"/>
      </w:r>
      <w:bookmarkStart w:id="318" w:name="_Toc50737323"/>
      <w:bookmarkStart w:id="319" w:name="_Toc87417453"/>
      <w:bookmarkStart w:id="320" w:name="_Toc50737291"/>
      <w:bookmarkStart w:id="321" w:name="_Toc50691025"/>
      <w:bookmarkStart w:id="322" w:name="_Toc50736471"/>
      <w:bookmarkStart w:id="323" w:name="_Toc423021953"/>
      <w:bookmarkStart w:id="324" w:name="_Toc168288374"/>
      <w:bookmarkStart w:id="325" w:name="_Toc182886662"/>
      <w:bookmarkStart w:id="326" w:name="_Toc183316722"/>
      <w:bookmarkStart w:id="327" w:name="_Toc372468321"/>
      <w:r>
        <w:rPr>
          <w:rFonts w:hint="eastAsia" w:ascii="宋体" w:hAnsi="宋体" w:eastAsia="宋体" w:cs="宋体"/>
          <w:color w:val="auto"/>
          <w:sz w:val="24"/>
          <w:szCs w:val="24"/>
          <w:highlight w:val="none"/>
          <w:lang w:val="en-US" w:eastAsia="zh-Hans"/>
        </w:rPr>
        <w:t>合同编号：</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服务合同</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甲 方：</w:t>
      </w:r>
      <w:r>
        <w:rPr>
          <w:rFonts w:hint="eastAsia" w:ascii="宋体" w:hAnsi="宋体" w:eastAsia="宋体" w:cs="宋体"/>
          <w:color w:val="auto"/>
          <w:kern w:val="0"/>
          <w:sz w:val="24"/>
          <w:szCs w:val="24"/>
          <w:highlight w:val="none"/>
          <w:u w:val="single"/>
          <w:lang w:val="en-US" w:eastAsia="zh-CN" w:bidi="ar"/>
        </w:rPr>
        <w:t xml:space="preserve"> 广东南方农村报经营有限公司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法定代表人（负责人）：</w:t>
      </w:r>
      <w:r>
        <w:rPr>
          <w:rFonts w:hint="eastAsia" w:ascii="宋体" w:hAnsi="宋体" w:eastAsia="宋体" w:cs="宋体"/>
          <w:color w:val="auto"/>
          <w:kern w:val="0"/>
          <w:sz w:val="24"/>
          <w:szCs w:val="24"/>
          <w:highlight w:val="none"/>
          <w:u w:val="single"/>
          <w:lang w:val="en-US" w:eastAsia="zh-CN" w:bidi="ar"/>
        </w:rPr>
        <w:t xml:space="preserve"> 王更辉</w:t>
      </w:r>
      <w:r>
        <w:rPr>
          <w:rFonts w:hint="eastAsia" w:ascii="宋体" w:hAnsi="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u w:val="single"/>
          <w:lang w:val="en-US" w:eastAsia="zh-CN" w:bidi="ar"/>
        </w:rPr>
        <w:t xml:space="preserve"> 广东省广州市广州大道中289号南方报业传媒集团12-13楼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联系方式：</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乙 方：</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法定代表人（负责人）：</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地址：</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联系方式：</w:t>
      </w:r>
      <w:r>
        <w:rPr>
          <w:rFonts w:hint="eastAsia" w:ascii="宋体" w:hAnsi="宋体" w:eastAsia="宋体" w:cs="宋体"/>
          <w:color w:val="auto"/>
          <w:kern w:val="0"/>
          <w:sz w:val="24"/>
          <w:szCs w:val="24"/>
          <w:highlight w:val="none"/>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u w:val="single"/>
          <w:lang w:val="en-US" w:eastAsia="zh-CN" w:bidi="ar"/>
        </w:rPr>
      </w:pPr>
    </w:p>
    <w:p>
      <w:pPr>
        <w:keepNext w:val="0"/>
        <w:keepLines w:val="0"/>
        <w:pageBreakBefore w:val="0"/>
        <w:widowControl/>
        <w:numPr>
          <w:ilvl w:val="0"/>
          <w:numId w:val="62"/>
        </w:numPr>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乙双方经过平等友好协商，依照《中华人民共和国民法典》等相关法律法规，现就双方</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合作事宜达成如下协议，以资共同遵守。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第一条  合作内容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（二）服务要求：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w:t>
      </w:r>
      <w:r>
        <w:rPr>
          <w:rFonts w:hint="eastAsia" w:ascii="宋体" w:hAnsi="宋体" w:cs="宋体"/>
          <w:color w:val="auto"/>
          <w:kern w:val="0"/>
          <w:sz w:val="24"/>
          <w:szCs w:val="24"/>
          <w:highlight w:val="none"/>
          <w:lang w:val="en-US" w:eastAsia="zh-CN" w:bidi="ar"/>
        </w:rPr>
        <w:t>服务期</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第二条  合同价款及付款方式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（一）合同价款总额为人民币</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元（大写：人民币</w:t>
      </w:r>
      <w:r>
        <w:rPr>
          <w:rFonts w:hint="eastAsia" w:ascii="宋体" w:hAnsi="宋体" w:eastAsia="宋体" w:cs="宋体"/>
          <w:color w:val="auto"/>
          <w:kern w:val="0"/>
          <w:sz w:val="24"/>
          <w:szCs w:val="24"/>
          <w:highlight w:val="none"/>
          <w:u w:val="single"/>
          <w:lang w:val="en-US" w:eastAsia="zh-CN" w:bidi="ar"/>
        </w:rPr>
        <w:t xml:space="preserve">     圆整</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u w:val="single"/>
          <w:lang w:eastAsia="zh-CN"/>
        </w:rPr>
        <w:t>含税</w:t>
      </w:r>
      <w:r>
        <w:rPr>
          <w:rFonts w:hint="eastAsia" w:ascii="宋体" w:hAnsi="宋体" w:eastAsia="宋体" w:cs="宋体"/>
          <w:color w:val="auto"/>
          <w:kern w:val="0"/>
          <w:sz w:val="24"/>
          <w:szCs w:val="24"/>
          <w:highlight w:val="none"/>
          <w:lang w:val="en-US" w:eastAsia="zh-CN" w:bidi="ar"/>
        </w:rPr>
        <w:t xml:space="preserve">）。该合同价款含人工费、设备费、交通费、餐饮、税金等一切乙方为了履行本合同项下委托事项所产生的费用。除经过甲方书面确认的可增加的费用外，本合同价款总额不因任何事由增加，包括但不限于不可抗力、价格上涨等因素。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（二）合同签订后</w:t>
      </w:r>
      <w:r>
        <w:rPr>
          <w:rFonts w:hint="eastAsia" w:ascii="宋体" w:hAnsi="宋体" w:cs="宋体"/>
          <w:color w:val="auto"/>
          <w:kern w:val="0"/>
          <w:sz w:val="24"/>
          <w:szCs w:val="24"/>
          <w:highlight w:val="none"/>
          <w:lang w:val="en-US" w:eastAsia="zh-CN" w:bidi="ar"/>
        </w:rPr>
        <w:t>三十</w:t>
      </w:r>
      <w:r>
        <w:rPr>
          <w:rFonts w:hint="eastAsia" w:ascii="宋体" w:hAnsi="宋体" w:eastAsia="宋体" w:cs="宋体"/>
          <w:color w:val="auto"/>
          <w:kern w:val="0"/>
          <w:sz w:val="24"/>
          <w:szCs w:val="24"/>
          <w:highlight w:val="none"/>
          <w:lang w:val="en-US" w:eastAsia="zh-CN" w:bidi="ar"/>
        </w:rPr>
        <w:t>个工作日内，甲方支付合同价款的</w:t>
      </w:r>
      <w:r>
        <w:rPr>
          <w:rFonts w:hint="eastAsia" w:ascii="宋体" w:hAnsi="宋体" w:eastAsia="宋体" w:cs="宋体"/>
          <w:color w:val="auto"/>
          <w:kern w:val="0"/>
          <w:sz w:val="24"/>
          <w:szCs w:val="24"/>
          <w:highlight w:val="none"/>
          <w:u w:val="single"/>
          <w:lang w:val="en-US" w:eastAsia="zh-CN" w:bidi="ar"/>
        </w:rPr>
        <w:t xml:space="preserve">30 </w:t>
      </w:r>
      <w:r>
        <w:rPr>
          <w:rFonts w:hint="eastAsia" w:ascii="宋体" w:hAnsi="宋体" w:eastAsia="宋体" w:cs="宋体"/>
          <w:color w:val="auto"/>
          <w:kern w:val="0"/>
          <w:sz w:val="24"/>
          <w:szCs w:val="24"/>
          <w:highlight w:val="none"/>
          <w:lang w:val="en-US" w:eastAsia="zh-CN" w:bidi="ar"/>
        </w:rPr>
        <w:t>%；所有约定服务完成并经甲方验收合格后</w:t>
      </w:r>
      <w:r>
        <w:rPr>
          <w:rFonts w:hint="eastAsia" w:ascii="宋体" w:hAnsi="宋体" w:cs="宋体"/>
          <w:color w:val="auto"/>
          <w:kern w:val="0"/>
          <w:sz w:val="24"/>
          <w:szCs w:val="24"/>
          <w:highlight w:val="none"/>
          <w:lang w:val="en-US" w:eastAsia="zh-CN" w:bidi="ar"/>
        </w:rPr>
        <w:t>三十</w:t>
      </w:r>
      <w:r>
        <w:rPr>
          <w:rFonts w:hint="eastAsia" w:ascii="宋体" w:hAnsi="宋体" w:eastAsia="宋体" w:cs="宋体"/>
          <w:color w:val="auto"/>
          <w:kern w:val="0"/>
          <w:sz w:val="24"/>
          <w:szCs w:val="24"/>
          <w:highlight w:val="none"/>
          <w:lang w:val="en-US" w:eastAsia="zh-CN" w:bidi="ar"/>
        </w:rPr>
        <w:t>个工作日内，甲方支付合同价款的</w:t>
      </w:r>
      <w:r>
        <w:rPr>
          <w:rFonts w:hint="eastAsia" w:ascii="宋体" w:hAnsi="宋体" w:eastAsia="宋体" w:cs="宋体"/>
          <w:color w:val="auto"/>
          <w:kern w:val="0"/>
          <w:sz w:val="24"/>
          <w:szCs w:val="24"/>
          <w:highlight w:val="none"/>
          <w:u w:val="single"/>
          <w:lang w:val="en-US" w:eastAsia="zh-CN" w:bidi="ar"/>
        </w:rPr>
        <w:t xml:space="preserve">65 </w:t>
      </w:r>
      <w:r>
        <w:rPr>
          <w:rFonts w:hint="eastAsia" w:ascii="宋体" w:hAnsi="宋体" w:eastAsia="宋体" w:cs="宋体"/>
          <w:color w:val="auto"/>
          <w:kern w:val="0"/>
          <w:sz w:val="24"/>
          <w:szCs w:val="24"/>
          <w:highlight w:val="none"/>
          <w:lang w:val="en-US" w:eastAsia="zh-CN" w:bidi="ar"/>
        </w:rPr>
        <w:t>%，项目质保期过后，项目质量无重大问题，质保期满后</w:t>
      </w:r>
      <w:r>
        <w:rPr>
          <w:rFonts w:hint="eastAsia" w:ascii="宋体" w:hAnsi="宋体" w:cs="宋体"/>
          <w:color w:val="auto"/>
          <w:kern w:val="0"/>
          <w:sz w:val="24"/>
          <w:szCs w:val="24"/>
          <w:highlight w:val="none"/>
          <w:lang w:val="en-US" w:eastAsia="zh-CN" w:bidi="ar"/>
        </w:rPr>
        <w:t>三十</w:t>
      </w:r>
      <w:r>
        <w:rPr>
          <w:rFonts w:hint="eastAsia" w:ascii="宋体" w:hAnsi="宋体" w:eastAsia="宋体" w:cs="宋体"/>
          <w:color w:val="auto"/>
          <w:kern w:val="0"/>
          <w:sz w:val="24"/>
          <w:szCs w:val="24"/>
          <w:highlight w:val="none"/>
          <w:lang w:val="en-US" w:eastAsia="zh-CN" w:bidi="ar"/>
        </w:rPr>
        <w:t>个工作日内支付合同价款的</w:t>
      </w:r>
      <w:r>
        <w:rPr>
          <w:rFonts w:hint="eastAsia" w:ascii="宋体" w:hAnsi="宋体" w:eastAsia="宋体" w:cs="宋体"/>
          <w:color w:val="auto"/>
          <w:kern w:val="0"/>
          <w:sz w:val="24"/>
          <w:szCs w:val="24"/>
          <w:highlight w:val="none"/>
          <w:u w:val="single"/>
          <w:lang w:val="en-US" w:eastAsia="zh-CN" w:bidi="ar"/>
        </w:rPr>
        <w:t xml:space="preserve"> 5</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（三）付款前，乙方应提前</w:t>
      </w:r>
      <w:r>
        <w:rPr>
          <w:rFonts w:hint="eastAsia" w:ascii="宋体" w:hAnsi="宋体" w:eastAsia="宋体" w:cs="宋体"/>
          <w:color w:val="auto"/>
          <w:sz w:val="24"/>
          <w:szCs w:val="24"/>
          <w:highlight w:val="none"/>
          <w:lang w:val="en-US" w:eastAsia="zh-CN"/>
        </w:rPr>
        <w:t>十五天按甲方要求及时开具足额正规的</w:t>
      </w:r>
      <w:r>
        <w:rPr>
          <w:rFonts w:hint="eastAsia" w:ascii="宋体" w:hAnsi="宋体" w:eastAsia="宋体" w:cs="宋体"/>
          <w:color w:val="auto"/>
          <w:sz w:val="24"/>
          <w:szCs w:val="24"/>
          <w:highlight w:val="none"/>
          <w:u w:val="single"/>
          <w:lang w:val="en-US" w:eastAsia="zh-CN"/>
        </w:rPr>
        <w:t xml:space="preserve"> □增值税专用发票  □增值税普通发票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如因乙方提供发票时间延迟则甲方有权顺延付款时间且不承担逾期付款违约责任。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1"/>
        <w:gridCol w:w="2376"/>
        <w:gridCol w:w="2053"/>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甲方名称</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广东南方农村报经营有限公司</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乙方名称</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纳税人识别号</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91440000675181604N</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纳税人识别号</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开户</w:t>
            </w:r>
            <w:r>
              <w:rPr>
                <w:rFonts w:hint="eastAsia" w:ascii="宋体" w:hAnsi="宋体" w:eastAsia="宋体" w:cs="宋体"/>
                <w:color w:val="auto"/>
                <w:sz w:val="24"/>
                <w:szCs w:val="24"/>
                <w:highlight w:val="none"/>
                <w:vertAlign w:val="baseline"/>
                <w:lang w:val="en-US" w:eastAsia="zh-CN"/>
              </w:rPr>
              <w:t>银行名称</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农业银行广州五羊新城支行</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开户</w:t>
            </w:r>
            <w:r>
              <w:rPr>
                <w:rFonts w:hint="eastAsia" w:ascii="宋体" w:hAnsi="宋体" w:eastAsia="宋体" w:cs="宋体"/>
                <w:color w:val="auto"/>
                <w:sz w:val="24"/>
                <w:szCs w:val="24"/>
                <w:highlight w:val="none"/>
                <w:vertAlign w:val="baseline"/>
                <w:lang w:val="en-US" w:eastAsia="zh-CN"/>
              </w:rPr>
              <w:t>银行名称</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银行</w:t>
            </w:r>
            <w:r>
              <w:rPr>
                <w:rFonts w:hint="eastAsia" w:ascii="宋体" w:hAnsi="宋体" w:eastAsia="宋体" w:cs="宋体"/>
                <w:color w:val="auto"/>
                <w:sz w:val="24"/>
                <w:szCs w:val="24"/>
                <w:highlight w:val="none"/>
                <w:vertAlign w:val="baseline"/>
                <w:lang w:val="en-US" w:eastAsia="zh-CN"/>
              </w:rPr>
              <w:t>账号</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 xml:space="preserve">44030401040003323 </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银行</w:t>
            </w:r>
            <w:r>
              <w:rPr>
                <w:rFonts w:hint="eastAsia" w:ascii="宋体" w:hAnsi="宋体" w:eastAsia="宋体" w:cs="宋体"/>
                <w:color w:val="auto"/>
                <w:sz w:val="24"/>
                <w:szCs w:val="24"/>
                <w:highlight w:val="none"/>
                <w:vertAlign w:val="baseline"/>
                <w:lang w:val="en-US" w:eastAsia="zh-CN"/>
              </w:rPr>
              <w:t>账号</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地址</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广州市越秀区广州大道中289号</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地址</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w:t>
            </w:r>
          </w:p>
        </w:tc>
        <w:tc>
          <w:tcPr>
            <w:tcW w:w="21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020-87361662</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电话</w:t>
            </w:r>
          </w:p>
        </w:tc>
        <w:tc>
          <w:tcPr>
            <w:tcW w:w="21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bl>
    <w:p>
      <w:pPr>
        <w:pStyle w:val="17"/>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第三条  双方权利及义务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（一）甲方权利义务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1、甲方保证拥有签订并履行本合同的必要资格资质。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2、甲方根据本次合作实施的实际需要确定委托乙方提供服务的范围、内容及标准。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3、甲方有权监控、指令乙方及工作人员按要求执行；要求乙方更换不符合要求的工作人员。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4、甲方应当按照合同约定付款。如甲方要求增减项目的，应书面通知乙方。双方确认的增减项目，乙方应积极配合执行，相关费用由甲方承担。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（二）乙方权利义务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1、乙方保证具有签订并履行本合同的必要资格资质，有能力承担本合同活动。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2、乙方保证按约定的时间、质量完成全部服务工作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3、乙方应充分履行服务工作相关人员的安全保障义务，服务甲方期间所发生的一切人身伤亡以及财产损失由乙方负责。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4、乙方应保证其提供的服务合法合规，不侵害第三方合法权益，否则由此产生的责任由乙方承担，甲方因此遭受损失的，有权向乙方追偿。</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5、未经甲方事先书面同意，乙方不得将其在本协议项下的权利或义务转让给任何第三方。</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第四条  违约责任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（一）任何一方在合同正式履行之前要求终止合同的，应当提前告知对方，并向合同相对方支付合同价款总额的百分之</w:t>
      </w:r>
      <w:r>
        <w:rPr>
          <w:rFonts w:hint="eastAsia" w:ascii="宋体" w:hAnsi="宋体" w:eastAsia="宋体" w:cs="宋体"/>
          <w:color w:val="auto"/>
          <w:kern w:val="0"/>
          <w:sz w:val="24"/>
          <w:szCs w:val="24"/>
          <w:highlight w:val="none"/>
          <w:u w:val="single"/>
          <w:lang w:val="en-US" w:eastAsia="zh-CN" w:bidi="ar"/>
        </w:rPr>
        <w:t xml:space="preserve"> 十 </w:t>
      </w:r>
      <w:r>
        <w:rPr>
          <w:rFonts w:hint="eastAsia" w:ascii="宋体" w:hAnsi="宋体" w:eastAsia="宋体" w:cs="宋体"/>
          <w:color w:val="auto"/>
          <w:kern w:val="0"/>
          <w:sz w:val="24"/>
          <w:szCs w:val="24"/>
          <w:highlight w:val="none"/>
          <w:lang w:val="en-US" w:eastAsia="zh-CN" w:bidi="ar"/>
        </w:rPr>
        <w:t xml:space="preserve">作为违约金，合同另有约定的除外。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（二）若乙方未能按本合同提供服务内容，或未能按照约定的时间内完成工作，或存在严重影响甲方工作的行为，甲方有权解除本合同，乙方应退还甲方已支付的价款，并且支付甲方本合同价款</w:t>
      </w:r>
      <w:r>
        <w:rPr>
          <w:rFonts w:hint="eastAsia" w:ascii="宋体" w:hAnsi="宋体" w:eastAsia="宋体" w:cs="宋体"/>
          <w:color w:val="auto"/>
          <w:kern w:val="0"/>
          <w:sz w:val="24"/>
          <w:szCs w:val="24"/>
          <w:highlight w:val="none"/>
          <w:lang w:val="en-US" w:eastAsia="zh-CN" w:bidi="ar"/>
        </w:rPr>
        <w:t>总额百分之</w:t>
      </w:r>
      <w:r>
        <w:rPr>
          <w:rFonts w:hint="eastAsia" w:ascii="宋体" w:hAnsi="宋体" w:cs="宋体"/>
          <w:color w:val="auto"/>
          <w:kern w:val="0"/>
          <w:sz w:val="24"/>
          <w:szCs w:val="24"/>
          <w:highlight w:val="none"/>
          <w:u w:val="single"/>
          <w:lang w:val="en-US" w:eastAsia="zh-CN" w:bidi="ar"/>
        </w:rPr>
        <w:t xml:space="preserve"> 十 </w:t>
      </w:r>
      <w:r>
        <w:rPr>
          <w:rFonts w:hint="eastAsia" w:ascii="宋体" w:hAnsi="宋体" w:eastAsia="宋体" w:cs="宋体"/>
          <w:color w:val="auto"/>
          <w:kern w:val="0"/>
          <w:sz w:val="24"/>
          <w:szCs w:val="24"/>
          <w:highlight w:val="none"/>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（三）若甲方未按照本合同约定向乙方支付合同款项，每逾期一天，甲方支付乙方当期应付而未付款项的万分之</w:t>
      </w:r>
      <w:r>
        <w:rPr>
          <w:rFonts w:hint="eastAsia" w:ascii="宋体" w:hAnsi="宋体" w:eastAsia="宋体" w:cs="宋体"/>
          <w:color w:val="auto"/>
          <w:kern w:val="0"/>
          <w:sz w:val="24"/>
          <w:szCs w:val="24"/>
          <w:highlight w:val="none"/>
          <w:u w:val="single"/>
          <w:lang w:val="en-US" w:eastAsia="zh-CN" w:bidi="ar"/>
        </w:rPr>
        <w:t xml:space="preserve"> 一 </w:t>
      </w:r>
      <w:r>
        <w:rPr>
          <w:rFonts w:hint="eastAsia" w:ascii="宋体" w:hAnsi="宋体" w:eastAsia="宋体" w:cs="宋体"/>
          <w:color w:val="auto"/>
          <w:kern w:val="0"/>
          <w:sz w:val="24"/>
          <w:szCs w:val="24"/>
          <w:highlight w:val="none"/>
          <w:lang w:val="en-US" w:eastAsia="zh-CN" w:bidi="ar"/>
        </w:rPr>
        <w:t>作为违约金。</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（四）乙方不得将本合同项下的权利义务转让给任何第三方，否则甲方有权解除合同，并有权要求乙方承担本合同价款总额百分之</w:t>
      </w:r>
      <w:r>
        <w:rPr>
          <w:rFonts w:hint="eastAsia" w:ascii="宋体" w:hAnsi="宋体" w:eastAsia="宋体" w:cs="宋体"/>
          <w:color w:val="auto"/>
          <w:kern w:val="0"/>
          <w:sz w:val="24"/>
          <w:szCs w:val="24"/>
          <w:highlight w:val="none"/>
          <w:u w:val="single"/>
          <w:lang w:val="en-US" w:eastAsia="zh-CN" w:bidi="ar"/>
        </w:rPr>
        <w:t xml:space="preserve"> 十 </w:t>
      </w:r>
      <w:r>
        <w:rPr>
          <w:rFonts w:hint="eastAsia" w:ascii="宋体" w:hAnsi="宋体" w:eastAsia="宋体" w:cs="宋体"/>
          <w:color w:val="auto"/>
          <w:kern w:val="0"/>
          <w:sz w:val="24"/>
          <w:szCs w:val="24"/>
          <w:highlight w:val="none"/>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五）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 xml:space="preserve">第五条  </w:t>
      </w:r>
      <w:r>
        <w:rPr>
          <w:rFonts w:hint="eastAsia" w:ascii="宋体" w:hAnsi="宋体" w:eastAsia="宋体" w:cs="宋体"/>
          <w:b/>
          <w:bCs/>
          <w:color w:val="auto"/>
          <w:sz w:val="24"/>
          <w:szCs w:val="24"/>
          <w:highlight w:val="none"/>
          <w:lang w:val="en-US" w:eastAsia="zh-CN"/>
        </w:rPr>
        <w:t>知识产权与商业秘密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color w:val="auto"/>
          <w:kern w:val="0"/>
          <w:sz w:val="24"/>
          <w:szCs w:val="24"/>
          <w:highlight w:val="none"/>
          <w:lang w:val="en-US" w:eastAsia="zh-CN" w:bidi="ar"/>
        </w:rPr>
        <w:t>乙方为履行本合同所形成的活动方案、图片、文字作品、音视频等所有资料信息的知识产权均归属甲方</w:t>
      </w:r>
      <w:r>
        <w:rPr>
          <w:rFonts w:hint="eastAsia" w:ascii="宋体" w:hAnsi="宋体" w:eastAsia="宋体" w:cs="宋体"/>
          <w:bCs w:val="0"/>
          <w:color w:val="auto"/>
          <w:sz w:val="24"/>
          <w:szCs w:val="24"/>
          <w:highlight w:val="none"/>
        </w:rPr>
        <w:t>所有，</w:t>
      </w:r>
      <w:r>
        <w:rPr>
          <w:rFonts w:hint="eastAsia" w:ascii="宋体" w:hAnsi="宋体" w:eastAsia="宋体" w:cs="宋体"/>
          <w:bCs w:val="0"/>
          <w:color w:val="auto"/>
          <w:sz w:val="24"/>
          <w:szCs w:val="24"/>
          <w:highlight w:val="none"/>
          <w:lang w:eastAsia="zh-CN"/>
        </w:rPr>
        <w:t>合约结束后乙方须移交给甲方，</w:t>
      </w:r>
      <w:r>
        <w:rPr>
          <w:rFonts w:hint="eastAsia" w:ascii="宋体" w:hAnsi="宋体" w:eastAsia="宋体" w:cs="宋体"/>
          <w:bCs w:val="0"/>
          <w:color w:val="auto"/>
          <w:sz w:val="24"/>
          <w:szCs w:val="24"/>
          <w:highlight w:val="none"/>
        </w:rPr>
        <w:t>乙方不得将其用于合同项目以外的其他目的或在向第三方提供</w:t>
      </w:r>
      <w:r>
        <w:rPr>
          <w:rFonts w:hint="eastAsia" w:ascii="宋体" w:hAnsi="宋体" w:eastAsia="宋体" w:cs="宋体"/>
          <w:bCs w:val="0"/>
          <w:color w:val="auto"/>
          <w:sz w:val="24"/>
          <w:szCs w:val="24"/>
          <w:highlight w:val="none"/>
          <w:lang w:eastAsia="zh-CN"/>
        </w:rPr>
        <w:t>上述资料</w:t>
      </w:r>
      <w:r>
        <w:rPr>
          <w:rFonts w:hint="eastAsia" w:ascii="宋体" w:hAnsi="宋体" w:eastAsia="宋体" w:cs="宋体"/>
          <w:bCs w:val="0"/>
          <w:color w:val="auto"/>
          <w:sz w:val="24"/>
          <w:szCs w:val="24"/>
          <w:highlight w:val="none"/>
        </w:rPr>
        <w:t>，否则乙方应另行承担侵权责任。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有效期内及终止后，本条款</w:t>
      </w:r>
      <w:r>
        <w:rPr>
          <w:rFonts w:hint="eastAsia" w:ascii="宋体" w:hAnsi="宋体" w:eastAsia="宋体" w:cs="宋体"/>
          <w:color w:val="auto"/>
          <w:sz w:val="24"/>
          <w:szCs w:val="24"/>
          <w:highlight w:val="none"/>
          <w:lang w:eastAsia="zh-CN"/>
        </w:rPr>
        <w:t>对乙方</w:t>
      </w:r>
      <w:r>
        <w:rPr>
          <w:rFonts w:hint="eastAsia" w:ascii="宋体" w:hAnsi="宋体" w:eastAsia="宋体" w:cs="宋体"/>
          <w:color w:val="auto"/>
          <w:sz w:val="24"/>
          <w:szCs w:val="24"/>
          <w:highlight w:val="none"/>
        </w:rPr>
        <w:t>仍具有法律效力。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lang w:val="en-US" w:eastAsia="zh-CN"/>
        </w:rPr>
        <w:t>第六条  不可抗力及</w:t>
      </w:r>
      <w:r>
        <w:rPr>
          <w:rFonts w:hint="eastAsia" w:ascii="宋体" w:hAnsi="宋体" w:eastAsia="宋体" w:cs="宋体"/>
          <w:b/>
          <w:bCs/>
          <w:color w:val="auto"/>
          <w:kern w:val="0"/>
          <w:sz w:val="24"/>
          <w:szCs w:val="24"/>
          <w:highlight w:val="none"/>
          <w:lang w:val="en-US" w:eastAsia="zh-CN" w:bidi="ar"/>
        </w:rPr>
        <w:t xml:space="preserve">免责 </w:t>
      </w:r>
    </w:p>
    <w:p>
      <w:pPr>
        <w:keepNext w:val="0"/>
        <w:keepLines w:val="0"/>
        <w:pageBreakBefore w:val="0"/>
        <w:tabs>
          <w:tab w:val="left" w:pos="426"/>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pPr>
        <w:keepNext w:val="0"/>
        <w:keepLines w:val="0"/>
        <w:pageBreakBefore w:val="0"/>
        <w:tabs>
          <w:tab w:val="left" w:pos="426"/>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二）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keepNext w:val="0"/>
        <w:keepLines w:val="0"/>
        <w:pageBreakBefore w:val="0"/>
        <w:tabs>
          <w:tab w:val="left" w:pos="426"/>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rPr>
        <w:t>遭受不可抗力的一方未履行上述义务或不可抗力发生在一方违约前或违约后的，不能免除其违约责任。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第七条  法律适用及争议解决</w:t>
      </w:r>
    </w:p>
    <w:p>
      <w:pPr>
        <w:pStyle w:val="7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本</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受中华人民共和国法律解释和管辖，并不考虑法律冲突。</w:t>
      </w:r>
    </w:p>
    <w:p>
      <w:pPr>
        <w:pStyle w:val="78"/>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双方约定，</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签订地为</w:t>
      </w:r>
      <w:r>
        <w:rPr>
          <w:rFonts w:hint="eastAsia" w:ascii="宋体" w:hAnsi="宋体" w:eastAsia="宋体" w:cs="宋体"/>
          <w:b w:val="0"/>
          <w:bCs w:val="0"/>
          <w:color w:val="auto"/>
          <w:sz w:val="24"/>
          <w:szCs w:val="24"/>
          <w:highlight w:val="none"/>
          <w:lang w:eastAsia="zh-CN"/>
        </w:rPr>
        <w:t>广州市越秀</w:t>
      </w:r>
      <w:r>
        <w:rPr>
          <w:rFonts w:hint="eastAsia" w:ascii="宋体" w:hAnsi="宋体" w:eastAsia="宋体" w:cs="宋体"/>
          <w:b w:val="0"/>
          <w:bCs w:val="0"/>
          <w:color w:val="auto"/>
          <w:sz w:val="24"/>
          <w:szCs w:val="24"/>
          <w:highlight w:val="none"/>
        </w:rPr>
        <w:t>区。有关本</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的任何争议应由双方秉承善意友好协商解决。若</w:t>
      </w:r>
      <w:r>
        <w:rPr>
          <w:rFonts w:hint="eastAsia" w:ascii="宋体" w:hAnsi="宋体" w:eastAsia="宋体" w:cs="宋体"/>
          <w:b w:val="0"/>
          <w:bCs w:val="0"/>
          <w:color w:val="auto"/>
          <w:sz w:val="24"/>
          <w:szCs w:val="24"/>
          <w:highlight w:val="none"/>
          <w:lang w:eastAsia="zh-CN"/>
        </w:rPr>
        <w:t>双方</w:t>
      </w:r>
      <w:r>
        <w:rPr>
          <w:rFonts w:hint="eastAsia" w:ascii="宋体" w:hAnsi="宋体" w:eastAsia="宋体" w:cs="宋体"/>
          <w:b w:val="0"/>
          <w:bCs w:val="0"/>
          <w:color w:val="auto"/>
          <w:sz w:val="24"/>
          <w:szCs w:val="24"/>
          <w:highlight w:val="none"/>
        </w:rPr>
        <w:t>协商不成，</w:t>
      </w:r>
      <w:r>
        <w:rPr>
          <w:rFonts w:hint="eastAsia" w:ascii="宋体" w:hAnsi="宋体" w:eastAsia="宋体" w:cs="宋体"/>
          <w:b w:val="0"/>
          <w:bCs w:val="0"/>
          <w:color w:val="auto"/>
          <w:sz w:val="24"/>
          <w:szCs w:val="24"/>
          <w:highlight w:val="none"/>
          <w:lang w:eastAsia="zh-CN"/>
        </w:rPr>
        <w:t>一方可</w:t>
      </w:r>
      <w:r>
        <w:rPr>
          <w:rFonts w:hint="eastAsia" w:ascii="宋体" w:hAnsi="宋体" w:eastAsia="宋体" w:cs="宋体"/>
          <w:b w:val="0"/>
          <w:bCs w:val="0"/>
          <w:color w:val="auto"/>
          <w:sz w:val="24"/>
          <w:szCs w:val="24"/>
          <w:highlight w:val="none"/>
        </w:rPr>
        <w:t>将争议提交</w:t>
      </w:r>
      <w:r>
        <w:rPr>
          <w:rFonts w:hint="eastAsia" w:ascii="宋体" w:hAnsi="宋体" w:eastAsia="宋体" w:cs="宋体"/>
          <w:b w:val="0"/>
          <w:bCs w:val="0"/>
          <w:color w:val="auto"/>
          <w:sz w:val="24"/>
          <w:szCs w:val="24"/>
          <w:highlight w:val="none"/>
          <w:lang w:eastAsia="zh-CN"/>
        </w:rPr>
        <w:t>合同</w:t>
      </w:r>
      <w:r>
        <w:rPr>
          <w:rFonts w:hint="eastAsia" w:ascii="宋体" w:hAnsi="宋体" w:eastAsia="宋体" w:cs="宋体"/>
          <w:b w:val="0"/>
          <w:bCs w:val="0"/>
          <w:color w:val="auto"/>
          <w:sz w:val="24"/>
          <w:szCs w:val="24"/>
          <w:highlight w:val="none"/>
        </w:rPr>
        <w:t>签订地有管辖权的法院诉讼解决。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第八条  通知与送达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第九条  其他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w:t>
      </w:r>
      <w:r>
        <w:rPr>
          <w:rFonts w:hint="eastAsia" w:ascii="宋体" w:hAnsi="宋体" w:eastAsia="宋体" w:cs="宋体"/>
          <w:color w:val="auto"/>
          <w:sz w:val="24"/>
          <w:szCs w:val="24"/>
          <w:highlight w:val="none"/>
          <w:lang w:eastAsia="zh-CN"/>
        </w:rPr>
        <w:t>本合同经双方法定代表人或授权代理人签字并盖章之日起生效</w:t>
      </w:r>
      <w:r>
        <w:rPr>
          <w:rFonts w:hint="eastAsia" w:ascii="宋体" w:hAnsi="宋体" w:eastAsia="宋体" w:cs="宋体"/>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一式</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份，具有同等法律效力。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（三）在执行本合同的过程中，所有经双方签署确认的文件（包括会议纪要、补充协议、往来信函）即成为本合同的有效组成部分。</w:t>
      </w:r>
      <w:r>
        <w:rPr>
          <w:rFonts w:hint="eastAsia" w:ascii="宋体" w:hAnsi="宋体" w:eastAsia="宋体" w:cs="宋体"/>
          <w:color w:val="auto"/>
          <w:sz w:val="24"/>
          <w:szCs w:val="24"/>
          <w:highlight w:val="none"/>
          <w:lang w:eastAsia="zh-CN"/>
        </w:rPr>
        <w:t>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【以下无正文】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甲方（盖章）：</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乙方（盖章）：</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法人（授权）代表签字：      </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 xml:space="preserve">法人（授权）代表签字：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shd w:val="clear" w:color="auto" w:fill="FFFFFF"/>
          <w:lang w:val="en-US" w:eastAsia="zh-CN"/>
        </w:rPr>
        <w:t xml:space="preserve">        </w:t>
      </w:r>
      <w:r>
        <w:rPr>
          <w:rFonts w:hint="eastAsia" w:ascii="宋体" w:hAnsi="宋体" w:eastAsia="宋体" w:cs="宋体"/>
          <w:color w:val="auto"/>
          <w:sz w:val="24"/>
          <w:szCs w:val="24"/>
          <w:highlight w:val="none"/>
          <w:shd w:val="clear" w:color="auto" w:fill="FFFFFF"/>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sz w:val="24"/>
          <w:szCs w:val="24"/>
          <w:highlight w:val="none"/>
          <w:shd w:val="clear" w:color="auto" w:fill="FFFFFF"/>
        </w:rPr>
        <w:t>日</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4"/>
          <w:szCs w:val="24"/>
          <w:highlight w:val="none"/>
        </w:rPr>
      </w:pPr>
    </w:p>
    <w:p>
      <w:pPr>
        <w:rPr>
          <w:color w:val="auto"/>
          <w:highlight w:val="none"/>
        </w:rPr>
      </w:pPr>
    </w:p>
    <w:p>
      <w:pPr>
        <w:ind w:left="420"/>
        <w:rPr>
          <w:color w:val="auto"/>
          <w:highlight w:val="none"/>
        </w:rPr>
      </w:pPr>
      <w:r>
        <w:rPr>
          <w:color w:val="auto"/>
          <w:highlight w:val="none"/>
        </w:rPr>
        <w:br w:type="page"/>
      </w:r>
    </w:p>
    <w:p>
      <w:pPr>
        <w:ind w:left="420"/>
        <w:rPr>
          <w:color w:val="auto"/>
          <w:highlight w:val="none"/>
        </w:rPr>
      </w:pPr>
    </w:p>
    <w:p>
      <w:pPr>
        <w:pStyle w:val="67"/>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pStyle w:val="34"/>
        <w:rPr>
          <w:color w:val="auto"/>
          <w:highlight w:val="none"/>
        </w:rPr>
      </w:pPr>
    </w:p>
    <w:p>
      <w:pPr>
        <w:ind w:left="420"/>
        <w:rPr>
          <w:color w:val="auto"/>
          <w:highlight w:val="none"/>
        </w:rPr>
      </w:pPr>
    </w:p>
    <w:p>
      <w:pPr>
        <w:rPr>
          <w:color w:val="auto"/>
          <w:highlight w:val="none"/>
        </w:rPr>
      </w:pPr>
      <w:bookmarkStart w:id="328" w:name="_Toc28392"/>
    </w:p>
    <w:p>
      <w:pPr>
        <w:rPr>
          <w:color w:val="auto"/>
          <w:highlight w:val="none"/>
        </w:rPr>
      </w:pPr>
    </w:p>
    <w:p>
      <w:pPr>
        <w:pStyle w:val="3"/>
        <w:jc w:val="center"/>
        <w:rPr>
          <w:color w:val="auto"/>
          <w:highlight w:val="none"/>
        </w:rPr>
      </w:pPr>
      <w:bookmarkStart w:id="329" w:name="_Toc14744"/>
      <w:bookmarkStart w:id="330" w:name="_Toc868"/>
      <w:bookmarkStart w:id="331" w:name="_Toc6328"/>
      <w:bookmarkStart w:id="332" w:name="_Toc3577"/>
      <w:r>
        <w:rPr>
          <w:rFonts w:hint="eastAsia"/>
          <w:color w:val="auto"/>
          <w:highlight w:val="none"/>
        </w:rPr>
        <w:t>第六章投标文件</w:t>
      </w:r>
      <w:bookmarkEnd w:id="318"/>
      <w:bookmarkEnd w:id="319"/>
      <w:bookmarkEnd w:id="320"/>
      <w:bookmarkEnd w:id="321"/>
      <w:bookmarkEnd w:id="322"/>
      <w:r>
        <w:rPr>
          <w:rFonts w:hint="eastAsia"/>
          <w:color w:val="auto"/>
          <w:highlight w:val="none"/>
        </w:rPr>
        <w:t>格式</w:t>
      </w:r>
      <w:bookmarkEnd w:id="323"/>
      <w:bookmarkEnd w:id="324"/>
      <w:bookmarkEnd w:id="325"/>
      <w:bookmarkEnd w:id="326"/>
      <w:bookmarkEnd w:id="327"/>
      <w:bookmarkEnd w:id="328"/>
      <w:bookmarkEnd w:id="329"/>
      <w:bookmarkEnd w:id="330"/>
      <w:bookmarkEnd w:id="331"/>
      <w:bookmarkEnd w:id="332"/>
    </w:p>
    <w:p>
      <w:pPr>
        <w:jc w:val="center"/>
        <w:rPr>
          <w:rFonts w:eastAsia="仿宋_GB2312"/>
          <w:color w:val="auto"/>
          <w:highlight w:val="none"/>
        </w:rPr>
      </w:pPr>
      <w:r>
        <w:rPr>
          <w:rFonts w:eastAsia="仿宋_GB2312"/>
          <w:color w:val="auto"/>
          <w:highlight w:val="none"/>
        </w:rPr>
        <w:br w:type="page"/>
      </w:r>
      <w:bookmarkStart w:id="333" w:name="_Toc183316723"/>
      <w:bookmarkStart w:id="334" w:name="_Toc182886663"/>
      <w:bookmarkStart w:id="335" w:name="_Toc196294633"/>
    </w:p>
    <w:p>
      <w:pPr>
        <w:jc w:val="center"/>
        <w:rPr>
          <w:rFonts w:ascii="黑体" w:eastAsia="黑体"/>
          <w:color w:val="auto"/>
          <w:sz w:val="57"/>
          <w:highlight w:val="none"/>
        </w:rPr>
      </w:pPr>
    </w:p>
    <w:p>
      <w:pPr>
        <w:jc w:val="center"/>
        <w:rPr>
          <w:rFonts w:ascii="黑体" w:eastAsia="黑体"/>
          <w:color w:val="auto"/>
          <w:sz w:val="57"/>
          <w:highlight w:val="none"/>
        </w:rPr>
      </w:pPr>
    </w:p>
    <w:p>
      <w:pPr>
        <w:jc w:val="center"/>
        <w:rPr>
          <w:rFonts w:ascii="黑体" w:eastAsia="黑体"/>
          <w:color w:val="auto"/>
          <w:sz w:val="57"/>
          <w:highlight w:val="none"/>
        </w:rPr>
      </w:pPr>
    </w:p>
    <w:p>
      <w:pPr>
        <w:keepNext w:val="0"/>
        <w:keepLines w:val="0"/>
        <w:pageBreakBefore w:val="0"/>
        <w:widowControl w:val="0"/>
        <w:kinsoku/>
        <w:wordWrap/>
        <w:overflowPunct/>
        <w:topLinePunct w:val="0"/>
        <w:autoSpaceDE/>
        <w:autoSpaceDN/>
        <w:bidi w:val="0"/>
        <w:jc w:val="center"/>
        <w:textAlignment w:val="auto"/>
        <w:outlineLvl w:val="9"/>
        <w:rPr>
          <w:rFonts w:ascii="宋体" w:hAnsi="宋体" w:cs="宋体"/>
          <w:b/>
          <w:bCs/>
          <w:color w:val="auto"/>
          <w:sz w:val="57"/>
          <w:highlight w:val="none"/>
        </w:rPr>
      </w:pPr>
      <w:bookmarkStart w:id="336" w:name="_Toc8973"/>
      <w:bookmarkStart w:id="337" w:name="_Toc26748"/>
      <w:bookmarkStart w:id="338" w:name="_Toc9185"/>
      <w:r>
        <w:rPr>
          <w:rFonts w:hint="eastAsia" w:ascii="宋体" w:hAnsi="宋体" w:cs="宋体"/>
          <w:b/>
          <w:bCs/>
          <w:color w:val="auto"/>
          <w:sz w:val="57"/>
          <w:highlight w:val="none"/>
        </w:rPr>
        <w:t>投标文件</w:t>
      </w:r>
      <w:bookmarkEnd w:id="336"/>
      <w:bookmarkEnd w:id="337"/>
      <w:bookmarkEnd w:id="338"/>
    </w:p>
    <w:p>
      <w:pPr>
        <w:keepNext w:val="0"/>
        <w:keepLines w:val="0"/>
        <w:pageBreakBefore w:val="0"/>
        <w:widowControl w:val="0"/>
        <w:kinsoku/>
        <w:wordWrap/>
        <w:overflowPunct/>
        <w:topLinePunct w:val="0"/>
        <w:autoSpaceDE/>
        <w:autoSpaceDN/>
        <w:bidi w:val="0"/>
        <w:jc w:val="center"/>
        <w:textAlignment w:val="auto"/>
        <w:outlineLvl w:val="9"/>
        <w:rPr>
          <w:rFonts w:ascii="宋体" w:hAnsi="宋体" w:cs="宋体"/>
          <w:color w:val="auto"/>
          <w:sz w:val="57"/>
          <w:highlight w:val="none"/>
        </w:rPr>
      </w:pPr>
    </w:p>
    <w:p>
      <w:pPr>
        <w:keepNext w:val="0"/>
        <w:keepLines w:val="0"/>
        <w:pageBreakBefore w:val="0"/>
        <w:widowControl w:val="0"/>
        <w:kinsoku/>
        <w:wordWrap/>
        <w:overflowPunct/>
        <w:topLinePunct w:val="0"/>
        <w:autoSpaceDE/>
        <w:autoSpaceDN/>
        <w:bidi w:val="0"/>
        <w:jc w:val="center"/>
        <w:textAlignment w:val="auto"/>
        <w:outlineLvl w:val="9"/>
        <w:rPr>
          <w:rFonts w:ascii="宋体" w:hAnsi="宋体" w:cs="宋体"/>
          <w:color w:val="auto"/>
          <w:sz w:val="47"/>
          <w:highlight w:val="none"/>
        </w:rPr>
      </w:pPr>
      <w:bookmarkStart w:id="339" w:name="_Toc29906"/>
      <w:bookmarkStart w:id="340" w:name="_Toc21766"/>
      <w:bookmarkStart w:id="341" w:name="_Toc28847"/>
      <w:r>
        <w:rPr>
          <w:rFonts w:hint="eastAsia" w:ascii="宋体" w:hAnsi="宋体" w:cs="宋体"/>
          <w:color w:val="auto"/>
          <w:sz w:val="47"/>
          <w:highlight w:val="none"/>
        </w:rPr>
        <w:t>（正本/副本）</w:t>
      </w:r>
      <w:bookmarkEnd w:id="339"/>
      <w:bookmarkEnd w:id="340"/>
      <w:bookmarkEnd w:id="341"/>
    </w:p>
    <w:p>
      <w:pPr>
        <w:keepNext w:val="0"/>
        <w:keepLines w:val="0"/>
        <w:pageBreakBefore w:val="0"/>
        <w:widowControl w:val="0"/>
        <w:kinsoku/>
        <w:wordWrap/>
        <w:overflowPunct/>
        <w:topLinePunct w:val="0"/>
        <w:autoSpaceDE/>
        <w:autoSpaceDN/>
        <w:bidi w:val="0"/>
        <w:textAlignment w:val="auto"/>
        <w:outlineLvl w:val="9"/>
        <w:rPr>
          <w:rFonts w:ascii="宋体" w:hAnsi="宋体" w:cs="宋体"/>
          <w:color w:val="auto"/>
          <w:highlight w:val="none"/>
        </w:rPr>
      </w:pPr>
    </w:p>
    <w:p>
      <w:pPr>
        <w:keepNext w:val="0"/>
        <w:keepLines w:val="0"/>
        <w:pageBreakBefore w:val="0"/>
        <w:widowControl w:val="0"/>
        <w:kinsoku/>
        <w:wordWrap/>
        <w:overflowPunct/>
        <w:topLinePunct w:val="0"/>
        <w:autoSpaceDE/>
        <w:autoSpaceDN/>
        <w:bidi w:val="0"/>
        <w:textAlignment w:val="auto"/>
        <w:outlineLvl w:val="9"/>
        <w:rPr>
          <w:rFonts w:ascii="宋体" w:hAnsi="宋体" w:cs="宋体"/>
          <w:color w:val="auto"/>
          <w:highlight w:val="none"/>
        </w:rPr>
      </w:pPr>
    </w:p>
    <w:p>
      <w:pPr>
        <w:keepNext w:val="0"/>
        <w:keepLines w:val="0"/>
        <w:pageBreakBefore w:val="0"/>
        <w:widowControl w:val="0"/>
        <w:kinsoku/>
        <w:wordWrap/>
        <w:overflowPunct/>
        <w:topLinePunct w:val="0"/>
        <w:autoSpaceDE/>
        <w:autoSpaceDN/>
        <w:bidi w:val="0"/>
        <w:textAlignment w:val="auto"/>
        <w:outlineLvl w:val="9"/>
        <w:rPr>
          <w:rFonts w:ascii="宋体" w:hAnsi="宋体" w:cs="宋体"/>
          <w:color w:val="auto"/>
          <w:highlight w:val="none"/>
        </w:rPr>
      </w:pPr>
    </w:p>
    <w:p>
      <w:pPr>
        <w:keepNext w:val="0"/>
        <w:keepLines w:val="0"/>
        <w:pageBreakBefore w:val="0"/>
        <w:widowControl w:val="0"/>
        <w:kinsoku/>
        <w:wordWrap/>
        <w:overflowPunct/>
        <w:topLinePunct w:val="0"/>
        <w:autoSpaceDE/>
        <w:autoSpaceDN/>
        <w:bidi w:val="0"/>
        <w:textAlignment w:val="auto"/>
        <w:outlineLvl w:val="9"/>
        <w:rPr>
          <w:rFonts w:ascii="宋体" w:hAnsi="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bookmarkStart w:id="342" w:name="_Toc15655"/>
      <w:bookmarkStart w:id="343" w:name="_Toc5238"/>
      <w:bookmarkStart w:id="344" w:name="_Toc21575"/>
      <w:r>
        <w:rPr>
          <w:rFonts w:hint="eastAsia" w:ascii="宋体" w:hAnsi="宋体" w:cs="宋体"/>
          <w:color w:val="auto"/>
          <w:sz w:val="28"/>
          <w:szCs w:val="28"/>
          <w:highlight w:val="none"/>
        </w:rPr>
        <w:t>项目名称：</w:t>
      </w:r>
      <w:bookmarkEnd w:id="342"/>
      <w:bookmarkEnd w:id="343"/>
      <w:bookmarkEnd w:id="344"/>
      <w:r>
        <w:rPr>
          <w:rFonts w:hint="eastAsia" w:ascii="宋体" w:hAnsi="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bookmarkStart w:id="345" w:name="_Toc15205"/>
      <w:bookmarkStart w:id="346" w:name="_Toc17144"/>
      <w:bookmarkStart w:id="347" w:name="_Toc29458"/>
      <w:r>
        <w:rPr>
          <w:rFonts w:hint="eastAsia" w:ascii="宋体" w:hAnsi="宋体" w:cs="宋体"/>
          <w:color w:val="auto"/>
          <w:sz w:val="28"/>
          <w:szCs w:val="28"/>
          <w:highlight w:val="none"/>
        </w:rPr>
        <w:t>项目编号：</w:t>
      </w:r>
      <w:bookmarkEnd w:id="345"/>
      <w:bookmarkEnd w:id="346"/>
      <w:bookmarkEnd w:id="347"/>
      <w:r>
        <w:rPr>
          <w:rFonts w:hint="eastAsia" w:ascii="宋体" w:hAnsi="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bookmarkStart w:id="348" w:name="_Toc16251"/>
      <w:bookmarkStart w:id="349" w:name="_Toc161"/>
      <w:bookmarkStart w:id="350" w:name="_Toc19044"/>
      <w:r>
        <w:rPr>
          <w:rFonts w:hint="eastAsia" w:ascii="宋体" w:hAnsi="宋体" w:cs="宋体"/>
          <w:color w:val="auto"/>
          <w:sz w:val="28"/>
          <w:szCs w:val="28"/>
          <w:highlight w:val="none"/>
        </w:rPr>
        <w:t>投标供应商（服务商）名称（盖章）：</w:t>
      </w:r>
      <w:bookmarkEnd w:id="348"/>
      <w:bookmarkEnd w:id="349"/>
      <w:bookmarkEnd w:id="350"/>
      <w:r>
        <w:rPr>
          <w:rFonts w:hint="eastAsia" w:ascii="宋体" w:hAnsi="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color w:val="auto"/>
          <w:sz w:val="28"/>
          <w:szCs w:val="28"/>
          <w:highlight w:val="none"/>
        </w:rPr>
      </w:pPr>
      <w:bookmarkStart w:id="351" w:name="_Toc4589"/>
      <w:bookmarkStart w:id="352" w:name="_Toc26634"/>
      <w:bookmarkStart w:id="353" w:name="_Toc9364"/>
      <w:r>
        <w:rPr>
          <w:rFonts w:hint="eastAsia" w:ascii="宋体" w:hAnsi="宋体" w:cs="宋体"/>
          <w:color w:val="auto"/>
          <w:sz w:val="28"/>
          <w:szCs w:val="28"/>
          <w:highlight w:val="none"/>
        </w:rPr>
        <w:t>日期：   年   月   日</w:t>
      </w:r>
      <w:bookmarkEnd w:id="333"/>
      <w:bookmarkEnd w:id="334"/>
      <w:bookmarkEnd w:id="335"/>
      <w:bookmarkEnd w:id="351"/>
      <w:bookmarkEnd w:id="352"/>
      <w:bookmarkEnd w:id="353"/>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color w:val="auto"/>
          <w:sz w:val="28"/>
          <w:szCs w:val="28"/>
          <w:highlight w:val="none"/>
        </w:rPr>
      </w:pPr>
    </w:p>
    <w:p>
      <w:pPr>
        <w:widowControl/>
        <w:jc w:val="left"/>
        <w:rPr>
          <w:color w:val="auto"/>
          <w:sz w:val="28"/>
          <w:szCs w:val="28"/>
          <w:highlight w:val="none"/>
        </w:rPr>
      </w:pPr>
      <w:bookmarkStart w:id="354" w:name="_Toc26694"/>
      <w:r>
        <w:rPr>
          <w:color w:val="auto"/>
          <w:sz w:val="28"/>
          <w:szCs w:val="28"/>
          <w:highlight w:val="none"/>
        </w:rPr>
        <w:br w:type="page"/>
      </w: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rPr>
          <w:color w:val="auto"/>
          <w:highlight w:val="none"/>
        </w:rPr>
      </w:pPr>
    </w:p>
    <w:p>
      <w:pPr>
        <w:rPr>
          <w:color w:val="auto"/>
          <w:highlight w:val="none"/>
        </w:rPr>
      </w:pPr>
    </w:p>
    <w:p>
      <w:pPr>
        <w:pStyle w:val="4"/>
        <w:jc w:val="center"/>
        <w:rPr>
          <w:color w:val="auto"/>
          <w:sz w:val="44"/>
          <w:szCs w:val="44"/>
          <w:highlight w:val="none"/>
        </w:rPr>
      </w:pPr>
      <w:bookmarkStart w:id="355" w:name="_Toc17188"/>
      <w:bookmarkStart w:id="356" w:name="_Toc17761"/>
      <w:bookmarkStart w:id="357" w:name="_Toc26801"/>
      <w:bookmarkStart w:id="358" w:name="_Toc7375"/>
      <w:r>
        <w:rPr>
          <w:color w:val="auto"/>
          <w:sz w:val="44"/>
          <w:szCs w:val="44"/>
          <w:highlight w:val="none"/>
        </w:rPr>
        <w:t>第一部分</w:t>
      </w:r>
      <w:r>
        <w:rPr>
          <w:rFonts w:hint="eastAsia"/>
          <w:color w:val="auto"/>
          <w:sz w:val="44"/>
          <w:szCs w:val="44"/>
          <w:highlight w:val="none"/>
        </w:rPr>
        <w:t>自查表</w:t>
      </w:r>
      <w:bookmarkEnd w:id="355"/>
      <w:bookmarkEnd w:id="356"/>
      <w:bookmarkEnd w:id="357"/>
      <w:bookmarkEnd w:id="35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left"/>
        <w:rPr>
          <w:b/>
          <w:bCs/>
          <w:color w:val="auto"/>
          <w:sz w:val="32"/>
          <w:szCs w:val="32"/>
          <w:highlight w:val="none"/>
        </w:rPr>
      </w:pPr>
      <w:bookmarkStart w:id="359" w:name="_Toc1771"/>
      <w:r>
        <w:rPr>
          <w:color w:val="auto"/>
          <w:highlight w:val="none"/>
        </w:rPr>
        <w:br w:type="page"/>
      </w:r>
    </w:p>
    <w:p>
      <w:pPr>
        <w:pStyle w:val="5"/>
        <w:numPr>
          <w:ilvl w:val="0"/>
          <w:numId w:val="63"/>
        </w:numPr>
        <w:spacing w:before="0" w:after="0" w:line="360" w:lineRule="auto"/>
        <w:jc w:val="center"/>
        <w:rPr>
          <w:color w:val="auto"/>
          <w:highlight w:val="none"/>
        </w:rPr>
      </w:pPr>
      <w:bookmarkStart w:id="360" w:name="_Toc31612"/>
      <w:bookmarkStart w:id="361" w:name="_Toc6385"/>
      <w:bookmarkStart w:id="362" w:name="_Toc1591"/>
      <w:r>
        <w:rPr>
          <w:rFonts w:hint="eastAsia"/>
          <w:color w:val="auto"/>
          <w:highlight w:val="none"/>
        </w:rPr>
        <w:t>资格性检查及符合性检查自查表</w:t>
      </w:r>
      <w:bookmarkEnd w:id="354"/>
      <w:bookmarkEnd w:id="359"/>
      <w:bookmarkEnd w:id="360"/>
      <w:bookmarkEnd w:id="361"/>
      <w:bookmarkEnd w:id="362"/>
    </w:p>
    <w:tbl>
      <w:tblPr>
        <w:tblStyle w:val="42"/>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180"/>
        <w:gridCol w:w="3900"/>
        <w:gridCol w:w="1175"/>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990" w:type="dxa"/>
            <w:gridSpan w:val="2"/>
            <w:shd w:val="clear" w:color="auto" w:fill="EAEAEA"/>
            <w:noWrap w:val="0"/>
            <w:vAlign w:val="center"/>
          </w:tcPr>
          <w:p>
            <w:pPr>
              <w:adjustRightInd w:val="0"/>
              <w:snapToGrid w:val="0"/>
              <w:ind w:left="40" w:leftChars="19"/>
              <w:jc w:val="center"/>
              <w:rPr>
                <w:rFonts w:ascii="宋体" w:hAnsi="宋体"/>
                <w:b/>
                <w:bCs/>
                <w:color w:val="auto"/>
                <w:szCs w:val="21"/>
                <w:highlight w:val="none"/>
              </w:rPr>
            </w:pPr>
            <w:r>
              <w:rPr>
                <w:rFonts w:hint="eastAsia" w:ascii="宋体" w:hAnsi="宋体"/>
                <w:b/>
                <w:bCs/>
                <w:color w:val="auto"/>
                <w:szCs w:val="21"/>
                <w:highlight w:val="none"/>
              </w:rPr>
              <w:t>评审内容</w:t>
            </w:r>
          </w:p>
        </w:tc>
        <w:tc>
          <w:tcPr>
            <w:tcW w:w="3900" w:type="dxa"/>
            <w:shd w:val="clear" w:color="auto" w:fill="EAEAEA"/>
            <w:noWrap w:val="0"/>
            <w:vAlign w:val="center"/>
          </w:tcPr>
          <w:p>
            <w:pPr>
              <w:adjustRightInd w:val="0"/>
              <w:snapToGrid w:val="0"/>
              <w:ind w:left="40" w:leftChars="19"/>
              <w:jc w:val="center"/>
              <w:rPr>
                <w:rFonts w:ascii="宋体" w:hAnsi="宋体"/>
                <w:b/>
                <w:bCs/>
                <w:color w:val="auto"/>
                <w:szCs w:val="21"/>
                <w:highlight w:val="none"/>
              </w:rPr>
            </w:pPr>
            <w:r>
              <w:rPr>
                <w:rFonts w:hint="eastAsia" w:ascii="宋体" w:hAnsi="宋体"/>
                <w:b/>
                <w:bCs/>
                <w:color w:val="auto"/>
                <w:szCs w:val="21"/>
                <w:highlight w:val="none"/>
              </w:rPr>
              <w:t>招标文件要求</w:t>
            </w:r>
          </w:p>
        </w:tc>
        <w:tc>
          <w:tcPr>
            <w:tcW w:w="1175" w:type="dxa"/>
            <w:shd w:val="clear" w:color="auto" w:fill="EAEAEA"/>
            <w:noWrap w:val="0"/>
            <w:vAlign w:val="center"/>
          </w:tcPr>
          <w:p>
            <w:pPr>
              <w:adjustRightInd w:val="0"/>
              <w:snapToGrid w:val="0"/>
              <w:ind w:left="-171"/>
              <w:jc w:val="center"/>
              <w:rPr>
                <w:rFonts w:ascii="宋体" w:hAnsi="宋体"/>
                <w:b/>
                <w:bCs/>
                <w:color w:val="auto"/>
                <w:szCs w:val="21"/>
                <w:highlight w:val="none"/>
              </w:rPr>
            </w:pPr>
            <w:r>
              <w:rPr>
                <w:rFonts w:hint="eastAsia" w:ascii="宋体" w:hAnsi="宋体"/>
                <w:b/>
                <w:bCs/>
                <w:color w:val="auto"/>
                <w:szCs w:val="21"/>
                <w:highlight w:val="none"/>
              </w:rPr>
              <w:t>自查结论</w:t>
            </w:r>
          </w:p>
        </w:tc>
        <w:tc>
          <w:tcPr>
            <w:tcW w:w="1444" w:type="dxa"/>
            <w:shd w:val="clear" w:color="auto" w:fill="EAEAEA"/>
            <w:noWrap w:val="0"/>
            <w:vAlign w:val="center"/>
          </w:tcPr>
          <w:p>
            <w:pPr>
              <w:adjustRightInd w:val="0"/>
              <w:snapToGrid w:val="0"/>
              <w:ind w:left="-171"/>
              <w:jc w:val="center"/>
              <w:rPr>
                <w:rFonts w:ascii="宋体" w:hAnsi="宋体"/>
                <w:b/>
                <w:bCs/>
                <w:color w:val="auto"/>
                <w:szCs w:val="21"/>
                <w:highlight w:val="none"/>
              </w:rPr>
            </w:pPr>
            <w:r>
              <w:rPr>
                <w:rFonts w:hint="eastAsia" w:ascii="宋体" w:hAnsi="宋体"/>
                <w:b/>
                <w:bCs/>
                <w:color w:val="auto"/>
                <w:szCs w:val="21"/>
                <w:highlight w:val="none"/>
              </w:rPr>
              <w:t>证明材料</w:t>
            </w:r>
          </w:p>
          <w:p>
            <w:pPr>
              <w:adjustRightInd w:val="0"/>
              <w:snapToGrid w:val="0"/>
              <w:ind w:left="-171"/>
              <w:jc w:val="center"/>
              <w:rPr>
                <w:rFonts w:ascii="宋体" w:hAnsi="宋体"/>
                <w:b/>
                <w:bCs/>
                <w:color w:val="auto"/>
                <w:szCs w:val="21"/>
                <w:highlight w:val="none"/>
              </w:rPr>
            </w:pPr>
            <w:r>
              <w:rPr>
                <w:rFonts w:hint="eastAsia" w:ascii="宋体" w:hAnsi="宋体"/>
                <w:b/>
                <w:bCs/>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资格性检查</w:t>
            </w: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合格投标人</w:t>
            </w:r>
          </w:p>
        </w:tc>
        <w:tc>
          <w:tcPr>
            <w:tcW w:w="3900" w:type="dxa"/>
            <w:noWrap w:val="0"/>
            <w:vAlign w:val="center"/>
          </w:tcPr>
          <w:p>
            <w:pPr>
              <w:adjustRightInd w:val="0"/>
              <w:snapToGrid w:val="0"/>
              <w:rPr>
                <w:rFonts w:ascii="宋体" w:hAnsi="宋体" w:cs="Tahoma"/>
                <w:color w:val="auto"/>
                <w:szCs w:val="21"/>
                <w:highlight w:val="none"/>
              </w:rPr>
            </w:pPr>
            <w:r>
              <w:rPr>
                <w:rFonts w:hint="eastAsia" w:ascii="宋体" w:hAnsi="宋体" w:cs="Tahoma"/>
                <w:color w:val="auto"/>
                <w:szCs w:val="21"/>
                <w:highlight w:val="none"/>
              </w:rPr>
              <w:t>详见投标邀请函中“供应商（服务商）资格”相应条款</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restart"/>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符合性审查</w:t>
            </w: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投标函</w:t>
            </w:r>
            <w:r>
              <w:rPr>
                <w:rFonts w:hint="eastAsia" w:ascii="宋体" w:hAnsi="宋体"/>
                <w:color w:val="auto"/>
                <w:szCs w:val="21"/>
                <w:highlight w:val="none"/>
                <w:lang w:eastAsia="zh-CN"/>
              </w:rPr>
              <w:t>（</w:t>
            </w:r>
            <w:r>
              <w:rPr>
                <w:rFonts w:hint="eastAsia" w:ascii="宋体" w:hAnsi="宋体"/>
                <w:color w:val="auto"/>
                <w:szCs w:val="21"/>
                <w:highlight w:val="none"/>
              </w:rPr>
              <w:t>原件</w:t>
            </w:r>
            <w:r>
              <w:rPr>
                <w:rFonts w:hint="eastAsia" w:ascii="宋体" w:hAnsi="宋体"/>
                <w:color w:val="auto"/>
                <w:szCs w:val="21"/>
                <w:highlight w:val="none"/>
                <w:lang w:eastAsia="zh-CN"/>
              </w:rPr>
              <w:t>）</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按对应格式文件填写、签署、盖章</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法定代表人证明书及法定代表人授权委托书</w:t>
            </w:r>
            <w:r>
              <w:rPr>
                <w:rFonts w:hint="eastAsia" w:ascii="宋体" w:hAnsi="宋体"/>
                <w:color w:val="auto"/>
                <w:szCs w:val="21"/>
                <w:highlight w:val="none"/>
                <w:lang w:eastAsia="zh-CN"/>
              </w:rPr>
              <w:t>（</w:t>
            </w:r>
            <w:r>
              <w:rPr>
                <w:rFonts w:hint="eastAsia" w:ascii="宋体" w:hAnsi="宋体"/>
                <w:color w:val="auto"/>
                <w:szCs w:val="21"/>
                <w:highlight w:val="none"/>
              </w:rPr>
              <w:t>原件</w:t>
            </w:r>
            <w:r>
              <w:rPr>
                <w:rFonts w:hint="eastAsia" w:ascii="宋体" w:hAnsi="宋体"/>
                <w:color w:val="auto"/>
                <w:szCs w:val="21"/>
                <w:highlight w:val="none"/>
                <w:lang w:eastAsia="zh-CN"/>
              </w:rPr>
              <w:t>）</w:t>
            </w:r>
          </w:p>
          <w:p>
            <w:pPr>
              <w:adjustRightInd w:val="0"/>
              <w:snapToGrid w:val="0"/>
              <w:jc w:val="center"/>
              <w:rPr>
                <w:rFonts w:ascii="宋体" w:hAnsi="宋体"/>
                <w:color w:val="auto"/>
                <w:szCs w:val="21"/>
                <w:highlight w:val="none"/>
              </w:rPr>
            </w:pPr>
            <w:r>
              <w:rPr>
                <w:rFonts w:hint="eastAsia" w:ascii="宋体" w:hAnsi="宋体"/>
                <w:color w:val="auto"/>
                <w:szCs w:val="21"/>
                <w:highlight w:val="none"/>
              </w:rPr>
              <w:t>注：法定代表人投标的只须提供法定代表人证明书</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按对应格式文件签署、盖章</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vMerge w:val="restart"/>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报价要求</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投标报价是固定价且是唯一的，投标报价未超出最高限价。</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vMerge w:val="continue"/>
            <w:noWrap w:val="0"/>
            <w:vAlign w:val="center"/>
          </w:tcPr>
          <w:p>
            <w:pPr>
              <w:adjustRightInd w:val="0"/>
              <w:snapToGrid w:val="0"/>
              <w:jc w:val="center"/>
              <w:rPr>
                <w:rFonts w:ascii="宋体" w:hAnsi="宋体"/>
                <w:color w:val="auto"/>
                <w:szCs w:val="21"/>
                <w:highlight w:val="none"/>
              </w:rPr>
            </w:pP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若投标报价明显低于投标人个别成本，投标人应能作出合理说明。</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vMerge w:val="continue"/>
            <w:noWrap w:val="0"/>
            <w:vAlign w:val="center"/>
          </w:tcPr>
          <w:p>
            <w:pPr>
              <w:adjustRightInd w:val="0"/>
              <w:snapToGrid w:val="0"/>
              <w:jc w:val="center"/>
              <w:rPr>
                <w:rFonts w:ascii="宋体" w:hAnsi="宋体"/>
                <w:color w:val="auto"/>
                <w:szCs w:val="21"/>
                <w:highlight w:val="none"/>
              </w:rPr>
            </w:pPr>
          </w:p>
        </w:tc>
        <w:tc>
          <w:tcPr>
            <w:tcW w:w="3900" w:type="dxa"/>
            <w:noWrap w:val="0"/>
            <w:vAlign w:val="center"/>
          </w:tcPr>
          <w:p>
            <w:pPr>
              <w:tabs>
                <w:tab w:val="left" w:pos="2880"/>
              </w:tabs>
              <w:adjustRightInd w:val="0"/>
              <w:snapToGrid w:val="0"/>
              <w:ind w:left="40" w:leftChars="19"/>
              <w:rPr>
                <w:rFonts w:ascii="宋体" w:hAnsi="宋体" w:cs="Tahoma"/>
                <w:color w:val="auto"/>
                <w:kern w:val="28"/>
                <w:szCs w:val="21"/>
                <w:highlight w:val="none"/>
              </w:rPr>
            </w:pPr>
            <w:r>
              <w:rPr>
                <w:rFonts w:hint="eastAsia" w:ascii="宋体" w:hAnsi="宋体" w:cs="Tahoma"/>
                <w:color w:val="auto"/>
                <w:kern w:val="28"/>
                <w:szCs w:val="21"/>
                <w:highlight w:val="none"/>
              </w:rPr>
              <w:t>招标文件不接受提交备选方案</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投标文件的完整性</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投标文件完整且按序编制目录及页码，投标内容基本完整，无重大错漏，并按要求密封、签署、盖章</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noWrap w:val="0"/>
            <w:vAlign w:val="center"/>
          </w:tcPr>
          <w:p>
            <w:pPr>
              <w:adjustRightInd w:val="0"/>
              <w:snapToGrid w:val="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服务期</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满足招标文件要求</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s="Tahoma"/>
                <w:color w:val="auto"/>
                <w:szCs w:val="21"/>
                <w:highlight w:val="none"/>
              </w:rPr>
              <w:t>投标保证金</w:t>
            </w:r>
          </w:p>
        </w:tc>
        <w:tc>
          <w:tcPr>
            <w:tcW w:w="3900" w:type="dxa"/>
            <w:noWrap w:val="0"/>
            <w:vAlign w:val="center"/>
          </w:tcPr>
          <w:p>
            <w:pPr>
              <w:adjustRightInd w:val="0"/>
              <w:snapToGrid w:val="0"/>
              <w:rPr>
                <w:rFonts w:ascii="宋体" w:hAnsi="宋体"/>
                <w:color w:val="auto"/>
                <w:szCs w:val="21"/>
                <w:highlight w:val="none"/>
              </w:rPr>
            </w:pPr>
            <w:r>
              <w:rPr>
                <w:rFonts w:hint="eastAsia" w:ascii="宋体" w:hAnsi="宋体"/>
                <w:color w:val="auto"/>
                <w:szCs w:val="21"/>
                <w:highlight w:val="none"/>
              </w:rPr>
              <w:t>已按招标文件要求提交足额投标保证金或投标担保函</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ind w:left="-171"/>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投标有效期</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投标截止日起90天</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ind w:left="-171"/>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招标代理服务费支付承诺书</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已按招标文件要求提交招标代理服务费支付承诺书</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210" w:firstLineChars="100"/>
              <w:jc w:val="center"/>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ind w:left="-171"/>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带★条款</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满足招标文件要求</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210" w:firstLineChars="100"/>
              <w:jc w:val="center"/>
              <w:rPr>
                <w:rFonts w:ascii="宋体" w:hAnsi="宋体"/>
                <w:color w:val="auto"/>
                <w:szCs w:val="21"/>
                <w:highlight w:val="none"/>
              </w:rPr>
            </w:pPr>
            <w:r>
              <w:rPr>
                <w:rFonts w:hint="eastAsia" w:ascii="宋体" w:hAnsi="宋体"/>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0" w:type="dxa"/>
            <w:vMerge w:val="continue"/>
            <w:noWrap w:val="0"/>
            <w:vAlign w:val="center"/>
          </w:tcPr>
          <w:p>
            <w:pPr>
              <w:adjustRightInd w:val="0"/>
              <w:snapToGrid w:val="0"/>
              <w:ind w:left="-171"/>
              <w:jc w:val="center"/>
              <w:rPr>
                <w:rFonts w:ascii="宋体" w:hAnsi="宋体"/>
                <w:color w:val="auto"/>
                <w:szCs w:val="21"/>
                <w:highlight w:val="none"/>
              </w:rPr>
            </w:pPr>
          </w:p>
        </w:tc>
        <w:tc>
          <w:tcPr>
            <w:tcW w:w="2180" w:type="dxa"/>
            <w:noWrap w:val="0"/>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其他要求</w:t>
            </w:r>
          </w:p>
        </w:tc>
        <w:tc>
          <w:tcPr>
            <w:tcW w:w="3900" w:type="dxa"/>
            <w:noWrap w:val="0"/>
            <w:vAlign w:val="center"/>
          </w:tcPr>
          <w:p>
            <w:pPr>
              <w:adjustRightInd w:val="0"/>
              <w:snapToGrid w:val="0"/>
              <w:ind w:left="40" w:leftChars="19"/>
              <w:rPr>
                <w:rFonts w:ascii="宋体" w:hAnsi="宋体"/>
                <w:color w:val="auto"/>
                <w:szCs w:val="21"/>
                <w:highlight w:val="none"/>
              </w:rPr>
            </w:pPr>
            <w:r>
              <w:rPr>
                <w:rFonts w:hint="eastAsia" w:ascii="宋体" w:hAnsi="宋体"/>
                <w:color w:val="auto"/>
                <w:szCs w:val="21"/>
                <w:highlight w:val="none"/>
              </w:rPr>
              <w:t>没有出现法律、法规和招标文件规定的其他投标无效情形</w:t>
            </w:r>
          </w:p>
        </w:tc>
        <w:tc>
          <w:tcPr>
            <w:tcW w:w="1175" w:type="dxa"/>
            <w:noWrap w:val="0"/>
            <w:vAlign w:val="center"/>
          </w:tcPr>
          <w:p>
            <w:pPr>
              <w:adjustRightInd w:val="0"/>
              <w:snapToGrid w:val="0"/>
              <w:ind w:left="-171" w:firstLine="149" w:firstLineChars="71"/>
              <w:jc w:val="left"/>
              <w:rPr>
                <w:rFonts w:ascii="宋体" w:hAnsi="宋体"/>
                <w:color w:val="auto"/>
                <w:szCs w:val="21"/>
                <w:highlight w:val="none"/>
              </w:rPr>
            </w:pPr>
            <w:r>
              <w:rPr>
                <w:rFonts w:hint="eastAsia" w:ascii="宋体" w:hAnsi="宋体"/>
                <w:color w:val="auto"/>
                <w:szCs w:val="21"/>
                <w:highlight w:val="none"/>
              </w:rPr>
              <w:t>□通过</w:t>
            </w:r>
          </w:p>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□不通过</w:t>
            </w:r>
          </w:p>
        </w:tc>
        <w:tc>
          <w:tcPr>
            <w:tcW w:w="1444" w:type="dxa"/>
            <w:noWrap w:val="0"/>
            <w:vAlign w:val="center"/>
          </w:tcPr>
          <w:p>
            <w:pPr>
              <w:adjustRightInd w:val="0"/>
              <w:snapToGrid w:val="0"/>
              <w:ind w:left="-171"/>
              <w:jc w:val="center"/>
              <w:rPr>
                <w:rFonts w:ascii="宋体" w:hAnsi="宋体"/>
                <w:color w:val="auto"/>
                <w:szCs w:val="21"/>
                <w:highlight w:val="none"/>
              </w:rPr>
            </w:pPr>
            <w:r>
              <w:rPr>
                <w:rFonts w:hint="eastAsia" w:ascii="宋体" w:hAnsi="宋体"/>
                <w:color w:val="auto"/>
                <w:szCs w:val="21"/>
                <w:highlight w:val="none"/>
              </w:rPr>
              <w:t>见投标文件</w:t>
            </w:r>
          </w:p>
          <w:p>
            <w:pPr>
              <w:adjustRightInd w:val="0"/>
              <w:snapToGrid w:val="0"/>
              <w:ind w:left="-171" w:firstLine="210" w:firstLineChars="100"/>
              <w:jc w:val="center"/>
              <w:rPr>
                <w:rFonts w:ascii="宋体" w:hAnsi="宋体"/>
                <w:color w:val="auto"/>
                <w:szCs w:val="21"/>
                <w:highlight w:val="none"/>
              </w:rPr>
            </w:pPr>
            <w:r>
              <w:rPr>
                <w:rFonts w:hint="eastAsia" w:ascii="宋体" w:hAnsi="宋体"/>
                <w:color w:val="auto"/>
                <w:szCs w:val="21"/>
                <w:highlight w:val="none"/>
              </w:rPr>
              <w:t>第（）页</w:t>
            </w:r>
          </w:p>
        </w:tc>
      </w:tr>
    </w:tbl>
    <w:p>
      <w:pPr>
        <w:spacing w:line="360" w:lineRule="auto"/>
        <w:ind w:left="1" w:leftChars="-171" w:hanging="360" w:hangingChars="150"/>
        <w:rPr>
          <w:color w:val="auto"/>
          <w:sz w:val="24"/>
          <w:highlight w:val="none"/>
        </w:rPr>
      </w:pPr>
      <w:r>
        <w:rPr>
          <w:rFonts w:hint="eastAsia"/>
          <w:color w:val="auto"/>
          <w:sz w:val="24"/>
          <w:highlight w:val="none"/>
        </w:rPr>
        <w:t>注：1、上表内容将作为投标人有效性审核的重要内容之一，投标人必须严格按照上表所列要求在投标文件中对应如实提供，对资格性检查及符合性检查证明文件的任何缺漏和不符合项将会直接导致投标无效。</w:t>
      </w:r>
    </w:p>
    <w:p>
      <w:pPr>
        <w:spacing w:line="360" w:lineRule="auto"/>
        <w:rPr>
          <w:color w:val="auto"/>
          <w:sz w:val="24"/>
          <w:highlight w:val="none"/>
        </w:rPr>
      </w:pPr>
      <w:r>
        <w:rPr>
          <w:rFonts w:hint="eastAsia"/>
          <w:color w:val="auto"/>
          <w:sz w:val="24"/>
          <w:highlight w:val="none"/>
        </w:rPr>
        <w:t>2、投标人根据自查结论在对应的□打“√”。</w:t>
      </w:r>
    </w:p>
    <w:p>
      <w:pPr>
        <w:adjustRightInd w:val="0"/>
        <w:snapToGrid w:val="0"/>
        <w:spacing w:line="360" w:lineRule="exact"/>
        <w:ind w:firstLine="3576" w:firstLineChars="149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adjustRightInd w:val="0"/>
        <w:snapToGrid w:val="0"/>
        <w:spacing w:line="360" w:lineRule="exact"/>
        <w:ind w:firstLine="3576" w:firstLineChars="1490"/>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投标人法定代表人或其授权代表（签字）：</w:t>
      </w:r>
    </w:p>
    <w:p>
      <w:pPr>
        <w:adjustRightInd w:val="0"/>
        <w:snapToGrid w:val="0"/>
        <w:spacing w:line="360" w:lineRule="exact"/>
        <w:ind w:firstLine="3576" w:firstLineChars="1490"/>
        <w:rPr>
          <w:b/>
          <w:bCs/>
          <w:color w:val="auto"/>
          <w:sz w:val="32"/>
          <w:szCs w:val="32"/>
          <w:highlight w:val="none"/>
        </w:rPr>
      </w:pPr>
      <w:r>
        <w:rPr>
          <w:rFonts w:hint="eastAsia" w:ascii="宋体" w:hAnsi="宋体" w:eastAsia="宋体" w:cs="宋体"/>
          <w:color w:val="auto"/>
          <w:sz w:val="24"/>
          <w:highlight w:val="none"/>
        </w:rPr>
        <w:t>日期：   年   月   日</w:t>
      </w:r>
      <w:bookmarkStart w:id="363" w:name="_Toc29972"/>
      <w:bookmarkStart w:id="364" w:name="_Toc7544"/>
      <w:r>
        <w:rPr>
          <w:color w:val="auto"/>
          <w:highlight w:val="none"/>
        </w:rPr>
        <w:br w:type="page"/>
      </w:r>
    </w:p>
    <w:p>
      <w:pPr>
        <w:pStyle w:val="5"/>
        <w:numPr>
          <w:ilvl w:val="0"/>
          <w:numId w:val="63"/>
        </w:numPr>
        <w:spacing w:before="0" w:after="0" w:line="360" w:lineRule="auto"/>
        <w:jc w:val="center"/>
        <w:rPr>
          <w:color w:val="auto"/>
          <w:highlight w:val="none"/>
        </w:rPr>
      </w:pPr>
      <w:bookmarkStart w:id="365" w:name="_Toc24650"/>
      <w:bookmarkStart w:id="366" w:name="_Toc748"/>
      <w:bookmarkStart w:id="367" w:name="_Toc32251"/>
      <w:r>
        <w:rPr>
          <w:rFonts w:hint="eastAsia"/>
          <w:color w:val="auto"/>
          <w:highlight w:val="none"/>
        </w:rPr>
        <w:t>技术评审自查表</w:t>
      </w:r>
      <w:bookmarkEnd w:id="363"/>
      <w:bookmarkEnd w:id="364"/>
      <w:bookmarkEnd w:id="365"/>
      <w:bookmarkEnd w:id="366"/>
      <w:bookmarkEnd w:id="367"/>
    </w:p>
    <w:tbl>
      <w:tblPr>
        <w:tblStyle w:val="4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AEAEA"/>
            <w:noWrap w:val="0"/>
            <w:vAlign w:val="center"/>
          </w:tcPr>
          <w:p>
            <w:pPr>
              <w:jc w:val="center"/>
              <w:rPr>
                <w:b/>
                <w:bCs/>
                <w:color w:val="auto"/>
                <w:sz w:val="24"/>
                <w:highlight w:val="none"/>
              </w:rPr>
            </w:pPr>
            <w:r>
              <w:rPr>
                <w:rFonts w:hint="eastAsia"/>
                <w:b/>
                <w:bCs/>
                <w:color w:val="auto"/>
                <w:sz w:val="24"/>
                <w:highlight w:val="none"/>
              </w:rPr>
              <w:t>序号</w:t>
            </w:r>
          </w:p>
        </w:tc>
        <w:tc>
          <w:tcPr>
            <w:tcW w:w="4560" w:type="dxa"/>
            <w:shd w:val="clear" w:color="auto" w:fill="EAEAEA"/>
            <w:noWrap w:val="0"/>
            <w:vAlign w:val="center"/>
          </w:tcPr>
          <w:p>
            <w:pPr>
              <w:jc w:val="center"/>
              <w:rPr>
                <w:b/>
                <w:bCs/>
                <w:color w:val="auto"/>
                <w:sz w:val="24"/>
                <w:highlight w:val="none"/>
              </w:rPr>
            </w:pPr>
            <w:r>
              <w:rPr>
                <w:rFonts w:hint="eastAsia"/>
                <w:b/>
                <w:bCs/>
                <w:color w:val="auto"/>
                <w:sz w:val="24"/>
                <w:highlight w:val="none"/>
              </w:rPr>
              <w:t>评审分项</w:t>
            </w:r>
          </w:p>
        </w:tc>
        <w:tc>
          <w:tcPr>
            <w:tcW w:w="3180" w:type="dxa"/>
            <w:shd w:val="clear" w:color="auto" w:fill="EAEAEA"/>
            <w:noWrap w:val="0"/>
            <w:vAlign w:val="center"/>
          </w:tcPr>
          <w:p>
            <w:pPr>
              <w:jc w:val="center"/>
              <w:rPr>
                <w:b/>
                <w:bCs/>
                <w:color w:val="auto"/>
                <w:sz w:val="24"/>
                <w:highlight w:val="none"/>
              </w:rPr>
            </w:pPr>
            <w:r>
              <w:rPr>
                <w:rFonts w:hint="eastAsia"/>
                <w:b/>
                <w:bCs/>
                <w:color w:val="auto"/>
                <w:sz w:val="24"/>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4560" w:type="dxa"/>
            <w:noWrap w:val="0"/>
            <w:vAlign w:val="center"/>
          </w:tcPr>
          <w:p>
            <w:pPr>
              <w:rPr>
                <w:color w:val="auto"/>
                <w:sz w:val="24"/>
                <w:highlight w:val="none"/>
              </w:rPr>
            </w:pPr>
          </w:p>
        </w:tc>
        <w:tc>
          <w:tcPr>
            <w:tcW w:w="3180" w:type="dxa"/>
            <w:noWrap w:val="0"/>
            <w:vAlign w:val="center"/>
          </w:tcPr>
          <w:p>
            <w:pPr>
              <w:rPr>
                <w:color w:val="auto"/>
                <w:sz w:val="24"/>
                <w:highlight w:val="none"/>
              </w:rPr>
            </w:pPr>
          </w:p>
        </w:tc>
      </w:tr>
    </w:tbl>
    <w:p>
      <w:pPr>
        <w:spacing w:before="120" w:beforeLines="50" w:line="360" w:lineRule="auto"/>
        <w:rPr>
          <w:color w:val="auto"/>
          <w:sz w:val="24"/>
          <w:highlight w:val="none"/>
        </w:rPr>
      </w:pPr>
      <w:r>
        <w:rPr>
          <w:rFonts w:hint="eastAsia"/>
          <w:color w:val="auto"/>
          <w:sz w:val="24"/>
          <w:highlight w:val="none"/>
        </w:rPr>
        <w:t>注：投标人应根据《技术评审表》的各项内容填写此表。</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投标人法定代表人或其授权代表（签字）：</w:t>
      </w:r>
    </w:p>
    <w:p>
      <w:pPr>
        <w:spacing w:before="72" w:after="72" w:line="400" w:lineRule="exact"/>
        <w:ind w:firstLine="3578" w:firstLineChars="1491"/>
        <w:rPr>
          <w:rFonts w:eastAsia="仿宋_GB2312"/>
          <w:b/>
          <w:color w:val="auto"/>
          <w:sz w:val="24"/>
          <w:highlight w:val="none"/>
        </w:rPr>
      </w:pPr>
      <w:r>
        <w:rPr>
          <w:rFonts w:hint="eastAsia" w:ascii="宋体" w:hAnsi="宋体" w:eastAsia="宋体" w:cs="宋体"/>
          <w:color w:val="auto"/>
          <w:sz w:val="24"/>
          <w:highlight w:val="none"/>
        </w:rPr>
        <w:t>日期：   年   月   日</w:t>
      </w: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rPr>
          <w:color w:val="auto"/>
          <w:highlight w:val="none"/>
        </w:rPr>
        <w:sectPr>
          <w:pgSz w:w="11906" w:h="16838"/>
          <w:pgMar w:top="1440" w:right="1800" w:bottom="1440" w:left="1800" w:header="851" w:footer="822" w:gutter="0"/>
          <w:cols w:space="720" w:num="1"/>
          <w:docGrid w:linePitch="312" w:charSpace="0"/>
        </w:sectPr>
      </w:pPr>
    </w:p>
    <w:p>
      <w:pPr>
        <w:pStyle w:val="5"/>
        <w:numPr>
          <w:ilvl w:val="0"/>
          <w:numId w:val="63"/>
        </w:numPr>
        <w:jc w:val="center"/>
        <w:rPr>
          <w:color w:val="auto"/>
          <w:highlight w:val="none"/>
        </w:rPr>
      </w:pPr>
      <w:bookmarkStart w:id="368" w:name="_Toc24775"/>
      <w:bookmarkStart w:id="369" w:name="_Toc20740"/>
      <w:bookmarkStart w:id="370" w:name="_Toc29444"/>
      <w:bookmarkStart w:id="371" w:name="_Toc15337"/>
      <w:r>
        <w:rPr>
          <w:rFonts w:hint="eastAsia"/>
          <w:color w:val="auto"/>
          <w:highlight w:val="none"/>
        </w:rPr>
        <w:t>商务评审自查表</w:t>
      </w:r>
      <w:bookmarkEnd w:id="368"/>
      <w:bookmarkEnd w:id="369"/>
      <w:bookmarkEnd w:id="370"/>
      <w:bookmarkEnd w:id="371"/>
    </w:p>
    <w:tbl>
      <w:tblPr>
        <w:tblStyle w:val="41"/>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AEAEA"/>
            <w:noWrap w:val="0"/>
            <w:vAlign w:val="center"/>
          </w:tcPr>
          <w:p>
            <w:pPr>
              <w:jc w:val="center"/>
              <w:rPr>
                <w:b/>
                <w:bCs/>
                <w:color w:val="auto"/>
                <w:sz w:val="24"/>
                <w:highlight w:val="none"/>
              </w:rPr>
            </w:pPr>
            <w:r>
              <w:rPr>
                <w:rFonts w:hint="eastAsia"/>
                <w:b/>
                <w:bCs/>
                <w:color w:val="auto"/>
                <w:sz w:val="24"/>
                <w:highlight w:val="none"/>
              </w:rPr>
              <w:t>序号</w:t>
            </w:r>
          </w:p>
        </w:tc>
        <w:tc>
          <w:tcPr>
            <w:tcW w:w="4560" w:type="dxa"/>
            <w:shd w:val="clear" w:color="auto" w:fill="EAEAEA"/>
            <w:noWrap w:val="0"/>
            <w:vAlign w:val="center"/>
          </w:tcPr>
          <w:p>
            <w:pPr>
              <w:jc w:val="center"/>
              <w:rPr>
                <w:b/>
                <w:bCs/>
                <w:color w:val="auto"/>
                <w:sz w:val="24"/>
                <w:highlight w:val="none"/>
              </w:rPr>
            </w:pPr>
            <w:r>
              <w:rPr>
                <w:rFonts w:hint="eastAsia"/>
                <w:b/>
                <w:bCs/>
                <w:color w:val="auto"/>
                <w:sz w:val="24"/>
                <w:highlight w:val="none"/>
              </w:rPr>
              <w:t>评审分项</w:t>
            </w:r>
          </w:p>
        </w:tc>
        <w:tc>
          <w:tcPr>
            <w:tcW w:w="3180" w:type="dxa"/>
            <w:shd w:val="clear" w:color="auto" w:fill="EAEAEA"/>
            <w:noWrap w:val="0"/>
            <w:vAlign w:val="center"/>
          </w:tcPr>
          <w:p>
            <w:pPr>
              <w:jc w:val="center"/>
              <w:rPr>
                <w:b/>
                <w:bCs/>
                <w:color w:val="auto"/>
                <w:sz w:val="24"/>
                <w:highlight w:val="none"/>
              </w:rPr>
            </w:pPr>
            <w:r>
              <w:rPr>
                <w:rFonts w:hint="eastAsia"/>
                <w:b/>
                <w:bCs/>
                <w:color w:val="auto"/>
                <w:sz w:val="24"/>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4</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5</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9</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r>
              <w:rPr>
                <w:rFonts w:hint="eastAsia"/>
                <w:color w:val="auto"/>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4560" w:type="dxa"/>
            <w:noWrap w:val="0"/>
            <w:vAlign w:val="center"/>
          </w:tcPr>
          <w:p>
            <w:pPr>
              <w:rPr>
                <w:color w:val="auto"/>
                <w:sz w:val="24"/>
                <w:highlight w:val="none"/>
              </w:rPr>
            </w:pPr>
          </w:p>
        </w:tc>
        <w:tc>
          <w:tcPr>
            <w:tcW w:w="3180" w:type="dxa"/>
            <w:noWrap w:val="0"/>
            <w:vAlign w:val="center"/>
          </w:tcPr>
          <w:p>
            <w:pPr>
              <w:jc w:val="center"/>
              <w:rPr>
                <w:color w:val="auto"/>
                <w:sz w:val="24"/>
                <w:highlight w:val="none"/>
              </w:rPr>
            </w:pPr>
          </w:p>
        </w:tc>
      </w:tr>
    </w:tbl>
    <w:p>
      <w:pPr>
        <w:spacing w:before="120" w:beforeLines="50" w:line="360" w:lineRule="auto"/>
        <w:rPr>
          <w:color w:val="auto"/>
          <w:sz w:val="24"/>
          <w:highlight w:val="none"/>
        </w:rPr>
      </w:pPr>
      <w:r>
        <w:rPr>
          <w:rFonts w:hint="eastAsia"/>
          <w:color w:val="auto"/>
          <w:sz w:val="24"/>
          <w:highlight w:val="none"/>
        </w:rPr>
        <w:t>注：投标人应根据《商务评审表》的各项内容填写此表。</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投标人法定代表人或其授权代表（签字）：</w:t>
      </w:r>
    </w:p>
    <w:p>
      <w:pPr>
        <w:spacing w:before="72" w:after="72" w:line="400" w:lineRule="exact"/>
        <w:ind w:firstLine="3578" w:firstLineChars="1491"/>
        <w:rPr>
          <w:rFonts w:eastAsia="仿宋_GB2312"/>
          <w:b/>
          <w:color w:val="auto"/>
          <w:sz w:val="24"/>
          <w:highlight w:val="none"/>
        </w:rPr>
      </w:pPr>
      <w:r>
        <w:rPr>
          <w:rFonts w:hint="eastAsia" w:ascii="宋体" w:hAnsi="宋体" w:eastAsia="宋体" w:cs="宋体"/>
          <w:color w:val="auto"/>
          <w:sz w:val="24"/>
          <w:highlight w:val="none"/>
        </w:rPr>
        <w:t>日期：   年   月   日</w:t>
      </w: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rPr>
          <w:color w:val="auto"/>
          <w:highlight w:val="none"/>
        </w:rPr>
        <w:sectPr>
          <w:pgSz w:w="11906" w:h="16838"/>
          <w:pgMar w:top="1440" w:right="1800" w:bottom="1440" w:left="1800" w:header="851" w:footer="822" w:gutter="0"/>
          <w:cols w:space="720" w:num="1"/>
          <w:docGrid w:linePitch="312" w:charSpace="0"/>
        </w:sect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spacing w:before="72" w:after="72" w:line="400" w:lineRule="exact"/>
        <w:rPr>
          <w:rFonts w:eastAsia="仿宋_GB2312"/>
          <w:b/>
          <w:color w:val="auto"/>
          <w:sz w:val="24"/>
          <w:highlight w:val="none"/>
        </w:rPr>
      </w:pPr>
    </w:p>
    <w:p>
      <w:pPr>
        <w:rPr>
          <w:color w:val="auto"/>
          <w:highlight w:val="none"/>
        </w:rPr>
      </w:pPr>
    </w:p>
    <w:p>
      <w:pPr>
        <w:rPr>
          <w:color w:val="auto"/>
          <w:highlight w:val="none"/>
        </w:rPr>
      </w:pPr>
    </w:p>
    <w:p>
      <w:pPr>
        <w:pStyle w:val="4"/>
        <w:jc w:val="center"/>
        <w:rPr>
          <w:color w:val="auto"/>
          <w:sz w:val="44"/>
          <w:szCs w:val="44"/>
          <w:highlight w:val="none"/>
        </w:rPr>
      </w:pPr>
      <w:bookmarkStart w:id="372" w:name="_Toc9365"/>
      <w:bookmarkStart w:id="373" w:name="_Toc423021954"/>
      <w:bookmarkStart w:id="374" w:name="_Toc6622"/>
      <w:bookmarkStart w:id="375" w:name="_Toc30397"/>
      <w:bookmarkStart w:id="376" w:name="_Toc27991"/>
      <w:bookmarkStart w:id="377" w:name="_Toc3841"/>
      <w:bookmarkStart w:id="378" w:name="_Toc381489424"/>
      <w:r>
        <w:rPr>
          <w:color w:val="auto"/>
          <w:sz w:val="44"/>
          <w:szCs w:val="44"/>
          <w:highlight w:val="none"/>
        </w:rPr>
        <w:t>第</w:t>
      </w:r>
      <w:r>
        <w:rPr>
          <w:rFonts w:hint="eastAsia"/>
          <w:color w:val="auto"/>
          <w:sz w:val="44"/>
          <w:szCs w:val="44"/>
          <w:highlight w:val="none"/>
        </w:rPr>
        <w:t>二</w:t>
      </w:r>
      <w:r>
        <w:rPr>
          <w:color w:val="auto"/>
          <w:sz w:val="44"/>
          <w:szCs w:val="44"/>
          <w:highlight w:val="none"/>
        </w:rPr>
        <w:t>部分</w:t>
      </w:r>
      <w:r>
        <w:rPr>
          <w:rFonts w:hint="eastAsia"/>
          <w:color w:val="auto"/>
          <w:sz w:val="44"/>
          <w:szCs w:val="44"/>
          <w:highlight w:val="none"/>
        </w:rPr>
        <w:t>初审文件</w:t>
      </w:r>
      <w:bookmarkEnd w:id="372"/>
      <w:bookmarkEnd w:id="373"/>
      <w:bookmarkEnd w:id="374"/>
      <w:bookmarkEnd w:id="375"/>
      <w:bookmarkEnd w:id="376"/>
      <w:bookmarkEnd w:id="377"/>
      <w:bookmarkEnd w:id="378"/>
    </w:p>
    <w:p>
      <w:pPr>
        <w:rPr>
          <w:color w:val="auto"/>
          <w:highlight w:val="none"/>
        </w:rPr>
      </w:pPr>
      <w:bookmarkStart w:id="379" w:name="_Toc169318447"/>
      <w:bookmarkStart w:id="380" w:name="_Toc168730817"/>
      <w:bookmarkStart w:id="381" w:name="_Toc182886665"/>
      <w:bookmarkStart w:id="382" w:name="_Toc196294644"/>
      <w:bookmarkStart w:id="383" w:name="_Toc183316725"/>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5"/>
        <w:numPr>
          <w:ilvl w:val="0"/>
          <w:numId w:val="64"/>
        </w:numPr>
        <w:jc w:val="center"/>
        <w:rPr>
          <w:color w:val="auto"/>
          <w:highlight w:val="none"/>
        </w:rPr>
      </w:pPr>
      <w:bookmarkStart w:id="384" w:name="_Toc7016"/>
      <w:bookmarkStart w:id="385" w:name="_Toc7618"/>
      <w:bookmarkStart w:id="386" w:name="_Toc381489425"/>
      <w:bookmarkStart w:id="387" w:name="_Toc423021955"/>
      <w:bookmarkStart w:id="388" w:name="_Toc4775"/>
      <w:bookmarkStart w:id="389" w:name="_Toc25201"/>
      <w:bookmarkStart w:id="390" w:name="_Toc17672"/>
      <w:r>
        <w:rPr>
          <w:rFonts w:hint="eastAsia"/>
          <w:color w:val="auto"/>
          <w:highlight w:val="none"/>
        </w:rPr>
        <w:t>投标函</w:t>
      </w:r>
      <w:bookmarkEnd w:id="379"/>
      <w:bookmarkEnd w:id="380"/>
      <w:bookmarkEnd w:id="381"/>
      <w:bookmarkEnd w:id="382"/>
      <w:bookmarkEnd w:id="383"/>
      <w:bookmarkEnd w:id="384"/>
      <w:bookmarkEnd w:id="385"/>
      <w:bookmarkEnd w:id="386"/>
      <w:bookmarkEnd w:id="387"/>
      <w:bookmarkEnd w:id="388"/>
      <w:bookmarkEnd w:id="389"/>
      <w:bookmarkEnd w:id="390"/>
    </w:p>
    <w:p>
      <w:pPr>
        <w:adjustRightInd w:val="0"/>
        <w:snapToGrid w:val="0"/>
        <w:spacing w:before="120" w:beforeLines="50" w:after="120" w:afterLines="50"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致：广东有德招标采购有限公司</w:t>
      </w:r>
    </w:p>
    <w:p>
      <w:pPr>
        <w:tabs>
          <w:tab w:val="left" w:pos="7740"/>
        </w:tabs>
        <w:autoSpaceDE w:val="0"/>
        <w:autoSpaceDN w:val="0"/>
        <w:adjustRightInd w:val="0"/>
        <w:snapToGrid w:val="0"/>
        <w:spacing w:line="360" w:lineRule="auto"/>
        <w:ind w:right="26" w:firstLine="480" w:firstLineChars="200"/>
        <w:rPr>
          <w:rFonts w:ascii="宋体" w:hAnsi="宋体" w:eastAsia="宋体" w:cs="宋体"/>
          <w:color w:val="auto"/>
          <w:kern w:val="0"/>
          <w:sz w:val="24"/>
          <w:highlight w:val="none"/>
        </w:rPr>
      </w:pPr>
      <w:bookmarkStart w:id="391" w:name="_Toc196294645"/>
      <w:bookmarkStart w:id="392" w:name="_Toc124256789"/>
      <w:bookmarkStart w:id="393" w:name="_Toc183316726"/>
      <w:bookmarkStart w:id="394" w:name="_Toc159221038"/>
      <w:bookmarkStart w:id="395" w:name="_Toc182886666"/>
      <w:r>
        <w:rPr>
          <w:rFonts w:hint="eastAsia" w:ascii="宋体" w:hAnsi="宋体" w:eastAsia="宋体" w:cs="宋体"/>
          <w:color w:val="auto"/>
          <w:kern w:val="0"/>
          <w:sz w:val="24"/>
          <w:highlight w:val="none"/>
        </w:rPr>
        <w:t>依据贵方</w:t>
      </w:r>
      <w:r>
        <w:rPr>
          <w:rFonts w:hint="eastAsia" w:ascii="宋体" w:hAnsi="宋体" w:eastAsia="宋体" w:cs="宋体"/>
          <w:color w:val="auto"/>
          <w:sz w:val="24"/>
          <w:highlight w:val="none"/>
        </w:rPr>
        <w:t>招标项目</w:t>
      </w:r>
      <w:r>
        <w:rPr>
          <w:rFonts w:hint="eastAsia" w:ascii="宋体" w:hAnsi="宋体" w:eastAsia="宋体" w:cs="宋体"/>
          <w:color w:val="auto"/>
          <w:sz w:val="24"/>
          <w:highlight w:val="none"/>
          <w:u w:val="single"/>
        </w:rPr>
        <w:t>名称     （项目编号：</w:t>
      </w:r>
      <w:r>
        <w:rPr>
          <w:rFonts w:hint="eastAsia" w:ascii="宋体" w:hAnsi="宋体" w:cs="宋体"/>
          <w:color w:val="auto"/>
          <w:sz w:val="24"/>
          <w:highlight w:val="none"/>
          <w:u w:val="single"/>
          <w:lang w:eastAsia="zh-CN"/>
        </w:rPr>
        <w:t>）</w:t>
      </w:r>
      <w:r>
        <w:rPr>
          <w:rFonts w:hint="eastAsia" w:ascii="宋体" w:hAnsi="宋体" w:eastAsia="宋体" w:cs="宋体"/>
          <w:color w:val="auto"/>
          <w:kern w:val="0"/>
          <w:sz w:val="24"/>
          <w:highlight w:val="none"/>
        </w:rPr>
        <w:t>的投标邀请，我方代表</w:t>
      </w:r>
      <w:r>
        <w:rPr>
          <w:rFonts w:hint="eastAsia" w:ascii="宋体" w:hAnsi="宋体" w:eastAsia="宋体" w:cs="宋体"/>
          <w:color w:val="auto"/>
          <w:sz w:val="24"/>
          <w:highlight w:val="none"/>
          <w:u w:val="single"/>
        </w:rPr>
        <w:t>（姓名、职务）</w:t>
      </w:r>
      <w:r>
        <w:rPr>
          <w:rFonts w:hint="eastAsia" w:ascii="宋体" w:hAnsi="宋体" w:eastAsia="宋体" w:cs="宋体"/>
          <w:color w:val="auto"/>
          <w:kern w:val="0"/>
          <w:sz w:val="24"/>
          <w:highlight w:val="none"/>
        </w:rPr>
        <w:t>经正式授权并代表</w:t>
      </w:r>
      <w:r>
        <w:rPr>
          <w:rFonts w:hint="eastAsia" w:ascii="宋体" w:hAnsi="宋体" w:eastAsia="宋体" w:cs="宋体"/>
          <w:color w:val="auto"/>
          <w:sz w:val="24"/>
          <w:highlight w:val="none"/>
          <w:u w:val="single"/>
        </w:rPr>
        <w:t>（投标人名称、地址）</w:t>
      </w:r>
      <w:r>
        <w:rPr>
          <w:rFonts w:hint="eastAsia" w:ascii="宋体" w:hAnsi="宋体" w:eastAsia="宋体" w:cs="宋体"/>
          <w:color w:val="auto"/>
          <w:kern w:val="0"/>
          <w:sz w:val="24"/>
          <w:highlight w:val="none"/>
        </w:rPr>
        <w:t>提交下述文件正本</w:t>
      </w:r>
      <w:r>
        <w:rPr>
          <w:rFonts w:hint="eastAsia" w:ascii="宋体" w:hAnsi="宋体" w:eastAsia="宋体" w:cs="宋体"/>
          <w:color w:val="auto"/>
          <w:kern w:val="0"/>
          <w:sz w:val="24"/>
          <w:highlight w:val="none"/>
          <w:u w:val="single"/>
        </w:rPr>
        <w:t>_1_</w:t>
      </w:r>
      <w:r>
        <w:rPr>
          <w:rFonts w:hint="eastAsia" w:ascii="宋体" w:hAnsi="宋体" w:eastAsia="宋体" w:cs="宋体"/>
          <w:color w:val="auto"/>
          <w:kern w:val="0"/>
          <w:sz w:val="24"/>
          <w:highlight w:val="none"/>
        </w:rPr>
        <w:t>份，副本</w:t>
      </w:r>
      <w:r>
        <w:rPr>
          <w:rFonts w:hint="eastAsia" w:ascii="宋体" w:hAnsi="宋体" w:eastAsia="宋体" w:cs="宋体"/>
          <w:color w:val="auto"/>
          <w:kern w:val="0"/>
          <w:sz w:val="24"/>
          <w:highlight w:val="none"/>
          <w:u w:val="single"/>
        </w:rPr>
        <w:t>_5__</w:t>
      </w:r>
      <w:r>
        <w:rPr>
          <w:rFonts w:hint="eastAsia" w:ascii="宋体" w:hAnsi="宋体" w:eastAsia="宋体" w:cs="宋体"/>
          <w:color w:val="auto"/>
          <w:kern w:val="0"/>
          <w:sz w:val="24"/>
          <w:highlight w:val="none"/>
        </w:rPr>
        <w:t>份。</w:t>
      </w:r>
    </w:p>
    <w:p>
      <w:pPr>
        <w:numPr>
          <w:ilvl w:val="0"/>
          <w:numId w:val="65"/>
        </w:numPr>
        <w:tabs>
          <w:tab w:val="left" w:pos="7740"/>
        </w:tabs>
        <w:autoSpaceDE w:val="0"/>
        <w:autoSpaceDN w:val="0"/>
        <w:adjustRightInd w:val="0"/>
        <w:snapToGrid w:val="0"/>
        <w:spacing w:line="360" w:lineRule="auto"/>
        <w:ind w:right="246"/>
        <w:rPr>
          <w:rFonts w:ascii="宋体" w:hAnsi="宋体" w:eastAsia="宋体" w:cs="宋体"/>
          <w:color w:val="auto"/>
          <w:kern w:val="0"/>
          <w:sz w:val="24"/>
          <w:highlight w:val="none"/>
        </w:rPr>
      </w:pPr>
      <w:r>
        <w:rPr>
          <w:rFonts w:hint="eastAsia" w:ascii="宋体" w:hAnsi="宋体" w:eastAsia="宋体" w:cs="宋体"/>
          <w:color w:val="auto"/>
          <w:sz w:val="24"/>
          <w:highlight w:val="none"/>
        </w:rPr>
        <w:t>自查表</w:t>
      </w:r>
    </w:p>
    <w:p>
      <w:pPr>
        <w:numPr>
          <w:ilvl w:val="0"/>
          <w:numId w:val="65"/>
        </w:numPr>
        <w:tabs>
          <w:tab w:val="left" w:pos="7740"/>
        </w:tabs>
        <w:autoSpaceDE w:val="0"/>
        <w:autoSpaceDN w:val="0"/>
        <w:adjustRightInd w:val="0"/>
        <w:snapToGrid w:val="0"/>
        <w:spacing w:line="360" w:lineRule="auto"/>
        <w:ind w:right="246"/>
        <w:rPr>
          <w:rFonts w:ascii="宋体" w:hAnsi="宋体" w:eastAsia="宋体" w:cs="宋体"/>
          <w:color w:val="auto"/>
          <w:kern w:val="0"/>
          <w:sz w:val="24"/>
          <w:highlight w:val="none"/>
        </w:rPr>
      </w:pPr>
      <w:r>
        <w:rPr>
          <w:rFonts w:hint="eastAsia" w:ascii="宋体" w:hAnsi="宋体" w:eastAsia="宋体" w:cs="宋体"/>
          <w:color w:val="auto"/>
          <w:sz w:val="24"/>
          <w:highlight w:val="none"/>
        </w:rPr>
        <w:t>初审文件</w:t>
      </w:r>
    </w:p>
    <w:p>
      <w:pPr>
        <w:numPr>
          <w:ilvl w:val="0"/>
          <w:numId w:val="65"/>
        </w:numPr>
        <w:tabs>
          <w:tab w:val="left" w:pos="7740"/>
        </w:tabs>
        <w:autoSpaceDE w:val="0"/>
        <w:autoSpaceDN w:val="0"/>
        <w:adjustRightInd w:val="0"/>
        <w:snapToGrid w:val="0"/>
        <w:spacing w:line="360" w:lineRule="auto"/>
        <w:ind w:right="246"/>
        <w:rPr>
          <w:rFonts w:ascii="宋体" w:hAnsi="宋体" w:eastAsia="宋体" w:cs="宋体"/>
          <w:color w:val="auto"/>
          <w:kern w:val="0"/>
          <w:sz w:val="24"/>
          <w:highlight w:val="none"/>
        </w:rPr>
      </w:pPr>
      <w:r>
        <w:rPr>
          <w:rFonts w:hint="eastAsia" w:ascii="宋体" w:hAnsi="宋体" w:eastAsia="宋体" w:cs="宋体"/>
          <w:color w:val="auto"/>
          <w:sz w:val="24"/>
          <w:highlight w:val="none"/>
        </w:rPr>
        <w:t>商务文件</w:t>
      </w:r>
    </w:p>
    <w:p>
      <w:pPr>
        <w:numPr>
          <w:ilvl w:val="0"/>
          <w:numId w:val="65"/>
        </w:numPr>
        <w:tabs>
          <w:tab w:val="left" w:pos="7740"/>
        </w:tabs>
        <w:autoSpaceDE w:val="0"/>
        <w:autoSpaceDN w:val="0"/>
        <w:adjustRightInd w:val="0"/>
        <w:snapToGrid w:val="0"/>
        <w:spacing w:line="360" w:lineRule="auto"/>
        <w:ind w:right="246"/>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技术</w:t>
      </w:r>
      <w:r>
        <w:rPr>
          <w:rFonts w:hint="eastAsia" w:ascii="宋体" w:hAnsi="宋体" w:eastAsia="宋体" w:cs="宋体"/>
          <w:color w:val="auto"/>
          <w:sz w:val="24"/>
          <w:highlight w:val="none"/>
        </w:rPr>
        <w:t>文件</w:t>
      </w:r>
    </w:p>
    <w:p>
      <w:pPr>
        <w:numPr>
          <w:ilvl w:val="0"/>
          <w:numId w:val="65"/>
        </w:numPr>
        <w:tabs>
          <w:tab w:val="left" w:pos="7740"/>
        </w:tabs>
        <w:autoSpaceDE w:val="0"/>
        <w:autoSpaceDN w:val="0"/>
        <w:adjustRightInd w:val="0"/>
        <w:snapToGrid w:val="0"/>
        <w:spacing w:line="360" w:lineRule="auto"/>
        <w:ind w:right="32"/>
        <w:rPr>
          <w:rFonts w:ascii="宋体" w:hAnsi="宋体" w:eastAsia="宋体" w:cs="宋体"/>
          <w:color w:val="auto"/>
          <w:kern w:val="0"/>
          <w:sz w:val="24"/>
          <w:highlight w:val="none"/>
        </w:rPr>
      </w:pPr>
      <w:r>
        <w:rPr>
          <w:rFonts w:hint="eastAsia" w:ascii="宋体" w:hAnsi="宋体" w:eastAsia="宋体" w:cs="宋体"/>
          <w:color w:val="auto"/>
          <w:sz w:val="24"/>
          <w:highlight w:val="none"/>
        </w:rPr>
        <w:t>报价文件</w:t>
      </w:r>
    </w:p>
    <w:p>
      <w:pPr>
        <w:tabs>
          <w:tab w:val="left" w:pos="7740"/>
        </w:tabs>
        <w:autoSpaceDE w:val="0"/>
        <w:autoSpaceDN w:val="0"/>
        <w:adjustRightInd w:val="0"/>
        <w:snapToGrid w:val="0"/>
        <w:spacing w:line="360" w:lineRule="auto"/>
        <w:ind w:right="2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在此，我方声明如下：</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同意并接受招标文件的各项要求，遵守招标文件中的各项规定，按招标文件的要求提供报价。</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投标有效期为递交投标文件之日起</w:t>
      </w:r>
      <w:r>
        <w:rPr>
          <w:rFonts w:hint="eastAsia" w:ascii="宋体" w:hAnsi="宋体" w:eastAsia="宋体" w:cs="宋体"/>
          <w:color w:val="auto"/>
          <w:sz w:val="24"/>
          <w:highlight w:val="none"/>
          <w:u w:val="single"/>
        </w:rPr>
        <w:t>90</w:t>
      </w:r>
      <w:r>
        <w:rPr>
          <w:rFonts w:hint="eastAsia" w:ascii="宋体" w:hAnsi="宋体" w:eastAsia="宋体" w:cs="宋体"/>
          <w:color w:val="auto"/>
          <w:sz w:val="24"/>
          <w:highlight w:val="none"/>
        </w:rPr>
        <w:t>天，中标人投标有效期延至合同验收之日。</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我方已经详细地阅读了全部招标文件及其附件，包括澄清及参考文件</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如果有的话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。我方已完全清晰理解招标文件的要求，不存在任何含糊不清和误解之处，同意放弃对这些文件所提出的异议和异议的权利。</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我方是依法注册的法人，在法律、财务及运作上完全独立于招标人或招标代理机构。</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我方已毫无保留地向贵方提供一切所需的证明材料。</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我方承诺在本次投标中提供的一切文件，无论是原件还是复印件均为真实和准确的，绝无任何虚假、伪造和夸大的成份，否则，愿承担相应的后果和法律责任。</w:t>
      </w:r>
    </w:p>
    <w:p>
      <w:pPr>
        <w:numPr>
          <w:ilvl w:val="0"/>
          <w:numId w:val="66"/>
        </w:numPr>
        <w:tabs>
          <w:tab w:val="left" w:pos="7740"/>
        </w:tabs>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我方完全服从和尊重评标委员会所作的评定结果，同时清楚理解到报价最低并非意味着必定获得中标资格。</w:t>
      </w:r>
    </w:p>
    <w:p>
      <w:pPr>
        <w:tabs>
          <w:tab w:val="left" w:pos="7740"/>
        </w:tabs>
        <w:adjustRightInd w:val="0"/>
        <w:snapToGrid w:val="0"/>
        <w:spacing w:line="360" w:lineRule="auto"/>
        <w:ind w:left="420"/>
        <w:rPr>
          <w:rFonts w:ascii="宋体" w:hAnsi="宋体" w:eastAsia="宋体" w:cs="宋体"/>
          <w:color w:val="auto"/>
          <w:sz w:val="24"/>
          <w:highlight w:val="none"/>
        </w:rPr>
      </w:pPr>
      <w:r>
        <w:rPr>
          <w:rFonts w:hint="eastAsia" w:ascii="宋体" w:hAnsi="宋体" w:eastAsia="宋体" w:cs="宋体"/>
          <w:color w:val="auto"/>
          <w:sz w:val="24"/>
          <w:highlight w:val="none"/>
        </w:rPr>
        <w:t>8、我方同意按招标文件规定向招标代理机构缴纳</w:t>
      </w:r>
      <w:r>
        <w:rPr>
          <w:rFonts w:hint="eastAsia" w:ascii="宋体" w:hAnsi="宋体" w:eastAsia="宋体" w:cs="宋体"/>
          <w:color w:val="auto"/>
          <w:sz w:val="24"/>
          <w:highlight w:val="none"/>
          <w:lang w:val="en-GB"/>
        </w:rPr>
        <w:t>招标代理</w:t>
      </w:r>
      <w:r>
        <w:rPr>
          <w:rFonts w:hint="eastAsia" w:ascii="宋体" w:hAnsi="宋体" w:eastAsia="宋体" w:cs="宋体"/>
          <w:color w:val="auto"/>
          <w:sz w:val="24"/>
          <w:highlight w:val="none"/>
        </w:rPr>
        <w:t>服务费。</w:t>
      </w:r>
    </w:p>
    <w:p>
      <w:pPr>
        <w:adjustRightInd w:val="0"/>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备注：本投标函内容不得擅自删改，否则视为无效投标。</w:t>
      </w:r>
    </w:p>
    <w:p>
      <w:pPr>
        <w:tabs>
          <w:tab w:val="left" w:pos="7740"/>
        </w:tabs>
        <w:adjustRightInd w:val="0"/>
        <w:snapToGrid w:val="0"/>
        <w:spacing w:line="360" w:lineRule="auto"/>
        <w:ind w:left="420"/>
        <w:rPr>
          <w:rFonts w:ascii="宋体" w:hAnsi="宋体" w:eastAsia="宋体" w:cs="宋体"/>
          <w:color w:val="auto"/>
          <w:sz w:val="24"/>
          <w:highlight w:val="none"/>
        </w:rPr>
      </w:pP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地址：                       电话：     </w:t>
      </w: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传真：                       电子邮箱：</w:t>
      </w: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开户银行：                           </w:t>
      </w: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帐号：                                    </w:t>
      </w: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投标人名称（加盖公章）：</w:t>
      </w: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投标人法定代表人或其授权代表（签字</w:t>
      </w:r>
      <w:r>
        <w:rPr>
          <w:rFonts w:hint="eastAsia" w:ascii="宋体" w:hAnsi="宋体" w:cs="宋体"/>
          <w:color w:val="auto"/>
          <w:kern w:val="0"/>
          <w:sz w:val="24"/>
          <w:highlight w:val="none"/>
          <w:lang w:eastAsia="zh-CN"/>
        </w:rPr>
        <w:t>或签章</w:t>
      </w:r>
      <w:r>
        <w:rPr>
          <w:rFonts w:hint="eastAsia" w:ascii="宋体" w:hAnsi="宋体" w:eastAsia="宋体" w:cs="宋体"/>
          <w:color w:val="auto"/>
          <w:kern w:val="0"/>
          <w:sz w:val="24"/>
          <w:highlight w:val="none"/>
        </w:rPr>
        <w:t xml:space="preserve">）：                                </w:t>
      </w:r>
    </w:p>
    <w:p>
      <w:pPr>
        <w:tabs>
          <w:tab w:val="left" w:pos="7740"/>
        </w:tabs>
        <w:autoSpaceDE w:val="0"/>
        <w:autoSpaceDN w:val="0"/>
        <w:adjustRightInd w:val="0"/>
        <w:snapToGrid w:val="0"/>
        <w:spacing w:line="360" w:lineRule="auto"/>
        <w:ind w:right="246"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日期：                                   </w:t>
      </w:r>
    </w:p>
    <w:bookmarkEnd w:id="391"/>
    <w:bookmarkEnd w:id="392"/>
    <w:bookmarkEnd w:id="393"/>
    <w:bookmarkEnd w:id="394"/>
    <w:bookmarkEnd w:id="395"/>
    <w:p>
      <w:pPr>
        <w:adjustRightInd w:val="0"/>
        <w:snapToGrid w:val="0"/>
        <w:spacing w:line="360" w:lineRule="auto"/>
        <w:ind w:firstLine="480" w:firstLineChars="200"/>
        <w:rPr>
          <w:rFonts w:ascii="宋体" w:hAnsi="宋体" w:eastAsia="宋体" w:cs="宋体"/>
          <w:color w:val="auto"/>
          <w:sz w:val="24"/>
          <w:highlight w:val="none"/>
        </w:rPr>
      </w:pPr>
    </w:p>
    <w:p>
      <w:pPr>
        <w:rPr>
          <w:color w:val="auto"/>
          <w:sz w:val="24"/>
          <w:highlight w:val="none"/>
        </w:rPr>
      </w:pPr>
      <w:bookmarkStart w:id="396" w:name="_Toc417739816"/>
      <w:bookmarkEnd w:id="396"/>
    </w:p>
    <w:p>
      <w:pPr>
        <w:pStyle w:val="5"/>
        <w:jc w:val="center"/>
        <w:rPr>
          <w:color w:val="auto"/>
          <w:highlight w:val="none"/>
        </w:rPr>
        <w:sectPr>
          <w:pgSz w:w="11906" w:h="16838"/>
          <w:pgMar w:top="1440" w:right="1800" w:bottom="1440" w:left="1800" w:header="851" w:footer="822" w:gutter="0"/>
          <w:cols w:space="720" w:num="1"/>
          <w:docGrid w:linePitch="312" w:charSpace="0"/>
        </w:sectPr>
      </w:pPr>
      <w:bookmarkStart w:id="397" w:name="_Toc381489426"/>
      <w:bookmarkStart w:id="398" w:name="_Toc423021956"/>
    </w:p>
    <w:p>
      <w:pPr>
        <w:pStyle w:val="5"/>
        <w:numPr>
          <w:ilvl w:val="0"/>
          <w:numId w:val="64"/>
        </w:numPr>
        <w:jc w:val="center"/>
        <w:rPr>
          <w:color w:val="auto"/>
          <w:highlight w:val="none"/>
        </w:rPr>
      </w:pPr>
      <w:bookmarkStart w:id="399" w:name="_Toc3940"/>
      <w:bookmarkStart w:id="400" w:name="_Toc32599"/>
      <w:bookmarkStart w:id="401" w:name="_Toc9634"/>
      <w:bookmarkStart w:id="402" w:name="_Toc27927"/>
      <w:bookmarkStart w:id="403" w:name="_Toc9293"/>
      <w:r>
        <w:rPr>
          <w:rFonts w:hint="eastAsia"/>
          <w:color w:val="auto"/>
          <w:highlight w:val="none"/>
        </w:rPr>
        <w:t>关于资格的声明函</w:t>
      </w:r>
      <w:bookmarkEnd w:id="397"/>
      <w:bookmarkEnd w:id="398"/>
      <w:bookmarkEnd w:id="399"/>
      <w:bookmarkEnd w:id="400"/>
      <w:bookmarkEnd w:id="401"/>
      <w:bookmarkEnd w:id="402"/>
      <w:bookmarkEnd w:id="403"/>
    </w:p>
    <w:p>
      <w:pPr>
        <w:spacing w:before="120" w:beforeLines="50" w:after="120" w:afterLines="50"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致：广东有德招标采购有限公司</w:t>
      </w:r>
    </w:p>
    <w:p>
      <w:pPr>
        <w:spacing w:before="72" w:after="72"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关于贵方采购</w:t>
      </w:r>
      <w:r>
        <w:rPr>
          <w:rFonts w:hint="eastAsia" w:ascii="宋体" w:hAnsi="宋体" w:eastAsia="宋体" w:cs="宋体"/>
          <w:color w:val="auto"/>
          <w:sz w:val="24"/>
          <w:highlight w:val="none"/>
          <w:u w:val="single"/>
        </w:rPr>
        <w:t>（项目名称）（项目编号：      ）</w:t>
      </w:r>
      <w:r>
        <w:rPr>
          <w:rFonts w:hint="eastAsia" w:ascii="宋体" w:hAnsi="宋体" w:eastAsia="宋体" w:cs="宋体"/>
          <w:color w:val="auto"/>
          <w:sz w:val="24"/>
          <w:highlight w:val="none"/>
        </w:rPr>
        <w:t>，本单位愿意提交投标文件，并</w:t>
      </w:r>
      <w:r>
        <w:rPr>
          <w:rFonts w:hint="eastAsia" w:ascii="宋体" w:hAnsi="宋体" w:eastAsia="宋体" w:cs="宋体"/>
          <w:color w:val="auto"/>
          <w:sz w:val="24"/>
          <w:highlight w:val="none"/>
        </w:rPr>
        <w:t>证明提交的下列文件和说明是准确的和真实的。</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1、在中华人民共和国境内注册的具有独立承担民事责任能力的法人或其他组织，提供营业执照（分公司投标须得到总公司授权，同时提供总公司营业执照及盖章授权函）；</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r>
        <w:rPr>
          <w:rFonts w:hint="eastAsia" w:ascii="宋体" w:hAnsi="宋体" w:eastAsia="宋体" w:cs="Times New Roman"/>
          <w:iCs/>
          <w:color w:val="auto"/>
          <w:sz w:val="24"/>
          <w:highlight w:val="none"/>
          <w:lang w:eastAsia="zh-CN"/>
        </w:rPr>
        <w:t>投标时提供</w:t>
      </w:r>
      <w:r>
        <w:rPr>
          <w:rFonts w:hint="eastAsia" w:ascii="宋体" w:hAnsi="宋体" w:eastAsia="宋体" w:cs="Times New Roman"/>
          <w:iCs/>
          <w:color w:val="auto"/>
          <w:sz w:val="24"/>
          <w:highlight w:val="none"/>
          <w:lang w:val="en-US" w:eastAsia="zh-CN"/>
        </w:rPr>
        <w:t>2021年经第三方出具的财务状况报告</w:t>
      </w:r>
      <w:r>
        <w:rPr>
          <w:rFonts w:hint="eastAsia" w:ascii="宋体" w:hAnsi="宋体" w:eastAsia="宋体" w:cs="Times New Roman"/>
          <w:iCs/>
          <w:color w:val="auto"/>
          <w:sz w:val="24"/>
          <w:highlight w:val="none"/>
          <w:lang w:eastAsia="zh-CN"/>
        </w:rPr>
        <w:t>或2022年以来任何一个月的财务报表或基本</w:t>
      </w:r>
      <w:r>
        <w:rPr>
          <w:rFonts w:hint="eastAsia" w:ascii="宋体" w:hAnsi="宋体" w:eastAsia="宋体" w:cs="Times New Roman"/>
          <w:iCs/>
          <w:color w:val="auto"/>
          <w:sz w:val="24"/>
          <w:highlight w:val="none"/>
          <w:lang w:val="en-US" w:eastAsia="zh-CN"/>
        </w:rPr>
        <w:t>户</w:t>
      </w:r>
      <w:r>
        <w:rPr>
          <w:rFonts w:hint="eastAsia" w:ascii="宋体" w:hAnsi="宋体" w:eastAsia="宋体" w:cs="Times New Roman"/>
          <w:iCs/>
          <w:color w:val="auto"/>
          <w:sz w:val="24"/>
          <w:highlight w:val="none"/>
          <w:lang w:eastAsia="zh-CN"/>
        </w:rPr>
        <w:t>开户</w:t>
      </w:r>
      <w:r>
        <w:rPr>
          <w:rFonts w:hint="eastAsia" w:ascii="宋体" w:hAnsi="宋体" w:eastAsia="宋体" w:cs="Times New Roman"/>
          <w:iCs/>
          <w:color w:val="auto"/>
          <w:sz w:val="24"/>
          <w:highlight w:val="none"/>
          <w:lang w:val="en-US" w:eastAsia="zh-CN"/>
        </w:rPr>
        <w:t>银行</w:t>
      </w:r>
      <w:r>
        <w:rPr>
          <w:rFonts w:hint="eastAsia" w:ascii="宋体" w:hAnsi="宋体" w:eastAsia="宋体" w:cs="Times New Roman"/>
          <w:iCs/>
          <w:color w:val="auto"/>
          <w:sz w:val="24"/>
          <w:highlight w:val="none"/>
          <w:lang w:eastAsia="zh-CN"/>
        </w:rPr>
        <w:t>出具的资信证明</w:t>
      </w:r>
      <w:r>
        <w:rPr>
          <w:rFonts w:hint="eastAsia" w:ascii="宋体" w:hAnsi="宋体" w:eastAsia="宋体" w:cs="Times New Roman"/>
          <w:iCs/>
          <w:color w:val="auto"/>
          <w:sz w:val="24"/>
          <w:highlight w:val="none"/>
          <w:lang w:val="en-US" w:eastAsia="zh-CN"/>
        </w:rPr>
        <w:t>复印件或提供书面声明</w:t>
      </w:r>
      <w:r>
        <w:rPr>
          <w:rFonts w:hint="eastAsia" w:ascii="宋体" w:hAnsi="宋体" w:eastAsia="宋体" w:cs="Times New Roman"/>
          <w:iCs/>
          <w:color w:val="auto"/>
          <w:sz w:val="24"/>
          <w:highlight w:val="none"/>
          <w:lang w:eastAsia="zh-CN"/>
        </w:rPr>
        <w:t>。</w:t>
      </w:r>
      <w:r>
        <w:rPr>
          <w:rFonts w:hint="eastAsia" w:ascii="宋体" w:hAnsi="宋体" w:eastAsia="宋体" w:cs="宋体"/>
          <w:color w:val="auto"/>
          <w:sz w:val="24"/>
          <w:highlight w:val="none"/>
        </w:rPr>
        <w:t>）；</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r>
        <w:rPr>
          <w:rFonts w:hint="eastAsia" w:ascii="宋体" w:hAnsi="宋体" w:eastAsia="宋体" w:cs="Times New Roman"/>
          <w:iCs/>
          <w:color w:val="auto"/>
          <w:sz w:val="24"/>
          <w:highlight w:val="none"/>
          <w:lang w:eastAsia="zh-CN"/>
        </w:rPr>
        <w:t>提供投标截止日前6个月内任意1个月依法缴纳税收和社会保障资金的相关材料。如依法免税或不需要缴纳社会保障资金的，提供相应证明材料。</w:t>
      </w:r>
      <w:r>
        <w:rPr>
          <w:rFonts w:hint="eastAsia" w:ascii="宋体" w:hAnsi="宋体" w:eastAsia="宋体" w:cs="Times New Roman"/>
          <w:iCs/>
          <w:color w:val="auto"/>
          <w:sz w:val="24"/>
          <w:highlight w:val="none"/>
          <w:lang w:val="en-US" w:eastAsia="zh-CN"/>
        </w:rPr>
        <w:t>或提供依法缴纳税收和社会保障资金的良好记录书面声明</w:t>
      </w:r>
      <w:r>
        <w:rPr>
          <w:rFonts w:hint="eastAsia" w:ascii="宋体" w:hAnsi="宋体" w:eastAsia="宋体" w:cs="宋体"/>
          <w:color w:val="auto"/>
          <w:sz w:val="24"/>
          <w:highlight w:val="none"/>
        </w:rPr>
        <w:t>）；</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4、具备履行合同所必需的设备和专业技术能力（提供证明材料或书面声明）；</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5、参加招标活动前3年内在经营活动中没有重大违法记录（提供书面声明）；</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6、单位负责人为同一人或者存在直接控股、管理关系的不同供应商，不得参加同一合同项下的政府采购活动（提供书面声明）；</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8、本项目不接受联合体投标；</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9、本项目不允许分包或转包；</w:t>
      </w:r>
    </w:p>
    <w:p>
      <w:pPr>
        <w:spacing w:before="72" w:after="72"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10、已领购本项目招标文件。</w:t>
      </w:r>
    </w:p>
    <w:p>
      <w:pPr>
        <w:spacing w:before="72" w:after="72"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本单位保证全部投标文件和问题的回答是真实和有效的，并对所提供资料的真实性负责。</w:t>
      </w:r>
    </w:p>
    <w:p>
      <w:pPr>
        <w:spacing w:before="72" w:after="72" w:line="360" w:lineRule="auto"/>
        <w:ind w:firstLine="480" w:firstLineChars="200"/>
        <w:rPr>
          <w:rFonts w:ascii="宋体" w:hAnsi="宋体" w:eastAsia="宋体" w:cs="宋体"/>
          <w:color w:val="auto"/>
          <w:sz w:val="24"/>
          <w:highlight w:val="none"/>
        </w:rPr>
      </w:pPr>
    </w:p>
    <w:p>
      <w:pPr>
        <w:adjustRightInd w:val="0"/>
        <w:snapToGrid w:val="0"/>
        <w:spacing w:before="72" w:after="72"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adjustRightInd w:val="0"/>
        <w:snapToGrid w:val="0"/>
        <w:spacing w:before="72" w:after="72"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投标人法定代表人或其授权代表（签字</w:t>
      </w:r>
      <w:r>
        <w:rPr>
          <w:rFonts w:hint="eastAsia" w:ascii="宋体" w:hAnsi="宋体" w:eastAsia="宋体" w:cs="宋体"/>
          <w:color w:val="auto"/>
          <w:sz w:val="24"/>
          <w:highlight w:val="none"/>
          <w:lang w:eastAsia="zh-CN"/>
        </w:rPr>
        <w:t>或签章</w:t>
      </w:r>
      <w:r>
        <w:rPr>
          <w:rFonts w:hint="eastAsia" w:ascii="宋体" w:hAnsi="宋体" w:eastAsia="宋体" w:cs="宋体"/>
          <w:color w:val="auto"/>
          <w:sz w:val="24"/>
          <w:highlight w:val="none"/>
        </w:rPr>
        <w:t>）：</w:t>
      </w:r>
    </w:p>
    <w:p>
      <w:pPr>
        <w:spacing w:before="72" w:after="72" w:line="400" w:lineRule="exact"/>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r>
        <w:rPr>
          <w:rFonts w:hint="eastAsia" w:ascii="宋体" w:hAnsi="宋体" w:eastAsia="宋体" w:cs="宋体"/>
          <w:color w:val="auto"/>
          <w:sz w:val="24"/>
          <w:highlight w:val="none"/>
        </w:rPr>
        <w:t>日期：   年   月   日</w:t>
      </w:r>
    </w:p>
    <w:p>
      <w:pPr>
        <w:pStyle w:val="67"/>
        <w:ind w:firstLine="480"/>
        <w:rPr>
          <w:color w:val="auto"/>
          <w:highlight w:val="none"/>
        </w:rPr>
      </w:pPr>
      <w:bookmarkStart w:id="404" w:name="_Toc423021960"/>
      <w:bookmarkStart w:id="405" w:name="_Toc22784"/>
      <w:bookmarkStart w:id="406" w:name="_Toc4850"/>
      <w:bookmarkStart w:id="407" w:name="_Toc2992"/>
      <w:bookmarkStart w:id="408" w:name="_Toc814"/>
      <w:bookmarkStart w:id="409" w:name="_Toc196294648"/>
      <w:bookmarkStart w:id="410" w:name="_Toc197799988"/>
      <w:bookmarkStart w:id="411" w:name="_Toc381489429"/>
      <w:r>
        <w:rPr>
          <w:rFonts w:hint="eastAsia"/>
          <w:color w:val="auto"/>
          <w:highlight w:val="none"/>
        </w:rPr>
        <w:t>格式：</w:t>
      </w:r>
    </w:p>
    <w:p>
      <w:pPr>
        <w:spacing w:line="360" w:lineRule="auto"/>
        <w:jc w:val="center"/>
        <w:rPr>
          <w:rFonts w:ascii="宋体" w:hAnsi="宋体" w:cs="Times New Roman"/>
          <w:b/>
          <w:color w:val="auto"/>
          <w:sz w:val="24"/>
          <w:highlight w:val="none"/>
        </w:rPr>
      </w:pPr>
      <w:r>
        <w:rPr>
          <w:rFonts w:hint="eastAsia" w:ascii="宋体" w:hAnsi="宋体"/>
          <w:b/>
          <w:color w:val="auto"/>
          <w:sz w:val="28"/>
          <w:szCs w:val="28"/>
          <w:highlight w:val="none"/>
        </w:rPr>
        <w:t>投标人</w:t>
      </w:r>
      <w:r>
        <w:rPr>
          <w:rFonts w:hint="eastAsia" w:ascii="宋体" w:hAnsi="宋体" w:cs="Times New Roman"/>
          <w:b/>
          <w:color w:val="auto"/>
          <w:sz w:val="24"/>
          <w:highlight w:val="none"/>
        </w:rPr>
        <w:t>声明函</w:t>
      </w:r>
    </w:p>
    <w:p>
      <w:pPr>
        <w:spacing w:line="360" w:lineRule="auto"/>
        <w:ind w:firstLine="480" w:firstLineChars="200"/>
        <w:rPr>
          <w:rFonts w:ascii="仿宋_GB2312"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 </w:t>
      </w:r>
    </w:p>
    <w:p>
      <w:pPr>
        <w:spacing w:line="360" w:lineRule="auto"/>
        <w:rPr>
          <w:rFonts w:ascii="宋体" w:hAnsi="宋体" w:cs="Times New Roman"/>
          <w:color w:val="auto"/>
          <w:sz w:val="24"/>
          <w:highlight w:val="none"/>
        </w:rPr>
      </w:pPr>
      <w:r>
        <w:rPr>
          <w:rFonts w:hint="eastAsia" w:ascii="宋体" w:hAnsi="宋体" w:cs="Times New Roman"/>
          <w:color w:val="auto"/>
          <w:sz w:val="24"/>
          <w:highlight w:val="none"/>
        </w:rPr>
        <w:t>致：</w:t>
      </w:r>
      <w:r>
        <w:rPr>
          <w:rFonts w:hint="eastAsia" w:ascii="宋体" w:hAnsi="宋体" w:cs="Times New Roman"/>
          <w:color w:val="auto"/>
          <w:sz w:val="24"/>
          <w:highlight w:val="none"/>
          <w:u w:val="single"/>
        </w:rPr>
        <w:t>           (</w:t>
      </w:r>
      <w:r>
        <w:rPr>
          <w:rFonts w:hint="eastAsia" w:ascii="宋体" w:hAnsi="宋体"/>
          <w:color w:val="auto"/>
          <w:sz w:val="24"/>
          <w:highlight w:val="none"/>
          <w:u w:val="single"/>
        </w:rPr>
        <w:t>招标人</w:t>
      </w:r>
      <w:r>
        <w:rPr>
          <w:rFonts w:hint="eastAsia" w:ascii="宋体" w:hAnsi="宋体" w:cs="Times New Roman"/>
          <w:color w:val="auto"/>
          <w:sz w:val="24"/>
          <w:highlight w:val="none"/>
          <w:u w:val="single"/>
        </w:rPr>
        <w:t>)            </w:t>
      </w:r>
      <w:r>
        <w:rPr>
          <w:rFonts w:hint="eastAsia" w:ascii="宋体" w:hAnsi="宋体" w:cs="Times New Roman"/>
          <w:color w:val="auto"/>
          <w:sz w:val="24"/>
          <w:highlight w:val="none"/>
        </w:rPr>
        <w:t> </w:t>
      </w:r>
    </w:p>
    <w:p>
      <w:pPr>
        <w:spacing w:line="360" w:lineRule="auto"/>
        <w:ind w:firstLine="480" w:firstLineChars="200"/>
        <w:rPr>
          <w:rFonts w:ascii="宋体" w:hAnsi="宋体" w:cs="Times New Roman"/>
          <w:bCs/>
          <w:color w:val="auto"/>
          <w:sz w:val="24"/>
          <w:highlight w:val="none"/>
        </w:rPr>
      </w:pPr>
      <w:r>
        <w:rPr>
          <w:rFonts w:hint="eastAsia" w:ascii="宋体" w:hAnsi="宋体" w:cs="Times New Roman"/>
          <w:bCs/>
          <w:color w:val="auto"/>
          <w:sz w:val="24"/>
          <w:highlight w:val="none"/>
        </w:rPr>
        <w:t>我公司声明：</w:t>
      </w:r>
    </w:p>
    <w:p>
      <w:pPr>
        <w:spacing w:line="360" w:lineRule="auto"/>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1、我公司具有良好的商业信誉和健全的财务会计制度。</w:t>
      </w:r>
    </w:p>
    <w:p>
      <w:pPr>
        <w:spacing w:line="360" w:lineRule="auto"/>
        <w:ind w:firstLine="480" w:firstLineChars="200"/>
        <w:rPr>
          <w:rFonts w:ascii="宋体" w:hAnsi="宋体" w:cs="Times New Roman"/>
          <w:color w:val="auto"/>
          <w:sz w:val="24"/>
          <w:highlight w:val="none"/>
        </w:rPr>
      </w:pPr>
      <w:r>
        <w:rPr>
          <w:rFonts w:hint="eastAsia" w:ascii="宋体" w:hAnsi="宋体" w:cs="Times New Roman"/>
          <w:color w:val="auto"/>
          <w:sz w:val="24"/>
          <w:highlight w:val="none"/>
        </w:rPr>
        <w:t>2、我公司有依法缴纳税收和社会保障资金的良好记录。</w:t>
      </w:r>
    </w:p>
    <w:p>
      <w:pPr>
        <w:spacing w:line="360" w:lineRule="auto"/>
        <w:ind w:firstLine="480" w:firstLineChars="200"/>
        <w:rPr>
          <w:rFonts w:ascii="宋体" w:hAnsi="宋体" w:cs="宋体"/>
          <w:color w:val="auto"/>
          <w:sz w:val="24"/>
          <w:highlight w:val="none"/>
        </w:rPr>
      </w:pPr>
      <w:r>
        <w:rPr>
          <w:rFonts w:ascii="宋体" w:hAnsi="宋体" w:cs="Times New Roman"/>
          <w:color w:val="auto"/>
          <w:sz w:val="24"/>
          <w:highlight w:val="none"/>
        </w:rPr>
        <w:t>3、</w:t>
      </w:r>
      <w:r>
        <w:rPr>
          <w:rFonts w:hint="eastAsia" w:ascii="宋体" w:hAnsi="宋体" w:cs="Times New Roman"/>
          <w:color w:val="auto"/>
          <w:sz w:val="24"/>
          <w:highlight w:val="none"/>
        </w:rPr>
        <w:t>我公司具备履行</w:t>
      </w:r>
      <w:r>
        <w:rPr>
          <w:rFonts w:hint="eastAsia" w:ascii="宋体" w:hAnsi="宋体" w:cs="宋体"/>
          <w:color w:val="auto"/>
          <w:sz w:val="24"/>
          <w:highlight w:val="none"/>
        </w:rPr>
        <w:t>合同所必需的设备和专业技术能力。</w:t>
      </w:r>
    </w:p>
    <w:p>
      <w:pPr>
        <w:spacing w:line="360" w:lineRule="auto"/>
        <w:ind w:firstLine="480" w:firstLineChars="200"/>
        <w:rPr>
          <w:rFonts w:ascii="宋体" w:hAnsi="宋体" w:cs="宋体"/>
          <w:bCs/>
          <w:color w:val="auto"/>
          <w:sz w:val="24"/>
          <w:highlight w:val="none"/>
        </w:rPr>
      </w:pPr>
      <w:r>
        <w:rPr>
          <w:rFonts w:ascii="宋体" w:hAnsi="宋体" w:cs="Times New Roman"/>
          <w:bCs/>
          <w:color w:val="auto"/>
          <w:sz w:val="24"/>
          <w:highlight w:val="none"/>
        </w:rPr>
        <w:t>4</w:t>
      </w:r>
      <w:r>
        <w:rPr>
          <w:rFonts w:hint="eastAsia" w:ascii="宋体" w:hAnsi="宋体" w:cs="Times New Roman"/>
          <w:bCs/>
          <w:color w:val="auto"/>
          <w:sz w:val="24"/>
          <w:highlight w:val="none"/>
        </w:rPr>
        <w:t>、我公司参加招标活动前3年内在经营活动中没有重大违法记录</w:t>
      </w:r>
      <w:r>
        <w:rPr>
          <w:rFonts w:hint="eastAsia" w:ascii="宋体" w:hAnsi="宋体" w:cs="宋体"/>
          <w:bCs/>
          <w:color w:val="auto"/>
          <w:sz w:val="24"/>
          <w:highlight w:val="none"/>
        </w:rPr>
        <w:t>。</w:t>
      </w:r>
    </w:p>
    <w:p>
      <w:pPr>
        <w:spacing w:line="360" w:lineRule="auto"/>
        <w:ind w:firstLine="480" w:firstLineChars="200"/>
        <w:rPr>
          <w:rFonts w:ascii="宋体" w:hAnsi="宋体" w:cs="Times New Roman"/>
          <w:color w:val="auto"/>
          <w:sz w:val="24"/>
          <w:highlight w:val="none"/>
        </w:rPr>
      </w:pPr>
      <w:r>
        <w:rPr>
          <w:rFonts w:ascii="宋体" w:hAnsi="宋体" w:cs="Times New Roman"/>
          <w:color w:val="auto"/>
          <w:sz w:val="24"/>
          <w:highlight w:val="none"/>
        </w:rPr>
        <w:t>5</w:t>
      </w:r>
      <w:r>
        <w:rPr>
          <w:rFonts w:hint="eastAsia" w:ascii="宋体" w:hAnsi="宋体" w:cs="Times New Roman"/>
          <w:color w:val="auto"/>
          <w:sz w:val="24"/>
          <w:highlight w:val="none"/>
        </w:rPr>
        <w:t>、我公司不存在单位负责人为同一人或者存在直接控股、管理关系的不同供应商同时参加本采购项目投标活动情况。</w:t>
      </w:r>
    </w:p>
    <w:p>
      <w:pPr>
        <w:spacing w:line="360" w:lineRule="auto"/>
        <w:ind w:firstLine="480" w:firstLineChars="200"/>
        <w:rPr>
          <w:rFonts w:ascii="宋体" w:hAnsi="宋体" w:cs="Times New Roman"/>
          <w:color w:val="auto"/>
          <w:szCs w:val="21"/>
          <w:highlight w:val="none"/>
        </w:rPr>
      </w:pPr>
      <w:r>
        <w:rPr>
          <w:rFonts w:hint="eastAsia" w:ascii="宋体" w:hAnsi="宋体" w:cs="Times New Roman"/>
          <w:color w:val="auto"/>
          <w:sz w:val="24"/>
          <w:highlight w:val="none"/>
        </w:rPr>
        <w:t>特此声明。</w:t>
      </w:r>
      <w:r>
        <w:rPr>
          <w:rFonts w:hint="eastAsia" w:ascii="宋体" w:hAnsi="宋体" w:cs="Times New Roman"/>
          <w:color w:val="auto"/>
          <w:szCs w:val="21"/>
          <w:highlight w:val="none"/>
        </w:rPr>
        <w:t>   </w:t>
      </w:r>
    </w:p>
    <w:p>
      <w:pPr>
        <w:spacing w:line="360" w:lineRule="auto"/>
        <w:ind w:firstLine="440" w:firstLineChars="200"/>
        <w:rPr>
          <w:rFonts w:ascii="宋体" w:hAnsi="宋体" w:cs="Times New Roman"/>
          <w:color w:val="auto"/>
          <w:sz w:val="22"/>
          <w:szCs w:val="22"/>
          <w:highlight w:val="none"/>
        </w:rPr>
      </w:pPr>
    </w:p>
    <w:p>
      <w:pPr>
        <w:spacing w:line="360" w:lineRule="auto"/>
        <w:ind w:firstLine="440" w:firstLineChars="200"/>
        <w:rPr>
          <w:rFonts w:ascii="宋体" w:hAnsi="宋体" w:cs="Times New Roman"/>
          <w:color w:val="auto"/>
          <w:sz w:val="22"/>
          <w:szCs w:val="22"/>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投标人名称（加盖公章）： </w:t>
      </w:r>
    </w:p>
    <w:p>
      <w:pPr>
        <w:spacing w:line="360" w:lineRule="auto"/>
        <w:rPr>
          <w:rFonts w:ascii="宋体" w:hAnsi="宋体"/>
          <w:color w:val="auto"/>
          <w:sz w:val="24"/>
          <w:highlight w:val="none"/>
          <w:lang w:val="en-GB"/>
        </w:rPr>
      </w:pPr>
      <w:r>
        <w:rPr>
          <w:rFonts w:hint="eastAsia" w:ascii="宋体" w:hAnsi="宋体"/>
          <w:color w:val="auto"/>
          <w:sz w:val="24"/>
          <w:highlight w:val="none"/>
        </w:rPr>
        <w:t>日期：   年  月  日</w:t>
      </w:r>
    </w:p>
    <w:p>
      <w:pPr>
        <w:spacing w:before="312" w:beforeLines="100"/>
        <w:jc w:val="center"/>
        <w:rPr>
          <w:rFonts w:ascii="宋体" w:hAnsi="宋体" w:cs="宋体"/>
          <w:bCs/>
          <w:color w:val="auto"/>
          <w:sz w:val="24"/>
          <w:highlight w:val="none"/>
        </w:rPr>
      </w:pPr>
    </w:p>
    <w:p>
      <w:pPr>
        <w:pStyle w:val="67"/>
        <w:ind w:firstLine="480"/>
        <w:rPr>
          <w:rFonts w:hint="eastAsia"/>
          <w:color w:val="auto"/>
          <w:highlight w:val="none"/>
        </w:rPr>
      </w:pPr>
    </w:p>
    <w:p>
      <w:pPr>
        <w:jc w:val="center"/>
        <w:rPr>
          <w:rFonts w:ascii="宋体" w:hAnsi="宋体"/>
          <w:b/>
          <w:color w:val="auto"/>
          <w:sz w:val="28"/>
          <w:szCs w:val="28"/>
          <w:highlight w:val="none"/>
        </w:rPr>
      </w:pPr>
    </w:p>
    <w:p>
      <w:pPr>
        <w:jc w:val="center"/>
        <w:rPr>
          <w:rFonts w:ascii="宋体" w:hAnsi="宋体"/>
          <w:b/>
          <w:color w:val="auto"/>
          <w:sz w:val="28"/>
          <w:szCs w:val="28"/>
          <w:highlight w:val="none"/>
        </w:rPr>
      </w:pPr>
    </w:p>
    <w:p>
      <w:pPr>
        <w:widowControl/>
        <w:jc w:val="left"/>
        <w:rPr>
          <w:color w:val="auto"/>
          <w:highlight w:val="none"/>
        </w:rPr>
      </w:pPr>
      <w:r>
        <w:rPr>
          <w:rFonts w:ascii="宋体" w:hAnsi="宋体"/>
          <w:b/>
          <w:color w:val="auto"/>
          <w:sz w:val="28"/>
          <w:szCs w:val="28"/>
          <w:highlight w:val="none"/>
        </w:rPr>
        <w:br w:type="page"/>
      </w:r>
    </w:p>
    <w:p>
      <w:pPr>
        <w:rPr>
          <w:rFonts w:hint="eastAsia" w:ascii="宋体"/>
          <w:bCs/>
          <w:color w:val="auto"/>
          <w:sz w:val="24"/>
          <w:highlight w:val="none"/>
        </w:rPr>
      </w:pPr>
      <w:r>
        <w:rPr>
          <w:rFonts w:hint="eastAsia" w:ascii="宋体"/>
          <w:bCs/>
          <w:color w:val="auto"/>
          <w:sz w:val="24"/>
          <w:highlight w:val="none"/>
        </w:rPr>
        <w:t>格式</w:t>
      </w:r>
    </w:p>
    <w:p>
      <w:pPr>
        <w:jc w:val="center"/>
        <w:rPr>
          <w:rFonts w:hint="eastAsia" w:ascii="宋体"/>
          <w:b/>
          <w:bCs/>
          <w:color w:val="auto"/>
          <w:sz w:val="28"/>
          <w:szCs w:val="28"/>
          <w:highlight w:val="none"/>
        </w:rPr>
      </w:pPr>
      <w:r>
        <w:rPr>
          <w:rFonts w:hint="eastAsia" w:ascii="宋体"/>
          <w:b/>
          <w:bCs/>
          <w:color w:val="auto"/>
          <w:sz w:val="28"/>
          <w:szCs w:val="28"/>
          <w:highlight w:val="none"/>
        </w:rPr>
        <w:t>关于不分包或转包的承诺函</w:t>
      </w:r>
    </w:p>
    <w:p>
      <w:pPr>
        <w:jc w:val="center"/>
        <w:rPr>
          <w:rFonts w:hint="eastAsia" w:ascii="宋体"/>
          <w:b/>
          <w:bCs/>
          <w:color w:val="auto"/>
          <w:sz w:val="28"/>
          <w:szCs w:val="28"/>
          <w:highlight w:val="none"/>
        </w:rPr>
      </w:pPr>
    </w:p>
    <w:p>
      <w:pPr>
        <w:spacing w:before="72" w:after="72" w:line="360" w:lineRule="auto"/>
        <w:ind w:firstLine="480" w:firstLineChars="200"/>
        <w:rPr>
          <w:rFonts w:hint="eastAsia" w:ascii="宋体" w:cs="宋体"/>
          <w:color w:val="auto"/>
          <w:sz w:val="24"/>
          <w:highlight w:val="none"/>
        </w:rPr>
      </w:pPr>
    </w:p>
    <w:p>
      <w:pPr>
        <w:spacing w:line="360" w:lineRule="auto"/>
        <w:rPr>
          <w:rFonts w:hint="eastAsia" w:ascii="宋体"/>
          <w:bCs/>
          <w:color w:val="auto"/>
          <w:sz w:val="24"/>
          <w:highlight w:val="none"/>
        </w:rPr>
      </w:pPr>
      <w:r>
        <w:rPr>
          <w:rFonts w:hint="eastAsia" w:ascii="宋体"/>
          <w:color w:val="auto"/>
          <w:sz w:val="24"/>
          <w:highlight w:val="none"/>
        </w:rPr>
        <w:t>致：</w:t>
      </w:r>
      <w:r>
        <w:rPr>
          <w:rFonts w:hint="eastAsia" w:ascii="宋体"/>
          <w:color w:val="auto"/>
          <w:sz w:val="24"/>
          <w:highlight w:val="none"/>
          <w:u w:val="single"/>
        </w:rPr>
        <w:t>           (</w:t>
      </w:r>
      <w:r>
        <w:rPr>
          <w:rFonts w:hint="eastAsia" w:ascii="宋体"/>
          <w:color w:val="auto"/>
          <w:sz w:val="24"/>
          <w:highlight w:val="none"/>
          <w:u w:val="single"/>
          <w:lang w:eastAsia="zh-CN"/>
        </w:rPr>
        <w:t>招标人</w:t>
      </w:r>
      <w:r>
        <w:rPr>
          <w:rFonts w:hint="eastAsia" w:ascii="宋体"/>
          <w:color w:val="auto"/>
          <w:sz w:val="24"/>
          <w:highlight w:val="none"/>
          <w:u w:val="single"/>
        </w:rPr>
        <w:t>)            </w:t>
      </w:r>
    </w:p>
    <w:p>
      <w:pPr>
        <w:spacing w:line="360" w:lineRule="auto"/>
        <w:ind w:firstLine="480" w:firstLineChars="200"/>
        <w:rPr>
          <w:rFonts w:hint="eastAsia" w:ascii="宋体"/>
          <w:color w:val="auto"/>
          <w:sz w:val="24"/>
          <w:highlight w:val="none"/>
        </w:rPr>
      </w:pPr>
      <w:r>
        <w:rPr>
          <w:rFonts w:hint="eastAsia" w:ascii="宋体"/>
          <w:bCs/>
          <w:color w:val="auto"/>
          <w:sz w:val="24"/>
          <w:highlight w:val="none"/>
        </w:rPr>
        <w:t>本公司郑重承诺：</w:t>
      </w:r>
      <w:r>
        <w:rPr>
          <w:rFonts w:hint="eastAsia" w:ascii="宋体" w:cs="宋体"/>
          <w:color w:val="auto"/>
          <w:sz w:val="24"/>
          <w:highlight w:val="none"/>
        </w:rPr>
        <w:t>若我司有幸中标</w:t>
      </w:r>
      <w:r>
        <w:rPr>
          <w:rFonts w:hint="eastAsia" w:ascii="宋体" w:cs="宋体"/>
          <w:color w:val="auto"/>
          <w:sz w:val="24"/>
          <w:highlight w:val="none"/>
          <w:u w:val="single"/>
        </w:rPr>
        <w:t>　　　　　　　　　　　</w:t>
      </w:r>
      <w:r>
        <w:rPr>
          <w:rFonts w:hint="eastAsia" w:ascii="宋体" w:cs="宋体"/>
          <w:color w:val="auto"/>
          <w:sz w:val="24"/>
          <w:highlight w:val="none"/>
        </w:rPr>
        <w:t>项目，在与</w:t>
      </w:r>
      <w:r>
        <w:rPr>
          <w:rFonts w:hint="eastAsia" w:ascii="宋体" w:cs="宋体"/>
          <w:color w:val="auto"/>
          <w:sz w:val="24"/>
          <w:highlight w:val="none"/>
          <w:lang w:eastAsia="zh-CN"/>
        </w:rPr>
        <w:t>招标人</w:t>
      </w:r>
      <w:r>
        <w:rPr>
          <w:rFonts w:hint="eastAsia" w:ascii="宋体" w:cs="宋体"/>
          <w:color w:val="auto"/>
          <w:sz w:val="24"/>
          <w:highlight w:val="none"/>
        </w:rPr>
        <w:t>签订合同后，承诺不会出现将项目分包或转包，否</w:t>
      </w:r>
      <w:r>
        <w:rPr>
          <w:rFonts w:hint="eastAsia" w:ascii="宋体"/>
          <w:color w:val="auto"/>
          <w:sz w:val="24"/>
          <w:highlight w:val="none"/>
        </w:rPr>
        <w:t>则</w:t>
      </w:r>
      <w:r>
        <w:rPr>
          <w:rFonts w:hint="eastAsia" w:ascii="宋体"/>
          <w:color w:val="auto"/>
          <w:sz w:val="24"/>
          <w:highlight w:val="none"/>
          <w:lang w:eastAsia="zh-CN"/>
        </w:rPr>
        <w:t>招标人</w:t>
      </w:r>
      <w:r>
        <w:rPr>
          <w:rFonts w:hint="eastAsia" w:ascii="宋体"/>
          <w:color w:val="auto"/>
          <w:sz w:val="24"/>
          <w:highlight w:val="none"/>
        </w:rPr>
        <w:t>有权取消我司的中标资格，且我司将无条件承担由此给本次招标带来的一切后果(包括经济损失)。</w:t>
      </w:r>
    </w:p>
    <w:p>
      <w:pPr>
        <w:spacing w:before="72" w:after="72" w:line="360" w:lineRule="auto"/>
        <w:ind w:firstLine="480" w:firstLineChars="200"/>
        <w:rPr>
          <w:rFonts w:hint="eastAsia" w:ascii="宋体" w:cs="宋体"/>
          <w:color w:val="auto"/>
          <w:sz w:val="24"/>
          <w:highlight w:val="none"/>
        </w:rPr>
      </w:pPr>
      <w:r>
        <w:rPr>
          <w:rFonts w:hint="eastAsia" w:ascii="宋体"/>
          <w:color w:val="auto"/>
          <w:sz w:val="24"/>
          <w:highlight w:val="none"/>
        </w:rPr>
        <w:t>特此承诺。   </w:t>
      </w:r>
    </w:p>
    <w:p>
      <w:pPr>
        <w:spacing w:before="72" w:after="72" w:line="360" w:lineRule="auto"/>
        <w:ind w:firstLine="480" w:firstLineChars="200"/>
        <w:rPr>
          <w:rFonts w:hint="eastAsia" w:ascii="宋体" w:cs="宋体"/>
          <w:color w:val="auto"/>
          <w:sz w:val="24"/>
          <w:highlight w:val="none"/>
        </w:rPr>
      </w:pPr>
    </w:p>
    <w:p>
      <w:pPr>
        <w:adjustRightInd w:val="0"/>
        <w:snapToGrid w:val="0"/>
        <w:spacing w:line="360" w:lineRule="auto"/>
        <w:ind w:firstLine="480" w:firstLineChars="200"/>
        <w:rPr>
          <w:rFonts w:hint="eastAsia" w:ascii="宋体"/>
          <w:color w:val="auto"/>
          <w:sz w:val="24"/>
          <w:highlight w:val="none"/>
        </w:rPr>
      </w:pPr>
    </w:p>
    <w:p>
      <w:pPr>
        <w:spacing w:line="360" w:lineRule="auto"/>
        <w:rPr>
          <w:rFonts w:hint="eastAsia" w:ascii="宋体"/>
          <w:color w:val="auto"/>
          <w:sz w:val="24"/>
          <w:highlight w:val="none"/>
        </w:rPr>
      </w:pPr>
      <w:r>
        <w:rPr>
          <w:rFonts w:hint="eastAsia" w:ascii="宋体"/>
          <w:color w:val="auto"/>
          <w:sz w:val="24"/>
          <w:highlight w:val="none"/>
        </w:rPr>
        <w:t>投标人名称（加盖公章）：</w:t>
      </w:r>
    </w:p>
    <w:p>
      <w:pPr>
        <w:spacing w:line="360" w:lineRule="auto"/>
        <w:rPr>
          <w:rFonts w:hint="eastAsia" w:ascii="宋体"/>
          <w:color w:val="auto"/>
          <w:sz w:val="24"/>
          <w:highlight w:val="none"/>
          <w:lang w:val="en-GB"/>
        </w:rPr>
      </w:pPr>
      <w:r>
        <w:rPr>
          <w:rFonts w:hint="eastAsia" w:ascii="宋体"/>
          <w:color w:val="auto"/>
          <w:sz w:val="24"/>
          <w:highlight w:val="none"/>
        </w:rPr>
        <w:t>日期：   年   月   日</w:t>
      </w:r>
    </w:p>
    <w:p>
      <w:pPr>
        <w:rPr>
          <w:color w:val="auto"/>
          <w:highlight w:val="none"/>
        </w:rPr>
      </w:pPr>
    </w:p>
    <w:p>
      <w:pPr>
        <w:pStyle w:val="5"/>
        <w:numPr>
          <w:ilvl w:val="0"/>
          <w:numId w:val="64"/>
        </w:numPr>
        <w:jc w:val="center"/>
        <w:rPr>
          <w:color w:val="auto"/>
          <w:highlight w:val="none"/>
        </w:rPr>
      </w:pPr>
      <w:r>
        <w:rPr>
          <w:rFonts w:hint="eastAsia"/>
          <w:color w:val="auto"/>
          <w:highlight w:val="none"/>
        </w:rPr>
        <w:br w:type="page"/>
      </w:r>
      <w:bookmarkStart w:id="412" w:name="_Toc23189"/>
      <w:r>
        <w:rPr>
          <w:rFonts w:hint="eastAsia"/>
          <w:color w:val="auto"/>
          <w:highlight w:val="none"/>
        </w:rPr>
        <w:t>法定代表人证明书（负责人）和法定代表人（负责人）授权委托书</w:t>
      </w:r>
      <w:bookmarkEnd w:id="404"/>
      <w:bookmarkEnd w:id="405"/>
      <w:bookmarkEnd w:id="406"/>
      <w:bookmarkEnd w:id="407"/>
      <w:bookmarkEnd w:id="408"/>
      <w:bookmarkEnd w:id="412"/>
    </w:p>
    <w:p>
      <w:pPr>
        <w:numPr>
          <w:ilvl w:val="0"/>
          <w:numId w:val="67"/>
        </w:numPr>
        <w:spacing w:before="72" w:after="72" w:line="360" w:lineRule="auto"/>
        <w:jc w:val="center"/>
        <w:outlineLvl w:val="2"/>
        <w:rPr>
          <w:rFonts w:ascii="宋体" w:hAnsi="宋体" w:eastAsia="宋体" w:cs="宋体"/>
          <w:color w:val="auto"/>
          <w:sz w:val="30"/>
          <w:szCs w:val="30"/>
          <w:highlight w:val="none"/>
        </w:rPr>
      </w:pPr>
      <w:bookmarkStart w:id="413" w:name="_Toc22012"/>
      <w:bookmarkStart w:id="414" w:name="_Toc21919"/>
      <w:bookmarkStart w:id="415" w:name="_Toc23306"/>
      <w:r>
        <w:rPr>
          <w:rFonts w:hint="eastAsia" w:ascii="宋体" w:hAnsi="宋体" w:eastAsia="宋体" w:cs="宋体"/>
          <w:b/>
          <w:color w:val="auto"/>
          <w:kern w:val="44"/>
          <w:sz w:val="30"/>
          <w:szCs w:val="30"/>
          <w:highlight w:val="none"/>
        </w:rPr>
        <w:t>法定代表人（负责人）证明书</w:t>
      </w:r>
      <w:bookmarkEnd w:id="413"/>
      <w:bookmarkEnd w:id="414"/>
      <w:bookmarkEnd w:id="415"/>
    </w:p>
    <w:p>
      <w:pPr>
        <w:adjustRightInd w:val="0"/>
        <w:snapToGrid w:val="0"/>
        <w:spacing w:before="156" w:beforeLines="50" w:after="156" w:afterLines="50"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致：广东有德招标采购有限公司</w:t>
      </w:r>
    </w:p>
    <w:p>
      <w:pPr>
        <w:spacing w:before="72" w:after="72"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同志，现任我单位</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职务，为法定代表人（负责人），特此证明。</w:t>
      </w:r>
    </w:p>
    <w:p>
      <w:pPr>
        <w:spacing w:before="72" w:after="72"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本证明书有效期与本公司投标文件中标注的投标有效期相同。</w:t>
      </w:r>
    </w:p>
    <w:p>
      <w:pPr>
        <w:spacing w:before="72" w:after="72" w:line="360" w:lineRule="auto"/>
        <w:ind w:firstLine="482" w:firstLineChars="200"/>
        <w:rPr>
          <w:rFonts w:ascii="宋体" w:hAnsi="宋体" w:eastAsia="宋体" w:cs="宋体"/>
          <w:b/>
          <w:color w:val="auto"/>
          <w:sz w:val="24"/>
          <w:highlight w:val="none"/>
        </w:rPr>
      </w:pPr>
    </w:p>
    <w:p>
      <w:pPr>
        <w:spacing w:before="72" w:after="72" w:line="360" w:lineRule="auto"/>
        <w:ind w:firstLine="420" w:firstLineChars="200"/>
        <w:rPr>
          <w:rFonts w:ascii="宋体" w:hAnsi="宋体" w:eastAsia="宋体" w:cs="宋体"/>
          <w:color w:val="auto"/>
          <w:szCs w:val="21"/>
          <w:highlight w:val="none"/>
        </w:rPr>
      </w:pPr>
    </w:p>
    <w:p>
      <w:pPr>
        <w:spacing w:before="72" w:after="72"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投标人名称（加盖公章）：</w:t>
      </w:r>
    </w:p>
    <w:p>
      <w:pPr>
        <w:spacing w:before="312" w:beforeLines="100"/>
        <w:rPr>
          <w:rFonts w:ascii="宋体" w:hAnsi="宋体" w:eastAsia="宋体" w:cs="宋体"/>
          <w:b/>
          <w:bCs/>
          <w:color w:val="auto"/>
          <w:sz w:val="28"/>
          <w:szCs w:val="28"/>
          <w:highlight w:val="none"/>
        </w:rPr>
      </w:pPr>
      <w:r>
        <w:rPr>
          <w:rFonts w:hint="eastAsia" w:ascii="宋体" w:hAnsi="宋体" w:eastAsia="宋体" w:cs="宋体"/>
          <w:color w:val="auto"/>
          <w:sz w:val="24"/>
          <w:highlight w:val="none"/>
        </w:rPr>
        <w:t>日期：</w:t>
      </w:r>
      <w:r>
        <w:rPr>
          <w:rFonts w:hint="eastAsia" w:ascii="宋体" w:hAnsi="宋体" w:eastAsia="宋体" w:cs="宋体"/>
          <w:bCs/>
          <w:color w:val="auto"/>
          <w:sz w:val="24"/>
          <w:highlight w:val="none"/>
        </w:rPr>
        <w:t xml:space="preserve">    年    月    日</w:t>
      </w:r>
    </w:p>
    <w:p>
      <w:pPr>
        <w:spacing w:before="72" w:after="72" w:line="360" w:lineRule="auto"/>
        <w:ind w:firstLine="480" w:firstLineChars="200"/>
        <w:rPr>
          <w:rFonts w:ascii="宋体" w:hAnsi="宋体" w:eastAsia="宋体" w:cs="宋体"/>
          <w:color w:val="auto"/>
          <w:sz w:val="24"/>
          <w:highlight w:val="none"/>
        </w:rPr>
      </w:pPr>
    </w:p>
    <w:p>
      <w:pPr>
        <w:spacing w:before="72" w:after="72" w:line="360" w:lineRule="auto"/>
        <w:ind w:firstLine="480" w:firstLineChars="200"/>
        <w:rPr>
          <w:rFonts w:ascii="宋体" w:hAnsi="宋体" w:eastAsia="宋体" w:cs="宋体"/>
          <w:color w:val="auto"/>
          <w:sz w:val="24"/>
          <w:highlight w:val="none"/>
        </w:rPr>
      </w:pPr>
    </w:p>
    <w:p>
      <w:pPr>
        <w:pStyle w:val="23"/>
        <w:spacing w:before="72" w:after="72" w:line="360" w:lineRule="auto"/>
        <w:rPr>
          <w:rFonts w:hAnsi="宋体" w:eastAsia="宋体" w:cs="宋体"/>
          <w:b/>
          <w:color w:val="auto"/>
          <w:sz w:val="24"/>
          <w:highlight w:val="none"/>
        </w:rPr>
      </w:pPr>
      <w:r>
        <w:rPr>
          <w:rFonts w:hAnsi="宋体" w:eastAsia="宋体" w:cs="宋体"/>
          <w:b/>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2562225</wp:posOffset>
                </wp:positionH>
                <wp:positionV relativeFrom="paragraph">
                  <wp:posOffset>329565</wp:posOffset>
                </wp:positionV>
                <wp:extent cx="2628900" cy="1755140"/>
                <wp:effectExtent l="4445" t="4445" r="14605" b="12065"/>
                <wp:wrapNone/>
                <wp:docPr id="7"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eastAsia="宋体" w:cs="宋体"/>
                                <w:sz w:val="24"/>
                              </w:rPr>
                            </w:pPr>
                            <w:r>
                              <w:rPr>
                                <w:rFonts w:hint="eastAsia" w:ascii="宋体" w:hAnsi="宋体" w:eastAsia="宋体" w:cs="宋体"/>
                                <w:sz w:val="24"/>
                              </w:rPr>
                              <w:t>法定代表人</w:t>
                            </w:r>
                            <w:r>
                              <w:rPr>
                                <w:rFonts w:hint="eastAsia" w:ascii="宋体" w:hAnsi="宋体"/>
                                <w:sz w:val="24"/>
                              </w:rPr>
                              <w:t>（负责人）</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（反面）</w:t>
                            </w:r>
                          </w:p>
                        </w:txbxContent>
                      </wps:txbx>
                      <wps:bodyPr vert="horz" wrap="square" anchor="t" anchorCtr="0" upright="1"/>
                    </wps:wsp>
                  </a:graphicData>
                </a:graphic>
              </wp:anchor>
            </w:drawing>
          </mc:Choice>
          <mc:Fallback>
            <w:pict>
              <v:rect id="Rectangle 103" o:spid="_x0000_s1026" o:spt="1" style="position:absolute;left:0pt;margin-left:201.75pt;margin-top:25.95pt;height:138.2pt;width:207pt;z-index:251661312;mso-width-relative:page;mso-height-relative:page;" fillcolor="#FFFFFF" filled="t" stroked="t" coordsize="21600,21600" o:gfxdata="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BXW5XY&#10;AAAACgEAAA8AAAAAAAAAAQAgAAAAIgAAAGRycy9kb3ducmV2LnhtbFBLAQIUABQAAAAIAIdO4kAs&#10;TzMJIAIAAHAEAAAOAAAAAAAAAAEAIAAAACcBAABkcnMvZTJvRG9jLnhtbFBLBQYAAAAABgAGAFkB&#10;AAC5BQ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eastAsia="宋体" w:cs="宋体"/>
                          <w:sz w:val="24"/>
                        </w:rPr>
                      </w:pPr>
                      <w:r>
                        <w:rPr>
                          <w:rFonts w:hint="eastAsia" w:ascii="宋体" w:hAnsi="宋体" w:eastAsia="宋体" w:cs="宋体"/>
                          <w:sz w:val="24"/>
                        </w:rPr>
                        <w:t>法定代表人</w:t>
                      </w:r>
                      <w:r>
                        <w:rPr>
                          <w:rFonts w:hint="eastAsia" w:ascii="宋体" w:hAnsi="宋体"/>
                          <w:sz w:val="24"/>
                        </w:rPr>
                        <w:t>（负责人）</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（反面）</w:t>
                      </w:r>
                    </w:p>
                  </w:txbxContent>
                </v:textbox>
              </v:rect>
            </w:pict>
          </mc:Fallback>
        </mc:AlternateContent>
      </w:r>
      <w:r>
        <w:rPr>
          <w:rFonts w:hAnsi="宋体" w:eastAsia="宋体" w:cs="宋体"/>
          <w:b/>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315595</wp:posOffset>
                </wp:positionV>
                <wp:extent cx="2628900" cy="1755140"/>
                <wp:effectExtent l="4445" t="4445" r="14605" b="12065"/>
                <wp:wrapNone/>
                <wp:docPr id="6" name="Rectangle 10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eastAsia="宋体" w:cs="宋体"/>
                                <w:sz w:val="24"/>
                              </w:rPr>
                            </w:pPr>
                            <w:r>
                              <w:rPr>
                                <w:rFonts w:hint="eastAsia" w:ascii="宋体" w:hAnsi="宋体" w:eastAsia="宋体" w:cs="宋体"/>
                                <w:sz w:val="24"/>
                              </w:rPr>
                              <w:t>法定代表人</w:t>
                            </w:r>
                            <w:r>
                              <w:rPr>
                                <w:rFonts w:hint="eastAsia" w:ascii="宋体" w:hAnsi="宋体"/>
                                <w:sz w:val="24"/>
                              </w:rPr>
                              <w:t>（负责人）</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（正面）</w:t>
                            </w:r>
                          </w:p>
                        </w:txbxContent>
                      </wps:txbx>
                      <wps:bodyPr vert="horz" wrap="square" anchor="t" anchorCtr="0" upright="1"/>
                    </wps:wsp>
                  </a:graphicData>
                </a:graphic>
              </wp:anchor>
            </w:drawing>
          </mc:Choice>
          <mc:Fallback>
            <w:pict>
              <v:rect id="Rectangle 104" o:spid="_x0000_s1026" o:spt="1" style="position:absolute;left:0pt;margin-left:-26.25pt;margin-top:24.85pt;height:138.2pt;width:207pt;z-index:251662336;mso-width-relative:page;mso-height-relative:page;" fillcolor="#FFFFFF" filled="t" stroked="t" coordsize="21600,21600" o:gfxdata="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HIWSfY&#10;AAAACgEAAA8AAAAAAAAAAQAgAAAAIgAAAGRycy9kb3ducmV2LnhtbFBLAQIUABQAAAAIAIdO4kCf&#10;W9iiIAIAAHAEAAAOAAAAAAAAAAEAIAAAACcBAABkcnMvZTJvRG9jLnhtbFBLBQYAAAAABgAGAFkB&#10;AAC5BQ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eastAsia="宋体" w:cs="宋体"/>
                          <w:sz w:val="24"/>
                        </w:rPr>
                      </w:pPr>
                      <w:r>
                        <w:rPr>
                          <w:rFonts w:hint="eastAsia" w:ascii="宋体" w:hAnsi="宋体" w:eastAsia="宋体" w:cs="宋体"/>
                          <w:sz w:val="24"/>
                        </w:rPr>
                        <w:t>法定代表人</w:t>
                      </w:r>
                      <w:r>
                        <w:rPr>
                          <w:rFonts w:hint="eastAsia" w:ascii="宋体" w:hAnsi="宋体"/>
                          <w:sz w:val="24"/>
                        </w:rPr>
                        <w:t>（负责人）</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（正面）</w:t>
                      </w:r>
                    </w:p>
                  </w:txbxContent>
                </v:textbox>
              </v:rect>
            </w:pict>
          </mc:Fallback>
        </mc:AlternateContent>
      </w:r>
      <w:r>
        <w:rPr>
          <w:rFonts w:hint="eastAsia" w:hAnsi="宋体" w:eastAsia="宋体" w:cs="宋体"/>
          <w:b/>
          <w:color w:val="auto"/>
          <w:sz w:val="24"/>
          <w:highlight w:val="none"/>
        </w:rPr>
        <w:t>附法人身份证粘贴处（正反面）</w:t>
      </w: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spacing w:before="72" w:after="72" w:line="360" w:lineRule="auto"/>
        <w:rPr>
          <w:rFonts w:ascii="宋体" w:hAnsi="宋体" w:eastAsia="宋体" w:cs="宋体"/>
          <w:b/>
          <w:bCs/>
          <w:color w:val="auto"/>
          <w:sz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b/>
          <w:bCs/>
          <w:color w:val="auto"/>
          <w:sz w:val="24"/>
          <w:highlight w:val="none"/>
        </w:rPr>
        <w:t>1、分支机构参投标的，提供分支机构营业执照上载明的负责人证明。</w:t>
      </w:r>
    </w:p>
    <w:p>
      <w:pPr>
        <w:numPr>
          <w:ilvl w:val="0"/>
          <w:numId w:val="67"/>
        </w:numPr>
        <w:spacing w:before="72" w:after="72" w:line="360" w:lineRule="auto"/>
        <w:jc w:val="center"/>
        <w:outlineLvl w:val="2"/>
        <w:rPr>
          <w:rFonts w:ascii="宋体" w:hAnsi="宋体" w:eastAsia="宋体" w:cs="宋体"/>
          <w:b/>
          <w:color w:val="auto"/>
          <w:kern w:val="44"/>
          <w:sz w:val="30"/>
          <w:szCs w:val="30"/>
          <w:highlight w:val="none"/>
        </w:rPr>
      </w:pPr>
      <w:bookmarkStart w:id="416" w:name="_Toc415494949"/>
      <w:bookmarkStart w:id="417" w:name="_Toc415496511"/>
      <w:bookmarkStart w:id="418" w:name="_Toc27954"/>
      <w:bookmarkStart w:id="419" w:name="_Toc413404716"/>
      <w:bookmarkStart w:id="420" w:name="_Toc2190"/>
      <w:bookmarkStart w:id="421" w:name="_Toc414383247"/>
      <w:bookmarkStart w:id="422" w:name="_Toc389"/>
      <w:bookmarkStart w:id="423" w:name="_Toc414383032"/>
      <w:bookmarkStart w:id="424" w:name="_Toc381489428"/>
      <w:bookmarkStart w:id="425" w:name="_Toc413372470"/>
      <w:bookmarkStart w:id="426" w:name="_Toc417738414"/>
      <w:bookmarkStart w:id="427" w:name="_Toc413373063"/>
      <w:r>
        <w:rPr>
          <w:rFonts w:hint="eastAsia" w:ascii="宋体" w:hAnsi="宋体" w:eastAsia="宋体" w:cs="宋体"/>
          <w:b/>
          <w:color w:val="auto"/>
          <w:kern w:val="44"/>
          <w:sz w:val="30"/>
          <w:szCs w:val="30"/>
          <w:highlight w:val="none"/>
        </w:rPr>
        <w:t>法定代表人（负责人）授权委托书</w:t>
      </w:r>
      <w:bookmarkEnd w:id="416"/>
      <w:bookmarkEnd w:id="417"/>
      <w:bookmarkEnd w:id="418"/>
      <w:bookmarkEnd w:id="419"/>
      <w:bookmarkEnd w:id="420"/>
      <w:bookmarkEnd w:id="421"/>
      <w:bookmarkEnd w:id="422"/>
      <w:bookmarkEnd w:id="423"/>
      <w:bookmarkEnd w:id="424"/>
      <w:bookmarkEnd w:id="425"/>
      <w:bookmarkEnd w:id="426"/>
      <w:bookmarkEnd w:id="427"/>
    </w:p>
    <w:p>
      <w:pPr>
        <w:spacing w:before="120" w:beforeLines="50" w:after="120" w:afterLines="50"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致：广东有德招标采购有限公司</w:t>
      </w:r>
    </w:p>
    <w:p>
      <w:pPr>
        <w:pStyle w:val="23"/>
        <w:spacing w:before="72" w:after="72" w:line="360" w:lineRule="auto"/>
        <w:ind w:firstLine="420"/>
        <w:rPr>
          <w:rFonts w:hAnsi="宋体" w:eastAsia="宋体" w:cs="宋体"/>
          <w:color w:val="auto"/>
          <w:sz w:val="24"/>
          <w:highlight w:val="none"/>
        </w:rPr>
      </w:pPr>
      <w:r>
        <w:rPr>
          <w:rFonts w:hint="eastAsia" w:hAnsi="宋体" w:eastAsia="宋体" w:cs="宋体"/>
          <w:color w:val="auto"/>
          <w:sz w:val="24"/>
          <w:highlight w:val="none"/>
        </w:rPr>
        <w:t>我</w:t>
      </w:r>
      <w:r>
        <w:rPr>
          <w:rFonts w:hint="eastAsia" w:hAnsi="宋体" w:eastAsia="宋体" w:cs="宋体"/>
          <w:color w:val="auto"/>
          <w:sz w:val="24"/>
          <w:highlight w:val="none"/>
          <w:u w:val="single"/>
        </w:rPr>
        <w:t>　　   　　</w:t>
      </w:r>
      <w:r>
        <w:rPr>
          <w:rFonts w:hint="eastAsia" w:hAnsi="宋体" w:eastAsia="宋体" w:cs="宋体"/>
          <w:color w:val="auto"/>
          <w:sz w:val="24"/>
          <w:highlight w:val="none"/>
        </w:rPr>
        <w:t>（姓名）系</w:t>
      </w:r>
      <w:r>
        <w:rPr>
          <w:rFonts w:hint="eastAsia" w:hAnsi="宋体" w:eastAsia="宋体" w:cs="宋体"/>
          <w:color w:val="auto"/>
          <w:sz w:val="24"/>
          <w:highlight w:val="none"/>
          <w:u w:val="single"/>
        </w:rPr>
        <w:t>　　  　　　　</w:t>
      </w:r>
      <w:r>
        <w:rPr>
          <w:rFonts w:hint="eastAsia" w:hAnsi="宋体" w:eastAsia="宋体" w:cs="宋体"/>
          <w:color w:val="auto"/>
          <w:sz w:val="24"/>
          <w:highlight w:val="none"/>
        </w:rPr>
        <w:t>（投标人名称）的法定代表人，现授权委托</w:t>
      </w:r>
      <w:r>
        <w:rPr>
          <w:rFonts w:hint="eastAsia" w:hAnsi="宋体" w:eastAsia="宋体" w:cs="宋体"/>
          <w:color w:val="auto"/>
          <w:sz w:val="24"/>
          <w:highlight w:val="none"/>
          <w:u w:val="single"/>
        </w:rPr>
        <w:t>　　　　　　　　   　　　</w:t>
      </w:r>
      <w:r>
        <w:rPr>
          <w:rFonts w:hint="eastAsia" w:hAnsi="宋体" w:eastAsia="宋体" w:cs="宋体"/>
          <w:color w:val="auto"/>
          <w:sz w:val="24"/>
          <w:highlight w:val="none"/>
        </w:rPr>
        <w:t>（被授权人姓名、职务）为我公司授权代表，以本公司的名义参加</w:t>
      </w:r>
      <w:r>
        <w:rPr>
          <w:rFonts w:hint="eastAsia" w:hAnsi="宋体" w:eastAsia="宋体" w:cs="宋体"/>
          <w:color w:val="auto"/>
          <w:sz w:val="24"/>
          <w:highlight w:val="none"/>
          <w:u w:val="single"/>
          <w:lang w:val="zh-CN"/>
        </w:rPr>
        <w:t>（项目名称、项目编号）</w:t>
      </w:r>
      <w:r>
        <w:rPr>
          <w:rFonts w:hint="eastAsia" w:hAnsi="宋体" w:eastAsia="宋体" w:cs="宋体"/>
          <w:color w:val="auto"/>
          <w:sz w:val="24"/>
          <w:highlight w:val="none"/>
        </w:rPr>
        <w:t>的投标活动以及处理与之有关的一切事务。</w:t>
      </w:r>
    </w:p>
    <w:p>
      <w:pPr>
        <w:pStyle w:val="23"/>
        <w:spacing w:before="72" w:after="72" w:line="360" w:lineRule="auto"/>
        <w:ind w:firstLine="420"/>
        <w:rPr>
          <w:rFonts w:hAnsi="宋体" w:eastAsia="宋体" w:cs="宋体"/>
          <w:color w:val="auto"/>
          <w:sz w:val="24"/>
          <w:highlight w:val="none"/>
        </w:rPr>
      </w:pPr>
      <w:r>
        <w:rPr>
          <w:rFonts w:hint="eastAsia" w:hAnsi="宋体" w:eastAsia="宋体" w:cs="宋体"/>
          <w:color w:val="auto"/>
          <w:sz w:val="24"/>
          <w:highlight w:val="none"/>
        </w:rPr>
        <w:t>本授权委托书自法定代表人</w:t>
      </w:r>
      <w:r>
        <w:rPr>
          <w:rFonts w:hint="eastAsia" w:ascii="宋体" w:hAnsi="宋体"/>
          <w:color w:val="auto"/>
          <w:sz w:val="24"/>
          <w:highlight w:val="none"/>
        </w:rPr>
        <w:t>（负责人）</w:t>
      </w:r>
      <w:r>
        <w:rPr>
          <w:rFonts w:hint="eastAsia" w:hAnsi="宋体" w:eastAsia="宋体" w:cs="宋体"/>
          <w:color w:val="auto"/>
          <w:sz w:val="24"/>
          <w:highlight w:val="none"/>
        </w:rPr>
        <w:t>签字之日起生效，被授权人</w:t>
      </w:r>
      <w:r>
        <w:rPr>
          <w:rFonts w:hint="eastAsia" w:hAnsi="宋体" w:eastAsia="宋体" w:cs="宋体"/>
          <w:color w:val="auto"/>
          <w:sz w:val="24"/>
          <w:highlight w:val="none"/>
          <w:u w:val="single"/>
        </w:rPr>
        <w:t>（投标人授权代表）</w:t>
      </w:r>
      <w:r>
        <w:rPr>
          <w:rFonts w:hint="eastAsia" w:hAnsi="宋体" w:eastAsia="宋体" w:cs="宋体"/>
          <w:color w:val="auto"/>
          <w:sz w:val="24"/>
          <w:highlight w:val="none"/>
        </w:rPr>
        <w:t>无转委托权限。</w:t>
      </w:r>
    </w:p>
    <w:p>
      <w:pPr>
        <w:pStyle w:val="23"/>
        <w:spacing w:before="72" w:after="72" w:line="360" w:lineRule="auto"/>
        <w:ind w:firstLine="420"/>
        <w:rPr>
          <w:rFonts w:hAnsi="宋体" w:eastAsia="宋体" w:cs="宋体"/>
          <w:color w:val="auto"/>
          <w:sz w:val="24"/>
          <w:highlight w:val="none"/>
        </w:rPr>
      </w:pPr>
    </w:p>
    <w:p>
      <w:pPr>
        <w:pStyle w:val="23"/>
        <w:spacing w:before="72" w:after="72" w:line="360" w:lineRule="auto"/>
        <w:rPr>
          <w:rFonts w:hAnsi="宋体" w:eastAsia="宋体" w:cs="宋体"/>
          <w:color w:val="auto"/>
          <w:sz w:val="24"/>
          <w:highlight w:val="none"/>
        </w:rPr>
      </w:pPr>
    </w:p>
    <w:p>
      <w:pPr>
        <w:adjustRightInd w:val="0"/>
        <w:snapToGrid w:val="0"/>
        <w:spacing w:before="72" w:after="72"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adjustRightInd w:val="0"/>
        <w:snapToGrid w:val="0"/>
        <w:spacing w:before="72" w:after="72"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投标人法定代表人（负责人）（签字或盖章）：</w:t>
      </w:r>
    </w:p>
    <w:p>
      <w:pPr>
        <w:adjustRightInd w:val="0"/>
        <w:snapToGrid w:val="0"/>
        <w:spacing w:before="72" w:after="72"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投标人授权代表（签字）：</w:t>
      </w:r>
    </w:p>
    <w:p>
      <w:pPr>
        <w:pStyle w:val="23"/>
        <w:spacing w:before="72" w:after="72" w:line="360" w:lineRule="auto"/>
        <w:rPr>
          <w:rFonts w:hAnsi="宋体" w:eastAsia="宋体" w:cs="宋体"/>
          <w:color w:val="auto"/>
          <w:sz w:val="24"/>
          <w:highlight w:val="none"/>
        </w:rPr>
      </w:pPr>
      <w:r>
        <w:rPr>
          <w:rFonts w:hint="eastAsia" w:hAnsi="宋体" w:eastAsia="宋体" w:cs="宋体"/>
          <w:color w:val="auto"/>
          <w:sz w:val="24"/>
          <w:highlight w:val="none"/>
        </w:rPr>
        <w:t>签发日期：   年   月   日</w:t>
      </w:r>
    </w:p>
    <w:p>
      <w:pPr>
        <w:pStyle w:val="23"/>
        <w:spacing w:before="72" w:after="72" w:line="360" w:lineRule="auto"/>
        <w:rPr>
          <w:rFonts w:hAnsi="宋体" w:eastAsia="宋体" w:cs="宋体"/>
          <w:color w:val="auto"/>
          <w:sz w:val="24"/>
          <w:highlight w:val="none"/>
        </w:rPr>
      </w:pPr>
    </w:p>
    <w:p>
      <w:pPr>
        <w:spacing w:before="72" w:after="72" w:line="360" w:lineRule="auto"/>
        <w:rPr>
          <w:rFonts w:ascii="宋体" w:hAnsi="宋体" w:eastAsia="宋体" w:cs="宋体"/>
          <w:b/>
          <w:bCs/>
          <w:color w:val="auto"/>
          <w:sz w:val="24"/>
          <w:highlight w:val="none"/>
        </w:rPr>
      </w:pPr>
      <w:r>
        <w:rPr>
          <w:rFonts w:ascii="宋体" w:hAnsi="宋体" w:eastAsia="宋体" w:cs="宋体"/>
          <w:b/>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62865</wp:posOffset>
                </wp:positionV>
                <wp:extent cx="2628900" cy="1755140"/>
                <wp:effectExtent l="4445" t="4445" r="14605" b="12065"/>
                <wp:wrapNone/>
                <wp:docPr id="9"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ascii="宋体" w:hAnsi="宋体" w:eastAsia="宋体" w:cs="宋体"/>
                                <w:b/>
                                <w:sz w:val="30"/>
                              </w:rPr>
                            </w:pPr>
                          </w:p>
                          <w:p>
                            <w:pPr>
                              <w:spacing w:before="72" w:after="72"/>
                              <w:jc w:val="center"/>
                              <w:rPr>
                                <w:rFonts w:ascii="宋体" w:hAnsi="宋体" w:eastAsia="宋体" w:cs="宋体"/>
                                <w:sz w:val="24"/>
                              </w:rPr>
                            </w:pPr>
                            <w:r>
                              <w:rPr>
                                <w:rFonts w:hint="eastAsia" w:ascii="宋体" w:hAnsi="宋体" w:eastAsia="宋体" w:cs="宋体"/>
                                <w:sz w:val="24"/>
                              </w:rPr>
                              <w:t>被授权人（授权代表）</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（反面）</w:t>
                            </w:r>
                          </w:p>
                        </w:txbxContent>
                      </wps:txbx>
                      <wps:bodyPr vert="horz" wrap="square" anchor="t" anchorCtr="0" upright="1"/>
                    </wps:wsp>
                  </a:graphicData>
                </a:graphic>
              </wp:anchor>
            </w:drawing>
          </mc:Choice>
          <mc:Fallback>
            <w:pict>
              <v:rect id="Rectangle 103" o:spid="_x0000_s1026" o:spt="1" style="position:absolute;left:0pt;margin-left:198.75pt;margin-top:4.95pt;height:138.2pt;width:207pt;z-index:251659264;mso-width-relative:page;mso-height-relative:page;" fillcolor="#FFFFFF" filled="t" stroked="t" coordsize="21600,21600" o:gfxdata="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dXYRjXAAAA&#10;CQEAAA8AAAAAAAAAAQAgAAAAIgAAAGRycy9kb3ducmV2LnhtbFBLAQIUABQAAAAIAIdO4kAaLWfF&#10;HgIAAHAEAAAOAAAAAAAAAAEAIAAAACYBAABkcnMvZTJvRG9jLnhtbFBLBQYAAAAABgAGAFkBAAC2&#10;BQAAAAA=&#10;">
                <v:fill on="t" focussize="0,0"/>
                <v:stroke color="#000000" joinstyle="miter"/>
                <v:imagedata o:title=""/>
                <o:lock v:ext="edit" aspectratio="f"/>
                <v:textbox>
                  <w:txbxContent>
                    <w:p>
                      <w:pPr>
                        <w:spacing w:before="72" w:after="72"/>
                        <w:rPr>
                          <w:rFonts w:eastAsia="黑体"/>
                          <w:b/>
                          <w:sz w:val="30"/>
                        </w:rPr>
                      </w:pPr>
                    </w:p>
                    <w:p>
                      <w:pPr>
                        <w:spacing w:before="72" w:after="72"/>
                        <w:rPr>
                          <w:rFonts w:ascii="宋体" w:hAnsi="宋体" w:eastAsia="宋体" w:cs="宋体"/>
                          <w:b/>
                          <w:sz w:val="30"/>
                        </w:rPr>
                      </w:pPr>
                    </w:p>
                    <w:p>
                      <w:pPr>
                        <w:spacing w:before="72" w:after="72"/>
                        <w:jc w:val="center"/>
                        <w:rPr>
                          <w:rFonts w:ascii="宋体" w:hAnsi="宋体" w:eastAsia="宋体" w:cs="宋体"/>
                          <w:sz w:val="24"/>
                        </w:rPr>
                      </w:pPr>
                      <w:r>
                        <w:rPr>
                          <w:rFonts w:hint="eastAsia" w:ascii="宋体" w:hAnsi="宋体" w:eastAsia="宋体" w:cs="宋体"/>
                          <w:sz w:val="24"/>
                        </w:rPr>
                        <w:t>被授权人（授权代表）</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（反面）</w:t>
                      </w:r>
                    </w:p>
                  </w:txbxContent>
                </v:textbox>
              </v:rect>
            </w:pict>
          </mc:Fallback>
        </mc:AlternateContent>
      </w:r>
      <w:r>
        <w:rPr>
          <w:rFonts w:ascii="宋体" w:hAnsi="宋体" w:eastAsia="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48895</wp:posOffset>
                </wp:positionV>
                <wp:extent cx="2628900" cy="1755140"/>
                <wp:effectExtent l="4445" t="4445" r="14605" b="12065"/>
                <wp:wrapNone/>
                <wp:docPr id="8" name="Rectangle 10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eastAsia="宋体" w:cs="宋体"/>
                                <w:sz w:val="24"/>
                              </w:rPr>
                            </w:pPr>
                            <w:r>
                              <w:rPr>
                                <w:rFonts w:hint="eastAsia" w:ascii="宋体" w:hAnsi="宋体" w:eastAsia="宋体" w:cs="宋体"/>
                                <w:sz w:val="24"/>
                              </w:rPr>
                              <w:t>被授权人（授权代表）</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（正面）</w:t>
                            </w:r>
                          </w:p>
                        </w:txbxContent>
                      </wps:txbx>
                      <wps:bodyPr vert="horz" wrap="square" anchor="t" anchorCtr="0" upright="1"/>
                    </wps:wsp>
                  </a:graphicData>
                </a:graphic>
              </wp:anchor>
            </w:drawing>
          </mc:Choice>
          <mc:Fallback>
            <w:pict>
              <v:rect id="Rectangle 104" o:spid="_x0000_s1026" o:spt="1" style="position:absolute;left:0pt;margin-left:-27pt;margin-top:3.85pt;height:138.2pt;width:207pt;z-index:251660288;mso-width-relative:page;mso-height-relative:page;" fillcolor="#FFFFFF" filled="t" stroked="t" coordsize="21600,21600" o:gfxdata="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tRM9tgA&#10;AAAJAQAADwAAAAAAAAABACAAAAAiAAAAZHJzL2Rvd25yZXYueG1sUEsBAhQAFAAAAAgAh07iQKk5&#10;jG4fAgAAcAQAAA4AAAAAAAAAAQAgAAAAJwEAAGRycy9lMm9Eb2MueG1sUEsFBgAAAAAGAAYAWQEA&#10;ALgFAAAAAA==&#10;">
                <v:fill on="t" focussize="0,0"/>
                <v:stroke color="#000000" joinstyle="miter"/>
                <v:imagedata o:title=""/>
                <o:lock v:ext="edit" aspectratio="f"/>
                <v:textbox>
                  <w:txbxContent>
                    <w:p>
                      <w:pPr>
                        <w:spacing w:before="72" w:after="72"/>
                        <w:rPr>
                          <w:rFonts w:eastAsia="黑体"/>
                          <w:b/>
                          <w:sz w:val="30"/>
                        </w:rPr>
                      </w:pPr>
                    </w:p>
                    <w:p>
                      <w:pPr>
                        <w:spacing w:before="72" w:after="72"/>
                        <w:rPr>
                          <w:rFonts w:eastAsia="黑体"/>
                          <w:b/>
                          <w:sz w:val="30"/>
                        </w:rPr>
                      </w:pPr>
                    </w:p>
                    <w:p>
                      <w:pPr>
                        <w:spacing w:before="72" w:after="72"/>
                        <w:jc w:val="center"/>
                        <w:rPr>
                          <w:rFonts w:ascii="宋体" w:hAnsi="宋体" w:eastAsia="宋体" w:cs="宋体"/>
                          <w:sz w:val="24"/>
                        </w:rPr>
                      </w:pPr>
                      <w:r>
                        <w:rPr>
                          <w:rFonts w:hint="eastAsia" w:ascii="宋体" w:hAnsi="宋体" w:eastAsia="宋体" w:cs="宋体"/>
                          <w:sz w:val="24"/>
                        </w:rPr>
                        <w:t>被授权人（授权代表）</w:t>
                      </w:r>
                    </w:p>
                    <w:p>
                      <w:pPr>
                        <w:spacing w:before="72" w:after="72"/>
                        <w:jc w:val="center"/>
                        <w:rPr>
                          <w:rFonts w:ascii="宋体" w:hAnsi="宋体" w:eastAsia="宋体" w:cs="宋体"/>
                          <w:sz w:val="24"/>
                        </w:rPr>
                      </w:pPr>
                      <w:r>
                        <w:rPr>
                          <w:rFonts w:hint="eastAsia" w:ascii="宋体" w:hAnsi="宋体" w:eastAsia="宋体" w:cs="宋体"/>
                          <w:sz w:val="24"/>
                        </w:rPr>
                        <w:t>居民身份证复印件粘贴处</w:t>
                      </w:r>
                    </w:p>
                    <w:p>
                      <w:pPr>
                        <w:spacing w:before="72" w:after="72"/>
                        <w:jc w:val="center"/>
                        <w:rPr>
                          <w:rFonts w:ascii="宋体" w:hAnsi="宋体" w:eastAsia="宋体" w:cs="宋体"/>
                          <w:sz w:val="24"/>
                        </w:rPr>
                      </w:pPr>
                      <w:r>
                        <w:rPr>
                          <w:rFonts w:hint="eastAsia" w:ascii="宋体" w:hAnsi="宋体" w:eastAsia="宋体" w:cs="宋体"/>
                          <w:sz w:val="24"/>
                        </w:rPr>
                        <w:t>（正面）</w:t>
                      </w:r>
                    </w:p>
                  </w:txbxContent>
                </v:textbox>
              </v:rect>
            </w:pict>
          </mc:Fallback>
        </mc:AlternateContent>
      </w: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p>
    <w:p>
      <w:pPr>
        <w:spacing w:before="72" w:after="72"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numPr>
          <w:ilvl w:val="0"/>
          <w:numId w:val="68"/>
        </w:numPr>
        <w:spacing w:before="72" w:after="72"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法定代表人参加投标的，无需提交本授权书。</w:t>
      </w:r>
    </w:p>
    <w:p>
      <w:pPr>
        <w:numPr>
          <w:ilvl w:val="0"/>
          <w:numId w:val="68"/>
        </w:numPr>
        <w:spacing w:before="72" w:after="72"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非法人参加投标的，负责人指《营业执照》上载明的负责人。</w:t>
      </w:r>
    </w:p>
    <w:p>
      <w:pPr>
        <w:spacing w:before="72" w:after="72" w:line="360" w:lineRule="auto"/>
        <w:jc w:val="center"/>
        <w:rPr>
          <w:rFonts w:ascii="宋体" w:hAnsi="宋体" w:eastAsia="宋体" w:cs="宋体"/>
          <w:b/>
          <w:bCs/>
          <w:color w:val="auto"/>
          <w:sz w:val="24"/>
          <w:highlight w:val="none"/>
        </w:rPr>
      </w:pPr>
    </w:p>
    <w:p>
      <w:pPr>
        <w:rPr>
          <w:color w:val="auto"/>
          <w:highlight w:val="none"/>
        </w:rPr>
      </w:pPr>
      <w:bookmarkStart w:id="428" w:name="_Toc182886668"/>
      <w:bookmarkStart w:id="429" w:name="_Toc196294647"/>
      <w:bookmarkStart w:id="430" w:name="_Toc183316728"/>
      <w:r>
        <w:rPr>
          <w:rFonts w:hint="eastAsia" w:ascii="宋体" w:hAnsi="宋体" w:eastAsia="宋体" w:cs="宋体"/>
          <w:b/>
          <w:color w:val="auto"/>
          <w:kern w:val="44"/>
          <w:szCs w:val="36"/>
          <w:highlight w:val="none"/>
        </w:rPr>
        <w:br w:type="page"/>
      </w:r>
      <w:bookmarkEnd w:id="409"/>
      <w:bookmarkEnd w:id="410"/>
      <w:bookmarkEnd w:id="411"/>
      <w:bookmarkEnd w:id="428"/>
      <w:bookmarkEnd w:id="429"/>
      <w:bookmarkEnd w:id="430"/>
      <w:bookmarkStart w:id="431" w:name="_Toc196294649"/>
      <w:bookmarkEnd w:id="431"/>
      <w:bookmarkStart w:id="432" w:name="_Toc183316737"/>
      <w:bookmarkEnd w:id="432"/>
      <w:bookmarkStart w:id="433" w:name="_Toc182886678"/>
      <w:bookmarkEnd w:id="433"/>
    </w:p>
    <w:p>
      <w:pPr>
        <w:pStyle w:val="5"/>
        <w:numPr>
          <w:ilvl w:val="0"/>
          <w:numId w:val="64"/>
        </w:numPr>
        <w:jc w:val="center"/>
        <w:rPr>
          <w:color w:val="auto"/>
          <w:highlight w:val="none"/>
        </w:rPr>
      </w:pPr>
      <w:bookmarkStart w:id="434" w:name="_Toc381489432"/>
      <w:bookmarkStart w:id="435" w:name="_Toc5631"/>
      <w:bookmarkStart w:id="436" w:name="_Toc717"/>
      <w:bookmarkStart w:id="437" w:name="_Toc423021968"/>
      <w:bookmarkStart w:id="438" w:name="_Toc21406"/>
      <w:bookmarkStart w:id="439" w:name="_Toc26580"/>
      <w:bookmarkStart w:id="440" w:name="_Toc16612"/>
      <w:bookmarkStart w:id="441" w:name="_Toc196294634"/>
      <w:r>
        <w:rPr>
          <w:rFonts w:hint="eastAsia"/>
          <w:color w:val="auto"/>
          <w:highlight w:val="none"/>
        </w:rPr>
        <w:t>退还投标保证金说明</w:t>
      </w:r>
      <w:bookmarkEnd w:id="434"/>
      <w:bookmarkEnd w:id="435"/>
      <w:bookmarkEnd w:id="436"/>
      <w:bookmarkEnd w:id="437"/>
      <w:bookmarkEnd w:id="438"/>
      <w:bookmarkEnd w:id="439"/>
      <w:bookmarkEnd w:id="440"/>
    </w:p>
    <w:p>
      <w:pPr>
        <w:adjustRightInd w:val="0"/>
        <w:snapToGrid w:val="0"/>
        <w:spacing w:before="120" w:beforeLines="50" w:after="120" w:afterLines="50"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致：广东有德招标采购有限公司</w:t>
      </w:r>
    </w:p>
    <w:p>
      <w:pPr>
        <w:spacing w:line="360"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u w:val="single"/>
        </w:rPr>
        <w:t>（投标人全称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参加贵方组织的</w:t>
      </w:r>
      <w:r>
        <w:rPr>
          <w:rFonts w:hint="eastAsia" w:ascii="宋体" w:hAnsi="宋体" w:eastAsia="宋体" w:cs="宋体"/>
          <w:color w:val="auto"/>
          <w:sz w:val="24"/>
          <w:highlight w:val="none"/>
          <w:u w:val="single"/>
        </w:rPr>
        <w:t>（项目名称）（项目编号为： ）</w:t>
      </w:r>
      <w:r>
        <w:rPr>
          <w:rFonts w:hint="eastAsia" w:ascii="宋体" w:hAnsi="宋体" w:eastAsia="宋体" w:cs="宋体"/>
          <w:color w:val="auto"/>
          <w:sz w:val="24"/>
          <w:highlight w:val="none"/>
        </w:rPr>
        <w:t>的采购活动。按招标文件的规定，已通过（银行转帐、银行保函）形式交纳</w:t>
      </w:r>
      <w:r>
        <w:rPr>
          <w:rFonts w:hint="eastAsia" w:ascii="宋体" w:hAnsi="宋体" w:eastAsia="宋体" w:cs="宋体"/>
          <w:color w:val="auto"/>
          <w:sz w:val="24"/>
          <w:highlight w:val="none"/>
          <w:u w:val="single"/>
        </w:rPr>
        <w:t>（大写）人民币  　　  元</w:t>
      </w:r>
      <w:r>
        <w:rPr>
          <w:rFonts w:hint="eastAsia" w:ascii="宋体" w:hAnsi="宋体" w:eastAsia="宋体" w:cs="宋体"/>
          <w:color w:val="auto"/>
          <w:sz w:val="24"/>
          <w:highlight w:val="none"/>
        </w:rPr>
        <w:t>的投标保证金。请贵公司退还时划到以下账户：</w:t>
      </w:r>
    </w:p>
    <w:tbl>
      <w:tblPr>
        <w:tblStyle w:val="41"/>
        <w:tblW w:w="87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66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1" w:hRule="atLeast"/>
          <w:jc w:val="center"/>
        </w:trPr>
        <w:tc>
          <w:tcPr>
            <w:tcW w:w="2143"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 xml:space="preserve">收款单位（全称） </w:t>
            </w:r>
          </w:p>
        </w:tc>
        <w:tc>
          <w:tcPr>
            <w:tcW w:w="6638" w:type="dxa"/>
            <w:noWrap w:val="0"/>
            <w:vAlign w:val="center"/>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2143"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开户银行（全称）</w:t>
            </w:r>
          </w:p>
        </w:tc>
        <w:tc>
          <w:tcPr>
            <w:tcW w:w="6638" w:type="dxa"/>
            <w:noWrap w:val="0"/>
            <w:vAlign w:val="center"/>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开户银行帐号</w:t>
            </w:r>
          </w:p>
        </w:tc>
        <w:tc>
          <w:tcPr>
            <w:tcW w:w="6638" w:type="dxa"/>
            <w:noWrap w:val="0"/>
            <w:vAlign w:val="center"/>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6638" w:type="dxa"/>
            <w:noWrap w:val="0"/>
            <w:vAlign w:val="center"/>
          </w:tcPr>
          <w:p>
            <w:pP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联系电话（手机）</w:t>
            </w:r>
          </w:p>
        </w:tc>
        <w:tc>
          <w:tcPr>
            <w:tcW w:w="6638" w:type="dxa"/>
            <w:noWrap w:val="0"/>
            <w:vAlign w:val="center"/>
          </w:tcPr>
          <w:p>
            <w:pPr>
              <w:rPr>
                <w:rFonts w:ascii="宋体" w:hAnsi="宋体" w:eastAsia="宋体" w:cs="宋体"/>
                <w:color w:val="auto"/>
                <w:sz w:val="24"/>
                <w:highlight w:val="none"/>
              </w:rPr>
            </w:pPr>
          </w:p>
        </w:tc>
      </w:tr>
    </w:tbl>
    <w:p>
      <w:pPr>
        <w:snapToGrid w:val="0"/>
        <w:spacing w:line="360" w:lineRule="auto"/>
        <w:ind w:firstLine="470" w:firstLineChars="196"/>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r>
        <w:rPr>
          <w:rFonts w:hint="eastAsia" w:ascii="宋体" w:hAnsi="宋体" w:eastAsia="宋体" w:cs="宋体"/>
          <w:color w:val="auto"/>
          <w:sz w:val="24"/>
          <w:highlight w:val="none"/>
        </w:rPr>
        <w:t>日期：   年   月   日</w:t>
      </w:r>
    </w:p>
    <w:p>
      <w:pPr>
        <w:pStyle w:val="5"/>
        <w:numPr>
          <w:ilvl w:val="0"/>
          <w:numId w:val="64"/>
        </w:numPr>
        <w:jc w:val="center"/>
        <w:rPr>
          <w:color w:val="auto"/>
          <w:highlight w:val="none"/>
        </w:rPr>
      </w:pPr>
      <w:bookmarkStart w:id="442" w:name="_Toc19492"/>
      <w:bookmarkStart w:id="443" w:name="_Toc24975"/>
      <w:bookmarkStart w:id="444" w:name="_Toc19393"/>
      <w:bookmarkStart w:id="445" w:name="_Toc12704"/>
      <w:r>
        <w:rPr>
          <w:rFonts w:hint="eastAsia"/>
          <w:color w:val="auto"/>
          <w:highlight w:val="none"/>
        </w:rPr>
        <w:t>投标保证金凭证</w:t>
      </w:r>
      <w:bookmarkEnd w:id="442"/>
      <w:bookmarkEnd w:id="443"/>
      <w:bookmarkEnd w:id="444"/>
      <w:bookmarkEnd w:id="445"/>
    </w:p>
    <w:p>
      <w:pPr>
        <w:snapToGrid w:val="0"/>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说明：</w:t>
      </w:r>
    </w:p>
    <w:p>
      <w:pPr>
        <w:numPr>
          <w:ilvl w:val="0"/>
          <w:numId w:val="69"/>
        </w:numPr>
        <w:snapToGrid w:val="0"/>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投标人应当按招标文件要求交纳投标保证金，投标保证金可以采用银行转帐、银行保函形式交纳。</w:t>
      </w:r>
    </w:p>
    <w:p>
      <w:pPr>
        <w:numPr>
          <w:ilvl w:val="0"/>
          <w:numId w:val="69"/>
        </w:numPr>
        <w:snapToGrid w:val="0"/>
        <w:spacing w:line="360" w:lineRule="auto"/>
        <w:ind w:firstLine="470" w:firstLineChars="196"/>
        <w:rPr>
          <w:rFonts w:ascii="宋体" w:hAnsi="宋体" w:eastAsia="宋体" w:cs="宋体"/>
          <w:color w:val="auto"/>
          <w:sz w:val="24"/>
          <w:highlight w:val="none"/>
        </w:rPr>
      </w:pPr>
      <w:r>
        <w:rPr>
          <w:rFonts w:hint="eastAsia" w:ascii="宋体" w:hAnsi="宋体" w:eastAsia="宋体" w:cs="宋体"/>
          <w:color w:val="auto"/>
          <w:sz w:val="24"/>
          <w:highlight w:val="none"/>
        </w:rPr>
        <w:t>附投标保证金交纳凭证。</w:t>
      </w:r>
    </w:p>
    <w:p>
      <w:pPr>
        <w:snapToGrid w:val="0"/>
        <w:spacing w:line="360" w:lineRule="auto"/>
        <w:ind w:firstLine="470" w:firstLineChars="196"/>
        <w:rPr>
          <w:rFonts w:ascii="宋体" w:hAnsi="宋体" w:eastAsia="宋体" w:cs="宋体"/>
          <w:color w:val="auto"/>
          <w:sz w:val="24"/>
          <w:highlight w:val="none"/>
        </w:rPr>
      </w:pPr>
    </w:p>
    <w:p>
      <w:pPr>
        <w:widowControl/>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pStyle w:val="5"/>
        <w:numPr>
          <w:ilvl w:val="0"/>
          <w:numId w:val="64"/>
        </w:numPr>
        <w:jc w:val="center"/>
        <w:rPr>
          <w:color w:val="auto"/>
          <w:highlight w:val="none"/>
        </w:rPr>
      </w:pPr>
      <w:bookmarkStart w:id="446" w:name="_Toc173"/>
      <w:bookmarkStart w:id="447" w:name="_Toc423021970"/>
      <w:bookmarkStart w:id="448" w:name="_Toc583"/>
      <w:bookmarkStart w:id="449" w:name="_Toc11978"/>
      <w:bookmarkStart w:id="450" w:name="_Toc21744"/>
      <w:bookmarkStart w:id="451" w:name="_Toc483642771"/>
      <w:r>
        <w:rPr>
          <w:rFonts w:hint="eastAsia"/>
          <w:color w:val="auto"/>
          <w:highlight w:val="none"/>
        </w:rPr>
        <w:t>招标代理服务费支付承诺书</w:t>
      </w:r>
      <w:bookmarkEnd w:id="446"/>
      <w:bookmarkEnd w:id="447"/>
      <w:bookmarkEnd w:id="448"/>
      <w:bookmarkEnd w:id="449"/>
      <w:bookmarkEnd w:id="450"/>
      <w:bookmarkEnd w:id="451"/>
    </w:p>
    <w:p>
      <w:pPr>
        <w:spacing w:before="120" w:beforeLines="50" w:after="120" w:afterLines="50"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致：广东有德招标采购有限公司</w:t>
      </w:r>
    </w:p>
    <w:p>
      <w:pPr>
        <w:spacing w:before="72" w:after="72"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投标人全称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在参加贵公司举行的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 xml:space="preserve">项目编号： </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招标中如获中标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保证在收到贵公司发出的中标通知书的同时，向贵公司交纳招标代理服务费。</w:t>
      </w:r>
    </w:p>
    <w:p>
      <w:pPr>
        <w:spacing w:before="72" w:after="72"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如我公司违反上述承诺，愿意承担由此引起的全部法律责任。</w:t>
      </w:r>
    </w:p>
    <w:p>
      <w:pPr>
        <w:spacing w:before="72" w:after="72" w:line="360" w:lineRule="auto"/>
        <w:ind w:firstLine="544" w:firstLineChars="227"/>
        <w:rPr>
          <w:rFonts w:ascii="宋体" w:hAnsi="宋体" w:eastAsia="宋体" w:cs="宋体"/>
          <w:color w:val="auto"/>
          <w:sz w:val="24"/>
          <w:highlight w:val="none"/>
        </w:rPr>
      </w:pPr>
      <w:r>
        <w:rPr>
          <w:rFonts w:hint="eastAsia" w:ascii="宋体" w:hAnsi="宋体" w:eastAsia="宋体" w:cs="宋体"/>
          <w:color w:val="auto"/>
          <w:sz w:val="24"/>
          <w:highlight w:val="none"/>
        </w:rPr>
        <w:t>特此承诺。</w:t>
      </w:r>
    </w:p>
    <w:p>
      <w:pPr>
        <w:spacing w:before="72" w:after="72" w:line="360" w:lineRule="auto"/>
        <w:ind w:left="315"/>
        <w:rPr>
          <w:rFonts w:ascii="宋体" w:hAnsi="宋体" w:eastAsia="宋体" w:cs="宋体"/>
          <w:color w:val="auto"/>
          <w:sz w:val="24"/>
          <w:highlight w:val="none"/>
        </w:rPr>
      </w:pPr>
    </w:p>
    <w:p>
      <w:pPr>
        <w:spacing w:before="72" w:after="72" w:line="360" w:lineRule="auto"/>
        <w:ind w:left="315"/>
        <w:rPr>
          <w:rFonts w:ascii="宋体" w:hAnsi="宋体" w:eastAsia="宋体" w:cs="宋体"/>
          <w:color w:val="auto"/>
          <w:sz w:val="24"/>
          <w:highlight w:val="none"/>
        </w:rPr>
      </w:pPr>
    </w:p>
    <w:p>
      <w:pPr>
        <w:spacing w:before="72" w:after="72" w:line="360" w:lineRule="auto"/>
        <w:ind w:left="315"/>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napToGrid w:val="0"/>
        <w:spacing w:line="360" w:lineRule="auto"/>
        <w:ind w:firstLine="470" w:firstLineChars="196"/>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jc w:val="center"/>
        <w:rPr>
          <w:color w:val="auto"/>
          <w:sz w:val="44"/>
          <w:szCs w:val="44"/>
          <w:highlight w:val="none"/>
        </w:rPr>
      </w:pPr>
      <w:bookmarkStart w:id="452" w:name="_Toc6861"/>
      <w:bookmarkStart w:id="453" w:name="_Toc20635"/>
      <w:bookmarkStart w:id="454" w:name="_Toc13141"/>
      <w:bookmarkStart w:id="455" w:name="_Toc423021961"/>
      <w:bookmarkStart w:id="456" w:name="_Toc381489435"/>
      <w:bookmarkStart w:id="457" w:name="_Toc25303"/>
      <w:bookmarkStart w:id="458" w:name="_Toc11738"/>
      <w:r>
        <w:rPr>
          <w:color w:val="auto"/>
          <w:sz w:val="44"/>
          <w:szCs w:val="44"/>
          <w:highlight w:val="none"/>
        </w:rPr>
        <w:t>第</w:t>
      </w:r>
      <w:r>
        <w:rPr>
          <w:rFonts w:hint="eastAsia"/>
          <w:color w:val="auto"/>
          <w:sz w:val="44"/>
          <w:szCs w:val="44"/>
          <w:highlight w:val="none"/>
        </w:rPr>
        <w:t>三</w:t>
      </w:r>
      <w:r>
        <w:rPr>
          <w:color w:val="auto"/>
          <w:sz w:val="44"/>
          <w:szCs w:val="44"/>
          <w:highlight w:val="none"/>
        </w:rPr>
        <w:t>部分</w:t>
      </w:r>
      <w:r>
        <w:rPr>
          <w:rFonts w:hint="eastAsia"/>
          <w:color w:val="auto"/>
          <w:sz w:val="44"/>
          <w:szCs w:val="44"/>
          <w:highlight w:val="none"/>
        </w:rPr>
        <w:t>商务</w:t>
      </w:r>
      <w:r>
        <w:rPr>
          <w:color w:val="auto"/>
          <w:sz w:val="44"/>
          <w:szCs w:val="44"/>
          <w:highlight w:val="none"/>
        </w:rPr>
        <w:t>文件</w:t>
      </w:r>
      <w:bookmarkEnd w:id="441"/>
      <w:bookmarkEnd w:id="452"/>
      <w:bookmarkEnd w:id="453"/>
      <w:bookmarkEnd w:id="454"/>
      <w:bookmarkEnd w:id="455"/>
      <w:bookmarkEnd w:id="456"/>
      <w:bookmarkEnd w:id="457"/>
      <w:bookmarkEnd w:id="45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40" w:right="1800" w:bottom="1440" w:left="1800" w:header="851" w:footer="992" w:gutter="0"/>
          <w:cols w:space="720" w:num="1"/>
          <w:docGrid w:linePitch="312" w:charSpace="0"/>
        </w:sectPr>
      </w:pPr>
    </w:p>
    <w:p>
      <w:pPr>
        <w:rPr>
          <w:color w:val="auto"/>
          <w:highlight w:val="none"/>
        </w:rPr>
      </w:pPr>
    </w:p>
    <w:p>
      <w:pPr>
        <w:pStyle w:val="5"/>
        <w:numPr>
          <w:ilvl w:val="0"/>
          <w:numId w:val="70"/>
        </w:numPr>
        <w:adjustRightInd w:val="0"/>
        <w:snapToGrid w:val="0"/>
        <w:spacing w:before="0" w:after="0"/>
        <w:jc w:val="center"/>
        <w:rPr>
          <w:color w:val="auto"/>
          <w:highlight w:val="none"/>
        </w:rPr>
      </w:pPr>
      <w:bookmarkStart w:id="459" w:name="_Toc381489436"/>
      <w:bookmarkStart w:id="460" w:name="_Toc9533"/>
      <w:bookmarkStart w:id="461" w:name="_Toc423021962"/>
      <w:bookmarkStart w:id="462" w:name="_Toc17005"/>
      <w:bookmarkStart w:id="463" w:name="_Toc11533"/>
      <w:bookmarkStart w:id="464" w:name="_Toc4219"/>
      <w:bookmarkStart w:id="465" w:name="_Toc30265"/>
      <w:r>
        <w:rPr>
          <w:rFonts w:hint="eastAsia"/>
          <w:color w:val="auto"/>
          <w:highlight w:val="none"/>
        </w:rPr>
        <w:t>投标人</w:t>
      </w:r>
      <w:bookmarkEnd w:id="459"/>
      <w:bookmarkEnd w:id="460"/>
      <w:bookmarkEnd w:id="461"/>
      <w:r>
        <w:rPr>
          <w:rFonts w:hint="eastAsia"/>
          <w:color w:val="auto"/>
          <w:highlight w:val="none"/>
        </w:rPr>
        <w:t>概况</w:t>
      </w:r>
      <w:bookmarkEnd w:id="462"/>
      <w:bookmarkEnd w:id="463"/>
      <w:bookmarkEnd w:id="464"/>
      <w:bookmarkEnd w:id="465"/>
    </w:p>
    <w:p>
      <w:pPr>
        <w:numPr>
          <w:ilvl w:val="0"/>
          <w:numId w:val="71"/>
        </w:numPr>
        <w:adjustRightInd w:val="0"/>
        <w:snapToGri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投标人情况介绍表</w:t>
      </w:r>
    </w:p>
    <w:tbl>
      <w:tblPr>
        <w:tblStyle w:val="41"/>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30"/>
        <w:gridCol w:w="510"/>
        <w:gridCol w:w="945"/>
        <w:gridCol w:w="270"/>
        <w:gridCol w:w="975"/>
        <w:gridCol w:w="1623"/>
        <w:gridCol w:w="777"/>
        <w:gridCol w:w="16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单位名称</w:t>
            </w:r>
          </w:p>
        </w:tc>
        <w:tc>
          <w:tcPr>
            <w:tcW w:w="7710" w:type="dxa"/>
            <w:gridSpan w:val="9"/>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7710" w:type="dxa"/>
            <w:gridSpan w:val="9"/>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主管部门</w:t>
            </w:r>
          </w:p>
        </w:tc>
        <w:tc>
          <w:tcPr>
            <w:tcW w:w="1740"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1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法人代表</w:t>
            </w:r>
          </w:p>
        </w:tc>
        <w:tc>
          <w:tcPr>
            <w:tcW w:w="2598"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777"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380"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经济类型</w:t>
            </w:r>
          </w:p>
        </w:tc>
        <w:tc>
          <w:tcPr>
            <w:tcW w:w="1740"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1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授权代表</w:t>
            </w:r>
          </w:p>
        </w:tc>
        <w:tc>
          <w:tcPr>
            <w:tcW w:w="2598"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777"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1380"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邮编</w:t>
            </w:r>
          </w:p>
        </w:tc>
        <w:tc>
          <w:tcPr>
            <w:tcW w:w="1740"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1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598"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777"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1380"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tabs>
                <w:tab w:val="left" w:pos="540"/>
              </w:tabs>
              <w:ind w:left="-128" w:leftChars="-62"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单位简介及机构设置</w:t>
            </w:r>
          </w:p>
        </w:tc>
        <w:tc>
          <w:tcPr>
            <w:tcW w:w="7710" w:type="dxa"/>
            <w:gridSpan w:val="9"/>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11" w:type="dxa"/>
            <w:noWrap w:val="0"/>
            <w:vAlign w:val="center"/>
          </w:tcPr>
          <w:p>
            <w:pPr>
              <w:tabs>
                <w:tab w:val="left" w:pos="540"/>
              </w:tabs>
              <w:ind w:left="-128" w:leftChars="-62"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单位优势及特长</w:t>
            </w:r>
          </w:p>
        </w:tc>
        <w:tc>
          <w:tcPr>
            <w:tcW w:w="7710" w:type="dxa"/>
            <w:gridSpan w:val="9"/>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restart"/>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单位概况</w:t>
            </w:r>
          </w:p>
        </w:tc>
        <w:tc>
          <w:tcPr>
            <w:tcW w:w="1230"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注册资本</w:t>
            </w:r>
          </w:p>
        </w:tc>
        <w:tc>
          <w:tcPr>
            <w:tcW w:w="1455" w:type="dxa"/>
            <w:gridSpan w:val="2"/>
            <w:noWrap w:val="0"/>
            <w:vAlign w:val="top"/>
          </w:tcPr>
          <w:p>
            <w:pPr>
              <w:tabs>
                <w:tab w:val="left" w:pos="540"/>
              </w:tabs>
              <w:spacing w:line="440" w:lineRule="exact"/>
              <w:ind w:left="-130" w:leftChars="-63" w:right="-105" w:rightChars="-50" w:hanging="2"/>
              <w:jc w:val="right"/>
              <w:rPr>
                <w:rFonts w:ascii="宋体" w:hAnsi="宋体" w:eastAsia="宋体" w:cs="宋体"/>
                <w:color w:val="auto"/>
                <w:sz w:val="24"/>
                <w:highlight w:val="none"/>
              </w:rPr>
            </w:pPr>
          </w:p>
        </w:tc>
        <w:tc>
          <w:tcPr>
            <w:tcW w:w="1245"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占地面积</w:t>
            </w:r>
          </w:p>
        </w:tc>
        <w:tc>
          <w:tcPr>
            <w:tcW w:w="3780" w:type="dxa"/>
            <w:gridSpan w:val="4"/>
            <w:noWrap w:val="0"/>
            <w:vAlign w:val="top"/>
          </w:tcPr>
          <w:p>
            <w:pPr>
              <w:tabs>
                <w:tab w:val="left" w:pos="540"/>
              </w:tabs>
              <w:spacing w:line="440" w:lineRule="exact"/>
              <w:ind w:left="-132" w:leftChars="-63" w:right="-105" w:rightChars="-50" w:firstLine="3480" w:firstLineChars="145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30"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职工总数</w:t>
            </w:r>
          </w:p>
        </w:tc>
        <w:tc>
          <w:tcPr>
            <w:tcW w:w="1455" w:type="dxa"/>
            <w:gridSpan w:val="2"/>
            <w:noWrap w:val="0"/>
            <w:vAlign w:val="top"/>
          </w:tcPr>
          <w:p>
            <w:pPr>
              <w:tabs>
                <w:tab w:val="left" w:pos="540"/>
              </w:tabs>
              <w:spacing w:line="440" w:lineRule="exact"/>
              <w:ind w:left="-130" w:leftChars="-63" w:right="-105" w:rightChars="-50" w:hanging="2"/>
              <w:jc w:val="right"/>
              <w:rPr>
                <w:rFonts w:ascii="宋体" w:hAnsi="宋体" w:eastAsia="宋体" w:cs="宋体"/>
                <w:color w:val="auto"/>
                <w:sz w:val="24"/>
                <w:highlight w:val="none"/>
              </w:rPr>
            </w:pPr>
          </w:p>
        </w:tc>
        <w:tc>
          <w:tcPr>
            <w:tcW w:w="1245"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建筑面积</w:t>
            </w:r>
          </w:p>
        </w:tc>
        <w:tc>
          <w:tcPr>
            <w:tcW w:w="3780" w:type="dxa"/>
            <w:gridSpan w:val="4"/>
            <w:noWrap w:val="0"/>
            <w:vAlign w:val="top"/>
          </w:tcPr>
          <w:p>
            <w:pPr>
              <w:tabs>
                <w:tab w:val="left" w:pos="540"/>
              </w:tabs>
              <w:spacing w:line="440" w:lineRule="exact"/>
              <w:ind w:left="-132" w:leftChars="-63" w:right="-105" w:rightChars="-50" w:firstLine="3480" w:firstLineChars="1450"/>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30" w:type="dxa"/>
            <w:vMerge w:val="restart"/>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资产情况</w:t>
            </w:r>
          </w:p>
        </w:tc>
        <w:tc>
          <w:tcPr>
            <w:tcW w:w="145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净资产</w:t>
            </w:r>
          </w:p>
        </w:tc>
        <w:tc>
          <w:tcPr>
            <w:tcW w:w="124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623"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固定资产原值</w:t>
            </w:r>
          </w:p>
        </w:tc>
        <w:tc>
          <w:tcPr>
            <w:tcW w:w="2157" w:type="dxa"/>
            <w:gridSpan w:val="3"/>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30" w:type="dxa"/>
            <w:vMerge w:val="continue"/>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45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负债</w:t>
            </w:r>
          </w:p>
        </w:tc>
        <w:tc>
          <w:tcPr>
            <w:tcW w:w="124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623"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固定资产净值</w:t>
            </w:r>
          </w:p>
        </w:tc>
        <w:tc>
          <w:tcPr>
            <w:tcW w:w="2157" w:type="dxa"/>
            <w:gridSpan w:val="3"/>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vMerge w:val="restart"/>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财务状况</w:t>
            </w:r>
          </w:p>
        </w:tc>
        <w:tc>
          <w:tcPr>
            <w:tcW w:w="1230"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年度</w:t>
            </w:r>
          </w:p>
        </w:tc>
        <w:tc>
          <w:tcPr>
            <w:tcW w:w="145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主营收入</w:t>
            </w:r>
          </w:p>
        </w:tc>
        <w:tc>
          <w:tcPr>
            <w:tcW w:w="1245"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收入总额</w:t>
            </w:r>
          </w:p>
        </w:tc>
        <w:tc>
          <w:tcPr>
            <w:tcW w:w="1623"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利润总额</w:t>
            </w:r>
          </w:p>
        </w:tc>
        <w:tc>
          <w:tcPr>
            <w:tcW w:w="942" w:type="dxa"/>
            <w:gridSpan w:val="2"/>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净利润</w:t>
            </w:r>
          </w:p>
        </w:tc>
        <w:tc>
          <w:tcPr>
            <w:tcW w:w="1215" w:type="dxa"/>
            <w:noWrap w:val="0"/>
            <w:vAlign w:val="center"/>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r>
              <w:rPr>
                <w:rFonts w:hint="eastAsia" w:ascii="宋体" w:hAnsi="宋体" w:eastAsia="宋体" w:cs="宋体"/>
                <w:color w:val="auto"/>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30"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455"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45"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623"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942"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15"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vMerge w:val="continue"/>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30"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455"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45"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623"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942" w:type="dxa"/>
            <w:gridSpan w:val="2"/>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c>
          <w:tcPr>
            <w:tcW w:w="1215" w:type="dxa"/>
            <w:noWrap w:val="0"/>
            <w:vAlign w:val="top"/>
          </w:tcPr>
          <w:p>
            <w:pPr>
              <w:tabs>
                <w:tab w:val="left" w:pos="540"/>
              </w:tabs>
              <w:spacing w:line="440" w:lineRule="exact"/>
              <w:ind w:left="-130" w:leftChars="-63" w:right="-105" w:rightChars="-50" w:hanging="2"/>
              <w:jc w:val="center"/>
              <w:rPr>
                <w:rFonts w:ascii="宋体" w:hAnsi="宋体" w:eastAsia="宋体" w:cs="宋体"/>
                <w:color w:val="auto"/>
                <w:sz w:val="24"/>
                <w:highlight w:val="none"/>
              </w:rPr>
            </w:pPr>
          </w:p>
        </w:tc>
      </w:tr>
    </w:tbl>
    <w:p>
      <w:pPr>
        <w:pStyle w:val="68"/>
        <w:spacing w:line="360" w:lineRule="auto"/>
        <w:ind w:left="960" w:hanging="960" w:hangingChars="400"/>
        <w:rPr>
          <w:rFonts w:ascii="宋体" w:hAnsi="宋体" w:eastAsia="宋体" w:cs="宋体"/>
          <w:bCs w:val="0"/>
          <w:color w:val="auto"/>
          <w:spacing w:val="0"/>
          <w:kern w:val="2"/>
          <w:szCs w:val="24"/>
          <w:highlight w:val="none"/>
          <w:lang w:val="en-GB"/>
        </w:rPr>
      </w:pPr>
      <w:r>
        <w:rPr>
          <w:rFonts w:hint="eastAsia" w:ascii="宋体" w:hAnsi="宋体" w:eastAsia="宋体" w:cs="宋体"/>
          <w:bCs w:val="0"/>
          <w:color w:val="auto"/>
          <w:spacing w:val="0"/>
          <w:kern w:val="2"/>
          <w:szCs w:val="24"/>
          <w:highlight w:val="none"/>
          <w:lang w:val="en-GB"/>
        </w:rPr>
        <w:t>注：</w:t>
      </w:r>
    </w:p>
    <w:p>
      <w:pPr>
        <w:pStyle w:val="68"/>
        <w:numPr>
          <w:ilvl w:val="0"/>
          <w:numId w:val="72"/>
        </w:numPr>
        <w:spacing w:line="360" w:lineRule="auto"/>
        <w:rPr>
          <w:rFonts w:ascii="宋体" w:hAnsi="宋体" w:eastAsia="宋体" w:cs="宋体"/>
          <w:bCs w:val="0"/>
          <w:color w:val="auto"/>
          <w:spacing w:val="0"/>
          <w:kern w:val="2"/>
          <w:szCs w:val="24"/>
          <w:highlight w:val="none"/>
          <w:lang w:val="en-GB"/>
        </w:rPr>
      </w:pPr>
      <w:r>
        <w:rPr>
          <w:rFonts w:hint="eastAsia" w:ascii="宋体" w:hAnsi="宋体" w:eastAsia="宋体" w:cs="宋体"/>
          <w:bCs w:val="0"/>
          <w:color w:val="auto"/>
          <w:spacing w:val="0"/>
          <w:kern w:val="2"/>
          <w:szCs w:val="24"/>
          <w:highlight w:val="none"/>
          <w:lang w:val="en-GB"/>
        </w:rPr>
        <w:t>上表内容可以采用文字描述（企业性质、发展历程、经营规模及服务理念、主营产品、技术力量等）或图片描述（经营场所、主要经营项目等）。</w:t>
      </w:r>
    </w:p>
    <w:p>
      <w:pPr>
        <w:pStyle w:val="68"/>
        <w:numPr>
          <w:ilvl w:val="0"/>
          <w:numId w:val="72"/>
        </w:numPr>
        <w:rPr>
          <w:rFonts w:ascii="宋体" w:hAnsi="宋体" w:eastAsia="宋体" w:cs="宋体"/>
          <w:bCs w:val="0"/>
          <w:color w:val="auto"/>
          <w:spacing w:val="0"/>
          <w:kern w:val="2"/>
          <w:szCs w:val="24"/>
          <w:highlight w:val="none"/>
          <w:lang w:val="en-GB"/>
        </w:rPr>
      </w:pPr>
      <w:r>
        <w:rPr>
          <w:rFonts w:hint="eastAsia" w:ascii="宋体" w:hAnsi="宋体" w:eastAsia="宋体" w:cs="宋体"/>
          <w:bCs w:val="0"/>
          <w:color w:val="auto"/>
          <w:spacing w:val="0"/>
          <w:kern w:val="2"/>
          <w:szCs w:val="24"/>
          <w:highlight w:val="none"/>
          <w:lang w:val="en-GB"/>
        </w:rPr>
        <w:t>如投标人此表数据有虚假，一经查实，自行承担相关责任。</w:t>
      </w:r>
    </w:p>
    <w:p>
      <w:pPr>
        <w:pStyle w:val="68"/>
        <w:ind w:firstLine="420" w:firstLineChars="200"/>
        <w:rPr>
          <w:rFonts w:ascii="仿宋_GB2312" w:hAnsi="仿宋" w:eastAsia="仿宋_GB2312"/>
          <w:bCs w:val="0"/>
          <w:color w:val="auto"/>
          <w:spacing w:val="0"/>
          <w:kern w:val="2"/>
          <w:sz w:val="21"/>
          <w:szCs w:val="21"/>
          <w:highlight w:val="none"/>
          <w:lang w:val="en-GB"/>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r>
        <w:rPr>
          <w:rFonts w:hint="eastAsia" w:ascii="宋体" w:hAnsi="宋体" w:eastAsia="宋体" w:cs="宋体"/>
          <w:color w:val="auto"/>
          <w:sz w:val="24"/>
          <w:highlight w:val="none"/>
        </w:rPr>
        <w:t>日期：   年   月   日</w:t>
      </w:r>
    </w:p>
    <w:p>
      <w:pPr>
        <w:numPr>
          <w:ilvl w:val="0"/>
          <w:numId w:val="71"/>
        </w:numPr>
        <w:spacing w:before="72" w:after="72"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同类项目业绩</w:t>
      </w:r>
    </w:p>
    <w:tbl>
      <w:tblPr>
        <w:tblStyle w:val="41"/>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872"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客户名称</w:t>
            </w:r>
          </w:p>
        </w:tc>
        <w:tc>
          <w:tcPr>
            <w:tcW w:w="2819" w:type="dxa"/>
            <w:shd w:val="clear" w:color="auto" w:fill="EAEAEA"/>
            <w:noWrap w:val="0"/>
            <w:vAlign w:val="center"/>
          </w:tcPr>
          <w:p>
            <w:pPr>
              <w:rPr>
                <w:rFonts w:ascii="宋体" w:hAnsi="宋体" w:eastAsia="宋体" w:cs="宋体"/>
                <w:b/>
                <w:bCs/>
                <w:color w:val="auto"/>
                <w:sz w:val="24"/>
                <w:highlight w:val="none"/>
              </w:rPr>
            </w:pPr>
            <w:r>
              <w:rPr>
                <w:rFonts w:hint="eastAsia" w:ascii="宋体" w:hAnsi="宋体" w:eastAsia="宋体" w:cs="宋体"/>
                <w:b/>
                <w:bCs/>
                <w:color w:val="auto"/>
                <w:sz w:val="24"/>
                <w:highlight w:val="none"/>
              </w:rPr>
              <w:t>项目名称及合同金额</w:t>
            </w:r>
          </w:p>
        </w:tc>
        <w:tc>
          <w:tcPr>
            <w:tcW w:w="1236" w:type="dxa"/>
            <w:shd w:val="clear" w:color="auto" w:fill="EAEAEA"/>
            <w:noWrap w:val="0"/>
            <w:vAlign w:val="center"/>
          </w:tcPr>
          <w:p>
            <w:pP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服务期</w:t>
            </w:r>
          </w:p>
        </w:tc>
        <w:tc>
          <w:tcPr>
            <w:tcW w:w="2237"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1872" w:type="dxa"/>
            <w:noWrap w:val="0"/>
            <w:vAlign w:val="center"/>
          </w:tcPr>
          <w:p>
            <w:pPr>
              <w:jc w:val="center"/>
              <w:rPr>
                <w:rFonts w:ascii="宋体" w:hAnsi="宋体" w:eastAsia="宋体" w:cs="宋体"/>
                <w:color w:val="auto"/>
                <w:sz w:val="24"/>
                <w:highlight w:val="none"/>
              </w:rPr>
            </w:pPr>
          </w:p>
        </w:tc>
        <w:tc>
          <w:tcPr>
            <w:tcW w:w="2819" w:type="dxa"/>
            <w:noWrap w:val="0"/>
            <w:vAlign w:val="center"/>
          </w:tcPr>
          <w:p>
            <w:pPr>
              <w:jc w:val="center"/>
              <w:rPr>
                <w:rFonts w:ascii="宋体" w:hAnsi="宋体" w:eastAsia="宋体" w:cs="宋体"/>
                <w:color w:val="auto"/>
                <w:sz w:val="24"/>
                <w:highlight w:val="none"/>
              </w:rPr>
            </w:pPr>
          </w:p>
        </w:tc>
        <w:tc>
          <w:tcPr>
            <w:tcW w:w="1236" w:type="dxa"/>
            <w:noWrap w:val="0"/>
            <w:vAlign w:val="center"/>
          </w:tcPr>
          <w:p>
            <w:pPr>
              <w:jc w:val="center"/>
              <w:rPr>
                <w:rFonts w:ascii="宋体" w:hAnsi="宋体" w:eastAsia="宋体" w:cs="宋体"/>
                <w:color w:val="auto"/>
                <w:sz w:val="24"/>
                <w:highlight w:val="none"/>
              </w:rPr>
            </w:pPr>
          </w:p>
        </w:tc>
        <w:tc>
          <w:tcPr>
            <w:tcW w:w="2237" w:type="dxa"/>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1872" w:type="dxa"/>
            <w:noWrap w:val="0"/>
            <w:vAlign w:val="center"/>
          </w:tcPr>
          <w:p>
            <w:pPr>
              <w:jc w:val="center"/>
              <w:rPr>
                <w:rFonts w:ascii="宋体" w:hAnsi="宋体" w:eastAsia="宋体" w:cs="宋体"/>
                <w:color w:val="auto"/>
                <w:sz w:val="24"/>
                <w:highlight w:val="none"/>
              </w:rPr>
            </w:pPr>
          </w:p>
        </w:tc>
        <w:tc>
          <w:tcPr>
            <w:tcW w:w="2819" w:type="dxa"/>
            <w:noWrap w:val="0"/>
            <w:vAlign w:val="center"/>
          </w:tcPr>
          <w:p>
            <w:pPr>
              <w:jc w:val="center"/>
              <w:rPr>
                <w:rFonts w:ascii="宋体" w:hAnsi="宋体" w:eastAsia="宋体" w:cs="宋体"/>
                <w:color w:val="auto"/>
                <w:sz w:val="24"/>
                <w:highlight w:val="none"/>
              </w:rPr>
            </w:pPr>
          </w:p>
        </w:tc>
        <w:tc>
          <w:tcPr>
            <w:tcW w:w="1236" w:type="dxa"/>
            <w:noWrap w:val="0"/>
            <w:vAlign w:val="center"/>
          </w:tcPr>
          <w:p>
            <w:pPr>
              <w:pStyle w:val="73"/>
              <w:rPr>
                <w:rFonts w:ascii="宋体" w:hAnsi="宋体" w:eastAsia="宋体" w:cs="宋体"/>
                <w:color w:val="auto"/>
                <w:sz w:val="24"/>
                <w:szCs w:val="24"/>
                <w:highlight w:val="none"/>
              </w:rPr>
            </w:pPr>
          </w:p>
        </w:tc>
        <w:tc>
          <w:tcPr>
            <w:tcW w:w="2237" w:type="dxa"/>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1872" w:type="dxa"/>
            <w:noWrap w:val="0"/>
            <w:vAlign w:val="center"/>
          </w:tcPr>
          <w:p>
            <w:pPr>
              <w:jc w:val="center"/>
              <w:rPr>
                <w:rFonts w:ascii="宋体" w:hAnsi="宋体" w:eastAsia="宋体" w:cs="宋体"/>
                <w:color w:val="auto"/>
                <w:sz w:val="24"/>
                <w:highlight w:val="none"/>
              </w:rPr>
            </w:pPr>
          </w:p>
        </w:tc>
        <w:tc>
          <w:tcPr>
            <w:tcW w:w="2819" w:type="dxa"/>
            <w:noWrap w:val="0"/>
            <w:vAlign w:val="center"/>
          </w:tcPr>
          <w:p>
            <w:pPr>
              <w:jc w:val="center"/>
              <w:rPr>
                <w:rFonts w:ascii="宋体" w:hAnsi="宋体" w:eastAsia="宋体" w:cs="宋体"/>
                <w:color w:val="auto"/>
                <w:sz w:val="24"/>
                <w:highlight w:val="none"/>
              </w:rPr>
            </w:pPr>
          </w:p>
        </w:tc>
        <w:tc>
          <w:tcPr>
            <w:tcW w:w="1236" w:type="dxa"/>
            <w:noWrap w:val="0"/>
            <w:vAlign w:val="center"/>
          </w:tcPr>
          <w:p>
            <w:pPr>
              <w:jc w:val="center"/>
              <w:rPr>
                <w:rFonts w:ascii="宋体" w:hAnsi="宋体" w:eastAsia="宋体" w:cs="宋体"/>
                <w:color w:val="auto"/>
                <w:sz w:val="24"/>
                <w:highlight w:val="none"/>
              </w:rPr>
            </w:pPr>
          </w:p>
        </w:tc>
        <w:tc>
          <w:tcPr>
            <w:tcW w:w="2237" w:type="dxa"/>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1872" w:type="dxa"/>
            <w:noWrap w:val="0"/>
            <w:vAlign w:val="center"/>
          </w:tcPr>
          <w:p>
            <w:pPr>
              <w:jc w:val="center"/>
              <w:rPr>
                <w:rFonts w:ascii="宋体" w:hAnsi="宋体" w:eastAsia="宋体" w:cs="宋体"/>
                <w:color w:val="auto"/>
                <w:sz w:val="24"/>
                <w:highlight w:val="none"/>
              </w:rPr>
            </w:pPr>
          </w:p>
        </w:tc>
        <w:tc>
          <w:tcPr>
            <w:tcW w:w="2819" w:type="dxa"/>
            <w:noWrap w:val="0"/>
            <w:vAlign w:val="center"/>
          </w:tcPr>
          <w:p>
            <w:pPr>
              <w:jc w:val="center"/>
              <w:rPr>
                <w:rFonts w:ascii="宋体" w:hAnsi="宋体" w:eastAsia="宋体" w:cs="宋体"/>
                <w:color w:val="auto"/>
                <w:sz w:val="24"/>
                <w:highlight w:val="none"/>
              </w:rPr>
            </w:pPr>
          </w:p>
        </w:tc>
        <w:tc>
          <w:tcPr>
            <w:tcW w:w="1236" w:type="dxa"/>
            <w:noWrap w:val="0"/>
            <w:vAlign w:val="center"/>
          </w:tcPr>
          <w:p>
            <w:pPr>
              <w:jc w:val="center"/>
              <w:rPr>
                <w:rFonts w:ascii="宋体" w:hAnsi="宋体" w:eastAsia="宋体" w:cs="宋体"/>
                <w:color w:val="auto"/>
                <w:sz w:val="24"/>
                <w:highlight w:val="none"/>
              </w:rPr>
            </w:pPr>
          </w:p>
        </w:tc>
        <w:tc>
          <w:tcPr>
            <w:tcW w:w="2237" w:type="dxa"/>
            <w:noWrap w:val="0"/>
            <w:vAlign w:val="center"/>
          </w:tcPr>
          <w:p>
            <w:pPr>
              <w:jc w:val="center"/>
              <w:rPr>
                <w:rFonts w:ascii="宋体" w:hAnsi="宋体" w:eastAsia="宋体" w:cs="宋体"/>
                <w:color w:val="auto"/>
                <w:sz w:val="24"/>
                <w:highlight w:val="none"/>
              </w:rPr>
            </w:pPr>
          </w:p>
        </w:tc>
      </w:tr>
    </w:tbl>
    <w:p>
      <w:pPr>
        <w:adjustRightInd w:val="0"/>
        <w:snapToGrid w:val="0"/>
        <w:spacing w:line="360" w:lineRule="auto"/>
        <w:ind w:left="-420" w:leftChars="-200"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注：</w:t>
      </w:r>
    </w:p>
    <w:p>
      <w:pPr>
        <w:numPr>
          <w:ilvl w:val="0"/>
          <w:numId w:val="73"/>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业绩是必须以投标人名义承接的项目。</w:t>
      </w:r>
    </w:p>
    <w:p>
      <w:pPr>
        <w:numPr>
          <w:ilvl w:val="0"/>
          <w:numId w:val="73"/>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投标人按照《商务评审表》要求提供相关证明材料。</w:t>
      </w:r>
    </w:p>
    <w:p>
      <w:pPr>
        <w:rPr>
          <w:rFonts w:ascii="仿宋_GB2312" w:hAnsi="仿宋" w:eastAsia="仿宋_GB2312"/>
          <w:color w:val="auto"/>
          <w:highlight w:val="none"/>
        </w:rPr>
      </w:pPr>
    </w:p>
    <w:p>
      <w:pPr>
        <w:rPr>
          <w:rFonts w:ascii="仿宋_GB2312" w:hAnsi="仿宋" w:eastAsia="仿宋_GB2312"/>
          <w:color w:val="auto"/>
          <w:highlight w:val="none"/>
        </w:rPr>
      </w:pPr>
    </w:p>
    <w:p>
      <w:pPr>
        <w:rPr>
          <w:rFonts w:ascii="仿宋_GB2312" w:hAnsi="仿宋" w:eastAsia="仿宋_GB2312"/>
          <w:color w:val="auto"/>
          <w:highlight w:val="none"/>
        </w:rPr>
      </w:pPr>
    </w:p>
    <w:p>
      <w:pPr>
        <w:pStyle w:val="68"/>
        <w:rPr>
          <w:rFonts w:ascii="仿宋_GB2312" w:hAnsi="仿宋" w:eastAsia="仿宋_GB2312"/>
          <w:color w:val="auto"/>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r>
        <w:rPr>
          <w:rFonts w:hint="eastAsia" w:ascii="宋体" w:hAnsi="宋体" w:eastAsia="宋体" w:cs="宋体"/>
          <w:color w:val="auto"/>
          <w:sz w:val="24"/>
          <w:highlight w:val="none"/>
        </w:rPr>
        <w:t>日期：   年   月   日</w:t>
      </w:r>
    </w:p>
    <w:p>
      <w:pPr>
        <w:numPr>
          <w:ilvl w:val="0"/>
          <w:numId w:val="71"/>
        </w:numPr>
        <w:spacing w:before="72" w:after="72" w:line="360" w:lineRule="auto"/>
        <w:jc w:val="center"/>
        <w:rPr>
          <w:rFonts w:ascii="宋体" w:hAnsi="宋体" w:eastAsia="宋体" w:cs="宋体"/>
          <w:b/>
          <w:color w:val="auto"/>
          <w:kern w:val="44"/>
          <w:sz w:val="30"/>
          <w:szCs w:val="30"/>
          <w:highlight w:val="none"/>
          <w:lang w:val="en-GB"/>
        </w:rPr>
      </w:pPr>
      <w:r>
        <w:rPr>
          <w:rFonts w:hint="eastAsia" w:ascii="宋体" w:hAnsi="宋体" w:eastAsia="宋体" w:cs="宋体"/>
          <w:b/>
          <w:color w:val="auto"/>
          <w:kern w:val="44"/>
          <w:sz w:val="30"/>
          <w:szCs w:val="30"/>
          <w:highlight w:val="none"/>
          <w:lang w:val="en-GB"/>
        </w:rPr>
        <w:t>其它重要事项说明及承诺</w:t>
      </w:r>
    </w:p>
    <w:p>
      <w:pPr>
        <w:pStyle w:val="68"/>
        <w:adjustRightInd w:val="0"/>
        <w:snapToGrid w:val="0"/>
        <w:spacing w:before="0" w:after="0" w:line="360" w:lineRule="auto"/>
        <w:ind w:firstLine="5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说明：《商务评审表》中要求提供的其他材料。</w:t>
      </w:r>
    </w:p>
    <w:p>
      <w:pPr>
        <w:pStyle w:val="68"/>
        <w:adjustRightInd w:val="0"/>
        <w:snapToGrid w:val="0"/>
        <w:spacing w:before="0" w:after="0" w:line="360" w:lineRule="auto"/>
        <w:ind w:firstLine="520" w:firstLineChars="200"/>
        <w:rPr>
          <w:rFonts w:ascii="宋体" w:hAnsi="宋体" w:eastAsia="宋体" w:cs="宋体"/>
          <w:color w:val="auto"/>
          <w:szCs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widowControl/>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pStyle w:val="5"/>
        <w:numPr>
          <w:ilvl w:val="0"/>
          <w:numId w:val="70"/>
        </w:numPr>
        <w:jc w:val="center"/>
        <w:rPr>
          <w:color w:val="auto"/>
          <w:highlight w:val="none"/>
        </w:rPr>
      </w:pPr>
      <w:bookmarkStart w:id="466" w:name="_Toc483642774"/>
      <w:bookmarkStart w:id="467" w:name="_Toc18329"/>
      <w:bookmarkStart w:id="468" w:name="_Toc30607"/>
      <w:bookmarkStart w:id="469" w:name="_Toc4891"/>
      <w:r>
        <w:rPr>
          <w:rFonts w:hint="eastAsia"/>
          <w:color w:val="auto"/>
          <w:highlight w:val="none"/>
        </w:rPr>
        <w:t>规章管理制度一览表</w:t>
      </w:r>
      <w:bookmarkEnd w:id="466"/>
      <w:bookmarkEnd w:id="467"/>
      <w:bookmarkEnd w:id="468"/>
      <w:bookmarkEnd w:id="469"/>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4225"/>
        <w:gridCol w:w="1694"/>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 号</w:t>
            </w:r>
          </w:p>
        </w:tc>
        <w:tc>
          <w:tcPr>
            <w:tcW w:w="2479" w:type="pct"/>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相关规章管理制度名称</w:t>
            </w:r>
          </w:p>
        </w:tc>
        <w:tc>
          <w:tcPr>
            <w:tcW w:w="994" w:type="pct"/>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开始执行时间</w:t>
            </w:r>
          </w:p>
        </w:tc>
        <w:tc>
          <w:tcPr>
            <w:tcW w:w="750" w:type="pct"/>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9</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10</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11</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12</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5" w:type="pct"/>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2479" w:type="pct"/>
            <w:noWrap w:val="0"/>
            <w:vAlign w:val="center"/>
          </w:tcPr>
          <w:p>
            <w:pPr>
              <w:jc w:val="center"/>
              <w:rPr>
                <w:rFonts w:ascii="宋体" w:hAnsi="宋体" w:eastAsia="宋体" w:cs="宋体"/>
                <w:color w:val="auto"/>
                <w:sz w:val="24"/>
                <w:highlight w:val="none"/>
              </w:rPr>
            </w:pPr>
          </w:p>
        </w:tc>
        <w:tc>
          <w:tcPr>
            <w:tcW w:w="994" w:type="pct"/>
            <w:noWrap w:val="0"/>
            <w:vAlign w:val="center"/>
          </w:tcPr>
          <w:p>
            <w:pPr>
              <w:jc w:val="center"/>
              <w:rPr>
                <w:rFonts w:ascii="宋体" w:hAnsi="宋体" w:eastAsia="宋体" w:cs="宋体"/>
                <w:color w:val="auto"/>
                <w:sz w:val="24"/>
                <w:highlight w:val="none"/>
              </w:rPr>
            </w:pPr>
          </w:p>
        </w:tc>
        <w:tc>
          <w:tcPr>
            <w:tcW w:w="750" w:type="pct"/>
            <w:noWrap w:val="0"/>
            <w:vAlign w:val="center"/>
          </w:tcPr>
          <w:p>
            <w:pPr>
              <w:jc w:val="center"/>
              <w:rPr>
                <w:rFonts w:ascii="宋体" w:hAnsi="宋体" w:eastAsia="宋体" w:cs="宋体"/>
                <w:color w:val="auto"/>
                <w:sz w:val="24"/>
                <w:highlight w:val="none"/>
              </w:rPr>
            </w:pPr>
          </w:p>
        </w:tc>
      </w:tr>
    </w:tbl>
    <w:p>
      <w:pPr>
        <w:pStyle w:val="68"/>
        <w:adjustRightInd w:val="0"/>
        <w:snapToGrid w:val="0"/>
        <w:spacing w:before="0" w:after="0" w:line="360" w:lineRule="auto"/>
        <w:ind w:right="-512" w:rightChars="-244" w:firstLine="52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注：所列制度均为目前仍在执行的制度，包括质量保证体系和操作管理制度等</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提供复印件并加盖公章。</w:t>
      </w: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5"/>
        <w:numPr>
          <w:ilvl w:val="0"/>
          <w:numId w:val="70"/>
        </w:numPr>
        <w:jc w:val="center"/>
        <w:rPr>
          <w:color w:val="auto"/>
          <w:highlight w:val="none"/>
        </w:rPr>
      </w:pPr>
      <w:bookmarkStart w:id="470" w:name="_Toc483642775"/>
      <w:bookmarkStart w:id="471" w:name="_Toc4293"/>
      <w:bookmarkStart w:id="472" w:name="_Toc18429"/>
      <w:bookmarkStart w:id="473" w:name="_Toc19675"/>
      <w:r>
        <w:rPr>
          <w:rFonts w:hint="eastAsia"/>
          <w:color w:val="auto"/>
          <w:highlight w:val="none"/>
        </w:rPr>
        <w:t>商务条款响应一览表</w:t>
      </w:r>
      <w:bookmarkEnd w:id="470"/>
      <w:bookmarkEnd w:id="471"/>
      <w:bookmarkEnd w:id="472"/>
      <w:bookmarkEnd w:id="473"/>
    </w:p>
    <w:p>
      <w:pPr>
        <w:numPr>
          <w:ilvl w:val="0"/>
          <w:numId w:val="74"/>
        </w:numPr>
        <w:spacing w:before="72" w:after="72" w:line="360" w:lineRule="auto"/>
        <w:jc w:val="center"/>
        <w:outlineLvl w:val="2"/>
        <w:rPr>
          <w:rFonts w:ascii="宋体" w:hAnsi="宋体" w:eastAsia="宋体" w:cs="宋体"/>
          <w:b/>
          <w:color w:val="auto"/>
          <w:kern w:val="44"/>
          <w:sz w:val="30"/>
          <w:szCs w:val="30"/>
          <w:highlight w:val="none"/>
          <w:lang w:val="en-GB"/>
        </w:rPr>
      </w:pPr>
      <w:bookmarkStart w:id="474" w:name="_Toc517"/>
      <w:bookmarkStart w:id="475" w:name="_Toc6340"/>
      <w:bookmarkStart w:id="476" w:name="_Toc20117"/>
      <w:r>
        <w:rPr>
          <w:rFonts w:hint="eastAsia" w:ascii="宋体" w:hAnsi="宋体" w:eastAsia="宋体" w:cs="宋体"/>
          <w:b/>
          <w:color w:val="auto"/>
          <w:kern w:val="44"/>
          <w:sz w:val="30"/>
          <w:szCs w:val="30"/>
          <w:highlight w:val="none"/>
          <w:lang w:val="en-GB"/>
        </w:rPr>
        <w:t>实质性商务条款（“★”项）响应表（如有）</w:t>
      </w:r>
      <w:bookmarkEnd w:id="474"/>
      <w:bookmarkEnd w:id="475"/>
      <w:bookmarkEnd w:id="476"/>
    </w:p>
    <w:tbl>
      <w:tblPr>
        <w:tblStyle w:val="41"/>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4689"/>
        <w:gridCol w:w="122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4689"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实质性响应商务条款要求</w:t>
            </w:r>
          </w:p>
        </w:tc>
        <w:tc>
          <w:tcPr>
            <w:tcW w:w="1222"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是否响应</w:t>
            </w:r>
          </w:p>
        </w:tc>
        <w:tc>
          <w:tcPr>
            <w:tcW w:w="1471" w:type="dxa"/>
            <w:shd w:val="clear" w:color="auto" w:fill="EAEAEA"/>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pStyle w:val="70"/>
              <w:keepNext w:val="0"/>
              <w:adjustRightInd/>
              <w:spacing w:line="240" w:lineRule="auto"/>
              <w:textAlignment w:val="auto"/>
              <w:rPr>
                <w:rFonts w:ascii="宋体" w:hAnsi="宋体" w:eastAsia="宋体" w:cs="宋体"/>
                <w:snapToGrid/>
                <w:color w:val="auto"/>
                <w:spacing w:val="0"/>
                <w:kern w:val="2"/>
                <w:szCs w:val="24"/>
                <w:highlight w:val="none"/>
              </w:rPr>
            </w:pPr>
          </w:p>
        </w:tc>
        <w:tc>
          <w:tcPr>
            <w:tcW w:w="1471" w:type="dxa"/>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pStyle w:val="70"/>
              <w:keepNext w:val="0"/>
              <w:adjustRightInd/>
              <w:spacing w:line="240" w:lineRule="auto"/>
              <w:textAlignment w:val="auto"/>
              <w:rPr>
                <w:rFonts w:ascii="宋体" w:hAnsi="宋体" w:eastAsia="宋体" w:cs="宋体"/>
                <w:snapToGrid/>
                <w:color w:val="auto"/>
                <w:spacing w:val="0"/>
                <w:kern w:val="2"/>
                <w:szCs w:val="24"/>
                <w:highlight w:val="none"/>
              </w:rPr>
            </w:pPr>
          </w:p>
        </w:tc>
        <w:tc>
          <w:tcPr>
            <w:tcW w:w="1471" w:type="dxa"/>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jc w:val="center"/>
              <w:rPr>
                <w:rFonts w:ascii="宋体" w:hAnsi="宋体" w:eastAsia="宋体" w:cs="宋体"/>
                <w:color w:val="auto"/>
                <w:sz w:val="24"/>
                <w:highlight w:val="none"/>
              </w:rPr>
            </w:pPr>
          </w:p>
        </w:tc>
        <w:tc>
          <w:tcPr>
            <w:tcW w:w="1471" w:type="dxa"/>
            <w:noWrap w:val="0"/>
            <w:vAlign w:val="center"/>
          </w:tcPr>
          <w:p>
            <w:pPr>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jc w:val="center"/>
              <w:rPr>
                <w:rFonts w:ascii="宋体" w:hAnsi="宋体" w:eastAsia="宋体" w:cs="宋体"/>
                <w:color w:val="auto"/>
                <w:sz w:val="24"/>
                <w:highlight w:val="none"/>
              </w:rPr>
            </w:pPr>
          </w:p>
        </w:tc>
        <w:tc>
          <w:tcPr>
            <w:tcW w:w="1471" w:type="dxa"/>
            <w:noWrap w:val="0"/>
            <w:vAlign w:val="center"/>
          </w:tcPr>
          <w:p>
            <w:pPr>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i/>
                <w:iCs/>
                <w:color w:val="auto"/>
                <w:sz w:val="24"/>
                <w:highlight w:val="none"/>
              </w:rPr>
            </w:pPr>
          </w:p>
        </w:tc>
        <w:tc>
          <w:tcPr>
            <w:tcW w:w="1222" w:type="dxa"/>
            <w:noWrap w:val="0"/>
            <w:vAlign w:val="center"/>
          </w:tcPr>
          <w:p>
            <w:pPr>
              <w:jc w:val="center"/>
              <w:rPr>
                <w:rFonts w:ascii="宋体" w:hAnsi="宋体" w:eastAsia="宋体" w:cs="宋体"/>
                <w:color w:val="auto"/>
                <w:sz w:val="24"/>
                <w:highlight w:val="none"/>
              </w:rPr>
            </w:pPr>
          </w:p>
        </w:tc>
        <w:tc>
          <w:tcPr>
            <w:tcW w:w="1471" w:type="dxa"/>
            <w:noWrap w:val="0"/>
            <w:vAlign w:val="center"/>
          </w:tcPr>
          <w:p>
            <w:pPr>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jc w:val="center"/>
              <w:rPr>
                <w:rFonts w:ascii="宋体" w:hAnsi="宋体" w:eastAsia="宋体" w:cs="宋体"/>
                <w:color w:val="auto"/>
                <w:sz w:val="24"/>
                <w:highlight w:val="none"/>
              </w:rPr>
            </w:pPr>
          </w:p>
        </w:tc>
        <w:tc>
          <w:tcPr>
            <w:tcW w:w="1471" w:type="dxa"/>
            <w:noWrap w:val="0"/>
            <w:vAlign w:val="center"/>
          </w:tcPr>
          <w:p>
            <w:pPr>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jc w:val="center"/>
              <w:rPr>
                <w:rFonts w:ascii="宋体" w:hAnsi="宋体" w:eastAsia="宋体" w:cs="宋体"/>
                <w:color w:val="auto"/>
                <w:sz w:val="24"/>
                <w:highlight w:val="none"/>
              </w:rPr>
            </w:pPr>
          </w:p>
        </w:tc>
        <w:tc>
          <w:tcPr>
            <w:tcW w:w="1471" w:type="dxa"/>
            <w:noWrap w:val="0"/>
            <w:vAlign w:val="center"/>
          </w:tcPr>
          <w:p>
            <w:pPr>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 w:type="dxa"/>
            <w:noWrap w:val="0"/>
            <w:vAlign w:val="center"/>
          </w:tcPr>
          <w:p>
            <w:pPr>
              <w:rPr>
                <w:rFonts w:ascii="宋体" w:hAnsi="宋体" w:eastAsia="宋体" w:cs="宋体"/>
                <w:color w:val="auto"/>
                <w:sz w:val="24"/>
                <w:highlight w:val="none"/>
              </w:rPr>
            </w:pPr>
          </w:p>
        </w:tc>
        <w:tc>
          <w:tcPr>
            <w:tcW w:w="4689" w:type="dxa"/>
            <w:noWrap w:val="0"/>
            <w:vAlign w:val="center"/>
          </w:tcPr>
          <w:p>
            <w:pPr>
              <w:rPr>
                <w:rFonts w:ascii="宋体" w:hAnsi="宋体" w:eastAsia="宋体" w:cs="宋体"/>
                <w:color w:val="auto"/>
                <w:sz w:val="24"/>
                <w:highlight w:val="none"/>
              </w:rPr>
            </w:pPr>
          </w:p>
        </w:tc>
        <w:tc>
          <w:tcPr>
            <w:tcW w:w="1222" w:type="dxa"/>
            <w:noWrap w:val="0"/>
            <w:vAlign w:val="center"/>
          </w:tcPr>
          <w:p>
            <w:pPr>
              <w:jc w:val="center"/>
              <w:rPr>
                <w:rFonts w:ascii="宋体" w:hAnsi="宋体" w:eastAsia="宋体" w:cs="宋体"/>
                <w:color w:val="auto"/>
                <w:sz w:val="24"/>
                <w:highlight w:val="none"/>
              </w:rPr>
            </w:pPr>
          </w:p>
        </w:tc>
        <w:tc>
          <w:tcPr>
            <w:tcW w:w="1471" w:type="dxa"/>
            <w:noWrap w:val="0"/>
            <w:vAlign w:val="center"/>
          </w:tcPr>
          <w:p>
            <w:pPr>
              <w:pStyle w:val="70"/>
              <w:keepNext w:val="0"/>
              <w:adjustRightInd/>
              <w:spacing w:line="240" w:lineRule="auto"/>
              <w:textAlignment w:val="auto"/>
              <w:rPr>
                <w:rFonts w:ascii="宋体" w:hAnsi="宋体" w:eastAsia="宋体" w:cs="宋体"/>
                <w:snapToGrid/>
                <w:color w:val="auto"/>
                <w:spacing w:val="0"/>
                <w:kern w:val="2"/>
                <w:szCs w:val="24"/>
                <w:highlight w:val="none"/>
              </w:rPr>
            </w:pPr>
          </w:p>
        </w:tc>
      </w:tr>
    </w:tbl>
    <w:p>
      <w:pPr>
        <w:spacing w:line="360" w:lineRule="auto"/>
        <w:ind w:left="795" w:leftChars="150" w:hanging="480" w:hangingChars="200"/>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注：</w:t>
      </w:r>
    </w:p>
    <w:p>
      <w:pPr>
        <w:numPr>
          <w:ilvl w:val="0"/>
          <w:numId w:val="75"/>
        </w:numPr>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GB"/>
        </w:rPr>
        <w:t>于上述要求，如投标人完全响应，则请在“是否响应”栏内打“√”，对空白或打“×”视为偏离，请在“偏离说明”栏内扼要说明偏离情况。</w:t>
      </w:r>
    </w:p>
    <w:p>
      <w:pPr>
        <w:numPr>
          <w:ilvl w:val="0"/>
          <w:numId w:val="75"/>
        </w:numPr>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此表内容必须与实施方案中所介绍的内容一致，打“</w:t>
      </w:r>
      <w:r>
        <w:rPr>
          <w:rFonts w:hint="eastAsia" w:ascii="宋体" w:hAnsi="宋体" w:eastAsia="宋体" w:cs="宋体"/>
          <w:b/>
          <w:color w:val="auto"/>
          <w:kern w:val="44"/>
          <w:sz w:val="30"/>
          <w:szCs w:val="30"/>
          <w:highlight w:val="none"/>
          <w:lang w:val="en-GB"/>
        </w:rPr>
        <w:t>★</w:t>
      </w:r>
      <w:r>
        <w:rPr>
          <w:rFonts w:hint="eastAsia" w:ascii="宋体" w:hAnsi="宋体" w:eastAsia="宋体" w:cs="宋体"/>
          <w:color w:val="auto"/>
          <w:sz w:val="24"/>
          <w:highlight w:val="none"/>
          <w:lang w:val="en-GB"/>
        </w:rPr>
        <w:t>”项为不可负偏离</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GB"/>
        </w:rPr>
        <w:t>劣于</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GB"/>
        </w:rPr>
        <w:t>的重要项。</w:t>
      </w:r>
    </w:p>
    <w:p>
      <w:pPr>
        <w:numPr>
          <w:ilvl w:val="0"/>
          <w:numId w:val="75"/>
        </w:numPr>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本表内容不得擅自修改。</w:t>
      </w:r>
    </w:p>
    <w:p>
      <w:pPr>
        <w:spacing w:line="360" w:lineRule="auto"/>
        <w:ind w:firstLine="720" w:firstLineChars="300"/>
        <w:rPr>
          <w:rFonts w:ascii="宋体" w:hAnsi="宋体" w:eastAsia="宋体" w:cs="宋体"/>
          <w:color w:val="auto"/>
          <w:sz w:val="24"/>
          <w:highlight w:val="none"/>
          <w:lang w:val="en-GB"/>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before="72" w:after="72" w:line="400" w:lineRule="exact"/>
        <w:ind w:firstLine="3578" w:firstLineChars="1491"/>
        <w:rPr>
          <w:rFonts w:ascii="宋体" w:hAnsi="宋体" w:eastAsia="宋体" w:cs="宋体"/>
          <w:color w:val="auto"/>
          <w:sz w:val="24"/>
          <w:highlight w:val="none"/>
        </w:rPr>
      </w:pP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p>
    <w:p>
      <w:pPr>
        <w:numPr>
          <w:ilvl w:val="0"/>
          <w:numId w:val="74"/>
        </w:numPr>
        <w:spacing w:before="72" w:after="72" w:line="360" w:lineRule="auto"/>
        <w:jc w:val="center"/>
        <w:outlineLvl w:val="2"/>
        <w:rPr>
          <w:rFonts w:ascii="宋体" w:hAnsi="宋体" w:eastAsia="宋体" w:cs="宋体"/>
          <w:b/>
          <w:color w:val="auto"/>
          <w:kern w:val="44"/>
          <w:sz w:val="30"/>
          <w:szCs w:val="30"/>
          <w:highlight w:val="none"/>
          <w:lang w:val="en-GB"/>
        </w:rPr>
      </w:pPr>
      <w:bookmarkStart w:id="477" w:name="_Toc23690"/>
      <w:bookmarkStart w:id="478" w:name="_Toc423021966"/>
      <w:bookmarkStart w:id="479" w:name="_Toc8327"/>
      <w:bookmarkStart w:id="480" w:name="_Toc23145"/>
      <w:bookmarkStart w:id="481" w:name="_Toc381489439"/>
      <w:bookmarkStart w:id="482" w:name="_Toc27468"/>
      <w:bookmarkStart w:id="483" w:name="_Toc24681"/>
      <w:r>
        <w:rPr>
          <w:rFonts w:hint="eastAsia" w:ascii="宋体" w:hAnsi="宋体" w:eastAsia="宋体" w:cs="宋体"/>
          <w:b/>
          <w:color w:val="auto"/>
          <w:kern w:val="44"/>
          <w:sz w:val="30"/>
          <w:szCs w:val="30"/>
          <w:highlight w:val="none"/>
          <w:lang w:val="en-GB"/>
        </w:rPr>
        <w:t>一般商务条款响应表</w:t>
      </w:r>
      <w:bookmarkEnd w:id="477"/>
      <w:bookmarkEnd w:id="478"/>
      <w:bookmarkEnd w:id="479"/>
      <w:bookmarkEnd w:id="480"/>
      <w:bookmarkEnd w:id="481"/>
      <w:bookmarkEnd w:id="482"/>
      <w:bookmarkEnd w:id="483"/>
    </w:p>
    <w:tbl>
      <w:tblPr>
        <w:tblStyle w:val="41"/>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noWrap w:val="0"/>
            <w:vAlign w:val="center"/>
          </w:tcPr>
          <w:p>
            <w:pPr>
              <w:adjustRightInd w:val="0"/>
              <w:snapToGrid w:val="0"/>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6378" w:type="dxa"/>
            <w:shd w:val="clear" w:color="auto" w:fill="EAEAEA"/>
            <w:noWrap w:val="0"/>
            <w:vAlign w:val="center"/>
          </w:tcPr>
          <w:p>
            <w:pPr>
              <w:adjustRightInd w:val="0"/>
              <w:snapToGrid w:val="0"/>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商务条款要求</w:t>
            </w:r>
          </w:p>
        </w:tc>
        <w:tc>
          <w:tcPr>
            <w:tcW w:w="761" w:type="dxa"/>
            <w:shd w:val="clear" w:color="auto" w:fill="EAEAEA"/>
            <w:noWrap w:val="0"/>
            <w:vAlign w:val="center"/>
          </w:tcPr>
          <w:p>
            <w:pPr>
              <w:adjustRightInd w:val="0"/>
              <w:snapToGrid w:val="0"/>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是否响应</w:t>
            </w:r>
          </w:p>
        </w:tc>
        <w:tc>
          <w:tcPr>
            <w:tcW w:w="927" w:type="dxa"/>
            <w:shd w:val="clear" w:color="auto" w:fill="EAEAEA"/>
            <w:noWrap w:val="0"/>
            <w:vAlign w:val="center"/>
          </w:tcPr>
          <w:p>
            <w:pPr>
              <w:adjustRightInd w:val="0"/>
              <w:snapToGrid w:val="0"/>
              <w:spacing w:before="72" w:after="72"/>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完全理解并接受合同条款要求</w:t>
            </w:r>
          </w:p>
        </w:tc>
        <w:tc>
          <w:tcPr>
            <w:tcW w:w="761" w:type="dxa"/>
            <w:noWrap w:val="0"/>
            <w:vAlign w:val="center"/>
          </w:tcPr>
          <w:p>
            <w:pPr>
              <w:pStyle w:val="70"/>
              <w:keepNext w:val="0"/>
              <w:snapToGrid w:val="0"/>
              <w:spacing w:line="440" w:lineRule="exact"/>
              <w:textAlignment w:val="auto"/>
              <w:rPr>
                <w:rFonts w:ascii="宋体" w:hAnsi="宋体" w:eastAsia="宋体" w:cs="宋体"/>
                <w:snapToGrid/>
                <w:color w:val="auto"/>
                <w:spacing w:val="0"/>
                <w:kern w:val="2"/>
                <w:szCs w:val="24"/>
                <w:highlight w:val="none"/>
              </w:rPr>
            </w:pPr>
          </w:p>
        </w:tc>
        <w:tc>
          <w:tcPr>
            <w:tcW w:w="927" w:type="dxa"/>
            <w:noWrap w:val="0"/>
            <w:vAlign w:val="center"/>
          </w:tcPr>
          <w:p>
            <w:pPr>
              <w:adjustRightInd w:val="0"/>
              <w:snapToGrid w:val="0"/>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完全理解并接受对合格投标人、合格的服务要求</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adjustRightInd w:val="0"/>
              <w:snapToGrid w:val="0"/>
              <w:spacing w:line="440" w:lineRule="exact"/>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完全理解并接受对投标人的各项须知、规约要求和责任义务</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adjustRightInd w:val="0"/>
              <w:snapToGrid w:val="0"/>
              <w:spacing w:line="440" w:lineRule="exact"/>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投标有效期：投标有效期为自递交投标文件起至确定正式中标人止不少于</w:t>
            </w:r>
            <w:r>
              <w:rPr>
                <w:rFonts w:hint="eastAsia" w:ascii="宋体" w:hAnsi="宋体" w:eastAsia="宋体" w:cs="宋体"/>
                <w:color w:val="auto"/>
                <w:sz w:val="24"/>
                <w:highlight w:val="none"/>
                <w:u w:val="single"/>
              </w:rPr>
              <w:t xml:space="preserve">90 </w:t>
            </w:r>
            <w:r>
              <w:rPr>
                <w:rFonts w:hint="eastAsia" w:ascii="宋体" w:hAnsi="宋体" w:eastAsia="宋体" w:cs="宋体"/>
                <w:color w:val="auto"/>
                <w:sz w:val="24"/>
                <w:highlight w:val="none"/>
              </w:rPr>
              <w:t>天，中标单位有效期至项目验收之日</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adjustRightInd w:val="0"/>
              <w:snapToGrid w:val="0"/>
              <w:spacing w:line="440" w:lineRule="exact"/>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报价内容均涵盖报价要求之一切费用和伴随服务</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adjustRightInd w:val="0"/>
              <w:snapToGrid w:val="0"/>
              <w:spacing w:line="440" w:lineRule="exact"/>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所提供的报价不高于本公司目前的报价水平</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adjustRightInd w:val="0"/>
              <w:snapToGrid w:val="0"/>
              <w:spacing w:line="440" w:lineRule="exact"/>
              <w:ind w:right="-35"/>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满足对售后服务的各项要求，在设有已注册（或合作代理）的售后服务营业性机构</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adjustRightInd w:val="0"/>
              <w:snapToGrid w:val="0"/>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8</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lang w:val="en-GB"/>
              </w:rPr>
              <w:t>同意接受合同范本所列述的各项条款</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lang w:val="en-GB"/>
              </w:rPr>
            </w:pPr>
          </w:p>
        </w:tc>
        <w:tc>
          <w:tcPr>
            <w:tcW w:w="927" w:type="dxa"/>
            <w:noWrap w:val="0"/>
            <w:vAlign w:val="center"/>
          </w:tcPr>
          <w:p>
            <w:pPr>
              <w:adjustRightInd w:val="0"/>
              <w:snapToGrid w:val="0"/>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9</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同意按本项目要求缴付相关款项</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pStyle w:val="70"/>
              <w:keepNext w:val="0"/>
              <w:snapToGrid w:val="0"/>
              <w:spacing w:line="440" w:lineRule="exact"/>
              <w:textAlignment w:val="auto"/>
              <w:rPr>
                <w:rFonts w:ascii="宋体" w:hAnsi="宋体" w:eastAsia="宋体" w:cs="宋体"/>
                <w:snapToGrid/>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10</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同意招标人以任何形式对我方投标文件内容的真实性和有效性进行审查、验证</w:t>
            </w:r>
          </w:p>
        </w:tc>
        <w:tc>
          <w:tcPr>
            <w:tcW w:w="761" w:type="dxa"/>
            <w:noWrap w:val="0"/>
            <w:vAlign w:val="center"/>
          </w:tcPr>
          <w:p>
            <w:pPr>
              <w:adjustRightInd w:val="0"/>
              <w:snapToGrid w:val="0"/>
              <w:spacing w:line="440" w:lineRule="exact"/>
              <w:jc w:val="center"/>
              <w:rPr>
                <w:rFonts w:ascii="宋体" w:hAnsi="宋体" w:eastAsia="宋体" w:cs="宋体"/>
                <w:color w:val="auto"/>
                <w:sz w:val="24"/>
                <w:highlight w:val="none"/>
              </w:rPr>
            </w:pPr>
          </w:p>
        </w:tc>
        <w:tc>
          <w:tcPr>
            <w:tcW w:w="927" w:type="dxa"/>
            <w:noWrap w:val="0"/>
            <w:vAlign w:val="center"/>
          </w:tcPr>
          <w:p>
            <w:pPr>
              <w:pStyle w:val="70"/>
              <w:keepNext w:val="0"/>
              <w:snapToGrid w:val="0"/>
              <w:spacing w:line="440" w:lineRule="exact"/>
              <w:textAlignment w:val="auto"/>
              <w:rPr>
                <w:rFonts w:ascii="宋体" w:hAnsi="宋体" w:eastAsia="宋体" w:cs="宋体"/>
                <w:snapToGrid/>
                <w:color w:val="auto"/>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noWrap w:val="0"/>
            <w:vAlign w:val="center"/>
          </w:tcPr>
          <w:p>
            <w:pPr>
              <w:adjustRightInd w:val="0"/>
              <w:snapToGrid w:val="0"/>
              <w:spacing w:line="44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11</w:t>
            </w:r>
          </w:p>
        </w:tc>
        <w:tc>
          <w:tcPr>
            <w:tcW w:w="6378" w:type="dxa"/>
            <w:noWrap w:val="0"/>
            <w:vAlign w:val="center"/>
          </w:tcPr>
          <w:p>
            <w:pPr>
              <w:rPr>
                <w:rFonts w:ascii="宋体" w:hAnsi="宋体" w:eastAsia="宋体" w:cs="宋体"/>
                <w:color w:val="auto"/>
                <w:sz w:val="24"/>
                <w:highlight w:val="none"/>
              </w:rPr>
            </w:pPr>
            <w:r>
              <w:rPr>
                <w:rFonts w:hint="eastAsia" w:ascii="宋体" w:hAnsi="宋体" w:eastAsia="宋体" w:cs="宋体"/>
                <w:color w:val="auto"/>
                <w:sz w:val="24"/>
                <w:highlight w:val="none"/>
              </w:rPr>
              <w:t>其它商务条款偏离说明：</w:t>
            </w:r>
          </w:p>
        </w:tc>
        <w:tc>
          <w:tcPr>
            <w:tcW w:w="761" w:type="dxa"/>
            <w:noWrap w:val="0"/>
            <w:vAlign w:val="center"/>
          </w:tcPr>
          <w:p>
            <w:pPr>
              <w:pStyle w:val="71"/>
              <w:adjustRightInd w:val="0"/>
              <w:snapToGrid w:val="0"/>
              <w:spacing w:line="440" w:lineRule="exact"/>
              <w:rPr>
                <w:rFonts w:ascii="宋体" w:hAnsi="宋体" w:eastAsia="宋体" w:cs="宋体"/>
                <w:color w:val="auto"/>
                <w:szCs w:val="24"/>
                <w:highlight w:val="none"/>
              </w:rPr>
            </w:pPr>
          </w:p>
        </w:tc>
        <w:tc>
          <w:tcPr>
            <w:tcW w:w="927" w:type="dxa"/>
            <w:noWrap w:val="0"/>
            <w:vAlign w:val="center"/>
          </w:tcPr>
          <w:p>
            <w:pPr>
              <w:pStyle w:val="70"/>
              <w:keepNext w:val="0"/>
              <w:snapToGrid w:val="0"/>
              <w:spacing w:line="440" w:lineRule="exact"/>
              <w:jc w:val="both"/>
              <w:textAlignment w:val="auto"/>
              <w:rPr>
                <w:rFonts w:ascii="宋体" w:hAnsi="宋体" w:eastAsia="宋体" w:cs="宋体"/>
                <w:snapToGrid/>
                <w:color w:val="auto"/>
                <w:spacing w:val="0"/>
                <w:kern w:val="2"/>
                <w:szCs w:val="24"/>
                <w:highlight w:val="none"/>
              </w:rPr>
            </w:pPr>
          </w:p>
        </w:tc>
      </w:tr>
    </w:tbl>
    <w:p>
      <w:pPr>
        <w:spacing w:line="360" w:lineRule="auto"/>
        <w:ind w:left="840" w:hanging="840" w:hangingChars="350"/>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 xml:space="preserve">注： </w:t>
      </w:r>
    </w:p>
    <w:p>
      <w:pPr>
        <w:numPr>
          <w:ilvl w:val="0"/>
          <w:numId w:val="76"/>
        </w:numPr>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GB"/>
        </w:rPr>
        <w:t>于上述要求，如投标人完全响应，则在“是否响应”栏内打“√”；对空白或打“×”视为偏离，请在“偏离说明”栏内扼要说明偏离情况。</w:t>
      </w:r>
    </w:p>
    <w:p>
      <w:pPr>
        <w:numPr>
          <w:ilvl w:val="0"/>
          <w:numId w:val="76"/>
        </w:numPr>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本表内容不得擅自修改。</w:t>
      </w:r>
    </w:p>
    <w:p>
      <w:pPr>
        <w:adjustRightInd w:val="0"/>
        <w:snapToGrid w:val="0"/>
        <w:spacing w:before="72" w:after="72" w:line="480" w:lineRule="auto"/>
        <w:ind w:firstLine="3578" w:firstLineChars="1491"/>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adjustRightInd w:val="0"/>
        <w:snapToGrid w:val="0"/>
        <w:spacing w:before="72" w:after="72" w:line="480" w:lineRule="auto"/>
        <w:ind w:firstLine="3578" w:firstLineChars="1491"/>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bookmarkStart w:id="484" w:name="_Toc381489443"/>
    </w:p>
    <w:p>
      <w:pPr>
        <w:pStyle w:val="4"/>
        <w:jc w:val="center"/>
        <w:rPr>
          <w:color w:val="auto"/>
          <w:sz w:val="44"/>
          <w:szCs w:val="44"/>
          <w:highlight w:val="none"/>
        </w:rPr>
      </w:pPr>
      <w:bookmarkStart w:id="485" w:name="_Toc27154"/>
      <w:bookmarkStart w:id="486" w:name="_Toc13427"/>
      <w:bookmarkStart w:id="487" w:name="_Toc9199"/>
      <w:bookmarkStart w:id="488" w:name="_Toc30925"/>
      <w:bookmarkStart w:id="489" w:name="_Toc29584"/>
      <w:bookmarkStart w:id="490" w:name="_Toc423021973"/>
      <w:r>
        <w:rPr>
          <w:color w:val="auto"/>
          <w:sz w:val="44"/>
          <w:szCs w:val="44"/>
          <w:highlight w:val="none"/>
        </w:rPr>
        <w:t>第</w:t>
      </w:r>
      <w:r>
        <w:rPr>
          <w:rFonts w:hint="eastAsia"/>
          <w:color w:val="auto"/>
          <w:sz w:val="44"/>
          <w:szCs w:val="44"/>
          <w:highlight w:val="none"/>
        </w:rPr>
        <w:t>四</w:t>
      </w:r>
      <w:r>
        <w:rPr>
          <w:color w:val="auto"/>
          <w:sz w:val="44"/>
          <w:szCs w:val="44"/>
          <w:highlight w:val="none"/>
        </w:rPr>
        <w:t>部分</w:t>
      </w:r>
      <w:r>
        <w:rPr>
          <w:rFonts w:hint="eastAsia"/>
          <w:color w:val="auto"/>
          <w:sz w:val="44"/>
          <w:szCs w:val="44"/>
          <w:highlight w:val="none"/>
        </w:rPr>
        <w:t>技术</w:t>
      </w:r>
      <w:r>
        <w:rPr>
          <w:color w:val="auto"/>
          <w:sz w:val="44"/>
          <w:szCs w:val="44"/>
          <w:highlight w:val="none"/>
        </w:rPr>
        <w:t>文件</w:t>
      </w:r>
      <w:bookmarkEnd w:id="484"/>
      <w:bookmarkEnd w:id="485"/>
      <w:bookmarkEnd w:id="486"/>
      <w:bookmarkEnd w:id="487"/>
      <w:bookmarkEnd w:id="488"/>
      <w:bookmarkEnd w:id="489"/>
      <w:bookmarkEnd w:id="490"/>
    </w:p>
    <w:p>
      <w:pPr>
        <w:rPr>
          <w:color w:val="auto"/>
          <w:highlight w:val="none"/>
        </w:rPr>
      </w:pPr>
    </w:p>
    <w:p>
      <w:pPr>
        <w:pStyle w:val="5"/>
        <w:jc w:val="center"/>
        <w:rPr>
          <w:color w:val="auto"/>
          <w:highlight w:val="none"/>
        </w:rPr>
        <w:sectPr>
          <w:pgSz w:w="11906" w:h="16838"/>
          <w:pgMar w:top="1440" w:right="1800" w:bottom="1440" w:left="1800" w:header="851" w:footer="822" w:gutter="0"/>
          <w:cols w:space="720" w:num="1"/>
          <w:docGrid w:linePitch="312" w:charSpace="0"/>
        </w:sectPr>
      </w:pPr>
      <w:bookmarkStart w:id="491" w:name="_Toc423021974"/>
      <w:bookmarkEnd w:id="491"/>
      <w:bookmarkStart w:id="492" w:name="_Toc381489444"/>
      <w:bookmarkEnd w:id="492"/>
    </w:p>
    <w:p>
      <w:pPr>
        <w:pStyle w:val="5"/>
        <w:numPr>
          <w:ilvl w:val="0"/>
          <w:numId w:val="77"/>
        </w:numPr>
        <w:jc w:val="center"/>
        <w:rPr>
          <w:color w:val="auto"/>
          <w:highlight w:val="none"/>
        </w:rPr>
      </w:pPr>
      <w:bookmarkStart w:id="493" w:name="_Toc27806"/>
      <w:bookmarkStart w:id="494" w:name="_Toc22746"/>
      <w:bookmarkStart w:id="495" w:name="_Toc12296"/>
      <w:bookmarkStart w:id="496" w:name="_Toc14999"/>
      <w:bookmarkStart w:id="497" w:name="_Toc196294636"/>
      <w:r>
        <w:rPr>
          <w:rFonts w:hint="eastAsia"/>
          <w:color w:val="auto"/>
          <w:highlight w:val="none"/>
        </w:rPr>
        <w:t>服务条款响应表</w:t>
      </w:r>
      <w:bookmarkEnd w:id="493"/>
      <w:bookmarkEnd w:id="494"/>
      <w:bookmarkEnd w:id="495"/>
      <w:bookmarkEnd w:id="496"/>
    </w:p>
    <w:p>
      <w:pPr>
        <w:numPr>
          <w:ilvl w:val="0"/>
          <w:numId w:val="78"/>
        </w:numPr>
        <w:spacing w:before="72" w:after="72"/>
        <w:jc w:val="center"/>
        <w:outlineLvl w:val="2"/>
        <w:rPr>
          <w:rFonts w:ascii="宋体" w:hAnsi="宋体" w:eastAsia="宋体" w:cs="宋体"/>
          <w:b/>
          <w:color w:val="auto"/>
          <w:sz w:val="28"/>
          <w:szCs w:val="28"/>
          <w:highlight w:val="none"/>
        </w:rPr>
      </w:pPr>
      <w:bookmarkStart w:id="498" w:name="_Toc24948"/>
      <w:bookmarkStart w:id="499" w:name="_Toc5598"/>
      <w:bookmarkStart w:id="500" w:name="_Toc19880"/>
      <w:bookmarkStart w:id="501" w:name="_Toc6036"/>
      <w:bookmarkStart w:id="502" w:name="_Toc381489446"/>
      <w:r>
        <w:rPr>
          <w:rFonts w:hint="eastAsia" w:ascii="宋体" w:hAnsi="宋体" w:eastAsia="宋体" w:cs="宋体"/>
          <w:b/>
          <w:color w:val="auto"/>
          <w:sz w:val="28"/>
          <w:szCs w:val="28"/>
          <w:highlight w:val="none"/>
        </w:rPr>
        <w:t>实质性服务条款（“</w:t>
      </w:r>
      <w:r>
        <w:rPr>
          <w:rFonts w:hint="eastAsia" w:ascii="宋体" w:hAnsi="宋体" w:eastAsia="宋体" w:cs="宋体"/>
          <w:color w:val="auto"/>
          <w:sz w:val="28"/>
          <w:szCs w:val="28"/>
          <w:highlight w:val="none"/>
          <w:lang w:val="en-GB"/>
        </w:rPr>
        <w:t>★</w:t>
      </w:r>
      <w:r>
        <w:rPr>
          <w:rFonts w:hint="eastAsia" w:ascii="宋体" w:hAnsi="宋体" w:eastAsia="宋体" w:cs="宋体"/>
          <w:b/>
          <w:color w:val="auto"/>
          <w:sz w:val="28"/>
          <w:szCs w:val="28"/>
          <w:highlight w:val="none"/>
        </w:rPr>
        <w:t>”项）响应表（若有）</w:t>
      </w:r>
      <w:bookmarkEnd w:id="498"/>
      <w:bookmarkEnd w:id="499"/>
      <w:bookmarkEnd w:id="500"/>
    </w:p>
    <w:tbl>
      <w:tblPr>
        <w:tblStyle w:val="41"/>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3282"/>
        <w:gridCol w:w="2371"/>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blHeader/>
          <w:jc w:val="center"/>
        </w:trPr>
        <w:tc>
          <w:tcPr>
            <w:tcW w:w="920" w:type="dxa"/>
            <w:shd w:val="clear" w:color="auto" w:fill="E6E6E6"/>
            <w:noWrap w:val="0"/>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282" w:type="dxa"/>
            <w:shd w:val="clear" w:color="auto" w:fill="E6E6E6"/>
            <w:noWrap w:val="0"/>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招标文件服务要求</w:t>
            </w:r>
          </w:p>
        </w:tc>
        <w:tc>
          <w:tcPr>
            <w:tcW w:w="2371" w:type="dxa"/>
            <w:shd w:val="clear" w:color="auto" w:fill="E6E6E6"/>
            <w:noWrap w:val="0"/>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投标服务实际情况</w:t>
            </w:r>
          </w:p>
        </w:tc>
        <w:tc>
          <w:tcPr>
            <w:tcW w:w="2484" w:type="dxa"/>
            <w:shd w:val="clear" w:color="auto" w:fill="E6E6E6"/>
            <w:noWrap w:val="0"/>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偏离情况说明（无偏离/正偏离/负偏离）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noWrap w:val="0"/>
            <w:vAlign w:val="center"/>
          </w:tcPr>
          <w:p>
            <w:pPr>
              <w:numPr>
                <w:ilvl w:val="0"/>
                <w:numId w:val="79"/>
              </w:numPr>
              <w:tabs>
                <w:tab w:val="left" w:pos="420"/>
              </w:tabs>
              <w:jc w:val="center"/>
              <w:rPr>
                <w:rFonts w:ascii="宋体" w:hAnsi="宋体" w:eastAsia="宋体" w:cs="宋体"/>
                <w:color w:val="auto"/>
                <w:szCs w:val="21"/>
                <w:highlight w:val="none"/>
              </w:rPr>
            </w:pPr>
          </w:p>
        </w:tc>
        <w:tc>
          <w:tcPr>
            <w:tcW w:w="3282" w:type="dxa"/>
            <w:noWrap w:val="0"/>
            <w:vAlign w:val="center"/>
          </w:tcPr>
          <w:p>
            <w:pPr>
              <w:rPr>
                <w:rFonts w:ascii="宋体" w:hAnsi="宋体" w:eastAsia="宋体" w:cs="宋体"/>
                <w:color w:val="auto"/>
                <w:szCs w:val="21"/>
                <w:highlight w:val="none"/>
              </w:rPr>
            </w:pPr>
          </w:p>
        </w:tc>
        <w:tc>
          <w:tcPr>
            <w:tcW w:w="2371" w:type="dxa"/>
            <w:noWrap w:val="0"/>
            <w:vAlign w:val="top"/>
          </w:tcPr>
          <w:p>
            <w:pPr>
              <w:rPr>
                <w:rFonts w:ascii="宋体" w:hAnsi="宋体" w:eastAsia="宋体" w:cs="宋体"/>
                <w:color w:val="auto"/>
                <w:szCs w:val="21"/>
                <w:highlight w:val="none"/>
              </w:rPr>
            </w:pPr>
          </w:p>
        </w:tc>
        <w:tc>
          <w:tcPr>
            <w:tcW w:w="2484" w:type="dxa"/>
            <w:noWrap w:val="0"/>
            <w:vAlign w:val="top"/>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noWrap w:val="0"/>
            <w:vAlign w:val="center"/>
          </w:tcPr>
          <w:p>
            <w:pPr>
              <w:numPr>
                <w:ilvl w:val="0"/>
                <w:numId w:val="79"/>
              </w:numPr>
              <w:tabs>
                <w:tab w:val="left" w:pos="420"/>
              </w:tabs>
              <w:jc w:val="center"/>
              <w:rPr>
                <w:rFonts w:ascii="宋体" w:hAnsi="宋体" w:eastAsia="宋体" w:cs="宋体"/>
                <w:color w:val="auto"/>
                <w:szCs w:val="21"/>
                <w:highlight w:val="none"/>
              </w:rPr>
            </w:pPr>
          </w:p>
        </w:tc>
        <w:tc>
          <w:tcPr>
            <w:tcW w:w="3282" w:type="dxa"/>
            <w:noWrap w:val="0"/>
            <w:vAlign w:val="center"/>
          </w:tcPr>
          <w:p>
            <w:pPr>
              <w:rPr>
                <w:rFonts w:ascii="宋体" w:hAnsi="宋体" w:eastAsia="宋体" w:cs="宋体"/>
                <w:color w:val="auto"/>
                <w:szCs w:val="21"/>
                <w:highlight w:val="none"/>
                <w:u w:val="double"/>
              </w:rPr>
            </w:pPr>
          </w:p>
        </w:tc>
        <w:tc>
          <w:tcPr>
            <w:tcW w:w="2371" w:type="dxa"/>
            <w:noWrap w:val="0"/>
            <w:vAlign w:val="top"/>
          </w:tcPr>
          <w:p>
            <w:pPr>
              <w:rPr>
                <w:rFonts w:ascii="宋体" w:hAnsi="宋体" w:eastAsia="宋体" w:cs="宋体"/>
                <w:color w:val="auto"/>
                <w:szCs w:val="21"/>
                <w:highlight w:val="none"/>
              </w:rPr>
            </w:pPr>
          </w:p>
        </w:tc>
        <w:tc>
          <w:tcPr>
            <w:tcW w:w="2484" w:type="dxa"/>
            <w:noWrap w:val="0"/>
            <w:vAlign w:val="top"/>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noWrap w:val="0"/>
            <w:vAlign w:val="center"/>
          </w:tcPr>
          <w:p>
            <w:pPr>
              <w:numPr>
                <w:ilvl w:val="0"/>
                <w:numId w:val="79"/>
              </w:numPr>
              <w:tabs>
                <w:tab w:val="left" w:pos="420"/>
              </w:tabs>
              <w:jc w:val="center"/>
              <w:rPr>
                <w:rFonts w:ascii="宋体" w:hAnsi="宋体" w:eastAsia="宋体" w:cs="宋体"/>
                <w:color w:val="auto"/>
                <w:szCs w:val="21"/>
                <w:highlight w:val="none"/>
              </w:rPr>
            </w:pPr>
          </w:p>
        </w:tc>
        <w:tc>
          <w:tcPr>
            <w:tcW w:w="3282" w:type="dxa"/>
            <w:noWrap w:val="0"/>
            <w:vAlign w:val="center"/>
          </w:tcPr>
          <w:p>
            <w:pPr>
              <w:rPr>
                <w:rFonts w:ascii="宋体" w:hAnsi="宋体" w:eastAsia="宋体" w:cs="宋体"/>
                <w:color w:val="auto"/>
                <w:szCs w:val="21"/>
                <w:highlight w:val="none"/>
                <w:u w:val="double"/>
              </w:rPr>
            </w:pPr>
          </w:p>
        </w:tc>
        <w:tc>
          <w:tcPr>
            <w:tcW w:w="2371" w:type="dxa"/>
            <w:noWrap w:val="0"/>
            <w:vAlign w:val="top"/>
          </w:tcPr>
          <w:p>
            <w:pPr>
              <w:rPr>
                <w:rFonts w:ascii="宋体" w:hAnsi="宋体" w:eastAsia="宋体" w:cs="宋体"/>
                <w:color w:val="auto"/>
                <w:szCs w:val="21"/>
                <w:highlight w:val="none"/>
              </w:rPr>
            </w:pPr>
          </w:p>
        </w:tc>
        <w:tc>
          <w:tcPr>
            <w:tcW w:w="2484" w:type="dxa"/>
            <w:noWrap w:val="0"/>
            <w:vAlign w:val="top"/>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noWrap w:val="0"/>
            <w:vAlign w:val="center"/>
          </w:tcPr>
          <w:p>
            <w:pPr>
              <w:numPr>
                <w:ilvl w:val="0"/>
                <w:numId w:val="79"/>
              </w:numPr>
              <w:tabs>
                <w:tab w:val="left" w:pos="420"/>
              </w:tabs>
              <w:jc w:val="center"/>
              <w:rPr>
                <w:rFonts w:ascii="宋体" w:hAnsi="宋体" w:eastAsia="宋体" w:cs="宋体"/>
                <w:color w:val="auto"/>
                <w:szCs w:val="21"/>
                <w:highlight w:val="none"/>
              </w:rPr>
            </w:pPr>
          </w:p>
        </w:tc>
        <w:tc>
          <w:tcPr>
            <w:tcW w:w="3282" w:type="dxa"/>
            <w:noWrap w:val="0"/>
            <w:vAlign w:val="center"/>
          </w:tcPr>
          <w:p>
            <w:pPr>
              <w:rPr>
                <w:rFonts w:ascii="宋体" w:hAnsi="宋体" w:eastAsia="宋体" w:cs="宋体"/>
                <w:color w:val="auto"/>
                <w:szCs w:val="21"/>
                <w:highlight w:val="none"/>
              </w:rPr>
            </w:pPr>
          </w:p>
        </w:tc>
        <w:tc>
          <w:tcPr>
            <w:tcW w:w="2371" w:type="dxa"/>
            <w:noWrap w:val="0"/>
            <w:vAlign w:val="top"/>
          </w:tcPr>
          <w:p>
            <w:pPr>
              <w:rPr>
                <w:rFonts w:ascii="宋体" w:hAnsi="宋体" w:eastAsia="宋体" w:cs="宋体"/>
                <w:color w:val="auto"/>
                <w:szCs w:val="21"/>
                <w:highlight w:val="none"/>
              </w:rPr>
            </w:pPr>
          </w:p>
        </w:tc>
        <w:tc>
          <w:tcPr>
            <w:tcW w:w="2484" w:type="dxa"/>
            <w:noWrap w:val="0"/>
            <w:vAlign w:val="top"/>
          </w:tcPr>
          <w:p>
            <w:pPr>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noWrap w:val="0"/>
            <w:vAlign w:val="center"/>
          </w:tcPr>
          <w:p>
            <w:pPr>
              <w:numPr>
                <w:ilvl w:val="0"/>
                <w:numId w:val="79"/>
              </w:numPr>
              <w:tabs>
                <w:tab w:val="left" w:pos="420"/>
              </w:tabs>
              <w:jc w:val="center"/>
              <w:rPr>
                <w:rFonts w:ascii="宋体" w:hAnsi="宋体" w:eastAsia="宋体" w:cs="宋体"/>
                <w:color w:val="auto"/>
                <w:szCs w:val="21"/>
                <w:highlight w:val="none"/>
              </w:rPr>
            </w:pPr>
          </w:p>
        </w:tc>
        <w:tc>
          <w:tcPr>
            <w:tcW w:w="3282" w:type="dxa"/>
            <w:noWrap w:val="0"/>
            <w:vAlign w:val="center"/>
          </w:tcPr>
          <w:p>
            <w:pPr>
              <w:rPr>
                <w:rFonts w:ascii="宋体" w:hAnsi="宋体" w:eastAsia="宋体" w:cs="宋体"/>
                <w:color w:val="auto"/>
                <w:szCs w:val="21"/>
                <w:highlight w:val="none"/>
                <w:u w:val="double"/>
              </w:rPr>
            </w:pPr>
          </w:p>
        </w:tc>
        <w:tc>
          <w:tcPr>
            <w:tcW w:w="2371" w:type="dxa"/>
            <w:noWrap w:val="0"/>
            <w:vAlign w:val="top"/>
          </w:tcPr>
          <w:p>
            <w:pPr>
              <w:rPr>
                <w:rFonts w:ascii="宋体" w:hAnsi="宋体" w:eastAsia="宋体" w:cs="宋体"/>
                <w:color w:val="auto"/>
                <w:szCs w:val="21"/>
                <w:highlight w:val="none"/>
              </w:rPr>
            </w:pPr>
          </w:p>
        </w:tc>
        <w:tc>
          <w:tcPr>
            <w:tcW w:w="2484" w:type="dxa"/>
            <w:noWrap w:val="0"/>
            <w:vAlign w:val="top"/>
          </w:tcPr>
          <w:p>
            <w:pPr>
              <w:rPr>
                <w:rFonts w:ascii="宋体" w:hAnsi="宋体" w:eastAsia="宋体" w:cs="宋体"/>
                <w:color w:val="auto"/>
                <w:szCs w:val="21"/>
                <w:highlight w:val="none"/>
              </w:rPr>
            </w:pPr>
          </w:p>
        </w:tc>
      </w:tr>
    </w:tbl>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注：</w:t>
      </w:r>
    </w:p>
    <w:p>
      <w:pPr>
        <w:numPr>
          <w:ilvl w:val="0"/>
          <w:numId w:val="80"/>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投标人必须对应招标文件“用户需求书”中服务条款带“★” 项内容逐条响应。如有缺漏，缺漏项视同不符合招标要求。 带“★”项为不可负偏离</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GB"/>
        </w:rPr>
        <w:t>劣于</w:t>
      </w:r>
      <w:r>
        <w:rPr>
          <w:rFonts w:hint="eastAsia" w:ascii="宋体" w:hAnsi="宋体" w:eastAsia="宋体" w:cs="宋体"/>
          <w:color w:val="auto"/>
          <w:sz w:val="24"/>
          <w:highlight w:val="none"/>
          <w:lang w:val="en-GB" w:eastAsia="zh-CN"/>
        </w:rPr>
        <w:t>）</w:t>
      </w:r>
      <w:r>
        <w:rPr>
          <w:rFonts w:hint="eastAsia" w:ascii="宋体" w:hAnsi="宋体" w:eastAsia="宋体" w:cs="宋体"/>
          <w:color w:val="auto"/>
          <w:sz w:val="24"/>
          <w:highlight w:val="none"/>
          <w:lang w:val="en-GB"/>
        </w:rPr>
        <w:t>的重要项。</w:t>
      </w:r>
    </w:p>
    <w:p>
      <w:pPr>
        <w:numPr>
          <w:ilvl w:val="0"/>
          <w:numId w:val="80"/>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投标人响应采购需求应具体、明确，含糊不清、不确切或伪造、变造证明材料的，按照不完全响应或者完全不响应处理。构成提供虚假材料的，移送监管部门查处。</w:t>
      </w:r>
    </w:p>
    <w:p>
      <w:pPr>
        <w:numPr>
          <w:ilvl w:val="0"/>
          <w:numId w:val="80"/>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本表内容不得擅自修改。</w:t>
      </w:r>
    </w:p>
    <w:p>
      <w:pPr>
        <w:adjustRightInd w:val="0"/>
        <w:snapToGrid w:val="0"/>
        <w:spacing w:before="72" w:after="72" w:line="300" w:lineRule="auto"/>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r>
        <w:rPr>
          <w:rFonts w:hint="eastAsia" w:ascii="宋体" w:hAnsi="宋体" w:eastAsia="宋体" w:cs="宋体"/>
          <w:color w:val="auto"/>
          <w:sz w:val="24"/>
          <w:highlight w:val="none"/>
        </w:rPr>
        <w:t>日期：   年   月   日</w:t>
      </w:r>
    </w:p>
    <w:p>
      <w:pPr>
        <w:numPr>
          <w:ilvl w:val="0"/>
          <w:numId w:val="78"/>
        </w:numPr>
        <w:spacing w:before="72" w:after="72"/>
        <w:jc w:val="center"/>
        <w:outlineLvl w:val="2"/>
        <w:rPr>
          <w:rFonts w:ascii="宋体" w:hAnsi="宋体" w:eastAsia="宋体" w:cs="宋体"/>
          <w:b/>
          <w:color w:val="auto"/>
          <w:sz w:val="28"/>
          <w:szCs w:val="28"/>
          <w:highlight w:val="none"/>
        </w:rPr>
      </w:pPr>
      <w:bookmarkStart w:id="503" w:name="_Toc7295"/>
      <w:bookmarkStart w:id="504" w:name="_Toc15459"/>
      <w:bookmarkStart w:id="505" w:name="_Toc10686"/>
      <w:r>
        <w:rPr>
          <w:rFonts w:hint="eastAsia" w:ascii="宋体" w:hAnsi="宋体" w:eastAsia="宋体" w:cs="宋体"/>
          <w:b/>
          <w:color w:val="auto"/>
          <w:sz w:val="28"/>
          <w:szCs w:val="28"/>
          <w:highlight w:val="none"/>
        </w:rPr>
        <w:t>重要性服务条款（“</w:t>
      </w:r>
      <w:r>
        <w:rPr>
          <w:rFonts w:hint="eastAsia" w:ascii="宋体" w:hAnsi="宋体" w:eastAsia="宋体" w:cs="宋体"/>
          <w:color w:val="auto"/>
          <w:sz w:val="28"/>
          <w:szCs w:val="28"/>
          <w:highlight w:val="none"/>
          <w:lang w:val="en-GB"/>
        </w:rPr>
        <w:t>▲</w:t>
      </w:r>
      <w:r>
        <w:rPr>
          <w:rFonts w:hint="eastAsia" w:ascii="宋体" w:hAnsi="宋体" w:eastAsia="宋体" w:cs="宋体"/>
          <w:b/>
          <w:color w:val="auto"/>
          <w:sz w:val="28"/>
          <w:szCs w:val="28"/>
          <w:highlight w:val="none"/>
        </w:rPr>
        <w:t>”项）响应表（若有）</w:t>
      </w:r>
      <w:bookmarkEnd w:id="503"/>
      <w:bookmarkEnd w:id="504"/>
      <w:bookmarkEnd w:id="505"/>
    </w:p>
    <w:tbl>
      <w:tblPr>
        <w:tblStyle w:val="4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3109"/>
        <w:gridCol w:w="2837"/>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blHeader/>
          <w:jc w:val="center"/>
        </w:trPr>
        <w:tc>
          <w:tcPr>
            <w:tcW w:w="800" w:type="dxa"/>
            <w:shd w:val="clear" w:color="auto" w:fill="EAEAEA"/>
            <w:noWrap w:val="0"/>
            <w:vAlign w:val="center"/>
          </w:tcPr>
          <w:p>
            <w:pPr>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3109" w:type="dxa"/>
            <w:shd w:val="clear" w:color="auto" w:fill="EAEAEA"/>
            <w:noWrap w:val="0"/>
            <w:vAlign w:val="center"/>
          </w:tcPr>
          <w:p>
            <w:pPr>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招标文件服务要求</w:t>
            </w:r>
          </w:p>
        </w:tc>
        <w:tc>
          <w:tcPr>
            <w:tcW w:w="2837" w:type="dxa"/>
            <w:shd w:val="clear" w:color="auto" w:fill="EAEAEA"/>
            <w:noWrap w:val="0"/>
            <w:vAlign w:val="center"/>
          </w:tcPr>
          <w:p>
            <w:pPr>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投标服务实际情况</w:t>
            </w:r>
          </w:p>
        </w:tc>
        <w:tc>
          <w:tcPr>
            <w:tcW w:w="2484" w:type="dxa"/>
            <w:shd w:val="clear" w:color="auto" w:fill="EAEAEA"/>
            <w:noWrap w:val="0"/>
            <w:vAlign w:val="center"/>
          </w:tcPr>
          <w:p>
            <w:pPr>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偏离情况说明（无偏离/正偏离/负偏离）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snapToGrid w:val="0"/>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snapToGrid w:val="0"/>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snapToGrid w:val="0"/>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snapToGrid w:val="0"/>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snapToGrid w:val="0"/>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00" w:type="dxa"/>
            <w:noWrap w:val="0"/>
            <w:vAlign w:val="center"/>
          </w:tcPr>
          <w:p>
            <w:pPr>
              <w:numPr>
                <w:ilvl w:val="0"/>
                <w:numId w:val="81"/>
              </w:numPr>
              <w:tabs>
                <w:tab w:val="left" w:pos="420"/>
              </w:tabs>
              <w:snapToGrid w:val="0"/>
              <w:jc w:val="center"/>
              <w:rPr>
                <w:rFonts w:ascii="宋体" w:hAnsi="宋体" w:eastAsia="宋体" w:cs="宋体"/>
                <w:color w:val="auto"/>
                <w:szCs w:val="21"/>
                <w:highlight w:val="none"/>
              </w:rPr>
            </w:pPr>
          </w:p>
        </w:tc>
        <w:tc>
          <w:tcPr>
            <w:tcW w:w="3109" w:type="dxa"/>
            <w:noWrap w:val="0"/>
            <w:vAlign w:val="center"/>
          </w:tcPr>
          <w:p>
            <w:pPr>
              <w:snapToGrid w:val="0"/>
              <w:rPr>
                <w:rFonts w:ascii="宋体" w:hAnsi="宋体" w:eastAsia="宋体" w:cs="宋体"/>
                <w:color w:val="auto"/>
                <w:szCs w:val="21"/>
                <w:highlight w:val="none"/>
              </w:rPr>
            </w:pPr>
          </w:p>
        </w:tc>
        <w:tc>
          <w:tcPr>
            <w:tcW w:w="2837" w:type="dxa"/>
            <w:noWrap w:val="0"/>
            <w:vAlign w:val="top"/>
          </w:tcPr>
          <w:p>
            <w:pPr>
              <w:snapToGrid w:val="0"/>
              <w:rPr>
                <w:rFonts w:ascii="宋体" w:hAnsi="宋体" w:eastAsia="宋体" w:cs="宋体"/>
                <w:color w:val="auto"/>
                <w:szCs w:val="21"/>
                <w:highlight w:val="none"/>
              </w:rPr>
            </w:pPr>
          </w:p>
        </w:tc>
        <w:tc>
          <w:tcPr>
            <w:tcW w:w="2484" w:type="dxa"/>
            <w:noWrap w:val="0"/>
            <w:vAlign w:val="top"/>
          </w:tcPr>
          <w:p>
            <w:pPr>
              <w:snapToGrid w:val="0"/>
              <w:rPr>
                <w:rFonts w:ascii="宋体" w:hAnsi="宋体" w:eastAsia="宋体" w:cs="宋体"/>
                <w:color w:val="auto"/>
                <w:szCs w:val="21"/>
                <w:highlight w:val="none"/>
              </w:rPr>
            </w:pPr>
          </w:p>
        </w:tc>
      </w:tr>
    </w:tbl>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注：</w:t>
      </w:r>
    </w:p>
    <w:p>
      <w:pPr>
        <w:numPr>
          <w:ilvl w:val="0"/>
          <w:numId w:val="82"/>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投标人必须对应招标文件“用户需求书”中服务条款带“</w:t>
      </w:r>
      <w:r>
        <w:rPr>
          <w:rFonts w:hint="eastAsia" w:ascii="宋体" w:hAnsi="宋体" w:eastAsia="宋体" w:cs="宋体"/>
          <w:color w:val="auto"/>
          <w:sz w:val="28"/>
          <w:szCs w:val="28"/>
          <w:highlight w:val="none"/>
          <w:lang w:val="en-GB"/>
        </w:rPr>
        <w:t>▲</w:t>
      </w:r>
      <w:r>
        <w:rPr>
          <w:rFonts w:hint="eastAsia" w:ascii="宋体" w:hAnsi="宋体" w:eastAsia="宋体" w:cs="宋体"/>
          <w:color w:val="auto"/>
          <w:sz w:val="24"/>
          <w:highlight w:val="none"/>
          <w:lang w:val="en-GB"/>
        </w:rPr>
        <w:t>” 项内容逐条响应。如有缺漏，缺漏项视同不符合招标要求。</w:t>
      </w:r>
    </w:p>
    <w:p>
      <w:pPr>
        <w:numPr>
          <w:ilvl w:val="0"/>
          <w:numId w:val="82"/>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投标人响应采购需求应具体、明确，含糊不清、不确切或伪造、变造证明材料的，按照不完全响应或者完全不响应处理。构成提供虚假材料的，移送监管部门查处。</w:t>
      </w:r>
    </w:p>
    <w:p>
      <w:pPr>
        <w:numPr>
          <w:ilvl w:val="0"/>
          <w:numId w:val="82"/>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本表内容不得擅自修改。</w:t>
      </w:r>
    </w:p>
    <w:p>
      <w:pPr>
        <w:adjustRightInd w:val="0"/>
        <w:snapToGrid w:val="0"/>
        <w:spacing w:before="72" w:after="72" w:line="300" w:lineRule="auto"/>
        <w:rPr>
          <w:rFonts w:ascii="宋体" w:hAnsi="宋体" w:eastAsia="宋体" w:cs="宋体"/>
          <w:color w:val="auto"/>
          <w:sz w:val="24"/>
          <w:highlight w:val="none"/>
        </w:rPr>
      </w:pPr>
    </w:p>
    <w:p>
      <w:pPr>
        <w:adjustRightInd w:val="0"/>
        <w:snapToGrid w:val="0"/>
        <w:spacing w:line="44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投标人名称（加盖公章）：</w:t>
      </w:r>
    </w:p>
    <w:p>
      <w:pPr>
        <w:adjustRightInd w:val="0"/>
        <w:snapToGrid w:val="0"/>
        <w:spacing w:line="440" w:lineRule="exact"/>
        <w:ind w:firstLine="3578" w:firstLineChars="1491"/>
        <w:jc w:val="both"/>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numPr>
          <w:ilvl w:val="0"/>
          <w:numId w:val="78"/>
        </w:numPr>
        <w:spacing w:before="72" w:after="72"/>
        <w:jc w:val="center"/>
        <w:outlineLvl w:val="2"/>
        <w:rPr>
          <w:rFonts w:ascii="宋体" w:hAnsi="宋体" w:eastAsia="宋体" w:cs="宋体"/>
          <w:b/>
          <w:color w:val="auto"/>
          <w:sz w:val="28"/>
          <w:szCs w:val="28"/>
          <w:highlight w:val="none"/>
        </w:rPr>
      </w:pPr>
      <w:bookmarkStart w:id="506" w:name="_Toc24917"/>
      <w:bookmarkStart w:id="507" w:name="_Toc5666"/>
      <w:bookmarkStart w:id="508" w:name="_Toc2808"/>
      <w:r>
        <w:rPr>
          <w:rFonts w:hint="eastAsia" w:ascii="宋体" w:hAnsi="宋体" w:eastAsia="宋体" w:cs="宋体"/>
          <w:b/>
          <w:color w:val="auto"/>
          <w:sz w:val="28"/>
          <w:szCs w:val="28"/>
          <w:highlight w:val="none"/>
        </w:rPr>
        <w:t>一般性服务条款响应表</w:t>
      </w:r>
      <w:bookmarkEnd w:id="506"/>
      <w:bookmarkEnd w:id="507"/>
      <w:bookmarkEnd w:id="508"/>
    </w:p>
    <w:tbl>
      <w:tblPr>
        <w:tblStyle w:val="41"/>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334"/>
        <w:gridCol w:w="361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35" w:type="dxa"/>
            <w:shd w:val="clear" w:color="auto" w:fill="E6E6E6"/>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34" w:type="dxa"/>
            <w:shd w:val="clear" w:color="auto" w:fill="E6E6E6"/>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招标文件服务要求</w:t>
            </w:r>
          </w:p>
        </w:tc>
        <w:tc>
          <w:tcPr>
            <w:tcW w:w="3615" w:type="dxa"/>
            <w:shd w:val="clear" w:color="auto" w:fill="E6E6E6"/>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投标服务实际情况</w:t>
            </w:r>
          </w:p>
        </w:tc>
        <w:tc>
          <w:tcPr>
            <w:tcW w:w="2284" w:type="dxa"/>
            <w:shd w:val="clear" w:color="auto" w:fill="E6E6E6"/>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偏离情况说明（无偏离/正偏离/负偏离）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1</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2</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3</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4</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5</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6</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7</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8</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35" w:type="dxa"/>
            <w:noWrap w:val="0"/>
            <w:vAlign w:val="top"/>
          </w:tcPr>
          <w:p>
            <w:pPr>
              <w:spacing w:before="72" w:after="72"/>
              <w:jc w:val="center"/>
              <w:rPr>
                <w:rFonts w:ascii="宋体" w:hAnsi="宋体" w:eastAsia="宋体" w:cs="宋体"/>
                <w:color w:val="auto"/>
                <w:sz w:val="24"/>
                <w:highlight w:val="none"/>
              </w:rPr>
            </w:pPr>
            <w:r>
              <w:rPr>
                <w:rFonts w:hint="eastAsia" w:ascii="宋体" w:hAnsi="宋体" w:eastAsia="宋体" w:cs="宋体"/>
                <w:color w:val="auto"/>
                <w:sz w:val="24"/>
                <w:highlight w:val="none"/>
              </w:rPr>
              <w:t>…</w:t>
            </w:r>
          </w:p>
        </w:tc>
        <w:tc>
          <w:tcPr>
            <w:tcW w:w="2334" w:type="dxa"/>
            <w:noWrap w:val="0"/>
            <w:vAlign w:val="top"/>
          </w:tcPr>
          <w:p>
            <w:pPr>
              <w:spacing w:before="72" w:after="72"/>
              <w:jc w:val="center"/>
              <w:rPr>
                <w:rFonts w:ascii="宋体" w:hAnsi="宋体" w:eastAsia="宋体" w:cs="宋体"/>
                <w:color w:val="auto"/>
                <w:sz w:val="24"/>
                <w:highlight w:val="none"/>
              </w:rPr>
            </w:pPr>
          </w:p>
        </w:tc>
        <w:tc>
          <w:tcPr>
            <w:tcW w:w="3615" w:type="dxa"/>
            <w:noWrap w:val="0"/>
            <w:vAlign w:val="top"/>
          </w:tcPr>
          <w:p>
            <w:pPr>
              <w:spacing w:before="72" w:after="72"/>
              <w:rPr>
                <w:rFonts w:ascii="宋体" w:hAnsi="宋体" w:eastAsia="宋体" w:cs="宋体"/>
                <w:color w:val="auto"/>
                <w:sz w:val="24"/>
                <w:highlight w:val="none"/>
              </w:rPr>
            </w:pPr>
          </w:p>
        </w:tc>
        <w:tc>
          <w:tcPr>
            <w:tcW w:w="2284" w:type="dxa"/>
            <w:noWrap w:val="0"/>
            <w:vAlign w:val="top"/>
          </w:tcPr>
          <w:p>
            <w:pPr>
              <w:spacing w:before="72" w:after="72"/>
              <w:rPr>
                <w:rFonts w:ascii="宋体" w:hAnsi="宋体" w:eastAsia="宋体" w:cs="宋体"/>
                <w:color w:val="auto"/>
                <w:sz w:val="24"/>
                <w:highlight w:val="none"/>
              </w:rPr>
            </w:pPr>
          </w:p>
        </w:tc>
      </w:tr>
    </w:tbl>
    <w:p>
      <w:pPr>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注：</w:t>
      </w:r>
    </w:p>
    <w:p>
      <w:pPr>
        <w:numPr>
          <w:ilvl w:val="0"/>
          <w:numId w:val="83"/>
        </w:numPr>
        <w:adjustRightInd w:val="0"/>
        <w:snapToGrid w:val="0"/>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rPr>
        <w:t>投标人必须对应招标文件“用户需求书”中服务条款</w:t>
      </w:r>
      <w:r>
        <w:rPr>
          <w:rFonts w:hint="eastAsia" w:ascii="宋体" w:hAnsi="宋体" w:eastAsia="宋体" w:cs="宋体"/>
          <w:b/>
          <w:color w:val="auto"/>
          <w:sz w:val="24"/>
          <w:highlight w:val="none"/>
        </w:rPr>
        <w:t>带</w:t>
      </w:r>
      <w:r>
        <w:rPr>
          <w:rFonts w:hint="eastAsia" w:ascii="宋体" w:hAnsi="宋体" w:eastAsia="宋体" w:cs="宋体"/>
          <w:b/>
          <w:color w:val="auto"/>
          <w:sz w:val="24"/>
          <w:highlight w:val="none"/>
          <w:lang w:val="en-GB"/>
        </w:rPr>
        <w:t>“★、</w:t>
      </w:r>
      <w:r>
        <w:rPr>
          <w:rFonts w:hint="eastAsia" w:ascii="宋体" w:hAnsi="宋体" w:eastAsia="宋体" w:cs="宋体"/>
          <w:color w:val="auto"/>
          <w:sz w:val="28"/>
          <w:szCs w:val="28"/>
          <w:highlight w:val="none"/>
          <w:lang w:val="en-GB"/>
        </w:rPr>
        <w:t>▲</w:t>
      </w:r>
      <w:r>
        <w:rPr>
          <w:rFonts w:hint="eastAsia" w:ascii="宋体" w:hAnsi="宋体" w:eastAsia="宋体" w:cs="宋体"/>
          <w:b/>
          <w:color w:val="auto"/>
          <w:sz w:val="24"/>
          <w:highlight w:val="none"/>
          <w:lang w:val="en-GB"/>
        </w:rPr>
        <w:t>”项以外</w:t>
      </w:r>
      <w:r>
        <w:rPr>
          <w:rFonts w:hint="eastAsia" w:ascii="宋体" w:hAnsi="宋体" w:eastAsia="宋体" w:cs="宋体"/>
          <w:color w:val="auto"/>
          <w:sz w:val="24"/>
          <w:highlight w:val="none"/>
        </w:rPr>
        <w:t>的各条目号内容逐条响应。如有缺漏，缺漏项视同不符合招标要求。</w:t>
      </w:r>
    </w:p>
    <w:p>
      <w:pPr>
        <w:numPr>
          <w:ilvl w:val="0"/>
          <w:numId w:val="83"/>
        </w:num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投标人响应采购需求应具体、明确，含糊不清、不确切或伪造、变造证明材料的，按照不完全响应或者完全不响应处理。构成提供虚假材料的，移送监管部门查处。</w:t>
      </w:r>
    </w:p>
    <w:p>
      <w:pPr>
        <w:numPr>
          <w:ilvl w:val="0"/>
          <w:numId w:val="83"/>
        </w:num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en-GB"/>
        </w:rPr>
        <w:t>投标响应参数应与厂家的产品资料一致，不一致的以厂家资料为准。</w:t>
      </w:r>
    </w:p>
    <w:p>
      <w:pPr>
        <w:numPr>
          <w:ilvl w:val="0"/>
          <w:numId w:val="83"/>
        </w:numPr>
        <w:adjustRightInd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lang w:val="en-GB"/>
        </w:rPr>
        <w:t>本表内容不得擅自修改。</w:t>
      </w:r>
    </w:p>
    <w:p>
      <w:pPr>
        <w:adjustRightInd w:val="0"/>
        <w:snapToGrid w:val="0"/>
        <w:spacing w:before="72" w:after="72" w:line="300" w:lineRule="auto"/>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widowControl/>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pStyle w:val="5"/>
        <w:numPr>
          <w:ilvl w:val="0"/>
          <w:numId w:val="77"/>
        </w:numPr>
        <w:jc w:val="center"/>
        <w:rPr>
          <w:color w:val="auto"/>
          <w:highlight w:val="none"/>
        </w:rPr>
      </w:pPr>
      <w:bookmarkStart w:id="509" w:name="_Toc27890"/>
      <w:bookmarkStart w:id="510" w:name="_Toc7681"/>
      <w:bookmarkStart w:id="511" w:name="_Toc29091"/>
      <w:r>
        <w:rPr>
          <w:rFonts w:hint="eastAsia"/>
          <w:color w:val="auto"/>
          <w:highlight w:val="none"/>
        </w:rPr>
        <w:t>拟任管理及服务人员情况</w:t>
      </w:r>
      <w:bookmarkEnd w:id="501"/>
      <w:bookmarkEnd w:id="509"/>
      <w:bookmarkEnd w:id="510"/>
      <w:bookmarkEnd w:id="511"/>
    </w:p>
    <w:tbl>
      <w:tblPr>
        <w:tblStyle w:val="4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80"/>
        <w:gridCol w:w="1035"/>
        <w:gridCol w:w="1995"/>
        <w:gridCol w:w="795"/>
        <w:gridCol w:w="1440"/>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exact"/>
          <w:jc w:val="center"/>
        </w:trPr>
        <w:tc>
          <w:tcPr>
            <w:tcW w:w="885" w:type="dxa"/>
            <w:tcBorders>
              <w:top w:val="single" w:color="auto" w:sz="4" w:space="0"/>
              <w:left w:val="single" w:color="auto" w:sz="4" w:space="0"/>
              <w:bottom w:val="nil"/>
              <w:right w:val="single" w:color="auto" w:sz="4" w:space="0"/>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职责</w:t>
            </w:r>
          </w:p>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分工</w:t>
            </w:r>
          </w:p>
        </w:tc>
        <w:tc>
          <w:tcPr>
            <w:tcW w:w="780" w:type="dxa"/>
            <w:tcBorders>
              <w:top w:val="single" w:color="auto" w:sz="4" w:space="0"/>
              <w:left w:val="single" w:color="auto" w:sz="4" w:space="0"/>
              <w:bottom w:val="nil"/>
              <w:right w:val="single" w:color="auto" w:sz="4" w:space="0"/>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姓名</w:t>
            </w:r>
          </w:p>
        </w:tc>
        <w:tc>
          <w:tcPr>
            <w:tcW w:w="1035" w:type="dxa"/>
            <w:tcBorders>
              <w:top w:val="single" w:color="auto" w:sz="4" w:space="0"/>
              <w:left w:val="single" w:color="auto" w:sz="4" w:space="0"/>
              <w:bottom w:val="nil"/>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现职务</w:t>
            </w:r>
          </w:p>
        </w:tc>
        <w:tc>
          <w:tcPr>
            <w:tcW w:w="1995" w:type="dxa"/>
            <w:tcBorders>
              <w:top w:val="single" w:color="auto" w:sz="4" w:space="0"/>
              <w:bottom w:val="nil"/>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持何种资格证书</w:t>
            </w:r>
          </w:p>
        </w:tc>
        <w:tc>
          <w:tcPr>
            <w:tcW w:w="795" w:type="dxa"/>
            <w:tcBorders>
              <w:top w:val="single" w:color="auto" w:sz="4" w:space="0"/>
              <w:bottom w:val="nil"/>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发证时间</w:t>
            </w:r>
          </w:p>
        </w:tc>
        <w:tc>
          <w:tcPr>
            <w:tcW w:w="1440" w:type="dxa"/>
            <w:tcBorders>
              <w:top w:val="single" w:color="auto" w:sz="4" w:space="0"/>
              <w:bottom w:val="nil"/>
              <w:right w:val="single" w:color="auto" w:sz="4" w:space="0"/>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曾主持/参与的同类项目经历</w:t>
            </w:r>
          </w:p>
        </w:tc>
        <w:tc>
          <w:tcPr>
            <w:tcW w:w="900" w:type="dxa"/>
            <w:tcBorders>
              <w:top w:val="single" w:color="auto" w:sz="4" w:space="0"/>
              <w:bottom w:val="nil"/>
              <w:right w:val="single" w:color="auto" w:sz="4" w:space="0"/>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职称</w:t>
            </w:r>
          </w:p>
        </w:tc>
        <w:tc>
          <w:tcPr>
            <w:tcW w:w="990" w:type="dxa"/>
            <w:tcBorders>
              <w:top w:val="single" w:color="auto" w:sz="4" w:space="0"/>
              <w:bottom w:val="nil"/>
              <w:right w:val="single" w:color="auto" w:sz="4" w:space="0"/>
            </w:tcBorders>
            <w:shd w:val="clear" w:color="auto" w:fill="EAEAEA"/>
            <w:noWrap w:val="0"/>
            <w:vAlign w:val="center"/>
          </w:tcPr>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专业</w:t>
            </w:r>
          </w:p>
          <w:p>
            <w:pPr>
              <w:spacing w:before="72" w:after="72"/>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885" w:type="dxa"/>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总负责人</w:t>
            </w:r>
          </w:p>
        </w:tc>
        <w:tc>
          <w:tcPr>
            <w:tcW w:w="780" w:type="dxa"/>
            <w:tcBorders>
              <w:top w:val="single" w:color="auto" w:sz="4" w:space="0"/>
              <w:left w:val="single" w:color="auto" w:sz="4" w:space="0"/>
              <w:bottom w:val="nil"/>
              <w:right w:val="single" w:color="auto" w:sz="4" w:space="0"/>
            </w:tcBorders>
            <w:noWrap w:val="0"/>
            <w:vAlign w:val="center"/>
          </w:tcPr>
          <w:p>
            <w:pPr>
              <w:jc w:val="center"/>
              <w:rPr>
                <w:rFonts w:ascii="宋体" w:hAnsi="宋体" w:eastAsia="宋体" w:cs="宋体"/>
                <w:color w:val="auto"/>
                <w:sz w:val="24"/>
                <w:highlight w:val="none"/>
              </w:rPr>
            </w:pPr>
          </w:p>
        </w:tc>
        <w:tc>
          <w:tcPr>
            <w:tcW w:w="1035" w:type="dxa"/>
            <w:tcBorders>
              <w:top w:val="single" w:color="auto" w:sz="4" w:space="0"/>
              <w:left w:val="single" w:color="auto" w:sz="4" w:space="0"/>
              <w:bottom w:val="nil"/>
            </w:tcBorders>
            <w:noWrap w:val="0"/>
            <w:vAlign w:val="center"/>
          </w:tcPr>
          <w:p>
            <w:pPr>
              <w:jc w:val="center"/>
              <w:rPr>
                <w:rFonts w:ascii="宋体" w:hAnsi="宋体" w:eastAsia="宋体" w:cs="宋体"/>
                <w:color w:val="auto"/>
                <w:sz w:val="24"/>
                <w:highlight w:val="none"/>
              </w:rPr>
            </w:pPr>
          </w:p>
        </w:tc>
        <w:tc>
          <w:tcPr>
            <w:tcW w:w="1995" w:type="dxa"/>
            <w:tcBorders>
              <w:top w:val="single" w:color="auto" w:sz="4" w:space="0"/>
              <w:bottom w:val="nil"/>
            </w:tcBorders>
            <w:noWrap w:val="0"/>
            <w:vAlign w:val="center"/>
          </w:tcPr>
          <w:p>
            <w:pPr>
              <w:pStyle w:val="70"/>
              <w:keepNext w:val="0"/>
              <w:adjustRightInd/>
              <w:spacing w:line="240" w:lineRule="auto"/>
              <w:textAlignment w:val="auto"/>
              <w:rPr>
                <w:rFonts w:ascii="宋体" w:hAnsi="宋体" w:eastAsia="宋体" w:cs="宋体"/>
                <w:snapToGrid/>
                <w:color w:val="auto"/>
                <w:spacing w:val="0"/>
                <w:kern w:val="2"/>
                <w:szCs w:val="24"/>
                <w:highlight w:val="none"/>
              </w:rPr>
            </w:pPr>
          </w:p>
        </w:tc>
        <w:tc>
          <w:tcPr>
            <w:tcW w:w="795" w:type="dxa"/>
            <w:tcBorders>
              <w:top w:val="single" w:color="auto" w:sz="4" w:space="0"/>
              <w:bottom w:val="nil"/>
            </w:tcBorders>
            <w:noWrap w:val="0"/>
            <w:vAlign w:val="center"/>
          </w:tcPr>
          <w:p>
            <w:pPr>
              <w:jc w:val="center"/>
              <w:rPr>
                <w:rFonts w:ascii="宋体" w:hAnsi="宋体" w:eastAsia="宋体" w:cs="宋体"/>
                <w:color w:val="auto"/>
                <w:sz w:val="24"/>
                <w:highlight w:val="none"/>
              </w:rPr>
            </w:pPr>
          </w:p>
        </w:tc>
        <w:tc>
          <w:tcPr>
            <w:tcW w:w="1440" w:type="dxa"/>
            <w:tcBorders>
              <w:top w:val="single" w:color="auto" w:sz="4" w:space="0"/>
              <w:bottom w:val="nil"/>
              <w:right w:val="single" w:color="auto" w:sz="4" w:space="0"/>
            </w:tcBorders>
            <w:noWrap w:val="0"/>
            <w:vAlign w:val="center"/>
          </w:tcPr>
          <w:p>
            <w:pPr>
              <w:ind w:firstLine="12"/>
              <w:jc w:val="center"/>
              <w:rPr>
                <w:rFonts w:ascii="宋体" w:hAnsi="宋体" w:eastAsia="宋体" w:cs="宋体"/>
                <w:color w:val="auto"/>
                <w:sz w:val="24"/>
                <w:highlight w:val="none"/>
              </w:rPr>
            </w:pPr>
          </w:p>
        </w:tc>
        <w:tc>
          <w:tcPr>
            <w:tcW w:w="900" w:type="dxa"/>
            <w:tcBorders>
              <w:top w:val="single" w:color="auto" w:sz="4" w:space="0"/>
              <w:bottom w:val="nil"/>
              <w:right w:val="single" w:color="auto" w:sz="4" w:space="0"/>
            </w:tcBorders>
            <w:noWrap w:val="0"/>
            <w:vAlign w:val="center"/>
          </w:tcPr>
          <w:p>
            <w:pPr>
              <w:ind w:firstLine="12"/>
              <w:jc w:val="center"/>
              <w:rPr>
                <w:rFonts w:ascii="宋体" w:hAnsi="宋体" w:eastAsia="宋体" w:cs="宋体"/>
                <w:color w:val="auto"/>
                <w:sz w:val="24"/>
                <w:highlight w:val="none"/>
              </w:rPr>
            </w:pPr>
          </w:p>
        </w:tc>
        <w:tc>
          <w:tcPr>
            <w:tcW w:w="990" w:type="dxa"/>
            <w:tcBorders>
              <w:top w:val="single" w:color="auto" w:sz="4" w:space="0"/>
              <w:bottom w:val="nil"/>
              <w:right w:val="single" w:color="auto" w:sz="4" w:space="0"/>
            </w:tcBorders>
            <w:noWrap w:val="0"/>
            <w:vAlign w:val="center"/>
          </w:tcPr>
          <w:p>
            <w:pPr>
              <w:ind w:firstLine="12"/>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5" w:type="dxa"/>
            <w:vMerge w:val="restart"/>
            <w:tcBorders>
              <w:left w:val="single" w:color="auto" w:sz="4" w:space="0"/>
              <w:right w:val="single" w:color="auto" w:sz="4" w:space="0"/>
            </w:tcBorders>
            <w:noWrap w:val="0"/>
            <w:vAlign w:val="center"/>
          </w:tcPr>
          <w:p>
            <w:pPr>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其他主要服务人员</w:t>
            </w:r>
          </w:p>
        </w:tc>
        <w:tc>
          <w:tcPr>
            <w:tcW w:w="780" w:type="dxa"/>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1035" w:type="dxa"/>
            <w:tcBorders>
              <w:left w:val="single" w:color="auto" w:sz="4" w:space="0"/>
            </w:tcBorders>
            <w:noWrap w:val="0"/>
            <w:vAlign w:val="center"/>
          </w:tcPr>
          <w:p>
            <w:pPr>
              <w:jc w:val="center"/>
              <w:rPr>
                <w:rFonts w:ascii="宋体" w:hAnsi="宋体" w:eastAsia="宋体" w:cs="宋体"/>
                <w:color w:val="auto"/>
                <w:sz w:val="24"/>
                <w:highlight w:val="none"/>
              </w:rPr>
            </w:pPr>
          </w:p>
        </w:tc>
        <w:tc>
          <w:tcPr>
            <w:tcW w:w="1995" w:type="dxa"/>
            <w:noWrap w:val="0"/>
            <w:vAlign w:val="center"/>
          </w:tcPr>
          <w:p>
            <w:pPr>
              <w:jc w:val="center"/>
              <w:rPr>
                <w:rFonts w:ascii="宋体" w:hAnsi="宋体" w:eastAsia="宋体" w:cs="宋体"/>
                <w:color w:val="auto"/>
                <w:sz w:val="24"/>
                <w:highlight w:val="none"/>
              </w:rPr>
            </w:pPr>
          </w:p>
        </w:tc>
        <w:tc>
          <w:tcPr>
            <w:tcW w:w="795" w:type="dxa"/>
            <w:noWrap w:val="0"/>
            <w:vAlign w:val="center"/>
          </w:tcPr>
          <w:p>
            <w:pPr>
              <w:jc w:val="center"/>
              <w:rPr>
                <w:rFonts w:ascii="宋体" w:hAnsi="宋体" w:eastAsia="宋体" w:cs="宋体"/>
                <w:color w:val="auto"/>
                <w:sz w:val="24"/>
                <w:highlight w:val="none"/>
              </w:rPr>
            </w:pPr>
          </w:p>
        </w:tc>
        <w:tc>
          <w:tcPr>
            <w:tcW w:w="144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0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90" w:type="dxa"/>
            <w:tcBorders>
              <w:right w:val="single" w:color="auto" w:sz="4" w:space="0"/>
            </w:tcBorders>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noWrap w:val="0"/>
            <w:vAlign w:val="center"/>
          </w:tcPr>
          <w:p>
            <w:pPr>
              <w:rPr>
                <w:rFonts w:ascii="宋体" w:hAnsi="宋体" w:eastAsia="宋体" w:cs="宋体"/>
                <w:color w:val="auto"/>
                <w:sz w:val="24"/>
                <w:highlight w:val="none"/>
              </w:rPr>
            </w:pPr>
          </w:p>
        </w:tc>
        <w:tc>
          <w:tcPr>
            <w:tcW w:w="780" w:type="dxa"/>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1035" w:type="dxa"/>
            <w:tcBorders>
              <w:left w:val="single" w:color="auto" w:sz="4" w:space="0"/>
            </w:tcBorders>
            <w:noWrap w:val="0"/>
            <w:vAlign w:val="center"/>
          </w:tcPr>
          <w:p>
            <w:pPr>
              <w:jc w:val="center"/>
              <w:rPr>
                <w:rFonts w:ascii="宋体" w:hAnsi="宋体" w:eastAsia="宋体" w:cs="宋体"/>
                <w:color w:val="auto"/>
                <w:sz w:val="24"/>
                <w:highlight w:val="none"/>
              </w:rPr>
            </w:pPr>
          </w:p>
        </w:tc>
        <w:tc>
          <w:tcPr>
            <w:tcW w:w="1995" w:type="dxa"/>
            <w:noWrap w:val="0"/>
            <w:vAlign w:val="center"/>
          </w:tcPr>
          <w:p>
            <w:pPr>
              <w:jc w:val="center"/>
              <w:rPr>
                <w:rFonts w:ascii="宋体" w:hAnsi="宋体" w:eastAsia="宋体" w:cs="宋体"/>
                <w:color w:val="auto"/>
                <w:sz w:val="24"/>
                <w:highlight w:val="none"/>
              </w:rPr>
            </w:pPr>
          </w:p>
        </w:tc>
        <w:tc>
          <w:tcPr>
            <w:tcW w:w="795" w:type="dxa"/>
            <w:noWrap w:val="0"/>
            <w:vAlign w:val="center"/>
          </w:tcPr>
          <w:p>
            <w:pPr>
              <w:jc w:val="center"/>
              <w:rPr>
                <w:rFonts w:ascii="宋体" w:hAnsi="宋体" w:eastAsia="宋体" w:cs="宋体"/>
                <w:color w:val="auto"/>
                <w:sz w:val="24"/>
                <w:highlight w:val="none"/>
              </w:rPr>
            </w:pPr>
          </w:p>
        </w:tc>
        <w:tc>
          <w:tcPr>
            <w:tcW w:w="144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0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90" w:type="dxa"/>
            <w:tcBorders>
              <w:right w:val="single" w:color="auto" w:sz="4" w:space="0"/>
            </w:tcBorders>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noWrap w:val="0"/>
            <w:vAlign w:val="center"/>
          </w:tcPr>
          <w:p>
            <w:pPr>
              <w:rPr>
                <w:rFonts w:ascii="宋体" w:hAnsi="宋体" w:eastAsia="宋体" w:cs="宋体"/>
                <w:color w:val="auto"/>
                <w:sz w:val="24"/>
                <w:highlight w:val="none"/>
              </w:rPr>
            </w:pPr>
          </w:p>
        </w:tc>
        <w:tc>
          <w:tcPr>
            <w:tcW w:w="780" w:type="dxa"/>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1035" w:type="dxa"/>
            <w:tcBorders>
              <w:left w:val="single" w:color="auto" w:sz="4" w:space="0"/>
            </w:tcBorders>
            <w:noWrap w:val="0"/>
            <w:vAlign w:val="center"/>
          </w:tcPr>
          <w:p>
            <w:pPr>
              <w:jc w:val="center"/>
              <w:rPr>
                <w:rFonts w:ascii="宋体" w:hAnsi="宋体" w:eastAsia="宋体" w:cs="宋体"/>
                <w:color w:val="auto"/>
                <w:sz w:val="24"/>
                <w:highlight w:val="none"/>
              </w:rPr>
            </w:pPr>
          </w:p>
        </w:tc>
        <w:tc>
          <w:tcPr>
            <w:tcW w:w="1995" w:type="dxa"/>
            <w:noWrap w:val="0"/>
            <w:vAlign w:val="center"/>
          </w:tcPr>
          <w:p>
            <w:pPr>
              <w:jc w:val="center"/>
              <w:rPr>
                <w:rFonts w:ascii="宋体" w:hAnsi="宋体" w:eastAsia="宋体" w:cs="宋体"/>
                <w:color w:val="auto"/>
                <w:sz w:val="24"/>
                <w:highlight w:val="none"/>
              </w:rPr>
            </w:pPr>
          </w:p>
        </w:tc>
        <w:tc>
          <w:tcPr>
            <w:tcW w:w="795" w:type="dxa"/>
            <w:noWrap w:val="0"/>
            <w:vAlign w:val="center"/>
          </w:tcPr>
          <w:p>
            <w:pPr>
              <w:jc w:val="center"/>
              <w:rPr>
                <w:rFonts w:ascii="宋体" w:hAnsi="宋体" w:eastAsia="宋体" w:cs="宋体"/>
                <w:color w:val="auto"/>
                <w:sz w:val="24"/>
                <w:highlight w:val="none"/>
              </w:rPr>
            </w:pPr>
          </w:p>
        </w:tc>
        <w:tc>
          <w:tcPr>
            <w:tcW w:w="144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0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90" w:type="dxa"/>
            <w:tcBorders>
              <w:right w:val="single" w:color="auto" w:sz="4" w:space="0"/>
            </w:tcBorders>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780" w:type="dxa"/>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1035" w:type="dxa"/>
            <w:tcBorders>
              <w:left w:val="single" w:color="auto" w:sz="4" w:space="0"/>
            </w:tcBorders>
            <w:noWrap w:val="0"/>
            <w:vAlign w:val="center"/>
          </w:tcPr>
          <w:p>
            <w:pPr>
              <w:jc w:val="center"/>
              <w:rPr>
                <w:rFonts w:ascii="宋体" w:hAnsi="宋体" w:eastAsia="宋体" w:cs="宋体"/>
                <w:color w:val="auto"/>
                <w:sz w:val="24"/>
                <w:highlight w:val="none"/>
              </w:rPr>
            </w:pPr>
          </w:p>
        </w:tc>
        <w:tc>
          <w:tcPr>
            <w:tcW w:w="1995" w:type="dxa"/>
            <w:noWrap w:val="0"/>
            <w:vAlign w:val="center"/>
          </w:tcPr>
          <w:p>
            <w:pPr>
              <w:jc w:val="center"/>
              <w:rPr>
                <w:rFonts w:ascii="宋体" w:hAnsi="宋体" w:eastAsia="宋体" w:cs="宋体"/>
                <w:color w:val="auto"/>
                <w:sz w:val="24"/>
                <w:highlight w:val="none"/>
              </w:rPr>
            </w:pPr>
          </w:p>
        </w:tc>
        <w:tc>
          <w:tcPr>
            <w:tcW w:w="795" w:type="dxa"/>
            <w:noWrap w:val="0"/>
            <w:vAlign w:val="center"/>
          </w:tcPr>
          <w:p>
            <w:pPr>
              <w:jc w:val="center"/>
              <w:rPr>
                <w:rFonts w:ascii="宋体" w:hAnsi="宋体" w:eastAsia="宋体" w:cs="宋体"/>
                <w:color w:val="auto"/>
                <w:sz w:val="24"/>
                <w:highlight w:val="none"/>
              </w:rPr>
            </w:pPr>
          </w:p>
        </w:tc>
        <w:tc>
          <w:tcPr>
            <w:tcW w:w="144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0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90" w:type="dxa"/>
            <w:tcBorders>
              <w:right w:val="single" w:color="auto" w:sz="4" w:space="0"/>
            </w:tcBorders>
            <w:noWrap w:val="0"/>
            <w:vAlign w:val="center"/>
          </w:tcPr>
          <w:p>
            <w:pPr>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85" w:type="dxa"/>
            <w:vMerge w:val="continue"/>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780" w:type="dxa"/>
            <w:tcBorders>
              <w:left w:val="single" w:color="auto" w:sz="4" w:space="0"/>
              <w:right w:val="single" w:color="auto" w:sz="4" w:space="0"/>
            </w:tcBorders>
            <w:noWrap w:val="0"/>
            <w:vAlign w:val="center"/>
          </w:tcPr>
          <w:p>
            <w:pPr>
              <w:jc w:val="center"/>
              <w:rPr>
                <w:rFonts w:ascii="宋体" w:hAnsi="宋体" w:eastAsia="宋体" w:cs="宋体"/>
                <w:color w:val="auto"/>
                <w:sz w:val="24"/>
                <w:highlight w:val="none"/>
              </w:rPr>
            </w:pPr>
          </w:p>
        </w:tc>
        <w:tc>
          <w:tcPr>
            <w:tcW w:w="1035" w:type="dxa"/>
            <w:tcBorders>
              <w:left w:val="single" w:color="auto" w:sz="4" w:space="0"/>
            </w:tcBorders>
            <w:noWrap w:val="0"/>
            <w:vAlign w:val="center"/>
          </w:tcPr>
          <w:p>
            <w:pPr>
              <w:jc w:val="center"/>
              <w:rPr>
                <w:rFonts w:ascii="宋体" w:hAnsi="宋体" w:eastAsia="宋体" w:cs="宋体"/>
                <w:color w:val="auto"/>
                <w:sz w:val="24"/>
                <w:highlight w:val="none"/>
              </w:rPr>
            </w:pPr>
          </w:p>
        </w:tc>
        <w:tc>
          <w:tcPr>
            <w:tcW w:w="1995" w:type="dxa"/>
            <w:noWrap w:val="0"/>
            <w:vAlign w:val="center"/>
          </w:tcPr>
          <w:p>
            <w:pPr>
              <w:jc w:val="center"/>
              <w:rPr>
                <w:rFonts w:ascii="宋体" w:hAnsi="宋体" w:eastAsia="宋体" w:cs="宋体"/>
                <w:color w:val="auto"/>
                <w:sz w:val="24"/>
                <w:highlight w:val="none"/>
              </w:rPr>
            </w:pPr>
          </w:p>
        </w:tc>
        <w:tc>
          <w:tcPr>
            <w:tcW w:w="795" w:type="dxa"/>
            <w:noWrap w:val="0"/>
            <w:vAlign w:val="center"/>
          </w:tcPr>
          <w:p>
            <w:pPr>
              <w:jc w:val="center"/>
              <w:rPr>
                <w:rFonts w:ascii="宋体" w:hAnsi="宋体" w:eastAsia="宋体" w:cs="宋体"/>
                <w:color w:val="auto"/>
                <w:sz w:val="24"/>
                <w:highlight w:val="none"/>
              </w:rPr>
            </w:pPr>
          </w:p>
        </w:tc>
        <w:tc>
          <w:tcPr>
            <w:tcW w:w="144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00" w:type="dxa"/>
            <w:tcBorders>
              <w:right w:val="single" w:color="auto" w:sz="4" w:space="0"/>
            </w:tcBorders>
            <w:noWrap w:val="0"/>
            <w:vAlign w:val="center"/>
          </w:tcPr>
          <w:p>
            <w:pPr>
              <w:jc w:val="center"/>
              <w:rPr>
                <w:rFonts w:ascii="宋体" w:hAnsi="宋体" w:eastAsia="宋体" w:cs="宋体"/>
                <w:color w:val="auto"/>
                <w:sz w:val="24"/>
                <w:highlight w:val="none"/>
              </w:rPr>
            </w:pPr>
          </w:p>
        </w:tc>
        <w:tc>
          <w:tcPr>
            <w:tcW w:w="990" w:type="dxa"/>
            <w:tcBorders>
              <w:right w:val="single" w:color="auto" w:sz="4" w:space="0"/>
            </w:tcBorders>
            <w:noWrap w:val="0"/>
            <w:vAlign w:val="center"/>
          </w:tcPr>
          <w:p>
            <w:pPr>
              <w:jc w:val="center"/>
              <w:rPr>
                <w:rFonts w:ascii="宋体" w:hAnsi="宋体" w:eastAsia="宋体" w:cs="宋体"/>
                <w:color w:val="auto"/>
                <w:sz w:val="24"/>
                <w:highlight w:val="none"/>
              </w:rPr>
            </w:pPr>
          </w:p>
        </w:tc>
      </w:tr>
    </w:tbl>
    <w:p>
      <w:pPr>
        <w:adjustRightInd w:val="0"/>
        <w:snapToGrid w:val="0"/>
        <w:spacing w:before="120" w:beforeLines="50" w:line="360" w:lineRule="auto"/>
        <w:ind w:firstLine="480" w:firstLineChars="200"/>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注：按招标文件要求提供人员的相关证明文件。</w:t>
      </w:r>
    </w:p>
    <w:p>
      <w:pPr>
        <w:rPr>
          <w:rFonts w:ascii="宋体" w:hAnsi="宋体" w:eastAsia="宋体" w:cs="宋体"/>
          <w:color w:val="auto"/>
          <w:sz w:val="24"/>
          <w:highlight w:val="none"/>
          <w:lang w:val="en-GB"/>
        </w:rPr>
      </w:pPr>
    </w:p>
    <w:p>
      <w:pPr>
        <w:rPr>
          <w:rFonts w:ascii="宋体" w:hAnsi="宋体" w:eastAsia="宋体" w:cs="宋体"/>
          <w:color w:val="auto"/>
          <w:sz w:val="24"/>
          <w:highlight w:val="none"/>
          <w:lang w:val="en-GB"/>
        </w:rPr>
      </w:pPr>
    </w:p>
    <w:p>
      <w:pPr>
        <w:rPr>
          <w:rFonts w:ascii="宋体" w:hAnsi="宋体" w:eastAsia="宋体" w:cs="宋体"/>
          <w:color w:val="auto"/>
          <w:sz w:val="24"/>
          <w:highlight w:val="none"/>
          <w:lang w:val="en-GB"/>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widowControl/>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pStyle w:val="5"/>
        <w:numPr>
          <w:ilvl w:val="0"/>
          <w:numId w:val="77"/>
        </w:numPr>
        <w:jc w:val="center"/>
        <w:rPr>
          <w:color w:val="auto"/>
          <w:highlight w:val="none"/>
        </w:rPr>
      </w:pPr>
      <w:bookmarkStart w:id="512" w:name="_Toc12131"/>
      <w:bookmarkStart w:id="513" w:name="_Toc31433"/>
      <w:bookmarkStart w:id="514" w:name="_Toc20924"/>
      <w:bookmarkStart w:id="515" w:name="_Toc483642780"/>
      <w:r>
        <w:rPr>
          <w:rFonts w:hint="eastAsia"/>
          <w:color w:val="auto"/>
          <w:highlight w:val="none"/>
        </w:rPr>
        <w:t>专业人员的时间计划表</w:t>
      </w:r>
      <w:bookmarkEnd w:id="512"/>
      <w:bookmarkEnd w:id="513"/>
      <w:bookmarkEnd w:id="514"/>
      <w:bookmarkEnd w:id="515"/>
    </w:p>
    <w:p>
      <w:pPr>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说明：就本项目所派团队各人员的进驻时间、工作明细时间、工作量等进行安排。</w:t>
      </w: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p>
      <w:pPr>
        <w:pStyle w:val="68"/>
        <w:rPr>
          <w:rFonts w:ascii="仿宋_GB2312" w:hAnsi="仿宋" w:eastAsia="仿宋_GB2312"/>
          <w:color w:val="auto"/>
          <w:highlight w:val="none"/>
          <w:lang w:val="en-GB"/>
        </w:rPr>
      </w:pPr>
    </w:p>
    <w:bookmarkEnd w:id="497"/>
    <w:bookmarkEnd w:id="502"/>
    <w:p>
      <w:pPr>
        <w:rPr>
          <w:rFonts w:ascii="仿宋_GB2312" w:hAnsi="仿宋" w:eastAsia="仿宋_GB2312"/>
          <w:color w:val="auto"/>
          <w:highlight w:val="none"/>
          <w:lang w:val="en-GB"/>
        </w:rPr>
      </w:pP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p>
    <w:p>
      <w:pPr>
        <w:pStyle w:val="5"/>
        <w:numPr>
          <w:ilvl w:val="0"/>
          <w:numId w:val="77"/>
        </w:numPr>
        <w:jc w:val="center"/>
        <w:rPr>
          <w:color w:val="auto"/>
          <w:highlight w:val="none"/>
        </w:rPr>
      </w:pPr>
      <w:bookmarkStart w:id="516" w:name="_Toc4354"/>
      <w:bookmarkStart w:id="517" w:name="_Toc16929"/>
      <w:bookmarkStart w:id="518" w:name="_Toc29816"/>
      <w:bookmarkStart w:id="519" w:name="_Toc4522"/>
      <w:r>
        <w:rPr>
          <w:rFonts w:hint="eastAsia"/>
          <w:color w:val="auto"/>
          <w:highlight w:val="none"/>
        </w:rPr>
        <w:t>履约进度计划表</w:t>
      </w:r>
      <w:bookmarkEnd w:id="516"/>
      <w:bookmarkEnd w:id="517"/>
      <w:bookmarkEnd w:id="518"/>
      <w:bookmarkEnd w:id="519"/>
    </w:p>
    <w:tbl>
      <w:tblPr>
        <w:tblStyle w:val="41"/>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99"/>
        <w:gridCol w:w="2838"/>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7" w:type="dxa"/>
            <w:shd w:val="clear" w:color="auto" w:fill="EAEAEA"/>
            <w:noWrap w:val="0"/>
            <w:vAlign w:val="center"/>
          </w:tcPr>
          <w:p>
            <w:pPr>
              <w:tabs>
                <w:tab w:val="left" w:pos="540"/>
              </w:tabs>
              <w:adjustRightInd w:val="0"/>
              <w:snapToGrid w:val="0"/>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899" w:type="dxa"/>
            <w:shd w:val="clear" w:color="auto" w:fill="EAEAEA"/>
            <w:noWrap w:val="0"/>
            <w:vAlign w:val="center"/>
          </w:tcPr>
          <w:p>
            <w:pPr>
              <w:tabs>
                <w:tab w:val="left" w:pos="540"/>
              </w:tabs>
              <w:adjustRightInd w:val="0"/>
              <w:snapToGrid w:val="0"/>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拟定时间安排</w:t>
            </w:r>
          </w:p>
        </w:tc>
        <w:tc>
          <w:tcPr>
            <w:tcW w:w="2838" w:type="dxa"/>
            <w:shd w:val="clear" w:color="auto" w:fill="EAEAEA"/>
            <w:noWrap w:val="0"/>
            <w:vAlign w:val="center"/>
          </w:tcPr>
          <w:p>
            <w:pPr>
              <w:tabs>
                <w:tab w:val="left" w:pos="540"/>
              </w:tabs>
              <w:adjustRightInd w:val="0"/>
              <w:snapToGrid w:val="0"/>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计划完成的工作内容</w:t>
            </w:r>
          </w:p>
        </w:tc>
        <w:tc>
          <w:tcPr>
            <w:tcW w:w="2284" w:type="dxa"/>
            <w:shd w:val="clear" w:color="auto" w:fill="EAEAEA"/>
            <w:noWrap w:val="0"/>
            <w:vAlign w:val="center"/>
          </w:tcPr>
          <w:p>
            <w:pPr>
              <w:tabs>
                <w:tab w:val="left" w:pos="540"/>
              </w:tabs>
              <w:adjustRightInd w:val="0"/>
              <w:snapToGrid w:val="0"/>
              <w:spacing w:line="44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center"/>
          </w:tcPr>
          <w:p>
            <w:pPr>
              <w:numPr>
                <w:ilvl w:val="0"/>
                <w:numId w:val="84"/>
              </w:numPr>
              <w:adjustRightInd w:val="0"/>
              <w:snapToGrid w:val="0"/>
              <w:spacing w:line="440" w:lineRule="exact"/>
              <w:jc w:val="center"/>
              <w:rPr>
                <w:rFonts w:ascii="宋体" w:hAnsi="宋体" w:eastAsia="宋体" w:cs="宋体"/>
                <w:color w:val="auto"/>
                <w:sz w:val="24"/>
                <w:highlight w:val="none"/>
              </w:rPr>
            </w:pPr>
          </w:p>
        </w:tc>
        <w:tc>
          <w:tcPr>
            <w:tcW w:w="2899"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拟定  年  月   日</w:t>
            </w:r>
          </w:p>
        </w:tc>
        <w:tc>
          <w:tcPr>
            <w:tcW w:w="2838"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签定合同并生效</w:t>
            </w:r>
          </w:p>
        </w:tc>
        <w:tc>
          <w:tcPr>
            <w:tcW w:w="2284"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center"/>
          </w:tcPr>
          <w:p>
            <w:pPr>
              <w:numPr>
                <w:ilvl w:val="0"/>
                <w:numId w:val="84"/>
              </w:numPr>
              <w:adjustRightInd w:val="0"/>
              <w:snapToGrid w:val="0"/>
              <w:spacing w:line="440" w:lineRule="exact"/>
              <w:jc w:val="center"/>
              <w:rPr>
                <w:rFonts w:ascii="宋体" w:hAnsi="宋体" w:eastAsia="宋体" w:cs="宋体"/>
                <w:color w:val="auto"/>
                <w:sz w:val="24"/>
                <w:highlight w:val="none"/>
              </w:rPr>
            </w:pPr>
          </w:p>
        </w:tc>
        <w:tc>
          <w:tcPr>
            <w:tcW w:w="2899"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月   日—   月   日</w:t>
            </w:r>
          </w:p>
        </w:tc>
        <w:tc>
          <w:tcPr>
            <w:tcW w:w="2838"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c>
          <w:tcPr>
            <w:tcW w:w="2284"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center"/>
          </w:tcPr>
          <w:p>
            <w:pPr>
              <w:numPr>
                <w:ilvl w:val="0"/>
                <w:numId w:val="84"/>
              </w:numPr>
              <w:adjustRightInd w:val="0"/>
              <w:snapToGrid w:val="0"/>
              <w:spacing w:line="440" w:lineRule="exact"/>
              <w:jc w:val="center"/>
              <w:rPr>
                <w:rFonts w:ascii="宋体" w:hAnsi="宋体" w:eastAsia="宋体" w:cs="宋体"/>
                <w:color w:val="auto"/>
                <w:sz w:val="24"/>
                <w:highlight w:val="none"/>
              </w:rPr>
            </w:pPr>
          </w:p>
        </w:tc>
        <w:tc>
          <w:tcPr>
            <w:tcW w:w="2899"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月   日—   月   日</w:t>
            </w:r>
          </w:p>
        </w:tc>
        <w:tc>
          <w:tcPr>
            <w:tcW w:w="2838"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c>
          <w:tcPr>
            <w:tcW w:w="2284"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7" w:type="dxa"/>
            <w:noWrap w:val="0"/>
            <w:vAlign w:val="center"/>
          </w:tcPr>
          <w:p>
            <w:pPr>
              <w:numPr>
                <w:ilvl w:val="0"/>
                <w:numId w:val="84"/>
              </w:numPr>
              <w:adjustRightInd w:val="0"/>
              <w:snapToGrid w:val="0"/>
              <w:spacing w:line="440" w:lineRule="exact"/>
              <w:jc w:val="center"/>
              <w:rPr>
                <w:rFonts w:ascii="宋体" w:hAnsi="宋体" w:eastAsia="宋体" w:cs="宋体"/>
                <w:color w:val="auto"/>
                <w:sz w:val="24"/>
                <w:highlight w:val="none"/>
              </w:rPr>
            </w:pPr>
          </w:p>
        </w:tc>
        <w:tc>
          <w:tcPr>
            <w:tcW w:w="2899"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月   日—   月   日</w:t>
            </w:r>
          </w:p>
        </w:tc>
        <w:tc>
          <w:tcPr>
            <w:tcW w:w="2838"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c>
          <w:tcPr>
            <w:tcW w:w="2284" w:type="dxa"/>
            <w:noWrap w:val="0"/>
            <w:vAlign w:val="center"/>
          </w:tcPr>
          <w:p>
            <w:pPr>
              <w:tabs>
                <w:tab w:val="left" w:pos="540"/>
              </w:tabs>
              <w:adjustRightInd w:val="0"/>
              <w:snapToGrid w:val="0"/>
              <w:spacing w:line="440" w:lineRule="exact"/>
              <w:jc w:val="center"/>
              <w:rPr>
                <w:rFonts w:ascii="宋体" w:hAnsi="宋体" w:eastAsia="宋体" w:cs="宋体"/>
                <w:color w:val="auto"/>
                <w:sz w:val="24"/>
                <w:highlight w:val="none"/>
              </w:rPr>
            </w:pPr>
          </w:p>
        </w:tc>
      </w:tr>
    </w:tbl>
    <w:p>
      <w:pPr>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注：可根据项目实际情况</w:t>
      </w:r>
      <w:r>
        <w:rPr>
          <w:rFonts w:hint="eastAsia" w:ascii="宋体" w:hAnsi="宋体" w:eastAsia="宋体" w:cs="宋体"/>
          <w:bCs/>
          <w:color w:val="auto"/>
          <w:sz w:val="24"/>
          <w:highlight w:val="none"/>
        </w:rPr>
        <w:t>增加表格栏。</w:t>
      </w:r>
    </w:p>
    <w:p>
      <w:pPr>
        <w:adjustRightInd w:val="0"/>
        <w:snapToGrid w:val="0"/>
        <w:spacing w:before="72" w:after="72" w:line="480" w:lineRule="auto"/>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p>
    <w:p>
      <w:pPr>
        <w:pStyle w:val="5"/>
        <w:numPr>
          <w:ilvl w:val="0"/>
          <w:numId w:val="77"/>
        </w:numPr>
        <w:jc w:val="center"/>
        <w:rPr>
          <w:color w:val="auto"/>
          <w:highlight w:val="none"/>
        </w:rPr>
      </w:pPr>
      <w:bookmarkStart w:id="520" w:name="_Toc16310"/>
      <w:bookmarkStart w:id="521" w:name="_Toc2994"/>
      <w:bookmarkStart w:id="522" w:name="_Toc937"/>
      <w:bookmarkStart w:id="523" w:name="_Toc1324"/>
      <w:r>
        <w:rPr>
          <w:rFonts w:hint="eastAsia"/>
          <w:color w:val="auto"/>
          <w:highlight w:val="none"/>
        </w:rPr>
        <w:t>组织实施方案</w:t>
      </w:r>
      <w:bookmarkEnd w:id="520"/>
      <w:bookmarkEnd w:id="521"/>
      <w:bookmarkEnd w:id="522"/>
      <w:bookmarkEnd w:id="523"/>
    </w:p>
    <w:p>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投标人应按招标文件要求的内容和顺序，对完成整个项目提出相应的实施方案。对含糊不清或欠具体明确之处，评标委员会可视为投标人履约能力不足或响应不全处理。组织实施方案的内容应包括：</w:t>
      </w:r>
    </w:p>
    <w:p>
      <w:pPr>
        <w:numPr>
          <w:ilvl w:val="0"/>
          <w:numId w:val="85"/>
        </w:numPr>
        <w:tabs>
          <w:tab w:val="left" w:pos="840"/>
        </w:tabs>
        <w:spacing w:line="360" w:lineRule="auto"/>
        <w:rPr>
          <w:rFonts w:ascii="宋体" w:hAnsi="宋体" w:eastAsia="宋体" w:cs="宋体"/>
          <w:color w:val="auto"/>
          <w:sz w:val="24"/>
          <w:highlight w:val="none"/>
          <w:lang w:val="en-GB"/>
        </w:rPr>
      </w:pPr>
      <w:r>
        <w:rPr>
          <w:rFonts w:hint="eastAsia" w:ascii="宋体" w:hAnsi="宋体" w:eastAsia="宋体" w:cs="宋体"/>
          <w:color w:val="auto"/>
          <w:kern w:val="0"/>
          <w:sz w:val="24"/>
          <w:highlight w:val="none"/>
        </w:rPr>
        <w:t>《技术评审表》要求提供的相应内容。</w:t>
      </w:r>
    </w:p>
    <w:p>
      <w:pPr>
        <w:numPr>
          <w:ilvl w:val="0"/>
          <w:numId w:val="85"/>
        </w:numPr>
        <w:tabs>
          <w:tab w:val="left" w:pos="840"/>
        </w:tabs>
        <w:spacing w:line="360" w:lineRule="auto"/>
        <w:rPr>
          <w:rFonts w:ascii="宋体" w:hAnsi="宋体" w:eastAsia="宋体" w:cs="宋体"/>
          <w:color w:val="auto"/>
          <w:sz w:val="24"/>
          <w:highlight w:val="none"/>
          <w:lang w:val="en-GB"/>
        </w:rPr>
      </w:pPr>
      <w:r>
        <w:rPr>
          <w:rFonts w:hint="eastAsia" w:ascii="宋体" w:hAnsi="宋体" w:eastAsia="宋体" w:cs="宋体"/>
          <w:color w:val="auto"/>
          <w:sz w:val="24"/>
          <w:highlight w:val="none"/>
          <w:lang w:val="en-GB"/>
        </w:rPr>
        <w:t>投标人认为有必要的其他事项。</w:t>
      </w:r>
    </w:p>
    <w:p>
      <w:pPr>
        <w:tabs>
          <w:tab w:val="left" w:pos="840"/>
        </w:tabs>
        <w:spacing w:line="360" w:lineRule="auto"/>
        <w:ind w:left="400"/>
        <w:rPr>
          <w:rFonts w:ascii="宋体" w:hAnsi="宋体" w:eastAsia="宋体" w:cs="宋体"/>
          <w:color w:val="auto"/>
          <w:sz w:val="24"/>
          <w:highlight w:val="none"/>
          <w:lang w:val="en-GB"/>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line="300" w:lineRule="auto"/>
        <w:rPr>
          <w:rFonts w:ascii="仿宋_GB2312" w:hAnsi="仿宋" w:eastAsia="仿宋_GB2312"/>
          <w:color w:val="auto"/>
          <w:szCs w:val="21"/>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投标人名称（加盖公章）：</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before="72" w:after="72" w:line="400" w:lineRule="exact"/>
        <w:rPr>
          <w:rFonts w:eastAsia="仿宋_GB2312"/>
          <w:color w:val="auto"/>
          <w:highlight w:val="none"/>
        </w:rPr>
      </w:pPr>
      <w:bookmarkStart w:id="524" w:name="_Toc50737326"/>
      <w:bookmarkEnd w:id="524"/>
      <w:bookmarkStart w:id="525" w:name="_Toc50736474"/>
      <w:bookmarkEnd w:id="525"/>
      <w:bookmarkStart w:id="526" w:name="_Toc50691030"/>
      <w:bookmarkEnd w:id="526"/>
      <w:bookmarkStart w:id="527" w:name="_Toc168730818"/>
      <w:bookmarkEnd w:id="527"/>
      <w:bookmarkStart w:id="528" w:name="_Toc169318448"/>
      <w:bookmarkEnd w:id="528"/>
      <w:bookmarkStart w:id="529" w:name="_Toc50737294"/>
      <w:bookmarkEnd w:id="529"/>
      <w:bookmarkStart w:id="530" w:name="_Toc182886670"/>
      <w:bookmarkEnd w:id="530"/>
      <w:bookmarkStart w:id="531" w:name="_Toc183316730"/>
      <w:bookmarkEnd w:id="531"/>
      <w:bookmarkStart w:id="532" w:name="_Toc168288376"/>
      <w:bookmarkEnd w:id="532"/>
      <w:bookmarkStart w:id="533" w:name="_Toc52165078"/>
      <w:bookmarkEnd w:id="533"/>
    </w:p>
    <w:p>
      <w:pPr>
        <w:spacing w:before="72" w:after="72" w:line="400" w:lineRule="exact"/>
        <w:rPr>
          <w:rFonts w:eastAsia="仿宋_GB2312"/>
          <w:color w:val="auto"/>
          <w:highlight w:val="none"/>
        </w:rPr>
      </w:pPr>
    </w:p>
    <w:p>
      <w:pPr>
        <w:widowControl/>
        <w:jc w:val="left"/>
        <w:rPr>
          <w:rFonts w:ascii="宋体" w:hAnsi="宋体" w:eastAsia="宋体" w:cs="宋体"/>
          <w:color w:val="auto"/>
          <w:sz w:val="24"/>
          <w:highlight w:val="none"/>
        </w:rPr>
      </w:pPr>
      <w:r>
        <w:rPr>
          <w:rFonts w:ascii="宋体" w:hAnsi="宋体" w:eastAsia="宋体" w:cs="宋体"/>
          <w:color w:val="auto"/>
          <w:sz w:val="24"/>
          <w:highlight w:val="none"/>
        </w:rPr>
        <w:br w:type="page"/>
      </w: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spacing w:before="72" w:after="72" w:line="400" w:lineRule="exact"/>
        <w:rPr>
          <w:rFonts w:eastAsia="仿宋_GB2312"/>
          <w:color w:val="auto"/>
          <w:highlight w:val="none"/>
        </w:rPr>
      </w:pPr>
    </w:p>
    <w:p>
      <w:pPr>
        <w:pStyle w:val="4"/>
        <w:jc w:val="center"/>
        <w:rPr>
          <w:color w:val="auto"/>
          <w:sz w:val="44"/>
          <w:szCs w:val="44"/>
          <w:highlight w:val="none"/>
        </w:rPr>
      </w:pPr>
      <w:bookmarkStart w:id="534" w:name="_Toc10741"/>
      <w:bookmarkStart w:id="535" w:name="_Toc11275"/>
      <w:bookmarkStart w:id="536" w:name="_Toc381489454"/>
      <w:bookmarkStart w:id="537" w:name="_Toc8370"/>
      <w:bookmarkStart w:id="538" w:name="_Toc4164"/>
      <w:bookmarkStart w:id="539" w:name="_Toc483642784"/>
      <w:bookmarkStart w:id="540" w:name="_Toc423021980"/>
      <w:r>
        <w:rPr>
          <w:rFonts w:hint="eastAsia"/>
          <w:color w:val="auto"/>
          <w:sz w:val="44"/>
          <w:szCs w:val="44"/>
          <w:highlight w:val="none"/>
        </w:rPr>
        <w:t>第五部分</w:t>
      </w:r>
      <w:r>
        <w:rPr>
          <w:color w:val="auto"/>
          <w:sz w:val="44"/>
          <w:szCs w:val="44"/>
          <w:highlight w:val="none"/>
        </w:rPr>
        <w:t>报价文件</w:t>
      </w:r>
      <w:bookmarkEnd w:id="534"/>
      <w:bookmarkEnd w:id="535"/>
      <w:bookmarkEnd w:id="536"/>
      <w:bookmarkEnd w:id="537"/>
      <w:bookmarkEnd w:id="538"/>
      <w:bookmarkEnd w:id="539"/>
      <w:bookmarkEnd w:id="540"/>
    </w:p>
    <w:p>
      <w:pPr>
        <w:rPr>
          <w:color w:val="auto"/>
          <w:highlight w:val="none"/>
        </w:rPr>
      </w:pPr>
      <w:bookmarkStart w:id="541" w:name="_Toc196294653"/>
      <w:bookmarkStart w:id="542" w:name="_Toc196109464"/>
    </w:p>
    <w:p>
      <w:pPr>
        <w:rPr>
          <w:color w:val="auto"/>
          <w:highlight w:val="none"/>
        </w:rPr>
      </w:pPr>
    </w:p>
    <w:p>
      <w:pPr>
        <w:pStyle w:val="72"/>
        <w:spacing w:before="240" w:beforeLines="100" w:after="240" w:afterLines="100" w:line="360" w:lineRule="auto"/>
        <w:outlineLvl w:val="9"/>
        <w:rPr>
          <w:rFonts w:ascii="Times New Roman" w:hAnsi="Times New Roman" w:eastAsia="宋体"/>
          <w:b/>
          <w:color w:val="auto"/>
          <w:kern w:val="2"/>
          <w:szCs w:val="32"/>
          <w:highlight w:val="none"/>
        </w:rPr>
        <w:sectPr>
          <w:pgSz w:w="11906" w:h="16838"/>
          <w:pgMar w:top="1440" w:right="1800" w:bottom="1440" w:left="1800" w:header="851" w:footer="822" w:gutter="0"/>
          <w:cols w:space="720" w:num="1"/>
          <w:docGrid w:linePitch="312" w:charSpace="0"/>
        </w:sectPr>
      </w:pPr>
      <w:bookmarkStart w:id="543" w:name="_Toc381489455"/>
      <w:bookmarkEnd w:id="543"/>
      <w:bookmarkStart w:id="544" w:name="_Toc423021981"/>
      <w:bookmarkEnd w:id="544"/>
      <w:bookmarkStart w:id="545" w:name="_Toc196294652"/>
      <w:bookmarkEnd w:id="545"/>
      <w:bookmarkStart w:id="546" w:name="_Toc196109463"/>
      <w:bookmarkEnd w:id="546"/>
    </w:p>
    <w:p>
      <w:pPr>
        <w:pStyle w:val="5"/>
        <w:numPr>
          <w:ilvl w:val="0"/>
          <w:numId w:val="86"/>
        </w:numPr>
        <w:jc w:val="center"/>
        <w:rPr>
          <w:color w:val="auto"/>
          <w:highlight w:val="none"/>
        </w:rPr>
      </w:pPr>
      <w:bookmarkStart w:id="547" w:name="_Toc10215"/>
      <w:bookmarkStart w:id="548" w:name="_Toc26460"/>
      <w:bookmarkStart w:id="549" w:name="_Toc483642785"/>
      <w:bookmarkStart w:id="550" w:name="_Toc32657"/>
      <w:r>
        <w:rPr>
          <w:rFonts w:hint="eastAsia"/>
          <w:color w:val="auto"/>
          <w:highlight w:val="none"/>
        </w:rPr>
        <w:t>开标一览表</w:t>
      </w:r>
      <w:bookmarkEnd w:id="547"/>
      <w:bookmarkEnd w:id="548"/>
      <w:bookmarkEnd w:id="549"/>
      <w:bookmarkEnd w:id="550"/>
    </w:p>
    <w:p>
      <w:pPr>
        <w:spacing w:before="72" w:after="72"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spacing w:before="72" w:after="72"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322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634" w:type="pct"/>
            <w:shd w:val="clear" w:color="auto" w:fill="E6E6E6"/>
            <w:noWrap w:val="0"/>
            <w:vAlign w:val="center"/>
          </w:tcPr>
          <w:p>
            <w:pPr>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项目内容</w:t>
            </w:r>
          </w:p>
        </w:tc>
        <w:tc>
          <w:tcPr>
            <w:tcW w:w="1889" w:type="pct"/>
            <w:shd w:val="clear" w:color="auto" w:fill="E6E6E6"/>
            <w:noWrap w:val="0"/>
            <w:vAlign w:val="center"/>
          </w:tcPr>
          <w:p>
            <w:pPr>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投标总价（</w:t>
            </w:r>
            <w:r>
              <w:rPr>
                <w:rFonts w:hint="eastAsia" w:ascii="宋体" w:hAnsi="宋体" w:eastAsia="宋体" w:cs="Times New Roman"/>
                <w:b/>
                <w:color w:val="auto"/>
                <w:sz w:val="24"/>
                <w:highlight w:val="none"/>
                <w:lang w:eastAsia="zh-CN"/>
              </w:rPr>
              <w:t>含税</w:t>
            </w:r>
            <w:r>
              <w:rPr>
                <w:rFonts w:hint="eastAsia" w:ascii="宋体" w:hAnsi="宋体" w:eastAsia="宋体" w:cs="Times New Roman"/>
                <w:b/>
                <w:color w:val="auto"/>
                <w:sz w:val="24"/>
                <w:highlight w:val="none"/>
                <w:lang w:val="en-US" w:eastAsia="zh-CN"/>
              </w:rPr>
              <w:t>/</w:t>
            </w:r>
            <w:r>
              <w:rPr>
                <w:rFonts w:hint="eastAsia" w:ascii="宋体" w:hAnsi="宋体" w:eastAsia="宋体" w:cs="Times New Roman"/>
                <w:b/>
                <w:color w:val="auto"/>
                <w:sz w:val="24"/>
                <w:highlight w:val="none"/>
              </w:rPr>
              <w:t>元）</w:t>
            </w:r>
          </w:p>
        </w:tc>
        <w:tc>
          <w:tcPr>
            <w:tcW w:w="1475" w:type="pct"/>
            <w:shd w:val="clear" w:color="auto" w:fill="E6E6E6"/>
            <w:noWrap w:val="0"/>
            <w:vAlign w:val="center"/>
          </w:tcPr>
          <w:p>
            <w:pPr>
              <w:jc w:val="center"/>
              <w:rPr>
                <w:rFonts w:hint="eastAsia" w:ascii="宋体" w:hAnsi="宋体" w:eastAsia="宋体" w:cs="Times New Roman"/>
                <w:b/>
                <w:color w:val="auto"/>
                <w:sz w:val="24"/>
                <w:highlight w:val="none"/>
                <w:lang w:eastAsia="zh-CN"/>
              </w:rPr>
            </w:pPr>
            <w:r>
              <w:rPr>
                <w:rFonts w:hint="eastAsia" w:ascii="宋体" w:hAnsi="宋体" w:eastAsia="宋体" w:cs="Times New Roman"/>
                <w:b/>
                <w:color w:val="auto"/>
                <w:sz w:val="24"/>
                <w:highlight w:val="none"/>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34" w:type="pct"/>
            <w:noWrap w:val="0"/>
            <w:vAlign w:val="center"/>
          </w:tcPr>
          <w:p>
            <w:pPr>
              <w:jc w:val="center"/>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中山黄圃腊味展示中心多媒体集成服务</w:t>
            </w:r>
          </w:p>
        </w:tc>
        <w:tc>
          <w:tcPr>
            <w:tcW w:w="1889" w:type="pct"/>
            <w:noWrap w:val="0"/>
            <w:vAlign w:val="center"/>
          </w:tcPr>
          <w:p>
            <w:pPr>
              <w:rPr>
                <w:rFonts w:ascii="宋体" w:hAnsi="宋体" w:eastAsia="宋体" w:cs="Times New Roman"/>
                <w:color w:val="auto"/>
                <w:sz w:val="24"/>
                <w:highlight w:val="none"/>
              </w:rPr>
            </w:pPr>
            <w:r>
              <w:rPr>
                <w:rFonts w:ascii="宋体" w:hAnsi="宋体" w:eastAsia="宋体" w:cs="Times New Roman"/>
                <w:color w:val="auto"/>
                <w:sz w:val="24"/>
                <w:highlight w:val="none"/>
              </w:rPr>
              <w:t>（大写）：人民币</w:t>
            </w:r>
          </w:p>
          <w:p>
            <w:pPr>
              <w:rPr>
                <w:rFonts w:ascii="宋体" w:hAnsi="宋体" w:eastAsia="宋体" w:cs="Times New Roman"/>
                <w:color w:val="auto"/>
                <w:sz w:val="24"/>
                <w:highlight w:val="none"/>
              </w:rPr>
            </w:pPr>
            <w:r>
              <w:rPr>
                <w:rFonts w:ascii="宋体" w:hAnsi="宋体" w:eastAsia="宋体" w:cs="Times New Roman"/>
                <w:color w:val="auto"/>
                <w:sz w:val="24"/>
                <w:highlight w:val="none"/>
              </w:rPr>
              <w:t>（小写）：￥</w:t>
            </w:r>
          </w:p>
        </w:tc>
        <w:tc>
          <w:tcPr>
            <w:tcW w:w="1475" w:type="pct"/>
            <w:noWrap w:val="0"/>
            <w:vAlign w:val="center"/>
          </w:tcPr>
          <w:p>
            <w:pPr>
              <w:jc w:val="center"/>
              <w:rPr>
                <w:rFonts w:ascii="宋体" w:hAnsi="宋体" w:eastAsia="宋体" w:cs="Times New Roman"/>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w:t>
      </w:r>
    </w:p>
    <w:p>
      <w:pPr>
        <w:numPr>
          <w:ilvl w:val="0"/>
          <w:numId w:val="0"/>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1、投标人须按要求填写所有信息</w:t>
      </w:r>
      <w:r>
        <w:rPr>
          <w:rFonts w:hint="eastAsia" w:ascii="宋体" w:hAnsi="宋体" w:eastAsia="宋体" w:cs="Times New Roman"/>
          <w:color w:val="auto"/>
          <w:sz w:val="24"/>
          <w:highlight w:val="none"/>
        </w:rPr>
        <w:t>（留有空白处默认为响应招标文件要求）</w:t>
      </w:r>
      <w:r>
        <w:rPr>
          <w:rFonts w:hint="eastAsia" w:ascii="宋体" w:hAnsi="宋体"/>
          <w:color w:val="auto"/>
          <w:sz w:val="24"/>
          <w:highlight w:val="none"/>
        </w:rPr>
        <w:t>，不得随意更改本表格式。</w:t>
      </w:r>
    </w:p>
    <w:p>
      <w:pPr>
        <w:numPr>
          <w:ilvl w:val="0"/>
          <w:numId w:val="0"/>
        </w:num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cs="宋体"/>
          <w:snapToGrid w:val="0"/>
          <w:color w:val="auto"/>
          <w:kern w:val="0"/>
          <w:sz w:val="24"/>
          <w:highlight w:val="none"/>
        </w:rPr>
        <w:t>所有价格均应以人民币报价，金额单位为元。</w:t>
      </w:r>
    </w:p>
    <w:p>
      <w:pPr>
        <w:numPr>
          <w:ilvl w:val="0"/>
          <w:numId w:val="0"/>
        </w:num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3、此表是投标文件的必要文件，是投标文件的组成部分，还应另附一份并与优惠声明（若有）封装在唱标信封中，作为唱标之用。</w:t>
      </w:r>
    </w:p>
    <w:p>
      <w:pPr>
        <w:spacing w:before="72" w:after="72" w:line="360" w:lineRule="auto"/>
        <w:rPr>
          <w:rFonts w:ascii="宋体" w:hAnsi="宋体" w:eastAsia="宋体" w:cs="宋体"/>
          <w:color w:val="auto"/>
          <w:sz w:val="24"/>
          <w:highlight w:val="none"/>
        </w:rPr>
      </w:pPr>
    </w:p>
    <w:p>
      <w:pPr>
        <w:spacing w:before="72" w:after="72" w:line="360" w:lineRule="auto"/>
        <w:rPr>
          <w:rFonts w:ascii="宋体" w:hAnsi="宋体" w:eastAsia="宋体" w:cs="宋体"/>
          <w:color w:val="auto"/>
          <w:sz w:val="24"/>
          <w:highlight w:val="none"/>
        </w:rPr>
      </w:pP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bookmarkStart w:id="551" w:name="_Toc381489457"/>
      <w:r>
        <w:rPr>
          <w:rFonts w:hint="eastAsia" w:ascii="宋体" w:hAnsi="宋体" w:eastAsia="宋体" w:cs="宋体"/>
          <w:color w:val="auto"/>
          <w:sz w:val="24"/>
          <w:highlight w:val="none"/>
        </w:rPr>
        <w:t>投标人名称（加盖公章）：</w:t>
      </w: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投标人法定代表人或其授权代表（签字）：</w:t>
      </w:r>
    </w:p>
    <w:p>
      <w:pPr>
        <w:spacing w:before="72" w:after="72" w:line="400" w:lineRule="exact"/>
        <w:ind w:firstLine="3578" w:firstLineChars="1491"/>
        <w:rPr>
          <w:rFonts w:ascii="宋体" w:hAnsi="宋体" w:eastAsia="宋体" w:cs="宋体"/>
          <w:color w:val="auto"/>
          <w:sz w:val="24"/>
          <w:highlight w:val="none"/>
        </w:rPr>
        <w:sectPr>
          <w:pgSz w:w="11906" w:h="16838"/>
          <w:pgMar w:top="1440" w:right="1800" w:bottom="1440" w:left="1800" w:header="851" w:footer="992" w:gutter="0"/>
          <w:cols w:space="720" w:num="1"/>
          <w:docGrid w:linePitch="312" w:charSpace="0"/>
        </w:sectPr>
      </w:pPr>
      <w:r>
        <w:rPr>
          <w:rFonts w:hint="eastAsia" w:ascii="宋体" w:hAnsi="宋体" w:eastAsia="宋体" w:cs="宋体"/>
          <w:color w:val="auto"/>
          <w:sz w:val="24"/>
          <w:highlight w:val="none"/>
        </w:rPr>
        <w:t>日期：   年   月   日</w:t>
      </w:r>
      <w:bookmarkEnd w:id="541"/>
      <w:bookmarkEnd w:id="542"/>
      <w:bookmarkEnd w:id="551"/>
    </w:p>
    <w:p>
      <w:pPr>
        <w:pStyle w:val="5"/>
        <w:numPr>
          <w:ilvl w:val="0"/>
          <w:numId w:val="86"/>
        </w:numPr>
        <w:jc w:val="center"/>
        <w:rPr>
          <w:color w:val="auto"/>
          <w:highlight w:val="none"/>
        </w:rPr>
      </w:pPr>
      <w:bookmarkStart w:id="552" w:name="_Toc483642786"/>
      <w:bookmarkStart w:id="553" w:name="_Toc5518"/>
      <w:bookmarkStart w:id="554" w:name="_Toc26465"/>
      <w:bookmarkStart w:id="555" w:name="_Toc28547"/>
      <w:r>
        <w:rPr>
          <w:rFonts w:hint="eastAsia"/>
          <w:color w:val="auto"/>
          <w:highlight w:val="none"/>
        </w:rPr>
        <w:t>投标明细报价表</w:t>
      </w:r>
      <w:bookmarkEnd w:id="552"/>
      <w:bookmarkEnd w:id="553"/>
      <w:bookmarkEnd w:id="554"/>
      <w:bookmarkEnd w:id="555"/>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4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837"/>
        <w:gridCol w:w="472"/>
        <w:gridCol w:w="618"/>
        <w:gridCol w:w="727"/>
        <w:gridCol w:w="767"/>
        <w:gridCol w:w="16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项目</w:t>
            </w:r>
          </w:p>
        </w:tc>
        <w:tc>
          <w:tcPr>
            <w:tcW w:w="2065"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内容</w:t>
            </w:r>
          </w:p>
        </w:tc>
        <w:tc>
          <w:tcPr>
            <w:tcW w:w="254"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数量</w:t>
            </w:r>
          </w:p>
        </w:tc>
        <w:tc>
          <w:tcPr>
            <w:tcW w:w="332"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单位</w:t>
            </w:r>
          </w:p>
        </w:tc>
        <w:tc>
          <w:tcPr>
            <w:tcW w:w="391"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单价</w:t>
            </w:r>
          </w:p>
        </w:tc>
        <w:tc>
          <w:tcPr>
            <w:tcW w:w="412" w:type="pct"/>
            <w:tcBorders>
              <w:left w:val="single" w:color="000000" w:sz="4" w:space="0"/>
              <w:bottom w:val="single" w:color="000000" w:sz="4" w:space="0"/>
              <w:right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合计</w:t>
            </w:r>
          </w:p>
        </w:tc>
        <w:tc>
          <w:tcPr>
            <w:tcW w:w="877" w:type="pct"/>
            <w:tcBorders>
              <w:left w:val="single" w:color="000000" w:sz="4" w:space="0"/>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品牌、型号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single" w:color="000000" w:sz="4" w:space="0"/>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LED曲线屏</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P2.5室内全彩曲屏幕，尺寸7x3米。模组尺寸不低320*160mm，刷新率不低于 3840 HZ，亮度不低于1200cd/㎡</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全彩专用接收卡</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全彩专用发送卡</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4k处理器</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可以支持多路信号发送，接入切换和拼接</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电源</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LED屏专用电源</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rPr>
            </w:pPr>
            <w:r>
              <w:rPr>
                <w:rFonts w:hint="eastAsia" w:ascii="宋体" w:hAnsi="宋体" w:eastAsia="宋体" w:cs="宋体"/>
                <w:color w:val="auto"/>
                <w:spacing w:val="-11"/>
                <w:kern w:val="0"/>
                <w:sz w:val="24"/>
                <w:szCs w:val="24"/>
                <w:highlight w:val="none"/>
                <w:lang w:val="en-US" w:eastAsia="zh-CN"/>
              </w:rPr>
              <w:t>72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屏体钢架结构</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尺寸7x3米，边框及支撑钢结构，需要包边</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工程专用主机</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CPU性能不低12代i5，显卡性能不低于RTX3060，内存不低于DRR4 16GB，硬盘类型不低于SATA512G固态;千兆网卡</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音响</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功放+音响。带话筒不少于1个</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触控一体机</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32寸，含底座，配置CPU性能不低10代i5，内存不低于DRR4 16GB</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设备汇总机柜</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机柜摆放所有主机设备</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机房弱电布线、分屏器、网线</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线材材料与安装工程（超五类网线、音频线、电源线、辅线、分屏器、线管线槽等）</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软件定制服务</w:t>
            </w:r>
          </w:p>
        </w:tc>
        <w:tc>
          <w:tcPr>
            <w:tcW w:w="2065" w:type="pct"/>
            <w:tcBorders>
              <w:top w:val="single" w:color="000000" w:sz="4" w:space="0"/>
              <w:left w:val="single" w:color="000000" w:sz="4" w:space="0"/>
              <w:bottom w:val="single" w:color="000000" w:sz="4" w:space="0"/>
              <w:right w:val="single" w:color="000000" w:sz="4" w:space="0"/>
            </w:tcBorders>
            <w:noWrap/>
            <w:vAlign w:val="center"/>
          </w:tcPr>
          <w:p>
            <w:pPr>
              <w:pStyle w:val="99"/>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视频播控系统/产品层级查询与展示联动系统开发定制（一体机和led屏同步联动），开发、搭建线上展示系统，服务期间持续更新信息</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bottom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single" w:color="000000" w:sz="4" w:space="0"/>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LED直屏</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P2.5室内全彩屏幕，尺寸6x3米。模组尺寸不低320*160mm，刷新率不低于 3840 HZ，亮度不低于1200cd/㎡</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全彩专用接收卡</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LED屏控制系统</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全彩专用发送卡</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张</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4k处理器</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可以支持多路信号发送，接入切换和拼接</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电源</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LED屏专用电源</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62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屏体钢架结构</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尺寸6x3米，边框及支撑钢结构，需要包边</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平方米</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工程专用主机</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CPU性能不低12代i5，显卡性能不低于RTX3060，内存不低于DRR4 16GB，硬盘类型不低于SATA512G固态;千兆网卡</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音响</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功放+音响。带话筒不少于1个</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触控一体机</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32寸，含底座，配置CPU性能不低10代i5，内存不低于DRR4 16GB</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设备汇总机柜</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机柜摆放所有主机设备</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机房弱电布线、分屏器、网线</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线材材料与安装工程（超五类网线、音频线、电源线、辅线、分屏器、线管线槽等）</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软件定制服务</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视频播控系统/产品层级查询与展示联动系统开发定制（一体机和led屏同步联动），开发、搭建线上展示系统，服务期间持续更新信息</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电视机</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75寸，4k电视机</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台</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底座</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电视机立架</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线材</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电线电缆及辅材</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多媒体设备</w:t>
            </w:r>
            <w:r>
              <w:rPr>
                <w:rFonts w:hint="eastAsia" w:ascii="宋体" w:hAnsi="宋体" w:cs="宋体"/>
                <w:b/>
                <w:bCs/>
                <w:color w:val="auto"/>
                <w:spacing w:val="-11"/>
                <w:kern w:val="0"/>
                <w:sz w:val="24"/>
                <w:szCs w:val="24"/>
                <w:highlight w:val="none"/>
                <w:lang w:val="en-US" w:eastAsia="zh-CN"/>
              </w:rPr>
              <w:t>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85寸显示屏（不可触控屏）</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外形尺寸</w:t>
            </w:r>
            <w:r>
              <w:rPr>
                <w:rFonts w:hint="eastAsia" w:ascii="宋体" w:hAnsi="宋体" w:cs="宋体"/>
                <w:color w:val="auto"/>
                <w:spacing w:val="-11"/>
                <w:kern w:val="0"/>
                <w:sz w:val="24"/>
                <w:szCs w:val="24"/>
                <w:highlight w:val="none"/>
                <w:lang w:val="en-US" w:eastAsia="zh-CN"/>
              </w:rPr>
              <w:t>不低于</w:t>
            </w:r>
            <w:r>
              <w:rPr>
                <w:rFonts w:hint="eastAsia" w:ascii="宋体" w:hAnsi="宋体" w:eastAsia="宋体" w:cs="宋体"/>
                <w:color w:val="auto"/>
                <w:spacing w:val="-11"/>
                <w:kern w:val="0"/>
                <w:sz w:val="24"/>
                <w:szCs w:val="24"/>
                <w:highlight w:val="none"/>
                <w:lang w:val="en-US" w:eastAsia="zh-CN"/>
              </w:rPr>
              <w:t>1930*1115*102mm；分辨率</w:t>
            </w:r>
            <w:r>
              <w:rPr>
                <w:rFonts w:hint="eastAsia" w:ascii="宋体" w:hAnsi="宋体" w:cs="宋体"/>
                <w:color w:val="auto"/>
                <w:spacing w:val="-11"/>
                <w:kern w:val="0"/>
                <w:sz w:val="24"/>
                <w:szCs w:val="24"/>
                <w:highlight w:val="none"/>
                <w:lang w:val="en-US" w:eastAsia="zh-CN"/>
              </w:rPr>
              <w:t>不低于</w:t>
            </w:r>
            <w:r>
              <w:rPr>
                <w:rFonts w:hint="eastAsia" w:ascii="宋体" w:hAnsi="宋体" w:eastAsia="宋体" w:cs="宋体"/>
                <w:color w:val="auto"/>
                <w:spacing w:val="-11"/>
                <w:kern w:val="0"/>
                <w:sz w:val="24"/>
                <w:szCs w:val="24"/>
                <w:highlight w:val="none"/>
                <w:lang w:val="en-US" w:eastAsia="zh-CN"/>
              </w:rPr>
              <w:t>1080X1920；</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屏幕背挂支架</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85寸屏幕</w:t>
            </w:r>
            <w:r>
              <w:rPr>
                <w:rFonts w:hint="eastAsia" w:ascii="宋体" w:hAnsi="宋体" w:cs="宋体"/>
                <w:color w:val="auto"/>
                <w:spacing w:val="-11"/>
                <w:kern w:val="0"/>
                <w:sz w:val="24"/>
                <w:szCs w:val="24"/>
                <w:highlight w:val="none"/>
                <w:lang w:val="en-US" w:eastAsia="zh-CN"/>
              </w:rPr>
              <w:t>配套</w:t>
            </w:r>
            <w:r>
              <w:rPr>
                <w:rFonts w:hint="eastAsia" w:ascii="宋体" w:hAnsi="宋体" w:eastAsia="宋体" w:cs="宋体"/>
                <w:color w:val="auto"/>
                <w:spacing w:val="-11"/>
                <w:kern w:val="0"/>
                <w:sz w:val="24"/>
                <w:szCs w:val="24"/>
                <w:highlight w:val="none"/>
                <w:lang w:val="en-US" w:eastAsia="zh-CN"/>
              </w:rPr>
              <w:t>支架</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触摸感应器</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针对展板喷绘图案</w:t>
            </w:r>
            <w:r>
              <w:rPr>
                <w:rFonts w:hint="eastAsia" w:ascii="宋体" w:hAnsi="宋体" w:cs="宋体"/>
                <w:color w:val="auto"/>
                <w:spacing w:val="-11"/>
                <w:kern w:val="0"/>
                <w:sz w:val="24"/>
                <w:szCs w:val="24"/>
                <w:highlight w:val="none"/>
                <w:lang w:val="en-US" w:eastAsia="zh-CN"/>
              </w:rPr>
              <w:t>，</w:t>
            </w:r>
            <w:r>
              <w:rPr>
                <w:rFonts w:hint="eastAsia" w:ascii="宋体" w:hAnsi="宋体" w:eastAsia="宋体" w:cs="宋体"/>
                <w:color w:val="auto"/>
                <w:spacing w:val="-11"/>
                <w:kern w:val="0"/>
                <w:sz w:val="24"/>
                <w:szCs w:val="24"/>
                <w:highlight w:val="none"/>
                <w:lang w:val="en-US" w:eastAsia="zh-CN"/>
              </w:rPr>
              <w:t xml:space="preserve">实现可触控 </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电脑主机</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i7 10700/Intel Z590芯片组的主板（多PCI-E显卡插槽）/16gddr4 3200内存/240G高速m.2SSD/500w 电源/ 机箱，2G独显</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台</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控制电路板与线路</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触摸信号处理器</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default" w:ascii="宋体" w:hAnsi="宋体" w:eastAsia="宋体" w:cs="宋体"/>
                <w:color w:val="auto"/>
                <w:spacing w:val="-11"/>
                <w:kern w:val="0"/>
                <w:sz w:val="24"/>
                <w:szCs w:val="24"/>
                <w:highlight w:val="none"/>
                <w:lang w:val="en-US" w:eastAsia="zh-CN"/>
              </w:rPr>
            </w:pPr>
            <w:r>
              <w:rPr>
                <w:rFonts w:hint="eastAsia" w:ascii="宋体" w:hAnsi="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多媒体吸顶音箱</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带功放 吸顶音箱</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程序开发</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展板喷绘图案的触点控制，响应屏幕动画</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现场实拍视频制作</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12个工艺流程 差旅/实拍/剪辑/后期</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设备图形绘制/展墙设计</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工艺设备</w:t>
            </w:r>
            <w:r>
              <w:rPr>
                <w:rFonts w:hint="eastAsia" w:ascii="宋体" w:hAnsi="宋体" w:cs="宋体"/>
                <w:color w:val="auto"/>
                <w:spacing w:val="-11"/>
                <w:kern w:val="0"/>
                <w:sz w:val="24"/>
                <w:szCs w:val="24"/>
                <w:highlight w:val="none"/>
                <w:lang w:val="en-US" w:eastAsia="zh-CN"/>
              </w:rPr>
              <w:t>，</w:t>
            </w:r>
            <w:r>
              <w:rPr>
                <w:rFonts w:hint="eastAsia" w:ascii="宋体" w:hAnsi="宋体" w:eastAsia="宋体" w:cs="宋体"/>
                <w:color w:val="auto"/>
                <w:spacing w:val="-11"/>
                <w:kern w:val="0"/>
                <w:sz w:val="24"/>
                <w:szCs w:val="24"/>
                <w:highlight w:val="none"/>
                <w:lang w:val="en-US" w:eastAsia="zh-CN"/>
              </w:rPr>
              <w:t>图形绘制 12个流程图</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套</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bidi="ar-SA"/>
              </w:rPr>
            </w:pPr>
            <w:r>
              <w:rPr>
                <w:rFonts w:hint="eastAsia" w:ascii="宋体" w:hAnsi="宋体" w:eastAsia="宋体" w:cs="宋体"/>
                <w:color w:val="auto"/>
                <w:spacing w:val="-11"/>
                <w:kern w:val="0"/>
                <w:sz w:val="24"/>
                <w:szCs w:val="24"/>
                <w:highlight w:val="none"/>
                <w:lang w:val="en-US" w:eastAsia="zh-CN"/>
              </w:rPr>
              <w:t>1</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1629" w:type="dxa"/>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lang w:val="en-US" w:eastAsia="zh-CN"/>
              </w:rPr>
            </w:pPr>
            <w:r>
              <w:rPr>
                <w:rFonts w:hint="eastAsia" w:ascii="宋体" w:hAnsi="宋体" w:eastAsia="宋体" w:cs="宋体"/>
                <w:b/>
                <w:bCs/>
                <w:color w:val="auto"/>
                <w:spacing w:val="-11"/>
                <w:kern w:val="0"/>
                <w:sz w:val="24"/>
                <w:szCs w:val="24"/>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网络设备</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网络设备及安装（含1年售后）</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65" w:type="pct"/>
            <w:tcBorders>
              <w:top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网费</w:t>
            </w:r>
          </w:p>
        </w:tc>
        <w:tc>
          <w:tcPr>
            <w:tcW w:w="20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2条，带宽下行不少于100M，一年</w:t>
            </w:r>
          </w:p>
        </w:tc>
        <w:tc>
          <w:tcPr>
            <w:tcW w:w="2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项</w:t>
            </w:r>
          </w:p>
        </w:tc>
        <w:tc>
          <w:tcPr>
            <w:tcW w:w="3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p>
        </w:tc>
        <w:tc>
          <w:tcPr>
            <w:tcW w:w="877" w:type="pc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color w:val="auto"/>
                <w:spacing w:val="-11"/>
                <w:kern w:val="0"/>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7"/>
            <w:tcBorders>
              <w:top w:val="single" w:color="000000" w:sz="4" w:space="0"/>
              <w:bottom w:val="single" w:color="000000" w:sz="4" w:space="0"/>
            </w:tcBorders>
            <w:shd w:val="clear" w:color="auto" w:fill="EAEAEA"/>
            <w:noWrap/>
            <w:vAlign w:val="center"/>
          </w:tcPr>
          <w:p>
            <w:pPr>
              <w:keepNext w:val="0"/>
              <w:keepLines w:val="0"/>
              <w:pageBreakBefore w:val="0"/>
              <w:widowControl w:val="0"/>
              <w:kinsoku/>
              <w:wordWrap/>
              <w:overflowPunct/>
              <w:topLinePunct w:val="0"/>
              <w:bidi w:val="0"/>
              <w:adjustRightInd/>
              <w:snapToGrid/>
              <w:spacing w:after="0" w:line="240" w:lineRule="auto"/>
              <w:ind w:left="0" w:leftChars="0"/>
              <w:jc w:val="center"/>
              <w:textAlignment w:val="auto"/>
              <w:rPr>
                <w:rFonts w:hint="eastAsia" w:ascii="宋体" w:hAnsi="宋体" w:eastAsia="宋体" w:cs="宋体"/>
                <w:b/>
                <w:bCs/>
                <w:color w:val="auto"/>
                <w:spacing w:val="-11"/>
                <w:kern w:val="0"/>
                <w:sz w:val="24"/>
                <w:szCs w:val="24"/>
                <w:highlight w:val="none"/>
              </w:rPr>
            </w:pPr>
            <w:r>
              <w:rPr>
                <w:rFonts w:hint="eastAsia" w:ascii="宋体" w:hAnsi="宋体" w:eastAsia="宋体" w:cs="宋体"/>
                <w:b/>
                <w:bCs/>
                <w:color w:val="auto"/>
                <w:spacing w:val="-11"/>
                <w:kern w:val="0"/>
                <w:sz w:val="24"/>
                <w:szCs w:val="24"/>
                <w:highlight w:val="none"/>
                <w:lang w:val="en-US" w:eastAsia="zh-CN"/>
              </w:rPr>
              <w:t>含税合计：           （小写：￥         ）</w:t>
            </w:r>
          </w:p>
        </w:tc>
      </w:tr>
    </w:tbl>
    <w:p>
      <w:pPr>
        <w:spacing w:before="72" w:after="72" w:line="360" w:lineRule="auto"/>
        <w:rPr>
          <w:rFonts w:ascii="宋体" w:hAnsi="宋体" w:eastAsia="宋体" w:cs="宋体"/>
          <w:color w:val="auto"/>
          <w:sz w:val="24"/>
          <w:highlight w:val="none"/>
        </w:rPr>
      </w:pPr>
      <w:r>
        <w:rPr>
          <w:rFonts w:hint="eastAsia" w:ascii="宋体" w:hAnsi="宋体" w:eastAsia="宋体" w:cs="宋体"/>
          <w:bCs/>
          <w:color w:val="auto"/>
          <w:sz w:val="24"/>
          <w:highlight w:val="none"/>
        </w:rPr>
        <w:t>注：</w:t>
      </w:r>
      <w:r>
        <w:rPr>
          <w:rFonts w:hint="eastAsia" w:ascii="宋体" w:hAnsi="宋体" w:eastAsia="宋体" w:cs="宋体"/>
          <w:color w:val="auto"/>
          <w:sz w:val="24"/>
          <w:highlight w:val="none"/>
        </w:rPr>
        <w:t>以上内容必须与《用户需求书》报价内容一致。</w:t>
      </w:r>
    </w:p>
    <w:p>
      <w:pPr>
        <w:tabs>
          <w:tab w:val="left" w:pos="2526"/>
        </w:tabs>
        <w:spacing w:before="72" w:after="72"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ab/>
      </w:r>
      <w:bookmarkStart w:id="556" w:name="_Toc423021983"/>
      <w:bookmarkStart w:id="557" w:name="_Toc18207"/>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投标人名称（加盖公章）：</w:t>
      </w:r>
    </w:p>
    <w:p>
      <w:pPr>
        <w:adjustRightInd w:val="0"/>
        <w:snapToGrid w:val="0"/>
        <w:spacing w:before="72" w:after="72" w:line="480" w:lineRule="auto"/>
        <w:ind w:firstLine="3578" w:firstLineChars="1491"/>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投标人法定代表人或其授权代表（签字）：</w:t>
      </w:r>
    </w:p>
    <w:p>
      <w:pPr>
        <w:spacing w:before="72" w:after="72" w:line="400" w:lineRule="exact"/>
        <w:ind w:firstLine="3578" w:firstLineChars="1491"/>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bookmarkEnd w:id="556"/>
      <w:bookmarkEnd w:id="557"/>
    </w:p>
    <w:sectPr>
      <w:pgSz w:w="11906" w:h="16838"/>
      <w:pgMar w:top="1418" w:right="1418" w:bottom="1418" w:left="1418"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eastAsia="宋体"/>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ind w:right="-58"/>
      <w:rPr>
        <w:rFonts w:eastAsia="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2555" cy="1460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a:effectLst/>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9.65pt;mso-position-horizontal:center;mso-position-horizontal-relative:margin;mso-wrap-style:none;z-index:251659264;mso-width-relative:page;mso-height-relative:page;" filled="f" stroked="f" coordsize="21600,21600" o:gfxdata="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9FbTNIAAAADAQAADwAAAAAAAAABACAAAAAiAAAAZHJzL2Rvd25yZXYueG1sUEsB&#10;AhQAFAAAAAgAh07iQIEWGws0AgAAYwQAAA4AAAAAAAAAAQAgAAAAIQEAAGRycy9lMm9Eb2MueG1s&#10;UEsFBgAAAAAGAAYAWQEAAMcFA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r>
      <w:rPr>
        <w:rFonts w:hint="eastAsia"/>
        <w:sz w:val="18"/>
        <w:szCs w:val="18"/>
        <w:lang w:eastAsia="zh-CN"/>
      </w:rPr>
      <w:t>1210-2340YDZB5954</w:t>
    </w:r>
    <w:r>
      <w:rPr>
        <w:rFonts w:hint="eastAsia"/>
        <w:sz w:val="18"/>
        <w:szCs w:val="18"/>
      </w:rPr>
      <w:t xml:space="preserve">                                              广东有德招标采购有限公司编制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eastAsia" w:eastAsia="宋体"/>
        <w:sz w:val="20"/>
        <w:szCs w:val="20"/>
        <w:lang w:eastAsia="zh-CN"/>
      </w:rPr>
    </w:pPr>
    <w:r>
      <w:rPr>
        <w:szCs w:val="13"/>
      </w:rPr>
      <w:drawing>
        <wp:inline distT="0" distB="0" distL="114300" distR="114300">
          <wp:extent cx="798195" cy="238125"/>
          <wp:effectExtent l="0" t="0" r="1905" b="9525"/>
          <wp:docPr id="1" name="图片 4" descr="有德招标logo横式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有德招标logo横式改"/>
                  <pic:cNvPicPr>
                    <a:picLocks noChangeAspect="1"/>
                  </pic:cNvPicPr>
                </pic:nvPicPr>
                <pic:blipFill>
                  <a:blip r:embed="rId1"/>
                  <a:stretch>
                    <a:fillRect/>
                  </a:stretch>
                </pic:blipFill>
                <pic:spPr>
                  <a:xfrm>
                    <a:off x="0" y="0"/>
                    <a:ext cx="798195" cy="238125"/>
                  </a:xfrm>
                  <a:prstGeom prst="rect">
                    <a:avLst/>
                  </a:prstGeom>
                  <a:noFill/>
                  <a:ln>
                    <a:noFill/>
                  </a:ln>
                </pic:spPr>
              </pic:pic>
            </a:graphicData>
          </a:graphic>
        </wp:inline>
      </w:drawing>
    </w:r>
    <w:r>
      <w:rPr>
        <w:rFonts w:hint="eastAsia" w:ascii="宋体" w:hAnsi="宋体" w:eastAsia="宋体" w:cs="宋体"/>
      </w:rPr>
      <w:t xml:space="preserve"> </w:t>
    </w:r>
    <w:r>
      <w:rPr>
        <w:rFonts w:hint="eastAsia" w:ascii="宋体" w:hAnsi="宋体" w:eastAsia="宋体" w:cs="宋体"/>
        <w:lang w:eastAsia="zh-CN"/>
      </w:rPr>
      <w:t>中山黄圃腊味展示中心多媒体集成服务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67DB"/>
    <w:multiLevelType w:val="singleLevel"/>
    <w:tmpl w:val="882467DB"/>
    <w:lvl w:ilvl="0" w:tentative="0">
      <w:start w:val="1"/>
      <w:numFmt w:val="decimal"/>
      <w:suff w:val="nothing"/>
      <w:lvlText w:val="%1、"/>
      <w:lvlJc w:val="left"/>
      <w:pPr>
        <w:ind w:left="0" w:firstLine="420"/>
      </w:pPr>
      <w:rPr>
        <w:rFonts w:hint="default"/>
      </w:rPr>
    </w:lvl>
  </w:abstractNum>
  <w:abstractNum w:abstractNumId="1">
    <w:nsid w:val="98C065D9"/>
    <w:multiLevelType w:val="singleLevel"/>
    <w:tmpl w:val="98C065D9"/>
    <w:lvl w:ilvl="0" w:tentative="0">
      <w:start w:val="1"/>
      <w:numFmt w:val="decimal"/>
      <w:suff w:val="nothing"/>
      <w:lvlText w:val="%1、"/>
      <w:lvlJc w:val="left"/>
      <w:pPr>
        <w:ind w:left="0" w:firstLine="420"/>
      </w:pPr>
      <w:rPr>
        <w:rFonts w:hint="default"/>
      </w:rPr>
    </w:lvl>
  </w:abstractNum>
  <w:abstractNum w:abstractNumId="2">
    <w:nsid w:val="0000002A"/>
    <w:multiLevelType w:val="multilevel"/>
    <w:tmpl w:val="0000002A"/>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DB45F45"/>
    <w:multiLevelType w:val="multilevel"/>
    <w:tmpl w:val="0DB45F45"/>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4">
    <w:nsid w:val="3CF16E70"/>
    <w:multiLevelType w:val="singleLevel"/>
    <w:tmpl w:val="3CF16E70"/>
    <w:lvl w:ilvl="0" w:tentative="0">
      <w:start w:val="1"/>
      <w:numFmt w:val="decimal"/>
      <w:suff w:val="nothing"/>
      <w:lvlText w:val="%1"/>
      <w:lvlJc w:val="left"/>
      <w:pPr>
        <w:ind w:left="0" w:firstLine="0"/>
      </w:pPr>
      <w:rPr>
        <w:rFonts w:hint="default"/>
      </w:rPr>
    </w:lvl>
  </w:abstractNum>
  <w:abstractNum w:abstractNumId="5">
    <w:nsid w:val="4FE29235"/>
    <w:multiLevelType w:val="singleLevel"/>
    <w:tmpl w:val="4FE29235"/>
    <w:lvl w:ilvl="0" w:tentative="0">
      <w:start w:val="1"/>
      <w:numFmt w:val="decimal"/>
      <w:suff w:val="nothing"/>
      <w:lvlText w:val="（%1）"/>
      <w:lvlJc w:val="left"/>
    </w:lvl>
  </w:abstractNum>
  <w:abstractNum w:abstractNumId="6">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7">
    <w:nsid w:val="58B64150"/>
    <w:multiLevelType w:val="singleLevel"/>
    <w:tmpl w:val="58B64150"/>
    <w:lvl w:ilvl="0" w:tentative="0">
      <w:start w:val="1"/>
      <w:numFmt w:val="chineseCounting"/>
      <w:suff w:val="nothing"/>
      <w:lvlText w:val="（%1）"/>
      <w:lvlJc w:val="left"/>
      <w:pPr>
        <w:ind w:left="0" w:firstLine="420"/>
      </w:pPr>
      <w:rPr>
        <w:rFonts w:hint="eastAsia"/>
      </w:rPr>
    </w:lvl>
  </w:abstractNum>
  <w:abstractNum w:abstractNumId="8">
    <w:nsid w:val="58B67566"/>
    <w:multiLevelType w:val="singleLevel"/>
    <w:tmpl w:val="58B67566"/>
    <w:lvl w:ilvl="0" w:tentative="0">
      <w:start w:val="1"/>
      <w:numFmt w:val="chineseCounting"/>
      <w:suff w:val="nothing"/>
      <w:lvlText w:val="（%1）"/>
      <w:lvlJc w:val="left"/>
      <w:pPr>
        <w:ind w:left="0" w:firstLine="420"/>
      </w:pPr>
      <w:rPr>
        <w:rFonts w:hint="eastAsia"/>
      </w:rPr>
    </w:lvl>
  </w:abstractNum>
  <w:abstractNum w:abstractNumId="9">
    <w:nsid w:val="58B67D06"/>
    <w:multiLevelType w:val="singleLevel"/>
    <w:tmpl w:val="58B67D06"/>
    <w:lvl w:ilvl="0" w:tentative="0">
      <w:start w:val="1"/>
      <w:numFmt w:val="decimal"/>
      <w:suff w:val="nothing"/>
      <w:lvlText w:val="（%1）"/>
      <w:lvlJc w:val="left"/>
      <w:pPr>
        <w:ind w:left="431" w:firstLine="420"/>
      </w:pPr>
      <w:rPr>
        <w:rFonts w:hint="default"/>
      </w:rPr>
    </w:lvl>
  </w:abstractNum>
  <w:abstractNum w:abstractNumId="10">
    <w:nsid w:val="58B6808D"/>
    <w:multiLevelType w:val="multilevel"/>
    <w:tmpl w:val="58B6808D"/>
    <w:lvl w:ilvl="0" w:tentative="0">
      <w:start w:val="1"/>
      <w:numFmt w:val="decimal"/>
      <w:lvlText w:val="4.4.%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Restart w:val="0"/>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58B681A8"/>
    <w:multiLevelType w:val="multilevel"/>
    <w:tmpl w:val="58B681A8"/>
    <w:lvl w:ilvl="0" w:tentative="0">
      <w:start w:val="1"/>
      <w:numFmt w:val="decimal"/>
      <w:lvlText w:val="4.5.%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Restart w:val="0"/>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58B6B628"/>
    <w:multiLevelType w:val="singleLevel"/>
    <w:tmpl w:val="58B6B628"/>
    <w:lvl w:ilvl="0" w:tentative="0">
      <w:start w:val="1"/>
      <w:numFmt w:val="decimal"/>
      <w:suff w:val="nothing"/>
      <w:lvlText w:val="%1、"/>
      <w:lvlJc w:val="left"/>
      <w:pPr>
        <w:ind w:left="0" w:firstLine="420"/>
      </w:pPr>
      <w:rPr>
        <w:rFonts w:hint="default"/>
      </w:rPr>
    </w:lvl>
  </w:abstractNum>
  <w:abstractNum w:abstractNumId="13">
    <w:nsid w:val="58B6B67C"/>
    <w:multiLevelType w:val="singleLevel"/>
    <w:tmpl w:val="58B6B67C"/>
    <w:lvl w:ilvl="0" w:tentative="0">
      <w:start w:val="1"/>
      <w:numFmt w:val="decimal"/>
      <w:suff w:val="nothing"/>
      <w:lvlText w:val="%1、"/>
      <w:lvlJc w:val="left"/>
      <w:pPr>
        <w:ind w:left="0" w:firstLine="420"/>
      </w:pPr>
      <w:rPr>
        <w:rFonts w:hint="default"/>
      </w:rPr>
    </w:lvl>
  </w:abstractNum>
  <w:abstractNum w:abstractNumId="14">
    <w:nsid w:val="58B6BE4C"/>
    <w:multiLevelType w:val="singleLevel"/>
    <w:tmpl w:val="58B6BE4C"/>
    <w:lvl w:ilvl="0" w:tentative="0">
      <w:start w:val="1"/>
      <w:numFmt w:val="chineseCounting"/>
      <w:suff w:val="nothing"/>
      <w:lvlText w:val="%1、"/>
      <w:lvlJc w:val="left"/>
      <w:pPr>
        <w:ind w:left="0" w:firstLine="420"/>
      </w:pPr>
      <w:rPr>
        <w:rFonts w:hint="eastAsia"/>
      </w:rPr>
    </w:lvl>
  </w:abstractNum>
  <w:abstractNum w:abstractNumId="15">
    <w:nsid w:val="58B6C0F6"/>
    <w:multiLevelType w:val="singleLevel"/>
    <w:tmpl w:val="58B6C0F6"/>
    <w:lvl w:ilvl="0" w:tentative="0">
      <w:start w:val="1"/>
      <w:numFmt w:val="decimal"/>
      <w:suff w:val="nothing"/>
      <w:lvlText w:val="%1、"/>
      <w:lvlJc w:val="left"/>
      <w:pPr>
        <w:ind w:left="0" w:firstLine="420"/>
      </w:pPr>
      <w:rPr>
        <w:rFonts w:hint="default"/>
      </w:rPr>
    </w:lvl>
  </w:abstractNum>
  <w:abstractNum w:abstractNumId="16">
    <w:nsid w:val="58B6C459"/>
    <w:multiLevelType w:val="singleLevel"/>
    <w:tmpl w:val="58B6C459"/>
    <w:lvl w:ilvl="0" w:tentative="0">
      <w:start w:val="1"/>
      <w:numFmt w:val="decimal"/>
      <w:suff w:val="nothing"/>
      <w:lvlText w:val="%1、"/>
      <w:lvlJc w:val="left"/>
      <w:pPr>
        <w:ind w:left="0" w:firstLine="420"/>
      </w:pPr>
      <w:rPr>
        <w:rFonts w:hint="default"/>
      </w:rPr>
    </w:lvl>
  </w:abstractNum>
  <w:abstractNum w:abstractNumId="17">
    <w:nsid w:val="58BAC2E9"/>
    <w:multiLevelType w:val="singleLevel"/>
    <w:tmpl w:val="58BAC2E9"/>
    <w:lvl w:ilvl="0" w:tentative="0">
      <w:start w:val="1"/>
      <w:numFmt w:val="decimal"/>
      <w:lvlText w:val="%1."/>
      <w:lvlJc w:val="left"/>
      <w:pPr>
        <w:ind w:left="425" w:hanging="425"/>
      </w:pPr>
      <w:rPr>
        <w:rFonts w:hint="default"/>
      </w:rPr>
    </w:lvl>
  </w:abstractNum>
  <w:abstractNum w:abstractNumId="18">
    <w:nsid w:val="58BAC30E"/>
    <w:multiLevelType w:val="multilevel"/>
    <w:tmpl w:val="58BAC30E"/>
    <w:lvl w:ilvl="0" w:tentative="0">
      <w:start w:val="1"/>
      <w:numFmt w:val="decimal"/>
      <w:lvlText w:val="%1."/>
      <w:lvlJc w:val="left"/>
      <w:pPr>
        <w:ind w:left="425" w:hanging="425"/>
      </w:pPr>
      <w:rPr>
        <w:rFonts w:hint="default"/>
      </w:rPr>
    </w:lvl>
    <w:lvl w:ilvl="1" w:tentative="0">
      <w:start w:val="1"/>
      <w:numFmt w:val="decimal"/>
      <w:isLgl/>
      <w:lvlText w:val="%1.%2"/>
      <w:lvlJc w:val="left"/>
      <w:pPr>
        <w:ind w:left="1380" w:hanging="480"/>
      </w:pPr>
      <w:rPr>
        <w:rFonts w:hint="default"/>
      </w:rPr>
    </w:lvl>
    <w:lvl w:ilvl="2" w:tentative="0">
      <w:start w:val="1"/>
      <w:numFmt w:val="decimal"/>
      <w:isLgl/>
      <w:lvlText w:val="%1.%2.%3"/>
      <w:lvlJc w:val="left"/>
      <w:pPr>
        <w:ind w:left="2520" w:hanging="720"/>
      </w:pPr>
      <w:rPr>
        <w:rFonts w:hint="default"/>
      </w:rPr>
    </w:lvl>
    <w:lvl w:ilvl="3" w:tentative="0">
      <w:start w:val="1"/>
      <w:numFmt w:val="decimal"/>
      <w:isLgl/>
      <w:lvlText w:val="%1.%2.%3.%4"/>
      <w:lvlJc w:val="left"/>
      <w:pPr>
        <w:ind w:left="3780" w:hanging="1080"/>
      </w:pPr>
      <w:rPr>
        <w:rFonts w:hint="default"/>
      </w:rPr>
    </w:lvl>
    <w:lvl w:ilvl="4" w:tentative="0">
      <w:start w:val="1"/>
      <w:numFmt w:val="decimal"/>
      <w:isLgl/>
      <w:lvlText w:val="%1.%2.%3.%4.%5"/>
      <w:lvlJc w:val="left"/>
      <w:pPr>
        <w:ind w:left="4680" w:hanging="1080"/>
      </w:pPr>
      <w:rPr>
        <w:rFonts w:hint="default"/>
      </w:rPr>
    </w:lvl>
    <w:lvl w:ilvl="5" w:tentative="0">
      <w:start w:val="1"/>
      <w:numFmt w:val="decimal"/>
      <w:isLgl/>
      <w:lvlText w:val="%1.%2.%3.%4.%5.%6"/>
      <w:lvlJc w:val="left"/>
      <w:pPr>
        <w:ind w:left="5940" w:hanging="1440"/>
      </w:pPr>
      <w:rPr>
        <w:rFonts w:hint="default"/>
      </w:rPr>
    </w:lvl>
    <w:lvl w:ilvl="6" w:tentative="0">
      <w:start w:val="1"/>
      <w:numFmt w:val="decimal"/>
      <w:isLgl/>
      <w:lvlText w:val="%1.%2.%3.%4.%5.%6.%7"/>
      <w:lvlJc w:val="left"/>
      <w:pPr>
        <w:ind w:left="7200" w:hanging="1800"/>
      </w:pPr>
      <w:rPr>
        <w:rFonts w:hint="default"/>
      </w:rPr>
    </w:lvl>
    <w:lvl w:ilvl="7" w:tentative="0">
      <w:start w:val="1"/>
      <w:numFmt w:val="decimal"/>
      <w:isLgl/>
      <w:lvlText w:val="%1.%2.%3.%4.%5.%6.%7.%8"/>
      <w:lvlJc w:val="left"/>
      <w:pPr>
        <w:ind w:left="8100" w:hanging="1800"/>
      </w:pPr>
      <w:rPr>
        <w:rFonts w:hint="default"/>
      </w:rPr>
    </w:lvl>
    <w:lvl w:ilvl="8" w:tentative="0">
      <w:start w:val="1"/>
      <w:numFmt w:val="decimal"/>
      <w:isLgl/>
      <w:lvlText w:val="%1.%2.%3.%4.%5.%6.%7.%8.%9"/>
      <w:lvlJc w:val="left"/>
      <w:pPr>
        <w:ind w:left="9360" w:hanging="2160"/>
      </w:pPr>
      <w:rPr>
        <w:rFonts w:hint="default"/>
      </w:rPr>
    </w:lvl>
  </w:abstractNum>
  <w:abstractNum w:abstractNumId="19">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20">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21">
    <w:nsid w:val="58BADF6B"/>
    <w:multiLevelType w:val="singleLevel"/>
    <w:tmpl w:val="58BADF6B"/>
    <w:lvl w:ilvl="0" w:tentative="0">
      <w:start w:val="1"/>
      <w:numFmt w:val="decimal"/>
      <w:suff w:val="nothing"/>
      <w:lvlText w:val="%1、"/>
      <w:lvlJc w:val="left"/>
      <w:pPr>
        <w:ind w:left="0" w:firstLine="420"/>
      </w:pPr>
      <w:rPr>
        <w:rFonts w:hint="default"/>
      </w:rPr>
    </w:lvl>
  </w:abstractNum>
  <w:abstractNum w:abstractNumId="22">
    <w:nsid w:val="58BADF9B"/>
    <w:multiLevelType w:val="singleLevel"/>
    <w:tmpl w:val="58BADF9B"/>
    <w:lvl w:ilvl="0" w:tentative="0">
      <w:start w:val="1"/>
      <w:numFmt w:val="decimal"/>
      <w:suff w:val="nothing"/>
      <w:lvlText w:val="%1、"/>
      <w:lvlJc w:val="left"/>
      <w:pPr>
        <w:ind w:left="0" w:firstLine="420"/>
      </w:pPr>
      <w:rPr>
        <w:rFonts w:hint="default"/>
      </w:rPr>
    </w:lvl>
  </w:abstractNum>
  <w:abstractNum w:abstractNumId="23">
    <w:nsid w:val="58BADFDF"/>
    <w:multiLevelType w:val="singleLevel"/>
    <w:tmpl w:val="58BADFDF"/>
    <w:lvl w:ilvl="0" w:tentative="0">
      <w:start w:val="1"/>
      <w:numFmt w:val="decimal"/>
      <w:suff w:val="nothing"/>
      <w:lvlText w:val="（%1）"/>
      <w:lvlJc w:val="left"/>
      <w:pPr>
        <w:tabs>
          <w:tab w:val="left" w:pos="0"/>
        </w:tabs>
        <w:ind w:left="0" w:firstLine="420"/>
      </w:pPr>
      <w:rPr>
        <w:rFonts w:hint="default"/>
        <w:b/>
      </w:rPr>
    </w:lvl>
  </w:abstractNum>
  <w:abstractNum w:abstractNumId="24">
    <w:nsid w:val="58BAE00C"/>
    <w:multiLevelType w:val="singleLevel"/>
    <w:tmpl w:val="58BAE00C"/>
    <w:lvl w:ilvl="0" w:tentative="0">
      <w:start w:val="1"/>
      <w:numFmt w:val="decimal"/>
      <w:suff w:val="nothing"/>
      <w:lvlText w:val="%1、"/>
      <w:lvlJc w:val="left"/>
      <w:pPr>
        <w:ind w:left="0" w:firstLine="420"/>
      </w:pPr>
      <w:rPr>
        <w:rFonts w:hint="default"/>
      </w:rPr>
    </w:lvl>
  </w:abstractNum>
  <w:abstractNum w:abstractNumId="25">
    <w:nsid w:val="58BAE056"/>
    <w:multiLevelType w:val="singleLevel"/>
    <w:tmpl w:val="58BAE056"/>
    <w:lvl w:ilvl="0" w:tentative="0">
      <w:start w:val="1"/>
      <w:numFmt w:val="decimal"/>
      <w:suff w:val="nothing"/>
      <w:lvlText w:val="%1、"/>
      <w:lvlJc w:val="left"/>
      <w:pPr>
        <w:ind w:left="0" w:firstLine="420"/>
      </w:pPr>
      <w:rPr>
        <w:rFonts w:hint="default"/>
      </w:rPr>
    </w:lvl>
  </w:abstractNum>
  <w:abstractNum w:abstractNumId="26">
    <w:nsid w:val="58BAE083"/>
    <w:multiLevelType w:val="singleLevel"/>
    <w:tmpl w:val="58BAE083"/>
    <w:lvl w:ilvl="0" w:tentative="0">
      <w:start w:val="1"/>
      <w:numFmt w:val="decimal"/>
      <w:suff w:val="nothing"/>
      <w:lvlText w:val="%1、"/>
      <w:lvlJc w:val="left"/>
      <w:pPr>
        <w:ind w:left="0" w:firstLine="420"/>
      </w:pPr>
      <w:rPr>
        <w:rFonts w:hint="default"/>
      </w:rPr>
    </w:lvl>
  </w:abstractNum>
  <w:abstractNum w:abstractNumId="27">
    <w:nsid w:val="58BAE0E9"/>
    <w:multiLevelType w:val="singleLevel"/>
    <w:tmpl w:val="58BAE0E9"/>
    <w:lvl w:ilvl="0" w:tentative="0">
      <w:start w:val="1"/>
      <w:numFmt w:val="decimal"/>
      <w:suff w:val="nothing"/>
      <w:lvlText w:val="（%1）"/>
      <w:lvlJc w:val="left"/>
      <w:pPr>
        <w:ind w:left="0" w:firstLine="420"/>
      </w:pPr>
      <w:rPr>
        <w:rFonts w:hint="default"/>
      </w:rPr>
    </w:lvl>
  </w:abstractNum>
  <w:abstractNum w:abstractNumId="28">
    <w:nsid w:val="58C77C53"/>
    <w:multiLevelType w:val="multilevel"/>
    <w:tmpl w:val="58C77C53"/>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58C77C88"/>
    <w:multiLevelType w:val="singleLevel"/>
    <w:tmpl w:val="58C77C88"/>
    <w:lvl w:ilvl="0" w:tentative="0">
      <w:start w:val="1"/>
      <w:numFmt w:val="decimal"/>
      <w:lvlText w:val="%1."/>
      <w:lvlJc w:val="left"/>
      <w:pPr>
        <w:ind w:left="425" w:hanging="425"/>
      </w:pPr>
      <w:rPr>
        <w:rFonts w:hint="default"/>
      </w:rPr>
    </w:lvl>
  </w:abstractNum>
  <w:abstractNum w:abstractNumId="30">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58C77F14"/>
    <w:multiLevelType w:val="multilevel"/>
    <w:tmpl w:val="58C77F14"/>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58C77F87"/>
    <w:multiLevelType w:val="multilevel"/>
    <w:tmpl w:val="58C77F87"/>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58C78075"/>
    <w:multiLevelType w:val="multilevel"/>
    <w:tmpl w:val="58C78075"/>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4">
    <w:nsid w:val="58C7809C"/>
    <w:multiLevelType w:val="multilevel"/>
    <w:tmpl w:val="58C7809C"/>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6.1.%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58C780ED"/>
    <w:multiLevelType w:val="multilevel"/>
    <w:tmpl w:val="58C780ED"/>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58C78143"/>
    <w:multiLevelType w:val="multilevel"/>
    <w:tmpl w:val="58C78143"/>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58C781A1"/>
    <w:multiLevelType w:val="multilevel"/>
    <w:tmpl w:val="58C781A1"/>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58C7825F"/>
    <w:multiLevelType w:val="multilevel"/>
    <w:tmpl w:val="58C7825F"/>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58C7980E"/>
    <w:multiLevelType w:val="multilevel"/>
    <w:tmpl w:val="58C7980E"/>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58C79826"/>
    <w:multiLevelType w:val="multilevel"/>
    <w:tmpl w:val="58C79826"/>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58C798B6"/>
    <w:multiLevelType w:val="singleLevel"/>
    <w:tmpl w:val="58C798B6"/>
    <w:lvl w:ilvl="0" w:tentative="0">
      <w:start w:val="1"/>
      <w:numFmt w:val="decimal"/>
      <w:suff w:val="nothing"/>
      <w:lvlText w:val="（%1）"/>
      <w:lvlJc w:val="left"/>
      <w:pPr>
        <w:ind w:left="0" w:firstLine="420"/>
      </w:pPr>
      <w:rPr>
        <w:rFonts w:hint="default"/>
      </w:rPr>
    </w:lvl>
  </w:abstractNum>
  <w:abstractNum w:abstractNumId="44">
    <w:nsid w:val="58C798CD"/>
    <w:multiLevelType w:val="singleLevel"/>
    <w:tmpl w:val="58C798CD"/>
    <w:lvl w:ilvl="0" w:tentative="0">
      <w:start w:val="1"/>
      <w:numFmt w:val="decimal"/>
      <w:suff w:val="nothing"/>
      <w:lvlText w:val="（%1）"/>
      <w:lvlJc w:val="left"/>
      <w:pPr>
        <w:ind w:left="0" w:firstLine="420"/>
      </w:pPr>
      <w:rPr>
        <w:rFonts w:hint="default"/>
      </w:rPr>
    </w:lvl>
  </w:abstractNum>
  <w:abstractNum w:abstractNumId="45">
    <w:nsid w:val="58C798F5"/>
    <w:multiLevelType w:val="multilevel"/>
    <w:tmpl w:val="58C798F5"/>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58C7A25C"/>
    <w:multiLevelType w:val="singleLevel"/>
    <w:tmpl w:val="58C7A25C"/>
    <w:lvl w:ilvl="0" w:tentative="0">
      <w:start w:val="1"/>
      <w:numFmt w:val="decimal"/>
      <w:suff w:val="nothing"/>
      <w:lvlText w:val="%1、"/>
      <w:lvlJc w:val="left"/>
      <w:pPr>
        <w:ind w:left="0" w:firstLine="420"/>
      </w:pPr>
      <w:rPr>
        <w:rFonts w:hint="default"/>
      </w:rPr>
    </w:lvl>
  </w:abstractNum>
  <w:abstractNum w:abstractNumId="48">
    <w:nsid w:val="58C7A2B7"/>
    <w:multiLevelType w:val="singleLevel"/>
    <w:tmpl w:val="58C7A2B7"/>
    <w:lvl w:ilvl="0" w:tentative="0">
      <w:start w:val="1"/>
      <w:numFmt w:val="decimal"/>
      <w:suff w:val="nothing"/>
      <w:lvlText w:val="%1、"/>
      <w:lvlJc w:val="left"/>
      <w:pPr>
        <w:ind w:left="0" w:firstLine="420"/>
      </w:pPr>
      <w:rPr>
        <w:rFonts w:hint="default"/>
      </w:rPr>
    </w:lvl>
  </w:abstractNum>
  <w:abstractNum w:abstractNumId="49">
    <w:nsid w:val="58C7A8DE"/>
    <w:multiLevelType w:val="singleLevel"/>
    <w:tmpl w:val="58C7A8DE"/>
    <w:lvl w:ilvl="0" w:tentative="0">
      <w:start w:val="1"/>
      <w:numFmt w:val="decimal"/>
      <w:suff w:val="nothing"/>
      <w:lvlText w:val="%1、"/>
      <w:lvlJc w:val="left"/>
    </w:lvl>
  </w:abstractNum>
  <w:abstractNum w:abstractNumId="50">
    <w:nsid w:val="58C7ABA9"/>
    <w:multiLevelType w:val="singleLevel"/>
    <w:tmpl w:val="58C7ABA9"/>
    <w:lvl w:ilvl="0" w:tentative="0">
      <w:start w:val="1"/>
      <w:numFmt w:val="decimal"/>
      <w:suff w:val="nothing"/>
      <w:lvlText w:val="（%1）"/>
      <w:lvlJc w:val="left"/>
      <w:pPr>
        <w:tabs>
          <w:tab w:val="left" w:pos="0"/>
        </w:tabs>
        <w:ind w:left="0" w:firstLine="420"/>
      </w:pPr>
      <w:rPr>
        <w:rFonts w:hint="default"/>
        <w:b/>
      </w:rPr>
    </w:lvl>
  </w:abstractNum>
  <w:abstractNum w:abstractNumId="51">
    <w:nsid w:val="58C7ACE0"/>
    <w:multiLevelType w:val="singleLevel"/>
    <w:tmpl w:val="58C7ACE0"/>
    <w:lvl w:ilvl="0" w:tentative="0">
      <w:start w:val="1"/>
      <w:numFmt w:val="decimal"/>
      <w:suff w:val="nothing"/>
      <w:lvlText w:val="%1、"/>
      <w:lvlJc w:val="left"/>
      <w:pPr>
        <w:ind w:left="0" w:firstLine="420"/>
      </w:pPr>
      <w:rPr>
        <w:rFonts w:hint="default"/>
      </w:rPr>
    </w:lvl>
  </w:abstractNum>
  <w:abstractNum w:abstractNumId="52">
    <w:nsid w:val="58C7AEB1"/>
    <w:multiLevelType w:val="singleLevel"/>
    <w:tmpl w:val="58C7AEB1"/>
    <w:lvl w:ilvl="0" w:tentative="0">
      <w:start w:val="1"/>
      <w:numFmt w:val="decimal"/>
      <w:suff w:val="nothing"/>
      <w:lvlText w:val="%1、"/>
      <w:lvlJc w:val="left"/>
      <w:pPr>
        <w:ind w:left="0" w:firstLine="420"/>
      </w:pPr>
      <w:rPr>
        <w:rFonts w:hint="default"/>
      </w:rPr>
    </w:lvl>
  </w:abstractNum>
  <w:abstractNum w:abstractNumId="53">
    <w:nsid w:val="58C7B18C"/>
    <w:multiLevelType w:val="singleLevel"/>
    <w:tmpl w:val="58C7B18C"/>
    <w:lvl w:ilvl="0" w:tentative="0">
      <w:start w:val="1"/>
      <w:numFmt w:val="decimal"/>
      <w:suff w:val="nothing"/>
      <w:lvlText w:val="（%1）"/>
      <w:lvlJc w:val="left"/>
      <w:pPr>
        <w:tabs>
          <w:tab w:val="left" w:pos="0"/>
        </w:tabs>
        <w:ind w:left="0" w:firstLine="420"/>
      </w:pPr>
      <w:rPr>
        <w:rFonts w:hint="default"/>
        <w:b/>
      </w:rPr>
    </w:lvl>
  </w:abstractNum>
  <w:abstractNum w:abstractNumId="54">
    <w:nsid w:val="58C7B216"/>
    <w:multiLevelType w:val="singleLevel"/>
    <w:tmpl w:val="58C7B216"/>
    <w:lvl w:ilvl="0" w:tentative="0">
      <w:start w:val="1"/>
      <w:numFmt w:val="decimal"/>
      <w:suff w:val="nothing"/>
      <w:lvlText w:val="%1、"/>
      <w:lvlJc w:val="left"/>
      <w:pPr>
        <w:ind w:left="0" w:firstLine="420"/>
      </w:pPr>
      <w:rPr>
        <w:rFonts w:hint="default"/>
      </w:rPr>
    </w:lvl>
  </w:abstractNum>
  <w:abstractNum w:abstractNumId="55">
    <w:nsid w:val="58C7B481"/>
    <w:multiLevelType w:val="singleLevel"/>
    <w:tmpl w:val="58C7B481"/>
    <w:lvl w:ilvl="0" w:tentative="0">
      <w:start w:val="1"/>
      <w:numFmt w:val="decimal"/>
      <w:suff w:val="nothing"/>
      <w:lvlText w:val="%1、"/>
      <w:lvlJc w:val="left"/>
      <w:pPr>
        <w:ind w:left="0" w:firstLine="420"/>
      </w:pPr>
      <w:rPr>
        <w:rFonts w:hint="default"/>
      </w:rPr>
    </w:lvl>
  </w:abstractNum>
  <w:abstractNum w:abstractNumId="56">
    <w:nsid w:val="58C7BBB0"/>
    <w:multiLevelType w:val="singleLevel"/>
    <w:tmpl w:val="58C7BBB0"/>
    <w:lvl w:ilvl="0" w:tentative="0">
      <w:start w:val="1"/>
      <w:numFmt w:val="decimal"/>
      <w:suff w:val="nothing"/>
      <w:lvlText w:val="%1、"/>
      <w:lvlJc w:val="left"/>
      <w:pPr>
        <w:ind w:left="0" w:firstLine="420"/>
      </w:pPr>
      <w:rPr>
        <w:rFonts w:hint="default"/>
      </w:rPr>
    </w:lvl>
  </w:abstractNum>
  <w:abstractNum w:abstractNumId="57">
    <w:nsid w:val="58EF8D20"/>
    <w:multiLevelType w:val="singleLevel"/>
    <w:tmpl w:val="58EF8D20"/>
    <w:lvl w:ilvl="0" w:tentative="0">
      <w:start w:val="1"/>
      <w:numFmt w:val="decimal"/>
      <w:suff w:val="nothing"/>
      <w:lvlText w:val="%1"/>
      <w:lvlJc w:val="left"/>
      <w:pPr>
        <w:ind w:left="0" w:firstLine="0"/>
      </w:pPr>
      <w:rPr>
        <w:rFonts w:hint="default"/>
      </w:rPr>
    </w:lvl>
  </w:abstractNum>
  <w:abstractNum w:abstractNumId="58">
    <w:nsid w:val="590C32FA"/>
    <w:multiLevelType w:val="singleLevel"/>
    <w:tmpl w:val="590C32FA"/>
    <w:lvl w:ilvl="0" w:tentative="0">
      <w:start w:val="1"/>
      <w:numFmt w:val="decimalEnclosedCircleChinese"/>
      <w:suff w:val="nothing"/>
      <w:lvlText w:val="%1　"/>
      <w:lvlJc w:val="left"/>
      <w:pPr>
        <w:ind w:left="0" w:firstLine="400"/>
      </w:pPr>
      <w:rPr>
        <w:rFonts w:hint="eastAsia"/>
      </w:rPr>
    </w:lvl>
  </w:abstractNum>
  <w:abstractNum w:abstractNumId="59">
    <w:nsid w:val="592CF089"/>
    <w:multiLevelType w:val="multilevel"/>
    <w:tmpl w:val="592CF089"/>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92CF166"/>
    <w:multiLevelType w:val="multilevel"/>
    <w:tmpl w:val="592CF166"/>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592CF17F"/>
    <w:multiLevelType w:val="multilevel"/>
    <w:tmpl w:val="592CF17F"/>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2">
    <w:nsid w:val="592CF1C9"/>
    <w:multiLevelType w:val="multilevel"/>
    <w:tmpl w:val="592CF1C9"/>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3">
    <w:nsid w:val="592CF213"/>
    <w:multiLevelType w:val="multilevel"/>
    <w:tmpl w:val="592CF213"/>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592CF28B"/>
    <w:multiLevelType w:val="multilevel"/>
    <w:tmpl w:val="592CF28B"/>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592CF2AC"/>
    <w:multiLevelType w:val="multilevel"/>
    <w:tmpl w:val="592CF2AC"/>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592CF2D3"/>
    <w:multiLevelType w:val="multilevel"/>
    <w:tmpl w:val="592CF2D3"/>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592CF2E6"/>
    <w:multiLevelType w:val="multilevel"/>
    <w:tmpl w:val="592CF2E6"/>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7.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592CF330"/>
    <w:multiLevelType w:val="multilevel"/>
    <w:tmpl w:val="592CF330"/>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592CF375"/>
    <w:multiLevelType w:val="multilevel"/>
    <w:tmpl w:val="592CF375"/>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592CF3A9"/>
    <w:multiLevelType w:val="multilevel"/>
    <w:tmpl w:val="592CF3A9"/>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592CF3E4"/>
    <w:multiLevelType w:val="multilevel"/>
    <w:tmpl w:val="592CF3E4"/>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592CF431"/>
    <w:multiLevelType w:val="multilevel"/>
    <w:tmpl w:val="592CF431"/>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4">
    <w:nsid w:val="592CF47A"/>
    <w:multiLevelType w:val="multilevel"/>
    <w:tmpl w:val="592CF47A"/>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宋体" w:hAnsi="宋体" w:eastAsia="宋体" w:cs="宋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5">
    <w:nsid w:val="592CF49E"/>
    <w:multiLevelType w:val="multilevel"/>
    <w:tmpl w:val="592CF49E"/>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6">
    <w:nsid w:val="592CF516"/>
    <w:multiLevelType w:val="multilevel"/>
    <w:tmpl w:val="592CF516"/>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7">
    <w:nsid w:val="592CF546"/>
    <w:multiLevelType w:val="multilevel"/>
    <w:tmpl w:val="592CF546"/>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8">
    <w:nsid w:val="592CF5C9"/>
    <w:multiLevelType w:val="multilevel"/>
    <w:tmpl w:val="592CF5C9"/>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9">
    <w:nsid w:val="592CF5EA"/>
    <w:multiLevelType w:val="multilevel"/>
    <w:tmpl w:val="592CF5EA"/>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0">
    <w:nsid w:val="592CF60D"/>
    <w:multiLevelType w:val="multilevel"/>
    <w:tmpl w:val="592CF60D"/>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1">
    <w:nsid w:val="592CF65D"/>
    <w:multiLevelType w:val="multilevel"/>
    <w:tmpl w:val="592CF65D"/>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2">
    <w:nsid w:val="592CF689"/>
    <w:multiLevelType w:val="multilevel"/>
    <w:tmpl w:val="592CF689"/>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3">
    <w:nsid w:val="592CF6BD"/>
    <w:multiLevelType w:val="multilevel"/>
    <w:tmpl w:val="592CF6BD"/>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4">
    <w:nsid w:val="616B40E2"/>
    <w:multiLevelType w:val="singleLevel"/>
    <w:tmpl w:val="616B40E2"/>
    <w:lvl w:ilvl="0" w:tentative="0">
      <w:start w:val="1"/>
      <w:numFmt w:val="ideographTraditional"/>
      <w:suff w:val="nothing"/>
      <w:lvlText w:val="%1、"/>
      <w:lvlJc w:val="left"/>
      <w:rPr>
        <w:rFonts w:hint="eastAsia"/>
      </w:rPr>
    </w:lvl>
  </w:abstractNum>
  <w:abstractNum w:abstractNumId="85">
    <w:nsid w:val="663E3592"/>
    <w:multiLevelType w:val="multilevel"/>
    <w:tmpl w:val="663E359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0"/>
  </w:num>
  <w:num w:numId="2">
    <w:abstractNumId w:val="14"/>
  </w:num>
  <w:num w:numId="3">
    <w:abstractNumId w:val="15"/>
  </w:num>
  <w:num w:numId="4">
    <w:abstractNumId w:val="1"/>
  </w:num>
  <w:num w:numId="5">
    <w:abstractNumId w:val="16"/>
  </w:num>
  <w:num w:numId="6">
    <w:abstractNumId w:val="6"/>
  </w:num>
  <w:num w:numId="7">
    <w:abstractNumId w:val="17"/>
  </w:num>
  <w:num w:numId="8">
    <w:abstractNumId w:val="18"/>
  </w:num>
  <w:num w:numId="9">
    <w:abstractNumId w:val="19"/>
  </w:num>
  <w:num w:numId="10">
    <w:abstractNumId w:val="7"/>
  </w:num>
  <w:num w:numId="11">
    <w:abstractNumId w:val="29"/>
  </w:num>
  <w:num w:numId="12">
    <w:abstractNumId w:val="28"/>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59"/>
  </w:num>
  <w:num w:numId="23">
    <w:abstractNumId w:val="39"/>
  </w:num>
  <w:num w:numId="24">
    <w:abstractNumId w:val="40"/>
  </w:num>
  <w:num w:numId="25">
    <w:abstractNumId w:val="60"/>
  </w:num>
  <w:num w:numId="26">
    <w:abstractNumId w:val="61"/>
  </w:num>
  <w:num w:numId="27">
    <w:abstractNumId w:val="62"/>
  </w:num>
  <w:num w:numId="28">
    <w:abstractNumId w:val="63"/>
  </w:num>
  <w:num w:numId="29">
    <w:abstractNumId w:val="64"/>
  </w:num>
  <w:num w:numId="30">
    <w:abstractNumId w:val="65"/>
  </w:num>
  <w:num w:numId="31">
    <w:abstractNumId w:val="66"/>
  </w:num>
  <w:num w:numId="32">
    <w:abstractNumId w:val="67"/>
  </w:num>
  <w:num w:numId="33">
    <w:abstractNumId w:val="68"/>
  </w:num>
  <w:num w:numId="34">
    <w:abstractNumId w:val="69"/>
  </w:num>
  <w:num w:numId="35">
    <w:abstractNumId w:val="70"/>
  </w:num>
  <w:num w:numId="36">
    <w:abstractNumId w:val="71"/>
  </w:num>
  <w:num w:numId="37">
    <w:abstractNumId w:val="72"/>
  </w:num>
  <w:num w:numId="38">
    <w:abstractNumId w:val="73"/>
  </w:num>
  <w:num w:numId="39">
    <w:abstractNumId w:val="74"/>
  </w:num>
  <w:num w:numId="40">
    <w:abstractNumId w:val="75"/>
  </w:num>
  <w:num w:numId="41">
    <w:abstractNumId w:val="3"/>
  </w:num>
  <w:num w:numId="42">
    <w:abstractNumId w:val="76"/>
  </w:num>
  <w:num w:numId="43">
    <w:abstractNumId w:val="77"/>
  </w:num>
  <w:num w:numId="44">
    <w:abstractNumId w:val="78"/>
  </w:num>
  <w:num w:numId="45">
    <w:abstractNumId w:val="79"/>
  </w:num>
  <w:num w:numId="46">
    <w:abstractNumId w:val="80"/>
  </w:num>
  <w:num w:numId="47">
    <w:abstractNumId w:val="81"/>
  </w:num>
  <w:num w:numId="48">
    <w:abstractNumId w:val="82"/>
  </w:num>
  <w:num w:numId="49">
    <w:abstractNumId w:val="83"/>
  </w:num>
  <w:num w:numId="50">
    <w:abstractNumId w:val="8"/>
  </w:num>
  <w:num w:numId="51">
    <w:abstractNumId w:val="41"/>
  </w:num>
  <w:num w:numId="52">
    <w:abstractNumId w:val="42"/>
  </w:num>
  <w:num w:numId="53">
    <w:abstractNumId w:val="9"/>
  </w:num>
  <w:num w:numId="54">
    <w:abstractNumId w:val="43"/>
  </w:num>
  <w:num w:numId="55">
    <w:abstractNumId w:val="44"/>
  </w:num>
  <w:num w:numId="56">
    <w:abstractNumId w:val="45"/>
  </w:num>
  <w:num w:numId="57">
    <w:abstractNumId w:val="10"/>
  </w:num>
  <w:num w:numId="58">
    <w:abstractNumId w:val="85"/>
  </w:num>
  <w:num w:numId="59">
    <w:abstractNumId w:val="11"/>
  </w:num>
  <w:num w:numId="60">
    <w:abstractNumId w:val="46"/>
  </w:num>
  <w:num w:numId="61">
    <w:abstractNumId w:val="5"/>
  </w:num>
  <w:num w:numId="62">
    <w:abstractNumId w:val="84"/>
  </w:num>
  <w:num w:numId="63">
    <w:abstractNumId w:val="21"/>
  </w:num>
  <w:num w:numId="64">
    <w:abstractNumId w:val="22"/>
  </w:num>
  <w:num w:numId="65">
    <w:abstractNumId w:val="47"/>
  </w:num>
  <w:num w:numId="66">
    <w:abstractNumId w:val="48"/>
  </w:num>
  <w:num w:numId="67">
    <w:abstractNumId w:val="23"/>
  </w:num>
  <w:num w:numId="68">
    <w:abstractNumId w:val="0"/>
  </w:num>
  <w:num w:numId="69">
    <w:abstractNumId w:val="49"/>
  </w:num>
  <w:num w:numId="70">
    <w:abstractNumId w:val="24"/>
  </w:num>
  <w:num w:numId="71">
    <w:abstractNumId w:val="50"/>
  </w:num>
  <w:num w:numId="72">
    <w:abstractNumId w:val="51"/>
  </w:num>
  <w:num w:numId="73">
    <w:abstractNumId w:val="52"/>
  </w:num>
  <w:num w:numId="74">
    <w:abstractNumId w:val="53"/>
  </w:num>
  <w:num w:numId="75">
    <w:abstractNumId w:val="54"/>
  </w:num>
  <w:num w:numId="76">
    <w:abstractNumId w:val="55"/>
  </w:num>
  <w:num w:numId="77">
    <w:abstractNumId w:val="25"/>
  </w:num>
  <w:num w:numId="78">
    <w:abstractNumId w:val="27"/>
  </w:num>
  <w:num w:numId="79">
    <w:abstractNumId w:val="57"/>
  </w:num>
  <w:num w:numId="80">
    <w:abstractNumId w:val="12"/>
  </w:num>
  <w:num w:numId="81">
    <w:abstractNumId w:val="4"/>
  </w:num>
  <w:num w:numId="82">
    <w:abstractNumId w:val="56"/>
  </w:num>
  <w:num w:numId="83">
    <w:abstractNumId w:val="13"/>
  </w:num>
  <w:num w:numId="84">
    <w:abstractNumId w:val="2"/>
  </w:num>
  <w:num w:numId="85">
    <w:abstractNumId w:val="58"/>
  </w:num>
  <w:num w:numId="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mMzOTkyZGU5MmY4MTEyZmI3MDA1NjYxMGE1OTEifQ=="/>
    <w:docVar w:name="KSO_WPS_MARK_KEY" w:val="02d13d2b-9ba7-4806-a57c-981ef75ec8b9"/>
  </w:docVars>
  <w:rsids>
    <w:rsidRoot w:val="00172A27"/>
    <w:rsid w:val="000014A1"/>
    <w:rsid w:val="00006F3C"/>
    <w:rsid w:val="0000783E"/>
    <w:rsid w:val="00017B9F"/>
    <w:rsid w:val="0002257F"/>
    <w:rsid w:val="0002342A"/>
    <w:rsid w:val="000234B8"/>
    <w:rsid w:val="000237C1"/>
    <w:rsid w:val="0002538E"/>
    <w:rsid w:val="00026EEA"/>
    <w:rsid w:val="00027096"/>
    <w:rsid w:val="00035056"/>
    <w:rsid w:val="0003571D"/>
    <w:rsid w:val="000357EE"/>
    <w:rsid w:val="000417F6"/>
    <w:rsid w:val="00052370"/>
    <w:rsid w:val="0005289B"/>
    <w:rsid w:val="00056D9D"/>
    <w:rsid w:val="00063C93"/>
    <w:rsid w:val="00064C8A"/>
    <w:rsid w:val="000727FA"/>
    <w:rsid w:val="00074DCA"/>
    <w:rsid w:val="000852EB"/>
    <w:rsid w:val="000855F1"/>
    <w:rsid w:val="00087754"/>
    <w:rsid w:val="00091E0F"/>
    <w:rsid w:val="00094E4A"/>
    <w:rsid w:val="000A02F9"/>
    <w:rsid w:val="000A3CB1"/>
    <w:rsid w:val="000A43DD"/>
    <w:rsid w:val="000A7303"/>
    <w:rsid w:val="000B0558"/>
    <w:rsid w:val="000B0667"/>
    <w:rsid w:val="000B07DD"/>
    <w:rsid w:val="000B2657"/>
    <w:rsid w:val="000B2ECD"/>
    <w:rsid w:val="000B3B69"/>
    <w:rsid w:val="000B41BB"/>
    <w:rsid w:val="000B5D5D"/>
    <w:rsid w:val="000B7609"/>
    <w:rsid w:val="000C01AA"/>
    <w:rsid w:val="000C6AA8"/>
    <w:rsid w:val="000C7CC9"/>
    <w:rsid w:val="000D197C"/>
    <w:rsid w:val="000D28FE"/>
    <w:rsid w:val="000D3369"/>
    <w:rsid w:val="000D445E"/>
    <w:rsid w:val="000D4AA1"/>
    <w:rsid w:val="000D550F"/>
    <w:rsid w:val="000E00B9"/>
    <w:rsid w:val="000E1FB7"/>
    <w:rsid w:val="000E4BC9"/>
    <w:rsid w:val="000E71DD"/>
    <w:rsid w:val="000F0DD1"/>
    <w:rsid w:val="00101799"/>
    <w:rsid w:val="00105C11"/>
    <w:rsid w:val="00106178"/>
    <w:rsid w:val="00106481"/>
    <w:rsid w:val="0011497C"/>
    <w:rsid w:val="00115C34"/>
    <w:rsid w:val="001214C3"/>
    <w:rsid w:val="00123078"/>
    <w:rsid w:val="0012474A"/>
    <w:rsid w:val="00126DD9"/>
    <w:rsid w:val="001314D4"/>
    <w:rsid w:val="00131813"/>
    <w:rsid w:val="00141A96"/>
    <w:rsid w:val="001449FD"/>
    <w:rsid w:val="00147958"/>
    <w:rsid w:val="00160ADE"/>
    <w:rsid w:val="00161B3D"/>
    <w:rsid w:val="00164540"/>
    <w:rsid w:val="0016752D"/>
    <w:rsid w:val="00167AC3"/>
    <w:rsid w:val="00172A27"/>
    <w:rsid w:val="0017418F"/>
    <w:rsid w:val="00185935"/>
    <w:rsid w:val="00186389"/>
    <w:rsid w:val="0019038A"/>
    <w:rsid w:val="00191E60"/>
    <w:rsid w:val="001934F4"/>
    <w:rsid w:val="001A0675"/>
    <w:rsid w:val="001A22A4"/>
    <w:rsid w:val="001A2F70"/>
    <w:rsid w:val="001A3F39"/>
    <w:rsid w:val="001A5594"/>
    <w:rsid w:val="001A5E96"/>
    <w:rsid w:val="001A759D"/>
    <w:rsid w:val="001B257B"/>
    <w:rsid w:val="001B4778"/>
    <w:rsid w:val="001B5954"/>
    <w:rsid w:val="001B6DAF"/>
    <w:rsid w:val="001C17AF"/>
    <w:rsid w:val="001D053F"/>
    <w:rsid w:val="001D07B2"/>
    <w:rsid w:val="001D448D"/>
    <w:rsid w:val="001D5DB1"/>
    <w:rsid w:val="001E2978"/>
    <w:rsid w:val="001E2BCA"/>
    <w:rsid w:val="001E32D4"/>
    <w:rsid w:val="001E6B4C"/>
    <w:rsid w:val="001E7FB0"/>
    <w:rsid w:val="001F0512"/>
    <w:rsid w:val="001F167D"/>
    <w:rsid w:val="001F2F4E"/>
    <w:rsid w:val="001F7367"/>
    <w:rsid w:val="00205146"/>
    <w:rsid w:val="002058C7"/>
    <w:rsid w:val="002063C7"/>
    <w:rsid w:val="00212121"/>
    <w:rsid w:val="00212225"/>
    <w:rsid w:val="00212CD9"/>
    <w:rsid w:val="00213CF6"/>
    <w:rsid w:val="00214BF4"/>
    <w:rsid w:val="002167AA"/>
    <w:rsid w:val="00220CBB"/>
    <w:rsid w:val="00220D3D"/>
    <w:rsid w:val="0022624A"/>
    <w:rsid w:val="002264DF"/>
    <w:rsid w:val="0022678B"/>
    <w:rsid w:val="00226D98"/>
    <w:rsid w:val="00226ED3"/>
    <w:rsid w:val="002274A7"/>
    <w:rsid w:val="002312FA"/>
    <w:rsid w:val="00231AA0"/>
    <w:rsid w:val="00240684"/>
    <w:rsid w:val="00241768"/>
    <w:rsid w:val="00245982"/>
    <w:rsid w:val="00250CD0"/>
    <w:rsid w:val="00252D42"/>
    <w:rsid w:val="00255FF4"/>
    <w:rsid w:val="002567D8"/>
    <w:rsid w:val="002569E5"/>
    <w:rsid w:val="002640A1"/>
    <w:rsid w:val="00264747"/>
    <w:rsid w:val="00264DE6"/>
    <w:rsid w:val="00265A8A"/>
    <w:rsid w:val="00271A57"/>
    <w:rsid w:val="00271C18"/>
    <w:rsid w:val="002741C6"/>
    <w:rsid w:val="00276B98"/>
    <w:rsid w:val="002778F6"/>
    <w:rsid w:val="002807C8"/>
    <w:rsid w:val="00285235"/>
    <w:rsid w:val="00285D1D"/>
    <w:rsid w:val="00291FEA"/>
    <w:rsid w:val="002975B2"/>
    <w:rsid w:val="002A0796"/>
    <w:rsid w:val="002A11F0"/>
    <w:rsid w:val="002A4E42"/>
    <w:rsid w:val="002A5002"/>
    <w:rsid w:val="002A55A1"/>
    <w:rsid w:val="002A70F8"/>
    <w:rsid w:val="002B05DA"/>
    <w:rsid w:val="002B0F56"/>
    <w:rsid w:val="002B5D17"/>
    <w:rsid w:val="002C2200"/>
    <w:rsid w:val="002C3B20"/>
    <w:rsid w:val="002D1951"/>
    <w:rsid w:val="002D2A08"/>
    <w:rsid w:val="002D50C5"/>
    <w:rsid w:val="002D5F00"/>
    <w:rsid w:val="002D7E9B"/>
    <w:rsid w:val="002E17B6"/>
    <w:rsid w:val="002E198F"/>
    <w:rsid w:val="002E1F60"/>
    <w:rsid w:val="002E301A"/>
    <w:rsid w:val="002E4A7B"/>
    <w:rsid w:val="002E5516"/>
    <w:rsid w:val="002F0814"/>
    <w:rsid w:val="002F1A54"/>
    <w:rsid w:val="002F204D"/>
    <w:rsid w:val="002F740D"/>
    <w:rsid w:val="00301721"/>
    <w:rsid w:val="00303193"/>
    <w:rsid w:val="003038ED"/>
    <w:rsid w:val="00304529"/>
    <w:rsid w:val="00306993"/>
    <w:rsid w:val="0031313E"/>
    <w:rsid w:val="003146F1"/>
    <w:rsid w:val="00316A19"/>
    <w:rsid w:val="003174A7"/>
    <w:rsid w:val="00321EBC"/>
    <w:rsid w:val="00325751"/>
    <w:rsid w:val="00325F4A"/>
    <w:rsid w:val="00326DFA"/>
    <w:rsid w:val="00327B52"/>
    <w:rsid w:val="00331441"/>
    <w:rsid w:val="00332979"/>
    <w:rsid w:val="00335D41"/>
    <w:rsid w:val="003372D4"/>
    <w:rsid w:val="00342888"/>
    <w:rsid w:val="00343903"/>
    <w:rsid w:val="003467B1"/>
    <w:rsid w:val="003507D6"/>
    <w:rsid w:val="003509F4"/>
    <w:rsid w:val="0035232C"/>
    <w:rsid w:val="0035347F"/>
    <w:rsid w:val="00354C5B"/>
    <w:rsid w:val="00354F20"/>
    <w:rsid w:val="00355D8A"/>
    <w:rsid w:val="00361F3D"/>
    <w:rsid w:val="00364DD4"/>
    <w:rsid w:val="00365905"/>
    <w:rsid w:val="00366AD0"/>
    <w:rsid w:val="003737FD"/>
    <w:rsid w:val="0037700C"/>
    <w:rsid w:val="00383320"/>
    <w:rsid w:val="00383EDA"/>
    <w:rsid w:val="00384393"/>
    <w:rsid w:val="003910F6"/>
    <w:rsid w:val="003918F4"/>
    <w:rsid w:val="00393D15"/>
    <w:rsid w:val="00393D83"/>
    <w:rsid w:val="00395B43"/>
    <w:rsid w:val="003961FC"/>
    <w:rsid w:val="003B1130"/>
    <w:rsid w:val="003B26FE"/>
    <w:rsid w:val="003B5B89"/>
    <w:rsid w:val="003C59D0"/>
    <w:rsid w:val="003C6E19"/>
    <w:rsid w:val="003C7ECC"/>
    <w:rsid w:val="003D52E2"/>
    <w:rsid w:val="003D5AD6"/>
    <w:rsid w:val="003D5D27"/>
    <w:rsid w:val="003E3174"/>
    <w:rsid w:val="003E4D40"/>
    <w:rsid w:val="003F2B2D"/>
    <w:rsid w:val="003F2EA2"/>
    <w:rsid w:val="003F426B"/>
    <w:rsid w:val="004031C0"/>
    <w:rsid w:val="004039DC"/>
    <w:rsid w:val="004064E3"/>
    <w:rsid w:val="004112DA"/>
    <w:rsid w:val="00413C7F"/>
    <w:rsid w:val="00416B18"/>
    <w:rsid w:val="0042495C"/>
    <w:rsid w:val="00427E56"/>
    <w:rsid w:val="00430CEE"/>
    <w:rsid w:val="0043200C"/>
    <w:rsid w:val="00432BF8"/>
    <w:rsid w:val="00436AED"/>
    <w:rsid w:val="00436CDD"/>
    <w:rsid w:val="004403CF"/>
    <w:rsid w:val="0044396B"/>
    <w:rsid w:val="004478B2"/>
    <w:rsid w:val="0045144A"/>
    <w:rsid w:val="004535BB"/>
    <w:rsid w:val="004544A6"/>
    <w:rsid w:val="00455854"/>
    <w:rsid w:val="00455953"/>
    <w:rsid w:val="00456294"/>
    <w:rsid w:val="00456AE2"/>
    <w:rsid w:val="00457F37"/>
    <w:rsid w:val="00457FD8"/>
    <w:rsid w:val="00460F07"/>
    <w:rsid w:val="00461E82"/>
    <w:rsid w:val="00462A26"/>
    <w:rsid w:val="00467C22"/>
    <w:rsid w:val="004706ED"/>
    <w:rsid w:val="0047130A"/>
    <w:rsid w:val="00471ED3"/>
    <w:rsid w:val="00490582"/>
    <w:rsid w:val="004920E3"/>
    <w:rsid w:val="00492BC1"/>
    <w:rsid w:val="004934A3"/>
    <w:rsid w:val="00495EA3"/>
    <w:rsid w:val="00497E85"/>
    <w:rsid w:val="004A01BB"/>
    <w:rsid w:val="004A2889"/>
    <w:rsid w:val="004A5BED"/>
    <w:rsid w:val="004B2222"/>
    <w:rsid w:val="004B2CF5"/>
    <w:rsid w:val="004B3A3A"/>
    <w:rsid w:val="004B4C74"/>
    <w:rsid w:val="004C43B9"/>
    <w:rsid w:val="004C53A8"/>
    <w:rsid w:val="004D712A"/>
    <w:rsid w:val="004E056D"/>
    <w:rsid w:val="004E3362"/>
    <w:rsid w:val="004E35B1"/>
    <w:rsid w:val="004E63A8"/>
    <w:rsid w:val="004F0DAA"/>
    <w:rsid w:val="004F28C5"/>
    <w:rsid w:val="004F5C1A"/>
    <w:rsid w:val="00500138"/>
    <w:rsid w:val="0050163B"/>
    <w:rsid w:val="005027CD"/>
    <w:rsid w:val="00502EF0"/>
    <w:rsid w:val="00504D23"/>
    <w:rsid w:val="005061B8"/>
    <w:rsid w:val="005075E6"/>
    <w:rsid w:val="00511EE7"/>
    <w:rsid w:val="005120E4"/>
    <w:rsid w:val="00514218"/>
    <w:rsid w:val="00514FA1"/>
    <w:rsid w:val="005176D0"/>
    <w:rsid w:val="005178DC"/>
    <w:rsid w:val="005205B0"/>
    <w:rsid w:val="00530CBE"/>
    <w:rsid w:val="00530F6C"/>
    <w:rsid w:val="005327B6"/>
    <w:rsid w:val="00535F51"/>
    <w:rsid w:val="0054587A"/>
    <w:rsid w:val="0054712D"/>
    <w:rsid w:val="0055366A"/>
    <w:rsid w:val="005545D9"/>
    <w:rsid w:val="00554663"/>
    <w:rsid w:val="00555735"/>
    <w:rsid w:val="0055670C"/>
    <w:rsid w:val="00556FF1"/>
    <w:rsid w:val="0056084F"/>
    <w:rsid w:val="005626A7"/>
    <w:rsid w:val="00562901"/>
    <w:rsid w:val="00562AE1"/>
    <w:rsid w:val="0056311B"/>
    <w:rsid w:val="0056767F"/>
    <w:rsid w:val="00574F85"/>
    <w:rsid w:val="00580F16"/>
    <w:rsid w:val="005823A9"/>
    <w:rsid w:val="00584742"/>
    <w:rsid w:val="0058771D"/>
    <w:rsid w:val="00590807"/>
    <w:rsid w:val="00591342"/>
    <w:rsid w:val="00591B6D"/>
    <w:rsid w:val="005938E5"/>
    <w:rsid w:val="00596419"/>
    <w:rsid w:val="005A037C"/>
    <w:rsid w:val="005A0F37"/>
    <w:rsid w:val="005A273F"/>
    <w:rsid w:val="005A45E4"/>
    <w:rsid w:val="005A7BBE"/>
    <w:rsid w:val="005A7C1C"/>
    <w:rsid w:val="005B1852"/>
    <w:rsid w:val="005B2723"/>
    <w:rsid w:val="005C4ECF"/>
    <w:rsid w:val="005E06B7"/>
    <w:rsid w:val="005E2425"/>
    <w:rsid w:val="005E38FF"/>
    <w:rsid w:val="005F6945"/>
    <w:rsid w:val="00604E72"/>
    <w:rsid w:val="0061551D"/>
    <w:rsid w:val="006216CD"/>
    <w:rsid w:val="006222BB"/>
    <w:rsid w:val="00625A8F"/>
    <w:rsid w:val="00625F49"/>
    <w:rsid w:val="00626816"/>
    <w:rsid w:val="006300B0"/>
    <w:rsid w:val="00640B02"/>
    <w:rsid w:val="00641F9B"/>
    <w:rsid w:val="00646599"/>
    <w:rsid w:val="00646D05"/>
    <w:rsid w:val="00647DDF"/>
    <w:rsid w:val="00651D80"/>
    <w:rsid w:val="006571F2"/>
    <w:rsid w:val="00657314"/>
    <w:rsid w:val="00661E35"/>
    <w:rsid w:val="0066201C"/>
    <w:rsid w:val="00662ECA"/>
    <w:rsid w:val="00665246"/>
    <w:rsid w:val="0067026B"/>
    <w:rsid w:val="00671E8E"/>
    <w:rsid w:val="006759F4"/>
    <w:rsid w:val="00677F51"/>
    <w:rsid w:val="00682841"/>
    <w:rsid w:val="00686D92"/>
    <w:rsid w:val="00692B32"/>
    <w:rsid w:val="006970FC"/>
    <w:rsid w:val="006972C1"/>
    <w:rsid w:val="006978B8"/>
    <w:rsid w:val="006A3BD4"/>
    <w:rsid w:val="006A4B58"/>
    <w:rsid w:val="006A4C28"/>
    <w:rsid w:val="006A51F8"/>
    <w:rsid w:val="006A5AEE"/>
    <w:rsid w:val="006A644A"/>
    <w:rsid w:val="006B4800"/>
    <w:rsid w:val="006B77DB"/>
    <w:rsid w:val="006C2559"/>
    <w:rsid w:val="006C38DA"/>
    <w:rsid w:val="006C49A5"/>
    <w:rsid w:val="006C5A3F"/>
    <w:rsid w:val="006D53EE"/>
    <w:rsid w:val="006D7A6C"/>
    <w:rsid w:val="006E1C1F"/>
    <w:rsid w:val="006E270D"/>
    <w:rsid w:val="006E324A"/>
    <w:rsid w:val="006E6F05"/>
    <w:rsid w:val="006F0DDD"/>
    <w:rsid w:val="006F2508"/>
    <w:rsid w:val="006F3EC2"/>
    <w:rsid w:val="006F4560"/>
    <w:rsid w:val="006F5252"/>
    <w:rsid w:val="006F764E"/>
    <w:rsid w:val="006F7680"/>
    <w:rsid w:val="007047DB"/>
    <w:rsid w:val="00714820"/>
    <w:rsid w:val="00730505"/>
    <w:rsid w:val="00731195"/>
    <w:rsid w:val="0073446C"/>
    <w:rsid w:val="00742FDF"/>
    <w:rsid w:val="0075013B"/>
    <w:rsid w:val="00752676"/>
    <w:rsid w:val="00756F79"/>
    <w:rsid w:val="00760F03"/>
    <w:rsid w:val="00762AFD"/>
    <w:rsid w:val="00766698"/>
    <w:rsid w:val="0077040C"/>
    <w:rsid w:val="007705E5"/>
    <w:rsid w:val="0077185F"/>
    <w:rsid w:val="00777F74"/>
    <w:rsid w:val="00780246"/>
    <w:rsid w:val="00781892"/>
    <w:rsid w:val="00783435"/>
    <w:rsid w:val="0078676A"/>
    <w:rsid w:val="007908F0"/>
    <w:rsid w:val="00790C88"/>
    <w:rsid w:val="00792F5B"/>
    <w:rsid w:val="007964DC"/>
    <w:rsid w:val="007A2D6A"/>
    <w:rsid w:val="007A3F28"/>
    <w:rsid w:val="007B1EB3"/>
    <w:rsid w:val="007B2088"/>
    <w:rsid w:val="007B75F3"/>
    <w:rsid w:val="007C1873"/>
    <w:rsid w:val="007C240F"/>
    <w:rsid w:val="007C527E"/>
    <w:rsid w:val="007C5FAD"/>
    <w:rsid w:val="007C659F"/>
    <w:rsid w:val="007D0D61"/>
    <w:rsid w:val="007D48E4"/>
    <w:rsid w:val="007D532B"/>
    <w:rsid w:val="007E2F95"/>
    <w:rsid w:val="007E6D3C"/>
    <w:rsid w:val="0080026E"/>
    <w:rsid w:val="00804EF8"/>
    <w:rsid w:val="0080688D"/>
    <w:rsid w:val="00814883"/>
    <w:rsid w:val="008207DE"/>
    <w:rsid w:val="00820D93"/>
    <w:rsid w:val="0082366C"/>
    <w:rsid w:val="00825DCB"/>
    <w:rsid w:val="00832C7A"/>
    <w:rsid w:val="00832DAB"/>
    <w:rsid w:val="00833FC7"/>
    <w:rsid w:val="00836751"/>
    <w:rsid w:val="008418C8"/>
    <w:rsid w:val="00842C90"/>
    <w:rsid w:val="0084357B"/>
    <w:rsid w:val="00844018"/>
    <w:rsid w:val="00846BDD"/>
    <w:rsid w:val="00851288"/>
    <w:rsid w:val="00852DEB"/>
    <w:rsid w:val="00854E35"/>
    <w:rsid w:val="00856DAC"/>
    <w:rsid w:val="0086391A"/>
    <w:rsid w:val="00863994"/>
    <w:rsid w:val="00864051"/>
    <w:rsid w:val="00865092"/>
    <w:rsid w:val="00865E07"/>
    <w:rsid w:val="0086799B"/>
    <w:rsid w:val="00871C95"/>
    <w:rsid w:val="0087259F"/>
    <w:rsid w:val="00876C45"/>
    <w:rsid w:val="008820FB"/>
    <w:rsid w:val="008828D8"/>
    <w:rsid w:val="008844BE"/>
    <w:rsid w:val="00884E3A"/>
    <w:rsid w:val="008856FD"/>
    <w:rsid w:val="00886BB9"/>
    <w:rsid w:val="008900CB"/>
    <w:rsid w:val="008975E0"/>
    <w:rsid w:val="008A07CA"/>
    <w:rsid w:val="008A19E4"/>
    <w:rsid w:val="008A31B0"/>
    <w:rsid w:val="008B1170"/>
    <w:rsid w:val="008B3511"/>
    <w:rsid w:val="008B6485"/>
    <w:rsid w:val="008B6D86"/>
    <w:rsid w:val="008B7EB6"/>
    <w:rsid w:val="008C0C3B"/>
    <w:rsid w:val="008C163B"/>
    <w:rsid w:val="008C1B7B"/>
    <w:rsid w:val="008C2CEF"/>
    <w:rsid w:val="008C3AF4"/>
    <w:rsid w:val="008C4A26"/>
    <w:rsid w:val="008D07EF"/>
    <w:rsid w:val="008D1086"/>
    <w:rsid w:val="008D30D5"/>
    <w:rsid w:val="008D538A"/>
    <w:rsid w:val="008D61C0"/>
    <w:rsid w:val="008D6FBF"/>
    <w:rsid w:val="008D7D1E"/>
    <w:rsid w:val="008E2CFC"/>
    <w:rsid w:val="008E7853"/>
    <w:rsid w:val="008F24B5"/>
    <w:rsid w:val="008F4752"/>
    <w:rsid w:val="008F5B6F"/>
    <w:rsid w:val="008F6EA2"/>
    <w:rsid w:val="00901060"/>
    <w:rsid w:val="00901065"/>
    <w:rsid w:val="00902AE6"/>
    <w:rsid w:val="00902CFD"/>
    <w:rsid w:val="009038B9"/>
    <w:rsid w:val="00906786"/>
    <w:rsid w:val="00906C6A"/>
    <w:rsid w:val="00907267"/>
    <w:rsid w:val="00907A85"/>
    <w:rsid w:val="00910827"/>
    <w:rsid w:val="00913881"/>
    <w:rsid w:val="00917D7A"/>
    <w:rsid w:val="00923EE7"/>
    <w:rsid w:val="00925A34"/>
    <w:rsid w:val="009265D9"/>
    <w:rsid w:val="00931AA4"/>
    <w:rsid w:val="009343C9"/>
    <w:rsid w:val="00934430"/>
    <w:rsid w:val="00940E6A"/>
    <w:rsid w:val="009432AB"/>
    <w:rsid w:val="0094348C"/>
    <w:rsid w:val="00946A37"/>
    <w:rsid w:val="00951AAB"/>
    <w:rsid w:val="00955EB0"/>
    <w:rsid w:val="00955F87"/>
    <w:rsid w:val="009565C7"/>
    <w:rsid w:val="009614A6"/>
    <w:rsid w:val="00963115"/>
    <w:rsid w:val="009640B1"/>
    <w:rsid w:val="00966260"/>
    <w:rsid w:val="00970599"/>
    <w:rsid w:val="00972371"/>
    <w:rsid w:val="00973D40"/>
    <w:rsid w:val="0097778F"/>
    <w:rsid w:val="00980088"/>
    <w:rsid w:val="009917AA"/>
    <w:rsid w:val="0099368A"/>
    <w:rsid w:val="00995519"/>
    <w:rsid w:val="009A0577"/>
    <w:rsid w:val="009A14EF"/>
    <w:rsid w:val="009A26DA"/>
    <w:rsid w:val="009A2F34"/>
    <w:rsid w:val="009A3FF8"/>
    <w:rsid w:val="009A4CAB"/>
    <w:rsid w:val="009B195A"/>
    <w:rsid w:val="009B23B9"/>
    <w:rsid w:val="009B4A08"/>
    <w:rsid w:val="009B6A30"/>
    <w:rsid w:val="009B7C2F"/>
    <w:rsid w:val="009C0C26"/>
    <w:rsid w:val="009C5776"/>
    <w:rsid w:val="009C7EB2"/>
    <w:rsid w:val="009D004A"/>
    <w:rsid w:val="009D16F9"/>
    <w:rsid w:val="009D4066"/>
    <w:rsid w:val="009D4AC1"/>
    <w:rsid w:val="009E139B"/>
    <w:rsid w:val="009E18B7"/>
    <w:rsid w:val="009E3D22"/>
    <w:rsid w:val="009E53F9"/>
    <w:rsid w:val="009E7247"/>
    <w:rsid w:val="009F441E"/>
    <w:rsid w:val="00A004A0"/>
    <w:rsid w:val="00A02EA9"/>
    <w:rsid w:val="00A07F3E"/>
    <w:rsid w:val="00A1439D"/>
    <w:rsid w:val="00A16874"/>
    <w:rsid w:val="00A22868"/>
    <w:rsid w:val="00A24C30"/>
    <w:rsid w:val="00A25B41"/>
    <w:rsid w:val="00A2656A"/>
    <w:rsid w:val="00A27F7E"/>
    <w:rsid w:val="00A307BF"/>
    <w:rsid w:val="00A33FFA"/>
    <w:rsid w:val="00A3581A"/>
    <w:rsid w:val="00A37DDD"/>
    <w:rsid w:val="00A41A56"/>
    <w:rsid w:val="00A43927"/>
    <w:rsid w:val="00A50F27"/>
    <w:rsid w:val="00A55F01"/>
    <w:rsid w:val="00A60505"/>
    <w:rsid w:val="00A67900"/>
    <w:rsid w:val="00A751F5"/>
    <w:rsid w:val="00A76D10"/>
    <w:rsid w:val="00A8023B"/>
    <w:rsid w:val="00A81D22"/>
    <w:rsid w:val="00A868FE"/>
    <w:rsid w:val="00AA01CC"/>
    <w:rsid w:val="00AA1401"/>
    <w:rsid w:val="00AA347C"/>
    <w:rsid w:val="00AA43F1"/>
    <w:rsid w:val="00AB1646"/>
    <w:rsid w:val="00AB4171"/>
    <w:rsid w:val="00AB4541"/>
    <w:rsid w:val="00AB4A40"/>
    <w:rsid w:val="00AB4C7A"/>
    <w:rsid w:val="00AB4FE1"/>
    <w:rsid w:val="00AB53A6"/>
    <w:rsid w:val="00AB6F90"/>
    <w:rsid w:val="00AB7D3C"/>
    <w:rsid w:val="00AC08AF"/>
    <w:rsid w:val="00AC1D6F"/>
    <w:rsid w:val="00AC307C"/>
    <w:rsid w:val="00AC45EE"/>
    <w:rsid w:val="00AD078A"/>
    <w:rsid w:val="00AD6603"/>
    <w:rsid w:val="00AD68A5"/>
    <w:rsid w:val="00AD7EBE"/>
    <w:rsid w:val="00AE2252"/>
    <w:rsid w:val="00AE4AEE"/>
    <w:rsid w:val="00AF01CC"/>
    <w:rsid w:val="00AF1292"/>
    <w:rsid w:val="00AF4DC7"/>
    <w:rsid w:val="00AF5BD9"/>
    <w:rsid w:val="00AF6C4B"/>
    <w:rsid w:val="00B00177"/>
    <w:rsid w:val="00B0194A"/>
    <w:rsid w:val="00B01C86"/>
    <w:rsid w:val="00B04B58"/>
    <w:rsid w:val="00B05E97"/>
    <w:rsid w:val="00B16ADD"/>
    <w:rsid w:val="00B24221"/>
    <w:rsid w:val="00B30EE5"/>
    <w:rsid w:val="00B3262A"/>
    <w:rsid w:val="00B32B08"/>
    <w:rsid w:val="00B35931"/>
    <w:rsid w:val="00B3630E"/>
    <w:rsid w:val="00B36A2C"/>
    <w:rsid w:val="00B370F5"/>
    <w:rsid w:val="00B428CC"/>
    <w:rsid w:val="00B42BBF"/>
    <w:rsid w:val="00B44527"/>
    <w:rsid w:val="00B46837"/>
    <w:rsid w:val="00B47A15"/>
    <w:rsid w:val="00B50354"/>
    <w:rsid w:val="00B528F0"/>
    <w:rsid w:val="00B53B11"/>
    <w:rsid w:val="00B6511C"/>
    <w:rsid w:val="00B651EB"/>
    <w:rsid w:val="00B655C8"/>
    <w:rsid w:val="00B67600"/>
    <w:rsid w:val="00B70AA1"/>
    <w:rsid w:val="00B71F9E"/>
    <w:rsid w:val="00B73146"/>
    <w:rsid w:val="00B75B6D"/>
    <w:rsid w:val="00B80550"/>
    <w:rsid w:val="00B8083F"/>
    <w:rsid w:val="00B84722"/>
    <w:rsid w:val="00B97C2E"/>
    <w:rsid w:val="00B97EAC"/>
    <w:rsid w:val="00BA28BD"/>
    <w:rsid w:val="00BA2DC1"/>
    <w:rsid w:val="00BA6A69"/>
    <w:rsid w:val="00BA6F61"/>
    <w:rsid w:val="00BA74A9"/>
    <w:rsid w:val="00BA7B82"/>
    <w:rsid w:val="00BC0B16"/>
    <w:rsid w:val="00BC2AA3"/>
    <w:rsid w:val="00BC4D31"/>
    <w:rsid w:val="00BC4E39"/>
    <w:rsid w:val="00BC4FB2"/>
    <w:rsid w:val="00BC561F"/>
    <w:rsid w:val="00BC640D"/>
    <w:rsid w:val="00BC6939"/>
    <w:rsid w:val="00BD1F1E"/>
    <w:rsid w:val="00BD5AD9"/>
    <w:rsid w:val="00BE765F"/>
    <w:rsid w:val="00BE7690"/>
    <w:rsid w:val="00BF23CB"/>
    <w:rsid w:val="00BF2C0C"/>
    <w:rsid w:val="00BF3EDA"/>
    <w:rsid w:val="00BF4BED"/>
    <w:rsid w:val="00BF4E38"/>
    <w:rsid w:val="00BF7AAE"/>
    <w:rsid w:val="00BF7D9C"/>
    <w:rsid w:val="00C027EA"/>
    <w:rsid w:val="00C073BC"/>
    <w:rsid w:val="00C13344"/>
    <w:rsid w:val="00C13D69"/>
    <w:rsid w:val="00C14828"/>
    <w:rsid w:val="00C153D5"/>
    <w:rsid w:val="00C20982"/>
    <w:rsid w:val="00C2334D"/>
    <w:rsid w:val="00C262D6"/>
    <w:rsid w:val="00C35C16"/>
    <w:rsid w:val="00C35C9F"/>
    <w:rsid w:val="00C4301F"/>
    <w:rsid w:val="00C43F40"/>
    <w:rsid w:val="00C44FCE"/>
    <w:rsid w:val="00C516C3"/>
    <w:rsid w:val="00C53213"/>
    <w:rsid w:val="00C54FB7"/>
    <w:rsid w:val="00C56538"/>
    <w:rsid w:val="00C601A6"/>
    <w:rsid w:val="00C61422"/>
    <w:rsid w:val="00C62AAC"/>
    <w:rsid w:val="00C63574"/>
    <w:rsid w:val="00C64AA1"/>
    <w:rsid w:val="00C656B9"/>
    <w:rsid w:val="00C66855"/>
    <w:rsid w:val="00C719C8"/>
    <w:rsid w:val="00C725CF"/>
    <w:rsid w:val="00C743F7"/>
    <w:rsid w:val="00C75350"/>
    <w:rsid w:val="00C76232"/>
    <w:rsid w:val="00C814EB"/>
    <w:rsid w:val="00C829B9"/>
    <w:rsid w:val="00C830AD"/>
    <w:rsid w:val="00C86B68"/>
    <w:rsid w:val="00C94F26"/>
    <w:rsid w:val="00C96A34"/>
    <w:rsid w:val="00C96BBA"/>
    <w:rsid w:val="00C96F88"/>
    <w:rsid w:val="00CA1C4A"/>
    <w:rsid w:val="00CA4476"/>
    <w:rsid w:val="00CA4946"/>
    <w:rsid w:val="00CA5335"/>
    <w:rsid w:val="00CA59A1"/>
    <w:rsid w:val="00CB4BC4"/>
    <w:rsid w:val="00CB79F8"/>
    <w:rsid w:val="00CB7A5D"/>
    <w:rsid w:val="00CC08A3"/>
    <w:rsid w:val="00CC2993"/>
    <w:rsid w:val="00CC7846"/>
    <w:rsid w:val="00CD0519"/>
    <w:rsid w:val="00CD4B44"/>
    <w:rsid w:val="00CD7818"/>
    <w:rsid w:val="00CE1750"/>
    <w:rsid w:val="00CE31F7"/>
    <w:rsid w:val="00CE694A"/>
    <w:rsid w:val="00CF1EDC"/>
    <w:rsid w:val="00CF2349"/>
    <w:rsid w:val="00CF2AA7"/>
    <w:rsid w:val="00CF4A4C"/>
    <w:rsid w:val="00CF70B4"/>
    <w:rsid w:val="00CF7163"/>
    <w:rsid w:val="00D009CF"/>
    <w:rsid w:val="00D00CC2"/>
    <w:rsid w:val="00D062BE"/>
    <w:rsid w:val="00D10202"/>
    <w:rsid w:val="00D106CE"/>
    <w:rsid w:val="00D11124"/>
    <w:rsid w:val="00D123CF"/>
    <w:rsid w:val="00D1240D"/>
    <w:rsid w:val="00D14A9E"/>
    <w:rsid w:val="00D15100"/>
    <w:rsid w:val="00D17358"/>
    <w:rsid w:val="00D325EB"/>
    <w:rsid w:val="00D34E59"/>
    <w:rsid w:val="00D42374"/>
    <w:rsid w:val="00D42CD6"/>
    <w:rsid w:val="00D45104"/>
    <w:rsid w:val="00D47B7E"/>
    <w:rsid w:val="00D5185B"/>
    <w:rsid w:val="00D53319"/>
    <w:rsid w:val="00D538C7"/>
    <w:rsid w:val="00D54575"/>
    <w:rsid w:val="00D5480E"/>
    <w:rsid w:val="00D55DD7"/>
    <w:rsid w:val="00D61870"/>
    <w:rsid w:val="00D64F73"/>
    <w:rsid w:val="00D67A27"/>
    <w:rsid w:val="00D73D3B"/>
    <w:rsid w:val="00D87C6C"/>
    <w:rsid w:val="00D9201F"/>
    <w:rsid w:val="00D9441C"/>
    <w:rsid w:val="00D97475"/>
    <w:rsid w:val="00DA1750"/>
    <w:rsid w:val="00DA254C"/>
    <w:rsid w:val="00DA4CD2"/>
    <w:rsid w:val="00DB0AD3"/>
    <w:rsid w:val="00DB2BDD"/>
    <w:rsid w:val="00DB3A24"/>
    <w:rsid w:val="00DB4444"/>
    <w:rsid w:val="00DB5759"/>
    <w:rsid w:val="00DB6949"/>
    <w:rsid w:val="00DC0FAF"/>
    <w:rsid w:val="00DC6A99"/>
    <w:rsid w:val="00DD00F2"/>
    <w:rsid w:val="00DD4AAF"/>
    <w:rsid w:val="00DD5BA1"/>
    <w:rsid w:val="00DE18F2"/>
    <w:rsid w:val="00DE2AB2"/>
    <w:rsid w:val="00DE582B"/>
    <w:rsid w:val="00DE651F"/>
    <w:rsid w:val="00DE6E0A"/>
    <w:rsid w:val="00DF0E7E"/>
    <w:rsid w:val="00DF5ECB"/>
    <w:rsid w:val="00DF7E49"/>
    <w:rsid w:val="00E0149A"/>
    <w:rsid w:val="00E0354E"/>
    <w:rsid w:val="00E06B02"/>
    <w:rsid w:val="00E20663"/>
    <w:rsid w:val="00E23427"/>
    <w:rsid w:val="00E25625"/>
    <w:rsid w:val="00E3190D"/>
    <w:rsid w:val="00E3638D"/>
    <w:rsid w:val="00E412DA"/>
    <w:rsid w:val="00E42998"/>
    <w:rsid w:val="00E449AF"/>
    <w:rsid w:val="00E45A9F"/>
    <w:rsid w:val="00E45B08"/>
    <w:rsid w:val="00E5061F"/>
    <w:rsid w:val="00E51B49"/>
    <w:rsid w:val="00E55C14"/>
    <w:rsid w:val="00E56278"/>
    <w:rsid w:val="00E566FE"/>
    <w:rsid w:val="00E57407"/>
    <w:rsid w:val="00E57815"/>
    <w:rsid w:val="00E6196E"/>
    <w:rsid w:val="00E700F0"/>
    <w:rsid w:val="00E717B9"/>
    <w:rsid w:val="00E72217"/>
    <w:rsid w:val="00E722FF"/>
    <w:rsid w:val="00E74084"/>
    <w:rsid w:val="00E75036"/>
    <w:rsid w:val="00E76950"/>
    <w:rsid w:val="00E80968"/>
    <w:rsid w:val="00E8489F"/>
    <w:rsid w:val="00E92A86"/>
    <w:rsid w:val="00E957D4"/>
    <w:rsid w:val="00E97D37"/>
    <w:rsid w:val="00E97F92"/>
    <w:rsid w:val="00EA2436"/>
    <w:rsid w:val="00EA251E"/>
    <w:rsid w:val="00EA542C"/>
    <w:rsid w:val="00EA6643"/>
    <w:rsid w:val="00EA7669"/>
    <w:rsid w:val="00EA7FC2"/>
    <w:rsid w:val="00EB0583"/>
    <w:rsid w:val="00EB15E4"/>
    <w:rsid w:val="00EB4B66"/>
    <w:rsid w:val="00EC0E16"/>
    <w:rsid w:val="00EC3BBD"/>
    <w:rsid w:val="00EC4BA2"/>
    <w:rsid w:val="00EC5A8C"/>
    <w:rsid w:val="00ED23F8"/>
    <w:rsid w:val="00EE4B4C"/>
    <w:rsid w:val="00EE5AE5"/>
    <w:rsid w:val="00EF0725"/>
    <w:rsid w:val="00EF5A40"/>
    <w:rsid w:val="00F00A20"/>
    <w:rsid w:val="00F01658"/>
    <w:rsid w:val="00F01BB7"/>
    <w:rsid w:val="00F02368"/>
    <w:rsid w:val="00F02ED6"/>
    <w:rsid w:val="00F05ACA"/>
    <w:rsid w:val="00F0697F"/>
    <w:rsid w:val="00F06B0A"/>
    <w:rsid w:val="00F07070"/>
    <w:rsid w:val="00F10BF1"/>
    <w:rsid w:val="00F13D4A"/>
    <w:rsid w:val="00F14FA3"/>
    <w:rsid w:val="00F16A02"/>
    <w:rsid w:val="00F16EB0"/>
    <w:rsid w:val="00F174A5"/>
    <w:rsid w:val="00F22C17"/>
    <w:rsid w:val="00F23262"/>
    <w:rsid w:val="00F2567C"/>
    <w:rsid w:val="00F25B1A"/>
    <w:rsid w:val="00F25D6B"/>
    <w:rsid w:val="00F304B5"/>
    <w:rsid w:val="00F3269E"/>
    <w:rsid w:val="00F32D18"/>
    <w:rsid w:val="00F32F8E"/>
    <w:rsid w:val="00F3480B"/>
    <w:rsid w:val="00F41C16"/>
    <w:rsid w:val="00F4592D"/>
    <w:rsid w:val="00F474EE"/>
    <w:rsid w:val="00F50258"/>
    <w:rsid w:val="00F541C5"/>
    <w:rsid w:val="00F54C86"/>
    <w:rsid w:val="00F56474"/>
    <w:rsid w:val="00F56D46"/>
    <w:rsid w:val="00F56EFA"/>
    <w:rsid w:val="00F612C4"/>
    <w:rsid w:val="00F64446"/>
    <w:rsid w:val="00F66B9A"/>
    <w:rsid w:val="00F679BA"/>
    <w:rsid w:val="00F67FEF"/>
    <w:rsid w:val="00F71C3B"/>
    <w:rsid w:val="00F721AA"/>
    <w:rsid w:val="00F72644"/>
    <w:rsid w:val="00F808FF"/>
    <w:rsid w:val="00F82FE5"/>
    <w:rsid w:val="00F83929"/>
    <w:rsid w:val="00F865C4"/>
    <w:rsid w:val="00F87308"/>
    <w:rsid w:val="00F90F9E"/>
    <w:rsid w:val="00F95330"/>
    <w:rsid w:val="00F95621"/>
    <w:rsid w:val="00FA747F"/>
    <w:rsid w:val="00FA7CD8"/>
    <w:rsid w:val="00FB11E0"/>
    <w:rsid w:val="00FB2E53"/>
    <w:rsid w:val="00FB55EE"/>
    <w:rsid w:val="00FB59CD"/>
    <w:rsid w:val="00FB7B6D"/>
    <w:rsid w:val="00FC1782"/>
    <w:rsid w:val="00FC235D"/>
    <w:rsid w:val="00FC2393"/>
    <w:rsid w:val="00FC727B"/>
    <w:rsid w:val="00FD017E"/>
    <w:rsid w:val="00FD29F8"/>
    <w:rsid w:val="00FD3057"/>
    <w:rsid w:val="00FE1CCA"/>
    <w:rsid w:val="00FE3BF9"/>
    <w:rsid w:val="00FE638E"/>
    <w:rsid w:val="00FF2E45"/>
    <w:rsid w:val="00FF3712"/>
    <w:rsid w:val="00FF6896"/>
    <w:rsid w:val="00FF6DD6"/>
    <w:rsid w:val="00FF6F09"/>
    <w:rsid w:val="00FF7162"/>
    <w:rsid w:val="010B30D4"/>
    <w:rsid w:val="010C4F3C"/>
    <w:rsid w:val="010D1C3A"/>
    <w:rsid w:val="011949CD"/>
    <w:rsid w:val="011E1FE4"/>
    <w:rsid w:val="01360494"/>
    <w:rsid w:val="014519A3"/>
    <w:rsid w:val="014852B3"/>
    <w:rsid w:val="014D0C0B"/>
    <w:rsid w:val="01602B38"/>
    <w:rsid w:val="016A347B"/>
    <w:rsid w:val="017240DE"/>
    <w:rsid w:val="01774851"/>
    <w:rsid w:val="017E24BB"/>
    <w:rsid w:val="018207C5"/>
    <w:rsid w:val="0187402D"/>
    <w:rsid w:val="0191395E"/>
    <w:rsid w:val="01934780"/>
    <w:rsid w:val="019C2984"/>
    <w:rsid w:val="01A034EF"/>
    <w:rsid w:val="01A324E9"/>
    <w:rsid w:val="01A87768"/>
    <w:rsid w:val="01B878B0"/>
    <w:rsid w:val="01CC0AE0"/>
    <w:rsid w:val="01D11C47"/>
    <w:rsid w:val="01D34B7C"/>
    <w:rsid w:val="01DE1773"/>
    <w:rsid w:val="01E1298B"/>
    <w:rsid w:val="01F37FC4"/>
    <w:rsid w:val="01F42D45"/>
    <w:rsid w:val="01FD6F7A"/>
    <w:rsid w:val="01FE5641"/>
    <w:rsid w:val="01FF58DA"/>
    <w:rsid w:val="02035E53"/>
    <w:rsid w:val="02055CD3"/>
    <w:rsid w:val="020C4532"/>
    <w:rsid w:val="0211291E"/>
    <w:rsid w:val="0213141D"/>
    <w:rsid w:val="021505CF"/>
    <w:rsid w:val="021B717A"/>
    <w:rsid w:val="021D7881"/>
    <w:rsid w:val="021E7E32"/>
    <w:rsid w:val="022C24DE"/>
    <w:rsid w:val="022C2B60"/>
    <w:rsid w:val="022F0983"/>
    <w:rsid w:val="0234043A"/>
    <w:rsid w:val="02384F46"/>
    <w:rsid w:val="023B3DA9"/>
    <w:rsid w:val="0269793A"/>
    <w:rsid w:val="026C75EF"/>
    <w:rsid w:val="02703C66"/>
    <w:rsid w:val="027D0F8C"/>
    <w:rsid w:val="027F4D04"/>
    <w:rsid w:val="0285251D"/>
    <w:rsid w:val="029C1566"/>
    <w:rsid w:val="029C3B08"/>
    <w:rsid w:val="02A75943"/>
    <w:rsid w:val="02A77BA8"/>
    <w:rsid w:val="02AC7452"/>
    <w:rsid w:val="02AE56D1"/>
    <w:rsid w:val="02B40E52"/>
    <w:rsid w:val="02B53012"/>
    <w:rsid w:val="02CD3CC1"/>
    <w:rsid w:val="02CF0A20"/>
    <w:rsid w:val="02F05E8F"/>
    <w:rsid w:val="02F92D08"/>
    <w:rsid w:val="02FA0D9C"/>
    <w:rsid w:val="030021A5"/>
    <w:rsid w:val="03004E02"/>
    <w:rsid w:val="03055157"/>
    <w:rsid w:val="03082F4B"/>
    <w:rsid w:val="032C4C2C"/>
    <w:rsid w:val="032C4FD6"/>
    <w:rsid w:val="0337738D"/>
    <w:rsid w:val="034017F6"/>
    <w:rsid w:val="03520856"/>
    <w:rsid w:val="03641592"/>
    <w:rsid w:val="03670243"/>
    <w:rsid w:val="03685D4A"/>
    <w:rsid w:val="03791753"/>
    <w:rsid w:val="037C1244"/>
    <w:rsid w:val="038439F2"/>
    <w:rsid w:val="0388254F"/>
    <w:rsid w:val="038C4851"/>
    <w:rsid w:val="03922815"/>
    <w:rsid w:val="03A54CE2"/>
    <w:rsid w:val="03A57814"/>
    <w:rsid w:val="03AB7901"/>
    <w:rsid w:val="03AC38D7"/>
    <w:rsid w:val="03B629A7"/>
    <w:rsid w:val="03BE6621"/>
    <w:rsid w:val="03C86237"/>
    <w:rsid w:val="03C9008C"/>
    <w:rsid w:val="03CD1A9F"/>
    <w:rsid w:val="03D00821"/>
    <w:rsid w:val="03DA4690"/>
    <w:rsid w:val="03EA08A3"/>
    <w:rsid w:val="03FF37B7"/>
    <w:rsid w:val="040100CC"/>
    <w:rsid w:val="0403432E"/>
    <w:rsid w:val="040A1839"/>
    <w:rsid w:val="0411709C"/>
    <w:rsid w:val="04164AA0"/>
    <w:rsid w:val="041B6CAE"/>
    <w:rsid w:val="043A5387"/>
    <w:rsid w:val="043F7A5E"/>
    <w:rsid w:val="044251B8"/>
    <w:rsid w:val="04441D61"/>
    <w:rsid w:val="044A778B"/>
    <w:rsid w:val="045673C7"/>
    <w:rsid w:val="0458097A"/>
    <w:rsid w:val="045F4DED"/>
    <w:rsid w:val="046A08AC"/>
    <w:rsid w:val="046B0BDC"/>
    <w:rsid w:val="04791194"/>
    <w:rsid w:val="047D10E7"/>
    <w:rsid w:val="0480372B"/>
    <w:rsid w:val="04871969"/>
    <w:rsid w:val="04932810"/>
    <w:rsid w:val="04953F28"/>
    <w:rsid w:val="049B394B"/>
    <w:rsid w:val="04A24CDA"/>
    <w:rsid w:val="04AB2475"/>
    <w:rsid w:val="04B645C6"/>
    <w:rsid w:val="04B739BA"/>
    <w:rsid w:val="04BA2023"/>
    <w:rsid w:val="04CD7FA9"/>
    <w:rsid w:val="04D8385B"/>
    <w:rsid w:val="04ED32D4"/>
    <w:rsid w:val="04F42FC6"/>
    <w:rsid w:val="04F87E32"/>
    <w:rsid w:val="04FA5263"/>
    <w:rsid w:val="051171B2"/>
    <w:rsid w:val="051D22A7"/>
    <w:rsid w:val="053431C6"/>
    <w:rsid w:val="0535366B"/>
    <w:rsid w:val="053610E1"/>
    <w:rsid w:val="053C6BF1"/>
    <w:rsid w:val="054530D9"/>
    <w:rsid w:val="054E2BDE"/>
    <w:rsid w:val="05504736"/>
    <w:rsid w:val="0557260C"/>
    <w:rsid w:val="055A4038"/>
    <w:rsid w:val="055F2BCB"/>
    <w:rsid w:val="057F6DC9"/>
    <w:rsid w:val="05846255"/>
    <w:rsid w:val="058C4AED"/>
    <w:rsid w:val="058D51B2"/>
    <w:rsid w:val="05905359"/>
    <w:rsid w:val="05926E95"/>
    <w:rsid w:val="05A87D29"/>
    <w:rsid w:val="05AB4753"/>
    <w:rsid w:val="05AC4672"/>
    <w:rsid w:val="05B911A2"/>
    <w:rsid w:val="05BE5B43"/>
    <w:rsid w:val="05C42A74"/>
    <w:rsid w:val="05F1273E"/>
    <w:rsid w:val="05F1290D"/>
    <w:rsid w:val="05F2553E"/>
    <w:rsid w:val="05F51C46"/>
    <w:rsid w:val="05F57BEB"/>
    <w:rsid w:val="05FD7BA4"/>
    <w:rsid w:val="0603586F"/>
    <w:rsid w:val="060A5688"/>
    <w:rsid w:val="06140B34"/>
    <w:rsid w:val="0629091E"/>
    <w:rsid w:val="06297651"/>
    <w:rsid w:val="062C0CFF"/>
    <w:rsid w:val="06371E6D"/>
    <w:rsid w:val="063F423D"/>
    <w:rsid w:val="064A0B3B"/>
    <w:rsid w:val="064C7D7A"/>
    <w:rsid w:val="06561C61"/>
    <w:rsid w:val="06640E85"/>
    <w:rsid w:val="066431FA"/>
    <w:rsid w:val="0667331E"/>
    <w:rsid w:val="067009C2"/>
    <w:rsid w:val="06747C13"/>
    <w:rsid w:val="06771456"/>
    <w:rsid w:val="067A5F0E"/>
    <w:rsid w:val="068055CA"/>
    <w:rsid w:val="06877252"/>
    <w:rsid w:val="069A3EBB"/>
    <w:rsid w:val="069D39AB"/>
    <w:rsid w:val="06A17BDE"/>
    <w:rsid w:val="06A97023"/>
    <w:rsid w:val="06AA14B4"/>
    <w:rsid w:val="06AD7094"/>
    <w:rsid w:val="06B07B82"/>
    <w:rsid w:val="06B42242"/>
    <w:rsid w:val="06C94716"/>
    <w:rsid w:val="06CB402B"/>
    <w:rsid w:val="06D33870"/>
    <w:rsid w:val="06F4757A"/>
    <w:rsid w:val="06FE6B3F"/>
    <w:rsid w:val="07001194"/>
    <w:rsid w:val="070F5FCF"/>
    <w:rsid w:val="07117EF5"/>
    <w:rsid w:val="07134E8C"/>
    <w:rsid w:val="071B14A8"/>
    <w:rsid w:val="07402F02"/>
    <w:rsid w:val="074C22BB"/>
    <w:rsid w:val="075E313A"/>
    <w:rsid w:val="07605F05"/>
    <w:rsid w:val="076538F3"/>
    <w:rsid w:val="07683FB9"/>
    <w:rsid w:val="076C35A6"/>
    <w:rsid w:val="07726B7C"/>
    <w:rsid w:val="0773573F"/>
    <w:rsid w:val="07745B43"/>
    <w:rsid w:val="077A3B97"/>
    <w:rsid w:val="078B414B"/>
    <w:rsid w:val="07902E4D"/>
    <w:rsid w:val="07927CB3"/>
    <w:rsid w:val="07A46F78"/>
    <w:rsid w:val="07A76AEF"/>
    <w:rsid w:val="07A8665F"/>
    <w:rsid w:val="07AB396F"/>
    <w:rsid w:val="07AD40C1"/>
    <w:rsid w:val="07B60EE7"/>
    <w:rsid w:val="07B87717"/>
    <w:rsid w:val="07C32F28"/>
    <w:rsid w:val="07CC5807"/>
    <w:rsid w:val="07CE2A0D"/>
    <w:rsid w:val="07D31478"/>
    <w:rsid w:val="07E75434"/>
    <w:rsid w:val="07ED0962"/>
    <w:rsid w:val="07EF2E93"/>
    <w:rsid w:val="07F341CA"/>
    <w:rsid w:val="07F604AC"/>
    <w:rsid w:val="07F67816"/>
    <w:rsid w:val="07FB1E0E"/>
    <w:rsid w:val="07FF47D4"/>
    <w:rsid w:val="0802444C"/>
    <w:rsid w:val="08075AF6"/>
    <w:rsid w:val="080B77B6"/>
    <w:rsid w:val="081945E5"/>
    <w:rsid w:val="083305C2"/>
    <w:rsid w:val="08362309"/>
    <w:rsid w:val="083847D5"/>
    <w:rsid w:val="08475768"/>
    <w:rsid w:val="08486DBC"/>
    <w:rsid w:val="084B3F35"/>
    <w:rsid w:val="085A1CE8"/>
    <w:rsid w:val="085A4AC7"/>
    <w:rsid w:val="08663064"/>
    <w:rsid w:val="086D1A05"/>
    <w:rsid w:val="086F0D41"/>
    <w:rsid w:val="088176B4"/>
    <w:rsid w:val="08821F8B"/>
    <w:rsid w:val="088A18CC"/>
    <w:rsid w:val="088C017B"/>
    <w:rsid w:val="088E0365"/>
    <w:rsid w:val="089F2FEA"/>
    <w:rsid w:val="08A2799E"/>
    <w:rsid w:val="08AB7A62"/>
    <w:rsid w:val="08AC7396"/>
    <w:rsid w:val="08C26AA5"/>
    <w:rsid w:val="08C425D1"/>
    <w:rsid w:val="08D70C47"/>
    <w:rsid w:val="08E6788B"/>
    <w:rsid w:val="08F07682"/>
    <w:rsid w:val="08F71A98"/>
    <w:rsid w:val="08FF094D"/>
    <w:rsid w:val="090F4EEC"/>
    <w:rsid w:val="091550BB"/>
    <w:rsid w:val="09166F09"/>
    <w:rsid w:val="0922463B"/>
    <w:rsid w:val="092847CA"/>
    <w:rsid w:val="092849AF"/>
    <w:rsid w:val="092926CF"/>
    <w:rsid w:val="09436A8B"/>
    <w:rsid w:val="094822F4"/>
    <w:rsid w:val="0955714E"/>
    <w:rsid w:val="09614625"/>
    <w:rsid w:val="0978425B"/>
    <w:rsid w:val="097B03AC"/>
    <w:rsid w:val="09850FEC"/>
    <w:rsid w:val="098641CC"/>
    <w:rsid w:val="099009CE"/>
    <w:rsid w:val="0995305F"/>
    <w:rsid w:val="099E4BC2"/>
    <w:rsid w:val="09A21D5B"/>
    <w:rsid w:val="09A236E7"/>
    <w:rsid w:val="09A72891"/>
    <w:rsid w:val="09AA0378"/>
    <w:rsid w:val="09B94F9F"/>
    <w:rsid w:val="09C556F2"/>
    <w:rsid w:val="09CB1908"/>
    <w:rsid w:val="09D72E63"/>
    <w:rsid w:val="09F675A4"/>
    <w:rsid w:val="09FF11BF"/>
    <w:rsid w:val="0A047EF8"/>
    <w:rsid w:val="0A0E16EB"/>
    <w:rsid w:val="0A1B3564"/>
    <w:rsid w:val="0A217399"/>
    <w:rsid w:val="0A22782C"/>
    <w:rsid w:val="0A2A574D"/>
    <w:rsid w:val="0A3A317C"/>
    <w:rsid w:val="0A3E6B27"/>
    <w:rsid w:val="0A4039F8"/>
    <w:rsid w:val="0A5C2888"/>
    <w:rsid w:val="0A5F018C"/>
    <w:rsid w:val="0A643E5D"/>
    <w:rsid w:val="0A671E8C"/>
    <w:rsid w:val="0A7B04A7"/>
    <w:rsid w:val="0A85045D"/>
    <w:rsid w:val="0A8865DB"/>
    <w:rsid w:val="0A913826"/>
    <w:rsid w:val="0A96639E"/>
    <w:rsid w:val="0AB063A2"/>
    <w:rsid w:val="0AB919AE"/>
    <w:rsid w:val="0AD94058"/>
    <w:rsid w:val="0ADE2D1F"/>
    <w:rsid w:val="0AEC3EE2"/>
    <w:rsid w:val="0AF17E4A"/>
    <w:rsid w:val="0B065814"/>
    <w:rsid w:val="0B0F7D69"/>
    <w:rsid w:val="0B155B0F"/>
    <w:rsid w:val="0B181FA8"/>
    <w:rsid w:val="0B1E0447"/>
    <w:rsid w:val="0B293940"/>
    <w:rsid w:val="0B314CBD"/>
    <w:rsid w:val="0B3A5C6C"/>
    <w:rsid w:val="0B49306D"/>
    <w:rsid w:val="0B5067F6"/>
    <w:rsid w:val="0B54099C"/>
    <w:rsid w:val="0B5508ED"/>
    <w:rsid w:val="0B593F41"/>
    <w:rsid w:val="0B6046D1"/>
    <w:rsid w:val="0B835865"/>
    <w:rsid w:val="0B8769D7"/>
    <w:rsid w:val="0B8D2240"/>
    <w:rsid w:val="0B8F2739"/>
    <w:rsid w:val="0B9B6058"/>
    <w:rsid w:val="0B9E300A"/>
    <w:rsid w:val="0BA02CB9"/>
    <w:rsid w:val="0BB861F6"/>
    <w:rsid w:val="0BC33EB3"/>
    <w:rsid w:val="0BC46054"/>
    <w:rsid w:val="0BC61B5A"/>
    <w:rsid w:val="0BD04822"/>
    <w:rsid w:val="0BE34556"/>
    <w:rsid w:val="0BE4681D"/>
    <w:rsid w:val="0BE75E3C"/>
    <w:rsid w:val="0BEB340A"/>
    <w:rsid w:val="0BED0F30"/>
    <w:rsid w:val="0BFF028F"/>
    <w:rsid w:val="0C0149DC"/>
    <w:rsid w:val="0C063F25"/>
    <w:rsid w:val="0C114BD5"/>
    <w:rsid w:val="0C192D24"/>
    <w:rsid w:val="0C2C6048"/>
    <w:rsid w:val="0C3630EF"/>
    <w:rsid w:val="0C445065"/>
    <w:rsid w:val="0C5B233E"/>
    <w:rsid w:val="0C675C58"/>
    <w:rsid w:val="0C67638B"/>
    <w:rsid w:val="0C6A15D0"/>
    <w:rsid w:val="0C6A2581"/>
    <w:rsid w:val="0C6F75DA"/>
    <w:rsid w:val="0C76718D"/>
    <w:rsid w:val="0C777E4D"/>
    <w:rsid w:val="0C7A2F15"/>
    <w:rsid w:val="0C83345E"/>
    <w:rsid w:val="0C877C8B"/>
    <w:rsid w:val="0C886255"/>
    <w:rsid w:val="0C9C2349"/>
    <w:rsid w:val="0CAF4059"/>
    <w:rsid w:val="0CD242B5"/>
    <w:rsid w:val="0CD43EBC"/>
    <w:rsid w:val="0CEB1914"/>
    <w:rsid w:val="0CEC423F"/>
    <w:rsid w:val="0CF36DA2"/>
    <w:rsid w:val="0CFD3C04"/>
    <w:rsid w:val="0D0429D6"/>
    <w:rsid w:val="0D0F06B1"/>
    <w:rsid w:val="0D3D1A44"/>
    <w:rsid w:val="0D4508F8"/>
    <w:rsid w:val="0D515635"/>
    <w:rsid w:val="0D570D57"/>
    <w:rsid w:val="0D68534F"/>
    <w:rsid w:val="0D6B65B1"/>
    <w:rsid w:val="0D6C5454"/>
    <w:rsid w:val="0D6C6ADC"/>
    <w:rsid w:val="0D742E9D"/>
    <w:rsid w:val="0D7800CF"/>
    <w:rsid w:val="0D7832CB"/>
    <w:rsid w:val="0D7B5533"/>
    <w:rsid w:val="0D7C256C"/>
    <w:rsid w:val="0D7C6BCA"/>
    <w:rsid w:val="0D817B82"/>
    <w:rsid w:val="0D876BF1"/>
    <w:rsid w:val="0D9376BC"/>
    <w:rsid w:val="0D9679A1"/>
    <w:rsid w:val="0D9965CC"/>
    <w:rsid w:val="0D9D2AE9"/>
    <w:rsid w:val="0DA875B2"/>
    <w:rsid w:val="0DAD3937"/>
    <w:rsid w:val="0DB066B9"/>
    <w:rsid w:val="0DB0769E"/>
    <w:rsid w:val="0DB735A4"/>
    <w:rsid w:val="0DBC17F7"/>
    <w:rsid w:val="0DC85691"/>
    <w:rsid w:val="0DD43E73"/>
    <w:rsid w:val="0DD50674"/>
    <w:rsid w:val="0DE00E6C"/>
    <w:rsid w:val="0DEA4F56"/>
    <w:rsid w:val="0DEF4814"/>
    <w:rsid w:val="0DF00B74"/>
    <w:rsid w:val="0DF20CF9"/>
    <w:rsid w:val="0DF76096"/>
    <w:rsid w:val="0DFA5B87"/>
    <w:rsid w:val="0DFD103B"/>
    <w:rsid w:val="0E0C73B6"/>
    <w:rsid w:val="0E0F1632"/>
    <w:rsid w:val="0E1850B5"/>
    <w:rsid w:val="0E1F278F"/>
    <w:rsid w:val="0E23622E"/>
    <w:rsid w:val="0E24080A"/>
    <w:rsid w:val="0E276792"/>
    <w:rsid w:val="0E2F5345"/>
    <w:rsid w:val="0E395E15"/>
    <w:rsid w:val="0E4535DB"/>
    <w:rsid w:val="0E4B0332"/>
    <w:rsid w:val="0E4C6281"/>
    <w:rsid w:val="0E5515FD"/>
    <w:rsid w:val="0E5B2950"/>
    <w:rsid w:val="0E600F6E"/>
    <w:rsid w:val="0E6F20D8"/>
    <w:rsid w:val="0E735CDD"/>
    <w:rsid w:val="0E764CA0"/>
    <w:rsid w:val="0E7E2314"/>
    <w:rsid w:val="0E8D07A9"/>
    <w:rsid w:val="0E8E6F4C"/>
    <w:rsid w:val="0E8F14BF"/>
    <w:rsid w:val="0E935BCE"/>
    <w:rsid w:val="0E981224"/>
    <w:rsid w:val="0EC52CB8"/>
    <w:rsid w:val="0ED15B27"/>
    <w:rsid w:val="0ED31559"/>
    <w:rsid w:val="0EE02D11"/>
    <w:rsid w:val="0EFA419D"/>
    <w:rsid w:val="0F0E04C6"/>
    <w:rsid w:val="0F136D28"/>
    <w:rsid w:val="0F1467D4"/>
    <w:rsid w:val="0F230E2E"/>
    <w:rsid w:val="0F252104"/>
    <w:rsid w:val="0F296723"/>
    <w:rsid w:val="0F335499"/>
    <w:rsid w:val="0F384D09"/>
    <w:rsid w:val="0F391A09"/>
    <w:rsid w:val="0F443B8E"/>
    <w:rsid w:val="0F5106F1"/>
    <w:rsid w:val="0F5E1E16"/>
    <w:rsid w:val="0F616722"/>
    <w:rsid w:val="0F76123D"/>
    <w:rsid w:val="0F870DDE"/>
    <w:rsid w:val="0F8B4CE8"/>
    <w:rsid w:val="0F9C26DE"/>
    <w:rsid w:val="0FB17243"/>
    <w:rsid w:val="0FBB6508"/>
    <w:rsid w:val="0FD45869"/>
    <w:rsid w:val="0FE77A9F"/>
    <w:rsid w:val="0FE9382B"/>
    <w:rsid w:val="0FE97C61"/>
    <w:rsid w:val="0FED14FF"/>
    <w:rsid w:val="0FEF16DA"/>
    <w:rsid w:val="0FF432F2"/>
    <w:rsid w:val="0FFA00C0"/>
    <w:rsid w:val="0FFC7994"/>
    <w:rsid w:val="10027A76"/>
    <w:rsid w:val="10091F90"/>
    <w:rsid w:val="10097843"/>
    <w:rsid w:val="10164BA2"/>
    <w:rsid w:val="10234F21"/>
    <w:rsid w:val="102E2215"/>
    <w:rsid w:val="103E3E32"/>
    <w:rsid w:val="10435AEF"/>
    <w:rsid w:val="1045133B"/>
    <w:rsid w:val="104637CC"/>
    <w:rsid w:val="10463DF8"/>
    <w:rsid w:val="10535541"/>
    <w:rsid w:val="10567903"/>
    <w:rsid w:val="107B6969"/>
    <w:rsid w:val="10816D2F"/>
    <w:rsid w:val="10895F0F"/>
    <w:rsid w:val="108A1444"/>
    <w:rsid w:val="10917BE0"/>
    <w:rsid w:val="10AA5642"/>
    <w:rsid w:val="10AE6A81"/>
    <w:rsid w:val="10B169D0"/>
    <w:rsid w:val="10C73C45"/>
    <w:rsid w:val="10CB0402"/>
    <w:rsid w:val="10E524FD"/>
    <w:rsid w:val="10EB73E2"/>
    <w:rsid w:val="10ED1B3B"/>
    <w:rsid w:val="10F02D72"/>
    <w:rsid w:val="10F0324E"/>
    <w:rsid w:val="110825CF"/>
    <w:rsid w:val="111351D6"/>
    <w:rsid w:val="11186A50"/>
    <w:rsid w:val="111D4F52"/>
    <w:rsid w:val="112C24FB"/>
    <w:rsid w:val="113B44EC"/>
    <w:rsid w:val="113F696C"/>
    <w:rsid w:val="11426613"/>
    <w:rsid w:val="114809B7"/>
    <w:rsid w:val="11563F08"/>
    <w:rsid w:val="1158509E"/>
    <w:rsid w:val="115A6F43"/>
    <w:rsid w:val="116A5724"/>
    <w:rsid w:val="116C1426"/>
    <w:rsid w:val="116F6E43"/>
    <w:rsid w:val="1181669E"/>
    <w:rsid w:val="118A5A4F"/>
    <w:rsid w:val="118C4D48"/>
    <w:rsid w:val="11971436"/>
    <w:rsid w:val="11A007F3"/>
    <w:rsid w:val="11A31A53"/>
    <w:rsid w:val="11A94804"/>
    <w:rsid w:val="11AB178B"/>
    <w:rsid w:val="11B20CFB"/>
    <w:rsid w:val="11B36778"/>
    <w:rsid w:val="11B46CD7"/>
    <w:rsid w:val="11BA67D9"/>
    <w:rsid w:val="11C113C0"/>
    <w:rsid w:val="11C20769"/>
    <w:rsid w:val="11D20D36"/>
    <w:rsid w:val="11D230A2"/>
    <w:rsid w:val="11D903A0"/>
    <w:rsid w:val="11EE155E"/>
    <w:rsid w:val="11F402BD"/>
    <w:rsid w:val="11F706DC"/>
    <w:rsid w:val="11FF112F"/>
    <w:rsid w:val="120328B4"/>
    <w:rsid w:val="120C58CC"/>
    <w:rsid w:val="121E6B32"/>
    <w:rsid w:val="12221D4D"/>
    <w:rsid w:val="122A7B33"/>
    <w:rsid w:val="1239126D"/>
    <w:rsid w:val="123A47A4"/>
    <w:rsid w:val="12416B7A"/>
    <w:rsid w:val="124627DA"/>
    <w:rsid w:val="12621C4A"/>
    <w:rsid w:val="126A2878"/>
    <w:rsid w:val="12993BC0"/>
    <w:rsid w:val="129F742E"/>
    <w:rsid w:val="12A321B6"/>
    <w:rsid w:val="12A43316"/>
    <w:rsid w:val="12B4295D"/>
    <w:rsid w:val="12B5719C"/>
    <w:rsid w:val="12BC2CF4"/>
    <w:rsid w:val="12C7664F"/>
    <w:rsid w:val="12C877BE"/>
    <w:rsid w:val="12D31588"/>
    <w:rsid w:val="12DA4FCB"/>
    <w:rsid w:val="12DB12E8"/>
    <w:rsid w:val="12E6075E"/>
    <w:rsid w:val="12F80A60"/>
    <w:rsid w:val="130510F8"/>
    <w:rsid w:val="13072579"/>
    <w:rsid w:val="13117E14"/>
    <w:rsid w:val="131F6CB1"/>
    <w:rsid w:val="13276F48"/>
    <w:rsid w:val="1333398E"/>
    <w:rsid w:val="13341C82"/>
    <w:rsid w:val="13345FDC"/>
    <w:rsid w:val="13355420"/>
    <w:rsid w:val="133C70E0"/>
    <w:rsid w:val="13547AE7"/>
    <w:rsid w:val="1356669B"/>
    <w:rsid w:val="13750189"/>
    <w:rsid w:val="137C0599"/>
    <w:rsid w:val="13871C6A"/>
    <w:rsid w:val="138B4BD3"/>
    <w:rsid w:val="139A44FC"/>
    <w:rsid w:val="139F5206"/>
    <w:rsid w:val="139F6FB4"/>
    <w:rsid w:val="13A110FF"/>
    <w:rsid w:val="13B54F50"/>
    <w:rsid w:val="13B87862"/>
    <w:rsid w:val="13BA12D5"/>
    <w:rsid w:val="13BD568C"/>
    <w:rsid w:val="13D61C0A"/>
    <w:rsid w:val="13D61F66"/>
    <w:rsid w:val="13D80BB3"/>
    <w:rsid w:val="13DA07B1"/>
    <w:rsid w:val="13DD2AA5"/>
    <w:rsid w:val="13E21B44"/>
    <w:rsid w:val="13E562FB"/>
    <w:rsid w:val="13EB547F"/>
    <w:rsid w:val="13EB5F1E"/>
    <w:rsid w:val="14013D1A"/>
    <w:rsid w:val="140212F1"/>
    <w:rsid w:val="14066E0B"/>
    <w:rsid w:val="141445A8"/>
    <w:rsid w:val="14195C4F"/>
    <w:rsid w:val="142B0848"/>
    <w:rsid w:val="142B2F19"/>
    <w:rsid w:val="142D2812"/>
    <w:rsid w:val="14387767"/>
    <w:rsid w:val="143D67CD"/>
    <w:rsid w:val="14435ECB"/>
    <w:rsid w:val="144A7030"/>
    <w:rsid w:val="145449CC"/>
    <w:rsid w:val="145C2815"/>
    <w:rsid w:val="14657798"/>
    <w:rsid w:val="1468384A"/>
    <w:rsid w:val="146A4260"/>
    <w:rsid w:val="14820A1C"/>
    <w:rsid w:val="148A04D3"/>
    <w:rsid w:val="14956609"/>
    <w:rsid w:val="14A1174C"/>
    <w:rsid w:val="14B16C0B"/>
    <w:rsid w:val="14B57ED3"/>
    <w:rsid w:val="14C52A4A"/>
    <w:rsid w:val="14C65AB4"/>
    <w:rsid w:val="14D456F5"/>
    <w:rsid w:val="14D95361"/>
    <w:rsid w:val="14E36E52"/>
    <w:rsid w:val="14E52FCD"/>
    <w:rsid w:val="14E629DC"/>
    <w:rsid w:val="14F3156E"/>
    <w:rsid w:val="14F7469D"/>
    <w:rsid w:val="15021CE9"/>
    <w:rsid w:val="15051F1D"/>
    <w:rsid w:val="150B130E"/>
    <w:rsid w:val="15105675"/>
    <w:rsid w:val="15106A4F"/>
    <w:rsid w:val="1514156E"/>
    <w:rsid w:val="151648D1"/>
    <w:rsid w:val="151F34F4"/>
    <w:rsid w:val="152021C1"/>
    <w:rsid w:val="15352871"/>
    <w:rsid w:val="15353002"/>
    <w:rsid w:val="153B2BE9"/>
    <w:rsid w:val="155A0D15"/>
    <w:rsid w:val="156E6862"/>
    <w:rsid w:val="15707B3B"/>
    <w:rsid w:val="15734CD8"/>
    <w:rsid w:val="157B34A2"/>
    <w:rsid w:val="159274ED"/>
    <w:rsid w:val="159D03F5"/>
    <w:rsid w:val="15AC6CCD"/>
    <w:rsid w:val="15BA5E1A"/>
    <w:rsid w:val="15BA7C11"/>
    <w:rsid w:val="15BC34A1"/>
    <w:rsid w:val="15CD7F7E"/>
    <w:rsid w:val="15D06BE0"/>
    <w:rsid w:val="15DA1475"/>
    <w:rsid w:val="15DE1C7E"/>
    <w:rsid w:val="15E2587E"/>
    <w:rsid w:val="15E3207E"/>
    <w:rsid w:val="15EF2160"/>
    <w:rsid w:val="15EF68F4"/>
    <w:rsid w:val="15F05458"/>
    <w:rsid w:val="15F1161D"/>
    <w:rsid w:val="15F81750"/>
    <w:rsid w:val="16040771"/>
    <w:rsid w:val="1604499A"/>
    <w:rsid w:val="160A26DF"/>
    <w:rsid w:val="160B5F0F"/>
    <w:rsid w:val="162A291C"/>
    <w:rsid w:val="162C6AF9"/>
    <w:rsid w:val="163755D1"/>
    <w:rsid w:val="163E319C"/>
    <w:rsid w:val="164031F3"/>
    <w:rsid w:val="16413761"/>
    <w:rsid w:val="16500A3A"/>
    <w:rsid w:val="16540FA7"/>
    <w:rsid w:val="165A4B72"/>
    <w:rsid w:val="166444E5"/>
    <w:rsid w:val="166B69F5"/>
    <w:rsid w:val="166F5C0B"/>
    <w:rsid w:val="167364D6"/>
    <w:rsid w:val="167676E9"/>
    <w:rsid w:val="1685124A"/>
    <w:rsid w:val="168976C2"/>
    <w:rsid w:val="169530B3"/>
    <w:rsid w:val="1698587D"/>
    <w:rsid w:val="169C5B2E"/>
    <w:rsid w:val="16A376F4"/>
    <w:rsid w:val="16AC428E"/>
    <w:rsid w:val="16BE169F"/>
    <w:rsid w:val="16C151D2"/>
    <w:rsid w:val="16C46B96"/>
    <w:rsid w:val="16CA1368"/>
    <w:rsid w:val="16D927DD"/>
    <w:rsid w:val="16DA03FC"/>
    <w:rsid w:val="16F5338F"/>
    <w:rsid w:val="16F75A4D"/>
    <w:rsid w:val="17011D34"/>
    <w:rsid w:val="17164F37"/>
    <w:rsid w:val="17214184"/>
    <w:rsid w:val="17226EF3"/>
    <w:rsid w:val="172C40FD"/>
    <w:rsid w:val="17343EB7"/>
    <w:rsid w:val="173B0A97"/>
    <w:rsid w:val="17456DB9"/>
    <w:rsid w:val="17471E3D"/>
    <w:rsid w:val="17486E4C"/>
    <w:rsid w:val="17571954"/>
    <w:rsid w:val="1765017C"/>
    <w:rsid w:val="17666557"/>
    <w:rsid w:val="17690606"/>
    <w:rsid w:val="176A77DE"/>
    <w:rsid w:val="177C3946"/>
    <w:rsid w:val="17886F60"/>
    <w:rsid w:val="178C2835"/>
    <w:rsid w:val="17903A4D"/>
    <w:rsid w:val="17976760"/>
    <w:rsid w:val="179B3002"/>
    <w:rsid w:val="179C380B"/>
    <w:rsid w:val="17A25010"/>
    <w:rsid w:val="17A46689"/>
    <w:rsid w:val="17AB31BB"/>
    <w:rsid w:val="17B172B6"/>
    <w:rsid w:val="17B6329E"/>
    <w:rsid w:val="17CF511D"/>
    <w:rsid w:val="17D4237F"/>
    <w:rsid w:val="17D644A1"/>
    <w:rsid w:val="17E03D85"/>
    <w:rsid w:val="17E50239"/>
    <w:rsid w:val="17F045AB"/>
    <w:rsid w:val="17FB49D5"/>
    <w:rsid w:val="17FF3846"/>
    <w:rsid w:val="18001FEB"/>
    <w:rsid w:val="180A4C18"/>
    <w:rsid w:val="180D6418"/>
    <w:rsid w:val="18134B94"/>
    <w:rsid w:val="1820046C"/>
    <w:rsid w:val="18216983"/>
    <w:rsid w:val="18243F2C"/>
    <w:rsid w:val="182F2A52"/>
    <w:rsid w:val="183F2B14"/>
    <w:rsid w:val="184A3267"/>
    <w:rsid w:val="184E71FB"/>
    <w:rsid w:val="18544FDE"/>
    <w:rsid w:val="185D6CB6"/>
    <w:rsid w:val="18646BA5"/>
    <w:rsid w:val="186662F2"/>
    <w:rsid w:val="18754787"/>
    <w:rsid w:val="187F6878"/>
    <w:rsid w:val="188A1ACA"/>
    <w:rsid w:val="189A1744"/>
    <w:rsid w:val="189D0E7B"/>
    <w:rsid w:val="18BE5222"/>
    <w:rsid w:val="18DC1641"/>
    <w:rsid w:val="18DE48B4"/>
    <w:rsid w:val="18DF60A5"/>
    <w:rsid w:val="18E831AB"/>
    <w:rsid w:val="18F01B0E"/>
    <w:rsid w:val="19111E4D"/>
    <w:rsid w:val="191121DE"/>
    <w:rsid w:val="19112FCE"/>
    <w:rsid w:val="1913136D"/>
    <w:rsid w:val="19221EB6"/>
    <w:rsid w:val="19306D3B"/>
    <w:rsid w:val="1932278E"/>
    <w:rsid w:val="19353F17"/>
    <w:rsid w:val="193A71F1"/>
    <w:rsid w:val="19410B0E"/>
    <w:rsid w:val="19421E7C"/>
    <w:rsid w:val="195D6BE3"/>
    <w:rsid w:val="196162DA"/>
    <w:rsid w:val="196172C1"/>
    <w:rsid w:val="19647FC2"/>
    <w:rsid w:val="1969399C"/>
    <w:rsid w:val="19695080"/>
    <w:rsid w:val="196C04AE"/>
    <w:rsid w:val="1977008B"/>
    <w:rsid w:val="19802A7B"/>
    <w:rsid w:val="198E7454"/>
    <w:rsid w:val="19920B72"/>
    <w:rsid w:val="199315D8"/>
    <w:rsid w:val="199D21E8"/>
    <w:rsid w:val="19A557E6"/>
    <w:rsid w:val="19D92AF4"/>
    <w:rsid w:val="19F416DC"/>
    <w:rsid w:val="1A024DA5"/>
    <w:rsid w:val="1A051BD2"/>
    <w:rsid w:val="1A142BD1"/>
    <w:rsid w:val="1A267069"/>
    <w:rsid w:val="1A277D03"/>
    <w:rsid w:val="1A6A7BF0"/>
    <w:rsid w:val="1A6E148E"/>
    <w:rsid w:val="1A782781"/>
    <w:rsid w:val="1A792D6F"/>
    <w:rsid w:val="1A8B4088"/>
    <w:rsid w:val="1A8B66A6"/>
    <w:rsid w:val="1A93147B"/>
    <w:rsid w:val="1A9B3526"/>
    <w:rsid w:val="1AAD06B8"/>
    <w:rsid w:val="1AAE26D3"/>
    <w:rsid w:val="1AB0197B"/>
    <w:rsid w:val="1AEB2ADF"/>
    <w:rsid w:val="1AEC3646"/>
    <w:rsid w:val="1AEF6C53"/>
    <w:rsid w:val="1B137ECC"/>
    <w:rsid w:val="1B245F3A"/>
    <w:rsid w:val="1B256B90"/>
    <w:rsid w:val="1B291E76"/>
    <w:rsid w:val="1B334486"/>
    <w:rsid w:val="1B3C158C"/>
    <w:rsid w:val="1B3D4376"/>
    <w:rsid w:val="1B483D3F"/>
    <w:rsid w:val="1B4D0B6A"/>
    <w:rsid w:val="1B5F527B"/>
    <w:rsid w:val="1B6000AF"/>
    <w:rsid w:val="1B663DB6"/>
    <w:rsid w:val="1B703ABB"/>
    <w:rsid w:val="1B794786"/>
    <w:rsid w:val="1B7D56CE"/>
    <w:rsid w:val="1B8E788F"/>
    <w:rsid w:val="1B917B2A"/>
    <w:rsid w:val="1B927C8D"/>
    <w:rsid w:val="1B9F1DB3"/>
    <w:rsid w:val="1BBA0586"/>
    <w:rsid w:val="1BC577D4"/>
    <w:rsid w:val="1BDE0DE4"/>
    <w:rsid w:val="1BE43D08"/>
    <w:rsid w:val="1BF34FF4"/>
    <w:rsid w:val="1BF35E50"/>
    <w:rsid w:val="1BFB76B0"/>
    <w:rsid w:val="1C0C7998"/>
    <w:rsid w:val="1C0E52F2"/>
    <w:rsid w:val="1C150FDC"/>
    <w:rsid w:val="1C1C2860"/>
    <w:rsid w:val="1C2420E9"/>
    <w:rsid w:val="1C2F7818"/>
    <w:rsid w:val="1C31645C"/>
    <w:rsid w:val="1C386F61"/>
    <w:rsid w:val="1C3B7A96"/>
    <w:rsid w:val="1C457245"/>
    <w:rsid w:val="1C536B8E"/>
    <w:rsid w:val="1C5446B4"/>
    <w:rsid w:val="1C5F62DB"/>
    <w:rsid w:val="1C67774A"/>
    <w:rsid w:val="1C7908FC"/>
    <w:rsid w:val="1C870590"/>
    <w:rsid w:val="1C8875DC"/>
    <w:rsid w:val="1C893FE9"/>
    <w:rsid w:val="1C8A3D5A"/>
    <w:rsid w:val="1C9A3C4D"/>
    <w:rsid w:val="1C9B1C69"/>
    <w:rsid w:val="1C9E6D71"/>
    <w:rsid w:val="1CA26C1C"/>
    <w:rsid w:val="1CB57848"/>
    <w:rsid w:val="1CB735C0"/>
    <w:rsid w:val="1CC310CC"/>
    <w:rsid w:val="1CCB1D66"/>
    <w:rsid w:val="1CD9525C"/>
    <w:rsid w:val="1CDC3168"/>
    <w:rsid w:val="1CDD64FB"/>
    <w:rsid w:val="1CDF4444"/>
    <w:rsid w:val="1CE123EB"/>
    <w:rsid w:val="1CE4351B"/>
    <w:rsid w:val="1CED5D86"/>
    <w:rsid w:val="1CFD5DF5"/>
    <w:rsid w:val="1CFF572B"/>
    <w:rsid w:val="1D0049ED"/>
    <w:rsid w:val="1D011872"/>
    <w:rsid w:val="1D101766"/>
    <w:rsid w:val="1D107795"/>
    <w:rsid w:val="1D1B3C87"/>
    <w:rsid w:val="1D1C5EE0"/>
    <w:rsid w:val="1D1F262A"/>
    <w:rsid w:val="1D292F26"/>
    <w:rsid w:val="1D2B3667"/>
    <w:rsid w:val="1D3A1AFC"/>
    <w:rsid w:val="1D3D4167"/>
    <w:rsid w:val="1D3D7F38"/>
    <w:rsid w:val="1D3F5796"/>
    <w:rsid w:val="1D440BCC"/>
    <w:rsid w:val="1D4F4FED"/>
    <w:rsid w:val="1D525097"/>
    <w:rsid w:val="1D564CB8"/>
    <w:rsid w:val="1D566F45"/>
    <w:rsid w:val="1D5C1A72"/>
    <w:rsid w:val="1D6D3C7F"/>
    <w:rsid w:val="1D6F7B0C"/>
    <w:rsid w:val="1D732BA8"/>
    <w:rsid w:val="1D74500E"/>
    <w:rsid w:val="1D7D37F8"/>
    <w:rsid w:val="1D88556F"/>
    <w:rsid w:val="1D9636D5"/>
    <w:rsid w:val="1D964CFB"/>
    <w:rsid w:val="1D990F18"/>
    <w:rsid w:val="1D9B6A3E"/>
    <w:rsid w:val="1DB02556"/>
    <w:rsid w:val="1DB91DEC"/>
    <w:rsid w:val="1DB9456B"/>
    <w:rsid w:val="1DC11182"/>
    <w:rsid w:val="1DC21DC5"/>
    <w:rsid w:val="1DCD24D8"/>
    <w:rsid w:val="1DD342DC"/>
    <w:rsid w:val="1DD61D86"/>
    <w:rsid w:val="1DEB740A"/>
    <w:rsid w:val="1DF51EFA"/>
    <w:rsid w:val="1DF6280F"/>
    <w:rsid w:val="1E04087E"/>
    <w:rsid w:val="1E095FC3"/>
    <w:rsid w:val="1E11610A"/>
    <w:rsid w:val="1E1567B7"/>
    <w:rsid w:val="1E1745C4"/>
    <w:rsid w:val="1E2410D2"/>
    <w:rsid w:val="1E264347"/>
    <w:rsid w:val="1E2F7187"/>
    <w:rsid w:val="1E351CBA"/>
    <w:rsid w:val="1E443D20"/>
    <w:rsid w:val="1E4C5E41"/>
    <w:rsid w:val="1E4E70F6"/>
    <w:rsid w:val="1E5265C6"/>
    <w:rsid w:val="1E571155"/>
    <w:rsid w:val="1E571A0B"/>
    <w:rsid w:val="1E5D1F8A"/>
    <w:rsid w:val="1E5E440A"/>
    <w:rsid w:val="1E5F2528"/>
    <w:rsid w:val="1E666E3F"/>
    <w:rsid w:val="1E6A4709"/>
    <w:rsid w:val="1E780B2E"/>
    <w:rsid w:val="1E86680C"/>
    <w:rsid w:val="1E8C0493"/>
    <w:rsid w:val="1E952A60"/>
    <w:rsid w:val="1EAA398B"/>
    <w:rsid w:val="1EB623C9"/>
    <w:rsid w:val="1ECE4BF1"/>
    <w:rsid w:val="1EDB7254"/>
    <w:rsid w:val="1EE77A61"/>
    <w:rsid w:val="1EEA3D3A"/>
    <w:rsid w:val="1EF66C22"/>
    <w:rsid w:val="1F042ABE"/>
    <w:rsid w:val="1F0652DF"/>
    <w:rsid w:val="1F0E3240"/>
    <w:rsid w:val="1F0F4471"/>
    <w:rsid w:val="1F176598"/>
    <w:rsid w:val="1F294BE4"/>
    <w:rsid w:val="1F2E534F"/>
    <w:rsid w:val="1F3A15BD"/>
    <w:rsid w:val="1F3A67CB"/>
    <w:rsid w:val="1F3F164B"/>
    <w:rsid w:val="1F3F5AEF"/>
    <w:rsid w:val="1F4F1C73"/>
    <w:rsid w:val="1F590C8F"/>
    <w:rsid w:val="1F6153F3"/>
    <w:rsid w:val="1F642E60"/>
    <w:rsid w:val="1F6A77E5"/>
    <w:rsid w:val="1F6E06FC"/>
    <w:rsid w:val="1F765DC8"/>
    <w:rsid w:val="1F843502"/>
    <w:rsid w:val="1F8460F4"/>
    <w:rsid w:val="1F8A5E7E"/>
    <w:rsid w:val="1F8B50EE"/>
    <w:rsid w:val="1F8D4518"/>
    <w:rsid w:val="1F9B31CA"/>
    <w:rsid w:val="1F9E498D"/>
    <w:rsid w:val="1F9F033C"/>
    <w:rsid w:val="1FA0658E"/>
    <w:rsid w:val="1FA61044"/>
    <w:rsid w:val="1FCA4BF8"/>
    <w:rsid w:val="1FCD6DBB"/>
    <w:rsid w:val="1FCF1804"/>
    <w:rsid w:val="1FD738F8"/>
    <w:rsid w:val="1FDA2256"/>
    <w:rsid w:val="1FE02E2E"/>
    <w:rsid w:val="1FE90FF5"/>
    <w:rsid w:val="1FFD5253"/>
    <w:rsid w:val="1FFE1506"/>
    <w:rsid w:val="20035F1E"/>
    <w:rsid w:val="201018A0"/>
    <w:rsid w:val="20146634"/>
    <w:rsid w:val="20193BC3"/>
    <w:rsid w:val="201B3E66"/>
    <w:rsid w:val="20221F16"/>
    <w:rsid w:val="202645B9"/>
    <w:rsid w:val="202F7912"/>
    <w:rsid w:val="203257AA"/>
    <w:rsid w:val="203771DB"/>
    <w:rsid w:val="2047426A"/>
    <w:rsid w:val="206D3F96"/>
    <w:rsid w:val="207215AC"/>
    <w:rsid w:val="207407CA"/>
    <w:rsid w:val="20826260"/>
    <w:rsid w:val="208C7EE6"/>
    <w:rsid w:val="20911355"/>
    <w:rsid w:val="209338C0"/>
    <w:rsid w:val="20993F48"/>
    <w:rsid w:val="209D73A4"/>
    <w:rsid w:val="20D51DD9"/>
    <w:rsid w:val="20DD736E"/>
    <w:rsid w:val="20E66F6F"/>
    <w:rsid w:val="20F070A1"/>
    <w:rsid w:val="211014F1"/>
    <w:rsid w:val="211608B4"/>
    <w:rsid w:val="21167BAC"/>
    <w:rsid w:val="211F1734"/>
    <w:rsid w:val="2123408C"/>
    <w:rsid w:val="212C5BFF"/>
    <w:rsid w:val="21304A63"/>
    <w:rsid w:val="213B123C"/>
    <w:rsid w:val="2143178B"/>
    <w:rsid w:val="21515666"/>
    <w:rsid w:val="215535EE"/>
    <w:rsid w:val="21564C84"/>
    <w:rsid w:val="215F7D83"/>
    <w:rsid w:val="21667363"/>
    <w:rsid w:val="216E4D5A"/>
    <w:rsid w:val="217074E5"/>
    <w:rsid w:val="21721FC9"/>
    <w:rsid w:val="217753FF"/>
    <w:rsid w:val="217B030D"/>
    <w:rsid w:val="218016A3"/>
    <w:rsid w:val="21884584"/>
    <w:rsid w:val="218F690E"/>
    <w:rsid w:val="219654AA"/>
    <w:rsid w:val="21E00DE3"/>
    <w:rsid w:val="21E850F3"/>
    <w:rsid w:val="21EA3F3F"/>
    <w:rsid w:val="21F46766"/>
    <w:rsid w:val="21F901D7"/>
    <w:rsid w:val="22032E04"/>
    <w:rsid w:val="2205763A"/>
    <w:rsid w:val="2207450B"/>
    <w:rsid w:val="220D3C83"/>
    <w:rsid w:val="222056C4"/>
    <w:rsid w:val="2227008C"/>
    <w:rsid w:val="222C1797"/>
    <w:rsid w:val="222F450C"/>
    <w:rsid w:val="22371B46"/>
    <w:rsid w:val="22396826"/>
    <w:rsid w:val="223E6220"/>
    <w:rsid w:val="22471F8B"/>
    <w:rsid w:val="224A27E1"/>
    <w:rsid w:val="22516B90"/>
    <w:rsid w:val="2254276C"/>
    <w:rsid w:val="22574EFE"/>
    <w:rsid w:val="22635915"/>
    <w:rsid w:val="226A0903"/>
    <w:rsid w:val="226C412B"/>
    <w:rsid w:val="22736352"/>
    <w:rsid w:val="227E248B"/>
    <w:rsid w:val="22850D4C"/>
    <w:rsid w:val="2288697E"/>
    <w:rsid w:val="228A156A"/>
    <w:rsid w:val="22941CAE"/>
    <w:rsid w:val="229948E3"/>
    <w:rsid w:val="229962C4"/>
    <w:rsid w:val="22A12AB3"/>
    <w:rsid w:val="22A20117"/>
    <w:rsid w:val="22BF31CF"/>
    <w:rsid w:val="22C97253"/>
    <w:rsid w:val="22E22A19"/>
    <w:rsid w:val="22FB7D9A"/>
    <w:rsid w:val="2318468D"/>
    <w:rsid w:val="23191398"/>
    <w:rsid w:val="231D3CB8"/>
    <w:rsid w:val="232800ED"/>
    <w:rsid w:val="234E7523"/>
    <w:rsid w:val="235033DA"/>
    <w:rsid w:val="2355070F"/>
    <w:rsid w:val="23607C87"/>
    <w:rsid w:val="236425C5"/>
    <w:rsid w:val="23701F43"/>
    <w:rsid w:val="23711FEF"/>
    <w:rsid w:val="237B69CA"/>
    <w:rsid w:val="238903B1"/>
    <w:rsid w:val="23913E37"/>
    <w:rsid w:val="2395150A"/>
    <w:rsid w:val="23B26890"/>
    <w:rsid w:val="23B60326"/>
    <w:rsid w:val="23B64BA9"/>
    <w:rsid w:val="23B75C54"/>
    <w:rsid w:val="23D04F68"/>
    <w:rsid w:val="23E147B4"/>
    <w:rsid w:val="23E634EB"/>
    <w:rsid w:val="23EF0A70"/>
    <w:rsid w:val="23EF4889"/>
    <w:rsid w:val="23F0674C"/>
    <w:rsid w:val="23F506AB"/>
    <w:rsid w:val="23F60825"/>
    <w:rsid w:val="24013373"/>
    <w:rsid w:val="2415037E"/>
    <w:rsid w:val="242B4894"/>
    <w:rsid w:val="243A74A1"/>
    <w:rsid w:val="243C4725"/>
    <w:rsid w:val="2443573A"/>
    <w:rsid w:val="24441FB4"/>
    <w:rsid w:val="24482D50"/>
    <w:rsid w:val="24513989"/>
    <w:rsid w:val="24514F47"/>
    <w:rsid w:val="2461078E"/>
    <w:rsid w:val="24665BF3"/>
    <w:rsid w:val="247934AE"/>
    <w:rsid w:val="247E4B55"/>
    <w:rsid w:val="24956481"/>
    <w:rsid w:val="24990992"/>
    <w:rsid w:val="249D611B"/>
    <w:rsid w:val="24A12764"/>
    <w:rsid w:val="24A562D8"/>
    <w:rsid w:val="24A84FF5"/>
    <w:rsid w:val="24BF047C"/>
    <w:rsid w:val="24D16B95"/>
    <w:rsid w:val="24D61965"/>
    <w:rsid w:val="24DC5D71"/>
    <w:rsid w:val="24E527E5"/>
    <w:rsid w:val="24EE7D9B"/>
    <w:rsid w:val="24F15196"/>
    <w:rsid w:val="24FC417F"/>
    <w:rsid w:val="250824DF"/>
    <w:rsid w:val="25090731"/>
    <w:rsid w:val="252A0B3F"/>
    <w:rsid w:val="252A3BFF"/>
    <w:rsid w:val="25352F2A"/>
    <w:rsid w:val="253A5760"/>
    <w:rsid w:val="253D1E2F"/>
    <w:rsid w:val="253F60A4"/>
    <w:rsid w:val="25400910"/>
    <w:rsid w:val="2548703A"/>
    <w:rsid w:val="25565244"/>
    <w:rsid w:val="25647C5C"/>
    <w:rsid w:val="256834E7"/>
    <w:rsid w:val="25AD6F5A"/>
    <w:rsid w:val="25AE5D2C"/>
    <w:rsid w:val="25B52667"/>
    <w:rsid w:val="25B95F44"/>
    <w:rsid w:val="25BC1C48"/>
    <w:rsid w:val="25BE6FE6"/>
    <w:rsid w:val="25C0091C"/>
    <w:rsid w:val="25DD260A"/>
    <w:rsid w:val="25E16F30"/>
    <w:rsid w:val="25E234B8"/>
    <w:rsid w:val="25E56838"/>
    <w:rsid w:val="25E8049D"/>
    <w:rsid w:val="25E847EB"/>
    <w:rsid w:val="25ED4D74"/>
    <w:rsid w:val="26041B2E"/>
    <w:rsid w:val="260A161D"/>
    <w:rsid w:val="260B7636"/>
    <w:rsid w:val="26114FFB"/>
    <w:rsid w:val="261F3E78"/>
    <w:rsid w:val="26237696"/>
    <w:rsid w:val="26265313"/>
    <w:rsid w:val="262A36A4"/>
    <w:rsid w:val="26540D8D"/>
    <w:rsid w:val="26720044"/>
    <w:rsid w:val="26722306"/>
    <w:rsid w:val="26724EE0"/>
    <w:rsid w:val="26773DC1"/>
    <w:rsid w:val="267E6EFD"/>
    <w:rsid w:val="269F0AAD"/>
    <w:rsid w:val="26AF7C16"/>
    <w:rsid w:val="26C30444"/>
    <w:rsid w:val="26C87DEF"/>
    <w:rsid w:val="26D27249"/>
    <w:rsid w:val="26D3594A"/>
    <w:rsid w:val="26D8478E"/>
    <w:rsid w:val="26DA74D7"/>
    <w:rsid w:val="26DD1E76"/>
    <w:rsid w:val="26E13528"/>
    <w:rsid w:val="26E33AFB"/>
    <w:rsid w:val="26E611F7"/>
    <w:rsid w:val="26E808BF"/>
    <w:rsid w:val="26F03136"/>
    <w:rsid w:val="26F77EDD"/>
    <w:rsid w:val="26FE2211"/>
    <w:rsid w:val="270F7064"/>
    <w:rsid w:val="271302D6"/>
    <w:rsid w:val="2714160F"/>
    <w:rsid w:val="27153BB1"/>
    <w:rsid w:val="27176ACD"/>
    <w:rsid w:val="27187930"/>
    <w:rsid w:val="27206206"/>
    <w:rsid w:val="27411AB4"/>
    <w:rsid w:val="275D280B"/>
    <w:rsid w:val="278376B3"/>
    <w:rsid w:val="278A610F"/>
    <w:rsid w:val="27954EB4"/>
    <w:rsid w:val="27972154"/>
    <w:rsid w:val="279B3ADF"/>
    <w:rsid w:val="27AB1CB6"/>
    <w:rsid w:val="27AC7A9A"/>
    <w:rsid w:val="27B600BE"/>
    <w:rsid w:val="27B91913"/>
    <w:rsid w:val="27BD555B"/>
    <w:rsid w:val="27C0670F"/>
    <w:rsid w:val="27C53A84"/>
    <w:rsid w:val="27CE3856"/>
    <w:rsid w:val="27EC60E8"/>
    <w:rsid w:val="27EF16AD"/>
    <w:rsid w:val="27F275C7"/>
    <w:rsid w:val="27FA25B3"/>
    <w:rsid w:val="27FF1AFC"/>
    <w:rsid w:val="28013942"/>
    <w:rsid w:val="28110526"/>
    <w:rsid w:val="2813335D"/>
    <w:rsid w:val="281D3140"/>
    <w:rsid w:val="283563D1"/>
    <w:rsid w:val="2836778D"/>
    <w:rsid w:val="283B2FED"/>
    <w:rsid w:val="284B2213"/>
    <w:rsid w:val="284B460C"/>
    <w:rsid w:val="28564A78"/>
    <w:rsid w:val="286402A8"/>
    <w:rsid w:val="2879797C"/>
    <w:rsid w:val="287C746C"/>
    <w:rsid w:val="28936A7D"/>
    <w:rsid w:val="289A4B8C"/>
    <w:rsid w:val="28AC2415"/>
    <w:rsid w:val="28AC554B"/>
    <w:rsid w:val="28B04A15"/>
    <w:rsid w:val="28B07116"/>
    <w:rsid w:val="28B27E59"/>
    <w:rsid w:val="28B706BF"/>
    <w:rsid w:val="28BD1F9B"/>
    <w:rsid w:val="28BE10DF"/>
    <w:rsid w:val="28C427DE"/>
    <w:rsid w:val="28C66721"/>
    <w:rsid w:val="28EC45F2"/>
    <w:rsid w:val="28F163C9"/>
    <w:rsid w:val="28F41E2A"/>
    <w:rsid w:val="290336EA"/>
    <w:rsid w:val="291D0C4F"/>
    <w:rsid w:val="29237E02"/>
    <w:rsid w:val="29240EC5"/>
    <w:rsid w:val="29291830"/>
    <w:rsid w:val="292C3558"/>
    <w:rsid w:val="293B04A1"/>
    <w:rsid w:val="293B5C80"/>
    <w:rsid w:val="293C0E4F"/>
    <w:rsid w:val="294A6FDE"/>
    <w:rsid w:val="294D7013"/>
    <w:rsid w:val="29583A35"/>
    <w:rsid w:val="295D6551"/>
    <w:rsid w:val="296F7074"/>
    <w:rsid w:val="29701B82"/>
    <w:rsid w:val="29706A97"/>
    <w:rsid w:val="29763E79"/>
    <w:rsid w:val="297F5466"/>
    <w:rsid w:val="29837233"/>
    <w:rsid w:val="298E4AB1"/>
    <w:rsid w:val="298F6BD4"/>
    <w:rsid w:val="29A529F3"/>
    <w:rsid w:val="29A82935"/>
    <w:rsid w:val="29AB2A0C"/>
    <w:rsid w:val="29AD4693"/>
    <w:rsid w:val="29AF647C"/>
    <w:rsid w:val="29DA230C"/>
    <w:rsid w:val="29E03164"/>
    <w:rsid w:val="29F24340"/>
    <w:rsid w:val="2A062C3D"/>
    <w:rsid w:val="2A0D3733"/>
    <w:rsid w:val="2A1060BE"/>
    <w:rsid w:val="2A232F79"/>
    <w:rsid w:val="2A3370D8"/>
    <w:rsid w:val="2A460026"/>
    <w:rsid w:val="2A480EAA"/>
    <w:rsid w:val="2A4D281E"/>
    <w:rsid w:val="2A6A12EE"/>
    <w:rsid w:val="2A6C10FE"/>
    <w:rsid w:val="2A7A3E7F"/>
    <w:rsid w:val="2A804BCB"/>
    <w:rsid w:val="2A834967"/>
    <w:rsid w:val="2A862824"/>
    <w:rsid w:val="2A8A2314"/>
    <w:rsid w:val="2A8E3487"/>
    <w:rsid w:val="2A924D25"/>
    <w:rsid w:val="2A9774D8"/>
    <w:rsid w:val="2A9851F6"/>
    <w:rsid w:val="2A9E5653"/>
    <w:rsid w:val="2AB53FEE"/>
    <w:rsid w:val="2AD016FB"/>
    <w:rsid w:val="2AD91FA9"/>
    <w:rsid w:val="2ADE5E74"/>
    <w:rsid w:val="2AE15CAC"/>
    <w:rsid w:val="2AEB2687"/>
    <w:rsid w:val="2AEB6CDA"/>
    <w:rsid w:val="2AFE7D9D"/>
    <w:rsid w:val="2B0B7F3A"/>
    <w:rsid w:val="2B136B03"/>
    <w:rsid w:val="2B2401F5"/>
    <w:rsid w:val="2B2C73BB"/>
    <w:rsid w:val="2B357661"/>
    <w:rsid w:val="2B3B716B"/>
    <w:rsid w:val="2B3F22C9"/>
    <w:rsid w:val="2B484AB0"/>
    <w:rsid w:val="2B4F3FF7"/>
    <w:rsid w:val="2B585F6F"/>
    <w:rsid w:val="2B5A1E76"/>
    <w:rsid w:val="2B65068C"/>
    <w:rsid w:val="2B6F5066"/>
    <w:rsid w:val="2B732DA8"/>
    <w:rsid w:val="2B794137"/>
    <w:rsid w:val="2B82123D"/>
    <w:rsid w:val="2B84616D"/>
    <w:rsid w:val="2B8947D7"/>
    <w:rsid w:val="2B8C5C18"/>
    <w:rsid w:val="2B9E1EF5"/>
    <w:rsid w:val="2BAC71E3"/>
    <w:rsid w:val="2BE014CD"/>
    <w:rsid w:val="2BE02720"/>
    <w:rsid w:val="2C0B6813"/>
    <w:rsid w:val="2C0C25F2"/>
    <w:rsid w:val="2C147ADE"/>
    <w:rsid w:val="2C250291"/>
    <w:rsid w:val="2C2B37E0"/>
    <w:rsid w:val="2C351E0C"/>
    <w:rsid w:val="2C3B319A"/>
    <w:rsid w:val="2C3D33B6"/>
    <w:rsid w:val="2C4B3048"/>
    <w:rsid w:val="2C503913"/>
    <w:rsid w:val="2C5801F0"/>
    <w:rsid w:val="2C594C71"/>
    <w:rsid w:val="2C5C35B4"/>
    <w:rsid w:val="2C5C633A"/>
    <w:rsid w:val="2C6160E8"/>
    <w:rsid w:val="2C69509B"/>
    <w:rsid w:val="2C7A170B"/>
    <w:rsid w:val="2C7D1A05"/>
    <w:rsid w:val="2C7F752B"/>
    <w:rsid w:val="2C836C7A"/>
    <w:rsid w:val="2C8B0362"/>
    <w:rsid w:val="2C925780"/>
    <w:rsid w:val="2C951260"/>
    <w:rsid w:val="2C9E7A03"/>
    <w:rsid w:val="2CCA0CCE"/>
    <w:rsid w:val="2CCF5831"/>
    <w:rsid w:val="2CD07D87"/>
    <w:rsid w:val="2CD1599C"/>
    <w:rsid w:val="2CE101E6"/>
    <w:rsid w:val="2CE10BD1"/>
    <w:rsid w:val="2CE32FBB"/>
    <w:rsid w:val="2CEF2903"/>
    <w:rsid w:val="2CFB38C8"/>
    <w:rsid w:val="2D057641"/>
    <w:rsid w:val="2D072E8A"/>
    <w:rsid w:val="2D0F4176"/>
    <w:rsid w:val="2D234680"/>
    <w:rsid w:val="2D267474"/>
    <w:rsid w:val="2D297D44"/>
    <w:rsid w:val="2D2B395A"/>
    <w:rsid w:val="2D2F07C3"/>
    <w:rsid w:val="2D3319E2"/>
    <w:rsid w:val="2D38423B"/>
    <w:rsid w:val="2D3F5CEB"/>
    <w:rsid w:val="2D527144"/>
    <w:rsid w:val="2D67693D"/>
    <w:rsid w:val="2D710C62"/>
    <w:rsid w:val="2D9479D3"/>
    <w:rsid w:val="2D9A5F85"/>
    <w:rsid w:val="2DB63420"/>
    <w:rsid w:val="2DC03EA3"/>
    <w:rsid w:val="2DC778E8"/>
    <w:rsid w:val="2DC805E8"/>
    <w:rsid w:val="2DC81EA2"/>
    <w:rsid w:val="2DCD14B9"/>
    <w:rsid w:val="2DDB46C1"/>
    <w:rsid w:val="2DDB59B1"/>
    <w:rsid w:val="2DDD04E8"/>
    <w:rsid w:val="2DE72E93"/>
    <w:rsid w:val="2DEC1BC1"/>
    <w:rsid w:val="2DF20EDC"/>
    <w:rsid w:val="2DF431E3"/>
    <w:rsid w:val="2DF57702"/>
    <w:rsid w:val="2E2344FF"/>
    <w:rsid w:val="2E291E44"/>
    <w:rsid w:val="2E2959A0"/>
    <w:rsid w:val="2E3775FE"/>
    <w:rsid w:val="2E3A47A9"/>
    <w:rsid w:val="2E494290"/>
    <w:rsid w:val="2E4D79AC"/>
    <w:rsid w:val="2E5073D1"/>
    <w:rsid w:val="2E5614F6"/>
    <w:rsid w:val="2E66264A"/>
    <w:rsid w:val="2E6723D8"/>
    <w:rsid w:val="2E67296D"/>
    <w:rsid w:val="2E6A37A9"/>
    <w:rsid w:val="2E7A4C73"/>
    <w:rsid w:val="2E881BA9"/>
    <w:rsid w:val="2EA12D4D"/>
    <w:rsid w:val="2EA52652"/>
    <w:rsid w:val="2EAC06B7"/>
    <w:rsid w:val="2EB851EE"/>
    <w:rsid w:val="2EBF6305"/>
    <w:rsid w:val="2EC77846"/>
    <w:rsid w:val="2ECB7582"/>
    <w:rsid w:val="2ED34B1E"/>
    <w:rsid w:val="2ED43335"/>
    <w:rsid w:val="2EE57F27"/>
    <w:rsid w:val="2EF556EF"/>
    <w:rsid w:val="2EF94328"/>
    <w:rsid w:val="2EFB0B6A"/>
    <w:rsid w:val="2F065CE2"/>
    <w:rsid w:val="2F0A3784"/>
    <w:rsid w:val="2F0E13DC"/>
    <w:rsid w:val="2F163A2D"/>
    <w:rsid w:val="2F182DB1"/>
    <w:rsid w:val="2F1E0662"/>
    <w:rsid w:val="2F22711C"/>
    <w:rsid w:val="2F377112"/>
    <w:rsid w:val="2F4505D1"/>
    <w:rsid w:val="2F4C01F1"/>
    <w:rsid w:val="2F525612"/>
    <w:rsid w:val="2F6D7B0F"/>
    <w:rsid w:val="2F863A1A"/>
    <w:rsid w:val="2F8C7118"/>
    <w:rsid w:val="2F9401B9"/>
    <w:rsid w:val="2F9B1ECC"/>
    <w:rsid w:val="2F9D4B95"/>
    <w:rsid w:val="2FA1297E"/>
    <w:rsid w:val="2FA67E12"/>
    <w:rsid w:val="2FA874CF"/>
    <w:rsid w:val="2FAC4B96"/>
    <w:rsid w:val="2FC040E2"/>
    <w:rsid w:val="2FC260AC"/>
    <w:rsid w:val="2FC34A8E"/>
    <w:rsid w:val="2FCF36F9"/>
    <w:rsid w:val="2FD61B58"/>
    <w:rsid w:val="2FE25912"/>
    <w:rsid w:val="2FEA115F"/>
    <w:rsid w:val="2FEA26A2"/>
    <w:rsid w:val="2FF10740"/>
    <w:rsid w:val="2FF20B05"/>
    <w:rsid w:val="3038011D"/>
    <w:rsid w:val="30393D9F"/>
    <w:rsid w:val="303C35C6"/>
    <w:rsid w:val="30542B84"/>
    <w:rsid w:val="306D74E9"/>
    <w:rsid w:val="306F1C13"/>
    <w:rsid w:val="3086532C"/>
    <w:rsid w:val="3087278E"/>
    <w:rsid w:val="308D1245"/>
    <w:rsid w:val="308F4D37"/>
    <w:rsid w:val="309F1B36"/>
    <w:rsid w:val="30A55E88"/>
    <w:rsid w:val="30CD67A4"/>
    <w:rsid w:val="30DA7193"/>
    <w:rsid w:val="30DD0CC4"/>
    <w:rsid w:val="30E14B54"/>
    <w:rsid w:val="30F24AEB"/>
    <w:rsid w:val="30F8390E"/>
    <w:rsid w:val="30FA1876"/>
    <w:rsid w:val="310F3282"/>
    <w:rsid w:val="31172428"/>
    <w:rsid w:val="311F07FD"/>
    <w:rsid w:val="311F308B"/>
    <w:rsid w:val="312E7421"/>
    <w:rsid w:val="3159659D"/>
    <w:rsid w:val="315E1E05"/>
    <w:rsid w:val="31671D56"/>
    <w:rsid w:val="316E5AD0"/>
    <w:rsid w:val="316F5EE0"/>
    <w:rsid w:val="317258B0"/>
    <w:rsid w:val="31730659"/>
    <w:rsid w:val="317E1C06"/>
    <w:rsid w:val="317F1D7B"/>
    <w:rsid w:val="3191673E"/>
    <w:rsid w:val="319847DC"/>
    <w:rsid w:val="319F5197"/>
    <w:rsid w:val="31A63E19"/>
    <w:rsid w:val="31AD7ADB"/>
    <w:rsid w:val="31AE4CD1"/>
    <w:rsid w:val="31B41A25"/>
    <w:rsid w:val="31BD60EB"/>
    <w:rsid w:val="31BE2ABF"/>
    <w:rsid w:val="31C9370A"/>
    <w:rsid w:val="31D33DCE"/>
    <w:rsid w:val="31D5284E"/>
    <w:rsid w:val="31DE5819"/>
    <w:rsid w:val="31E16592"/>
    <w:rsid w:val="31ED7581"/>
    <w:rsid w:val="31F66E14"/>
    <w:rsid w:val="32005ACC"/>
    <w:rsid w:val="3220530C"/>
    <w:rsid w:val="3223347D"/>
    <w:rsid w:val="32261847"/>
    <w:rsid w:val="322748ED"/>
    <w:rsid w:val="32342B66"/>
    <w:rsid w:val="325B2476"/>
    <w:rsid w:val="32650616"/>
    <w:rsid w:val="32662482"/>
    <w:rsid w:val="326A6587"/>
    <w:rsid w:val="32751AC7"/>
    <w:rsid w:val="32783D94"/>
    <w:rsid w:val="327C2C35"/>
    <w:rsid w:val="327D62BB"/>
    <w:rsid w:val="32803FFD"/>
    <w:rsid w:val="32921C0D"/>
    <w:rsid w:val="32AB72CC"/>
    <w:rsid w:val="32B5685D"/>
    <w:rsid w:val="32BC4F26"/>
    <w:rsid w:val="32C739DA"/>
    <w:rsid w:val="32CC3348"/>
    <w:rsid w:val="32D07FAF"/>
    <w:rsid w:val="32D2239F"/>
    <w:rsid w:val="32E20814"/>
    <w:rsid w:val="32EC7C02"/>
    <w:rsid w:val="32F102F8"/>
    <w:rsid w:val="32F73C65"/>
    <w:rsid w:val="32FE5E50"/>
    <w:rsid w:val="3302598D"/>
    <w:rsid w:val="330848BD"/>
    <w:rsid w:val="330F0752"/>
    <w:rsid w:val="33184C59"/>
    <w:rsid w:val="33252E95"/>
    <w:rsid w:val="33376CAB"/>
    <w:rsid w:val="333C1E53"/>
    <w:rsid w:val="333D275E"/>
    <w:rsid w:val="33424F22"/>
    <w:rsid w:val="3348686B"/>
    <w:rsid w:val="33523CD4"/>
    <w:rsid w:val="33525C25"/>
    <w:rsid w:val="335A3660"/>
    <w:rsid w:val="33605584"/>
    <w:rsid w:val="336202FE"/>
    <w:rsid w:val="336A1F34"/>
    <w:rsid w:val="3372775D"/>
    <w:rsid w:val="337E5A99"/>
    <w:rsid w:val="33835A63"/>
    <w:rsid w:val="338702EB"/>
    <w:rsid w:val="33890C8F"/>
    <w:rsid w:val="33937FCD"/>
    <w:rsid w:val="33AD5E70"/>
    <w:rsid w:val="33B73A4E"/>
    <w:rsid w:val="33C25478"/>
    <w:rsid w:val="33CE41EA"/>
    <w:rsid w:val="33E0763E"/>
    <w:rsid w:val="33E939F0"/>
    <w:rsid w:val="33EE4D89"/>
    <w:rsid w:val="33F14EC4"/>
    <w:rsid w:val="33F42776"/>
    <w:rsid w:val="33FC5905"/>
    <w:rsid w:val="34036C94"/>
    <w:rsid w:val="34082DBE"/>
    <w:rsid w:val="3409704A"/>
    <w:rsid w:val="342A2BDE"/>
    <w:rsid w:val="344778AF"/>
    <w:rsid w:val="34531AED"/>
    <w:rsid w:val="345416B0"/>
    <w:rsid w:val="345968B4"/>
    <w:rsid w:val="3461796F"/>
    <w:rsid w:val="346368C0"/>
    <w:rsid w:val="34684AC9"/>
    <w:rsid w:val="34901738"/>
    <w:rsid w:val="34903D06"/>
    <w:rsid w:val="34B37039"/>
    <w:rsid w:val="34BA1A48"/>
    <w:rsid w:val="34CB3DEF"/>
    <w:rsid w:val="34DD71CF"/>
    <w:rsid w:val="34E44041"/>
    <w:rsid w:val="34E930D4"/>
    <w:rsid w:val="3502780C"/>
    <w:rsid w:val="354762A3"/>
    <w:rsid w:val="35531555"/>
    <w:rsid w:val="355602CA"/>
    <w:rsid w:val="355E5AD1"/>
    <w:rsid w:val="355F05F7"/>
    <w:rsid w:val="35645465"/>
    <w:rsid w:val="35675000"/>
    <w:rsid w:val="35704336"/>
    <w:rsid w:val="3574650D"/>
    <w:rsid w:val="357C0DFF"/>
    <w:rsid w:val="358A6D33"/>
    <w:rsid w:val="358E45A4"/>
    <w:rsid w:val="35942A31"/>
    <w:rsid w:val="359524CD"/>
    <w:rsid w:val="35972FB6"/>
    <w:rsid w:val="35990BBC"/>
    <w:rsid w:val="35A16CA0"/>
    <w:rsid w:val="35AB1868"/>
    <w:rsid w:val="35B10E83"/>
    <w:rsid w:val="35B2271F"/>
    <w:rsid w:val="35B2561E"/>
    <w:rsid w:val="35B91D1C"/>
    <w:rsid w:val="35BA1300"/>
    <w:rsid w:val="35C66F06"/>
    <w:rsid w:val="35DA2474"/>
    <w:rsid w:val="35DC6811"/>
    <w:rsid w:val="35E36E62"/>
    <w:rsid w:val="35E623C9"/>
    <w:rsid w:val="35E72136"/>
    <w:rsid w:val="35E9398C"/>
    <w:rsid w:val="35F745D6"/>
    <w:rsid w:val="35F86FB9"/>
    <w:rsid w:val="35F965A0"/>
    <w:rsid w:val="361E39C6"/>
    <w:rsid w:val="362B7D2A"/>
    <w:rsid w:val="36313DE8"/>
    <w:rsid w:val="3631642F"/>
    <w:rsid w:val="36316976"/>
    <w:rsid w:val="36463A3F"/>
    <w:rsid w:val="3648318B"/>
    <w:rsid w:val="36491FF1"/>
    <w:rsid w:val="36601499"/>
    <w:rsid w:val="366559E4"/>
    <w:rsid w:val="367E0621"/>
    <w:rsid w:val="36837AF7"/>
    <w:rsid w:val="368F6A77"/>
    <w:rsid w:val="369243FC"/>
    <w:rsid w:val="36951609"/>
    <w:rsid w:val="36A43AAF"/>
    <w:rsid w:val="36AD2EE7"/>
    <w:rsid w:val="36AD46A8"/>
    <w:rsid w:val="36BB1AA7"/>
    <w:rsid w:val="36C46172"/>
    <w:rsid w:val="36C53422"/>
    <w:rsid w:val="36D3294D"/>
    <w:rsid w:val="36D941A3"/>
    <w:rsid w:val="36E1043B"/>
    <w:rsid w:val="36E57023"/>
    <w:rsid w:val="36E7464B"/>
    <w:rsid w:val="36F26783"/>
    <w:rsid w:val="36FB35E6"/>
    <w:rsid w:val="36FC68AE"/>
    <w:rsid w:val="37056947"/>
    <w:rsid w:val="371A1B14"/>
    <w:rsid w:val="372746D5"/>
    <w:rsid w:val="37321D6A"/>
    <w:rsid w:val="37362EDC"/>
    <w:rsid w:val="373873CF"/>
    <w:rsid w:val="37402BFA"/>
    <w:rsid w:val="3740575F"/>
    <w:rsid w:val="37470889"/>
    <w:rsid w:val="3751011F"/>
    <w:rsid w:val="375B2943"/>
    <w:rsid w:val="37607098"/>
    <w:rsid w:val="37663165"/>
    <w:rsid w:val="3767333E"/>
    <w:rsid w:val="376801E4"/>
    <w:rsid w:val="376D1AF6"/>
    <w:rsid w:val="37710A6C"/>
    <w:rsid w:val="37722F84"/>
    <w:rsid w:val="377A47B6"/>
    <w:rsid w:val="37812F1C"/>
    <w:rsid w:val="37895702"/>
    <w:rsid w:val="37974803"/>
    <w:rsid w:val="379B005C"/>
    <w:rsid w:val="379E79EA"/>
    <w:rsid w:val="379F0A81"/>
    <w:rsid w:val="37A10C9D"/>
    <w:rsid w:val="37AA4DAD"/>
    <w:rsid w:val="37AE3ACE"/>
    <w:rsid w:val="37BB4B7A"/>
    <w:rsid w:val="37BB73F9"/>
    <w:rsid w:val="37BD7791"/>
    <w:rsid w:val="37C91033"/>
    <w:rsid w:val="37D304DF"/>
    <w:rsid w:val="37D775F0"/>
    <w:rsid w:val="37DF17C6"/>
    <w:rsid w:val="37EF7C5B"/>
    <w:rsid w:val="37FF51B1"/>
    <w:rsid w:val="3803511D"/>
    <w:rsid w:val="38103F86"/>
    <w:rsid w:val="381734BB"/>
    <w:rsid w:val="381B29F1"/>
    <w:rsid w:val="383474A1"/>
    <w:rsid w:val="38364765"/>
    <w:rsid w:val="383A5F39"/>
    <w:rsid w:val="383C5D68"/>
    <w:rsid w:val="38475433"/>
    <w:rsid w:val="384C5736"/>
    <w:rsid w:val="38565DFE"/>
    <w:rsid w:val="38630020"/>
    <w:rsid w:val="38646B69"/>
    <w:rsid w:val="38650022"/>
    <w:rsid w:val="386A4529"/>
    <w:rsid w:val="38743CBC"/>
    <w:rsid w:val="38883C0B"/>
    <w:rsid w:val="38894016"/>
    <w:rsid w:val="389616C1"/>
    <w:rsid w:val="38B1533B"/>
    <w:rsid w:val="38C369F1"/>
    <w:rsid w:val="38C61C36"/>
    <w:rsid w:val="38CA2718"/>
    <w:rsid w:val="38CC3A47"/>
    <w:rsid w:val="38CD7870"/>
    <w:rsid w:val="38CE7462"/>
    <w:rsid w:val="38D40BFF"/>
    <w:rsid w:val="38DE2433"/>
    <w:rsid w:val="38E31684"/>
    <w:rsid w:val="38EE3573"/>
    <w:rsid w:val="38F82B3F"/>
    <w:rsid w:val="390908A8"/>
    <w:rsid w:val="39112206"/>
    <w:rsid w:val="392E14BD"/>
    <w:rsid w:val="39375DA2"/>
    <w:rsid w:val="39396C5E"/>
    <w:rsid w:val="393B568A"/>
    <w:rsid w:val="393C6ED0"/>
    <w:rsid w:val="394C1FD9"/>
    <w:rsid w:val="39545A8F"/>
    <w:rsid w:val="39766653"/>
    <w:rsid w:val="397B069D"/>
    <w:rsid w:val="397E32D1"/>
    <w:rsid w:val="39840D88"/>
    <w:rsid w:val="3986014B"/>
    <w:rsid w:val="398A5FE3"/>
    <w:rsid w:val="398D772B"/>
    <w:rsid w:val="39913642"/>
    <w:rsid w:val="399817B6"/>
    <w:rsid w:val="39987CFB"/>
    <w:rsid w:val="39994C6C"/>
    <w:rsid w:val="399B34CA"/>
    <w:rsid w:val="39A34BE9"/>
    <w:rsid w:val="39BA7805"/>
    <w:rsid w:val="39C34163"/>
    <w:rsid w:val="39C83B61"/>
    <w:rsid w:val="39C944DB"/>
    <w:rsid w:val="39CD0B85"/>
    <w:rsid w:val="39DE45DC"/>
    <w:rsid w:val="39E63AD4"/>
    <w:rsid w:val="39EA57FE"/>
    <w:rsid w:val="39EE5CF0"/>
    <w:rsid w:val="3A064D62"/>
    <w:rsid w:val="3A0A7F06"/>
    <w:rsid w:val="3A20743E"/>
    <w:rsid w:val="3A293645"/>
    <w:rsid w:val="3A2B484E"/>
    <w:rsid w:val="3A414072"/>
    <w:rsid w:val="3A4238FE"/>
    <w:rsid w:val="3A487489"/>
    <w:rsid w:val="3A4D6EBA"/>
    <w:rsid w:val="3A531AA4"/>
    <w:rsid w:val="3A5913BB"/>
    <w:rsid w:val="3A59760D"/>
    <w:rsid w:val="3A5E0C67"/>
    <w:rsid w:val="3A6B10EF"/>
    <w:rsid w:val="3A6C60E7"/>
    <w:rsid w:val="3A7A5FB0"/>
    <w:rsid w:val="3A7C1FEB"/>
    <w:rsid w:val="3A852E48"/>
    <w:rsid w:val="3A867BB1"/>
    <w:rsid w:val="3A944414"/>
    <w:rsid w:val="3AA007DD"/>
    <w:rsid w:val="3AB855AB"/>
    <w:rsid w:val="3AB94550"/>
    <w:rsid w:val="3AC84793"/>
    <w:rsid w:val="3ACB3C77"/>
    <w:rsid w:val="3ACB7DB4"/>
    <w:rsid w:val="3AD53D7A"/>
    <w:rsid w:val="3AE113B1"/>
    <w:rsid w:val="3AE242B7"/>
    <w:rsid w:val="3AE30D1F"/>
    <w:rsid w:val="3AE666AB"/>
    <w:rsid w:val="3AEB772C"/>
    <w:rsid w:val="3B0B37BF"/>
    <w:rsid w:val="3B0E03F8"/>
    <w:rsid w:val="3B1A4171"/>
    <w:rsid w:val="3B2E4F1D"/>
    <w:rsid w:val="3B363AF5"/>
    <w:rsid w:val="3B3659B5"/>
    <w:rsid w:val="3B3911ED"/>
    <w:rsid w:val="3B3F14FF"/>
    <w:rsid w:val="3B49473B"/>
    <w:rsid w:val="3B4A51A8"/>
    <w:rsid w:val="3B5079DD"/>
    <w:rsid w:val="3B735FA9"/>
    <w:rsid w:val="3B747A46"/>
    <w:rsid w:val="3B790561"/>
    <w:rsid w:val="3B883941"/>
    <w:rsid w:val="3B9B5A04"/>
    <w:rsid w:val="3BA30068"/>
    <w:rsid w:val="3BAF6872"/>
    <w:rsid w:val="3BBA498D"/>
    <w:rsid w:val="3BCB453B"/>
    <w:rsid w:val="3BCC188A"/>
    <w:rsid w:val="3BD35983"/>
    <w:rsid w:val="3BDF7FE6"/>
    <w:rsid w:val="3BEE0229"/>
    <w:rsid w:val="3C046AB8"/>
    <w:rsid w:val="3C1A68AD"/>
    <w:rsid w:val="3C2854E9"/>
    <w:rsid w:val="3C521EC1"/>
    <w:rsid w:val="3C5474A8"/>
    <w:rsid w:val="3C55556E"/>
    <w:rsid w:val="3C584BC8"/>
    <w:rsid w:val="3C6109FB"/>
    <w:rsid w:val="3C634773"/>
    <w:rsid w:val="3C6A586A"/>
    <w:rsid w:val="3C74072E"/>
    <w:rsid w:val="3C7544A7"/>
    <w:rsid w:val="3C77021F"/>
    <w:rsid w:val="3C770992"/>
    <w:rsid w:val="3C7B443A"/>
    <w:rsid w:val="3C7E1ADE"/>
    <w:rsid w:val="3C7E28A1"/>
    <w:rsid w:val="3CA44806"/>
    <w:rsid w:val="3CAC3801"/>
    <w:rsid w:val="3CB13731"/>
    <w:rsid w:val="3CB27178"/>
    <w:rsid w:val="3CC80A7A"/>
    <w:rsid w:val="3CCA576C"/>
    <w:rsid w:val="3CD302BD"/>
    <w:rsid w:val="3CD464E2"/>
    <w:rsid w:val="3CE3288A"/>
    <w:rsid w:val="3CF87E2B"/>
    <w:rsid w:val="3CFF6BC3"/>
    <w:rsid w:val="3D05145C"/>
    <w:rsid w:val="3D0B4C75"/>
    <w:rsid w:val="3D0D40C6"/>
    <w:rsid w:val="3D1A28F0"/>
    <w:rsid w:val="3D1E7491"/>
    <w:rsid w:val="3D1F2EFC"/>
    <w:rsid w:val="3D2046A7"/>
    <w:rsid w:val="3D3C7F26"/>
    <w:rsid w:val="3D4C791B"/>
    <w:rsid w:val="3D51672B"/>
    <w:rsid w:val="3D6165EF"/>
    <w:rsid w:val="3D6F7012"/>
    <w:rsid w:val="3D78574A"/>
    <w:rsid w:val="3D793B23"/>
    <w:rsid w:val="3D862135"/>
    <w:rsid w:val="3D8C7CFA"/>
    <w:rsid w:val="3D9B1CEB"/>
    <w:rsid w:val="3D9B4A8B"/>
    <w:rsid w:val="3D9B6278"/>
    <w:rsid w:val="3D9F44FE"/>
    <w:rsid w:val="3DA5408D"/>
    <w:rsid w:val="3DB757EC"/>
    <w:rsid w:val="3DB80AEF"/>
    <w:rsid w:val="3DB87CE5"/>
    <w:rsid w:val="3DD71A5A"/>
    <w:rsid w:val="3DD93DC6"/>
    <w:rsid w:val="3DDD2B62"/>
    <w:rsid w:val="3DDE7904"/>
    <w:rsid w:val="3DE532E4"/>
    <w:rsid w:val="3DEB09D2"/>
    <w:rsid w:val="3DF35217"/>
    <w:rsid w:val="3DF405BF"/>
    <w:rsid w:val="3DF85882"/>
    <w:rsid w:val="3DFB09DB"/>
    <w:rsid w:val="3DFB7C8D"/>
    <w:rsid w:val="3DFF68B7"/>
    <w:rsid w:val="3E0005D9"/>
    <w:rsid w:val="3E2D363E"/>
    <w:rsid w:val="3E30297A"/>
    <w:rsid w:val="3E325602"/>
    <w:rsid w:val="3E3D2DA2"/>
    <w:rsid w:val="3E3E6A62"/>
    <w:rsid w:val="3E410389"/>
    <w:rsid w:val="3E471E87"/>
    <w:rsid w:val="3E4E4FAF"/>
    <w:rsid w:val="3E562AFE"/>
    <w:rsid w:val="3E66798A"/>
    <w:rsid w:val="3E6E1FE1"/>
    <w:rsid w:val="3E6E42C4"/>
    <w:rsid w:val="3E7061DA"/>
    <w:rsid w:val="3E7B0936"/>
    <w:rsid w:val="3E9A0C3B"/>
    <w:rsid w:val="3EA868D8"/>
    <w:rsid w:val="3EAD617A"/>
    <w:rsid w:val="3EAD783C"/>
    <w:rsid w:val="3EB3176E"/>
    <w:rsid w:val="3EB566E4"/>
    <w:rsid w:val="3EBC63BD"/>
    <w:rsid w:val="3EC4192D"/>
    <w:rsid w:val="3EC64A98"/>
    <w:rsid w:val="3ED3595E"/>
    <w:rsid w:val="3ED96546"/>
    <w:rsid w:val="3F034F7D"/>
    <w:rsid w:val="3F073C05"/>
    <w:rsid w:val="3F0A508C"/>
    <w:rsid w:val="3F106E07"/>
    <w:rsid w:val="3F13143C"/>
    <w:rsid w:val="3F140668"/>
    <w:rsid w:val="3F171A54"/>
    <w:rsid w:val="3F19736B"/>
    <w:rsid w:val="3F1C50AD"/>
    <w:rsid w:val="3F1E7077"/>
    <w:rsid w:val="3F1E7717"/>
    <w:rsid w:val="3F21432B"/>
    <w:rsid w:val="3F226A58"/>
    <w:rsid w:val="3F283786"/>
    <w:rsid w:val="3F2C7366"/>
    <w:rsid w:val="3F2D72BA"/>
    <w:rsid w:val="3F327BFC"/>
    <w:rsid w:val="3F58064E"/>
    <w:rsid w:val="3F595BD8"/>
    <w:rsid w:val="3F5A27C7"/>
    <w:rsid w:val="3F5C719E"/>
    <w:rsid w:val="3F5D76A8"/>
    <w:rsid w:val="3F7153F9"/>
    <w:rsid w:val="3F993E94"/>
    <w:rsid w:val="3F996C3C"/>
    <w:rsid w:val="3F9D7F9C"/>
    <w:rsid w:val="3FA2524A"/>
    <w:rsid w:val="3FA441BB"/>
    <w:rsid w:val="3FB6105E"/>
    <w:rsid w:val="3FBF6165"/>
    <w:rsid w:val="3FC34A7F"/>
    <w:rsid w:val="3FDA4298"/>
    <w:rsid w:val="3FDA4D4C"/>
    <w:rsid w:val="3FDA649D"/>
    <w:rsid w:val="3FDD65EB"/>
    <w:rsid w:val="3FE572FD"/>
    <w:rsid w:val="3FEB30EF"/>
    <w:rsid w:val="3FF0349A"/>
    <w:rsid w:val="3FF10566"/>
    <w:rsid w:val="3FFA447F"/>
    <w:rsid w:val="40073668"/>
    <w:rsid w:val="40085349"/>
    <w:rsid w:val="400A0A32"/>
    <w:rsid w:val="40260664"/>
    <w:rsid w:val="40325BE8"/>
    <w:rsid w:val="40385F17"/>
    <w:rsid w:val="40426075"/>
    <w:rsid w:val="404B1A30"/>
    <w:rsid w:val="405D5A4A"/>
    <w:rsid w:val="4061721C"/>
    <w:rsid w:val="40737E3D"/>
    <w:rsid w:val="407A7C29"/>
    <w:rsid w:val="408176C6"/>
    <w:rsid w:val="40866C82"/>
    <w:rsid w:val="40A11D0E"/>
    <w:rsid w:val="40A239FF"/>
    <w:rsid w:val="40A86016"/>
    <w:rsid w:val="40B74574"/>
    <w:rsid w:val="40BF5278"/>
    <w:rsid w:val="40CB0B39"/>
    <w:rsid w:val="40CB28E7"/>
    <w:rsid w:val="40CD500B"/>
    <w:rsid w:val="40D02772"/>
    <w:rsid w:val="40D7128C"/>
    <w:rsid w:val="40E73CCE"/>
    <w:rsid w:val="40E8128B"/>
    <w:rsid w:val="40ED524B"/>
    <w:rsid w:val="40EE4357"/>
    <w:rsid w:val="40EF4F19"/>
    <w:rsid w:val="40F405DB"/>
    <w:rsid w:val="40FA4F7A"/>
    <w:rsid w:val="4102658E"/>
    <w:rsid w:val="410A1661"/>
    <w:rsid w:val="411D2006"/>
    <w:rsid w:val="4123752C"/>
    <w:rsid w:val="412E553F"/>
    <w:rsid w:val="41301ECD"/>
    <w:rsid w:val="41344D60"/>
    <w:rsid w:val="413761CE"/>
    <w:rsid w:val="41391F47"/>
    <w:rsid w:val="41395AA3"/>
    <w:rsid w:val="414D59F2"/>
    <w:rsid w:val="415847E4"/>
    <w:rsid w:val="41586F05"/>
    <w:rsid w:val="415E5BCD"/>
    <w:rsid w:val="416256FD"/>
    <w:rsid w:val="41635215"/>
    <w:rsid w:val="41664FDC"/>
    <w:rsid w:val="41672504"/>
    <w:rsid w:val="416D399E"/>
    <w:rsid w:val="4175255B"/>
    <w:rsid w:val="41792343"/>
    <w:rsid w:val="417A54B6"/>
    <w:rsid w:val="4183013A"/>
    <w:rsid w:val="419B050B"/>
    <w:rsid w:val="41A00AAE"/>
    <w:rsid w:val="41AA2E44"/>
    <w:rsid w:val="41AE53F2"/>
    <w:rsid w:val="41BE5866"/>
    <w:rsid w:val="41C932CA"/>
    <w:rsid w:val="41D74049"/>
    <w:rsid w:val="41DA0D7F"/>
    <w:rsid w:val="41E02457"/>
    <w:rsid w:val="41E2138A"/>
    <w:rsid w:val="41F179AA"/>
    <w:rsid w:val="41F92AC6"/>
    <w:rsid w:val="41FE7452"/>
    <w:rsid w:val="420332BF"/>
    <w:rsid w:val="42073526"/>
    <w:rsid w:val="421760DD"/>
    <w:rsid w:val="42215ABE"/>
    <w:rsid w:val="422700C9"/>
    <w:rsid w:val="423D59E3"/>
    <w:rsid w:val="425132C0"/>
    <w:rsid w:val="42514453"/>
    <w:rsid w:val="4258538B"/>
    <w:rsid w:val="425F59DD"/>
    <w:rsid w:val="4262727B"/>
    <w:rsid w:val="426819A3"/>
    <w:rsid w:val="427C0D74"/>
    <w:rsid w:val="42857E46"/>
    <w:rsid w:val="42A81132"/>
    <w:rsid w:val="42AB15F5"/>
    <w:rsid w:val="42AD0C0B"/>
    <w:rsid w:val="42B0114E"/>
    <w:rsid w:val="42B559E3"/>
    <w:rsid w:val="42C63326"/>
    <w:rsid w:val="42D66C73"/>
    <w:rsid w:val="42ED4D97"/>
    <w:rsid w:val="42F51E9D"/>
    <w:rsid w:val="42F8373B"/>
    <w:rsid w:val="42FA6297"/>
    <w:rsid w:val="42FA74B4"/>
    <w:rsid w:val="42FD139D"/>
    <w:rsid w:val="430626EE"/>
    <w:rsid w:val="430A7DB9"/>
    <w:rsid w:val="43164368"/>
    <w:rsid w:val="431A7B56"/>
    <w:rsid w:val="43357D2F"/>
    <w:rsid w:val="4365035E"/>
    <w:rsid w:val="436552FB"/>
    <w:rsid w:val="43673B65"/>
    <w:rsid w:val="43712331"/>
    <w:rsid w:val="43743CAC"/>
    <w:rsid w:val="43761230"/>
    <w:rsid w:val="4378186B"/>
    <w:rsid w:val="439B0C97"/>
    <w:rsid w:val="439D4A0F"/>
    <w:rsid w:val="43A572B1"/>
    <w:rsid w:val="43AC6A00"/>
    <w:rsid w:val="43AE09CA"/>
    <w:rsid w:val="43BA373D"/>
    <w:rsid w:val="43C22475"/>
    <w:rsid w:val="43D95701"/>
    <w:rsid w:val="43DD09DA"/>
    <w:rsid w:val="43E37623"/>
    <w:rsid w:val="43EB5609"/>
    <w:rsid w:val="44056110"/>
    <w:rsid w:val="440F5960"/>
    <w:rsid w:val="441851BC"/>
    <w:rsid w:val="442E202A"/>
    <w:rsid w:val="44350DF0"/>
    <w:rsid w:val="444524CD"/>
    <w:rsid w:val="444969E0"/>
    <w:rsid w:val="444B7A63"/>
    <w:rsid w:val="444E2555"/>
    <w:rsid w:val="445379BA"/>
    <w:rsid w:val="445A569D"/>
    <w:rsid w:val="445F7F77"/>
    <w:rsid w:val="4464552C"/>
    <w:rsid w:val="44680F5F"/>
    <w:rsid w:val="447467CE"/>
    <w:rsid w:val="447F04A4"/>
    <w:rsid w:val="447F1511"/>
    <w:rsid w:val="448C69A2"/>
    <w:rsid w:val="44A66CC7"/>
    <w:rsid w:val="44A8366B"/>
    <w:rsid w:val="44AA5C4C"/>
    <w:rsid w:val="44B10046"/>
    <w:rsid w:val="44B149D9"/>
    <w:rsid w:val="44B50B15"/>
    <w:rsid w:val="44BA52EA"/>
    <w:rsid w:val="44BB1A8F"/>
    <w:rsid w:val="44C15265"/>
    <w:rsid w:val="44C305C3"/>
    <w:rsid w:val="44C46A5D"/>
    <w:rsid w:val="44E46C23"/>
    <w:rsid w:val="44EB4703"/>
    <w:rsid w:val="44F3705A"/>
    <w:rsid w:val="44F40833"/>
    <w:rsid w:val="4504168A"/>
    <w:rsid w:val="451340A1"/>
    <w:rsid w:val="45157B58"/>
    <w:rsid w:val="451A036B"/>
    <w:rsid w:val="45283D26"/>
    <w:rsid w:val="452D53E2"/>
    <w:rsid w:val="452E51D1"/>
    <w:rsid w:val="45335905"/>
    <w:rsid w:val="45352A25"/>
    <w:rsid w:val="45504AAF"/>
    <w:rsid w:val="455D0F3D"/>
    <w:rsid w:val="45705827"/>
    <w:rsid w:val="457F4319"/>
    <w:rsid w:val="458319E2"/>
    <w:rsid w:val="45844370"/>
    <w:rsid w:val="458D0114"/>
    <w:rsid w:val="459C25C3"/>
    <w:rsid w:val="45A22C16"/>
    <w:rsid w:val="45B1582F"/>
    <w:rsid w:val="45B730A1"/>
    <w:rsid w:val="45B85DCE"/>
    <w:rsid w:val="45B95404"/>
    <w:rsid w:val="45BF6144"/>
    <w:rsid w:val="45D278FC"/>
    <w:rsid w:val="45DF2DEA"/>
    <w:rsid w:val="45E67226"/>
    <w:rsid w:val="45E95430"/>
    <w:rsid w:val="45EA380F"/>
    <w:rsid w:val="45EA7CB3"/>
    <w:rsid w:val="45F428E0"/>
    <w:rsid w:val="45F85F95"/>
    <w:rsid w:val="46043434"/>
    <w:rsid w:val="46063A88"/>
    <w:rsid w:val="460D32B2"/>
    <w:rsid w:val="461A0599"/>
    <w:rsid w:val="461A78FB"/>
    <w:rsid w:val="461E4A09"/>
    <w:rsid w:val="46285647"/>
    <w:rsid w:val="462B636B"/>
    <w:rsid w:val="46346220"/>
    <w:rsid w:val="463C4944"/>
    <w:rsid w:val="463E5DCF"/>
    <w:rsid w:val="46410F44"/>
    <w:rsid w:val="464D7F66"/>
    <w:rsid w:val="46517D32"/>
    <w:rsid w:val="46587755"/>
    <w:rsid w:val="465B3DE9"/>
    <w:rsid w:val="466703CF"/>
    <w:rsid w:val="466709DA"/>
    <w:rsid w:val="466B72C8"/>
    <w:rsid w:val="467C2917"/>
    <w:rsid w:val="467C776C"/>
    <w:rsid w:val="46880AB7"/>
    <w:rsid w:val="468F7E7E"/>
    <w:rsid w:val="469F45FA"/>
    <w:rsid w:val="46A563CA"/>
    <w:rsid w:val="46AB7A83"/>
    <w:rsid w:val="46AD0D93"/>
    <w:rsid w:val="46BB3636"/>
    <w:rsid w:val="46CE6D64"/>
    <w:rsid w:val="46D36999"/>
    <w:rsid w:val="46D87369"/>
    <w:rsid w:val="46DC547A"/>
    <w:rsid w:val="46DD3374"/>
    <w:rsid w:val="46E76086"/>
    <w:rsid w:val="46EF0CA7"/>
    <w:rsid w:val="46F661E4"/>
    <w:rsid w:val="46F96400"/>
    <w:rsid w:val="4701287B"/>
    <w:rsid w:val="47125A7B"/>
    <w:rsid w:val="47142491"/>
    <w:rsid w:val="47197F94"/>
    <w:rsid w:val="472326E6"/>
    <w:rsid w:val="47266AC9"/>
    <w:rsid w:val="47296B28"/>
    <w:rsid w:val="472A1A6D"/>
    <w:rsid w:val="472D7E58"/>
    <w:rsid w:val="47341D77"/>
    <w:rsid w:val="473C009B"/>
    <w:rsid w:val="473F6369"/>
    <w:rsid w:val="474721CA"/>
    <w:rsid w:val="474F6C2B"/>
    <w:rsid w:val="475C2CCB"/>
    <w:rsid w:val="475F648B"/>
    <w:rsid w:val="4787223F"/>
    <w:rsid w:val="47893343"/>
    <w:rsid w:val="47925F0D"/>
    <w:rsid w:val="47997CE8"/>
    <w:rsid w:val="479B1265"/>
    <w:rsid w:val="479E7803"/>
    <w:rsid w:val="47A451B0"/>
    <w:rsid w:val="47A706D7"/>
    <w:rsid w:val="47A93BD6"/>
    <w:rsid w:val="47B24801"/>
    <w:rsid w:val="47B7364D"/>
    <w:rsid w:val="47B878BC"/>
    <w:rsid w:val="47B93050"/>
    <w:rsid w:val="47C23E75"/>
    <w:rsid w:val="47C7286C"/>
    <w:rsid w:val="47E13263"/>
    <w:rsid w:val="47E67DB9"/>
    <w:rsid w:val="47EA54A7"/>
    <w:rsid w:val="47EB386F"/>
    <w:rsid w:val="47F00E85"/>
    <w:rsid w:val="47F21FD2"/>
    <w:rsid w:val="47F73F4D"/>
    <w:rsid w:val="47F95F8C"/>
    <w:rsid w:val="47FF254F"/>
    <w:rsid w:val="480C405E"/>
    <w:rsid w:val="4811172D"/>
    <w:rsid w:val="481E37A7"/>
    <w:rsid w:val="48256D81"/>
    <w:rsid w:val="482B0439"/>
    <w:rsid w:val="4832149E"/>
    <w:rsid w:val="484C07B1"/>
    <w:rsid w:val="485C1EAE"/>
    <w:rsid w:val="485E6440"/>
    <w:rsid w:val="48776C75"/>
    <w:rsid w:val="48790E7B"/>
    <w:rsid w:val="487B62E9"/>
    <w:rsid w:val="487C2BEB"/>
    <w:rsid w:val="487E34BB"/>
    <w:rsid w:val="488A47F9"/>
    <w:rsid w:val="488F0468"/>
    <w:rsid w:val="48944B28"/>
    <w:rsid w:val="48964848"/>
    <w:rsid w:val="489D4B4A"/>
    <w:rsid w:val="48A30658"/>
    <w:rsid w:val="48A37033"/>
    <w:rsid w:val="48A979B2"/>
    <w:rsid w:val="48AC74A2"/>
    <w:rsid w:val="48BA065B"/>
    <w:rsid w:val="48C453B7"/>
    <w:rsid w:val="48D04F3E"/>
    <w:rsid w:val="48DC68EF"/>
    <w:rsid w:val="48EC789E"/>
    <w:rsid w:val="48F055E1"/>
    <w:rsid w:val="48F41178"/>
    <w:rsid w:val="48F67086"/>
    <w:rsid w:val="48FB5C01"/>
    <w:rsid w:val="48FD053D"/>
    <w:rsid w:val="490F0A19"/>
    <w:rsid w:val="49310757"/>
    <w:rsid w:val="4933371F"/>
    <w:rsid w:val="49343E91"/>
    <w:rsid w:val="49496F41"/>
    <w:rsid w:val="4950737B"/>
    <w:rsid w:val="49654C22"/>
    <w:rsid w:val="49657A93"/>
    <w:rsid w:val="49697163"/>
    <w:rsid w:val="49761BAB"/>
    <w:rsid w:val="49772732"/>
    <w:rsid w:val="49774471"/>
    <w:rsid w:val="497C64F8"/>
    <w:rsid w:val="49876C54"/>
    <w:rsid w:val="49935F6C"/>
    <w:rsid w:val="49936CF5"/>
    <w:rsid w:val="499C3073"/>
    <w:rsid w:val="499D4EF1"/>
    <w:rsid w:val="49C36851"/>
    <w:rsid w:val="49C425C9"/>
    <w:rsid w:val="49D60A6E"/>
    <w:rsid w:val="49E113CD"/>
    <w:rsid w:val="49E20DDD"/>
    <w:rsid w:val="49FD09CC"/>
    <w:rsid w:val="4A0B0741"/>
    <w:rsid w:val="4A136C58"/>
    <w:rsid w:val="4A1474E6"/>
    <w:rsid w:val="4A1523A3"/>
    <w:rsid w:val="4A15390F"/>
    <w:rsid w:val="4A160FCB"/>
    <w:rsid w:val="4A1B48DF"/>
    <w:rsid w:val="4A201EF6"/>
    <w:rsid w:val="4A2C57D4"/>
    <w:rsid w:val="4A314103"/>
    <w:rsid w:val="4A361719"/>
    <w:rsid w:val="4A4C4A99"/>
    <w:rsid w:val="4A4D0023"/>
    <w:rsid w:val="4A4F4352"/>
    <w:rsid w:val="4A735A25"/>
    <w:rsid w:val="4A800BE6"/>
    <w:rsid w:val="4A9640C4"/>
    <w:rsid w:val="4A9D52F4"/>
    <w:rsid w:val="4AA1196B"/>
    <w:rsid w:val="4ABB463C"/>
    <w:rsid w:val="4AC53A1C"/>
    <w:rsid w:val="4AE271AB"/>
    <w:rsid w:val="4AE56B2F"/>
    <w:rsid w:val="4AE747C1"/>
    <w:rsid w:val="4AED2B9F"/>
    <w:rsid w:val="4AF550CA"/>
    <w:rsid w:val="4AF650F6"/>
    <w:rsid w:val="4B0079F6"/>
    <w:rsid w:val="4B0E4466"/>
    <w:rsid w:val="4B126936"/>
    <w:rsid w:val="4B2F5302"/>
    <w:rsid w:val="4B3235F6"/>
    <w:rsid w:val="4B34523B"/>
    <w:rsid w:val="4B4439C2"/>
    <w:rsid w:val="4B6202EC"/>
    <w:rsid w:val="4B621ED4"/>
    <w:rsid w:val="4B68789B"/>
    <w:rsid w:val="4B6B6DCB"/>
    <w:rsid w:val="4B766BC4"/>
    <w:rsid w:val="4B7A01D3"/>
    <w:rsid w:val="4B810E77"/>
    <w:rsid w:val="4B8625D1"/>
    <w:rsid w:val="4B8D7717"/>
    <w:rsid w:val="4B8E7492"/>
    <w:rsid w:val="4B910F80"/>
    <w:rsid w:val="4B95246F"/>
    <w:rsid w:val="4BA206E8"/>
    <w:rsid w:val="4BBE3774"/>
    <w:rsid w:val="4BC13264"/>
    <w:rsid w:val="4BE10592"/>
    <w:rsid w:val="4BE34F89"/>
    <w:rsid w:val="4BE8259F"/>
    <w:rsid w:val="4C066EC9"/>
    <w:rsid w:val="4C0849EF"/>
    <w:rsid w:val="4C0923FD"/>
    <w:rsid w:val="4C0A0767"/>
    <w:rsid w:val="4C1E5A21"/>
    <w:rsid w:val="4C2230C5"/>
    <w:rsid w:val="4C264DD4"/>
    <w:rsid w:val="4C270417"/>
    <w:rsid w:val="4C303F51"/>
    <w:rsid w:val="4C410834"/>
    <w:rsid w:val="4C533E3C"/>
    <w:rsid w:val="4C53408B"/>
    <w:rsid w:val="4C545A2D"/>
    <w:rsid w:val="4C657C0A"/>
    <w:rsid w:val="4C6A05F0"/>
    <w:rsid w:val="4C6A1126"/>
    <w:rsid w:val="4C74628D"/>
    <w:rsid w:val="4C78088B"/>
    <w:rsid w:val="4C783F5B"/>
    <w:rsid w:val="4C7B17AC"/>
    <w:rsid w:val="4C7C1AE1"/>
    <w:rsid w:val="4C7D7030"/>
    <w:rsid w:val="4C7E3398"/>
    <w:rsid w:val="4C8460B9"/>
    <w:rsid w:val="4C8539A8"/>
    <w:rsid w:val="4C863FF4"/>
    <w:rsid w:val="4C951832"/>
    <w:rsid w:val="4C990C67"/>
    <w:rsid w:val="4CA24E44"/>
    <w:rsid w:val="4CA962A7"/>
    <w:rsid w:val="4CCC1EC1"/>
    <w:rsid w:val="4CDB6E29"/>
    <w:rsid w:val="4CEA09B2"/>
    <w:rsid w:val="4CEC7012"/>
    <w:rsid w:val="4CF2042B"/>
    <w:rsid w:val="4D016927"/>
    <w:rsid w:val="4D0B0C3B"/>
    <w:rsid w:val="4D177A88"/>
    <w:rsid w:val="4D1B0FAF"/>
    <w:rsid w:val="4D1E762A"/>
    <w:rsid w:val="4D21045F"/>
    <w:rsid w:val="4D257B3B"/>
    <w:rsid w:val="4D2A06C1"/>
    <w:rsid w:val="4D3504CD"/>
    <w:rsid w:val="4D41465D"/>
    <w:rsid w:val="4D4E7140"/>
    <w:rsid w:val="4D527308"/>
    <w:rsid w:val="4D537EE2"/>
    <w:rsid w:val="4D616AAD"/>
    <w:rsid w:val="4D654A84"/>
    <w:rsid w:val="4D695962"/>
    <w:rsid w:val="4D6B57C1"/>
    <w:rsid w:val="4D9C41D3"/>
    <w:rsid w:val="4DA90454"/>
    <w:rsid w:val="4DB65C11"/>
    <w:rsid w:val="4DC31ED4"/>
    <w:rsid w:val="4DC6050C"/>
    <w:rsid w:val="4DC65272"/>
    <w:rsid w:val="4DD0778F"/>
    <w:rsid w:val="4DD3102D"/>
    <w:rsid w:val="4DD92AE7"/>
    <w:rsid w:val="4DEB45C9"/>
    <w:rsid w:val="4DEF230B"/>
    <w:rsid w:val="4DF1235B"/>
    <w:rsid w:val="4DF53699"/>
    <w:rsid w:val="4DF72F6D"/>
    <w:rsid w:val="4DF73C56"/>
    <w:rsid w:val="4DF74D1B"/>
    <w:rsid w:val="4E061402"/>
    <w:rsid w:val="4E0808F8"/>
    <w:rsid w:val="4E084B70"/>
    <w:rsid w:val="4E0F475B"/>
    <w:rsid w:val="4E17716C"/>
    <w:rsid w:val="4E2A2A58"/>
    <w:rsid w:val="4E3D7BC7"/>
    <w:rsid w:val="4E473D08"/>
    <w:rsid w:val="4E4F6ED2"/>
    <w:rsid w:val="4E5A52AA"/>
    <w:rsid w:val="4E6C67E3"/>
    <w:rsid w:val="4E75237E"/>
    <w:rsid w:val="4E7C539B"/>
    <w:rsid w:val="4E8875F8"/>
    <w:rsid w:val="4E9A4B2B"/>
    <w:rsid w:val="4EAA5497"/>
    <w:rsid w:val="4EAD182D"/>
    <w:rsid w:val="4EB470B0"/>
    <w:rsid w:val="4EB56B98"/>
    <w:rsid w:val="4EB9710B"/>
    <w:rsid w:val="4ECD6BC7"/>
    <w:rsid w:val="4ECE46B6"/>
    <w:rsid w:val="4ED003AE"/>
    <w:rsid w:val="4ED41AD2"/>
    <w:rsid w:val="4EDE03DF"/>
    <w:rsid w:val="4EF456FF"/>
    <w:rsid w:val="4EF570A0"/>
    <w:rsid w:val="4F00009D"/>
    <w:rsid w:val="4F2031D6"/>
    <w:rsid w:val="4F2555EC"/>
    <w:rsid w:val="4F304989"/>
    <w:rsid w:val="4F4641AC"/>
    <w:rsid w:val="4F4E005F"/>
    <w:rsid w:val="4F4E5A3E"/>
    <w:rsid w:val="4F5B65C9"/>
    <w:rsid w:val="4F766114"/>
    <w:rsid w:val="4F7D51DF"/>
    <w:rsid w:val="4F822D0B"/>
    <w:rsid w:val="4F9D18F3"/>
    <w:rsid w:val="4FA32934"/>
    <w:rsid w:val="4FA9473B"/>
    <w:rsid w:val="4FAC348A"/>
    <w:rsid w:val="4FB807A3"/>
    <w:rsid w:val="4FB87BC6"/>
    <w:rsid w:val="4FCD1596"/>
    <w:rsid w:val="4FED620B"/>
    <w:rsid w:val="4FED7A07"/>
    <w:rsid w:val="4FF01947"/>
    <w:rsid w:val="4FF5172F"/>
    <w:rsid w:val="4FF94133"/>
    <w:rsid w:val="50000908"/>
    <w:rsid w:val="50033E4B"/>
    <w:rsid w:val="50057B86"/>
    <w:rsid w:val="5008551D"/>
    <w:rsid w:val="500B51D9"/>
    <w:rsid w:val="500B555A"/>
    <w:rsid w:val="5020081F"/>
    <w:rsid w:val="50200A12"/>
    <w:rsid w:val="5043693E"/>
    <w:rsid w:val="50496C49"/>
    <w:rsid w:val="505C17AE"/>
    <w:rsid w:val="50604E5E"/>
    <w:rsid w:val="50831EF7"/>
    <w:rsid w:val="50854860"/>
    <w:rsid w:val="508C1DB5"/>
    <w:rsid w:val="50953804"/>
    <w:rsid w:val="50956B7E"/>
    <w:rsid w:val="50A45289"/>
    <w:rsid w:val="50AD14E8"/>
    <w:rsid w:val="50AF18DD"/>
    <w:rsid w:val="50BB4726"/>
    <w:rsid w:val="50BB4CD3"/>
    <w:rsid w:val="50D0287E"/>
    <w:rsid w:val="50D819A2"/>
    <w:rsid w:val="50DD689F"/>
    <w:rsid w:val="50E621D4"/>
    <w:rsid w:val="50F86D8F"/>
    <w:rsid w:val="510D6966"/>
    <w:rsid w:val="511D0F3D"/>
    <w:rsid w:val="511E4CB5"/>
    <w:rsid w:val="51280015"/>
    <w:rsid w:val="51331797"/>
    <w:rsid w:val="51451748"/>
    <w:rsid w:val="514F664F"/>
    <w:rsid w:val="515707F2"/>
    <w:rsid w:val="516A1CA8"/>
    <w:rsid w:val="5181771E"/>
    <w:rsid w:val="51827E84"/>
    <w:rsid w:val="51890380"/>
    <w:rsid w:val="51934373"/>
    <w:rsid w:val="519A08E2"/>
    <w:rsid w:val="519B72E0"/>
    <w:rsid w:val="519E720A"/>
    <w:rsid w:val="51A025EF"/>
    <w:rsid w:val="51B635D2"/>
    <w:rsid w:val="51C94C21"/>
    <w:rsid w:val="51D02D0A"/>
    <w:rsid w:val="51D7156E"/>
    <w:rsid w:val="51EC036F"/>
    <w:rsid w:val="51EF2649"/>
    <w:rsid w:val="51F36EE0"/>
    <w:rsid w:val="52095930"/>
    <w:rsid w:val="521265C8"/>
    <w:rsid w:val="52311A93"/>
    <w:rsid w:val="523D7334"/>
    <w:rsid w:val="5242356A"/>
    <w:rsid w:val="5250748C"/>
    <w:rsid w:val="52656FAC"/>
    <w:rsid w:val="526817EB"/>
    <w:rsid w:val="52761647"/>
    <w:rsid w:val="527728CF"/>
    <w:rsid w:val="527C6137"/>
    <w:rsid w:val="52841955"/>
    <w:rsid w:val="52887EF6"/>
    <w:rsid w:val="528D6E8D"/>
    <w:rsid w:val="529A4DAB"/>
    <w:rsid w:val="52AD62F0"/>
    <w:rsid w:val="52B4767F"/>
    <w:rsid w:val="52B93887"/>
    <w:rsid w:val="52C648B5"/>
    <w:rsid w:val="52C96AEB"/>
    <w:rsid w:val="52CE1AF0"/>
    <w:rsid w:val="52D675F5"/>
    <w:rsid w:val="52D72BFC"/>
    <w:rsid w:val="52E0638F"/>
    <w:rsid w:val="52E15F9A"/>
    <w:rsid w:val="52E71188"/>
    <w:rsid w:val="52E85A38"/>
    <w:rsid w:val="52EE49C2"/>
    <w:rsid w:val="52EE7B26"/>
    <w:rsid w:val="52EF0F7D"/>
    <w:rsid w:val="5301323B"/>
    <w:rsid w:val="53114997"/>
    <w:rsid w:val="531A1226"/>
    <w:rsid w:val="53282282"/>
    <w:rsid w:val="532869DE"/>
    <w:rsid w:val="532C190B"/>
    <w:rsid w:val="53302A43"/>
    <w:rsid w:val="53330C6D"/>
    <w:rsid w:val="533E5E60"/>
    <w:rsid w:val="53456529"/>
    <w:rsid w:val="53474F37"/>
    <w:rsid w:val="534E1882"/>
    <w:rsid w:val="534F1156"/>
    <w:rsid w:val="534F2E85"/>
    <w:rsid w:val="535B4433"/>
    <w:rsid w:val="53951E2B"/>
    <w:rsid w:val="539A05AE"/>
    <w:rsid w:val="53A67982"/>
    <w:rsid w:val="53A8145F"/>
    <w:rsid w:val="53BD7999"/>
    <w:rsid w:val="53BF1A3C"/>
    <w:rsid w:val="53C41B44"/>
    <w:rsid w:val="53D17DBD"/>
    <w:rsid w:val="53D40A36"/>
    <w:rsid w:val="53F1045F"/>
    <w:rsid w:val="53F2012E"/>
    <w:rsid w:val="53F8359B"/>
    <w:rsid w:val="540A5DEF"/>
    <w:rsid w:val="540E2DBF"/>
    <w:rsid w:val="541C61BD"/>
    <w:rsid w:val="541F6D7A"/>
    <w:rsid w:val="5438608E"/>
    <w:rsid w:val="543A42C5"/>
    <w:rsid w:val="54462559"/>
    <w:rsid w:val="545B5D75"/>
    <w:rsid w:val="54602459"/>
    <w:rsid w:val="547370C6"/>
    <w:rsid w:val="54811CC9"/>
    <w:rsid w:val="54837309"/>
    <w:rsid w:val="548E130D"/>
    <w:rsid w:val="54994D7E"/>
    <w:rsid w:val="549D0CBC"/>
    <w:rsid w:val="54A35BFD"/>
    <w:rsid w:val="54A62785"/>
    <w:rsid w:val="54A7213D"/>
    <w:rsid w:val="54B10AA3"/>
    <w:rsid w:val="54B5148C"/>
    <w:rsid w:val="54C0055D"/>
    <w:rsid w:val="54C45013"/>
    <w:rsid w:val="54DC4504"/>
    <w:rsid w:val="54E85761"/>
    <w:rsid w:val="54F43483"/>
    <w:rsid w:val="54F90126"/>
    <w:rsid w:val="55040377"/>
    <w:rsid w:val="55090618"/>
    <w:rsid w:val="550956EB"/>
    <w:rsid w:val="551E0802"/>
    <w:rsid w:val="551E50C7"/>
    <w:rsid w:val="551E69F7"/>
    <w:rsid w:val="55240620"/>
    <w:rsid w:val="552F6C70"/>
    <w:rsid w:val="55477854"/>
    <w:rsid w:val="554B3FF3"/>
    <w:rsid w:val="55747599"/>
    <w:rsid w:val="55922E3E"/>
    <w:rsid w:val="55923B2B"/>
    <w:rsid w:val="559844D6"/>
    <w:rsid w:val="55A058CC"/>
    <w:rsid w:val="55A55D18"/>
    <w:rsid w:val="55B60C57"/>
    <w:rsid w:val="55B61960"/>
    <w:rsid w:val="55B64F20"/>
    <w:rsid w:val="55C220B3"/>
    <w:rsid w:val="55C325DF"/>
    <w:rsid w:val="55D07212"/>
    <w:rsid w:val="55D9218D"/>
    <w:rsid w:val="55E97640"/>
    <w:rsid w:val="55F10BEA"/>
    <w:rsid w:val="55F443C1"/>
    <w:rsid w:val="55FC38DF"/>
    <w:rsid w:val="56095A91"/>
    <w:rsid w:val="561B6476"/>
    <w:rsid w:val="562964CA"/>
    <w:rsid w:val="563D26D2"/>
    <w:rsid w:val="563D7B91"/>
    <w:rsid w:val="564023AC"/>
    <w:rsid w:val="564B3D23"/>
    <w:rsid w:val="564F7DE6"/>
    <w:rsid w:val="565269FD"/>
    <w:rsid w:val="56722A92"/>
    <w:rsid w:val="567A298E"/>
    <w:rsid w:val="568850AA"/>
    <w:rsid w:val="56955A19"/>
    <w:rsid w:val="569A6A77"/>
    <w:rsid w:val="569D042A"/>
    <w:rsid w:val="56A812A9"/>
    <w:rsid w:val="56AB4376"/>
    <w:rsid w:val="56CB31E9"/>
    <w:rsid w:val="56D31952"/>
    <w:rsid w:val="56D4136A"/>
    <w:rsid w:val="56E8218E"/>
    <w:rsid w:val="56E95725"/>
    <w:rsid w:val="56FA66C2"/>
    <w:rsid w:val="57055C2E"/>
    <w:rsid w:val="570A557E"/>
    <w:rsid w:val="57196B44"/>
    <w:rsid w:val="57306A06"/>
    <w:rsid w:val="573568B4"/>
    <w:rsid w:val="573A53CF"/>
    <w:rsid w:val="573C7C43"/>
    <w:rsid w:val="574C432A"/>
    <w:rsid w:val="575119A1"/>
    <w:rsid w:val="575F0E6E"/>
    <w:rsid w:val="57644F88"/>
    <w:rsid w:val="57674593"/>
    <w:rsid w:val="577F06B3"/>
    <w:rsid w:val="57840356"/>
    <w:rsid w:val="578636D0"/>
    <w:rsid w:val="57877568"/>
    <w:rsid w:val="578D01D2"/>
    <w:rsid w:val="5793587C"/>
    <w:rsid w:val="579E7D33"/>
    <w:rsid w:val="57A554C1"/>
    <w:rsid w:val="57A83FE5"/>
    <w:rsid w:val="57AE0B41"/>
    <w:rsid w:val="57C21A9A"/>
    <w:rsid w:val="57C21B37"/>
    <w:rsid w:val="57C33DF3"/>
    <w:rsid w:val="57C813F0"/>
    <w:rsid w:val="57C82FFD"/>
    <w:rsid w:val="57CC7B6B"/>
    <w:rsid w:val="57D50003"/>
    <w:rsid w:val="57E33016"/>
    <w:rsid w:val="57E9601D"/>
    <w:rsid w:val="57F347A6"/>
    <w:rsid w:val="57F76ABC"/>
    <w:rsid w:val="58022C3B"/>
    <w:rsid w:val="580D1217"/>
    <w:rsid w:val="580E76B9"/>
    <w:rsid w:val="58111867"/>
    <w:rsid w:val="58156E12"/>
    <w:rsid w:val="582232DD"/>
    <w:rsid w:val="582C0BDE"/>
    <w:rsid w:val="58354DBE"/>
    <w:rsid w:val="58376CC2"/>
    <w:rsid w:val="58387098"/>
    <w:rsid w:val="583A23D4"/>
    <w:rsid w:val="583A63C2"/>
    <w:rsid w:val="58433BB0"/>
    <w:rsid w:val="58474AF1"/>
    <w:rsid w:val="584F0603"/>
    <w:rsid w:val="585C2D51"/>
    <w:rsid w:val="585D2B85"/>
    <w:rsid w:val="58627CD5"/>
    <w:rsid w:val="5878461D"/>
    <w:rsid w:val="58874971"/>
    <w:rsid w:val="588A5975"/>
    <w:rsid w:val="58A10100"/>
    <w:rsid w:val="58A9755A"/>
    <w:rsid w:val="58C161BB"/>
    <w:rsid w:val="58C41413"/>
    <w:rsid w:val="58C90A39"/>
    <w:rsid w:val="58D4659D"/>
    <w:rsid w:val="58D659B3"/>
    <w:rsid w:val="58D87EC8"/>
    <w:rsid w:val="58DD0E2D"/>
    <w:rsid w:val="58E46B92"/>
    <w:rsid w:val="58E60EE5"/>
    <w:rsid w:val="58EB55B5"/>
    <w:rsid w:val="58F76517"/>
    <w:rsid w:val="58FC71A2"/>
    <w:rsid w:val="5913239A"/>
    <w:rsid w:val="591545E0"/>
    <w:rsid w:val="5926247C"/>
    <w:rsid w:val="59266955"/>
    <w:rsid w:val="592E5223"/>
    <w:rsid w:val="592F7A5F"/>
    <w:rsid w:val="5930000C"/>
    <w:rsid w:val="59341AEF"/>
    <w:rsid w:val="593D188F"/>
    <w:rsid w:val="5942673D"/>
    <w:rsid w:val="594B67F3"/>
    <w:rsid w:val="595212EF"/>
    <w:rsid w:val="597B0EF6"/>
    <w:rsid w:val="597F4067"/>
    <w:rsid w:val="598633F7"/>
    <w:rsid w:val="59963443"/>
    <w:rsid w:val="599A79A6"/>
    <w:rsid w:val="599C6C07"/>
    <w:rsid w:val="59AB1BA3"/>
    <w:rsid w:val="59AD375F"/>
    <w:rsid w:val="59AD6C88"/>
    <w:rsid w:val="59BA50B6"/>
    <w:rsid w:val="59BD32ED"/>
    <w:rsid w:val="59BE0953"/>
    <w:rsid w:val="59C26B25"/>
    <w:rsid w:val="59C662B1"/>
    <w:rsid w:val="59CD1026"/>
    <w:rsid w:val="59D27866"/>
    <w:rsid w:val="59D34098"/>
    <w:rsid w:val="59D93E6F"/>
    <w:rsid w:val="59DC3221"/>
    <w:rsid w:val="59DD74BB"/>
    <w:rsid w:val="59E675A8"/>
    <w:rsid w:val="59E80C38"/>
    <w:rsid w:val="59F82547"/>
    <w:rsid w:val="5A0B7490"/>
    <w:rsid w:val="5A0E4F19"/>
    <w:rsid w:val="5A0E58C7"/>
    <w:rsid w:val="5A166E71"/>
    <w:rsid w:val="5A1B6236"/>
    <w:rsid w:val="5A1F5027"/>
    <w:rsid w:val="5A32344E"/>
    <w:rsid w:val="5A3E3CD2"/>
    <w:rsid w:val="5A5C2A6E"/>
    <w:rsid w:val="5A643F7A"/>
    <w:rsid w:val="5A654DD6"/>
    <w:rsid w:val="5A6F0776"/>
    <w:rsid w:val="5A7150FD"/>
    <w:rsid w:val="5A851F87"/>
    <w:rsid w:val="5A8913F1"/>
    <w:rsid w:val="5A8E6A07"/>
    <w:rsid w:val="5A920701"/>
    <w:rsid w:val="5A9D236E"/>
    <w:rsid w:val="5A9D6C4B"/>
    <w:rsid w:val="5AB0004C"/>
    <w:rsid w:val="5AB02964"/>
    <w:rsid w:val="5AC02246"/>
    <w:rsid w:val="5AD02AA4"/>
    <w:rsid w:val="5AD66971"/>
    <w:rsid w:val="5AE623A0"/>
    <w:rsid w:val="5AE73D6D"/>
    <w:rsid w:val="5AEA2CC8"/>
    <w:rsid w:val="5AF70158"/>
    <w:rsid w:val="5B0333CE"/>
    <w:rsid w:val="5B067F61"/>
    <w:rsid w:val="5B071566"/>
    <w:rsid w:val="5B08602F"/>
    <w:rsid w:val="5B093483"/>
    <w:rsid w:val="5B12588A"/>
    <w:rsid w:val="5B1A473F"/>
    <w:rsid w:val="5B1A4A0F"/>
    <w:rsid w:val="5B1F1D55"/>
    <w:rsid w:val="5B293713"/>
    <w:rsid w:val="5B2A2BD4"/>
    <w:rsid w:val="5B2D725E"/>
    <w:rsid w:val="5B350999"/>
    <w:rsid w:val="5B3916F8"/>
    <w:rsid w:val="5B3E3547"/>
    <w:rsid w:val="5B402790"/>
    <w:rsid w:val="5B4C7178"/>
    <w:rsid w:val="5B4D3861"/>
    <w:rsid w:val="5B4E3E1C"/>
    <w:rsid w:val="5B4E4C73"/>
    <w:rsid w:val="5B61411C"/>
    <w:rsid w:val="5B627ADE"/>
    <w:rsid w:val="5B631C42"/>
    <w:rsid w:val="5B653C0C"/>
    <w:rsid w:val="5B6B4F60"/>
    <w:rsid w:val="5B7000AD"/>
    <w:rsid w:val="5B79627F"/>
    <w:rsid w:val="5B8024BA"/>
    <w:rsid w:val="5B99475F"/>
    <w:rsid w:val="5BA01942"/>
    <w:rsid w:val="5BA109BC"/>
    <w:rsid w:val="5BA17497"/>
    <w:rsid w:val="5BA65FD3"/>
    <w:rsid w:val="5BBA46B0"/>
    <w:rsid w:val="5BBE4302"/>
    <w:rsid w:val="5BD33F99"/>
    <w:rsid w:val="5BD7618C"/>
    <w:rsid w:val="5BE2525D"/>
    <w:rsid w:val="5BE80399"/>
    <w:rsid w:val="5BEA25EE"/>
    <w:rsid w:val="5BF57239"/>
    <w:rsid w:val="5C007491"/>
    <w:rsid w:val="5C0078F4"/>
    <w:rsid w:val="5C082399"/>
    <w:rsid w:val="5C132734"/>
    <w:rsid w:val="5C221AFD"/>
    <w:rsid w:val="5C354C20"/>
    <w:rsid w:val="5C3D2493"/>
    <w:rsid w:val="5C3E5D49"/>
    <w:rsid w:val="5C5A1ACF"/>
    <w:rsid w:val="5C5D74C9"/>
    <w:rsid w:val="5C66082C"/>
    <w:rsid w:val="5C693288"/>
    <w:rsid w:val="5C6B34A4"/>
    <w:rsid w:val="5C732359"/>
    <w:rsid w:val="5C7910A6"/>
    <w:rsid w:val="5C7A5495"/>
    <w:rsid w:val="5C7B2D6B"/>
    <w:rsid w:val="5C7D32B9"/>
    <w:rsid w:val="5C866B1F"/>
    <w:rsid w:val="5C8E4D9C"/>
    <w:rsid w:val="5C9B4606"/>
    <w:rsid w:val="5C9F4EFC"/>
    <w:rsid w:val="5CA72F2B"/>
    <w:rsid w:val="5CA96E90"/>
    <w:rsid w:val="5CAC081B"/>
    <w:rsid w:val="5CAD7E8C"/>
    <w:rsid w:val="5CB7285D"/>
    <w:rsid w:val="5CBD6EAE"/>
    <w:rsid w:val="5CC267B4"/>
    <w:rsid w:val="5CCB1FD5"/>
    <w:rsid w:val="5CCB525F"/>
    <w:rsid w:val="5CD71AD5"/>
    <w:rsid w:val="5CDE1174"/>
    <w:rsid w:val="5CDF354A"/>
    <w:rsid w:val="5CE356AC"/>
    <w:rsid w:val="5CE4763C"/>
    <w:rsid w:val="5CED7387"/>
    <w:rsid w:val="5CEE5E83"/>
    <w:rsid w:val="5CF05758"/>
    <w:rsid w:val="5CF1327E"/>
    <w:rsid w:val="5CFC40FC"/>
    <w:rsid w:val="5D210677"/>
    <w:rsid w:val="5D23703E"/>
    <w:rsid w:val="5D2525C9"/>
    <w:rsid w:val="5D327B1E"/>
    <w:rsid w:val="5D4C50F8"/>
    <w:rsid w:val="5D532574"/>
    <w:rsid w:val="5D535CE6"/>
    <w:rsid w:val="5D543F38"/>
    <w:rsid w:val="5D613AEB"/>
    <w:rsid w:val="5D614DF7"/>
    <w:rsid w:val="5D705830"/>
    <w:rsid w:val="5D72015E"/>
    <w:rsid w:val="5D8365CC"/>
    <w:rsid w:val="5D8931D2"/>
    <w:rsid w:val="5D8952A6"/>
    <w:rsid w:val="5D8C7BA3"/>
    <w:rsid w:val="5D942926"/>
    <w:rsid w:val="5DA314B9"/>
    <w:rsid w:val="5DB05A74"/>
    <w:rsid w:val="5DB35656"/>
    <w:rsid w:val="5DBB390B"/>
    <w:rsid w:val="5DC6366B"/>
    <w:rsid w:val="5DCC5BFC"/>
    <w:rsid w:val="5DD10FBE"/>
    <w:rsid w:val="5DD55CDE"/>
    <w:rsid w:val="5DE11842"/>
    <w:rsid w:val="5DE50F4C"/>
    <w:rsid w:val="5DE56B42"/>
    <w:rsid w:val="5DF0003F"/>
    <w:rsid w:val="5DF20DD0"/>
    <w:rsid w:val="5DF9063C"/>
    <w:rsid w:val="5DFA0204"/>
    <w:rsid w:val="5E035822"/>
    <w:rsid w:val="5E1E62F4"/>
    <w:rsid w:val="5E2F57D9"/>
    <w:rsid w:val="5E331DA0"/>
    <w:rsid w:val="5E3B4C4F"/>
    <w:rsid w:val="5E512226"/>
    <w:rsid w:val="5E547F68"/>
    <w:rsid w:val="5E557F1D"/>
    <w:rsid w:val="5E5B30A5"/>
    <w:rsid w:val="5E6005F0"/>
    <w:rsid w:val="5E614B3A"/>
    <w:rsid w:val="5E664BC1"/>
    <w:rsid w:val="5E6F49B2"/>
    <w:rsid w:val="5E761C8C"/>
    <w:rsid w:val="5E776C22"/>
    <w:rsid w:val="5E804826"/>
    <w:rsid w:val="5E8E058F"/>
    <w:rsid w:val="5E966725"/>
    <w:rsid w:val="5EA22B28"/>
    <w:rsid w:val="5EA40ACC"/>
    <w:rsid w:val="5EAC3900"/>
    <w:rsid w:val="5EB85D3A"/>
    <w:rsid w:val="5EBD5B0D"/>
    <w:rsid w:val="5EC526FC"/>
    <w:rsid w:val="5ECB2528"/>
    <w:rsid w:val="5ECF7BCC"/>
    <w:rsid w:val="5ED2780B"/>
    <w:rsid w:val="5EDC3864"/>
    <w:rsid w:val="5EE0378C"/>
    <w:rsid w:val="5EEF73A8"/>
    <w:rsid w:val="5EF60BF2"/>
    <w:rsid w:val="5EF75CF7"/>
    <w:rsid w:val="5EFD415C"/>
    <w:rsid w:val="5F0201F5"/>
    <w:rsid w:val="5F025267"/>
    <w:rsid w:val="5F1C3793"/>
    <w:rsid w:val="5F1D65AC"/>
    <w:rsid w:val="5F1E5AB0"/>
    <w:rsid w:val="5F311CAE"/>
    <w:rsid w:val="5F3E4A59"/>
    <w:rsid w:val="5F404297"/>
    <w:rsid w:val="5F405331"/>
    <w:rsid w:val="5F425A14"/>
    <w:rsid w:val="5F4A3A68"/>
    <w:rsid w:val="5F4B4EC7"/>
    <w:rsid w:val="5F561D7F"/>
    <w:rsid w:val="5F5D22E6"/>
    <w:rsid w:val="5F6355D1"/>
    <w:rsid w:val="5F952C49"/>
    <w:rsid w:val="5FA6612F"/>
    <w:rsid w:val="5FBC4017"/>
    <w:rsid w:val="5FC37153"/>
    <w:rsid w:val="5FC9135B"/>
    <w:rsid w:val="5FCD27E4"/>
    <w:rsid w:val="5FD11BAD"/>
    <w:rsid w:val="5FD81337"/>
    <w:rsid w:val="5FDB07BD"/>
    <w:rsid w:val="6014283B"/>
    <w:rsid w:val="60194FC5"/>
    <w:rsid w:val="601D2935"/>
    <w:rsid w:val="60360482"/>
    <w:rsid w:val="603B13E0"/>
    <w:rsid w:val="60502DD1"/>
    <w:rsid w:val="60533D0C"/>
    <w:rsid w:val="60575AEE"/>
    <w:rsid w:val="60585D62"/>
    <w:rsid w:val="60653485"/>
    <w:rsid w:val="60695F4D"/>
    <w:rsid w:val="606A3A73"/>
    <w:rsid w:val="60707E25"/>
    <w:rsid w:val="60740C5A"/>
    <w:rsid w:val="60844B35"/>
    <w:rsid w:val="60853B24"/>
    <w:rsid w:val="60874625"/>
    <w:rsid w:val="608B3609"/>
    <w:rsid w:val="60AD127D"/>
    <w:rsid w:val="60B40B43"/>
    <w:rsid w:val="60B53A52"/>
    <w:rsid w:val="60C10539"/>
    <w:rsid w:val="60C82547"/>
    <w:rsid w:val="60D3786A"/>
    <w:rsid w:val="60D8537B"/>
    <w:rsid w:val="60DF7F59"/>
    <w:rsid w:val="60DF7FBD"/>
    <w:rsid w:val="60EF59B9"/>
    <w:rsid w:val="60F46444"/>
    <w:rsid w:val="60FB291D"/>
    <w:rsid w:val="61096DE8"/>
    <w:rsid w:val="610B320E"/>
    <w:rsid w:val="610F2DCF"/>
    <w:rsid w:val="611733FE"/>
    <w:rsid w:val="612026B9"/>
    <w:rsid w:val="612B0397"/>
    <w:rsid w:val="612E3192"/>
    <w:rsid w:val="612E77AF"/>
    <w:rsid w:val="61363E39"/>
    <w:rsid w:val="61393390"/>
    <w:rsid w:val="613D4CE3"/>
    <w:rsid w:val="614C2CE2"/>
    <w:rsid w:val="61523327"/>
    <w:rsid w:val="61654EDF"/>
    <w:rsid w:val="61735BFC"/>
    <w:rsid w:val="61774699"/>
    <w:rsid w:val="618F606A"/>
    <w:rsid w:val="6197558E"/>
    <w:rsid w:val="61985098"/>
    <w:rsid w:val="619C4100"/>
    <w:rsid w:val="619F20C1"/>
    <w:rsid w:val="61A47CEF"/>
    <w:rsid w:val="61A664BE"/>
    <w:rsid w:val="61CA3E06"/>
    <w:rsid w:val="61D779B0"/>
    <w:rsid w:val="61DF58F1"/>
    <w:rsid w:val="61E21EC2"/>
    <w:rsid w:val="61F30033"/>
    <w:rsid w:val="61F66235"/>
    <w:rsid w:val="620D5DDE"/>
    <w:rsid w:val="62173786"/>
    <w:rsid w:val="622142BC"/>
    <w:rsid w:val="62292210"/>
    <w:rsid w:val="622B0B84"/>
    <w:rsid w:val="622D2EF7"/>
    <w:rsid w:val="622F0AD0"/>
    <w:rsid w:val="62307F29"/>
    <w:rsid w:val="623B56C7"/>
    <w:rsid w:val="624C4995"/>
    <w:rsid w:val="62590BF4"/>
    <w:rsid w:val="62652744"/>
    <w:rsid w:val="62774225"/>
    <w:rsid w:val="62792BBC"/>
    <w:rsid w:val="627A7050"/>
    <w:rsid w:val="62823FBE"/>
    <w:rsid w:val="62854B94"/>
    <w:rsid w:val="628D3A49"/>
    <w:rsid w:val="62957C63"/>
    <w:rsid w:val="629662EF"/>
    <w:rsid w:val="62973CAA"/>
    <w:rsid w:val="62A260AB"/>
    <w:rsid w:val="62A43502"/>
    <w:rsid w:val="62BC5284"/>
    <w:rsid w:val="62CB34BF"/>
    <w:rsid w:val="62E713AB"/>
    <w:rsid w:val="62EC076F"/>
    <w:rsid w:val="62EF2855"/>
    <w:rsid w:val="62F24914"/>
    <w:rsid w:val="62F447DE"/>
    <w:rsid w:val="62F54A3F"/>
    <w:rsid w:val="630C0E11"/>
    <w:rsid w:val="630C2BBF"/>
    <w:rsid w:val="6312218F"/>
    <w:rsid w:val="63157E2F"/>
    <w:rsid w:val="631731D0"/>
    <w:rsid w:val="631C4048"/>
    <w:rsid w:val="631D043A"/>
    <w:rsid w:val="63312626"/>
    <w:rsid w:val="633C6B90"/>
    <w:rsid w:val="634618F9"/>
    <w:rsid w:val="634B7B8C"/>
    <w:rsid w:val="6356612D"/>
    <w:rsid w:val="635A1B7D"/>
    <w:rsid w:val="636273C7"/>
    <w:rsid w:val="63676048"/>
    <w:rsid w:val="636918C6"/>
    <w:rsid w:val="637B0616"/>
    <w:rsid w:val="63816A42"/>
    <w:rsid w:val="63862972"/>
    <w:rsid w:val="639D438E"/>
    <w:rsid w:val="63AB36DB"/>
    <w:rsid w:val="63C24D92"/>
    <w:rsid w:val="63C273C4"/>
    <w:rsid w:val="63C86BF3"/>
    <w:rsid w:val="63CB0159"/>
    <w:rsid w:val="63CF7D85"/>
    <w:rsid w:val="63E7309F"/>
    <w:rsid w:val="640065AF"/>
    <w:rsid w:val="6402638B"/>
    <w:rsid w:val="641304C5"/>
    <w:rsid w:val="64180F96"/>
    <w:rsid w:val="64252409"/>
    <w:rsid w:val="642743CD"/>
    <w:rsid w:val="64306D81"/>
    <w:rsid w:val="643E4D8A"/>
    <w:rsid w:val="644C69BE"/>
    <w:rsid w:val="645C25E2"/>
    <w:rsid w:val="645E569D"/>
    <w:rsid w:val="647E5D3F"/>
    <w:rsid w:val="64803865"/>
    <w:rsid w:val="648A72B2"/>
    <w:rsid w:val="64A23EE2"/>
    <w:rsid w:val="64A706BD"/>
    <w:rsid w:val="64B41760"/>
    <w:rsid w:val="64BE0D87"/>
    <w:rsid w:val="64D20DE5"/>
    <w:rsid w:val="64E57B6C"/>
    <w:rsid w:val="64F41FFB"/>
    <w:rsid w:val="64F61D79"/>
    <w:rsid w:val="64F658D5"/>
    <w:rsid w:val="65037DFB"/>
    <w:rsid w:val="650F6F7F"/>
    <w:rsid w:val="651244EF"/>
    <w:rsid w:val="65143224"/>
    <w:rsid w:val="65156A97"/>
    <w:rsid w:val="65353D54"/>
    <w:rsid w:val="65384F7C"/>
    <w:rsid w:val="653F2A61"/>
    <w:rsid w:val="654523B9"/>
    <w:rsid w:val="65460804"/>
    <w:rsid w:val="65563E2A"/>
    <w:rsid w:val="65752893"/>
    <w:rsid w:val="657F5EF3"/>
    <w:rsid w:val="65957F9B"/>
    <w:rsid w:val="659613AB"/>
    <w:rsid w:val="65BB3F5B"/>
    <w:rsid w:val="65BE67F7"/>
    <w:rsid w:val="65CB5030"/>
    <w:rsid w:val="65F6711D"/>
    <w:rsid w:val="660C0398"/>
    <w:rsid w:val="66226D5E"/>
    <w:rsid w:val="662F3C0C"/>
    <w:rsid w:val="66303C86"/>
    <w:rsid w:val="66647024"/>
    <w:rsid w:val="66661EBD"/>
    <w:rsid w:val="666779C6"/>
    <w:rsid w:val="667016B7"/>
    <w:rsid w:val="66750422"/>
    <w:rsid w:val="667802FC"/>
    <w:rsid w:val="668D0434"/>
    <w:rsid w:val="66A355E9"/>
    <w:rsid w:val="66A51887"/>
    <w:rsid w:val="66A546DD"/>
    <w:rsid w:val="66A8522D"/>
    <w:rsid w:val="66AA1EAA"/>
    <w:rsid w:val="66AC4F3F"/>
    <w:rsid w:val="66AF1CE3"/>
    <w:rsid w:val="66BE7A81"/>
    <w:rsid w:val="66C01D5C"/>
    <w:rsid w:val="66C7577B"/>
    <w:rsid w:val="66C92A49"/>
    <w:rsid w:val="66CC70B3"/>
    <w:rsid w:val="66CF70F7"/>
    <w:rsid w:val="66DB5BF8"/>
    <w:rsid w:val="66DC1975"/>
    <w:rsid w:val="66DF6F38"/>
    <w:rsid w:val="66EC109B"/>
    <w:rsid w:val="66F04BAB"/>
    <w:rsid w:val="66F56218"/>
    <w:rsid w:val="66FB52F4"/>
    <w:rsid w:val="67117044"/>
    <w:rsid w:val="6727381F"/>
    <w:rsid w:val="672F33B8"/>
    <w:rsid w:val="673A7389"/>
    <w:rsid w:val="673E2346"/>
    <w:rsid w:val="67430B7A"/>
    <w:rsid w:val="6749488E"/>
    <w:rsid w:val="674B7CB9"/>
    <w:rsid w:val="674C68BC"/>
    <w:rsid w:val="67561D44"/>
    <w:rsid w:val="67630473"/>
    <w:rsid w:val="676A25AA"/>
    <w:rsid w:val="677D5E3A"/>
    <w:rsid w:val="678E25F8"/>
    <w:rsid w:val="679D501A"/>
    <w:rsid w:val="67A944BC"/>
    <w:rsid w:val="67BD092C"/>
    <w:rsid w:val="67C322DB"/>
    <w:rsid w:val="67C9127A"/>
    <w:rsid w:val="67C94309"/>
    <w:rsid w:val="67E759A9"/>
    <w:rsid w:val="67F00D02"/>
    <w:rsid w:val="67F11077"/>
    <w:rsid w:val="67F55172"/>
    <w:rsid w:val="680D16EA"/>
    <w:rsid w:val="680E31DC"/>
    <w:rsid w:val="680F18E6"/>
    <w:rsid w:val="68121A65"/>
    <w:rsid w:val="681255F3"/>
    <w:rsid w:val="68192EB6"/>
    <w:rsid w:val="683B12DC"/>
    <w:rsid w:val="6841155D"/>
    <w:rsid w:val="6850354E"/>
    <w:rsid w:val="68531562"/>
    <w:rsid w:val="6864208B"/>
    <w:rsid w:val="686424B6"/>
    <w:rsid w:val="68863414"/>
    <w:rsid w:val="689879D2"/>
    <w:rsid w:val="68A51AEC"/>
    <w:rsid w:val="68A916D9"/>
    <w:rsid w:val="68AA5167"/>
    <w:rsid w:val="68AB1EB1"/>
    <w:rsid w:val="68AC536F"/>
    <w:rsid w:val="68BB4309"/>
    <w:rsid w:val="68BC626E"/>
    <w:rsid w:val="68BD0C84"/>
    <w:rsid w:val="68D53F8A"/>
    <w:rsid w:val="68D57082"/>
    <w:rsid w:val="68D61043"/>
    <w:rsid w:val="68F461A8"/>
    <w:rsid w:val="68FF6657"/>
    <w:rsid w:val="6901423D"/>
    <w:rsid w:val="690E338A"/>
    <w:rsid w:val="691553AE"/>
    <w:rsid w:val="691B0F00"/>
    <w:rsid w:val="691C7587"/>
    <w:rsid w:val="69232A11"/>
    <w:rsid w:val="69324B68"/>
    <w:rsid w:val="693A042A"/>
    <w:rsid w:val="693B41FE"/>
    <w:rsid w:val="69433283"/>
    <w:rsid w:val="694532D4"/>
    <w:rsid w:val="69456661"/>
    <w:rsid w:val="69473109"/>
    <w:rsid w:val="694B014B"/>
    <w:rsid w:val="695B139D"/>
    <w:rsid w:val="695F126D"/>
    <w:rsid w:val="69626D49"/>
    <w:rsid w:val="696372B1"/>
    <w:rsid w:val="696C042A"/>
    <w:rsid w:val="696F4B1C"/>
    <w:rsid w:val="69723A10"/>
    <w:rsid w:val="69731BEA"/>
    <w:rsid w:val="69735746"/>
    <w:rsid w:val="697E19DB"/>
    <w:rsid w:val="69824823"/>
    <w:rsid w:val="69874889"/>
    <w:rsid w:val="69930F7C"/>
    <w:rsid w:val="699A7177"/>
    <w:rsid w:val="699C48FB"/>
    <w:rsid w:val="699C7668"/>
    <w:rsid w:val="69A670A4"/>
    <w:rsid w:val="69AE2C22"/>
    <w:rsid w:val="69BB70ED"/>
    <w:rsid w:val="69C673B6"/>
    <w:rsid w:val="69D81A4D"/>
    <w:rsid w:val="69DA4305"/>
    <w:rsid w:val="69DB2240"/>
    <w:rsid w:val="69DD0573"/>
    <w:rsid w:val="69E72F1D"/>
    <w:rsid w:val="69E82885"/>
    <w:rsid w:val="69FA4F9F"/>
    <w:rsid w:val="69FB1F78"/>
    <w:rsid w:val="6A0F5A2D"/>
    <w:rsid w:val="6A130CD7"/>
    <w:rsid w:val="6A2353BE"/>
    <w:rsid w:val="6A2646E2"/>
    <w:rsid w:val="6A2F4CB5"/>
    <w:rsid w:val="6A321568"/>
    <w:rsid w:val="6A32718B"/>
    <w:rsid w:val="6A393953"/>
    <w:rsid w:val="6A3C1403"/>
    <w:rsid w:val="6A413319"/>
    <w:rsid w:val="6A461713"/>
    <w:rsid w:val="6A470981"/>
    <w:rsid w:val="6A4B62F3"/>
    <w:rsid w:val="6A4C1225"/>
    <w:rsid w:val="6A654263"/>
    <w:rsid w:val="6A6679B7"/>
    <w:rsid w:val="6A6A7E98"/>
    <w:rsid w:val="6A7D4FC9"/>
    <w:rsid w:val="6A8375BA"/>
    <w:rsid w:val="6A8D0DB4"/>
    <w:rsid w:val="6A8D333A"/>
    <w:rsid w:val="6A933BC6"/>
    <w:rsid w:val="6A995F75"/>
    <w:rsid w:val="6AAC77D3"/>
    <w:rsid w:val="6AB536EA"/>
    <w:rsid w:val="6AB66D6B"/>
    <w:rsid w:val="6AB778B5"/>
    <w:rsid w:val="6AC8665B"/>
    <w:rsid w:val="6AD31ECF"/>
    <w:rsid w:val="6AD70C43"/>
    <w:rsid w:val="6AE92CA1"/>
    <w:rsid w:val="6AF040F6"/>
    <w:rsid w:val="6AFC176B"/>
    <w:rsid w:val="6AFC3A69"/>
    <w:rsid w:val="6AFF28FF"/>
    <w:rsid w:val="6B021611"/>
    <w:rsid w:val="6B02457F"/>
    <w:rsid w:val="6B1869E5"/>
    <w:rsid w:val="6B1D15E8"/>
    <w:rsid w:val="6B38611C"/>
    <w:rsid w:val="6B480E55"/>
    <w:rsid w:val="6B497B06"/>
    <w:rsid w:val="6B5C045C"/>
    <w:rsid w:val="6B5C199D"/>
    <w:rsid w:val="6B5F2D1B"/>
    <w:rsid w:val="6B6F4CFB"/>
    <w:rsid w:val="6B8F25DF"/>
    <w:rsid w:val="6B981494"/>
    <w:rsid w:val="6BA1105B"/>
    <w:rsid w:val="6BAA6BE1"/>
    <w:rsid w:val="6BB069AF"/>
    <w:rsid w:val="6BBF3C17"/>
    <w:rsid w:val="6BC70711"/>
    <w:rsid w:val="6BC95F73"/>
    <w:rsid w:val="6BDA7CFF"/>
    <w:rsid w:val="6BE0304D"/>
    <w:rsid w:val="6BE7241B"/>
    <w:rsid w:val="6BEF29B2"/>
    <w:rsid w:val="6BF23ED8"/>
    <w:rsid w:val="6BF95CAB"/>
    <w:rsid w:val="6BFD579B"/>
    <w:rsid w:val="6C142268"/>
    <w:rsid w:val="6C1B3E6F"/>
    <w:rsid w:val="6C1F63D2"/>
    <w:rsid w:val="6C1F7CB8"/>
    <w:rsid w:val="6C304C7A"/>
    <w:rsid w:val="6C35141E"/>
    <w:rsid w:val="6C354EEF"/>
    <w:rsid w:val="6C354F35"/>
    <w:rsid w:val="6C361DE8"/>
    <w:rsid w:val="6C41462D"/>
    <w:rsid w:val="6C443505"/>
    <w:rsid w:val="6C471337"/>
    <w:rsid w:val="6C4D6722"/>
    <w:rsid w:val="6C577032"/>
    <w:rsid w:val="6C5C5FD7"/>
    <w:rsid w:val="6C670D00"/>
    <w:rsid w:val="6C725ACD"/>
    <w:rsid w:val="6C874D9E"/>
    <w:rsid w:val="6C8C3392"/>
    <w:rsid w:val="6C91336D"/>
    <w:rsid w:val="6C9416D6"/>
    <w:rsid w:val="6C97038B"/>
    <w:rsid w:val="6C97799E"/>
    <w:rsid w:val="6CA86CD9"/>
    <w:rsid w:val="6CAB0F85"/>
    <w:rsid w:val="6CAC78B1"/>
    <w:rsid w:val="6CAD0F6F"/>
    <w:rsid w:val="6CC07547"/>
    <w:rsid w:val="6CC16F25"/>
    <w:rsid w:val="6CC75267"/>
    <w:rsid w:val="6CC95E42"/>
    <w:rsid w:val="6CCA34FE"/>
    <w:rsid w:val="6CD20EF4"/>
    <w:rsid w:val="6CDF0F6A"/>
    <w:rsid w:val="6CDF4E34"/>
    <w:rsid w:val="6CF22D10"/>
    <w:rsid w:val="6CF70D53"/>
    <w:rsid w:val="6D08089B"/>
    <w:rsid w:val="6D0A20BB"/>
    <w:rsid w:val="6D1D0DD4"/>
    <w:rsid w:val="6D3451EC"/>
    <w:rsid w:val="6D4A20DF"/>
    <w:rsid w:val="6D4B2536"/>
    <w:rsid w:val="6D592EA5"/>
    <w:rsid w:val="6D5D6410"/>
    <w:rsid w:val="6D5F5E56"/>
    <w:rsid w:val="6D617FAC"/>
    <w:rsid w:val="6D6D213E"/>
    <w:rsid w:val="6D721D58"/>
    <w:rsid w:val="6D800432"/>
    <w:rsid w:val="6D8259FC"/>
    <w:rsid w:val="6D9032BE"/>
    <w:rsid w:val="6D99065D"/>
    <w:rsid w:val="6D9D6AAA"/>
    <w:rsid w:val="6DA37A0D"/>
    <w:rsid w:val="6DA57E98"/>
    <w:rsid w:val="6DC107CC"/>
    <w:rsid w:val="6DE23120"/>
    <w:rsid w:val="6DE704B1"/>
    <w:rsid w:val="6DEC66F2"/>
    <w:rsid w:val="6DEE2A91"/>
    <w:rsid w:val="6DF23969"/>
    <w:rsid w:val="6DF703C0"/>
    <w:rsid w:val="6DFF1C9E"/>
    <w:rsid w:val="6E0044C1"/>
    <w:rsid w:val="6E0070B5"/>
    <w:rsid w:val="6E0213F6"/>
    <w:rsid w:val="6E041063"/>
    <w:rsid w:val="6E0B6B0F"/>
    <w:rsid w:val="6E13502C"/>
    <w:rsid w:val="6E1B63AC"/>
    <w:rsid w:val="6E241705"/>
    <w:rsid w:val="6E2D7BB1"/>
    <w:rsid w:val="6E361438"/>
    <w:rsid w:val="6E3A7A9D"/>
    <w:rsid w:val="6E3D5333"/>
    <w:rsid w:val="6E4521F1"/>
    <w:rsid w:val="6E4771A1"/>
    <w:rsid w:val="6E597D1E"/>
    <w:rsid w:val="6E6E472E"/>
    <w:rsid w:val="6E906D9A"/>
    <w:rsid w:val="6EA6211A"/>
    <w:rsid w:val="6EAA5795"/>
    <w:rsid w:val="6EB56977"/>
    <w:rsid w:val="6EBD1212"/>
    <w:rsid w:val="6EC56085"/>
    <w:rsid w:val="6ECF43EE"/>
    <w:rsid w:val="6ECF5E5E"/>
    <w:rsid w:val="6ED51873"/>
    <w:rsid w:val="6ED963DF"/>
    <w:rsid w:val="6EDA127D"/>
    <w:rsid w:val="6EDB41E1"/>
    <w:rsid w:val="6EE51729"/>
    <w:rsid w:val="6EFE75A5"/>
    <w:rsid w:val="6F062BB9"/>
    <w:rsid w:val="6F0C02D8"/>
    <w:rsid w:val="6F115342"/>
    <w:rsid w:val="6F146D8F"/>
    <w:rsid w:val="6F162BA3"/>
    <w:rsid w:val="6F21369A"/>
    <w:rsid w:val="6F220B9E"/>
    <w:rsid w:val="6F3C65DA"/>
    <w:rsid w:val="6F4A0C86"/>
    <w:rsid w:val="6F4C561C"/>
    <w:rsid w:val="6F5309A2"/>
    <w:rsid w:val="6F536B40"/>
    <w:rsid w:val="6F5E32A1"/>
    <w:rsid w:val="6F653D83"/>
    <w:rsid w:val="6F661F15"/>
    <w:rsid w:val="6F702F7A"/>
    <w:rsid w:val="6F78370B"/>
    <w:rsid w:val="6F8B5A95"/>
    <w:rsid w:val="6F900469"/>
    <w:rsid w:val="6F991419"/>
    <w:rsid w:val="6FA11696"/>
    <w:rsid w:val="6FA5629E"/>
    <w:rsid w:val="6FAB0310"/>
    <w:rsid w:val="6FAC5609"/>
    <w:rsid w:val="6FAF2461"/>
    <w:rsid w:val="6FB3215C"/>
    <w:rsid w:val="6FBE49C3"/>
    <w:rsid w:val="6FC27EC5"/>
    <w:rsid w:val="6FCF56A0"/>
    <w:rsid w:val="6FD76303"/>
    <w:rsid w:val="6FE23A25"/>
    <w:rsid w:val="6FE4739E"/>
    <w:rsid w:val="6FE8285E"/>
    <w:rsid w:val="6FF55722"/>
    <w:rsid w:val="6FF677BA"/>
    <w:rsid w:val="6FFE52D0"/>
    <w:rsid w:val="6FFF5333"/>
    <w:rsid w:val="7000184C"/>
    <w:rsid w:val="70084B3C"/>
    <w:rsid w:val="700C4682"/>
    <w:rsid w:val="7013397E"/>
    <w:rsid w:val="70307ABA"/>
    <w:rsid w:val="70320C2F"/>
    <w:rsid w:val="70326673"/>
    <w:rsid w:val="703940E2"/>
    <w:rsid w:val="703B4339"/>
    <w:rsid w:val="7040547D"/>
    <w:rsid w:val="7053600D"/>
    <w:rsid w:val="7059007C"/>
    <w:rsid w:val="705A261F"/>
    <w:rsid w:val="705A39BC"/>
    <w:rsid w:val="70637E21"/>
    <w:rsid w:val="70732817"/>
    <w:rsid w:val="707D245B"/>
    <w:rsid w:val="709B5583"/>
    <w:rsid w:val="70A24FD7"/>
    <w:rsid w:val="70A63127"/>
    <w:rsid w:val="70AB3A18"/>
    <w:rsid w:val="70AB6EB3"/>
    <w:rsid w:val="70AC1BD0"/>
    <w:rsid w:val="70AE4D16"/>
    <w:rsid w:val="70BC7DC8"/>
    <w:rsid w:val="70C36F46"/>
    <w:rsid w:val="70CD20A9"/>
    <w:rsid w:val="70CD6A8C"/>
    <w:rsid w:val="70D120E2"/>
    <w:rsid w:val="70D64343"/>
    <w:rsid w:val="70F12E1E"/>
    <w:rsid w:val="70F36425"/>
    <w:rsid w:val="70F80C27"/>
    <w:rsid w:val="70F92230"/>
    <w:rsid w:val="70FF2D7C"/>
    <w:rsid w:val="711271DA"/>
    <w:rsid w:val="712F7862"/>
    <w:rsid w:val="713253D5"/>
    <w:rsid w:val="713734FD"/>
    <w:rsid w:val="71413ADE"/>
    <w:rsid w:val="715D7C7A"/>
    <w:rsid w:val="71681909"/>
    <w:rsid w:val="716C2311"/>
    <w:rsid w:val="71752277"/>
    <w:rsid w:val="717E737E"/>
    <w:rsid w:val="718304F0"/>
    <w:rsid w:val="71862C3F"/>
    <w:rsid w:val="71A065A8"/>
    <w:rsid w:val="71A30B93"/>
    <w:rsid w:val="71A60683"/>
    <w:rsid w:val="71A62431"/>
    <w:rsid w:val="71B935CD"/>
    <w:rsid w:val="71BA3AA8"/>
    <w:rsid w:val="71D62C9F"/>
    <w:rsid w:val="71D92806"/>
    <w:rsid w:val="71E02763"/>
    <w:rsid w:val="71E80C9B"/>
    <w:rsid w:val="71F04484"/>
    <w:rsid w:val="72125F2A"/>
    <w:rsid w:val="72165FF1"/>
    <w:rsid w:val="721675B7"/>
    <w:rsid w:val="7229590C"/>
    <w:rsid w:val="72475FCF"/>
    <w:rsid w:val="724D0AFE"/>
    <w:rsid w:val="725C4626"/>
    <w:rsid w:val="72600832"/>
    <w:rsid w:val="7265143A"/>
    <w:rsid w:val="72776146"/>
    <w:rsid w:val="727B5A67"/>
    <w:rsid w:val="72872262"/>
    <w:rsid w:val="7292038F"/>
    <w:rsid w:val="72A2709C"/>
    <w:rsid w:val="72A96131"/>
    <w:rsid w:val="72B15E89"/>
    <w:rsid w:val="72BA43E6"/>
    <w:rsid w:val="72BC75B7"/>
    <w:rsid w:val="72BD6510"/>
    <w:rsid w:val="72CE2518"/>
    <w:rsid w:val="72CF17D1"/>
    <w:rsid w:val="72E17BC5"/>
    <w:rsid w:val="72E533AC"/>
    <w:rsid w:val="72F1592E"/>
    <w:rsid w:val="72F5051F"/>
    <w:rsid w:val="73013DC3"/>
    <w:rsid w:val="730A2E16"/>
    <w:rsid w:val="730F3672"/>
    <w:rsid w:val="73206FF1"/>
    <w:rsid w:val="73226710"/>
    <w:rsid w:val="73251847"/>
    <w:rsid w:val="7326371D"/>
    <w:rsid w:val="7334688F"/>
    <w:rsid w:val="73381385"/>
    <w:rsid w:val="734819F2"/>
    <w:rsid w:val="73517D90"/>
    <w:rsid w:val="735E4F4A"/>
    <w:rsid w:val="7371146A"/>
    <w:rsid w:val="737F2F3A"/>
    <w:rsid w:val="73804F17"/>
    <w:rsid w:val="73922285"/>
    <w:rsid w:val="73922C00"/>
    <w:rsid w:val="7395105C"/>
    <w:rsid w:val="73993FFB"/>
    <w:rsid w:val="73A5689A"/>
    <w:rsid w:val="73AA445A"/>
    <w:rsid w:val="73D27919"/>
    <w:rsid w:val="73D6524F"/>
    <w:rsid w:val="73E71016"/>
    <w:rsid w:val="73EC6E5E"/>
    <w:rsid w:val="73F2015A"/>
    <w:rsid w:val="74052DA9"/>
    <w:rsid w:val="741432EC"/>
    <w:rsid w:val="74161689"/>
    <w:rsid w:val="741C3B7A"/>
    <w:rsid w:val="742C1037"/>
    <w:rsid w:val="74364059"/>
    <w:rsid w:val="74437027"/>
    <w:rsid w:val="7447706D"/>
    <w:rsid w:val="744A0ED7"/>
    <w:rsid w:val="744E265A"/>
    <w:rsid w:val="7450784E"/>
    <w:rsid w:val="7452064E"/>
    <w:rsid w:val="7459076D"/>
    <w:rsid w:val="746960C4"/>
    <w:rsid w:val="747131CA"/>
    <w:rsid w:val="74853A0A"/>
    <w:rsid w:val="74861477"/>
    <w:rsid w:val="7491370C"/>
    <w:rsid w:val="74982505"/>
    <w:rsid w:val="74A42659"/>
    <w:rsid w:val="74A5144A"/>
    <w:rsid w:val="74AC59F5"/>
    <w:rsid w:val="74AD31D7"/>
    <w:rsid w:val="74B40C91"/>
    <w:rsid w:val="74D20B89"/>
    <w:rsid w:val="74D24097"/>
    <w:rsid w:val="74E02CEC"/>
    <w:rsid w:val="74E03EAC"/>
    <w:rsid w:val="74EB455A"/>
    <w:rsid w:val="74EC45FF"/>
    <w:rsid w:val="750D71FB"/>
    <w:rsid w:val="75221A17"/>
    <w:rsid w:val="752F4321"/>
    <w:rsid w:val="753366D1"/>
    <w:rsid w:val="7544072B"/>
    <w:rsid w:val="75470247"/>
    <w:rsid w:val="755C010C"/>
    <w:rsid w:val="756640E6"/>
    <w:rsid w:val="75731FD0"/>
    <w:rsid w:val="757E5B9F"/>
    <w:rsid w:val="758F598F"/>
    <w:rsid w:val="75A03D67"/>
    <w:rsid w:val="75A17997"/>
    <w:rsid w:val="75A97EDA"/>
    <w:rsid w:val="75B710B1"/>
    <w:rsid w:val="75C438F9"/>
    <w:rsid w:val="75CC705F"/>
    <w:rsid w:val="75D25EEA"/>
    <w:rsid w:val="75DA2062"/>
    <w:rsid w:val="75DF3639"/>
    <w:rsid w:val="75DF5F11"/>
    <w:rsid w:val="75E174C9"/>
    <w:rsid w:val="75E31EA6"/>
    <w:rsid w:val="75EA1893"/>
    <w:rsid w:val="75F30FF4"/>
    <w:rsid w:val="75FF6021"/>
    <w:rsid w:val="76037E52"/>
    <w:rsid w:val="7608756F"/>
    <w:rsid w:val="760A19CD"/>
    <w:rsid w:val="760A6EE8"/>
    <w:rsid w:val="760F645A"/>
    <w:rsid w:val="760F67F7"/>
    <w:rsid w:val="76107FAC"/>
    <w:rsid w:val="76120095"/>
    <w:rsid w:val="7626400A"/>
    <w:rsid w:val="762C6106"/>
    <w:rsid w:val="762C78FE"/>
    <w:rsid w:val="763A15B8"/>
    <w:rsid w:val="763E532E"/>
    <w:rsid w:val="763F70F8"/>
    <w:rsid w:val="76421BC3"/>
    <w:rsid w:val="7666178B"/>
    <w:rsid w:val="7667614D"/>
    <w:rsid w:val="767718A2"/>
    <w:rsid w:val="7677198B"/>
    <w:rsid w:val="7689090B"/>
    <w:rsid w:val="76B93049"/>
    <w:rsid w:val="76B948BE"/>
    <w:rsid w:val="76BC285E"/>
    <w:rsid w:val="76BF66A7"/>
    <w:rsid w:val="76C05D43"/>
    <w:rsid w:val="76C3664E"/>
    <w:rsid w:val="76CB3196"/>
    <w:rsid w:val="76D11CFE"/>
    <w:rsid w:val="76E063E5"/>
    <w:rsid w:val="76E769AB"/>
    <w:rsid w:val="76E76F00"/>
    <w:rsid w:val="76F8566A"/>
    <w:rsid w:val="76FB7086"/>
    <w:rsid w:val="770F7940"/>
    <w:rsid w:val="7715608F"/>
    <w:rsid w:val="771C091A"/>
    <w:rsid w:val="77201DE4"/>
    <w:rsid w:val="77275903"/>
    <w:rsid w:val="7745191B"/>
    <w:rsid w:val="7750785F"/>
    <w:rsid w:val="77536BB7"/>
    <w:rsid w:val="775C39F6"/>
    <w:rsid w:val="77613D60"/>
    <w:rsid w:val="776A4237"/>
    <w:rsid w:val="777C0999"/>
    <w:rsid w:val="77914F87"/>
    <w:rsid w:val="77927906"/>
    <w:rsid w:val="779D2101"/>
    <w:rsid w:val="77A502A1"/>
    <w:rsid w:val="77B5151D"/>
    <w:rsid w:val="77BA2C07"/>
    <w:rsid w:val="77C70C7A"/>
    <w:rsid w:val="77CF4E44"/>
    <w:rsid w:val="77DA2E34"/>
    <w:rsid w:val="77E23F4F"/>
    <w:rsid w:val="77E45DEA"/>
    <w:rsid w:val="78000AED"/>
    <w:rsid w:val="78077E49"/>
    <w:rsid w:val="78106856"/>
    <w:rsid w:val="781B05C8"/>
    <w:rsid w:val="7827593F"/>
    <w:rsid w:val="782C7B34"/>
    <w:rsid w:val="782E0677"/>
    <w:rsid w:val="7836325D"/>
    <w:rsid w:val="78477936"/>
    <w:rsid w:val="78495BFE"/>
    <w:rsid w:val="78572EF8"/>
    <w:rsid w:val="78585A30"/>
    <w:rsid w:val="785E75C1"/>
    <w:rsid w:val="78615304"/>
    <w:rsid w:val="786D7AC9"/>
    <w:rsid w:val="787079B2"/>
    <w:rsid w:val="787B7F2D"/>
    <w:rsid w:val="7880578A"/>
    <w:rsid w:val="788A416C"/>
    <w:rsid w:val="788B412F"/>
    <w:rsid w:val="788C05D2"/>
    <w:rsid w:val="789A23E2"/>
    <w:rsid w:val="78A56F1A"/>
    <w:rsid w:val="78A91BD1"/>
    <w:rsid w:val="78AE54E6"/>
    <w:rsid w:val="78B2790D"/>
    <w:rsid w:val="78B63393"/>
    <w:rsid w:val="78C64C46"/>
    <w:rsid w:val="78C72993"/>
    <w:rsid w:val="78CA262D"/>
    <w:rsid w:val="78CA4C57"/>
    <w:rsid w:val="78CE2085"/>
    <w:rsid w:val="78DA1F2B"/>
    <w:rsid w:val="78DC209B"/>
    <w:rsid w:val="78E20B9D"/>
    <w:rsid w:val="78F267A2"/>
    <w:rsid w:val="78F33E83"/>
    <w:rsid w:val="78F91588"/>
    <w:rsid w:val="78FD327E"/>
    <w:rsid w:val="790C34C1"/>
    <w:rsid w:val="792C76C0"/>
    <w:rsid w:val="792E08AB"/>
    <w:rsid w:val="792F2C20"/>
    <w:rsid w:val="793A0DE4"/>
    <w:rsid w:val="793B5B55"/>
    <w:rsid w:val="79405F53"/>
    <w:rsid w:val="794074A5"/>
    <w:rsid w:val="79417331"/>
    <w:rsid w:val="796055BB"/>
    <w:rsid w:val="79610FF2"/>
    <w:rsid w:val="79626B38"/>
    <w:rsid w:val="79753638"/>
    <w:rsid w:val="797F7A32"/>
    <w:rsid w:val="798967EA"/>
    <w:rsid w:val="798C2E09"/>
    <w:rsid w:val="79975C89"/>
    <w:rsid w:val="799D624A"/>
    <w:rsid w:val="799F7E92"/>
    <w:rsid w:val="79A55B99"/>
    <w:rsid w:val="79AB6836"/>
    <w:rsid w:val="79AC59A1"/>
    <w:rsid w:val="79AE4579"/>
    <w:rsid w:val="79BF33E8"/>
    <w:rsid w:val="79CD7792"/>
    <w:rsid w:val="79E41D48"/>
    <w:rsid w:val="79ED6E4F"/>
    <w:rsid w:val="79F906F3"/>
    <w:rsid w:val="79FA6004"/>
    <w:rsid w:val="79FF4DD4"/>
    <w:rsid w:val="79FF6B82"/>
    <w:rsid w:val="7A0348D0"/>
    <w:rsid w:val="7A042C0A"/>
    <w:rsid w:val="7A132718"/>
    <w:rsid w:val="7A191862"/>
    <w:rsid w:val="7A257955"/>
    <w:rsid w:val="7A3026A7"/>
    <w:rsid w:val="7A316E63"/>
    <w:rsid w:val="7A382947"/>
    <w:rsid w:val="7A3B282B"/>
    <w:rsid w:val="7A4B626B"/>
    <w:rsid w:val="7A4D3D91"/>
    <w:rsid w:val="7A4E1809"/>
    <w:rsid w:val="7A5A4B4D"/>
    <w:rsid w:val="7A5C4026"/>
    <w:rsid w:val="7A611CD0"/>
    <w:rsid w:val="7A614E1D"/>
    <w:rsid w:val="7A665F33"/>
    <w:rsid w:val="7A751E77"/>
    <w:rsid w:val="7A8D2CB9"/>
    <w:rsid w:val="7A9A058E"/>
    <w:rsid w:val="7A9B2D4F"/>
    <w:rsid w:val="7ABF2D69"/>
    <w:rsid w:val="7AC152ED"/>
    <w:rsid w:val="7AC85F94"/>
    <w:rsid w:val="7ACD0A2E"/>
    <w:rsid w:val="7ACF47A6"/>
    <w:rsid w:val="7AD86C14"/>
    <w:rsid w:val="7AE31DA6"/>
    <w:rsid w:val="7AFD7566"/>
    <w:rsid w:val="7AFE32FA"/>
    <w:rsid w:val="7B0656F6"/>
    <w:rsid w:val="7B120C32"/>
    <w:rsid w:val="7B127476"/>
    <w:rsid w:val="7B1448AF"/>
    <w:rsid w:val="7B172DAE"/>
    <w:rsid w:val="7B194A54"/>
    <w:rsid w:val="7B2A7BB6"/>
    <w:rsid w:val="7B2E5747"/>
    <w:rsid w:val="7B4C1A2E"/>
    <w:rsid w:val="7B662DB0"/>
    <w:rsid w:val="7B75735C"/>
    <w:rsid w:val="7B7612F7"/>
    <w:rsid w:val="7B825CBD"/>
    <w:rsid w:val="7B8E1362"/>
    <w:rsid w:val="7B8F3F36"/>
    <w:rsid w:val="7B93269C"/>
    <w:rsid w:val="7B972056"/>
    <w:rsid w:val="7BA10DEF"/>
    <w:rsid w:val="7BA5632A"/>
    <w:rsid w:val="7BA63759"/>
    <w:rsid w:val="7BAC0D87"/>
    <w:rsid w:val="7BB2194B"/>
    <w:rsid w:val="7BB32E10"/>
    <w:rsid w:val="7BB76E70"/>
    <w:rsid w:val="7BBD6CF5"/>
    <w:rsid w:val="7BC2430B"/>
    <w:rsid w:val="7BC424C2"/>
    <w:rsid w:val="7BC9511E"/>
    <w:rsid w:val="7BC96777"/>
    <w:rsid w:val="7BCD608A"/>
    <w:rsid w:val="7BD13EE3"/>
    <w:rsid w:val="7BD3648C"/>
    <w:rsid w:val="7BD8052A"/>
    <w:rsid w:val="7BDA78A7"/>
    <w:rsid w:val="7BE9784F"/>
    <w:rsid w:val="7BF406DC"/>
    <w:rsid w:val="7BF73FB5"/>
    <w:rsid w:val="7C0E7550"/>
    <w:rsid w:val="7C18117F"/>
    <w:rsid w:val="7C1915D9"/>
    <w:rsid w:val="7C1C1C6D"/>
    <w:rsid w:val="7C2005B7"/>
    <w:rsid w:val="7C266648"/>
    <w:rsid w:val="7C2E3833"/>
    <w:rsid w:val="7C3072EF"/>
    <w:rsid w:val="7C371E38"/>
    <w:rsid w:val="7C383C55"/>
    <w:rsid w:val="7C4132B5"/>
    <w:rsid w:val="7C4B2553"/>
    <w:rsid w:val="7C533E86"/>
    <w:rsid w:val="7C5D5354"/>
    <w:rsid w:val="7C62059B"/>
    <w:rsid w:val="7C6470A6"/>
    <w:rsid w:val="7C662EE9"/>
    <w:rsid w:val="7C6A0C2B"/>
    <w:rsid w:val="7C750B55"/>
    <w:rsid w:val="7C7A5C73"/>
    <w:rsid w:val="7C7E4EFB"/>
    <w:rsid w:val="7C831930"/>
    <w:rsid w:val="7C8765A9"/>
    <w:rsid w:val="7C8B0BA1"/>
    <w:rsid w:val="7C8C4783"/>
    <w:rsid w:val="7C90692E"/>
    <w:rsid w:val="7C945CA8"/>
    <w:rsid w:val="7C9966A5"/>
    <w:rsid w:val="7CA87A5B"/>
    <w:rsid w:val="7CAC1664"/>
    <w:rsid w:val="7CCC065C"/>
    <w:rsid w:val="7CD671CF"/>
    <w:rsid w:val="7CDA1729"/>
    <w:rsid w:val="7CE00EED"/>
    <w:rsid w:val="7CEF4824"/>
    <w:rsid w:val="7CF46A35"/>
    <w:rsid w:val="7CFC6D54"/>
    <w:rsid w:val="7CFD21B4"/>
    <w:rsid w:val="7D0B16B4"/>
    <w:rsid w:val="7D0F609B"/>
    <w:rsid w:val="7D137D99"/>
    <w:rsid w:val="7D140B97"/>
    <w:rsid w:val="7D140F64"/>
    <w:rsid w:val="7D237C56"/>
    <w:rsid w:val="7D2863F0"/>
    <w:rsid w:val="7D2A2168"/>
    <w:rsid w:val="7D312E59"/>
    <w:rsid w:val="7D3B11E8"/>
    <w:rsid w:val="7D3D0A9D"/>
    <w:rsid w:val="7D423B5C"/>
    <w:rsid w:val="7D443B44"/>
    <w:rsid w:val="7D684284"/>
    <w:rsid w:val="7D741635"/>
    <w:rsid w:val="7D760836"/>
    <w:rsid w:val="7D787377"/>
    <w:rsid w:val="7D87281B"/>
    <w:rsid w:val="7DA1505A"/>
    <w:rsid w:val="7DA912DF"/>
    <w:rsid w:val="7DA918D2"/>
    <w:rsid w:val="7DB40AA0"/>
    <w:rsid w:val="7DB639F6"/>
    <w:rsid w:val="7DBF5BE0"/>
    <w:rsid w:val="7DC46119"/>
    <w:rsid w:val="7DD8094D"/>
    <w:rsid w:val="7DEA724E"/>
    <w:rsid w:val="7DF60C9D"/>
    <w:rsid w:val="7DF86826"/>
    <w:rsid w:val="7DFB5B38"/>
    <w:rsid w:val="7E0574C1"/>
    <w:rsid w:val="7E10605D"/>
    <w:rsid w:val="7E1A0D77"/>
    <w:rsid w:val="7E1F77F3"/>
    <w:rsid w:val="7E211431"/>
    <w:rsid w:val="7E215319"/>
    <w:rsid w:val="7E2217F7"/>
    <w:rsid w:val="7E240CB6"/>
    <w:rsid w:val="7E24535B"/>
    <w:rsid w:val="7E39362A"/>
    <w:rsid w:val="7E3F4BC5"/>
    <w:rsid w:val="7E405570"/>
    <w:rsid w:val="7E544334"/>
    <w:rsid w:val="7E857F9E"/>
    <w:rsid w:val="7E8C0464"/>
    <w:rsid w:val="7E8E30D7"/>
    <w:rsid w:val="7E9B156F"/>
    <w:rsid w:val="7EA35621"/>
    <w:rsid w:val="7EB00183"/>
    <w:rsid w:val="7EB31304"/>
    <w:rsid w:val="7ECF6249"/>
    <w:rsid w:val="7ED960BD"/>
    <w:rsid w:val="7EDB1D55"/>
    <w:rsid w:val="7EDE5ECD"/>
    <w:rsid w:val="7EE83600"/>
    <w:rsid w:val="7EEC6F3B"/>
    <w:rsid w:val="7EF007D3"/>
    <w:rsid w:val="7EFC5D86"/>
    <w:rsid w:val="7EFD4E84"/>
    <w:rsid w:val="7F0B6DD5"/>
    <w:rsid w:val="7F104AEC"/>
    <w:rsid w:val="7F123263"/>
    <w:rsid w:val="7F1B0BA8"/>
    <w:rsid w:val="7F32394D"/>
    <w:rsid w:val="7F3B5F71"/>
    <w:rsid w:val="7F3D43D5"/>
    <w:rsid w:val="7F453392"/>
    <w:rsid w:val="7F4A4D43"/>
    <w:rsid w:val="7F537DC5"/>
    <w:rsid w:val="7F672D3D"/>
    <w:rsid w:val="7F7020F7"/>
    <w:rsid w:val="7F761695"/>
    <w:rsid w:val="7F8711D6"/>
    <w:rsid w:val="7F8E4E7C"/>
    <w:rsid w:val="7F915817"/>
    <w:rsid w:val="7F9337BC"/>
    <w:rsid w:val="7F944416"/>
    <w:rsid w:val="7F947D6D"/>
    <w:rsid w:val="7F970D6E"/>
    <w:rsid w:val="7FA426A6"/>
    <w:rsid w:val="7FB865A4"/>
    <w:rsid w:val="7FBA52DB"/>
    <w:rsid w:val="7FBD2C67"/>
    <w:rsid w:val="7FBD2F45"/>
    <w:rsid w:val="7FBE40E8"/>
    <w:rsid w:val="7FC9170C"/>
    <w:rsid w:val="7FC95C68"/>
    <w:rsid w:val="7FCC6956"/>
    <w:rsid w:val="7FDD34C2"/>
    <w:rsid w:val="7FDE63E7"/>
    <w:rsid w:val="7FE26D2A"/>
    <w:rsid w:val="7FE80E31"/>
    <w:rsid w:val="7FEB0D3B"/>
    <w:rsid w:val="7FEE443F"/>
    <w:rsid w:val="7FF57FA5"/>
    <w:rsid w:val="7FFF2F94"/>
    <w:rsid w:val="EF8B02AA"/>
    <w:rsid w:val="F7D7CEEA"/>
    <w:rsid w:val="FFFE6F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99" w:semiHidden="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4">
    <w:name w:val="heading 2"/>
    <w:basedOn w:val="2"/>
    <w:next w:val="5"/>
    <w:unhideWhenUsed/>
    <w:qFormat/>
    <w:uiPriority w:val="0"/>
    <w:pPr>
      <w:keepNext/>
      <w:keepLines/>
      <w:tabs>
        <w:tab w:val="left" w:pos="720"/>
      </w:tabs>
      <w:spacing w:before="260" w:after="260" w:line="413" w:lineRule="auto"/>
      <w:outlineLvl w:val="1"/>
    </w:pPr>
    <w:rPr>
      <w:rFonts w:ascii="Arial" w:hAnsi="Arial" w:eastAsia="黑体"/>
      <w:sz w:val="32"/>
      <w:szCs w:val="32"/>
    </w:rPr>
  </w:style>
  <w:style w:type="paragraph" w:styleId="5">
    <w:name w:val="heading 3"/>
    <w:basedOn w:val="1"/>
    <w:next w:val="1"/>
    <w:link w:val="55"/>
    <w:unhideWhenUsed/>
    <w:qFormat/>
    <w:uiPriority w:val="0"/>
    <w:pPr>
      <w:keepNext/>
      <w:keepLines/>
      <w:tabs>
        <w:tab w:val="left" w:pos="720"/>
      </w:tabs>
      <w:spacing w:before="260" w:after="260" w:line="413" w:lineRule="auto"/>
      <w:ind w:left="720" w:hanging="432"/>
      <w:outlineLvl w:val="2"/>
    </w:pPr>
    <w:rPr>
      <w:b/>
      <w:bCs/>
      <w:sz w:val="32"/>
      <w:szCs w:val="32"/>
    </w:rPr>
  </w:style>
  <w:style w:type="paragraph" w:styleId="6">
    <w:name w:val="heading 4"/>
    <w:basedOn w:val="1"/>
    <w:next w:val="1"/>
    <w:unhideWhenUsed/>
    <w:qFormat/>
    <w:uiPriority w:val="0"/>
    <w:pPr>
      <w:keepNext/>
      <w:keepLines/>
      <w:spacing w:line="376" w:lineRule="auto"/>
      <w:outlineLvl w:val="3"/>
    </w:pPr>
    <w:rPr>
      <w:rFonts w:ascii="Arial" w:hAnsi="Arial" w:eastAsia="黑体"/>
      <w:b/>
      <w:bCs/>
      <w:sz w:val="28"/>
      <w:szCs w:val="28"/>
    </w:rPr>
  </w:style>
  <w:style w:type="paragraph" w:styleId="7">
    <w:name w:val="heading 5"/>
    <w:basedOn w:val="1"/>
    <w:next w:val="1"/>
    <w:link w:val="56"/>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7"/>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9">
    <w:name w:val="heading 7"/>
    <w:basedOn w:val="1"/>
    <w:next w:val="1"/>
    <w:link w:val="58"/>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10">
    <w:name w:val="heading 8"/>
    <w:basedOn w:val="1"/>
    <w:next w:val="1"/>
    <w:link w:val="59"/>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1">
    <w:name w:val="heading 9"/>
    <w:basedOn w:val="1"/>
    <w:next w:val="1"/>
    <w:link w:val="60"/>
    <w:qFormat/>
    <w:uiPriority w:val="0"/>
    <w:pPr>
      <w:keepNext/>
      <w:keepLines/>
      <w:tabs>
        <w:tab w:val="left" w:pos="1584"/>
      </w:tabs>
      <w:spacing w:before="240" w:after="64" w:line="320" w:lineRule="auto"/>
      <w:ind w:left="1584" w:hanging="1584"/>
      <w:outlineLvl w:val="8"/>
    </w:pPr>
    <w:rPr>
      <w:rFonts w:ascii="Arial" w:hAnsi="Arial" w:eastAsia="黑体" w:cs="Times New Roman"/>
      <w:sz w:val="28"/>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12">
    <w:name w:val="toc 7"/>
    <w:basedOn w:val="1"/>
    <w:next w:val="1"/>
    <w:qFormat/>
    <w:uiPriority w:val="39"/>
    <w:pPr>
      <w:ind w:left="1260"/>
      <w:jc w:val="left"/>
    </w:pPr>
    <w:rPr>
      <w:sz w:val="20"/>
      <w:szCs w:val="20"/>
    </w:rPr>
  </w:style>
  <w:style w:type="paragraph" w:styleId="13">
    <w:name w:val="Normal Indent"/>
    <w:basedOn w:val="1"/>
    <w:qFormat/>
    <w:uiPriority w:val="0"/>
    <w:pPr>
      <w:ind w:firstLine="420"/>
    </w:pPr>
    <w:rPr>
      <w:szCs w:val="20"/>
    </w:rPr>
  </w:style>
  <w:style w:type="paragraph" w:styleId="14">
    <w:name w:val="caption"/>
    <w:basedOn w:val="1"/>
    <w:next w:val="1"/>
    <w:unhideWhenUsed/>
    <w:qFormat/>
    <w:uiPriority w:val="0"/>
    <w:rPr>
      <w:rFonts w:ascii="Cambria" w:hAnsi="Cambria" w:eastAsia="黑体" w:cs="Times New Roman"/>
      <w:sz w:val="20"/>
      <w:szCs w:val="20"/>
    </w:rPr>
  </w:style>
  <w:style w:type="paragraph" w:styleId="15">
    <w:name w:val="Document Map"/>
    <w:basedOn w:val="1"/>
    <w:link w:val="61"/>
    <w:qFormat/>
    <w:uiPriority w:val="0"/>
    <w:rPr>
      <w:rFonts w:ascii="宋体" w:eastAsia="宋体"/>
      <w:sz w:val="18"/>
      <w:szCs w:val="18"/>
    </w:rPr>
  </w:style>
  <w:style w:type="paragraph" w:styleId="16">
    <w:name w:val="annotation text"/>
    <w:basedOn w:val="1"/>
    <w:link w:val="62"/>
    <w:qFormat/>
    <w:uiPriority w:val="99"/>
    <w:pPr>
      <w:jc w:val="left"/>
    </w:pPr>
  </w:style>
  <w:style w:type="paragraph" w:styleId="17">
    <w:name w:val="Body Text"/>
    <w:basedOn w:val="1"/>
    <w:next w:val="18"/>
    <w:qFormat/>
    <w:uiPriority w:val="99"/>
    <w:pPr>
      <w:spacing w:after="120"/>
    </w:pPr>
  </w:style>
  <w:style w:type="paragraph" w:styleId="18">
    <w:name w:val="Body Text First Indent"/>
    <w:basedOn w:val="17"/>
    <w:next w:val="19"/>
    <w:qFormat/>
    <w:uiPriority w:val="0"/>
    <w:pPr>
      <w:framePr w:wrap="around" w:vAnchor="margin" w:hAnchor="text" w:y="1"/>
      <w:widowControl w:val="0"/>
      <w:spacing w:after="120"/>
      <w:ind w:firstLine="420"/>
      <w:jc w:val="both"/>
    </w:pPr>
    <w:rPr>
      <w:rFonts w:ascii="Times New Roman" w:hAnsi="Times New Roman" w:eastAsia="Arial Unicode MS" w:cs="Arial Unicode MS"/>
      <w:color w:val="000000"/>
      <w:kern w:val="2"/>
      <w:sz w:val="21"/>
      <w:szCs w:val="21"/>
      <w:lang w:val="en-US" w:eastAsia="zh-CN" w:bidi="ar-SA"/>
    </w:rPr>
  </w:style>
  <w:style w:type="paragraph" w:styleId="19">
    <w:name w:val="toc 6"/>
    <w:basedOn w:val="1"/>
    <w:next w:val="1"/>
    <w:qFormat/>
    <w:uiPriority w:val="39"/>
    <w:pPr>
      <w:ind w:left="1050"/>
      <w:jc w:val="left"/>
    </w:pPr>
    <w:rPr>
      <w:sz w:val="20"/>
      <w:szCs w:val="20"/>
    </w:rPr>
  </w:style>
  <w:style w:type="paragraph" w:styleId="20">
    <w:name w:val="Body Text Indent"/>
    <w:basedOn w:val="1"/>
    <w:unhideWhenUsed/>
    <w:qFormat/>
    <w:uiPriority w:val="99"/>
    <w:pPr>
      <w:spacing w:after="120"/>
      <w:ind w:left="420" w:leftChars="200"/>
    </w:pPr>
  </w:style>
  <w:style w:type="paragraph" w:styleId="21">
    <w:name w:val="toc 5"/>
    <w:basedOn w:val="1"/>
    <w:next w:val="1"/>
    <w:qFormat/>
    <w:uiPriority w:val="39"/>
    <w:pPr>
      <w:ind w:left="840"/>
      <w:jc w:val="left"/>
    </w:pPr>
    <w:rPr>
      <w:sz w:val="20"/>
      <w:szCs w:val="20"/>
    </w:rPr>
  </w:style>
  <w:style w:type="paragraph" w:styleId="22">
    <w:name w:val="toc 3"/>
    <w:basedOn w:val="1"/>
    <w:next w:val="1"/>
    <w:qFormat/>
    <w:uiPriority w:val="39"/>
    <w:pPr>
      <w:ind w:left="420"/>
      <w:jc w:val="left"/>
    </w:pPr>
    <w:rPr>
      <w:sz w:val="20"/>
      <w:szCs w:val="20"/>
    </w:rPr>
  </w:style>
  <w:style w:type="paragraph" w:styleId="23">
    <w:name w:val="Plain Text"/>
    <w:basedOn w:val="1"/>
    <w:link w:val="63"/>
    <w:qFormat/>
    <w:uiPriority w:val="0"/>
    <w:rPr>
      <w:rFonts w:ascii="宋体" w:hAnsi="Courier New"/>
    </w:rPr>
  </w:style>
  <w:style w:type="paragraph" w:styleId="24">
    <w:name w:val="toc 8"/>
    <w:basedOn w:val="1"/>
    <w:next w:val="1"/>
    <w:qFormat/>
    <w:uiPriority w:val="39"/>
    <w:pPr>
      <w:ind w:left="1470"/>
      <w:jc w:val="left"/>
    </w:pPr>
    <w:rPr>
      <w:sz w:val="20"/>
      <w:szCs w:val="20"/>
    </w:rPr>
  </w:style>
  <w:style w:type="paragraph" w:styleId="25">
    <w:name w:val="Date"/>
    <w:basedOn w:val="1"/>
    <w:next w:val="1"/>
    <w:qFormat/>
    <w:uiPriority w:val="0"/>
    <w:pPr>
      <w:ind w:left="100" w:leftChars="2500"/>
    </w:pPr>
  </w:style>
  <w:style w:type="paragraph" w:styleId="26">
    <w:name w:val="Body Text Indent 2"/>
    <w:basedOn w:val="1"/>
    <w:qFormat/>
    <w:uiPriority w:val="0"/>
    <w:pPr>
      <w:widowControl/>
      <w:ind w:left="840" w:hanging="840"/>
    </w:pPr>
    <w:rPr>
      <w:rFonts w:ascii="楷体_GB2312" w:eastAsia="楷体_GB2312"/>
      <w:kern w:val="0"/>
      <w:sz w:val="28"/>
      <w:szCs w:val="20"/>
    </w:rPr>
  </w:style>
  <w:style w:type="paragraph" w:styleId="27">
    <w:name w:val="Balloon Text"/>
    <w:basedOn w:val="1"/>
    <w:link w:val="64"/>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jc w:val="left"/>
    </w:pPr>
    <w:rPr>
      <w:b/>
      <w:bCs/>
      <w:i/>
      <w:iCs/>
      <w:sz w:val="24"/>
    </w:rPr>
  </w:style>
  <w:style w:type="paragraph" w:styleId="31">
    <w:name w:val="toc 4"/>
    <w:basedOn w:val="1"/>
    <w:next w:val="1"/>
    <w:qFormat/>
    <w:uiPriority w:val="39"/>
    <w:pPr>
      <w:ind w:left="630"/>
      <w:jc w:val="left"/>
    </w:pPr>
    <w:rPr>
      <w:sz w:val="20"/>
      <w:szCs w:val="20"/>
    </w:rPr>
  </w:style>
  <w:style w:type="paragraph" w:styleId="32">
    <w:name w:val="index heading"/>
    <w:basedOn w:val="1"/>
    <w:next w:val="33"/>
    <w:qFormat/>
    <w:uiPriority w:val="0"/>
    <w:rPr>
      <w:szCs w:val="20"/>
    </w:rPr>
  </w:style>
  <w:style w:type="paragraph" w:styleId="33">
    <w:name w:val="index 1"/>
    <w:basedOn w:val="1"/>
    <w:next w:val="1"/>
    <w:qFormat/>
    <w:uiPriority w:val="0"/>
    <w:rPr>
      <w:szCs w:val="20"/>
    </w:rPr>
  </w:style>
  <w:style w:type="paragraph" w:styleId="34">
    <w:name w:val="Body Text Indent 3"/>
    <w:basedOn w:val="1"/>
    <w:qFormat/>
    <w:uiPriority w:val="99"/>
    <w:pPr>
      <w:spacing w:line="360" w:lineRule="auto"/>
      <w:ind w:firstLine="420" w:firstLineChars="200"/>
    </w:pPr>
    <w:rPr>
      <w:rFonts w:ascii="Times New Roman" w:hAnsi="Times New Roman"/>
    </w:rPr>
  </w:style>
  <w:style w:type="paragraph" w:styleId="35">
    <w:name w:val="toc 2"/>
    <w:basedOn w:val="1"/>
    <w:next w:val="1"/>
    <w:link w:val="65"/>
    <w:qFormat/>
    <w:uiPriority w:val="39"/>
    <w:pPr>
      <w:spacing w:before="120"/>
      <w:ind w:left="210"/>
      <w:jc w:val="left"/>
    </w:pPr>
    <w:rPr>
      <w:b/>
      <w:bCs/>
      <w:sz w:val="22"/>
      <w:szCs w:val="22"/>
    </w:rPr>
  </w:style>
  <w:style w:type="paragraph" w:styleId="36">
    <w:name w:val="toc 9"/>
    <w:basedOn w:val="1"/>
    <w:next w:val="1"/>
    <w:qFormat/>
    <w:uiPriority w:val="39"/>
    <w:pPr>
      <w:ind w:left="1680"/>
      <w:jc w:val="left"/>
    </w:pPr>
    <w:rPr>
      <w:sz w:val="20"/>
      <w:szCs w:val="20"/>
    </w:rPr>
  </w:style>
  <w:style w:type="paragraph" w:styleId="3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8">
    <w:name w:val="Normal (Web)"/>
    <w:basedOn w:val="1"/>
    <w:unhideWhenUsed/>
    <w:qFormat/>
    <w:uiPriority w:val="0"/>
    <w:pPr>
      <w:spacing w:beforeAutospacing="1" w:afterAutospacing="1"/>
      <w:jc w:val="left"/>
    </w:pPr>
    <w:rPr>
      <w:rFonts w:cs="Times New Roman"/>
      <w:kern w:val="0"/>
      <w:sz w:val="24"/>
    </w:rPr>
  </w:style>
  <w:style w:type="paragraph" w:styleId="39">
    <w:name w:val="annotation subject"/>
    <w:basedOn w:val="16"/>
    <w:next w:val="16"/>
    <w:link w:val="66"/>
    <w:qFormat/>
    <w:uiPriority w:val="0"/>
    <w:rPr>
      <w:b/>
      <w:bCs/>
    </w:rPr>
  </w:style>
  <w:style w:type="paragraph" w:styleId="40">
    <w:name w:val="Body Text First Indent 2"/>
    <w:basedOn w:val="20"/>
    <w:next w:val="1"/>
    <w:qFormat/>
    <w:uiPriority w:val="0"/>
    <w:pPr>
      <w:ind w:firstLine="420" w:firstLineChars="200"/>
    </w:pPr>
    <w:rPr>
      <w:rFonts w:ascii="Times New Roman" w:hAnsi="Times New Roman" w:eastAsia="宋体"/>
      <w:sz w:val="21"/>
      <w:szCs w:val="22"/>
    </w:rPr>
  </w:style>
  <w:style w:type="table" w:styleId="42">
    <w:name w:val="Table Grid"/>
    <w:basedOn w:val="4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basedOn w:val="43"/>
    <w:qFormat/>
    <w:uiPriority w:val="0"/>
    <w:rPr>
      <w:b/>
    </w:rPr>
  </w:style>
  <w:style w:type="character" w:styleId="45">
    <w:name w:val="FollowedHyperlink"/>
    <w:basedOn w:val="43"/>
    <w:unhideWhenUsed/>
    <w:qFormat/>
    <w:uiPriority w:val="0"/>
    <w:rPr>
      <w:color w:val="800080"/>
      <w:u w:val="none"/>
    </w:rPr>
  </w:style>
  <w:style w:type="character" w:styleId="46">
    <w:name w:val="Emphasis"/>
    <w:basedOn w:val="43"/>
    <w:qFormat/>
    <w:uiPriority w:val="0"/>
  </w:style>
  <w:style w:type="character" w:styleId="47">
    <w:name w:val="HTML Definition"/>
    <w:basedOn w:val="43"/>
    <w:unhideWhenUsed/>
    <w:qFormat/>
    <w:uiPriority w:val="0"/>
  </w:style>
  <w:style w:type="character" w:styleId="48">
    <w:name w:val="HTML Variable"/>
    <w:basedOn w:val="43"/>
    <w:unhideWhenUsed/>
    <w:qFormat/>
    <w:uiPriority w:val="0"/>
  </w:style>
  <w:style w:type="character" w:styleId="49">
    <w:name w:val="Hyperlink"/>
    <w:basedOn w:val="43"/>
    <w:unhideWhenUsed/>
    <w:qFormat/>
    <w:uiPriority w:val="99"/>
    <w:rPr>
      <w:color w:val="0563C1"/>
      <w:u w:val="single"/>
    </w:rPr>
  </w:style>
  <w:style w:type="character" w:styleId="50">
    <w:name w:val="HTML Code"/>
    <w:basedOn w:val="43"/>
    <w:unhideWhenUsed/>
    <w:qFormat/>
    <w:uiPriority w:val="0"/>
    <w:rPr>
      <w:rFonts w:ascii="Courier New" w:hAnsi="Courier New"/>
      <w:sz w:val="20"/>
    </w:rPr>
  </w:style>
  <w:style w:type="character" w:styleId="51">
    <w:name w:val="annotation reference"/>
    <w:basedOn w:val="43"/>
    <w:qFormat/>
    <w:uiPriority w:val="0"/>
    <w:rPr>
      <w:sz w:val="21"/>
      <w:szCs w:val="21"/>
    </w:rPr>
  </w:style>
  <w:style w:type="character" w:styleId="52">
    <w:name w:val="HTML Cite"/>
    <w:basedOn w:val="43"/>
    <w:unhideWhenUsed/>
    <w:qFormat/>
    <w:uiPriority w:val="0"/>
  </w:style>
  <w:style w:type="character" w:styleId="53">
    <w:name w:val="HTML Keyboard"/>
    <w:basedOn w:val="43"/>
    <w:unhideWhenUsed/>
    <w:qFormat/>
    <w:uiPriority w:val="0"/>
    <w:rPr>
      <w:rFonts w:ascii="Courier New" w:hAnsi="Courier New"/>
      <w:sz w:val="20"/>
    </w:rPr>
  </w:style>
  <w:style w:type="character" w:styleId="54">
    <w:name w:val="HTML Sample"/>
    <w:basedOn w:val="43"/>
    <w:unhideWhenUsed/>
    <w:qFormat/>
    <w:uiPriority w:val="0"/>
    <w:rPr>
      <w:rFonts w:ascii="Courier New" w:hAnsi="Courier New"/>
    </w:rPr>
  </w:style>
  <w:style w:type="character" w:customStyle="1" w:styleId="55">
    <w:name w:val="标题 3 字符"/>
    <w:basedOn w:val="43"/>
    <w:link w:val="5"/>
    <w:qFormat/>
    <w:uiPriority w:val="0"/>
    <w:rPr>
      <w:b/>
      <w:bCs/>
      <w:kern w:val="2"/>
      <w:sz w:val="32"/>
      <w:szCs w:val="32"/>
    </w:rPr>
  </w:style>
  <w:style w:type="character" w:customStyle="1" w:styleId="56">
    <w:name w:val="标题 5 字符"/>
    <w:basedOn w:val="43"/>
    <w:link w:val="7"/>
    <w:qFormat/>
    <w:uiPriority w:val="0"/>
    <w:rPr>
      <w:rFonts w:ascii="Times New Roman" w:hAnsi="Times New Roman" w:eastAsia="宋体" w:cs="Times New Roman"/>
      <w:b/>
      <w:bCs/>
      <w:kern w:val="2"/>
      <w:sz w:val="28"/>
      <w:szCs w:val="28"/>
    </w:rPr>
  </w:style>
  <w:style w:type="character" w:customStyle="1" w:styleId="57">
    <w:name w:val="标题 6 字符"/>
    <w:basedOn w:val="43"/>
    <w:link w:val="8"/>
    <w:qFormat/>
    <w:uiPriority w:val="0"/>
    <w:rPr>
      <w:rFonts w:ascii="Arial" w:hAnsi="Arial" w:eastAsia="黑体" w:cs="Times New Roman"/>
      <w:b/>
      <w:bCs/>
      <w:kern w:val="2"/>
      <w:sz w:val="24"/>
      <w:szCs w:val="24"/>
    </w:rPr>
  </w:style>
  <w:style w:type="character" w:customStyle="1" w:styleId="58">
    <w:name w:val="标题 7 字符"/>
    <w:basedOn w:val="43"/>
    <w:link w:val="9"/>
    <w:qFormat/>
    <w:uiPriority w:val="0"/>
    <w:rPr>
      <w:rFonts w:ascii="Times New Roman" w:hAnsi="Times New Roman" w:eastAsia="宋体" w:cs="Times New Roman"/>
      <w:b/>
      <w:bCs/>
      <w:kern w:val="2"/>
      <w:sz w:val="24"/>
      <w:szCs w:val="24"/>
    </w:rPr>
  </w:style>
  <w:style w:type="character" w:customStyle="1" w:styleId="59">
    <w:name w:val="标题 8 字符"/>
    <w:basedOn w:val="43"/>
    <w:link w:val="10"/>
    <w:qFormat/>
    <w:uiPriority w:val="0"/>
    <w:rPr>
      <w:rFonts w:ascii="Arial" w:hAnsi="Arial" w:eastAsia="黑体" w:cs="Times New Roman"/>
      <w:kern w:val="2"/>
      <w:sz w:val="24"/>
      <w:szCs w:val="24"/>
    </w:rPr>
  </w:style>
  <w:style w:type="character" w:customStyle="1" w:styleId="60">
    <w:name w:val="标题 9 字符"/>
    <w:basedOn w:val="43"/>
    <w:link w:val="11"/>
    <w:qFormat/>
    <w:uiPriority w:val="0"/>
    <w:rPr>
      <w:rFonts w:ascii="Arial" w:hAnsi="Arial" w:eastAsia="黑体" w:cs="Times New Roman"/>
      <w:kern w:val="2"/>
      <w:sz w:val="28"/>
      <w:szCs w:val="21"/>
    </w:rPr>
  </w:style>
  <w:style w:type="character" w:customStyle="1" w:styleId="61">
    <w:name w:val="文档结构图 字符"/>
    <w:basedOn w:val="43"/>
    <w:link w:val="15"/>
    <w:qFormat/>
    <w:uiPriority w:val="0"/>
    <w:rPr>
      <w:rFonts w:ascii="宋体" w:eastAsia="宋体"/>
      <w:kern w:val="2"/>
      <w:sz w:val="18"/>
      <w:szCs w:val="18"/>
    </w:rPr>
  </w:style>
  <w:style w:type="character" w:customStyle="1" w:styleId="62">
    <w:name w:val="批注文字 字符"/>
    <w:basedOn w:val="43"/>
    <w:link w:val="16"/>
    <w:qFormat/>
    <w:uiPriority w:val="99"/>
    <w:rPr>
      <w:kern w:val="2"/>
      <w:sz w:val="21"/>
      <w:szCs w:val="24"/>
    </w:rPr>
  </w:style>
  <w:style w:type="character" w:customStyle="1" w:styleId="63">
    <w:name w:val="纯文本 字符"/>
    <w:link w:val="23"/>
    <w:qFormat/>
    <w:uiPriority w:val="0"/>
    <w:rPr>
      <w:rFonts w:ascii="宋体" w:hAnsi="Courier New"/>
      <w:kern w:val="2"/>
      <w:sz w:val="21"/>
      <w:szCs w:val="24"/>
    </w:rPr>
  </w:style>
  <w:style w:type="character" w:customStyle="1" w:styleId="64">
    <w:name w:val="批注框文本 字符"/>
    <w:basedOn w:val="43"/>
    <w:link w:val="27"/>
    <w:qFormat/>
    <w:uiPriority w:val="0"/>
    <w:rPr>
      <w:kern w:val="2"/>
      <w:sz w:val="18"/>
      <w:szCs w:val="18"/>
    </w:rPr>
  </w:style>
  <w:style w:type="character" w:customStyle="1" w:styleId="65">
    <w:name w:val="TOC 2 字符"/>
    <w:link w:val="35"/>
    <w:qFormat/>
    <w:uiPriority w:val="39"/>
    <w:rPr>
      <w:b/>
      <w:bCs/>
      <w:kern w:val="2"/>
      <w:sz w:val="22"/>
      <w:szCs w:val="22"/>
    </w:rPr>
  </w:style>
  <w:style w:type="character" w:customStyle="1" w:styleId="66">
    <w:name w:val="批注主题 字符"/>
    <w:basedOn w:val="62"/>
    <w:link w:val="39"/>
    <w:qFormat/>
    <w:uiPriority w:val="0"/>
    <w:rPr>
      <w:kern w:val="2"/>
      <w:sz w:val="21"/>
      <w:szCs w:val="24"/>
    </w:rPr>
  </w:style>
  <w:style w:type="paragraph" w:customStyle="1" w:styleId="67">
    <w:name w:val="_Style 3"/>
    <w:next w:val="3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表格文字"/>
    <w:basedOn w:val="1"/>
    <w:qFormat/>
    <w:uiPriority w:val="0"/>
    <w:pPr>
      <w:spacing w:before="25" w:after="25"/>
      <w:jc w:val="left"/>
    </w:pPr>
    <w:rPr>
      <w:bCs/>
      <w:spacing w:val="10"/>
      <w:kern w:val="0"/>
      <w:sz w:val="24"/>
      <w:szCs w:val="20"/>
    </w:rPr>
  </w:style>
  <w:style w:type="character" w:customStyle="1" w:styleId="69">
    <w:name w:val="p141"/>
    <w:qFormat/>
    <w:uiPriority w:val="0"/>
    <w:rPr>
      <w:sz w:val="21"/>
    </w:rPr>
  </w:style>
  <w:style w:type="paragraph" w:customStyle="1" w:styleId="70">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71">
    <w:name w:val="题注5"/>
    <w:basedOn w:val="1"/>
    <w:next w:val="14"/>
    <w:qFormat/>
    <w:uiPriority w:val="0"/>
    <w:pPr>
      <w:jc w:val="center"/>
    </w:pPr>
    <w:rPr>
      <w:b/>
      <w:color w:val="000000"/>
      <w:sz w:val="24"/>
      <w:szCs w:val="21"/>
    </w:rPr>
  </w:style>
  <w:style w:type="paragraph" w:customStyle="1" w:styleId="7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73">
    <w:name w:val="题注4"/>
    <w:basedOn w:val="1"/>
    <w:next w:val="14"/>
    <w:qFormat/>
    <w:uiPriority w:val="0"/>
    <w:pPr>
      <w:ind w:left="-132" w:leftChars="-64" w:right="-105" w:rightChars="-50" w:hanging="2"/>
      <w:jc w:val="center"/>
    </w:pPr>
    <w:rPr>
      <w:b/>
      <w:color w:val="FF0000"/>
      <w:szCs w:val="21"/>
      <w:lang w:val="en-GB"/>
    </w:rPr>
  </w:style>
  <w:style w:type="paragraph" w:customStyle="1" w:styleId="74">
    <w:name w:val="xl25"/>
    <w:basedOn w:val="1"/>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5">
    <w:name w:val="列出段落1"/>
    <w:basedOn w:val="1"/>
    <w:unhideWhenUsed/>
    <w:qFormat/>
    <w:uiPriority w:val="34"/>
    <w:pPr>
      <w:ind w:firstLine="420" w:firstLineChars="200"/>
    </w:pPr>
  </w:style>
  <w:style w:type="paragraph" w:customStyle="1" w:styleId="7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List Paragraph"/>
    <w:basedOn w:val="1"/>
    <w:unhideWhenUsed/>
    <w:qFormat/>
    <w:uiPriority w:val="34"/>
    <w:pPr>
      <w:ind w:firstLine="420" w:firstLineChars="200"/>
    </w:pPr>
  </w:style>
  <w:style w:type="paragraph" w:customStyle="1" w:styleId="79">
    <w:name w:val="修订1"/>
    <w:unhideWhenUsed/>
    <w:qFormat/>
    <w:uiPriority w:val="99"/>
    <w:rPr>
      <w:rFonts w:ascii="Calibri" w:hAnsi="Calibri" w:eastAsia="宋体" w:cs="Times New Roman"/>
      <w:kern w:val="2"/>
      <w:sz w:val="21"/>
      <w:szCs w:val="24"/>
      <w:lang w:val="en-US" w:eastAsia="zh-CN" w:bidi="ar-SA"/>
    </w:rPr>
  </w:style>
  <w:style w:type="character" w:customStyle="1" w:styleId="80">
    <w:name w:val="不明显强调1"/>
    <w:basedOn w:val="43"/>
    <w:qFormat/>
    <w:uiPriority w:val="19"/>
    <w:rPr>
      <w:i/>
      <w:iCs/>
      <w:color w:val="3F3F3F"/>
    </w:rPr>
  </w:style>
  <w:style w:type="paragraph" w:customStyle="1" w:styleId="81">
    <w:name w:val="报告正文"/>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82">
    <w:name w:val="列出段落2"/>
    <w:basedOn w:val="1"/>
    <w:qFormat/>
    <w:uiPriority w:val="99"/>
    <w:pPr>
      <w:ind w:firstLine="420" w:firstLineChars="200"/>
    </w:pPr>
    <w:rPr>
      <w:rFonts w:ascii="Calibri" w:hAnsi="Calibri" w:eastAsia="宋体" w:cs="Times New Roman"/>
      <w:szCs w:val="22"/>
    </w:rPr>
  </w:style>
  <w:style w:type="paragraph" w:customStyle="1" w:styleId="83">
    <w:name w:val="修订2"/>
    <w:unhideWhenUsed/>
    <w:qFormat/>
    <w:uiPriority w:val="99"/>
    <w:rPr>
      <w:rFonts w:ascii="Calibri" w:hAnsi="Calibri" w:eastAsia="宋体" w:cs="Times New Roman"/>
      <w:kern w:val="2"/>
      <w:sz w:val="21"/>
      <w:szCs w:val="24"/>
      <w:lang w:val="en-US" w:eastAsia="zh-CN" w:bidi="ar-SA"/>
    </w:rPr>
  </w:style>
  <w:style w:type="paragraph" w:customStyle="1" w:styleId="84">
    <w:name w:val="tw表格正文"/>
    <w:basedOn w:val="1"/>
    <w:qFormat/>
    <w:uiPriority w:val="0"/>
    <w:pPr>
      <w:widowControl/>
    </w:pPr>
    <w:rPr>
      <w:rFonts w:hAnsi="宋体"/>
      <w:szCs w:val="28"/>
    </w:rPr>
  </w:style>
  <w:style w:type="paragraph" w:customStyle="1" w:styleId="85">
    <w:name w:val="List Paragraph1"/>
    <w:basedOn w:val="1"/>
    <w:qFormat/>
    <w:uiPriority w:val="0"/>
    <w:pPr>
      <w:ind w:firstLine="420" w:firstLineChars="200"/>
    </w:pPr>
    <w:rPr>
      <w:rFonts w:ascii="Calibri" w:hAnsi="Calibri" w:cs="Times New Roman"/>
      <w:szCs w:val="21"/>
    </w:rPr>
  </w:style>
  <w:style w:type="paragraph" w:customStyle="1" w:styleId="86">
    <w:name w:val="列表段落1"/>
    <w:basedOn w:val="1"/>
    <w:qFormat/>
    <w:uiPriority w:val="1"/>
    <w:pPr>
      <w:ind w:left="100" w:firstLine="420"/>
    </w:pPr>
  </w:style>
  <w:style w:type="character" w:customStyle="1" w:styleId="87">
    <w:name w:val="s21"/>
    <w:basedOn w:val="43"/>
    <w:qFormat/>
    <w:uiPriority w:val="0"/>
    <w:rPr>
      <w:b/>
      <w:color w:val="000000"/>
    </w:rPr>
  </w:style>
  <w:style w:type="character" w:customStyle="1" w:styleId="88">
    <w:name w:val="font41"/>
    <w:basedOn w:val="43"/>
    <w:qFormat/>
    <w:uiPriority w:val="0"/>
    <w:rPr>
      <w:rFonts w:hint="eastAsia" w:ascii="宋体" w:hAnsi="宋体" w:eastAsia="宋体" w:cs="宋体"/>
      <w:color w:val="000000"/>
      <w:sz w:val="21"/>
      <w:szCs w:val="21"/>
      <w:u w:val="none"/>
    </w:rPr>
  </w:style>
  <w:style w:type="character" w:customStyle="1" w:styleId="89">
    <w:name w:val="font11"/>
    <w:basedOn w:val="43"/>
    <w:qFormat/>
    <w:uiPriority w:val="0"/>
    <w:rPr>
      <w:rFonts w:hint="eastAsia" w:ascii="宋体" w:hAnsi="宋体" w:eastAsia="宋体" w:cs="宋体"/>
      <w:color w:val="000000"/>
      <w:sz w:val="21"/>
      <w:szCs w:val="21"/>
      <w:u w:val="none"/>
    </w:rPr>
  </w:style>
  <w:style w:type="character" w:customStyle="1" w:styleId="90">
    <w:name w:val="font01"/>
    <w:basedOn w:val="43"/>
    <w:qFormat/>
    <w:uiPriority w:val="0"/>
    <w:rPr>
      <w:rFonts w:hint="eastAsia" w:ascii="宋体" w:hAnsi="宋体" w:eastAsia="宋体" w:cs="宋体"/>
      <w:color w:val="000000"/>
      <w:sz w:val="24"/>
      <w:szCs w:val="24"/>
      <w:u w:val="none"/>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4">
    <w:name w:val="修订3"/>
    <w:semiHidden/>
    <w:qFormat/>
    <w:uiPriority w:val="99"/>
    <w:rPr>
      <w:rFonts w:ascii="Calibri" w:hAnsi="Calibri" w:eastAsia="宋体" w:cs="Times New Roman"/>
      <w:kern w:val="2"/>
      <w:sz w:val="21"/>
      <w:szCs w:val="24"/>
      <w:lang w:val="en-US" w:eastAsia="zh-CN" w:bidi="ar-SA"/>
    </w:rPr>
  </w:style>
  <w:style w:type="character" w:customStyle="1" w:styleId="95">
    <w:name w:val="s11"/>
    <w:qFormat/>
    <w:uiPriority w:val="0"/>
    <w:rPr>
      <w:b/>
    </w:rPr>
  </w:style>
  <w:style w:type="paragraph" w:customStyle="1" w:styleId="96">
    <w:name w:val="_Style 2"/>
    <w:basedOn w:val="1"/>
    <w:qFormat/>
    <w:uiPriority w:val="34"/>
    <w:pPr>
      <w:ind w:firstLine="420" w:firstLineChars="200"/>
    </w:pPr>
    <w:rPr>
      <w:rFonts w:ascii="Calibri" w:hAnsi="Calibri"/>
    </w:rPr>
  </w:style>
  <w:style w:type="character" w:customStyle="1" w:styleId="97">
    <w:name w:val="s41"/>
    <w:basedOn w:val="43"/>
    <w:qFormat/>
    <w:uiPriority w:val="0"/>
  </w:style>
  <w:style w:type="paragraph" w:customStyle="1" w:styleId="9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Body Text First Indent 2"/>
    <w:basedOn w:val="100"/>
    <w:qFormat/>
    <w:uiPriority w:val="0"/>
  </w:style>
  <w:style w:type="paragraph" w:customStyle="1" w:styleId="100">
    <w:name w:val="Body Text Indent"/>
    <w:basedOn w:val="1"/>
    <w:qFormat/>
    <w:uiPriority w:val="0"/>
    <w:pPr>
      <w:autoSpaceDE w:val="0"/>
      <w:autoSpaceDN w:val="0"/>
      <w:spacing w:line="360" w:lineRule="auto"/>
      <w:ind w:firstLine="420" w:firstLineChars="200"/>
    </w:pPr>
    <w:rPr>
      <w:rFonts w:ascii="宋体" w:hAnsi="宋体"/>
      <w:kern w:val="2"/>
      <w:sz w:val="21"/>
      <w:szCs w:val="21"/>
    </w:rPr>
  </w:style>
  <w:style w:type="character" w:customStyle="1" w:styleId="101">
    <w:name w:val="font31"/>
    <w:basedOn w:val="43"/>
    <w:qFormat/>
    <w:uiPriority w:val="0"/>
    <w:rPr>
      <w:rFonts w:hint="eastAsia" w:ascii="微软雅黑" w:hAnsi="微软雅黑" w:eastAsia="微软雅黑" w:cs="微软雅黑"/>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88</Pages>
  <Words>29722</Words>
  <Characters>31101</Characters>
  <Lines>244</Lines>
  <Paragraphs>68</Paragraphs>
  <TotalTime>1</TotalTime>
  <ScaleCrop>false</ScaleCrop>
  <LinksUpToDate>false</LinksUpToDate>
  <CharactersWithSpaces>32447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2022-07-14T01:40:00Z</dcterms:created>
  <dc:creator>李伟</dc:creator>
  <cp:lastModifiedBy>黄东霞</cp:lastModifiedBy>
  <cp:lastPrinted>2022-11-15T01:49:00Z</cp:lastPrinted>
  <dcterms:modified xsi:type="dcterms:W3CDTF">2023-03-03T02:54:32Z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8AB8CF00A1D44159822AD69DB04AD041</vt:lpwstr>
  </property>
</Properties>
</file>