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F51B6">
      <w:pPr>
        <w:pStyle w:val="6"/>
        <w:numPr>
          <w:numId w:val="0"/>
        </w:numPr>
        <w:jc w:val="both"/>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附件：供应商报价文件</w:t>
      </w:r>
    </w:p>
    <w:p w14:paraId="6B6CD68B">
      <w:pPr>
        <w:pStyle w:val="6"/>
        <w:numPr>
          <w:numId w:val="0"/>
        </w:numPr>
        <w:jc w:val="both"/>
        <w:rPr>
          <w:rFonts w:hint="eastAsia" w:ascii="方正小标宋简体" w:hAnsi="方正小标宋简体" w:eastAsia="方正小标宋简体" w:cs="方正小标宋简体"/>
          <w:b/>
          <w:sz w:val="36"/>
          <w:szCs w:val="36"/>
          <w:lang w:val="en-US" w:eastAsia="zh-CN"/>
        </w:rPr>
      </w:pPr>
    </w:p>
    <w:p w14:paraId="00B3776F">
      <w:pPr>
        <w:pStyle w:val="6"/>
        <w:numPr>
          <w:ilvl w:val="0"/>
          <w:numId w:val="1"/>
        </w:numPr>
        <w:jc w:val="center"/>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供应商须知</w:t>
      </w:r>
    </w:p>
    <w:tbl>
      <w:tblPr>
        <w:tblStyle w:val="8"/>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2BC36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11C0F02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C402223">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61344598">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0BE406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B3E80D6">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085CA25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71983401">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47D9A3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868" w:hRule="atLeast"/>
        </w:trPr>
        <w:tc>
          <w:tcPr>
            <w:tcW w:w="840" w:type="dxa"/>
            <w:vAlign w:val="center"/>
          </w:tcPr>
          <w:p w14:paraId="5A3D2DB7">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8E70297">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38E7C757">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1E110603">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345861E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2D73F386">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2EF270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64D17660">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37E1A0C8">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3C65E5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999" w:hRule="atLeast"/>
        </w:trPr>
        <w:tc>
          <w:tcPr>
            <w:tcW w:w="840" w:type="dxa"/>
            <w:vAlign w:val="center"/>
          </w:tcPr>
          <w:p w14:paraId="2EEFDFB4">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2737B814">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37E3EF82">
            <w:pPr>
              <w:rPr>
                <w:rFonts w:hint="eastAsia" w:ascii="宋体" w:hAnsi="宋体" w:eastAsia="宋体" w:cs="宋体"/>
                <w:highlight w:val="none"/>
              </w:rPr>
            </w:pPr>
            <w:r>
              <w:rPr>
                <w:rFonts w:hint="eastAsia" w:ascii="宋体" w:hAnsi="宋体" w:eastAsia="宋体" w:cs="宋体"/>
                <w:highlight w:val="none"/>
              </w:rPr>
              <w:t>1、报价具体要求</w:t>
            </w:r>
          </w:p>
          <w:p w14:paraId="2103FC3F">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0950B7F0">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84646F2">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2DB9D1B3">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720592C9">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w:t>
            </w:r>
            <w:r>
              <w:rPr>
                <w:rFonts w:hint="eastAsia" w:ascii="宋体" w:hAnsi="宋体" w:cs="宋体"/>
                <w:highlight w:val="none"/>
                <w:lang w:val="en-US" w:eastAsia="zh-CN"/>
              </w:rPr>
              <w:t>八</w:t>
            </w:r>
            <w:r>
              <w:rPr>
                <w:rFonts w:hint="eastAsia" w:ascii="宋体" w:hAnsi="宋体" w:eastAsia="宋体" w:cs="宋体"/>
                <w:highlight w:val="none"/>
              </w:rPr>
              <w:t>、报价</w:t>
            </w:r>
            <w:r>
              <w:rPr>
                <w:rFonts w:hint="eastAsia" w:ascii="宋体" w:hAnsi="宋体" w:cs="宋体"/>
                <w:highlight w:val="none"/>
                <w:lang w:val="en-US" w:eastAsia="zh-CN"/>
              </w:rPr>
              <w:t>函</w:t>
            </w:r>
            <w:r>
              <w:rPr>
                <w:rFonts w:hint="eastAsia" w:ascii="宋体" w:hAnsi="宋体" w:eastAsia="宋体" w:cs="宋体"/>
                <w:highlight w:val="none"/>
              </w:rPr>
              <w:t>》。</w:t>
            </w:r>
          </w:p>
          <w:p w14:paraId="4960EF6F">
            <w:pPr>
              <w:pStyle w:val="5"/>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64E11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B07547A">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7D09577E">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14:paraId="4F72182B">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6024719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237509F7">
            <w:pPr>
              <w:pStyle w:val="5"/>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0C0B074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455FC03">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2CF6AD2C">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3F53C0F2">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3B80F2EB">
      <w:pPr>
        <w:pStyle w:val="6"/>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447265557"/>
      <w:bookmarkStart w:id="1" w:name="_Toc26678"/>
      <w:bookmarkStart w:id="2" w:name="_Toc447265271"/>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0E64D712">
      <w:pPr>
        <w:pStyle w:val="11"/>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8"/>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792D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0385FE59">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505CA568">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850905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2AC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546ABF11">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491FCF67">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5597062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62B0A028">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449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3CA4852">
            <w:pPr>
              <w:snapToGrid w:val="0"/>
              <w:jc w:val="center"/>
              <w:rPr>
                <w:rFonts w:hint="eastAsia" w:ascii="宋体" w:hAnsi="宋体" w:eastAsia="宋体" w:cs="宋体"/>
                <w:sz w:val="21"/>
                <w:szCs w:val="21"/>
                <w:highlight w:val="none"/>
              </w:rPr>
            </w:pPr>
          </w:p>
        </w:tc>
        <w:tc>
          <w:tcPr>
            <w:tcW w:w="609" w:type="pct"/>
            <w:vMerge w:val="continue"/>
          </w:tcPr>
          <w:p w14:paraId="663270C7">
            <w:pPr>
              <w:snapToGrid w:val="0"/>
              <w:jc w:val="center"/>
              <w:rPr>
                <w:rFonts w:hint="eastAsia" w:ascii="宋体" w:hAnsi="宋体" w:eastAsia="宋体" w:cs="宋体"/>
                <w:sz w:val="21"/>
                <w:szCs w:val="21"/>
                <w:highlight w:val="none"/>
              </w:rPr>
            </w:pPr>
          </w:p>
        </w:tc>
        <w:tc>
          <w:tcPr>
            <w:tcW w:w="1289" w:type="pct"/>
            <w:vAlign w:val="center"/>
          </w:tcPr>
          <w:p w14:paraId="60B50F88">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71BAA687">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61D5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0EDBBC84">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79B83F24">
            <w:pPr>
              <w:snapToGrid w:val="0"/>
              <w:jc w:val="center"/>
              <w:rPr>
                <w:rFonts w:hint="eastAsia" w:ascii="宋体" w:hAnsi="宋体" w:eastAsia="宋体" w:cs="宋体"/>
                <w:sz w:val="21"/>
                <w:szCs w:val="21"/>
                <w:highlight w:val="none"/>
              </w:rPr>
            </w:pPr>
          </w:p>
        </w:tc>
        <w:tc>
          <w:tcPr>
            <w:tcW w:w="1289" w:type="pct"/>
            <w:vAlign w:val="center"/>
          </w:tcPr>
          <w:p w14:paraId="68C79222">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65635672">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7F55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37DF50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3729F94B">
            <w:pPr>
              <w:snapToGrid w:val="0"/>
              <w:jc w:val="center"/>
              <w:rPr>
                <w:rFonts w:hint="eastAsia" w:ascii="宋体" w:hAnsi="宋体" w:eastAsia="宋体" w:cs="宋体"/>
                <w:sz w:val="21"/>
                <w:szCs w:val="21"/>
                <w:highlight w:val="none"/>
              </w:rPr>
            </w:pPr>
          </w:p>
        </w:tc>
        <w:tc>
          <w:tcPr>
            <w:tcW w:w="1289" w:type="pct"/>
          </w:tcPr>
          <w:p w14:paraId="610F409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2E9C96EC">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047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827E70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5F6D7131">
            <w:pPr>
              <w:snapToGrid w:val="0"/>
              <w:jc w:val="center"/>
              <w:rPr>
                <w:rFonts w:hint="eastAsia" w:ascii="宋体" w:hAnsi="宋体" w:eastAsia="宋体" w:cs="宋体"/>
                <w:sz w:val="21"/>
                <w:szCs w:val="21"/>
                <w:highlight w:val="none"/>
              </w:rPr>
            </w:pPr>
          </w:p>
        </w:tc>
        <w:tc>
          <w:tcPr>
            <w:tcW w:w="1289" w:type="pct"/>
          </w:tcPr>
          <w:p w14:paraId="7891CCEA">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2FB79844">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7C10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5C45AC1">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476326B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44544A88">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0D136600">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579C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6FC4E3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01EA9D3C">
            <w:pPr>
              <w:snapToGrid w:val="0"/>
              <w:jc w:val="center"/>
              <w:rPr>
                <w:rFonts w:hint="eastAsia" w:ascii="宋体" w:hAnsi="宋体" w:eastAsia="宋体" w:cs="宋体"/>
                <w:sz w:val="21"/>
                <w:szCs w:val="21"/>
                <w:highlight w:val="none"/>
              </w:rPr>
            </w:pPr>
          </w:p>
        </w:tc>
        <w:tc>
          <w:tcPr>
            <w:tcW w:w="1289" w:type="pct"/>
            <w:vAlign w:val="center"/>
          </w:tcPr>
          <w:p w14:paraId="29463E43">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19F5BD50">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E68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735E142">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DA281C4">
            <w:pPr>
              <w:snapToGrid w:val="0"/>
              <w:jc w:val="center"/>
              <w:rPr>
                <w:rFonts w:hint="eastAsia" w:ascii="宋体" w:hAnsi="宋体" w:eastAsia="宋体" w:cs="宋体"/>
                <w:sz w:val="21"/>
                <w:szCs w:val="21"/>
                <w:highlight w:val="none"/>
              </w:rPr>
            </w:pPr>
          </w:p>
        </w:tc>
        <w:tc>
          <w:tcPr>
            <w:tcW w:w="1289" w:type="pct"/>
            <w:vAlign w:val="center"/>
          </w:tcPr>
          <w:p w14:paraId="47E2A924">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4265FF27">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AA2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A1917F9">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2DB5C2F">
            <w:pPr>
              <w:snapToGrid w:val="0"/>
              <w:jc w:val="center"/>
              <w:rPr>
                <w:rFonts w:hint="eastAsia" w:ascii="宋体" w:hAnsi="宋体" w:eastAsia="宋体" w:cs="宋体"/>
                <w:sz w:val="21"/>
                <w:szCs w:val="21"/>
                <w:highlight w:val="none"/>
              </w:rPr>
            </w:pPr>
          </w:p>
        </w:tc>
        <w:tc>
          <w:tcPr>
            <w:tcW w:w="1289" w:type="pct"/>
            <w:vAlign w:val="center"/>
          </w:tcPr>
          <w:p w14:paraId="2422B4F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0E691728">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24CBB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5E6E677">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1C8ECCAF">
            <w:pPr>
              <w:snapToGrid w:val="0"/>
              <w:jc w:val="center"/>
              <w:rPr>
                <w:rFonts w:hint="eastAsia" w:ascii="宋体" w:hAnsi="宋体" w:eastAsia="宋体" w:cs="宋体"/>
                <w:sz w:val="21"/>
                <w:szCs w:val="21"/>
                <w:highlight w:val="none"/>
              </w:rPr>
            </w:pPr>
          </w:p>
        </w:tc>
        <w:tc>
          <w:tcPr>
            <w:tcW w:w="1289" w:type="pct"/>
            <w:vAlign w:val="center"/>
          </w:tcPr>
          <w:p w14:paraId="1DA6119F">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264378EA">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1C52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6DE11ED9">
            <w:pPr>
              <w:snapToGrid w:val="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综合评分法</w:t>
            </w:r>
          </w:p>
        </w:tc>
        <w:tc>
          <w:tcPr>
            <w:tcW w:w="4498" w:type="pct"/>
            <w:gridSpan w:val="3"/>
            <w:vAlign w:val="center"/>
          </w:tcPr>
          <w:p w14:paraId="47E7D4E7">
            <w:pPr>
              <w:snapToGrid w:val="0"/>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本项目采用</w:t>
            </w:r>
            <w:r>
              <w:rPr>
                <w:rFonts w:hint="eastAsia" w:ascii="宋体" w:hAnsi="宋体" w:cs="宋体"/>
                <w:b/>
                <w:bCs/>
                <w:color w:val="000000" w:themeColor="text1"/>
                <w:sz w:val="21"/>
                <w:szCs w:val="21"/>
                <w:highlight w:val="none"/>
                <w:lang w:val="en-US" w:eastAsia="zh-CN"/>
                <w14:textFill>
                  <w14:solidFill>
                    <w14:schemeClr w14:val="tx1"/>
                  </w14:solidFill>
                </w14:textFill>
              </w:rPr>
              <w:t>综合评分法</w:t>
            </w:r>
            <w:r>
              <w:rPr>
                <w:rFonts w:hint="eastAsia" w:ascii="宋体" w:hAnsi="宋体" w:eastAsia="宋体" w:cs="宋体"/>
                <w:color w:val="000000" w:themeColor="text1"/>
                <w:sz w:val="21"/>
                <w:szCs w:val="21"/>
                <w:highlight w:val="none"/>
                <w:lang w:eastAsia="zh-CN"/>
                <w14:textFill>
                  <w14:solidFill>
                    <w14:schemeClr w14:val="tx1"/>
                  </w14:solidFill>
                </w14:textFill>
              </w:rPr>
              <w:t>，即在符合</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采购文件初步评审</w:t>
            </w:r>
            <w:r>
              <w:rPr>
                <w:rFonts w:hint="eastAsia" w:ascii="宋体" w:hAnsi="宋体" w:eastAsia="宋体" w:cs="宋体"/>
                <w:color w:val="000000" w:themeColor="text1"/>
                <w:sz w:val="21"/>
                <w:szCs w:val="21"/>
                <w:highlight w:val="none"/>
                <w:lang w:eastAsia="zh-CN"/>
                <w14:textFill>
                  <w14:solidFill>
                    <w14:schemeClr w14:val="tx1"/>
                  </w14:solidFill>
                </w14:textFill>
              </w:rPr>
              <w:t>相关要求的前提下，由</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小组（</w:t>
            </w:r>
            <w:r>
              <w:rPr>
                <w:rFonts w:hint="eastAsia" w:ascii="宋体" w:hAnsi="宋体" w:eastAsia="宋体" w:cs="宋体"/>
                <w:color w:val="000000" w:themeColor="text1"/>
                <w:sz w:val="21"/>
                <w:szCs w:val="21"/>
                <w:highlight w:val="none"/>
                <w:lang w:val="en-US" w:eastAsia="zh-CN"/>
                <w14:textFill>
                  <w14:solidFill>
                    <w14:schemeClr w14:val="tx1"/>
                  </w14:solidFill>
                </w14:textFill>
              </w:rPr>
              <w:t>由采购人组建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根据</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后附的</w:t>
            </w:r>
            <w:r>
              <w:rPr>
                <w:rFonts w:hint="eastAsia" w:ascii="宋体" w:hAnsi="宋体" w:eastAsia="宋体" w:cs="宋体"/>
                <w:b/>
                <w:bCs/>
                <w:color w:val="000000" w:themeColor="text1"/>
                <w:sz w:val="21"/>
                <w:szCs w:val="21"/>
                <w:highlight w:val="none"/>
                <w:lang w:eastAsia="zh-CN"/>
                <w14:textFill>
                  <w14:solidFill>
                    <w14:schemeClr w14:val="tx1"/>
                  </w14:solidFill>
                </w14:textFill>
              </w:rPr>
              <w:t>评分标准</w:t>
            </w:r>
            <w:r>
              <w:rPr>
                <w:rFonts w:hint="eastAsia" w:ascii="宋体" w:hAnsi="宋体" w:eastAsia="宋体" w:cs="宋体"/>
                <w:color w:val="000000" w:themeColor="text1"/>
                <w:sz w:val="21"/>
                <w:szCs w:val="21"/>
                <w:highlight w:val="none"/>
                <w:lang w:eastAsia="zh-CN"/>
                <w14:textFill>
                  <w14:solidFill>
                    <w14:schemeClr w14:val="tx1"/>
                  </w14:solidFill>
                </w14:textFill>
              </w:rPr>
              <w:t>对各报价商的资质、报价、案例等内容进行评审，得分最高者为中选供应商</w:t>
            </w:r>
            <w:r>
              <w:rPr>
                <w:rFonts w:hint="eastAsia" w:ascii="宋体" w:hAnsi="宋体" w:cs="宋体"/>
                <w:color w:val="000000" w:themeColor="text1"/>
                <w:sz w:val="21"/>
                <w:szCs w:val="21"/>
                <w:highlight w:val="none"/>
                <w:lang w:val="en-US" w:eastAsia="zh-CN"/>
                <w14:textFill>
                  <w14:solidFill>
                    <w14:schemeClr w14:val="tx1"/>
                  </w14:solidFill>
                </w14:textFill>
              </w:rPr>
              <w:t>。</w:t>
            </w:r>
          </w:p>
        </w:tc>
      </w:tr>
    </w:tbl>
    <w:p w14:paraId="10BB91E4">
      <w:pPr>
        <w:pStyle w:val="6"/>
        <w:numPr>
          <w:ilvl w:val="0"/>
          <w:numId w:val="0"/>
        </w:numPr>
        <w:jc w:val="both"/>
        <w:rPr>
          <w:rFonts w:hint="default" w:asciiTheme="minorEastAsia" w:hAnsiTheme="minorEastAsia" w:eastAsiaTheme="minorEastAsia" w:cstheme="minorEastAsia"/>
          <w:b/>
          <w:color w:val="FF0000"/>
          <w:sz w:val="21"/>
          <w:szCs w:val="21"/>
          <w:lang w:val="en-US" w:eastAsia="zh-CN"/>
        </w:rPr>
      </w:pPr>
    </w:p>
    <w:p w14:paraId="0E8EE110">
      <w:pPr>
        <w:pStyle w:val="11"/>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sectPr>
          <w:pgSz w:w="11906" w:h="16838"/>
          <w:pgMar w:top="2098" w:right="1587" w:bottom="1984" w:left="1587" w:header="851" w:footer="709" w:gutter="0"/>
          <w:pgNumType w:fmt="decimal"/>
          <w:cols w:space="720" w:num="1"/>
          <w:docGrid w:type="lines" w:linePitch="312" w:charSpace="0"/>
        </w:sectPr>
      </w:pPr>
      <w:bookmarkStart w:id="4" w:name="_Toc68859970"/>
      <w:bookmarkStart w:id="5" w:name="_Toc474148037"/>
      <w:bookmarkStart w:id="6" w:name="_Toc478566273"/>
      <w:bookmarkStart w:id="7" w:name="_Toc478566081"/>
      <w:bookmarkStart w:id="8" w:name="_Toc20635"/>
      <w:bookmarkStart w:id="9" w:name="_Toc478566439"/>
      <w:bookmarkStart w:id="10" w:name="_Toc478565718"/>
    </w:p>
    <w:p w14:paraId="00E59CEE">
      <w:pPr>
        <w:pStyle w:val="11"/>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07D3C04B">
      <w:pPr>
        <w:pStyle w:val="6"/>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9"/>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01E4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36F7D9D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1046FBB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701B8ADA">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1357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3AFE70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商务审查</w:t>
            </w:r>
          </w:p>
        </w:tc>
        <w:tc>
          <w:tcPr>
            <w:tcW w:w="3091" w:type="dxa"/>
            <w:vAlign w:val="center"/>
          </w:tcPr>
          <w:p w14:paraId="322B4C40">
            <w:pPr>
              <w:autoSpaceDE w:val="0"/>
              <w:autoSpaceDN w:val="0"/>
              <w:spacing w:before="93" w:beforeLines="30" w:after="93" w:afterLines="30"/>
              <w:jc w:val="center"/>
              <w:rPr>
                <w:rFonts w:hint="default" w:ascii="仿宋" w:hAnsi="仿宋" w:eastAsia="仿宋" w:cs="宋体"/>
                <w:b/>
                <w:color w:val="000000" w:themeColor="text1"/>
                <w:szCs w:val="21"/>
                <w14:textFill>
                  <w14:solidFill>
                    <w14:schemeClr w14:val="tx1"/>
                  </w14:solidFill>
                </w14:textFill>
              </w:rPr>
            </w:pPr>
            <w:r>
              <w:rPr>
                <w:rFonts w:hint="default" w:ascii="仿宋" w:hAnsi="仿宋" w:eastAsia="仿宋" w:cs="宋体"/>
                <w:b/>
                <w:color w:val="000000" w:themeColor="text1"/>
                <w:szCs w:val="21"/>
                <w14:textFill>
                  <w14:solidFill>
                    <w14:schemeClr w14:val="tx1"/>
                  </w14:solidFill>
                </w14:textFill>
              </w:rPr>
              <w:t>30</w:t>
            </w:r>
          </w:p>
        </w:tc>
        <w:tc>
          <w:tcPr>
            <w:tcW w:w="3091" w:type="dxa"/>
            <w:vMerge w:val="restart"/>
          </w:tcPr>
          <w:p w14:paraId="77677250">
            <w:pPr>
              <w:autoSpaceDE w:val="0"/>
              <w:autoSpaceDN w:val="0"/>
              <w:spacing w:before="93" w:beforeLines="30" w:after="93" w:afterLines="30"/>
              <w:jc w:val="center"/>
              <w:rPr>
                <w:rFonts w:hint="eastAsia" w:ascii="仿宋" w:hAnsi="仿宋" w:eastAsia="仿宋" w:cs="宋体"/>
                <w:b/>
                <w:color w:val="000000" w:themeColor="text1"/>
                <w:szCs w:val="21"/>
                <w14:textFill>
                  <w14:solidFill>
                    <w14:schemeClr w14:val="tx1"/>
                  </w14:solidFill>
                </w14:textFill>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w:t>
            </w:r>
            <w:r>
              <w:rPr>
                <w:rFonts w:hint="eastAsia" w:ascii="仿宋" w:hAnsi="仿宋" w:eastAsia="仿宋" w:cs="宋体"/>
                <w:b/>
                <w:color w:val="000000" w:themeColor="text1"/>
                <w:szCs w:val="21"/>
                <w14:textFill>
                  <w14:solidFill>
                    <w14:schemeClr w14:val="tx1"/>
                  </w14:solidFill>
                </w14:textFill>
              </w:rPr>
              <w:t>效，不进入技术部分评审。</w:t>
            </w:r>
          </w:p>
          <w:p w14:paraId="7AC0B692">
            <w:pPr>
              <w:autoSpaceDE w:val="0"/>
              <w:autoSpaceDN w:val="0"/>
              <w:spacing w:before="93" w:beforeLines="30" w:after="93" w:afterLines="30"/>
              <w:jc w:val="center"/>
              <w:rPr>
                <w:rFonts w:hint="eastAsia" w:ascii="仿宋" w:hAnsi="仿宋" w:eastAsia="仿宋" w:cs="宋体"/>
                <w:b/>
                <w:color w:val="FF0000"/>
                <w:szCs w:val="21"/>
              </w:rPr>
            </w:pPr>
            <w:r>
              <w:rPr>
                <w:rFonts w:hint="eastAsia" w:ascii="仿宋" w:hAnsi="仿宋" w:eastAsia="仿宋" w:cs="宋体"/>
                <w:b/>
                <w:color w:val="000000" w:themeColor="text1"/>
                <w:szCs w:val="21"/>
                <w14:textFill>
                  <w14:solidFill>
                    <w14:schemeClr w14:val="tx1"/>
                  </w14:solidFill>
                </w14:textFill>
              </w:rPr>
              <w:t>商务评分基准线</w:t>
            </w:r>
            <w:r>
              <w:rPr>
                <w:rFonts w:hint="eastAsia" w:ascii="仿宋" w:hAnsi="仿宋" w:eastAsia="仿宋" w:cs="宋体"/>
                <w:b/>
                <w:color w:val="000000" w:themeColor="text1"/>
                <w:szCs w:val="21"/>
                <w:lang w:val="en-US" w:eastAsia="zh-CN"/>
                <w14:textFill>
                  <w14:solidFill>
                    <w14:schemeClr w14:val="tx1"/>
                  </w14:solidFill>
                </w14:textFill>
              </w:rPr>
              <w:t>=</w:t>
            </w:r>
            <w:r>
              <w:rPr>
                <w:rFonts w:hint="eastAsia" w:ascii="仿宋" w:hAnsi="仿宋" w:eastAsia="仿宋" w:cs="宋体"/>
                <w:b/>
                <w:color w:val="000000" w:themeColor="text1"/>
                <w:szCs w:val="21"/>
                <w14:textFill>
                  <w14:solidFill>
                    <w14:schemeClr w14:val="tx1"/>
                  </w14:solidFill>
                </w14:textFill>
              </w:rPr>
              <w:t>本项目商务部分分值×60%（即</w:t>
            </w:r>
            <w:r>
              <w:rPr>
                <w:rFonts w:hint="default" w:ascii="仿宋" w:hAnsi="仿宋" w:eastAsia="仿宋" w:cs="宋体"/>
                <w:b/>
                <w:color w:val="000000" w:themeColor="text1"/>
                <w:szCs w:val="21"/>
                <w14:textFill>
                  <w14:solidFill>
                    <w14:schemeClr w14:val="tx1"/>
                  </w14:solidFill>
                </w14:textFill>
              </w:rPr>
              <w:t>30</w:t>
            </w:r>
            <w:r>
              <w:rPr>
                <w:rFonts w:hint="eastAsia" w:ascii="仿宋" w:hAnsi="仿宋" w:eastAsia="仿宋" w:cs="宋体"/>
                <w:b/>
                <w:color w:val="000000" w:themeColor="text1"/>
                <w:szCs w:val="21"/>
                <w14:textFill>
                  <w14:solidFill>
                    <w14:schemeClr w14:val="tx1"/>
                  </w14:solidFill>
                </w14:textFill>
              </w:rPr>
              <w:t>×60%=</w:t>
            </w:r>
            <w:r>
              <w:rPr>
                <w:rFonts w:hint="default" w:ascii="仿宋" w:hAnsi="仿宋" w:eastAsia="仿宋" w:cs="宋体"/>
                <w:b/>
                <w:color w:val="000000" w:themeColor="text1"/>
                <w:szCs w:val="21"/>
                <w14:textFill>
                  <w14:solidFill>
                    <w14:schemeClr w14:val="tx1"/>
                  </w14:solidFill>
                </w14:textFill>
              </w:rPr>
              <w:t>18</w:t>
            </w:r>
            <w:r>
              <w:rPr>
                <w:rFonts w:hint="eastAsia" w:ascii="仿宋" w:hAnsi="仿宋" w:eastAsia="仿宋" w:cs="宋体"/>
                <w:b/>
                <w:color w:val="000000" w:themeColor="text1"/>
                <w:szCs w:val="21"/>
                <w14:textFill>
                  <w14:solidFill>
                    <w14:schemeClr w14:val="tx1"/>
                  </w14:solidFill>
                </w14:textFill>
              </w:rPr>
              <w:t>分）</w:t>
            </w:r>
          </w:p>
        </w:tc>
      </w:tr>
      <w:tr w14:paraId="692B4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3312C6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技术审查</w:t>
            </w:r>
          </w:p>
        </w:tc>
        <w:tc>
          <w:tcPr>
            <w:tcW w:w="3091" w:type="dxa"/>
            <w:vAlign w:val="center"/>
          </w:tcPr>
          <w:p w14:paraId="7A9A1C0D">
            <w:pPr>
              <w:autoSpaceDE w:val="0"/>
              <w:autoSpaceDN w:val="0"/>
              <w:spacing w:before="93" w:beforeLines="30" w:after="93" w:afterLines="30"/>
              <w:jc w:val="center"/>
              <w:rPr>
                <w:rFonts w:hint="default" w:ascii="仿宋" w:hAnsi="仿宋" w:eastAsia="仿宋" w:cs="宋体"/>
                <w:b/>
                <w:color w:val="000000" w:themeColor="text1"/>
                <w:szCs w:val="21"/>
                <w14:textFill>
                  <w14:solidFill>
                    <w14:schemeClr w14:val="tx1"/>
                  </w14:solidFill>
                </w14:textFill>
              </w:rPr>
            </w:pPr>
            <w:r>
              <w:rPr>
                <w:rFonts w:hint="default" w:ascii="仿宋" w:hAnsi="仿宋" w:eastAsia="仿宋" w:cs="宋体"/>
                <w:b/>
                <w:color w:val="000000" w:themeColor="text1"/>
                <w:szCs w:val="21"/>
                <w14:textFill>
                  <w14:solidFill>
                    <w14:schemeClr w14:val="tx1"/>
                  </w14:solidFill>
                </w14:textFill>
              </w:rPr>
              <w:t>50</w:t>
            </w:r>
          </w:p>
        </w:tc>
        <w:tc>
          <w:tcPr>
            <w:tcW w:w="3091" w:type="dxa"/>
            <w:vMerge w:val="continue"/>
          </w:tcPr>
          <w:p w14:paraId="1758589B">
            <w:pPr>
              <w:autoSpaceDE w:val="0"/>
              <w:autoSpaceDN w:val="0"/>
              <w:spacing w:before="93" w:beforeLines="30" w:after="93" w:afterLines="30"/>
              <w:jc w:val="center"/>
              <w:rPr>
                <w:rFonts w:hint="eastAsia" w:ascii="仿宋" w:hAnsi="仿宋" w:eastAsia="仿宋" w:cs="宋体"/>
                <w:b/>
                <w:color w:val="FF0000"/>
                <w:szCs w:val="21"/>
              </w:rPr>
            </w:pPr>
          </w:p>
        </w:tc>
      </w:tr>
      <w:tr w14:paraId="563C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1E630C3">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价格评审</w:t>
            </w:r>
          </w:p>
        </w:tc>
        <w:tc>
          <w:tcPr>
            <w:tcW w:w="3091" w:type="dxa"/>
            <w:vAlign w:val="center"/>
          </w:tcPr>
          <w:p w14:paraId="32E50067">
            <w:pPr>
              <w:autoSpaceDE w:val="0"/>
              <w:autoSpaceDN w:val="0"/>
              <w:spacing w:before="93" w:beforeLines="30" w:after="93" w:afterLines="30"/>
              <w:jc w:val="center"/>
              <w:rPr>
                <w:rFonts w:hint="eastAsia" w:ascii="仿宋" w:hAnsi="仿宋" w:eastAsia="仿宋" w:cs="宋体"/>
                <w:b/>
                <w:color w:val="000000" w:themeColor="text1"/>
                <w:szCs w:val="21"/>
                <w14:textFill>
                  <w14:solidFill>
                    <w14:schemeClr w14:val="tx1"/>
                  </w14:solidFill>
                </w14:textFill>
              </w:rPr>
            </w:pPr>
            <w:r>
              <w:rPr>
                <w:rFonts w:hint="eastAsia" w:ascii="仿宋" w:hAnsi="仿宋" w:eastAsia="仿宋" w:cs="宋体"/>
                <w:b/>
                <w:color w:val="000000" w:themeColor="text1"/>
                <w:szCs w:val="21"/>
                <w14:textFill>
                  <w14:solidFill>
                    <w14:schemeClr w14:val="tx1"/>
                  </w14:solidFill>
                </w14:textFill>
              </w:rPr>
              <w:t>20</w:t>
            </w:r>
          </w:p>
        </w:tc>
        <w:tc>
          <w:tcPr>
            <w:tcW w:w="3091" w:type="dxa"/>
            <w:vMerge w:val="continue"/>
          </w:tcPr>
          <w:p w14:paraId="2C96452C">
            <w:pPr>
              <w:autoSpaceDE w:val="0"/>
              <w:autoSpaceDN w:val="0"/>
              <w:spacing w:before="93" w:beforeLines="30" w:after="93" w:afterLines="30"/>
              <w:jc w:val="center"/>
              <w:rPr>
                <w:rFonts w:hint="eastAsia" w:ascii="仿宋" w:hAnsi="仿宋" w:eastAsia="仿宋" w:cs="宋体"/>
                <w:b/>
                <w:color w:val="FF0000"/>
                <w:szCs w:val="21"/>
              </w:rPr>
            </w:pPr>
          </w:p>
        </w:tc>
      </w:tr>
      <w:tr w14:paraId="7683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40AB92C">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14:paraId="46C202A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100</w:t>
            </w:r>
          </w:p>
        </w:tc>
        <w:tc>
          <w:tcPr>
            <w:tcW w:w="3091" w:type="dxa"/>
            <w:vMerge w:val="continue"/>
          </w:tcPr>
          <w:p w14:paraId="3A5ACC9E">
            <w:pPr>
              <w:autoSpaceDE w:val="0"/>
              <w:autoSpaceDN w:val="0"/>
              <w:spacing w:before="93" w:beforeLines="30" w:after="93" w:afterLines="30"/>
              <w:jc w:val="center"/>
              <w:rPr>
                <w:rFonts w:hint="eastAsia" w:ascii="仿宋" w:hAnsi="仿宋" w:eastAsia="仿宋" w:cs="宋体"/>
                <w:b/>
                <w:szCs w:val="21"/>
              </w:rPr>
            </w:pPr>
          </w:p>
        </w:tc>
      </w:tr>
    </w:tbl>
    <w:p w14:paraId="27A56891">
      <w:pPr>
        <w:pStyle w:val="6"/>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9"/>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37FCC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785D2148">
            <w:pPr>
              <w:autoSpaceDE w:val="0"/>
              <w:autoSpaceDN w:val="0"/>
              <w:spacing w:before="93" w:beforeLines="30" w:after="93" w:afterLines="30"/>
              <w:jc w:val="center"/>
              <w:rPr>
                <w:rFonts w:hint="eastAsia" w:ascii="仿宋" w:hAnsi="仿宋" w:eastAsia="仿宋" w:cs="宋体"/>
                <w:b/>
                <w:szCs w:val="21"/>
              </w:rPr>
            </w:pPr>
            <w:bookmarkStart w:id="11"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1EF432E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009E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5D1E3D3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1D61B5D1">
            <w:pPr>
              <w:autoSpaceDE w:val="0"/>
              <w:autoSpaceDN w:val="0"/>
              <w:spacing w:before="93" w:beforeLines="30" w:after="93" w:afterLines="30"/>
              <w:jc w:val="center"/>
              <w:rPr>
                <w:rFonts w:hint="default" w:ascii="仿宋" w:hAnsi="仿宋" w:eastAsia="仿宋" w:cs="宋体"/>
                <w:b/>
                <w:szCs w:val="21"/>
              </w:rPr>
            </w:pPr>
            <w:r>
              <w:rPr>
                <w:rFonts w:hint="default" w:ascii="仿宋" w:hAnsi="仿宋" w:eastAsia="仿宋" w:cs="宋体"/>
                <w:b/>
                <w:color w:val="000000" w:themeColor="text1"/>
                <w:szCs w:val="21"/>
                <w14:textFill>
                  <w14:solidFill>
                    <w14:schemeClr w14:val="tx1"/>
                  </w14:solidFill>
                </w14:textFill>
              </w:rPr>
              <w:t>30</w:t>
            </w:r>
          </w:p>
        </w:tc>
      </w:tr>
      <w:tr w14:paraId="2333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288CF8D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0F6744F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64FC9A7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7ACEE45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2FDC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3CA04187">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068" w:type="dxa"/>
            <w:vAlign w:val="center"/>
          </w:tcPr>
          <w:p w14:paraId="3662E8E2">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企业综合实力</w:t>
            </w:r>
          </w:p>
        </w:tc>
        <w:tc>
          <w:tcPr>
            <w:tcW w:w="928" w:type="dxa"/>
            <w:vAlign w:val="center"/>
          </w:tcPr>
          <w:p w14:paraId="2186EF46">
            <w:pPr>
              <w:spacing w:before="93" w:beforeLines="30" w:after="93" w:afterLines="30"/>
              <w:jc w:val="center"/>
              <w:rPr>
                <w:rFonts w:hint="default" w:ascii="仿宋" w:hAnsi="仿宋" w:eastAsia="仿宋" w:cs="宋体"/>
                <w:bCs/>
                <w:color w:val="FF0000"/>
                <w:szCs w:val="21"/>
                <w:lang w:val="en-US" w:eastAsia="zh-CN"/>
              </w:rPr>
            </w:pPr>
            <w:r>
              <w:rPr>
                <w:rFonts w:hint="eastAsia" w:ascii="仿宋" w:hAnsi="仿宋" w:eastAsia="仿宋" w:cs="宋体"/>
                <w:bCs/>
                <w:szCs w:val="21"/>
                <w:lang w:val="en-US" w:eastAsia="zh-CN"/>
              </w:rPr>
              <w:t>10</w:t>
            </w:r>
          </w:p>
        </w:tc>
        <w:tc>
          <w:tcPr>
            <w:tcW w:w="6184" w:type="dxa"/>
          </w:tcPr>
          <w:p w14:paraId="5C734426">
            <w:pPr>
              <w:spacing w:before="93" w:beforeLines="30" w:after="93" w:afterLines="30"/>
              <w:rPr>
                <w:rFonts w:hint="eastAsia" w:ascii="仿宋" w:hAnsi="仿宋" w:eastAsia="仿宋" w:cs="宋体"/>
                <w:bCs/>
                <w:szCs w:val="21"/>
              </w:rPr>
            </w:pPr>
            <w:r>
              <w:rPr>
                <w:rFonts w:hint="eastAsia" w:ascii="仿宋" w:hAnsi="仿宋" w:eastAsia="仿宋" w:cs="宋体"/>
                <w:bCs/>
                <w:szCs w:val="21"/>
              </w:rPr>
              <w:t>根据投标人</w:t>
            </w:r>
            <w:r>
              <w:rPr>
                <w:rFonts w:hint="eastAsia" w:ascii="仿宋" w:hAnsi="仿宋" w:eastAsia="仿宋" w:cs="宋体"/>
                <w:bCs/>
                <w:szCs w:val="21"/>
                <w:lang w:val="en-US" w:eastAsia="zh-CN"/>
              </w:rPr>
              <w:t>注册资金</w:t>
            </w:r>
            <w:r>
              <w:rPr>
                <w:rFonts w:hint="eastAsia" w:ascii="仿宋" w:hAnsi="仿宋" w:eastAsia="仿宋" w:cs="宋体"/>
                <w:bCs/>
                <w:szCs w:val="21"/>
              </w:rPr>
              <w:t>情况进行评分，具体如下：</w:t>
            </w:r>
          </w:p>
          <w:p w14:paraId="7D26A5AA">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lang w:val="en-US" w:eastAsia="zh-CN"/>
              </w:rPr>
              <w:t>1.投标人注册资金少于50万元的，得1分；</w:t>
            </w:r>
          </w:p>
          <w:p w14:paraId="2F19B018">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lang w:val="en-US" w:eastAsia="zh-CN"/>
              </w:rPr>
              <w:t>2.注册资金大于50万（含50万），少于200万的，得3分；</w:t>
            </w:r>
            <w:r>
              <w:rPr>
                <w:rFonts w:hint="eastAsia" w:ascii="仿宋" w:hAnsi="仿宋" w:eastAsia="仿宋" w:cs="宋体"/>
                <w:bCs/>
                <w:szCs w:val="21"/>
                <w:lang w:val="en-US" w:eastAsia="zh-CN"/>
              </w:rPr>
              <w:br w:type="textWrapping"/>
            </w:r>
            <w:r>
              <w:rPr>
                <w:rFonts w:hint="eastAsia" w:ascii="仿宋" w:hAnsi="仿宋" w:eastAsia="仿宋" w:cs="宋体"/>
                <w:bCs/>
                <w:szCs w:val="21"/>
                <w:lang w:val="en-US" w:eastAsia="zh-CN"/>
              </w:rPr>
              <w:t>3.注册资金大于200万（含100万），少于500万的，得5分；</w:t>
            </w:r>
          </w:p>
          <w:p w14:paraId="2DD490C2">
            <w:pPr>
              <w:spacing w:before="93" w:beforeLines="30" w:after="93" w:afterLines="30"/>
              <w:rPr>
                <w:rFonts w:hint="default" w:ascii="仿宋" w:hAnsi="仿宋" w:eastAsia="仿宋" w:cs="宋体"/>
                <w:bCs/>
                <w:szCs w:val="21"/>
                <w:lang w:val="en-US" w:eastAsia="zh-CN"/>
              </w:rPr>
            </w:pPr>
            <w:r>
              <w:rPr>
                <w:rFonts w:hint="eastAsia" w:ascii="仿宋" w:hAnsi="仿宋" w:eastAsia="仿宋" w:cs="宋体"/>
                <w:bCs/>
                <w:szCs w:val="21"/>
                <w:lang w:val="en-US" w:eastAsia="zh-CN"/>
              </w:rPr>
              <w:t>4.注册资金大于500万的（含500万），得10分</w:t>
            </w:r>
          </w:p>
          <w:p w14:paraId="52DC7998">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注：需提供有效证明材料作为评审依据，</w:t>
            </w:r>
            <w:r>
              <w:rPr>
                <w:rFonts w:hint="eastAsia" w:ascii="仿宋" w:hAnsi="仿宋" w:eastAsia="仿宋" w:cs="宋体"/>
                <w:bCs/>
                <w:szCs w:val="21"/>
                <w:lang w:val="en-US" w:eastAsia="zh-CN"/>
              </w:rPr>
              <w:t>不提供</w:t>
            </w:r>
            <w:r>
              <w:rPr>
                <w:rFonts w:hint="eastAsia" w:ascii="仿宋" w:hAnsi="仿宋" w:eastAsia="仿宋" w:cs="宋体"/>
                <w:bCs/>
                <w:szCs w:val="21"/>
              </w:rPr>
              <w:t>不得分。</w:t>
            </w:r>
          </w:p>
        </w:tc>
      </w:tr>
      <w:tr w14:paraId="3C29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70" w:type="dxa"/>
            <w:vAlign w:val="center"/>
          </w:tcPr>
          <w:p w14:paraId="22C25F97">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w:t>
            </w:r>
          </w:p>
        </w:tc>
        <w:tc>
          <w:tcPr>
            <w:tcW w:w="1068" w:type="dxa"/>
            <w:vAlign w:val="center"/>
          </w:tcPr>
          <w:p w14:paraId="3FF5ACEF">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拟投入服务人员情况</w:t>
            </w:r>
          </w:p>
        </w:tc>
        <w:tc>
          <w:tcPr>
            <w:tcW w:w="928" w:type="dxa"/>
            <w:vAlign w:val="center"/>
          </w:tcPr>
          <w:p w14:paraId="1EC769AB">
            <w:pPr>
              <w:spacing w:before="93" w:beforeLines="30" w:after="93" w:afterLines="30"/>
              <w:jc w:val="center"/>
              <w:rPr>
                <w:rFonts w:hint="default" w:ascii="仿宋" w:hAnsi="仿宋" w:eastAsia="仿宋" w:cs="宋体"/>
                <w:bCs/>
                <w:color w:val="FF0000"/>
                <w:szCs w:val="21"/>
                <w:lang w:val="en-US" w:eastAsia="zh-CN"/>
              </w:rPr>
            </w:pPr>
            <w:r>
              <w:rPr>
                <w:rFonts w:hint="eastAsia" w:ascii="仿宋" w:hAnsi="仿宋" w:eastAsia="仿宋" w:cs="宋体"/>
                <w:bCs/>
                <w:szCs w:val="21"/>
                <w:lang w:val="en-US" w:eastAsia="zh-CN"/>
              </w:rPr>
              <w:t>10</w:t>
            </w:r>
          </w:p>
        </w:tc>
        <w:tc>
          <w:tcPr>
            <w:tcW w:w="6184" w:type="dxa"/>
            <w:vAlign w:val="center"/>
          </w:tcPr>
          <w:p w14:paraId="1FACD1FD">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供应商</w:t>
            </w:r>
            <w:r>
              <w:rPr>
                <w:rFonts w:hint="eastAsia" w:ascii="仿宋" w:hAnsi="仿宋" w:eastAsia="仿宋" w:cs="宋体"/>
                <w:bCs/>
                <w:szCs w:val="21"/>
              </w:rPr>
              <w:t>拟投入到本项目的服务人员情况，具体如下：</w:t>
            </w:r>
          </w:p>
          <w:p w14:paraId="44D050CB">
            <w:pPr>
              <w:spacing w:before="93" w:beforeLines="30" w:after="93" w:afterLines="30"/>
              <w:rPr>
                <w:rFonts w:hint="eastAsia" w:ascii="仿宋" w:hAnsi="仿宋" w:eastAsia="仿宋" w:cs="宋体"/>
                <w:bCs/>
                <w:szCs w:val="21"/>
              </w:rPr>
            </w:pPr>
            <w:r>
              <w:rPr>
                <w:rFonts w:hint="eastAsia" w:ascii="仿宋" w:hAnsi="仿宋" w:eastAsia="仿宋" w:cs="宋体"/>
                <w:bCs/>
                <w:szCs w:val="21"/>
              </w:rPr>
              <w:t>项目经理情况（</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1A1D9B9E">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按照以下所列标准，根据本项目配置的项目经理情况进行打分，最终累加合计以下2项的得分。具体如下：</w:t>
            </w:r>
          </w:p>
          <w:p w14:paraId="0E531794">
            <w:pPr>
              <w:spacing w:before="93" w:beforeLines="30" w:after="93" w:afterLines="30"/>
              <w:rPr>
                <w:rFonts w:hint="eastAsia" w:ascii="仿宋" w:hAnsi="仿宋" w:eastAsia="仿宋" w:cs="宋体"/>
                <w:bCs/>
                <w:szCs w:val="21"/>
              </w:rPr>
            </w:pPr>
            <w:r>
              <w:rPr>
                <w:rFonts w:hint="eastAsia" w:ascii="仿宋" w:hAnsi="仿宋" w:eastAsia="仿宋" w:cs="宋体"/>
                <w:bCs/>
                <w:szCs w:val="21"/>
              </w:rPr>
              <w:t>（1）具备本科（含）及以上学历的，得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704DF628">
            <w:pPr>
              <w:spacing w:before="93" w:beforeLines="30" w:after="93" w:afterLines="30"/>
              <w:rPr>
                <w:rFonts w:hint="eastAsia" w:ascii="仿宋" w:hAnsi="仿宋" w:eastAsia="仿宋" w:cs="宋体"/>
                <w:bCs/>
                <w:szCs w:val="21"/>
              </w:rPr>
            </w:pPr>
            <w:r>
              <w:rPr>
                <w:rFonts w:hint="eastAsia" w:ascii="仿宋" w:hAnsi="仿宋" w:eastAsia="仿宋" w:cs="宋体"/>
                <w:bCs/>
                <w:szCs w:val="21"/>
              </w:rPr>
              <w:t>（2）所学专业为</w:t>
            </w:r>
            <w:r>
              <w:rPr>
                <w:rFonts w:hint="eastAsia" w:ascii="仿宋" w:hAnsi="仿宋" w:eastAsia="仿宋" w:cs="宋体"/>
                <w:bCs/>
                <w:szCs w:val="21"/>
                <w:lang w:val="en-US" w:eastAsia="zh-CN"/>
              </w:rPr>
              <w:t>广告</w:t>
            </w:r>
            <w:r>
              <w:rPr>
                <w:rFonts w:hint="eastAsia" w:ascii="仿宋" w:hAnsi="仿宋" w:eastAsia="仿宋" w:cs="宋体"/>
                <w:bCs/>
                <w:szCs w:val="21"/>
              </w:rPr>
              <w:t>相关专业的</w:t>
            </w:r>
            <w:r>
              <w:rPr>
                <w:rFonts w:hint="eastAsia" w:ascii="仿宋" w:hAnsi="仿宋" w:eastAsia="仿宋" w:cs="宋体"/>
                <w:bCs/>
                <w:szCs w:val="21"/>
                <w:lang w:eastAsia="zh-CN"/>
              </w:rPr>
              <w:t>（</w:t>
            </w:r>
            <w:r>
              <w:rPr>
                <w:rFonts w:hint="eastAsia" w:ascii="仿宋" w:hAnsi="仿宋" w:eastAsia="仿宋" w:cs="宋体"/>
                <w:bCs/>
                <w:szCs w:val="21"/>
                <w:lang w:val="en-US" w:eastAsia="zh-CN"/>
              </w:rPr>
              <w:t>如广告学、网络与新媒体、新闻传播学等</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663DD396">
            <w:pPr>
              <w:spacing w:before="93" w:beforeLines="30" w:after="93" w:afterLines="30"/>
              <w:rPr>
                <w:rFonts w:hint="default" w:ascii="仿宋" w:hAnsi="仿宋" w:eastAsia="仿宋" w:cs="宋体"/>
                <w:bCs/>
                <w:szCs w:val="21"/>
              </w:rPr>
            </w:pPr>
            <w:r>
              <w:rPr>
                <w:rFonts w:hint="eastAsia" w:ascii="仿宋" w:hAnsi="仿宋" w:eastAsia="仿宋" w:cs="宋体"/>
                <w:bCs/>
                <w:szCs w:val="21"/>
              </w:rPr>
              <w:t>注1：①需提供项目经理的学历证书复印件或学信网查询截图作为证明材料，未提供则不得分。②提供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以来任意一个月的有效缴纳社保的证明复印件，或单位代缴个人所得税税单等，未提供则不得分。</w:t>
            </w:r>
          </w:p>
        </w:tc>
      </w:tr>
      <w:tr w14:paraId="42D33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4E42D1EA">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3</w:t>
            </w:r>
          </w:p>
        </w:tc>
        <w:tc>
          <w:tcPr>
            <w:tcW w:w="1068" w:type="dxa"/>
            <w:vAlign w:val="center"/>
          </w:tcPr>
          <w:p w14:paraId="373BEEDD">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同类项目经验</w:t>
            </w:r>
          </w:p>
        </w:tc>
        <w:tc>
          <w:tcPr>
            <w:tcW w:w="928" w:type="dxa"/>
            <w:vAlign w:val="center"/>
          </w:tcPr>
          <w:p w14:paraId="1EF9CA3B">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84" w:type="dxa"/>
            <w:vAlign w:val="center"/>
          </w:tcPr>
          <w:p w14:paraId="7F98A70C">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
                <w:szCs w:val="21"/>
              </w:rPr>
              <w:t>2021年1月1日至今</w:t>
            </w:r>
            <w:r>
              <w:rPr>
                <w:rFonts w:hint="eastAsia" w:ascii="仿宋" w:hAnsi="仿宋" w:eastAsia="仿宋" w:cs="宋体"/>
                <w:bCs/>
                <w:szCs w:val="21"/>
              </w:rPr>
              <w:t>（以合同签订日期为准），承接过的同类项目业绩情况。</w:t>
            </w:r>
          </w:p>
          <w:p w14:paraId="772A66D4">
            <w:pPr>
              <w:spacing w:before="93" w:beforeLines="30" w:after="93" w:afterLines="30"/>
              <w:rPr>
                <w:rFonts w:hint="eastAsia" w:ascii="仿宋" w:hAnsi="仿宋" w:eastAsia="仿宋" w:cs="宋体"/>
                <w:bCs/>
                <w:szCs w:val="21"/>
              </w:rPr>
            </w:pPr>
            <w:r>
              <w:rPr>
                <w:rFonts w:hint="eastAsia" w:ascii="仿宋" w:hAnsi="仿宋" w:eastAsia="仿宋" w:cs="宋体"/>
                <w:bCs/>
                <w:szCs w:val="21"/>
              </w:rPr>
              <w:t>投标人每具备一份有效的同类项目业绩，得</w:t>
            </w:r>
            <w:r>
              <w:rPr>
                <w:rFonts w:hint="eastAsia" w:ascii="仿宋" w:hAnsi="仿宋" w:eastAsia="仿宋" w:cs="宋体"/>
                <w:bCs/>
                <w:szCs w:val="21"/>
                <w:lang w:val="en-US" w:eastAsia="zh-CN"/>
              </w:rPr>
              <w:t>2</w:t>
            </w:r>
            <w:r>
              <w:rPr>
                <w:rFonts w:hint="eastAsia" w:ascii="仿宋" w:hAnsi="仿宋" w:eastAsia="仿宋" w:cs="宋体"/>
                <w:bCs/>
                <w:szCs w:val="21"/>
              </w:rPr>
              <w:t>分；本项最高不超过</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10E28AF7">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szCs w:val="21"/>
                <w:lang w:val="en-US" w:eastAsia="zh-CN"/>
              </w:rPr>
              <w:t>项目小组</w:t>
            </w:r>
            <w:r>
              <w:rPr>
                <w:rFonts w:hint="eastAsia" w:ascii="仿宋" w:hAnsi="仿宋" w:eastAsia="仿宋" w:cs="宋体"/>
                <w:bCs/>
                <w:szCs w:val="21"/>
              </w:rPr>
              <w:t>无法确定业绩关键信息的将不予认可。</w:t>
            </w:r>
          </w:p>
        </w:tc>
      </w:tr>
      <w:bookmarkEnd w:id="11"/>
    </w:tbl>
    <w:p w14:paraId="63277975">
      <w:pPr>
        <w:pStyle w:val="6"/>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5AFB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A87D66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48395841">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28EB9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3F3C377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0428B670">
            <w:pPr>
              <w:autoSpaceDE w:val="0"/>
              <w:autoSpaceDN w:val="0"/>
              <w:spacing w:before="93" w:beforeLines="30" w:after="93" w:afterLines="30"/>
              <w:jc w:val="center"/>
              <w:rPr>
                <w:rFonts w:hint="default" w:ascii="仿宋" w:hAnsi="仿宋" w:eastAsia="仿宋" w:cs="宋体"/>
                <w:b/>
                <w:szCs w:val="21"/>
                <w:lang w:eastAsia="zh-CN"/>
              </w:rPr>
            </w:pPr>
            <w:r>
              <w:rPr>
                <w:rFonts w:hint="default" w:ascii="仿宋" w:hAnsi="仿宋" w:eastAsia="仿宋" w:cs="宋体"/>
                <w:b/>
                <w:szCs w:val="21"/>
                <w:lang w:eastAsia="zh-CN"/>
              </w:rPr>
              <w:t>50</w:t>
            </w:r>
          </w:p>
        </w:tc>
      </w:tr>
      <w:tr w14:paraId="13FA8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70219EF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54DC4F6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22DF355B">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680E9F1A">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3EDC9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9" w:hRule="atLeast"/>
        </w:trPr>
        <w:tc>
          <w:tcPr>
            <w:tcW w:w="704" w:type="dxa"/>
            <w:shd w:val="clear" w:color="auto" w:fill="auto"/>
            <w:vAlign w:val="center"/>
          </w:tcPr>
          <w:p w14:paraId="2652FBDD">
            <w:pPr>
              <w:autoSpaceDE w:val="0"/>
              <w:autoSpaceDN w:val="0"/>
              <w:spacing w:before="93" w:beforeLines="30" w:after="93" w:afterLines="30"/>
              <w:jc w:val="center"/>
              <w:rPr>
                <w:rFonts w:ascii="仿宋" w:hAnsi="仿宋" w:eastAsia="仿宋" w:cs="宋体"/>
                <w:bCs/>
                <w:szCs w:val="21"/>
              </w:rPr>
            </w:pPr>
            <w:bookmarkStart w:id="12" w:name="_Hlk164272136"/>
            <w:r>
              <w:rPr>
                <w:rFonts w:ascii="仿宋" w:hAnsi="仿宋" w:eastAsia="仿宋" w:cs="宋体"/>
                <w:bCs/>
                <w:szCs w:val="21"/>
              </w:rPr>
              <w:t>1</w:t>
            </w:r>
          </w:p>
        </w:tc>
        <w:tc>
          <w:tcPr>
            <w:tcW w:w="1134" w:type="dxa"/>
            <w:shd w:val="clear" w:color="auto" w:fill="auto"/>
            <w:vAlign w:val="center"/>
          </w:tcPr>
          <w:p w14:paraId="58951238">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项目实施方案</w:t>
            </w:r>
          </w:p>
        </w:tc>
        <w:tc>
          <w:tcPr>
            <w:tcW w:w="851" w:type="dxa"/>
            <w:shd w:val="clear" w:color="auto" w:fill="auto"/>
            <w:vAlign w:val="center"/>
          </w:tcPr>
          <w:p w14:paraId="69E8CC60">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shd w:val="clear" w:color="auto" w:fill="auto"/>
            <w:vAlign w:val="center"/>
          </w:tcPr>
          <w:p w14:paraId="0B4E3904">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rPr>
              <w:t>所编写的技术实施方案情况。技术实施方案包括但不限于</w:t>
            </w:r>
            <w:r>
              <w:rPr>
                <w:rFonts w:hint="eastAsia" w:ascii="仿宋" w:hAnsi="仿宋" w:eastAsia="仿宋" w:cs="宋体"/>
                <w:b/>
                <w:szCs w:val="21"/>
                <w:lang w:val="en-US" w:eastAsia="zh-CN"/>
              </w:rPr>
              <w:t>投放流程、预估成效</w:t>
            </w:r>
            <w:r>
              <w:rPr>
                <w:rFonts w:hint="eastAsia" w:ascii="仿宋" w:hAnsi="仿宋" w:eastAsia="仿宋" w:cs="宋体"/>
                <w:bCs/>
                <w:szCs w:val="21"/>
              </w:rPr>
              <w:t>等内容。根据上述内容要点进行综合评分，具体如下：</w:t>
            </w:r>
          </w:p>
          <w:p w14:paraId="78526A7C">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1、实施方案规划详细、科学合理、契合实际情况，符合项目进度要求，项目管理架构清晰，可行性较高，</w:t>
            </w:r>
            <w:r>
              <w:rPr>
                <w:rFonts w:hint="eastAsia" w:ascii="仿宋" w:hAnsi="仿宋" w:eastAsia="仿宋" w:cs="宋体"/>
                <w:bCs/>
                <w:szCs w:val="21"/>
                <w:lang w:val="en-US" w:eastAsia="zh-CN"/>
              </w:rPr>
              <w:t>优于原定项目实施方案要求的，</w:t>
            </w:r>
            <w:r>
              <w:rPr>
                <w:rFonts w:hint="eastAsia" w:ascii="仿宋" w:hAnsi="仿宋" w:eastAsia="仿宋" w:cs="宋体"/>
                <w:bCs/>
                <w:szCs w:val="21"/>
              </w:rPr>
              <w:t>得</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2E7E2D35">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2、实施方案规划较详细、合理，基本契合实际情况，符合项目进度要求，项目管理架构较为清晰，具有一定可行性，得</w:t>
            </w:r>
            <w:r>
              <w:rPr>
                <w:rFonts w:hint="eastAsia" w:ascii="仿宋" w:hAnsi="仿宋" w:eastAsia="仿宋" w:cs="宋体"/>
                <w:bCs/>
                <w:szCs w:val="21"/>
                <w:lang w:val="en-US" w:eastAsia="zh-CN"/>
              </w:rPr>
              <w:t>15</w:t>
            </w:r>
            <w:r>
              <w:rPr>
                <w:rFonts w:hint="eastAsia" w:ascii="仿宋" w:hAnsi="仿宋" w:eastAsia="仿宋" w:cs="宋体"/>
                <w:bCs/>
                <w:szCs w:val="21"/>
              </w:rPr>
              <w:t>分；</w:t>
            </w:r>
          </w:p>
          <w:p w14:paraId="05D9DBDE">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3、实施方案规划一般，内容较为笼统，上述所列的内容要点存在欠缺，需进一步细化才能满足实际需求，可行性一般，得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119641DF">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11163E7A">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w:t>
            </w:r>
            <w:bookmarkStart w:id="13" w:name="OLE_LINK9"/>
            <w:r>
              <w:rPr>
                <w:rFonts w:hint="eastAsia" w:ascii="仿宋" w:hAnsi="仿宋" w:eastAsia="仿宋" w:cs="宋体"/>
                <w:bCs/>
                <w:szCs w:val="21"/>
              </w:rPr>
              <w:t>未提供相关内容则不得分。</w:t>
            </w:r>
            <w:bookmarkEnd w:id="13"/>
          </w:p>
        </w:tc>
      </w:tr>
      <w:tr w14:paraId="25BBF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D287367">
            <w:pPr>
              <w:spacing w:before="93" w:beforeLines="30" w:after="93" w:afterLines="30"/>
              <w:jc w:val="center"/>
              <w:rPr>
                <w:rFonts w:ascii="仿宋" w:hAnsi="仿宋" w:eastAsia="仿宋" w:cs="宋体"/>
                <w:bCs/>
                <w:szCs w:val="21"/>
              </w:rPr>
            </w:pPr>
            <w:bookmarkStart w:id="14" w:name="_Hlk163650616"/>
            <w:r>
              <w:rPr>
                <w:rFonts w:hint="eastAsia" w:ascii="仿宋" w:hAnsi="仿宋" w:eastAsia="仿宋" w:cs="宋体"/>
                <w:bCs/>
                <w:szCs w:val="21"/>
              </w:rPr>
              <w:t>2</w:t>
            </w:r>
          </w:p>
        </w:tc>
        <w:tc>
          <w:tcPr>
            <w:tcW w:w="1134" w:type="dxa"/>
            <w:vAlign w:val="center"/>
          </w:tcPr>
          <w:p w14:paraId="63DFDDC1">
            <w:pPr>
              <w:spacing w:before="93" w:beforeLines="30" w:after="93" w:afterLines="30"/>
              <w:jc w:val="center"/>
              <w:rPr>
                <w:rFonts w:ascii="仿宋" w:hAnsi="仿宋" w:eastAsia="仿宋" w:cs="宋体"/>
                <w:bCs/>
                <w:szCs w:val="21"/>
              </w:rPr>
            </w:pPr>
            <w:r>
              <w:rPr>
                <w:rFonts w:hint="eastAsia" w:ascii="仿宋" w:hAnsi="仿宋" w:eastAsia="仿宋" w:cs="宋体"/>
                <w:bCs/>
                <w:szCs w:val="21"/>
              </w:rPr>
              <w:t>项目执行进度计划</w:t>
            </w:r>
          </w:p>
        </w:tc>
        <w:tc>
          <w:tcPr>
            <w:tcW w:w="851" w:type="dxa"/>
            <w:vAlign w:val="center"/>
          </w:tcPr>
          <w:p w14:paraId="1E4B1CD1">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tcPr>
          <w:p w14:paraId="57C99540">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针对本项目所编制的详细计划进度表。具体</w:t>
            </w:r>
            <w:r>
              <w:rPr>
                <w:rFonts w:hint="eastAsia" w:ascii="仿宋" w:hAnsi="仿宋" w:eastAsia="仿宋" w:cs="宋体"/>
                <w:bCs/>
                <w:szCs w:val="21"/>
                <w:lang w:val="en-US" w:eastAsia="zh-CN"/>
              </w:rPr>
              <w:t>评分</w:t>
            </w:r>
            <w:r>
              <w:rPr>
                <w:rFonts w:hint="eastAsia" w:ascii="仿宋" w:hAnsi="仿宋" w:eastAsia="仿宋" w:cs="宋体"/>
                <w:bCs/>
                <w:szCs w:val="21"/>
              </w:rPr>
              <w:t>如下：</w:t>
            </w:r>
          </w:p>
          <w:p w14:paraId="6B6F96E2">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1、</w:t>
            </w:r>
            <w:r>
              <w:rPr>
                <w:rFonts w:hint="eastAsia" w:ascii="仿宋" w:hAnsi="仿宋" w:eastAsia="仿宋" w:cs="宋体"/>
                <w:bCs/>
                <w:szCs w:val="21"/>
                <w:lang w:val="en-US" w:eastAsia="zh-CN"/>
              </w:rPr>
              <w:t>计划进度</w:t>
            </w:r>
            <w:r>
              <w:rPr>
                <w:rFonts w:hint="eastAsia" w:ascii="仿宋" w:hAnsi="仿宋" w:eastAsia="仿宋" w:cs="宋体"/>
                <w:bCs/>
                <w:szCs w:val="21"/>
              </w:rPr>
              <w:t>详细、思路清晰，能够覆盖上述所列各要点内容，可行性强，能够满足实际需求，</w:t>
            </w:r>
            <w:r>
              <w:rPr>
                <w:rFonts w:hint="eastAsia" w:ascii="仿宋" w:hAnsi="仿宋" w:eastAsia="仿宋" w:cs="宋体"/>
                <w:bCs/>
                <w:szCs w:val="21"/>
                <w:lang w:val="en-US" w:eastAsia="zh-CN"/>
              </w:rPr>
              <w:t>优于原定项目执行进度计划要求的，</w:t>
            </w:r>
            <w:r>
              <w:rPr>
                <w:rFonts w:hint="eastAsia" w:ascii="仿宋" w:hAnsi="仿宋" w:eastAsia="仿宋" w:cs="宋体"/>
                <w:bCs/>
                <w:szCs w:val="21"/>
              </w:rPr>
              <w:t>得</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32FC45C0">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2、</w:t>
            </w:r>
            <w:r>
              <w:rPr>
                <w:rFonts w:hint="eastAsia" w:ascii="仿宋" w:hAnsi="仿宋" w:eastAsia="仿宋" w:cs="宋体"/>
                <w:bCs/>
                <w:szCs w:val="21"/>
                <w:lang w:val="en-US" w:eastAsia="zh-CN"/>
              </w:rPr>
              <w:t>计划进度</w:t>
            </w:r>
            <w:r>
              <w:rPr>
                <w:rFonts w:hint="eastAsia" w:ascii="仿宋" w:hAnsi="仿宋" w:eastAsia="仿宋" w:cs="宋体"/>
                <w:bCs/>
                <w:szCs w:val="21"/>
              </w:rPr>
              <w:t>比较详细，思路也比较清晰，基本能够覆盖上述所列各要点内容，可行性较强，基本能够满足实际需求，得</w:t>
            </w:r>
            <w:r>
              <w:rPr>
                <w:rFonts w:hint="eastAsia" w:ascii="仿宋" w:hAnsi="仿宋" w:eastAsia="仿宋" w:cs="宋体"/>
                <w:bCs/>
                <w:szCs w:val="21"/>
                <w:lang w:val="en-US" w:eastAsia="zh-CN"/>
              </w:rPr>
              <w:t>15</w:t>
            </w:r>
            <w:r>
              <w:rPr>
                <w:rFonts w:hint="eastAsia" w:ascii="仿宋" w:hAnsi="仿宋" w:eastAsia="仿宋" w:cs="宋体"/>
                <w:bCs/>
                <w:szCs w:val="21"/>
              </w:rPr>
              <w:t>分；</w:t>
            </w:r>
          </w:p>
          <w:p w14:paraId="130CB516">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3、</w:t>
            </w:r>
            <w:r>
              <w:rPr>
                <w:rFonts w:hint="eastAsia" w:ascii="仿宋" w:hAnsi="仿宋" w:eastAsia="仿宋" w:cs="宋体"/>
                <w:bCs/>
                <w:szCs w:val="21"/>
                <w:lang w:val="en-US" w:eastAsia="zh-CN"/>
              </w:rPr>
              <w:t>计划进度</w:t>
            </w:r>
            <w:r>
              <w:rPr>
                <w:rFonts w:hint="eastAsia" w:ascii="仿宋" w:hAnsi="仿宋" w:eastAsia="仿宋" w:cs="宋体"/>
                <w:bCs/>
                <w:szCs w:val="21"/>
              </w:rPr>
              <w:t>一般，整体内容较为笼统，上述所列的内容要点存在欠缺，可行性一般，得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698BDAC4">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4、</w:t>
            </w:r>
            <w:r>
              <w:rPr>
                <w:rFonts w:hint="eastAsia" w:ascii="仿宋" w:hAnsi="仿宋" w:eastAsia="仿宋" w:cs="宋体"/>
                <w:bCs/>
                <w:szCs w:val="21"/>
                <w:lang w:val="en-US" w:eastAsia="zh-CN"/>
              </w:rPr>
              <w:t>计划进度</w:t>
            </w:r>
            <w:r>
              <w:rPr>
                <w:rFonts w:hint="eastAsia" w:ascii="仿宋" w:hAnsi="仿宋" w:eastAsia="仿宋" w:cs="宋体"/>
                <w:bCs/>
                <w:szCs w:val="21"/>
              </w:rPr>
              <w:t>较差，无法体现上述所列各要点或存在严重的偏差，可行性较差，得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429D4063">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5、未提供相关内容则不得分。</w:t>
            </w:r>
          </w:p>
        </w:tc>
      </w:tr>
      <w:tr w14:paraId="4D090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2" w:hRule="atLeast"/>
        </w:trPr>
        <w:tc>
          <w:tcPr>
            <w:tcW w:w="704" w:type="dxa"/>
            <w:vAlign w:val="center"/>
          </w:tcPr>
          <w:p w14:paraId="7EC3CF28">
            <w:pPr>
              <w:spacing w:before="93" w:beforeLines="30" w:after="93" w:afterLines="30"/>
              <w:jc w:val="center"/>
              <w:rPr>
                <w:rFonts w:ascii="仿宋" w:hAnsi="仿宋" w:eastAsia="仿宋" w:cs="宋体"/>
                <w:bCs/>
                <w:szCs w:val="21"/>
              </w:rPr>
            </w:pPr>
            <w:r>
              <w:rPr>
                <w:rFonts w:hint="eastAsia" w:ascii="仿宋" w:hAnsi="仿宋" w:eastAsia="仿宋" w:cs="宋体"/>
                <w:bCs/>
                <w:szCs w:val="21"/>
              </w:rPr>
              <w:t>3</w:t>
            </w:r>
          </w:p>
        </w:tc>
        <w:tc>
          <w:tcPr>
            <w:tcW w:w="1134" w:type="dxa"/>
            <w:vAlign w:val="center"/>
          </w:tcPr>
          <w:p w14:paraId="38EF3E66">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等</w:t>
            </w:r>
          </w:p>
        </w:tc>
        <w:tc>
          <w:tcPr>
            <w:tcW w:w="851" w:type="dxa"/>
            <w:vAlign w:val="center"/>
          </w:tcPr>
          <w:p w14:paraId="4D39951D">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center"/>
          </w:tcPr>
          <w:p w14:paraId="037EB13E">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针对本项目所编制的保密管理及应急保障措施。内容包含不限于项目保密措施、应急保障措施等内容。根据内容的优劣情况进行横向比较，具体如下：</w:t>
            </w:r>
          </w:p>
          <w:p w14:paraId="2E624DA0">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1、内容合理，列有详细的项目保密措施、应急保障措施，整体切实可行，能对项目执行起到保障作用，</w:t>
            </w:r>
            <w:r>
              <w:rPr>
                <w:rFonts w:hint="eastAsia" w:ascii="仿宋" w:hAnsi="仿宋" w:eastAsia="仿宋" w:cs="宋体"/>
                <w:bCs/>
                <w:szCs w:val="21"/>
                <w:lang w:val="en-US" w:eastAsia="zh-CN"/>
              </w:rPr>
              <w:t>优于原定</w:t>
            </w: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要求的，</w:t>
            </w:r>
            <w:r>
              <w:rPr>
                <w:rFonts w:hint="eastAsia" w:ascii="仿宋" w:hAnsi="仿宋" w:eastAsia="仿宋" w:cs="宋体"/>
                <w:bCs/>
                <w:szCs w:val="21"/>
              </w:rPr>
              <w:t>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0C48AC26">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2、内容较为合理，列有简单的项目保密措施、应急保障措施，基本可行，能对项目执行起到一定保障作用，得</w:t>
            </w:r>
            <w:r>
              <w:rPr>
                <w:rFonts w:hint="eastAsia" w:ascii="仿宋" w:hAnsi="仿宋" w:eastAsia="仿宋" w:cs="宋体"/>
                <w:bCs/>
                <w:szCs w:val="21"/>
                <w:lang w:val="en-US" w:eastAsia="zh-CN"/>
              </w:rPr>
              <w:t>7</w:t>
            </w:r>
            <w:r>
              <w:rPr>
                <w:rFonts w:hint="eastAsia" w:ascii="仿宋" w:hAnsi="仿宋" w:eastAsia="仿宋" w:cs="宋体"/>
                <w:bCs/>
                <w:szCs w:val="21"/>
              </w:rPr>
              <w:t>分；</w:t>
            </w:r>
          </w:p>
          <w:p w14:paraId="5B00EA0C">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3、内容一般，整体内容较为笼统，可行性一般，对项目执行起到保障作用较小，得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4D1FA9B2">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4、方案内容较差，存在严重的欠缺，可行性差，得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351A4D02">
            <w:pPr>
              <w:keepNext w:val="0"/>
              <w:keepLines w:val="0"/>
              <w:pageBreakBefore w:val="0"/>
              <w:widowControl w:val="0"/>
              <w:kinsoku/>
              <w:wordWrap/>
              <w:overflowPunct/>
              <w:topLinePunct w:val="0"/>
              <w:autoSpaceDE/>
              <w:autoSpaceDN/>
              <w:bidi w:val="0"/>
              <w:adjustRightInd/>
              <w:snapToGrid/>
              <w:spacing w:before="93" w:beforeLines="30" w:after="93" w:afterLines="30" w:line="200" w:lineRule="exact"/>
              <w:textAlignment w:val="auto"/>
              <w:rPr>
                <w:rFonts w:ascii="仿宋" w:hAnsi="仿宋" w:eastAsia="仿宋" w:cs="宋体"/>
                <w:bCs/>
                <w:szCs w:val="21"/>
              </w:rPr>
            </w:pPr>
            <w:r>
              <w:rPr>
                <w:rFonts w:hint="eastAsia" w:ascii="仿宋" w:hAnsi="仿宋" w:eastAsia="仿宋" w:cs="宋体"/>
                <w:bCs/>
                <w:szCs w:val="21"/>
              </w:rPr>
              <w:t>5、未提供相关内容则不得分。</w:t>
            </w:r>
          </w:p>
        </w:tc>
      </w:tr>
      <w:bookmarkEnd w:id="12"/>
      <w:bookmarkEnd w:id="14"/>
    </w:tbl>
    <w:p w14:paraId="2A8A730B">
      <w:pPr>
        <w:pStyle w:val="6"/>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3653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89" w:type="dxa"/>
            <w:gridSpan w:val="3"/>
            <w:shd w:val="clear" w:color="auto" w:fill="F1F1F1" w:themeFill="background1" w:themeFillShade="F2"/>
            <w:vAlign w:val="center"/>
          </w:tcPr>
          <w:p w14:paraId="6BC15F3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2492CF8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6F21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D835F2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6E0F49F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20</w:t>
            </w:r>
          </w:p>
        </w:tc>
      </w:tr>
      <w:tr w14:paraId="44FE9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16AD550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1C323A5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734EF65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3798683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5603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14B4FA9">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67996EF5">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270DD576">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20</w:t>
            </w:r>
          </w:p>
        </w:tc>
        <w:tc>
          <w:tcPr>
            <w:tcW w:w="6146" w:type="dxa"/>
          </w:tcPr>
          <w:p w14:paraId="6949C0BD">
            <w:pPr>
              <w:keepNext w:val="0"/>
              <w:keepLines w:val="0"/>
              <w:pageBreakBefore w:val="0"/>
              <w:widowControl w:val="0"/>
              <w:kinsoku/>
              <w:wordWrap/>
              <w:overflowPunct/>
              <w:topLinePunct w:val="0"/>
              <w:autoSpaceDE/>
              <w:autoSpaceDN/>
              <w:bidi w:val="0"/>
              <w:adjustRightInd/>
              <w:snapToGrid/>
              <w:spacing w:before="93" w:beforeLines="30" w:after="93" w:afterLines="30" w:line="240" w:lineRule="exact"/>
              <w:textAlignment w:val="auto"/>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含税总价报价为最低的投标人报价作为基准价，其价格得分为满分，满分为20分。具体公式如下：</w:t>
            </w:r>
          </w:p>
          <w:p w14:paraId="6C41F262">
            <w:pPr>
              <w:keepNext w:val="0"/>
              <w:keepLines w:val="0"/>
              <w:pageBreakBefore w:val="0"/>
              <w:widowControl w:val="0"/>
              <w:kinsoku/>
              <w:wordWrap/>
              <w:overflowPunct/>
              <w:topLinePunct w:val="0"/>
              <w:autoSpaceDE/>
              <w:autoSpaceDN/>
              <w:bidi w:val="0"/>
              <w:adjustRightInd/>
              <w:snapToGrid/>
              <w:spacing w:before="93" w:beforeLines="30" w:after="93" w:afterLines="30" w:line="240" w:lineRule="exact"/>
              <w:textAlignment w:val="auto"/>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1F65013C">
            <w:pPr>
              <w:keepNext w:val="0"/>
              <w:keepLines w:val="0"/>
              <w:pageBreakBefore w:val="0"/>
              <w:widowControl w:val="0"/>
              <w:kinsoku/>
              <w:wordWrap/>
              <w:overflowPunct/>
              <w:topLinePunct w:val="0"/>
              <w:autoSpaceDE/>
              <w:autoSpaceDN/>
              <w:bidi w:val="0"/>
              <w:adjustRightInd/>
              <w:snapToGrid/>
              <w:spacing w:before="93" w:beforeLines="30" w:after="93" w:afterLines="30" w:line="240" w:lineRule="exact"/>
              <w:textAlignment w:val="auto"/>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7E3EB46C">
            <w:pPr>
              <w:keepNext w:val="0"/>
              <w:keepLines w:val="0"/>
              <w:pageBreakBefore w:val="0"/>
              <w:widowControl w:val="0"/>
              <w:kinsoku/>
              <w:wordWrap/>
              <w:overflowPunct/>
              <w:topLinePunct w:val="0"/>
              <w:autoSpaceDE/>
              <w:autoSpaceDN/>
              <w:bidi w:val="0"/>
              <w:adjustRightInd/>
              <w:snapToGrid/>
              <w:spacing w:before="93" w:beforeLines="30" w:after="93" w:afterLines="30" w:line="240" w:lineRule="exact"/>
              <w:textAlignment w:val="auto"/>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3B121FD8">
      <w:pPr>
        <w:pStyle w:val="4"/>
        <w:rPr>
          <w:rFonts w:hint="eastAsia" w:ascii="宋体" w:hAnsi="宋体" w:eastAsia="宋体" w:cs="宋体"/>
          <w:highlight w:val="none"/>
        </w:rPr>
      </w:pPr>
      <w:r>
        <w:rPr>
          <w:rFonts w:hint="eastAsia" w:ascii="宋体" w:hAnsi="宋体" w:eastAsia="宋体" w:cs="宋体"/>
          <w:highlight w:val="none"/>
        </w:rPr>
        <w:t>评审程序</w:t>
      </w:r>
      <w:bookmarkEnd w:id="4"/>
      <w:bookmarkEnd w:id="5"/>
      <w:bookmarkEnd w:id="6"/>
      <w:bookmarkEnd w:id="7"/>
      <w:bookmarkEnd w:id="8"/>
      <w:bookmarkEnd w:id="9"/>
      <w:bookmarkEnd w:id="10"/>
    </w:p>
    <w:p w14:paraId="116ACA1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0A479403">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5CDFED3E">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7B65F8B">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3CB0E43E">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38AF61D4">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37D36992">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2C094DC1">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2FA00B71">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445AFC72">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2EE2079C">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4E2FBFCB">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793684B0">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0B13BBB3">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64ABC431">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6FC61FA2">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559EE0E">
      <w:pPr>
        <w:pStyle w:val="12"/>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7120CB6D">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4BFFE151">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66EE4057">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4B700AA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32C3296B">
      <w:pPr>
        <w:pStyle w:val="12"/>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40B3636A">
      <w:pPr>
        <w:pStyle w:val="12"/>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36A255C2">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1446DD5">
      <w:pPr>
        <w:pStyle w:val="12"/>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24C4ADF">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49A9C3AA">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60AAF6DE">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7FEC8A80">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0E796FFD">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5" w:name="_Toc478566443"/>
      <w:bookmarkStart w:id="16" w:name="_Toc478566085"/>
      <w:bookmarkStart w:id="17" w:name="_Toc478566277"/>
      <w:bookmarkStart w:id="18" w:name="_Toc478565722"/>
      <w:bookmarkStart w:id="19" w:name="_Toc474148041"/>
    </w:p>
    <w:p w14:paraId="3E24EA87">
      <w:pPr>
        <w:pStyle w:val="12"/>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5"/>
      <w:bookmarkEnd w:id="16"/>
      <w:bookmarkEnd w:id="17"/>
      <w:bookmarkEnd w:id="18"/>
      <w:bookmarkEnd w:id="19"/>
    </w:p>
    <w:p w14:paraId="6BF7B86C">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A3E4C35">
      <w:pPr>
        <w:pStyle w:val="12"/>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6DA5C4B1">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7D37F80B">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3D485E36">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7EFA5BF4">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739245F1">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2EFBBB52">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3C4717F1">
      <w:pPr>
        <w:pStyle w:val="12"/>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6A4D96CE">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7C48A2DD">
      <w:pPr>
        <w:pStyle w:val="12"/>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5E8B1427">
      <w:pPr>
        <w:pStyle w:val="12"/>
        <w:spacing w:line="240" w:lineRule="auto"/>
        <w:ind w:firstLine="420"/>
        <w:rPr>
          <w:rFonts w:hint="eastAsia" w:ascii="宋体" w:hAnsi="宋体" w:eastAsia="宋体" w:cs="宋体"/>
          <w:sz w:val="21"/>
          <w:highlight w:val="none"/>
        </w:rPr>
      </w:pPr>
    </w:p>
    <w:p w14:paraId="42C593A8">
      <w:pPr>
        <w:pStyle w:val="12"/>
        <w:spacing w:line="240" w:lineRule="auto"/>
        <w:ind w:firstLine="420"/>
        <w:rPr>
          <w:rFonts w:hint="eastAsia" w:ascii="宋体" w:hAnsi="宋体" w:eastAsia="宋体" w:cs="宋体"/>
          <w:sz w:val="21"/>
          <w:highlight w:val="none"/>
        </w:rPr>
      </w:pPr>
    </w:p>
    <w:p w14:paraId="73899A34">
      <w:pPr>
        <w:pStyle w:val="12"/>
        <w:spacing w:line="240" w:lineRule="auto"/>
        <w:ind w:firstLine="420"/>
        <w:rPr>
          <w:rFonts w:hint="eastAsia" w:ascii="宋体" w:hAnsi="宋体" w:eastAsia="宋体" w:cs="宋体"/>
          <w:sz w:val="21"/>
          <w:highlight w:val="none"/>
        </w:rPr>
      </w:pPr>
    </w:p>
    <w:p w14:paraId="60839692">
      <w:pPr>
        <w:pStyle w:val="12"/>
        <w:spacing w:line="240" w:lineRule="auto"/>
        <w:ind w:firstLine="420"/>
        <w:rPr>
          <w:rFonts w:hint="eastAsia" w:ascii="宋体" w:hAnsi="宋体" w:eastAsia="宋体" w:cs="宋体"/>
          <w:sz w:val="21"/>
          <w:highlight w:val="none"/>
        </w:rPr>
      </w:pPr>
    </w:p>
    <w:p w14:paraId="72C64340">
      <w:pPr>
        <w:pStyle w:val="12"/>
        <w:spacing w:line="240" w:lineRule="auto"/>
        <w:ind w:firstLine="420"/>
        <w:rPr>
          <w:rFonts w:hint="eastAsia" w:ascii="宋体" w:hAnsi="宋体" w:eastAsia="宋体" w:cs="宋体"/>
          <w:sz w:val="21"/>
          <w:highlight w:val="none"/>
        </w:rPr>
      </w:pPr>
    </w:p>
    <w:p w14:paraId="5F2A8E3E">
      <w:pPr>
        <w:pStyle w:val="12"/>
        <w:spacing w:line="240" w:lineRule="auto"/>
        <w:ind w:firstLine="420"/>
        <w:rPr>
          <w:rFonts w:hint="eastAsia" w:ascii="宋体" w:hAnsi="宋体" w:eastAsia="宋体" w:cs="宋体"/>
          <w:sz w:val="21"/>
          <w:highlight w:val="none"/>
        </w:rPr>
      </w:pPr>
      <w:bookmarkStart w:id="56" w:name="_GoBack"/>
      <w:bookmarkEnd w:id="56"/>
    </w:p>
    <w:p w14:paraId="34D44389">
      <w:pPr>
        <w:pStyle w:val="12"/>
        <w:spacing w:line="240" w:lineRule="auto"/>
        <w:ind w:firstLine="420"/>
        <w:rPr>
          <w:rFonts w:hint="eastAsia" w:ascii="宋体" w:hAnsi="宋体" w:eastAsia="宋体" w:cs="宋体"/>
          <w:sz w:val="21"/>
          <w:highlight w:val="none"/>
        </w:rPr>
      </w:pPr>
    </w:p>
    <w:p w14:paraId="2BF457E0">
      <w:pPr>
        <w:pStyle w:val="12"/>
        <w:spacing w:line="240" w:lineRule="auto"/>
        <w:ind w:firstLine="420"/>
        <w:rPr>
          <w:rFonts w:hint="eastAsia" w:ascii="宋体" w:hAnsi="宋体" w:eastAsia="宋体" w:cs="宋体"/>
          <w:sz w:val="21"/>
          <w:highlight w:val="none"/>
        </w:rPr>
      </w:pPr>
    </w:p>
    <w:p w14:paraId="6EC2C77D">
      <w:pPr>
        <w:pStyle w:val="12"/>
        <w:spacing w:line="240" w:lineRule="auto"/>
        <w:ind w:firstLine="420"/>
        <w:rPr>
          <w:rFonts w:hint="eastAsia" w:ascii="宋体" w:hAnsi="宋体" w:eastAsia="宋体" w:cs="宋体"/>
          <w:sz w:val="21"/>
          <w:highlight w:val="none"/>
        </w:rPr>
      </w:pPr>
    </w:p>
    <w:p w14:paraId="201E57F5">
      <w:pPr>
        <w:pStyle w:val="12"/>
        <w:spacing w:line="240" w:lineRule="auto"/>
        <w:ind w:firstLine="420"/>
        <w:rPr>
          <w:rFonts w:hint="eastAsia" w:ascii="宋体" w:hAnsi="宋体" w:eastAsia="宋体" w:cs="宋体"/>
          <w:sz w:val="21"/>
          <w:highlight w:val="none"/>
        </w:rPr>
      </w:pPr>
    </w:p>
    <w:p w14:paraId="260602EC">
      <w:pPr>
        <w:pStyle w:val="12"/>
        <w:spacing w:line="240" w:lineRule="auto"/>
        <w:ind w:firstLine="420"/>
        <w:rPr>
          <w:rFonts w:hint="eastAsia" w:ascii="宋体" w:hAnsi="宋体" w:eastAsia="宋体" w:cs="宋体"/>
          <w:sz w:val="21"/>
          <w:highlight w:val="none"/>
        </w:rPr>
      </w:pPr>
    </w:p>
    <w:p w14:paraId="1C6D0051">
      <w:pPr>
        <w:pStyle w:val="12"/>
        <w:spacing w:line="240" w:lineRule="auto"/>
        <w:ind w:left="0" w:leftChars="0" w:firstLine="0" w:firstLineChars="0"/>
        <w:rPr>
          <w:rFonts w:hint="eastAsia" w:ascii="宋体" w:hAnsi="宋体" w:eastAsia="宋体" w:cs="宋体"/>
          <w:sz w:val="21"/>
          <w:highlight w:val="none"/>
        </w:rPr>
      </w:pPr>
    </w:p>
    <w:p w14:paraId="02CCA942">
      <w:pPr>
        <w:pStyle w:val="11"/>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0" w:name="_Toc4457"/>
      <w:r>
        <w:rPr>
          <w:rFonts w:hint="eastAsia" w:ascii="宋体" w:hAnsi="宋体" w:eastAsia="宋体" w:cs="宋体"/>
          <w:sz w:val="21"/>
          <w:highlight w:val="none"/>
          <w:lang w:eastAsia="zh-CN"/>
        </w:rPr>
        <w:t>、</w:t>
      </w:r>
      <w:r>
        <w:rPr>
          <w:rFonts w:hint="eastAsia" w:ascii="方正小标宋简体" w:hAnsi="方正小标宋简体" w:eastAsia="方正小标宋简体" w:cs="方正小标宋简体"/>
          <w:b/>
          <w:kern w:val="2"/>
          <w:sz w:val="36"/>
          <w:szCs w:val="36"/>
          <w:lang w:val="en-US" w:eastAsia="zh-CN" w:bidi="ar-SA"/>
        </w:rPr>
        <w:t>采购需求书</w:t>
      </w:r>
      <w:bookmarkEnd w:id="20"/>
    </w:p>
    <w:p w14:paraId="7D2A3EA8">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8F3813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7E11213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6672BAF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0798F8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10C16DC">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64F23FDE">
      <w:pPr>
        <w:pStyle w:val="11"/>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1E6B8F29">
      <w:pPr>
        <w:pStyle w:val="11"/>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770F30E0">
      <w:pPr>
        <w:pStyle w:val="11"/>
        <w:numPr>
          <w:ilvl w:val="0"/>
          <w:numId w:val="0"/>
        </w:numPr>
        <w:snapToGrid w:val="0"/>
        <w:spacing w:before="120" w:after="120"/>
        <w:ind w:leftChars="0"/>
        <w:jc w:val="center"/>
        <w:rPr>
          <w:rFonts w:hint="eastAsia" w:ascii="宋体" w:hAnsi="宋体" w:eastAsia="宋体" w:cs="宋体"/>
          <w:b/>
          <w:bCs/>
          <w:color w:val="auto"/>
          <w:sz w:val="24"/>
          <w:szCs w:val="24"/>
          <w:lang w:val="en-US" w:eastAsia="zh-CN"/>
        </w:rPr>
      </w:pPr>
      <w:r>
        <w:rPr>
          <w:rFonts w:hint="eastAsia" w:ascii="宋体" w:hAnsi="宋体" w:eastAsia="宋体" w:cs="宋体"/>
          <w:b/>
          <w:bCs/>
          <w:sz w:val="24"/>
          <w:szCs w:val="24"/>
          <w:lang w:val="en-US" w:eastAsia="zh-CN"/>
        </w:rPr>
        <w:t>南方新闻网线下广告投放服务采购需求书</w:t>
      </w:r>
    </w:p>
    <w:p w14:paraId="7886AE43">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color w:val="000000"/>
          <w:kern w:val="0"/>
          <w:sz w:val="24"/>
          <w:szCs w:val="24"/>
          <w:lang w:val="en-US" w:eastAsia="zh-CN"/>
        </w:rPr>
      </w:pPr>
    </w:p>
    <w:p w14:paraId="46BB64F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1.在广州市人流量大的地铁、公交线路、站台或其他户外地段等宣传不少于2次（共计不少于20个站点或线路）；</w:t>
      </w:r>
    </w:p>
    <w:p w14:paraId="2BAB9D7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2.提供配套广告设计服务；</w:t>
      </w:r>
    </w:p>
    <w:p w14:paraId="4722603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3.服务期内，乙方每次开展投放业务后需向甲方确认推广成果；</w:t>
      </w:r>
    </w:p>
    <w:p w14:paraId="4C488E1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4.服务期满，乙方应按甲方要求生成项目验收总结报告，对本项目宣传推广效果进行总结。</w:t>
      </w:r>
    </w:p>
    <w:p w14:paraId="17553C08">
      <w:pPr>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5.服务期限：2026年5月1日前完成服务。</w:t>
      </w:r>
    </w:p>
    <w:p w14:paraId="32D11AEC">
      <w:pPr>
        <w:pStyle w:val="2"/>
        <w:ind w:left="0" w:leftChars="0" w:firstLine="0" w:firstLineChars="0"/>
        <w:rPr>
          <w:rFonts w:hint="eastAsia"/>
          <w:sz w:val="24"/>
          <w:szCs w:val="24"/>
          <w:lang w:val="en-US" w:eastAsia="zh-CN"/>
        </w:rPr>
      </w:pPr>
    </w:p>
    <w:p w14:paraId="033629B3">
      <w:pPr>
        <w:pStyle w:val="6"/>
        <w:widowControl w:val="0"/>
        <w:numPr>
          <w:ilvl w:val="0"/>
          <w:numId w:val="0"/>
        </w:numPr>
        <w:spacing w:after="120"/>
        <w:jc w:val="center"/>
        <w:rPr>
          <w:rFonts w:hint="default" w:ascii="方正小标宋简体" w:hAnsi="方正小标宋简体" w:eastAsia="方正小标宋简体" w:cs="方正小标宋简体"/>
          <w:b/>
          <w:sz w:val="36"/>
          <w:szCs w:val="36"/>
          <w:lang w:val="en-US" w:eastAsia="zh-CN"/>
        </w:rPr>
      </w:pPr>
    </w:p>
    <w:p w14:paraId="2A5B7FD1">
      <w:pPr>
        <w:pStyle w:val="6"/>
        <w:widowControl w:val="0"/>
        <w:numPr>
          <w:ilvl w:val="0"/>
          <w:numId w:val="0"/>
        </w:numPr>
        <w:spacing w:after="120"/>
        <w:jc w:val="center"/>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7EF2E647">
      <w:pPr>
        <w:pStyle w:val="11"/>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1" w:name="_Toc1917"/>
      <w:r>
        <w:rPr>
          <w:rFonts w:hint="eastAsia" w:ascii="方正小标宋简体" w:hAnsi="方正小标宋简体" w:eastAsia="方正小标宋简体" w:cs="方正小标宋简体"/>
          <w:b/>
          <w:kern w:val="2"/>
          <w:sz w:val="36"/>
          <w:szCs w:val="36"/>
          <w:lang w:val="en-US" w:eastAsia="zh-CN" w:bidi="ar-SA"/>
        </w:rPr>
        <w:t>商务合同</w:t>
      </w:r>
      <w:bookmarkEnd w:id="21"/>
    </w:p>
    <w:p w14:paraId="7BE2D53E">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493786C2">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5BFCE287">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419DEB58">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029A873A">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4F136B8C">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4C65A543">
      <w:pPr>
        <w:spacing w:line="360" w:lineRule="auto"/>
        <w:jc w:val="center"/>
        <w:rPr>
          <w:rFonts w:hint="eastAsia" w:ascii="宋体" w:hAnsi="宋体" w:eastAsia="宋体" w:cs="宋体"/>
          <w:b/>
          <w:bCs w:val="0"/>
          <w:sz w:val="32"/>
          <w:szCs w:val="32"/>
          <w:lang w:val="en-US" w:eastAsia="zh-CN"/>
        </w:rPr>
      </w:pPr>
    </w:p>
    <w:p w14:paraId="4B7B7BF4">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线下广告投放服务项目合同书</w:t>
      </w:r>
    </w:p>
    <w:p w14:paraId="63E10C2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甲方：  </w:t>
      </w:r>
    </w:p>
    <w:p w14:paraId="5DB6898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地址： </w:t>
      </w:r>
    </w:p>
    <w:p w14:paraId="64BE29E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联系人：                           </w:t>
      </w:r>
    </w:p>
    <w:p w14:paraId="5260C88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联系方式：   </w:t>
      </w:r>
    </w:p>
    <w:p w14:paraId="5B44AE1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乙 方：                             </w:t>
      </w:r>
    </w:p>
    <w:p w14:paraId="31A81DA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地址：                             </w:t>
      </w:r>
    </w:p>
    <w:p w14:paraId="1A602FE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联系人：                           </w:t>
      </w:r>
    </w:p>
    <w:p w14:paraId="555585B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联系方式：                         </w:t>
      </w:r>
    </w:p>
    <w:p w14:paraId="594FA4A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p>
    <w:p w14:paraId="0D65AC4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甲</w:t>
      </w:r>
      <w:r>
        <w:rPr>
          <w:rFonts w:hint="eastAsia" w:asciiTheme="minorEastAsia" w:hAnsiTheme="minorEastAsia" w:eastAsiaTheme="minorEastAsia" w:cstheme="minorEastAsia"/>
          <w:sz w:val="21"/>
          <w:szCs w:val="21"/>
          <w:highlight w:val="none"/>
        </w:rPr>
        <w:t xml:space="preserve">乙双方经过平等友好协商，依照相关法律法规，现就双方合作事宜达成如下协议，以资共同遵守。 </w:t>
      </w:r>
    </w:p>
    <w:p w14:paraId="5E78D23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一、</w:t>
      </w:r>
      <w:r>
        <w:rPr>
          <w:rFonts w:hint="eastAsia" w:asciiTheme="minorEastAsia" w:hAnsiTheme="minorEastAsia" w:eastAsiaTheme="minorEastAsia" w:cstheme="minorEastAsia"/>
          <w:sz w:val="21"/>
          <w:szCs w:val="21"/>
          <w:highlight w:val="none"/>
        </w:rPr>
        <w:t xml:space="preserve">服务要求 </w:t>
      </w:r>
    </w:p>
    <w:p w14:paraId="3962ABF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1.双方服务要求</w:t>
      </w:r>
    </w:p>
    <w:p w14:paraId="233D655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（1）在广州市人流量大的地铁、公交线路、站台或其他户外地段等宣传不少于2次（共计不少于20个站点或线路）；</w:t>
      </w:r>
    </w:p>
    <w:p w14:paraId="4E97398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（2）提供配套广告设计服务；</w:t>
      </w:r>
    </w:p>
    <w:p w14:paraId="152B386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（3）服务期内，乙方每次开展投放业务后需向甲方确认推广成果；</w:t>
      </w:r>
    </w:p>
    <w:p w14:paraId="282B434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（4）服务期满，乙方应按甲方要求生成项目验收总结报告，对本项目宣传推广效果进行总结。</w:t>
      </w:r>
    </w:p>
    <w:p w14:paraId="4E92A65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2.服务成果要求：</w:t>
      </w:r>
    </w:p>
    <w:p w14:paraId="17C9B8B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（1）乙方按甲方要求生成项目验收总结报告；</w:t>
      </w:r>
    </w:p>
    <w:p w14:paraId="7FB72C5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（2）投放共计不少于20个站点或线路。</w:t>
      </w:r>
    </w:p>
    <w:p w14:paraId="1327675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3.服务期限：2026年5月1日前完成服务。</w:t>
      </w:r>
    </w:p>
    <w:p w14:paraId="1298909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二、合同金额及付款方式</w:t>
      </w:r>
    </w:p>
    <w:p w14:paraId="7EE5930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1.合同金额（含税）为人民币【 】元，上述费用已包含乙方为完成本合同规定的各项内容所需的所有费用。</w:t>
      </w:r>
    </w:p>
    <w:p w14:paraId="632A553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合同签订后，乙方向甲方提供等额增值税专用发票，甲方收到最终客户方对应款项的前提下，于30个工作日内向乙方支付合同总额的50%，即【 】元。</w:t>
      </w:r>
    </w:p>
    <w:p w14:paraId="5E73F9B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甲方收到最终客户对应款项的前提下，对本合同第一条所列成果验收无误，并在收到乙方提供等额增值税专用发票后的30个工作日内，向乙方支付合同总额的50%，即【 】元。</w:t>
      </w:r>
    </w:p>
    <w:p w14:paraId="3E421FE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 xml:space="preserve">与本合同相关的税费由乙方承担，本合同总价为含税价； </w:t>
      </w:r>
    </w:p>
    <w:p w14:paraId="2E4FADC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4DB010C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3.付款方式：银行转账</w:t>
      </w:r>
    </w:p>
    <w:p w14:paraId="3058C53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名称：</w:t>
      </w:r>
    </w:p>
    <w:p w14:paraId="60E988B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开户银行：</w:t>
      </w:r>
    </w:p>
    <w:p w14:paraId="5D279CA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银行账号：</w:t>
      </w:r>
    </w:p>
    <w:p w14:paraId="15D55A2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4.乙方保证以上账号信息准确无误，若有变更乙方应至少提前5个工作日以书面方式通知甲方，否则由乙方自行承担所有后果及责任。</w:t>
      </w:r>
    </w:p>
    <w:p w14:paraId="698C298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三</w:t>
      </w:r>
      <w:r>
        <w:rPr>
          <w:rFonts w:hint="eastAsia" w:asciiTheme="minorEastAsia" w:hAnsiTheme="minorEastAsia" w:eastAsiaTheme="minorEastAsia" w:cstheme="minorEastAsia"/>
          <w:sz w:val="21"/>
          <w:szCs w:val="21"/>
          <w:highlight w:val="none"/>
        </w:rPr>
        <w:t>、知识产权约定</w:t>
      </w:r>
    </w:p>
    <w:p w14:paraId="43DA206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1.乙方因履行本合同制作的任何工作成果，其全部知识产权</w:t>
      </w:r>
      <w:r>
        <w:rPr>
          <w:rFonts w:hint="eastAsia" w:asciiTheme="minorEastAsia" w:hAnsiTheme="minorEastAsia" w:eastAsiaTheme="minorEastAsia" w:cstheme="minorEastAsia"/>
          <w:sz w:val="21"/>
          <w:szCs w:val="21"/>
          <w:highlight w:val="none"/>
          <w:lang w:val="en-US" w:eastAsia="zh-CN"/>
        </w:rPr>
        <w:t>及所有权</w:t>
      </w:r>
      <w:r>
        <w:rPr>
          <w:rFonts w:hint="eastAsia" w:asciiTheme="minorEastAsia" w:hAnsiTheme="minorEastAsia" w:eastAsiaTheme="minorEastAsia" w:cstheme="minorEastAsia"/>
          <w:sz w:val="21"/>
          <w:szCs w:val="21"/>
          <w:highlight w:val="none"/>
        </w:rPr>
        <w:t>归甲方所有</w:t>
      </w:r>
      <w:r>
        <w:rPr>
          <w:rFonts w:hint="eastAsia" w:asciiTheme="minorEastAsia" w:hAnsiTheme="minorEastAsia" w:eastAsiaTheme="minorEastAsia" w:cstheme="minorEastAsia"/>
          <w:sz w:val="21"/>
          <w:szCs w:val="21"/>
          <w:highlight w:val="none"/>
          <w:lang w:eastAsia="zh-CN"/>
        </w:rPr>
        <w:t>；</w:t>
      </w:r>
    </w:p>
    <w:p w14:paraId="4FD16FB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2.本合同所提交的工作成果由乙方独立制作，</w:t>
      </w:r>
      <w:r>
        <w:rPr>
          <w:rFonts w:hint="eastAsia" w:asciiTheme="minorEastAsia" w:hAnsiTheme="minorEastAsia" w:eastAsiaTheme="minorEastAsia" w:cstheme="minorEastAsia"/>
          <w:sz w:val="21"/>
          <w:szCs w:val="21"/>
          <w:highlight w:val="none"/>
          <w:lang w:val="en-US" w:eastAsia="zh-CN"/>
        </w:rPr>
        <w:t>乙方</w:t>
      </w:r>
      <w:r>
        <w:rPr>
          <w:rFonts w:hint="eastAsia" w:asciiTheme="minorEastAsia" w:hAnsiTheme="minorEastAsia" w:eastAsiaTheme="minorEastAsia" w:cstheme="minorEastAsia"/>
          <w:sz w:val="21"/>
          <w:szCs w:val="21"/>
          <w:highlight w:val="none"/>
        </w:rPr>
        <w:t>不可交由第三方，否则由此产生的纠纷由乙方负责处理并承担责任</w:t>
      </w:r>
      <w:r>
        <w:rPr>
          <w:rFonts w:hint="eastAsia" w:asciiTheme="minorEastAsia" w:hAnsiTheme="minorEastAsia" w:eastAsiaTheme="minorEastAsia" w:cstheme="minorEastAsia"/>
          <w:sz w:val="21"/>
          <w:szCs w:val="21"/>
          <w:highlight w:val="none"/>
          <w:lang w:eastAsia="zh-CN"/>
        </w:rPr>
        <w:t>；</w:t>
      </w:r>
    </w:p>
    <w:p w14:paraId="697416A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7D5A4D9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四</w:t>
      </w:r>
      <w:r>
        <w:rPr>
          <w:rFonts w:hint="eastAsia" w:asciiTheme="minorEastAsia" w:hAnsiTheme="minorEastAsia" w:eastAsiaTheme="minorEastAsia" w:cstheme="minorEastAsia"/>
          <w:sz w:val="21"/>
          <w:szCs w:val="21"/>
          <w:highlight w:val="none"/>
        </w:rPr>
        <w:t>、双方的权利和义务</w:t>
      </w:r>
    </w:p>
    <w:p w14:paraId="5BAF1AF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（一）甲方的权利义务</w:t>
      </w:r>
    </w:p>
    <w:p w14:paraId="364449D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1.甲方指定专人负责与乙方进行工作对接，负责向乙方传达项目要求；</w:t>
      </w:r>
    </w:p>
    <w:p w14:paraId="2E79E6A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2.甲方对乙方提供的成果内容有最终审定权，</w:t>
      </w:r>
      <w:r>
        <w:rPr>
          <w:rFonts w:hint="eastAsia" w:asciiTheme="minorEastAsia" w:hAnsiTheme="minorEastAsia" w:eastAsiaTheme="minorEastAsia" w:cstheme="minorEastAsia"/>
          <w:sz w:val="21"/>
          <w:szCs w:val="21"/>
          <w:highlight w:val="none"/>
        </w:rPr>
        <w:t>有权提出</w:t>
      </w:r>
      <w:r>
        <w:rPr>
          <w:rFonts w:hint="eastAsia" w:asciiTheme="minorEastAsia" w:hAnsiTheme="minorEastAsia" w:eastAsiaTheme="minorEastAsia" w:cstheme="minorEastAsia"/>
          <w:sz w:val="21"/>
          <w:szCs w:val="21"/>
          <w:highlight w:val="none"/>
          <w:lang w:val="en-US" w:eastAsia="zh-CN"/>
        </w:rPr>
        <w:t>合理的</w:t>
      </w:r>
      <w:r>
        <w:rPr>
          <w:rFonts w:hint="eastAsia" w:asciiTheme="minorEastAsia" w:hAnsiTheme="minorEastAsia" w:eastAsiaTheme="minorEastAsia" w:cstheme="minorEastAsia"/>
          <w:sz w:val="21"/>
          <w:szCs w:val="21"/>
          <w:highlight w:val="none"/>
        </w:rPr>
        <w:t>修改意见</w:t>
      </w:r>
      <w:r>
        <w:rPr>
          <w:rFonts w:hint="eastAsia" w:asciiTheme="minorEastAsia" w:hAnsiTheme="minorEastAsia" w:eastAsiaTheme="minorEastAsia" w:cstheme="minorEastAsia"/>
          <w:sz w:val="21"/>
          <w:szCs w:val="21"/>
          <w:highlight w:val="none"/>
          <w:lang w:eastAsia="zh-CN"/>
        </w:rPr>
        <w:t>，乙方应按甲方要求对成果进行修改，使</w:t>
      </w:r>
      <w:r>
        <w:rPr>
          <w:rFonts w:hint="eastAsia" w:asciiTheme="minorEastAsia" w:hAnsiTheme="minorEastAsia" w:eastAsiaTheme="minorEastAsia" w:cstheme="minorEastAsia"/>
          <w:sz w:val="21"/>
          <w:szCs w:val="21"/>
          <w:highlight w:val="none"/>
          <w:lang w:val="en-US" w:eastAsia="zh-CN"/>
        </w:rPr>
        <w:t>工作内容</w:t>
      </w:r>
      <w:r>
        <w:rPr>
          <w:rFonts w:hint="eastAsia" w:asciiTheme="minorEastAsia" w:hAnsiTheme="minorEastAsia" w:eastAsiaTheme="minorEastAsia" w:cstheme="minorEastAsia"/>
          <w:sz w:val="21"/>
          <w:szCs w:val="21"/>
          <w:highlight w:val="none"/>
          <w:lang w:eastAsia="zh-CN"/>
        </w:rPr>
        <w:t>符合甲方的预期要求；</w:t>
      </w:r>
    </w:p>
    <w:p w14:paraId="2E2FB9A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3.甲方有权根据本合同约定，对乙方提供的各项服务内容进行审查、监督和验收。</w:t>
      </w:r>
    </w:p>
    <w:p w14:paraId="12A894D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（二）乙方</w:t>
      </w:r>
      <w:r>
        <w:rPr>
          <w:rFonts w:hint="eastAsia" w:asciiTheme="minorEastAsia" w:hAnsiTheme="minorEastAsia" w:eastAsiaTheme="minorEastAsia" w:cstheme="minorEastAsia"/>
          <w:sz w:val="21"/>
          <w:szCs w:val="21"/>
          <w:highlight w:val="none"/>
        </w:rPr>
        <w:t>的权利义务</w:t>
      </w:r>
    </w:p>
    <w:p w14:paraId="269150A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乙方不得自行使用或许可他人使用</w:t>
      </w:r>
      <w:r>
        <w:rPr>
          <w:rFonts w:hint="eastAsia" w:asciiTheme="minorEastAsia" w:hAnsiTheme="minorEastAsia" w:eastAsiaTheme="minorEastAsia" w:cstheme="minorEastAsia"/>
          <w:sz w:val="21"/>
          <w:szCs w:val="21"/>
          <w:highlight w:val="none"/>
          <w:lang w:val="en-US" w:eastAsia="zh-CN"/>
        </w:rPr>
        <w:t>本合同涉及的内容，不得将成果再创作或用于其他商业用途</w:t>
      </w:r>
      <w:r>
        <w:rPr>
          <w:rFonts w:hint="eastAsia" w:asciiTheme="minorEastAsia" w:hAnsiTheme="minorEastAsia" w:eastAsiaTheme="minorEastAsia" w:cstheme="minorEastAsia"/>
          <w:sz w:val="21"/>
          <w:szCs w:val="21"/>
          <w:highlight w:val="none"/>
          <w:lang w:eastAsia="zh-CN"/>
        </w:rPr>
        <w:t>；</w:t>
      </w:r>
    </w:p>
    <w:p w14:paraId="51DD4E0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2.乙方不得将本合同权利义务转委托第三方处理；</w:t>
      </w:r>
    </w:p>
    <w:p w14:paraId="72835A1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3.乙方应及时与甲方沟通工作进展，就情况进展、存在问题等进行沟通交流，减少风险；</w:t>
      </w:r>
    </w:p>
    <w:p w14:paraId="5869744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4.乙方应按照甲方需求定期召开例会，指定专人负责与甲方进行工作对接，保证服务质量。</w:t>
      </w:r>
    </w:p>
    <w:p w14:paraId="48C9E72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五、</w:t>
      </w:r>
      <w:r>
        <w:rPr>
          <w:rFonts w:hint="eastAsia" w:asciiTheme="minorEastAsia" w:hAnsiTheme="minorEastAsia" w:eastAsiaTheme="minorEastAsia" w:cstheme="minorEastAsia"/>
          <w:sz w:val="21"/>
          <w:szCs w:val="21"/>
          <w:highlight w:val="none"/>
        </w:rPr>
        <w:t>项目验收</w:t>
      </w:r>
    </w:p>
    <w:p w14:paraId="7CCDA78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Theme="minorEastAsia" w:hAnsiTheme="minorEastAsia" w:eastAsiaTheme="minorEastAsia" w:cstheme="minorEastAsia"/>
          <w:sz w:val="21"/>
          <w:szCs w:val="21"/>
          <w:highlight w:val="none"/>
          <w:lang w:eastAsia="zh-CN"/>
        </w:rPr>
        <w:t>；</w:t>
      </w:r>
    </w:p>
    <w:p w14:paraId="1562B5C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2.验收材料属于本合同附件材料之一，与本合同具有同等法律效力。</w:t>
      </w:r>
    </w:p>
    <w:p w14:paraId="2AB713F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3.双方约定的其他验收规则：【详见《采购需求书》】</w:t>
      </w:r>
    </w:p>
    <w:p w14:paraId="718B989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六</w:t>
      </w:r>
      <w:r>
        <w:rPr>
          <w:rFonts w:hint="eastAsia" w:asciiTheme="minorEastAsia" w:hAnsiTheme="minorEastAsia" w:eastAsiaTheme="minorEastAsia" w:cstheme="minorEastAsia"/>
          <w:sz w:val="21"/>
          <w:szCs w:val="21"/>
          <w:highlight w:val="none"/>
        </w:rPr>
        <w:t>、保密信息</w:t>
      </w:r>
    </w:p>
    <w:p w14:paraId="5D4971D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Theme="minorEastAsia" w:hAnsiTheme="minorEastAsia" w:eastAsiaTheme="minorEastAsia" w:cstheme="minorEastAsia"/>
          <w:sz w:val="21"/>
          <w:szCs w:val="21"/>
          <w:highlight w:val="none"/>
          <w:lang w:eastAsia="zh-CN"/>
        </w:rPr>
        <w:t>；</w:t>
      </w:r>
    </w:p>
    <w:p w14:paraId="1FAE679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2.乙方不得向第三方泄露、给予或转让本协议条款、签订及履行情况</w:t>
      </w:r>
      <w:r>
        <w:rPr>
          <w:rFonts w:hint="eastAsia" w:asciiTheme="minorEastAsia" w:hAnsiTheme="minorEastAsia" w:eastAsiaTheme="minorEastAsia" w:cstheme="minorEastAsia"/>
          <w:sz w:val="21"/>
          <w:szCs w:val="21"/>
          <w:highlight w:val="none"/>
          <w:lang w:eastAsia="zh-CN"/>
        </w:rPr>
        <w:t>；</w:t>
      </w:r>
    </w:p>
    <w:p w14:paraId="0FCE0CC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3.乙方不得擅自使用、复制甲方的商标、标志、商业信息、技术及其他资料，也不得将信息内容用作其他商业目的</w:t>
      </w:r>
      <w:r>
        <w:rPr>
          <w:rFonts w:hint="eastAsia" w:asciiTheme="minorEastAsia" w:hAnsiTheme="minorEastAsia" w:eastAsiaTheme="minorEastAsia" w:cstheme="minorEastAsia"/>
          <w:sz w:val="21"/>
          <w:szCs w:val="21"/>
          <w:highlight w:val="none"/>
          <w:lang w:eastAsia="zh-CN"/>
        </w:rPr>
        <w:t>；</w:t>
      </w:r>
    </w:p>
    <w:p w14:paraId="0944F45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.合同终止后本条款仍具法律效力，直至相关信息不再具有保密意义</w:t>
      </w:r>
      <w:r>
        <w:rPr>
          <w:rFonts w:hint="eastAsia" w:asciiTheme="minorEastAsia" w:hAnsiTheme="minorEastAsia" w:eastAsiaTheme="minorEastAsia" w:cstheme="minorEastAsia"/>
          <w:sz w:val="21"/>
          <w:szCs w:val="21"/>
          <w:highlight w:val="none"/>
          <w:lang w:eastAsia="zh-CN"/>
        </w:rPr>
        <w:t>。</w:t>
      </w:r>
    </w:p>
    <w:p w14:paraId="17AA34F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七</w:t>
      </w:r>
      <w:r>
        <w:rPr>
          <w:rFonts w:hint="eastAsia" w:asciiTheme="minorEastAsia" w:hAnsiTheme="minorEastAsia" w:eastAsiaTheme="minorEastAsia" w:cstheme="minorEastAsia"/>
          <w:sz w:val="21"/>
          <w:szCs w:val="21"/>
          <w:highlight w:val="none"/>
        </w:rPr>
        <w:t>、违约责任 </w:t>
      </w:r>
    </w:p>
    <w:p w14:paraId="563E5DC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1.若乙方不能按时完成本合同第一条所列内容的，需每日按合同总金额的</w:t>
      </w:r>
      <w:r>
        <w:rPr>
          <w:rFonts w:hint="eastAsia" w:asciiTheme="minorEastAsia" w:hAnsiTheme="minorEastAsia" w:eastAsiaTheme="minorEastAsia" w:cstheme="minorEastAsia"/>
          <w:sz w:val="21"/>
          <w:szCs w:val="21"/>
          <w:highlight w:val="none"/>
          <w:lang w:val="en-US" w:eastAsia="zh-CN"/>
        </w:rPr>
        <w:t>千分之三</w:t>
      </w:r>
      <w:r>
        <w:rPr>
          <w:rFonts w:hint="eastAsia" w:asciiTheme="minorEastAsia" w:hAnsiTheme="minorEastAsia" w:eastAsiaTheme="minorEastAsia" w:cstheme="minorEastAsia"/>
          <w:sz w:val="21"/>
          <w:szCs w:val="21"/>
          <w:highlight w:val="none"/>
        </w:rPr>
        <w:t>向甲方支付违约金，逾期超过10日的，甲方有权解除合同，给甲方造成损失的，乙方还需赔偿损失，严重影响甲方利益或名誉的，甲方有权终止本合同，并有权要求乙方赔偿甲方一切损失；</w:t>
      </w:r>
    </w:p>
    <w:p w14:paraId="72B0069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14:paraId="61B724E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八</w:t>
      </w:r>
      <w:r>
        <w:rPr>
          <w:rFonts w:hint="eastAsia" w:asciiTheme="minorEastAsia" w:hAnsiTheme="minorEastAsia" w:eastAsiaTheme="minorEastAsia" w:cstheme="minorEastAsia"/>
          <w:sz w:val="21"/>
          <w:szCs w:val="21"/>
          <w:highlight w:val="none"/>
        </w:rPr>
        <w:t>、法律适用及争议解决</w:t>
      </w:r>
    </w:p>
    <w:p w14:paraId="7D57167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1.若发生争议，双方应首先通过协商解决。协商不成可向甲方所在地人民法院提起诉讼，双方无争议的部分，应当继续履行</w:t>
      </w:r>
      <w:r>
        <w:rPr>
          <w:rFonts w:hint="eastAsia" w:asciiTheme="minorEastAsia" w:hAnsiTheme="minorEastAsia" w:eastAsiaTheme="minorEastAsia" w:cstheme="minorEastAsia"/>
          <w:sz w:val="21"/>
          <w:szCs w:val="21"/>
          <w:highlight w:val="none"/>
          <w:lang w:eastAsia="zh-CN"/>
        </w:rPr>
        <w:t>；</w:t>
      </w:r>
    </w:p>
    <w:p w14:paraId="0D2A368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2.本合同的成立、生效、履行、解释及纠纷解决等双方均同意适用中华人民共和国法律</w:t>
      </w:r>
      <w:r>
        <w:rPr>
          <w:rFonts w:hint="eastAsia" w:asciiTheme="minorEastAsia" w:hAnsiTheme="minorEastAsia" w:eastAsiaTheme="minorEastAsia" w:cstheme="minorEastAsia"/>
          <w:sz w:val="21"/>
          <w:szCs w:val="21"/>
          <w:highlight w:val="none"/>
          <w:lang w:eastAsia="zh-CN"/>
        </w:rPr>
        <w:t>；</w:t>
      </w:r>
    </w:p>
    <w:p w14:paraId="649807F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3.合理的律师费、诉讼费、鉴定费、财产保全费、证据保全费、差旅费等由败诉一方承担。</w:t>
      </w:r>
    </w:p>
    <w:p w14:paraId="3FDB3F0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九</w:t>
      </w:r>
      <w:r>
        <w:rPr>
          <w:rFonts w:hint="eastAsia" w:asciiTheme="minorEastAsia" w:hAnsiTheme="minorEastAsia" w:eastAsiaTheme="minorEastAsia" w:cstheme="minorEastAsia"/>
          <w:sz w:val="21"/>
          <w:szCs w:val="21"/>
          <w:highlight w:val="none"/>
        </w:rPr>
        <w:t>、不可抗力</w:t>
      </w:r>
    </w:p>
    <w:p w14:paraId="6301903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F57BF0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十、税费</w:t>
      </w:r>
    </w:p>
    <w:p w14:paraId="312E2BE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在中国境内、外发生的与本合同执行有关的一切税费均由乙方负担。</w:t>
      </w:r>
    </w:p>
    <w:p w14:paraId="0746D64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十</w:t>
      </w:r>
      <w:r>
        <w:rPr>
          <w:rFonts w:hint="eastAsia" w:asciiTheme="minorEastAsia" w:hAnsiTheme="minorEastAsia" w:eastAsiaTheme="minorEastAsia" w:cstheme="minorEastAsia"/>
          <w:sz w:val="21"/>
          <w:szCs w:val="21"/>
          <w:highlight w:val="none"/>
          <w:lang w:val="en-US" w:eastAsia="zh-CN"/>
        </w:rPr>
        <w:t>一</w:t>
      </w:r>
      <w:r>
        <w:rPr>
          <w:rFonts w:hint="eastAsia" w:asciiTheme="minorEastAsia" w:hAnsiTheme="minorEastAsia" w:eastAsiaTheme="minorEastAsia" w:cstheme="minorEastAsia"/>
          <w:sz w:val="21"/>
          <w:szCs w:val="21"/>
          <w:highlight w:val="none"/>
        </w:rPr>
        <w:t>、其他</w:t>
      </w:r>
    </w:p>
    <w:p w14:paraId="7CD819A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Theme="minorEastAsia" w:hAnsiTheme="minorEastAsia" w:eastAsiaTheme="minorEastAsia" w:cstheme="minorEastAsia"/>
          <w:sz w:val="21"/>
          <w:szCs w:val="21"/>
          <w:highlight w:val="none"/>
          <w:lang w:eastAsia="zh-CN"/>
        </w:rPr>
        <w:t>；</w:t>
      </w:r>
    </w:p>
    <w:p w14:paraId="43A23F4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2.本合同签订地为广东省广州市越秀区</w:t>
      </w:r>
      <w:r>
        <w:rPr>
          <w:rFonts w:hint="eastAsia" w:asciiTheme="minorEastAsia" w:hAnsiTheme="minorEastAsia" w:eastAsiaTheme="minorEastAsia" w:cstheme="minorEastAsia"/>
          <w:sz w:val="21"/>
          <w:szCs w:val="21"/>
          <w:highlight w:val="none"/>
          <w:lang w:eastAsia="zh-CN"/>
        </w:rPr>
        <w:t>；</w:t>
      </w:r>
    </w:p>
    <w:p w14:paraId="2743771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3.除非另有说明，本合同中结算货币为人民币</w:t>
      </w:r>
      <w:r>
        <w:rPr>
          <w:rFonts w:hint="eastAsia" w:asciiTheme="minorEastAsia" w:hAnsiTheme="minorEastAsia" w:eastAsiaTheme="minorEastAsia" w:cstheme="minorEastAsia"/>
          <w:sz w:val="21"/>
          <w:szCs w:val="21"/>
          <w:highlight w:val="none"/>
          <w:lang w:eastAsia="zh-CN"/>
        </w:rPr>
        <w:t>；</w:t>
      </w:r>
    </w:p>
    <w:p w14:paraId="4488BF7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4.本合同自法定代表人或授权代表签字盖章之日起生效。</w:t>
      </w:r>
    </w:p>
    <w:p w14:paraId="6B05E7A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――――――――本页以下为盖章页――――――――――</w:t>
      </w:r>
    </w:p>
    <w:p w14:paraId="122FD40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p>
    <w:p w14:paraId="5B0A8699">
      <w:pPr>
        <w:pStyle w:val="2"/>
        <w:rPr>
          <w:rFonts w:hint="eastAsia" w:asciiTheme="minorEastAsia" w:hAnsiTheme="minorEastAsia" w:eastAsiaTheme="minorEastAsia" w:cstheme="minorEastAsia"/>
          <w:sz w:val="21"/>
          <w:szCs w:val="21"/>
          <w:highlight w:val="none"/>
        </w:rPr>
      </w:pPr>
    </w:p>
    <w:p w14:paraId="55F6556E">
      <w:pPr>
        <w:pStyle w:val="2"/>
        <w:rPr>
          <w:rFonts w:hint="eastAsia" w:asciiTheme="minorEastAsia" w:hAnsiTheme="minorEastAsia" w:eastAsiaTheme="minorEastAsia" w:cstheme="minorEastAsia"/>
          <w:sz w:val="21"/>
          <w:szCs w:val="21"/>
          <w:highlight w:val="none"/>
        </w:rPr>
      </w:pPr>
    </w:p>
    <w:p w14:paraId="62E6AF5E">
      <w:pPr>
        <w:pStyle w:val="2"/>
        <w:rPr>
          <w:rFonts w:hint="eastAsia" w:asciiTheme="minorEastAsia" w:hAnsiTheme="minorEastAsia" w:eastAsiaTheme="minorEastAsia" w:cstheme="minorEastAsia"/>
          <w:sz w:val="21"/>
          <w:szCs w:val="21"/>
          <w:highlight w:val="none"/>
        </w:rPr>
      </w:pPr>
    </w:p>
    <w:p w14:paraId="1128E838">
      <w:pPr>
        <w:pStyle w:val="2"/>
        <w:ind w:left="0" w:leftChars="0" w:firstLine="0" w:firstLineChars="0"/>
        <w:rPr>
          <w:rFonts w:hint="eastAsia" w:asciiTheme="minorEastAsia" w:hAnsiTheme="minorEastAsia" w:eastAsiaTheme="minorEastAsia" w:cstheme="minorEastAsia"/>
          <w:sz w:val="21"/>
          <w:szCs w:val="21"/>
          <w:highlight w:val="none"/>
        </w:rPr>
      </w:pPr>
    </w:p>
    <w:p w14:paraId="53A5B45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甲方：                         乙方：                      </w:t>
      </w:r>
    </w:p>
    <w:p w14:paraId="6F5687C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p>
    <w:p w14:paraId="12895EE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法定代表人/授权代表：          法定代表人/授权代表：</w:t>
      </w:r>
    </w:p>
    <w:p w14:paraId="48CDEE1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p>
    <w:p w14:paraId="29D94BF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日期：                         日期：</w:t>
      </w:r>
    </w:p>
    <w:p w14:paraId="558C3116">
      <w:pPr>
        <w:spacing w:line="360" w:lineRule="auto"/>
        <w:jc w:val="center"/>
        <w:rPr>
          <w:rFonts w:hint="eastAsia" w:asciiTheme="minorEastAsia" w:hAnsiTheme="minorEastAsia" w:eastAsiaTheme="minorEastAsia" w:cstheme="minorEastAsia"/>
          <w:b/>
          <w:bCs w:val="0"/>
          <w:sz w:val="21"/>
          <w:szCs w:val="21"/>
          <w:lang w:val="en-US" w:eastAsia="zh-CN"/>
        </w:rPr>
        <w:sectPr>
          <w:pgSz w:w="11906" w:h="16838"/>
          <w:pgMar w:top="1587" w:right="1587" w:bottom="1304" w:left="1587" w:header="851" w:footer="709" w:gutter="0"/>
          <w:pgNumType w:fmt="decimal"/>
          <w:cols w:space="720" w:num="1"/>
          <w:docGrid w:type="lines" w:linePitch="312" w:charSpace="0"/>
        </w:sectPr>
      </w:pPr>
      <w:r>
        <w:rPr>
          <w:rFonts w:hint="eastAsia" w:asciiTheme="minorEastAsia" w:hAnsiTheme="minorEastAsia" w:eastAsiaTheme="minorEastAsia" w:cstheme="minorEastAsia"/>
          <w:b/>
          <w:bCs w:val="0"/>
          <w:sz w:val="21"/>
          <w:szCs w:val="21"/>
          <w:lang w:val="en-US" w:eastAsia="zh-CN"/>
        </w:rPr>
        <w:t xml:space="preserve"> </w:t>
      </w:r>
    </w:p>
    <w:p w14:paraId="26231761">
      <w:pPr>
        <w:pStyle w:val="11"/>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2"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2"/>
    </w:p>
    <w:p w14:paraId="76122411">
      <w:pPr>
        <w:pStyle w:val="4"/>
        <w:keepNext/>
        <w:keepLines/>
        <w:pageBreakBefore w:val="0"/>
        <w:widowControl w:val="0"/>
        <w:numPr>
          <w:ilvl w:val="1"/>
          <w:numId w:val="5"/>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3" w:name="_Toc32326"/>
      <w:bookmarkStart w:id="24" w:name="_Toc1878"/>
      <w:r>
        <w:rPr>
          <w:rFonts w:hint="eastAsia" w:ascii="宋体" w:hAnsi="宋体" w:eastAsia="宋体" w:cs="宋体"/>
          <w:highlight w:val="none"/>
        </w:rPr>
        <w:t>应答函</w:t>
      </w:r>
      <w:bookmarkEnd w:id="23"/>
      <w:bookmarkEnd w:id="24"/>
    </w:p>
    <w:p w14:paraId="21172756">
      <w:pPr>
        <w:pStyle w:val="1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68E5EAE">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46A6EB1">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4C128F2">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69148BAA">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D1EDC13">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5C92B48">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49A8FF26">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7AA0A9DC">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4691277">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73E1A0AC">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0ECFB8A">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60D69390">
      <w:pPr>
        <w:pStyle w:val="13"/>
        <w:numPr>
          <w:ilvl w:val="0"/>
          <w:numId w:val="7"/>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5D789FCB">
      <w:pPr>
        <w:pStyle w:val="13"/>
        <w:numPr>
          <w:ilvl w:val="0"/>
          <w:numId w:val="7"/>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392F9D5">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585C7036">
      <w:pPr>
        <w:pStyle w:val="13"/>
        <w:numPr>
          <w:ilvl w:val="3"/>
          <w:numId w:val="6"/>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72AE5A8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1B0063E">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2E5283FA">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E73851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155D1EA4">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08473F8E">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5" w:name="_Toc1651899"/>
      <w:bookmarkStart w:id="26" w:name="_Toc68688804"/>
      <w:bookmarkStart w:id="27" w:name="_Toc475472674"/>
      <w:bookmarkStart w:id="28" w:name="_Toc26153"/>
      <w:bookmarkStart w:id="29" w:name="_Toc17459"/>
      <w:bookmarkStart w:id="30" w:name="_Toc18365"/>
      <w:bookmarkStart w:id="31" w:name="_Toc56432234"/>
      <w:bookmarkStart w:id="32"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5"/>
      <w:bookmarkEnd w:id="26"/>
      <w:bookmarkEnd w:id="27"/>
      <w:bookmarkEnd w:id="28"/>
      <w:bookmarkEnd w:id="29"/>
      <w:bookmarkEnd w:id="30"/>
      <w:bookmarkEnd w:id="31"/>
    </w:p>
    <w:p w14:paraId="4D61C28A">
      <w:pPr>
        <w:jc w:val="center"/>
        <w:rPr>
          <w:rFonts w:hint="eastAsia" w:ascii="宋体" w:hAnsi="宋体" w:eastAsia="宋体" w:cs="宋体"/>
          <w:b/>
          <w:sz w:val="24"/>
          <w:highlight w:val="none"/>
        </w:rPr>
      </w:pPr>
    </w:p>
    <w:p w14:paraId="1B1DFDA1">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049070A9">
      <w:pPr>
        <w:spacing w:line="440" w:lineRule="exact"/>
        <w:rPr>
          <w:rFonts w:hint="eastAsia" w:ascii="宋体" w:hAnsi="宋体" w:eastAsia="宋体" w:cs="宋体"/>
          <w:szCs w:val="21"/>
          <w:highlight w:val="none"/>
        </w:rPr>
      </w:pPr>
    </w:p>
    <w:p w14:paraId="37B5C6A6">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39159DC6">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015C2CD8">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8968E89">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165C08E8">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3E8BC62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02E32A2B">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6CF6D507">
      <w:pPr>
        <w:topLinePunct/>
        <w:snapToGrid w:val="0"/>
        <w:spacing w:line="440" w:lineRule="exact"/>
        <w:ind w:firstLine="420" w:firstLineChars="200"/>
        <w:rPr>
          <w:rFonts w:hint="eastAsia" w:ascii="宋体" w:hAnsi="宋体" w:eastAsia="宋体" w:cs="宋体"/>
          <w:bCs/>
          <w:szCs w:val="21"/>
          <w:highlight w:val="none"/>
        </w:rPr>
      </w:pPr>
    </w:p>
    <w:p w14:paraId="276E4A1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425CA9FB">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395B01B9">
      <w:pPr>
        <w:spacing w:line="500" w:lineRule="exact"/>
        <w:rPr>
          <w:rFonts w:hint="eastAsia" w:ascii="宋体" w:hAnsi="宋体" w:eastAsia="宋体" w:cs="宋体"/>
          <w:szCs w:val="21"/>
          <w:highlight w:val="none"/>
        </w:rPr>
      </w:pPr>
    </w:p>
    <w:p w14:paraId="6CC49FF4">
      <w:pPr>
        <w:spacing w:line="440" w:lineRule="exact"/>
        <w:rPr>
          <w:rFonts w:hint="eastAsia" w:ascii="宋体" w:hAnsi="宋体" w:eastAsia="宋体" w:cs="宋体"/>
          <w:szCs w:val="21"/>
          <w:highlight w:val="none"/>
        </w:rPr>
      </w:pPr>
    </w:p>
    <w:p w14:paraId="44991BB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4B25EDA">
      <w:pPr>
        <w:spacing w:line="500" w:lineRule="exact"/>
        <w:rPr>
          <w:rFonts w:hint="eastAsia" w:ascii="宋体" w:hAnsi="宋体" w:eastAsia="宋体" w:cs="宋体"/>
          <w:szCs w:val="21"/>
          <w:highlight w:val="none"/>
        </w:rPr>
      </w:pPr>
    </w:p>
    <w:p w14:paraId="66ACA13D">
      <w:pPr>
        <w:spacing w:line="440" w:lineRule="exact"/>
        <w:rPr>
          <w:rFonts w:hint="eastAsia" w:ascii="宋体" w:hAnsi="宋体" w:eastAsia="宋体" w:cs="宋体"/>
          <w:szCs w:val="21"/>
          <w:highlight w:val="none"/>
        </w:rPr>
      </w:pPr>
    </w:p>
    <w:p w14:paraId="3AB0207A">
      <w:pPr>
        <w:spacing w:line="500" w:lineRule="exact"/>
        <w:rPr>
          <w:rFonts w:hint="eastAsia" w:ascii="宋体" w:hAnsi="宋体" w:eastAsia="宋体" w:cs="宋体"/>
          <w:szCs w:val="21"/>
          <w:highlight w:val="none"/>
        </w:rPr>
      </w:pPr>
    </w:p>
    <w:p w14:paraId="6A213C70">
      <w:pPr>
        <w:spacing w:line="440" w:lineRule="exact"/>
        <w:rPr>
          <w:rFonts w:hint="eastAsia" w:ascii="宋体" w:hAnsi="宋体" w:eastAsia="宋体" w:cs="宋体"/>
          <w:szCs w:val="21"/>
          <w:highlight w:val="none"/>
        </w:rPr>
      </w:pPr>
    </w:p>
    <w:p w14:paraId="1C298CA6">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3C2801CE">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3F872542">
      <w:pPr>
        <w:spacing w:line="440" w:lineRule="exact"/>
        <w:ind w:firstLine="4305" w:firstLineChars="2050"/>
        <w:rPr>
          <w:rFonts w:hint="eastAsia" w:ascii="宋体" w:hAnsi="宋体" w:eastAsia="宋体" w:cs="宋体"/>
          <w:szCs w:val="21"/>
          <w:highlight w:val="none"/>
        </w:rPr>
      </w:pPr>
    </w:p>
    <w:p w14:paraId="4BA40CB2">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4D064A07">
      <w:pPr>
        <w:topLinePunct/>
        <w:spacing w:line="440" w:lineRule="exact"/>
        <w:ind w:left="422"/>
        <w:jc w:val="left"/>
        <w:rPr>
          <w:rFonts w:hint="eastAsia" w:ascii="宋体" w:hAnsi="宋体" w:eastAsia="宋体" w:cs="宋体"/>
          <w:highlight w:val="none"/>
        </w:rPr>
      </w:pPr>
    </w:p>
    <w:p w14:paraId="1FCD1FD7">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3" w:name="_Toc27262"/>
      <w:bookmarkStart w:id="34" w:name="_Toc56432235"/>
      <w:bookmarkStart w:id="35" w:name="_Toc1651900"/>
      <w:bookmarkStart w:id="36" w:name="_Toc438052122"/>
      <w:bookmarkStart w:id="37" w:name="_Toc8603"/>
      <w:bookmarkStart w:id="38" w:name="_Toc475472675"/>
      <w:bookmarkStart w:id="39" w:name="_Toc68688805"/>
      <w:bookmarkStart w:id="40" w:name="_Toc3806"/>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3"/>
      <w:bookmarkEnd w:id="34"/>
      <w:bookmarkEnd w:id="35"/>
      <w:bookmarkEnd w:id="36"/>
      <w:bookmarkEnd w:id="37"/>
      <w:bookmarkEnd w:id="38"/>
      <w:bookmarkEnd w:id="39"/>
      <w:bookmarkEnd w:id="40"/>
    </w:p>
    <w:p w14:paraId="5935EF7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D4A10E5">
      <w:pPr>
        <w:jc w:val="center"/>
        <w:rPr>
          <w:rFonts w:hint="eastAsia" w:ascii="宋体" w:hAnsi="宋体" w:eastAsia="宋体" w:cs="宋体"/>
          <w:b/>
          <w:sz w:val="24"/>
          <w:highlight w:val="none"/>
        </w:rPr>
      </w:pPr>
    </w:p>
    <w:p w14:paraId="5FAF79C2">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cs="宋体"/>
          <w:bCs/>
          <w:szCs w:val="21"/>
          <w:highlight w:val="none"/>
          <w:u w:val="single"/>
          <w:lang w:val="en-US" w:eastAsia="zh-CN"/>
        </w:rPr>
        <w:t xml:space="preserve"> </w:t>
      </w:r>
      <w:r>
        <w:rPr>
          <w:rFonts w:hint="eastAsia" w:ascii="宋体" w:hAnsi="宋体" w:eastAsia="宋体" w:cs="宋体"/>
          <w:highlight w:val="none"/>
          <w:u w:val="single"/>
        </w:rPr>
        <w:t>南方新闻网线下广告投放服务</w:t>
      </w:r>
      <w:r>
        <w:rPr>
          <w:rFonts w:hint="eastAsia" w:ascii="宋体" w:hAnsi="宋体" w:cs="宋体"/>
          <w:highlight w:val="none"/>
          <w:u w:val="single"/>
          <w:lang w:val="en-US" w:eastAsia="zh-CN"/>
        </w:rPr>
        <w:t xml:space="preserve"> </w:t>
      </w:r>
      <w:r>
        <w:rPr>
          <w:rFonts w:hint="eastAsia" w:ascii="宋体" w:hAnsi="宋体" w:eastAsia="宋体" w:cs="宋体"/>
          <w:highlight w:val="none"/>
          <w:u w:val="single"/>
        </w:rPr>
        <w:t>项目</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76B51E3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5665A3E5">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48EFE913">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A5B7324">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0D506C8B">
      <w:pPr>
        <w:pStyle w:val="5"/>
        <w:rPr>
          <w:rFonts w:hint="eastAsia" w:ascii="宋体" w:hAnsi="宋体" w:eastAsia="宋体" w:cs="宋体"/>
          <w:highlight w:val="none"/>
        </w:rPr>
      </w:pPr>
    </w:p>
    <w:p w14:paraId="042E052C">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BE818AF">
      <w:pPr>
        <w:pStyle w:val="5"/>
        <w:rPr>
          <w:rFonts w:hint="eastAsia" w:ascii="宋体" w:hAnsi="宋体" w:eastAsia="宋体" w:cs="宋体"/>
          <w:highlight w:val="none"/>
        </w:rPr>
      </w:pPr>
    </w:p>
    <w:p w14:paraId="0911F1F4">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57C74C66">
      <w:pPr>
        <w:pStyle w:val="5"/>
        <w:rPr>
          <w:rFonts w:hint="eastAsia" w:ascii="宋体" w:hAnsi="宋体" w:eastAsia="宋体" w:cs="宋体"/>
          <w:highlight w:val="none"/>
        </w:rPr>
      </w:pPr>
    </w:p>
    <w:p w14:paraId="1B0C180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5223D308">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0DAB3B6B">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3C8397D0">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4870B28">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44870B28">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8BC929">
                            <w:pPr>
                              <w:jc w:val="center"/>
                              <w:rPr>
                                <w:szCs w:val="21"/>
                              </w:rPr>
                            </w:pPr>
                            <w:r>
                              <w:rPr>
                                <w:rFonts w:hint="eastAsia"/>
                                <w:szCs w:val="21"/>
                              </w:rPr>
                              <w:t>委托代理人身份证正面复印件贴于此处</w:t>
                            </w:r>
                          </w:p>
                          <w:p w14:paraId="4E330B8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6E8BC929">
                      <w:pPr>
                        <w:jc w:val="center"/>
                        <w:rPr>
                          <w:szCs w:val="21"/>
                        </w:rPr>
                      </w:pPr>
                      <w:r>
                        <w:rPr>
                          <w:rFonts w:hint="eastAsia"/>
                          <w:szCs w:val="21"/>
                        </w:rPr>
                        <w:t>委托代理人身份证正面复印件贴于此处</w:t>
                      </w:r>
                    </w:p>
                    <w:p w14:paraId="4E330B83">
                      <w:pPr>
                        <w:jc w:val="center"/>
                        <w:rPr>
                          <w:szCs w:val="21"/>
                        </w:rPr>
                      </w:pPr>
                    </w:p>
                  </w:txbxContent>
                </v:textbox>
              </v:shape>
            </w:pict>
          </mc:Fallback>
        </mc:AlternateContent>
      </w:r>
    </w:p>
    <w:p w14:paraId="334F3A3D">
      <w:pPr>
        <w:spacing w:line="440" w:lineRule="exact"/>
        <w:rPr>
          <w:rFonts w:hint="eastAsia" w:ascii="宋体" w:hAnsi="宋体" w:eastAsia="宋体" w:cs="宋体"/>
          <w:szCs w:val="21"/>
          <w:highlight w:val="none"/>
        </w:rPr>
      </w:pPr>
    </w:p>
    <w:p w14:paraId="676391A1">
      <w:pPr>
        <w:spacing w:line="500" w:lineRule="exact"/>
        <w:rPr>
          <w:rFonts w:hint="eastAsia" w:ascii="宋体" w:hAnsi="宋体" w:eastAsia="宋体" w:cs="宋体"/>
          <w:szCs w:val="21"/>
          <w:highlight w:val="none"/>
        </w:rPr>
      </w:pPr>
    </w:p>
    <w:p w14:paraId="37DAC0AE">
      <w:pPr>
        <w:spacing w:line="440" w:lineRule="exact"/>
        <w:rPr>
          <w:rFonts w:hint="eastAsia" w:ascii="宋体" w:hAnsi="宋体" w:eastAsia="宋体" w:cs="宋体"/>
          <w:szCs w:val="21"/>
          <w:highlight w:val="none"/>
        </w:rPr>
      </w:pPr>
    </w:p>
    <w:p w14:paraId="161AC6B7">
      <w:pPr>
        <w:topLinePunct/>
        <w:snapToGrid w:val="0"/>
        <w:spacing w:line="440" w:lineRule="exact"/>
        <w:rPr>
          <w:rFonts w:hint="eastAsia" w:ascii="宋体" w:hAnsi="宋体" w:eastAsia="宋体" w:cs="宋体"/>
          <w:highlight w:val="none"/>
        </w:rPr>
      </w:pPr>
    </w:p>
    <w:p w14:paraId="43CECC20">
      <w:pPr>
        <w:topLinePunct/>
        <w:snapToGrid w:val="0"/>
        <w:spacing w:line="440" w:lineRule="exact"/>
        <w:ind w:firstLine="420" w:firstLineChars="200"/>
        <w:rPr>
          <w:rFonts w:hint="eastAsia" w:ascii="宋体" w:hAnsi="宋体" w:eastAsia="宋体" w:cs="宋体"/>
          <w:bCs/>
          <w:szCs w:val="21"/>
          <w:highlight w:val="none"/>
        </w:rPr>
      </w:pPr>
    </w:p>
    <w:p w14:paraId="4AC2F11B">
      <w:pPr>
        <w:topLinePunct/>
        <w:snapToGrid w:val="0"/>
        <w:spacing w:line="440" w:lineRule="exact"/>
        <w:ind w:firstLine="420" w:firstLineChars="200"/>
        <w:rPr>
          <w:rFonts w:hint="eastAsia" w:ascii="宋体" w:hAnsi="宋体" w:eastAsia="宋体" w:cs="宋体"/>
          <w:bCs/>
          <w:szCs w:val="21"/>
          <w:highlight w:val="none"/>
        </w:rPr>
      </w:pPr>
    </w:p>
    <w:p w14:paraId="2FC2D2DB">
      <w:pPr>
        <w:topLinePunct/>
        <w:snapToGrid w:val="0"/>
        <w:spacing w:line="440" w:lineRule="exact"/>
        <w:ind w:firstLine="420" w:firstLineChars="200"/>
        <w:rPr>
          <w:rFonts w:hint="eastAsia" w:ascii="宋体" w:hAnsi="宋体" w:eastAsia="宋体" w:cs="宋体"/>
          <w:bCs/>
          <w:szCs w:val="21"/>
          <w:highlight w:val="none"/>
        </w:rPr>
      </w:pPr>
    </w:p>
    <w:p w14:paraId="3BE8B548">
      <w:pPr>
        <w:widowControl/>
        <w:jc w:val="left"/>
        <w:rPr>
          <w:rFonts w:hint="eastAsia" w:ascii="宋体" w:hAnsi="宋体" w:eastAsia="宋体" w:cs="宋体"/>
          <w:b/>
          <w:bCs/>
          <w:sz w:val="32"/>
          <w:szCs w:val="32"/>
          <w:highlight w:val="none"/>
        </w:rPr>
      </w:pPr>
    </w:p>
    <w:p w14:paraId="5009AA50">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1" w:name="_Toc8223"/>
      <w:bookmarkStart w:id="42" w:name="_Toc18794"/>
      <w:r>
        <w:rPr>
          <w:rFonts w:hint="eastAsia" w:ascii="宋体" w:hAnsi="宋体" w:eastAsia="宋体" w:cs="宋体"/>
          <w:highlight w:val="none"/>
        </w:rPr>
        <w:t>供应商基本情况</w:t>
      </w:r>
      <w:bookmarkEnd w:id="32"/>
      <w:bookmarkEnd w:id="41"/>
      <w:bookmarkEnd w:id="42"/>
    </w:p>
    <w:p w14:paraId="7291E5E3">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5DCEC394">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2供应商</w:t>
      </w:r>
      <w:r>
        <w:rPr>
          <w:rFonts w:hint="eastAsia" w:ascii="宋体" w:hAnsi="宋体" w:eastAsia="宋体" w:cs="宋体"/>
          <w:highlight w:val="none"/>
        </w:rPr>
        <w:t>控股及管理关系情况申报表</w:t>
      </w:r>
    </w:p>
    <w:p w14:paraId="4D75C335">
      <w:pPr>
        <w:pStyle w:val="13"/>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供应商控股及管理关系情况申报表</w:t>
      </w:r>
    </w:p>
    <w:p w14:paraId="137BE9C6">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7C77C1C6">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8"/>
        <w:tblW w:w="4875"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54"/>
        <w:gridCol w:w="2355"/>
        <w:gridCol w:w="3815"/>
      </w:tblGrid>
      <w:tr w14:paraId="40701A0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057330B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36" w:type="pct"/>
            <w:gridSpan w:val="2"/>
            <w:vAlign w:val="center"/>
          </w:tcPr>
          <w:p w14:paraId="28CDDEFF">
            <w:pPr>
              <w:spacing w:line="360" w:lineRule="auto"/>
              <w:rPr>
                <w:rFonts w:hint="eastAsia" w:ascii="宋体" w:hAnsi="宋体" w:eastAsia="宋体" w:cs="宋体"/>
                <w:szCs w:val="21"/>
                <w:highlight w:val="none"/>
              </w:rPr>
            </w:pPr>
          </w:p>
        </w:tc>
      </w:tr>
      <w:tr w14:paraId="5366227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14:paraId="664233A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50" w:type="pct"/>
            <w:vAlign w:val="center"/>
          </w:tcPr>
          <w:p w14:paraId="30A2D91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86" w:type="pct"/>
            <w:vAlign w:val="center"/>
          </w:tcPr>
          <w:p w14:paraId="783F59CA">
            <w:pPr>
              <w:spacing w:line="360" w:lineRule="auto"/>
              <w:rPr>
                <w:rFonts w:hint="eastAsia" w:ascii="宋体" w:hAnsi="宋体" w:eastAsia="宋体" w:cs="宋体"/>
                <w:szCs w:val="21"/>
                <w:highlight w:val="none"/>
              </w:rPr>
            </w:pPr>
          </w:p>
        </w:tc>
      </w:tr>
      <w:tr w14:paraId="3F04AB7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14:paraId="16495978">
            <w:pPr>
              <w:spacing w:line="360" w:lineRule="auto"/>
              <w:rPr>
                <w:rFonts w:hint="eastAsia" w:ascii="宋体" w:hAnsi="宋体" w:eastAsia="宋体" w:cs="宋体"/>
                <w:szCs w:val="21"/>
                <w:highlight w:val="none"/>
              </w:rPr>
            </w:pPr>
          </w:p>
        </w:tc>
        <w:tc>
          <w:tcPr>
            <w:tcW w:w="1350" w:type="pct"/>
            <w:vAlign w:val="center"/>
          </w:tcPr>
          <w:p w14:paraId="23609CE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86" w:type="pct"/>
            <w:vAlign w:val="center"/>
          </w:tcPr>
          <w:p w14:paraId="4D29121E">
            <w:pPr>
              <w:spacing w:line="360" w:lineRule="auto"/>
              <w:rPr>
                <w:rFonts w:hint="eastAsia" w:ascii="宋体" w:hAnsi="宋体" w:eastAsia="宋体" w:cs="宋体"/>
                <w:szCs w:val="21"/>
                <w:highlight w:val="none"/>
              </w:rPr>
            </w:pPr>
          </w:p>
        </w:tc>
      </w:tr>
      <w:tr w14:paraId="0EBAF12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57453D6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355B84E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14:paraId="7FB35B14">
            <w:pPr>
              <w:spacing w:line="360" w:lineRule="auto"/>
              <w:rPr>
                <w:rFonts w:hint="eastAsia" w:ascii="宋体" w:hAnsi="宋体" w:eastAsia="宋体" w:cs="宋体"/>
                <w:szCs w:val="21"/>
                <w:highlight w:val="none"/>
              </w:rPr>
            </w:pPr>
          </w:p>
        </w:tc>
      </w:tr>
      <w:tr w14:paraId="1D8A6A9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14:paraId="2B1783D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622E3897">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14:paraId="755CFBEC">
            <w:pPr>
              <w:spacing w:line="360" w:lineRule="auto"/>
              <w:rPr>
                <w:rFonts w:hint="eastAsia" w:ascii="宋体" w:hAnsi="宋体" w:eastAsia="宋体" w:cs="宋体"/>
                <w:szCs w:val="21"/>
                <w:highlight w:val="none"/>
              </w:rPr>
            </w:pPr>
          </w:p>
        </w:tc>
      </w:tr>
      <w:tr w14:paraId="5FDBA74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14:paraId="4278BE3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50" w:type="pct"/>
            <w:vAlign w:val="center"/>
          </w:tcPr>
          <w:p w14:paraId="28C1837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86" w:type="pct"/>
            <w:vAlign w:val="center"/>
          </w:tcPr>
          <w:p w14:paraId="536A4114">
            <w:pPr>
              <w:spacing w:line="360" w:lineRule="auto"/>
              <w:rPr>
                <w:rFonts w:hint="eastAsia" w:ascii="宋体" w:hAnsi="宋体" w:eastAsia="宋体" w:cs="宋体"/>
                <w:szCs w:val="21"/>
                <w:highlight w:val="none"/>
              </w:rPr>
            </w:pPr>
          </w:p>
        </w:tc>
      </w:tr>
      <w:tr w14:paraId="3AE6177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14:paraId="7043F491">
            <w:pPr>
              <w:spacing w:line="360" w:lineRule="auto"/>
              <w:rPr>
                <w:rFonts w:hint="eastAsia" w:ascii="宋体" w:hAnsi="宋体" w:eastAsia="宋体" w:cs="宋体"/>
                <w:szCs w:val="21"/>
                <w:highlight w:val="none"/>
              </w:rPr>
            </w:pPr>
          </w:p>
        </w:tc>
        <w:tc>
          <w:tcPr>
            <w:tcW w:w="1350" w:type="pct"/>
            <w:vAlign w:val="center"/>
          </w:tcPr>
          <w:p w14:paraId="6A48989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86" w:type="pct"/>
            <w:vAlign w:val="center"/>
          </w:tcPr>
          <w:p w14:paraId="4B763EA4">
            <w:pPr>
              <w:spacing w:line="360" w:lineRule="auto"/>
              <w:rPr>
                <w:rFonts w:hint="eastAsia" w:ascii="宋体" w:hAnsi="宋体" w:eastAsia="宋体" w:cs="宋体"/>
                <w:szCs w:val="21"/>
                <w:highlight w:val="none"/>
              </w:rPr>
            </w:pPr>
          </w:p>
        </w:tc>
      </w:tr>
      <w:tr w14:paraId="707F369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28D7714B">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354BBE66">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7B697A40">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3D36F913">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579B0BD3">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82D0029">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00E8BCE4">
      <w:pPr>
        <w:pStyle w:val="13"/>
        <w:widowControl/>
        <w:numPr>
          <w:ilvl w:val="0"/>
          <w:numId w:val="7"/>
        </w:numPr>
        <w:snapToGrid w:val="0"/>
        <w:spacing w:line="360" w:lineRule="auto"/>
        <w:ind w:firstLineChars="0"/>
        <w:jc w:val="left"/>
        <w:rPr>
          <w:rFonts w:hint="eastAsia" w:ascii="宋体" w:hAnsi="宋体" w:eastAsia="宋体" w:cs="宋体"/>
          <w:szCs w:val="21"/>
          <w:highlight w:val="none"/>
        </w:rPr>
      </w:pPr>
      <w:r>
        <w:rPr>
          <w:rFonts w:hint="eastAsia" w:ascii="宋体" w:hAnsi="宋体" w:eastAsia="宋体" w:cs="宋体"/>
          <w:highlight w:val="none"/>
        </w:rPr>
        <w:br w:type="page"/>
      </w:r>
    </w:p>
    <w:p w14:paraId="6A0E1C9C">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3" w:name="_Toc13174"/>
      <w:bookmarkStart w:id="44" w:name="_Toc12072"/>
      <w:r>
        <w:rPr>
          <w:rFonts w:hint="eastAsia" w:ascii="宋体" w:hAnsi="宋体" w:eastAsia="宋体" w:cs="宋体"/>
          <w:highlight w:val="none"/>
        </w:rPr>
        <w:t>技术商务偏离表</w:t>
      </w:r>
      <w:bookmarkEnd w:id="43"/>
      <w:bookmarkEnd w:id="44"/>
    </w:p>
    <w:p w14:paraId="38539980">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7F0EFB82">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32E6D92">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1A39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70FF6BA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66427ED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7CD6A21A">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3F98CBD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0E93BB8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557E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527178E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738BC53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C830D8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1BF5988F">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59A9286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64681F10">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32E3172E">
            <w:pPr>
              <w:spacing w:after="120" w:line="360" w:lineRule="atLeast"/>
              <w:ind w:left="851" w:hanging="851"/>
              <w:jc w:val="center"/>
              <w:rPr>
                <w:rFonts w:hint="eastAsia" w:ascii="宋体" w:hAnsi="宋体" w:eastAsia="宋体" w:cs="宋体"/>
                <w:szCs w:val="21"/>
                <w:highlight w:val="none"/>
              </w:rPr>
            </w:pPr>
          </w:p>
        </w:tc>
      </w:tr>
      <w:tr w14:paraId="0E25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DEA6CF2">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7B24F8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2B51BDD">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EBED77D">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DDDE3D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5E3BF5B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3DA39F3">
            <w:pPr>
              <w:spacing w:after="120" w:line="360" w:lineRule="atLeast"/>
              <w:ind w:left="851" w:hanging="851"/>
              <w:jc w:val="center"/>
              <w:rPr>
                <w:rFonts w:hint="eastAsia" w:ascii="宋体" w:hAnsi="宋体" w:eastAsia="宋体" w:cs="宋体"/>
                <w:szCs w:val="21"/>
                <w:highlight w:val="none"/>
              </w:rPr>
            </w:pPr>
          </w:p>
        </w:tc>
      </w:tr>
      <w:tr w14:paraId="5C6C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B1B8BF6">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F888602">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1F39F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0D64E2D9">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7E9CFD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05C9081A">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9E6A550">
            <w:pPr>
              <w:spacing w:after="120" w:line="360" w:lineRule="atLeast"/>
              <w:ind w:left="851" w:hanging="851"/>
              <w:jc w:val="center"/>
              <w:rPr>
                <w:rFonts w:hint="eastAsia" w:ascii="宋体" w:hAnsi="宋体" w:eastAsia="宋体" w:cs="宋体"/>
                <w:szCs w:val="21"/>
                <w:highlight w:val="none"/>
              </w:rPr>
            </w:pPr>
          </w:p>
        </w:tc>
      </w:tr>
      <w:tr w14:paraId="396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D5C2B6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BA2202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F3329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77F0497">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38F3A390">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85E7AA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D5F8867">
            <w:pPr>
              <w:spacing w:after="120" w:line="360" w:lineRule="atLeast"/>
              <w:ind w:left="851" w:hanging="851"/>
              <w:jc w:val="center"/>
              <w:rPr>
                <w:rFonts w:hint="eastAsia" w:ascii="宋体" w:hAnsi="宋体" w:eastAsia="宋体" w:cs="宋体"/>
                <w:szCs w:val="21"/>
                <w:highlight w:val="none"/>
              </w:rPr>
            </w:pPr>
          </w:p>
        </w:tc>
      </w:tr>
      <w:tr w14:paraId="6208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64D8D5A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C1D20BD">
            <w:pPr>
              <w:spacing w:after="120" w:line="360" w:lineRule="atLeast"/>
              <w:ind w:left="851" w:hanging="851"/>
              <w:jc w:val="center"/>
              <w:rPr>
                <w:rFonts w:hint="eastAsia" w:ascii="宋体" w:hAnsi="宋体" w:eastAsia="宋体" w:cs="宋体"/>
                <w:szCs w:val="21"/>
                <w:highlight w:val="none"/>
              </w:rPr>
            </w:pPr>
          </w:p>
        </w:tc>
      </w:tr>
    </w:tbl>
    <w:p w14:paraId="660FAE0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1AD7E592">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7C7892B7">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3792"/>
      <w:bookmarkStart w:id="46" w:name="_Toc26958"/>
      <w:bookmarkStart w:id="47" w:name="_Toc476321850"/>
      <w:r>
        <w:rPr>
          <w:rFonts w:hint="eastAsia" w:ascii="宋体" w:hAnsi="宋体" w:eastAsia="宋体" w:cs="宋体"/>
          <w:highlight w:val="none"/>
        </w:rPr>
        <w:t>项目负责人情况表</w:t>
      </w:r>
      <w:bookmarkEnd w:id="45"/>
      <w:bookmarkEnd w:id="46"/>
      <w:bookmarkEnd w:id="47"/>
    </w:p>
    <w:p w14:paraId="2C3EC689">
      <w:pPr>
        <w:pStyle w:val="13"/>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25A90686">
      <w:pPr>
        <w:pStyle w:val="13"/>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59"/>
      </w:tblGrid>
      <w:tr w14:paraId="6333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ACC4FFC">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7AE486EF">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50A9E880">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7873190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66EB597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2E7F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19949E9D">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1288DCDF">
            <w:pPr>
              <w:spacing w:line="360" w:lineRule="auto"/>
              <w:ind w:right="-55" w:firstLine="472"/>
              <w:jc w:val="center"/>
              <w:rPr>
                <w:rFonts w:hint="eastAsia" w:ascii="宋体" w:hAnsi="宋体" w:eastAsia="宋体" w:cs="宋体"/>
                <w:szCs w:val="21"/>
                <w:highlight w:val="none"/>
              </w:rPr>
            </w:pPr>
          </w:p>
        </w:tc>
        <w:tc>
          <w:tcPr>
            <w:tcW w:w="689" w:type="pct"/>
            <w:vAlign w:val="center"/>
          </w:tcPr>
          <w:p w14:paraId="189829CF">
            <w:pPr>
              <w:spacing w:line="360" w:lineRule="auto"/>
              <w:ind w:right="-55" w:firstLine="472"/>
              <w:jc w:val="center"/>
              <w:rPr>
                <w:rFonts w:hint="eastAsia" w:ascii="宋体" w:hAnsi="宋体" w:eastAsia="宋体" w:cs="宋体"/>
                <w:szCs w:val="21"/>
                <w:highlight w:val="none"/>
              </w:rPr>
            </w:pPr>
          </w:p>
        </w:tc>
        <w:tc>
          <w:tcPr>
            <w:tcW w:w="766" w:type="pct"/>
            <w:vAlign w:val="center"/>
          </w:tcPr>
          <w:p w14:paraId="2965FFB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93902A3">
            <w:pPr>
              <w:spacing w:line="360" w:lineRule="auto"/>
              <w:ind w:right="-55" w:firstLine="472"/>
              <w:jc w:val="center"/>
              <w:rPr>
                <w:rFonts w:hint="eastAsia" w:ascii="宋体" w:hAnsi="宋体" w:eastAsia="宋体" w:cs="宋体"/>
                <w:szCs w:val="21"/>
                <w:highlight w:val="none"/>
              </w:rPr>
            </w:pPr>
          </w:p>
        </w:tc>
      </w:tr>
    </w:tbl>
    <w:p w14:paraId="6E5D2F3A">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50F1E44C">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18330"/>
      <w:bookmarkStart w:id="49" w:name="_Toc104"/>
      <w:bookmarkStart w:id="50" w:name="_Toc56432254"/>
      <w:bookmarkStart w:id="51" w:name="_Toc15928"/>
      <w:bookmarkStart w:id="52" w:name="_Toc1651923"/>
      <w:bookmarkStart w:id="53" w:name="_Toc68688822"/>
      <w:r>
        <w:rPr>
          <w:rFonts w:hint="eastAsia" w:ascii="宋体" w:hAnsi="宋体" w:eastAsia="宋体" w:cs="宋体"/>
          <w:highlight w:val="none"/>
        </w:rPr>
        <w:t>本项目的实施方案</w:t>
      </w:r>
      <w:bookmarkEnd w:id="48"/>
      <w:bookmarkEnd w:id="49"/>
    </w:p>
    <w:p w14:paraId="4A329BCD">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3E2FBC38">
      <w:pPr>
        <w:widowControl/>
        <w:numPr>
          <w:ilvl w:val="0"/>
          <w:numId w:val="0"/>
        </w:numPr>
        <w:jc w:val="left"/>
        <w:rPr>
          <w:rFonts w:hint="eastAsia" w:ascii="宋体" w:hAnsi="宋体" w:cs="宋体"/>
          <w:kern w:val="2"/>
          <w:sz w:val="21"/>
          <w:szCs w:val="24"/>
          <w:lang w:val="en-US" w:eastAsia="zh-CN" w:bidi="ar-SA"/>
        </w:rPr>
      </w:pPr>
    </w:p>
    <w:p w14:paraId="3AA65CB3">
      <w:pPr>
        <w:widowControl/>
        <w:numPr>
          <w:ilvl w:val="0"/>
          <w:numId w:val="0"/>
        </w:numPr>
        <w:jc w:val="left"/>
        <w:rPr>
          <w:rFonts w:hint="eastAsia" w:ascii="宋体" w:hAnsi="宋体" w:cs="宋体"/>
          <w:kern w:val="2"/>
          <w:sz w:val="21"/>
          <w:szCs w:val="24"/>
          <w:lang w:val="en-US" w:eastAsia="zh-CN" w:bidi="ar-SA"/>
        </w:rPr>
      </w:pPr>
    </w:p>
    <w:p w14:paraId="2A476A4C">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w:t>
      </w:r>
      <w:r>
        <w:rPr>
          <w:rFonts w:hint="eastAsia" w:ascii="宋体" w:hAnsi="宋体" w:eastAsia="宋体" w:cs="宋体"/>
          <w:highlight w:val="none"/>
        </w:rPr>
        <w:br w:type="page"/>
      </w:r>
    </w:p>
    <w:p w14:paraId="20DB03CC">
      <w:pPr>
        <w:pStyle w:val="4"/>
        <w:keepNext/>
        <w:keepLines/>
        <w:pageBreakBefore w:val="0"/>
        <w:widowControl w:val="0"/>
        <w:numPr>
          <w:ilvl w:val="1"/>
          <w:numId w:val="5"/>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4" w:name="_Toc17083"/>
      <w:bookmarkStart w:id="55"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0"/>
      <w:bookmarkEnd w:id="51"/>
      <w:bookmarkEnd w:id="52"/>
      <w:bookmarkEnd w:id="53"/>
      <w:bookmarkEnd w:id="54"/>
      <w:r>
        <w:rPr>
          <w:rFonts w:hint="eastAsia" w:ascii="宋体" w:hAnsi="宋体" w:eastAsia="宋体" w:cs="宋体"/>
          <w:highlight w:val="none"/>
        </w:rPr>
        <w:t>函</w:t>
      </w:r>
      <w:bookmarkEnd w:id="55"/>
    </w:p>
    <w:p w14:paraId="273FB77C">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南方新闻网线下广告投放服务项目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p>
    <w:p w14:paraId="2B892A63">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02E3D600">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eastAsia="宋体" w:cs="宋体"/>
          <w:highlight w:val="none"/>
          <w:u w:val="single"/>
        </w:rPr>
        <w:t>线下广告投放服务项目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 xml:space="preserve"> NFWJYCG2025035</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4FF4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0FBDBFF">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9F4504F">
            <w:pPr>
              <w:rPr>
                <w:rFonts w:hint="eastAsia"/>
                <w:sz w:val="24"/>
                <w:szCs w:val="24"/>
                <w:lang w:eastAsia="zh-CN"/>
              </w:rPr>
            </w:pPr>
          </w:p>
          <w:p w14:paraId="5BDC4B6B">
            <w:pPr>
              <w:widowControl/>
              <w:jc w:val="left"/>
              <w:textAlignment w:val="center"/>
              <w:rPr>
                <w:rFonts w:hint="eastAsia" w:ascii="宋体" w:hAnsi="宋体" w:cs="宋体"/>
                <w:sz w:val="24"/>
                <w:szCs w:val="24"/>
                <w:u w:val="none"/>
                <w:lang w:val="en-US" w:eastAsia="zh-CN"/>
              </w:rPr>
            </w:pPr>
            <w:r>
              <w:rPr>
                <w:rFonts w:hint="eastAsia" w:ascii="宋体" w:hAnsi="宋体" w:cs="宋体"/>
                <w:sz w:val="24"/>
                <w:szCs w:val="24"/>
                <w:u w:val="none"/>
                <w:lang w:val="en-US" w:eastAsia="zh-CN"/>
              </w:rPr>
              <w:t>1.在广州市人流量大的地铁、公交线路、站台或其他户外地段等宣传不少于2次（共计不少于20个站点或线路）；</w:t>
            </w:r>
          </w:p>
          <w:p w14:paraId="6E397B1C">
            <w:pPr>
              <w:widowControl/>
              <w:jc w:val="left"/>
              <w:textAlignment w:val="center"/>
              <w:rPr>
                <w:rFonts w:hint="eastAsia" w:ascii="宋体" w:hAnsi="宋体" w:cs="宋体"/>
                <w:sz w:val="24"/>
                <w:szCs w:val="24"/>
                <w:u w:val="none"/>
                <w:lang w:val="en-US" w:eastAsia="zh-CN"/>
              </w:rPr>
            </w:pPr>
            <w:r>
              <w:rPr>
                <w:rFonts w:hint="eastAsia" w:ascii="宋体" w:hAnsi="宋体" w:cs="宋体"/>
                <w:sz w:val="24"/>
                <w:szCs w:val="24"/>
                <w:u w:val="none"/>
                <w:lang w:val="en-US" w:eastAsia="zh-CN"/>
              </w:rPr>
              <w:t>2.提供配套广告设计服务；</w:t>
            </w:r>
          </w:p>
          <w:p w14:paraId="623B6D91">
            <w:pPr>
              <w:widowControl/>
              <w:jc w:val="left"/>
              <w:textAlignment w:val="center"/>
              <w:rPr>
                <w:rFonts w:hint="eastAsia" w:ascii="宋体" w:hAnsi="宋体" w:cs="宋体"/>
                <w:sz w:val="24"/>
                <w:szCs w:val="24"/>
                <w:u w:val="none"/>
                <w:lang w:val="en-US" w:eastAsia="zh-CN"/>
              </w:rPr>
            </w:pPr>
            <w:r>
              <w:rPr>
                <w:rFonts w:hint="eastAsia" w:ascii="宋体" w:hAnsi="宋体" w:cs="宋体"/>
                <w:sz w:val="24"/>
                <w:szCs w:val="24"/>
                <w:u w:val="none"/>
                <w:lang w:val="en-US" w:eastAsia="zh-CN"/>
              </w:rPr>
              <w:t>3.服务期内，乙方每次开展投放业务后需向甲方确认推广成果；</w:t>
            </w:r>
          </w:p>
          <w:p w14:paraId="106E681F">
            <w:pPr>
              <w:widowControl/>
              <w:jc w:val="left"/>
              <w:textAlignment w:val="center"/>
              <w:rPr>
                <w:rFonts w:hint="eastAsia" w:ascii="宋体" w:hAnsi="宋体" w:cs="宋体"/>
                <w:sz w:val="24"/>
                <w:szCs w:val="24"/>
                <w:u w:val="none"/>
                <w:lang w:val="en-US" w:eastAsia="zh-CN"/>
              </w:rPr>
            </w:pPr>
            <w:r>
              <w:rPr>
                <w:rFonts w:hint="eastAsia" w:ascii="宋体" w:hAnsi="宋体" w:cs="宋体"/>
                <w:sz w:val="24"/>
                <w:szCs w:val="24"/>
                <w:u w:val="none"/>
                <w:lang w:val="en-US" w:eastAsia="zh-CN"/>
              </w:rPr>
              <w:t>4.服务期满，乙方应按甲方要求生成项目验收总结报告，对本项目宣传推广效果进行总结。</w:t>
            </w:r>
          </w:p>
          <w:p w14:paraId="4241D1A9">
            <w:pPr>
              <w:widowControl/>
              <w:jc w:val="left"/>
              <w:textAlignment w:val="center"/>
              <w:rPr>
                <w:rFonts w:hint="eastAsia" w:ascii="宋体" w:hAnsi="宋体" w:cs="宋体"/>
                <w:sz w:val="24"/>
                <w:szCs w:val="24"/>
                <w:u w:val="none"/>
                <w:lang w:val="en-US" w:eastAsia="zh-CN"/>
              </w:rPr>
            </w:pPr>
            <w:r>
              <w:rPr>
                <w:rFonts w:hint="eastAsia" w:ascii="宋体" w:hAnsi="宋体" w:cs="宋体"/>
                <w:sz w:val="24"/>
                <w:szCs w:val="24"/>
                <w:u w:val="none"/>
                <w:lang w:val="en-US" w:eastAsia="zh-CN"/>
              </w:rPr>
              <w:t>5.服务期限：2026年5月1日前完成服务。</w:t>
            </w:r>
          </w:p>
          <w:p w14:paraId="2B231716">
            <w:pPr>
              <w:pStyle w:val="2"/>
              <w:ind w:left="0" w:leftChars="0" w:firstLine="0" w:firstLineChars="0"/>
              <w:rPr>
                <w:rFonts w:hint="eastAsia"/>
              </w:rPr>
            </w:pPr>
          </w:p>
        </w:tc>
      </w:tr>
      <w:tr w14:paraId="2B80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44AD8A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24046A0">
            <w:pPr>
              <w:widowControl/>
              <w:jc w:val="center"/>
              <w:textAlignment w:val="center"/>
              <w:rPr>
                <w:rFonts w:hint="eastAsia" w:ascii="宋体" w:hAnsi="宋体" w:eastAsia="宋体" w:cs="宋体"/>
                <w:b w:val="0"/>
                <w:bCs w:val="0"/>
                <w:color w:val="000000"/>
                <w:sz w:val="21"/>
                <w:szCs w:val="21"/>
                <w:u w:val="single"/>
                <w:lang w:val="en-US" w:eastAsia="zh-CN"/>
              </w:rPr>
            </w:pPr>
          </w:p>
        </w:tc>
      </w:tr>
      <w:tr w14:paraId="53F2C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3C0EC4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1AE4598">
            <w:pPr>
              <w:pStyle w:val="7"/>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5D88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E64F77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2B515CFF">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700D23D4">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7BDC29AB">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424E5444">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3C73580B">
      <w:pPr>
        <w:spacing w:line="360" w:lineRule="auto"/>
        <w:jc w:val="center"/>
        <w:rPr>
          <w:rFonts w:hint="eastAsia" w:ascii="方正小标宋简体" w:hAnsi="方正小标宋简体" w:eastAsia="方正小标宋简体" w:cs="方正小标宋简体"/>
          <w:b/>
          <w:sz w:val="32"/>
          <w:szCs w:val="32"/>
          <w:lang w:val="en-US" w:eastAsia="zh-CN"/>
        </w:rPr>
      </w:pPr>
    </w:p>
    <w:p w14:paraId="0A408B70">
      <w:pPr>
        <w:spacing w:line="360" w:lineRule="auto"/>
        <w:jc w:val="center"/>
        <w:rPr>
          <w:rFonts w:hint="eastAsia" w:ascii="方正小标宋简体" w:hAnsi="方正小标宋简体" w:eastAsia="方正小标宋简体" w:cs="方正小标宋简体"/>
          <w:b/>
          <w:sz w:val="32"/>
          <w:szCs w:val="32"/>
          <w:lang w:val="en-US" w:eastAsia="zh-CN"/>
        </w:rPr>
      </w:pPr>
    </w:p>
    <w:p w14:paraId="6AD288A0">
      <w:pPr>
        <w:pStyle w:val="7"/>
        <w:rPr>
          <w:rFonts w:hint="eastAsia" w:ascii="方正小标宋简体" w:hAnsi="方正小标宋简体" w:eastAsia="方正小标宋简体" w:cs="方正小标宋简体"/>
          <w:b/>
          <w:sz w:val="32"/>
          <w:szCs w:val="32"/>
          <w:lang w:val="en-US" w:eastAsia="zh-CN"/>
        </w:rPr>
      </w:pPr>
    </w:p>
    <w:p w14:paraId="71BE8764">
      <w:pPr>
        <w:spacing w:line="360" w:lineRule="auto"/>
        <w:jc w:val="both"/>
        <w:rPr>
          <w:rFonts w:hint="eastAsia" w:ascii="方正小标宋简体" w:hAnsi="方正小标宋简体" w:eastAsia="方正小标宋简体" w:cs="方正小标宋简体"/>
          <w:b/>
          <w:sz w:val="32"/>
          <w:szCs w:val="32"/>
          <w:lang w:val="en-US" w:eastAsia="zh-CN"/>
        </w:rPr>
      </w:pPr>
    </w:p>
    <w:p w14:paraId="4B9C60FD"/>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8DB4E8A"/>
    <w:multiLevelType w:val="singleLevel"/>
    <w:tmpl w:val="68DB4E8A"/>
    <w:lvl w:ilvl="0" w:tentative="0">
      <w:start w:val="2"/>
      <w:numFmt w:val="chineseCounting"/>
      <w:suff w:val="space"/>
      <w:lvlText w:val="第%1章"/>
      <w:lvlJc w:val="left"/>
      <w:rPr>
        <w:rFonts w:hint="eastAsia"/>
      </w:rPr>
    </w:lvl>
  </w:abstractNum>
  <w:abstractNum w:abstractNumId="6">
    <w:nsid w:val="7EC89450"/>
    <w:multiLevelType w:val="singleLevel"/>
    <w:tmpl w:val="7EC89450"/>
    <w:lvl w:ilvl="0" w:tentative="0">
      <w:start w:val="1"/>
      <w:numFmt w:val="decimal"/>
      <w:suff w:val="nothing"/>
      <w:lvlText w:val="（%1）"/>
      <w:lvlJc w:val="left"/>
    </w:lvl>
  </w:abstractNum>
  <w:num w:numId="1">
    <w:abstractNumId w:val="5"/>
  </w:num>
  <w:num w:numId="2">
    <w:abstractNumId w:val="2"/>
  </w:num>
  <w:num w:numId="3">
    <w:abstractNumId w:val="6"/>
  </w:num>
  <w:num w:numId="4">
    <w:abstractNumId w:val="3"/>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7211C"/>
    <w:rsid w:val="47192B3E"/>
    <w:rsid w:val="77172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_Style 3"/>
    <w:basedOn w:val="1"/>
    <w:qFormat/>
    <w:uiPriority w:val="0"/>
    <w:pPr>
      <w:ind w:firstLine="420" w:firstLineChars="200"/>
    </w:pPr>
    <w:rPr>
      <w:rFonts w:ascii="等线" w:hAnsi="等线" w:eastAsia="等线" w:cs="Times New Roman"/>
      <w:sz w:val="20"/>
    </w:rPr>
  </w:style>
  <w:style w:type="paragraph" w:styleId="5">
    <w:name w:val="Normal Indent"/>
    <w:basedOn w:val="1"/>
    <w:next w:val="1"/>
    <w:qFormat/>
    <w:uiPriority w:val="0"/>
    <w:pPr>
      <w:ind w:firstLine="420" w:firstLineChars="200"/>
    </w:pPr>
  </w:style>
  <w:style w:type="paragraph" w:styleId="6">
    <w:name w:val="Body Text"/>
    <w:basedOn w:val="1"/>
    <w:qFormat/>
    <w:uiPriority w:val="99"/>
    <w:pPr>
      <w:spacing w:after="120"/>
    </w:pPr>
  </w:style>
  <w:style w:type="paragraph" w:styleId="7">
    <w:name w:val="Body Text First Indent"/>
    <w:basedOn w:val="6"/>
    <w:qFormat/>
    <w:uiPriority w:val="0"/>
    <w:pPr>
      <w:spacing w:after="120"/>
      <w:ind w:firstLine="420"/>
      <w:jc w:val="both"/>
    </w:pPr>
    <w:rPr>
      <w:sz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bt1bt1"/>
    <w:basedOn w:val="3"/>
    <w:autoRedefine/>
    <w:qFormat/>
    <w:uiPriority w:val="0"/>
    <w:pPr>
      <w:spacing w:line="240" w:lineRule="auto"/>
      <w:jc w:val="center"/>
    </w:pPr>
    <w:rPr>
      <w:rFonts w:ascii="黑体" w:eastAsia="黑体"/>
      <w:sz w:val="36"/>
      <w:szCs w:val="36"/>
    </w:rPr>
  </w:style>
  <w:style w:type="paragraph" w:customStyle="1" w:styleId="12">
    <w:name w:val="正文00"/>
    <w:basedOn w:val="1"/>
    <w:autoRedefine/>
    <w:qFormat/>
    <w:uiPriority w:val="0"/>
    <w:pPr>
      <w:topLinePunct/>
      <w:spacing w:line="360" w:lineRule="auto"/>
      <w:ind w:firstLine="200" w:firstLineChars="200"/>
    </w:pPr>
    <w:rPr>
      <w:sz w:val="24"/>
      <w:szCs w:val="21"/>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1546</Words>
  <Characters>1564</Characters>
  <Lines>0</Lines>
  <Paragraphs>0</Paragraphs>
  <TotalTime>17</TotalTime>
  <ScaleCrop>false</ScaleCrop>
  <LinksUpToDate>false</LinksUpToDate>
  <CharactersWithSpaces>1570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2025-07-29T10:10:00Z</dcterms:created>
  <dc:creator>Kiko.希</dc:creator>
  <cp:lastModifiedBy>杨波</cp:lastModifiedBy>
  <dcterms:modified xsi:type="dcterms:W3CDTF">2025-07-30T02:18:04Z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BA77D38608B8472E8367FC2B6DAC3A1C_11</vt:lpwstr>
  </property>
  <property fmtid="{D5CDD505-2E9C-101B-9397-08002B2CF9AE}" pid="4" name="KSOTemplateDocerSaveRecord">
    <vt:lpwstr>eyJoZGlkIjoiZjZjNDZkZDQ2MWQ4MmY5YTc3NDA3YzU2MDk3MjZjOWUiLCJ1c2VySWQiOiI4NTAxOTU4NTgifQ==</vt:lpwstr>
  </property>
</Properties>
</file>