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014C9">
      <w:pPr>
        <w:pStyle w:val="5"/>
        <w:numPr>
          <w:ilvl w:val="0"/>
          <w:numId w:val="0"/>
        </w:numPr>
        <w:jc w:val="both"/>
        <w:rPr>
          <w:rFonts w:hint="eastAsia" w:ascii="方正小标宋简体" w:hAnsi="方正小标宋简体" w:eastAsia="方正小标宋简体" w:cs="方正小标宋简体"/>
          <w:b/>
          <w:sz w:val="36"/>
          <w:szCs w:val="36"/>
          <w:lang w:val="en-US" w:eastAsia="zh-CN"/>
        </w:rPr>
      </w:pPr>
      <w:bookmarkStart w:id="0" w:name="_Toc11357_WPSOffice_Level1"/>
      <w:bookmarkStart w:id="1" w:name="_Toc28241_WPSOffice_Level1"/>
      <w:bookmarkStart w:id="2" w:name="_Toc20396_WPSOffice_Level1"/>
      <w:bookmarkStart w:id="3" w:name="_Toc19720_WPSOffice_Level1"/>
      <w:r>
        <w:rPr>
          <w:rFonts w:hint="eastAsia" w:ascii="方正小标宋简体" w:hAnsi="方正小标宋简体" w:eastAsia="方正小标宋简体" w:cs="方正小标宋简体"/>
          <w:b/>
          <w:sz w:val="36"/>
          <w:szCs w:val="36"/>
          <w:lang w:val="en-US" w:eastAsia="zh-CN"/>
        </w:rPr>
        <w:t>附：供应商报价文件</w:t>
      </w:r>
    </w:p>
    <w:p w14:paraId="2FEE2025">
      <w:pPr>
        <w:rPr>
          <w:rFonts w:hint="eastAsia"/>
          <w:lang w:val="en-US" w:eastAsia="zh-CN"/>
        </w:rPr>
      </w:pPr>
    </w:p>
    <w:p w14:paraId="0F5E4102">
      <w:pPr>
        <w:pStyle w:val="5"/>
        <w:numPr>
          <w:ilvl w:val="0"/>
          <w:numId w:val="1"/>
        </w:numPr>
        <w:jc w:val="center"/>
        <w:rPr>
          <w:rFonts w:hint="eastAsia" w:ascii="方正小标宋简体" w:hAnsi="方正小标宋简体" w:eastAsia="方正小标宋简体" w:cs="方正小标宋简体"/>
          <w:b/>
          <w:sz w:val="36"/>
          <w:szCs w:val="36"/>
          <w:lang w:val="en-US" w:eastAsia="zh-CN"/>
        </w:rPr>
      </w:pPr>
      <w:r>
        <w:rPr>
          <w:rFonts w:hint="eastAsia" w:ascii="方正小标宋简体" w:hAnsi="方正小标宋简体" w:eastAsia="方正小标宋简体" w:cs="方正小标宋简体"/>
          <w:b/>
          <w:sz w:val="36"/>
          <w:szCs w:val="36"/>
          <w:lang w:val="en-US" w:eastAsia="zh-CN"/>
        </w:rPr>
        <w:t>供应商须知</w:t>
      </w:r>
    </w:p>
    <w:tbl>
      <w:tblPr>
        <w:tblStyle w:val="16"/>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14:paraId="4B0B76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1EC4670F">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0D808A8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14:paraId="014BC2AC">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357FB1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73F28B9B">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3F408A4A">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14:paraId="0C528027">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6B2482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123F3E39">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0F775A16">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14:paraId="35E27EE4">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24CA307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307452F0">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605A013E">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74CF3BFD">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5E88EB48">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4FC9AD37">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15564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5D3D4374">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43B36D5F">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14:paraId="22FA8801">
            <w:pPr>
              <w:rPr>
                <w:rFonts w:hint="eastAsia" w:ascii="宋体" w:hAnsi="宋体" w:eastAsia="宋体" w:cs="宋体"/>
                <w:highlight w:val="none"/>
              </w:rPr>
            </w:pPr>
            <w:r>
              <w:rPr>
                <w:rFonts w:hint="eastAsia" w:ascii="宋体" w:hAnsi="宋体" w:eastAsia="宋体" w:cs="宋体"/>
                <w:highlight w:val="none"/>
              </w:rPr>
              <w:t>1、报价具体要求</w:t>
            </w:r>
          </w:p>
          <w:p w14:paraId="489B4634">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14:paraId="02FC9DE0">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2CEC7636">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72AAA35B">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14:paraId="0B55F178">
            <w:pPr>
              <w:numPr>
                <w:ilvl w:val="0"/>
                <w:numId w:val="2"/>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16CA81CB">
            <w:pPr>
              <w:pStyle w:val="4"/>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304C06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5367F188">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6F7A70DC">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881" w:type="dxa"/>
            <w:vAlign w:val="center"/>
          </w:tcPr>
          <w:p w14:paraId="5948CBDF">
            <w:pPr>
              <w:autoSpaceDE w:val="0"/>
              <w:autoSpaceDN w:val="0"/>
              <w:adjustRightInd w:val="0"/>
              <w:snapToGrid w:val="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在满足采购文件实质性要求的条件下，</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）综合考虑各报价商的资质、报价、实施方案、类似业绩案例等内容，以</w:t>
            </w:r>
            <w:r>
              <w:rPr>
                <w:rFonts w:hint="eastAsia" w:ascii="宋体" w:hAnsi="宋体" w:eastAsia="宋体" w:cs="宋体"/>
                <w:color w:val="auto"/>
                <w:sz w:val="21"/>
                <w:szCs w:val="21"/>
                <w:highlight w:val="none"/>
                <w:lang w:val="en-US" w:eastAsia="zh-CN"/>
              </w:rPr>
              <w:t>评分</w:t>
            </w:r>
            <w:r>
              <w:rPr>
                <w:rFonts w:hint="eastAsia" w:ascii="宋体" w:hAnsi="宋体" w:eastAsia="宋体" w:cs="宋体"/>
                <w:color w:val="auto"/>
                <w:sz w:val="21"/>
                <w:szCs w:val="21"/>
                <w:highlight w:val="none"/>
                <w:lang w:eastAsia="zh-CN"/>
              </w:rPr>
              <w:t>方式评选出一名成交候选人</w:t>
            </w:r>
            <w:r>
              <w:rPr>
                <w:rFonts w:hint="eastAsia" w:ascii="宋体" w:hAnsi="宋体" w:eastAsia="宋体" w:cs="宋体"/>
                <w:color w:val="auto"/>
                <w:szCs w:val="21"/>
                <w:highlight w:val="none"/>
              </w:rPr>
              <w:t>。</w:t>
            </w:r>
          </w:p>
          <w:p w14:paraId="281922A8">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35AE985F">
            <w:pPr>
              <w:pStyle w:val="4"/>
              <w:rPr>
                <w:rFonts w:hint="eastAsia" w:ascii="宋体" w:hAnsi="宋体" w:eastAsia="宋体" w:cs="宋体"/>
                <w:highlight w:val="none"/>
              </w:rPr>
            </w:pPr>
            <w:r>
              <w:rPr>
                <w:rFonts w:hint="eastAsia" w:ascii="宋体" w:hAnsi="宋体" w:eastAsia="宋体" w:cs="宋体"/>
                <w:color w:val="auto"/>
                <w:kern w:val="2"/>
                <w:sz w:val="21"/>
                <w:szCs w:val="21"/>
                <w:highlight w:val="none"/>
              </w:rPr>
              <w:t>在第一成交候选人</w:t>
            </w:r>
            <w:r>
              <w:rPr>
                <w:rFonts w:hint="eastAsia" w:ascii="宋体" w:hAnsi="宋体" w:eastAsia="宋体" w:cs="宋体"/>
                <w:color w:val="auto"/>
                <w:kern w:val="2"/>
                <w:sz w:val="21"/>
                <w:szCs w:val="21"/>
                <w:highlight w:val="none"/>
                <w:lang w:val="en-US" w:eastAsia="zh-CN"/>
              </w:rPr>
              <w:t>撤销</w:t>
            </w:r>
            <w:r>
              <w:rPr>
                <w:rFonts w:hint="eastAsia" w:ascii="宋体" w:hAnsi="宋体" w:eastAsia="宋体" w:cs="宋体"/>
                <w:color w:val="auto"/>
                <w:kern w:val="2"/>
                <w:sz w:val="21"/>
                <w:szCs w:val="21"/>
                <w:highlight w:val="none"/>
              </w:rPr>
              <w:t>报价或放弃成交的，采购人重新组织询价采购。</w:t>
            </w:r>
          </w:p>
        </w:tc>
      </w:tr>
      <w:tr w14:paraId="4EBCE8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41D3D6C8">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6E6C22BD">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14:paraId="3490400C">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13C0ED2A">
      <w:pPr>
        <w:rPr>
          <w:rFonts w:hint="eastAsia" w:ascii="方正小标宋简体" w:hAnsi="方正小标宋简体" w:eastAsia="方正小标宋简体" w:cs="方正小标宋简体"/>
          <w:b/>
          <w:sz w:val="36"/>
          <w:szCs w:val="36"/>
          <w:lang w:val="en-US" w:eastAsia="zh-CN"/>
        </w:rPr>
      </w:pPr>
    </w:p>
    <w:p w14:paraId="15B2891F">
      <w:pPr>
        <w:rPr>
          <w:rFonts w:hint="eastAsia" w:ascii="方正小标宋简体" w:hAnsi="方正小标宋简体" w:eastAsia="方正小标宋简体" w:cs="方正小标宋简体"/>
          <w:b/>
          <w:sz w:val="36"/>
          <w:szCs w:val="36"/>
          <w:lang w:val="en-US" w:eastAsia="zh-CN"/>
        </w:rPr>
      </w:pPr>
    </w:p>
    <w:p w14:paraId="196CE735">
      <w:pPr>
        <w:rPr>
          <w:rFonts w:hint="eastAsia" w:ascii="方正小标宋简体" w:hAnsi="方正小标宋简体" w:eastAsia="方正小标宋简体" w:cs="方正小标宋简体"/>
          <w:b/>
          <w:sz w:val="36"/>
          <w:szCs w:val="36"/>
          <w:lang w:val="en-US" w:eastAsia="zh-CN"/>
        </w:rPr>
      </w:pPr>
    </w:p>
    <w:p w14:paraId="5AC83FB6">
      <w:pPr>
        <w:rPr>
          <w:rFonts w:hint="eastAsia" w:ascii="方正小标宋简体" w:hAnsi="方正小标宋简体" w:eastAsia="方正小标宋简体" w:cs="方正小标宋简体"/>
          <w:b/>
          <w:sz w:val="36"/>
          <w:szCs w:val="36"/>
          <w:lang w:val="en-US" w:eastAsia="zh-CN"/>
        </w:rPr>
      </w:pPr>
    </w:p>
    <w:p w14:paraId="047FC1B9">
      <w:pPr>
        <w:rPr>
          <w:rFonts w:hint="eastAsia" w:ascii="方正小标宋简体" w:hAnsi="方正小标宋简体" w:eastAsia="方正小标宋简体" w:cs="方正小标宋简体"/>
          <w:b/>
          <w:sz w:val="36"/>
          <w:szCs w:val="36"/>
          <w:lang w:val="en-US" w:eastAsia="zh-CN"/>
        </w:rPr>
      </w:pPr>
    </w:p>
    <w:p w14:paraId="35E277B0">
      <w:pPr>
        <w:rPr>
          <w:rFonts w:hint="eastAsia" w:ascii="方正小标宋简体" w:hAnsi="方正小标宋简体" w:eastAsia="方正小标宋简体" w:cs="方正小标宋简体"/>
          <w:b/>
          <w:sz w:val="36"/>
          <w:szCs w:val="36"/>
          <w:lang w:val="en-US" w:eastAsia="zh-CN"/>
        </w:rPr>
      </w:pPr>
    </w:p>
    <w:p w14:paraId="660941A1">
      <w:pPr>
        <w:rPr>
          <w:rFonts w:hint="eastAsia" w:ascii="方正小标宋简体" w:hAnsi="方正小标宋简体" w:eastAsia="方正小标宋简体" w:cs="方正小标宋简体"/>
          <w:b/>
          <w:sz w:val="36"/>
          <w:szCs w:val="36"/>
          <w:lang w:val="en-US" w:eastAsia="zh-CN"/>
        </w:rPr>
      </w:pPr>
    </w:p>
    <w:p w14:paraId="3DF2F74B">
      <w:pPr>
        <w:rPr>
          <w:rFonts w:hint="eastAsia" w:ascii="方正小标宋简体" w:hAnsi="方正小标宋简体" w:eastAsia="方正小标宋简体" w:cs="方正小标宋简体"/>
          <w:b/>
          <w:sz w:val="36"/>
          <w:szCs w:val="36"/>
          <w:lang w:val="en-US" w:eastAsia="zh-CN"/>
        </w:rPr>
      </w:pPr>
    </w:p>
    <w:p w14:paraId="409C68D9">
      <w:pPr>
        <w:rPr>
          <w:rFonts w:hint="eastAsia" w:ascii="方正小标宋简体" w:hAnsi="方正小标宋简体" w:eastAsia="方正小标宋简体" w:cs="方正小标宋简体"/>
          <w:b/>
          <w:sz w:val="36"/>
          <w:szCs w:val="36"/>
          <w:lang w:val="en-US" w:eastAsia="zh-CN"/>
        </w:rPr>
      </w:pPr>
    </w:p>
    <w:p w14:paraId="70734375">
      <w:pPr>
        <w:rPr>
          <w:rFonts w:hint="eastAsia" w:ascii="方正小标宋简体" w:hAnsi="方正小标宋简体" w:eastAsia="方正小标宋简体" w:cs="方正小标宋简体"/>
          <w:b/>
          <w:sz w:val="36"/>
          <w:szCs w:val="36"/>
          <w:lang w:val="en-US" w:eastAsia="zh-CN"/>
        </w:rPr>
      </w:pPr>
    </w:p>
    <w:p w14:paraId="5516FE56">
      <w:pPr>
        <w:rPr>
          <w:rFonts w:hint="eastAsia" w:ascii="方正小标宋简体" w:hAnsi="方正小标宋简体" w:eastAsia="方正小标宋简体" w:cs="方正小标宋简体"/>
          <w:b/>
          <w:sz w:val="36"/>
          <w:szCs w:val="36"/>
          <w:lang w:val="en-US" w:eastAsia="zh-CN"/>
        </w:rPr>
      </w:pPr>
    </w:p>
    <w:p w14:paraId="036AA86A">
      <w:pPr>
        <w:rPr>
          <w:rFonts w:hint="eastAsia" w:ascii="方正小标宋简体" w:hAnsi="方正小标宋简体" w:eastAsia="方正小标宋简体" w:cs="方正小标宋简体"/>
          <w:b/>
          <w:sz w:val="36"/>
          <w:szCs w:val="36"/>
          <w:lang w:val="en-US" w:eastAsia="zh-CN"/>
        </w:rPr>
      </w:pPr>
    </w:p>
    <w:p w14:paraId="0A60BB85">
      <w:pPr>
        <w:rPr>
          <w:rFonts w:hint="eastAsia" w:ascii="方正小标宋简体" w:hAnsi="方正小标宋简体" w:eastAsia="方正小标宋简体" w:cs="方正小标宋简体"/>
          <w:b/>
          <w:sz w:val="36"/>
          <w:szCs w:val="36"/>
          <w:lang w:val="en-US" w:eastAsia="zh-CN"/>
        </w:rPr>
      </w:pPr>
    </w:p>
    <w:p w14:paraId="26C9E424">
      <w:pPr>
        <w:rPr>
          <w:rFonts w:hint="eastAsia" w:ascii="方正小标宋简体" w:hAnsi="方正小标宋简体" w:eastAsia="方正小标宋简体" w:cs="方正小标宋简体"/>
          <w:b/>
          <w:sz w:val="36"/>
          <w:szCs w:val="36"/>
          <w:lang w:val="en-US" w:eastAsia="zh-CN"/>
        </w:rPr>
      </w:pPr>
    </w:p>
    <w:p w14:paraId="3C2C1B86">
      <w:pPr>
        <w:rPr>
          <w:rFonts w:hint="eastAsia" w:ascii="方正小标宋简体" w:hAnsi="方正小标宋简体" w:eastAsia="方正小标宋简体" w:cs="方正小标宋简体"/>
          <w:b/>
          <w:sz w:val="36"/>
          <w:szCs w:val="36"/>
          <w:lang w:val="en-US" w:eastAsia="zh-CN"/>
        </w:rPr>
      </w:pPr>
    </w:p>
    <w:p w14:paraId="1ED257C2">
      <w:pPr>
        <w:rPr>
          <w:rFonts w:hint="eastAsia" w:ascii="方正小标宋简体" w:hAnsi="方正小标宋简体" w:eastAsia="方正小标宋简体" w:cs="方正小标宋简体"/>
          <w:b/>
          <w:sz w:val="36"/>
          <w:szCs w:val="36"/>
          <w:lang w:val="en-US" w:eastAsia="zh-CN"/>
        </w:rPr>
      </w:pPr>
    </w:p>
    <w:p w14:paraId="7684FEC9">
      <w:pPr>
        <w:rPr>
          <w:rFonts w:hint="eastAsia" w:ascii="方正小标宋简体" w:hAnsi="方正小标宋简体" w:eastAsia="方正小标宋简体" w:cs="方正小标宋简体"/>
          <w:b/>
          <w:sz w:val="36"/>
          <w:szCs w:val="36"/>
          <w:lang w:val="en-US" w:eastAsia="zh-CN"/>
        </w:rPr>
      </w:pPr>
    </w:p>
    <w:p w14:paraId="2014089B">
      <w:pPr>
        <w:rPr>
          <w:rFonts w:hint="eastAsia" w:ascii="方正小标宋简体" w:hAnsi="方正小标宋简体" w:eastAsia="方正小标宋简体" w:cs="方正小标宋简体"/>
          <w:b/>
          <w:sz w:val="36"/>
          <w:szCs w:val="36"/>
          <w:lang w:val="en-US" w:eastAsia="zh-CN"/>
        </w:rPr>
      </w:pPr>
    </w:p>
    <w:p w14:paraId="12B224D1">
      <w:pPr>
        <w:pStyle w:val="5"/>
        <w:numPr>
          <w:ilvl w:val="0"/>
          <w:numId w:val="1"/>
        </w:numPr>
        <w:jc w:val="center"/>
        <w:rPr>
          <w:rFonts w:hint="eastAsia" w:ascii="方正小标宋简体" w:hAnsi="方正小标宋简体" w:eastAsia="方正小标宋简体" w:cs="方正小标宋简体"/>
          <w:b/>
          <w:sz w:val="36"/>
          <w:szCs w:val="36"/>
          <w:lang w:val="en-US" w:eastAsia="zh-CN"/>
        </w:rPr>
      </w:pPr>
      <w:bookmarkStart w:id="4" w:name="_Toc447265557"/>
      <w:bookmarkStart w:id="5" w:name="_Toc447265271"/>
      <w:bookmarkStart w:id="6" w:name="_Toc26678"/>
      <w:r>
        <w:rPr>
          <w:rFonts w:hint="eastAsia" w:ascii="方正小标宋简体" w:hAnsi="方正小标宋简体" w:eastAsia="方正小标宋简体" w:cs="方正小标宋简体"/>
          <w:b/>
          <w:sz w:val="36"/>
          <w:szCs w:val="36"/>
          <w:lang w:val="en-US" w:eastAsia="zh-CN"/>
        </w:rPr>
        <w:t>评审办法</w:t>
      </w:r>
      <w:bookmarkEnd w:id="4"/>
      <w:bookmarkEnd w:id="5"/>
      <w:bookmarkEnd w:id="6"/>
    </w:p>
    <w:p w14:paraId="31693553">
      <w:pPr>
        <w:rPr>
          <w:rFonts w:hint="eastAsia" w:ascii="方正小标宋简体" w:hAnsi="方正小标宋简体" w:eastAsia="方正小标宋简体" w:cs="方正小标宋简体"/>
          <w:b/>
          <w:sz w:val="36"/>
          <w:szCs w:val="36"/>
          <w:lang w:val="en-US" w:eastAsia="zh-CN"/>
        </w:rPr>
      </w:pPr>
    </w:p>
    <w:p w14:paraId="5B62B5B3">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7" w:name="_Toc24289"/>
      <w:r>
        <w:rPr>
          <w:rFonts w:hint="eastAsia" w:ascii="宋体" w:hAnsi="宋体" w:eastAsia="宋体" w:cs="宋体"/>
          <w:b/>
          <w:bCs w:val="0"/>
          <w:kern w:val="0"/>
          <w:sz w:val="28"/>
          <w:szCs w:val="28"/>
          <w:highlight w:val="none"/>
        </w:rPr>
        <w:t>评审办法前附表</w:t>
      </w:r>
      <w:bookmarkEnd w:id="7"/>
    </w:p>
    <w:tbl>
      <w:tblPr>
        <w:tblStyle w:val="16"/>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14:paraId="5341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14:paraId="10AD8B07">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4C1BBB91">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14:paraId="6FB5F2A5">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2B3C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14:paraId="6800E6EE">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8" w:type="pct"/>
            <w:vMerge w:val="restart"/>
            <w:vAlign w:val="center"/>
          </w:tcPr>
          <w:p w14:paraId="32C95FC4">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0CC3FD24">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14:paraId="6F657AA9">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311DF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3BF60D7A">
            <w:pPr>
              <w:snapToGrid w:val="0"/>
              <w:jc w:val="center"/>
              <w:rPr>
                <w:rFonts w:hint="eastAsia" w:ascii="宋体" w:hAnsi="宋体" w:eastAsia="宋体" w:cs="宋体"/>
                <w:sz w:val="21"/>
                <w:szCs w:val="21"/>
                <w:highlight w:val="none"/>
              </w:rPr>
            </w:pPr>
          </w:p>
        </w:tc>
        <w:tc>
          <w:tcPr>
            <w:tcW w:w="608" w:type="pct"/>
            <w:vMerge w:val="continue"/>
          </w:tcPr>
          <w:p w14:paraId="0DDB8AC7">
            <w:pPr>
              <w:snapToGrid w:val="0"/>
              <w:jc w:val="center"/>
              <w:rPr>
                <w:rFonts w:hint="eastAsia" w:ascii="宋体" w:hAnsi="宋体" w:eastAsia="宋体" w:cs="宋体"/>
                <w:sz w:val="21"/>
                <w:szCs w:val="21"/>
                <w:highlight w:val="none"/>
              </w:rPr>
            </w:pPr>
          </w:p>
        </w:tc>
        <w:tc>
          <w:tcPr>
            <w:tcW w:w="1289" w:type="pct"/>
            <w:vAlign w:val="center"/>
          </w:tcPr>
          <w:p w14:paraId="5075EEEB">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14:paraId="0468EAB8">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58F0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36B03991">
            <w:pPr>
              <w:snapToGrid w:val="0"/>
              <w:ind w:firstLine="420" w:firstLineChars="200"/>
              <w:jc w:val="center"/>
              <w:rPr>
                <w:rFonts w:hint="eastAsia" w:ascii="宋体" w:hAnsi="宋体" w:eastAsia="宋体" w:cs="宋体"/>
                <w:sz w:val="21"/>
                <w:szCs w:val="21"/>
                <w:highlight w:val="none"/>
              </w:rPr>
            </w:pPr>
          </w:p>
        </w:tc>
        <w:tc>
          <w:tcPr>
            <w:tcW w:w="608" w:type="pct"/>
            <w:vMerge w:val="continue"/>
          </w:tcPr>
          <w:p w14:paraId="60A796A3">
            <w:pPr>
              <w:snapToGrid w:val="0"/>
              <w:jc w:val="center"/>
              <w:rPr>
                <w:rFonts w:hint="eastAsia" w:ascii="宋体" w:hAnsi="宋体" w:eastAsia="宋体" w:cs="宋体"/>
                <w:sz w:val="21"/>
                <w:szCs w:val="21"/>
                <w:highlight w:val="none"/>
              </w:rPr>
            </w:pPr>
          </w:p>
        </w:tc>
        <w:tc>
          <w:tcPr>
            <w:tcW w:w="1289" w:type="pct"/>
            <w:vAlign w:val="center"/>
          </w:tcPr>
          <w:p w14:paraId="5CD15F7C">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14:paraId="4FCE796E">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6A97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6FD8DB51">
            <w:pPr>
              <w:snapToGrid w:val="0"/>
              <w:ind w:firstLine="420" w:firstLineChars="200"/>
              <w:jc w:val="center"/>
              <w:rPr>
                <w:rFonts w:hint="eastAsia" w:ascii="宋体" w:hAnsi="宋体" w:eastAsia="宋体" w:cs="宋体"/>
                <w:sz w:val="21"/>
                <w:szCs w:val="21"/>
                <w:highlight w:val="none"/>
              </w:rPr>
            </w:pPr>
          </w:p>
        </w:tc>
        <w:tc>
          <w:tcPr>
            <w:tcW w:w="608" w:type="pct"/>
            <w:vMerge w:val="continue"/>
          </w:tcPr>
          <w:p w14:paraId="52B961C6">
            <w:pPr>
              <w:snapToGrid w:val="0"/>
              <w:jc w:val="center"/>
              <w:rPr>
                <w:rFonts w:hint="eastAsia" w:ascii="宋体" w:hAnsi="宋体" w:eastAsia="宋体" w:cs="宋体"/>
                <w:sz w:val="21"/>
                <w:szCs w:val="21"/>
                <w:highlight w:val="none"/>
              </w:rPr>
            </w:pPr>
          </w:p>
        </w:tc>
        <w:tc>
          <w:tcPr>
            <w:tcW w:w="1289" w:type="pct"/>
          </w:tcPr>
          <w:p w14:paraId="4A678B23">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14:paraId="46874C02">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760CE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0C1E6EF7">
            <w:pPr>
              <w:snapToGrid w:val="0"/>
              <w:ind w:firstLine="420" w:firstLineChars="200"/>
              <w:jc w:val="center"/>
              <w:rPr>
                <w:rFonts w:hint="eastAsia" w:ascii="宋体" w:hAnsi="宋体" w:eastAsia="宋体" w:cs="宋体"/>
                <w:sz w:val="21"/>
                <w:szCs w:val="21"/>
                <w:highlight w:val="none"/>
              </w:rPr>
            </w:pPr>
          </w:p>
        </w:tc>
        <w:tc>
          <w:tcPr>
            <w:tcW w:w="608" w:type="pct"/>
            <w:vMerge w:val="continue"/>
          </w:tcPr>
          <w:p w14:paraId="535F9AB4">
            <w:pPr>
              <w:snapToGrid w:val="0"/>
              <w:jc w:val="center"/>
              <w:rPr>
                <w:rFonts w:hint="eastAsia" w:ascii="宋体" w:hAnsi="宋体" w:eastAsia="宋体" w:cs="宋体"/>
                <w:sz w:val="21"/>
                <w:szCs w:val="21"/>
                <w:highlight w:val="none"/>
              </w:rPr>
            </w:pPr>
          </w:p>
        </w:tc>
        <w:tc>
          <w:tcPr>
            <w:tcW w:w="1289" w:type="pct"/>
          </w:tcPr>
          <w:p w14:paraId="29F463DB">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14:paraId="4BBF0688">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0A2DD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63CFD89B">
            <w:pPr>
              <w:snapToGrid w:val="0"/>
              <w:ind w:firstLine="420" w:firstLineChars="200"/>
              <w:jc w:val="center"/>
              <w:rPr>
                <w:rFonts w:hint="eastAsia" w:ascii="宋体" w:hAnsi="宋体" w:eastAsia="宋体" w:cs="宋体"/>
                <w:sz w:val="21"/>
                <w:szCs w:val="21"/>
                <w:highlight w:val="none"/>
              </w:rPr>
            </w:pPr>
          </w:p>
        </w:tc>
        <w:tc>
          <w:tcPr>
            <w:tcW w:w="608" w:type="pct"/>
            <w:vMerge w:val="restart"/>
            <w:vAlign w:val="center"/>
          </w:tcPr>
          <w:p w14:paraId="397F8421">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0E891712">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14:paraId="10FDF07D">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4D517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651533F0">
            <w:pPr>
              <w:snapToGrid w:val="0"/>
              <w:ind w:firstLine="420" w:firstLineChars="200"/>
              <w:jc w:val="center"/>
              <w:rPr>
                <w:rFonts w:hint="eastAsia" w:ascii="宋体" w:hAnsi="宋体" w:eastAsia="宋体" w:cs="宋体"/>
                <w:sz w:val="21"/>
                <w:szCs w:val="21"/>
                <w:highlight w:val="none"/>
              </w:rPr>
            </w:pPr>
          </w:p>
        </w:tc>
        <w:tc>
          <w:tcPr>
            <w:tcW w:w="608" w:type="pct"/>
            <w:vMerge w:val="continue"/>
            <w:vAlign w:val="center"/>
          </w:tcPr>
          <w:p w14:paraId="79D26A25">
            <w:pPr>
              <w:snapToGrid w:val="0"/>
              <w:jc w:val="center"/>
              <w:rPr>
                <w:rFonts w:hint="eastAsia" w:ascii="宋体" w:hAnsi="宋体" w:eastAsia="宋体" w:cs="宋体"/>
                <w:sz w:val="21"/>
                <w:szCs w:val="21"/>
                <w:highlight w:val="none"/>
              </w:rPr>
            </w:pPr>
          </w:p>
        </w:tc>
        <w:tc>
          <w:tcPr>
            <w:tcW w:w="1289" w:type="pct"/>
            <w:vAlign w:val="center"/>
          </w:tcPr>
          <w:p w14:paraId="6F76DCDD">
            <w:pPr>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经营许可</w:t>
            </w:r>
          </w:p>
        </w:tc>
        <w:tc>
          <w:tcPr>
            <w:tcW w:w="2600" w:type="pct"/>
            <w:vAlign w:val="center"/>
          </w:tcPr>
          <w:p w14:paraId="42D464FB">
            <w:pPr>
              <w:snapToGrid w:val="0"/>
              <w:rPr>
                <w:rFonts w:hint="eastAsia" w:cs="宋体"/>
                <w:color w:val="auto"/>
                <w:sz w:val="21"/>
                <w:szCs w:val="21"/>
                <w:highlight w:val="none"/>
                <w:lang w:val="en-US" w:eastAsia="zh-CN"/>
              </w:rPr>
            </w:pPr>
            <w:r>
              <w:rPr>
                <w:rFonts w:hint="eastAsia" w:cs="宋体"/>
                <w:color w:val="auto"/>
                <w:sz w:val="21"/>
                <w:szCs w:val="21"/>
                <w:highlight w:val="none"/>
                <w:lang w:val="en-US" w:eastAsia="zh-CN"/>
              </w:rPr>
              <w:t>这里需要填写根据采购需求，供应商必须具备经营许可资质，如果没有就删除。（提供证书复印件）</w:t>
            </w:r>
          </w:p>
        </w:tc>
      </w:tr>
      <w:tr w14:paraId="1AADB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7DD26C92">
            <w:pPr>
              <w:snapToGrid w:val="0"/>
              <w:ind w:firstLine="420" w:firstLineChars="200"/>
              <w:jc w:val="center"/>
              <w:rPr>
                <w:rFonts w:hint="eastAsia" w:ascii="宋体" w:hAnsi="宋体" w:eastAsia="宋体" w:cs="宋体"/>
                <w:sz w:val="21"/>
                <w:szCs w:val="21"/>
                <w:highlight w:val="none"/>
              </w:rPr>
            </w:pPr>
          </w:p>
        </w:tc>
        <w:tc>
          <w:tcPr>
            <w:tcW w:w="608" w:type="pct"/>
            <w:vMerge w:val="continue"/>
            <w:vAlign w:val="center"/>
          </w:tcPr>
          <w:p w14:paraId="5F57E875">
            <w:pPr>
              <w:snapToGrid w:val="0"/>
              <w:jc w:val="center"/>
              <w:rPr>
                <w:rFonts w:hint="eastAsia" w:ascii="宋体" w:hAnsi="宋体" w:eastAsia="宋体" w:cs="宋体"/>
                <w:sz w:val="21"/>
                <w:szCs w:val="21"/>
                <w:highlight w:val="none"/>
              </w:rPr>
            </w:pPr>
          </w:p>
        </w:tc>
        <w:tc>
          <w:tcPr>
            <w:tcW w:w="1289" w:type="pct"/>
            <w:vAlign w:val="center"/>
          </w:tcPr>
          <w:p w14:paraId="09CBAD66">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vAlign w:val="center"/>
          </w:tcPr>
          <w:p w14:paraId="3DCAA39D">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72F9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D462229">
            <w:pPr>
              <w:snapToGrid w:val="0"/>
              <w:ind w:firstLine="420" w:firstLineChars="200"/>
              <w:jc w:val="center"/>
              <w:rPr>
                <w:rFonts w:hint="eastAsia" w:ascii="宋体" w:hAnsi="宋体" w:eastAsia="宋体" w:cs="宋体"/>
                <w:sz w:val="21"/>
                <w:szCs w:val="21"/>
                <w:highlight w:val="none"/>
              </w:rPr>
            </w:pPr>
          </w:p>
        </w:tc>
        <w:tc>
          <w:tcPr>
            <w:tcW w:w="608" w:type="pct"/>
            <w:vMerge w:val="continue"/>
            <w:vAlign w:val="center"/>
          </w:tcPr>
          <w:p w14:paraId="67A52AD3">
            <w:pPr>
              <w:snapToGrid w:val="0"/>
              <w:jc w:val="center"/>
              <w:rPr>
                <w:rFonts w:hint="eastAsia" w:ascii="宋体" w:hAnsi="宋体" w:eastAsia="宋体" w:cs="宋体"/>
                <w:sz w:val="21"/>
                <w:szCs w:val="21"/>
                <w:highlight w:val="none"/>
              </w:rPr>
            </w:pPr>
          </w:p>
        </w:tc>
        <w:tc>
          <w:tcPr>
            <w:tcW w:w="1289" w:type="pct"/>
            <w:vAlign w:val="center"/>
          </w:tcPr>
          <w:p w14:paraId="2A18AA64">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vAlign w:val="center"/>
          </w:tcPr>
          <w:p w14:paraId="74C59037">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4D81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09967FFC">
            <w:pPr>
              <w:snapToGrid w:val="0"/>
              <w:ind w:firstLine="420" w:firstLineChars="200"/>
              <w:jc w:val="center"/>
              <w:rPr>
                <w:rFonts w:hint="eastAsia" w:ascii="宋体" w:hAnsi="宋体" w:eastAsia="宋体" w:cs="宋体"/>
                <w:sz w:val="21"/>
                <w:szCs w:val="21"/>
                <w:highlight w:val="none"/>
              </w:rPr>
            </w:pPr>
          </w:p>
        </w:tc>
        <w:tc>
          <w:tcPr>
            <w:tcW w:w="608" w:type="pct"/>
            <w:vMerge w:val="continue"/>
            <w:vAlign w:val="center"/>
          </w:tcPr>
          <w:p w14:paraId="6D8D2A91">
            <w:pPr>
              <w:snapToGrid w:val="0"/>
              <w:jc w:val="center"/>
              <w:rPr>
                <w:rFonts w:hint="eastAsia" w:ascii="宋体" w:hAnsi="宋体" w:eastAsia="宋体" w:cs="宋体"/>
                <w:sz w:val="21"/>
                <w:szCs w:val="21"/>
                <w:highlight w:val="none"/>
              </w:rPr>
            </w:pPr>
          </w:p>
        </w:tc>
        <w:tc>
          <w:tcPr>
            <w:tcW w:w="1289" w:type="pct"/>
            <w:vAlign w:val="center"/>
          </w:tcPr>
          <w:p w14:paraId="49AC4F8E">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vAlign w:val="center"/>
          </w:tcPr>
          <w:p w14:paraId="494F6B4A">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186B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230EF754">
            <w:pPr>
              <w:snapToGrid w:val="0"/>
              <w:ind w:firstLine="420" w:firstLineChars="200"/>
              <w:jc w:val="center"/>
              <w:rPr>
                <w:rFonts w:hint="eastAsia" w:ascii="宋体" w:hAnsi="宋体" w:eastAsia="宋体" w:cs="宋体"/>
                <w:sz w:val="21"/>
                <w:szCs w:val="21"/>
                <w:highlight w:val="none"/>
              </w:rPr>
            </w:pPr>
          </w:p>
        </w:tc>
        <w:tc>
          <w:tcPr>
            <w:tcW w:w="608" w:type="pct"/>
            <w:vMerge w:val="continue"/>
            <w:vAlign w:val="center"/>
          </w:tcPr>
          <w:p w14:paraId="52749A10">
            <w:pPr>
              <w:snapToGrid w:val="0"/>
              <w:jc w:val="center"/>
              <w:rPr>
                <w:rFonts w:hint="eastAsia" w:ascii="宋体" w:hAnsi="宋体" w:eastAsia="宋体" w:cs="宋体"/>
                <w:sz w:val="21"/>
                <w:szCs w:val="21"/>
                <w:highlight w:val="none"/>
              </w:rPr>
            </w:pPr>
          </w:p>
        </w:tc>
        <w:tc>
          <w:tcPr>
            <w:tcW w:w="1289" w:type="pct"/>
            <w:vAlign w:val="center"/>
          </w:tcPr>
          <w:p w14:paraId="790AB301">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vAlign w:val="center"/>
          </w:tcPr>
          <w:p w14:paraId="692E2A87">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1CC5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501" w:type="pct"/>
            <w:vAlign w:val="center"/>
          </w:tcPr>
          <w:p w14:paraId="0D28AA3D">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综合评分法</w:t>
            </w:r>
          </w:p>
        </w:tc>
        <w:tc>
          <w:tcPr>
            <w:tcW w:w="4498" w:type="pct"/>
            <w:gridSpan w:val="3"/>
            <w:vAlign w:val="center"/>
          </w:tcPr>
          <w:p w14:paraId="327430A1">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cs="宋体"/>
                <w:b/>
                <w:bCs/>
                <w:color w:val="auto"/>
                <w:sz w:val="21"/>
                <w:szCs w:val="21"/>
                <w:highlight w:val="none"/>
                <w:lang w:val="en-US" w:eastAsia="zh-CN"/>
              </w:rPr>
              <w:t>综合评分法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根据</w:t>
            </w:r>
            <w:r>
              <w:rPr>
                <w:rFonts w:hint="eastAsia" w:ascii="宋体" w:hAnsi="宋体" w:eastAsia="宋体" w:cs="宋体"/>
                <w:b/>
                <w:bCs/>
                <w:color w:val="auto"/>
                <w:sz w:val="21"/>
                <w:szCs w:val="21"/>
                <w:highlight w:val="none"/>
                <w:lang w:val="en-US" w:eastAsia="zh-CN"/>
              </w:rPr>
              <w:t>后附的</w:t>
            </w:r>
            <w:r>
              <w:rPr>
                <w:rFonts w:hint="eastAsia" w:ascii="宋体" w:hAnsi="宋体" w:eastAsia="宋体" w:cs="宋体"/>
                <w:b/>
                <w:bCs/>
                <w:color w:val="auto"/>
                <w:sz w:val="21"/>
                <w:szCs w:val="21"/>
                <w:highlight w:val="none"/>
                <w:lang w:eastAsia="zh-CN"/>
              </w:rPr>
              <w:t>评分标准</w:t>
            </w:r>
            <w:r>
              <w:rPr>
                <w:rFonts w:hint="eastAsia" w:ascii="宋体" w:hAnsi="宋体" w:eastAsia="宋体" w:cs="宋体"/>
                <w:color w:val="auto"/>
                <w:sz w:val="21"/>
                <w:szCs w:val="21"/>
                <w:highlight w:val="none"/>
                <w:lang w:eastAsia="zh-CN"/>
              </w:rPr>
              <w:t>对各报价商的资质、报价、案例等内容进行评审，得分最高者为中选供应商</w:t>
            </w:r>
            <w:r>
              <w:rPr>
                <w:rFonts w:hint="eastAsia" w:ascii="宋体" w:hAnsi="宋体" w:cs="宋体"/>
                <w:color w:val="auto"/>
                <w:sz w:val="21"/>
                <w:szCs w:val="21"/>
                <w:highlight w:val="none"/>
                <w:lang w:val="en-US" w:eastAsia="zh-CN"/>
              </w:rPr>
              <w:t>。</w:t>
            </w:r>
          </w:p>
        </w:tc>
      </w:tr>
      <w:tr w14:paraId="00F6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01" w:type="pct"/>
            <w:vAlign w:val="center"/>
          </w:tcPr>
          <w:p w14:paraId="15802E71">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经评审的最低价法</w:t>
            </w:r>
          </w:p>
        </w:tc>
        <w:tc>
          <w:tcPr>
            <w:tcW w:w="4498" w:type="pct"/>
            <w:gridSpan w:val="3"/>
            <w:vAlign w:val="center"/>
          </w:tcPr>
          <w:p w14:paraId="1EA950F8">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eastAsia="宋体" w:cs="宋体"/>
                <w:b/>
                <w:bCs/>
                <w:color w:val="auto"/>
                <w:sz w:val="21"/>
                <w:szCs w:val="21"/>
                <w:highlight w:val="none"/>
                <w:lang w:val="en-US" w:eastAsia="zh-CN"/>
              </w:rPr>
              <w:t>经评审的最低价法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w:t>
            </w:r>
            <w:r>
              <w:rPr>
                <w:rFonts w:hint="eastAsia" w:ascii="宋体" w:hAnsi="宋体" w:eastAsia="宋体" w:cs="宋体"/>
                <w:color w:val="auto"/>
                <w:sz w:val="21"/>
                <w:szCs w:val="21"/>
                <w:highlight w:val="none"/>
                <w:lang w:val="en-US" w:eastAsia="zh-CN"/>
              </w:rPr>
              <w:t>最低价者为中选供应商（价格按照不含增值税计算）</w:t>
            </w:r>
          </w:p>
        </w:tc>
      </w:tr>
    </w:tbl>
    <w:p w14:paraId="0952159D">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r>
        <w:rPr>
          <w:rFonts w:hint="eastAsia" w:asciiTheme="minorEastAsia" w:hAnsiTheme="minorEastAsia" w:eastAsiaTheme="minorEastAsia" w:cstheme="minorEastAsia"/>
          <w:b/>
          <w:color w:val="auto"/>
          <w:sz w:val="21"/>
          <w:szCs w:val="21"/>
          <w:lang w:val="en-US" w:eastAsia="zh-CN"/>
        </w:rPr>
        <w:t>备注：评审方法二选一</w:t>
      </w:r>
    </w:p>
    <w:p w14:paraId="5EB726CD">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bookmarkStart w:id="8" w:name="_Toc478566081"/>
      <w:bookmarkStart w:id="9" w:name="_Toc20635"/>
      <w:bookmarkStart w:id="10" w:name="_Toc478566273"/>
      <w:bookmarkStart w:id="11" w:name="_Toc474148037"/>
      <w:bookmarkStart w:id="12" w:name="_Toc478566439"/>
      <w:bookmarkStart w:id="13" w:name="_Toc478565718"/>
      <w:bookmarkStart w:id="14" w:name="_Toc68859970"/>
      <w:r>
        <w:rPr>
          <w:rFonts w:hint="default" w:ascii="宋体" w:hAnsi="宋体" w:eastAsia="宋体" w:cs="宋体"/>
          <w:b/>
          <w:bCs w:val="0"/>
          <w:kern w:val="0"/>
          <w:sz w:val="28"/>
          <w:szCs w:val="28"/>
          <w:highlight w:val="none"/>
          <w:lang w:val="en-US" w:eastAsia="zh-CN"/>
        </w:rPr>
        <w:t>评分标准</w:t>
      </w:r>
      <w:r>
        <w:rPr>
          <w:rFonts w:hint="eastAsia" w:ascii="宋体" w:hAnsi="宋体" w:eastAsia="宋体" w:cs="宋体"/>
          <w:b/>
          <w:bCs w:val="0"/>
          <w:kern w:val="0"/>
          <w:sz w:val="28"/>
          <w:szCs w:val="28"/>
          <w:highlight w:val="none"/>
          <w:lang w:val="en-US" w:eastAsia="zh-CN"/>
        </w:rPr>
        <w:t>表</w:t>
      </w:r>
    </w:p>
    <w:p w14:paraId="71B7AEFF">
      <w:pPr>
        <w:pStyle w:val="5"/>
        <w:numPr>
          <w:ilvl w:val="0"/>
          <w:numId w:val="3"/>
        </w:numPr>
        <w:spacing w:before="91" w:line="223" w:lineRule="auto"/>
        <w:outlineLvl w:val="1"/>
        <w:rPr>
          <w:rFonts w:hint="default" w:ascii="Times New Roman" w:hAnsi="Times New Roman" w:eastAsia="仿宋_GB2312" w:cs="Times New Roman"/>
          <w:spacing w:val="-5"/>
          <w:sz w:val="28"/>
          <w:szCs w:val="28"/>
        </w:rPr>
      </w:pPr>
      <w:r>
        <w:rPr>
          <w:rFonts w:hint="default" w:ascii="Times New Roman" w:hAnsi="Times New Roman" w:eastAsia="仿宋_GB2312" w:cs="Times New Roman"/>
          <w:b w:val="0"/>
          <w:bCs w:val="0"/>
          <w:spacing w:val="-3"/>
          <w:sz w:val="28"/>
          <w:szCs w:val="28"/>
          <w14:textOutline w14:w="5103" w14:cap="sq" w14:cmpd="sng">
            <w14:solidFill>
              <w14:srgbClr w14:val="000000"/>
            </w14:solidFill>
            <w14:prstDash w14:val="solid"/>
            <w14:bevel/>
          </w14:textOutline>
        </w:rPr>
        <w:t>分权值</w:t>
      </w:r>
      <w:r>
        <w:rPr>
          <w:rFonts w:hint="default" w:ascii="Times New Roman" w:hAnsi="Times New Roman" w:eastAsia="仿宋_GB2312" w:cs="Times New Roman"/>
          <w:b w:val="0"/>
          <w:bCs w:val="0"/>
          <w:spacing w:val="-3"/>
          <w:sz w:val="28"/>
          <w:szCs w:val="28"/>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spacing w:val="-5"/>
          <w:sz w:val="28"/>
          <w:szCs w:val="28"/>
        </w:rPr>
        <w:t>总分为</w:t>
      </w:r>
      <w:r>
        <w:rPr>
          <w:rFonts w:hint="default" w:ascii="Times New Roman" w:hAnsi="Times New Roman" w:eastAsia="仿宋_GB2312" w:cs="Times New Roman"/>
          <w:b w:val="0"/>
          <w:bCs w:val="0"/>
          <w:spacing w:val="-37"/>
          <w:sz w:val="28"/>
          <w:szCs w:val="28"/>
        </w:rPr>
        <w:t xml:space="preserve"> </w:t>
      </w:r>
      <w:r>
        <w:rPr>
          <w:rFonts w:hint="default" w:ascii="Times New Roman" w:hAnsi="Times New Roman" w:eastAsia="仿宋_GB2312" w:cs="Times New Roman"/>
          <w:b w:val="0"/>
          <w:bCs w:val="0"/>
          <w:spacing w:val="-5"/>
          <w:sz w:val="28"/>
          <w:szCs w:val="28"/>
        </w:rPr>
        <w:t>100</w:t>
      </w:r>
      <w:r>
        <w:rPr>
          <w:rFonts w:hint="default" w:ascii="Times New Roman" w:hAnsi="Times New Roman" w:eastAsia="仿宋_GB2312" w:cs="Times New Roman"/>
          <w:b w:val="0"/>
          <w:bCs w:val="0"/>
          <w:spacing w:val="-48"/>
          <w:sz w:val="28"/>
          <w:szCs w:val="28"/>
        </w:rPr>
        <w:t xml:space="preserve"> </w:t>
      </w:r>
      <w:r>
        <w:rPr>
          <w:rFonts w:hint="default" w:ascii="Times New Roman" w:hAnsi="Times New Roman" w:eastAsia="仿宋_GB2312" w:cs="Times New Roman"/>
          <w:b w:val="0"/>
          <w:bCs w:val="0"/>
          <w:spacing w:val="-5"/>
          <w:sz w:val="28"/>
          <w:szCs w:val="28"/>
        </w:rPr>
        <w:t>分，</w:t>
      </w:r>
      <w:r>
        <w:rPr>
          <w:rFonts w:hint="default" w:ascii="Times New Roman" w:hAnsi="Times New Roman" w:eastAsia="仿宋_GB2312" w:cs="Times New Roman"/>
          <w:spacing w:val="-5"/>
          <w:sz w:val="28"/>
          <w:szCs w:val="28"/>
        </w:rPr>
        <w:t>评分分值分配如下：</w:t>
      </w:r>
    </w:p>
    <w:tbl>
      <w:tblPr>
        <w:tblStyle w:val="17"/>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14:paraId="2878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9" w:hRule="atLeast"/>
        </w:trPr>
        <w:tc>
          <w:tcPr>
            <w:tcW w:w="2641" w:type="dxa"/>
            <w:shd w:val="clear" w:color="auto" w:fill="F1F1F1" w:themeFill="background1" w:themeFillShade="F2"/>
          </w:tcPr>
          <w:p w14:paraId="6EBD5C3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评审项</w:t>
            </w:r>
          </w:p>
        </w:tc>
        <w:tc>
          <w:tcPr>
            <w:tcW w:w="3091" w:type="dxa"/>
            <w:shd w:val="clear" w:color="auto" w:fill="F1F1F1" w:themeFill="background1" w:themeFillShade="F2"/>
          </w:tcPr>
          <w:p w14:paraId="41DA1D7F">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各部分分值</w:t>
            </w:r>
          </w:p>
        </w:tc>
        <w:tc>
          <w:tcPr>
            <w:tcW w:w="3091" w:type="dxa"/>
            <w:shd w:val="clear" w:color="auto" w:fill="F1F1F1" w:themeFill="background1" w:themeFillShade="F2"/>
          </w:tcPr>
          <w:p w14:paraId="783BFE80">
            <w:pPr>
              <w:autoSpaceDE w:val="0"/>
              <w:autoSpaceDN w:val="0"/>
              <w:spacing w:before="93" w:beforeLines="30" w:after="93" w:afterLines="30"/>
              <w:jc w:val="center"/>
              <w:rPr>
                <w:rFonts w:hint="eastAsia" w:ascii="仿宋" w:hAnsi="仿宋" w:eastAsia="仿宋" w:cs="宋体"/>
                <w:b/>
                <w:szCs w:val="21"/>
                <w:lang w:val="en-US" w:eastAsia="zh-CN"/>
              </w:rPr>
            </w:pPr>
            <w:r>
              <w:rPr>
                <w:rFonts w:hint="eastAsia" w:ascii="仿宋" w:hAnsi="仿宋" w:eastAsia="仿宋" w:cs="宋体"/>
                <w:b/>
                <w:szCs w:val="21"/>
                <w:lang w:val="en-US" w:eastAsia="zh-CN"/>
              </w:rPr>
              <w:t>备注</w:t>
            </w:r>
          </w:p>
        </w:tc>
      </w:tr>
      <w:tr w14:paraId="3179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02A3B22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商务审查</w:t>
            </w:r>
          </w:p>
        </w:tc>
        <w:tc>
          <w:tcPr>
            <w:tcW w:w="3091" w:type="dxa"/>
            <w:vAlign w:val="center"/>
          </w:tcPr>
          <w:p w14:paraId="26726C3F">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3</w:t>
            </w:r>
            <w:r>
              <w:rPr>
                <w:rFonts w:hint="eastAsia" w:ascii="仿宋" w:hAnsi="仿宋" w:eastAsia="仿宋" w:cs="宋体"/>
                <w:b/>
                <w:color w:val="auto"/>
                <w:szCs w:val="21"/>
              </w:rPr>
              <w:t>0</w:t>
            </w:r>
          </w:p>
        </w:tc>
        <w:tc>
          <w:tcPr>
            <w:tcW w:w="3091" w:type="dxa"/>
            <w:vMerge w:val="restart"/>
          </w:tcPr>
          <w:p w14:paraId="74ED1F77">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本项目商务部分设置评分基准线。若投标人的商务评分低于基准线，其投标应答将被视为存在重大商务技术偏差，则</w:t>
            </w:r>
            <w:r>
              <w:rPr>
                <w:rFonts w:hint="eastAsia" w:ascii="仿宋" w:hAnsi="仿宋" w:eastAsia="仿宋" w:cs="宋体"/>
                <w:b/>
                <w:color w:val="auto"/>
                <w:szCs w:val="21"/>
                <w:lang w:val="en-US" w:eastAsia="zh-CN"/>
              </w:rPr>
              <w:t>报价</w:t>
            </w:r>
            <w:r>
              <w:rPr>
                <w:rFonts w:hint="eastAsia" w:ascii="仿宋" w:hAnsi="仿宋" w:eastAsia="仿宋" w:cs="宋体"/>
                <w:b/>
                <w:color w:val="auto"/>
                <w:szCs w:val="21"/>
              </w:rPr>
              <w:t>无效，不进入技术部分评审。</w:t>
            </w:r>
          </w:p>
          <w:p w14:paraId="1CEAE329">
            <w:pPr>
              <w:autoSpaceDE w:val="0"/>
              <w:autoSpaceDN w:val="0"/>
              <w:spacing w:before="93" w:beforeLines="30" w:after="93" w:afterLines="30"/>
              <w:jc w:val="center"/>
              <w:rPr>
                <w:rFonts w:hint="eastAsia" w:ascii="仿宋" w:hAnsi="仿宋" w:eastAsia="仿宋" w:cs="宋体"/>
                <w:b/>
                <w:color w:val="FF0000"/>
                <w:szCs w:val="21"/>
              </w:rPr>
            </w:pPr>
            <w:r>
              <w:rPr>
                <w:rFonts w:hint="eastAsia" w:ascii="仿宋" w:hAnsi="仿宋" w:eastAsia="仿宋" w:cs="宋体"/>
                <w:b/>
                <w:color w:val="auto"/>
                <w:szCs w:val="21"/>
              </w:rPr>
              <w:t>商务评分基准线</w:t>
            </w:r>
            <w:r>
              <w:rPr>
                <w:rFonts w:hint="eastAsia" w:ascii="仿宋" w:hAnsi="仿宋" w:eastAsia="仿宋" w:cs="宋体"/>
                <w:b/>
                <w:color w:val="auto"/>
                <w:szCs w:val="21"/>
                <w:lang w:val="en-US" w:eastAsia="zh-CN"/>
              </w:rPr>
              <w:t>=</w:t>
            </w:r>
            <w:r>
              <w:rPr>
                <w:rFonts w:hint="eastAsia" w:ascii="仿宋" w:hAnsi="仿宋" w:eastAsia="仿宋" w:cs="宋体"/>
                <w:b/>
                <w:color w:val="auto"/>
                <w:szCs w:val="21"/>
              </w:rPr>
              <w:t>本项目商务部分分值×60%（即</w:t>
            </w:r>
            <w:r>
              <w:rPr>
                <w:rFonts w:hint="eastAsia" w:ascii="仿宋" w:hAnsi="仿宋" w:eastAsia="仿宋" w:cs="宋体"/>
                <w:b/>
                <w:color w:val="auto"/>
                <w:szCs w:val="21"/>
                <w:lang w:val="en-US" w:eastAsia="zh-CN"/>
              </w:rPr>
              <w:t>3</w:t>
            </w:r>
            <w:r>
              <w:rPr>
                <w:rFonts w:hint="eastAsia" w:ascii="仿宋" w:hAnsi="仿宋" w:eastAsia="仿宋" w:cs="宋体"/>
                <w:b/>
                <w:color w:val="auto"/>
                <w:szCs w:val="21"/>
              </w:rPr>
              <w:t>0×60%=1</w:t>
            </w:r>
            <w:r>
              <w:rPr>
                <w:rFonts w:hint="eastAsia" w:ascii="仿宋" w:hAnsi="仿宋" w:eastAsia="仿宋" w:cs="宋体"/>
                <w:b/>
                <w:color w:val="auto"/>
                <w:szCs w:val="21"/>
                <w:lang w:val="en-US" w:eastAsia="zh-CN"/>
              </w:rPr>
              <w:t>8</w:t>
            </w:r>
            <w:r>
              <w:rPr>
                <w:rFonts w:hint="eastAsia" w:ascii="仿宋" w:hAnsi="仿宋" w:eastAsia="仿宋" w:cs="宋体"/>
                <w:b/>
                <w:color w:val="auto"/>
                <w:szCs w:val="21"/>
              </w:rPr>
              <w:t>分</w:t>
            </w:r>
            <w:r>
              <w:rPr>
                <w:rFonts w:hint="eastAsia" w:ascii="仿宋" w:hAnsi="仿宋" w:eastAsia="仿宋" w:cs="宋体"/>
                <w:b/>
                <w:color w:val="FF0000"/>
                <w:szCs w:val="21"/>
              </w:rPr>
              <w:t>）</w:t>
            </w:r>
          </w:p>
        </w:tc>
      </w:tr>
      <w:tr w14:paraId="1ADD5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14ED4D18">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技术审查</w:t>
            </w:r>
          </w:p>
        </w:tc>
        <w:tc>
          <w:tcPr>
            <w:tcW w:w="3091" w:type="dxa"/>
            <w:vAlign w:val="center"/>
          </w:tcPr>
          <w:p w14:paraId="03474770">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5</w:t>
            </w:r>
            <w:r>
              <w:rPr>
                <w:rFonts w:hint="eastAsia" w:ascii="仿宋" w:hAnsi="仿宋" w:eastAsia="仿宋" w:cs="宋体"/>
                <w:b/>
                <w:color w:val="auto"/>
                <w:szCs w:val="21"/>
              </w:rPr>
              <w:t>0</w:t>
            </w:r>
          </w:p>
        </w:tc>
        <w:tc>
          <w:tcPr>
            <w:tcW w:w="3091" w:type="dxa"/>
            <w:vMerge w:val="continue"/>
          </w:tcPr>
          <w:p w14:paraId="11852FCB">
            <w:pPr>
              <w:autoSpaceDE w:val="0"/>
              <w:autoSpaceDN w:val="0"/>
              <w:spacing w:before="93" w:beforeLines="30" w:after="93" w:afterLines="30"/>
              <w:jc w:val="center"/>
              <w:rPr>
                <w:rFonts w:hint="eastAsia" w:ascii="仿宋" w:hAnsi="仿宋" w:eastAsia="仿宋" w:cs="宋体"/>
                <w:b/>
                <w:color w:val="FF0000"/>
                <w:szCs w:val="21"/>
              </w:rPr>
            </w:pPr>
          </w:p>
        </w:tc>
      </w:tr>
      <w:tr w14:paraId="52420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3FFC8E7F">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价格评审</w:t>
            </w:r>
          </w:p>
        </w:tc>
        <w:tc>
          <w:tcPr>
            <w:tcW w:w="3091" w:type="dxa"/>
            <w:vAlign w:val="center"/>
          </w:tcPr>
          <w:p w14:paraId="3E54D9CC">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20</w:t>
            </w:r>
          </w:p>
        </w:tc>
        <w:tc>
          <w:tcPr>
            <w:tcW w:w="3091" w:type="dxa"/>
            <w:vMerge w:val="continue"/>
          </w:tcPr>
          <w:p w14:paraId="11336CD9">
            <w:pPr>
              <w:autoSpaceDE w:val="0"/>
              <w:autoSpaceDN w:val="0"/>
              <w:spacing w:before="93" w:beforeLines="30" w:after="93" w:afterLines="30"/>
              <w:jc w:val="center"/>
              <w:rPr>
                <w:rFonts w:hint="eastAsia" w:ascii="仿宋" w:hAnsi="仿宋" w:eastAsia="仿宋" w:cs="宋体"/>
                <w:b/>
                <w:color w:val="FF0000"/>
                <w:szCs w:val="21"/>
              </w:rPr>
            </w:pPr>
          </w:p>
        </w:tc>
      </w:tr>
      <w:tr w14:paraId="5F589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1BA7A2EF">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总和</w:t>
            </w:r>
          </w:p>
        </w:tc>
        <w:tc>
          <w:tcPr>
            <w:tcW w:w="3091" w:type="dxa"/>
            <w:vAlign w:val="center"/>
          </w:tcPr>
          <w:p w14:paraId="38200B14">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100</w:t>
            </w:r>
          </w:p>
        </w:tc>
        <w:tc>
          <w:tcPr>
            <w:tcW w:w="3091" w:type="dxa"/>
            <w:vMerge w:val="continue"/>
          </w:tcPr>
          <w:p w14:paraId="597480E9">
            <w:pPr>
              <w:autoSpaceDE w:val="0"/>
              <w:autoSpaceDN w:val="0"/>
              <w:spacing w:before="93" w:beforeLines="30" w:after="93" w:afterLines="30"/>
              <w:jc w:val="center"/>
              <w:rPr>
                <w:rFonts w:hint="eastAsia" w:ascii="仿宋" w:hAnsi="仿宋" w:eastAsia="仿宋" w:cs="宋体"/>
                <w:b/>
                <w:szCs w:val="21"/>
              </w:rPr>
            </w:pPr>
          </w:p>
        </w:tc>
      </w:tr>
    </w:tbl>
    <w:p w14:paraId="17B3D5D5">
      <w:pPr>
        <w:pStyle w:val="5"/>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商务评分表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14:paraId="38D0B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14:paraId="04161198">
            <w:pPr>
              <w:autoSpaceDE w:val="0"/>
              <w:autoSpaceDN w:val="0"/>
              <w:spacing w:before="93" w:beforeLines="30" w:after="93" w:afterLines="30"/>
              <w:jc w:val="center"/>
              <w:rPr>
                <w:rFonts w:hint="eastAsia" w:ascii="仿宋" w:hAnsi="仿宋" w:eastAsia="仿宋" w:cs="宋体"/>
                <w:b/>
                <w:szCs w:val="21"/>
              </w:rPr>
            </w:pPr>
            <w:bookmarkStart w:id="15" w:name="_Hlk164269056"/>
            <w:r>
              <w:rPr>
                <w:rFonts w:hint="eastAsia" w:ascii="仿宋" w:hAnsi="仿宋" w:eastAsia="仿宋" w:cs="宋体"/>
                <w:b/>
                <w:szCs w:val="21"/>
              </w:rPr>
              <w:t>评分项</w:t>
            </w:r>
          </w:p>
        </w:tc>
        <w:tc>
          <w:tcPr>
            <w:tcW w:w="6184" w:type="dxa"/>
            <w:shd w:val="clear" w:color="auto" w:fill="F1F1F1" w:themeFill="background1" w:themeFillShade="F2"/>
            <w:vAlign w:val="center"/>
          </w:tcPr>
          <w:p w14:paraId="42CEB45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14:paraId="777D0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14:paraId="43DC257A">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w:t>
            </w:r>
          </w:p>
        </w:tc>
        <w:tc>
          <w:tcPr>
            <w:tcW w:w="6184" w:type="dxa"/>
            <w:shd w:val="clear" w:color="auto" w:fill="F1F1F1" w:themeFill="background1" w:themeFillShade="F2"/>
            <w:vAlign w:val="center"/>
          </w:tcPr>
          <w:p w14:paraId="1285FA49">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color w:val="auto"/>
                <w:szCs w:val="21"/>
                <w:lang w:val="en-US" w:eastAsia="zh-CN"/>
              </w:rPr>
              <w:t>30</w:t>
            </w:r>
          </w:p>
        </w:tc>
      </w:tr>
      <w:tr w14:paraId="56C3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themeFill="background1" w:themeFillShade="F2"/>
            <w:vAlign w:val="center"/>
          </w:tcPr>
          <w:p w14:paraId="363FD26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068" w:type="dxa"/>
            <w:shd w:val="clear" w:color="auto" w:fill="F1F1F1" w:themeFill="background1" w:themeFillShade="F2"/>
            <w:vAlign w:val="center"/>
          </w:tcPr>
          <w:p w14:paraId="438644F8">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928" w:type="dxa"/>
            <w:shd w:val="clear" w:color="auto" w:fill="F1F1F1" w:themeFill="background1" w:themeFillShade="F2"/>
            <w:vAlign w:val="center"/>
          </w:tcPr>
          <w:p w14:paraId="42A6D38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84" w:type="dxa"/>
            <w:shd w:val="clear" w:color="auto" w:fill="F1F1F1" w:themeFill="background1" w:themeFillShade="F2"/>
          </w:tcPr>
          <w:p w14:paraId="704102C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14:paraId="5D559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14AFE5C8">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068" w:type="dxa"/>
            <w:vAlign w:val="center"/>
          </w:tcPr>
          <w:p w14:paraId="2AE90AF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供应商管理</w:t>
            </w:r>
            <w:r>
              <w:rPr>
                <w:rFonts w:hint="eastAsia" w:ascii="仿宋_GB2312" w:hAnsi="仿宋_GB2312" w:eastAsia="仿宋_GB2312" w:cs="仿宋_GB2312"/>
                <w:b w:val="0"/>
                <w:bCs w:val="0"/>
                <w:sz w:val="21"/>
                <w:szCs w:val="21"/>
                <w:vertAlign w:val="baseline"/>
                <w:lang w:val="en-US" w:eastAsia="zh-CN"/>
              </w:rPr>
              <w:br w:type="textWrapping"/>
            </w:r>
            <w:r>
              <w:rPr>
                <w:rFonts w:hint="eastAsia" w:ascii="仿宋_GB2312" w:hAnsi="仿宋_GB2312" w:eastAsia="仿宋_GB2312" w:cs="仿宋_GB2312"/>
                <w:b w:val="0"/>
                <w:bCs w:val="0"/>
                <w:sz w:val="21"/>
                <w:szCs w:val="21"/>
                <w:vertAlign w:val="baseline"/>
                <w:lang w:val="en-US" w:eastAsia="zh-CN"/>
              </w:rPr>
              <w:t>体系证书</w:t>
            </w:r>
          </w:p>
        </w:tc>
        <w:tc>
          <w:tcPr>
            <w:tcW w:w="928" w:type="dxa"/>
            <w:vAlign w:val="center"/>
          </w:tcPr>
          <w:p w14:paraId="2103A2C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10</w:t>
            </w:r>
          </w:p>
        </w:tc>
        <w:tc>
          <w:tcPr>
            <w:tcW w:w="6184" w:type="dxa"/>
            <w:vAlign w:val="top"/>
          </w:tcPr>
          <w:p w14:paraId="1F97C070">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根据投标人是否具备有效期内的以下认证进行评分，每具备一个证书得 2 分，无或不在有效期内不得分，本项最高得10分。根据供应商获得的管理体系认证进行评审，具备：</w:t>
            </w:r>
            <w:r>
              <w:rPr>
                <w:rFonts w:hint="eastAsia" w:ascii="仿宋_GB2312" w:hAnsi="仿宋_GB2312" w:eastAsia="仿宋_GB2312" w:cs="仿宋_GB2312"/>
                <w:b w:val="0"/>
                <w:bCs w:val="0"/>
                <w:sz w:val="21"/>
                <w:szCs w:val="21"/>
                <w:vertAlign w:val="baseline"/>
                <w:lang w:val="en-US" w:eastAsia="zh-CN"/>
              </w:rPr>
              <w:br w:type="textWrapping"/>
            </w:r>
            <w:r>
              <w:rPr>
                <w:rFonts w:hint="eastAsia" w:ascii="仿宋_GB2312" w:hAnsi="仿宋_GB2312" w:eastAsia="仿宋_GB2312" w:cs="仿宋_GB2312"/>
                <w:b w:val="0"/>
                <w:bCs w:val="0"/>
                <w:sz w:val="21"/>
                <w:szCs w:val="21"/>
                <w:vertAlign w:val="baseline"/>
                <w:lang w:val="en-US" w:eastAsia="zh-CN"/>
              </w:rPr>
              <w:t>1、质量管理体系认证（ISO9001）证书</w:t>
            </w:r>
            <w:r>
              <w:rPr>
                <w:rFonts w:hint="eastAsia" w:ascii="仿宋_GB2312" w:hAnsi="仿宋_GB2312" w:eastAsia="仿宋_GB2312" w:cs="仿宋_GB2312"/>
                <w:b w:val="0"/>
                <w:bCs w:val="0"/>
                <w:sz w:val="21"/>
                <w:szCs w:val="21"/>
                <w:vertAlign w:val="baseline"/>
                <w:lang w:val="en-US" w:eastAsia="zh-CN"/>
              </w:rPr>
              <w:br w:type="textWrapping"/>
            </w:r>
            <w:r>
              <w:rPr>
                <w:rFonts w:hint="eastAsia" w:ascii="仿宋_GB2312" w:hAnsi="仿宋_GB2312" w:eastAsia="仿宋_GB2312" w:cs="仿宋_GB2312"/>
                <w:b w:val="0"/>
                <w:bCs w:val="0"/>
                <w:sz w:val="21"/>
                <w:szCs w:val="21"/>
                <w:vertAlign w:val="baseline"/>
                <w:lang w:val="en-US" w:eastAsia="zh-CN"/>
              </w:rPr>
              <w:t>2、环境管理体系认证（ISO14001）证书</w:t>
            </w:r>
          </w:p>
          <w:p w14:paraId="490736A4">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3、职业健康管理体系认证(ISO45001)证书</w:t>
            </w:r>
          </w:p>
          <w:p w14:paraId="5D18C527">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4、信息技术服务管理体系认证（ISO20000）证书</w:t>
            </w:r>
          </w:p>
          <w:p w14:paraId="633BF4CD">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5、信息安全管理体系认证(ISO27001)证书</w:t>
            </w:r>
          </w:p>
        </w:tc>
      </w:tr>
      <w:tr w14:paraId="51F1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F742863">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w:t>
            </w:r>
          </w:p>
        </w:tc>
        <w:tc>
          <w:tcPr>
            <w:tcW w:w="1068" w:type="dxa"/>
            <w:vAlign w:val="center"/>
          </w:tcPr>
          <w:p w14:paraId="577284C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企业资质</w:t>
            </w:r>
          </w:p>
        </w:tc>
        <w:tc>
          <w:tcPr>
            <w:tcW w:w="928" w:type="dxa"/>
            <w:vAlign w:val="center"/>
          </w:tcPr>
          <w:p w14:paraId="4157ED5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6</w:t>
            </w:r>
          </w:p>
        </w:tc>
        <w:tc>
          <w:tcPr>
            <w:tcW w:w="6184" w:type="dxa"/>
            <w:vAlign w:val="center"/>
          </w:tcPr>
          <w:p w14:paraId="425B4FF1">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根据投标人是否具备有效期内的以下资质证书进行评分，每具备一个证书得 2 分，无或不在有效期内不得分，本项最高得6分。根据供应商获得的资质证书进行评审，具备</w:t>
            </w:r>
          </w:p>
          <w:p w14:paraId="3E7C2A28">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1、售后服务诚信认证企业 AAA级</w:t>
            </w:r>
          </w:p>
          <w:p w14:paraId="58AD99E6">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2、企业资信等级证书 AAA级</w:t>
            </w:r>
          </w:p>
          <w:p w14:paraId="689100BD">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3、企业信用等级证书 AAA级</w:t>
            </w:r>
          </w:p>
        </w:tc>
      </w:tr>
      <w:tr w14:paraId="6733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0EF7E027">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3</w:t>
            </w:r>
          </w:p>
        </w:tc>
        <w:tc>
          <w:tcPr>
            <w:tcW w:w="1068" w:type="dxa"/>
            <w:vAlign w:val="center"/>
          </w:tcPr>
          <w:p w14:paraId="67A5951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项目经理</w:t>
            </w:r>
          </w:p>
        </w:tc>
        <w:tc>
          <w:tcPr>
            <w:tcW w:w="928" w:type="dxa"/>
            <w:vAlign w:val="center"/>
          </w:tcPr>
          <w:p w14:paraId="7FF4E61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6</w:t>
            </w:r>
          </w:p>
        </w:tc>
        <w:tc>
          <w:tcPr>
            <w:tcW w:w="6184" w:type="dxa"/>
            <w:vAlign w:val="center"/>
          </w:tcPr>
          <w:p w14:paraId="550513E9">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根据投标人拟派项目经理素质情况进行评分，具备PMP（项目管理专业人士资格认证）、CISAW-应急服务、CISP、信创集成项目管理师、信息安全工程师证书，网络工程师证书，H3CTE证书，HCNP证书具备其中任意两个证书的得3分，本项最高得 6分。</w:t>
            </w:r>
            <w:r>
              <w:rPr>
                <w:rFonts w:hint="eastAsia" w:ascii="仿宋_GB2312" w:hAnsi="仿宋_GB2312" w:eastAsia="仿宋_GB2312" w:cs="仿宋_GB2312"/>
                <w:b w:val="0"/>
                <w:bCs w:val="0"/>
                <w:sz w:val="21"/>
                <w:szCs w:val="21"/>
                <w:vertAlign w:val="baseline"/>
                <w:lang w:val="en-US" w:eastAsia="zh-CN"/>
              </w:rPr>
              <w:br w:type="textWrapping"/>
            </w:r>
            <w:r>
              <w:rPr>
                <w:rFonts w:hint="eastAsia" w:ascii="仿宋_GB2312" w:hAnsi="仿宋_GB2312" w:eastAsia="仿宋_GB2312" w:cs="仿宋_GB2312"/>
                <w:b w:val="0"/>
                <w:bCs w:val="0"/>
                <w:sz w:val="21"/>
                <w:szCs w:val="21"/>
                <w:vertAlign w:val="baseline"/>
                <w:lang w:val="en-US" w:eastAsia="zh-CN"/>
              </w:rPr>
              <w:t>证明材料要求：</w:t>
            </w:r>
            <w:r>
              <w:rPr>
                <w:rFonts w:hint="eastAsia" w:ascii="仿宋_GB2312" w:hAnsi="仿宋_GB2312" w:eastAsia="仿宋_GB2312" w:cs="仿宋_GB2312"/>
                <w:b w:val="0"/>
                <w:bCs w:val="0"/>
                <w:sz w:val="21"/>
                <w:szCs w:val="21"/>
                <w:vertAlign w:val="baseline"/>
                <w:lang w:val="en-US" w:eastAsia="zh-CN"/>
              </w:rPr>
              <w:br w:type="textWrapping"/>
            </w:r>
            <w:r>
              <w:rPr>
                <w:rFonts w:hint="eastAsia" w:ascii="仿宋_GB2312" w:hAnsi="仿宋_GB2312" w:eastAsia="仿宋_GB2312" w:cs="仿宋_GB2312"/>
                <w:b w:val="0"/>
                <w:bCs w:val="0"/>
                <w:sz w:val="21"/>
                <w:szCs w:val="21"/>
                <w:vertAlign w:val="baseline"/>
                <w:lang w:val="en-US" w:eastAsia="zh-CN"/>
              </w:rPr>
              <w:t>1、须提供拟投入本项目的项目经理的有效身份证扫描件、2025年1月1日以来任意1个月的本单位参保证明（社保缴纳单位为参选人或其分公司）扫描件。未提供身份证、社保证明中任一项证明材料，本评分项均不得分。</w:t>
            </w:r>
            <w:r>
              <w:rPr>
                <w:rFonts w:hint="eastAsia" w:ascii="仿宋_GB2312" w:hAnsi="仿宋_GB2312" w:eastAsia="仿宋_GB2312" w:cs="仿宋_GB2312"/>
                <w:b w:val="0"/>
                <w:bCs w:val="0"/>
                <w:sz w:val="21"/>
                <w:szCs w:val="21"/>
                <w:vertAlign w:val="baseline"/>
                <w:lang w:val="en-US" w:eastAsia="zh-CN"/>
              </w:rPr>
              <w:br w:type="textWrapping"/>
            </w:r>
            <w:r>
              <w:rPr>
                <w:rFonts w:hint="eastAsia" w:ascii="仿宋_GB2312" w:hAnsi="仿宋_GB2312" w:eastAsia="仿宋_GB2312" w:cs="仿宋_GB2312"/>
                <w:b w:val="0"/>
                <w:bCs w:val="0"/>
                <w:sz w:val="21"/>
                <w:szCs w:val="21"/>
                <w:vertAlign w:val="baseline"/>
                <w:lang w:val="en-US" w:eastAsia="zh-CN"/>
              </w:rPr>
              <w:t>2、须提供学历或学位证书扫描件。</w:t>
            </w:r>
            <w:r>
              <w:rPr>
                <w:rFonts w:hint="eastAsia" w:ascii="仿宋_GB2312" w:hAnsi="仿宋_GB2312" w:eastAsia="仿宋_GB2312" w:cs="仿宋_GB2312"/>
                <w:b w:val="0"/>
                <w:bCs w:val="0"/>
                <w:sz w:val="21"/>
                <w:szCs w:val="21"/>
                <w:vertAlign w:val="baseline"/>
                <w:lang w:val="en-US" w:eastAsia="zh-CN"/>
              </w:rPr>
              <w:br w:type="textWrapping"/>
            </w:r>
            <w:r>
              <w:rPr>
                <w:rFonts w:hint="eastAsia" w:ascii="仿宋_GB2312" w:hAnsi="仿宋_GB2312" w:eastAsia="仿宋_GB2312" w:cs="仿宋_GB2312"/>
                <w:b w:val="0"/>
                <w:bCs w:val="0"/>
                <w:sz w:val="21"/>
                <w:szCs w:val="21"/>
                <w:vertAlign w:val="baseline"/>
                <w:lang w:val="en-US" w:eastAsia="zh-CN"/>
              </w:rPr>
              <w:t>3、须提供相关证书扫描件，未按要求提供者不得分。</w:t>
            </w:r>
          </w:p>
        </w:tc>
      </w:tr>
      <w:tr w14:paraId="72EF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4F223C1C">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4</w:t>
            </w:r>
          </w:p>
        </w:tc>
        <w:tc>
          <w:tcPr>
            <w:tcW w:w="1068" w:type="dxa"/>
            <w:vAlign w:val="center"/>
          </w:tcPr>
          <w:p w14:paraId="175A79CA">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团队成员</w:t>
            </w:r>
          </w:p>
        </w:tc>
        <w:tc>
          <w:tcPr>
            <w:tcW w:w="928" w:type="dxa"/>
            <w:vAlign w:val="center"/>
          </w:tcPr>
          <w:p w14:paraId="0A5C3DBD">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w:t>
            </w:r>
          </w:p>
        </w:tc>
        <w:tc>
          <w:tcPr>
            <w:tcW w:w="6184" w:type="dxa"/>
            <w:vAlign w:val="center"/>
          </w:tcPr>
          <w:p w14:paraId="6AD1C5E1">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根据投标人拟投入本项目的团队人员（不含项目经理）素质情况进行评分，本项最高得2分。</w:t>
            </w:r>
            <w:r>
              <w:rPr>
                <w:rFonts w:hint="eastAsia" w:ascii="仿宋_GB2312" w:hAnsi="仿宋_GB2312" w:eastAsia="仿宋_GB2312" w:cs="仿宋_GB2312"/>
                <w:b w:val="0"/>
                <w:bCs w:val="0"/>
                <w:sz w:val="21"/>
                <w:szCs w:val="21"/>
                <w:vertAlign w:val="baseline"/>
                <w:lang w:val="en-US" w:eastAsia="zh-CN"/>
              </w:rPr>
              <w:br w:type="textWrapping"/>
            </w:r>
            <w:r>
              <w:rPr>
                <w:rFonts w:hint="eastAsia" w:ascii="仿宋_GB2312" w:hAnsi="仿宋_GB2312" w:eastAsia="仿宋_GB2312" w:cs="仿宋_GB2312"/>
                <w:b w:val="0"/>
                <w:bCs w:val="0"/>
                <w:sz w:val="21"/>
                <w:szCs w:val="21"/>
                <w:vertAlign w:val="baseline"/>
                <w:lang w:val="en-US" w:eastAsia="zh-CN"/>
              </w:rPr>
              <w:t>1、项目团队成员中具备CISP证书的，每具备一个得1分。</w:t>
            </w:r>
          </w:p>
          <w:p w14:paraId="2CF21F46">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2、项目团队成员中具备网络工程师证书的，每具备一个得1分。</w:t>
            </w:r>
          </w:p>
          <w:p w14:paraId="16762115">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3、项目团队成员中具备PMP证书的，每具备一个得1分。</w:t>
            </w:r>
          </w:p>
          <w:p w14:paraId="64D24757">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4、项目团队成员中具备信息安全工程师证书的，每具备一个得1分。</w:t>
            </w:r>
            <w:r>
              <w:rPr>
                <w:rFonts w:hint="eastAsia" w:ascii="仿宋_GB2312" w:hAnsi="仿宋_GB2312" w:eastAsia="仿宋_GB2312" w:cs="仿宋_GB2312"/>
                <w:b w:val="0"/>
                <w:bCs w:val="0"/>
                <w:sz w:val="21"/>
                <w:szCs w:val="21"/>
                <w:vertAlign w:val="baseline"/>
                <w:lang w:val="en-US" w:eastAsia="zh-CN"/>
              </w:rPr>
              <w:br w:type="textWrapping"/>
            </w:r>
            <w:r>
              <w:rPr>
                <w:rFonts w:hint="eastAsia" w:ascii="仿宋_GB2312" w:hAnsi="仿宋_GB2312" w:eastAsia="仿宋_GB2312" w:cs="仿宋_GB2312"/>
                <w:b w:val="0"/>
                <w:bCs w:val="0"/>
                <w:sz w:val="21"/>
                <w:szCs w:val="21"/>
                <w:vertAlign w:val="baseline"/>
                <w:lang w:val="en-US" w:eastAsia="zh-CN"/>
              </w:rPr>
              <w:t>提供有效的身份证（正反面）扫描件、有效的相关证书扫描件、由社保管理部门出具的2025年1月1日以来任意1个月在投标人单位（或其分公司、子公司）缴纳的社保证明材料扫描件等，未按要求提供或者提供的内容缺失的不得分。未提供前述要求的身份证或社保证明材料扫描件的，对应人员不予认可。</w:t>
            </w:r>
          </w:p>
        </w:tc>
      </w:tr>
      <w:tr w14:paraId="0C410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72629E8F">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5</w:t>
            </w:r>
          </w:p>
        </w:tc>
        <w:tc>
          <w:tcPr>
            <w:tcW w:w="1068" w:type="dxa"/>
            <w:vAlign w:val="center"/>
          </w:tcPr>
          <w:p w14:paraId="3422176B">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业绩情况</w:t>
            </w:r>
          </w:p>
        </w:tc>
        <w:tc>
          <w:tcPr>
            <w:tcW w:w="928" w:type="dxa"/>
            <w:vAlign w:val="center"/>
          </w:tcPr>
          <w:p w14:paraId="2D0F27AD">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6</w:t>
            </w:r>
          </w:p>
        </w:tc>
        <w:tc>
          <w:tcPr>
            <w:tcW w:w="6184" w:type="dxa"/>
            <w:vAlign w:val="center"/>
          </w:tcPr>
          <w:p w14:paraId="7B2D1201">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投标人2022年1月1日至招标公告发布日，每提供1个“VPN设备”或“零信任设备”项目的业绩得2分，累计最高得6分；</w:t>
            </w:r>
          </w:p>
          <w:p w14:paraId="4D2CE718">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注：</w:t>
            </w:r>
          </w:p>
          <w:p w14:paraId="0E973077">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1）投标人所提供的业绩应是投标人的，而不是其母公司、合作方或技术支持方的。</w:t>
            </w:r>
          </w:p>
          <w:p w14:paraId="02D26580">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2）投标人需提供合同关键页（合同关键页应包括合同封面、显示合同合同内容页和签署页）复印件并加盖公章作为证明材料，业绩以合同签订的时间为准。。</w:t>
            </w:r>
          </w:p>
        </w:tc>
      </w:tr>
      <w:bookmarkEnd w:id="15"/>
    </w:tbl>
    <w:p w14:paraId="374E9457">
      <w:pPr>
        <w:rPr>
          <w:rFonts w:hint="default"/>
          <w:lang w:eastAsia="zh-CN"/>
        </w:rPr>
      </w:pPr>
    </w:p>
    <w:p w14:paraId="1E4E1480">
      <w:pPr>
        <w:pStyle w:val="5"/>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技术评分表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35"/>
      </w:tblGrid>
      <w:tr w14:paraId="6005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495E5A64">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评分项</w:t>
            </w:r>
          </w:p>
        </w:tc>
        <w:tc>
          <w:tcPr>
            <w:tcW w:w="6135" w:type="dxa"/>
            <w:shd w:val="clear" w:color="auto" w:fill="F1F1F1" w:themeFill="background1" w:themeFillShade="F2"/>
            <w:vAlign w:val="center"/>
          </w:tcPr>
          <w:p w14:paraId="29E97806">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权重</w:t>
            </w:r>
          </w:p>
        </w:tc>
      </w:tr>
      <w:tr w14:paraId="442E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4C8A039F">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技术</w:t>
            </w:r>
          </w:p>
        </w:tc>
        <w:tc>
          <w:tcPr>
            <w:tcW w:w="6135" w:type="dxa"/>
            <w:shd w:val="clear" w:color="auto" w:fill="F1F1F1" w:themeFill="background1" w:themeFillShade="F2"/>
            <w:vAlign w:val="center"/>
          </w:tcPr>
          <w:p w14:paraId="7B0CEF18">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szCs w:val="21"/>
                <w:lang w:val="en-US" w:eastAsia="zh-CN"/>
              </w:rPr>
              <w:t>50</w:t>
            </w:r>
          </w:p>
        </w:tc>
      </w:tr>
      <w:tr w14:paraId="092C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14:paraId="717BB4FB">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14:paraId="5002BE44">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14:paraId="24617FD3">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分值</w:t>
            </w:r>
          </w:p>
        </w:tc>
        <w:tc>
          <w:tcPr>
            <w:tcW w:w="6135" w:type="dxa"/>
            <w:shd w:val="clear" w:color="auto" w:fill="F1F1F1" w:themeFill="background1" w:themeFillShade="F2"/>
          </w:tcPr>
          <w:p w14:paraId="67D91A2C">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评分准则</w:t>
            </w:r>
          </w:p>
        </w:tc>
      </w:tr>
      <w:tr w14:paraId="026A2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shd w:val="clear" w:color="auto" w:fill="auto"/>
            <w:vAlign w:val="center"/>
          </w:tcPr>
          <w:p w14:paraId="37674C6C">
            <w:pPr>
              <w:autoSpaceDE w:val="0"/>
              <w:autoSpaceDN w:val="0"/>
              <w:spacing w:before="93" w:beforeLines="30" w:after="93" w:afterLines="30"/>
              <w:jc w:val="center"/>
              <w:rPr>
                <w:rFonts w:ascii="仿宋" w:hAnsi="仿宋" w:eastAsia="仿宋" w:cs="宋体"/>
                <w:bCs/>
                <w:szCs w:val="21"/>
              </w:rPr>
            </w:pPr>
            <w:bookmarkStart w:id="16" w:name="_Hlk164272136"/>
            <w:r>
              <w:rPr>
                <w:rFonts w:ascii="仿宋" w:hAnsi="仿宋" w:eastAsia="仿宋" w:cs="宋体"/>
                <w:bCs/>
                <w:szCs w:val="21"/>
              </w:rPr>
              <w:t>1</w:t>
            </w:r>
          </w:p>
        </w:tc>
        <w:tc>
          <w:tcPr>
            <w:tcW w:w="1134" w:type="dxa"/>
            <w:shd w:val="clear" w:color="auto" w:fill="auto"/>
            <w:vAlign w:val="top"/>
          </w:tcPr>
          <w:p w14:paraId="37EB8AD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default" w:ascii="仿宋" w:hAnsi="仿宋" w:eastAsia="仿宋" w:cs="宋体"/>
                <w:bCs/>
                <w:szCs w:val="21"/>
                <w:lang w:val="en-US" w:eastAsia="zh-CN"/>
              </w:rPr>
            </w:pPr>
            <w:r>
              <w:rPr>
                <w:rFonts w:hint="eastAsia" w:ascii="仿宋_GB2312" w:hAnsi="仿宋_GB2312" w:eastAsia="仿宋_GB2312" w:cs="仿宋_GB2312"/>
                <w:b w:val="0"/>
                <w:bCs w:val="0"/>
                <w:sz w:val="21"/>
                <w:szCs w:val="21"/>
                <w:vertAlign w:val="baseline"/>
                <w:lang w:val="en-US" w:eastAsia="zh-CN"/>
              </w:rPr>
              <w:t>带“▲”技术参数符合性</w:t>
            </w:r>
          </w:p>
        </w:tc>
        <w:tc>
          <w:tcPr>
            <w:tcW w:w="851" w:type="dxa"/>
            <w:shd w:val="clear" w:color="auto" w:fill="auto"/>
            <w:vAlign w:val="top"/>
          </w:tcPr>
          <w:p w14:paraId="35F3D8D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default" w:ascii="仿宋" w:hAnsi="仿宋" w:eastAsia="仿宋" w:cs="宋体"/>
                <w:bCs/>
                <w:szCs w:val="21"/>
                <w:lang w:val="en-US" w:eastAsia="zh-CN"/>
              </w:rPr>
            </w:pPr>
            <w:r>
              <w:rPr>
                <w:rFonts w:hint="eastAsia" w:ascii="仿宋_GB2312" w:hAnsi="仿宋_GB2312" w:eastAsia="仿宋_GB2312" w:cs="仿宋_GB2312"/>
                <w:b w:val="0"/>
                <w:bCs w:val="0"/>
                <w:sz w:val="21"/>
                <w:szCs w:val="21"/>
                <w:vertAlign w:val="baseline"/>
                <w:lang w:val="en-US" w:eastAsia="zh-CN"/>
              </w:rPr>
              <w:t>30</w:t>
            </w:r>
          </w:p>
        </w:tc>
        <w:tc>
          <w:tcPr>
            <w:tcW w:w="6135" w:type="dxa"/>
            <w:shd w:val="clear" w:color="auto" w:fill="auto"/>
            <w:vAlign w:val="center"/>
          </w:tcPr>
          <w:p w14:paraId="36A3FBA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ascii="仿宋" w:hAnsi="仿宋" w:eastAsia="仿宋" w:cs="宋体"/>
                <w:bCs/>
                <w:szCs w:val="21"/>
              </w:rPr>
            </w:pPr>
            <w:r>
              <w:rPr>
                <w:rFonts w:hint="eastAsia" w:ascii="仿宋_GB2312" w:hAnsi="仿宋_GB2312" w:eastAsia="仿宋_GB2312" w:cs="仿宋_GB2312"/>
                <w:b w:val="0"/>
                <w:bCs w:val="0"/>
                <w:sz w:val="21"/>
                <w:szCs w:val="21"/>
                <w:vertAlign w:val="baseline"/>
                <w:lang w:val="en-US" w:eastAsia="zh-CN"/>
              </w:rPr>
              <w:t>“▲”号条款的技术参数响应程度：根据供应商对采购需求书中第二条第三款“（三）设备功能及参数需满足以下要求：”中加注“▲”号（共15项）的条款进行评分：每负偏离一项扣2分；最高扣30分。【注：按照技术参数要求提供证明资料的，则投标文件中须提供对应证明资料。】</w:t>
            </w:r>
          </w:p>
        </w:tc>
      </w:tr>
      <w:tr w14:paraId="4D05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5D989DE">
            <w:pPr>
              <w:spacing w:before="93" w:beforeLines="30" w:after="93" w:afterLines="30"/>
              <w:jc w:val="center"/>
              <w:rPr>
                <w:rFonts w:ascii="仿宋" w:hAnsi="仿宋" w:eastAsia="仿宋" w:cs="宋体"/>
                <w:bCs/>
                <w:szCs w:val="21"/>
              </w:rPr>
            </w:pPr>
            <w:bookmarkStart w:id="17" w:name="_Hlk163650616"/>
            <w:r>
              <w:rPr>
                <w:rFonts w:hint="eastAsia" w:ascii="仿宋" w:hAnsi="仿宋" w:eastAsia="仿宋" w:cs="宋体"/>
                <w:bCs/>
                <w:szCs w:val="21"/>
              </w:rPr>
              <w:t>2</w:t>
            </w:r>
          </w:p>
        </w:tc>
        <w:tc>
          <w:tcPr>
            <w:tcW w:w="1134" w:type="dxa"/>
            <w:vAlign w:val="top"/>
          </w:tcPr>
          <w:p w14:paraId="2441BA6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ascii="仿宋" w:hAnsi="仿宋" w:eastAsia="仿宋" w:cs="宋体"/>
                <w:bCs/>
                <w:szCs w:val="21"/>
              </w:rPr>
            </w:pPr>
            <w:r>
              <w:rPr>
                <w:rFonts w:hint="eastAsia" w:ascii="仿宋_GB2312" w:hAnsi="仿宋_GB2312" w:eastAsia="仿宋_GB2312" w:cs="仿宋_GB2312"/>
                <w:b w:val="0"/>
                <w:bCs w:val="0"/>
                <w:sz w:val="21"/>
                <w:szCs w:val="21"/>
                <w:vertAlign w:val="baseline"/>
                <w:lang w:val="en-US" w:eastAsia="zh-CN"/>
              </w:rPr>
              <w:t xml:space="preserve">设备资质证书 </w:t>
            </w:r>
          </w:p>
        </w:tc>
        <w:tc>
          <w:tcPr>
            <w:tcW w:w="851" w:type="dxa"/>
            <w:vAlign w:val="top"/>
          </w:tcPr>
          <w:p w14:paraId="141365D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default" w:ascii="仿宋" w:hAnsi="仿宋" w:eastAsia="仿宋" w:cs="宋体"/>
                <w:bCs/>
                <w:szCs w:val="21"/>
                <w:lang w:val="en-US" w:eastAsia="zh-CN"/>
              </w:rPr>
            </w:pPr>
            <w:r>
              <w:rPr>
                <w:rFonts w:hint="eastAsia" w:ascii="仿宋_GB2312" w:hAnsi="仿宋_GB2312" w:eastAsia="仿宋_GB2312" w:cs="仿宋_GB2312"/>
                <w:b w:val="0"/>
                <w:bCs w:val="0"/>
                <w:sz w:val="21"/>
                <w:szCs w:val="21"/>
                <w:vertAlign w:val="baseline"/>
                <w:lang w:val="en-US" w:eastAsia="zh-CN"/>
              </w:rPr>
              <w:t>10</w:t>
            </w:r>
          </w:p>
        </w:tc>
        <w:tc>
          <w:tcPr>
            <w:tcW w:w="6135" w:type="dxa"/>
            <w:vAlign w:val="top"/>
          </w:tcPr>
          <w:p w14:paraId="357E7757">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1、应答人所投VPN设备应具备商用密码检测认证中心出具的含有“访问控制系统”或“SDP”字样，符合GM/T 0023标准或GM/T 0025标准要求，以及符合GM/T 0028《密码模块安全技术要求》第二级的《商用密码产品认证证书》，得4分，其他不得分；</w:t>
            </w:r>
          </w:p>
          <w:p w14:paraId="445ED13A">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2、为证明所投产品的自身安全性，应具备国家计算机网络应急技术处理协调中心出具的安全众测无漏洞证明文件，得4分，其他不得分。</w:t>
            </w:r>
          </w:p>
          <w:p w14:paraId="43101ECA">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ascii="仿宋" w:hAnsi="仿宋" w:eastAsia="仿宋" w:cs="宋体"/>
                <w:bCs/>
                <w:szCs w:val="21"/>
              </w:rPr>
            </w:pPr>
            <w:r>
              <w:rPr>
                <w:rFonts w:hint="eastAsia" w:ascii="仿宋_GB2312" w:hAnsi="仿宋_GB2312" w:eastAsia="仿宋_GB2312" w:cs="仿宋_GB2312"/>
                <w:b w:val="0"/>
                <w:bCs w:val="0"/>
                <w:sz w:val="21"/>
                <w:szCs w:val="21"/>
                <w:vertAlign w:val="baseline"/>
                <w:lang w:val="en-US" w:eastAsia="zh-CN"/>
              </w:rPr>
              <w:t>3、为保障产品接入互联网的安全合规性，所投零信任产品型号应提供由工信部颁发的《电信设备进网许可证》，得2分，其他不得分。</w:t>
            </w:r>
          </w:p>
        </w:tc>
      </w:tr>
      <w:tr w14:paraId="5C1D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4CF9158">
            <w:pPr>
              <w:spacing w:before="93" w:beforeLines="30" w:after="93" w:afterLines="30"/>
              <w:jc w:val="center"/>
              <w:rPr>
                <w:rFonts w:ascii="仿宋" w:hAnsi="仿宋" w:eastAsia="仿宋" w:cs="宋体"/>
                <w:bCs/>
                <w:szCs w:val="21"/>
              </w:rPr>
            </w:pPr>
            <w:r>
              <w:rPr>
                <w:rFonts w:hint="eastAsia" w:ascii="仿宋" w:hAnsi="仿宋" w:eastAsia="仿宋" w:cs="宋体"/>
                <w:bCs/>
                <w:szCs w:val="21"/>
              </w:rPr>
              <w:t>3</w:t>
            </w:r>
          </w:p>
        </w:tc>
        <w:tc>
          <w:tcPr>
            <w:tcW w:w="1134" w:type="dxa"/>
            <w:vAlign w:val="top"/>
          </w:tcPr>
          <w:p w14:paraId="573C43D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宋体"/>
                <w:bCs/>
                <w:szCs w:val="21"/>
                <w:lang w:val="en-US" w:eastAsia="zh-CN"/>
              </w:rPr>
            </w:pPr>
            <w:r>
              <w:rPr>
                <w:rFonts w:hint="eastAsia" w:ascii="仿宋_GB2312" w:hAnsi="仿宋_GB2312" w:eastAsia="仿宋_GB2312" w:cs="仿宋_GB2312"/>
                <w:b w:val="0"/>
                <w:bCs w:val="0"/>
                <w:sz w:val="21"/>
                <w:szCs w:val="21"/>
                <w:vertAlign w:val="baseline"/>
                <w:lang w:val="en-US" w:eastAsia="zh-CN"/>
              </w:rPr>
              <w:t xml:space="preserve">实施部署方案 </w:t>
            </w:r>
          </w:p>
        </w:tc>
        <w:tc>
          <w:tcPr>
            <w:tcW w:w="851" w:type="dxa"/>
            <w:vAlign w:val="top"/>
          </w:tcPr>
          <w:p w14:paraId="2B1A376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default" w:ascii="仿宋" w:hAnsi="仿宋" w:eastAsia="仿宋" w:cs="宋体"/>
                <w:bCs/>
                <w:szCs w:val="21"/>
                <w:lang w:val="en-US" w:eastAsia="zh-CN"/>
              </w:rPr>
            </w:pPr>
            <w:r>
              <w:rPr>
                <w:rFonts w:hint="eastAsia" w:ascii="仿宋_GB2312" w:hAnsi="仿宋_GB2312" w:eastAsia="仿宋_GB2312" w:cs="仿宋_GB2312"/>
                <w:b w:val="0"/>
                <w:bCs w:val="0"/>
                <w:sz w:val="21"/>
                <w:szCs w:val="21"/>
                <w:vertAlign w:val="baseline"/>
                <w:lang w:val="en-US" w:eastAsia="zh-CN"/>
              </w:rPr>
              <w:t>5</w:t>
            </w:r>
          </w:p>
        </w:tc>
        <w:tc>
          <w:tcPr>
            <w:tcW w:w="6135" w:type="dxa"/>
            <w:vAlign w:val="center"/>
          </w:tcPr>
          <w:p w14:paraId="18D82AD7">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考查应答人的实施部署方案，包括实施部署计划、人员安排、系统调试、试运行及验收方案等，本项满分5分：</w:t>
            </w:r>
          </w:p>
          <w:p w14:paraId="3621BDFF">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1、实施部署方案详细、周密、考虑全面，可行性较高，得5分；</w:t>
            </w:r>
          </w:p>
          <w:p w14:paraId="4182ACB2">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2、实施部署方案一般、考虑一般，可行性一般，得3-4分；</w:t>
            </w:r>
          </w:p>
          <w:p w14:paraId="40DC8453">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3、实施部署方案内容不完善、考虑不周，可行性差，得1-2分。</w:t>
            </w:r>
          </w:p>
          <w:p w14:paraId="40EFFCE4">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4、其他或无响应，得0分。</w:t>
            </w:r>
          </w:p>
          <w:p w14:paraId="27E045E2">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ascii="仿宋" w:hAnsi="仿宋" w:eastAsia="仿宋" w:cs="宋体"/>
                <w:bCs/>
                <w:szCs w:val="21"/>
              </w:rPr>
            </w:pPr>
            <w:r>
              <w:rPr>
                <w:rFonts w:hint="eastAsia" w:ascii="仿宋_GB2312" w:hAnsi="仿宋_GB2312" w:eastAsia="仿宋_GB2312" w:cs="仿宋_GB2312"/>
                <w:b w:val="0"/>
                <w:bCs w:val="0"/>
                <w:sz w:val="21"/>
                <w:szCs w:val="21"/>
                <w:vertAlign w:val="baseline"/>
                <w:lang w:val="en-US" w:eastAsia="zh-CN"/>
              </w:rPr>
              <w:t>注：应答人需于应答文件中提供实施部署方案。</w:t>
            </w:r>
          </w:p>
        </w:tc>
      </w:tr>
      <w:tr w14:paraId="7DC5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396FDA62">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4</w:t>
            </w:r>
          </w:p>
        </w:tc>
        <w:tc>
          <w:tcPr>
            <w:tcW w:w="1134" w:type="dxa"/>
            <w:vAlign w:val="top"/>
          </w:tcPr>
          <w:p w14:paraId="4E376DF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宋体"/>
                <w:bCs/>
                <w:szCs w:val="21"/>
              </w:rPr>
            </w:pPr>
            <w:r>
              <w:rPr>
                <w:rFonts w:hint="eastAsia" w:ascii="仿宋_GB2312" w:hAnsi="仿宋_GB2312" w:eastAsia="仿宋_GB2312" w:cs="仿宋_GB2312"/>
                <w:b w:val="0"/>
                <w:bCs w:val="0"/>
                <w:sz w:val="21"/>
                <w:szCs w:val="21"/>
                <w:vertAlign w:val="baseline"/>
                <w:lang w:val="en-US" w:eastAsia="zh-CN"/>
              </w:rPr>
              <w:t>售后及质量保障方案</w:t>
            </w:r>
          </w:p>
        </w:tc>
        <w:tc>
          <w:tcPr>
            <w:tcW w:w="851" w:type="dxa"/>
            <w:vAlign w:val="top"/>
          </w:tcPr>
          <w:p w14:paraId="0FA4E48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宋体"/>
                <w:bCs/>
                <w:szCs w:val="21"/>
                <w:lang w:val="en-US" w:eastAsia="zh-CN"/>
              </w:rPr>
            </w:pPr>
            <w:r>
              <w:rPr>
                <w:rFonts w:hint="eastAsia" w:ascii="仿宋_GB2312" w:hAnsi="仿宋_GB2312" w:eastAsia="仿宋_GB2312" w:cs="仿宋_GB2312"/>
                <w:b w:val="0"/>
                <w:bCs w:val="0"/>
                <w:sz w:val="21"/>
                <w:szCs w:val="21"/>
                <w:vertAlign w:val="baseline"/>
                <w:lang w:val="en-US" w:eastAsia="zh-CN"/>
              </w:rPr>
              <w:t>5</w:t>
            </w:r>
          </w:p>
        </w:tc>
        <w:tc>
          <w:tcPr>
            <w:tcW w:w="6135" w:type="dxa"/>
            <w:vAlign w:val="center"/>
          </w:tcPr>
          <w:p w14:paraId="7D407493">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考察应答人对本项目的项目质量保障方案的情况，包括服务响应、故障处理、巡检计划、软硬件升级、系统培训安排等，横向比较:</w:t>
            </w:r>
          </w:p>
          <w:p w14:paraId="47CE6DFF">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 xml:space="preserve">1、售后服务方案全面、具体、合理， 满足且优于采购需求，得5分； </w:t>
            </w:r>
          </w:p>
          <w:p w14:paraId="45129CA3">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2、售后服务方案较全面、具体、合理，完全满足采购需求，得3-4分；</w:t>
            </w:r>
          </w:p>
          <w:p w14:paraId="6F818925">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3、售后服务方案不合理，不能完全满足采购需求，得1-2分；</w:t>
            </w:r>
          </w:p>
          <w:p w14:paraId="3CFF71FE">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4、其他或无响应，得0分。</w:t>
            </w:r>
          </w:p>
          <w:p w14:paraId="3BCE9DC1">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0"/>
              <w:rPr>
                <w:rFonts w:hint="eastAsia" w:ascii="仿宋" w:hAnsi="仿宋" w:eastAsia="仿宋" w:cs="宋体"/>
                <w:bCs/>
                <w:szCs w:val="21"/>
              </w:rPr>
            </w:pPr>
            <w:r>
              <w:rPr>
                <w:rFonts w:hint="eastAsia" w:ascii="仿宋_GB2312" w:hAnsi="仿宋_GB2312" w:eastAsia="仿宋_GB2312" w:cs="仿宋_GB2312"/>
                <w:b w:val="0"/>
                <w:bCs w:val="0"/>
                <w:sz w:val="21"/>
                <w:szCs w:val="21"/>
                <w:vertAlign w:val="baseline"/>
                <w:lang w:val="en-US" w:eastAsia="zh-CN"/>
              </w:rPr>
              <w:t>注：应答人需于应答文件中提供售后服务方案。</w:t>
            </w:r>
          </w:p>
        </w:tc>
      </w:tr>
      <w:bookmarkEnd w:id="16"/>
      <w:bookmarkEnd w:id="17"/>
    </w:tbl>
    <w:p w14:paraId="6E8D9086">
      <w:pPr>
        <w:pStyle w:val="5"/>
        <w:spacing w:before="91" w:line="223" w:lineRule="auto"/>
        <w:outlineLvl w:val="1"/>
        <w:rPr>
          <w:rFonts w:hint="default" w:ascii="Times New Roman" w:hAnsi="Times New Roman" w:eastAsia="仿宋_GB2312" w:cs="Times New Roman"/>
          <w:sz w:val="28"/>
          <w:szCs w:val="28"/>
        </w:rPr>
      </w:pP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4</w:t>
      </w: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价格评分表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14:paraId="5F3A8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4C569E09">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评分项</w:t>
            </w:r>
          </w:p>
        </w:tc>
        <w:tc>
          <w:tcPr>
            <w:tcW w:w="6146" w:type="dxa"/>
            <w:shd w:val="clear" w:color="auto" w:fill="F1F1F1" w:themeFill="background1" w:themeFillShade="F2"/>
            <w:vAlign w:val="center"/>
          </w:tcPr>
          <w:p w14:paraId="08EC2EA0">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14:paraId="3397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78FDF76D">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w:t>
            </w:r>
          </w:p>
        </w:tc>
        <w:tc>
          <w:tcPr>
            <w:tcW w:w="6146" w:type="dxa"/>
            <w:shd w:val="clear" w:color="auto" w:fill="F1F1F1" w:themeFill="background1" w:themeFillShade="F2"/>
            <w:vAlign w:val="center"/>
          </w:tcPr>
          <w:p w14:paraId="768D22BC">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20</w:t>
            </w:r>
          </w:p>
        </w:tc>
      </w:tr>
      <w:tr w14:paraId="399F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14:paraId="639471A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14:paraId="0D3046AD">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14:paraId="536F36CC">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46" w:type="dxa"/>
            <w:shd w:val="clear" w:color="auto" w:fill="F1F1F1" w:themeFill="background1" w:themeFillShade="F2"/>
          </w:tcPr>
          <w:p w14:paraId="6793C968">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14:paraId="28975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D600EBC">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134" w:type="dxa"/>
            <w:vAlign w:val="center"/>
          </w:tcPr>
          <w:p w14:paraId="2563A76E">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价格分</w:t>
            </w:r>
          </w:p>
        </w:tc>
        <w:tc>
          <w:tcPr>
            <w:tcW w:w="851" w:type="dxa"/>
            <w:vAlign w:val="center"/>
          </w:tcPr>
          <w:p w14:paraId="560BEE7C">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20</w:t>
            </w:r>
          </w:p>
        </w:tc>
        <w:tc>
          <w:tcPr>
            <w:tcW w:w="6146" w:type="dxa"/>
          </w:tcPr>
          <w:p w14:paraId="32B7EE6A">
            <w:pPr>
              <w:spacing w:before="93" w:beforeLines="30" w:after="93" w:afterLines="30"/>
              <w:rPr>
                <w:rFonts w:hint="eastAsia" w:ascii="仿宋" w:hAnsi="仿宋" w:eastAsia="仿宋" w:cs="宋体"/>
                <w:bCs/>
                <w:szCs w:val="21"/>
              </w:rPr>
            </w:pPr>
            <w:r>
              <w:rPr>
                <w:rFonts w:hint="eastAsia" w:ascii="仿宋" w:hAnsi="仿宋" w:eastAsia="仿宋" w:cs="宋体"/>
                <w:bCs/>
                <w:szCs w:val="21"/>
              </w:rPr>
              <w:t>本项目价格分统一采用</w:t>
            </w:r>
            <w:r>
              <w:rPr>
                <w:rFonts w:hint="eastAsia" w:ascii="仿宋" w:hAnsi="仿宋" w:eastAsia="仿宋" w:cs="宋体"/>
                <w:bCs/>
                <w:szCs w:val="21"/>
                <w:u w:val="single"/>
              </w:rPr>
              <w:t>低价优先法</w:t>
            </w:r>
            <w:r>
              <w:rPr>
                <w:rFonts w:hint="eastAsia" w:ascii="仿宋" w:hAnsi="仿宋" w:eastAsia="仿宋" w:cs="宋体"/>
                <w:bCs/>
                <w:szCs w:val="21"/>
              </w:rPr>
              <w:t>计算，即满足</w:t>
            </w:r>
            <w:r>
              <w:rPr>
                <w:rFonts w:hint="eastAsia" w:ascii="仿宋" w:hAnsi="仿宋" w:eastAsia="仿宋" w:cs="宋体"/>
                <w:bCs/>
                <w:szCs w:val="21"/>
                <w:lang w:val="en-US" w:eastAsia="zh-CN"/>
              </w:rPr>
              <w:t>采购</w:t>
            </w:r>
            <w:r>
              <w:rPr>
                <w:rFonts w:hint="eastAsia" w:ascii="仿宋" w:hAnsi="仿宋" w:eastAsia="仿宋" w:cs="宋体"/>
                <w:bCs/>
                <w:szCs w:val="21"/>
              </w:rPr>
              <w:t>文件要求且最后</w:t>
            </w:r>
            <w:r>
              <w:rPr>
                <w:rFonts w:hint="eastAsia" w:ascii="仿宋" w:hAnsi="仿宋" w:eastAsia="仿宋" w:cs="宋体"/>
                <w:bCs/>
                <w:szCs w:val="21"/>
                <w:lang w:val="en-US" w:eastAsia="zh-CN"/>
              </w:rPr>
              <w:t>不</w:t>
            </w:r>
            <w:r>
              <w:rPr>
                <w:rFonts w:hint="eastAsia" w:ascii="仿宋" w:hAnsi="仿宋" w:eastAsia="仿宋" w:cs="宋体"/>
                <w:bCs/>
                <w:szCs w:val="21"/>
              </w:rPr>
              <w:t>含税总价报价为最低的投标人报价作为基准价，其价格得分为满分，满分为20分。具体公式如下：</w:t>
            </w:r>
          </w:p>
          <w:p w14:paraId="206DDCB0">
            <w:pPr>
              <w:spacing w:before="93" w:beforeLines="30" w:after="93" w:afterLines="30"/>
              <w:rPr>
                <w:rFonts w:hint="eastAsia" w:ascii="仿宋" w:hAnsi="仿宋" w:eastAsia="仿宋" w:cs="宋体"/>
                <w:bCs/>
                <w:szCs w:val="21"/>
              </w:rPr>
            </w:pPr>
            <w:r>
              <w:rPr>
                <w:rFonts w:hint="eastAsia" w:ascii="仿宋" w:hAnsi="仿宋" w:eastAsia="仿宋" w:cs="宋体"/>
                <w:bCs/>
                <w:szCs w:val="21"/>
              </w:rPr>
              <w:t>报价得分=（基准价/有效评审价）×价格分分值。</w:t>
            </w:r>
          </w:p>
          <w:p w14:paraId="6E627A7E">
            <w:pPr>
              <w:spacing w:before="93" w:beforeLines="30" w:after="93" w:afterLines="30"/>
              <w:rPr>
                <w:rFonts w:hint="eastAsia" w:ascii="仿宋" w:hAnsi="仿宋" w:eastAsia="仿宋" w:cs="宋体"/>
                <w:bCs/>
                <w:szCs w:val="21"/>
              </w:rPr>
            </w:pPr>
            <w:r>
              <w:rPr>
                <w:rFonts w:hint="eastAsia" w:ascii="仿宋" w:hAnsi="仿宋" w:eastAsia="仿宋" w:cs="宋体"/>
                <w:bCs/>
                <w:szCs w:val="21"/>
              </w:rPr>
              <w:t>说明：本项目有效评审价为通过初步评审的</w:t>
            </w:r>
            <w:r>
              <w:rPr>
                <w:rFonts w:hint="eastAsia" w:ascii="仿宋" w:hAnsi="仿宋" w:eastAsia="仿宋" w:cs="宋体"/>
                <w:bCs/>
                <w:szCs w:val="21"/>
                <w:lang w:val="en-US" w:eastAsia="zh-CN"/>
              </w:rPr>
              <w:t>报价供应商</w:t>
            </w:r>
            <w:r>
              <w:rPr>
                <w:rFonts w:hint="eastAsia" w:ascii="仿宋" w:hAnsi="仿宋" w:eastAsia="仿宋" w:cs="宋体"/>
                <w:bCs/>
                <w:szCs w:val="21"/>
              </w:rPr>
              <w:t>项目总价（</w:t>
            </w:r>
            <w:r>
              <w:rPr>
                <w:rFonts w:hint="eastAsia" w:ascii="仿宋" w:hAnsi="仿宋" w:eastAsia="仿宋" w:cs="宋体"/>
                <w:bCs/>
                <w:szCs w:val="21"/>
                <w:lang w:val="en-US" w:eastAsia="zh-CN"/>
              </w:rPr>
              <w:t>不增值</w:t>
            </w:r>
            <w:r>
              <w:rPr>
                <w:rFonts w:hint="eastAsia" w:ascii="仿宋" w:hAnsi="仿宋" w:eastAsia="仿宋" w:cs="宋体"/>
                <w:bCs/>
                <w:szCs w:val="21"/>
              </w:rPr>
              <w:t>含税）。如价格有算术性修正，请以修正后的价格为准。</w:t>
            </w:r>
          </w:p>
          <w:p w14:paraId="72834D1A">
            <w:pPr>
              <w:spacing w:before="93" w:beforeLines="30" w:after="93" w:afterLines="30"/>
              <w:rPr>
                <w:rFonts w:hint="eastAsia" w:ascii="仿宋" w:hAnsi="仿宋" w:eastAsia="仿宋" w:cs="宋体"/>
                <w:bCs/>
                <w:szCs w:val="21"/>
              </w:rPr>
            </w:pPr>
            <w:r>
              <w:rPr>
                <w:rFonts w:hint="eastAsia" w:ascii="仿宋" w:hAnsi="仿宋" w:eastAsia="仿宋" w:cs="宋体"/>
                <w:bCs/>
                <w:szCs w:val="21"/>
              </w:rPr>
              <w:t>备注：价格得分四舍五入，小数点后保留两位有效数。</w:t>
            </w:r>
          </w:p>
        </w:tc>
      </w:tr>
    </w:tbl>
    <w:p w14:paraId="16BFFC82">
      <w:pPr>
        <w:pStyle w:val="3"/>
        <w:rPr>
          <w:rFonts w:hint="eastAsia" w:ascii="宋体" w:hAnsi="宋体" w:eastAsia="宋体" w:cs="宋体"/>
          <w:highlight w:val="none"/>
        </w:rPr>
      </w:pPr>
      <w:r>
        <w:rPr>
          <w:rFonts w:hint="eastAsia" w:ascii="宋体" w:hAnsi="宋体" w:eastAsia="宋体" w:cs="宋体"/>
          <w:highlight w:val="none"/>
        </w:rPr>
        <w:t>评审程序</w:t>
      </w:r>
      <w:bookmarkEnd w:id="8"/>
      <w:bookmarkEnd w:id="9"/>
      <w:bookmarkEnd w:id="10"/>
      <w:bookmarkEnd w:id="11"/>
      <w:bookmarkEnd w:id="12"/>
      <w:bookmarkEnd w:id="13"/>
      <w:bookmarkEnd w:id="14"/>
    </w:p>
    <w:p w14:paraId="33431001">
      <w:pP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3.1.1初步评审</w:t>
      </w:r>
    </w:p>
    <w:p w14:paraId="6C3E1F58">
      <w:pPr>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sz w:val="24"/>
          <w:szCs w:val="24"/>
          <w:highlight w:val="none"/>
        </w:rPr>
        <w:t xml:space="preserve">3.3.1.1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根据本章评审办法前附表规定的标准对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进行初步评审。对全部</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进行初步评审，检查</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是否完全满足采购文件要求。初步评审分为</w:t>
      </w:r>
      <w:r>
        <w:rPr>
          <w:rFonts w:hint="eastAsia" w:ascii="仿宋_GB2312" w:hAnsi="仿宋_GB2312" w:eastAsia="仿宋_GB2312" w:cs="仿宋_GB2312"/>
          <w:kern w:val="0"/>
          <w:sz w:val="24"/>
          <w:szCs w:val="24"/>
          <w:highlight w:val="none"/>
        </w:rPr>
        <w:t>形式及响应性评审</w:t>
      </w:r>
      <w:r>
        <w:rPr>
          <w:rFonts w:hint="eastAsia" w:ascii="仿宋_GB2312" w:hAnsi="仿宋_GB2312" w:eastAsia="仿宋_GB2312" w:cs="仿宋_GB2312"/>
          <w:sz w:val="24"/>
          <w:szCs w:val="24"/>
          <w:highlight w:val="none"/>
        </w:rPr>
        <w:t>和资格</w:t>
      </w:r>
      <w:r>
        <w:rPr>
          <w:rFonts w:hint="eastAsia" w:ascii="仿宋_GB2312" w:hAnsi="仿宋_GB2312" w:eastAsia="仿宋_GB2312" w:cs="仿宋_GB2312"/>
          <w:sz w:val="24"/>
          <w:szCs w:val="24"/>
          <w:highlight w:val="none"/>
          <w:lang w:val="en-US" w:eastAsia="zh-CN"/>
        </w:rPr>
        <w:t>评审</w:t>
      </w:r>
      <w:r>
        <w:rPr>
          <w:rFonts w:hint="eastAsia" w:ascii="仿宋_GB2312" w:hAnsi="仿宋_GB2312" w:eastAsia="仿宋_GB2312" w:cs="仿宋_GB2312"/>
          <w:sz w:val="24"/>
          <w:szCs w:val="24"/>
          <w:highlight w:val="none"/>
        </w:rPr>
        <w:t>。初步评审中有一项不符合评审标准的，将做否决应答处理。</w:t>
      </w:r>
    </w:p>
    <w:p w14:paraId="14C46C5F">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3.3.1.2</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有以下情形之一的，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46AEC3F2">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不按照</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要求澄清、说明或者补正；</w:t>
      </w:r>
    </w:p>
    <w:p w14:paraId="7500BFD9">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允许联合体应答的，应答联合体没有递交共同应答协议；</w:t>
      </w:r>
    </w:p>
    <w:p w14:paraId="737F9C52">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不符合国家或者采购文件规定的资格条件；</w:t>
      </w:r>
    </w:p>
    <w:p w14:paraId="3B873BDF">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同一</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递交两个以上不同的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或者应答报价，但采购文件要求递交备选应答的除外；</w:t>
      </w:r>
    </w:p>
    <w:p w14:paraId="65C4088D">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应答报价低于成本或者高于采购文件设定的最高应答限价；</w:t>
      </w:r>
    </w:p>
    <w:p w14:paraId="439DE62D">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没有对采购文件的实质性要求和条件做出响应；</w:t>
      </w:r>
    </w:p>
    <w:p w14:paraId="4BE33D37">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有串通应答、弄虚作假、行贿等违法行为；</w:t>
      </w:r>
    </w:p>
    <w:p w14:paraId="27B4A63B">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以他人名义应答；</w:t>
      </w:r>
    </w:p>
    <w:p w14:paraId="544F93B3">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没有按照采购文件要求提供应答担保或者所提供的应答担保有瑕疵；</w:t>
      </w:r>
    </w:p>
    <w:p w14:paraId="2A000103">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载明的采购项目完成期限超过采购文件规定的期限；</w:t>
      </w:r>
    </w:p>
    <w:p w14:paraId="106C598B">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明显不符合技术规格、技术标准的要求；</w:t>
      </w:r>
    </w:p>
    <w:p w14:paraId="33218659">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载明的货物包装方式、检验标准和方法等不符合采购文件的要求；</w:t>
      </w:r>
    </w:p>
    <w:p w14:paraId="1E0E4F2B">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附有采购人不能接受的条件；</w:t>
      </w:r>
    </w:p>
    <w:p w14:paraId="2B263CB0">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不符合采购文件中规定的其他实质性要求。</w:t>
      </w:r>
    </w:p>
    <w:p w14:paraId="3117ED64">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3.3.1.3  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收到低于成本价应答的书面质疑材料、发现</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的综合报价明显低于其他应答报价或者设有标底时明显低于标底，认为应答报价可能低于其个别成本的，应当书面要求该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做出书面说明并提供相关证明材料。</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不能合理说明或者不能提供相应证明材料的，由</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认定该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以低于成本报价应答，</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19B3A995">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3.3.1.4  应答报价有算术错误的，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按照以下原则对应答报价进行修正，修正的价格经</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书面确认后具有约束力。报价不一致的处理原则：</w:t>
      </w:r>
    </w:p>
    <w:p w14:paraId="24AED6B3">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1）当报价一览表报价信息与分项报价表报价信息不一致时，</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将以分项报价表中的单价报价信息为准，修正其他报价信息。</w:t>
      </w:r>
    </w:p>
    <w:p w14:paraId="5A3B25D1">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总价金额与按单价汇总金额不一致的，以单价金额计算结果为准；但单价金额小数点或者百分比有明显错位的，以总价为准，并修改单价。</w:t>
      </w:r>
    </w:p>
    <w:p w14:paraId="12BEAA5B">
      <w:pPr>
        <w:pStyle w:val="29"/>
        <w:spacing w:line="240" w:lineRule="auto"/>
        <w:ind w:firstLine="42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sz w:val="24"/>
          <w:szCs w:val="24"/>
          <w:highlight w:val="none"/>
        </w:rPr>
        <w:t>如果</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不接受对其错误的更正，其应答无效。</w:t>
      </w:r>
    </w:p>
    <w:p w14:paraId="71C50F4A">
      <w:pPr>
        <w:pStyle w:val="29"/>
        <w:spacing w:line="240" w:lineRule="auto"/>
        <w:ind w:firstLine="0" w:firstLineChars="0"/>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3.3.2详细评审</w:t>
      </w:r>
    </w:p>
    <w:p w14:paraId="556EBA64">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按照本章</w:t>
      </w:r>
      <w:r>
        <w:rPr>
          <w:rFonts w:hint="eastAsia" w:ascii="仿宋_GB2312" w:hAnsi="仿宋_GB2312" w:eastAsia="仿宋_GB2312" w:cs="仿宋_GB2312"/>
          <w:b/>
          <w:bCs/>
          <w:sz w:val="24"/>
          <w:szCs w:val="24"/>
          <w:highlight w:val="none"/>
          <w:lang w:val="en-US" w:eastAsia="zh-CN"/>
        </w:rPr>
        <w:t>前附的评分标准</w:t>
      </w:r>
      <w:r>
        <w:rPr>
          <w:rFonts w:hint="eastAsia" w:ascii="仿宋_GB2312" w:hAnsi="仿宋_GB2312" w:eastAsia="仿宋_GB2312" w:cs="仿宋_GB2312"/>
          <w:sz w:val="24"/>
          <w:szCs w:val="24"/>
          <w:highlight w:val="none"/>
        </w:rPr>
        <w:t>进行</w:t>
      </w:r>
      <w:r>
        <w:rPr>
          <w:rFonts w:hint="eastAsia" w:ascii="仿宋_GB2312" w:hAnsi="仿宋_GB2312" w:eastAsia="仿宋_GB2312" w:cs="仿宋_GB2312"/>
          <w:sz w:val="24"/>
          <w:szCs w:val="24"/>
          <w:highlight w:val="none"/>
          <w:lang w:val="en-US" w:eastAsia="zh-CN"/>
        </w:rPr>
        <w:t>打分</w:t>
      </w:r>
      <w:r>
        <w:rPr>
          <w:rFonts w:hint="eastAsia" w:ascii="仿宋_GB2312" w:hAnsi="仿宋_GB2312" w:eastAsia="仿宋_GB2312" w:cs="仿宋_GB2312"/>
          <w:sz w:val="24"/>
          <w:szCs w:val="24"/>
          <w:highlight w:val="none"/>
        </w:rPr>
        <w:t>。</w:t>
      </w:r>
    </w:p>
    <w:p w14:paraId="4A1FF7E5">
      <w:pPr>
        <w:pStyle w:val="29"/>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3.3.3</w:t>
      </w:r>
      <w:r>
        <w:rPr>
          <w:rFonts w:hint="eastAsia" w:ascii="仿宋_GB2312" w:hAnsi="仿宋_GB2312" w:eastAsia="仿宋_GB2312" w:cs="仿宋_GB2312"/>
          <w:b/>
          <w:sz w:val="24"/>
          <w:szCs w:val="24"/>
          <w:highlight w:val="none"/>
          <w:lang w:eastAsia="zh-CN"/>
        </w:rPr>
        <w:t>响应文件</w:t>
      </w:r>
      <w:r>
        <w:rPr>
          <w:rFonts w:hint="eastAsia" w:ascii="仿宋_GB2312" w:hAnsi="仿宋_GB2312" w:eastAsia="仿宋_GB2312" w:cs="仿宋_GB2312"/>
          <w:b/>
          <w:sz w:val="24"/>
          <w:szCs w:val="24"/>
          <w:highlight w:val="none"/>
        </w:rPr>
        <w:t>的澄清</w:t>
      </w:r>
    </w:p>
    <w:p w14:paraId="36B134CC">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3.3.3.1  在评审过程中，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应当以书面形式要求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对所递交的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中不明确的内容进行书面澄清、说明或者对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中的细微偏差进行补正。</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不接受</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主动提出的澄清、说明或者补正。</w:t>
      </w:r>
    </w:p>
    <w:p w14:paraId="391034ED">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3.3.3.2  细微偏差：是指</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在实质上响应采购文件要求，但个别地方存在漏项或者提供了不完整的技术信息和数据等情况，并且补正这些遗漏或者不完整不会对其他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造成不公平的结果。细微偏差不影响</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的有效性。</w:t>
      </w:r>
    </w:p>
    <w:p w14:paraId="67055B47">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3.3.3.3  澄清、说明和补正不得改变</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的实质性内容（算术性错误修正的除外）。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的书面澄清、说明和补正属于</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的组成部分。</w:t>
      </w:r>
    </w:p>
    <w:p w14:paraId="18DC4018">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3.3.3.4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对</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递交的澄清、说明或者补正有疑问的，可以要求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进一步澄清、说明或者补正，直至满足</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的要求。</w:t>
      </w:r>
    </w:p>
    <w:p w14:paraId="1EFF26FA">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3.3.3.5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必要时可以要求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递交有关证明和证件的原件，以便核验。</w:t>
      </w:r>
      <w:bookmarkStart w:id="18" w:name="_Toc474148041"/>
      <w:bookmarkStart w:id="19" w:name="_Toc478565722"/>
      <w:bookmarkStart w:id="20" w:name="_Toc478566443"/>
      <w:bookmarkStart w:id="21" w:name="_Toc478566277"/>
      <w:bookmarkStart w:id="22" w:name="_Toc478566085"/>
    </w:p>
    <w:p w14:paraId="599CA826">
      <w:pPr>
        <w:pStyle w:val="29"/>
        <w:ind w:firstLine="0" w:firstLineChars="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3.3.4成交候选人推荐原则</w:t>
      </w:r>
      <w:bookmarkEnd w:id="18"/>
      <w:bookmarkEnd w:id="19"/>
      <w:bookmarkEnd w:id="20"/>
      <w:bookmarkEnd w:id="21"/>
      <w:bookmarkEnd w:id="22"/>
    </w:p>
    <w:p w14:paraId="6841B07D">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成交候选人推荐原则见评审办法前附表。</w:t>
      </w:r>
    </w:p>
    <w:p w14:paraId="7957405C">
      <w:pPr>
        <w:pStyle w:val="29"/>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3.3.5评审结果</w:t>
      </w:r>
    </w:p>
    <w:p w14:paraId="71053A6E">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3.3.5.1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完成评审后，应当</w:t>
      </w:r>
      <w:r>
        <w:rPr>
          <w:rFonts w:hint="eastAsia" w:ascii="仿宋_GB2312" w:hAnsi="仿宋_GB2312" w:eastAsia="仿宋_GB2312" w:cs="仿宋_GB2312"/>
          <w:sz w:val="24"/>
          <w:szCs w:val="24"/>
          <w:highlight w:val="none"/>
          <w:lang w:val="en-US" w:eastAsia="zh-CN"/>
        </w:rPr>
        <w:t>形成统一、完整的</w:t>
      </w:r>
      <w:r>
        <w:rPr>
          <w:rFonts w:hint="eastAsia" w:ascii="仿宋_GB2312" w:hAnsi="仿宋_GB2312" w:eastAsia="仿宋_GB2312" w:cs="仿宋_GB2312"/>
          <w:sz w:val="24"/>
          <w:szCs w:val="24"/>
          <w:highlight w:val="none"/>
        </w:rPr>
        <w:t>书面评审报告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w:t>
      </w:r>
    </w:p>
    <w:p w14:paraId="1A4A9FBA">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3.3.5.2  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应当包括下列内容：</w:t>
      </w:r>
    </w:p>
    <w:p w14:paraId="634ECF94">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（1）项目简介；</w:t>
      </w:r>
    </w:p>
    <w:p w14:paraId="43D9F577">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（2）采购过程简介；</w:t>
      </w:r>
    </w:p>
    <w:p w14:paraId="4A28BA56">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项目小组初步评审情况说明（包含</w:t>
      </w:r>
      <w:r>
        <w:rPr>
          <w:rFonts w:hint="eastAsia" w:ascii="仿宋_GB2312" w:hAnsi="仿宋_GB2312" w:eastAsia="仿宋_GB2312" w:cs="仿宋_GB2312"/>
          <w:sz w:val="24"/>
          <w:szCs w:val="24"/>
          <w:highlight w:val="none"/>
        </w:rPr>
        <w:t>否决应答的情况说明</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w:t>
      </w:r>
    </w:p>
    <w:p w14:paraId="0F9E1EA4">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）推荐的</w:t>
      </w:r>
      <w:r>
        <w:rPr>
          <w:rFonts w:hint="eastAsia" w:ascii="仿宋_GB2312" w:hAnsi="仿宋_GB2312" w:eastAsia="仿宋_GB2312" w:cs="仿宋_GB2312"/>
          <w:sz w:val="24"/>
          <w:szCs w:val="24"/>
          <w:highlight w:val="none"/>
          <w:lang w:eastAsia="zh-CN"/>
        </w:rPr>
        <w:t>成交</w:t>
      </w:r>
      <w:r>
        <w:rPr>
          <w:rFonts w:hint="eastAsia" w:ascii="仿宋_GB2312" w:hAnsi="仿宋_GB2312" w:eastAsia="仿宋_GB2312" w:cs="仿宋_GB2312"/>
          <w:sz w:val="24"/>
          <w:szCs w:val="24"/>
          <w:highlight w:val="none"/>
        </w:rPr>
        <w:t>候选人名单；</w:t>
      </w:r>
    </w:p>
    <w:p w14:paraId="413DC940">
      <w:pPr>
        <w:pStyle w:val="29"/>
        <w:spacing w:line="240" w:lineRule="auto"/>
        <w:ind w:firstLine="42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）签订合同前要处理的事宜；</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1DF3822E">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）澄清、说明、补正事项纪要；</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05982BD4">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成员名单及本人签字、拒绝在评审报告上签字的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成员名单及其陈述的不同意见和理由。</w:t>
      </w:r>
    </w:p>
    <w:p w14:paraId="0EDE119A">
      <w:pPr>
        <w:pStyle w:val="29"/>
        <w:spacing w:line="240" w:lineRule="auto"/>
        <w:ind w:firstLine="420"/>
        <w:rPr>
          <w:rFonts w:hint="eastAsia" w:ascii="宋体" w:hAnsi="宋体" w:eastAsia="宋体" w:cs="宋体"/>
          <w:sz w:val="21"/>
          <w:highlight w:val="none"/>
        </w:rPr>
      </w:pPr>
    </w:p>
    <w:p w14:paraId="3A66C378">
      <w:pPr>
        <w:pStyle w:val="29"/>
        <w:spacing w:line="240" w:lineRule="auto"/>
        <w:ind w:firstLine="420"/>
        <w:rPr>
          <w:rFonts w:hint="eastAsia" w:ascii="宋体" w:hAnsi="宋体" w:eastAsia="宋体" w:cs="宋体"/>
          <w:sz w:val="21"/>
          <w:highlight w:val="none"/>
        </w:rPr>
      </w:pPr>
    </w:p>
    <w:p w14:paraId="646196CA">
      <w:pPr>
        <w:pStyle w:val="29"/>
        <w:spacing w:line="240" w:lineRule="auto"/>
        <w:ind w:firstLine="420"/>
        <w:rPr>
          <w:rFonts w:hint="eastAsia" w:ascii="宋体" w:hAnsi="宋体" w:eastAsia="宋体" w:cs="宋体"/>
          <w:sz w:val="21"/>
          <w:highlight w:val="none"/>
        </w:rPr>
      </w:pPr>
    </w:p>
    <w:p w14:paraId="23BB91F9">
      <w:pPr>
        <w:pStyle w:val="29"/>
        <w:spacing w:line="240" w:lineRule="auto"/>
        <w:ind w:firstLine="420"/>
        <w:rPr>
          <w:rFonts w:hint="eastAsia" w:ascii="宋体" w:hAnsi="宋体" w:eastAsia="宋体" w:cs="宋体"/>
          <w:sz w:val="21"/>
          <w:highlight w:val="none"/>
        </w:rPr>
      </w:pPr>
    </w:p>
    <w:p w14:paraId="366B1BCE">
      <w:pPr>
        <w:pStyle w:val="29"/>
        <w:spacing w:line="240" w:lineRule="auto"/>
        <w:ind w:firstLine="420"/>
        <w:rPr>
          <w:rFonts w:hint="eastAsia" w:ascii="宋体" w:hAnsi="宋体" w:eastAsia="宋体" w:cs="宋体"/>
          <w:sz w:val="21"/>
          <w:highlight w:val="none"/>
        </w:rPr>
      </w:pPr>
    </w:p>
    <w:p w14:paraId="4BB76F1C">
      <w:pPr>
        <w:pStyle w:val="29"/>
        <w:spacing w:line="240" w:lineRule="auto"/>
        <w:ind w:firstLine="420"/>
        <w:rPr>
          <w:rFonts w:hint="eastAsia" w:ascii="宋体" w:hAnsi="宋体" w:eastAsia="宋体" w:cs="宋体"/>
          <w:sz w:val="21"/>
          <w:highlight w:val="none"/>
        </w:rPr>
      </w:pPr>
    </w:p>
    <w:p w14:paraId="20F5AD82">
      <w:pPr>
        <w:pStyle w:val="29"/>
        <w:spacing w:line="240" w:lineRule="auto"/>
        <w:ind w:firstLine="420"/>
        <w:rPr>
          <w:rFonts w:hint="eastAsia" w:ascii="宋体" w:hAnsi="宋体" w:eastAsia="宋体" w:cs="宋体"/>
          <w:sz w:val="21"/>
          <w:highlight w:val="none"/>
        </w:rPr>
      </w:pPr>
    </w:p>
    <w:p w14:paraId="59998D5A">
      <w:pPr>
        <w:pStyle w:val="29"/>
        <w:spacing w:line="240" w:lineRule="auto"/>
        <w:ind w:firstLine="420"/>
        <w:rPr>
          <w:rFonts w:hint="eastAsia" w:ascii="宋体" w:hAnsi="宋体" w:eastAsia="宋体" w:cs="宋体"/>
          <w:sz w:val="21"/>
          <w:highlight w:val="none"/>
        </w:rPr>
      </w:pPr>
    </w:p>
    <w:p w14:paraId="26E0D51D">
      <w:pPr>
        <w:pStyle w:val="29"/>
        <w:spacing w:line="240" w:lineRule="auto"/>
        <w:ind w:firstLine="420"/>
        <w:rPr>
          <w:rFonts w:hint="eastAsia" w:ascii="宋体" w:hAnsi="宋体" w:eastAsia="宋体" w:cs="宋体"/>
          <w:sz w:val="21"/>
          <w:highlight w:val="none"/>
        </w:rPr>
      </w:pPr>
    </w:p>
    <w:p w14:paraId="7A958319">
      <w:pPr>
        <w:pStyle w:val="28"/>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3" w:name="_Toc4457"/>
      <w:r>
        <w:rPr>
          <w:rFonts w:hint="eastAsia" w:ascii="方正小标宋简体" w:hAnsi="方正小标宋简体" w:eastAsia="方正小标宋简体" w:cs="方正小标宋简体"/>
          <w:b/>
          <w:kern w:val="2"/>
          <w:sz w:val="36"/>
          <w:szCs w:val="36"/>
          <w:lang w:val="en-US" w:eastAsia="zh-CN" w:bidi="ar-SA"/>
        </w:rPr>
        <w:t>采购需求书</w:t>
      </w:r>
      <w:bookmarkEnd w:id="23"/>
    </w:p>
    <w:p w14:paraId="42EC96FE">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5416903C">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1B34CC67">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35264E94">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28DD5020">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2C88ECE2">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1029E488">
      <w:pPr>
        <w:pStyle w:val="28"/>
        <w:numPr>
          <w:ilvl w:val="0"/>
          <w:numId w:val="0"/>
        </w:numPr>
        <w:snapToGrid w:val="0"/>
        <w:spacing w:before="120" w:after="120"/>
        <w:ind w:leftChars="0"/>
        <w:jc w:val="both"/>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供应商须对《采购需求书》全部内容理解清楚，并填写《技术商务偏离表》（格式见第六章）</w:t>
      </w:r>
    </w:p>
    <w:p w14:paraId="01EF0932">
      <w:pPr>
        <w:pStyle w:val="28"/>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零信任VPN设备采购项目采购需求书</w:t>
      </w:r>
    </w:p>
    <w:p w14:paraId="36D8DB11">
      <w:pPr>
        <w:pageBreakBefore w:val="0"/>
        <w:kinsoku/>
        <w:wordWrap/>
        <w:overflowPunct/>
        <w:topLinePunct w:val="0"/>
        <w:autoSpaceDE/>
        <w:autoSpaceDN/>
        <w:bidi w:val="0"/>
        <w:adjustRightInd/>
        <w:snapToGrid/>
        <w:spacing w:beforeLines="0" w:afterLines="0" w:line="640" w:lineRule="exact"/>
        <w:ind w:firstLine="640"/>
        <w:textAlignment w:val="auto"/>
        <w:rPr>
          <w:rFonts w:hint="eastAsia" w:ascii="方正仿宋简体" w:hAnsi="方正仿宋简体" w:eastAsia="方正仿宋简体" w:cs="方正仿宋简体"/>
          <w:b/>
          <w:bCs/>
          <w:sz w:val="28"/>
          <w:szCs w:val="28"/>
          <w:lang w:val="en-US" w:eastAsia="zh-CN"/>
        </w:rPr>
      </w:pPr>
      <w:r>
        <w:rPr>
          <w:rFonts w:hint="eastAsia" w:ascii="方正仿宋简体" w:hAnsi="方正仿宋简体" w:eastAsia="方正仿宋简体" w:cs="方正仿宋简体"/>
          <w:b/>
          <w:bCs/>
          <w:sz w:val="28"/>
          <w:szCs w:val="28"/>
          <w:lang w:val="zh-CN" w:eastAsia="zh-CN"/>
        </w:rPr>
        <w:t>一、</w:t>
      </w:r>
      <w:r>
        <w:rPr>
          <w:rFonts w:hint="eastAsia" w:ascii="方正仿宋简体" w:hAnsi="方正仿宋简体" w:eastAsia="方正仿宋简体" w:cs="方正仿宋简体"/>
          <w:b/>
          <w:bCs/>
          <w:sz w:val="28"/>
          <w:szCs w:val="28"/>
          <w:lang w:val="en-US" w:eastAsia="zh-CN"/>
        </w:rPr>
        <w:t>采购范围</w:t>
      </w:r>
    </w:p>
    <w:p w14:paraId="4CAAA027">
      <w:pPr>
        <w:spacing w:line="360" w:lineRule="auto"/>
        <w:ind w:firstLine="638" w:firstLineChars="22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本项目采购内容为零信任VPN设备及质保服务。</w:t>
      </w:r>
    </w:p>
    <w:p w14:paraId="6AB9D74F">
      <w:pPr>
        <w:pageBreakBefore w:val="0"/>
        <w:kinsoku/>
        <w:wordWrap/>
        <w:overflowPunct/>
        <w:topLinePunct w:val="0"/>
        <w:autoSpaceDE/>
        <w:autoSpaceDN/>
        <w:bidi w:val="0"/>
        <w:adjustRightInd/>
        <w:snapToGrid/>
        <w:spacing w:beforeLines="0" w:afterLines="0" w:line="640" w:lineRule="exact"/>
        <w:ind w:firstLine="640"/>
        <w:textAlignment w:val="auto"/>
        <w:rPr>
          <w:rFonts w:hint="eastAsia" w:ascii="方正仿宋简体" w:hAnsi="方正仿宋简体" w:eastAsia="方正仿宋简体" w:cs="方正仿宋简体"/>
          <w:b/>
          <w:bCs/>
          <w:sz w:val="28"/>
          <w:szCs w:val="28"/>
          <w:lang w:val="en-US" w:eastAsia="zh-CN"/>
        </w:rPr>
      </w:pPr>
      <w:r>
        <w:rPr>
          <w:rFonts w:hint="eastAsia" w:ascii="方正仿宋简体" w:hAnsi="方正仿宋简体" w:eastAsia="方正仿宋简体" w:cs="方正仿宋简体"/>
          <w:b/>
          <w:bCs/>
          <w:sz w:val="28"/>
          <w:szCs w:val="28"/>
          <w:lang w:val="en-US" w:eastAsia="zh-CN"/>
        </w:rPr>
        <w:t>二、服务标准</w:t>
      </w:r>
    </w:p>
    <w:p w14:paraId="1804A7BF">
      <w:pPr>
        <w:spacing w:line="360" w:lineRule="auto"/>
        <w:ind w:firstLine="638" w:firstLineChars="22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（一）服务内容</w:t>
      </w:r>
    </w:p>
    <w:p w14:paraId="3847FB4C">
      <w:pPr>
        <w:spacing w:line="360" w:lineRule="auto"/>
        <w:ind w:firstLine="638" w:firstLineChars="22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供应商提供1台零信任VPN设备，满足项目部署需求。</w:t>
      </w:r>
    </w:p>
    <w:p w14:paraId="1C39F794">
      <w:pPr>
        <w:spacing w:line="360" w:lineRule="auto"/>
        <w:ind w:firstLine="638" w:firstLineChars="22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质保期：供应商提供的1台零信任VPN设备自完成验收之日起，供应商需提供为期3年的质量保障服务，包括故障响应及规则内容的定期迭代更新。</w:t>
      </w:r>
    </w:p>
    <w:p w14:paraId="3A1F564B">
      <w:pPr>
        <w:spacing w:line="360" w:lineRule="auto"/>
        <w:ind w:firstLine="638" w:firstLineChars="22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（二）设备主要性能指标要求如下：</w:t>
      </w:r>
    </w:p>
    <w:p w14:paraId="498C75B0">
      <w:pPr>
        <w:spacing w:line="360" w:lineRule="auto"/>
        <w:ind w:firstLine="638" w:firstLineChars="22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1.设备内置符合中国商用密码标准的加密卡，采用国家密码管理局颁布的SM1、SM2、SM3、SM4密码算法及其协议，支持多种身份认证方式、细粒度访问权限控制等主要功能。</w:t>
      </w:r>
    </w:p>
    <w:p w14:paraId="0112BECA">
      <w:pPr>
        <w:spacing w:line="360" w:lineRule="auto"/>
        <w:ind w:firstLine="638" w:firstLineChars="22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2.★整体需提供50用户接入并发授权，应答人须承诺所提供的产品支持在IOS、安卓手机等移动端的粤政易APP中集成VPN SDK，可通过SDK实现在粤政易中自动拉起VPN，满足无需单独安装VPN客户端也可实现安全接入的要求，提升移动端粤政易用户使用体验。</w:t>
      </w:r>
    </w:p>
    <w:p w14:paraId="64BE9EA2">
      <w:pPr>
        <w:spacing w:line="360" w:lineRule="auto"/>
        <w:ind w:firstLine="638" w:firstLineChars="22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（三）设备功能及参数需满足以下要求：</w:t>
      </w:r>
    </w:p>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6"/>
        <w:gridCol w:w="1456"/>
        <w:gridCol w:w="6081"/>
      </w:tblGrid>
      <w:tr w14:paraId="6CA6E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shd w:val="clear" w:color="auto" w:fill="D9D9D9"/>
          </w:tcPr>
          <w:p w14:paraId="52A75975">
            <w:pPr>
              <w:widowControl/>
              <w:rPr>
                <w:rFonts w:hint="eastAsia" w:ascii="宋体" w:hAnsi="宋体" w:cs="宋体"/>
                <w:b/>
                <w:kern w:val="0"/>
                <w:sz w:val="20"/>
                <w:szCs w:val="20"/>
              </w:rPr>
            </w:pPr>
            <w:r>
              <w:rPr>
                <w:rFonts w:hint="eastAsia" w:ascii="宋体" w:hAnsi="宋体" w:cs="宋体"/>
                <w:b/>
                <w:kern w:val="0"/>
                <w:sz w:val="20"/>
                <w:szCs w:val="20"/>
              </w:rPr>
              <w:t>项目</w:t>
            </w:r>
          </w:p>
        </w:tc>
        <w:tc>
          <w:tcPr>
            <w:tcW w:w="814" w:type="pct"/>
            <w:shd w:val="clear" w:color="auto" w:fill="D9D9D9"/>
          </w:tcPr>
          <w:p w14:paraId="0B955B2D">
            <w:pPr>
              <w:widowControl/>
              <w:rPr>
                <w:rFonts w:hint="eastAsia" w:ascii="宋体" w:hAnsi="宋体" w:cs="宋体"/>
                <w:b/>
                <w:kern w:val="0"/>
                <w:sz w:val="20"/>
                <w:szCs w:val="20"/>
              </w:rPr>
            </w:pPr>
            <w:r>
              <w:rPr>
                <w:rFonts w:hint="eastAsia" w:ascii="宋体" w:hAnsi="宋体" w:cs="宋体"/>
                <w:b/>
                <w:kern w:val="0"/>
                <w:sz w:val="20"/>
                <w:szCs w:val="20"/>
              </w:rPr>
              <w:t>功能项</w:t>
            </w:r>
          </w:p>
        </w:tc>
        <w:tc>
          <w:tcPr>
            <w:tcW w:w="3399" w:type="pct"/>
            <w:shd w:val="clear" w:color="auto" w:fill="D9D9D9"/>
          </w:tcPr>
          <w:p w14:paraId="70601F38">
            <w:pPr>
              <w:widowControl/>
              <w:rPr>
                <w:rFonts w:hint="eastAsia" w:ascii="宋体" w:hAnsi="宋体" w:cs="宋体"/>
                <w:b/>
                <w:kern w:val="0"/>
                <w:sz w:val="20"/>
                <w:szCs w:val="20"/>
              </w:rPr>
            </w:pPr>
            <w:r>
              <w:rPr>
                <w:rFonts w:hint="eastAsia" w:ascii="宋体" w:hAnsi="宋体" w:cs="宋体"/>
                <w:b/>
                <w:kern w:val="0"/>
                <w:sz w:val="20"/>
                <w:szCs w:val="20"/>
              </w:rPr>
              <w:t>功能要求说明</w:t>
            </w:r>
          </w:p>
        </w:tc>
      </w:tr>
      <w:tr w14:paraId="2B47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restart"/>
            <w:vAlign w:val="center"/>
          </w:tcPr>
          <w:p w14:paraId="5B4B6184">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规格要求</w:t>
            </w:r>
          </w:p>
        </w:tc>
        <w:tc>
          <w:tcPr>
            <w:tcW w:w="814" w:type="pct"/>
            <w:vAlign w:val="center"/>
          </w:tcPr>
          <w:p w14:paraId="409C4854">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硬件规格要求</w:t>
            </w:r>
          </w:p>
        </w:tc>
        <w:tc>
          <w:tcPr>
            <w:tcW w:w="3399" w:type="pct"/>
          </w:tcPr>
          <w:p w14:paraId="6F1865E6">
            <w:pPr>
              <w:widowControl/>
              <w:textAlignment w:val="center"/>
              <w:rPr>
                <w:rFonts w:hint="eastAsia" w:ascii="宋体" w:hAnsi="宋体" w:cs="宋体"/>
                <w:color w:val="000000"/>
                <w:kern w:val="0"/>
                <w:sz w:val="18"/>
                <w:szCs w:val="18"/>
                <w:lang w:bidi="ar"/>
              </w:rPr>
            </w:pPr>
            <w:r>
              <w:rPr>
                <w:rStyle w:val="30"/>
                <w:rFonts w:hint="eastAsia"/>
                <w:lang w:bidi="ar"/>
              </w:rPr>
              <w:t>规格：1U，内存大小</w:t>
            </w:r>
            <w:r>
              <w:rPr>
                <w:rFonts w:hint="eastAsia" w:asciiTheme="minorEastAsia" w:hAnsiTheme="minorEastAsia"/>
                <w:color w:val="000000"/>
                <w:sz w:val="22"/>
                <w:szCs w:val="28"/>
              </w:rPr>
              <w:t>≥</w:t>
            </w:r>
            <w:r>
              <w:rPr>
                <w:rStyle w:val="30"/>
                <w:rFonts w:hint="eastAsia"/>
                <w:lang w:bidi="ar"/>
              </w:rPr>
              <w:t>16G，硬盘容量</w:t>
            </w:r>
            <w:r>
              <w:rPr>
                <w:rFonts w:hint="eastAsia" w:asciiTheme="minorEastAsia" w:hAnsiTheme="minorEastAsia"/>
                <w:color w:val="000000"/>
                <w:sz w:val="22"/>
                <w:szCs w:val="28"/>
              </w:rPr>
              <w:t>≥</w:t>
            </w:r>
            <w:r>
              <w:rPr>
                <w:rStyle w:val="30"/>
                <w:rFonts w:hint="eastAsia"/>
                <w:lang w:bidi="ar"/>
              </w:rPr>
              <w:t>128G SSD，电源：单电源，接口</w:t>
            </w:r>
            <w:r>
              <w:rPr>
                <w:rFonts w:hint="eastAsia" w:asciiTheme="minorEastAsia" w:hAnsiTheme="minorEastAsia"/>
                <w:color w:val="000000"/>
                <w:sz w:val="22"/>
                <w:szCs w:val="28"/>
              </w:rPr>
              <w:t>≥</w:t>
            </w:r>
            <w:r>
              <w:rPr>
                <w:rStyle w:val="30"/>
                <w:rFonts w:hint="eastAsia"/>
                <w:lang w:bidi="ar"/>
              </w:rPr>
              <w:t>6千兆电口+4千兆光口SFP。</w:t>
            </w:r>
          </w:p>
        </w:tc>
      </w:tr>
      <w:tr w14:paraId="2D75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560EA86E">
            <w:pPr>
              <w:widowControl/>
              <w:textAlignment w:val="center"/>
              <w:rPr>
                <w:rFonts w:hint="eastAsia" w:ascii="宋体" w:hAnsi="宋体" w:cs="宋体"/>
                <w:color w:val="000000"/>
                <w:kern w:val="0"/>
                <w:sz w:val="18"/>
                <w:szCs w:val="18"/>
                <w:lang w:bidi="ar"/>
              </w:rPr>
            </w:pPr>
          </w:p>
        </w:tc>
        <w:tc>
          <w:tcPr>
            <w:tcW w:w="814" w:type="pct"/>
            <w:vAlign w:val="center"/>
          </w:tcPr>
          <w:p w14:paraId="14D0DD96">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性能要求</w:t>
            </w:r>
          </w:p>
        </w:tc>
        <w:tc>
          <w:tcPr>
            <w:tcW w:w="3399" w:type="pct"/>
          </w:tcPr>
          <w:p w14:paraId="36BF4C81">
            <w:pPr>
              <w:widowControl/>
              <w:textAlignment w:val="center"/>
              <w:rPr>
                <w:rFonts w:hint="eastAsia" w:ascii="宋体" w:hAnsi="宋体" w:cs="宋体"/>
                <w:color w:val="000000"/>
                <w:kern w:val="0"/>
                <w:sz w:val="18"/>
                <w:szCs w:val="18"/>
                <w:lang w:bidi="ar"/>
              </w:rPr>
            </w:pPr>
            <w:r>
              <w:rPr>
                <w:rStyle w:val="30"/>
                <w:rFonts w:hint="eastAsia"/>
                <w:lang w:bidi="ar"/>
              </w:rPr>
              <w:t>IPSEC性能参数：加密最大流量（Mbps）</w:t>
            </w:r>
            <w:r>
              <w:rPr>
                <w:rFonts w:hint="eastAsia" w:asciiTheme="minorEastAsia" w:hAnsiTheme="minorEastAsia"/>
                <w:color w:val="000000"/>
                <w:sz w:val="22"/>
                <w:szCs w:val="28"/>
              </w:rPr>
              <w:t>≥</w:t>
            </w:r>
            <w:r>
              <w:rPr>
                <w:rStyle w:val="30"/>
                <w:rFonts w:hint="eastAsia"/>
                <w:lang w:bidi="ar"/>
              </w:rPr>
              <w:t>100Mbps，理论并发隧道数（Tunnel）</w:t>
            </w:r>
            <w:r>
              <w:rPr>
                <w:rFonts w:hint="eastAsia" w:asciiTheme="minorEastAsia" w:hAnsiTheme="minorEastAsia"/>
                <w:color w:val="000000"/>
                <w:sz w:val="22"/>
                <w:szCs w:val="28"/>
              </w:rPr>
              <w:t>≥</w:t>
            </w:r>
            <w:r>
              <w:rPr>
                <w:rStyle w:val="30"/>
                <w:rFonts w:hint="eastAsia"/>
                <w:lang w:bidi="ar"/>
              </w:rPr>
              <w:t>1000；SSL性能参数：最大理论加密流量（Mbps）</w:t>
            </w:r>
            <w:r>
              <w:rPr>
                <w:rFonts w:hint="eastAsia" w:asciiTheme="minorEastAsia" w:hAnsiTheme="minorEastAsia"/>
                <w:color w:val="000000"/>
                <w:sz w:val="22"/>
                <w:szCs w:val="28"/>
              </w:rPr>
              <w:t>≥</w:t>
            </w:r>
            <w:r>
              <w:rPr>
                <w:rStyle w:val="30"/>
                <w:rFonts w:hint="eastAsia"/>
                <w:lang w:bidi="ar"/>
              </w:rPr>
              <w:t>300Mbps，最大理论建议并发用户数</w:t>
            </w:r>
            <w:r>
              <w:rPr>
                <w:rFonts w:hint="eastAsia" w:asciiTheme="minorEastAsia" w:hAnsiTheme="minorEastAsia"/>
                <w:color w:val="000000"/>
                <w:sz w:val="22"/>
                <w:szCs w:val="28"/>
              </w:rPr>
              <w:t>≥</w:t>
            </w:r>
            <w:r>
              <w:rPr>
                <w:rStyle w:val="30"/>
                <w:rFonts w:hint="eastAsia"/>
                <w:lang w:bidi="ar"/>
              </w:rPr>
              <w:t>600</w:t>
            </w:r>
            <w:r>
              <w:rPr>
                <w:rStyle w:val="31"/>
                <w:rFonts w:hint="default"/>
                <w:lang w:bidi="ar"/>
              </w:rPr>
              <w:t>。</w:t>
            </w:r>
          </w:p>
        </w:tc>
      </w:tr>
      <w:tr w14:paraId="3F6A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Align w:val="center"/>
          </w:tcPr>
          <w:p w14:paraId="23DC6A58">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身份认证</w:t>
            </w:r>
          </w:p>
        </w:tc>
        <w:tc>
          <w:tcPr>
            <w:tcW w:w="814" w:type="pct"/>
            <w:vAlign w:val="center"/>
          </w:tcPr>
          <w:p w14:paraId="5D60BE2C">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认证方式支持</w:t>
            </w:r>
          </w:p>
        </w:tc>
        <w:tc>
          <w:tcPr>
            <w:tcW w:w="3399" w:type="pct"/>
          </w:tcPr>
          <w:p w14:paraId="60E0661C">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为满足身份安全要求，应支持多因素认证，至少包括：账号密码认证、短信认证、证书认证、动态令牌认证、扫码认证，以及对接统一认证平台实现单点登录等认证方式。账号密码认证应支持设备自带账号密码认证，或通过LDAP/Radius/HTTPS协议对接第三方认证服务器。扫码认证应至少支持零信任客户端、企微、钉钉、飞书扫码认证。单点登录应支持标准的CAS、OAuth2.0、OIDC协议对接。为强化系统认证安全性，可配置在触发异常环境的条件时，用户需完成增强认证才可登录。可配置的异常环境包括但不限于：账号首次登录、账号在该终端首次登录、闲置账号登录、弱密码登录、异常时间登录、非常用地点登录等。（需提供产品功能截图证明）</w:t>
            </w:r>
          </w:p>
        </w:tc>
      </w:tr>
      <w:tr w14:paraId="2FFC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restart"/>
            <w:vAlign w:val="center"/>
          </w:tcPr>
          <w:p w14:paraId="31DBF108">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资源发布能力</w:t>
            </w:r>
          </w:p>
        </w:tc>
        <w:tc>
          <w:tcPr>
            <w:tcW w:w="814" w:type="pct"/>
            <w:vAlign w:val="center"/>
          </w:tcPr>
          <w:p w14:paraId="53CE73AA">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隧道资源发布</w:t>
            </w:r>
          </w:p>
        </w:tc>
        <w:tc>
          <w:tcPr>
            <w:tcW w:w="3399" w:type="pct"/>
          </w:tcPr>
          <w:p w14:paraId="4E21AB2F">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支持隧道模式资源发布，基于TCP、UDP、ICMP等协议代理访问业务资源，支持发布IP、IP范围、IP段、具体域名及通配符域名等形式的服务器地址，满足常见办公业务的代理，收缩业务暴露面。支持以隧道模式发布http/https协议的资源，以增加在隧道模式下发布的资源的URL级别审计能力，同时支持为隧道资源添加WEB水印以及单点登录功能。</w:t>
            </w:r>
          </w:p>
        </w:tc>
      </w:tr>
      <w:tr w14:paraId="7D76A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0AB20CE7">
            <w:pPr>
              <w:widowControl/>
              <w:textAlignment w:val="center"/>
              <w:rPr>
                <w:rFonts w:hint="eastAsia" w:ascii="宋体" w:hAnsi="宋体" w:cs="宋体"/>
                <w:color w:val="000000"/>
                <w:kern w:val="0"/>
                <w:sz w:val="18"/>
                <w:szCs w:val="18"/>
                <w:lang w:bidi="ar"/>
              </w:rPr>
            </w:pPr>
          </w:p>
        </w:tc>
        <w:tc>
          <w:tcPr>
            <w:tcW w:w="814" w:type="pct"/>
            <w:vAlign w:val="center"/>
          </w:tcPr>
          <w:p w14:paraId="38C5E052">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WEB资源发布</w:t>
            </w:r>
          </w:p>
        </w:tc>
        <w:tc>
          <w:tcPr>
            <w:tcW w:w="3399" w:type="pct"/>
          </w:tcPr>
          <w:p w14:paraId="46765164">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支持WEB模式资源发布，可以支持基于http或https协议代理访问业务资源，支持发布IP或域名形式的后端服务器地址，支持通过域名+URL路径发布和授权应用。支持将WEB应用以免认证的形式发布。</w:t>
            </w:r>
          </w:p>
        </w:tc>
      </w:tr>
      <w:tr w14:paraId="2FDCC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3C6DDDB7">
            <w:pPr>
              <w:widowControl/>
              <w:textAlignment w:val="center"/>
              <w:rPr>
                <w:rFonts w:hint="eastAsia" w:ascii="宋体" w:hAnsi="宋体" w:cs="宋体"/>
                <w:color w:val="000000"/>
                <w:kern w:val="0"/>
                <w:sz w:val="18"/>
                <w:szCs w:val="18"/>
                <w:lang w:bidi="ar"/>
              </w:rPr>
            </w:pPr>
          </w:p>
        </w:tc>
        <w:tc>
          <w:tcPr>
            <w:tcW w:w="814" w:type="pct"/>
            <w:vAlign w:val="center"/>
          </w:tcPr>
          <w:p w14:paraId="701BFF94">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应用打开方式</w:t>
            </w:r>
          </w:p>
        </w:tc>
        <w:tc>
          <w:tcPr>
            <w:tcW w:w="3399" w:type="pct"/>
          </w:tcPr>
          <w:p w14:paraId="22C406DE">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支持配置点击工作台的业务应用即可直接拉起对应的CS程序进行访问，包括但不限于浏览器、远程桌面或其他指定程序，支持Windows、macOS、统信UOS、麒麟kylin、中科方德、Ubuntu等主流操作系统；针对Windows系统，还应支持拉起CS应用时携带启动参数，自动访问管理员设定的地址（需提供产品功能截图证明）</w:t>
            </w:r>
          </w:p>
        </w:tc>
      </w:tr>
      <w:tr w14:paraId="35C3A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5FEB8515">
            <w:pPr>
              <w:widowControl/>
              <w:textAlignment w:val="center"/>
              <w:rPr>
                <w:rFonts w:hint="eastAsia" w:ascii="宋体" w:hAnsi="宋体" w:cs="宋体"/>
                <w:color w:val="000000"/>
                <w:kern w:val="0"/>
                <w:sz w:val="18"/>
                <w:szCs w:val="18"/>
                <w:lang w:bidi="ar"/>
              </w:rPr>
            </w:pPr>
          </w:p>
        </w:tc>
        <w:tc>
          <w:tcPr>
            <w:tcW w:w="814" w:type="pct"/>
            <w:vAlign w:val="center"/>
          </w:tcPr>
          <w:p w14:paraId="183457DF">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DNS解析</w:t>
            </w:r>
          </w:p>
        </w:tc>
        <w:tc>
          <w:tcPr>
            <w:tcW w:w="3399" w:type="pct"/>
          </w:tcPr>
          <w:p w14:paraId="0F316337">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▲支持以私有DNS发布企业资源，无需额外购买DNS服务即可使用域名访问内网资源，支持管理员自主配置是否允许从具体网络区域（局域网/互联网）接入时使用此私有DNS解析地址。（需提供产品功能截图证明）</w:t>
            </w:r>
          </w:p>
        </w:tc>
      </w:tr>
      <w:tr w14:paraId="3C06D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restart"/>
            <w:vAlign w:val="center"/>
          </w:tcPr>
          <w:p w14:paraId="6832C7BA">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终端接入能力</w:t>
            </w:r>
          </w:p>
        </w:tc>
        <w:tc>
          <w:tcPr>
            <w:tcW w:w="814" w:type="pct"/>
            <w:vAlign w:val="center"/>
          </w:tcPr>
          <w:p w14:paraId="4B72D591">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客户端兼容性</w:t>
            </w:r>
          </w:p>
        </w:tc>
        <w:tc>
          <w:tcPr>
            <w:tcW w:w="3399" w:type="pct"/>
          </w:tcPr>
          <w:p w14:paraId="3C55F5CE">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▲为保障业务正常访问，客户端应兼容主流操作系统和芯片，操作系统至少包括Windows、macOS、Ubuntu、Android、iOS、UOS、Kylin、NFS、Harmony next，芯片至少包括兆芯、海光、飞腾、鲲鹏、海思麒麟、龙芯（含MIPS和Loongarch）。（需提供产品界面客户端下载页兼容性截图证明，国产系统需提供零信任厂商与国产操作系统的兼容性证明）</w:t>
            </w:r>
          </w:p>
        </w:tc>
      </w:tr>
      <w:tr w14:paraId="2209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86" w:type="pct"/>
            <w:vMerge w:val="continue"/>
            <w:vAlign w:val="center"/>
          </w:tcPr>
          <w:p w14:paraId="0C7E6B5B">
            <w:pPr>
              <w:widowControl/>
              <w:textAlignment w:val="center"/>
              <w:rPr>
                <w:rFonts w:hint="eastAsia" w:ascii="宋体" w:hAnsi="宋体" w:cs="宋体"/>
                <w:color w:val="000000"/>
                <w:kern w:val="0"/>
                <w:sz w:val="18"/>
                <w:szCs w:val="18"/>
                <w:lang w:bidi="ar"/>
              </w:rPr>
            </w:pPr>
          </w:p>
        </w:tc>
        <w:tc>
          <w:tcPr>
            <w:tcW w:w="814" w:type="pct"/>
            <w:vAlign w:val="center"/>
          </w:tcPr>
          <w:p w14:paraId="454AB1B6">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虚拟IP</w:t>
            </w:r>
          </w:p>
        </w:tc>
        <w:tc>
          <w:tcPr>
            <w:tcW w:w="3399" w:type="pct"/>
          </w:tcPr>
          <w:p w14:paraId="0511A5EA">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▲1、支持以虚拟IP方式，访问真实的业务系统，虚拟IP支持IPv4、IPv6地址，以配合其他对IP有要求的安全设备工作，以及便于流量分析类设备进行流量分析。</w:t>
            </w:r>
          </w:p>
          <w:p w14:paraId="01A1C4F0">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支持共享虚拟IP池模式，为用户组分配一个IP地址段，用户组内的用户首次连接时分配一个IP端内的虚拟IP，可根据IP资源的充裕情况配置用户注销后立即释放虚拟IP或注销后指定时间再释放，若未释放时则代表用户与虚拟IP绑定，便于用户访问行为可追溯。</w:t>
            </w:r>
          </w:p>
          <w:p w14:paraId="08A14494">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支持独享虚拟IP模式，可配置一个独享IP池，在独享IP池中为用户分配指定的虚拟IP地址，在独享资源池中给用户绑定的虚拟IP不会释放。为方便运维管理，应支持批量导入的方式为用户绑定虚拟IP，并支持导出查看系统配置的虚拟IP对应关系。</w:t>
            </w:r>
          </w:p>
          <w:p w14:paraId="6593487D">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4、支持当虚拟IP池分配超过一定比例时，零信任系统可向管理员发送邮件告警，此比例可由管理员自主配置。</w:t>
            </w:r>
          </w:p>
          <w:p w14:paraId="0694D413">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 xml:space="preserve">5、支持为每个用户分配独立的虚拟IP，并将虚拟IP分配日志通过第三方syslog的方式同步到网络威胁分析设备。 </w:t>
            </w:r>
          </w:p>
          <w:p w14:paraId="14BAC44C">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（需提供产品功能截图及第三方权威检测机构出具的带CNAS标识的检测报告证明）</w:t>
            </w:r>
          </w:p>
        </w:tc>
      </w:tr>
      <w:tr w14:paraId="297B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41BDFCC6">
            <w:pPr>
              <w:widowControl/>
              <w:textAlignment w:val="center"/>
              <w:rPr>
                <w:rFonts w:hint="eastAsia" w:ascii="宋体" w:hAnsi="宋体" w:cs="宋体"/>
                <w:color w:val="000000"/>
                <w:kern w:val="0"/>
                <w:sz w:val="18"/>
                <w:szCs w:val="18"/>
                <w:lang w:bidi="ar"/>
              </w:rPr>
            </w:pPr>
          </w:p>
        </w:tc>
        <w:tc>
          <w:tcPr>
            <w:tcW w:w="814" w:type="pct"/>
            <w:vAlign w:val="center"/>
          </w:tcPr>
          <w:p w14:paraId="194C909B">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CDN支持</w:t>
            </w:r>
          </w:p>
        </w:tc>
        <w:tc>
          <w:tcPr>
            <w:tcW w:w="3399" w:type="pct"/>
          </w:tcPr>
          <w:p w14:paraId="22B452FD">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▲支持配置企业的CDN作为零信任客户端下载地址以降低带宽压力。当客户端通过CDN加速等代理方式接入访问业务系统时，支持获取CDN加速前的访问IP，并在日志中记录此IP为客户端IP。（需提供产品功能截图证明）</w:t>
            </w:r>
          </w:p>
        </w:tc>
      </w:tr>
      <w:tr w14:paraId="2BE3D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1483CD57">
            <w:pPr>
              <w:widowControl/>
              <w:textAlignment w:val="center"/>
              <w:rPr>
                <w:rFonts w:hint="eastAsia" w:ascii="宋体" w:hAnsi="宋体" w:cs="宋体"/>
                <w:color w:val="000000"/>
                <w:kern w:val="0"/>
                <w:sz w:val="18"/>
                <w:szCs w:val="18"/>
                <w:lang w:bidi="ar"/>
              </w:rPr>
            </w:pPr>
          </w:p>
        </w:tc>
        <w:tc>
          <w:tcPr>
            <w:tcW w:w="814" w:type="pct"/>
            <w:vAlign w:val="center"/>
          </w:tcPr>
          <w:p w14:paraId="771B4168">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客户端自动选路</w:t>
            </w:r>
          </w:p>
        </w:tc>
        <w:tc>
          <w:tcPr>
            <w:tcW w:w="3399" w:type="pct"/>
          </w:tcPr>
          <w:p w14:paraId="4A96272A">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为了提升终端用户访问体验，对于多线路接入单网关访问业务的场景，支持时延优先的选路模式，支持周期性探测线路时延和多次探测确认恶化后切换。多网关接入访问业务的场景，支持最低时延+相对时延阈值随机选择策略。（需提供产品功能截图证明）</w:t>
            </w:r>
          </w:p>
        </w:tc>
      </w:tr>
      <w:tr w14:paraId="27D9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22B8F339">
            <w:pPr>
              <w:widowControl/>
              <w:textAlignment w:val="center"/>
              <w:rPr>
                <w:rFonts w:hint="eastAsia" w:ascii="宋体" w:hAnsi="宋体" w:cs="宋体"/>
                <w:color w:val="000000"/>
                <w:kern w:val="0"/>
                <w:sz w:val="18"/>
                <w:szCs w:val="18"/>
                <w:lang w:bidi="ar"/>
              </w:rPr>
            </w:pPr>
          </w:p>
        </w:tc>
        <w:tc>
          <w:tcPr>
            <w:tcW w:w="814" w:type="pct"/>
            <w:vAlign w:val="center"/>
          </w:tcPr>
          <w:p w14:paraId="4AAEE452">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弱网访问加速</w:t>
            </w:r>
          </w:p>
        </w:tc>
        <w:tc>
          <w:tcPr>
            <w:tcW w:w="3399" w:type="pct"/>
          </w:tcPr>
          <w:p w14:paraId="2D9FA953">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▲为提升在弱网环境下访问体验，应支持优化TCP协议，增强隧道抗丢包、抗抖动特性，实现弱网环境的访问加速。（需提供产品功能截图证明）</w:t>
            </w:r>
          </w:p>
        </w:tc>
      </w:tr>
      <w:tr w14:paraId="40B3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3B38BAB2">
            <w:pPr>
              <w:widowControl/>
              <w:textAlignment w:val="center"/>
              <w:rPr>
                <w:rFonts w:hint="eastAsia" w:ascii="宋体" w:hAnsi="宋体" w:cs="宋体"/>
                <w:color w:val="000000"/>
                <w:kern w:val="0"/>
                <w:sz w:val="18"/>
                <w:szCs w:val="18"/>
                <w:lang w:bidi="ar"/>
              </w:rPr>
            </w:pPr>
          </w:p>
        </w:tc>
        <w:tc>
          <w:tcPr>
            <w:tcW w:w="814" w:type="pct"/>
            <w:vAlign w:val="center"/>
          </w:tcPr>
          <w:p w14:paraId="16655EFC">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短隧道资源时延优化</w:t>
            </w:r>
          </w:p>
        </w:tc>
        <w:tc>
          <w:tcPr>
            <w:tcW w:w="3399" w:type="pct"/>
          </w:tcPr>
          <w:p w14:paraId="1A1FD437">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▲为降低业务访问时延，提升访问体验，应支持将短隧道资源新建连接耗时优化至 0RTT，大幅降低业务访问的网络时延，实现同等网络环境下访问速度接近甚至达到直连访问。（需提供产品功能截图证明）</w:t>
            </w:r>
          </w:p>
        </w:tc>
      </w:tr>
      <w:tr w14:paraId="771D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4F031ADA">
            <w:pPr>
              <w:widowControl/>
              <w:textAlignment w:val="center"/>
              <w:rPr>
                <w:rFonts w:hint="eastAsia" w:ascii="宋体" w:hAnsi="宋体" w:cs="宋体"/>
                <w:color w:val="000000"/>
                <w:kern w:val="0"/>
                <w:sz w:val="18"/>
                <w:szCs w:val="18"/>
                <w:lang w:bidi="ar"/>
              </w:rPr>
            </w:pPr>
          </w:p>
        </w:tc>
        <w:tc>
          <w:tcPr>
            <w:tcW w:w="814" w:type="pct"/>
            <w:vAlign w:val="center"/>
          </w:tcPr>
          <w:p w14:paraId="2C9243D3">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移动客户端大字模式</w:t>
            </w:r>
          </w:p>
        </w:tc>
        <w:tc>
          <w:tcPr>
            <w:tcW w:w="3399" w:type="pct"/>
            <w:vAlign w:val="center"/>
          </w:tcPr>
          <w:p w14:paraId="18C3CD2F">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▲为提升客户端使用体验，零信任移动客户端应支持大字模式，启用后，字体、图标、按钮都适当比例放大。（需提供产品功能截图证明）</w:t>
            </w:r>
          </w:p>
        </w:tc>
      </w:tr>
      <w:tr w14:paraId="54ADD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restart"/>
            <w:vAlign w:val="center"/>
          </w:tcPr>
          <w:p w14:paraId="57CA037E">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高可靠性</w:t>
            </w:r>
          </w:p>
        </w:tc>
        <w:tc>
          <w:tcPr>
            <w:tcW w:w="814" w:type="pct"/>
            <w:vAlign w:val="center"/>
          </w:tcPr>
          <w:p w14:paraId="37942DCB">
            <w:pPr>
              <w:widowControl/>
              <w:textAlignment w:val="center"/>
              <w:rPr>
                <w:rFonts w:hint="eastAsia" w:ascii="宋体" w:hAnsi="宋体" w:cs="宋体"/>
                <w:color w:val="000000"/>
                <w:kern w:val="0"/>
                <w:sz w:val="18"/>
                <w:szCs w:val="18"/>
                <w:lang w:bidi="ar"/>
              </w:rPr>
            </w:pPr>
            <w:bookmarkStart w:id="24" w:name="OLE_LINK2"/>
            <w:r>
              <w:rPr>
                <w:rFonts w:hint="eastAsia" w:ascii="宋体" w:hAnsi="宋体" w:cs="宋体"/>
                <w:color w:val="000000"/>
                <w:kern w:val="0"/>
                <w:sz w:val="18"/>
                <w:szCs w:val="18"/>
                <w:lang w:bidi="ar"/>
              </w:rPr>
              <w:t>本地集群及工作负载</w:t>
            </w:r>
            <w:bookmarkEnd w:id="24"/>
          </w:p>
        </w:tc>
        <w:tc>
          <w:tcPr>
            <w:tcW w:w="3399" w:type="pct"/>
          </w:tcPr>
          <w:p w14:paraId="32F7A766">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为了提高系统可靠性，保障单台零信任设备故障时系统仍可正常运行，控制中心应支持本地集群部署，且最少2台设备即可组建集群，单集群的最大节点数量不得少于4台，集群内节点可不依赖外置设备提供工作负载功能。（需提供产品功能截图及公安部计算机信息系统安全产品质量监督检验中心出具的检测报告证明）</w:t>
            </w:r>
          </w:p>
        </w:tc>
      </w:tr>
      <w:tr w14:paraId="66EE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2F7C6CFD">
            <w:pPr>
              <w:widowControl/>
              <w:textAlignment w:val="center"/>
              <w:rPr>
                <w:rFonts w:hint="eastAsia" w:ascii="宋体" w:hAnsi="宋体" w:cs="宋体"/>
                <w:color w:val="000000"/>
                <w:kern w:val="0"/>
                <w:sz w:val="18"/>
                <w:szCs w:val="18"/>
                <w:lang w:bidi="ar"/>
              </w:rPr>
            </w:pPr>
          </w:p>
        </w:tc>
        <w:tc>
          <w:tcPr>
            <w:tcW w:w="814" w:type="pct"/>
            <w:vAlign w:val="center"/>
          </w:tcPr>
          <w:p w14:paraId="4C907F9E">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授权共享及授权漂移</w:t>
            </w:r>
          </w:p>
        </w:tc>
        <w:tc>
          <w:tcPr>
            <w:tcW w:w="3399" w:type="pct"/>
          </w:tcPr>
          <w:p w14:paraId="677A087F">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为了使系统资源利用最大化，本地集群与分布式集群下各节点的零信任授权数均可共享使用，集群的总接入授权数是各节点授权数的总和。集群节点故障后分布式集群及本地集群均需支持授权漂移机制，总授权数与故障前保持一致；（需提供产品功能截图及第三方权威检测机构出具的带CNAS标识的检测报告证明）</w:t>
            </w:r>
          </w:p>
        </w:tc>
      </w:tr>
      <w:tr w14:paraId="097AB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Align w:val="center"/>
          </w:tcPr>
          <w:p w14:paraId="6239352E">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零信任开放性</w:t>
            </w:r>
          </w:p>
        </w:tc>
        <w:tc>
          <w:tcPr>
            <w:tcW w:w="814" w:type="pct"/>
            <w:vAlign w:val="center"/>
          </w:tcPr>
          <w:p w14:paraId="61ABA5BD">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移动端SDK封装</w:t>
            </w:r>
          </w:p>
        </w:tc>
        <w:tc>
          <w:tcPr>
            <w:tcW w:w="3399" w:type="pct"/>
          </w:tcPr>
          <w:p w14:paraId="5E617FDA">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支持iOS、安卓手机APP集成零信任SDK，从而实现安全接入、数据安全沙箱等功能，避免单独安装零信任手机客户端，支持通过控制台上传Android、iOS原包应用进行自动封装。支持为已经集成零信任SDK并发布到安卓或iOS应用市场的公有化生态应用配置策略，使其具有零信任接入能力及数据防泄漏能力（需提供产品功能截图证明）</w:t>
            </w:r>
          </w:p>
        </w:tc>
      </w:tr>
      <w:tr w14:paraId="43F9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restart"/>
            <w:vAlign w:val="center"/>
          </w:tcPr>
          <w:p w14:paraId="5E4158CE">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审计及运维能力</w:t>
            </w:r>
          </w:p>
        </w:tc>
        <w:tc>
          <w:tcPr>
            <w:tcW w:w="814" w:type="pct"/>
            <w:vAlign w:val="center"/>
          </w:tcPr>
          <w:p w14:paraId="164EAE46">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用户安全日志审计</w:t>
            </w:r>
          </w:p>
        </w:tc>
        <w:tc>
          <w:tcPr>
            <w:tcW w:w="3399" w:type="pct"/>
          </w:tcPr>
          <w:p w14:paraId="151222A3">
            <w:pPr>
              <w:widowControl/>
              <w:textAlignment w:val="center"/>
              <w:rPr>
                <w:rFonts w:hint="eastAsia" w:ascii="宋体" w:hAnsi="宋体" w:cs="宋体"/>
                <w:color w:val="000000"/>
                <w:kern w:val="0"/>
                <w:sz w:val="18"/>
                <w:szCs w:val="18"/>
                <w:lang w:bidi="ar"/>
              </w:rPr>
            </w:pPr>
            <w:bookmarkStart w:id="25" w:name="_Hlk57304557"/>
            <w:r>
              <w:rPr>
                <w:rFonts w:hint="eastAsia" w:ascii="宋体" w:hAnsi="宋体" w:cs="宋体"/>
                <w:color w:val="000000"/>
                <w:kern w:val="0"/>
                <w:sz w:val="18"/>
                <w:szCs w:val="18"/>
                <w:lang w:bidi="ar"/>
              </w:rPr>
              <w:t>▲</w:t>
            </w:r>
            <w:bookmarkEnd w:id="25"/>
            <w:r>
              <w:rPr>
                <w:rFonts w:hint="eastAsia" w:ascii="宋体" w:hAnsi="宋体" w:cs="宋体"/>
                <w:color w:val="000000"/>
                <w:kern w:val="0"/>
                <w:sz w:val="18"/>
                <w:szCs w:val="18"/>
                <w:lang w:bidi="ar"/>
              </w:rPr>
              <w:t>应支持将具有异常登录行为的用户日志自动打标签为用户安全日志，以便于管理员快速审计定位。用户安全日志包括但不限于：账号安全、中间人攻击、SPA安全、cookie劫持等。（需提供产品功能截图证明）</w:t>
            </w:r>
          </w:p>
        </w:tc>
      </w:tr>
      <w:tr w14:paraId="0947E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86" w:type="pct"/>
            <w:vMerge w:val="continue"/>
            <w:vAlign w:val="center"/>
          </w:tcPr>
          <w:p w14:paraId="638FECBB">
            <w:pPr>
              <w:widowControl/>
              <w:textAlignment w:val="center"/>
              <w:rPr>
                <w:rFonts w:hint="eastAsia" w:ascii="宋体" w:hAnsi="宋体" w:cs="宋体"/>
                <w:color w:val="000000"/>
                <w:kern w:val="0"/>
                <w:sz w:val="18"/>
                <w:szCs w:val="18"/>
                <w:lang w:bidi="ar"/>
              </w:rPr>
            </w:pPr>
          </w:p>
        </w:tc>
        <w:tc>
          <w:tcPr>
            <w:tcW w:w="814" w:type="pct"/>
            <w:vAlign w:val="center"/>
          </w:tcPr>
          <w:p w14:paraId="6686362F">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设备稳定性检查</w:t>
            </w:r>
          </w:p>
        </w:tc>
        <w:tc>
          <w:tcPr>
            <w:tcW w:w="3399" w:type="pct"/>
          </w:tcPr>
          <w:p w14:paraId="1349CB1F">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▲包支持系统黑匣子及核心进程的状态检测、CPU负载、内存负载、磁盘空间、网卡健康、硬盘健康、网卡日志、BIOS固件等硬件相关状态的检测及软件版本及补丁修复状态等检测。（需提供产品功能截图证明）</w:t>
            </w:r>
          </w:p>
        </w:tc>
      </w:tr>
    </w:tbl>
    <w:p w14:paraId="5B72B4A2">
      <w:pPr>
        <w:spacing w:line="360" w:lineRule="auto"/>
        <w:ind w:firstLine="638" w:firstLineChars="22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（四）服务时限</w:t>
      </w:r>
    </w:p>
    <w:p w14:paraId="1CB56C0A">
      <w:pPr>
        <w:spacing w:line="360" w:lineRule="auto"/>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合同签订后15日内完成设备提供，自设备到收完成之日起15日内完成设备安装及调试。</w:t>
      </w:r>
    </w:p>
    <w:p w14:paraId="3B7AE733">
      <w:pPr>
        <w:pageBreakBefore w:val="0"/>
        <w:numPr>
          <w:ilvl w:val="0"/>
          <w:numId w:val="0"/>
        </w:numPr>
        <w:kinsoku/>
        <w:wordWrap/>
        <w:overflowPunct/>
        <w:topLinePunct w:val="0"/>
        <w:autoSpaceDE/>
        <w:autoSpaceDN/>
        <w:bidi w:val="0"/>
        <w:adjustRightInd/>
        <w:snapToGrid/>
        <w:spacing w:beforeLines="0" w:afterLines="0" w:line="640" w:lineRule="exact"/>
        <w:ind w:firstLine="562" w:firstLineChars="200"/>
        <w:textAlignment w:val="auto"/>
        <w:rPr>
          <w:rFonts w:hint="default" w:ascii="Times New Roman" w:hAnsi="Times New Roman" w:eastAsia="方正仿宋简体" w:cs="Times New Roman"/>
          <w:b/>
          <w:bCs/>
          <w:sz w:val="28"/>
          <w:szCs w:val="28"/>
          <w:lang w:val="en-US" w:eastAsia="zh-CN"/>
        </w:rPr>
      </w:pPr>
      <w:r>
        <w:rPr>
          <w:rFonts w:hint="eastAsia" w:ascii="Times New Roman" w:hAnsi="Times New Roman" w:eastAsia="方正仿宋简体" w:cs="Times New Roman"/>
          <w:b/>
          <w:bCs/>
          <w:sz w:val="28"/>
          <w:szCs w:val="28"/>
          <w:lang w:val="en-US" w:eastAsia="zh-CN"/>
        </w:rPr>
        <w:t>三</w:t>
      </w:r>
      <w:r>
        <w:rPr>
          <w:rFonts w:hint="default" w:ascii="Times New Roman" w:hAnsi="Times New Roman" w:eastAsia="方正仿宋简体" w:cs="Times New Roman"/>
          <w:b/>
          <w:bCs/>
          <w:sz w:val="28"/>
          <w:szCs w:val="28"/>
          <w:lang w:val="en-US" w:eastAsia="zh-CN"/>
        </w:rPr>
        <w:t>、验收要求</w:t>
      </w:r>
    </w:p>
    <w:p w14:paraId="441DB1CE">
      <w:pPr>
        <w:spacing w:line="360" w:lineRule="auto"/>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（一）系统测试、试运行及验收</w:t>
      </w:r>
    </w:p>
    <w:p w14:paraId="14057D30">
      <w:pPr>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零信任VPN设备安装调试工作完成之后，用户组织系统测试。测试合格后并且系统具备初验条件后，双方共同对系统进行初验。自初验通过之日起，进入试运行期，试运行时长为1个月。</w:t>
      </w:r>
    </w:p>
    <w:p w14:paraId="38F6429F">
      <w:pPr>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试运行阶段，投标人供货的设备和所集成系统的维护工作由投标人负责，投标人也应统一受理在维护过程中发现的可能影响系统正常运行的软硬件故障，并协调设备供货单位解决系统故障。在试运行期间，对于出现的问题，允许投标人进行修复，但试运行期顺延1个月。</w:t>
      </w:r>
    </w:p>
    <w:p w14:paraId="121362EF">
      <w:pPr>
        <w:ind w:firstLine="560" w:firstLineChars="200"/>
        <w:rPr>
          <w:rStyle w:val="32"/>
          <w:rFonts w:hint="default" w:ascii="仿宋_GB2312" w:hAnsi="仿宋_GB2312" w:eastAsia="仿宋_GB2312" w:cs="仿宋_GB2312"/>
          <w:color w:val="000000" w:themeColor="text1"/>
          <w:sz w:val="28"/>
          <w:szCs w:val="28"/>
          <w:lang w:bidi="ar"/>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系统试运行期满，并且系统具备终验条件后，双方共同对系统进行终验。终验将对系统运行情况进行总结，并对初验时遗留的问题进行补测，全部达到要求</w:t>
      </w:r>
      <w:r>
        <w:rPr>
          <w:rStyle w:val="32"/>
          <w:rFonts w:hint="default" w:ascii="仿宋_GB2312" w:hAnsi="仿宋_GB2312" w:eastAsia="仿宋_GB2312" w:cs="仿宋_GB2312"/>
          <w:color w:val="000000" w:themeColor="text1"/>
          <w:sz w:val="28"/>
          <w:szCs w:val="28"/>
          <w:lang w:bidi="ar"/>
          <w14:textFill>
            <w14:solidFill>
              <w14:schemeClr w14:val="tx1"/>
            </w14:solidFill>
          </w14:textFill>
        </w:rPr>
        <w:t>时</w:t>
      </w:r>
      <w:r>
        <w:rPr>
          <w:rFonts w:hint="eastAsia" w:ascii="仿宋_GB2312" w:hAnsi="仿宋_GB2312" w:eastAsia="仿宋_GB2312" w:cs="仿宋_GB2312"/>
          <w:color w:val="000000" w:themeColor="text1"/>
          <w:sz w:val="28"/>
          <w:szCs w:val="28"/>
          <w14:textFill>
            <w14:solidFill>
              <w14:schemeClr w14:val="tx1"/>
            </w14:solidFill>
          </w14:textFill>
        </w:rPr>
        <w:t>，</w:t>
      </w:r>
      <w:r>
        <w:rPr>
          <w:rStyle w:val="32"/>
          <w:rFonts w:hint="default" w:ascii="仿宋_GB2312" w:hAnsi="仿宋_GB2312" w:eastAsia="仿宋_GB2312" w:cs="仿宋_GB2312"/>
          <w:color w:val="000000" w:themeColor="text1"/>
          <w:sz w:val="28"/>
          <w:szCs w:val="28"/>
          <w:lang w:bidi="ar"/>
          <w14:textFill>
            <w14:solidFill>
              <w14:schemeClr w14:val="tx1"/>
            </w14:solidFill>
          </w14:textFill>
        </w:rPr>
        <w:t>双方签署终验文件。</w:t>
      </w:r>
    </w:p>
    <w:p w14:paraId="32DE374B">
      <w:pPr>
        <w:spacing w:line="360" w:lineRule="auto"/>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（二）日常服务要求</w:t>
      </w:r>
    </w:p>
    <w:p w14:paraId="7C3C1D17">
      <w:pPr>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投标人需自行提供上述特殊基础设施服务的日常维保服务，保障系统持续可用，确保随时响应，要求响应时间为7*24小时，并1小时内到达现场，以满足网信办日常系统使用需求。</w:t>
      </w:r>
    </w:p>
    <w:p w14:paraId="7DA6A74E">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lang w:eastAsia="zh-CN"/>
        </w:rPr>
      </w:pPr>
    </w:p>
    <w:p w14:paraId="001E55B1">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b/>
          <w:sz w:val="28"/>
          <w:szCs w:val="28"/>
          <w:lang w:val="en-US"/>
        </w:rPr>
      </w:pPr>
      <w:r>
        <w:rPr>
          <w:rFonts w:hint="eastAsia" w:ascii="仿宋_GB2312" w:eastAsia="仿宋_GB2312"/>
          <w:sz w:val="28"/>
          <w:szCs w:val="28"/>
        </w:rPr>
        <w:t xml:space="preserve">                      </w:t>
      </w:r>
      <w:r>
        <w:rPr>
          <w:rFonts w:hint="eastAsia" w:ascii="仿宋_GB2312" w:eastAsia="仿宋_GB2312"/>
          <w:b/>
          <w:sz w:val="28"/>
          <w:szCs w:val="28"/>
        </w:rPr>
        <w:t xml:space="preserve"> </w:t>
      </w:r>
      <w:r>
        <w:rPr>
          <w:rFonts w:hint="eastAsia" w:ascii="仿宋_GB2312" w:eastAsia="仿宋_GB2312"/>
          <w:b/>
          <w:sz w:val="28"/>
          <w:szCs w:val="28"/>
          <w:lang w:val="en-US" w:eastAsia="zh-CN"/>
        </w:rPr>
        <w:t>广东南方网络信息科技有限公司</w:t>
      </w:r>
    </w:p>
    <w:p w14:paraId="3EDCE94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right"/>
        <w:textAlignment w:val="auto"/>
      </w:pPr>
      <w:r>
        <w:rPr>
          <w:rFonts w:hint="eastAsia" w:ascii="仿宋_GB2312" w:eastAsia="仿宋_GB2312"/>
          <w:b/>
          <w:sz w:val="28"/>
          <w:szCs w:val="28"/>
        </w:rPr>
        <w:t xml:space="preserve">                                 202</w:t>
      </w:r>
      <w:r>
        <w:rPr>
          <w:rFonts w:hint="eastAsia" w:ascii="仿宋_GB2312" w:eastAsia="仿宋_GB2312"/>
          <w:b/>
          <w:sz w:val="28"/>
          <w:szCs w:val="28"/>
          <w:u w:val="single"/>
          <w:lang w:val="en-US" w:eastAsia="zh-CN"/>
        </w:rPr>
        <w:t xml:space="preserve"> 5 </w:t>
      </w:r>
      <w:r>
        <w:rPr>
          <w:rFonts w:hint="eastAsia" w:ascii="仿宋_GB2312" w:eastAsia="仿宋_GB2312"/>
          <w:b/>
          <w:sz w:val="28"/>
          <w:szCs w:val="28"/>
        </w:rPr>
        <w:t>年</w:t>
      </w:r>
      <w:r>
        <w:rPr>
          <w:rFonts w:hint="eastAsia" w:ascii="仿宋_GB2312" w:eastAsia="仿宋_GB2312"/>
          <w:b/>
          <w:sz w:val="28"/>
          <w:szCs w:val="28"/>
          <w:u w:val="single"/>
          <w:lang w:val="en-US" w:eastAsia="zh-CN"/>
        </w:rPr>
        <w:t xml:space="preserve">  9 </w:t>
      </w:r>
      <w:r>
        <w:rPr>
          <w:rFonts w:hint="eastAsia" w:ascii="仿宋_GB2312" w:eastAsia="仿宋_GB2312"/>
          <w:b/>
          <w:sz w:val="28"/>
          <w:szCs w:val="28"/>
        </w:rPr>
        <w:t>月</w:t>
      </w:r>
      <w:r>
        <w:rPr>
          <w:rFonts w:hint="eastAsia" w:ascii="仿宋_GB2312" w:eastAsia="仿宋_GB2312"/>
          <w:b/>
          <w:sz w:val="28"/>
          <w:szCs w:val="28"/>
          <w:u w:val="single"/>
          <w:lang w:val="en-US" w:eastAsia="zh-CN"/>
        </w:rPr>
        <w:t xml:space="preserve">   </w:t>
      </w:r>
      <w:r>
        <w:rPr>
          <w:rFonts w:hint="eastAsia" w:ascii="仿宋_GB2312" w:eastAsia="仿宋_GB2312"/>
          <w:b/>
          <w:sz w:val="28"/>
          <w:szCs w:val="28"/>
        </w:rPr>
        <w:t>日</w:t>
      </w:r>
      <w:r>
        <w:rPr>
          <w:sz w:val="28"/>
          <w:szCs w:val="28"/>
        </w:rPr>
        <w:t xml:space="preserve"> </w:t>
      </w:r>
    </w:p>
    <w:p w14:paraId="2277E615">
      <w:pPr>
        <w:pStyle w:val="5"/>
        <w:widowControl w:val="0"/>
        <w:numPr>
          <w:ilvl w:val="0"/>
          <w:numId w:val="0"/>
        </w:numPr>
        <w:spacing w:after="120"/>
        <w:jc w:val="center"/>
        <w:rPr>
          <w:rFonts w:hint="default" w:ascii="方正小标宋简体" w:hAnsi="方正小标宋简体" w:eastAsia="方正小标宋简体" w:cs="方正小标宋简体"/>
          <w:b/>
          <w:sz w:val="36"/>
          <w:szCs w:val="36"/>
          <w:lang w:val="en-US" w:eastAsia="zh-CN"/>
        </w:rPr>
      </w:pPr>
    </w:p>
    <w:p w14:paraId="7B0D26D9">
      <w:pPr>
        <w:pStyle w:val="5"/>
        <w:widowControl w:val="0"/>
        <w:numPr>
          <w:ilvl w:val="0"/>
          <w:numId w:val="0"/>
        </w:numPr>
        <w:spacing w:after="120"/>
        <w:jc w:val="center"/>
        <w:rPr>
          <w:rFonts w:hint="eastAsia" w:ascii="仿宋_GB2312" w:hAnsi="仿宋_GB2312" w:eastAsia="仿宋_GB2312" w:cs="仿宋_GB2312"/>
          <w:b/>
          <w:sz w:val="28"/>
          <w:szCs w:val="28"/>
          <w:lang w:val="en-US" w:eastAsia="zh-CN"/>
        </w:rPr>
        <w:sectPr>
          <w:footerReference r:id="rId3" w:type="default"/>
          <w:pgSz w:w="11906" w:h="16838"/>
          <w:pgMar w:top="2098" w:right="1587" w:bottom="1984" w:left="1587" w:header="851" w:footer="709" w:gutter="0"/>
          <w:pgNumType w:fmt="decimal"/>
          <w:cols w:space="720" w:num="1"/>
          <w:docGrid w:type="lines" w:linePitch="312" w:charSpace="0"/>
        </w:sectPr>
      </w:pPr>
    </w:p>
    <w:p w14:paraId="4E30B937">
      <w:pPr>
        <w:pStyle w:val="28"/>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6" w:name="_Toc1917"/>
      <w:r>
        <w:rPr>
          <w:rFonts w:hint="eastAsia" w:ascii="方正小标宋简体" w:hAnsi="方正小标宋简体" w:eastAsia="方正小标宋简体" w:cs="方正小标宋简体"/>
          <w:b/>
          <w:kern w:val="2"/>
          <w:sz w:val="36"/>
          <w:szCs w:val="36"/>
          <w:lang w:val="en-US" w:eastAsia="zh-CN" w:bidi="ar-SA"/>
        </w:rPr>
        <w:t>商务合同</w:t>
      </w:r>
      <w:bookmarkEnd w:id="26"/>
    </w:p>
    <w:p w14:paraId="3C54FC94">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64761FA2">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794BD506">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06239999">
      <w:pPr>
        <w:spacing w:line="400" w:lineRule="exact"/>
        <w:jc w:val="left"/>
        <w:rPr>
          <w:rFonts w:hint="eastAsia" w:ascii="宋体" w:hAnsi="宋体" w:eastAsia="宋体" w:cs="宋体"/>
          <w:color w:val="auto"/>
          <w:szCs w:val="21"/>
          <w:lang w:val="en-US" w:eastAsia="zh-CN"/>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eastAsia="宋体" w:cs="宋体"/>
          <w:color w:val="auto"/>
          <w:szCs w:val="21"/>
          <w:lang w:val="en-US" w:eastAsia="zh-CN"/>
        </w:rPr>
        <w:t>。广东南方网络信息科技有限公司为合同甲方；成交人为合同乙方。</w:t>
      </w:r>
    </w:p>
    <w:p w14:paraId="731E0E44">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14:paraId="0A3D2171">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14:paraId="2D48C613">
      <w:pPr>
        <w:spacing w:line="360" w:lineRule="auto"/>
        <w:jc w:val="center"/>
        <w:rPr>
          <w:rFonts w:hint="eastAsia" w:ascii="宋体" w:hAnsi="宋体" w:eastAsia="宋体" w:cs="宋体"/>
          <w:b/>
          <w:bCs w:val="0"/>
          <w:sz w:val="32"/>
          <w:szCs w:val="32"/>
          <w:lang w:val="en-US" w:eastAsia="zh-CN"/>
        </w:rPr>
      </w:pPr>
    </w:p>
    <w:p w14:paraId="5D392A7E">
      <w:pPr>
        <w:jc w:val="center"/>
        <w:rPr>
          <w:rFonts w:hint="eastAsia" w:ascii="宋体" w:hAnsi="宋体" w:eastAsia="宋体" w:cs="宋体"/>
          <w:b/>
          <w:bCs w:val="0"/>
          <w:sz w:val="32"/>
          <w:szCs w:val="32"/>
          <w:lang w:val="en-US" w:eastAsia="zh-CN"/>
        </w:rPr>
        <w:sectPr>
          <w:pgSz w:w="11906" w:h="16838"/>
          <w:pgMar w:top="1587" w:right="1587" w:bottom="1304" w:left="1587" w:header="851" w:footer="709" w:gutter="0"/>
          <w:pgNumType w:fmt="decimal"/>
          <w:cols w:space="720" w:num="1"/>
          <w:docGrid w:type="lines" w:linePitch="312" w:charSpace="0"/>
        </w:sectPr>
      </w:pPr>
      <w:r>
        <w:rPr>
          <w:rFonts w:hint="eastAsia" w:ascii="宋体" w:hAnsi="宋体" w:eastAsia="宋体" w:cs="宋体"/>
          <w:b/>
          <w:bCs w:val="0"/>
          <w:sz w:val="32"/>
          <w:szCs w:val="32"/>
          <w:lang w:val="en-US" w:eastAsia="zh-CN"/>
        </w:rPr>
        <w:t xml:space="preserve"> </w:t>
      </w:r>
    </w:p>
    <w:p w14:paraId="3656E700">
      <w:pPr>
        <w:pStyle w:val="5"/>
        <w:ind w:left="0"/>
        <w:jc w:val="center"/>
        <w:rPr>
          <w:rFonts w:ascii="华文仿宋" w:hAnsi="华文仿宋" w:eastAsia="华文仿宋" w:cs="华文仿宋"/>
          <w:sz w:val="24"/>
          <w:szCs w:val="24"/>
          <w:highlight w:val="none"/>
        </w:rPr>
      </w:pPr>
      <w:r>
        <w:rPr>
          <w:rFonts w:hint="eastAsia" w:ascii="黑体" w:eastAsia="黑体"/>
          <w:b/>
          <w:color w:val="000000"/>
          <w:sz w:val="48"/>
          <w:szCs w:val="44"/>
          <w:highlight w:val="none"/>
        </w:rPr>
        <w:t>零信任VPN设备采购项目合同</w:t>
      </w:r>
    </w:p>
    <w:p w14:paraId="7675068B">
      <w:pPr>
        <w:tabs>
          <w:tab w:val="left" w:pos="5645"/>
        </w:tabs>
        <w:spacing w:line="360" w:lineRule="auto"/>
        <w:ind w:left="100"/>
        <w:rPr>
          <w:rFonts w:hint="eastAsia" w:ascii="仿宋_GB2312" w:hAnsi="仿宋_GB2312" w:eastAsia="仿宋_GB2312" w:cs="仿宋_GB2312"/>
          <w:b/>
          <w:bCs/>
          <w:sz w:val="24"/>
          <w:szCs w:val="24"/>
          <w:highlight w:val="none"/>
        </w:rPr>
      </w:pPr>
    </w:p>
    <w:p w14:paraId="5EDE39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highlight w:val="none"/>
        </w:rPr>
        <w:t>甲方：</w:t>
      </w:r>
    </w:p>
    <w:p w14:paraId="01CC12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lang w:val="en-US" w:eastAsia="zh-CN"/>
        </w:rPr>
      </w:pPr>
      <w:r>
        <w:rPr>
          <w:rFonts w:hint="eastAsia"/>
          <w:highlight w:val="none"/>
          <w:lang w:val="en-US" w:eastAsia="zh-CN"/>
        </w:rPr>
        <w:t>地址：</w:t>
      </w:r>
    </w:p>
    <w:p w14:paraId="22AA4D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lang w:val="en-US" w:eastAsia="zh-CN"/>
        </w:rPr>
      </w:pPr>
      <w:r>
        <w:rPr>
          <w:rFonts w:hint="eastAsia"/>
          <w:highlight w:val="none"/>
          <w:lang w:val="en-US" w:eastAsia="zh-CN"/>
        </w:rPr>
        <w:t>联系人：</w:t>
      </w:r>
    </w:p>
    <w:p w14:paraId="048EDF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ighlight w:val="none"/>
          <w:lang w:val="en-US" w:eastAsia="zh-CN"/>
        </w:rPr>
      </w:pPr>
      <w:r>
        <w:rPr>
          <w:rFonts w:hint="eastAsia"/>
          <w:highlight w:val="none"/>
          <w:lang w:val="en-US" w:eastAsia="zh-CN"/>
        </w:rPr>
        <w:t>联系方式：</w:t>
      </w:r>
    </w:p>
    <w:p w14:paraId="2C0FCA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lang w:val="en-US" w:eastAsia="zh-CN"/>
        </w:rPr>
      </w:pPr>
      <w:r>
        <w:rPr>
          <w:rFonts w:hint="eastAsia"/>
          <w:highlight w:val="none"/>
        </w:rPr>
        <w:t>乙方：</w:t>
      </w:r>
      <w:r>
        <w:rPr>
          <w:rFonts w:hint="eastAsia"/>
          <w:highlight w:val="none"/>
          <w:lang w:val="en-US" w:eastAsia="zh-CN"/>
        </w:rPr>
        <w:t xml:space="preserve"> </w:t>
      </w:r>
    </w:p>
    <w:p w14:paraId="5912E8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lang w:val="en-US" w:eastAsia="zh-CN"/>
        </w:rPr>
      </w:pPr>
      <w:r>
        <w:rPr>
          <w:rFonts w:hint="eastAsia"/>
          <w:highlight w:val="none"/>
          <w:lang w:val="en-US" w:eastAsia="zh-CN"/>
        </w:rPr>
        <w:t>地址：</w:t>
      </w:r>
    </w:p>
    <w:p w14:paraId="47CA47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lang w:val="en-US" w:eastAsia="zh-CN"/>
        </w:rPr>
      </w:pPr>
      <w:r>
        <w:rPr>
          <w:rFonts w:hint="eastAsia"/>
          <w:highlight w:val="none"/>
          <w:lang w:val="en-US" w:eastAsia="zh-CN"/>
        </w:rPr>
        <w:t>联系人：</w:t>
      </w:r>
    </w:p>
    <w:p w14:paraId="2F60D5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ighlight w:val="none"/>
          <w:lang w:val="en-US" w:eastAsia="zh-CN"/>
        </w:rPr>
      </w:pPr>
      <w:r>
        <w:rPr>
          <w:rFonts w:hint="eastAsia"/>
          <w:highlight w:val="none"/>
          <w:lang w:val="en-US" w:eastAsia="zh-CN"/>
        </w:rPr>
        <w:t>联系方式：</w:t>
      </w:r>
    </w:p>
    <w:p w14:paraId="7A6DA5C2">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p>
    <w:p w14:paraId="0A8B3A0F">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为了保护甲乙双方合法权益，根据</w:t>
      </w:r>
      <w:r>
        <w:rPr>
          <w:rFonts w:hint="eastAsia" w:ascii="仿宋_GB2312" w:hAnsi="仿宋_GB2312" w:eastAsia="仿宋_GB2312" w:cs="仿宋_GB2312"/>
          <w:sz w:val="24"/>
          <w:szCs w:val="24"/>
          <w:highlight w:val="none"/>
          <w:lang w:val="en-US" w:eastAsia="zh-CN"/>
        </w:rPr>
        <w:t>法律法规</w:t>
      </w:r>
      <w:r>
        <w:rPr>
          <w:rFonts w:hint="eastAsia" w:ascii="仿宋_GB2312" w:hAnsi="仿宋_GB2312" w:eastAsia="仿宋_GB2312" w:cs="仿宋_GB2312"/>
          <w:sz w:val="24"/>
          <w:szCs w:val="24"/>
          <w:highlight w:val="none"/>
        </w:rPr>
        <w:t>及项目的要求，经甲乙双方协商一致，签订本合同。</w:t>
      </w:r>
    </w:p>
    <w:p w14:paraId="227593C9">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一、项目内容</w:t>
      </w:r>
    </w:p>
    <w:p w14:paraId="1D7E5945">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1.详见采购需求书</w:t>
      </w:r>
    </w:p>
    <w:p w14:paraId="1D1BC638">
      <w:pPr>
        <w:spacing w:line="360" w:lineRule="auto"/>
        <w:ind w:firstLine="547" w:firstLineChars="228"/>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由生产厂家负责产品保修服务，保修期根据生产厂家执行。乙方应向甲方提供相关质量证明和保修凭证，并提供协调服务，以确保甲方能充分享受产品保修服务。</w:t>
      </w:r>
      <w:r>
        <w:rPr>
          <w:rFonts w:hint="eastAsia" w:ascii="仿宋_GB2312" w:hAnsi="仿宋_GB2312" w:eastAsia="仿宋_GB2312" w:cs="仿宋_GB2312"/>
          <w:sz w:val="24"/>
          <w:szCs w:val="24"/>
          <w:highlight w:val="none"/>
          <w:lang w:val="en-US" w:eastAsia="zh-CN"/>
        </w:rPr>
        <w:t>乙方</w:t>
      </w:r>
      <w:r>
        <w:rPr>
          <w:rFonts w:hint="eastAsia" w:ascii="仿宋_GB2312" w:hAnsi="仿宋_GB2312" w:eastAsia="仿宋_GB2312" w:cs="仿宋_GB2312"/>
          <w:sz w:val="24"/>
          <w:szCs w:val="24"/>
          <w:highlight w:val="none"/>
        </w:rPr>
        <w:t>提供的零信任VPN设备自</w:t>
      </w:r>
      <w:r>
        <w:rPr>
          <w:rFonts w:hint="eastAsia" w:ascii="仿宋_GB2312" w:hAnsi="仿宋_GB2312" w:eastAsia="仿宋_GB2312" w:cs="仿宋_GB2312"/>
          <w:sz w:val="24"/>
          <w:szCs w:val="24"/>
          <w:highlight w:val="none"/>
          <w:lang w:val="en-US" w:eastAsia="zh-CN"/>
        </w:rPr>
        <w:t>甲乙双方共同</w:t>
      </w:r>
      <w:r>
        <w:rPr>
          <w:rFonts w:hint="eastAsia" w:ascii="仿宋_GB2312" w:hAnsi="仿宋_GB2312" w:eastAsia="仿宋_GB2312" w:cs="仿宋_GB2312"/>
          <w:sz w:val="24"/>
          <w:szCs w:val="24"/>
          <w:highlight w:val="none"/>
        </w:rPr>
        <w:t>完成验收之日起，</w:t>
      </w:r>
      <w:r>
        <w:rPr>
          <w:rFonts w:hint="eastAsia" w:ascii="仿宋_GB2312" w:hAnsi="仿宋_GB2312" w:eastAsia="仿宋_GB2312" w:cs="仿宋_GB2312"/>
          <w:sz w:val="24"/>
          <w:szCs w:val="24"/>
          <w:highlight w:val="none"/>
          <w:lang w:val="en-US" w:eastAsia="zh-CN"/>
        </w:rPr>
        <w:t>乙方</w:t>
      </w:r>
      <w:r>
        <w:rPr>
          <w:rFonts w:hint="eastAsia" w:ascii="仿宋_GB2312" w:hAnsi="仿宋_GB2312" w:eastAsia="仿宋_GB2312" w:cs="仿宋_GB2312"/>
          <w:sz w:val="24"/>
          <w:szCs w:val="24"/>
          <w:highlight w:val="none"/>
        </w:rPr>
        <w:t>需提供为期3年的质量保障服务，包括故障响应及规则内容的定期迭代更新。</w:t>
      </w:r>
    </w:p>
    <w:p w14:paraId="7ECA47D9">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货物为原制造商制造的全新产品，整机无污染，无侵权行为、表面无划损、无任何缺陷隐患。</w:t>
      </w:r>
    </w:p>
    <w:p w14:paraId="7BE44356">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二、交货时间、地点</w:t>
      </w:r>
    </w:p>
    <w:p w14:paraId="59486770">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交货时间：</w:t>
      </w:r>
      <w:r>
        <w:rPr>
          <w:rFonts w:hint="eastAsia" w:ascii="仿宋_GB2312" w:hAnsi="仿宋_GB2312" w:eastAsia="仿宋_GB2312" w:cs="仿宋_GB2312"/>
          <w:sz w:val="24"/>
          <w:szCs w:val="24"/>
          <w:highlight w:val="none"/>
          <w:lang w:val="en-US" w:eastAsia="zh-CN"/>
        </w:rPr>
        <w:t>详见采购需求书</w:t>
      </w:r>
      <w:r>
        <w:rPr>
          <w:rFonts w:hint="eastAsia" w:ascii="仿宋_GB2312" w:hAnsi="仿宋_GB2312" w:eastAsia="仿宋_GB2312" w:cs="仿宋_GB2312"/>
          <w:sz w:val="24"/>
          <w:szCs w:val="24"/>
          <w:highlight w:val="none"/>
        </w:rPr>
        <w:t xml:space="preserve"> </w:t>
      </w:r>
    </w:p>
    <w:p w14:paraId="7FBD5404">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交货地点：</w:t>
      </w:r>
      <w:r>
        <w:rPr>
          <w:rFonts w:hint="eastAsia" w:ascii="仿宋_GB2312" w:hAnsi="仿宋_GB2312" w:eastAsia="仿宋_GB2312" w:cs="仿宋_GB2312"/>
          <w:sz w:val="24"/>
          <w:szCs w:val="24"/>
          <w:highlight w:val="none"/>
          <w:lang w:val="en-US" w:eastAsia="zh-CN"/>
        </w:rPr>
        <w:t>甲方指定地点。</w:t>
      </w:r>
    </w:p>
    <w:p w14:paraId="2C6CBB7F">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rPr>
      </w:pP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运输方式：送货上门</w:t>
      </w:r>
    </w:p>
    <w:p w14:paraId="54B4DEB7">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供货运输费用由乙方承担</w:t>
      </w:r>
    </w:p>
    <w:p w14:paraId="6150EF5A">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三、</w:t>
      </w:r>
      <w:r>
        <w:rPr>
          <w:rFonts w:hint="eastAsia" w:ascii="仿宋_GB2312" w:hAnsi="仿宋_GB2312" w:eastAsia="仿宋_GB2312" w:cs="仿宋_GB2312"/>
          <w:sz w:val="24"/>
          <w:szCs w:val="24"/>
          <w:highlight w:val="none"/>
        </w:rPr>
        <w:t>验收标准：</w:t>
      </w:r>
    </w:p>
    <w:p w14:paraId="4B148613">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rPr>
        <w:t>甲方应在</w:t>
      </w:r>
      <w:r>
        <w:rPr>
          <w:rFonts w:hint="eastAsia" w:ascii="仿宋_GB2312" w:hAnsi="仿宋_GB2312" w:eastAsia="仿宋_GB2312" w:cs="仿宋_GB2312"/>
          <w:sz w:val="24"/>
          <w:szCs w:val="24"/>
          <w:highlight w:val="none"/>
          <w:lang w:eastAsia="zh-CN"/>
        </w:rPr>
        <w:t>货物</w:t>
      </w:r>
      <w:r>
        <w:rPr>
          <w:rFonts w:hint="eastAsia" w:ascii="仿宋_GB2312" w:hAnsi="仿宋_GB2312" w:eastAsia="仿宋_GB2312" w:cs="仿宋_GB2312"/>
          <w:sz w:val="24"/>
          <w:szCs w:val="24"/>
          <w:highlight w:val="none"/>
        </w:rPr>
        <w:t>到货后</w:t>
      </w:r>
      <w:r>
        <w:rPr>
          <w:rFonts w:hint="eastAsia" w:ascii="仿宋_GB2312" w:hAnsi="仿宋_GB2312" w:eastAsia="仿宋_GB2312" w:cs="仿宋_GB2312"/>
          <w:sz w:val="24"/>
          <w:szCs w:val="24"/>
          <w:highlight w:val="none"/>
          <w:lang w:val="en-US" w:eastAsia="zh-CN"/>
        </w:rPr>
        <w:t>及时</w:t>
      </w:r>
      <w:r>
        <w:rPr>
          <w:rFonts w:hint="eastAsia" w:ascii="仿宋_GB2312" w:hAnsi="仿宋_GB2312" w:eastAsia="仿宋_GB2312" w:cs="仿宋_GB2312"/>
          <w:sz w:val="24"/>
          <w:szCs w:val="24"/>
          <w:highlight w:val="none"/>
        </w:rPr>
        <w:t>验收</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甲方在验收中如发现</w:t>
      </w:r>
      <w:r>
        <w:rPr>
          <w:rFonts w:hint="eastAsia" w:ascii="仿宋_GB2312" w:hAnsi="仿宋_GB2312" w:eastAsia="仿宋_GB2312" w:cs="仿宋_GB2312"/>
          <w:sz w:val="24"/>
          <w:szCs w:val="24"/>
          <w:highlight w:val="none"/>
          <w:lang w:val="en-US" w:eastAsia="zh-CN"/>
        </w:rPr>
        <w:t>货物与甲方要求不符</w:t>
      </w:r>
      <w:r>
        <w:rPr>
          <w:rFonts w:hint="eastAsia" w:ascii="仿宋_GB2312" w:hAnsi="仿宋_GB2312" w:eastAsia="仿宋_GB2312" w:cs="仿宋_GB2312"/>
          <w:sz w:val="24"/>
          <w:szCs w:val="24"/>
          <w:highlight w:val="none"/>
        </w:rPr>
        <w:t>，须在</w:t>
      </w:r>
      <w:r>
        <w:rPr>
          <w:rFonts w:hint="eastAsia" w:ascii="仿宋_GB2312" w:hAnsi="仿宋_GB2312" w:eastAsia="仿宋_GB2312" w:cs="仿宋_GB2312"/>
          <w:sz w:val="24"/>
          <w:szCs w:val="24"/>
          <w:highlight w:val="none"/>
          <w:lang w:val="en-US" w:eastAsia="zh-CN"/>
        </w:rPr>
        <w:t>货物</w:t>
      </w:r>
      <w:r>
        <w:rPr>
          <w:rFonts w:hint="eastAsia" w:ascii="仿宋_GB2312" w:hAnsi="仿宋_GB2312" w:eastAsia="仿宋_GB2312" w:cs="仿宋_GB2312"/>
          <w:sz w:val="24"/>
          <w:szCs w:val="24"/>
          <w:highlight w:val="none"/>
        </w:rPr>
        <w:t>到货后</w:t>
      </w:r>
      <w:r>
        <w:rPr>
          <w:rFonts w:hint="eastAsia" w:ascii="仿宋_GB2312" w:hAnsi="仿宋_GB2312" w:eastAsia="仿宋_GB2312" w:cs="仿宋_GB2312"/>
          <w:sz w:val="24"/>
          <w:szCs w:val="24"/>
          <w:highlight w:val="none"/>
          <w:lang w:val="en-US" w:eastAsia="zh-CN"/>
        </w:rPr>
        <w:t>30</w:t>
      </w:r>
      <w:r>
        <w:rPr>
          <w:rFonts w:hint="eastAsia" w:ascii="仿宋_GB2312" w:hAnsi="仿宋_GB2312" w:eastAsia="仿宋_GB2312" w:cs="仿宋_GB2312"/>
          <w:sz w:val="24"/>
          <w:szCs w:val="24"/>
          <w:highlight w:val="none"/>
        </w:rPr>
        <w:t>日内提出异议和处理意见</w:t>
      </w:r>
      <w:r>
        <w:rPr>
          <w:rFonts w:hint="eastAsia" w:ascii="仿宋_GB2312" w:hAnsi="仿宋_GB2312" w:eastAsia="仿宋_GB2312" w:cs="仿宋_GB2312"/>
          <w:sz w:val="24"/>
          <w:szCs w:val="24"/>
          <w:highlight w:val="none"/>
          <w:lang w:eastAsia="zh-CN"/>
        </w:rPr>
        <w:t>，乙方提供专业人员进行现场安装、调试，乙方必须保证提供的货品符合国家相关质量标准。若出现产品不符合合同约定或质量不合格，甲方有权要求免费更换或退货</w:t>
      </w:r>
      <w:r>
        <w:rPr>
          <w:rFonts w:hint="eastAsia" w:ascii="仿宋_GB2312" w:hAnsi="仿宋_GB2312" w:eastAsia="仿宋_GB2312" w:cs="仿宋_GB2312"/>
          <w:sz w:val="24"/>
          <w:szCs w:val="24"/>
          <w:highlight w:val="none"/>
        </w:rPr>
        <w:t>；</w:t>
      </w:r>
    </w:p>
    <w:p w14:paraId="519E1029">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乙方向甲方交付本合同所涉</w:t>
      </w:r>
      <w:r>
        <w:rPr>
          <w:rFonts w:hint="eastAsia" w:ascii="仿宋_GB2312" w:hAnsi="仿宋_GB2312" w:eastAsia="仿宋_GB2312" w:cs="仿宋_GB2312"/>
          <w:sz w:val="24"/>
          <w:szCs w:val="24"/>
          <w:highlight w:val="none"/>
          <w:lang w:val="en-US" w:eastAsia="zh-CN"/>
        </w:rPr>
        <w:t>货物并验收无误</w:t>
      </w:r>
      <w:r>
        <w:rPr>
          <w:rFonts w:hint="eastAsia" w:ascii="仿宋_GB2312" w:hAnsi="仿宋_GB2312" w:eastAsia="仿宋_GB2312" w:cs="仿宋_GB2312"/>
          <w:sz w:val="24"/>
          <w:szCs w:val="24"/>
          <w:highlight w:val="none"/>
        </w:rPr>
        <w:t>后，相关</w:t>
      </w:r>
      <w:r>
        <w:rPr>
          <w:rFonts w:hint="eastAsia" w:ascii="仿宋_GB2312" w:hAnsi="仿宋_GB2312" w:eastAsia="仿宋_GB2312" w:cs="仿宋_GB2312"/>
          <w:sz w:val="24"/>
          <w:szCs w:val="24"/>
          <w:highlight w:val="none"/>
          <w:lang w:val="en-US" w:eastAsia="zh-CN"/>
        </w:rPr>
        <w:t>货物</w:t>
      </w:r>
      <w:r>
        <w:rPr>
          <w:rFonts w:hint="eastAsia" w:ascii="仿宋_GB2312" w:hAnsi="仿宋_GB2312" w:eastAsia="仿宋_GB2312" w:cs="仿宋_GB2312"/>
          <w:sz w:val="24"/>
          <w:szCs w:val="24"/>
          <w:highlight w:val="none"/>
        </w:rPr>
        <w:t>毁损、灭失的风险由甲方自行承担；</w:t>
      </w:r>
    </w:p>
    <w:p w14:paraId="1F7C1B31">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lang w:eastAsia="zh-CN"/>
        </w:rPr>
        <w:t>若甲方提出合理</w:t>
      </w:r>
      <w:r>
        <w:rPr>
          <w:rFonts w:hint="eastAsia" w:ascii="仿宋_GB2312" w:hAnsi="仿宋_GB2312" w:eastAsia="仿宋_GB2312" w:cs="仿宋_GB2312"/>
          <w:sz w:val="24"/>
          <w:szCs w:val="24"/>
          <w:highlight w:val="none"/>
          <w:lang w:val="en-US" w:eastAsia="zh-CN"/>
        </w:rPr>
        <w:t>异议</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乙方接到甲方异议后</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个工作日安排处理</w:t>
      </w:r>
      <w:r>
        <w:rPr>
          <w:rFonts w:hint="eastAsia" w:ascii="仿宋_GB2312" w:hAnsi="仿宋_GB2312" w:eastAsia="仿宋_GB2312" w:cs="仿宋_GB2312"/>
          <w:sz w:val="24"/>
          <w:szCs w:val="24"/>
          <w:highlight w:val="none"/>
          <w:lang w:eastAsia="zh-CN"/>
        </w:rPr>
        <w:t>，乙方根据</w:t>
      </w:r>
      <w:r>
        <w:rPr>
          <w:rFonts w:hint="eastAsia" w:ascii="仿宋_GB2312" w:hAnsi="仿宋_GB2312" w:eastAsia="仿宋_GB2312" w:cs="仿宋_GB2312"/>
          <w:sz w:val="24"/>
          <w:szCs w:val="24"/>
          <w:highlight w:val="none"/>
          <w:lang w:val="en-US" w:eastAsia="zh-CN"/>
        </w:rPr>
        <w:t>异议</w:t>
      </w:r>
      <w:r>
        <w:rPr>
          <w:rFonts w:hint="eastAsia" w:ascii="仿宋_GB2312" w:hAnsi="仿宋_GB2312" w:eastAsia="仿宋_GB2312" w:cs="仿宋_GB2312"/>
          <w:sz w:val="24"/>
          <w:szCs w:val="24"/>
          <w:highlight w:val="none"/>
          <w:lang w:eastAsia="zh-CN"/>
        </w:rPr>
        <w:t>完成相应的工作后，再向甲方重新提出验收申请，乙方应无条件配合验收工作，提交验收材料。</w:t>
      </w:r>
    </w:p>
    <w:p w14:paraId="7D16EB49">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四</w:t>
      </w:r>
      <w:r>
        <w:rPr>
          <w:rFonts w:hint="eastAsia" w:ascii="仿宋_GB2312" w:hAnsi="仿宋_GB2312" w:eastAsia="仿宋_GB2312" w:cs="仿宋_GB2312"/>
          <w:sz w:val="24"/>
          <w:szCs w:val="24"/>
          <w:highlight w:val="none"/>
        </w:rPr>
        <w:t>、货款支付：</w:t>
      </w:r>
    </w:p>
    <w:p w14:paraId="764E43DF">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bookmarkStart w:id="27" w:name="_Hlk53387653"/>
      <w:r>
        <w:rPr>
          <w:rFonts w:hint="eastAsia" w:ascii="仿宋_GB2312" w:hAnsi="仿宋_GB2312" w:eastAsia="仿宋_GB2312" w:cs="仿宋_GB2312"/>
          <w:sz w:val="24"/>
          <w:szCs w:val="24"/>
          <w:highlight w:val="none"/>
          <w:lang w:val="en-US" w:eastAsia="zh-CN"/>
        </w:rPr>
        <w:t>1.合同金额（含税）为人民币【 】元，上述费用已包含乙方为完成本合同规定的各项内容所需的所有费用。与本合同相关的税费由乙方承担，本合同总价为含税价；</w:t>
      </w:r>
    </w:p>
    <w:p w14:paraId="4EF619D5">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合同签订后，乙方向甲方提供等额增值税专用发票，甲方收到最终客户方对应款项的前提下，于30个工作日内向乙方支付合同总额的50%，即【 】元。</w:t>
      </w:r>
    </w:p>
    <w:p w14:paraId="7FAFBCF6">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甲方对本合同第一条所列成果验收无误，乙方向甲方提供等额增值税专用发票，甲方收到最终客户方对应款项的前提下，于30个工作日内向乙方支付合同总额的50%，即【 】元。</w:t>
      </w:r>
    </w:p>
    <w:p w14:paraId="6B327F70">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2.付款方式：银行转账</w:t>
      </w:r>
    </w:p>
    <w:p w14:paraId="5318A24F">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名称：【 】</w:t>
      </w:r>
    </w:p>
    <w:p w14:paraId="4F944F8D">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开户银行：【 】</w:t>
      </w:r>
    </w:p>
    <w:p w14:paraId="0C96ED95">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银行账号：【 】</w:t>
      </w:r>
    </w:p>
    <w:p w14:paraId="677C096B">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乙方保证账号信息准确无误，若有变更乙方应至少提前5个工作日以书面方式通知甲方，否则由乙方自行承担所有后果及责任；</w:t>
      </w:r>
    </w:p>
    <w:p w14:paraId="764F638C">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3.如乙方未按时提供发票或提供的发票不合规，甲方有权延迟付款或拒绝付款且不承担任何违约责任；</w:t>
      </w:r>
    </w:p>
    <w:p w14:paraId="0D087CCA">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4.乙方未能按照付款要求提供材料的，甲方有权暂停付款，因此产生的不利后果由乙方自行承担；</w:t>
      </w:r>
    </w:p>
    <w:p w14:paraId="7CBC3F64">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5.甲方向乙方的银行账户汇出款项即为已经向乙方履行合同约定的付款义务，如因乙方账户被查封、冻结、注销等非甲方原因导致乙方未能收到款项的，责任由乙方自行承担。</w:t>
      </w:r>
    </w:p>
    <w:p w14:paraId="2180A57B">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6.若最终客户方以验收未达到目标为由对甲方进行费用扣减时，乙方同意将在本项目支付的款项中进行同等扣减；</w:t>
      </w:r>
    </w:p>
    <w:p w14:paraId="44D041C1">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7.乙方已知晓最终用户因财政预算、负责人调动等原因可能导致本合同项目逾期付款的风险并原意承担该风险；</w:t>
      </w:r>
    </w:p>
    <w:p w14:paraId="4E792908">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8.乙方已仔细阅读、认真了解并完全理解本条款内容，充分知悉最终用户方按期向甲方付款是本合同项下款项得以支付的基础和前提，以及同意接受最终用户未按期付款导致本合同项下款项不能按期支付的商业风险以及可能让渡的时间利益，不存在有歧义或不清楚的地方。若本条款约定的条件成立，乙方自愿遵守本条款的约定，积极配合甲方向最终用户进行维权，并承诺在最终用户付款前放弃就本合同项下款项向甲方主张违约责任的权利；</w:t>
      </w:r>
    </w:p>
    <w:p w14:paraId="2CE9DCEF">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lang w:val="en-US" w:eastAsia="zh-CN"/>
        </w:rPr>
      </w:pPr>
      <w:r>
        <w:rPr>
          <w:rFonts w:hint="eastAsia" w:ascii="仿宋_GB2312" w:hAnsi="仿宋_GB2312" w:eastAsia="仿宋_GB2312" w:cs="仿宋_GB2312"/>
          <w:sz w:val="24"/>
          <w:szCs w:val="24"/>
          <w:highlight w:val="none"/>
          <w:lang w:val="en-US" w:eastAsia="zh-CN"/>
        </w:rPr>
        <w:t>9.双方确认，在甲方指令乙方参与最终用户方阶段性验收考核及终验阶段，乙方必须无条件配合及参与，并视为乙方履行本合同的重要合同义务之一。同时在每一次阶段性验收或终验阶段，最终用户因阶段性验收或终验结果进行扣减合同款项（费用）时，本合同甲方有权扣减应支付乙方合同款项中相应金额的合同款项（费用）。</w:t>
      </w:r>
    </w:p>
    <w:p w14:paraId="227DD537">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五</w:t>
      </w:r>
      <w:r>
        <w:rPr>
          <w:rFonts w:hint="eastAsia" w:ascii="仿宋_GB2312" w:hAnsi="仿宋_GB2312" w:eastAsia="仿宋_GB2312" w:cs="仿宋_GB2312"/>
          <w:sz w:val="24"/>
          <w:szCs w:val="24"/>
          <w:highlight w:val="none"/>
        </w:rPr>
        <w:t>、保密</w:t>
      </w:r>
      <w:r>
        <w:rPr>
          <w:rFonts w:hint="eastAsia" w:ascii="仿宋_GB2312" w:hAnsi="仿宋_GB2312" w:eastAsia="仿宋_GB2312" w:cs="仿宋_GB2312"/>
          <w:sz w:val="24"/>
          <w:szCs w:val="24"/>
          <w:highlight w:val="none"/>
          <w:lang w:val="en-US" w:eastAsia="zh-CN"/>
        </w:rPr>
        <w:t>信息</w:t>
      </w:r>
    </w:p>
    <w:p w14:paraId="6BB2EAEC">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1.乙方对于因签署或履行本协议而了解或接触到甲方的秘密、其他未公开资料和信息均应保守秘密；</w:t>
      </w:r>
    </w:p>
    <w:p w14:paraId="6C50157F">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2.乙方不得向第三方泄露、给予或转让本协议条款、签订及履行情况。</w:t>
      </w:r>
    </w:p>
    <w:p w14:paraId="7AD0DDBB">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3.乙方不得擅自使用、复制甲方的商标、标志、商业信息、技术及其他资料，也不得将信息内容用作其他商业目的；</w:t>
      </w:r>
    </w:p>
    <w:p w14:paraId="1965FAF1">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lang w:eastAsia="zh-CN"/>
        </w:rPr>
        <w:t>合同终止后本条款仍具法律效力，直至相关信息不再具有保密意义。</w:t>
      </w:r>
    </w:p>
    <w:p w14:paraId="15C1152A">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六</w:t>
      </w:r>
      <w:r>
        <w:rPr>
          <w:rFonts w:hint="eastAsia" w:ascii="仿宋_GB2312" w:hAnsi="仿宋_GB2312" w:eastAsia="仿宋_GB2312" w:cs="仿宋_GB2312"/>
          <w:sz w:val="24"/>
          <w:szCs w:val="24"/>
          <w:highlight w:val="none"/>
        </w:rPr>
        <w:t>、违约责任 </w:t>
      </w:r>
    </w:p>
    <w:p w14:paraId="7D0043AE">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若乙方不能按时完成本合同第一条所列内容的，需每日按合同总金额的【3‰】向甲方支付违约金，逾期超过10日的，甲方有权解除合同，给甲方造成损失的，乙方还需赔偿损失，严重影响甲方利益或名誉的，甲方有权终止本合同，并有权要求乙方赔偿甲方一切损失；</w:t>
      </w:r>
    </w:p>
    <w:p w14:paraId="529BEC88">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w:t>
      </w:r>
    </w:p>
    <w:p w14:paraId="0BF8B0E2">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乙方未能按照约定处理履行合同过程中发生的问题，或者处理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14:paraId="50F26966">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4.乙方将本项目进行转包或进行分包的，甲方有权追回已支付的全部费用，乙方还应当向甲方支付合同总价款【10】%的违约金；甲方也可同时解除合同，违约金不足以弥补甲方损失的，由乙方继续赔偿。</w:t>
      </w:r>
    </w:p>
    <w:p w14:paraId="4152E84E">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七、法律适用及争议解决</w:t>
      </w:r>
    </w:p>
    <w:p w14:paraId="1D90C672">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1.若发生争议，双方应首先通过协商解决。协商不成可向甲方所在地人民法院提起诉讼，双方无争议的部分，应当继续履行；</w:t>
      </w:r>
    </w:p>
    <w:p w14:paraId="48EF0892">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2.本合同的成立、生效、履行、解释及纠纷解决等双方均同意适用中华人民共和国法律；</w:t>
      </w:r>
    </w:p>
    <w:p w14:paraId="19312C97">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3.合理的律师费、诉讼费、鉴定费、财产保全费、证据保全费、差旅费等由败诉一方承担。</w:t>
      </w:r>
    </w:p>
    <w:p w14:paraId="2B21F375">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八、</w:t>
      </w:r>
      <w:r>
        <w:rPr>
          <w:rFonts w:hint="eastAsia" w:ascii="仿宋_GB2312" w:hAnsi="仿宋_GB2312" w:eastAsia="仿宋_GB2312" w:cs="仿宋_GB2312"/>
          <w:sz w:val="24"/>
          <w:szCs w:val="24"/>
          <w:highlight w:val="none"/>
        </w:rPr>
        <w:t>不可抗力</w:t>
      </w:r>
    </w:p>
    <w:p w14:paraId="4A90B46A">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由于不可抗力原因不能履行合同时，</w:t>
      </w:r>
      <w:r>
        <w:rPr>
          <w:rFonts w:hint="eastAsia" w:ascii="仿宋_GB2312" w:hAnsi="仿宋_GB2312" w:eastAsia="仿宋_GB2312" w:cs="仿宋_GB2312"/>
          <w:sz w:val="24"/>
          <w:szCs w:val="24"/>
          <w:highlight w:val="none"/>
          <w:lang w:val="en-US" w:eastAsia="zh-CN"/>
        </w:rPr>
        <w:t>乙方</w:t>
      </w:r>
      <w:r>
        <w:rPr>
          <w:rFonts w:hint="eastAsia" w:ascii="仿宋_GB2312" w:hAnsi="仿宋_GB2312" w:eastAsia="仿宋_GB2312" w:cs="仿宋_GB2312"/>
          <w:sz w:val="24"/>
          <w:szCs w:val="24"/>
          <w:highlight w:val="none"/>
          <w:lang w:eastAsia="zh-CN"/>
        </w:rPr>
        <w:t>应在不可抗力事件结束后1日内向</w:t>
      </w:r>
      <w:r>
        <w:rPr>
          <w:rFonts w:hint="eastAsia" w:ascii="仿宋_GB2312" w:hAnsi="仿宋_GB2312" w:eastAsia="仿宋_GB2312" w:cs="仿宋_GB2312"/>
          <w:sz w:val="24"/>
          <w:szCs w:val="24"/>
          <w:highlight w:val="none"/>
          <w:lang w:val="en-US" w:eastAsia="zh-CN"/>
        </w:rPr>
        <w:t>甲方</w:t>
      </w:r>
      <w:r>
        <w:rPr>
          <w:rFonts w:hint="eastAsia" w:ascii="仿宋_GB2312" w:hAnsi="仿宋_GB2312" w:eastAsia="仿宋_GB2312" w:cs="仿宋_GB2312"/>
          <w:sz w:val="24"/>
          <w:szCs w:val="24"/>
          <w:highlight w:val="none"/>
          <w:lang w:eastAsia="zh-CN"/>
        </w:rPr>
        <w:t>通报，以减轻可能给</w:t>
      </w:r>
      <w:r>
        <w:rPr>
          <w:rFonts w:hint="eastAsia" w:ascii="仿宋_GB2312" w:hAnsi="仿宋_GB2312" w:eastAsia="仿宋_GB2312" w:cs="仿宋_GB2312"/>
          <w:sz w:val="24"/>
          <w:szCs w:val="24"/>
          <w:highlight w:val="none"/>
          <w:lang w:val="en-US" w:eastAsia="zh-CN"/>
        </w:rPr>
        <w:t>甲方</w:t>
      </w:r>
      <w:r>
        <w:rPr>
          <w:rFonts w:hint="eastAsia" w:ascii="仿宋_GB2312" w:hAnsi="仿宋_GB2312" w:eastAsia="仿宋_GB2312" w:cs="仿宋_GB2312"/>
          <w:sz w:val="24"/>
          <w:szCs w:val="24"/>
          <w:highlight w:val="none"/>
          <w:lang w:eastAsia="zh-CN"/>
        </w:rPr>
        <w:t>造成的损失，在取得有关机构的不可抗力证明后，允许延期履行或修订合同，并根据情况可部分或全部免于承担违约责任。</w:t>
      </w:r>
    </w:p>
    <w:p w14:paraId="2FDABFC4">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九、税费</w:t>
      </w:r>
    </w:p>
    <w:p w14:paraId="796F95B0">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在中国境内、外发生的与本合同执行有关的一切税费均由乙方负担。</w:t>
      </w:r>
    </w:p>
    <w:p w14:paraId="1D997FFA">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十</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其他</w:t>
      </w:r>
    </w:p>
    <w:p w14:paraId="1923F834">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lang w:eastAsia="zh-CN"/>
        </w:rPr>
        <w:t>本</w:t>
      </w:r>
      <w:r>
        <w:rPr>
          <w:rFonts w:hint="eastAsia" w:ascii="仿宋_GB2312" w:hAnsi="仿宋_GB2312" w:eastAsia="仿宋_GB2312" w:cs="仿宋_GB2312"/>
          <w:sz w:val="24"/>
          <w:szCs w:val="24"/>
          <w:highlight w:val="none"/>
          <w:lang w:val="en-US" w:eastAsia="zh-CN"/>
        </w:rPr>
        <w:t>合同</w:t>
      </w:r>
      <w:r>
        <w:rPr>
          <w:rFonts w:hint="eastAsia" w:ascii="仿宋_GB2312" w:hAnsi="仿宋_GB2312" w:eastAsia="仿宋_GB2312" w:cs="仿宋_GB2312"/>
          <w:sz w:val="24"/>
          <w:szCs w:val="24"/>
          <w:highlight w:val="none"/>
          <w:lang w:eastAsia="zh-CN"/>
        </w:rPr>
        <w:t>一式</w:t>
      </w:r>
      <w:r>
        <w:rPr>
          <w:rFonts w:hint="eastAsia" w:ascii="仿宋_GB2312" w:hAnsi="仿宋_GB2312" w:eastAsia="仿宋_GB2312" w:cs="仿宋_GB2312"/>
          <w:sz w:val="24"/>
          <w:szCs w:val="24"/>
          <w:highlight w:val="none"/>
          <w:lang w:val="en-US" w:eastAsia="zh-CN"/>
        </w:rPr>
        <w:t>陆</w:t>
      </w:r>
      <w:r>
        <w:rPr>
          <w:rFonts w:hint="eastAsia" w:ascii="仿宋_GB2312" w:hAnsi="仿宋_GB2312" w:eastAsia="仿宋_GB2312" w:cs="仿宋_GB2312"/>
          <w:sz w:val="24"/>
          <w:szCs w:val="24"/>
          <w:highlight w:val="none"/>
          <w:lang w:eastAsia="zh-CN"/>
        </w:rPr>
        <w:t>份，甲乙双方各</w:t>
      </w:r>
      <w:r>
        <w:rPr>
          <w:rFonts w:hint="eastAsia" w:ascii="仿宋_GB2312" w:hAnsi="仿宋_GB2312" w:eastAsia="仿宋_GB2312" w:cs="仿宋_GB2312"/>
          <w:sz w:val="24"/>
          <w:szCs w:val="24"/>
          <w:highlight w:val="none"/>
          <w:lang w:val="en-US" w:eastAsia="zh-CN"/>
        </w:rPr>
        <w:t>执叁</w:t>
      </w:r>
      <w:r>
        <w:rPr>
          <w:rFonts w:hint="eastAsia" w:ascii="仿宋_GB2312" w:hAnsi="仿宋_GB2312" w:eastAsia="仿宋_GB2312" w:cs="仿宋_GB2312"/>
          <w:sz w:val="24"/>
          <w:szCs w:val="24"/>
          <w:highlight w:val="none"/>
          <w:lang w:eastAsia="zh-CN"/>
        </w:rPr>
        <w:t>份，具有同等法律效力；其他未尽事宜，由甲乙双方协商确定并签订书面补充协议，作为本合同的补充，补充协议与本合同具有同等法律效力；</w:t>
      </w:r>
    </w:p>
    <w:p w14:paraId="1E35AB9D">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2.本合同签订地为广东省广州市越秀区；</w:t>
      </w:r>
    </w:p>
    <w:p w14:paraId="33273B5F">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3.除非另有说明，本合同中结算货币为人民币；</w:t>
      </w:r>
    </w:p>
    <w:p w14:paraId="1717B724">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lang w:eastAsia="zh-CN"/>
        </w:rPr>
        <w:t>本合同自</w:t>
      </w:r>
      <w:r>
        <w:rPr>
          <w:rFonts w:hint="eastAsia" w:ascii="仿宋_GB2312" w:hAnsi="仿宋_GB2312" w:eastAsia="仿宋_GB2312" w:cs="仿宋_GB2312"/>
          <w:sz w:val="24"/>
          <w:szCs w:val="24"/>
          <w:highlight w:val="none"/>
          <w:lang w:val="en-US" w:eastAsia="zh-CN"/>
        </w:rPr>
        <w:t>法定代表人或授权代表</w:t>
      </w:r>
      <w:r>
        <w:rPr>
          <w:rFonts w:hint="eastAsia" w:ascii="仿宋_GB2312" w:hAnsi="仿宋_GB2312" w:eastAsia="仿宋_GB2312" w:cs="仿宋_GB2312"/>
          <w:sz w:val="24"/>
          <w:szCs w:val="24"/>
          <w:highlight w:val="none"/>
          <w:lang w:eastAsia="zh-CN"/>
        </w:rPr>
        <w:t>签字盖章之日起生效。</w:t>
      </w:r>
    </w:p>
    <w:p w14:paraId="3786F24E">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――――――――――本页以下</w:t>
      </w:r>
      <w:r>
        <w:rPr>
          <w:rFonts w:hint="eastAsia" w:ascii="仿宋_GB2312" w:hAnsi="仿宋_GB2312" w:eastAsia="仿宋_GB2312" w:cs="仿宋_GB2312"/>
          <w:sz w:val="24"/>
          <w:szCs w:val="24"/>
          <w:highlight w:val="none"/>
          <w:lang w:val="en-US" w:eastAsia="zh-CN"/>
        </w:rPr>
        <w:t>为盖章页</w:t>
      </w:r>
      <w:r>
        <w:rPr>
          <w:rFonts w:hint="eastAsia" w:ascii="仿宋_GB2312" w:hAnsi="仿宋_GB2312" w:eastAsia="仿宋_GB2312" w:cs="仿宋_GB2312"/>
          <w:sz w:val="24"/>
          <w:szCs w:val="24"/>
          <w:highlight w:val="none"/>
        </w:rPr>
        <w:t>――――――――――</w:t>
      </w:r>
    </w:p>
    <w:p w14:paraId="4BA917C4">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w:t>
      </w:r>
    </w:p>
    <w:p w14:paraId="0D472A58">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p>
    <w:p w14:paraId="2AB061BC">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法定代表人/</w:t>
      </w:r>
      <w:r>
        <w:rPr>
          <w:rFonts w:hint="eastAsia" w:ascii="仿宋_GB2312" w:hAnsi="仿宋_GB2312" w:eastAsia="仿宋_GB2312" w:cs="仿宋_GB2312"/>
          <w:sz w:val="24"/>
          <w:szCs w:val="24"/>
          <w:highlight w:val="none"/>
        </w:rPr>
        <w:t xml:space="preserve">授权代表： </w:t>
      </w:r>
    </w:p>
    <w:p w14:paraId="651E4D13">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p>
    <w:p w14:paraId="1C11A593">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日期：  </w:t>
      </w:r>
    </w:p>
    <w:p w14:paraId="0B682986">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p>
    <w:p w14:paraId="321EF107">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p>
    <w:p w14:paraId="15503D9B">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w:t>
      </w:r>
    </w:p>
    <w:p w14:paraId="4A724569">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p>
    <w:p w14:paraId="60CDF363">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法定代表人/</w:t>
      </w:r>
      <w:r>
        <w:rPr>
          <w:rFonts w:hint="eastAsia" w:ascii="仿宋_GB2312" w:hAnsi="仿宋_GB2312" w:eastAsia="仿宋_GB2312" w:cs="仿宋_GB2312"/>
          <w:sz w:val="24"/>
          <w:szCs w:val="24"/>
          <w:highlight w:val="none"/>
        </w:rPr>
        <w:t>授权代表</w:t>
      </w:r>
      <w:r>
        <w:rPr>
          <w:rFonts w:hint="eastAsia" w:ascii="仿宋_GB2312" w:hAnsi="仿宋_GB2312" w:eastAsia="仿宋_GB2312" w:cs="仿宋_GB2312"/>
          <w:sz w:val="24"/>
          <w:szCs w:val="24"/>
          <w:highlight w:val="none"/>
          <w:lang w:eastAsia="zh-CN"/>
        </w:rPr>
        <w:t>：</w:t>
      </w:r>
    </w:p>
    <w:p w14:paraId="6FA81BC0">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rPr>
      </w:pPr>
    </w:p>
    <w:p w14:paraId="663ABC57">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 xml:space="preserve">日期：  </w:t>
      </w:r>
    </w:p>
    <w:bookmarkEnd w:id="27"/>
    <w:p w14:paraId="361B3E30">
      <w:pPr>
        <w:pStyle w:val="5"/>
        <w:rPr>
          <w:rFonts w:hint="eastAsia"/>
          <w:lang w:val="en-US" w:eastAsia="zh-CN"/>
        </w:rPr>
      </w:pPr>
    </w:p>
    <w:p w14:paraId="0D8A9B54">
      <w:pPr>
        <w:pStyle w:val="5"/>
        <w:rPr>
          <w:rFonts w:hint="eastAsia"/>
          <w:lang w:val="en-US" w:eastAsia="zh-CN"/>
        </w:rPr>
      </w:pPr>
    </w:p>
    <w:p w14:paraId="326464F3">
      <w:pPr>
        <w:rPr>
          <w:rFonts w:hint="eastAsia"/>
          <w:lang w:val="en-US" w:eastAsia="zh-CN"/>
        </w:rPr>
      </w:pPr>
    </w:p>
    <w:p w14:paraId="555C97B8">
      <w:pPr>
        <w:rPr>
          <w:rFonts w:hint="eastAsia"/>
          <w:lang w:val="en-US" w:eastAsia="zh-CN"/>
        </w:rPr>
      </w:pPr>
    </w:p>
    <w:p w14:paraId="036A6F37">
      <w:pPr>
        <w:rPr>
          <w:rFonts w:hint="eastAsia"/>
          <w:lang w:val="en-US" w:eastAsia="zh-CN"/>
        </w:rPr>
      </w:pPr>
    </w:p>
    <w:p w14:paraId="4825CAAE">
      <w:pPr>
        <w:rPr>
          <w:rFonts w:hint="eastAsia"/>
          <w:lang w:val="en-US" w:eastAsia="zh-CN"/>
        </w:rPr>
      </w:pPr>
    </w:p>
    <w:p w14:paraId="37755206">
      <w:pPr>
        <w:rPr>
          <w:rFonts w:hint="eastAsia"/>
          <w:lang w:val="en-US" w:eastAsia="zh-CN"/>
        </w:rPr>
      </w:pPr>
    </w:p>
    <w:p w14:paraId="5032C01F">
      <w:pPr>
        <w:rPr>
          <w:rFonts w:hint="eastAsia"/>
          <w:lang w:val="en-US" w:eastAsia="zh-CN"/>
        </w:rPr>
      </w:pPr>
    </w:p>
    <w:p w14:paraId="152B7AB8">
      <w:pPr>
        <w:rPr>
          <w:rFonts w:hint="eastAsia"/>
          <w:lang w:val="en-US" w:eastAsia="zh-CN"/>
        </w:rPr>
      </w:pPr>
    </w:p>
    <w:p w14:paraId="56DC1A15">
      <w:pPr>
        <w:rPr>
          <w:rFonts w:hint="eastAsia"/>
          <w:lang w:val="en-US" w:eastAsia="zh-CN"/>
        </w:rPr>
      </w:pPr>
    </w:p>
    <w:p w14:paraId="05EB73BD">
      <w:pPr>
        <w:rPr>
          <w:rFonts w:hint="eastAsia"/>
          <w:lang w:val="en-US" w:eastAsia="zh-CN"/>
        </w:rPr>
      </w:pPr>
    </w:p>
    <w:p w14:paraId="46D0BB9A">
      <w:pPr>
        <w:rPr>
          <w:rFonts w:hint="eastAsia"/>
          <w:lang w:val="en-US" w:eastAsia="zh-CN"/>
        </w:rPr>
      </w:pPr>
    </w:p>
    <w:p w14:paraId="0BACF7F3">
      <w:pPr>
        <w:rPr>
          <w:rFonts w:hint="eastAsia"/>
          <w:lang w:val="en-US" w:eastAsia="zh-CN"/>
        </w:rPr>
      </w:pPr>
    </w:p>
    <w:p w14:paraId="6CB1F429">
      <w:pPr>
        <w:rPr>
          <w:rFonts w:hint="eastAsia"/>
          <w:lang w:val="en-US" w:eastAsia="zh-CN"/>
        </w:rPr>
      </w:pPr>
    </w:p>
    <w:p w14:paraId="0E301347">
      <w:pPr>
        <w:rPr>
          <w:rFonts w:hint="eastAsia"/>
          <w:lang w:val="en-US" w:eastAsia="zh-CN"/>
        </w:rPr>
      </w:pPr>
    </w:p>
    <w:p w14:paraId="5DFEA5EE">
      <w:pPr>
        <w:rPr>
          <w:rFonts w:hint="eastAsia"/>
          <w:lang w:val="en-US" w:eastAsia="zh-CN"/>
        </w:rPr>
      </w:pPr>
    </w:p>
    <w:p w14:paraId="732309FC">
      <w:pPr>
        <w:rPr>
          <w:rFonts w:hint="eastAsia"/>
          <w:lang w:val="en-US" w:eastAsia="zh-CN"/>
        </w:rPr>
      </w:pPr>
    </w:p>
    <w:p w14:paraId="4600A9F9">
      <w:pPr>
        <w:pStyle w:val="28"/>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8" w:name="_Toc21956"/>
      <w:r>
        <w:rPr>
          <w:rFonts w:hint="eastAsia" w:ascii="方正小标宋简体" w:hAnsi="方正小标宋简体" w:eastAsia="方正小标宋简体" w:cs="方正小标宋简体"/>
          <w:b/>
          <w:kern w:val="2"/>
          <w:sz w:val="36"/>
          <w:szCs w:val="36"/>
          <w:lang w:val="en-US" w:eastAsia="zh-CN" w:bidi="ar-SA"/>
        </w:rPr>
        <w:t>响应文件格式</w:t>
      </w:r>
      <w:bookmarkEnd w:id="28"/>
    </w:p>
    <w:p w14:paraId="397B4FBC">
      <w:pPr>
        <w:pStyle w:val="3"/>
        <w:keepNext/>
        <w:keepLines/>
        <w:pageBreakBefore w:val="0"/>
        <w:widowControl w:val="0"/>
        <w:numPr>
          <w:ilvl w:val="1"/>
          <w:numId w:val="5"/>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29" w:name="_Toc1878"/>
      <w:bookmarkStart w:id="30" w:name="_Toc32326"/>
      <w:r>
        <w:rPr>
          <w:rFonts w:hint="eastAsia" w:ascii="宋体" w:hAnsi="宋体" w:eastAsia="宋体" w:cs="宋体"/>
          <w:highlight w:val="none"/>
        </w:rPr>
        <w:t>应答函</w:t>
      </w:r>
      <w:bookmarkEnd w:id="29"/>
      <w:bookmarkEnd w:id="30"/>
    </w:p>
    <w:p w14:paraId="47560032">
      <w:pPr>
        <w:pStyle w:val="24"/>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23126728">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5C1F2170">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2661C1AE">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3071E390">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1EC30F67">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47845180">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3A7A2FB1">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276B3C48">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2345F8F9">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14:paraId="3C3E0F73">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18006E60">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3C730046">
      <w:pPr>
        <w:pStyle w:val="24"/>
        <w:numPr>
          <w:ilvl w:val="0"/>
          <w:numId w:val="7"/>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07211E76">
      <w:pPr>
        <w:pStyle w:val="24"/>
        <w:numPr>
          <w:ilvl w:val="0"/>
          <w:numId w:val="7"/>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046B12F9">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61157B42">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3A353978">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68911AAD">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16A0055A">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01405220">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10FF76EC">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54899B1A">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1" w:name="_Toc1651899"/>
      <w:bookmarkStart w:id="32" w:name="_Toc17459"/>
      <w:bookmarkStart w:id="33" w:name="_Toc18365"/>
      <w:bookmarkStart w:id="34" w:name="_Toc26153"/>
      <w:bookmarkStart w:id="35" w:name="_Toc68688804"/>
      <w:bookmarkStart w:id="36" w:name="_Toc56432234"/>
      <w:bookmarkStart w:id="37" w:name="_Toc475472674"/>
      <w:bookmarkStart w:id="38"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31"/>
      <w:bookmarkEnd w:id="32"/>
      <w:bookmarkEnd w:id="33"/>
      <w:bookmarkEnd w:id="34"/>
      <w:bookmarkEnd w:id="35"/>
      <w:bookmarkEnd w:id="36"/>
      <w:bookmarkEnd w:id="37"/>
    </w:p>
    <w:p w14:paraId="22A7C720">
      <w:pPr>
        <w:jc w:val="center"/>
        <w:rPr>
          <w:rFonts w:hint="eastAsia" w:ascii="宋体" w:hAnsi="宋体" w:eastAsia="宋体" w:cs="宋体"/>
          <w:b/>
          <w:sz w:val="24"/>
          <w:highlight w:val="none"/>
        </w:rPr>
      </w:pPr>
    </w:p>
    <w:p w14:paraId="52DC0169">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6EC35E8B">
      <w:pPr>
        <w:spacing w:line="440" w:lineRule="exact"/>
        <w:rPr>
          <w:rFonts w:hint="eastAsia" w:ascii="宋体" w:hAnsi="宋体" w:eastAsia="宋体" w:cs="宋体"/>
          <w:szCs w:val="21"/>
          <w:highlight w:val="none"/>
        </w:rPr>
      </w:pPr>
    </w:p>
    <w:p w14:paraId="6DF17147">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0FECD93A">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2011DB4E">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017E1D14">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78FE8965">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60393856">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2A3D7555">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4E2A924F">
      <w:pPr>
        <w:topLinePunct/>
        <w:snapToGrid w:val="0"/>
        <w:spacing w:line="440" w:lineRule="exact"/>
        <w:ind w:firstLine="420" w:firstLineChars="200"/>
        <w:rPr>
          <w:rFonts w:hint="eastAsia" w:ascii="宋体" w:hAnsi="宋体" w:eastAsia="宋体" w:cs="宋体"/>
          <w:bCs/>
          <w:szCs w:val="21"/>
          <w:highlight w:val="none"/>
        </w:rPr>
      </w:pPr>
    </w:p>
    <w:p w14:paraId="3C4749BD">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412E2DC4">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330BA2A">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7330BA2A">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3DE4582">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33DE4582">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4B6657C6">
      <w:pPr>
        <w:spacing w:line="500" w:lineRule="exact"/>
        <w:rPr>
          <w:rFonts w:hint="eastAsia" w:ascii="宋体" w:hAnsi="宋体" w:eastAsia="宋体" w:cs="宋体"/>
          <w:szCs w:val="21"/>
          <w:highlight w:val="none"/>
        </w:rPr>
      </w:pPr>
    </w:p>
    <w:p w14:paraId="21A888B2">
      <w:pPr>
        <w:spacing w:line="440" w:lineRule="exact"/>
        <w:rPr>
          <w:rFonts w:hint="eastAsia" w:ascii="宋体" w:hAnsi="宋体" w:eastAsia="宋体" w:cs="宋体"/>
          <w:szCs w:val="21"/>
          <w:highlight w:val="none"/>
        </w:rPr>
      </w:pPr>
    </w:p>
    <w:p w14:paraId="74B5D9CD">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141F7B05">
      <w:pPr>
        <w:spacing w:line="500" w:lineRule="exact"/>
        <w:rPr>
          <w:rFonts w:hint="eastAsia" w:ascii="宋体" w:hAnsi="宋体" w:eastAsia="宋体" w:cs="宋体"/>
          <w:szCs w:val="21"/>
          <w:highlight w:val="none"/>
        </w:rPr>
      </w:pPr>
    </w:p>
    <w:p w14:paraId="7D5BB793">
      <w:pPr>
        <w:spacing w:line="440" w:lineRule="exact"/>
        <w:rPr>
          <w:rFonts w:hint="eastAsia" w:ascii="宋体" w:hAnsi="宋体" w:eastAsia="宋体" w:cs="宋体"/>
          <w:szCs w:val="21"/>
          <w:highlight w:val="none"/>
        </w:rPr>
      </w:pPr>
    </w:p>
    <w:p w14:paraId="59F35344">
      <w:pPr>
        <w:spacing w:line="500" w:lineRule="exact"/>
        <w:rPr>
          <w:rFonts w:hint="eastAsia" w:ascii="宋体" w:hAnsi="宋体" w:eastAsia="宋体" w:cs="宋体"/>
          <w:szCs w:val="21"/>
          <w:highlight w:val="none"/>
        </w:rPr>
      </w:pPr>
    </w:p>
    <w:p w14:paraId="71BA26E2">
      <w:pPr>
        <w:spacing w:line="440" w:lineRule="exact"/>
        <w:rPr>
          <w:rFonts w:hint="eastAsia" w:ascii="宋体" w:hAnsi="宋体" w:eastAsia="宋体" w:cs="宋体"/>
          <w:szCs w:val="21"/>
          <w:highlight w:val="none"/>
        </w:rPr>
      </w:pPr>
    </w:p>
    <w:p w14:paraId="6C491FD8">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5DF8F111">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27E57FB2">
      <w:pPr>
        <w:spacing w:line="440" w:lineRule="exact"/>
        <w:ind w:firstLine="4305" w:firstLineChars="2050"/>
        <w:rPr>
          <w:rFonts w:hint="eastAsia" w:ascii="宋体" w:hAnsi="宋体" w:eastAsia="宋体" w:cs="宋体"/>
          <w:szCs w:val="21"/>
          <w:highlight w:val="none"/>
        </w:rPr>
      </w:pPr>
    </w:p>
    <w:p w14:paraId="416797ED">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392C3014">
      <w:pPr>
        <w:topLinePunct/>
        <w:spacing w:line="440" w:lineRule="exact"/>
        <w:ind w:left="422"/>
        <w:jc w:val="left"/>
        <w:rPr>
          <w:rFonts w:hint="eastAsia" w:ascii="宋体" w:hAnsi="宋体" w:eastAsia="宋体" w:cs="宋体"/>
          <w:highlight w:val="none"/>
        </w:rPr>
      </w:pPr>
    </w:p>
    <w:p w14:paraId="53B84C6D">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39" w:name="_Toc56432235"/>
      <w:bookmarkStart w:id="40" w:name="_Toc475472675"/>
      <w:bookmarkStart w:id="41" w:name="_Toc1651900"/>
      <w:bookmarkStart w:id="42" w:name="_Toc3806"/>
      <w:bookmarkStart w:id="43" w:name="_Toc8603"/>
      <w:bookmarkStart w:id="44" w:name="_Toc438052122"/>
      <w:bookmarkStart w:id="45" w:name="_Toc68688805"/>
      <w:bookmarkStart w:id="46" w:name="_Toc27262"/>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39"/>
      <w:bookmarkEnd w:id="40"/>
      <w:bookmarkEnd w:id="41"/>
      <w:bookmarkEnd w:id="42"/>
      <w:bookmarkEnd w:id="43"/>
      <w:bookmarkEnd w:id="44"/>
      <w:bookmarkEnd w:id="45"/>
      <w:bookmarkEnd w:id="46"/>
    </w:p>
    <w:p w14:paraId="6B82399B">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393A0860">
      <w:pPr>
        <w:jc w:val="center"/>
        <w:rPr>
          <w:rFonts w:hint="eastAsia" w:ascii="宋体" w:hAnsi="宋体" w:eastAsia="宋体" w:cs="宋体"/>
          <w:b/>
          <w:sz w:val="24"/>
          <w:highlight w:val="none"/>
        </w:rPr>
      </w:pPr>
    </w:p>
    <w:p w14:paraId="5DEE62F4">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0D50E82D">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5FE9D9B4">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42373626">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4254A551">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141CD88A">
      <w:pPr>
        <w:pStyle w:val="4"/>
        <w:rPr>
          <w:rFonts w:hint="eastAsia" w:ascii="宋体" w:hAnsi="宋体" w:eastAsia="宋体" w:cs="宋体"/>
          <w:highlight w:val="none"/>
        </w:rPr>
      </w:pPr>
    </w:p>
    <w:p w14:paraId="014853D1">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4B494E59">
      <w:pPr>
        <w:pStyle w:val="4"/>
        <w:rPr>
          <w:rFonts w:hint="eastAsia" w:ascii="宋体" w:hAnsi="宋体" w:eastAsia="宋体" w:cs="宋体"/>
          <w:highlight w:val="none"/>
        </w:rPr>
      </w:pPr>
    </w:p>
    <w:p w14:paraId="5B44B469">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1515D92E">
      <w:pPr>
        <w:pStyle w:val="4"/>
        <w:rPr>
          <w:rFonts w:hint="eastAsia" w:ascii="宋体" w:hAnsi="宋体" w:eastAsia="宋体" w:cs="宋体"/>
          <w:highlight w:val="none"/>
        </w:rPr>
      </w:pPr>
    </w:p>
    <w:p w14:paraId="4B66E4CE">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1EEE591D">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1C12CC63">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229FD29A">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C85465E">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14:paraId="6C85465E">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0CE5514">
                            <w:pPr>
                              <w:jc w:val="center"/>
                              <w:rPr>
                                <w:szCs w:val="21"/>
                              </w:rPr>
                            </w:pPr>
                            <w:r>
                              <w:rPr>
                                <w:rFonts w:hint="eastAsia"/>
                                <w:szCs w:val="21"/>
                              </w:rPr>
                              <w:t>委托代理人身份证正面复印件贴于此处</w:t>
                            </w:r>
                          </w:p>
                          <w:p w14:paraId="4A990076">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70CE5514">
                      <w:pPr>
                        <w:jc w:val="center"/>
                        <w:rPr>
                          <w:szCs w:val="21"/>
                        </w:rPr>
                      </w:pPr>
                      <w:r>
                        <w:rPr>
                          <w:rFonts w:hint="eastAsia"/>
                          <w:szCs w:val="21"/>
                        </w:rPr>
                        <w:t>委托代理人身份证正面复印件贴于此处</w:t>
                      </w:r>
                    </w:p>
                    <w:p w14:paraId="4A990076">
                      <w:pPr>
                        <w:jc w:val="center"/>
                        <w:rPr>
                          <w:szCs w:val="21"/>
                        </w:rPr>
                      </w:pPr>
                    </w:p>
                  </w:txbxContent>
                </v:textbox>
              </v:shape>
            </w:pict>
          </mc:Fallback>
        </mc:AlternateContent>
      </w:r>
    </w:p>
    <w:p w14:paraId="009F844D">
      <w:pPr>
        <w:spacing w:line="440" w:lineRule="exact"/>
        <w:rPr>
          <w:rFonts w:hint="eastAsia" w:ascii="宋体" w:hAnsi="宋体" w:eastAsia="宋体" w:cs="宋体"/>
          <w:szCs w:val="21"/>
          <w:highlight w:val="none"/>
        </w:rPr>
      </w:pPr>
    </w:p>
    <w:p w14:paraId="544CF413">
      <w:pPr>
        <w:spacing w:line="500" w:lineRule="exact"/>
        <w:rPr>
          <w:rFonts w:hint="eastAsia" w:ascii="宋体" w:hAnsi="宋体" w:eastAsia="宋体" w:cs="宋体"/>
          <w:szCs w:val="21"/>
          <w:highlight w:val="none"/>
        </w:rPr>
      </w:pPr>
    </w:p>
    <w:p w14:paraId="4A969BDE">
      <w:pPr>
        <w:spacing w:line="440" w:lineRule="exact"/>
        <w:rPr>
          <w:rFonts w:hint="eastAsia" w:ascii="宋体" w:hAnsi="宋体" w:eastAsia="宋体" w:cs="宋体"/>
          <w:szCs w:val="21"/>
          <w:highlight w:val="none"/>
        </w:rPr>
      </w:pPr>
    </w:p>
    <w:p w14:paraId="409D8BD1">
      <w:pPr>
        <w:topLinePunct/>
        <w:snapToGrid w:val="0"/>
        <w:spacing w:line="440" w:lineRule="exact"/>
        <w:rPr>
          <w:rFonts w:hint="eastAsia" w:ascii="宋体" w:hAnsi="宋体" w:eastAsia="宋体" w:cs="宋体"/>
          <w:highlight w:val="none"/>
        </w:rPr>
      </w:pPr>
    </w:p>
    <w:p w14:paraId="62BFCFF9">
      <w:pPr>
        <w:topLinePunct/>
        <w:snapToGrid w:val="0"/>
        <w:spacing w:line="440" w:lineRule="exact"/>
        <w:ind w:firstLine="420" w:firstLineChars="200"/>
        <w:rPr>
          <w:rFonts w:hint="eastAsia" w:ascii="宋体" w:hAnsi="宋体" w:eastAsia="宋体" w:cs="宋体"/>
          <w:bCs/>
          <w:szCs w:val="21"/>
          <w:highlight w:val="none"/>
        </w:rPr>
      </w:pPr>
    </w:p>
    <w:p w14:paraId="6DF468DB">
      <w:pPr>
        <w:topLinePunct/>
        <w:snapToGrid w:val="0"/>
        <w:spacing w:line="440" w:lineRule="exact"/>
        <w:ind w:firstLine="420" w:firstLineChars="200"/>
        <w:rPr>
          <w:rFonts w:hint="eastAsia" w:ascii="宋体" w:hAnsi="宋体" w:eastAsia="宋体" w:cs="宋体"/>
          <w:bCs/>
          <w:szCs w:val="21"/>
          <w:highlight w:val="none"/>
        </w:rPr>
      </w:pPr>
    </w:p>
    <w:p w14:paraId="7E2752A0">
      <w:pPr>
        <w:topLinePunct/>
        <w:snapToGrid w:val="0"/>
        <w:spacing w:line="440" w:lineRule="exact"/>
        <w:ind w:firstLine="420" w:firstLineChars="200"/>
        <w:rPr>
          <w:rFonts w:hint="eastAsia" w:ascii="宋体" w:hAnsi="宋体" w:eastAsia="宋体" w:cs="宋体"/>
          <w:bCs/>
          <w:szCs w:val="21"/>
          <w:highlight w:val="none"/>
        </w:rPr>
      </w:pPr>
    </w:p>
    <w:p w14:paraId="028D61D4">
      <w:pPr>
        <w:widowControl/>
        <w:jc w:val="left"/>
        <w:rPr>
          <w:rFonts w:hint="eastAsia" w:ascii="宋体" w:hAnsi="宋体" w:eastAsia="宋体" w:cs="宋体"/>
          <w:b/>
          <w:bCs/>
          <w:sz w:val="32"/>
          <w:szCs w:val="32"/>
          <w:highlight w:val="none"/>
        </w:rPr>
      </w:pPr>
    </w:p>
    <w:p w14:paraId="7D83DF8E">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7" w:name="_Toc8223"/>
      <w:bookmarkStart w:id="48" w:name="_Toc18794"/>
      <w:r>
        <w:rPr>
          <w:rFonts w:hint="eastAsia" w:ascii="宋体" w:hAnsi="宋体" w:eastAsia="宋体" w:cs="宋体"/>
          <w:highlight w:val="none"/>
        </w:rPr>
        <w:t>供应商基本情况</w:t>
      </w:r>
      <w:bookmarkEnd w:id="38"/>
      <w:bookmarkEnd w:id="47"/>
      <w:bookmarkEnd w:id="48"/>
      <w:r>
        <w:rPr>
          <w:rFonts w:hint="eastAsia" w:ascii="宋体" w:hAnsi="宋体" w:eastAsia="宋体" w:cs="宋体"/>
          <w:highlight w:val="none"/>
          <w:lang w:val="en-US" w:eastAsia="zh-CN"/>
        </w:rPr>
        <w:t>和资质证明材料</w:t>
      </w:r>
    </w:p>
    <w:p w14:paraId="27B91192">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0B9370DA">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49"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49"/>
      <w:r>
        <w:rPr>
          <w:rFonts w:hint="eastAsia" w:ascii="宋体" w:hAnsi="宋体" w:cs="宋体"/>
          <w:highlight w:val="none"/>
          <w:lang w:eastAsia="zh-CN"/>
        </w:rPr>
        <w:t>；</w:t>
      </w:r>
    </w:p>
    <w:p w14:paraId="0EF4785B">
      <w:pPr>
        <w:pStyle w:val="14"/>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14:paraId="6C84E70A">
      <w:pPr>
        <w:pStyle w:val="14"/>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14:paraId="00422993">
      <w:pPr>
        <w:pStyle w:val="14"/>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本采购项目需求中要求的资质证明材料或者评审办法中要求的资质证明文件复印机等。</w:t>
      </w:r>
    </w:p>
    <w:p w14:paraId="21ED4DD9">
      <w:pPr>
        <w:pStyle w:val="14"/>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14:paraId="70755C6F">
      <w:pPr>
        <w:pStyle w:val="14"/>
        <w:rPr>
          <w:rFonts w:hint="eastAsia" w:ascii="宋体" w:hAnsi="宋体" w:cs="宋体"/>
          <w:highlight w:val="none"/>
          <w:lang w:val="en-US" w:eastAsia="zh-CN"/>
        </w:rPr>
      </w:pPr>
    </w:p>
    <w:p w14:paraId="07546A96">
      <w:pPr>
        <w:pStyle w:val="14"/>
        <w:rPr>
          <w:rFonts w:hint="eastAsia" w:ascii="宋体" w:hAnsi="宋体" w:cs="宋体"/>
          <w:highlight w:val="none"/>
          <w:lang w:val="en-US" w:eastAsia="zh-CN"/>
        </w:rPr>
      </w:pPr>
    </w:p>
    <w:p w14:paraId="6E090494">
      <w:pPr>
        <w:pStyle w:val="14"/>
        <w:rPr>
          <w:rFonts w:hint="eastAsia" w:ascii="宋体" w:hAnsi="宋体" w:cs="宋体"/>
          <w:highlight w:val="none"/>
          <w:lang w:val="en-US" w:eastAsia="zh-CN"/>
        </w:rPr>
      </w:pPr>
    </w:p>
    <w:p w14:paraId="2627CCBC">
      <w:pPr>
        <w:pStyle w:val="14"/>
        <w:rPr>
          <w:rFonts w:hint="eastAsia" w:ascii="宋体" w:hAnsi="宋体" w:cs="宋体"/>
          <w:highlight w:val="none"/>
          <w:lang w:val="en-US" w:eastAsia="zh-CN"/>
        </w:rPr>
      </w:pPr>
    </w:p>
    <w:p w14:paraId="682B93BD">
      <w:pPr>
        <w:pStyle w:val="14"/>
        <w:rPr>
          <w:rFonts w:hint="eastAsia" w:ascii="宋体" w:hAnsi="宋体" w:cs="宋体"/>
          <w:highlight w:val="none"/>
          <w:lang w:val="en-US" w:eastAsia="zh-CN"/>
        </w:rPr>
      </w:pPr>
    </w:p>
    <w:p w14:paraId="261838FB">
      <w:pPr>
        <w:pStyle w:val="14"/>
        <w:rPr>
          <w:rFonts w:hint="eastAsia" w:ascii="宋体" w:hAnsi="宋体" w:cs="宋体"/>
          <w:highlight w:val="none"/>
          <w:lang w:val="en-US" w:eastAsia="zh-CN"/>
        </w:rPr>
      </w:pPr>
    </w:p>
    <w:p w14:paraId="6D4B96A8">
      <w:pPr>
        <w:pStyle w:val="14"/>
        <w:rPr>
          <w:rFonts w:hint="eastAsia" w:ascii="宋体" w:hAnsi="宋体" w:cs="宋体"/>
          <w:highlight w:val="none"/>
          <w:lang w:val="en-US" w:eastAsia="zh-CN"/>
        </w:rPr>
      </w:pPr>
    </w:p>
    <w:p w14:paraId="35442DC7">
      <w:pPr>
        <w:pStyle w:val="14"/>
        <w:rPr>
          <w:rFonts w:hint="eastAsia" w:ascii="宋体" w:hAnsi="宋体" w:cs="宋体"/>
          <w:highlight w:val="none"/>
          <w:lang w:val="en-US" w:eastAsia="zh-CN"/>
        </w:rPr>
      </w:pPr>
    </w:p>
    <w:p w14:paraId="1C761125">
      <w:pPr>
        <w:pStyle w:val="14"/>
        <w:rPr>
          <w:rFonts w:hint="eastAsia" w:ascii="宋体" w:hAnsi="宋体" w:cs="宋体"/>
          <w:highlight w:val="none"/>
          <w:lang w:val="en-US" w:eastAsia="zh-CN"/>
        </w:rPr>
      </w:pPr>
    </w:p>
    <w:p w14:paraId="0D729393">
      <w:pPr>
        <w:pStyle w:val="14"/>
        <w:rPr>
          <w:rFonts w:hint="eastAsia" w:ascii="宋体" w:hAnsi="宋体" w:cs="宋体"/>
          <w:highlight w:val="none"/>
          <w:lang w:val="en-US" w:eastAsia="zh-CN"/>
        </w:rPr>
      </w:pPr>
    </w:p>
    <w:p w14:paraId="1E7742A2">
      <w:pPr>
        <w:pStyle w:val="14"/>
        <w:rPr>
          <w:rFonts w:hint="eastAsia" w:ascii="宋体" w:hAnsi="宋体" w:cs="宋体"/>
          <w:highlight w:val="none"/>
          <w:lang w:val="en-US" w:eastAsia="zh-CN"/>
        </w:rPr>
      </w:pPr>
    </w:p>
    <w:p w14:paraId="2FBAB3A8">
      <w:pPr>
        <w:pStyle w:val="14"/>
        <w:rPr>
          <w:rFonts w:hint="eastAsia" w:ascii="宋体" w:hAnsi="宋体" w:cs="宋体"/>
          <w:highlight w:val="none"/>
          <w:lang w:val="en-US" w:eastAsia="zh-CN"/>
        </w:rPr>
      </w:pPr>
    </w:p>
    <w:p w14:paraId="3A464049">
      <w:pPr>
        <w:pStyle w:val="14"/>
        <w:rPr>
          <w:rFonts w:hint="eastAsia" w:ascii="宋体" w:hAnsi="宋体" w:cs="宋体"/>
          <w:highlight w:val="none"/>
          <w:lang w:val="en-US" w:eastAsia="zh-CN"/>
        </w:rPr>
      </w:pPr>
    </w:p>
    <w:p w14:paraId="756D3941">
      <w:pPr>
        <w:pStyle w:val="14"/>
        <w:rPr>
          <w:rFonts w:hint="eastAsia" w:ascii="宋体" w:hAnsi="宋体" w:cs="宋体"/>
          <w:highlight w:val="none"/>
          <w:lang w:val="en-US" w:eastAsia="zh-CN"/>
        </w:rPr>
      </w:pPr>
    </w:p>
    <w:p w14:paraId="261A7DEE">
      <w:pPr>
        <w:pStyle w:val="14"/>
        <w:rPr>
          <w:rFonts w:hint="eastAsia" w:ascii="宋体" w:hAnsi="宋体" w:cs="宋体"/>
          <w:highlight w:val="none"/>
          <w:lang w:val="en-US" w:eastAsia="zh-CN"/>
        </w:rPr>
      </w:pPr>
    </w:p>
    <w:p w14:paraId="2D7D465C">
      <w:pPr>
        <w:pStyle w:val="14"/>
        <w:rPr>
          <w:rFonts w:hint="eastAsia" w:ascii="宋体" w:hAnsi="宋体" w:cs="宋体"/>
          <w:highlight w:val="none"/>
          <w:lang w:val="en-US" w:eastAsia="zh-CN"/>
        </w:rPr>
      </w:pPr>
    </w:p>
    <w:p w14:paraId="078E67CC">
      <w:pPr>
        <w:pStyle w:val="14"/>
        <w:rPr>
          <w:rFonts w:hint="eastAsia" w:ascii="宋体" w:hAnsi="宋体" w:cs="宋体"/>
          <w:highlight w:val="none"/>
          <w:lang w:val="en-US" w:eastAsia="zh-CN"/>
        </w:rPr>
      </w:pPr>
    </w:p>
    <w:p w14:paraId="37742B9B">
      <w:pPr>
        <w:pStyle w:val="14"/>
        <w:rPr>
          <w:rFonts w:hint="eastAsia" w:ascii="宋体" w:hAnsi="宋体" w:cs="宋体"/>
          <w:highlight w:val="none"/>
          <w:lang w:val="en-US" w:eastAsia="zh-CN"/>
        </w:rPr>
      </w:pPr>
    </w:p>
    <w:p w14:paraId="5DF3D76C">
      <w:pPr>
        <w:pStyle w:val="14"/>
        <w:rPr>
          <w:rFonts w:hint="eastAsia" w:ascii="宋体" w:hAnsi="宋体" w:cs="宋体"/>
          <w:highlight w:val="none"/>
          <w:lang w:val="en-US" w:eastAsia="zh-CN"/>
        </w:rPr>
      </w:pPr>
    </w:p>
    <w:p w14:paraId="6C93B94D">
      <w:pPr>
        <w:pStyle w:val="14"/>
        <w:rPr>
          <w:rFonts w:hint="default" w:ascii="宋体" w:hAnsi="宋体" w:cs="宋体"/>
          <w:highlight w:val="none"/>
          <w:lang w:val="en-US" w:eastAsia="zh-CN"/>
        </w:rPr>
      </w:pPr>
    </w:p>
    <w:p w14:paraId="036D5157">
      <w:pPr>
        <w:pStyle w:val="24"/>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w:t>
      </w:r>
      <w:r>
        <w:rPr>
          <w:rFonts w:hint="eastAsia" w:ascii="宋体" w:hAnsi="宋体" w:cs="宋体"/>
          <w:b/>
          <w:szCs w:val="21"/>
          <w:highlight w:val="none"/>
          <w:lang w:val="en-US" w:eastAsia="zh-CN"/>
        </w:rPr>
        <w:t>和</w:t>
      </w:r>
      <w:r>
        <w:rPr>
          <w:rFonts w:hint="eastAsia" w:ascii="宋体" w:hAnsi="宋体" w:eastAsia="宋体" w:cs="宋体"/>
          <w:b/>
          <w:szCs w:val="21"/>
          <w:highlight w:val="none"/>
        </w:rPr>
        <w:t>管理关系</w:t>
      </w:r>
      <w:r>
        <w:rPr>
          <w:rFonts w:hint="eastAsia" w:ascii="宋体" w:hAnsi="宋体" w:cs="宋体"/>
          <w:b/>
          <w:szCs w:val="21"/>
          <w:highlight w:val="none"/>
          <w:lang w:val="en-US" w:eastAsia="zh-CN"/>
        </w:rPr>
        <w:t>及基本</w:t>
      </w:r>
      <w:r>
        <w:rPr>
          <w:rFonts w:hint="eastAsia" w:ascii="宋体" w:hAnsi="宋体" w:eastAsia="宋体" w:cs="宋体"/>
          <w:b/>
          <w:szCs w:val="21"/>
          <w:highlight w:val="none"/>
        </w:rPr>
        <w:t>情况申报表</w:t>
      </w:r>
    </w:p>
    <w:p w14:paraId="41C45FD2">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0CE7419C">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6"/>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42"/>
        <w:gridCol w:w="2350"/>
        <w:gridCol w:w="3831"/>
      </w:tblGrid>
      <w:tr w14:paraId="2B84AF3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79F363CB">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14:paraId="02579DA1">
            <w:pPr>
              <w:spacing w:line="360" w:lineRule="auto"/>
              <w:rPr>
                <w:rFonts w:hint="eastAsia" w:ascii="宋体" w:hAnsi="宋体" w:eastAsia="宋体" w:cs="宋体"/>
                <w:szCs w:val="21"/>
                <w:highlight w:val="none"/>
              </w:rPr>
            </w:pPr>
          </w:p>
        </w:tc>
      </w:tr>
      <w:tr w14:paraId="228F7BF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6F63AD85">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14:paraId="690A7E6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14:paraId="4CB3CA2E">
            <w:pPr>
              <w:spacing w:line="360" w:lineRule="auto"/>
              <w:rPr>
                <w:rFonts w:hint="eastAsia" w:ascii="宋体" w:hAnsi="宋体" w:eastAsia="宋体" w:cs="宋体"/>
                <w:szCs w:val="21"/>
                <w:highlight w:val="none"/>
              </w:rPr>
            </w:pPr>
          </w:p>
        </w:tc>
      </w:tr>
      <w:tr w14:paraId="62CE62C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08A85699">
            <w:pPr>
              <w:spacing w:line="360" w:lineRule="auto"/>
              <w:rPr>
                <w:rFonts w:hint="eastAsia" w:ascii="宋体" w:hAnsi="宋体" w:eastAsia="宋体" w:cs="宋体"/>
                <w:szCs w:val="21"/>
                <w:highlight w:val="none"/>
              </w:rPr>
            </w:pPr>
          </w:p>
        </w:tc>
        <w:tc>
          <w:tcPr>
            <w:tcW w:w="1347" w:type="pct"/>
            <w:vAlign w:val="center"/>
          </w:tcPr>
          <w:p w14:paraId="09314EE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14:paraId="52501098">
            <w:pPr>
              <w:spacing w:line="360" w:lineRule="auto"/>
              <w:rPr>
                <w:rFonts w:hint="eastAsia" w:ascii="宋体" w:hAnsi="宋体" w:eastAsia="宋体" w:cs="宋体"/>
                <w:szCs w:val="21"/>
                <w:highlight w:val="none"/>
              </w:rPr>
            </w:pPr>
          </w:p>
        </w:tc>
      </w:tr>
      <w:tr w14:paraId="3E19CA1A">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5C91635B">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6714C59E">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04C8CF9E">
            <w:pPr>
              <w:spacing w:line="360" w:lineRule="auto"/>
              <w:rPr>
                <w:rFonts w:hint="eastAsia" w:ascii="宋体" w:hAnsi="宋体" w:eastAsia="宋体" w:cs="宋体"/>
                <w:szCs w:val="21"/>
                <w:highlight w:val="none"/>
              </w:rPr>
            </w:pPr>
          </w:p>
        </w:tc>
      </w:tr>
      <w:tr w14:paraId="565A253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0A288EAE">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2CC3D55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7367BDC5">
            <w:pPr>
              <w:spacing w:line="360" w:lineRule="auto"/>
              <w:rPr>
                <w:rFonts w:hint="eastAsia" w:ascii="宋体" w:hAnsi="宋体" w:eastAsia="宋体" w:cs="宋体"/>
                <w:szCs w:val="21"/>
                <w:highlight w:val="none"/>
              </w:rPr>
            </w:pPr>
          </w:p>
        </w:tc>
      </w:tr>
      <w:tr w14:paraId="19D6CE1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4979368B">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14:paraId="7ABB359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14:paraId="107A3DB6">
            <w:pPr>
              <w:spacing w:line="360" w:lineRule="auto"/>
              <w:rPr>
                <w:rFonts w:hint="eastAsia" w:ascii="宋体" w:hAnsi="宋体" w:eastAsia="宋体" w:cs="宋体"/>
                <w:szCs w:val="21"/>
                <w:highlight w:val="none"/>
              </w:rPr>
            </w:pPr>
          </w:p>
        </w:tc>
      </w:tr>
      <w:tr w14:paraId="536F239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535E34C8">
            <w:pPr>
              <w:spacing w:line="360" w:lineRule="auto"/>
              <w:rPr>
                <w:rFonts w:hint="eastAsia" w:ascii="宋体" w:hAnsi="宋体" w:eastAsia="宋体" w:cs="宋体"/>
                <w:szCs w:val="21"/>
                <w:highlight w:val="none"/>
              </w:rPr>
            </w:pPr>
          </w:p>
        </w:tc>
        <w:tc>
          <w:tcPr>
            <w:tcW w:w="1347" w:type="pct"/>
            <w:vAlign w:val="center"/>
          </w:tcPr>
          <w:p w14:paraId="63F15E8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14:paraId="4A2E14A8">
            <w:pPr>
              <w:spacing w:line="360" w:lineRule="auto"/>
              <w:rPr>
                <w:rFonts w:hint="eastAsia" w:ascii="宋体" w:hAnsi="宋体" w:eastAsia="宋体" w:cs="宋体"/>
                <w:szCs w:val="21"/>
                <w:highlight w:val="none"/>
              </w:rPr>
            </w:pPr>
          </w:p>
        </w:tc>
      </w:tr>
      <w:tr w14:paraId="705A6F6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59DB7B6B">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50413258">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55A4A341">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3D442CF3">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15FCDF71">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3A897AC9">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1736EA17">
      <w:pPr>
        <w:pStyle w:val="24"/>
        <w:widowControl/>
        <w:numPr>
          <w:ilvl w:val="0"/>
          <w:numId w:val="7"/>
        </w:numPr>
        <w:snapToGrid w:val="0"/>
        <w:spacing w:line="360" w:lineRule="auto"/>
        <w:ind w:firstLineChars="0"/>
        <w:jc w:val="left"/>
        <w:rPr>
          <w:rFonts w:hint="eastAsia" w:ascii="宋体" w:hAnsi="宋体" w:eastAsia="宋体" w:cs="宋体"/>
          <w:highlight w:val="none"/>
        </w:rPr>
      </w:pPr>
      <w:r>
        <w:rPr>
          <w:rFonts w:hint="eastAsia" w:ascii="宋体" w:hAnsi="宋体" w:eastAsia="宋体" w:cs="宋体"/>
          <w:highlight w:val="none"/>
        </w:rPr>
        <w:br w:type="page"/>
      </w:r>
      <w:bookmarkStart w:id="50" w:name="_Toc12072"/>
      <w:bookmarkStart w:id="51" w:name="_Toc13174"/>
    </w:p>
    <w:p w14:paraId="1956AC8B">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50"/>
      <w:bookmarkEnd w:id="51"/>
    </w:p>
    <w:p w14:paraId="0B87E016">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10F0949E">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4781D969">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2B175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1EE3C8EF">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6CDB487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599E060B">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07B8666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401757F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5982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749D6167">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1C5B85A">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6C28D6AE">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3610F154">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28C9858C">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3B7114D6">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6EF76510">
            <w:pPr>
              <w:spacing w:after="120" w:line="360" w:lineRule="atLeast"/>
              <w:ind w:left="851" w:hanging="851"/>
              <w:jc w:val="center"/>
              <w:rPr>
                <w:rFonts w:hint="eastAsia" w:ascii="宋体" w:hAnsi="宋体" w:eastAsia="宋体" w:cs="宋体"/>
                <w:szCs w:val="21"/>
                <w:highlight w:val="none"/>
              </w:rPr>
            </w:pPr>
          </w:p>
        </w:tc>
      </w:tr>
      <w:tr w14:paraId="549E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3E94771C">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1FA3FB60">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318F39F5">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271C93F8">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2E768377">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67595E6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376AE970">
            <w:pPr>
              <w:spacing w:after="120" w:line="360" w:lineRule="atLeast"/>
              <w:ind w:left="851" w:hanging="851"/>
              <w:jc w:val="center"/>
              <w:rPr>
                <w:rFonts w:hint="eastAsia" w:ascii="宋体" w:hAnsi="宋体" w:eastAsia="宋体" w:cs="宋体"/>
                <w:szCs w:val="21"/>
                <w:highlight w:val="none"/>
              </w:rPr>
            </w:pPr>
          </w:p>
        </w:tc>
      </w:tr>
      <w:tr w14:paraId="4E98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A6B0255">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62CE522">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6ED8FBE6">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24D09185">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134DEA3">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466C8C0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3BD2870A">
            <w:pPr>
              <w:spacing w:after="120" w:line="360" w:lineRule="atLeast"/>
              <w:ind w:left="851" w:hanging="851"/>
              <w:jc w:val="center"/>
              <w:rPr>
                <w:rFonts w:hint="eastAsia" w:ascii="宋体" w:hAnsi="宋体" w:eastAsia="宋体" w:cs="宋体"/>
                <w:szCs w:val="21"/>
                <w:highlight w:val="none"/>
              </w:rPr>
            </w:pPr>
          </w:p>
        </w:tc>
      </w:tr>
      <w:tr w14:paraId="68F77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FDCEBDE">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C92910B">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699326B2">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36DB8B58">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04F0C953">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B6042F9">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694B8D76">
            <w:pPr>
              <w:spacing w:after="120" w:line="360" w:lineRule="atLeast"/>
              <w:ind w:left="851" w:hanging="851"/>
              <w:jc w:val="center"/>
              <w:rPr>
                <w:rFonts w:hint="eastAsia" w:ascii="宋体" w:hAnsi="宋体" w:eastAsia="宋体" w:cs="宋体"/>
                <w:szCs w:val="21"/>
                <w:highlight w:val="none"/>
              </w:rPr>
            </w:pPr>
          </w:p>
        </w:tc>
      </w:tr>
      <w:tr w14:paraId="07612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E9BCC8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208EAE0A">
            <w:pPr>
              <w:spacing w:after="120" w:line="360" w:lineRule="atLeast"/>
              <w:ind w:left="851" w:hanging="851"/>
              <w:jc w:val="center"/>
              <w:rPr>
                <w:rFonts w:hint="eastAsia" w:ascii="宋体" w:hAnsi="宋体" w:eastAsia="宋体" w:cs="宋体"/>
                <w:szCs w:val="21"/>
                <w:highlight w:val="none"/>
              </w:rPr>
            </w:pPr>
          </w:p>
        </w:tc>
      </w:tr>
    </w:tbl>
    <w:p w14:paraId="6547BA1C">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589A555C">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08A2C250">
      <w:pPr>
        <w:widowControl/>
        <w:snapToGrid w:val="0"/>
        <w:spacing w:line="360" w:lineRule="exact"/>
        <w:jc w:val="left"/>
        <w:rPr>
          <w:rFonts w:hint="eastAsia" w:ascii="宋体" w:hAnsi="宋体" w:eastAsia="宋体" w:cs="宋体"/>
          <w:szCs w:val="21"/>
          <w:highlight w:val="none"/>
        </w:rPr>
      </w:pPr>
    </w:p>
    <w:p w14:paraId="67807461">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2" w:name="_Toc11834"/>
      <w:bookmarkStart w:id="53" w:name="_Toc10360"/>
      <w:bookmarkStart w:id="54" w:name="_Toc476321849"/>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52"/>
      <w:bookmarkEnd w:id="53"/>
      <w:bookmarkEnd w:id="54"/>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14:paraId="1F1C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4C6A83CE">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431488A3">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1B43253D">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065FD99B">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2C7A1ABB">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47B0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452F4E91">
            <w:pPr>
              <w:jc w:val="center"/>
              <w:rPr>
                <w:rFonts w:hint="eastAsia" w:ascii="宋体" w:hAnsi="宋体" w:eastAsia="宋体" w:cs="宋体"/>
                <w:szCs w:val="21"/>
                <w:highlight w:val="none"/>
              </w:rPr>
            </w:pPr>
          </w:p>
          <w:p w14:paraId="2D5F34B9">
            <w:pPr>
              <w:jc w:val="center"/>
              <w:rPr>
                <w:rFonts w:hint="eastAsia" w:ascii="宋体" w:hAnsi="宋体" w:eastAsia="宋体" w:cs="宋体"/>
                <w:szCs w:val="21"/>
                <w:highlight w:val="none"/>
              </w:rPr>
            </w:pPr>
          </w:p>
        </w:tc>
        <w:tc>
          <w:tcPr>
            <w:tcW w:w="1880" w:type="pct"/>
            <w:vAlign w:val="center"/>
          </w:tcPr>
          <w:p w14:paraId="2ACCC703">
            <w:pPr>
              <w:widowControl/>
              <w:jc w:val="center"/>
              <w:rPr>
                <w:rFonts w:hint="eastAsia" w:ascii="宋体" w:hAnsi="宋体" w:eastAsia="宋体" w:cs="宋体"/>
                <w:szCs w:val="21"/>
                <w:highlight w:val="none"/>
              </w:rPr>
            </w:pPr>
          </w:p>
          <w:p w14:paraId="3DFBDBE5">
            <w:pPr>
              <w:jc w:val="center"/>
              <w:rPr>
                <w:rFonts w:hint="eastAsia" w:ascii="宋体" w:hAnsi="宋体" w:eastAsia="宋体" w:cs="宋体"/>
                <w:szCs w:val="21"/>
                <w:highlight w:val="none"/>
              </w:rPr>
            </w:pPr>
          </w:p>
        </w:tc>
        <w:tc>
          <w:tcPr>
            <w:tcW w:w="984" w:type="pct"/>
          </w:tcPr>
          <w:p w14:paraId="5CC7CB76">
            <w:pPr>
              <w:jc w:val="center"/>
              <w:rPr>
                <w:rFonts w:hint="eastAsia" w:ascii="宋体" w:hAnsi="宋体" w:eastAsia="宋体" w:cs="宋体"/>
                <w:szCs w:val="21"/>
                <w:highlight w:val="none"/>
              </w:rPr>
            </w:pPr>
          </w:p>
        </w:tc>
        <w:tc>
          <w:tcPr>
            <w:tcW w:w="807" w:type="pct"/>
            <w:vAlign w:val="center"/>
          </w:tcPr>
          <w:p w14:paraId="47010C05">
            <w:pPr>
              <w:jc w:val="center"/>
              <w:rPr>
                <w:rFonts w:hint="eastAsia" w:ascii="宋体" w:hAnsi="宋体" w:eastAsia="宋体" w:cs="宋体"/>
                <w:szCs w:val="21"/>
                <w:highlight w:val="none"/>
              </w:rPr>
            </w:pPr>
          </w:p>
        </w:tc>
        <w:tc>
          <w:tcPr>
            <w:tcW w:w="677" w:type="pct"/>
            <w:vAlign w:val="center"/>
          </w:tcPr>
          <w:p w14:paraId="4DEB8916">
            <w:pPr>
              <w:jc w:val="center"/>
              <w:rPr>
                <w:rFonts w:hint="eastAsia" w:ascii="宋体" w:hAnsi="宋体" w:eastAsia="宋体" w:cs="宋体"/>
                <w:szCs w:val="21"/>
                <w:highlight w:val="none"/>
              </w:rPr>
            </w:pPr>
          </w:p>
        </w:tc>
      </w:tr>
      <w:tr w14:paraId="3406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67E5D84">
            <w:pPr>
              <w:jc w:val="center"/>
              <w:rPr>
                <w:rFonts w:hint="eastAsia" w:ascii="宋体" w:hAnsi="宋体" w:eastAsia="宋体" w:cs="宋体"/>
                <w:szCs w:val="21"/>
                <w:highlight w:val="none"/>
              </w:rPr>
            </w:pPr>
          </w:p>
          <w:p w14:paraId="7CEC7EA1">
            <w:pPr>
              <w:jc w:val="center"/>
              <w:rPr>
                <w:rFonts w:hint="eastAsia" w:ascii="宋体" w:hAnsi="宋体" w:eastAsia="宋体" w:cs="宋体"/>
                <w:szCs w:val="21"/>
                <w:highlight w:val="none"/>
              </w:rPr>
            </w:pPr>
          </w:p>
        </w:tc>
        <w:tc>
          <w:tcPr>
            <w:tcW w:w="1880" w:type="pct"/>
            <w:vAlign w:val="center"/>
          </w:tcPr>
          <w:p w14:paraId="44FCC126">
            <w:pPr>
              <w:widowControl/>
              <w:jc w:val="center"/>
              <w:rPr>
                <w:rFonts w:hint="eastAsia" w:ascii="宋体" w:hAnsi="宋体" w:eastAsia="宋体" w:cs="宋体"/>
                <w:szCs w:val="21"/>
                <w:highlight w:val="none"/>
              </w:rPr>
            </w:pPr>
          </w:p>
          <w:p w14:paraId="7074D643">
            <w:pPr>
              <w:jc w:val="center"/>
              <w:rPr>
                <w:rFonts w:hint="eastAsia" w:ascii="宋体" w:hAnsi="宋体" w:eastAsia="宋体" w:cs="宋体"/>
                <w:szCs w:val="21"/>
                <w:highlight w:val="none"/>
              </w:rPr>
            </w:pPr>
          </w:p>
        </w:tc>
        <w:tc>
          <w:tcPr>
            <w:tcW w:w="984" w:type="pct"/>
          </w:tcPr>
          <w:p w14:paraId="148FEEE5">
            <w:pPr>
              <w:jc w:val="center"/>
              <w:rPr>
                <w:rFonts w:hint="eastAsia" w:ascii="宋体" w:hAnsi="宋体" w:eastAsia="宋体" w:cs="宋体"/>
                <w:szCs w:val="21"/>
                <w:highlight w:val="none"/>
              </w:rPr>
            </w:pPr>
          </w:p>
        </w:tc>
        <w:tc>
          <w:tcPr>
            <w:tcW w:w="807" w:type="pct"/>
            <w:vAlign w:val="center"/>
          </w:tcPr>
          <w:p w14:paraId="5CC805B2">
            <w:pPr>
              <w:jc w:val="center"/>
              <w:rPr>
                <w:rFonts w:hint="eastAsia" w:ascii="宋体" w:hAnsi="宋体" w:eastAsia="宋体" w:cs="宋体"/>
                <w:szCs w:val="21"/>
                <w:highlight w:val="none"/>
              </w:rPr>
            </w:pPr>
          </w:p>
        </w:tc>
        <w:tc>
          <w:tcPr>
            <w:tcW w:w="677" w:type="pct"/>
            <w:vAlign w:val="center"/>
          </w:tcPr>
          <w:p w14:paraId="72E763C2">
            <w:pPr>
              <w:jc w:val="center"/>
              <w:rPr>
                <w:rFonts w:hint="eastAsia" w:ascii="宋体" w:hAnsi="宋体" w:eastAsia="宋体" w:cs="宋体"/>
                <w:szCs w:val="21"/>
                <w:highlight w:val="none"/>
              </w:rPr>
            </w:pPr>
          </w:p>
        </w:tc>
      </w:tr>
      <w:tr w14:paraId="519C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626B0485">
            <w:pPr>
              <w:jc w:val="center"/>
              <w:rPr>
                <w:rFonts w:hint="eastAsia" w:ascii="宋体" w:hAnsi="宋体" w:eastAsia="宋体" w:cs="宋体"/>
                <w:szCs w:val="21"/>
                <w:highlight w:val="none"/>
              </w:rPr>
            </w:pPr>
          </w:p>
          <w:p w14:paraId="1D70861F">
            <w:pPr>
              <w:jc w:val="center"/>
              <w:rPr>
                <w:rFonts w:hint="eastAsia" w:ascii="宋体" w:hAnsi="宋体" w:eastAsia="宋体" w:cs="宋体"/>
                <w:szCs w:val="21"/>
                <w:highlight w:val="none"/>
              </w:rPr>
            </w:pPr>
          </w:p>
        </w:tc>
        <w:tc>
          <w:tcPr>
            <w:tcW w:w="1880" w:type="pct"/>
            <w:vAlign w:val="center"/>
          </w:tcPr>
          <w:p w14:paraId="783057B1">
            <w:pPr>
              <w:widowControl/>
              <w:jc w:val="center"/>
              <w:rPr>
                <w:rFonts w:hint="eastAsia" w:ascii="宋体" w:hAnsi="宋体" w:eastAsia="宋体" w:cs="宋体"/>
                <w:szCs w:val="21"/>
                <w:highlight w:val="none"/>
              </w:rPr>
            </w:pPr>
          </w:p>
          <w:p w14:paraId="5AF99059">
            <w:pPr>
              <w:jc w:val="center"/>
              <w:rPr>
                <w:rFonts w:hint="eastAsia" w:ascii="宋体" w:hAnsi="宋体" w:eastAsia="宋体" w:cs="宋体"/>
                <w:szCs w:val="21"/>
                <w:highlight w:val="none"/>
              </w:rPr>
            </w:pPr>
          </w:p>
        </w:tc>
        <w:tc>
          <w:tcPr>
            <w:tcW w:w="984" w:type="pct"/>
          </w:tcPr>
          <w:p w14:paraId="289C17DC">
            <w:pPr>
              <w:jc w:val="center"/>
              <w:rPr>
                <w:rFonts w:hint="eastAsia" w:ascii="宋体" w:hAnsi="宋体" w:eastAsia="宋体" w:cs="宋体"/>
                <w:szCs w:val="21"/>
                <w:highlight w:val="none"/>
              </w:rPr>
            </w:pPr>
          </w:p>
        </w:tc>
        <w:tc>
          <w:tcPr>
            <w:tcW w:w="807" w:type="pct"/>
            <w:vAlign w:val="center"/>
          </w:tcPr>
          <w:p w14:paraId="010C276A">
            <w:pPr>
              <w:jc w:val="center"/>
              <w:rPr>
                <w:rFonts w:hint="eastAsia" w:ascii="宋体" w:hAnsi="宋体" w:eastAsia="宋体" w:cs="宋体"/>
                <w:szCs w:val="21"/>
                <w:highlight w:val="none"/>
              </w:rPr>
            </w:pPr>
          </w:p>
        </w:tc>
        <w:tc>
          <w:tcPr>
            <w:tcW w:w="677" w:type="pct"/>
            <w:vAlign w:val="center"/>
          </w:tcPr>
          <w:p w14:paraId="23C3674B">
            <w:pPr>
              <w:jc w:val="center"/>
              <w:rPr>
                <w:rFonts w:hint="eastAsia" w:ascii="宋体" w:hAnsi="宋体" w:eastAsia="宋体" w:cs="宋体"/>
                <w:szCs w:val="21"/>
                <w:highlight w:val="none"/>
              </w:rPr>
            </w:pPr>
          </w:p>
        </w:tc>
      </w:tr>
      <w:tr w14:paraId="755DD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78C7DBDF">
            <w:pPr>
              <w:jc w:val="center"/>
              <w:rPr>
                <w:rFonts w:hint="eastAsia" w:ascii="宋体" w:hAnsi="宋体" w:eastAsia="宋体" w:cs="宋体"/>
                <w:szCs w:val="21"/>
                <w:highlight w:val="none"/>
              </w:rPr>
            </w:pPr>
          </w:p>
          <w:p w14:paraId="72D4E036">
            <w:pPr>
              <w:jc w:val="center"/>
              <w:rPr>
                <w:rFonts w:hint="eastAsia" w:ascii="宋体" w:hAnsi="宋体" w:eastAsia="宋体" w:cs="宋体"/>
                <w:szCs w:val="21"/>
                <w:highlight w:val="none"/>
              </w:rPr>
            </w:pPr>
          </w:p>
        </w:tc>
        <w:tc>
          <w:tcPr>
            <w:tcW w:w="1880" w:type="pct"/>
            <w:vAlign w:val="center"/>
          </w:tcPr>
          <w:p w14:paraId="207A0510">
            <w:pPr>
              <w:widowControl/>
              <w:jc w:val="center"/>
              <w:rPr>
                <w:rFonts w:hint="eastAsia" w:ascii="宋体" w:hAnsi="宋体" w:eastAsia="宋体" w:cs="宋体"/>
                <w:szCs w:val="21"/>
                <w:highlight w:val="none"/>
              </w:rPr>
            </w:pPr>
          </w:p>
          <w:p w14:paraId="6FA2BEFA">
            <w:pPr>
              <w:jc w:val="center"/>
              <w:rPr>
                <w:rFonts w:hint="eastAsia" w:ascii="宋体" w:hAnsi="宋体" w:eastAsia="宋体" w:cs="宋体"/>
                <w:szCs w:val="21"/>
                <w:highlight w:val="none"/>
              </w:rPr>
            </w:pPr>
          </w:p>
        </w:tc>
        <w:tc>
          <w:tcPr>
            <w:tcW w:w="984" w:type="pct"/>
          </w:tcPr>
          <w:p w14:paraId="2C7D01AE">
            <w:pPr>
              <w:jc w:val="center"/>
              <w:rPr>
                <w:rFonts w:hint="eastAsia" w:ascii="宋体" w:hAnsi="宋体" w:eastAsia="宋体" w:cs="宋体"/>
                <w:szCs w:val="21"/>
                <w:highlight w:val="none"/>
              </w:rPr>
            </w:pPr>
          </w:p>
        </w:tc>
        <w:tc>
          <w:tcPr>
            <w:tcW w:w="807" w:type="pct"/>
            <w:vAlign w:val="center"/>
          </w:tcPr>
          <w:p w14:paraId="1FFC7109">
            <w:pPr>
              <w:jc w:val="center"/>
              <w:rPr>
                <w:rFonts w:hint="eastAsia" w:ascii="宋体" w:hAnsi="宋体" w:eastAsia="宋体" w:cs="宋体"/>
                <w:szCs w:val="21"/>
                <w:highlight w:val="none"/>
              </w:rPr>
            </w:pPr>
          </w:p>
        </w:tc>
        <w:tc>
          <w:tcPr>
            <w:tcW w:w="677" w:type="pct"/>
            <w:vAlign w:val="center"/>
          </w:tcPr>
          <w:p w14:paraId="3CE392D4">
            <w:pPr>
              <w:jc w:val="center"/>
              <w:rPr>
                <w:rFonts w:hint="eastAsia" w:ascii="宋体" w:hAnsi="宋体" w:eastAsia="宋体" w:cs="宋体"/>
                <w:szCs w:val="21"/>
                <w:highlight w:val="none"/>
              </w:rPr>
            </w:pPr>
          </w:p>
        </w:tc>
      </w:tr>
      <w:tr w14:paraId="44D5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77E30932">
            <w:pPr>
              <w:jc w:val="center"/>
              <w:rPr>
                <w:rFonts w:hint="eastAsia" w:ascii="宋体" w:hAnsi="宋体" w:eastAsia="宋体" w:cs="宋体"/>
                <w:szCs w:val="21"/>
                <w:highlight w:val="none"/>
              </w:rPr>
            </w:pPr>
          </w:p>
          <w:p w14:paraId="0376ABC8">
            <w:pPr>
              <w:jc w:val="center"/>
              <w:rPr>
                <w:rFonts w:hint="eastAsia" w:ascii="宋体" w:hAnsi="宋体" w:eastAsia="宋体" w:cs="宋体"/>
                <w:szCs w:val="21"/>
                <w:highlight w:val="none"/>
              </w:rPr>
            </w:pPr>
          </w:p>
        </w:tc>
        <w:tc>
          <w:tcPr>
            <w:tcW w:w="1880" w:type="pct"/>
            <w:vAlign w:val="center"/>
          </w:tcPr>
          <w:p w14:paraId="43B244E5">
            <w:pPr>
              <w:widowControl/>
              <w:jc w:val="center"/>
              <w:rPr>
                <w:rFonts w:hint="eastAsia" w:ascii="宋体" w:hAnsi="宋体" w:eastAsia="宋体" w:cs="宋体"/>
                <w:szCs w:val="21"/>
                <w:highlight w:val="none"/>
              </w:rPr>
            </w:pPr>
          </w:p>
          <w:p w14:paraId="11B0CA1C">
            <w:pPr>
              <w:jc w:val="center"/>
              <w:rPr>
                <w:rFonts w:hint="eastAsia" w:ascii="宋体" w:hAnsi="宋体" w:eastAsia="宋体" w:cs="宋体"/>
                <w:szCs w:val="21"/>
                <w:highlight w:val="none"/>
              </w:rPr>
            </w:pPr>
          </w:p>
        </w:tc>
        <w:tc>
          <w:tcPr>
            <w:tcW w:w="984" w:type="pct"/>
          </w:tcPr>
          <w:p w14:paraId="7B650F45">
            <w:pPr>
              <w:jc w:val="center"/>
              <w:rPr>
                <w:rFonts w:hint="eastAsia" w:ascii="宋体" w:hAnsi="宋体" w:eastAsia="宋体" w:cs="宋体"/>
                <w:szCs w:val="21"/>
                <w:highlight w:val="none"/>
              </w:rPr>
            </w:pPr>
          </w:p>
        </w:tc>
        <w:tc>
          <w:tcPr>
            <w:tcW w:w="807" w:type="pct"/>
            <w:vAlign w:val="center"/>
          </w:tcPr>
          <w:p w14:paraId="4D85C1CE">
            <w:pPr>
              <w:jc w:val="center"/>
              <w:rPr>
                <w:rFonts w:hint="eastAsia" w:ascii="宋体" w:hAnsi="宋体" w:eastAsia="宋体" w:cs="宋体"/>
                <w:szCs w:val="21"/>
                <w:highlight w:val="none"/>
              </w:rPr>
            </w:pPr>
          </w:p>
        </w:tc>
        <w:tc>
          <w:tcPr>
            <w:tcW w:w="677" w:type="pct"/>
            <w:vAlign w:val="center"/>
          </w:tcPr>
          <w:p w14:paraId="5A8F5F35">
            <w:pPr>
              <w:jc w:val="center"/>
              <w:rPr>
                <w:rFonts w:hint="eastAsia" w:ascii="宋体" w:hAnsi="宋体" w:eastAsia="宋体" w:cs="宋体"/>
                <w:szCs w:val="21"/>
                <w:highlight w:val="none"/>
              </w:rPr>
            </w:pPr>
          </w:p>
        </w:tc>
      </w:tr>
      <w:tr w14:paraId="7A80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0BEEE08B">
            <w:pPr>
              <w:jc w:val="center"/>
              <w:rPr>
                <w:rFonts w:hint="eastAsia" w:ascii="宋体" w:hAnsi="宋体" w:eastAsia="宋体" w:cs="宋体"/>
                <w:szCs w:val="21"/>
                <w:highlight w:val="none"/>
              </w:rPr>
            </w:pPr>
          </w:p>
          <w:p w14:paraId="0F91F3ED">
            <w:pPr>
              <w:jc w:val="center"/>
              <w:rPr>
                <w:rFonts w:hint="eastAsia" w:ascii="宋体" w:hAnsi="宋体" w:eastAsia="宋体" w:cs="宋体"/>
                <w:szCs w:val="21"/>
                <w:highlight w:val="none"/>
              </w:rPr>
            </w:pPr>
          </w:p>
        </w:tc>
        <w:tc>
          <w:tcPr>
            <w:tcW w:w="1880" w:type="pct"/>
            <w:vAlign w:val="center"/>
          </w:tcPr>
          <w:p w14:paraId="240F0B58">
            <w:pPr>
              <w:widowControl/>
              <w:jc w:val="center"/>
              <w:rPr>
                <w:rFonts w:hint="eastAsia" w:ascii="宋体" w:hAnsi="宋体" w:eastAsia="宋体" w:cs="宋体"/>
                <w:szCs w:val="21"/>
                <w:highlight w:val="none"/>
              </w:rPr>
            </w:pPr>
          </w:p>
          <w:p w14:paraId="59E032D9">
            <w:pPr>
              <w:jc w:val="center"/>
              <w:rPr>
                <w:rFonts w:hint="eastAsia" w:ascii="宋体" w:hAnsi="宋体" w:eastAsia="宋体" w:cs="宋体"/>
                <w:szCs w:val="21"/>
                <w:highlight w:val="none"/>
              </w:rPr>
            </w:pPr>
          </w:p>
        </w:tc>
        <w:tc>
          <w:tcPr>
            <w:tcW w:w="984" w:type="pct"/>
          </w:tcPr>
          <w:p w14:paraId="32D31A2E">
            <w:pPr>
              <w:jc w:val="center"/>
              <w:rPr>
                <w:rFonts w:hint="eastAsia" w:ascii="宋体" w:hAnsi="宋体" w:eastAsia="宋体" w:cs="宋体"/>
                <w:szCs w:val="21"/>
                <w:highlight w:val="none"/>
              </w:rPr>
            </w:pPr>
          </w:p>
        </w:tc>
        <w:tc>
          <w:tcPr>
            <w:tcW w:w="807" w:type="pct"/>
            <w:vAlign w:val="center"/>
          </w:tcPr>
          <w:p w14:paraId="5685D0C6">
            <w:pPr>
              <w:jc w:val="center"/>
              <w:rPr>
                <w:rFonts w:hint="eastAsia" w:ascii="宋体" w:hAnsi="宋体" w:eastAsia="宋体" w:cs="宋体"/>
                <w:szCs w:val="21"/>
                <w:highlight w:val="none"/>
              </w:rPr>
            </w:pPr>
          </w:p>
        </w:tc>
        <w:tc>
          <w:tcPr>
            <w:tcW w:w="677" w:type="pct"/>
            <w:vAlign w:val="center"/>
          </w:tcPr>
          <w:p w14:paraId="07E91CCF">
            <w:pPr>
              <w:jc w:val="center"/>
              <w:rPr>
                <w:rFonts w:hint="eastAsia" w:ascii="宋体" w:hAnsi="宋体" w:eastAsia="宋体" w:cs="宋体"/>
                <w:szCs w:val="21"/>
                <w:highlight w:val="none"/>
              </w:rPr>
            </w:pPr>
          </w:p>
        </w:tc>
      </w:tr>
    </w:tbl>
    <w:p w14:paraId="1ED51A67">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46134340">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0DAB3830">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4FD440AD">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709680C4">
      <w:pPr>
        <w:widowControl/>
        <w:jc w:val="left"/>
        <w:rPr>
          <w:rFonts w:hint="eastAsia" w:ascii="宋体" w:hAnsi="宋体" w:eastAsia="宋体" w:cs="宋体"/>
          <w:b/>
          <w:bCs/>
          <w:sz w:val="24"/>
          <w:highlight w:val="none"/>
        </w:rPr>
      </w:pPr>
    </w:p>
    <w:p w14:paraId="076FF2F3">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5" w:name="_Toc476321850"/>
      <w:bookmarkStart w:id="56" w:name="_Toc26958"/>
      <w:bookmarkStart w:id="57" w:name="_Toc3792"/>
      <w:r>
        <w:rPr>
          <w:rFonts w:hint="eastAsia" w:ascii="宋体" w:hAnsi="宋体" w:eastAsia="宋体" w:cs="宋体"/>
          <w:highlight w:val="none"/>
        </w:rPr>
        <w:t>项目负责人及成员组成情况表</w:t>
      </w:r>
      <w:bookmarkEnd w:id="55"/>
      <w:bookmarkEnd w:id="56"/>
      <w:bookmarkEnd w:id="57"/>
    </w:p>
    <w:p w14:paraId="4F510EF9">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1E0DCCC9">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14:paraId="6DAC3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32BF4159">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14:paraId="3F4E0131">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14:paraId="10E9F8EA">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14:paraId="16C65685">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14:paraId="2A9EE363">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65410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A3AA302">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14:paraId="23FBCB35">
            <w:pPr>
              <w:spacing w:line="360" w:lineRule="auto"/>
              <w:ind w:right="-55" w:firstLine="472"/>
              <w:jc w:val="center"/>
              <w:rPr>
                <w:rFonts w:hint="eastAsia" w:ascii="宋体" w:hAnsi="宋体" w:eastAsia="宋体" w:cs="宋体"/>
                <w:szCs w:val="21"/>
                <w:highlight w:val="none"/>
              </w:rPr>
            </w:pPr>
          </w:p>
        </w:tc>
        <w:tc>
          <w:tcPr>
            <w:tcW w:w="689" w:type="pct"/>
            <w:vAlign w:val="center"/>
          </w:tcPr>
          <w:p w14:paraId="1A49A7A7">
            <w:pPr>
              <w:spacing w:line="360" w:lineRule="auto"/>
              <w:ind w:right="-55" w:firstLine="472"/>
              <w:jc w:val="center"/>
              <w:rPr>
                <w:rFonts w:hint="eastAsia" w:ascii="宋体" w:hAnsi="宋体" w:eastAsia="宋体" w:cs="宋体"/>
                <w:szCs w:val="21"/>
                <w:highlight w:val="none"/>
              </w:rPr>
            </w:pPr>
          </w:p>
        </w:tc>
        <w:tc>
          <w:tcPr>
            <w:tcW w:w="766" w:type="pct"/>
            <w:vAlign w:val="center"/>
          </w:tcPr>
          <w:p w14:paraId="737C9DA7">
            <w:pPr>
              <w:spacing w:line="360" w:lineRule="auto"/>
              <w:ind w:right="-55" w:firstLine="472"/>
              <w:jc w:val="center"/>
              <w:rPr>
                <w:rFonts w:hint="eastAsia" w:ascii="宋体" w:hAnsi="宋体" w:eastAsia="宋体" w:cs="宋体"/>
                <w:szCs w:val="21"/>
                <w:highlight w:val="none"/>
              </w:rPr>
            </w:pPr>
          </w:p>
        </w:tc>
        <w:tc>
          <w:tcPr>
            <w:tcW w:w="1039" w:type="pct"/>
            <w:vAlign w:val="center"/>
          </w:tcPr>
          <w:p w14:paraId="1F5BA5C5">
            <w:pPr>
              <w:spacing w:line="360" w:lineRule="auto"/>
              <w:ind w:right="-55" w:firstLine="472"/>
              <w:jc w:val="center"/>
              <w:rPr>
                <w:rFonts w:hint="eastAsia" w:ascii="宋体" w:hAnsi="宋体" w:eastAsia="宋体" w:cs="宋体"/>
                <w:szCs w:val="21"/>
                <w:highlight w:val="none"/>
              </w:rPr>
            </w:pPr>
          </w:p>
        </w:tc>
      </w:tr>
      <w:tr w14:paraId="1513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A500D6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14:paraId="0D2565D3">
            <w:pPr>
              <w:spacing w:line="360" w:lineRule="auto"/>
              <w:ind w:right="-55" w:firstLine="472"/>
              <w:jc w:val="center"/>
              <w:rPr>
                <w:rFonts w:hint="eastAsia" w:ascii="宋体" w:hAnsi="宋体" w:eastAsia="宋体" w:cs="宋体"/>
                <w:szCs w:val="21"/>
                <w:highlight w:val="none"/>
              </w:rPr>
            </w:pPr>
          </w:p>
        </w:tc>
        <w:tc>
          <w:tcPr>
            <w:tcW w:w="689" w:type="pct"/>
            <w:vAlign w:val="center"/>
          </w:tcPr>
          <w:p w14:paraId="3854AB3A">
            <w:pPr>
              <w:spacing w:line="360" w:lineRule="auto"/>
              <w:ind w:right="-55" w:firstLine="472"/>
              <w:jc w:val="center"/>
              <w:rPr>
                <w:rFonts w:hint="eastAsia" w:ascii="宋体" w:hAnsi="宋体" w:eastAsia="宋体" w:cs="宋体"/>
                <w:szCs w:val="21"/>
                <w:highlight w:val="none"/>
              </w:rPr>
            </w:pPr>
          </w:p>
        </w:tc>
        <w:tc>
          <w:tcPr>
            <w:tcW w:w="766" w:type="pct"/>
            <w:vAlign w:val="center"/>
          </w:tcPr>
          <w:p w14:paraId="006F96FF">
            <w:pPr>
              <w:spacing w:line="360" w:lineRule="auto"/>
              <w:ind w:right="-55" w:firstLine="472"/>
              <w:jc w:val="center"/>
              <w:rPr>
                <w:rFonts w:hint="eastAsia" w:ascii="宋体" w:hAnsi="宋体" w:eastAsia="宋体" w:cs="宋体"/>
                <w:szCs w:val="21"/>
                <w:highlight w:val="none"/>
              </w:rPr>
            </w:pPr>
          </w:p>
        </w:tc>
        <w:tc>
          <w:tcPr>
            <w:tcW w:w="1039" w:type="pct"/>
            <w:vAlign w:val="center"/>
          </w:tcPr>
          <w:p w14:paraId="5ADB31A6">
            <w:pPr>
              <w:spacing w:line="360" w:lineRule="auto"/>
              <w:ind w:right="-55" w:firstLine="472"/>
              <w:jc w:val="center"/>
              <w:rPr>
                <w:rFonts w:hint="eastAsia" w:ascii="宋体" w:hAnsi="宋体" w:eastAsia="宋体" w:cs="宋体"/>
                <w:szCs w:val="21"/>
                <w:highlight w:val="none"/>
              </w:rPr>
            </w:pPr>
          </w:p>
        </w:tc>
      </w:tr>
      <w:tr w14:paraId="5CB6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7177A4">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14:paraId="37467E6E">
            <w:pPr>
              <w:spacing w:line="360" w:lineRule="auto"/>
              <w:ind w:right="-55" w:firstLine="472"/>
              <w:jc w:val="center"/>
              <w:rPr>
                <w:rFonts w:hint="eastAsia" w:ascii="宋体" w:hAnsi="宋体" w:eastAsia="宋体" w:cs="宋体"/>
                <w:szCs w:val="21"/>
                <w:highlight w:val="none"/>
              </w:rPr>
            </w:pPr>
          </w:p>
        </w:tc>
        <w:tc>
          <w:tcPr>
            <w:tcW w:w="689" w:type="pct"/>
            <w:vAlign w:val="center"/>
          </w:tcPr>
          <w:p w14:paraId="75223E53">
            <w:pPr>
              <w:spacing w:line="360" w:lineRule="auto"/>
              <w:ind w:right="-55" w:firstLine="472"/>
              <w:jc w:val="center"/>
              <w:rPr>
                <w:rFonts w:hint="eastAsia" w:ascii="宋体" w:hAnsi="宋体" w:eastAsia="宋体" w:cs="宋体"/>
                <w:szCs w:val="21"/>
                <w:highlight w:val="none"/>
              </w:rPr>
            </w:pPr>
          </w:p>
        </w:tc>
        <w:tc>
          <w:tcPr>
            <w:tcW w:w="766" w:type="pct"/>
            <w:vAlign w:val="center"/>
          </w:tcPr>
          <w:p w14:paraId="0AB3E58F">
            <w:pPr>
              <w:spacing w:line="360" w:lineRule="auto"/>
              <w:ind w:right="-55" w:firstLine="472"/>
              <w:jc w:val="center"/>
              <w:rPr>
                <w:rFonts w:hint="eastAsia" w:ascii="宋体" w:hAnsi="宋体" w:eastAsia="宋体" w:cs="宋体"/>
                <w:szCs w:val="21"/>
                <w:highlight w:val="none"/>
              </w:rPr>
            </w:pPr>
          </w:p>
        </w:tc>
        <w:tc>
          <w:tcPr>
            <w:tcW w:w="1039" w:type="pct"/>
            <w:vAlign w:val="center"/>
          </w:tcPr>
          <w:p w14:paraId="0883BF93">
            <w:pPr>
              <w:spacing w:line="360" w:lineRule="auto"/>
              <w:ind w:right="-55" w:firstLine="472"/>
              <w:jc w:val="center"/>
              <w:rPr>
                <w:rFonts w:hint="eastAsia" w:ascii="宋体" w:hAnsi="宋体" w:eastAsia="宋体" w:cs="宋体"/>
                <w:szCs w:val="21"/>
                <w:highlight w:val="none"/>
              </w:rPr>
            </w:pPr>
          </w:p>
        </w:tc>
      </w:tr>
      <w:tr w14:paraId="2FEE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5B9297B6">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14:paraId="6C2B3DC0">
            <w:pPr>
              <w:spacing w:line="360" w:lineRule="auto"/>
              <w:ind w:right="-55" w:firstLine="472"/>
              <w:jc w:val="center"/>
              <w:rPr>
                <w:rFonts w:hint="eastAsia" w:ascii="宋体" w:hAnsi="宋体" w:eastAsia="宋体" w:cs="宋体"/>
                <w:szCs w:val="21"/>
                <w:highlight w:val="none"/>
              </w:rPr>
            </w:pPr>
          </w:p>
        </w:tc>
        <w:tc>
          <w:tcPr>
            <w:tcW w:w="689" w:type="pct"/>
            <w:vAlign w:val="center"/>
          </w:tcPr>
          <w:p w14:paraId="6CCAFE73">
            <w:pPr>
              <w:spacing w:line="360" w:lineRule="auto"/>
              <w:ind w:right="-55" w:firstLine="472"/>
              <w:jc w:val="center"/>
              <w:rPr>
                <w:rFonts w:hint="eastAsia" w:ascii="宋体" w:hAnsi="宋体" w:eastAsia="宋体" w:cs="宋体"/>
                <w:szCs w:val="21"/>
                <w:highlight w:val="none"/>
              </w:rPr>
            </w:pPr>
          </w:p>
        </w:tc>
        <w:tc>
          <w:tcPr>
            <w:tcW w:w="766" w:type="pct"/>
            <w:vAlign w:val="center"/>
          </w:tcPr>
          <w:p w14:paraId="0BF9A89F">
            <w:pPr>
              <w:spacing w:line="360" w:lineRule="auto"/>
              <w:ind w:right="-55" w:firstLine="472"/>
              <w:jc w:val="center"/>
              <w:rPr>
                <w:rFonts w:hint="eastAsia" w:ascii="宋体" w:hAnsi="宋体" w:eastAsia="宋体" w:cs="宋体"/>
                <w:szCs w:val="21"/>
                <w:highlight w:val="none"/>
              </w:rPr>
            </w:pPr>
          </w:p>
        </w:tc>
        <w:tc>
          <w:tcPr>
            <w:tcW w:w="1039" w:type="pct"/>
            <w:vAlign w:val="center"/>
          </w:tcPr>
          <w:p w14:paraId="60013D5A">
            <w:pPr>
              <w:spacing w:line="360" w:lineRule="auto"/>
              <w:ind w:right="-55" w:firstLine="472"/>
              <w:jc w:val="center"/>
              <w:rPr>
                <w:rFonts w:hint="eastAsia" w:ascii="宋体" w:hAnsi="宋体" w:eastAsia="宋体" w:cs="宋体"/>
                <w:szCs w:val="21"/>
                <w:highlight w:val="none"/>
              </w:rPr>
            </w:pPr>
          </w:p>
        </w:tc>
      </w:tr>
      <w:tr w14:paraId="2C14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83087EE">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2164F32B">
            <w:pPr>
              <w:spacing w:line="360" w:lineRule="auto"/>
              <w:ind w:right="-55" w:firstLine="472"/>
              <w:jc w:val="center"/>
              <w:rPr>
                <w:rFonts w:hint="eastAsia" w:ascii="宋体" w:hAnsi="宋体" w:eastAsia="宋体" w:cs="宋体"/>
                <w:szCs w:val="21"/>
                <w:highlight w:val="none"/>
              </w:rPr>
            </w:pPr>
          </w:p>
        </w:tc>
        <w:tc>
          <w:tcPr>
            <w:tcW w:w="689" w:type="pct"/>
            <w:vAlign w:val="center"/>
          </w:tcPr>
          <w:p w14:paraId="4C46DB55">
            <w:pPr>
              <w:spacing w:line="360" w:lineRule="auto"/>
              <w:ind w:right="-55" w:firstLine="472"/>
              <w:jc w:val="center"/>
              <w:rPr>
                <w:rFonts w:hint="eastAsia" w:ascii="宋体" w:hAnsi="宋体" w:eastAsia="宋体" w:cs="宋体"/>
                <w:szCs w:val="21"/>
                <w:highlight w:val="none"/>
              </w:rPr>
            </w:pPr>
          </w:p>
        </w:tc>
        <w:tc>
          <w:tcPr>
            <w:tcW w:w="766" w:type="pct"/>
            <w:vAlign w:val="center"/>
          </w:tcPr>
          <w:p w14:paraId="206F77C0">
            <w:pPr>
              <w:spacing w:line="360" w:lineRule="auto"/>
              <w:ind w:right="-55" w:firstLine="472"/>
              <w:jc w:val="center"/>
              <w:rPr>
                <w:rFonts w:hint="eastAsia" w:ascii="宋体" w:hAnsi="宋体" w:eastAsia="宋体" w:cs="宋体"/>
                <w:szCs w:val="21"/>
                <w:highlight w:val="none"/>
              </w:rPr>
            </w:pPr>
          </w:p>
        </w:tc>
        <w:tc>
          <w:tcPr>
            <w:tcW w:w="1039" w:type="pct"/>
            <w:vAlign w:val="center"/>
          </w:tcPr>
          <w:p w14:paraId="07312662">
            <w:pPr>
              <w:spacing w:line="360" w:lineRule="auto"/>
              <w:ind w:right="-55" w:firstLine="472"/>
              <w:jc w:val="center"/>
              <w:rPr>
                <w:rFonts w:hint="eastAsia" w:ascii="宋体" w:hAnsi="宋体" w:eastAsia="宋体" w:cs="宋体"/>
                <w:szCs w:val="21"/>
                <w:highlight w:val="none"/>
              </w:rPr>
            </w:pPr>
          </w:p>
        </w:tc>
      </w:tr>
      <w:tr w14:paraId="4B37F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5B6CE34D">
            <w:pPr>
              <w:spacing w:line="360" w:lineRule="auto"/>
              <w:ind w:right="-55"/>
              <w:jc w:val="both"/>
              <w:rPr>
                <w:rFonts w:hint="eastAsia" w:ascii="宋体" w:hAnsi="宋体" w:eastAsia="宋体" w:cs="宋体"/>
                <w:szCs w:val="21"/>
                <w:highlight w:val="none"/>
              </w:rPr>
            </w:pPr>
          </w:p>
        </w:tc>
        <w:tc>
          <w:tcPr>
            <w:tcW w:w="929" w:type="pct"/>
            <w:vAlign w:val="center"/>
          </w:tcPr>
          <w:p w14:paraId="5ECEEAED">
            <w:pPr>
              <w:spacing w:line="360" w:lineRule="auto"/>
              <w:ind w:right="-55" w:firstLine="472"/>
              <w:jc w:val="center"/>
              <w:rPr>
                <w:rFonts w:hint="eastAsia" w:ascii="宋体" w:hAnsi="宋体" w:eastAsia="宋体" w:cs="宋体"/>
                <w:szCs w:val="21"/>
                <w:highlight w:val="none"/>
              </w:rPr>
            </w:pPr>
          </w:p>
        </w:tc>
        <w:tc>
          <w:tcPr>
            <w:tcW w:w="689" w:type="pct"/>
            <w:vAlign w:val="center"/>
          </w:tcPr>
          <w:p w14:paraId="5733F0F9">
            <w:pPr>
              <w:spacing w:line="360" w:lineRule="auto"/>
              <w:ind w:right="-55" w:firstLine="472"/>
              <w:jc w:val="center"/>
              <w:rPr>
                <w:rFonts w:hint="eastAsia" w:ascii="宋体" w:hAnsi="宋体" w:eastAsia="宋体" w:cs="宋体"/>
                <w:szCs w:val="21"/>
                <w:highlight w:val="none"/>
              </w:rPr>
            </w:pPr>
          </w:p>
        </w:tc>
        <w:tc>
          <w:tcPr>
            <w:tcW w:w="766" w:type="pct"/>
            <w:vAlign w:val="center"/>
          </w:tcPr>
          <w:p w14:paraId="15AB6BB6">
            <w:pPr>
              <w:spacing w:line="360" w:lineRule="auto"/>
              <w:ind w:right="-55" w:firstLine="472"/>
              <w:jc w:val="center"/>
              <w:rPr>
                <w:rFonts w:hint="eastAsia" w:ascii="宋体" w:hAnsi="宋体" w:eastAsia="宋体" w:cs="宋体"/>
                <w:szCs w:val="21"/>
                <w:highlight w:val="none"/>
              </w:rPr>
            </w:pPr>
          </w:p>
        </w:tc>
        <w:tc>
          <w:tcPr>
            <w:tcW w:w="1039" w:type="pct"/>
            <w:vAlign w:val="center"/>
          </w:tcPr>
          <w:p w14:paraId="5D041A35">
            <w:pPr>
              <w:spacing w:line="360" w:lineRule="auto"/>
              <w:ind w:right="-55" w:firstLine="472"/>
              <w:jc w:val="center"/>
              <w:rPr>
                <w:rFonts w:hint="eastAsia" w:ascii="宋体" w:hAnsi="宋体" w:eastAsia="宋体" w:cs="宋体"/>
                <w:szCs w:val="21"/>
                <w:highlight w:val="none"/>
              </w:rPr>
            </w:pPr>
          </w:p>
        </w:tc>
      </w:tr>
      <w:tr w14:paraId="3CC23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5F0D20E6">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635D665C">
            <w:pPr>
              <w:spacing w:line="360" w:lineRule="auto"/>
              <w:ind w:right="-55" w:firstLine="472"/>
              <w:jc w:val="center"/>
              <w:rPr>
                <w:rFonts w:hint="eastAsia" w:ascii="宋体" w:hAnsi="宋体" w:eastAsia="宋体" w:cs="宋体"/>
                <w:szCs w:val="21"/>
                <w:highlight w:val="none"/>
              </w:rPr>
            </w:pPr>
          </w:p>
        </w:tc>
        <w:tc>
          <w:tcPr>
            <w:tcW w:w="689" w:type="pct"/>
            <w:vAlign w:val="center"/>
          </w:tcPr>
          <w:p w14:paraId="7E1E2A3B">
            <w:pPr>
              <w:spacing w:line="360" w:lineRule="auto"/>
              <w:ind w:right="-55" w:firstLine="472"/>
              <w:jc w:val="center"/>
              <w:rPr>
                <w:rFonts w:hint="eastAsia" w:ascii="宋体" w:hAnsi="宋体" w:eastAsia="宋体" w:cs="宋体"/>
                <w:szCs w:val="21"/>
                <w:highlight w:val="none"/>
              </w:rPr>
            </w:pPr>
          </w:p>
        </w:tc>
        <w:tc>
          <w:tcPr>
            <w:tcW w:w="766" w:type="pct"/>
            <w:vAlign w:val="center"/>
          </w:tcPr>
          <w:p w14:paraId="535087F6">
            <w:pPr>
              <w:spacing w:line="360" w:lineRule="auto"/>
              <w:ind w:right="-55" w:firstLine="472"/>
              <w:jc w:val="center"/>
              <w:rPr>
                <w:rFonts w:hint="eastAsia" w:ascii="宋体" w:hAnsi="宋体" w:eastAsia="宋体" w:cs="宋体"/>
                <w:szCs w:val="21"/>
                <w:highlight w:val="none"/>
              </w:rPr>
            </w:pPr>
          </w:p>
        </w:tc>
        <w:tc>
          <w:tcPr>
            <w:tcW w:w="1039" w:type="pct"/>
            <w:vAlign w:val="center"/>
          </w:tcPr>
          <w:p w14:paraId="1A606BEE">
            <w:pPr>
              <w:spacing w:line="360" w:lineRule="auto"/>
              <w:ind w:right="-55" w:firstLine="472"/>
              <w:jc w:val="center"/>
              <w:rPr>
                <w:rFonts w:hint="eastAsia" w:ascii="宋体" w:hAnsi="宋体" w:eastAsia="宋体" w:cs="宋体"/>
                <w:szCs w:val="21"/>
                <w:highlight w:val="none"/>
              </w:rPr>
            </w:pPr>
          </w:p>
        </w:tc>
      </w:tr>
    </w:tbl>
    <w:p w14:paraId="2A852720">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14:paraId="4E092DA4">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8" w:name="_Toc104"/>
      <w:bookmarkStart w:id="59" w:name="_Toc18330"/>
      <w:bookmarkStart w:id="60" w:name="_Toc1651923"/>
      <w:bookmarkStart w:id="61" w:name="_Toc56432254"/>
      <w:bookmarkStart w:id="62" w:name="_Toc68688822"/>
      <w:bookmarkStart w:id="63" w:name="_Toc15928"/>
      <w:r>
        <w:rPr>
          <w:rFonts w:hint="eastAsia" w:ascii="宋体" w:hAnsi="宋体" w:eastAsia="宋体" w:cs="宋体"/>
          <w:highlight w:val="none"/>
        </w:rPr>
        <w:t>本项目的实施方案</w:t>
      </w:r>
      <w:bookmarkEnd w:id="58"/>
      <w:bookmarkEnd w:id="59"/>
    </w:p>
    <w:p w14:paraId="3D4844F6">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08851991">
      <w:pPr>
        <w:widowControl/>
        <w:numPr>
          <w:ilvl w:val="0"/>
          <w:numId w:val="0"/>
        </w:numPr>
        <w:jc w:val="left"/>
        <w:rPr>
          <w:rFonts w:hint="eastAsia" w:ascii="宋体" w:hAnsi="宋体" w:cs="宋体"/>
          <w:kern w:val="2"/>
          <w:sz w:val="21"/>
          <w:szCs w:val="24"/>
          <w:lang w:val="en-US" w:eastAsia="zh-CN" w:bidi="ar-SA"/>
        </w:rPr>
      </w:pPr>
    </w:p>
    <w:p w14:paraId="0C1FC5D3">
      <w:pPr>
        <w:widowControl/>
        <w:numPr>
          <w:ilvl w:val="0"/>
          <w:numId w:val="0"/>
        </w:numPr>
        <w:jc w:val="left"/>
        <w:rPr>
          <w:rFonts w:hint="eastAsia" w:ascii="宋体" w:hAnsi="宋体" w:cs="宋体"/>
          <w:kern w:val="2"/>
          <w:sz w:val="21"/>
          <w:szCs w:val="24"/>
          <w:lang w:val="en-US" w:eastAsia="zh-CN" w:bidi="ar-SA"/>
        </w:rPr>
      </w:pPr>
    </w:p>
    <w:p w14:paraId="55FA89A3">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14:paraId="633DACD8">
      <w:pPr>
        <w:widowControl/>
        <w:numPr>
          <w:ilvl w:val="0"/>
          <w:numId w:val="0"/>
        </w:numPr>
        <w:jc w:val="left"/>
        <w:rPr>
          <w:rFonts w:hint="eastAsia" w:ascii="宋体" w:hAnsi="宋体" w:cs="宋体"/>
          <w:kern w:val="2"/>
          <w:sz w:val="21"/>
          <w:szCs w:val="24"/>
          <w:lang w:val="en-US" w:eastAsia="zh-CN" w:bidi="ar-SA"/>
        </w:rPr>
      </w:pPr>
    </w:p>
    <w:p w14:paraId="07DA4AE9">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1、对项目服务要求的理解。</w:t>
      </w:r>
    </w:p>
    <w:p w14:paraId="78A5A7AA">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2、项目服务要求的具体解决方案，</w:t>
      </w:r>
    </w:p>
    <w:p w14:paraId="605C71DC">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1FDF1CC8">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4、项目实施进度计划；</w:t>
      </w:r>
    </w:p>
    <w:p w14:paraId="5AAD8116">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5、服务质量保证措施；</w:t>
      </w:r>
    </w:p>
    <w:p w14:paraId="4F7C90C8">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lang w:val="en-US" w:eastAsia="zh-CN" w:bidi="ar-SA"/>
        </w:rPr>
        <w:t>6、项目服务团队及技术资质。</w:t>
      </w:r>
      <w:r>
        <w:rPr>
          <w:rFonts w:hint="eastAsia" w:ascii="宋体" w:hAnsi="宋体" w:eastAsia="宋体" w:cs="宋体"/>
          <w:highlight w:val="none"/>
        </w:rPr>
        <w:br w:type="page"/>
      </w:r>
    </w:p>
    <w:p w14:paraId="7B32EE9E">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64" w:name="_Toc17083"/>
      <w:bookmarkStart w:id="65" w:name="_Toc29130"/>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60"/>
      <w:bookmarkEnd w:id="61"/>
      <w:bookmarkEnd w:id="62"/>
      <w:bookmarkEnd w:id="63"/>
      <w:bookmarkEnd w:id="64"/>
      <w:r>
        <w:rPr>
          <w:rFonts w:hint="eastAsia" w:ascii="宋体" w:hAnsi="宋体" w:eastAsia="宋体" w:cs="宋体"/>
          <w:highlight w:val="none"/>
        </w:rPr>
        <w:t>函</w:t>
      </w:r>
      <w:bookmarkEnd w:id="65"/>
    </w:p>
    <w:p w14:paraId="6A66EF9A">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 xml:space="preserve"> </w:t>
      </w:r>
      <w:r>
        <w:rPr>
          <w:rFonts w:hint="eastAsia" w:ascii="方正小标宋简体" w:hAnsi="方正小标宋简体" w:eastAsia="方正小标宋简体" w:cs="方正小标宋简体"/>
          <w:b/>
          <w:sz w:val="32"/>
          <w:szCs w:val="32"/>
          <w:u w:val="single"/>
          <w:lang w:val="en-US" w:eastAsia="zh-CN"/>
        </w:rPr>
        <w:t xml:space="preserve">                </w:t>
      </w:r>
      <w:r>
        <w:rPr>
          <w:rFonts w:hint="eastAsia" w:ascii="方正小标宋简体" w:hAnsi="方正小标宋简体" w:eastAsia="方正小标宋简体" w:cs="方正小标宋简体"/>
          <w:b/>
          <w:sz w:val="32"/>
          <w:szCs w:val="32"/>
          <w:lang w:val="en-US" w:eastAsia="zh-CN"/>
        </w:rPr>
        <w:t>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r>
        <w:rPr>
          <w:rFonts w:hint="eastAsia" w:ascii="方正小标宋简体" w:hAnsi="方正小标宋简体" w:eastAsia="方正小标宋简体" w:cs="方正小标宋简体"/>
          <w:b/>
          <w:sz w:val="32"/>
          <w:szCs w:val="32"/>
          <w:lang w:val="en-US" w:eastAsia="zh-CN"/>
        </w:rPr>
        <w:t>服务类</w:t>
      </w:r>
      <w:r>
        <w:rPr>
          <w:rFonts w:hint="eastAsia" w:ascii="方正小标宋简体" w:hAnsi="方正小标宋简体" w:eastAsia="方正小标宋简体" w:cs="方正小标宋简体"/>
          <w:b/>
          <w:sz w:val="32"/>
          <w:szCs w:val="32"/>
          <w:lang w:eastAsia="zh-CN"/>
        </w:rPr>
        <w:t>）</w:t>
      </w:r>
    </w:p>
    <w:p w14:paraId="7A2F2CEB">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广东南方网络信息科技有限公司</w:t>
      </w:r>
      <w:r>
        <w:rPr>
          <w:rFonts w:hint="eastAsia" w:ascii="宋体" w:hAnsi="宋体" w:eastAsia="宋体" w:cs="宋体"/>
          <w:b/>
          <w:sz w:val="21"/>
          <w:szCs w:val="21"/>
        </w:rPr>
        <w:t>：</w:t>
      </w:r>
    </w:p>
    <w:p w14:paraId="07549C1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 xml:space="preserve">          </w:t>
      </w:r>
      <w:r>
        <w:rPr>
          <w:rFonts w:hint="eastAsia" w:ascii="宋体" w:hAnsi="宋体" w:cs="宋体"/>
          <w:sz w:val="21"/>
          <w:szCs w:val="21"/>
          <w:u w:val="single"/>
          <w:lang w:eastAsia="zh-CN"/>
        </w:rPr>
        <w:t>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val="en-US" w:eastAsia="zh-CN"/>
        </w:rPr>
        <w:t xml:space="preserve">          </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14:paraId="19E04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51"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46DAEAD2">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34398F61">
            <w:pPr>
              <w:widowControl/>
              <w:jc w:val="center"/>
              <w:textAlignment w:val="center"/>
              <w:rPr>
                <w:rFonts w:hint="eastAsia" w:ascii="宋体" w:hAnsi="宋体" w:eastAsia="宋体" w:cs="宋体"/>
                <w:b w:val="0"/>
                <w:bCs w:val="0"/>
                <w:color w:val="000000"/>
                <w:kern w:val="0"/>
                <w:sz w:val="21"/>
                <w:szCs w:val="21"/>
                <w:lang w:bidi="ar"/>
              </w:rPr>
            </w:pPr>
            <w:r>
              <w:rPr>
                <w:rFonts w:hint="eastAsia" w:ascii="宋体" w:hAnsi="宋体" w:cs="宋体"/>
                <w:sz w:val="21"/>
                <w:szCs w:val="21"/>
                <w:u w:val="single"/>
                <w:lang w:val="en-US" w:eastAsia="zh-CN"/>
              </w:rPr>
              <w:t xml:space="preserve">             </w:t>
            </w:r>
            <w:r>
              <w:rPr>
                <w:rFonts w:hint="eastAsia" w:ascii="宋体" w:hAnsi="宋体" w:cs="宋体"/>
                <w:sz w:val="21"/>
                <w:szCs w:val="21"/>
                <w:u w:val="single"/>
                <w:lang w:eastAsia="zh-CN"/>
              </w:rPr>
              <w:t>项目</w:t>
            </w:r>
          </w:p>
        </w:tc>
      </w:tr>
      <w:tr w14:paraId="0D4D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4B4A97FB">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6F5A5014">
            <w:pPr>
              <w:widowControl/>
              <w:jc w:val="center"/>
              <w:textAlignment w:val="center"/>
              <w:rPr>
                <w:rFonts w:hint="eastAsia" w:ascii="宋体" w:hAnsi="宋体" w:eastAsia="宋体" w:cs="宋体"/>
                <w:b w:val="0"/>
                <w:bCs w:val="0"/>
                <w:color w:val="000000"/>
                <w:sz w:val="21"/>
                <w:szCs w:val="21"/>
                <w:u w:val="single"/>
                <w:lang w:val="en-US" w:eastAsia="zh-CN"/>
              </w:rPr>
            </w:pPr>
          </w:p>
        </w:tc>
      </w:tr>
      <w:tr w14:paraId="693F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26B200B2">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1C8FD99D">
            <w:pPr>
              <w:pStyle w:val="14"/>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14:paraId="6259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5B9B7576">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22C5A50C">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1718688C">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767CC8D6">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3BAE59C2">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6EC035D9">
      <w:pPr>
        <w:spacing w:line="360" w:lineRule="auto"/>
        <w:jc w:val="center"/>
        <w:rPr>
          <w:rFonts w:hint="eastAsia" w:ascii="方正小标宋简体" w:hAnsi="方正小标宋简体" w:eastAsia="方正小标宋简体" w:cs="方正小标宋简体"/>
          <w:b/>
          <w:sz w:val="32"/>
          <w:szCs w:val="32"/>
          <w:lang w:val="en-US" w:eastAsia="zh-CN"/>
        </w:rPr>
      </w:pPr>
    </w:p>
    <w:p w14:paraId="4F415B63">
      <w:pPr>
        <w:pStyle w:val="14"/>
        <w:rPr>
          <w:rFonts w:hint="eastAsia" w:ascii="方正小标宋简体" w:hAnsi="方正小标宋简体" w:eastAsia="方正小标宋简体" w:cs="方正小标宋简体"/>
          <w:b/>
          <w:sz w:val="32"/>
          <w:szCs w:val="32"/>
          <w:lang w:val="en-US" w:eastAsia="zh-CN"/>
        </w:rPr>
      </w:pPr>
    </w:p>
    <w:p w14:paraId="4C62269E">
      <w:pPr>
        <w:spacing w:line="360" w:lineRule="auto"/>
        <w:jc w:val="center"/>
        <w:rPr>
          <w:rFonts w:hint="eastAsia" w:ascii="方正小标宋简体" w:hAnsi="方正小标宋简体" w:eastAsia="方正小标宋简体" w:cs="方正小标宋简体"/>
          <w:b/>
          <w:sz w:val="32"/>
          <w:szCs w:val="32"/>
          <w:lang w:val="en-US" w:eastAsia="zh-CN"/>
        </w:rPr>
      </w:pPr>
    </w:p>
    <w:bookmarkEnd w:id="0"/>
    <w:bookmarkEnd w:id="1"/>
    <w:bookmarkEnd w:id="2"/>
    <w:bookmarkEnd w:id="3"/>
    <w:p w14:paraId="2DF524EB">
      <w:pPr>
        <w:spacing w:line="360" w:lineRule="auto"/>
        <w:jc w:val="both"/>
        <w:rPr>
          <w:rFonts w:hint="eastAsia" w:ascii="方正小标宋简体" w:hAnsi="方正小标宋简体" w:eastAsia="方正小标宋简体" w:cs="方正小标宋简体"/>
          <w:b/>
          <w:sz w:val="32"/>
          <w:szCs w:val="32"/>
          <w:lang w:val="en-US" w:eastAsia="zh-CN"/>
        </w:rPr>
      </w:pPr>
    </w:p>
    <w:sectPr>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D93A62-FE79-4B9D-9609-9DA09A204D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6425D60-86E9-4A55-979D-4C7FAD5EA11F}"/>
  </w:font>
  <w:font w:name="方正小标宋简体">
    <w:panose1 w:val="03000509000000000000"/>
    <w:charset w:val="86"/>
    <w:family w:val="auto"/>
    <w:pitch w:val="default"/>
    <w:sig w:usb0="00000001" w:usb1="080E0000" w:usb2="00000000" w:usb3="00000000" w:csb0="00040000" w:csb1="00000000"/>
    <w:embedRegular r:id="rId3" w:fontKey="{AB5840B4-42B9-488B-8881-6B1087D17FE3}"/>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D5B0FFEA-E173-4C5A-BFC9-AEC0EC48B3E3}"/>
  </w:font>
  <w:font w:name="仿宋">
    <w:panose1 w:val="02010609060101010101"/>
    <w:charset w:val="86"/>
    <w:family w:val="modern"/>
    <w:pitch w:val="default"/>
    <w:sig w:usb0="800002BF" w:usb1="38CF7CFA" w:usb2="00000016" w:usb3="00000000" w:csb0="00040001" w:csb1="00000000"/>
    <w:embedRegular r:id="rId5" w:fontKey="{304539EA-647B-46A0-B63F-BE6F838816B8}"/>
  </w:font>
  <w:font w:name="方正仿宋简体">
    <w:panose1 w:val="02000000000000000000"/>
    <w:charset w:val="86"/>
    <w:family w:val="auto"/>
    <w:pitch w:val="default"/>
    <w:sig w:usb0="A00002BF" w:usb1="184F6CFA" w:usb2="00000012" w:usb3="00000000" w:csb0="00040001" w:csb1="00000000"/>
    <w:embedRegular r:id="rId6" w:fontKey="{384C11B0-71E1-4E3F-9610-DFB1051A2183}"/>
  </w:font>
  <w:font w:name="华文仿宋">
    <w:panose1 w:val="02010600040101010101"/>
    <w:charset w:val="86"/>
    <w:family w:val="auto"/>
    <w:pitch w:val="default"/>
    <w:sig w:usb0="00000287" w:usb1="080F0000" w:usb2="00000000" w:usb3="00000000" w:csb0="0004009F" w:csb1="DFD70000"/>
    <w:embedRegular r:id="rId7" w:fontKey="{75C9FE20-DE79-4000-99F9-4028769877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C94D0">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904EF4">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E904EF4">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68DB4E8A"/>
    <w:multiLevelType w:val="singleLevel"/>
    <w:tmpl w:val="68DB4E8A"/>
    <w:lvl w:ilvl="0" w:tentative="0">
      <w:start w:val="2"/>
      <w:numFmt w:val="chineseCounting"/>
      <w:suff w:val="space"/>
      <w:lvlText w:val="第%1章"/>
      <w:lvlJc w:val="left"/>
      <w:rPr>
        <w:rFonts w:hint="eastAsia"/>
      </w:rPr>
    </w:lvl>
  </w:abstractNum>
  <w:abstractNum w:abstractNumId="6">
    <w:nsid w:val="7EC89450"/>
    <w:multiLevelType w:val="singleLevel"/>
    <w:tmpl w:val="7EC89450"/>
    <w:lvl w:ilvl="0" w:tentative="0">
      <w:start w:val="1"/>
      <w:numFmt w:val="decimal"/>
      <w:suff w:val="nothing"/>
      <w:lvlText w:val="（%1）"/>
      <w:lvlJc w:val="left"/>
    </w:lvl>
  </w:abstractNum>
  <w:num w:numId="1">
    <w:abstractNumId w:val="5"/>
  </w:num>
  <w:num w:numId="2">
    <w:abstractNumId w:val="2"/>
  </w:num>
  <w:num w:numId="3">
    <w:abstractNumId w:val="6"/>
  </w:num>
  <w:num w:numId="4">
    <w:abstractNumId w:val="3"/>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wYzg3OTU2ZDBiNmU1ZjMxOTY1NzAxY2EwZWU5OWIifQ=="/>
  </w:docVars>
  <w:rsids>
    <w:rsidRoot w:val="644E7E4F"/>
    <w:rsid w:val="021E53CE"/>
    <w:rsid w:val="0271606F"/>
    <w:rsid w:val="06756EC1"/>
    <w:rsid w:val="06B239F1"/>
    <w:rsid w:val="071D47D0"/>
    <w:rsid w:val="07BB0261"/>
    <w:rsid w:val="07E146F4"/>
    <w:rsid w:val="0E122ED0"/>
    <w:rsid w:val="0FB40797"/>
    <w:rsid w:val="13605ECB"/>
    <w:rsid w:val="13E421B0"/>
    <w:rsid w:val="15ED5822"/>
    <w:rsid w:val="19100A21"/>
    <w:rsid w:val="1A635878"/>
    <w:rsid w:val="1BB40130"/>
    <w:rsid w:val="1C26031D"/>
    <w:rsid w:val="21DC56F0"/>
    <w:rsid w:val="239F7A0E"/>
    <w:rsid w:val="2412071A"/>
    <w:rsid w:val="25222E80"/>
    <w:rsid w:val="25AC3397"/>
    <w:rsid w:val="274D2E06"/>
    <w:rsid w:val="2BE5727B"/>
    <w:rsid w:val="2F58700A"/>
    <w:rsid w:val="322554D9"/>
    <w:rsid w:val="32F6429E"/>
    <w:rsid w:val="33F407C1"/>
    <w:rsid w:val="352D55A0"/>
    <w:rsid w:val="358C6383"/>
    <w:rsid w:val="36146ADC"/>
    <w:rsid w:val="365668F5"/>
    <w:rsid w:val="375C3BA6"/>
    <w:rsid w:val="3764396F"/>
    <w:rsid w:val="379A346B"/>
    <w:rsid w:val="3E292C44"/>
    <w:rsid w:val="412C44B5"/>
    <w:rsid w:val="43CA3870"/>
    <w:rsid w:val="440F39C2"/>
    <w:rsid w:val="44AE4D2A"/>
    <w:rsid w:val="463349D0"/>
    <w:rsid w:val="474D2B00"/>
    <w:rsid w:val="47E8499D"/>
    <w:rsid w:val="47ED60C3"/>
    <w:rsid w:val="489E130E"/>
    <w:rsid w:val="4B3314A5"/>
    <w:rsid w:val="4BEE5DD9"/>
    <w:rsid w:val="4CB95600"/>
    <w:rsid w:val="4D383CE4"/>
    <w:rsid w:val="4D714FF5"/>
    <w:rsid w:val="5096526E"/>
    <w:rsid w:val="51B632A0"/>
    <w:rsid w:val="53D47E06"/>
    <w:rsid w:val="543A7A4A"/>
    <w:rsid w:val="553F10D7"/>
    <w:rsid w:val="56116B96"/>
    <w:rsid w:val="565F00F8"/>
    <w:rsid w:val="56D12CF4"/>
    <w:rsid w:val="578312BC"/>
    <w:rsid w:val="590C6670"/>
    <w:rsid w:val="5EC33398"/>
    <w:rsid w:val="5F0850DF"/>
    <w:rsid w:val="606E3C89"/>
    <w:rsid w:val="614D73DF"/>
    <w:rsid w:val="644E7E4F"/>
    <w:rsid w:val="65AC3592"/>
    <w:rsid w:val="6814614D"/>
    <w:rsid w:val="6BE538AC"/>
    <w:rsid w:val="6E065A2C"/>
    <w:rsid w:val="70BE4D92"/>
    <w:rsid w:val="71CE7BD2"/>
    <w:rsid w:val="72B17271"/>
    <w:rsid w:val="7708123E"/>
    <w:rsid w:val="79BD774B"/>
    <w:rsid w:val="7AE321A8"/>
    <w:rsid w:val="7AE83F01"/>
    <w:rsid w:val="7B184BEC"/>
    <w:rsid w:val="7BD531A4"/>
    <w:rsid w:val="7C41061F"/>
    <w:rsid w:val="7CDD698E"/>
    <w:rsid w:val="7E2F7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8">
    <w:name w:val="Default Paragraph Font"/>
    <w:link w:val="19"/>
    <w:semiHidden/>
    <w:qFormat/>
    <w:uiPriority w:val="0"/>
    <w:rPr>
      <w:rFonts w:ascii="ˎ̥" w:hAnsi="ˎ̥" w:cs="宋体"/>
      <w:color w:val="51585D"/>
      <w:kern w:val="0"/>
      <w:sz w:val="24"/>
      <w:szCs w:val="18"/>
    </w:rPr>
  </w:style>
  <w:style w:type="table" w:default="1" w:styleId="16">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next w:val="1"/>
    <w:qFormat/>
    <w:uiPriority w:val="99"/>
    <w:pPr>
      <w:spacing w:after="120"/>
    </w:pPr>
  </w:style>
  <w:style w:type="paragraph" w:styleId="6">
    <w:name w:val="Body Text Indent"/>
    <w:basedOn w:val="1"/>
    <w:qFormat/>
    <w:uiPriority w:val="0"/>
    <w:pPr>
      <w:ind w:firstLine="570"/>
    </w:pPr>
    <w:rPr>
      <w:sz w:val="28"/>
    </w:rPr>
  </w:style>
  <w:style w:type="paragraph" w:styleId="7">
    <w:name w:val="Plain Text"/>
    <w:basedOn w:val="1"/>
    <w:qFormat/>
    <w:uiPriority w:val="0"/>
    <w:rPr>
      <w:rFonts w:ascii="宋体" w:hAnsi="Courier New" w:eastAsiaTheme="minorEastAsia" w:cstheme="minorBidi"/>
      <w:szCs w:val="22"/>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Body Text Indent 3"/>
    <w:basedOn w:val="1"/>
    <w:qFormat/>
    <w:uiPriority w:val="0"/>
    <w:pPr>
      <w:spacing w:line="240" w:lineRule="exact"/>
      <w:ind w:firstLine="360"/>
    </w:pPr>
  </w:style>
  <w:style w:type="paragraph" w:styleId="12">
    <w:name w:val="toc 2"/>
    <w:basedOn w:val="1"/>
    <w:next w:val="1"/>
    <w:qFormat/>
    <w:uiPriority w:val="39"/>
    <w:pPr>
      <w:tabs>
        <w:tab w:val="left" w:pos="567"/>
        <w:tab w:val="right" w:leader="dot" w:pos="8505"/>
        <w:tab w:val="right" w:leader="dot" w:pos="9628"/>
      </w:tabs>
      <w:spacing w:line="440" w:lineRule="exact"/>
    </w:pPr>
  </w:style>
  <w:style w:type="paragraph" w:styleId="13">
    <w:name w:val="Title"/>
    <w:basedOn w:val="1"/>
    <w:next w:val="1"/>
    <w:qFormat/>
    <w:uiPriority w:val="0"/>
    <w:pPr>
      <w:spacing w:before="120" w:after="60" w:line="440" w:lineRule="exact"/>
      <w:jc w:val="center"/>
    </w:pPr>
    <w:rPr>
      <w:rFonts w:ascii="宋体" w:hAnsi="宋体"/>
      <w:bCs/>
      <w:color w:val="FF0000"/>
    </w:rPr>
  </w:style>
  <w:style w:type="paragraph" w:styleId="14">
    <w:name w:val="Body Text First Indent"/>
    <w:basedOn w:val="1"/>
    <w:qFormat/>
    <w:uiPriority w:val="0"/>
    <w:pPr>
      <w:spacing w:after="120"/>
      <w:ind w:firstLine="420"/>
      <w:jc w:val="both"/>
    </w:pPr>
    <w:rPr>
      <w:sz w:val="21"/>
    </w:rPr>
  </w:style>
  <w:style w:type="paragraph" w:styleId="15">
    <w:name w:val="Body Text First Indent 2"/>
    <w:basedOn w:val="6"/>
    <w:qFormat/>
    <w:uiPriority w:val="0"/>
    <w:pPr>
      <w:ind w:firstLine="42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Char Char"/>
    <w:basedOn w:val="1"/>
    <w:link w:val="18"/>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character" w:styleId="20">
    <w:name w:val="page number"/>
    <w:basedOn w:val="18"/>
    <w:qFormat/>
    <w:uiPriority w:val="0"/>
  </w:style>
  <w:style w:type="paragraph" w:customStyle="1" w:styleId="21">
    <w:name w:val="_Style 3"/>
    <w:basedOn w:val="1"/>
    <w:next w:val="22"/>
    <w:qFormat/>
    <w:uiPriority w:val="0"/>
    <w:pPr>
      <w:ind w:firstLine="420" w:firstLineChars="200"/>
    </w:pPr>
    <w:rPr>
      <w:rFonts w:ascii="等线" w:hAnsi="等线" w:eastAsia="等线" w:cs="Times New Roman"/>
      <w:sz w:val="20"/>
    </w:rPr>
  </w:style>
  <w:style w:type="paragraph" w:customStyle="1" w:styleId="22">
    <w:name w:val="List Paragraph1"/>
    <w:basedOn w:val="1"/>
    <w:qFormat/>
    <w:uiPriority w:val="99"/>
    <w:pPr>
      <w:ind w:firstLine="420" w:firstLineChars="200"/>
    </w:pPr>
  </w:style>
  <w:style w:type="paragraph" w:customStyle="1" w:styleId="23">
    <w:name w:val="WPSOffice手动目录 1"/>
    <w:qFormat/>
    <w:uiPriority w:val="0"/>
    <w:pPr>
      <w:ind w:leftChars="0"/>
    </w:pPr>
    <w:rPr>
      <w:rFonts w:asciiTheme="minorHAnsi" w:hAnsiTheme="minorHAnsi" w:eastAsiaTheme="minorEastAsia" w:cstheme="minorBidi"/>
      <w:sz w:val="20"/>
      <w:szCs w:val="20"/>
    </w:rPr>
  </w:style>
  <w:style w:type="paragraph" w:styleId="24">
    <w:name w:val="List Paragraph"/>
    <w:basedOn w:val="1"/>
    <w:qFormat/>
    <w:uiPriority w:val="34"/>
    <w:pPr>
      <w:ind w:firstLine="420" w:firstLineChars="200"/>
    </w:pPr>
  </w:style>
  <w:style w:type="character" w:customStyle="1" w:styleId="25">
    <w:name w:val="标题 1 Char"/>
    <w:qFormat/>
    <w:uiPriority w:val="0"/>
    <w:rPr>
      <w:rFonts w:ascii="Arial" w:hAnsi="Arial" w:eastAsia="宋体"/>
      <w:bCs/>
      <w:kern w:val="44"/>
      <w:sz w:val="36"/>
      <w:szCs w:val="36"/>
      <w:lang w:val="en-US" w:eastAsia="zh-CN" w:bidi="ar-SA"/>
    </w:rPr>
  </w:style>
  <w:style w:type="paragraph" w:customStyle="1" w:styleId="26">
    <w:name w:val="Table Text"/>
    <w:basedOn w:val="1"/>
    <w:semiHidden/>
    <w:qFormat/>
    <w:uiPriority w:val="0"/>
    <w:rPr>
      <w:rFonts w:ascii="宋体" w:hAnsi="宋体" w:eastAsia="宋体" w:cs="宋体"/>
      <w:sz w:val="22"/>
      <w:szCs w:val="22"/>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bt1bt1"/>
    <w:basedOn w:val="2"/>
    <w:qFormat/>
    <w:uiPriority w:val="0"/>
    <w:pPr>
      <w:spacing w:line="240" w:lineRule="auto"/>
      <w:jc w:val="center"/>
    </w:pPr>
    <w:rPr>
      <w:rFonts w:ascii="黑体" w:eastAsia="黑体"/>
      <w:sz w:val="36"/>
      <w:szCs w:val="36"/>
    </w:rPr>
  </w:style>
  <w:style w:type="paragraph" w:customStyle="1" w:styleId="29">
    <w:name w:val="正文00"/>
    <w:basedOn w:val="1"/>
    <w:qFormat/>
    <w:uiPriority w:val="0"/>
    <w:pPr>
      <w:topLinePunct/>
      <w:spacing w:line="360" w:lineRule="auto"/>
      <w:ind w:firstLine="200" w:firstLineChars="200"/>
    </w:pPr>
    <w:rPr>
      <w:sz w:val="24"/>
      <w:szCs w:val="21"/>
    </w:rPr>
  </w:style>
  <w:style w:type="character" w:customStyle="1" w:styleId="30">
    <w:name w:val="font31"/>
    <w:basedOn w:val="18"/>
    <w:qFormat/>
    <w:uiPriority w:val="0"/>
    <w:rPr>
      <w:rFonts w:hint="default" w:ascii="Calibri" w:hAnsi="Calibri" w:cs="Calibri"/>
      <w:color w:val="000000"/>
      <w:sz w:val="18"/>
      <w:szCs w:val="18"/>
      <w:u w:val="none"/>
    </w:rPr>
  </w:style>
  <w:style w:type="character" w:customStyle="1" w:styleId="31">
    <w:name w:val="font21"/>
    <w:basedOn w:val="18"/>
    <w:qFormat/>
    <w:uiPriority w:val="0"/>
    <w:rPr>
      <w:rFonts w:hint="eastAsia" w:ascii="宋体" w:hAnsi="宋体" w:eastAsia="宋体" w:cs="宋体"/>
      <w:color w:val="000000"/>
      <w:sz w:val="18"/>
      <w:szCs w:val="18"/>
      <w:u w:val="none"/>
    </w:rPr>
  </w:style>
  <w:style w:type="character" w:customStyle="1" w:styleId="32">
    <w:name w:val="font11"/>
    <w:basedOn w:val="1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1679</Words>
  <Characters>1697</Characters>
  <Lines>0</Lines>
  <Paragraphs>0</Paragraphs>
  <TotalTime>7</TotalTime>
  <ScaleCrop>false</ScaleCrop>
  <LinksUpToDate>false</LinksUpToDate>
  <CharactersWithSpaces>1703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2023-03-07T01:25:00Z</dcterms:created>
  <dc:creator>zhangsquan</dc:creator>
  <cp:lastModifiedBy>杨波</cp:lastModifiedBy>
  <dcterms:modified xsi:type="dcterms:W3CDTF">2025-09-29T06:46:50Z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936A983130CB468C87A0AAFD85F94C41_13</vt:lpwstr>
  </property>
  <property fmtid="{D5CDD505-2E9C-101B-9397-08002B2CF9AE}" pid="4" name="KSOTemplateDocerSaveRecord">
    <vt:lpwstr>eyJoZGlkIjoiZjZjNDZkZDQ2MWQ4MmY5YTc3NDA3YzU2MDk3MjZjOWUiLCJ1c2VySWQiOiI4NTAxOTU4NTgifQ==</vt:lpwstr>
  </property>
</Properties>
</file>