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5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Layout w:type="fixed"/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（ 粤 ）字第05437号</w:t>
            </w:r>
          </w:p>
        </w:tc>
      </w:tr>
      <w:tr>
        <w:tblPrEx>
          <w:tblLayout w:type="fixed"/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《湾区人才趋势·预见未来的你》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职业探访纪录片</w:t>
            </w:r>
          </w:p>
        </w:tc>
      </w:tr>
      <w:tr>
        <w:tblPrEx>
          <w:tblLayout w:type="fixed"/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大类:节目作品</w:t>
            </w:r>
            <w:r>
              <w:rPr>
                <w:rFonts w:hint="eastAsia" w:ascii="等线" w:hAnsi="等线" w:eastAsia="等线"/>
                <w:color w:val="000000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</w:t>
            </w:r>
            <w:r>
              <w:rPr>
                <w:rFonts w:hint="eastAsia" w:ascii="等线" w:hAnsi="等线" w:eastAsia="等线"/>
                <w:color w:val="000000"/>
                <w:u w:val="dotted"/>
                <w:lang w:val="en-US" w:eastAsia="zh-CN"/>
              </w:rPr>
              <w:t>:</w:t>
            </w:r>
            <w:r>
              <w:rPr>
                <w:rFonts w:hint="eastAsia" w:ascii="等线" w:hAnsi="等线" w:eastAsia="等线"/>
                <w:color w:val="000000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纪录片</w:t>
            </w:r>
            <w:r>
              <w:rPr>
                <w:rFonts w:hint="eastAsia" w:ascii="等线" w:hAnsi="等线" w:eastAsia="等线"/>
                <w:color w:val="000000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:B07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南方网、粤学习客户端</w:t>
            </w:r>
          </w:p>
        </w:tc>
      </w:tr>
      <w:tr>
        <w:tblPrEx>
          <w:tblLayout w:type="fixed"/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2022</w:t>
            </w:r>
            <w:r>
              <w:rPr>
                <w:rFonts w:hint="eastAsia" w:ascii="等线" w:hAnsi="等线" w:eastAsia="等线"/>
                <w:color w:val="000000"/>
              </w:rPr>
              <w:t xml:space="preserve">年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</w:rPr>
              <w:t xml:space="preserve"> 月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000000"/>
              </w:rPr>
              <w:t xml:space="preserve">  日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000000"/>
              </w:rPr>
              <w:t xml:space="preserve"> 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20集  280 分钟</w:t>
            </w:r>
          </w:p>
        </w:tc>
      </w:tr>
      <w:tr>
        <w:tblPrEx>
          <w:tblLayout w:type="fixed"/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集体（陈诗洋、翁子盈、柯丹洁、刘倩、彭志强、唐巧燕、朱江伟、邹长森）</w:t>
            </w:r>
          </w:p>
        </w:tc>
      </w:tr>
      <w:tr>
        <w:tblPrEx>
          <w:tblLayout w:type="fixed"/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在粤港澳大湾区发展规划实施的背景下，随着我省高考综合改革的全面落地，人才的选拔、培养和发展如何跟区域协调发展？社会关切亟待有效回应。2022年起，南方新闻网联合我省知名高校和高中、大湾区头部企业，从社会关注的制造业、金融行业、智能物流业等方向着手，共同打造原创系列纪录片《湾区人才趋势·预见未来的你》，梳理湾区青年成才路径，讲述湾区青年成才故事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该系列纪录片，向社会公益招募高中生和大学生组成职业探访团，深入重点行业、探访调研核心岗位，通过多机位全天候实时记录企业生产过程以及岗位人员的成长故事，再进行综艺化的纪录片剪辑手法，突出展现湾区拔尖创新人才的风采、重点行业重点企业的文化及发展理念。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系列纪录片目前已经推出3季，每季6-7集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分别是《第一季：小鹏汽车季》《第二季：金蝶财务季》《第三季：顺丰物流季》。</w:t>
            </w:r>
          </w:p>
        </w:tc>
      </w:tr>
      <w:tr>
        <w:tblPrEx>
          <w:tblLayout w:type="fixed"/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《湾区人才趋势·预见未来的你》系列纪录片是南方新闻网首个综艺类真人秀纪实节目，紧扣教育强国、人才强国的大主题，具有三大特点：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第一，关注人才发展的核心节点。从高考到就业、从高中生到大学生到职场人，梳理出人才发展的核心路径、树立制造业、智能金融、航空物流方向的人才成才目标。这些行业都是我省经济发展的支柱行业，所以内容既方向明确、主题突出，又有迹可循、极具实践指导意义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第二，从教育出发，纪录片关注人的发展。从关键期的关键选择，重点讲述职业价值观，有很强的感染力和社会教育意义。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第三，“少即是多”，成为目前宣传领域内一种十分有效的策略。通过结合高校优势专业的学科建设，辐射到校企合作的就业故事，形成以点带面的头部效应，将有助于社会更直观清晰的了解我省经济社会的发展情况。</w:t>
            </w:r>
          </w:p>
        </w:tc>
      </w:tr>
      <w:tr>
        <w:tblPrEx>
          <w:tblLayout w:type="fixed"/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首先，该系列纪录片紧扣教育大主题，符合教育逻辑，获得了我省教育主管部门、高校、高中和教育专家的高度认可。该纪录片专栏被多所高中引入，成为生涯课堂的视频教材。同时，在行业内广泛传播。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其次，该系列纪录片对企业的用人、人才队伍建设、企业文化进行深度解读，不仅对企业品牌有正向效果，而且对企业的雇主品牌、校企合作产生了直接带动作用。不少合作企业与高校之间，直接签署了产学研战略合作，有效促进了产教融合和经济发展。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最后，该系列纪录片符合高中家庭、大学生对于升学和就业的信息需求，解决了受众对未来发展路径的迷茫，缓解了社会焦虑，加上纪录片中生动趣味的表达手段，符合学生群体的审美，在相关人群中广泛传播，全渠道整体播放量突破200万。</w:t>
            </w:r>
          </w:p>
        </w:tc>
      </w:tr>
      <w:tr>
        <w:tblPrEx>
          <w:tblLayout w:type="fixed"/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Layout w:type="fixed"/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Layout w:type="fixed"/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5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Layout w:type="fixed"/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Layout w:type="fixed"/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Layout w:type="fixed"/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Layout w:type="fixed"/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5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Layout w:type="fixed"/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2340</Words>
  <Characters>2428</Characters>
  <Lines>0</Lines>
  <Paragraphs>0</Paragraphs>
  <TotalTime>0</TotalTime>
  <ScaleCrop>false</ScaleCrop>
  <LinksUpToDate>false</LinksUpToDate>
  <CharactersWithSpaces>2688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2023-11-01T14:48:00Z</dcterms:created>
  <dc:creator>vnlo</dc:creator>
  <cp:lastModifiedBy>iPhone</cp:lastModifiedBy>
  <dcterms:modified xsi:type="dcterms:W3CDTF">2023-12-13T17:59:37Z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654D9EF6A9DF4AB59AE7D115B72B22F1_13</vt:lpwstr>
  </property>
</Properties>
</file>