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        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 xml:space="preserve">             【编号：（网报推荐表时系统自动生成）】</w:t>
      </w:r>
    </w:p>
    <w:p>
      <w:pPr>
        <w:snapToGrid w:val="0"/>
        <w:spacing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表</w:t>
      </w:r>
    </w:p>
    <w:tbl>
      <w:tblPr>
        <w:tblStyle w:val="3"/>
        <w:tblW w:w="95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514"/>
        <w:gridCol w:w="2531"/>
        <w:gridCol w:w="361"/>
        <w:gridCol w:w="1265"/>
        <w:gridCol w:w="554"/>
        <w:gridCol w:w="2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影视制作机构名称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南方新闻网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机构许可证编号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作品标题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一起去广交会探索未来新能源汽车的N种可能 | 广交会上看未来生活①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去广交会解锁智慧生活新方式| 广交会上看未来生活②</w:t>
            </w:r>
          </w:p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这几样潮流电子消费品带你“直达”舒适生活丨广交会上看未来生活③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参评项目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大类:节目作品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项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目</w:t>
            </w:r>
            <w:r>
              <w:rPr>
                <w:rFonts w:hint="eastAsia" w:ascii="等线" w:hAnsi="等线" w:eastAsia="等线"/>
                <w:color w:val="000000"/>
                <w:u w:val="dotted"/>
                <w:lang w:val="en-US" w:eastAsia="zh-CN"/>
              </w:rPr>
              <w:t>: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直播节目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eastAsia="zh-CN"/>
              </w:rPr>
              <w:t>代码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:B05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平台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日期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2023</w:t>
            </w:r>
            <w:r>
              <w:rPr>
                <w:rFonts w:hint="eastAsia" w:ascii="等线" w:hAnsi="等线" w:eastAsia="等线"/>
                <w:color w:val="000000"/>
              </w:rPr>
              <w:t>年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color w:val="000000"/>
              </w:rPr>
              <w:t>月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15</w:t>
            </w:r>
            <w:r>
              <w:rPr>
                <w:rFonts w:hint="eastAsia" w:ascii="等线" w:hAnsi="等线" w:eastAsia="等线"/>
                <w:color w:val="000000"/>
              </w:rPr>
              <w:t>日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14:30</w:t>
            </w:r>
            <w:r>
              <w:rPr>
                <w:rFonts w:hint="eastAsia" w:ascii="等线" w:hAnsi="等线" w:eastAsia="等线"/>
                <w:color w:val="000000"/>
              </w:rPr>
              <w:t>时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长度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630" w:firstLineChars="300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3集110分钟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主创人员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等线" w:hAnsi="等线" w:eastAsia="等线"/>
                <w:color w:val="00000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陈婕 李江锐 张琪达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</w:rPr>
              <w:t>汪婉莹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</w:rPr>
              <w:t>过程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 4月15日,史上最大规模的第133届</w:t>
            </w:r>
            <w:r>
              <w:rPr>
                <w:rFonts w:hint="default" w:ascii="等线" w:hAnsi="等线" w:eastAsia="等线"/>
                <w:color w:val="000000"/>
                <w:lang w:val="en-US" w:eastAsia="zh-CN"/>
              </w:rPr>
              <w:t>广交会在广州盛大召开。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对于展会来说，直播能打破地域限制。为了让无法亲临广交会现场的观众也能参与到展会中，做好关于广交会的新闻报道，南方新闻网、粤学习客户端策划制作《</w:t>
            </w:r>
            <w:r>
              <w:rPr>
                <w:rFonts w:hint="eastAsia" w:ascii="等线" w:hAnsi="等线" w:eastAsia="等线"/>
                <w:color w:val="000000"/>
              </w:rPr>
              <w:t>广交会上看未来生活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》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系列直播，分为新能源汽车、智慧生活、电子消费品三期直播节目，也能更精准吸引有需求的观众；在明确好直播主题后，直播团队进行了现场勘查，设计合理的展位路线，准备好相关展示物料、相关展示的展商，并提前避免违禁违规的内容，调试好直播设备和网络连接，保证直播质量和稳定性。在做了充分的直播前准备工作后，直播团队共同协作完成了高质量的直播，直播结束后，我们将直播内容剪辑保留，在各大平台进行二次传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总体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评介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（不少于300字）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  目前，广交会正向着联通“双循环”的重要平台转身蝶变,促使更多外贸企业“内外双修”、摆脱“水土不服”。南方新闻网、粤学习客户端策划制作的《</w:t>
            </w:r>
            <w:r>
              <w:rPr>
                <w:rFonts w:hint="eastAsia" w:ascii="等线" w:hAnsi="等线" w:eastAsia="等线"/>
                <w:color w:val="000000"/>
              </w:rPr>
              <w:t>广交会上看未来生活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》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系列直播，聚焦广交会的变化和取得的成绩。通过观看直播，观众能身临其境感受展会氛围，看到了广交会的人头攒动，第一时间看到广交会展商带来的高新产品。整个直播方案设计严谨，抓住了规模最大的广交会召开的契机，在选题上高度贴合经济和社会性话题，前后方配合默契，路线合理不拖沓，推进有序，主播准备充分，现场张弛有度，多点次出镜、语言实用性强，导向正确，介绍的内容丰富多元，风格自然，风格朴实，播出效果好，与观众互动频繁，在保持主流媒体的责任担当的同时，积极求新求变，继承和发扬了前辈发愤图强的精神，传达了在新时代下，需要积极开拓创新的品格，起到了良好的引导效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>社会效果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经济效益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（不少于300字）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等线" w:hAnsi="等线" w:eastAsia="等线"/>
                <w:color w:val="000000"/>
                <w:lang w:val="en-US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   新闻网、粤学习客户端策划制作的《</w:t>
            </w:r>
            <w:r>
              <w:rPr>
                <w:rFonts w:hint="eastAsia" w:ascii="等线" w:hAnsi="等线" w:eastAsia="等线"/>
                <w:color w:val="000000"/>
              </w:rPr>
              <w:t>广交会上看未来生活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》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系列直播选题贴近民生，以最接地气的主播体验方式，带观众云上逛展，用最深入浅出的语言，把广交会的亮点一一传播。同时直播在微博、视频号、抖音等十余个新媒体平台同步直播，并获得了流量推荐，受到观众的一致好评，实时在线观看量达500万，取得了良好的社会传播效果。直播发挥了良好的新闻舆论引导功能，主题鲜明，充分发挥广交会品牌作用，为广州当地经济发展、产业经济转型等方面营造正向的氛围，促进广州会展业发展。不少观众在《</w:t>
            </w:r>
            <w:r>
              <w:rPr>
                <w:rFonts w:hint="eastAsia" w:ascii="等线" w:hAnsi="等线" w:eastAsia="等线"/>
                <w:color w:val="000000"/>
              </w:rPr>
              <w:t>广交会上看</w:t>
            </w:r>
            <w:bookmarkStart w:id="0" w:name="_GoBack"/>
            <w:bookmarkEnd w:id="0"/>
            <w:r>
              <w:rPr>
                <w:rFonts w:hint="eastAsia" w:ascii="等线" w:hAnsi="等线" w:eastAsia="等线"/>
                <w:color w:val="000000"/>
              </w:rPr>
              <w:t>未来生活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》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系列直播的评论区中表示，通过主播的介绍，对广交会有了更多的了解。也有许多居住在大湾区的市民跟随主播的脚步，也来到广交会现场观摩，体验展商带来的高科技产品，让广交会走出大湾区面向全国。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推荐意见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播出机构负责人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 播出机构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盖章：           </w:t>
            </w:r>
          </w:p>
          <w:p>
            <w:pPr>
              <w:snapToGrid w:val="0"/>
              <w:spacing w:line="240" w:lineRule="atLeast"/>
              <w:ind w:firstLine="2880"/>
              <w:jc w:val="both"/>
              <w:rPr>
                <w:rFonts w:ascii="等线" w:hAnsi="等线" w:eastAsia="等线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default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审核意见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法定代表人签名：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盖章：</w:t>
            </w:r>
          </w:p>
          <w:p>
            <w:pPr>
              <w:snapToGrid w:val="0"/>
              <w:spacing w:line="240" w:lineRule="atLeast"/>
              <w:ind w:right="980" w:firstLine="2880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Cs w:val="22"/>
                <w:u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u w:val="dotted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</w:tbl>
    <w:p>
      <w:pPr>
        <w:snapToGrid w:val="0"/>
        <w:spacing w:line="500" w:lineRule="atLeast"/>
        <w:jc w:val="both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</w:rPr>
        <w:t>注意：此表必须与</w:t>
      </w:r>
      <w:r>
        <w:rPr>
          <w:rFonts w:hint="eastAsia" w:ascii="黑体" w:hAnsi="黑体" w:eastAsia="黑体" w:cs="黑体"/>
          <w:color w:val="000000"/>
          <w:lang w:eastAsia="zh-CN"/>
        </w:rPr>
        <w:t>承</w:t>
      </w:r>
      <w:r>
        <w:rPr>
          <w:rFonts w:hint="eastAsia" w:ascii="黑体" w:hAnsi="黑体" w:eastAsia="黑体" w:cs="黑体"/>
          <w:color w:val="000000"/>
          <w:lang w:val="en-US" w:eastAsia="zh-CN"/>
        </w:rPr>
        <w:t>诺书和</w:t>
      </w:r>
      <w:r>
        <w:rPr>
          <w:rFonts w:hint="eastAsia" w:ascii="黑体" w:hAnsi="黑体" w:eastAsia="黑体" w:cs="黑体"/>
          <w:color w:val="000000"/>
        </w:rPr>
        <w:t>参评作品完整的文字稿</w:t>
      </w:r>
      <w:r>
        <w:rPr>
          <w:rFonts w:hint="eastAsia" w:ascii="黑体" w:hAnsi="黑体" w:eastAsia="黑体" w:cs="黑体"/>
          <w:color w:val="000000"/>
          <w:lang w:val="en-US" w:eastAsia="zh-CN"/>
        </w:rPr>
        <w:t>及相关</w:t>
      </w:r>
      <w:r>
        <w:rPr>
          <w:rFonts w:hint="eastAsia" w:ascii="黑体" w:hAnsi="黑体" w:eastAsia="黑体" w:cs="黑体"/>
          <w:color w:val="000000"/>
        </w:rPr>
        <w:t>文字材料装订</w:t>
      </w:r>
      <w:r>
        <w:rPr>
          <w:rFonts w:hint="eastAsia" w:ascii="黑体" w:hAnsi="黑体" w:eastAsia="黑体" w:cs="黑体"/>
          <w:color w:val="000000"/>
          <w:lang w:eastAsia="zh-CN"/>
        </w:rPr>
        <w:t>成</w:t>
      </w:r>
      <w:r>
        <w:rPr>
          <w:rFonts w:hint="eastAsia" w:ascii="黑体" w:hAnsi="黑体" w:eastAsia="黑体" w:cs="黑体"/>
          <w:color w:val="000000"/>
        </w:rPr>
        <w:t>一</w:t>
      </w:r>
      <w:r>
        <w:rPr>
          <w:rFonts w:hint="eastAsia" w:ascii="黑体" w:hAnsi="黑体" w:eastAsia="黑体" w:cs="黑体"/>
          <w:color w:val="000000"/>
          <w:lang w:val="en-US" w:eastAsia="zh-CN"/>
        </w:rPr>
        <w:t>册</w:t>
      </w:r>
      <w:r>
        <w:rPr>
          <w:rFonts w:hint="eastAsia" w:ascii="黑体" w:hAnsi="黑体" w:eastAsia="黑体" w:cs="黑体"/>
          <w:color w:val="000000"/>
        </w:rPr>
        <w:t>。</w:t>
      </w:r>
    </w:p>
    <w:p>
      <w:pPr>
        <w:tabs>
          <w:tab w:val="left" w:pos="4200"/>
          <w:tab w:val="left" w:pos="4515"/>
        </w:tabs>
        <w:jc w:val="both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三</w:t>
      </w:r>
    </w:p>
    <w:p>
      <w:pPr>
        <w:snapToGrid w:val="0"/>
        <w:spacing w:after="156"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报材料一览表</w:t>
      </w:r>
    </w:p>
    <w:tbl>
      <w:tblPr>
        <w:tblStyle w:val="3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4140"/>
        <w:gridCol w:w="720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color w:val="000000"/>
              </w:rPr>
              <w:t>报材料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材料要求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  <w:t>报送数量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</w:rPr>
              <w:t>参评作品目录表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用A4纸双面打印并加盖单位公章，与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诚信参评承诺书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参评作品基本质量承诺书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参评作品完整的文字稿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用A4纸双面打印，附在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承诺书后面装订成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音视频材料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通过登录系统上传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。</w:t>
            </w:r>
          </w:p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刻录在U盘上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通过邮政快递寄送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。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pacing w:val="-20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1．广播作品：制作成MP3格式电子文件，音频码率128K-192K。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电视作品：制作成MP4格式电子文件，视频、音频、总体码率2048-3072kbps，分辨率至少为1280*720（720p），视频页面比例为16:9，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网络视听作品：存储介质：U盘、硬盘。格式标准及要求：可提供MP4、MPG、AVI等标准格式，影片分辨率不低于720p，但不高于1080p，请确保作品电子格式可通过各类播放器打开（单部视频大小建议不超过2GB）。</w:t>
            </w:r>
          </w:p>
          <w:p>
            <w:pPr>
              <w:snapToGrid w:val="0"/>
              <w:spacing w:line="220" w:lineRule="atLeast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2．文件名：以作品编号命名。英文字母必须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，数字符号必须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半角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；超过1集的，需在作品编号后面加上排列序号。</w:t>
            </w:r>
          </w:p>
          <w:p>
            <w:pPr>
              <w:numPr>
                <w:ilvl w:val="0"/>
                <w:numId w:val="1"/>
              </w:num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网络视听作品需提供可点击浏览、播放的链接。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通过登录系统上传的文字</w:t>
            </w:r>
            <w:r>
              <w:rPr>
                <w:rFonts w:hint="eastAsia" w:ascii="黑体" w:hAnsi="黑体" w:eastAsia="黑体" w:cs="黑体"/>
                <w:color w:val="000000"/>
              </w:rPr>
              <w:t>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参评作品完整文字稿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相关文字材料，如收听收视率、直播方案等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登录系统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报送的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表除在网上填报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表外，还须上传盖有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公章的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表PD</w:t>
            </w:r>
            <w:r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文件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表格材料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主创人员所属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单位统一填报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用A4纸印制并加盖推荐、报送单位公章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</w:tbl>
    <w:p>
      <w:pPr>
        <w:snapToGrid w:val="0"/>
        <w:spacing w:line="500" w:lineRule="atLeast"/>
        <w:jc w:val="both"/>
        <w:rPr>
          <w:rFonts w:ascii="等线" w:hAnsi="等线" w:eastAsia="等线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020" w:bottom="1134" w:left="102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四</w:t>
      </w:r>
    </w:p>
    <w:p>
      <w:pPr>
        <w:snapToGrid w:val="0"/>
        <w:spacing w:after="156" w:line="500" w:lineRule="atLeast"/>
        <w:jc w:val="center"/>
        <w:rPr>
          <w:rFonts w:ascii="方正小标宋简体" w:hAnsi="方正小标宋简体" w:eastAsia="方正小标宋简体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eastAsia="zh-CN"/>
        </w:rPr>
        <w:t>第32届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广东省广播影视奖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参评作品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val="en-US" w:eastAsia="zh-CN"/>
        </w:rPr>
        <w:t>目录总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表</w:t>
      </w:r>
    </w:p>
    <w:p>
      <w:pPr>
        <w:snapToGrid w:val="0"/>
        <w:spacing w:before="312" w:line="500" w:lineRule="atLeast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播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(首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刊）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单位：     （盖章）                 联系人：                  联系电话（手机）：</w:t>
      </w:r>
    </w:p>
    <w:tbl>
      <w:tblPr>
        <w:tblStyle w:val="3"/>
        <w:tblW w:w="14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0"/>
        <w:gridCol w:w="4730"/>
        <w:gridCol w:w="789"/>
        <w:gridCol w:w="900"/>
        <w:gridCol w:w="5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编号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(首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刊）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作品长度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日期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</w:rPr>
              <w:t>主创人员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</w:tbl>
    <w:p>
      <w:pPr>
        <w:snapToGrid w:val="0"/>
        <w:spacing w:before="312" w:line="500" w:lineRule="atLeast"/>
        <w:jc w:val="both"/>
        <w:rPr>
          <w:rFonts w:ascii="等线" w:hAnsi="等线" w:eastAsia="等线"/>
          <w:color w:val="000000"/>
          <w:sz w:val="28"/>
          <w:szCs w:val="28"/>
          <w:u w:val="single"/>
        </w:rPr>
      </w:pPr>
      <w:r>
        <w:rPr>
          <w:rFonts w:hint="eastAsia" w:ascii="等线" w:hAnsi="等线" w:eastAsia="等线"/>
          <w:color w:val="000000"/>
          <w:sz w:val="28"/>
          <w:szCs w:val="28"/>
        </w:rPr>
        <w:t>推荐作品公示地址：</w:t>
      </w:r>
      <w:r>
        <w:rPr>
          <w:rFonts w:hint="eastAsia" w:ascii="等线" w:hAnsi="等线" w:eastAsia="等线"/>
          <w:color w:val="000000"/>
          <w:sz w:val="28"/>
          <w:szCs w:val="28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500" w:lineRule="atLeast"/>
        <w:jc w:val="both"/>
        <w:rPr>
          <w:rFonts w:ascii="仿宋_GB2312" w:hAnsi="仿宋_GB2312" w:eastAsia="仿宋_GB2312"/>
          <w:color w:val="000000"/>
          <w:szCs w:val="21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/>
          <w:color w:val="000000"/>
          <w:szCs w:val="21"/>
        </w:rPr>
        <w:t>注意：完成所有参评作品网报后系统自动生成此表，打印出来并加盖推荐单位具法人效力的公章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FA37E"/>
    <w:multiLevelType w:val="singleLevel"/>
    <w:tmpl w:val="520FA3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950058C"/>
    <w:rsid w:val="02CB2C38"/>
    <w:rsid w:val="05465FAD"/>
    <w:rsid w:val="05EE0147"/>
    <w:rsid w:val="07DC6755"/>
    <w:rsid w:val="09CF47C3"/>
    <w:rsid w:val="0B884C29"/>
    <w:rsid w:val="13C92110"/>
    <w:rsid w:val="15DB40AE"/>
    <w:rsid w:val="16C86822"/>
    <w:rsid w:val="16E16E80"/>
    <w:rsid w:val="18F953B8"/>
    <w:rsid w:val="19A74E14"/>
    <w:rsid w:val="19FF69FF"/>
    <w:rsid w:val="1A584361"/>
    <w:rsid w:val="1B813443"/>
    <w:rsid w:val="1FE13364"/>
    <w:rsid w:val="20EF0333"/>
    <w:rsid w:val="25553977"/>
    <w:rsid w:val="26D93176"/>
    <w:rsid w:val="270C4509"/>
    <w:rsid w:val="279F35CF"/>
    <w:rsid w:val="29A9603F"/>
    <w:rsid w:val="2ABD7A62"/>
    <w:rsid w:val="2BBE7D9C"/>
    <w:rsid w:val="2F260132"/>
    <w:rsid w:val="2F7013AD"/>
    <w:rsid w:val="34831B82"/>
    <w:rsid w:val="3569521C"/>
    <w:rsid w:val="35A40002"/>
    <w:rsid w:val="36DD557A"/>
    <w:rsid w:val="379A16BD"/>
    <w:rsid w:val="3A8A77C7"/>
    <w:rsid w:val="408C3C2B"/>
    <w:rsid w:val="410E2DB7"/>
    <w:rsid w:val="420936C7"/>
    <w:rsid w:val="44114AB5"/>
    <w:rsid w:val="459868AA"/>
    <w:rsid w:val="48027536"/>
    <w:rsid w:val="48F36E7F"/>
    <w:rsid w:val="48F50E49"/>
    <w:rsid w:val="496164DE"/>
    <w:rsid w:val="49D15412"/>
    <w:rsid w:val="4AC05487"/>
    <w:rsid w:val="4C4A14AC"/>
    <w:rsid w:val="4CAB217F"/>
    <w:rsid w:val="5015461F"/>
    <w:rsid w:val="536A6165"/>
    <w:rsid w:val="540C2285"/>
    <w:rsid w:val="54C53DC5"/>
    <w:rsid w:val="55570796"/>
    <w:rsid w:val="57605C5D"/>
    <w:rsid w:val="5901687A"/>
    <w:rsid w:val="5A4532B2"/>
    <w:rsid w:val="5A4859A7"/>
    <w:rsid w:val="5A7411C9"/>
    <w:rsid w:val="5BE2700B"/>
    <w:rsid w:val="611025B9"/>
    <w:rsid w:val="648A2EA5"/>
    <w:rsid w:val="64CD1AD5"/>
    <w:rsid w:val="65D26342"/>
    <w:rsid w:val="6672542F"/>
    <w:rsid w:val="6747066A"/>
    <w:rsid w:val="677A27ED"/>
    <w:rsid w:val="6B0625EA"/>
    <w:rsid w:val="6B1C5B5B"/>
    <w:rsid w:val="6B4E646B"/>
    <w:rsid w:val="6B5E6BF3"/>
    <w:rsid w:val="6B8A5818"/>
    <w:rsid w:val="6F484F7F"/>
    <w:rsid w:val="70AC142C"/>
    <w:rsid w:val="73724CA5"/>
    <w:rsid w:val="74393A30"/>
    <w:rsid w:val="75C86E1A"/>
    <w:rsid w:val="79046CBC"/>
    <w:rsid w:val="7950058C"/>
    <w:rsid w:val="79556C16"/>
    <w:rsid w:val="7BD81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character" w:styleId="5">
    <w:name w:val="page number"/>
    <w:qFormat/>
    <w:uiPriority w:val="0"/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2023-11-01T06:48:00Z</dcterms:created>
  <dc:creator>vnlo</dc:creator>
  <cp:lastModifiedBy>vivien</cp:lastModifiedBy>
  <dcterms:modified xsi:type="dcterms:W3CDTF">2023-12-14T09:38:26Z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58E668EB94E247F7B3AC1D7B2F79A204_13</vt:lpwstr>
  </property>
</Properties>
</file>