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5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</w:rPr>
              <w:t>无疟之路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：记录广东70余年抗疟疾历史往事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节目作品</w:t>
            </w:r>
            <w:r>
              <w:rPr>
                <w:rFonts w:hint="eastAsia" w:ascii="等线" w:hAnsi="等线" w:eastAsia="等线"/>
                <w:color w:val="000000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纪录片（网络纪录片）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:B07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2023</w:t>
            </w:r>
            <w:r>
              <w:rPr>
                <w:rFonts w:hint="eastAsia" w:ascii="等线" w:hAnsi="等线" w:eastAsia="等线"/>
                <w:color w:val="000000"/>
              </w:rPr>
              <w:t xml:space="preserve">年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</w:rPr>
              <w:t xml:space="preserve"> 月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000000"/>
              </w:rPr>
              <w:t xml:space="preserve"> 日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</w:rPr>
              <w:t xml:space="preserve">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1集 26分钟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李晨昱 何雅柔 潘媚 农海燕 廖晨星 梁就胜 张全壮 翁均婷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为回顾广东省消除疟疾历程，记录广东70余年抗疟疾历史往事，南方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新闻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网在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广东省卫生健康委员会、广东省疾病预防控制中心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的指导下，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进行纪录片的拍摄制作。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主创团队以“真实、珍贵”的创作初心出发，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lang w:val="en-US" w:eastAsia="zh-CN"/>
              </w:rPr>
              <w:t>在筹备阶段，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一是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仔细研读《广东省消除疟疾自评报告》《广东省疟疾流行与控制》等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学术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资料，对消除疟疾工作历史资料进行系统的梳理。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二是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查阅省档案馆、南方报业传媒集团媒资库的大量相关历史资料，进一步夯实素材积累，撰写上万字的文案底稿，制作内容扎实的视频文案及拍摄脚本，并制定详细的拍摄计划；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lang w:val="en-US" w:eastAsia="zh-CN"/>
              </w:rPr>
              <w:t>在拍摄阶段，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主创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团队走访广东省卫生健康委、省疾控中心、广州海关、广州医科大学附属市八医院、广州中医药大学、青蒿研究中心等多个单位，采访拍摄李国桥、宋健平、林荣幸、叶来添、罗均明等12名国内相关领域权威专家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疟防工作者、科研人员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医生、海关人员等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通过深入调查访问，保留、整理口述者的历史记忆，挖掘文字资料上缺少的细节，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挖掘抗疟历史故事，获得了极为珍贵的历史资料。同时，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主创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团队联系援外医疗工作者前往WHO蚊媒实验室专门拍摄按蚊素材，克服疟疾历史影像留存较少的困境，拍摄、收集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传播疟疾的按蚊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珍贵图片和视频素材；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lang w:val="en-US" w:eastAsia="zh-CN"/>
              </w:rPr>
              <w:t>在制作阶段，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梳理了近2T的视频素材，对老旧图片、视频素材进行画面修复，对历史数据进行可视化包装处理。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历时8个多月，最后编辑制作了一集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26分钟的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纪录片《无疟之路：记录广东70余年抗疟疾历史往事》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影片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运用多媒体新技术，创新表达形式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实现了抗疟疾工作宣传效果的最大化和最优化。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一是以小见大，小切口追溯还原大历史。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影片用全新的视角聚焦70余年来几代广东抗疟奋斗者，通过不同专业、不同时期参与疟防工作的亲历者真人讲述，以一句句平实细微的话语呈现出他们曾经的艰辛努力，也从不同维度还原了最真实的抗疟“战场”。以口述人的微视角、小切口穿越岁月风雨，以个体生动、鲜活的故事回溯难忘经历，反映时代风云，凸显历史主题，给观众展现出广东抗疟工作真实的故事，表现了几代广东疟防人的艰辛努力和新时代下毫不松懈的坚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二是创新表达，口述历史与影像呈现结合。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影片史料详实、资料丰富，除了鲜见的历史档案和真实的历史影像，对历史当事人、亲历者的“抢救式”采访，成为影片深化主旨和成功传播的重要因素。通过创意视觉符号，对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视频、图片、声音、文字、动画进行精心编排，从真实历史影像到亲历者口述，以宏观与具象两条主线不断融合交织，全景式展现不同时期、不同年代背景广东抗疟工作的发展，进而增强了观众对历史事实由表及里的深入认知和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default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三是创新模式，实现传播效果的最大化。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影片于2023年4月26日——第16个“全国疟疾日”在南方网首发。该作品一经发布，获得省委网信办全省推送，包括南方+、南方财经网、荔枝网、深圳新闻网、金羊网、大洋网、东莞阳光网等多家省级及地市媒体平台积极转载报道，广东省疾控中心、广东省卫健委、梅州市卫生健康局等多家机关事业单位的网站、微信公众号转发，腾讯、网易、搜狐等专业音视频内容平台转载发布，获得中疾控、省内各地市疾控的认可以及广大网友的热议、点赞和转发，形成了移动互联网交互和立体式传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影片叙述性、纪实性、社会性强，具有积极正面的强大社会效益。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一是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筑牢消除疟疾防线，巩固抗疟成果。影片对历史当事人、亲历者“抢救式”采访拍摄，回顾了广东省消除疟疾历程，记录广东70余年抗疟疾历史往事，体现了消除疟疾工作的重要性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艰巨性，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致敬那些和疟疾战斗了半辈子、一辈子，走出一条广东乃至中国的“无疟疾”之路的疟疾防控工作者。并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号召全社会继续努力，持续推动落实各项防止疟疾输入再传播策略措施，继续巩固消除疟疾成果，由此产生显著的社会效益。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二是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提高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了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公众对疟疾的认知，对健康科普作品创作的示范起到带动作用，对疟疾防治的发展和人才培养起到了重要作用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助力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推进卫生健康高质量发展，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为健康广东、健康中国，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构建人类卫生健康共同体作出更大的贡献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册。</w:t>
      </w:r>
    </w:p>
    <w:sectPr>
      <w:footerReference r:id="rId3" w:type="default"/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GZjODcyMTI5MGJkZTlmZGFmN2U2MjVmODcxZTUifQ=="/>
  </w:docVars>
  <w:rsids>
    <w:rsidRoot w:val="7950058C"/>
    <w:rsid w:val="00C34DAD"/>
    <w:rsid w:val="01E41B1F"/>
    <w:rsid w:val="02D0138A"/>
    <w:rsid w:val="04351B1E"/>
    <w:rsid w:val="05465FAD"/>
    <w:rsid w:val="05EE0147"/>
    <w:rsid w:val="07373BE8"/>
    <w:rsid w:val="07CD6512"/>
    <w:rsid w:val="07DC6755"/>
    <w:rsid w:val="09CF47C3"/>
    <w:rsid w:val="0A902C0D"/>
    <w:rsid w:val="0B884C29"/>
    <w:rsid w:val="0CFB767D"/>
    <w:rsid w:val="12E0571A"/>
    <w:rsid w:val="13C92110"/>
    <w:rsid w:val="15DB40AE"/>
    <w:rsid w:val="164C6DAB"/>
    <w:rsid w:val="16C86822"/>
    <w:rsid w:val="16E16E80"/>
    <w:rsid w:val="18702CCD"/>
    <w:rsid w:val="18F953B8"/>
    <w:rsid w:val="19A74E14"/>
    <w:rsid w:val="19F81A90"/>
    <w:rsid w:val="19FF69FF"/>
    <w:rsid w:val="1A584361"/>
    <w:rsid w:val="1B813443"/>
    <w:rsid w:val="1C9B1AA4"/>
    <w:rsid w:val="1D300C7D"/>
    <w:rsid w:val="1FE6264D"/>
    <w:rsid w:val="20A57BD4"/>
    <w:rsid w:val="20EF0333"/>
    <w:rsid w:val="21222BD5"/>
    <w:rsid w:val="23113D47"/>
    <w:rsid w:val="23F549CE"/>
    <w:rsid w:val="25553977"/>
    <w:rsid w:val="270C4509"/>
    <w:rsid w:val="278C420C"/>
    <w:rsid w:val="279F35CF"/>
    <w:rsid w:val="2964062C"/>
    <w:rsid w:val="29A9603F"/>
    <w:rsid w:val="29EF0088"/>
    <w:rsid w:val="2ABC0966"/>
    <w:rsid w:val="2ABD7A62"/>
    <w:rsid w:val="2B556499"/>
    <w:rsid w:val="2BBE7D9C"/>
    <w:rsid w:val="2F260132"/>
    <w:rsid w:val="2F7013AD"/>
    <w:rsid w:val="2F7A4955"/>
    <w:rsid w:val="30E30AF8"/>
    <w:rsid w:val="34831B82"/>
    <w:rsid w:val="3569521C"/>
    <w:rsid w:val="35A40002"/>
    <w:rsid w:val="364639DE"/>
    <w:rsid w:val="36B95969"/>
    <w:rsid w:val="36DD557A"/>
    <w:rsid w:val="379A16BD"/>
    <w:rsid w:val="393A4838"/>
    <w:rsid w:val="397F0B43"/>
    <w:rsid w:val="3A8A77C7"/>
    <w:rsid w:val="3AED318F"/>
    <w:rsid w:val="3C530DD9"/>
    <w:rsid w:val="404228F2"/>
    <w:rsid w:val="410E2DB7"/>
    <w:rsid w:val="420936C7"/>
    <w:rsid w:val="42F8373B"/>
    <w:rsid w:val="43B81849"/>
    <w:rsid w:val="44114AB5"/>
    <w:rsid w:val="459868AA"/>
    <w:rsid w:val="45D44615"/>
    <w:rsid w:val="462C3E28"/>
    <w:rsid w:val="474C4D82"/>
    <w:rsid w:val="48027536"/>
    <w:rsid w:val="48F36E7F"/>
    <w:rsid w:val="48F50E49"/>
    <w:rsid w:val="496164DE"/>
    <w:rsid w:val="49D15412"/>
    <w:rsid w:val="4ABA2F65"/>
    <w:rsid w:val="4AC05487"/>
    <w:rsid w:val="4C4A14AC"/>
    <w:rsid w:val="4E880069"/>
    <w:rsid w:val="5015461F"/>
    <w:rsid w:val="536A6165"/>
    <w:rsid w:val="540C2285"/>
    <w:rsid w:val="54C53DC5"/>
    <w:rsid w:val="55570796"/>
    <w:rsid w:val="56794E67"/>
    <w:rsid w:val="56E44D2C"/>
    <w:rsid w:val="57605C5D"/>
    <w:rsid w:val="5901687A"/>
    <w:rsid w:val="59875AED"/>
    <w:rsid w:val="5A4532B2"/>
    <w:rsid w:val="5A4859A7"/>
    <w:rsid w:val="5A9F7775"/>
    <w:rsid w:val="5BE2700B"/>
    <w:rsid w:val="5F79438A"/>
    <w:rsid w:val="60673889"/>
    <w:rsid w:val="631321A0"/>
    <w:rsid w:val="648A2EA5"/>
    <w:rsid w:val="64CD1AD5"/>
    <w:rsid w:val="65D26342"/>
    <w:rsid w:val="6672542F"/>
    <w:rsid w:val="6747066A"/>
    <w:rsid w:val="677A27ED"/>
    <w:rsid w:val="6B0625EA"/>
    <w:rsid w:val="6B1C5B5B"/>
    <w:rsid w:val="6B4E646B"/>
    <w:rsid w:val="6D9D7236"/>
    <w:rsid w:val="6F484F7F"/>
    <w:rsid w:val="70AC142C"/>
    <w:rsid w:val="73724CA5"/>
    <w:rsid w:val="73A43546"/>
    <w:rsid w:val="74393A30"/>
    <w:rsid w:val="75C86E1A"/>
    <w:rsid w:val="760B6D06"/>
    <w:rsid w:val="79046CBC"/>
    <w:rsid w:val="7950058C"/>
    <w:rsid w:val="79556C16"/>
    <w:rsid w:val="7A97100C"/>
    <w:rsid w:val="7B3C2CDD"/>
    <w:rsid w:val="7BD81D81"/>
    <w:rsid w:val="7E7D77E6"/>
    <w:rsid w:val="7EA727BE"/>
    <w:rsid w:val="7EDA4FB6"/>
    <w:rsid w:val="7FD10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7">
    <w:name w:val="page number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19849</cp:lastModifiedBy>
  <dcterms:modified xsi:type="dcterms:W3CDTF">2023-12-16T11:21:25Z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2505EBBBD57E45DE97C96164DA8B4566</vt:lpwstr>
  </property>
</Properties>
</file>