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楷体_GB2312" w:hAnsi="楷体_GB2312" w:eastAsia="楷体_GB2312"/>
          <w:color w:val="000000"/>
          <w:sz w:val="28"/>
          <w:szCs w:val="28"/>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二</w:t>
      </w:r>
      <w:r>
        <w:rPr>
          <w:rFonts w:hint="eastAsia" w:ascii="黑体" w:hAnsi="黑体" w:eastAsia="黑体" w:cs="宋体"/>
          <w:color w:val="000000"/>
          <w:sz w:val="24"/>
          <w:szCs w:val="24"/>
        </w:rPr>
        <w:t xml:space="preserve"> </w:t>
      </w:r>
      <w:r>
        <w:rPr>
          <w:rFonts w:hint="eastAsia" w:ascii="楷体_GB2312" w:hAnsi="楷体_GB2312" w:eastAsia="楷体_GB2312"/>
          <w:color w:val="000000"/>
          <w:sz w:val="28"/>
          <w:szCs w:val="28"/>
        </w:rPr>
        <w:t>【编号：（网报推荐表时系统自动生成）】</w:t>
      </w:r>
    </w:p>
    <w:p>
      <w:pPr>
        <w:snapToGrid w:val="0"/>
        <w:spacing w:line="500" w:lineRule="atLeast"/>
        <w:jc w:val="center"/>
        <w:rPr>
          <w:rFonts w:hint="eastAsia" w:asciiTheme="minorEastAsia" w:hAnsiTheme="minorEastAsia" w:eastAsiaTheme="minorEastAsia" w:cstheme="minorEastAsia"/>
          <w:b/>
          <w:bCs/>
          <w:color w:val="000000"/>
          <w:sz w:val="28"/>
          <w:szCs w:val="32"/>
        </w:rPr>
      </w:pPr>
      <w:r>
        <w:rPr>
          <w:rFonts w:hint="eastAsia" w:asciiTheme="minorEastAsia" w:hAnsiTheme="minorEastAsia" w:eastAsiaTheme="minorEastAsia" w:cstheme="minorEastAsia"/>
          <w:b/>
          <w:bCs/>
          <w:color w:val="000000"/>
          <w:sz w:val="28"/>
          <w:szCs w:val="32"/>
          <w:lang w:eastAsia="zh-CN"/>
        </w:rPr>
        <w:t>第32届</w:t>
      </w:r>
      <w:r>
        <w:rPr>
          <w:rFonts w:hint="eastAsia" w:asciiTheme="minorEastAsia" w:hAnsiTheme="minorEastAsia" w:eastAsiaTheme="minorEastAsia" w:cstheme="minorEastAsia"/>
          <w:b/>
          <w:bCs/>
          <w:color w:val="000000"/>
          <w:sz w:val="28"/>
          <w:szCs w:val="32"/>
        </w:rPr>
        <w:t>广东省广播影视奖</w:t>
      </w:r>
      <w:r>
        <w:rPr>
          <w:rFonts w:hint="eastAsia" w:asciiTheme="minorEastAsia" w:hAnsiTheme="minorEastAsia" w:eastAsiaTheme="minorEastAsia" w:cstheme="minorEastAsia"/>
          <w:b/>
          <w:bCs/>
          <w:color w:val="000000"/>
          <w:sz w:val="28"/>
          <w:szCs w:val="28"/>
          <w:lang w:val="en-US" w:eastAsia="zh-CN"/>
        </w:rPr>
        <w:t>影视制作经营机构</w:t>
      </w:r>
      <w:r>
        <w:rPr>
          <w:rFonts w:hint="eastAsia" w:asciiTheme="minorEastAsia" w:hAnsiTheme="minorEastAsia" w:eastAsiaTheme="minorEastAsia" w:cstheme="minorEastAsia"/>
          <w:b/>
          <w:bCs/>
          <w:color w:val="000000"/>
          <w:sz w:val="28"/>
          <w:szCs w:val="32"/>
        </w:rPr>
        <w:t>参评作品</w:t>
      </w:r>
      <w:r>
        <w:rPr>
          <w:rFonts w:hint="eastAsia" w:asciiTheme="minorEastAsia" w:hAnsiTheme="minorEastAsia" w:eastAsiaTheme="minorEastAsia" w:cstheme="minorEastAsia"/>
          <w:b/>
          <w:bCs/>
          <w:color w:val="000000"/>
          <w:sz w:val="28"/>
          <w:szCs w:val="32"/>
          <w:lang w:eastAsia="zh-CN"/>
        </w:rPr>
        <w:t>申报</w:t>
      </w:r>
      <w:r>
        <w:rPr>
          <w:rFonts w:hint="eastAsia" w:asciiTheme="minorEastAsia" w:hAnsiTheme="minorEastAsia" w:eastAsiaTheme="minorEastAsia" w:cstheme="minorEastAsia"/>
          <w:b/>
          <w:bCs/>
          <w:color w:val="000000"/>
          <w:sz w:val="28"/>
          <w:szCs w:val="32"/>
        </w:rPr>
        <w:t>表</w:t>
      </w:r>
    </w:p>
    <w:tbl>
      <w:tblPr>
        <w:tblStyle w:val="3"/>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影视制作机构名称</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lang w:eastAsia="zh-CN"/>
              </w:rPr>
            </w:pPr>
            <w:r>
              <w:rPr>
                <w:rFonts w:hint="eastAsia" w:ascii="黑体" w:hAnsi="黑体" w:eastAsia="黑体" w:cs="黑体"/>
                <w:color w:val="000000"/>
                <w:lang w:val="en-US" w:eastAsia="zh-CN"/>
              </w:rPr>
              <w:t>制作</w:t>
            </w:r>
            <w:r>
              <w:rPr>
                <w:rFonts w:hint="eastAsia" w:ascii="黑体" w:hAnsi="黑体" w:eastAsia="黑体" w:cs="黑体"/>
                <w:color w:val="000000"/>
                <w:lang w:eastAsia="zh-CN"/>
              </w:rPr>
              <w:t>机构许可证编号</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10" w:firstLineChars="100"/>
              <w:jc w:val="both"/>
              <w:rPr>
                <w:rFonts w:hint="eastAsia" w:ascii="黑体" w:hAnsi="黑体" w:eastAsia="黑体" w:cs="黑体"/>
                <w:color w:val="000000"/>
              </w:rPr>
            </w:pPr>
            <w:r>
              <w:rPr>
                <w:rFonts w:hint="eastAsia" w:ascii="黑体" w:hAnsi="黑体" w:eastAsia="黑体" w:cs="黑体"/>
                <w:color w:val="000000"/>
                <w:lang w:eastAsia="zh-CN"/>
              </w:rPr>
              <w:t>参评</w:t>
            </w:r>
            <w:r>
              <w:rPr>
                <w:rFonts w:hint="eastAsia" w:ascii="黑体" w:hAnsi="黑体" w:eastAsia="黑体" w:cs="黑体"/>
                <w:color w:val="000000"/>
              </w:rPr>
              <w:t>作品标题</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sz w:val="18"/>
                <w:szCs w:val="21"/>
                <w:lang w:val="en-US" w:eastAsia="zh-CN"/>
              </w:rPr>
            </w:pPr>
            <w:r>
              <w:rPr>
                <w:rFonts w:hint="eastAsia" w:ascii="等线" w:hAnsi="等线" w:eastAsia="等线"/>
                <w:color w:val="000000"/>
                <w:sz w:val="21"/>
                <w:szCs w:val="21"/>
                <w:lang w:val="en-US" w:eastAsia="zh-CN"/>
              </w:rPr>
              <w:t>理响广东——南方理论微课堂</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rPr>
            </w:pPr>
            <w:r>
              <w:rPr>
                <w:rFonts w:hint="eastAsia" w:ascii="等线" w:hAnsi="等线" w:eastAsia="等线"/>
                <w:color w:val="000000"/>
                <w:lang w:val="en-US" w:eastAsia="zh-CN"/>
              </w:rPr>
              <w:t>大类</w:t>
            </w:r>
            <w:r>
              <w:rPr>
                <w:rFonts w:hint="default" w:ascii="等线" w:hAnsi="等线" w:eastAsia="等线"/>
                <w:color w:val="000000"/>
                <w:lang w:eastAsia="zh-CN"/>
              </w:rPr>
              <w:t>：</w:t>
            </w:r>
            <w:r>
              <w:rPr>
                <w:rFonts w:hint="eastAsia" w:ascii="等线" w:hAnsi="等线" w:eastAsia="等线"/>
                <w:color w:val="000000"/>
                <w:lang w:val="en-US" w:eastAsia="zh-CN"/>
              </w:rPr>
              <w:t>新闻作品</w:t>
            </w:r>
            <w:r>
              <w:rPr>
                <w:rFonts w:hint="eastAsia" w:ascii="等线" w:hAnsi="等线" w:eastAsia="等线"/>
                <w:color w:val="000000"/>
              </w:rPr>
              <w:t xml:space="preserve"> </w:t>
            </w:r>
          </w:p>
          <w:p>
            <w:pPr>
              <w:snapToGrid w:val="0"/>
              <w:spacing w:line="240" w:lineRule="atLeast"/>
              <w:jc w:val="both"/>
              <w:rPr>
                <w:rFonts w:hint="default" w:ascii="等线" w:hAnsi="等线" w:eastAsia="等线"/>
                <w:color w:val="000000"/>
                <w:lang w:eastAsia="zh-CN"/>
              </w:rPr>
            </w:pPr>
            <w:r>
              <w:rPr>
                <w:rFonts w:hint="eastAsia" w:ascii="等线" w:hAnsi="等线" w:eastAsia="等线"/>
                <w:color w:val="000000"/>
                <w:lang w:eastAsia="zh-CN"/>
              </w:rPr>
              <w:t>项</w:t>
            </w:r>
            <w:r>
              <w:rPr>
                <w:rFonts w:hint="eastAsia" w:ascii="等线" w:hAnsi="等线" w:eastAsia="等线"/>
                <w:color w:val="000000"/>
                <w:lang w:val="en-US" w:eastAsia="zh-CN"/>
              </w:rPr>
              <w:t>目</w:t>
            </w:r>
            <w:r>
              <w:rPr>
                <w:rFonts w:hint="default" w:ascii="等线" w:hAnsi="等线" w:eastAsia="等线"/>
                <w:color w:val="000000"/>
                <w:lang w:eastAsia="zh-CN"/>
              </w:rPr>
              <w:t>：</w:t>
            </w:r>
            <w:r>
              <w:rPr>
                <w:rFonts w:hint="eastAsia" w:ascii="仿宋" w:hAnsi="仿宋" w:eastAsia="仿宋" w:cs="仿宋"/>
                <w:color w:val="000000"/>
                <w:kern w:val="0"/>
                <w:sz w:val="22"/>
                <w:szCs w:val="22"/>
                <w:lang w:val="en-US" w:eastAsia="zh-CN" w:bidi="ar"/>
              </w:rPr>
              <w:t>A03</w:t>
            </w:r>
            <w:r>
              <w:rPr>
                <w:rFonts w:hint="eastAsia" w:ascii="等线" w:hAnsi="等线" w:eastAsia="等线"/>
                <w:color w:val="000000"/>
              </w:rPr>
              <w:t xml:space="preserve">   </w:t>
            </w:r>
            <w:r>
              <w:rPr>
                <w:rFonts w:hint="eastAsia" w:ascii="等线" w:hAnsi="等线" w:eastAsia="等线"/>
                <w:color w:val="000000"/>
                <w:lang w:val="en-US" w:eastAsia="zh-CN"/>
              </w:rPr>
              <w:t xml:space="preserve">   </w:t>
            </w:r>
            <w:r>
              <w:rPr>
                <w:rFonts w:hint="eastAsia" w:ascii="等线" w:hAnsi="等线" w:eastAsia="等线"/>
                <w:color w:val="000000"/>
                <w:lang w:eastAsia="zh-CN"/>
              </w:rPr>
              <w:t>代码</w:t>
            </w:r>
            <w:r>
              <w:rPr>
                <w:rFonts w:hint="default" w:ascii="等线" w:hAnsi="等线" w:eastAsia="等线"/>
                <w:color w:val="000000"/>
                <w:lang w:eastAsia="zh-CN"/>
              </w:rPr>
              <w:t>：</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首播</w:t>
            </w:r>
            <w:r>
              <w:rPr>
                <w:rFonts w:hint="eastAsia" w:ascii="黑体" w:hAnsi="黑体" w:eastAsia="黑体" w:cs="黑体"/>
                <w:b w:val="0"/>
                <w:bCs w:val="0"/>
                <w:color w:val="000000"/>
              </w:rPr>
              <w:t>平台</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南方网、粤学习</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p>
          <w:p>
            <w:pPr>
              <w:snapToGrid w:val="0"/>
              <w:spacing w:line="240" w:lineRule="atLeast"/>
              <w:jc w:val="center"/>
              <w:rPr>
                <w:rFonts w:hint="eastAsia" w:ascii="黑体" w:hAnsi="黑体" w:eastAsia="黑体" w:cs="黑体"/>
                <w:b w:val="0"/>
                <w:bCs w:val="0"/>
                <w:color w:val="000000"/>
                <w:lang w:val="en-US" w:eastAsia="zh-CN"/>
              </w:rPr>
            </w:pPr>
            <w:r>
              <w:rPr>
                <w:rFonts w:hint="eastAsia" w:ascii="黑体" w:hAnsi="黑体" w:eastAsia="黑体" w:cs="黑体"/>
                <w:color w:val="000000"/>
              </w:rPr>
              <w:t>作品</w:t>
            </w:r>
            <w:r>
              <w:rPr>
                <w:rFonts w:hint="eastAsia" w:ascii="黑体" w:hAnsi="黑体" w:eastAsia="黑体" w:cs="黑体"/>
                <w:b w:val="0"/>
                <w:bCs w:val="0"/>
                <w:color w:val="000000"/>
              </w:rPr>
              <w:t>首播</w:t>
            </w:r>
            <w:r>
              <w:rPr>
                <w:rFonts w:hint="eastAsia" w:ascii="黑体" w:hAnsi="黑体" w:eastAsia="黑体" w:cs="黑体"/>
                <w:b w:val="0"/>
                <w:bCs w:val="0"/>
                <w:color w:val="000000"/>
                <w:lang w:val="en-US" w:eastAsia="zh-CN"/>
              </w:rPr>
              <w:t>日期</w:t>
            </w:r>
          </w:p>
          <w:p>
            <w:pPr>
              <w:snapToGrid w:val="0"/>
              <w:spacing w:line="240" w:lineRule="atLeast"/>
              <w:jc w:val="center"/>
              <w:rPr>
                <w:rFonts w:hint="eastAsia" w:ascii="黑体" w:hAnsi="黑体" w:eastAsia="黑体" w:cs="黑体"/>
                <w:b w:val="0"/>
                <w:bCs w:val="0"/>
                <w:color w:val="000000"/>
                <w:lang w:eastAsia="zh-CN"/>
              </w:rPr>
            </w:pP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7</w:t>
            </w:r>
            <w:r>
              <w:rPr>
                <w:rFonts w:hint="eastAsia" w:ascii="等线" w:hAnsi="等线" w:eastAsia="等线"/>
                <w:color w:val="000000"/>
              </w:rPr>
              <w:t>月</w:t>
            </w:r>
            <w:r>
              <w:rPr>
                <w:rFonts w:hint="eastAsia" w:ascii="等线" w:hAnsi="等线" w:eastAsia="等线"/>
                <w:color w:val="000000"/>
                <w:lang w:val="en-US" w:eastAsia="zh-CN"/>
              </w:rPr>
              <w:t>1</w:t>
            </w:r>
            <w:r>
              <w:rPr>
                <w:rFonts w:hint="eastAsia" w:ascii="等线" w:hAnsi="等线" w:eastAsia="等线"/>
                <w:color w:val="000000"/>
              </w:rPr>
              <w:t xml:space="preserve"> 日 </w:t>
            </w:r>
            <w:r>
              <w:rPr>
                <w:rFonts w:hint="eastAsia" w:ascii="等线" w:hAnsi="等线" w:eastAsia="等线"/>
                <w:color w:val="000000"/>
                <w:lang w:val="en-US" w:eastAsia="zh-CN"/>
              </w:rPr>
              <w:t>07:57</w:t>
            </w:r>
            <w:r>
              <w:rPr>
                <w:rFonts w:hint="eastAsia" w:ascii="等线" w:hAnsi="等线" w:eastAsia="等线"/>
                <w:color w:val="000000"/>
              </w:rPr>
              <w:t>时</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eastAsia="zh-CN"/>
              </w:rPr>
              <w:t>长度</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9集  45</w:t>
            </w:r>
            <w:bookmarkStart w:id="0" w:name="_GoBack"/>
            <w:bookmarkEnd w:id="0"/>
            <w:r>
              <w:rPr>
                <w:rFonts w:hint="eastAsia" w:ascii="等线" w:hAnsi="等线" w:eastAsia="等线"/>
                <w:color w:val="000000"/>
                <w:lang w:val="en-US" w:eastAsia="zh-CN"/>
              </w:rPr>
              <w:t>分钟</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主创人员</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sz w:val="18"/>
                <w:szCs w:val="18"/>
                <w:lang w:val="en-US" w:eastAsia="zh-CN"/>
              </w:rPr>
            </w:pPr>
            <w:r>
              <w:rPr>
                <w:rFonts w:hint="eastAsia" w:ascii="等线" w:hAnsi="等线" w:eastAsia="等线"/>
                <w:color w:val="000000"/>
                <w:sz w:val="21"/>
                <w:szCs w:val="21"/>
                <w:lang w:val="en-US" w:eastAsia="zh-CN"/>
              </w:rPr>
              <w:t>集体（江海燕 曹晓静 刘帅 李江锐 武君丽 林若韫）</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val="en-US" w:eastAsia="zh-CN"/>
              </w:rPr>
              <w:t>参评</w:t>
            </w:r>
            <w:r>
              <w:rPr>
                <w:rFonts w:hint="eastAsia" w:ascii="黑体" w:hAnsi="黑体" w:eastAsia="黑体" w:cs="黑体"/>
                <w:color w:val="000000"/>
              </w:rPr>
              <w:t>作品</w:t>
            </w:r>
          </w:p>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eastAsia="zh-CN"/>
              </w:rPr>
              <w:t>制作</w:t>
            </w:r>
            <w:r>
              <w:rPr>
                <w:rFonts w:hint="eastAsia" w:ascii="黑体" w:hAnsi="黑体" w:eastAsia="黑体" w:cs="黑体"/>
                <w:color w:val="000000"/>
              </w:rPr>
              <w:t>过程</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jc w:val="both"/>
              <w:textAlignment w:val="auto"/>
              <w:rPr>
                <w:rFonts w:hint="eastAsia" w:ascii="等线" w:hAnsi="等线" w:eastAsia="等线"/>
                <w:color w:val="000000"/>
                <w:sz w:val="18"/>
                <w:szCs w:val="18"/>
              </w:rPr>
            </w:pPr>
            <w:r>
              <w:rPr>
                <w:rFonts w:hint="eastAsia" w:ascii="等线" w:hAnsi="等线" w:eastAsia="等线"/>
                <w:color w:val="000000"/>
                <w:sz w:val="18"/>
                <w:szCs w:val="18"/>
              </w:rPr>
              <w:t>南方网、粤学习客户端推出系列短视频节目《理响广东——南方理论微课堂》，共推出1</w:t>
            </w:r>
            <w:r>
              <w:rPr>
                <w:rFonts w:hint="default" w:ascii="等线" w:hAnsi="等线" w:eastAsia="等线"/>
                <w:color w:val="000000"/>
                <w:sz w:val="18"/>
                <w:szCs w:val="18"/>
              </w:rPr>
              <w:t>0</w:t>
            </w:r>
            <w:r>
              <w:rPr>
                <w:rFonts w:hint="eastAsia" w:ascii="等线" w:hAnsi="等线" w:eastAsia="等线"/>
                <w:color w:val="000000"/>
                <w:sz w:val="18"/>
                <w:szCs w:val="18"/>
              </w:rPr>
              <w:t>期短视频，邀请广东高校青年思政课教师，以深入浅出的理论阐释结合生动鲜活的身边故事，把道理、学理、哲理讲深、讲透、讲活，推动党的创新理论“飞入寻常百姓家”。</w:t>
            </w:r>
          </w:p>
          <w:p>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jc w:val="both"/>
              <w:textAlignment w:val="auto"/>
              <w:rPr>
                <w:rFonts w:hint="default" w:ascii="等线" w:hAnsi="等线" w:eastAsia="等线"/>
                <w:color w:val="000000"/>
                <w:sz w:val="21"/>
                <w:szCs w:val="21"/>
                <w:lang w:eastAsia="zh-Hans"/>
              </w:rPr>
            </w:pPr>
            <w:r>
              <w:rPr>
                <w:rFonts w:hint="eastAsia" w:ascii="等线" w:hAnsi="等线" w:eastAsia="等线"/>
                <w:color w:val="000000"/>
                <w:sz w:val="18"/>
                <w:szCs w:val="18"/>
                <w:lang w:val="en-US" w:eastAsia="zh-Hans"/>
              </w:rPr>
              <w:t>在选题方面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该节目紧密围绕党的二十大报告中的理论“热词“</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选取</w:t>
            </w:r>
            <w:r>
              <w:rPr>
                <w:rFonts w:hint="eastAsia" w:ascii="等线" w:hAnsi="等线" w:eastAsia="等线"/>
                <w:color w:val="000000"/>
                <w:sz w:val="18"/>
                <w:szCs w:val="18"/>
              </w:rPr>
              <w:t>“中国式现代化”“文化自信”“共同富裕”</w:t>
            </w:r>
            <w:r>
              <w:rPr>
                <w:rFonts w:hint="eastAsia" w:ascii="等线" w:hAnsi="等线" w:eastAsia="等线"/>
                <w:color w:val="000000"/>
                <w:sz w:val="18"/>
                <w:szCs w:val="18"/>
                <w:lang w:val="en-US" w:eastAsia="zh-Hans"/>
              </w:rPr>
              <w:t>等热词展开解读</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佐以鲜活的广东实践案例</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说理明细</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论述生动</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在形式方面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节目创新拍摄场景</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将理论课堂放置到户外场所上</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走入民众日常生活场景</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引发共鸣</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在传播方面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利用短视频和社交平台的传播特性</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精炼视频内容</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将每期时长控制在</w:t>
            </w:r>
            <w:r>
              <w:rPr>
                <w:rFonts w:hint="default" w:ascii="等线" w:hAnsi="等线" w:eastAsia="等线"/>
                <w:color w:val="000000"/>
                <w:sz w:val="18"/>
                <w:szCs w:val="18"/>
                <w:lang w:eastAsia="zh-Hans"/>
              </w:rPr>
              <w:t>5</w:t>
            </w:r>
            <w:r>
              <w:rPr>
                <w:rFonts w:hint="eastAsia" w:ascii="等线" w:hAnsi="等线" w:eastAsia="等线"/>
                <w:color w:val="000000"/>
                <w:sz w:val="18"/>
                <w:szCs w:val="18"/>
                <w:lang w:val="en-US" w:eastAsia="zh-Hans"/>
              </w:rPr>
              <w:t>分钟左右</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减轻用户观看成本</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同时制作视频海报便于裂变式传播</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最大化拓展传播渠道</w:t>
            </w:r>
            <w:r>
              <w:rPr>
                <w:rFonts w:hint="default" w:ascii="等线" w:hAnsi="等线" w:eastAsia="等线"/>
                <w:color w:val="000000"/>
                <w:sz w:val="18"/>
                <w:szCs w:val="18"/>
                <w:lang w:eastAsia="zh-Hans"/>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总体</w:t>
            </w:r>
            <w:r>
              <w:rPr>
                <w:rFonts w:hint="eastAsia" w:ascii="黑体" w:hAnsi="黑体" w:eastAsia="黑体" w:cs="黑体"/>
                <w:color w:val="000000"/>
                <w:u w:val="none"/>
              </w:rPr>
              <w:t>评介</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eastAsia" w:ascii="等线" w:hAnsi="等线" w:eastAsia="等线"/>
                <w:color w:val="000000"/>
                <w:sz w:val="18"/>
                <w:szCs w:val="18"/>
                <w:lang w:val="en-US" w:eastAsia="zh-Hans"/>
              </w:rPr>
            </w:pPr>
            <w:r>
              <w:rPr>
                <w:rFonts w:hint="eastAsia" w:ascii="等线" w:hAnsi="等线" w:eastAsia="等线"/>
                <w:color w:val="000000"/>
                <w:sz w:val="18"/>
                <w:szCs w:val="18"/>
                <w:lang w:val="en-US" w:eastAsia="zh-Hans"/>
              </w:rPr>
              <w:t>首先</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该系列短视频在选择主题时紧密围绕党的二十大报告中的理论“热词”，在创作脚本时突破思维定式、创新话语表达，以平白平实平和的语言，从小切口进入，深刻阐释重大主题，将高大上的理论讲出新意深意、讲得传情共情。</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eastAsia" w:ascii="等线" w:hAnsi="等线" w:eastAsia="等线"/>
                <w:color w:val="000000"/>
                <w:sz w:val="18"/>
                <w:szCs w:val="18"/>
                <w:lang w:val="en-US" w:eastAsia="zh-Hans"/>
              </w:rPr>
            </w:pPr>
            <w:r>
              <w:rPr>
                <w:rFonts w:hint="eastAsia" w:ascii="等线" w:hAnsi="等线" w:eastAsia="等线"/>
                <w:color w:val="000000"/>
                <w:sz w:val="18"/>
                <w:szCs w:val="18"/>
                <w:lang w:val="en-US" w:eastAsia="zh-Hans"/>
              </w:rPr>
              <w:t>其次</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节目大胆选用广东高校“80后”“90后”年轻马院教师，并打破了既往理论阐释节目将课堂放在室内的传统，把节目搬到户外，“高颜值”的主讲人在校园、广场、公园、祠堂等开阔的场所阐释“高言值”的理论话题，与网民现实生活紧密结合，让网民在场景的“共情”中找到“共鸣”。</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default" w:ascii="等线" w:hAnsi="等线" w:eastAsia="等线"/>
                <w:color w:val="000000"/>
                <w:sz w:val="18"/>
                <w:szCs w:val="18"/>
                <w:lang w:val="en-US" w:eastAsia="zh-Hans"/>
              </w:rPr>
            </w:pPr>
            <w:r>
              <w:rPr>
                <w:rFonts w:hint="eastAsia" w:ascii="等线" w:hAnsi="等线" w:eastAsia="等线"/>
                <w:color w:val="000000"/>
                <w:sz w:val="18"/>
                <w:szCs w:val="18"/>
                <w:lang w:val="en-US" w:eastAsia="zh-Hans"/>
              </w:rPr>
              <w:t>此外</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节目还成功地解决了部分地方媒体“不敢解读”“不会解读”这一问题，强化互联网思维，坚持“走出去”与“请进来”相结合，注重与暨南大学、华南师范大学、华南农业大学等省内重点高校的理论资源供需对接，同时与广东省习近平新时代中国特色社会主义思想研究中心建立常态化的沟通联系机制，整合信息内容、资源要素、人才队伍，成立专门的理论节目制作团队，跟踪研究理论前沿与网民关切的结合点并进行多角度加工。</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ascii="等线" w:hAnsi="等线" w:eastAsia="等线"/>
                <w:color w:val="000000"/>
                <w:sz w:val="21"/>
                <w:szCs w:val="21"/>
                <w:u w:val="none"/>
              </w:rPr>
            </w:pPr>
            <w:r>
              <w:rPr>
                <w:rFonts w:hint="eastAsia" w:ascii="等线" w:hAnsi="等线" w:eastAsia="等线"/>
                <w:color w:val="000000"/>
                <w:sz w:val="18"/>
                <w:szCs w:val="18"/>
                <w:lang w:val="en-US" w:eastAsia="zh-Hans"/>
              </w:rPr>
              <w:t>该系列节目讲政治、接地气，用生动的案例和故事阐释理论，讲清了经验成就背后的理论逻辑、历史逻辑、制度逻辑，把“有意义”的理论做得“有意思”，值得肯定。</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rPr>
              <w:t>社会效果</w:t>
            </w:r>
          </w:p>
          <w:p>
            <w:pPr>
              <w:snapToGrid w:val="0"/>
              <w:spacing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经济效益</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ascii="等线" w:hAnsi="等线" w:eastAsia="等线"/>
                <w:color w:val="000000"/>
                <w:sz w:val="21"/>
                <w:szCs w:val="21"/>
                <w:u w:val="none"/>
              </w:rPr>
            </w:pPr>
            <w:r>
              <w:rPr>
                <w:rFonts w:hint="eastAsia" w:ascii="等线" w:hAnsi="等线" w:eastAsia="等线"/>
                <w:color w:val="000000"/>
                <w:sz w:val="18"/>
                <w:szCs w:val="18"/>
                <w:lang w:val="en-US" w:eastAsia="zh-Hans"/>
              </w:rPr>
              <w:t>该系列1</w:t>
            </w:r>
            <w:r>
              <w:rPr>
                <w:rFonts w:hint="default" w:ascii="等线" w:hAnsi="等线" w:eastAsia="等线"/>
                <w:color w:val="000000"/>
                <w:sz w:val="18"/>
                <w:szCs w:val="18"/>
                <w:lang w:val="en-US" w:eastAsia="zh-Hans"/>
              </w:rPr>
              <w:t>0</w:t>
            </w:r>
            <w:r>
              <w:rPr>
                <w:rFonts w:hint="eastAsia" w:ascii="等线" w:hAnsi="等线" w:eastAsia="等线"/>
                <w:color w:val="000000"/>
                <w:sz w:val="18"/>
                <w:szCs w:val="18"/>
                <w:lang w:val="en-US" w:eastAsia="zh-Hans"/>
              </w:rPr>
              <w:t>期短视频在南方网、粤学习客户端上首发，均获广东省委网信办全省推送，其中三期节目获中央网信办全网推送、被多家中央新闻网站转发。同时，学习强国广东学习平台也转发了该系列全部视频，平均点击量超10万次。该系列还打通了高校、名师、社群等多渠道资源，其中暨南大学将《注意看！中国式现代化的认知陷阱》这期节目列为全校五大精品课程之一，并上报至中央电化教育馆；华南农业大学将《共同构建人类命运共同体》等四期节目转发至校内网，供广大师生下载学习；华南师范大学多位名师在个人社交平台及社群转发《新时代十年，为什么这“三件大事”意义非凡？》等两期节目，获青年学生热烈反响。该系列节目在重大主题宣传中多点聚焦、立体发声，在互动配合中相互拉动、相互赋能，推动了理论传播的矩阵化运行。</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播出机构</w:t>
            </w:r>
          </w:p>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推荐意见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播出机构负责人</w:t>
            </w:r>
            <w:r>
              <w:rPr>
                <w:rFonts w:hint="eastAsia" w:ascii="黑体" w:hAnsi="黑体" w:eastAsia="黑体" w:cs="黑体"/>
                <w:color w:val="000000"/>
                <w:u w:val="none"/>
              </w:rPr>
              <w:t xml:space="preserve">签名：           </w:t>
            </w:r>
            <w:r>
              <w:rPr>
                <w:rFonts w:hint="eastAsia" w:ascii="黑体" w:hAnsi="黑体" w:eastAsia="黑体" w:cs="黑体"/>
                <w:color w:val="000000"/>
                <w:u w:val="none"/>
                <w:lang w:val="en-US" w:eastAsia="zh-CN"/>
              </w:rPr>
              <w:t xml:space="preserve">   播出机构</w:t>
            </w:r>
            <w:r>
              <w:rPr>
                <w:rFonts w:hint="eastAsia" w:ascii="黑体" w:hAnsi="黑体" w:eastAsia="黑体" w:cs="黑体"/>
                <w:color w:val="000000"/>
                <w:u w:val="none"/>
              </w:rPr>
              <w:t xml:space="preserve">盖章：           </w:t>
            </w:r>
          </w:p>
          <w:p>
            <w:pPr>
              <w:snapToGrid w:val="0"/>
              <w:spacing w:line="240" w:lineRule="atLeast"/>
              <w:ind w:firstLine="2880"/>
              <w:jc w:val="both"/>
              <w:rPr>
                <w:rFonts w:ascii="等线" w:hAnsi="等线" w:eastAsia="等线"/>
                <w:color w:val="000000"/>
                <w:szCs w:val="21"/>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u w:val="none"/>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default" w:ascii="黑体" w:hAnsi="黑体" w:eastAsia="黑体" w:cs="黑体"/>
                <w:color w:val="000000"/>
                <w:u w:val="none"/>
                <w:lang w:val="en-US" w:eastAsia="zh-CN"/>
              </w:rPr>
            </w:pPr>
            <w:r>
              <w:rPr>
                <w:rFonts w:hint="eastAsia" w:ascii="黑体" w:hAnsi="黑体" w:eastAsia="黑体" w:cs="黑体"/>
                <w:color w:val="000000"/>
                <w:u w:val="none"/>
                <w:lang w:val="en-US" w:eastAsia="zh-CN"/>
              </w:rPr>
              <w:t>影视制作经营</w:t>
            </w:r>
          </w:p>
          <w:p>
            <w:pPr>
              <w:snapToGrid w:val="0"/>
              <w:spacing w:before="156" w:after="156"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机构</w:t>
            </w:r>
            <w:r>
              <w:rPr>
                <w:rFonts w:hint="eastAsia" w:ascii="黑体" w:hAnsi="黑体" w:eastAsia="黑体" w:cs="黑体"/>
                <w:color w:val="000000"/>
                <w:u w:val="none"/>
              </w:rPr>
              <w:t>审核意见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 xml:space="preserve">法定代表人签名：           </w:t>
            </w: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盖章：</w:t>
            </w:r>
          </w:p>
          <w:p>
            <w:pPr>
              <w:snapToGrid w:val="0"/>
              <w:spacing w:line="240" w:lineRule="atLeast"/>
              <w:ind w:right="980" w:firstLine="2880"/>
              <w:jc w:val="both"/>
              <w:rPr>
                <w:rFonts w:hint="eastAsia" w:ascii="黑体" w:hAnsi="黑体" w:eastAsia="黑体" w:cs="黑体"/>
                <w:color w:val="000000"/>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szCs w:val="22"/>
                <w:u w:val="none"/>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u w:val="dotted"/>
                <w:lang w:val="en-US" w:eastAsia="zh-CN"/>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r>
    </w:tbl>
    <w:p>
      <w:pPr>
        <w:snapToGrid w:val="0"/>
        <w:spacing w:line="500" w:lineRule="atLeast"/>
        <w:jc w:val="both"/>
        <w:rPr>
          <w:rFonts w:hint="eastAsia" w:ascii="黑体" w:hAnsi="黑体" w:eastAsia="黑体" w:cs="宋体"/>
          <w:color w:val="000000"/>
          <w:sz w:val="32"/>
          <w:szCs w:val="32"/>
        </w:rPr>
      </w:pPr>
      <w:r>
        <w:rPr>
          <w:rFonts w:hint="eastAsia" w:ascii="黑体" w:hAnsi="黑体" w:eastAsia="黑体" w:cs="黑体"/>
          <w:color w:val="000000"/>
        </w:rPr>
        <w:t>注意：此表必须与</w:t>
      </w:r>
      <w:r>
        <w:rPr>
          <w:rFonts w:hint="eastAsia" w:ascii="黑体" w:hAnsi="黑体" w:eastAsia="黑体" w:cs="黑体"/>
          <w:color w:val="000000"/>
          <w:lang w:eastAsia="zh-CN"/>
        </w:rPr>
        <w:t>承</w:t>
      </w:r>
      <w:r>
        <w:rPr>
          <w:rFonts w:hint="eastAsia" w:ascii="黑体" w:hAnsi="黑体" w:eastAsia="黑体" w:cs="黑体"/>
          <w:color w:val="000000"/>
          <w:lang w:val="en-US" w:eastAsia="zh-CN"/>
        </w:rPr>
        <w:t>诺书和</w:t>
      </w:r>
      <w:r>
        <w:rPr>
          <w:rFonts w:hint="eastAsia" w:ascii="黑体" w:hAnsi="黑体" w:eastAsia="黑体" w:cs="黑体"/>
          <w:color w:val="000000"/>
        </w:rPr>
        <w:t>参评作品完整的文字稿</w:t>
      </w:r>
      <w:r>
        <w:rPr>
          <w:rFonts w:hint="eastAsia" w:ascii="黑体" w:hAnsi="黑体" w:eastAsia="黑体" w:cs="黑体"/>
          <w:color w:val="000000"/>
          <w:lang w:val="en-US" w:eastAsia="zh-CN"/>
        </w:rPr>
        <w:t>及相关</w:t>
      </w:r>
      <w:r>
        <w:rPr>
          <w:rFonts w:hint="eastAsia" w:ascii="黑体" w:hAnsi="黑体" w:eastAsia="黑体" w:cs="黑体"/>
          <w:color w:val="000000"/>
        </w:rPr>
        <w:t>文字材料装订</w:t>
      </w:r>
      <w:r>
        <w:rPr>
          <w:rFonts w:hint="eastAsia" w:ascii="黑体" w:hAnsi="黑体" w:eastAsia="黑体" w:cs="黑体"/>
          <w:color w:val="000000"/>
          <w:lang w:eastAsia="zh-CN"/>
        </w:rPr>
        <w:t>成</w:t>
      </w:r>
      <w:r>
        <w:rPr>
          <w:rFonts w:hint="eastAsia" w:ascii="黑体" w:hAnsi="黑体" w:eastAsia="黑体" w:cs="黑体"/>
          <w:color w:val="000000"/>
        </w:rPr>
        <w:t>一</w:t>
      </w:r>
      <w:r>
        <w:rPr>
          <w:rFonts w:hint="eastAsia" w:ascii="黑体" w:hAnsi="黑体" w:eastAsia="黑体" w:cs="黑体"/>
          <w:color w:val="000000"/>
          <w:lang w:val="en-US" w:eastAsia="zh-CN"/>
        </w:rPr>
        <w:t>册</w:t>
      </w:r>
      <w:r>
        <w:rPr>
          <w:rFonts w:hint="eastAsia" w:ascii="黑体" w:hAnsi="黑体" w:eastAsia="黑体" w:cs="黑体"/>
          <w:color w:val="000000"/>
        </w:rPr>
        <w:t>。</w:t>
      </w:r>
    </w:p>
    <w:p>
      <w:pPr>
        <w:tabs>
          <w:tab w:val="left" w:pos="4200"/>
          <w:tab w:val="left" w:pos="4515"/>
        </w:tabs>
        <w:jc w:val="both"/>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mRlNTdlYTcyMDgxMTk0NTQ5YzgyNWRmYTU0MDcifQ=="/>
  </w:docVars>
  <w:rsids>
    <w:rsidRoot w:val="7950058C"/>
    <w:rsid w:val="05465FAD"/>
    <w:rsid w:val="05EE0147"/>
    <w:rsid w:val="07DC6755"/>
    <w:rsid w:val="09CF47C3"/>
    <w:rsid w:val="0B884C29"/>
    <w:rsid w:val="119818B5"/>
    <w:rsid w:val="13C92110"/>
    <w:rsid w:val="15DB40AE"/>
    <w:rsid w:val="16C86822"/>
    <w:rsid w:val="16E16E80"/>
    <w:rsid w:val="18F953B8"/>
    <w:rsid w:val="19A74E14"/>
    <w:rsid w:val="19FF69FF"/>
    <w:rsid w:val="1A584361"/>
    <w:rsid w:val="1B813443"/>
    <w:rsid w:val="20EF0333"/>
    <w:rsid w:val="24D50BF5"/>
    <w:rsid w:val="25553977"/>
    <w:rsid w:val="26CFB948"/>
    <w:rsid w:val="270C4509"/>
    <w:rsid w:val="279F35CF"/>
    <w:rsid w:val="29A9603F"/>
    <w:rsid w:val="2ABD7A62"/>
    <w:rsid w:val="2BBE7D9C"/>
    <w:rsid w:val="2DA40495"/>
    <w:rsid w:val="2F260132"/>
    <w:rsid w:val="2F7013AD"/>
    <w:rsid w:val="340E7E0A"/>
    <w:rsid w:val="34831B82"/>
    <w:rsid w:val="34EE3CB4"/>
    <w:rsid w:val="3569521C"/>
    <w:rsid w:val="35A40002"/>
    <w:rsid w:val="36DD557A"/>
    <w:rsid w:val="379A16BD"/>
    <w:rsid w:val="3A8A77C7"/>
    <w:rsid w:val="3B2207AA"/>
    <w:rsid w:val="410E2DB7"/>
    <w:rsid w:val="420936C7"/>
    <w:rsid w:val="420F4A31"/>
    <w:rsid w:val="44114AB5"/>
    <w:rsid w:val="459868AA"/>
    <w:rsid w:val="48027536"/>
    <w:rsid w:val="48F36E7F"/>
    <w:rsid w:val="48F50E49"/>
    <w:rsid w:val="496164DE"/>
    <w:rsid w:val="49D15412"/>
    <w:rsid w:val="4AC05487"/>
    <w:rsid w:val="4BE55D9B"/>
    <w:rsid w:val="4C4A14AC"/>
    <w:rsid w:val="4DB80362"/>
    <w:rsid w:val="5015461F"/>
    <w:rsid w:val="536A6165"/>
    <w:rsid w:val="540C2285"/>
    <w:rsid w:val="54C53DC5"/>
    <w:rsid w:val="55570796"/>
    <w:rsid w:val="57605C5D"/>
    <w:rsid w:val="5901687A"/>
    <w:rsid w:val="5A4532B2"/>
    <w:rsid w:val="5A4859A7"/>
    <w:rsid w:val="5BE2700B"/>
    <w:rsid w:val="5BFF35D8"/>
    <w:rsid w:val="5FFBD33D"/>
    <w:rsid w:val="648A2EA5"/>
    <w:rsid w:val="64CD1AD5"/>
    <w:rsid w:val="65D26342"/>
    <w:rsid w:val="6672542F"/>
    <w:rsid w:val="6747066A"/>
    <w:rsid w:val="677A27ED"/>
    <w:rsid w:val="6AB30054"/>
    <w:rsid w:val="6B0625EA"/>
    <w:rsid w:val="6B1C5B5B"/>
    <w:rsid w:val="6B4E646B"/>
    <w:rsid w:val="6F484F7F"/>
    <w:rsid w:val="70AC142C"/>
    <w:rsid w:val="71722C05"/>
    <w:rsid w:val="73724CA5"/>
    <w:rsid w:val="73BBA021"/>
    <w:rsid w:val="74026576"/>
    <w:rsid w:val="74393A30"/>
    <w:rsid w:val="75C86E1A"/>
    <w:rsid w:val="79046CBC"/>
    <w:rsid w:val="7950058C"/>
    <w:rsid w:val="79556C16"/>
    <w:rsid w:val="7BD81D81"/>
    <w:rsid w:val="7BF9B168"/>
    <w:rsid w:val="7DE043E1"/>
    <w:rsid w:val="7FED7947"/>
    <w:rsid w:val="BBDD2583"/>
    <w:rsid w:val="BF7F02C8"/>
    <w:rsid w:val="C3BE8D03"/>
    <w:rsid w:val="DFF873AA"/>
    <w:rsid w:val="FEBE2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2023-11-01T14:48:00Z</dcterms:created>
  <dc:creator>vnlo</dc:creator>
  <cp:lastModifiedBy>张林昱</cp:lastModifiedBy>
  <dcterms:modified xsi:type="dcterms:W3CDTF">2023-12-19T10:59:05Z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C0BD2B0532434487A7B38E56031BD8E1</vt:lpwstr>
  </property>
</Properties>
</file>