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ascii="楷体_GB2312" w:hAnsi="楷体_GB2312" w:eastAsia="楷体_GB2312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宋体"/>
          <w:color w:val="000000"/>
          <w:sz w:val="24"/>
          <w:szCs w:val="24"/>
        </w:rPr>
        <w:t xml:space="preserve">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/>
          <w:color w:val="000000"/>
          <w:sz w:val="28"/>
          <w:szCs w:val="28"/>
        </w:rPr>
        <w:t xml:space="preserve">          </w:t>
      </w:r>
      <w:r>
        <w:rPr>
          <w:rFonts w:hint="eastAsia" w:ascii="楷体_GB2312" w:hAnsi="楷体_GB2312" w:eastAsia="楷体_GB2312"/>
          <w:color w:val="000000"/>
          <w:sz w:val="28"/>
          <w:szCs w:val="28"/>
        </w:rPr>
        <w:t xml:space="preserve">             【编号：（网报推荐表时系统自动生成）】</w:t>
      </w:r>
    </w:p>
    <w:p>
      <w:pPr>
        <w:snapToGrid w:val="0"/>
        <w:spacing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申报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表</w:t>
      </w:r>
    </w:p>
    <w:tbl>
      <w:tblPr>
        <w:tblStyle w:val="6"/>
        <w:tblW w:w="957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514"/>
        <w:gridCol w:w="2531"/>
        <w:gridCol w:w="361"/>
        <w:gridCol w:w="1265"/>
        <w:gridCol w:w="554"/>
        <w:gridCol w:w="2338"/>
      </w:tblGrid>
      <w:tr>
        <w:tblPrEx>
          <w:tblLayout w:type="fixed"/>
        </w:tblPrEx>
        <w:trPr>
          <w:trHeight w:val="451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影视制作机构名称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南方新闻网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机构许可证编号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Layout w:type="fixed"/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210" w:firstLineChars="100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作品标题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等线" w:hAnsi="等线" w:eastAsia="等线"/>
                <w:color w:val="000000"/>
              </w:rPr>
              <w:t>“跟着总书记看中国”系列报道</w:t>
            </w:r>
          </w:p>
        </w:tc>
      </w:tr>
      <w:tr>
        <w:tblPrEx>
          <w:tblLayout w:type="fixed"/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参评项目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大类: 新闻作品 </w:t>
            </w:r>
          </w:p>
          <w:p>
            <w:pPr>
              <w:snapToGrid w:val="0"/>
              <w:spacing w:line="240" w:lineRule="atLeast"/>
              <w:jc w:val="both"/>
              <w:rPr>
                <w:rFonts w:hint="default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项目：新闻专题   代码:A03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平台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等线" w:hAnsi="等线" w:eastAsia="等线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南方网</w:t>
            </w:r>
          </w:p>
        </w:tc>
      </w:tr>
      <w:tr>
        <w:tblPrEx>
          <w:tblLayout w:type="fixed"/>
        </w:tblPrEx>
        <w:trPr>
          <w:trHeight w:val="69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</w:rPr>
              <w:t>首播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lang w:val="en-US" w:eastAsia="zh-CN"/>
              </w:rPr>
              <w:t>日期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lang w:eastAsia="zh-CN"/>
              </w:rPr>
            </w:pP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月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日    时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长度</w:t>
            </w:r>
          </w:p>
        </w:tc>
        <w:tc>
          <w:tcPr>
            <w:tcW w:w="23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集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分</w:t>
            </w:r>
            <w:r>
              <w:rPr>
                <w:rFonts w:hint="eastAsia" w:ascii="等线" w:hAnsi="等线" w:eastAsia="等线"/>
                <w:color w:val="000000"/>
                <w:lang w:val="en-US" w:eastAsia="zh-CN"/>
              </w:rPr>
              <w:t>钟</w:t>
            </w:r>
          </w:p>
        </w:tc>
      </w:tr>
      <w:tr>
        <w:tblPrEx>
          <w:tblLayout w:type="fixed"/>
        </w:tblPrEx>
        <w:trPr>
          <w:trHeight w:val="605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主创人员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申晨 许萌萌 黄小殷 杨政芳 李润芳 陈伟峰 张菲菲 李江锐 武君丽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林若韫</w:t>
            </w:r>
          </w:p>
        </w:tc>
      </w:tr>
      <w:tr>
        <w:tblPrEx>
          <w:tblLayout w:type="fixed"/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制作</w:t>
            </w:r>
            <w:r>
              <w:rPr>
                <w:rFonts w:hint="eastAsia" w:ascii="黑体" w:hAnsi="黑体" w:eastAsia="黑体" w:cs="黑体"/>
                <w:color w:val="000000"/>
              </w:rPr>
              <w:t>过程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（不少于300字）</w:t>
            </w:r>
          </w:p>
          <w:p>
            <w:pPr>
              <w:widowControl/>
              <w:spacing w:before="100" w:beforeAutospacing="1" w:after="100" w:afterAutospacing="1" w:line="380" w:lineRule="atLeast"/>
              <w:jc w:val="left"/>
              <w:rPr>
                <w:rFonts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Hans"/>
              </w:rPr>
              <w:t>为全景式、立体化展现党的十八大以来广东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hint="eastAsia"/>
                <w:kern w:val="0"/>
                <w:sz w:val="21"/>
                <w:szCs w:val="21"/>
                <w:lang w:eastAsia="zh-Hans"/>
              </w:rPr>
              <w:t>经济、社会、文化等方面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/>
                <w:kern w:val="0"/>
                <w:sz w:val="21"/>
                <w:szCs w:val="21"/>
                <w:lang w:eastAsia="zh-Hans"/>
              </w:rPr>
              <w:t>发展成就，南方网高起点高站位谋划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跟着总书记看中国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系列视频报道，围绕总书记视察过的</w:t>
            </w:r>
            <w:r>
              <w:rPr>
                <w:rFonts w:hint="eastAsia"/>
                <w:kern w:val="0"/>
                <w:sz w:val="21"/>
                <w:szCs w:val="21"/>
                <w:lang w:eastAsia="zh-Hans"/>
              </w:rPr>
              <w:t>清远、广州、深圳、珠海、佛山、潮州、汕头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七个城市，针对每个城市的发展特点策划</w:t>
            </w:r>
            <w:r>
              <w:rPr>
                <w:rFonts w:hint="eastAsia"/>
                <w:kern w:val="0"/>
                <w:sz w:val="21"/>
                <w:szCs w:val="21"/>
                <w:lang w:eastAsia="zh-Hans"/>
              </w:rPr>
              <w:t>七个篇章，通过选取当地一位代表性人物，采访拍摄总书记视察时的见证人，突出总书记视察地点的发展变化和成就成效。</w:t>
            </w:r>
          </w:p>
          <w:p>
            <w:pPr>
              <w:widowControl/>
              <w:spacing w:before="100" w:beforeAutospacing="1" w:after="100" w:afterAutospacing="1" w:line="380" w:lineRule="atLeast"/>
              <w:jc w:val="left"/>
              <w:rPr>
                <w:rFonts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其中，清远篇《我家住在连樟村》以一位小女孩的视角，带领受众参观连樟村的工厂和学校，通过讲述人物故事，以小见大，反映连樟村乡村振兴发展成就。广州篇《今天来打卡永庆坊》以一位滑板爱好者的视角，看改造后的永庆坊潮流与传统的融合，反映广州在城市建设和改造的进程中，突出地方特色，采用微改造“绣花”功夫，让城市留下记忆，让人们记住乡愁。深圳篇以在深圳大学读书的香港青年的视角看改革开放，珠海篇以在横琴居住的澳门创业青年视角看粤澳发展，潮州篇以旅游达人视角看非遗传统文化传承，汕头篇以华侨后代看“侨批”变迁和侨文化。与城市发展特点紧密相连的人物元素和叙述风格增强了视频感染力，也为主题宣传增加亮点。</w:t>
            </w:r>
          </w:p>
          <w:p>
            <w:pPr>
              <w:pStyle w:val="2"/>
              <w:rPr>
                <w:lang w:eastAsia="zh-Hans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总体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评介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（不少于300字）</w:t>
            </w:r>
          </w:p>
          <w:p>
            <w:pPr>
              <w:widowControl/>
              <w:spacing w:before="100" w:beforeAutospacing="1" w:after="100" w:afterAutospacing="1" w:line="380" w:lineRule="atLeas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Hans"/>
              </w:rPr>
              <w:t>总书记视察广东足迹回访系列短视频报道主题集中、内容精炼、呈现灵活、短小精悍，体现了短视频“短、快、精”的特点</w:t>
            </w:r>
            <w:r>
              <w:rPr>
                <w:rFonts w:hint="eastAsia"/>
                <w:lang w:eastAsia="zh-CN"/>
              </w:rPr>
              <w:t>，特别是在重大主题宣传命题中，注入有趣有料、见人见物的元素，为主题宣传注入了新的活力，彰显了主流媒体新闻传播的创新思维。</w:t>
            </w:r>
          </w:p>
          <w:p>
            <w:pPr>
              <w:widowControl/>
              <w:spacing w:before="100" w:beforeAutospacing="1" w:after="100" w:afterAutospacing="1" w:line="380" w:lineRule="atLeas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创作理念上，南方网注重强化选题策划，优化切入视角，丰富表达形式。针对每个城市的发展特点，制作团队借助不同年龄、不同职业人物的第一视角，娓娓道来当地的发展变化，贴近群众生活，十分具有感染力。其中，清远篇《我家住在连樟村》，广州篇《我来打卡永庆坊》，佛山篇《我在“城”里做设计》等篇章特别选用青年人视角，着重展现了城市的生命力和活力。</w:t>
            </w:r>
          </w:p>
          <w:p>
            <w:pPr>
              <w:pStyle w:val="2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在画面呈现方面，视频画面精美，节奏明快，配乐悦耳，加上巧妙的转场设计和娓娓道来的第一人称叙述，引导网友沉浸式感受这座城市的魅力，让重大主题宣传变得活泼生动、平实动人。</w:t>
            </w:r>
          </w:p>
          <w:p>
            <w:pPr>
              <w:pStyle w:val="2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</w:tblPrEx>
        <w:trPr>
          <w:trHeight w:val="1232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作品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>社会效果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经济效益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</w:rPr>
              <w:t>（不少于300字）</w:t>
            </w:r>
          </w:p>
          <w:p>
            <w:pPr>
              <w:widowControl/>
              <w:spacing w:before="100" w:beforeAutospacing="1" w:after="100" w:afterAutospacing="1" w:line="380" w:lineRule="atLeast"/>
              <w:jc w:val="left"/>
              <w:rPr>
                <w:rFonts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南方网策划推出的</w:t>
            </w:r>
            <w:r>
              <w:rPr>
                <w:rFonts w:hint="eastAsia"/>
                <w:kern w:val="0"/>
                <w:sz w:val="21"/>
                <w:szCs w:val="21"/>
                <w:lang w:eastAsia="zh-Hans"/>
              </w:rPr>
              <w:t>“跟着总书记看中国”</w:t>
            </w:r>
            <w:r>
              <w:rPr>
                <w:rFonts w:hint="eastAsia"/>
                <w:kern w:val="0"/>
                <w:sz w:val="21"/>
                <w:szCs w:val="21"/>
              </w:rPr>
              <w:t>系列</w:t>
            </w:r>
            <w:r>
              <w:rPr>
                <w:rFonts w:hint="eastAsia"/>
                <w:kern w:val="0"/>
                <w:sz w:val="21"/>
                <w:szCs w:val="21"/>
                <w:lang w:eastAsia="zh-Hans"/>
              </w:rPr>
              <w:t>短视频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多件</w:t>
            </w:r>
            <w:r>
              <w:rPr>
                <w:rFonts w:hint="eastAsia"/>
                <w:kern w:val="0"/>
                <w:sz w:val="21"/>
                <w:szCs w:val="21"/>
              </w:rPr>
              <w:t>被中央网信办全网首页置顶推送，</w:t>
            </w:r>
            <w:r>
              <w:rPr>
                <w:rFonts w:hint="eastAsia"/>
                <w:kern w:val="0"/>
                <w:sz w:val="21"/>
                <w:szCs w:val="21"/>
                <w:lang w:eastAsia="zh-Hans"/>
              </w:rPr>
              <w:t>获省宣阅评表扬，全网综合浏览量突破2亿</w:t>
            </w:r>
            <w:r>
              <w:rPr>
                <w:rFonts w:hint="eastAsia"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kern w:val="0"/>
                <w:sz w:val="21"/>
                <w:szCs w:val="21"/>
                <w:lang w:eastAsia="zh-Hans"/>
              </w:rPr>
              <w:t>是近年来广东媒体讲好广东故事和大湾区故事，在全国全网取得广泛传播力的短视频精品。</w:t>
            </w:r>
          </w:p>
          <w:p>
            <w:pPr>
              <w:widowControl/>
              <w:spacing w:before="100" w:beforeAutospacing="1" w:after="100" w:afterAutospacing="1" w:line="380" w:lineRule="atLeast"/>
              <w:jc w:val="left"/>
              <w:rPr>
                <w:rFonts w:hint="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其</w:t>
            </w:r>
            <w:r>
              <w:rPr>
                <w:rFonts w:hint="eastAsia"/>
                <w:kern w:val="0"/>
                <w:sz w:val="21"/>
                <w:szCs w:val="21"/>
                <w:lang w:eastAsia="zh-Hans"/>
              </w:rPr>
              <w:t>中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 w:val="21"/>
                <w:szCs w:val="21"/>
                <w:lang w:eastAsia="zh-Hans"/>
              </w:rPr>
              <w:t>《我来打卡永庆坊》《我在“城”里做设计》《我是“新横琴人”》《我来话“番客”》《我的“千年潮州”之旅》5件作品获中央网信办指定全网首页置顶推送，《我家住在连樟村》获得中央网信办全网推送，《我在深圳创未来》获广东省委网信办全省推送，全系列作品均被中央网信办纳入“跟着总书记看中国”专栏。</w:t>
            </w:r>
          </w:p>
          <w:p>
            <w:pPr>
              <w:pStyle w:val="2"/>
              <w:rPr>
                <w:rFonts w:hint="eastAsia" w:ascii="等线" w:hAnsi="等线" w:eastAsia="等线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视频还得到新华网、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南方+客户端、深圳新闻网等央媒、省市级媒体转载，进一步扩大影响力。此外，视频还收获了网友的广泛好评。网友们积极留言“为连樟村的实实在在的发展变化点赞！”“永庆坊新旧交融的文化魅力让人印象深刻，每次逛到此处都会感慨童年的记忆还在，乡愁还在”等，并在社交平台分享个人对城市发展变化的感受。</w:t>
            </w:r>
          </w:p>
        </w:tc>
      </w:tr>
      <w:tr>
        <w:tblPrEx>
          <w:tblLayout w:type="fixed"/>
        </w:tblPrEx>
        <w:trPr>
          <w:trHeight w:val="1603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推荐意见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  <w:u w:val="none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播出机构负责人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 播出机构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盖章：           </w:t>
            </w:r>
          </w:p>
          <w:p>
            <w:pPr>
              <w:snapToGrid w:val="0"/>
              <w:spacing w:line="240" w:lineRule="atLeast"/>
              <w:ind w:firstLine="2880"/>
              <w:jc w:val="both"/>
              <w:rPr>
                <w:rFonts w:ascii="等线" w:hAnsi="等线" w:eastAsia="等线"/>
                <w:color w:val="000000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年    月    日</w:t>
            </w:r>
          </w:p>
        </w:tc>
      </w:tr>
      <w:tr>
        <w:tblPrEx>
          <w:tblLayout w:type="fixed"/>
        </w:tblPrEx>
        <w:trPr>
          <w:trHeight w:val="1997" w:hRule="atLeast"/>
        </w:trPr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after="156" w:line="240" w:lineRule="atLeast"/>
              <w:jc w:val="center"/>
              <w:rPr>
                <w:rFonts w:hint="default" w:ascii="黑体" w:hAnsi="黑体" w:eastAsia="黑体" w:cs="黑体"/>
                <w:color w:val="00000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</w:t>
            </w:r>
          </w:p>
          <w:p>
            <w:pPr>
              <w:snapToGrid w:val="0"/>
              <w:spacing w:before="156" w:after="156" w:line="240" w:lineRule="atLeast"/>
              <w:jc w:val="center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审核意见</w:t>
            </w:r>
          </w:p>
        </w:tc>
        <w:tc>
          <w:tcPr>
            <w:tcW w:w="75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</w:p>
          <w:p>
            <w:pPr>
              <w:snapToGrid w:val="0"/>
              <w:spacing w:line="220" w:lineRule="atLeast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法定代表人签名：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  <w:u w:val="none"/>
              </w:rPr>
              <w:t>盖章：</w:t>
            </w:r>
          </w:p>
          <w:p>
            <w:pPr>
              <w:snapToGrid w:val="0"/>
              <w:spacing w:line="240" w:lineRule="atLeast"/>
              <w:ind w:right="980" w:firstLine="2880"/>
              <w:jc w:val="both"/>
              <w:rPr>
                <w:rFonts w:hint="eastAsia" w:ascii="黑体" w:hAnsi="黑体" w:eastAsia="黑体" w:cs="黑体"/>
                <w:color w:val="000000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u w:val="none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color w:val="00000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Cs w:val="22"/>
                <w:u w:val="none"/>
              </w:rPr>
              <w:t>年    月    日</w:t>
            </w:r>
          </w:p>
        </w:tc>
      </w:tr>
      <w:tr>
        <w:tblPrEx>
          <w:tblLayout w:type="fixed"/>
        </w:tblPrEx>
        <w:trPr>
          <w:trHeight w:val="451" w:hRule="atLeast"/>
        </w:trPr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u w:val="dotted"/>
                <w:lang w:val="en-US" w:eastAsia="zh-CN"/>
              </w:rPr>
              <w:t>影视制作经营机构</w:t>
            </w:r>
            <w:r>
              <w:rPr>
                <w:rFonts w:hint="eastAsia" w:ascii="黑体" w:hAnsi="黑体" w:eastAsia="黑体" w:cs="黑体"/>
                <w:color w:val="000000"/>
              </w:rPr>
              <w:t>联系人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</w:tbl>
    <w:p>
      <w:pPr>
        <w:snapToGrid w:val="0"/>
        <w:spacing w:line="500" w:lineRule="atLeast"/>
        <w:jc w:val="both"/>
        <w:rPr>
          <w:rFonts w:hint="eastAsia"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</w:rPr>
        <w:t>注意：此表必须与</w:t>
      </w:r>
      <w:r>
        <w:rPr>
          <w:rFonts w:hint="eastAsia" w:ascii="黑体" w:hAnsi="黑体" w:eastAsia="黑体" w:cs="黑体"/>
          <w:color w:val="000000"/>
          <w:lang w:eastAsia="zh-CN"/>
        </w:rPr>
        <w:t>承</w:t>
      </w:r>
      <w:r>
        <w:rPr>
          <w:rFonts w:hint="eastAsia" w:ascii="黑体" w:hAnsi="黑体" w:eastAsia="黑体" w:cs="黑体"/>
          <w:color w:val="000000"/>
          <w:lang w:val="en-US" w:eastAsia="zh-CN"/>
        </w:rPr>
        <w:t>诺书和</w:t>
      </w:r>
      <w:r>
        <w:rPr>
          <w:rFonts w:hint="eastAsia" w:ascii="黑体" w:hAnsi="黑体" w:eastAsia="黑体" w:cs="黑体"/>
          <w:color w:val="000000"/>
        </w:rPr>
        <w:t>参评作品完整的文字稿</w:t>
      </w:r>
      <w:r>
        <w:rPr>
          <w:rFonts w:hint="eastAsia" w:ascii="黑体" w:hAnsi="黑体" w:eastAsia="黑体" w:cs="黑体"/>
          <w:color w:val="000000"/>
          <w:lang w:val="en-US" w:eastAsia="zh-CN"/>
        </w:rPr>
        <w:t>及相关</w:t>
      </w:r>
      <w:r>
        <w:rPr>
          <w:rFonts w:hint="eastAsia" w:ascii="黑体" w:hAnsi="黑体" w:eastAsia="黑体" w:cs="黑体"/>
          <w:color w:val="000000"/>
        </w:rPr>
        <w:t>文字材料装订</w:t>
      </w:r>
      <w:r>
        <w:rPr>
          <w:rFonts w:hint="eastAsia" w:ascii="黑体" w:hAnsi="黑体" w:eastAsia="黑体" w:cs="黑体"/>
          <w:color w:val="000000"/>
          <w:lang w:eastAsia="zh-CN"/>
        </w:rPr>
        <w:t>成</w:t>
      </w:r>
      <w:r>
        <w:rPr>
          <w:rFonts w:hint="eastAsia" w:ascii="黑体" w:hAnsi="黑体" w:eastAsia="黑体" w:cs="黑体"/>
          <w:color w:val="000000"/>
        </w:rPr>
        <w:t>一</w:t>
      </w:r>
      <w:r>
        <w:rPr>
          <w:rFonts w:hint="eastAsia" w:ascii="黑体" w:hAnsi="黑体" w:eastAsia="黑体" w:cs="黑体"/>
          <w:color w:val="000000"/>
          <w:lang w:val="en-US" w:eastAsia="zh-CN"/>
        </w:rPr>
        <w:t>册</w:t>
      </w:r>
      <w:r>
        <w:rPr>
          <w:rFonts w:hint="eastAsia" w:ascii="黑体" w:hAnsi="黑体" w:eastAsia="黑体" w:cs="黑体"/>
          <w:color w:val="000000"/>
        </w:rPr>
        <w:t>。</w:t>
      </w:r>
    </w:p>
    <w:p>
      <w:pPr>
        <w:tabs>
          <w:tab w:val="left" w:pos="4200"/>
          <w:tab w:val="left" w:pos="4515"/>
        </w:tabs>
        <w:jc w:val="both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28"/>
        </w:rPr>
        <w:br w:type="page"/>
      </w: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三</w:t>
      </w:r>
    </w:p>
    <w:p>
      <w:pPr>
        <w:snapToGrid w:val="0"/>
        <w:spacing w:after="156" w:line="500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第32届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广东省广播影视奖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参评作品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  <w:lang w:eastAsia="zh-CN"/>
        </w:rPr>
        <w:t>申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6"/>
        </w:rPr>
        <w:t>报材料一览表</w:t>
      </w:r>
    </w:p>
    <w:tbl>
      <w:tblPr>
        <w:tblStyle w:val="6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420"/>
        <w:gridCol w:w="4140"/>
        <w:gridCol w:w="720"/>
        <w:gridCol w:w="747"/>
      </w:tblGrid>
      <w:tr>
        <w:tblPrEx>
          <w:tblLayout w:type="fixed"/>
        </w:tblPrEx>
        <w:trPr>
          <w:trHeight w:val="9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申</w:t>
            </w:r>
            <w:r>
              <w:rPr>
                <w:rFonts w:hint="eastAsia" w:ascii="黑体" w:hAnsi="黑体" w:eastAsia="黑体" w:cs="黑体"/>
                <w:color w:val="000000"/>
              </w:rPr>
              <w:t>报材料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材料要求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Cs w:val="21"/>
              </w:rPr>
              <w:t>报送数量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备注</w:t>
            </w:r>
          </w:p>
        </w:tc>
      </w:tr>
      <w:tr>
        <w:tblPrEx>
          <w:tblLayout w:type="fixed"/>
        </w:tblPrEx>
        <w:trPr>
          <w:trHeight w:val="2302" w:hRule="atLeast"/>
        </w:trPr>
        <w:tc>
          <w:tcPr>
            <w:tcW w:w="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</w:rPr>
              <w:t>参评作品目录表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用A4纸双面打印并加盖单位公章，与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Layout w:type="fixed"/>
        </w:tblPrEx>
        <w:trPr>
          <w:trHeight w:val="454" w:hRule="atLeast"/>
        </w:trPr>
        <w:tc>
          <w:tcPr>
            <w:tcW w:w="82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通过邮政快递寄送的</w:t>
            </w:r>
            <w:r>
              <w:rPr>
                <w:rFonts w:hint="eastAsia" w:ascii="黑体" w:hAnsi="黑体" w:eastAsia="黑体" w:cs="黑体"/>
                <w:color w:val="000000"/>
              </w:rPr>
              <w:t>文字材料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，与承诺书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Layout w:type="fixed"/>
        </w:tblPrEx>
        <w:trPr>
          <w:trHeight w:val="652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诚信参评承诺书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打印、签名、盖章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Layout w:type="fixed"/>
        </w:tblPrEx>
        <w:trPr>
          <w:trHeight w:val="736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参评作品基本质量承诺书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签名、盖章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，与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文字稿等材料装订成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Layout w:type="fixed"/>
        </w:tblPrEx>
        <w:trPr>
          <w:trHeight w:val="688" w:hRule="atLeast"/>
        </w:trPr>
        <w:tc>
          <w:tcPr>
            <w:tcW w:w="82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参评作品完整的文字稿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用A4纸双面打印，附在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承诺书后面装订成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2份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  <w:tr>
        <w:tblPrEx>
          <w:tblLayout w:type="fixed"/>
        </w:tblPrEx>
        <w:trPr>
          <w:trHeight w:val="4750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音视频材料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通过登录系统上传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lang w:val="en-US" w:eastAsia="zh-CN"/>
              </w:rPr>
              <w:t>。</w:t>
            </w:r>
          </w:p>
          <w:p>
            <w:pPr>
              <w:snapToGrid w:val="0"/>
              <w:spacing w:line="220" w:lineRule="atLeast"/>
              <w:ind w:firstLine="403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2G以上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</w:rPr>
              <w:t>音视频材料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刻录在U盘上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lang w:val="en-US" w:eastAsia="zh-CN"/>
              </w:rPr>
              <w:t>通过邮政快递寄送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。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pacing w:val="-20"/>
                <w:szCs w:val="21"/>
              </w:rPr>
            </w:pP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1．广播作品：制作成MP3格式电子文件，音频码率128K-192K。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电视作品：制作成MP4格式电子文件，视频、音频、总体码率2048-3072kbps，分辨率至少为1280*720（720p），视频页面比例为16:9，</w:t>
            </w:r>
          </w:p>
          <w:p>
            <w:p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网络视听作品：存储介质：U盘、硬盘。格式标准及要求：可提供MP4、MPG、AVI等标准格式，影片分辨率不低于720p，但不高于1080p，请确保作品电子格式可通过各类播放器打开（单部视频大小建议不超过2GB）。</w:t>
            </w:r>
          </w:p>
          <w:p>
            <w:pPr>
              <w:snapToGrid w:val="0"/>
              <w:spacing w:line="22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2．文件名：以作品编号命名。英文字母必须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大写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，数字符号必须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半角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；超过1集的，需在作品编号后面加上排列序号。</w:t>
            </w:r>
          </w:p>
          <w:p>
            <w:pPr>
              <w:numPr>
                <w:ilvl w:val="0"/>
                <w:numId w:val="1"/>
              </w:numPr>
              <w:snapToGrid w:val="0"/>
              <w:spacing w:line="220" w:lineRule="atLeast"/>
              <w:ind w:firstLine="420"/>
              <w:jc w:val="both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网络视听作品需提供可点击浏览、播放的链接。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Layout w:type="fixed"/>
        </w:tblPrEx>
        <w:trPr>
          <w:trHeight w:val="2004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通过登录系统上传的文字</w:t>
            </w:r>
            <w:r>
              <w:rPr>
                <w:rFonts w:hint="eastAsia" w:ascii="黑体" w:hAnsi="黑体" w:eastAsia="黑体" w:cs="黑体"/>
                <w:color w:val="000000"/>
              </w:rPr>
              <w:t>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1．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2．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参评作品完整文字稿</w:t>
            </w:r>
          </w:p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3．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</w:rPr>
              <w:t>相关文字材料，如收听收视率、直播方案等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登录系统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报送的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表除在网上填报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表外，还须上传盖有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公章的</w:t>
            </w:r>
            <w:r>
              <w:rPr>
                <w:rFonts w:hint="eastAsia" w:ascii="宋体" w:hAnsi="宋体" w:cs="宋体"/>
                <w:color w:val="000000"/>
                <w:u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表PD</w:t>
            </w:r>
            <w:r>
              <w:rPr>
                <w:rFonts w:hint="eastAsia" w:ascii="宋体" w:hAnsi="宋体" w:eastAsia="宋体" w:cs="宋体"/>
                <w:color w:val="000000"/>
                <w:u w:val="none"/>
                <w:lang w:val="en-US" w:eastAsia="zh-CN"/>
              </w:rPr>
              <w:t>F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文件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</w:p>
        </w:tc>
      </w:tr>
      <w:tr>
        <w:tblPrEx>
          <w:tblLayout w:type="fixed"/>
        </w:tblPrEx>
        <w:trPr>
          <w:trHeight w:val="2062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通过登录系统上传的</w:t>
            </w:r>
            <w:r>
              <w:rPr>
                <w:rFonts w:hint="eastAsia" w:ascii="黑体" w:hAnsi="黑体" w:eastAsia="黑体" w:cs="黑体"/>
                <w:color w:val="000000"/>
              </w:rPr>
              <w:t>表格材料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u w:val="none"/>
                <w:lang w:val="en-US" w:eastAsia="zh-CN"/>
              </w:rPr>
              <w:t>影视制作经营机构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主创人员所属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单位统一填报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/>
              </w:rPr>
              <w:t>自荐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参评作品</w:t>
            </w:r>
            <w:r>
              <w:rPr>
                <w:rFonts w:hint="eastAsia" w:ascii="宋体" w:hAnsi="宋体" w:cs="宋体"/>
                <w:color w:val="00000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u w:val="none"/>
              </w:rPr>
              <w:t>目录表</w:t>
            </w:r>
          </w:p>
        </w:tc>
        <w:tc>
          <w:tcPr>
            <w:tcW w:w="4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宋体" w:hAnsi="宋体" w:eastAsia="宋体" w:cs="宋体"/>
                <w:color w:val="000000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u w:val="none"/>
              </w:rPr>
              <w:t>用A4纸印制并加盖推荐、报送单位公章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hint="eastAsia" w:ascii="等线" w:hAnsi="等线" w:eastAsia="等线"/>
                <w:color w:val="000000"/>
                <w:lang w:eastAsia="zh-CN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20" w:lineRule="atLeast"/>
              <w:jc w:val="both"/>
              <w:rPr>
                <w:rFonts w:ascii="等线" w:hAnsi="等线" w:eastAsia="等线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原件</w:t>
            </w:r>
          </w:p>
        </w:tc>
      </w:tr>
    </w:tbl>
    <w:p>
      <w:pPr>
        <w:snapToGrid w:val="0"/>
        <w:spacing w:line="500" w:lineRule="atLeast"/>
        <w:jc w:val="both"/>
        <w:rPr>
          <w:rFonts w:ascii="等线" w:hAnsi="等线" w:eastAsia="等线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134" w:right="1020" w:bottom="1134" w:left="102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napToGrid w:val="0"/>
        <w:spacing w:after="156" w:line="500" w:lineRule="atLeast"/>
        <w:jc w:val="left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附件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四</w:t>
      </w:r>
    </w:p>
    <w:p>
      <w:pPr>
        <w:snapToGrid w:val="0"/>
        <w:spacing w:after="156" w:line="500" w:lineRule="atLeast"/>
        <w:jc w:val="center"/>
        <w:rPr>
          <w:rFonts w:ascii="方正小标宋简体" w:hAnsi="方正小标宋简体" w:eastAsia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eastAsia="zh-CN"/>
        </w:rPr>
        <w:t>第32届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广东省广播影视奖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u w:val="single"/>
          <w:lang w:val="en-US" w:eastAsia="zh-CN"/>
        </w:rPr>
        <w:t>影视制作经营机构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参评作品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  <w:lang w:val="en-US" w:eastAsia="zh-CN"/>
        </w:rPr>
        <w:t>目录总</w:t>
      </w:r>
      <w:r>
        <w:rPr>
          <w:rFonts w:hint="eastAsia" w:ascii="方正小标宋简体" w:hAnsi="方正小标宋简体" w:eastAsia="方正小标宋简体"/>
          <w:color w:val="000000"/>
          <w:sz w:val="32"/>
          <w:szCs w:val="36"/>
        </w:rPr>
        <w:t>表</w:t>
      </w:r>
    </w:p>
    <w:p>
      <w:pPr>
        <w:snapToGrid w:val="0"/>
        <w:spacing w:before="312" w:line="500" w:lineRule="atLeast"/>
        <w:jc w:val="both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播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(首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刊）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单位：     （盖章）                 联系人：                  联系电话（手机）：</w:t>
      </w:r>
    </w:p>
    <w:tbl>
      <w:tblPr>
        <w:tblStyle w:val="6"/>
        <w:tblW w:w="146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0"/>
        <w:gridCol w:w="4730"/>
        <w:gridCol w:w="789"/>
        <w:gridCol w:w="900"/>
        <w:gridCol w:w="5619"/>
      </w:tblGrid>
      <w:tr>
        <w:tblPrEx>
          <w:tblLayout w:type="fixed"/>
        </w:tblPrEx>
        <w:trPr>
          <w:trHeight w:val="45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编号</w:t>
            </w: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(首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刊）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作品长度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播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日期</w:t>
            </w: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sz w:val="21"/>
                <w:szCs w:val="21"/>
                <w:lang w:val="en-US" w:eastAsia="zh-CN"/>
              </w:rPr>
              <w:t>参评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作品</w:t>
            </w:r>
            <w:r>
              <w:rPr>
                <w:rFonts w:hint="eastAsia" w:ascii="黑体" w:hAnsi="黑体" w:eastAsia="黑体" w:cs="黑体"/>
                <w:color w:val="000000"/>
              </w:rPr>
              <w:t>主创人员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4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  <w:tc>
          <w:tcPr>
            <w:tcW w:w="5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00" w:lineRule="atLeast"/>
              <w:jc w:val="both"/>
              <w:rPr>
                <w:rFonts w:ascii="等线" w:hAnsi="等线" w:eastAsia="等线"/>
                <w:color w:val="000000"/>
                <w:szCs w:val="21"/>
              </w:rPr>
            </w:pPr>
          </w:p>
        </w:tc>
      </w:tr>
    </w:tbl>
    <w:p>
      <w:pPr>
        <w:snapToGrid w:val="0"/>
        <w:spacing w:before="312" w:line="500" w:lineRule="atLeast"/>
        <w:jc w:val="both"/>
        <w:rPr>
          <w:rFonts w:ascii="等线" w:hAnsi="等线" w:eastAsia="等线"/>
          <w:color w:val="000000"/>
          <w:sz w:val="28"/>
          <w:szCs w:val="28"/>
          <w:u w:val="single"/>
        </w:rPr>
      </w:pPr>
      <w:r>
        <w:rPr>
          <w:rFonts w:hint="eastAsia" w:ascii="等线" w:hAnsi="等线" w:eastAsia="等线"/>
          <w:color w:val="000000"/>
          <w:sz w:val="28"/>
          <w:szCs w:val="28"/>
        </w:rPr>
        <w:t>推荐作品公示地址：</w:t>
      </w:r>
      <w:r>
        <w:rPr>
          <w:rFonts w:hint="eastAsia" w:ascii="等线" w:hAnsi="等线" w:eastAsia="等线"/>
          <w:color w:val="000000"/>
          <w:sz w:val="28"/>
          <w:szCs w:val="28"/>
          <w:u w:val="single"/>
        </w:rPr>
        <w:t xml:space="preserve">                                                                                      </w:t>
      </w:r>
    </w:p>
    <w:p>
      <w:pPr>
        <w:snapToGrid w:val="0"/>
        <w:spacing w:line="500" w:lineRule="atLeast"/>
        <w:jc w:val="both"/>
        <w:rPr>
          <w:rFonts w:ascii="仿宋_GB2312" w:hAnsi="仿宋_GB2312" w:eastAsia="仿宋_GB2312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/>
          <w:color w:val="000000"/>
          <w:szCs w:val="21"/>
        </w:rPr>
        <w:t>注意：完成所有参评作品网报后系统自动生成此表，打印出来并加盖推荐单位具法人效力的公章</w:t>
      </w:r>
    </w:p>
    <w:p>
      <w:pPr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FA37E"/>
    <w:multiLevelType w:val="singleLevel"/>
    <w:tmpl w:val="520FA37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2023-11-02T06:48:00Z</dcterms:created>
  <dc:creator>vnlo</dc:creator>
  <cp:lastModifiedBy>iPhone</cp:lastModifiedBy>
  <dcterms:modified xsi:type="dcterms:W3CDTF">2023-12-16T20:24:11Z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B3D0FEC6D4E5B1226FB47965242244D3_43</vt:lpwstr>
  </property>
</Properties>
</file>