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9969">
      <w:pPr>
        <w:spacing w:line="440" w:lineRule="exact"/>
        <w:rPr>
          <w:rFonts w:hint="eastAsia" w:ascii="宋体" w:hAnsi="宋体" w:eastAsia="宋体" w:cs="宋体"/>
          <w:b/>
          <w:sz w:val="28"/>
          <w:szCs w:val="30"/>
          <w:highlight w:val="none"/>
          <w:lang w:val="en-US" w:eastAsia="zh-CN"/>
        </w:rPr>
      </w:pPr>
      <w:r>
        <w:rPr>
          <w:rFonts w:hint="eastAsia" w:ascii="宋体" w:hAnsi="宋体" w:cs="宋体"/>
          <w:b/>
          <w:sz w:val="28"/>
          <w:szCs w:val="30"/>
          <w:highlight w:val="none"/>
          <w:lang w:val="en-US" w:eastAsia="zh-CN"/>
        </w:rPr>
        <w:t>项目</w:t>
      </w:r>
      <w:r>
        <w:rPr>
          <w:rFonts w:hint="eastAsia" w:ascii="宋体" w:hAnsi="宋体" w:eastAsia="宋体" w:cs="宋体"/>
          <w:b/>
          <w:sz w:val="28"/>
          <w:szCs w:val="30"/>
          <w:highlight w:val="none"/>
        </w:rPr>
        <w:t>编号：</w:t>
      </w:r>
      <w:r>
        <w:rPr>
          <w:rFonts w:hint="eastAsia" w:ascii="宋体" w:hAnsi="宋体" w:cs="宋体"/>
          <w:b/>
          <w:sz w:val="28"/>
          <w:szCs w:val="30"/>
          <w:highlight w:val="none"/>
          <w:lang w:eastAsia="zh-CN"/>
        </w:rPr>
        <w:t>JC-202509005</w:t>
      </w:r>
    </w:p>
    <w:p w14:paraId="4299F228">
      <w:pPr>
        <w:spacing w:line="360" w:lineRule="auto"/>
        <w:ind w:firstLine="560"/>
        <w:rPr>
          <w:rFonts w:hint="eastAsia" w:ascii="宋体" w:hAnsi="宋体" w:eastAsia="宋体" w:cs="宋体"/>
          <w:sz w:val="28"/>
          <w:szCs w:val="28"/>
          <w:highlight w:val="none"/>
        </w:rPr>
      </w:pPr>
    </w:p>
    <w:p w14:paraId="0BAFE084">
      <w:pPr>
        <w:spacing w:line="360" w:lineRule="auto"/>
        <w:ind w:firstLine="560"/>
        <w:rPr>
          <w:rFonts w:hint="eastAsia" w:ascii="宋体" w:hAnsi="宋体" w:eastAsia="宋体" w:cs="宋体"/>
          <w:sz w:val="28"/>
          <w:szCs w:val="28"/>
          <w:highlight w:val="none"/>
        </w:rPr>
      </w:pPr>
    </w:p>
    <w:p w14:paraId="6F763D65">
      <w:pPr>
        <w:spacing w:line="360" w:lineRule="auto"/>
        <w:ind w:firstLine="560"/>
        <w:rPr>
          <w:rFonts w:hint="eastAsia" w:ascii="宋体" w:hAnsi="宋体" w:eastAsia="宋体" w:cs="宋体"/>
          <w:b/>
          <w:szCs w:val="21"/>
          <w:highlight w:val="none"/>
          <w:u w:val="single"/>
        </w:rPr>
      </w:pPr>
    </w:p>
    <w:p w14:paraId="2FACAB69">
      <w:pPr>
        <w:spacing w:after="120" w:line="360" w:lineRule="atLeast"/>
        <w:jc w:val="center"/>
        <w:rPr>
          <w:rFonts w:hint="eastAsia" w:ascii="宋体" w:hAnsi="宋体" w:eastAsia="宋体" w:cs="宋体"/>
          <w:b/>
          <w:sz w:val="32"/>
          <w:szCs w:val="32"/>
          <w:highlight w:val="none"/>
          <w:u w:val="single"/>
          <w:lang w:eastAsia="zh-CN"/>
        </w:rPr>
      </w:pPr>
      <w:r>
        <w:rPr>
          <w:rFonts w:hint="eastAsia" w:ascii="宋体" w:hAnsi="宋体" w:cs="宋体"/>
          <w:b/>
          <w:sz w:val="32"/>
          <w:szCs w:val="32"/>
          <w:highlight w:val="none"/>
          <w:u w:val="single"/>
          <w:lang w:eastAsia="zh-CN"/>
        </w:rPr>
        <w:t>十五运定制化媒体包物资综合保障采购项目</w:t>
      </w:r>
    </w:p>
    <w:p w14:paraId="077C67CC">
      <w:pPr>
        <w:jc w:val="center"/>
        <w:rPr>
          <w:rFonts w:hint="eastAsia" w:ascii="宋体" w:hAnsi="宋体" w:eastAsia="宋体" w:cs="宋体"/>
          <w:b/>
          <w:szCs w:val="21"/>
          <w:highlight w:val="none"/>
          <w:u w:val="single"/>
        </w:rPr>
      </w:pPr>
    </w:p>
    <w:p w14:paraId="0E13C61B">
      <w:pPr>
        <w:spacing w:after="120" w:line="360" w:lineRule="atLeas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询价文件</w:t>
      </w:r>
    </w:p>
    <w:p w14:paraId="2968F998">
      <w:pPr>
        <w:spacing w:after="120" w:line="360" w:lineRule="atLeast"/>
        <w:jc w:val="center"/>
        <w:rPr>
          <w:rFonts w:hint="eastAsia" w:ascii="宋体" w:hAnsi="宋体" w:eastAsia="宋体" w:cs="宋体"/>
          <w:b/>
          <w:sz w:val="32"/>
          <w:szCs w:val="32"/>
          <w:highlight w:val="none"/>
        </w:rPr>
      </w:pPr>
    </w:p>
    <w:p w14:paraId="62AB7E48">
      <w:pPr>
        <w:spacing w:after="120" w:line="360" w:lineRule="atLeast"/>
        <w:jc w:val="center"/>
        <w:rPr>
          <w:rFonts w:hint="eastAsia" w:ascii="宋体" w:hAnsi="宋体" w:eastAsia="宋体" w:cs="宋体"/>
          <w:b/>
          <w:sz w:val="32"/>
          <w:szCs w:val="32"/>
          <w:highlight w:val="none"/>
        </w:rPr>
      </w:pPr>
    </w:p>
    <w:p w14:paraId="46DFDCDA">
      <w:pPr>
        <w:spacing w:after="120" w:line="360" w:lineRule="atLeast"/>
        <w:jc w:val="center"/>
        <w:rPr>
          <w:rFonts w:hint="eastAsia" w:ascii="宋体" w:hAnsi="宋体" w:eastAsia="宋体" w:cs="宋体"/>
          <w:b/>
          <w:sz w:val="32"/>
          <w:szCs w:val="32"/>
          <w:highlight w:val="none"/>
        </w:rPr>
      </w:pPr>
    </w:p>
    <w:p w14:paraId="2A5B9154">
      <w:pPr>
        <w:spacing w:after="120" w:line="360" w:lineRule="atLeast"/>
        <w:jc w:val="center"/>
        <w:rPr>
          <w:rFonts w:hint="eastAsia" w:ascii="宋体" w:hAnsi="宋体" w:eastAsia="宋体" w:cs="宋体"/>
          <w:b/>
          <w:sz w:val="32"/>
          <w:szCs w:val="32"/>
          <w:highlight w:val="none"/>
        </w:rPr>
      </w:pPr>
    </w:p>
    <w:p w14:paraId="7967C178">
      <w:pPr>
        <w:spacing w:after="120" w:line="360" w:lineRule="atLeast"/>
        <w:jc w:val="center"/>
        <w:rPr>
          <w:rFonts w:hint="eastAsia" w:ascii="宋体" w:hAnsi="宋体" w:eastAsia="宋体" w:cs="宋体"/>
          <w:b/>
          <w:sz w:val="32"/>
          <w:szCs w:val="32"/>
          <w:highlight w:val="none"/>
        </w:rPr>
      </w:pPr>
    </w:p>
    <w:p w14:paraId="7051DB16">
      <w:pPr>
        <w:spacing w:line="600" w:lineRule="exact"/>
        <w:ind w:firstLine="840" w:firstLineChars="350"/>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采购人：今日（广东）国际传播有限公司</w:t>
      </w:r>
    </w:p>
    <w:p w14:paraId="74127B31">
      <w:pPr>
        <w:spacing w:line="600" w:lineRule="exact"/>
        <w:ind w:firstLine="840" w:firstLineChars="350"/>
        <w:jc w:val="center"/>
        <w:rPr>
          <w:rFonts w:hint="eastAsia" w:ascii="宋体" w:hAnsi="宋体" w:eastAsia="宋体" w:cs="宋体"/>
          <w:b/>
          <w:sz w:val="24"/>
          <w:highlight w:val="none"/>
        </w:rPr>
      </w:pPr>
      <w:r>
        <w:rPr>
          <w:rFonts w:hint="eastAsia" w:ascii="宋体" w:hAnsi="宋体" w:eastAsia="宋体" w:cs="宋体"/>
          <w:b/>
          <w:sz w:val="24"/>
          <w:highlight w:val="none"/>
        </w:rPr>
        <w:t>202</w:t>
      </w:r>
      <w:r>
        <w:rPr>
          <w:rFonts w:hint="eastAsia" w:ascii="宋体" w:hAnsi="宋体" w:cs="宋体"/>
          <w:b/>
          <w:sz w:val="24"/>
          <w:highlight w:val="none"/>
          <w:lang w:val="en-US" w:eastAsia="zh-CN"/>
        </w:rPr>
        <w:t>5</w:t>
      </w:r>
      <w:r>
        <w:rPr>
          <w:rFonts w:hint="eastAsia" w:ascii="宋体" w:hAnsi="宋体" w:eastAsia="宋体" w:cs="宋体"/>
          <w:b/>
          <w:sz w:val="24"/>
          <w:highlight w:val="none"/>
        </w:rPr>
        <w:t>年</w:t>
      </w:r>
      <w:r>
        <w:rPr>
          <w:rFonts w:hint="eastAsia" w:ascii="宋体" w:hAnsi="宋体" w:cs="宋体"/>
          <w:b/>
          <w:sz w:val="24"/>
          <w:highlight w:val="none"/>
          <w:lang w:val="en-US" w:eastAsia="zh-CN"/>
        </w:rPr>
        <w:t>10</w:t>
      </w:r>
      <w:r>
        <w:rPr>
          <w:rFonts w:hint="eastAsia" w:ascii="宋体" w:hAnsi="宋体" w:eastAsia="宋体" w:cs="宋体"/>
          <w:b/>
          <w:sz w:val="24"/>
          <w:highlight w:val="none"/>
        </w:rPr>
        <w:t>月</w:t>
      </w:r>
    </w:p>
    <w:p w14:paraId="59E0CAA6">
      <w:pPr>
        <w:spacing w:line="600" w:lineRule="exact"/>
        <w:ind w:firstLine="840" w:firstLineChars="350"/>
        <w:jc w:val="center"/>
        <w:rPr>
          <w:rFonts w:hint="eastAsia" w:ascii="宋体" w:hAnsi="宋体" w:eastAsia="宋体" w:cs="宋体"/>
          <w:b/>
          <w:sz w:val="24"/>
          <w:highlight w:val="none"/>
        </w:rPr>
        <w:sectPr>
          <w:headerReference r:id="rId4"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AndChars" w:linePitch="380" w:charSpace="0"/>
        </w:sectPr>
      </w:pPr>
    </w:p>
    <w:p w14:paraId="1AB43637">
      <w:pPr>
        <w:spacing w:after="120" w:line="36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目  录</w:t>
      </w:r>
    </w:p>
    <w:p w14:paraId="14BB7BCB">
      <w:pPr>
        <w:pStyle w:val="29"/>
        <w:tabs>
          <w:tab w:val="right" w:leader="dot" w:pos="8504"/>
          <w:tab w:val="clear" w:pos="426"/>
          <w:tab w:val="clear" w:pos="709"/>
          <w:tab w:val="clear" w:pos="8505"/>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TOC \o "1-3" \h \z \u </w:instrText>
      </w:r>
      <w:r>
        <w:rPr>
          <w:rFonts w:hint="eastAsia" w:ascii="宋体" w:hAnsi="宋体" w:eastAsia="宋体" w:cs="宋体"/>
          <w:bCs/>
          <w:szCs w:val="21"/>
          <w:highlight w:val="none"/>
        </w:rPr>
        <w:fldChar w:fldCharType="separate"/>
      </w: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_Toc21434 </w:instrText>
      </w:r>
      <w:r>
        <w:rPr>
          <w:rFonts w:hint="eastAsia" w:ascii="宋体" w:hAnsi="宋体" w:eastAsia="宋体" w:cs="宋体"/>
          <w:bCs/>
          <w:szCs w:val="21"/>
          <w:highlight w:val="none"/>
        </w:rPr>
        <w:fldChar w:fldCharType="separate"/>
      </w:r>
      <w:r>
        <w:rPr>
          <w:rFonts w:hint="eastAsia" w:ascii="宋体" w:hAnsi="宋体" w:eastAsia="宋体" w:cs="宋体"/>
          <w:bCs w:val="0"/>
          <w:kern w:val="0"/>
          <w:szCs w:val="36"/>
          <w:highlight w:val="none"/>
        </w:rPr>
        <w:t>第一章 采购公告</w:t>
      </w:r>
      <w:r>
        <w:tab/>
      </w:r>
      <w:r>
        <w:fldChar w:fldCharType="begin"/>
      </w:r>
      <w:r>
        <w:instrText xml:space="preserve"> PAGEREF _Toc21434 \h </w:instrText>
      </w:r>
      <w:r>
        <w:fldChar w:fldCharType="separate"/>
      </w:r>
      <w:r>
        <w:t>3</w:t>
      </w:r>
      <w:r>
        <w:fldChar w:fldCharType="end"/>
      </w:r>
      <w:r>
        <w:rPr>
          <w:rFonts w:hint="eastAsia" w:ascii="宋体" w:hAnsi="宋体" w:eastAsia="宋体" w:cs="宋体"/>
          <w:bCs/>
          <w:szCs w:val="21"/>
          <w:highlight w:val="none"/>
        </w:rPr>
        <w:fldChar w:fldCharType="end"/>
      </w:r>
    </w:p>
    <w:p w14:paraId="422EA1DC">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_Toc1728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第二章 供应商须知</w:t>
      </w:r>
      <w:r>
        <w:tab/>
      </w:r>
      <w:r>
        <w:fldChar w:fldCharType="begin"/>
      </w:r>
      <w:r>
        <w:instrText xml:space="preserve"> PAGEREF _Toc1728 \h </w:instrText>
      </w:r>
      <w:r>
        <w:fldChar w:fldCharType="separate"/>
      </w:r>
      <w:r>
        <w:t>5</w:t>
      </w:r>
      <w:r>
        <w:fldChar w:fldCharType="end"/>
      </w:r>
      <w:r>
        <w:rPr>
          <w:rFonts w:hint="eastAsia" w:ascii="宋体" w:hAnsi="宋体" w:eastAsia="宋体" w:cs="宋体"/>
          <w:szCs w:val="21"/>
          <w:highlight w:val="none"/>
        </w:rPr>
        <w:fldChar w:fldCharType="end"/>
      </w:r>
    </w:p>
    <w:p w14:paraId="7A9C3B52">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_Toc5458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rPr>
        <w:t xml:space="preserve">第三章 </w:t>
      </w:r>
      <w:r>
        <w:rPr>
          <w:rFonts w:hint="eastAsia" w:ascii="宋体" w:hAnsi="宋体" w:eastAsia="宋体" w:cs="宋体"/>
          <w:bCs w:val="0"/>
          <w:kern w:val="0"/>
          <w:szCs w:val="28"/>
          <w:highlight w:val="none"/>
        </w:rPr>
        <w:t>评审办法</w:t>
      </w:r>
      <w:r>
        <w:tab/>
      </w:r>
      <w:r>
        <w:fldChar w:fldCharType="begin"/>
      </w:r>
      <w:r>
        <w:instrText xml:space="preserve"> PAGEREF _Toc5458 \h </w:instrText>
      </w:r>
      <w:r>
        <w:fldChar w:fldCharType="separate"/>
      </w:r>
      <w:r>
        <w:t>6</w:t>
      </w:r>
      <w:r>
        <w:fldChar w:fldCharType="end"/>
      </w:r>
      <w:r>
        <w:rPr>
          <w:rFonts w:hint="eastAsia" w:ascii="宋体" w:hAnsi="宋体" w:eastAsia="宋体" w:cs="宋体"/>
          <w:szCs w:val="21"/>
          <w:highlight w:val="none"/>
        </w:rPr>
        <w:fldChar w:fldCharType="end"/>
      </w:r>
    </w:p>
    <w:p w14:paraId="79BABDC1">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_Toc23450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评审办法前附表</w:t>
      </w:r>
      <w:r>
        <w:tab/>
      </w:r>
      <w:r>
        <w:fldChar w:fldCharType="begin"/>
      </w:r>
      <w:r>
        <w:instrText xml:space="preserve"> PAGEREF _Toc23450 \h </w:instrText>
      </w:r>
      <w:r>
        <w:fldChar w:fldCharType="separate"/>
      </w:r>
      <w:r>
        <w:t>6</w:t>
      </w:r>
      <w:r>
        <w:fldChar w:fldCharType="end"/>
      </w:r>
      <w:r>
        <w:rPr>
          <w:rFonts w:hint="eastAsia" w:ascii="宋体" w:hAnsi="宋体" w:eastAsia="宋体" w:cs="宋体"/>
          <w:szCs w:val="21"/>
          <w:highlight w:val="none"/>
        </w:rPr>
        <w:fldChar w:fldCharType="end"/>
      </w:r>
    </w:p>
    <w:p w14:paraId="71B14B2F">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_Toc14324 </w:instrText>
      </w:r>
      <w:r>
        <w:rPr>
          <w:rFonts w:hint="eastAsia" w:ascii="宋体" w:hAnsi="宋体" w:eastAsia="宋体" w:cs="宋体"/>
          <w:szCs w:val="21"/>
          <w:highlight w:val="none"/>
        </w:rPr>
        <w:fldChar w:fldCharType="separate"/>
      </w:r>
      <w:r>
        <w:rPr>
          <w:rFonts w:hint="eastAsia" w:ascii="宋体" w:hAnsi="宋体" w:eastAsia="宋体" w:cs="宋体"/>
          <w:highlight w:val="none"/>
        </w:rPr>
        <w:t>评审程序</w:t>
      </w:r>
      <w:r>
        <w:tab/>
      </w:r>
      <w:r>
        <w:fldChar w:fldCharType="begin"/>
      </w:r>
      <w:r>
        <w:instrText xml:space="preserve"> PAGEREF _Toc14324 \h </w:instrText>
      </w:r>
      <w:r>
        <w:fldChar w:fldCharType="separate"/>
      </w:r>
      <w:r>
        <w:t>6</w:t>
      </w:r>
      <w:r>
        <w:fldChar w:fldCharType="end"/>
      </w:r>
      <w:r>
        <w:rPr>
          <w:rFonts w:hint="eastAsia" w:ascii="宋体" w:hAnsi="宋体" w:eastAsia="宋体" w:cs="宋体"/>
          <w:szCs w:val="21"/>
          <w:highlight w:val="none"/>
        </w:rPr>
        <w:fldChar w:fldCharType="end"/>
      </w:r>
    </w:p>
    <w:p w14:paraId="462561D5">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_Toc17860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lang w:val="en-US" w:eastAsia="zh-CN"/>
        </w:rPr>
        <w:t>评分标准表</w:t>
      </w:r>
      <w:r>
        <w:tab/>
      </w:r>
      <w:r>
        <w:fldChar w:fldCharType="begin"/>
      </w:r>
      <w:r>
        <w:instrText xml:space="preserve"> PAGEREF _Toc17860 \h </w:instrText>
      </w:r>
      <w:r>
        <w:fldChar w:fldCharType="separate"/>
      </w:r>
      <w:r>
        <w:t>9</w:t>
      </w:r>
      <w:r>
        <w:fldChar w:fldCharType="end"/>
      </w:r>
      <w:r>
        <w:rPr>
          <w:rFonts w:hint="eastAsia" w:ascii="宋体" w:hAnsi="宋体" w:eastAsia="宋体" w:cs="宋体"/>
          <w:szCs w:val="21"/>
          <w:highlight w:val="none"/>
        </w:rPr>
        <w:fldChar w:fldCharType="end"/>
      </w:r>
    </w:p>
    <w:p w14:paraId="71BBFAD7">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_Toc25200 </w:instrText>
      </w:r>
      <w:r>
        <w:rPr>
          <w:rFonts w:hint="eastAsia" w:ascii="宋体" w:hAnsi="宋体" w:eastAsia="宋体" w:cs="宋体"/>
          <w:szCs w:val="21"/>
          <w:highlight w:val="none"/>
        </w:rPr>
        <w:fldChar w:fldCharType="separate"/>
      </w:r>
      <w:r>
        <w:rPr>
          <w:rFonts w:hint="eastAsia" w:ascii="宋体" w:hAnsi="宋体" w:eastAsia="宋体" w:cs="宋体"/>
          <w:spacing w:val="-5"/>
          <w:kern w:val="2"/>
          <w:szCs w:val="28"/>
          <w:lang w:val="en-US" w:eastAsia="zh-CN" w:bidi="ar-SA"/>
        </w:rPr>
        <w:t>（1）</w:t>
      </w:r>
      <w:r>
        <w:rPr>
          <w:rFonts w:hint="eastAsia" w:ascii="宋体" w:hAnsi="宋体" w:eastAsia="宋体" w:cs="宋体"/>
          <w:bCs w:val="0"/>
          <w:spacing w:val="-3"/>
          <w:szCs w:val="28"/>
          <w14:textOutline w14:w="5103" w14:cap="sq" w14:cmpd="sng">
            <w14:solidFill>
              <w14:srgbClr w14:val="000000"/>
            </w14:solidFill>
            <w14:prstDash w14:val="solid"/>
            <w14:bevel/>
          </w14:textOutline>
        </w:rPr>
        <w:t>分权值</w:t>
      </w:r>
      <w:r>
        <w:rPr>
          <w:rFonts w:hint="eastAsia" w:ascii="宋体" w:hAnsi="宋体" w:eastAsia="宋体" w:cs="宋体"/>
          <w:bCs w:val="0"/>
          <w:spacing w:val="-3"/>
          <w:szCs w:val="28"/>
          <w:lang w:eastAsia="zh-CN"/>
          <w14:textOutline w14:w="5103" w14:cap="sq" w14:cmpd="sng">
            <w14:solidFill>
              <w14:srgbClr w14:val="000000"/>
            </w14:solidFill>
            <w14:prstDash w14:val="solid"/>
            <w14:bevel/>
          </w14:textOutline>
        </w:rPr>
        <w:t>：</w:t>
      </w:r>
      <w:r>
        <w:rPr>
          <w:rFonts w:hint="eastAsia" w:ascii="宋体" w:hAnsi="宋体" w:eastAsia="宋体" w:cs="宋体"/>
          <w:bCs w:val="0"/>
          <w:spacing w:val="-5"/>
          <w:szCs w:val="28"/>
        </w:rPr>
        <w:t>总分为</w:t>
      </w:r>
      <w:r>
        <w:rPr>
          <w:rFonts w:hint="eastAsia" w:ascii="宋体" w:hAnsi="宋体" w:eastAsia="宋体" w:cs="宋体"/>
          <w:bCs w:val="0"/>
          <w:spacing w:val="-37"/>
          <w:szCs w:val="28"/>
        </w:rPr>
        <w:t xml:space="preserve"> </w:t>
      </w:r>
      <w:r>
        <w:rPr>
          <w:rFonts w:hint="eastAsia" w:ascii="宋体" w:hAnsi="宋体" w:eastAsia="宋体" w:cs="宋体"/>
          <w:bCs w:val="0"/>
          <w:spacing w:val="-5"/>
          <w:szCs w:val="28"/>
        </w:rPr>
        <w:t>100</w:t>
      </w:r>
      <w:r>
        <w:rPr>
          <w:rFonts w:hint="eastAsia" w:ascii="宋体" w:hAnsi="宋体" w:eastAsia="宋体" w:cs="宋体"/>
          <w:bCs w:val="0"/>
          <w:spacing w:val="-48"/>
          <w:szCs w:val="28"/>
        </w:rPr>
        <w:t xml:space="preserve"> </w:t>
      </w:r>
      <w:r>
        <w:rPr>
          <w:rFonts w:hint="eastAsia" w:ascii="宋体" w:hAnsi="宋体" w:eastAsia="宋体" w:cs="宋体"/>
          <w:bCs w:val="0"/>
          <w:spacing w:val="-5"/>
          <w:szCs w:val="28"/>
        </w:rPr>
        <w:t>分，</w:t>
      </w:r>
      <w:r>
        <w:rPr>
          <w:rFonts w:hint="eastAsia" w:ascii="宋体" w:hAnsi="宋体" w:eastAsia="宋体" w:cs="宋体"/>
          <w:spacing w:val="-5"/>
          <w:szCs w:val="28"/>
        </w:rPr>
        <w:t>评分分值分配如下：</w:t>
      </w:r>
      <w:r>
        <w:tab/>
      </w:r>
      <w:r>
        <w:fldChar w:fldCharType="begin"/>
      </w:r>
      <w:r>
        <w:instrText xml:space="preserve"> PAGEREF _Toc25200 \h </w:instrText>
      </w:r>
      <w:r>
        <w:fldChar w:fldCharType="separate"/>
      </w:r>
      <w:r>
        <w:t>9</w:t>
      </w:r>
      <w:r>
        <w:fldChar w:fldCharType="end"/>
      </w:r>
      <w:r>
        <w:rPr>
          <w:rFonts w:hint="eastAsia" w:ascii="宋体" w:hAnsi="宋体" w:eastAsia="宋体" w:cs="宋体"/>
          <w:szCs w:val="21"/>
          <w:highlight w:val="none"/>
        </w:rPr>
        <w:fldChar w:fldCharType="end"/>
      </w:r>
    </w:p>
    <w:p w14:paraId="085F7C0C">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_Toc28167 </w:instrText>
      </w:r>
      <w:r>
        <w:rPr>
          <w:rFonts w:hint="eastAsia" w:ascii="宋体" w:hAnsi="宋体" w:eastAsia="宋体" w:cs="宋体"/>
          <w:szCs w:val="21"/>
          <w:highlight w:val="none"/>
        </w:rPr>
        <w:fldChar w:fldCharType="separate"/>
      </w:r>
      <w:r>
        <w:rPr>
          <w:rFonts w:hint="eastAsia" w:ascii="宋体" w:hAnsi="宋体" w:eastAsia="宋体" w:cs="宋体"/>
          <w:spacing w:val="-3"/>
          <w:kern w:val="2"/>
          <w:szCs w:val="28"/>
          <w:lang w:val="en-US" w:eastAsia="zh-CN" w:bidi="ar-SA"/>
          <w14:textOutline w14:w="5103" w14:cap="sq" w14:cmpd="sng">
            <w14:solidFill>
              <w14:srgbClr w14:val="000000"/>
            </w14:solidFill>
            <w14:prstDash w14:val="solid"/>
            <w14:bevel/>
          </w14:textOutline>
        </w:rPr>
        <w:t>（2）</w:t>
      </w:r>
      <w:r>
        <w:rPr>
          <w:rFonts w:hint="eastAsia" w:ascii="宋体" w:hAnsi="宋体" w:eastAsia="宋体" w:cs="宋体"/>
          <w:spacing w:val="-3"/>
          <w:szCs w:val="28"/>
          <w:lang w:val="en-US" w:eastAsia="zh-CN"/>
          <w14:textOutline w14:w="5103" w14:cap="sq" w14:cmpd="sng">
            <w14:solidFill>
              <w14:srgbClr w14:val="000000"/>
            </w14:solidFill>
            <w14:prstDash w14:val="solid"/>
            <w14:bevel/>
          </w14:textOutline>
        </w:rPr>
        <w:t>商务评分表</w:t>
      </w:r>
      <w:r>
        <w:rPr>
          <w:rFonts w:hint="eastAsia" w:ascii="宋体" w:hAnsi="宋体" w:eastAsia="宋体" w:cs="宋体"/>
          <w:spacing w:val="-3"/>
          <w:szCs w:val="28"/>
          <w:lang w:eastAsia="zh-CN"/>
          <w14:textOutline w14:w="5103" w14:cap="sq" w14:cmpd="sng">
            <w14:solidFill>
              <w14:srgbClr w14:val="000000"/>
            </w14:solidFill>
            <w14:prstDash w14:val="solid"/>
            <w14:bevel/>
          </w14:textOutline>
        </w:rPr>
        <w:t>：</w:t>
      </w:r>
      <w:r>
        <w:tab/>
      </w:r>
      <w:r>
        <w:fldChar w:fldCharType="begin"/>
      </w:r>
      <w:r>
        <w:instrText xml:space="preserve"> PAGEREF _Toc28167 \h </w:instrText>
      </w:r>
      <w:r>
        <w:fldChar w:fldCharType="separate"/>
      </w:r>
      <w:r>
        <w:t>9</w:t>
      </w:r>
      <w:r>
        <w:fldChar w:fldCharType="end"/>
      </w:r>
      <w:r>
        <w:rPr>
          <w:rFonts w:hint="eastAsia" w:ascii="宋体" w:hAnsi="宋体" w:eastAsia="宋体" w:cs="宋体"/>
          <w:szCs w:val="21"/>
          <w:highlight w:val="none"/>
        </w:rPr>
        <w:fldChar w:fldCharType="end"/>
      </w:r>
    </w:p>
    <w:p w14:paraId="69003AAB">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_Toc19105 </w:instrText>
      </w:r>
      <w:r>
        <w:rPr>
          <w:rFonts w:hint="eastAsia" w:ascii="宋体" w:hAnsi="宋体" w:eastAsia="宋体" w:cs="宋体"/>
          <w:szCs w:val="21"/>
          <w:highlight w:val="none"/>
        </w:rPr>
        <w:fldChar w:fldCharType="separate"/>
      </w:r>
      <w:r>
        <w:rPr>
          <w:rFonts w:hint="eastAsia" w:ascii="宋体" w:hAnsi="宋体" w:eastAsia="宋体" w:cs="宋体"/>
          <w:spacing w:val="-3"/>
          <w:kern w:val="2"/>
          <w:szCs w:val="28"/>
          <w:lang w:val="en-US" w:eastAsia="zh-CN" w:bidi="ar-SA"/>
          <w14:textOutline w14:w="5103" w14:cap="sq" w14:cmpd="sng">
            <w14:solidFill>
              <w14:srgbClr w14:val="000000"/>
            </w14:solidFill>
            <w14:prstDash w14:val="solid"/>
            <w14:bevel/>
          </w14:textOutline>
        </w:rPr>
        <w:t>（3）</w:t>
      </w:r>
      <w:r>
        <w:rPr>
          <w:rFonts w:hint="eastAsia" w:ascii="宋体" w:hAnsi="宋体" w:eastAsia="宋体" w:cs="宋体"/>
          <w:spacing w:val="-3"/>
          <w:szCs w:val="28"/>
          <w:lang w:val="en-US" w:eastAsia="zh-CN"/>
          <w14:textOutline w14:w="5103" w14:cap="sq" w14:cmpd="sng">
            <w14:solidFill>
              <w14:srgbClr w14:val="000000"/>
            </w14:solidFill>
            <w14:prstDash w14:val="solid"/>
            <w14:bevel/>
          </w14:textOutline>
        </w:rPr>
        <w:t>技术评分表</w:t>
      </w:r>
      <w:r>
        <w:rPr>
          <w:rFonts w:hint="eastAsia" w:ascii="宋体" w:hAnsi="宋体" w:eastAsia="宋体" w:cs="宋体"/>
          <w:spacing w:val="-3"/>
          <w:szCs w:val="28"/>
          <w:lang w:eastAsia="zh-CN"/>
          <w14:textOutline w14:w="5103" w14:cap="sq" w14:cmpd="sng">
            <w14:solidFill>
              <w14:srgbClr w14:val="000000"/>
            </w14:solidFill>
            <w14:prstDash w14:val="solid"/>
            <w14:bevel/>
          </w14:textOutline>
        </w:rPr>
        <w:t>：</w:t>
      </w:r>
      <w:r>
        <w:tab/>
      </w:r>
      <w:r>
        <w:fldChar w:fldCharType="begin"/>
      </w:r>
      <w:r>
        <w:instrText xml:space="preserve"> PAGEREF _Toc19105 \h </w:instrText>
      </w:r>
      <w:r>
        <w:fldChar w:fldCharType="separate"/>
      </w:r>
      <w:r>
        <w:t>10</w:t>
      </w:r>
      <w:r>
        <w:fldChar w:fldCharType="end"/>
      </w:r>
      <w:r>
        <w:rPr>
          <w:rFonts w:hint="eastAsia" w:ascii="宋体" w:hAnsi="宋体" w:eastAsia="宋体" w:cs="宋体"/>
          <w:szCs w:val="21"/>
          <w:highlight w:val="none"/>
        </w:rPr>
        <w:fldChar w:fldCharType="end"/>
      </w:r>
    </w:p>
    <w:p w14:paraId="77B41538">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_Toc2600 </w:instrText>
      </w:r>
      <w:r>
        <w:rPr>
          <w:rFonts w:hint="eastAsia" w:ascii="宋体" w:hAnsi="宋体" w:eastAsia="宋体" w:cs="宋体"/>
          <w:szCs w:val="21"/>
          <w:highlight w:val="none"/>
        </w:rPr>
        <w:fldChar w:fldCharType="separate"/>
      </w:r>
      <w:r>
        <w:rPr>
          <w:rFonts w:hint="eastAsia" w:ascii="宋体" w:hAnsi="宋体" w:eastAsia="宋体" w:cs="宋体"/>
          <w:spacing w:val="-3"/>
          <w:szCs w:val="28"/>
          <w14:textOutline w14:w="5103" w14:cap="sq" w14:cmpd="sng">
            <w14:solidFill>
              <w14:srgbClr w14:val="000000"/>
            </w14:solidFill>
            <w14:prstDash w14:val="solid"/>
            <w14:bevel/>
          </w14:textOutline>
        </w:rPr>
        <w:t>（</w:t>
      </w:r>
      <w:r>
        <w:rPr>
          <w:rFonts w:hint="eastAsia" w:ascii="宋体" w:hAnsi="宋体" w:eastAsia="宋体" w:cs="宋体"/>
          <w:spacing w:val="-3"/>
          <w:szCs w:val="28"/>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3"/>
          <w:szCs w:val="28"/>
          <w14:textOutline w14:w="5103" w14:cap="sq" w14:cmpd="sng">
            <w14:solidFill>
              <w14:srgbClr w14:val="000000"/>
            </w14:solidFill>
            <w14:prstDash w14:val="solid"/>
            <w14:bevel/>
          </w14:textOutline>
        </w:rPr>
        <w:t>）</w:t>
      </w:r>
      <w:r>
        <w:rPr>
          <w:rFonts w:hint="eastAsia" w:ascii="宋体" w:hAnsi="宋体" w:eastAsia="宋体" w:cs="宋体"/>
          <w:spacing w:val="-3"/>
          <w:szCs w:val="28"/>
          <w:lang w:val="en-US" w:eastAsia="zh-CN"/>
          <w14:textOutline w14:w="5103" w14:cap="sq" w14:cmpd="sng">
            <w14:solidFill>
              <w14:srgbClr w14:val="000000"/>
            </w14:solidFill>
            <w14:prstDash w14:val="solid"/>
            <w14:bevel/>
          </w14:textOutline>
        </w:rPr>
        <w:t>价格评分表</w:t>
      </w:r>
      <w:r>
        <w:rPr>
          <w:rFonts w:hint="eastAsia" w:ascii="宋体" w:hAnsi="宋体" w:eastAsia="宋体" w:cs="宋体"/>
          <w:spacing w:val="-3"/>
          <w:szCs w:val="28"/>
          <w:lang w:eastAsia="zh-CN"/>
          <w14:textOutline w14:w="5103" w14:cap="sq" w14:cmpd="sng">
            <w14:solidFill>
              <w14:srgbClr w14:val="000000"/>
            </w14:solidFill>
            <w14:prstDash w14:val="solid"/>
            <w14:bevel/>
          </w14:textOutline>
        </w:rPr>
        <w:t>：</w:t>
      </w:r>
      <w:r>
        <w:tab/>
      </w:r>
      <w:r>
        <w:fldChar w:fldCharType="begin"/>
      </w:r>
      <w:r>
        <w:instrText xml:space="preserve"> PAGEREF _Toc2600 \h </w:instrText>
      </w:r>
      <w:r>
        <w:fldChar w:fldCharType="separate"/>
      </w:r>
      <w:r>
        <w:t>11</w:t>
      </w:r>
      <w:r>
        <w:fldChar w:fldCharType="end"/>
      </w:r>
      <w:r>
        <w:rPr>
          <w:rFonts w:hint="eastAsia" w:ascii="宋体" w:hAnsi="宋体" w:eastAsia="宋体" w:cs="宋体"/>
          <w:szCs w:val="21"/>
          <w:highlight w:val="none"/>
        </w:rPr>
        <w:fldChar w:fldCharType="end"/>
      </w:r>
    </w:p>
    <w:p w14:paraId="442F363D">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_Toc4417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 xml:space="preserve">第四章 </w:t>
      </w:r>
      <w:r>
        <w:rPr>
          <w:rFonts w:hint="eastAsia" w:ascii="宋体" w:hAnsi="宋体" w:eastAsia="宋体" w:cs="宋体"/>
          <w:bCs w:val="0"/>
          <w:kern w:val="0"/>
          <w:szCs w:val="28"/>
          <w:highlight w:val="none"/>
          <w:lang w:val="en-US" w:eastAsia="zh-CN"/>
        </w:rPr>
        <w:t>采购需求书</w:t>
      </w:r>
      <w:r>
        <w:tab/>
      </w:r>
      <w:r>
        <w:fldChar w:fldCharType="begin"/>
      </w:r>
      <w:r>
        <w:instrText xml:space="preserve"> PAGEREF _Toc4417 \h </w:instrText>
      </w:r>
      <w:r>
        <w:fldChar w:fldCharType="separate"/>
      </w:r>
      <w:r>
        <w:t>13</w:t>
      </w:r>
      <w:r>
        <w:fldChar w:fldCharType="end"/>
      </w:r>
      <w:r>
        <w:rPr>
          <w:rFonts w:hint="eastAsia" w:ascii="宋体" w:hAnsi="宋体" w:eastAsia="宋体" w:cs="宋体"/>
          <w:szCs w:val="21"/>
          <w:highlight w:val="none"/>
        </w:rPr>
        <w:fldChar w:fldCharType="end"/>
      </w:r>
    </w:p>
    <w:p w14:paraId="48B51134">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_Toc6617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五</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商务合同</w:t>
      </w:r>
      <w:r>
        <w:tab/>
      </w:r>
      <w:r>
        <w:fldChar w:fldCharType="begin"/>
      </w:r>
      <w:r>
        <w:instrText xml:space="preserve"> PAGEREF _Toc6617 \h </w:instrText>
      </w:r>
      <w:r>
        <w:fldChar w:fldCharType="separate"/>
      </w:r>
      <w:r>
        <w:t>17</w:t>
      </w:r>
      <w:r>
        <w:fldChar w:fldCharType="end"/>
      </w:r>
      <w:r>
        <w:rPr>
          <w:rFonts w:hint="eastAsia" w:ascii="宋体" w:hAnsi="宋体" w:eastAsia="宋体" w:cs="宋体"/>
          <w:szCs w:val="21"/>
          <w:highlight w:val="none"/>
        </w:rPr>
        <w:fldChar w:fldCharType="end"/>
      </w:r>
    </w:p>
    <w:p w14:paraId="647EEB11">
      <w:pPr>
        <w:pStyle w:val="29"/>
        <w:tabs>
          <w:tab w:val="right" w:leader="dot" w:pos="8504"/>
          <w:tab w:val="clear" w:pos="426"/>
          <w:tab w:val="clear" w:pos="709"/>
          <w:tab w:val="clear" w:pos="8505"/>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_Toc6553 </w:instrText>
      </w:r>
      <w:r>
        <w:rPr>
          <w:rFonts w:hint="eastAsia" w:ascii="宋体" w:hAnsi="宋体" w:eastAsia="宋体" w:cs="宋体"/>
          <w:szCs w:val="21"/>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val="en-US" w:eastAsia="zh-CN"/>
        </w:rPr>
        <w:t>六</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val="en-US" w:eastAsia="zh-CN"/>
        </w:rPr>
        <w:t>响应</w:t>
      </w:r>
      <w:r>
        <w:rPr>
          <w:rFonts w:hint="eastAsia" w:ascii="宋体" w:hAnsi="宋体" w:eastAsia="宋体" w:cs="宋体"/>
          <w:bCs w:val="0"/>
          <w:kern w:val="0"/>
          <w:szCs w:val="28"/>
          <w:highlight w:val="none"/>
        </w:rPr>
        <w:t>文件格式</w:t>
      </w:r>
      <w:r>
        <w:tab/>
      </w:r>
      <w:r>
        <w:fldChar w:fldCharType="begin"/>
      </w:r>
      <w:r>
        <w:instrText xml:space="preserve"> PAGEREF _Toc6553 \h </w:instrText>
      </w:r>
      <w:r>
        <w:fldChar w:fldCharType="separate"/>
      </w:r>
      <w:r>
        <w:t>26</w:t>
      </w:r>
      <w:r>
        <w:fldChar w:fldCharType="end"/>
      </w:r>
      <w:r>
        <w:rPr>
          <w:rFonts w:hint="eastAsia" w:ascii="宋体" w:hAnsi="宋体" w:eastAsia="宋体" w:cs="宋体"/>
          <w:szCs w:val="21"/>
          <w:highlight w:val="none"/>
        </w:rPr>
        <w:fldChar w:fldCharType="end"/>
      </w:r>
    </w:p>
    <w:p w14:paraId="012867A4">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_Toc13364 </w:instrText>
      </w:r>
      <w:r>
        <w:rPr>
          <w:rFonts w:hint="eastAsia" w:ascii="宋体" w:hAnsi="宋体" w:eastAsia="宋体" w:cs="宋体"/>
          <w:szCs w:val="21"/>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应答函</w:t>
      </w:r>
      <w:r>
        <w:tab/>
      </w:r>
      <w:r>
        <w:fldChar w:fldCharType="begin"/>
      </w:r>
      <w:r>
        <w:instrText xml:space="preserve"> PAGEREF _Toc13364 \h </w:instrText>
      </w:r>
      <w:r>
        <w:fldChar w:fldCharType="separate"/>
      </w:r>
      <w:r>
        <w:t>27</w:t>
      </w:r>
      <w:r>
        <w:fldChar w:fldCharType="end"/>
      </w:r>
      <w:r>
        <w:rPr>
          <w:rFonts w:hint="eastAsia" w:ascii="宋体" w:hAnsi="宋体" w:eastAsia="宋体" w:cs="宋体"/>
          <w:szCs w:val="21"/>
          <w:highlight w:val="none"/>
        </w:rPr>
        <w:fldChar w:fldCharType="end"/>
      </w:r>
    </w:p>
    <w:p w14:paraId="251547E0">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_Toc9088 </w:instrText>
      </w:r>
      <w:r>
        <w:rPr>
          <w:rFonts w:hint="eastAsia" w:ascii="宋体" w:hAnsi="宋体" w:eastAsia="宋体" w:cs="宋体"/>
          <w:szCs w:val="21"/>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r>
        <w:tab/>
      </w:r>
      <w:r>
        <w:fldChar w:fldCharType="begin"/>
      </w:r>
      <w:r>
        <w:instrText xml:space="preserve"> PAGEREF _Toc9088 \h </w:instrText>
      </w:r>
      <w:r>
        <w:fldChar w:fldCharType="separate"/>
      </w:r>
      <w:r>
        <w:t>28</w:t>
      </w:r>
      <w:r>
        <w:fldChar w:fldCharType="end"/>
      </w:r>
      <w:r>
        <w:rPr>
          <w:rFonts w:hint="eastAsia" w:ascii="宋体" w:hAnsi="宋体" w:eastAsia="宋体" w:cs="宋体"/>
          <w:szCs w:val="21"/>
          <w:highlight w:val="none"/>
        </w:rPr>
        <w:fldChar w:fldCharType="end"/>
      </w:r>
    </w:p>
    <w:p w14:paraId="76B29662">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_Toc12851 </w:instrText>
      </w:r>
      <w:r>
        <w:rPr>
          <w:rFonts w:hint="eastAsia" w:ascii="宋体" w:hAnsi="宋体" w:eastAsia="宋体" w:cs="宋体"/>
          <w:szCs w:val="21"/>
          <w:highlight w:val="none"/>
        </w:rPr>
        <w:fldChar w:fldCharType="separate"/>
      </w:r>
      <w:r>
        <w:rPr>
          <w:rFonts w:hint="eastAsia" w:ascii="宋体" w:hAnsi="宋体" w:eastAsia="宋体" w:cs="宋体"/>
        </w:rPr>
        <w:t xml:space="preserve">三、 </w:t>
      </w:r>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r>
        <w:tab/>
      </w:r>
      <w:r>
        <w:fldChar w:fldCharType="begin"/>
      </w:r>
      <w:r>
        <w:instrText xml:space="preserve"> PAGEREF _Toc12851 \h </w:instrText>
      </w:r>
      <w:r>
        <w:fldChar w:fldCharType="separate"/>
      </w:r>
      <w:r>
        <w:t>29</w:t>
      </w:r>
      <w:r>
        <w:fldChar w:fldCharType="end"/>
      </w:r>
      <w:r>
        <w:rPr>
          <w:rFonts w:hint="eastAsia" w:ascii="宋体" w:hAnsi="宋体" w:eastAsia="宋体" w:cs="宋体"/>
          <w:szCs w:val="21"/>
          <w:highlight w:val="none"/>
        </w:rPr>
        <w:fldChar w:fldCharType="end"/>
      </w:r>
    </w:p>
    <w:p w14:paraId="15EEBD23">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_Toc25220 </w:instrText>
      </w:r>
      <w:r>
        <w:rPr>
          <w:rFonts w:hint="eastAsia" w:ascii="宋体" w:hAnsi="宋体" w:eastAsia="宋体" w:cs="宋体"/>
          <w:szCs w:val="21"/>
          <w:highlight w:val="none"/>
        </w:rPr>
        <w:fldChar w:fldCharType="separate"/>
      </w:r>
      <w:r>
        <w:rPr>
          <w:rFonts w:hint="eastAsia" w:ascii="宋体" w:hAnsi="宋体" w:eastAsia="宋体" w:cs="宋体"/>
        </w:rPr>
        <w:t xml:space="preserve">四、 </w:t>
      </w:r>
      <w:r>
        <w:rPr>
          <w:rFonts w:hint="eastAsia" w:ascii="宋体" w:hAnsi="宋体" w:eastAsia="宋体" w:cs="宋体"/>
          <w:highlight w:val="none"/>
        </w:rPr>
        <w:t>供应商基本情况</w:t>
      </w:r>
      <w:r>
        <w:tab/>
      </w:r>
      <w:r>
        <w:fldChar w:fldCharType="begin"/>
      </w:r>
      <w:r>
        <w:instrText xml:space="preserve"> PAGEREF _Toc25220 \h </w:instrText>
      </w:r>
      <w:r>
        <w:fldChar w:fldCharType="separate"/>
      </w:r>
      <w:r>
        <w:t>30</w:t>
      </w:r>
      <w:r>
        <w:fldChar w:fldCharType="end"/>
      </w:r>
      <w:r>
        <w:rPr>
          <w:rFonts w:hint="eastAsia" w:ascii="宋体" w:hAnsi="宋体" w:eastAsia="宋体" w:cs="宋体"/>
          <w:szCs w:val="21"/>
          <w:highlight w:val="none"/>
        </w:rPr>
        <w:fldChar w:fldCharType="end"/>
      </w:r>
    </w:p>
    <w:p w14:paraId="4D589731">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_Toc9663 </w:instrText>
      </w:r>
      <w:r>
        <w:rPr>
          <w:rFonts w:hint="eastAsia" w:ascii="宋体" w:hAnsi="宋体" w:eastAsia="宋体" w:cs="宋体"/>
          <w:szCs w:val="21"/>
          <w:highlight w:val="none"/>
        </w:rPr>
        <w:fldChar w:fldCharType="separate"/>
      </w:r>
      <w:r>
        <w:rPr>
          <w:rFonts w:hint="eastAsia" w:ascii="宋体" w:hAnsi="宋体" w:eastAsia="宋体" w:cs="宋体"/>
        </w:rPr>
        <w:t xml:space="preserve">五、 </w:t>
      </w:r>
      <w:r>
        <w:rPr>
          <w:rFonts w:hint="eastAsia" w:ascii="宋体" w:hAnsi="宋体" w:eastAsia="宋体" w:cs="宋体"/>
          <w:highlight w:val="none"/>
        </w:rPr>
        <w:t>技术商务偏离表</w:t>
      </w:r>
      <w:r>
        <w:tab/>
      </w:r>
      <w:r>
        <w:fldChar w:fldCharType="begin"/>
      </w:r>
      <w:r>
        <w:instrText xml:space="preserve"> PAGEREF _Toc9663 \h </w:instrText>
      </w:r>
      <w:r>
        <w:fldChar w:fldCharType="separate"/>
      </w:r>
      <w:r>
        <w:t>31</w:t>
      </w:r>
      <w:r>
        <w:fldChar w:fldCharType="end"/>
      </w:r>
      <w:r>
        <w:rPr>
          <w:rFonts w:hint="eastAsia" w:ascii="宋体" w:hAnsi="宋体" w:eastAsia="宋体" w:cs="宋体"/>
          <w:szCs w:val="21"/>
          <w:highlight w:val="none"/>
        </w:rPr>
        <w:fldChar w:fldCharType="end"/>
      </w:r>
    </w:p>
    <w:p w14:paraId="3D194DC4">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_Toc25400 </w:instrText>
      </w:r>
      <w:r>
        <w:rPr>
          <w:rFonts w:hint="eastAsia" w:ascii="宋体" w:hAnsi="宋体" w:eastAsia="宋体" w:cs="宋体"/>
          <w:szCs w:val="21"/>
          <w:highlight w:val="none"/>
        </w:rPr>
        <w:fldChar w:fldCharType="separate"/>
      </w:r>
      <w:r>
        <w:rPr>
          <w:rFonts w:hint="eastAsia" w:ascii="宋体" w:hAnsi="宋体" w:eastAsia="宋体" w:cs="宋体"/>
        </w:rPr>
        <w:t xml:space="preserve">六、 </w:t>
      </w:r>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r>
        <w:tab/>
      </w:r>
      <w:r>
        <w:fldChar w:fldCharType="begin"/>
      </w:r>
      <w:r>
        <w:instrText xml:space="preserve"> PAGEREF _Toc25400 \h </w:instrText>
      </w:r>
      <w:r>
        <w:fldChar w:fldCharType="separate"/>
      </w:r>
      <w:r>
        <w:t>32</w:t>
      </w:r>
      <w:r>
        <w:fldChar w:fldCharType="end"/>
      </w:r>
      <w:r>
        <w:rPr>
          <w:rFonts w:hint="eastAsia" w:ascii="宋体" w:hAnsi="宋体" w:eastAsia="宋体" w:cs="宋体"/>
          <w:szCs w:val="21"/>
          <w:highlight w:val="none"/>
        </w:rPr>
        <w:fldChar w:fldCharType="end"/>
      </w:r>
    </w:p>
    <w:p w14:paraId="3DB7EFEB">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_Toc19010 </w:instrText>
      </w:r>
      <w:r>
        <w:rPr>
          <w:rFonts w:hint="eastAsia" w:ascii="宋体" w:hAnsi="宋体" w:eastAsia="宋体" w:cs="宋体"/>
          <w:szCs w:val="21"/>
          <w:highlight w:val="none"/>
        </w:rPr>
        <w:fldChar w:fldCharType="separate"/>
      </w:r>
      <w:r>
        <w:rPr>
          <w:rFonts w:hint="eastAsia" w:ascii="宋体" w:hAnsi="宋体" w:eastAsia="宋体" w:cs="宋体"/>
        </w:rPr>
        <w:t xml:space="preserve">七、 </w:t>
      </w:r>
      <w:r>
        <w:rPr>
          <w:rFonts w:hint="eastAsia" w:ascii="宋体" w:hAnsi="宋体" w:eastAsia="宋体" w:cs="宋体"/>
          <w:highlight w:val="none"/>
        </w:rPr>
        <w:t>项目负责人及成员组成情况表</w:t>
      </w:r>
      <w:r>
        <w:tab/>
      </w:r>
      <w:r>
        <w:fldChar w:fldCharType="begin"/>
      </w:r>
      <w:r>
        <w:instrText xml:space="preserve"> PAGEREF _Toc19010 \h </w:instrText>
      </w:r>
      <w:r>
        <w:fldChar w:fldCharType="separate"/>
      </w:r>
      <w:r>
        <w:t>33</w:t>
      </w:r>
      <w:r>
        <w:fldChar w:fldCharType="end"/>
      </w:r>
      <w:r>
        <w:rPr>
          <w:rFonts w:hint="eastAsia" w:ascii="宋体" w:hAnsi="宋体" w:eastAsia="宋体" w:cs="宋体"/>
          <w:szCs w:val="21"/>
          <w:highlight w:val="none"/>
        </w:rPr>
        <w:fldChar w:fldCharType="end"/>
      </w:r>
    </w:p>
    <w:p w14:paraId="7020E7B4">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_Toc22512 </w:instrText>
      </w:r>
      <w:r>
        <w:rPr>
          <w:rFonts w:hint="eastAsia" w:ascii="宋体" w:hAnsi="宋体" w:eastAsia="宋体" w:cs="宋体"/>
          <w:szCs w:val="21"/>
          <w:highlight w:val="none"/>
        </w:rPr>
        <w:fldChar w:fldCharType="separate"/>
      </w:r>
      <w:r>
        <w:rPr>
          <w:rFonts w:hint="eastAsia" w:ascii="宋体" w:hAnsi="宋体" w:eastAsia="宋体" w:cs="宋体"/>
        </w:rPr>
        <w:t xml:space="preserve">八、 </w:t>
      </w:r>
      <w:r>
        <w:rPr>
          <w:rFonts w:hint="eastAsia" w:ascii="宋体" w:hAnsi="宋体" w:eastAsia="宋体" w:cs="宋体"/>
          <w:highlight w:val="none"/>
        </w:rPr>
        <w:t>本项目的实施方案</w:t>
      </w:r>
      <w:r>
        <w:tab/>
      </w:r>
      <w:r>
        <w:fldChar w:fldCharType="begin"/>
      </w:r>
      <w:r>
        <w:instrText xml:space="preserve"> PAGEREF _Toc22512 \h </w:instrText>
      </w:r>
      <w:r>
        <w:fldChar w:fldCharType="separate"/>
      </w:r>
      <w:r>
        <w:t>34</w:t>
      </w:r>
      <w:r>
        <w:fldChar w:fldCharType="end"/>
      </w:r>
      <w:r>
        <w:rPr>
          <w:rFonts w:hint="eastAsia" w:ascii="宋体" w:hAnsi="宋体" w:eastAsia="宋体" w:cs="宋体"/>
          <w:szCs w:val="21"/>
          <w:highlight w:val="none"/>
        </w:rPr>
        <w:fldChar w:fldCharType="end"/>
      </w:r>
    </w:p>
    <w:p w14:paraId="39E80E45">
      <w:pPr>
        <w:pStyle w:val="34"/>
        <w:tabs>
          <w:tab w:val="right" w:leader="dot" w:pos="8504"/>
          <w:tab w:val="clear" w:pos="567"/>
          <w:tab w:val="clear" w:pos="8505"/>
          <w:tab w:val="clear" w:pos="9628"/>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_Toc17138 </w:instrText>
      </w:r>
      <w:r>
        <w:rPr>
          <w:rFonts w:hint="eastAsia" w:ascii="宋体" w:hAnsi="宋体" w:eastAsia="宋体" w:cs="宋体"/>
          <w:szCs w:val="21"/>
          <w:highlight w:val="none"/>
        </w:rPr>
        <w:fldChar w:fldCharType="separate"/>
      </w:r>
      <w:r>
        <w:rPr>
          <w:rFonts w:hint="eastAsia" w:ascii="宋体" w:hAnsi="宋体" w:eastAsia="宋体" w:cs="宋体"/>
        </w:rPr>
        <w:t xml:space="preserve">九、 </w:t>
      </w:r>
      <w:r>
        <w:rPr>
          <w:rFonts w:hint="eastAsia" w:ascii="宋体" w:hAnsi="宋体" w:eastAsia="宋体" w:cs="宋体"/>
          <w:highlight w:val="none"/>
          <w:lang w:val="en-US" w:eastAsia="zh-CN"/>
        </w:rPr>
        <w:t>项目</w:t>
      </w:r>
      <w:r>
        <w:rPr>
          <w:rFonts w:hint="eastAsia" w:ascii="宋体" w:hAnsi="宋体" w:eastAsia="宋体" w:cs="宋体"/>
          <w:highlight w:val="none"/>
        </w:rPr>
        <w:t>报价函</w:t>
      </w:r>
      <w:r>
        <w:tab/>
      </w:r>
      <w:r>
        <w:fldChar w:fldCharType="begin"/>
      </w:r>
      <w:r>
        <w:instrText xml:space="preserve"> PAGEREF _Toc17138 \h </w:instrText>
      </w:r>
      <w:r>
        <w:fldChar w:fldCharType="separate"/>
      </w:r>
      <w:r>
        <w:t>35</w:t>
      </w:r>
      <w:r>
        <w:fldChar w:fldCharType="end"/>
      </w:r>
      <w:r>
        <w:rPr>
          <w:rFonts w:hint="eastAsia" w:ascii="宋体" w:hAnsi="宋体" w:eastAsia="宋体" w:cs="宋体"/>
          <w:szCs w:val="21"/>
          <w:highlight w:val="none"/>
        </w:rPr>
        <w:fldChar w:fldCharType="end"/>
      </w:r>
    </w:p>
    <w:p w14:paraId="3BC78268">
      <w:pPr>
        <w:snapToGrid w:val="0"/>
        <w:spacing w:line="400" w:lineRule="exact"/>
        <w:rPr>
          <w:rFonts w:hint="eastAsia" w:ascii="宋体" w:hAnsi="宋体" w:eastAsia="宋体" w:cs="宋体"/>
          <w:sz w:val="24"/>
          <w:highlight w:val="none"/>
        </w:rPr>
        <w:sectPr>
          <w:footerReference r:id="rId6"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2"/>
          <w:cols w:space="720" w:num="1"/>
          <w:docGrid w:type="linesAndChars" w:linePitch="380" w:charSpace="0"/>
        </w:sectPr>
      </w:pPr>
      <w:r>
        <w:rPr>
          <w:rFonts w:hint="eastAsia" w:ascii="宋体" w:hAnsi="宋体" w:eastAsia="宋体" w:cs="宋体"/>
          <w:szCs w:val="21"/>
          <w:highlight w:val="none"/>
        </w:rPr>
        <w:fldChar w:fldCharType="end"/>
      </w:r>
    </w:p>
    <w:p w14:paraId="7CA70F85">
      <w:pPr>
        <w:pStyle w:val="52"/>
        <w:snapToGrid w:val="0"/>
        <w:spacing w:before="0" w:after="0"/>
        <w:rPr>
          <w:rFonts w:hint="eastAsia" w:ascii="宋体" w:hAnsi="宋体" w:eastAsia="宋体" w:cs="宋体"/>
          <w:color w:val="333333"/>
          <w:sz w:val="44"/>
          <w:szCs w:val="44"/>
          <w:highlight w:val="none"/>
        </w:rPr>
      </w:pPr>
      <w:bookmarkStart w:id="0" w:name="_Toc447188662"/>
      <w:bookmarkStart w:id="1" w:name="_Toc447265211"/>
      <w:bookmarkStart w:id="2" w:name="_Toc447265797"/>
      <w:bookmarkStart w:id="3" w:name="_Toc447265497"/>
      <w:bookmarkStart w:id="4" w:name="_Toc21434"/>
      <w:r>
        <w:rPr>
          <w:rFonts w:hint="eastAsia" w:ascii="宋体" w:hAnsi="宋体" w:eastAsia="宋体" w:cs="宋体"/>
          <w:b/>
          <w:bCs w:val="0"/>
          <w:kern w:val="0"/>
          <w:sz w:val="36"/>
          <w:szCs w:val="36"/>
          <w:highlight w:val="none"/>
        </w:rPr>
        <w:t>第一章 采购公告</w:t>
      </w:r>
      <w:bookmarkEnd w:id="0"/>
      <w:bookmarkEnd w:id="1"/>
      <w:bookmarkEnd w:id="2"/>
      <w:bookmarkEnd w:id="3"/>
      <w:bookmarkEnd w:id="4"/>
      <w:bookmarkStart w:id="5" w:name="_Hlk77931056"/>
    </w:p>
    <w:bookmarkEnd w:id="5"/>
    <w:p w14:paraId="0EEEB7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6" w:name="_Toc1850_WPSOffice_Level1"/>
      <w:bookmarkStart w:id="7" w:name="_Toc10535_WPSOffice_Level1"/>
      <w:bookmarkStart w:id="8" w:name="_Toc16455_WPSOffice_Level1"/>
      <w:bookmarkStart w:id="9" w:name="_Toc6866_WPSOffice_Level1"/>
      <w:r>
        <w:rPr>
          <w:rFonts w:hint="eastAsia" w:ascii="宋体" w:hAnsi="宋体" w:eastAsia="宋体" w:cs="宋体"/>
          <w:b/>
          <w:bCs w:val="0"/>
          <w:color w:val="auto"/>
          <w:sz w:val="21"/>
          <w:szCs w:val="21"/>
          <w:lang w:val="en-US" w:eastAsia="zh-CN"/>
        </w:rPr>
        <w:t>项目名称</w:t>
      </w:r>
      <w:r>
        <w:rPr>
          <w:rFonts w:hint="eastAsia" w:ascii="宋体" w:hAnsi="宋体" w:eastAsia="宋体" w:cs="宋体"/>
          <w:b w:val="0"/>
          <w:bCs/>
          <w:color w:val="auto"/>
          <w:sz w:val="21"/>
          <w:szCs w:val="21"/>
          <w:lang w:val="en-US" w:eastAsia="zh-CN"/>
        </w:rPr>
        <w:t>：</w:t>
      </w:r>
      <w:bookmarkEnd w:id="6"/>
      <w:bookmarkEnd w:id="7"/>
      <w:bookmarkEnd w:id="8"/>
      <w:bookmarkEnd w:id="9"/>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十五运定制化媒体包物资综合保障采购项目</w:t>
      </w:r>
      <w:r>
        <w:rPr>
          <w:rFonts w:hint="eastAsia" w:ascii="宋体" w:hAnsi="宋体" w:eastAsia="宋体" w:cs="宋体"/>
          <w:color w:val="auto"/>
          <w:sz w:val="21"/>
          <w:szCs w:val="21"/>
          <w:u w:val="single"/>
          <w:lang w:val="en-US" w:eastAsia="zh-CN"/>
        </w:rPr>
        <w:t xml:space="preserve"> </w:t>
      </w:r>
    </w:p>
    <w:p w14:paraId="533F6A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i w:val="0"/>
          <w:iCs w:val="0"/>
          <w:color w:val="auto"/>
          <w:kern w:val="2"/>
          <w:sz w:val="21"/>
          <w:szCs w:val="21"/>
          <w:u w:val="none"/>
          <w:lang w:val="en-US" w:eastAsia="zh-CN" w:bidi="ar-SA"/>
        </w:rPr>
      </w:pPr>
      <w:bookmarkStart w:id="10" w:name="_Toc29857_WPSOffice_Level1"/>
      <w:bookmarkStart w:id="11" w:name="_Toc24167_WPSOffice_Level1"/>
      <w:bookmarkStart w:id="12" w:name="_Toc2410_WPSOffice_Level1"/>
      <w:bookmarkStart w:id="13" w:name="_Toc29999_WPSOffice_Level1"/>
      <w:r>
        <w:rPr>
          <w:rFonts w:hint="eastAsia" w:ascii="宋体" w:hAnsi="宋体" w:eastAsia="宋体" w:cs="宋体"/>
          <w:b/>
          <w:bCs w:val="0"/>
          <w:color w:val="auto"/>
          <w:sz w:val="21"/>
          <w:szCs w:val="21"/>
          <w:lang w:val="en-US" w:eastAsia="zh-CN"/>
        </w:rPr>
        <w:t>项目编号</w:t>
      </w:r>
      <w:r>
        <w:rPr>
          <w:rFonts w:hint="eastAsia" w:ascii="宋体" w:hAnsi="宋体" w:eastAsia="宋体" w:cs="宋体"/>
          <w:b w:val="0"/>
          <w:bCs/>
          <w:color w:val="auto"/>
          <w:sz w:val="21"/>
          <w:szCs w:val="21"/>
          <w:lang w:val="en-US" w:eastAsia="zh-CN"/>
        </w:rPr>
        <w:t>：</w:t>
      </w:r>
      <w:bookmarkEnd w:id="10"/>
      <w:bookmarkEnd w:id="11"/>
      <w:bookmarkEnd w:id="12"/>
      <w:bookmarkEnd w:id="13"/>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JC-202509005</w:t>
      </w:r>
      <w:r>
        <w:rPr>
          <w:rFonts w:hint="eastAsia" w:ascii="宋体" w:hAnsi="宋体" w:eastAsia="宋体" w:cs="宋体"/>
          <w:color w:val="auto"/>
          <w:sz w:val="21"/>
          <w:szCs w:val="21"/>
          <w:u w:val="single"/>
          <w:lang w:val="en-US" w:eastAsia="zh-CN"/>
        </w:rPr>
        <w:t xml:space="preserve"> </w:t>
      </w:r>
    </w:p>
    <w:p w14:paraId="2B9996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sz w:val="21"/>
          <w:szCs w:val="21"/>
          <w:lang w:val="en-US" w:eastAsia="zh-CN"/>
        </w:rPr>
      </w:pPr>
      <w:bookmarkStart w:id="14" w:name="_Toc16010_WPSOffice_Level1"/>
      <w:bookmarkStart w:id="15" w:name="_Toc9625_WPSOffice_Level1"/>
      <w:bookmarkStart w:id="16" w:name="_Toc21641_WPSOffice_Level1"/>
      <w:bookmarkStart w:id="17" w:name="_Toc7833_WPSOffice_Level1"/>
      <w:r>
        <w:rPr>
          <w:rFonts w:hint="eastAsia" w:ascii="宋体" w:hAnsi="宋体" w:eastAsia="宋体" w:cs="宋体"/>
          <w:b/>
          <w:bCs w:val="0"/>
          <w:sz w:val="21"/>
          <w:szCs w:val="21"/>
          <w:lang w:val="en-US" w:eastAsia="zh-CN"/>
        </w:rPr>
        <w:t>项目简介</w:t>
      </w:r>
      <w:bookmarkEnd w:id="14"/>
      <w:bookmarkEnd w:id="15"/>
      <w:bookmarkEnd w:id="16"/>
      <w:bookmarkEnd w:id="17"/>
    </w:p>
    <w:p w14:paraId="205758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sz w:val="21"/>
          <w:szCs w:val="21"/>
          <w:lang w:val="en-US" w:eastAsia="zh-CN"/>
        </w:rPr>
      </w:pPr>
      <w:r>
        <w:rPr>
          <w:rFonts w:hint="eastAsia" w:ascii="宋体" w:hAnsi="宋体" w:cs="宋体"/>
          <w:i w:val="0"/>
          <w:iCs w:val="0"/>
          <w:color w:val="auto"/>
          <w:kern w:val="2"/>
          <w:sz w:val="21"/>
          <w:szCs w:val="21"/>
          <w:lang w:val="en-US" w:eastAsia="zh-CN" w:bidi="ar-SA"/>
        </w:rPr>
        <w:t>为支撑相关项目工作开展，现</w:t>
      </w:r>
      <w:r>
        <w:rPr>
          <w:rFonts w:hint="eastAsia" w:ascii="宋体" w:hAnsi="宋体" w:eastAsia="宋体" w:cs="宋体"/>
          <w:i w:val="0"/>
          <w:iCs w:val="0"/>
          <w:color w:val="auto"/>
          <w:kern w:val="2"/>
          <w:sz w:val="21"/>
          <w:szCs w:val="21"/>
          <w:lang w:val="en-US" w:eastAsia="zh-CN" w:bidi="ar-SA"/>
        </w:rPr>
        <w:t>拟公开采购</w:t>
      </w:r>
      <w:r>
        <w:rPr>
          <w:rFonts w:hint="eastAsia" w:ascii="宋体" w:hAnsi="宋体" w:cs="宋体"/>
          <w:i w:val="0"/>
          <w:iCs w:val="0"/>
          <w:color w:val="auto"/>
          <w:kern w:val="2"/>
          <w:sz w:val="21"/>
          <w:szCs w:val="21"/>
          <w:lang w:val="en-US" w:eastAsia="zh-CN" w:bidi="ar-SA"/>
        </w:rPr>
        <w:t>一家供应商，提供十五运会媒体包物资设计定制、采购及分装等综合保障服务</w:t>
      </w:r>
      <w:r>
        <w:rPr>
          <w:rFonts w:hint="eastAsia" w:ascii="宋体" w:hAnsi="宋体" w:eastAsia="宋体" w:cs="宋体"/>
          <w:i w:val="0"/>
          <w:iCs w:val="0"/>
          <w:color w:val="auto"/>
          <w:kern w:val="2"/>
          <w:sz w:val="21"/>
          <w:szCs w:val="21"/>
          <w:lang w:val="en-US" w:eastAsia="zh-CN" w:bidi="ar-SA"/>
        </w:rPr>
        <w:t>。</w:t>
      </w:r>
      <w:r>
        <w:rPr>
          <w:rFonts w:hint="eastAsia" w:ascii="宋体" w:hAnsi="宋体" w:cs="宋体"/>
          <w:b/>
          <w:bCs/>
          <w:i w:val="0"/>
          <w:iCs w:val="0"/>
          <w:color w:val="auto"/>
          <w:kern w:val="2"/>
          <w:sz w:val="21"/>
          <w:szCs w:val="21"/>
          <w:lang w:val="en-US" w:eastAsia="zh-CN" w:bidi="ar-SA"/>
        </w:rPr>
        <w:t>本项目总价最高限价为494000.00元，其中“物资采购服务”设置最高单价限价为68.5元/份</w:t>
      </w:r>
      <w:r>
        <w:rPr>
          <w:rFonts w:hint="eastAsia" w:ascii="宋体" w:hAnsi="宋体" w:cs="宋体"/>
          <w:i w:val="0"/>
          <w:iCs w:val="0"/>
          <w:color w:val="auto"/>
          <w:kern w:val="2"/>
          <w:sz w:val="21"/>
          <w:szCs w:val="21"/>
          <w:lang w:val="en-US" w:eastAsia="zh-CN" w:bidi="ar-SA"/>
        </w:rPr>
        <w:t>。</w:t>
      </w:r>
    </w:p>
    <w:p w14:paraId="78EEA3D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kern w:val="2"/>
          <w:sz w:val="21"/>
          <w:szCs w:val="21"/>
          <w:lang w:val="en-US" w:eastAsia="zh-CN" w:bidi="ar-SA"/>
        </w:rPr>
      </w:pPr>
      <w:bookmarkStart w:id="18" w:name="_Toc16536_WPSOffice_Level1"/>
      <w:bookmarkStart w:id="19" w:name="_Toc28945_WPSOffice_Level1"/>
      <w:bookmarkStart w:id="20" w:name="_Toc979_WPSOffice_Level1"/>
      <w:bookmarkStart w:id="21" w:name="_Toc78_WPSOffice_Level1"/>
      <w:r>
        <w:rPr>
          <w:rFonts w:hint="eastAsia" w:ascii="宋体" w:hAnsi="宋体" w:eastAsia="宋体" w:cs="宋体"/>
          <w:b/>
          <w:bCs w:val="0"/>
          <w:sz w:val="21"/>
          <w:szCs w:val="21"/>
          <w:lang w:val="en-US" w:eastAsia="zh-CN"/>
        </w:rPr>
        <w:t>采购方式：</w:t>
      </w:r>
      <w:r>
        <w:rPr>
          <w:rFonts w:hint="eastAsia" w:ascii="宋体" w:hAnsi="宋体" w:eastAsia="宋体" w:cs="宋体"/>
          <w:b w:val="0"/>
          <w:bCs/>
          <w:sz w:val="21"/>
          <w:szCs w:val="21"/>
          <w:lang w:val="en-US" w:eastAsia="zh-CN"/>
        </w:rPr>
        <w:t>公开</w:t>
      </w:r>
      <w:r>
        <w:rPr>
          <w:rFonts w:hint="eastAsia" w:ascii="宋体" w:hAnsi="宋体" w:eastAsia="宋体" w:cs="宋体"/>
          <w:b w:val="0"/>
          <w:bCs/>
          <w:kern w:val="2"/>
          <w:sz w:val="21"/>
          <w:szCs w:val="21"/>
          <w:lang w:val="en-US" w:eastAsia="zh-CN" w:bidi="ar-SA"/>
        </w:rPr>
        <w:t>询价</w:t>
      </w:r>
      <w:bookmarkEnd w:id="18"/>
      <w:r>
        <w:rPr>
          <w:rFonts w:hint="eastAsia" w:ascii="宋体" w:hAnsi="宋体" w:eastAsia="宋体" w:cs="宋体"/>
          <w:b w:val="0"/>
          <w:bCs/>
          <w:kern w:val="2"/>
          <w:sz w:val="21"/>
          <w:szCs w:val="21"/>
          <w:lang w:val="en-US" w:eastAsia="zh-CN" w:bidi="ar-SA"/>
        </w:rPr>
        <w:t>采购</w:t>
      </w:r>
      <w:bookmarkEnd w:id="19"/>
      <w:bookmarkEnd w:id="20"/>
      <w:bookmarkEnd w:id="21"/>
    </w:p>
    <w:p w14:paraId="23AE699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22" w:name="_Toc12020_WPSOffice_Level1"/>
      <w:bookmarkStart w:id="23" w:name="_Toc16305_WPSOffice_Level1"/>
      <w:bookmarkStart w:id="24" w:name="_Toc26788_WPSOffice_Level1"/>
      <w:bookmarkStart w:id="25" w:name="_Toc3427_WPSOffice_Level1"/>
      <w:r>
        <w:rPr>
          <w:rFonts w:hint="eastAsia" w:ascii="宋体" w:hAnsi="宋体" w:eastAsia="宋体" w:cs="宋体"/>
          <w:b/>
          <w:bCs w:val="0"/>
          <w:sz w:val="21"/>
          <w:szCs w:val="21"/>
          <w:lang w:val="en-US" w:eastAsia="zh-CN"/>
        </w:rPr>
        <w:t>供应商资格条件</w:t>
      </w:r>
      <w:bookmarkEnd w:id="22"/>
      <w:bookmarkEnd w:id="23"/>
      <w:bookmarkEnd w:id="24"/>
      <w:bookmarkEnd w:id="25"/>
    </w:p>
    <w:p w14:paraId="4FA67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1、供应商须为在中华人民共和国境内注册的具有独立承担民事责任能力的法人或其他组织，提供营业执照或事业法人登记证书复印件</w:t>
      </w:r>
      <w:r>
        <w:rPr>
          <w:rFonts w:hint="eastAsia" w:cs="宋体"/>
          <w:color w:val="333333"/>
          <w:sz w:val="21"/>
          <w:szCs w:val="21"/>
          <w:highlight w:val="none"/>
          <w:lang w:val="en-US" w:eastAsia="zh-CN"/>
        </w:rPr>
        <w:t>（分公司参选须得到总公司授权，同时提供总公司营业执照及盖章授权函）</w:t>
      </w:r>
    </w:p>
    <w:p w14:paraId="3B598A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2、供应商应具备承担本采购项目的能力。（提供应答函）</w:t>
      </w:r>
    </w:p>
    <w:p w14:paraId="4BA5A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3、供应商参与本采购活动时，未被列入国家企业信用信息公示系统的经营异常名录、严重违法失信企业名单。（提供应答函）</w:t>
      </w:r>
    </w:p>
    <w:p w14:paraId="737BD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kern w:val="2"/>
          <w:sz w:val="21"/>
          <w:szCs w:val="21"/>
          <w:lang w:val="en-US" w:eastAsia="zh-CN" w:bidi="ar-SA"/>
        </w:rPr>
        <w:t>4、单位负责人为同一人或者存在直接控股、管理关系的不同供应商，不得同时参加本项目的采购活动。（提供应答函）</w:t>
      </w:r>
    </w:p>
    <w:p w14:paraId="45832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lang w:val="en-US" w:eastAsia="zh-CN" w:bidi="ar-SA"/>
        </w:rPr>
      </w:pPr>
      <w:r>
        <w:rPr>
          <w:rFonts w:hint="eastAsia" w:ascii="宋体" w:hAnsi="宋体" w:cs="宋体"/>
          <w:i w:val="0"/>
          <w:iCs w:val="0"/>
          <w:color w:val="auto"/>
          <w:kern w:val="2"/>
          <w:sz w:val="21"/>
          <w:szCs w:val="21"/>
          <w:lang w:val="en-US" w:eastAsia="zh-CN" w:bidi="ar-SA"/>
        </w:rPr>
        <w:t>5</w:t>
      </w:r>
      <w:r>
        <w:rPr>
          <w:rFonts w:hint="eastAsia" w:ascii="宋体" w:hAnsi="宋体" w:eastAsia="宋体" w:cs="宋体"/>
          <w:i w:val="0"/>
          <w:iCs w:val="0"/>
          <w:color w:val="auto"/>
          <w:kern w:val="2"/>
          <w:sz w:val="21"/>
          <w:szCs w:val="21"/>
          <w:lang w:val="en-US" w:eastAsia="zh-CN" w:bidi="ar-SA"/>
        </w:rPr>
        <w:t>、本项目不接受联合体报价，不得转包或违法分包。供应商应对所有的采购内容进行报价，不允许仅对部分内容报价。（提供应答函）</w:t>
      </w:r>
    </w:p>
    <w:p w14:paraId="0078644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shd w:val="clear" w:color="auto" w:fill="FFFFFF"/>
        </w:rPr>
      </w:pPr>
      <w:bookmarkStart w:id="26" w:name="_Toc7900_WPSOffice_Level1"/>
      <w:bookmarkStart w:id="27" w:name="_Toc19111_WPSOffice_Level1"/>
      <w:bookmarkStart w:id="28" w:name="_Toc22168_WPSOffice_Level1"/>
      <w:bookmarkStart w:id="29" w:name="_Toc28245_WPSOffice_Level1"/>
      <w:r>
        <w:rPr>
          <w:rFonts w:hint="eastAsia" w:ascii="宋体" w:hAnsi="宋体" w:eastAsia="宋体" w:cs="宋体"/>
          <w:b/>
          <w:bCs w:val="0"/>
          <w:sz w:val="21"/>
          <w:szCs w:val="21"/>
          <w:lang w:val="en-US" w:eastAsia="zh-CN"/>
        </w:rPr>
        <w:t>采购需求</w:t>
      </w:r>
      <w:bookmarkEnd w:id="26"/>
      <w:bookmarkEnd w:id="27"/>
      <w:bookmarkEnd w:id="28"/>
      <w:bookmarkEnd w:id="29"/>
    </w:p>
    <w:p w14:paraId="515E1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lang w:val="en-US" w:eastAsia="zh-CN"/>
        </w:rPr>
        <w:t>详见《采购文件》第四章</w:t>
      </w:r>
      <w:r>
        <w:rPr>
          <w:rFonts w:hint="eastAsia" w:ascii="宋体" w:hAnsi="宋体" w:eastAsia="宋体" w:cs="宋体"/>
          <w:color w:val="auto"/>
          <w:sz w:val="21"/>
          <w:szCs w:val="21"/>
          <w:shd w:val="clear" w:color="auto" w:fill="FFFFFF"/>
        </w:rPr>
        <w:t>。</w:t>
      </w:r>
    </w:p>
    <w:p w14:paraId="4F88069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 w:val="21"/>
          <w:szCs w:val="21"/>
          <w:u w:val="single"/>
          <w:lang w:val="en-US" w:eastAsia="zh-CN"/>
        </w:rPr>
      </w:pPr>
      <w:bookmarkStart w:id="30" w:name="_Toc1191_WPSOffice_Level1"/>
      <w:bookmarkStart w:id="31" w:name="_Toc11254_WPSOffice_Level1"/>
      <w:bookmarkStart w:id="32" w:name="_Toc5256_WPSOffice_Level1"/>
      <w:bookmarkStart w:id="33" w:name="_Toc26501_WPSOffice_Level1"/>
      <w:r>
        <w:rPr>
          <w:rFonts w:hint="eastAsia" w:ascii="宋体" w:hAnsi="宋体" w:eastAsia="宋体" w:cs="宋体"/>
          <w:b/>
          <w:bCs w:val="0"/>
          <w:sz w:val="21"/>
          <w:szCs w:val="21"/>
          <w:lang w:val="en-US" w:eastAsia="zh-CN"/>
        </w:rPr>
        <w:t>合同主要条款</w:t>
      </w:r>
      <w:bookmarkEnd w:id="30"/>
      <w:bookmarkEnd w:id="31"/>
      <w:bookmarkEnd w:id="32"/>
      <w:bookmarkEnd w:id="33"/>
    </w:p>
    <w:p w14:paraId="4BF7874D">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签约主体： </w:t>
      </w:r>
      <w:r>
        <w:rPr>
          <w:rFonts w:hint="eastAsia" w:ascii="宋体" w:hAnsi="宋体" w:eastAsia="宋体" w:cs="宋体"/>
          <w:sz w:val="21"/>
          <w:szCs w:val="21"/>
          <w:u w:val="single"/>
          <w:lang w:val="en-US" w:eastAsia="zh-CN"/>
        </w:rPr>
        <w:t xml:space="preserve"> 今日（广东）国际传播有限公司  </w:t>
      </w:r>
      <w:r>
        <w:rPr>
          <w:rFonts w:hint="eastAsia" w:ascii="宋体" w:hAnsi="宋体" w:eastAsia="宋体" w:cs="宋体"/>
          <w:b w:val="0"/>
          <w:bCs/>
          <w:sz w:val="21"/>
          <w:szCs w:val="21"/>
          <w:lang w:val="en-US" w:eastAsia="zh-CN"/>
        </w:rPr>
        <w:t xml:space="preserve">                   </w:t>
      </w:r>
    </w:p>
    <w:p w14:paraId="38A3B06C">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sz w:val="21"/>
          <w:szCs w:val="21"/>
          <w:lang w:eastAsia="zh-CN"/>
        </w:rPr>
        <w:t>合同主要</w:t>
      </w:r>
      <w:r>
        <w:rPr>
          <w:rFonts w:hint="eastAsia" w:ascii="宋体" w:hAnsi="宋体" w:eastAsia="宋体" w:cs="宋体"/>
          <w:sz w:val="21"/>
          <w:szCs w:val="21"/>
          <w:lang w:eastAsia="zh-CN"/>
        </w:rPr>
        <w:t>条款或拟签合同样本：</w:t>
      </w:r>
      <w:r>
        <w:rPr>
          <w:rFonts w:hint="eastAsia" w:ascii="宋体" w:hAnsi="宋体" w:eastAsia="宋体" w:cs="宋体"/>
          <w:sz w:val="21"/>
          <w:szCs w:val="21"/>
          <w:lang w:val="en-US" w:eastAsia="zh-CN"/>
        </w:rPr>
        <w:t>详见</w:t>
      </w:r>
      <w:r>
        <w:rPr>
          <w:rFonts w:hint="eastAsia" w:ascii="宋体" w:hAnsi="宋体" w:eastAsia="宋体" w:cs="宋体"/>
          <w:color w:val="auto"/>
          <w:sz w:val="21"/>
          <w:szCs w:val="21"/>
          <w:lang w:val="en-US" w:eastAsia="zh-CN"/>
        </w:rPr>
        <w:t>《采购文件》第五章</w:t>
      </w:r>
      <w:r>
        <w:rPr>
          <w:rFonts w:hint="eastAsia" w:ascii="宋体" w:hAnsi="宋体" w:eastAsia="宋体" w:cs="宋体"/>
          <w:sz w:val="21"/>
          <w:szCs w:val="21"/>
          <w:lang w:eastAsia="zh-CN"/>
        </w:rPr>
        <w:t>。</w:t>
      </w:r>
    </w:p>
    <w:p w14:paraId="3BD668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sz w:val="21"/>
          <w:szCs w:val="21"/>
          <w:lang w:val="en-US" w:eastAsia="zh-CN"/>
        </w:rPr>
      </w:pPr>
      <w:bookmarkStart w:id="34" w:name="_Toc28264_WPSOffice_Level1"/>
      <w:bookmarkStart w:id="35" w:name="_Toc30859_WPSOffice_Level1"/>
      <w:bookmarkStart w:id="36" w:name="_Toc28896_WPSOffice_Level1"/>
      <w:bookmarkStart w:id="37" w:name="_Toc11095_WPSOffice_Level1"/>
      <w:r>
        <w:rPr>
          <w:rFonts w:hint="eastAsia" w:ascii="宋体" w:hAnsi="宋体" w:eastAsia="宋体" w:cs="宋体"/>
          <w:b/>
          <w:bCs w:val="0"/>
          <w:sz w:val="21"/>
          <w:szCs w:val="21"/>
          <w:lang w:val="en-US" w:eastAsia="zh-CN"/>
        </w:rPr>
        <w:t>响应文件编制</w:t>
      </w:r>
      <w:bookmarkEnd w:id="34"/>
      <w:bookmarkEnd w:id="35"/>
      <w:bookmarkEnd w:id="36"/>
      <w:bookmarkEnd w:id="37"/>
    </w:p>
    <w:p w14:paraId="69214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详见《采购文件》第</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章</w:t>
      </w:r>
      <w:r>
        <w:rPr>
          <w:rFonts w:hint="eastAsia" w:ascii="宋体" w:hAnsi="宋体" w:eastAsia="宋体" w:cs="宋体"/>
          <w:color w:val="auto"/>
          <w:sz w:val="21"/>
          <w:szCs w:val="21"/>
          <w:shd w:val="clear" w:color="auto" w:fill="FFFFFF"/>
        </w:rPr>
        <w:t>。</w:t>
      </w:r>
    </w:p>
    <w:p w14:paraId="3FCE660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38" w:name="_Toc20150_WPSOffice_Level1"/>
      <w:bookmarkStart w:id="39" w:name="_Toc21901_WPSOffice_Level1"/>
      <w:bookmarkStart w:id="40" w:name="_Toc16063_WPSOffice_Level1"/>
      <w:bookmarkStart w:id="41" w:name="_Toc32225_WPSOffice_Level1"/>
      <w:r>
        <w:rPr>
          <w:rFonts w:hint="eastAsia" w:ascii="宋体" w:hAnsi="宋体" w:eastAsia="宋体" w:cs="宋体"/>
          <w:b w:val="0"/>
          <w:bCs/>
          <w:sz w:val="21"/>
          <w:szCs w:val="21"/>
          <w:lang w:val="en-US" w:eastAsia="zh-CN"/>
        </w:rPr>
        <w:t>响应文件递交</w:t>
      </w:r>
      <w:bookmarkEnd w:id="38"/>
      <w:bookmarkEnd w:id="39"/>
      <w:bookmarkEnd w:id="40"/>
      <w:bookmarkEnd w:id="41"/>
    </w:p>
    <w:p w14:paraId="0C93ADA0">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sz w:val="21"/>
          <w:szCs w:val="21"/>
          <w:lang w:val="en-US" w:eastAsia="zh-CN"/>
        </w:rPr>
        <w:t>报价要求：请按要求填写报价，并附相关资质资料，加盖公章，装订成册。</w:t>
      </w:r>
    </w:p>
    <w:p w14:paraId="619A3E13">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密封要求：报价文件须进行密封，封口处贴封条并加盖骑缝章，外封面备注项目名称和联系方式。</w:t>
      </w:r>
    </w:p>
    <w:p w14:paraId="5CE6159E">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lang w:val="en-US" w:eastAsia="zh-CN"/>
        </w:rPr>
        <w:t>递交方式：直接送达或快递邮寄（以送达签收时间为准）。</w:t>
      </w:r>
    </w:p>
    <w:p w14:paraId="14F34C45">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文件数量：</w:t>
      </w:r>
      <w:r>
        <w:rPr>
          <w:rFonts w:hint="eastAsia" w:ascii="宋体" w:hAnsi="宋体" w:eastAsia="宋体" w:cs="宋体"/>
          <w:b w:val="0"/>
          <w:bCs/>
          <w:sz w:val="21"/>
          <w:szCs w:val="21"/>
        </w:rPr>
        <w:t>正本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eastAsia="zh-CN"/>
        </w:rPr>
        <w:t>份，</w:t>
      </w:r>
      <w:r>
        <w:rPr>
          <w:rFonts w:hint="eastAsia" w:ascii="宋体" w:hAnsi="宋体" w:eastAsia="宋体" w:cs="宋体"/>
          <w:b w:val="0"/>
          <w:bCs/>
          <w:sz w:val="21"/>
          <w:szCs w:val="21"/>
        </w:rPr>
        <w:t>副本</w:t>
      </w:r>
      <w:r>
        <w:rPr>
          <w:rFonts w:hint="eastAsia" w:ascii="宋体" w:hAnsi="宋体" w:eastAsia="宋体" w:cs="宋体"/>
          <w:b w:val="0"/>
          <w:bCs/>
          <w:sz w:val="21"/>
          <w:szCs w:val="21"/>
          <w:u w:val="single"/>
          <w:lang w:val="en-US" w:eastAsia="zh-CN"/>
        </w:rPr>
        <w:t xml:space="preserve"> 1 </w:t>
      </w:r>
      <w:r>
        <w:rPr>
          <w:rFonts w:hint="eastAsia" w:ascii="宋体" w:hAnsi="宋体" w:eastAsia="宋体" w:cs="宋体"/>
          <w:b w:val="0"/>
          <w:bCs/>
          <w:sz w:val="21"/>
          <w:szCs w:val="21"/>
          <w:lang w:val="en-US" w:eastAsia="zh-CN"/>
        </w:rPr>
        <w:t>份</w:t>
      </w:r>
      <w:r>
        <w:rPr>
          <w:rFonts w:hint="eastAsia" w:ascii="宋体" w:hAnsi="宋体" w:eastAsia="宋体" w:cs="宋体"/>
          <w:b w:val="0"/>
          <w:bCs/>
          <w:sz w:val="21"/>
          <w:szCs w:val="21"/>
        </w:rPr>
        <w:t>。</w:t>
      </w:r>
    </w:p>
    <w:p w14:paraId="700AC315">
      <w:pPr>
        <w:pStyle w:val="4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截止时间：</w:t>
      </w:r>
      <w:r>
        <w:rPr>
          <w:rFonts w:hint="eastAsia" w:ascii="宋体" w:hAnsi="宋体" w:eastAsia="宋体" w:cs="宋体"/>
          <w:b w:val="0"/>
          <w:bCs/>
          <w:color w:val="auto"/>
          <w:sz w:val="21"/>
          <w:szCs w:val="21"/>
        </w:rPr>
        <w:t>202</w:t>
      </w:r>
      <w:r>
        <w:rPr>
          <w:rFonts w:hint="eastAsia" w:ascii="宋体" w:hAnsi="宋体" w:eastAsia="宋体" w:cs="宋体"/>
          <w:b w:val="0"/>
          <w:bCs/>
          <w:color w:val="auto"/>
          <w:sz w:val="21"/>
          <w:szCs w:val="21"/>
          <w:u w:val="single"/>
          <w:lang w:val="en-US" w:eastAsia="zh-CN"/>
        </w:rPr>
        <w:t>5</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u w:val="single"/>
          <w:lang w:val="en-US" w:eastAsia="zh-CN"/>
        </w:rPr>
        <w:t>10</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u w:val="single"/>
          <w:lang w:val="en-US" w:eastAsia="zh-CN"/>
        </w:rPr>
        <w:t>13</w:t>
      </w:r>
      <w:r>
        <w:rPr>
          <w:rFonts w:hint="eastAsia" w:ascii="宋体" w:hAnsi="宋体" w:eastAsia="宋体" w:cs="宋体"/>
          <w:b w:val="0"/>
          <w:bCs/>
          <w:color w:val="auto"/>
          <w:sz w:val="21"/>
          <w:szCs w:val="21"/>
        </w:rPr>
        <w:t>日</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lang w:eastAsia="zh-CN"/>
        </w:rPr>
        <w:t>时</w:t>
      </w:r>
      <w:r>
        <w:rPr>
          <w:rFonts w:hint="eastAsia" w:ascii="宋体" w:hAnsi="宋体" w:eastAsia="宋体" w:cs="宋体"/>
          <w:b w:val="0"/>
          <w:bCs/>
          <w:color w:val="auto"/>
          <w:sz w:val="21"/>
          <w:szCs w:val="21"/>
          <w:u w:val="single"/>
          <w:lang w:val="en-US" w:eastAsia="zh-CN"/>
        </w:rPr>
        <w:t>00</w:t>
      </w:r>
      <w:r>
        <w:rPr>
          <w:rFonts w:hint="eastAsia" w:ascii="宋体" w:hAnsi="宋体" w:eastAsia="宋体" w:cs="宋体"/>
          <w:b w:val="0"/>
          <w:bCs/>
          <w:color w:val="auto"/>
          <w:sz w:val="21"/>
          <w:szCs w:val="21"/>
        </w:rPr>
        <w:t>分</w:t>
      </w:r>
      <w:r>
        <w:rPr>
          <w:rFonts w:hint="eastAsia" w:ascii="宋体" w:hAnsi="宋体" w:eastAsia="宋体" w:cs="宋体"/>
          <w:b w:val="0"/>
          <w:bCs/>
          <w:color w:val="auto"/>
          <w:sz w:val="21"/>
          <w:szCs w:val="21"/>
          <w:lang w:eastAsia="zh-CN"/>
        </w:rPr>
        <w:t>前。</w:t>
      </w:r>
    </w:p>
    <w:p w14:paraId="1E8584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z w:val="21"/>
          <w:szCs w:val="21"/>
          <w:lang w:val="en-US" w:eastAsia="zh-CN"/>
        </w:rPr>
      </w:pPr>
      <w:bookmarkStart w:id="42" w:name="_Toc10662_WPSOffice_Level1"/>
      <w:bookmarkStart w:id="43" w:name="_Toc31910_WPSOffice_Level1"/>
      <w:bookmarkStart w:id="44" w:name="_Toc26395_WPSOffice_Level1"/>
      <w:bookmarkStart w:id="45" w:name="_Toc6254_WPSOffice_Level1"/>
      <w:r>
        <w:rPr>
          <w:rFonts w:hint="eastAsia" w:ascii="宋体" w:hAnsi="宋体" w:eastAsia="宋体" w:cs="宋体"/>
          <w:b w:val="0"/>
          <w:bCs/>
          <w:sz w:val="21"/>
          <w:szCs w:val="21"/>
          <w:lang w:val="en-US" w:eastAsia="zh-CN"/>
        </w:rPr>
        <w:t>采购人及联系方式</w:t>
      </w:r>
      <w:bookmarkEnd w:id="42"/>
      <w:bookmarkEnd w:id="43"/>
      <w:bookmarkEnd w:id="44"/>
      <w:bookmarkEnd w:id="45"/>
    </w:p>
    <w:p w14:paraId="6CA1CD3B">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u w:val="single"/>
          <w:lang w:val="en-US" w:eastAsia="zh-CN"/>
        </w:rPr>
        <w:t xml:space="preserve">今日（广东）国际传播有限公司。 </w:t>
      </w:r>
    </w:p>
    <w:p w14:paraId="7A93CD17">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b w:val="0"/>
          <w:bCs/>
          <w:sz w:val="21"/>
          <w:szCs w:val="21"/>
          <w:lang w:val="en-US" w:eastAsia="zh-CN"/>
        </w:rPr>
        <w:t>联系人及电话：</w:t>
      </w:r>
      <w:r>
        <w:rPr>
          <w:rFonts w:hint="eastAsia" w:ascii="宋体" w:hAnsi="宋体" w:eastAsia="宋体" w:cs="宋体"/>
          <w:b w:val="0"/>
          <w:bCs/>
          <w:sz w:val="21"/>
          <w:szCs w:val="21"/>
          <w:u w:val="single"/>
          <w:lang w:val="en-US" w:eastAsia="zh-CN"/>
        </w:rPr>
        <w:t>蒋老师18620945107/张老师 020-83002093。</w:t>
      </w:r>
    </w:p>
    <w:p w14:paraId="160C5993">
      <w:pPr>
        <w:pStyle w:val="4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sz w:val="21"/>
          <w:szCs w:val="21"/>
          <w:lang w:eastAsia="zh-CN"/>
        </w:rPr>
      </w:pPr>
      <w:bookmarkStart w:id="46" w:name="_Toc152042370"/>
      <w:bookmarkStart w:id="47" w:name="_Toc246996979"/>
      <w:bookmarkStart w:id="48" w:name="_Toc179632611"/>
      <w:bookmarkStart w:id="49" w:name="_Toc152045593"/>
      <w:bookmarkStart w:id="50" w:name="_Toc144974560"/>
      <w:bookmarkStart w:id="51" w:name="_Toc247085751"/>
      <w:bookmarkStart w:id="52" w:name="_Toc246996236"/>
      <w:r>
        <w:rPr>
          <w:rFonts w:hint="eastAsia" w:ascii="宋体" w:hAnsi="宋体" w:eastAsia="宋体" w:cs="宋体"/>
          <w:b w:val="0"/>
          <w:bCs/>
          <w:sz w:val="21"/>
          <w:szCs w:val="21"/>
          <w:lang w:eastAsia="zh-CN"/>
        </w:rPr>
        <w:t>联系</w:t>
      </w:r>
      <w:r>
        <w:rPr>
          <w:rFonts w:hint="eastAsia" w:ascii="宋体" w:hAnsi="宋体" w:eastAsia="宋体" w:cs="宋体"/>
          <w:b w:val="0"/>
          <w:bCs/>
          <w:sz w:val="21"/>
          <w:szCs w:val="21"/>
        </w:rPr>
        <w:t>地点：</w:t>
      </w:r>
      <w:r>
        <w:rPr>
          <w:rFonts w:hint="eastAsia" w:ascii="宋体" w:hAnsi="宋体" w:eastAsia="宋体" w:cs="宋体"/>
          <w:b w:val="0"/>
          <w:bCs/>
          <w:sz w:val="21"/>
          <w:szCs w:val="21"/>
          <w:u w:val="single"/>
        </w:rPr>
        <w:t>广州市</w:t>
      </w:r>
      <w:r>
        <w:rPr>
          <w:rFonts w:hint="eastAsia" w:ascii="宋体" w:hAnsi="宋体" w:eastAsia="宋体" w:cs="宋体"/>
          <w:b w:val="0"/>
          <w:bCs/>
          <w:sz w:val="21"/>
          <w:szCs w:val="21"/>
          <w:u w:val="single"/>
          <w:lang w:eastAsia="zh-CN"/>
        </w:rPr>
        <w:t>越秀区</w:t>
      </w:r>
      <w:r>
        <w:rPr>
          <w:rFonts w:hint="eastAsia" w:ascii="宋体" w:hAnsi="宋体" w:eastAsia="宋体" w:cs="宋体"/>
          <w:b w:val="0"/>
          <w:bCs/>
          <w:sz w:val="21"/>
          <w:szCs w:val="21"/>
          <w:u w:val="single"/>
        </w:rPr>
        <w:t>广州大道中289号</w:t>
      </w:r>
      <w:r>
        <w:rPr>
          <w:rFonts w:hint="eastAsia" w:ascii="宋体" w:hAnsi="宋体" w:eastAsia="宋体" w:cs="宋体"/>
          <w:b w:val="0"/>
          <w:bCs/>
          <w:sz w:val="21"/>
          <w:szCs w:val="21"/>
          <w:u w:val="single"/>
          <w:lang w:val="en-US" w:eastAsia="zh-CN"/>
        </w:rPr>
        <w:t xml:space="preserve">南方传媒大厦2号楼8楼 </w:t>
      </w:r>
      <w:r>
        <w:rPr>
          <w:rFonts w:hint="eastAsia" w:ascii="宋体" w:hAnsi="宋体" w:eastAsia="宋体" w:cs="宋体"/>
          <w:b w:val="0"/>
          <w:bCs/>
          <w:sz w:val="21"/>
          <w:szCs w:val="21"/>
          <w:lang w:eastAsia="zh-CN"/>
        </w:rPr>
        <w:t>。</w:t>
      </w:r>
    </w:p>
    <w:p w14:paraId="7E69C5BB">
      <w:pPr>
        <w:pStyle w:val="12"/>
        <w:ind w:left="0" w:leftChars="0" w:firstLine="0" w:firstLineChars="0"/>
        <w:rPr>
          <w:rFonts w:hint="eastAsia" w:ascii="宋体" w:hAnsi="宋体" w:eastAsia="宋体" w:cs="宋体"/>
          <w:sz w:val="21"/>
          <w:szCs w:val="21"/>
          <w:lang w:eastAsia="zh-CN"/>
        </w:rPr>
      </w:pPr>
    </w:p>
    <w:p w14:paraId="313BD5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iCs w:val="0"/>
          <w:sz w:val="21"/>
          <w:szCs w:val="21"/>
          <w:lang w:eastAsia="zh-CN"/>
        </w:rPr>
      </w:pPr>
    </w:p>
    <w:p w14:paraId="75DB7D75">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p w14:paraId="4147ED6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sz w:val="21"/>
          <w:szCs w:val="21"/>
          <w:lang w:eastAsia="zh-CN"/>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南方报业传媒集团</w:t>
      </w:r>
      <w:r>
        <w:rPr>
          <w:rFonts w:hint="eastAsia" w:ascii="宋体" w:hAnsi="宋体" w:cs="宋体"/>
          <w:b/>
          <w:sz w:val="21"/>
          <w:szCs w:val="21"/>
          <w:lang w:eastAsia="zh-CN"/>
        </w:rPr>
        <w:t>（</w:t>
      </w:r>
      <w:r>
        <w:rPr>
          <w:rFonts w:hint="eastAsia" w:ascii="宋体" w:hAnsi="宋体" w:cs="宋体"/>
          <w:b/>
          <w:sz w:val="21"/>
          <w:szCs w:val="21"/>
          <w:lang w:val="en-US" w:eastAsia="zh-CN"/>
        </w:rPr>
        <w:t>南方日报社</w:t>
      </w:r>
      <w:r>
        <w:rPr>
          <w:rFonts w:hint="eastAsia" w:ascii="宋体" w:hAnsi="宋体" w:cs="宋体"/>
          <w:b/>
          <w:sz w:val="21"/>
          <w:szCs w:val="21"/>
          <w:lang w:eastAsia="zh-CN"/>
        </w:rPr>
        <w:t>）</w:t>
      </w:r>
    </w:p>
    <w:p w14:paraId="5D40FD9D">
      <w:pPr>
        <w:pStyle w:val="36"/>
        <w:spacing w:before="0" w:beforeAutospacing="0" w:after="0" w:afterAutospacing="0" w:line="360" w:lineRule="auto"/>
        <w:jc w:val="right"/>
        <w:rPr>
          <w:rFonts w:hint="eastAsia" w:ascii="宋体" w:hAnsi="宋体" w:eastAsia="宋体" w:cs="宋体"/>
          <w:color w:val="333333"/>
          <w:sz w:val="21"/>
          <w:szCs w:val="21"/>
          <w:highlight w:val="none"/>
        </w:rPr>
      </w:pPr>
      <w:r>
        <w:rPr>
          <w:rFonts w:hint="eastAsia" w:ascii="宋体" w:hAnsi="宋体" w:eastAsia="宋体" w:cs="宋体"/>
          <w:b/>
          <w:sz w:val="21"/>
          <w:szCs w:val="21"/>
        </w:rPr>
        <w:t xml:space="preserve">                                        202</w:t>
      </w:r>
      <w:r>
        <w:rPr>
          <w:rFonts w:hint="eastAsia" w:cs="宋体"/>
          <w:b/>
          <w:sz w:val="21"/>
          <w:szCs w:val="21"/>
          <w:u w:val="single"/>
          <w:lang w:val="en-US" w:eastAsia="zh-CN"/>
        </w:rPr>
        <w:t>5</w:t>
      </w:r>
      <w:r>
        <w:rPr>
          <w:rFonts w:hint="eastAsia" w:ascii="宋体" w:hAnsi="宋体" w:eastAsia="宋体" w:cs="宋体"/>
          <w:b/>
          <w:sz w:val="21"/>
          <w:szCs w:val="21"/>
        </w:rPr>
        <w:t>年</w:t>
      </w:r>
      <w:r>
        <w:rPr>
          <w:rFonts w:hint="eastAsia" w:cs="宋体"/>
          <w:b/>
          <w:sz w:val="21"/>
          <w:szCs w:val="21"/>
          <w:u w:val="single"/>
          <w:lang w:val="en-US" w:eastAsia="zh-CN"/>
        </w:rPr>
        <w:t>10</w:t>
      </w:r>
      <w:r>
        <w:rPr>
          <w:rFonts w:hint="eastAsia" w:ascii="宋体" w:hAnsi="宋体" w:eastAsia="宋体" w:cs="宋体"/>
          <w:b/>
          <w:sz w:val="21"/>
          <w:szCs w:val="21"/>
        </w:rPr>
        <w:t>月</w:t>
      </w:r>
      <w:r>
        <w:rPr>
          <w:rFonts w:hint="eastAsia" w:cs="宋体"/>
          <w:b/>
          <w:sz w:val="21"/>
          <w:szCs w:val="21"/>
          <w:u w:val="single"/>
          <w:lang w:val="en-US" w:eastAsia="zh-CN"/>
        </w:rPr>
        <w:t>9</w:t>
      </w:r>
      <w:r>
        <w:rPr>
          <w:rFonts w:hint="eastAsia" w:ascii="宋体" w:hAnsi="宋体" w:eastAsia="宋体" w:cs="宋体"/>
          <w:b/>
          <w:sz w:val="21"/>
          <w:szCs w:val="21"/>
        </w:rPr>
        <w:t>日</w:t>
      </w:r>
      <w:bookmarkEnd w:id="46"/>
      <w:bookmarkEnd w:id="47"/>
      <w:bookmarkEnd w:id="48"/>
      <w:bookmarkEnd w:id="49"/>
      <w:bookmarkEnd w:id="50"/>
      <w:bookmarkEnd w:id="51"/>
      <w:bookmarkEnd w:id="52"/>
    </w:p>
    <w:p w14:paraId="532D9F36">
      <w:pPr>
        <w:spacing w:line="360" w:lineRule="auto"/>
        <w:rPr>
          <w:rFonts w:hint="eastAsia" w:ascii="宋体" w:hAnsi="宋体" w:eastAsia="宋体" w:cs="宋体"/>
          <w:sz w:val="21"/>
          <w:szCs w:val="21"/>
          <w:highlight w:val="none"/>
        </w:rPr>
      </w:pPr>
    </w:p>
    <w:p w14:paraId="279A0757">
      <w:pPr>
        <w:pStyle w:val="53"/>
        <w:snapToGrid w:val="0"/>
        <w:spacing w:line="360" w:lineRule="exact"/>
        <w:ind w:firstLine="3542" w:firstLineChars="1687"/>
        <w:jc w:val="right"/>
        <w:rPr>
          <w:rFonts w:hint="eastAsia" w:ascii="宋体" w:hAnsi="宋体" w:eastAsia="宋体" w:cs="宋体"/>
          <w:highlight w:val="none"/>
        </w:rPr>
      </w:pPr>
    </w:p>
    <w:p w14:paraId="2B6F54FB">
      <w:pPr>
        <w:pStyle w:val="53"/>
        <w:snapToGrid w:val="0"/>
        <w:spacing w:line="360" w:lineRule="exact"/>
        <w:ind w:firstLine="3542" w:firstLineChars="1687"/>
        <w:rPr>
          <w:rFonts w:hint="eastAsia" w:ascii="宋体" w:hAnsi="宋体" w:eastAsia="宋体" w:cs="宋体"/>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F2DFC6">
      <w:pPr>
        <w:pStyle w:val="52"/>
        <w:snapToGrid w:val="0"/>
        <w:spacing w:before="120" w:after="120"/>
        <w:rPr>
          <w:rFonts w:hint="eastAsia" w:ascii="宋体" w:hAnsi="宋体" w:eastAsia="宋体" w:cs="宋体"/>
          <w:b/>
          <w:bCs w:val="0"/>
          <w:kern w:val="0"/>
          <w:sz w:val="28"/>
          <w:szCs w:val="28"/>
          <w:highlight w:val="none"/>
        </w:rPr>
      </w:pPr>
      <w:bookmarkStart w:id="53" w:name="_Toc447265500"/>
      <w:bookmarkStart w:id="54" w:name="_Toc447188665"/>
      <w:bookmarkStart w:id="55" w:name="_Toc1728"/>
      <w:bookmarkStart w:id="56" w:name="_Toc447265214"/>
      <w:r>
        <w:rPr>
          <w:rFonts w:hint="eastAsia" w:ascii="宋体" w:hAnsi="宋体" w:eastAsia="宋体" w:cs="宋体"/>
          <w:b/>
          <w:bCs w:val="0"/>
          <w:kern w:val="0"/>
          <w:sz w:val="28"/>
          <w:szCs w:val="28"/>
          <w:highlight w:val="none"/>
        </w:rPr>
        <w:t>第二章 供应商须知</w:t>
      </w:r>
      <w:bookmarkEnd w:id="53"/>
      <w:bookmarkEnd w:id="54"/>
      <w:bookmarkEnd w:id="55"/>
      <w:bookmarkEnd w:id="56"/>
    </w:p>
    <w:tbl>
      <w:tblPr>
        <w:tblStyle w:val="41"/>
        <w:tblW w:w="8505"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670"/>
      </w:tblGrid>
      <w:tr w14:paraId="3D266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42AD46BD">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3EAA651E">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670" w:type="dxa"/>
            <w:vAlign w:val="center"/>
          </w:tcPr>
          <w:p w14:paraId="7AD17233">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73078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B552689">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3DFCAC9F">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670" w:type="dxa"/>
            <w:vAlign w:val="center"/>
          </w:tcPr>
          <w:p w14:paraId="3342D7A7">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09F537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0777D73">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5EF77484">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670" w:type="dxa"/>
            <w:vAlign w:val="center"/>
          </w:tcPr>
          <w:p w14:paraId="12E8831D">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2A134D5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16DD84CE">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42CED03F">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449C9D9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647025BC">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4D979364">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712838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99F4A96">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0257F4D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670" w:type="dxa"/>
            <w:vAlign w:val="center"/>
          </w:tcPr>
          <w:p w14:paraId="31476C6F">
            <w:pPr>
              <w:rPr>
                <w:rFonts w:hint="eastAsia" w:ascii="宋体" w:hAnsi="宋体" w:eastAsia="宋体" w:cs="宋体"/>
                <w:highlight w:val="none"/>
              </w:rPr>
            </w:pPr>
            <w:r>
              <w:rPr>
                <w:rFonts w:hint="eastAsia" w:ascii="宋体" w:hAnsi="宋体" w:eastAsia="宋体" w:cs="宋体"/>
                <w:highlight w:val="none"/>
              </w:rPr>
              <w:t>1、报价具体要求</w:t>
            </w:r>
          </w:p>
          <w:p w14:paraId="3AA6DD9C">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cs="宋体"/>
                <w:b/>
                <w:bCs/>
                <w:i w:val="0"/>
                <w:iCs w:val="0"/>
                <w:color w:val="auto"/>
                <w:kern w:val="2"/>
                <w:sz w:val="21"/>
                <w:szCs w:val="21"/>
                <w:lang w:val="en-US" w:eastAsia="zh-CN" w:bidi="ar-SA"/>
              </w:rPr>
              <w:t>本项目总价最高限价为494000.00元，其中“物资采购服务”设置最高单价限价为68.5元/份</w:t>
            </w:r>
            <w:r>
              <w:rPr>
                <w:rFonts w:hint="eastAsia" w:ascii="宋体" w:hAnsi="宋体" w:cs="宋体"/>
                <w:b/>
                <w:bCs/>
                <w:highlight w:val="none"/>
                <w:lang w:val="en-US" w:eastAsia="zh-CN"/>
              </w:rPr>
              <w:t>，供应商含税报价不得超出上述最高限价</w:t>
            </w:r>
            <w:r>
              <w:rPr>
                <w:rFonts w:hint="eastAsia" w:ascii="宋体" w:hAnsi="宋体" w:eastAsia="宋体" w:cs="宋体"/>
                <w:b/>
                <w:bCs/>
                <w:highlight w:val="none"/>
              </w:rPr>
              <w:t>。</w:t>
            </w:r>
            <w:r>
              <w:rPr>
                <w:rFonts w:hint="eastAsia" w:ascii="宋体" w:hAnsi="宋体" w:eastAsia="宋体" w:cs="宋体"/>
                <w:highlight w:val="none"/>
              </w:rPr>
              <w:t>（注：保留小数点后2位)。供应商应根据自身具体情况及项目实际要求对本询价项目报价。</w:t>
            </w:r>
          </w:p>
          <w:p w14:paraId="092A7769">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3CB09621">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73FD892F">
            <w:pPr>
              <w:numPr>
                <w:ilvl w:val="0"/>
                <w:numId w:val="6"/>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提供增值税发票</w:t>
            </w:r>
            <w:r>
              <w:rPr>
                <w:rFonts w:hint="eastAsia" w:ascii="宋体" w:hAnsi="宋体" w:cs="宋体"/>
                <w:b/>
                <w:bCs/>
                <w:highlight w:val="none"/>
                <w:lang w:eastAsia="zh-CN"/>
              </w:rPr>
              <w:t>。</w:t>
            </w:r>
          </w:p>
          <w:p w14:paraId="3DFBDF3B">
            <w:pPr>
              <w:numPr>
                <w:ilvl w:val="0"/>
                <w:numId w:val="6"/>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41D15763">
            <w:pPr>
              <w:pStyle w:val="12"/>
              <w:ind w:firstLine="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223641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F67CEA2">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6D65BDD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670" w:type="dxa"/>
            <w:vAlign w:val="center"/>
          </w:tcPr>
          <w:p w14:paraId="18D8296A">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szCs w:val="21"/>
                <w:highlight w:val="none"/>
              </w:rPr>
              <w:t>在满足采购文件实质性要求的条件下，</w:t>
            </w:r>
            <w:r>
              <w:rPr>
                <w:rFonts w:hint="eastAsia" w:ascii="宋体" w:hAnsi="宋体" w:cs="宋体"/>
                <w:szCs w:val="21"/>
                <w:highlight w:val="none"/>
                <w:lang w:val="en-US" w:eastAsia="zh-CN"/>
              </w:rPr>
              <w:t>以综合评分办法选取得分最高的合格供应商为</w:t>
            </w:r>
            <w:r>
              <w:rPr>
                <w:rFonts w:hint="eastAsia" w:ascii="宋体" w:hAnsi="宋体" w:eastAsia="宋体" w:cs="宋体"/>
                <w:kern w:val="2"/>
                <w:sz w:val="21"/>
                <w:szCs w:val="21"/>
                <w:highlight w:val="none"/>
              </w:rPr>
              <w:t>第一</w:t>
            </w:r>
            <w:r>
              <w:rPr>
                <w:rFonts w:hint="eastAsia" w:ascii="宋体" w:hAnsi="宋体" w:eastAsia="宋体" w:cs="宋体"/>
                <w:szCs w:val="21"/>
                <w:highlight w:val="none"/>
              </w:rPr>
              <w:t>成交候选人。</w:t>
            </w:r>
          </w:p>
          <w:p w14:paraId="759B478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7C793751">
            <w:pPr>
              <w:pStyle w:val="12"/>
              <w:rPr>
                <w:rFonts w:hint="eastAsia" w:ascii="宋体" w:hAnsi="宋体" w:eastAsia="宋体" w:cs="宋体"/>
                <w:highlight w:val="none"/>
              </w:rPr>
            </w:pPr>
            <w:r>
              <w:rPr>
                <w:rFonts w:hint="eastAsia" w:ascii="宋体" w:hAnsi="宋体" w:eastAsia="宋体" w:cs="宋体"/>
                <w:kern w:val="2"/>
                <w:sz w:val="21"/>
                <w:szCs w:val="21"/>
                <w:highlight w:val="none"/>
              </w:rPr>
              <w:t>在第一成交候选人</w:t>
            </w:r>
            <w:r>
              <w:rPr>
                <w:rFonts w:hint="eastAsia" w:ascii="宋体" w:hAnsi="宋体" w:eastAsia="宋体" w:cs="宋体"/>
                <w:kern w:val="2"/>
                <w:sz w:val="21"/>
                <w:szCs w:val="21"/>
                <w:highlight w:val="none"/>
                <w:lang w:val="en-US" w:eastAsia="zh-CN"/>
              </w:rPr>
              <w:t>撤销</w:t>
            </w:r>
            <w:r>
              <w:rPr>
                <w:rFonts w:hint="eastAsia" w:ascii="宋体" w:hAnsi="宋体" w:eastAsia="宋体" w:cs="宋体"/>
                <w:kern w:val="2"/>
                <w:sz w:val="21"/>
                <w:szCs w:val="21"/>
                <w:highlight w:val="none"/>
              </w:rPr>
              <w:t>报价或放弃成交的，采购人重新组织询价采购。</w:t>
            </w:r>
          </w:p>
        </w:tc>
      </w:tr>
      <w:tr w14:paraId="13C535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49ECB9F">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3C053A43">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670" w:type="dxa"/>
            <w:vAlign w:val="center"/>
          </w:tcPr>
          <w:p w14:paraId="135BB4E0">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707D6001">
      <w:pPr>
        <w:pStyle w:val="37"/>
        <w:tabs>
          <w:tab w:val="left" w:pos="602"/>
        </w:tabs>
        <w:snapToGrid w:val="0"/>
        <w:spacing w:before="120" w:after="120" w:line="440" w:lineRule="exact"/>
        <w:jc w:val="left"/>
        <w:rPr>
          <w:rFonts w:hint="eastAsia" w:ascii="宋体" w:hAnsi="宋体" w:eastAsia="宋体" w:cs="宋体"/>
          <w:sz w:val="28"/>
          <w:szCs w:val="28"/>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57" w:name="_Toc447188667"/>
      <w:bookmarkStart w:id="58" w:name="_Toc488655831"/>
      <w:bookmarkStart w:id="59" w:name="_Toc107822484"/>
      <w:bookmarkStart w:id="60" w:name="_Toc226969278"/>
      <w:bookmarkStart w:id="61" w:name="_Toc227057885"/>
    </w:p>
    <w:bookmarkEnd w:id="57"/>
    <w:bookmarkEnd w:id="58"/>
    <w:bookmarkEnd w:id="59"/>
    <w:bookmarkEnd w:id="60"/>
    <w:bookmarkEnd w:id="61"/>
    <w:p w14:paraId="65DCF1CF">
      <w:pPr>
        <w:pStyle w:val="52"/>
        <w:numPr>
          <w:ilvl w:val="0"/>
          <w:numId w:val="7"/>
        </w:numPr>
        <w:snapToGrid w:val="0"/>
        <w:spacing w:before="0" w:after="0"/>
        <w:rPr>
          <w:rFonts w:hint="eastAsia" w:ascii="宋体" w:hAnsi="宋体" w:eastAsia="宋体" w:cs="宋体"/>
          <w:b/>
          <w:bCs w:val="0"/>
          <w:kern w:val="0"/>
          <w:sz w:val="28"/>
          <w:szCs w:val="28"/>
          <w:highlight w:val="none"/>
        </w:rPr>
      </w:pPr>
      <w:bookmarkStart w:id="62" w:name="_Toc447265271"/>
      <w:bookmarkStart w:id="63" w:name="_Toc5458"/>
      <w:bookmarkStart w:id="64" w:name="_Toc447265557"/>
      <w:r>
        <w:rPr>
          <w:rFonts w:hint="eastAsia" w:ascii="宋体" w:hAnsi="宋体" w:eastAsia="宋体" w:cs="宋体"/>
          <w:b/>
          <w:bCs w:val="0"/>
          <w:kern w:val="0"/>
          <w:sz w:val="28"/>
          <w:szCs w:val="28"/>
          <w:highlight w:val="none"/>
        </w:rPr>
        <w:t>评审办法</w:t>
      </w:r>
      <w:bookmarkEnd w:id="62"/>
      <w:bookmarkEnd w:id="63"/>
      <w:bookmarkEnd w:id="64"/>
    </w:p>
    <w:p w14:paraId="66D20430">
      <w:pPr>
        <w:pStyle w:val="5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65" w:name="_Toc23450"/>
      <w:r>
        <w:rPr>
          <w:rFonts w:hint="eastAsia" w:ascii="宋体" w:hAnsi="宋体" w:eastAsia="宋体" w:cs="宋体"/>
          <w:b/>
          <w:bCs w:val="0"/>
          <w:kern w:val="0"/>
          <w:sz w:val="28"/>
          <w:szCs w:val="28"/>
          <w:highlight w:val="none"/>
        </w:rPr>
        <w:t>评审办法前附表</w:t>
      </w:r>
      <w:bookmarkEnd w:id="65"/>
    </w:p>
    <w:tbl>
      <w:tblPr>
        <w:tblStyle w:val="41"/>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14"/>
        <w:gridCol w:w="2224"/>
        <w:gridCol w:w="4482"/>
      </w:tblGrid>
      <w:tr w14:paraId="190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2" w:type="pct"/>
            <w:gridSpan w:val="2"/>
            <w:vAlign w:val="center"/>
          </w:tcPr>
          <w:p w14:paraId="58970F65">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0B0C5468">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598" w:type="pct"/>
            <w:vAlign w:val="center"/>
          </w:tcPr>
          <w:p w14:paraId="3293E412">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39A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6" w:type="pct"/>
            <w:vMerge w:val="restart"/>
            <w:vAlign w:val="center"/>
          </w:tcPr>
          <w:p w14:paraId="7DDB8688">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45" w:type="pct"/>
            <w:vMerge w:val="restart"/>
            <w:vAlign w:val="center"/>
          </w:tcPr>
          <w:p w14:paraId="37BFBEA3">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6537CAE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598" w:type="pct"/>
            <w:vAlign w:val="center"/>
          </w:tcPr>
          <w:p w14:paraId="58454C48">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225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60D68975">
            <w:pPr>
              <w:snapToGrid w:val="0"/>
              <w:jc w:val="center"/>
              <w:rPr>
                <w:rFonts w:hint="eastAsia" w:ascii="宋体" w:hAnsi="宋体" w:eastAsia="宋体" w:cs="宋体"/>
                <w:sz w:val="21"/>
                <w:szCs w:val="21"/>
                <w:highlight w:val="none"/>
              </w:rPr>
            </w:pPr>
          </w:p>
        </w:tc>
        <w:tc>
          <w:tcPr>
            <w:tcW w:w="645" w:type="pct"/>
            <w:vMerge w:val="continue"/>
          </w:tcPr>
          <w:p w14:paraId="0DD5F4BD">
            <w:pPr>
              <w:snapToGrid w:val="0"/>
              <w:jc w:val="center"/>
              <w:rPr>
                <w:rFonts w:hint="eastAsia" w:ascii="宋体" w:hAnsi="宋体" w:eastAsia="宋体" w:cs="宋体"/>
                <w:sz w:val="21"/>
                <w:szCs w:val="21"/>
                <w:highlight w:val="none"/>
              </w:rPr>
            </w:pPr>
          </w:p>
        </w:tc>
        <w:tc>
          <w:tcPr>
            <w:tcW w:w="1289" w:type="pct"/>
            <w:vAlign w:val="center"/>
          </w:tcPr>
          <w:p w14:paraId="42F5E7B3">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598" w:type="pct"/>
            <w:vAlign w:val="center"/>
          </w:tcPr>
          <w:p w14:paraId="165FF0D5">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46AC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766BDE8B">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4E65F3AF">
            <w:pPr>
              <w:snapToGrid w:val="0"/>
              <w:jc w:val="center"/>
              <w:rPr>
                <w:rFonts w:hint="eastAsia" w:ascii="宋体" w:hAnsi="宋体" w:eastAsia="宋体" w:cs="宋体"/>
                <w:sz w:val="21"/>
                <w:szCs w:val="21"/>
                <w:highlight w:val="none"/>
              </w:rPr>
            </w:pPr>
          </w:p>
        </w:tc>
        <w:tc>
          <w:tcPr>
            <w:tcW w:w="1289" w:type="pct"/>
            <w:vAlign w:val="center"/>
          </w:tcPr>
          <w:p w14:paraId="3F0A944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598" w:type="pct"/>
            <w:vAlign w:val="center"/>
          </w:tcPr>
          <w:p w14:paraId="7B981CC8">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639D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2683472B">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783930E3">
            <w:pPr>
              <w:snapToGrid w:val="0"/>
              <w:jc w:val="center"/>
              <w:rPr>
                <w:rFonts w:hint="eastAsia" w:ascii="宋体" w:hAnsi="宋体" w:eastAsia="宋体" w:cs="宋体"/>
                <w:sz w:val="21"/>
                <w:szCs w:val="21"/>
                <w:highlight w:val="none"/>
              </w:rPr>
            </w:pPr>
          </w:p>
        </w:tc>
        <w:tc>
          <w:tcPr>
            <w:tcW w:w="1289" w:type="pct"/>
          </w:tcPr>
          <w:p w14:paraId="6CD803ED">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598" w:type="pct"/>
            <w:vAlign w:val="center"/>
          </w:tcPr>
          <w:p w14:paraId="3B73197D">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0322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6" w:type="pct"/>
            <w:vMerge w:val="continue"/>
            <w:vAlign w:val="center"/>
          </w:tcPr>
          <w:p w14:paraId="2997EA59">
            <w:pPr>
              <w:snapToGrid w:val="0"/>
              <w:ind w:firstLine="420" w:firstLineChars="200"/>
              <w:jc w:val="center"/>
              <w:rPr>
                <w:rFonts w:hint="eastAsia" w:ascii="宋体" w:hAnsi="宋体" w:eastAsia="宋体" w:cs="宋体"/>
                <w:sz w:val="21"/>
                <w:szCs w:val="21"/>
                <w:highlight w:val="none"/>
              </w:rPr>
            </w:pPr>
          </w:p>
        </w:tc>
        <w:tc>
          <w:tcPr>
            <w:tcW w:w="645" w:type="pct"/>
            <w:vMerge w:val="continue"/>
          </w:tcPr>
          <w:p w14:paraId="4C45F7B9">
            <w:pPr>
              <w:snapToGrid w:val="0"/>
              <w:jc w:val="center"/>
              <w:rPr>
                <w:rFonts w:hint="eastAsia" w:ascii="宋体" w:hAnsi="宋体" w:eastAsia="宋体" w:cs="宋体"/>
                <w:sz w:val="21"/>
                <w:szCs w:val="21"/>
                <w:highlight w:val="none"/>
              </w:rPr>
            </w:pPr>
          </w:p>
        </w:tc>
        <w:tc>
          <w:tcPr>
            <w:tcW w:w="1289" w:type="pct"/>
          </w:tcPr>
          <w:p w14:paraId="059CE84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598" w:type="pct"/>
            <w:vAlign w:val="center"/>
          </w:tcPr>
          <w:p w14:paraId="049BBD81">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464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6DB0E899">
            <w:pPr>
              <w:snapToGrid w:val="0"/>
              <w:ind w:firstLine="420" w:firstLineChars="200"/>
              <w:jc w:val="center"/>
              <w:rPr>
                <w:rFonts w:hint="eastAsia" w:ascii="宋体" w:hAnsi="宋体" w:eastAsia="宋体" w:cs="宋体"/>
                <w:sz w:val="21"/>
                <w:szCs w:val="21"/>
                <w:highlight w:val="none"/>
              </w:rPr>
            </w:pPr>
          </w:p>
        </w:tc>
        <w:tc>
          <w:tcPr>
            <w:tcW w:w="645" w:type="pct"/>
            <w:vMerge w:val="restart"/>
            <w:vAlign w:val="center"/>
          </w:tcPr>
          <w:p w14:paraId="01A4EE9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6E7491C2">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598" w:type="pct"/>
            <w:vAlign w:val="center"/>
          </w:tcPr>
          <w:p w14:paraId="2C38A2FF">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1A41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39718925">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235BB0A">
            <w:pPr>
              <w:snapToGrid w:val="0"/>
              <w:jc w:val="center"/>
              <w:rPr>
                <w:rFonts w:hint="eastAsia" w:ascii="宋体" w:hAnsi="宋体" w:eastAsia="宋体" w:cs="宋体"/>
                <w:sz w:val="21"/>
                <w:szCs w:val="21"/>
                <w:highlight w:val="none"/>
              </w:rPr>
            </w:pPr>
          </w:p>
        </w:tc>
        <w:tc>
          <w:tcPr>
            <w:tcW w:w="1289" w:type="pct"/>
            <w:vAlign w:val="center"/>
          </w:tcPr>
          <w:p w14:paraId="0744AB71">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598" w:type="pct"/>
            <w:vAlign w:val="center"/>
          </w:tcPr>
          <w:p w14:paraId="48E1D8E8">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3777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2AB497E4">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ADFE176">
            <w:pPr>
              <w:snapToGrid w:val="0"/>
              <w:jc w:val="center"/>
              <w:rPr>
                <w:rFonts w:hint="eastAsia" w:ascii="宋体" w:hAnsi="宋体" w:eastAsia="宋体" w:cs="宋体"/>
                <w:sz w:val="21"/>
                <w:szCs w:val="21"/>
                <w:highlight w:val="none"/>
              </w:rPr>
            </w:pPr>
          </w:p>
        </w:tc>
        <w:tc>
          <w:tcPr>
            <w:tcW w:w="1289" w:type="pct"/>
            <w:vAlign w:val="center"/>
          </w:tcPr>
          <w:p w14:paraId="15974329">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598" w:type="pct"/>
            <w:vAlign w:val="center"/>
          </w:tcPr>
          <w:p w14:paraId="53407208">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1CD9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2075A817">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0C2D70A9">
            <w:pPr>
              <w:snapToGrid w:val="0"/>
              <w:jc w:val="center"/>
              <w:rPr>
                <w:rFonts w:hint="eastAsia" w:ascii="宋体" w:hAnsi="宋体" w:eastAsia="宋体" w:cs="宋体"/>
                <w:sz w:val="21"/>
                <w:szCs w:val="21"/>
                <w:highlight w:val="none"/>
              </w:rPr>
            </w:pPr>
          </w:p>
        </w:tc>
        <w:tc>
          <w:tcPr>
            <w:tcW w:w="1289" w:type="pct"/>
            <w:vAlign w:val="center"/>
          </w:tcPr>
          <w:p w14:paraId="46101D2A">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598" w:type="pct"/>
            <w:vAlign w:val="center"/>
          </w:tcPr>
          <w:p w14:paraId="5FF68C3D">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E1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66" w:type="pct"/>
            <w:vMerge w:val="continue"/>
            <w:vAlign w:val="center"/>
          </w:tcPr>
          <w:p w14:paraId="4D2D1CB7">
            <w:pPr>
              <w:snapToGrid w:val="0"/>
              <w:ind w:firstLine="420" w:firstLineChars="200"/>
              <w:jc w:val="center"/>
              <w:rPr>
                <w:rFonts w:hint="eastAsia" w:ascii="宋体" w:hAnsi="宋体" w:eastAsia="宋体" w:cs="宋体"/>
                <w:sz w:val="21"/>
                <w:szCs w:val="21"/>
                <w:highlight w:val="none"/>
              </w:rPr>
            </w:pPr>
          </w:p>
        </w:tc>
        <w:tc>
          <w:tcPr>
            <w:tcW w:w="645" w:type="pct"/>
            <w:vMerge w:val="continue"/>
            <w:vAlign w:val="center"/>
          </w:tcPr>
          <w:p w14:paraId="1E223C62">
            <w:pPr>
              <w:snapToGrid w:val="0"/>
              <w:jc w:val="center"/>
              <w:rPr>
                <w:rFonts w:hint="eastAsia" w:ascii="宋体" w:hAnsi="宋体" w:eastAsia="宋体" w:cs="宋体"/>
                <w:sz w:val="21"/>
                <w:szCs w:val="21"/>
                <w:highlight w:val="none"/>
              </w:rPr>
            </w:pPr>
          </w:p>
        </w:tc>
        <w:tc>
          <w:tcPr>
            <w:tcW w:w="1289" w:type="pct"/>
            <w:vAlign w:val="center"/>
          </w:tcPr>
          <w:p w14:paraId="53E2C658">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598" w:type="pct"/>
            <w:vAlign w:val="center"/>
          </w:tcPr>
          <w:p w14:paraId="30999DD4">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7B32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66" w:type="pct"/>
            <w:vAlign w:val="center"/>
          </w:tcPr>
          <w:p w14:paraId="5BF01E22">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综合评审</w:t>
            </w:r>
          </w:p>
        </w:tc>
        <w:tc>
          <w:tcPr>
            <w:tcW w:w="4533" w:type="pct"/>
            <w:gridSpan w:val="3"/>
            <w:vAlign w:val="center"/>
          </w:tcPr>
          <w:p w14:paraId="085567B1">
            <w:pPr>
              <w:snapToGrid w:val="0"/>
              <w:rPr>
                <w:rFonts w:hint="eastAsia" w:ascii="宋体" w:hAnsi="宋体" w:eastAsia="宋体" w:cs="宋体"/>
                <w:b w:val="0"/>
                <w:bCs w:val="0"/>
                <w:color w:val="333333"/>
                <w:kern w:val="2"/>
                <w:sz w:val="21"/>
                <w:szCs w:val="21"/>
                <w:highlight w:val="none"/>
                <w:lang w:val="en-US" w:eastAsia="zh-CN" w:bidi="ar-SA"/>
              </w:rPr>
            </w:pPr>
            <w:r>
              <w:rPr>
                <w:rFonts w:hint="eastAsia" w:ascii="宋体" w:hAnsi="宋体" w:eastAsia="宋体" w:cs="宋体"/>
                <w:b w:val="0"/>
                <w:bCs w:val="0"/>
                <w:color w:val="333333"/>
                <w:kern w:val="2"/>
                <w:sz w:val="21"/>
                <w:szCs w:val="21"/>
                <w:highlight w:val="none"/>
                <w:lang w:val="en-US" w:eastAsia="zh-CN" w:bidi="ar-SA"/>
              </w:rPr>
              <w:t>本项目采用综合评分法，即在符合采购文件初步评审相关要求的前提下，由项目采购小组（由采购人组建）根据评审办法推荐综合得分最高的合格供应商为第一成交候选人。</w:t>
            </w:r>
          </w:p>
          <w:p w14:paraId="278FDD35">
            <w:pPr>
              <w:pStyle w:val="12"/>
              <w:numPr>
                <w:ilvl w:val="0"/>
                <w:numId w:val="0"/>
              </w:numPr>
              <w:ind w:left="0" w:leftChars="0" w:firstLine="0" w:firstLineChars="0"/>
              <w:rPr>
                <w:rFonts w:hint="eastAsia" w:ascii="宋体" w:hAnsi="宋体" w:eastAsia="宋体" w:cs="宋体"/>
                <w:b w:val="0"/>
                <w:bCs w:val="0"/>
                <w:color w:val="333333"/>
                <w:kern w:val="2"/>
                <w:sz w:val="21"/>
                <w:szCs w:val="21"/>
                <w:highlight w:val="none"/>
                <w:lang w:val="en-US" w:eastAsia="zh-CN" w:bidi="ar-SA"/>
              </w:rPr>
            </w:pPr>
            <w:r>
              <w:rPr>
                <w:rFonts w:hint="eastAsia" w:ascii="宋体" w:hAnsi="宋体" w:eastAsia="宋体" w:cs="宋体"/>
                <w:b w:val="0"/>
                <w:bCs w:val="0"/>
                <w:color w:val="333333"/>
                <w:kern w:val="2"/>
                <w:sz w:val="21"/>
                <w:szCs w:val="21"/>
                <w:highlight w:val="none"/>
                <w:lang w:val="en-US" w:eastAsia="zh-CN" w:bidi="ar-SA"/>
              </w:rPr>
              <w:t>1.项目采购小组依据综合打分结果进行排序，综合得分相同的，以报价低的优先；报价相同的，以技术得分高者排名优先；若技术得分也相同的，由评标委员会投票决定推选中标候选人。</w:t>
            </w:r>
          </w:p>
          <w:p w14:paraId="2473265D">
            <w:pPr>
              <w:numPr>
                <w:ilvl w:val="0"/>
                <w:numId w:val="0"/>
              </w:numPr>
              <w:rPr>
                <w:rFonts w:hint="eastAsia" w:ascii="宋体" w:hAnsi="宋体" w:eastAsia="宋体" w:cs="宋体"/>
                <w:b w:val="0"/>
                <w:bCs w:val="0"/>
                <w:color w:val="333333"/>
                <w:kern w:val="2"/>
                <w:sz w:val="21"/>
                <w:szCs w:val="21"/>
                <w:highlight w:val="none"/>
                <w:lang w:val="en-US" w:eastAsia="zh-CN" w:bidi="ar-SA"/>
              </w:rPr>
            </w:pPr>
            <w:r>
              <w:rPr>
                <w:rFonts w:hint="eastAsia" w:ascii="宋体" w:hAnsi="宋体" w:eastAsia="宋体" w:cs="宋体"/>
                <w:b w:val="0"/>
                <w:bCs w:val="0"/>
                <w:color w:val="333333"/>
                <w:kern w:val="2"/>
                <w:sz w:val="21"/>
                <w:szCs w:val="21"/>
                <w:highlight w:val="none"/>
                <w:lang w:val="en-US" w:eastAsia="zh-CN" w:bidi="ar-SA"/>
              </w:rPr>
              <w:t>2.项目采购小组各评委对有效响应文件按评审标准独立评审打分，供应商商务技术最终得分为各评委个人打分的算术平均值（四舍五入后，小数点后保留两位有效数）。</w:t>
            </w:r>
          </w:p>
          <w:p w14:paraId="1F5C9915">
            <w:pPr>
              <w:pStyle w:val="12"/>
              <w:ind w:left="0" w:leftChars="0" w:firstLine="0" w:firstLineChars="0"/>
              <w:rPr>
                <w:rFonts w:hint="default"/>
                <w:lang w:val="en-US" w:eastAsia="zh-CN"/>
              </w:rPr>
            </w:pPr>
            <w:r>
              <w:rPr>
                <w:rFonts w:hint="eastAsia" w:ascii="宋体" w:hAnsi="宋体" w:eastAsia="宋体" w:cs="宋体"/>
                <w:b w:val="0"/>
                <w:bCs w:val="0"/>
                <w:color w:val="333333"/>
                <w:kern w:val="2"/>
                <w:sz w:val="21"/>
                <w:szCs w:val="21"/>
                <w:highlight w:val="none"/>
                <w:lang w:val="en-US" w:eastAsia="zh-CN" w:bidi="ar-SA"/>
              </w:rPr>
              <w:t>3.供应商综合得分=商务部分得分+技术部分得分+价格部分得分。</w:t>
            </w:r>
          </w:p>
        </w:tc>
      </w:tr>
    </w:tbl>
    <w:p w14:paraId="1904DF4C">
      <w:pPr>
        <w:rPr>
          <w:rFonts w:hint="eastAsia" w:ascii="宋体" w:hAnsi="宋体" w:eastAsia="宋体" w:cs="宋体"/>
          <w:highlight w:val="none"/>
        </w:rPr>
      </w:pPr>
    </w:p>
    <w:p w14:paraId="128E0293">
      <w:pPr>
        <w:pStyle w:val="3"/>
        <w:rPr>
          <w:rFonts w:hint="eastAsia" w:ascii="宋体" w:hAnsi="宋体" w:eastAsia="宋体" w:cs="宋体"/>
          <w:highlight w:val="none"/>
        </w:rPr>
      </w:pPr>
      <w:bookmarkStart w:id="66" w:name="_Toc488944169"/>
      <w:bookmarkEnd w:id="66"/>
      <w:bookmarkStart w:id="67" w:name="_Toc488944170"/>
      <w:bookmarkEnd w:id="67"/>
      <w:bookmarkStart w:id="68" w:name="_Toc14324"/>
      <w:bookmarkStart w:id="69" w:name="_Toc478566273"/>
      <w:bookmarkStart w:id="70" w:name="_Toc478565718"/>
      <w:bookmarkStart w:id="71" w:name="_Toc478566081"/>
      <w:bookmarkStart w:id="72" w:name="_Toc478566439"/>
      <w:bookmarkStart w:id="73" w:name="_Toc68859970"/>
      <w:bookmarkStart w:id="74" w:name="_Toc474148037"/>
      <w:bookmarkStart w:id="75" w:name="_Toc475472662"/>
      <w:bookmarkStart w:id="76" w:name="_Toc475472669"/>
      <w:bookmarkStart w:id="77" w:name="_Toc447265316"/>
      <w:bookmarkStart w:id="78" w:name="_Toc447265602"/>
      <w:r>
        <w:rPr>
          <w:rFonts w:hint="eastAsia" w:ascii="宋体" w:hAnsi="宋体" w:eastAsia="宋体" w:cs="宋体"/>
          <w:highlight w:val="none"/>
        </w:rPr>
        <w:t>评审程序</w:t>
      </w:r>
      <w:bookmarkEnd w:id="68"/>
      <w:bookmarkEnd w:id="69"/>
      <w:bookmarkEnd w:id="70"/>
      <w:bookmarkEnd w:id="71"/>
      <w:bookmarkEnd w:id="72"/>
      <w:bookmarkEnd w:id="73"/>
      <w:bookmarkEnd w:id="74"/>
    </w:p>
    <w:p w14:paraId="1BA5345A">
      <w:pPr>
        <w:rPr>
          <w:rFonts w:hint="eastAsia" w:ascii="宋体" w:hAnsi="宋体" w:eastAsia="宋体" w:cs="宋体"/>
          <w:b/>
          <w:szCs w:val="21"/>
          <w:highlight w:val="none"/>
        </w:rPr>
      </w:pPr>
      <w:r>
        <w:rPr>
          <w:rFonts w:hint="eastAsia" w:ascii="宋体" w:hAnsi="宋体" w:eastAsia="宋体" w:cs="宋体"/>
          <w:b/>
          <w:szCs w:val="21"/>
          <w:highlight w:val="none"/>
        </w:rPr>
        <w:t>3.1.1初步评审</w:t>
      </w:r>
    </w:p>
    <w:p w14:paraId="324C6C59">
      <w:pPr>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 xml:space="preserve">3.3.1.1  </w:t>
      </w:r>
      <w:r>
        <w:rPr>
          <w:rFonts w:hint="eastAsia" w:ascii="宋体" w:hAnsi="宋体" w:cs="宋体"/>
          <w:szCs w:val="21"/>
          <w:highlight w:val="none"/>
          <w:lang w:eastAsia="zh-CN"/>
        </w:rPr>
        <w:t>项目小组</w:t>
      </w:r>
      <w:r>
        <w:rPr>
          <w:rFonts w:hint="eastAsia" w:ascii="宋体" w:hAnsi="宋体" w:eastAsia="宋体" w:cs="宋体"/>
          <w:szCs w:val="21"/>
          <w:highlight w:val="none"/>
        </w:rPr>
        <w:t>根据本章评审办法前附表规定的标准对</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进行初步评审。对全部</w:t>
      </w:r>
      <w:r>
        <w:rPr>
          <w:rFonts w:hint="eastAsia" w:ascii="宋体" w:hAnsi="宋体" w:cs="宋体"/>
          <w:szCs w:val="21"/>
          <w:highlight w:val="none"/>
          <w:lang w:eastAsia="zh-CN"/>
        </w:rPr>
        <w:t>响应文件</w:t>
      </w:r>
      <w:r>
        <w:rPr>
          <w:rFonts w:hint="eastAsia" w:ascii="宋体" w:hAnsi="宋体" w:eastAsia="宋体" w:cs="宋体"/>
          <w:szCs w:val="21"/>
          <w:highlight w:val="none"/>
        </w:rPr>
        <w:t>进行初步评审，检查</w:t>
      </w:r>
      <w:r>
        <w:rPr>
          <w:rFonts w:hint="eastAsia" w:ascii="宋体" w:hAnsi="宋体" w:cs="宋体"/>
          <w:szCs w:val="21"/>
          <w:highlight w:val="none"/>
          <w:lang w:eastAsia="zh-CN"/>
        </w:rPr>
        <w:t>响应文件</w:t>
      </w:r>
      <w:r>
        <w:rPr>
          <w:rFonts w:hint="eastAsia" w:ascii="宋体" w:hAnsi="宋体" w:eastAsia="宋体" w:cs="宋体"/>
          <w:szCs w:val="21"/>
          <w:highlight w:val="none"/>
        </w:rPr>
        <w:t>是否完全满足采购文件要求。初步评审分为</w:t>
      </w:r>
      <w:r>
        <w:rPr>
          <w:rFonts w:hint="eastAsia" w:ascii="宋体" w:hAnsi="宋体" w:eastAsia="宋体" w:cs="宋体"/>
          <w:kern w:val="0"/>
          <w:sz w:val="21"/>
          <w:szCs w:val="21"/>
          <w:highlight w:val="none"/>
        </w:rPr>
        <w:t>形式及响应性评审</w:t>
      </w:r>
      <w:r>
        <w:rPr>
          <w:rFonts w:hint="eastAsia" w:ascii="宋体" w:hAnsi="宋体" w:eastAsia="宋体" w:cs="宋体"/>
          <w:szCs w:val="21"/>
          <w:highlight w:val="none"/>
        </w:rPr>
        <w:t>和资格</w:t>
      </w:r>
      <w:r>
        <w:rPr>
          <w:rFonts w:hint="eastAsia" w:ascii="宋体" w:hAnsi="宋体" w:cs="宋体"/>
          <w:szCs w:val="21"/>
          <w:highlight w:val="none"/>
          <w:lang w:val="en-US" w:eastAsia="zh-CN"/>
        </w:rPr>
        <w:t>评审</w:t>
      </w:r>
      <w:r>
        <w:rPr>
          <w:rFonts w:hint="eastAsia" w:ascii="宋体" w:hAnsi="宋体" w:eastAsia="宋体" w:cs="宋体"/>
          <w:szCs w:val="21"/>
          <w:highlight w:val="none"/>
        </w:rPr>
        <w:t>。初步评审中有一项不符合评审标准的，将做否决应答处理。</w:t>
      </w:r>
    </w:p>
    <w:p w14:paraId="2D27FE1B">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3.3.1.2</w:t>
      </w:r>
      <w:r>
        <w:rPr>
          <w:rFonts w:hint="eastAsia" w:ascii="宋体" w:hAnsi="宋体" w:cs="宋体"/>
          <w:sz w:val="21"/>
          <w:highlight w:val="none"/>
          <w:lang w:eastAsia="zh-CN"/>
        </w:rPr>
        <w:t>供应商</w:t>
      </w:r>
      <w:r>
        <w:rPr>
          <w:rFonts w:hint="eastAsia" w:ascii="宋体" w:hAnsi="宋体" w:eastAsia="宋体" w:cs="宋体"/>
          <w:sz w:val="21"/>
          <w:highlight w:val="none"/>
        </w:rPr>
        <w:t>有以下情形之一的，</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4F36226D">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不按照</w:t>
      </w:r>
      <w:r>
        <w:rPr>
          <w:rFonts w:hint="eastAsia" w:ascii="宋体" w:hAnsi="宋体" w:cs="宋体"/>
          <w:sz w:val="21"/>
          <w:highlight w:val="none"/>
          <w:lang w:eastAsia="zh-CN"/>
        </w:rPr>
        <w:t>项目小组</w:t>
      </w:r>
      <w:r>
        <w:rPr>
          <w:rFonts w:hint="eastAsia" w:ascii="宋体" w:hAnsi="宋体" w:eastAsia="宋体" w:cs="宋体"/>
          <w:sz w:val="21"/>
          <w:highlight w:val="none"/>
        </w:rPr>
        <w:t>要求澄清、说明或者补正；</w:t>
      </w:r>
    </w:p>
    <w:p w14:paraId="0FB0BEC3">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允许联合体应答的，应答联合体没有递交共同应答协议；</w:t>
      </w:r>
    </w:p>
    <w:p w14:paraId="0BEB7641">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不符合国家或者采购文件规定的资格条件；</w:t>
      </w:r>
    </w:p>
    <w:p w14:paraId="7AB69E27">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同一</w:t>
      </w:r>
      <w:r>
        <w:rPr>
          <w:rFonts w:hint="eastAsia" w:ascii="宋体" w:hAnsi="宋体" w:cs="宋体"/>
          <w:sz w:val="21"/>
          <w:highlight w:val="none"/>
          <w:lang w:eastAsia="zh-CN"/>
        </w:rPr>
        <w:t>供应商</w:t>
      </w:r>
      <w:r>
        <w:rPr>
          <w:rFonts w:hint="eastAsia" w:ascii="宋体" w:hAnsi="宋体" w:eastAsia="宋体" w:cs="宋体"/>
          <w:sz w:val="21"/>
          <w:highlight w:val="none"/>
        </w:rPr>
        <w:t>递交两个以上不同的</w:t>
      </w:r>
      <w:r>
        <w:rPr>
          <w:rFonts w:hint="eastAsia" w:ascii="宋体" w:hAnsi="宋体" w:cs="宋体"/>
          <w:sz w:val="21"/>
          <w:highlight w:val="none"/>
          <w:lang w:eastAsia="zh-CN"/>
        </w:rPr>
        <w:t>响应文件</w:t>
      </w:r>
      <w:r>
        <w:rPr>
          <w:rFonts w:hint="eastAsia" w:ascii="宋体" w:hAnsi="宋体" w:eastAsia="宋体" w:cs="宋体"/>
          <w:sz w:val="21"/>
          <w:highlight w:val="none"/>
        </w:rPr>
        <w:t>或者应答报价，但采购文件要求递交备选应答的除外；</w:t>
      </w:r>
    </w:p>
    <w:p w14:paraId="75D6DB6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应答报价低于成本或者高于采购文件设定的最高应答限价；</w:t>
      </w:r>
    </w:p>
    <w:p w14:paraId="708F498A">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没有对采购文件的实质性要求和条件做出响应；</w:t>
      </w:r>
    </w:p>
    <w:p w14:paraId="54AAC18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有串通应答、弄虚作假、行贿等违法行为；</w:t>
      </w:r>
    </w:p>
    <w:p w14:paraId="379F3746">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供应商</w:t>
      </w:r>
      <w:r>
        <w:rPr>
          <w:rFonts w:hint="eastAsia" w:ascii="宋体" w:hAnsi="宋体" w:eastAsia="宋体" w:cs="宋体"/>
          <w:sz w:val="21"/>
          <w:highlight w:val="none"/>
        </w:rPr>
        <w:t>以他人名义应答；</w:t>
      </w:r>
    </w:p>
    <w:p w14:paraId="14621E34">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没有按照采购文件要求提供应答担保或者所提供的应答担保有瑕疵；</w:t>
      </w:r>
    </w:p>
    <w:p w14:paraId="753B5266">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载明的采购项目完成期限超过采购文件规定的期限；</w:t>
      </w:r>
    </w:p>
    <w:p w14:paraId="1A269965">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明显不符合技术规格、技术标准的要求；</w:t>
      </w:r>
    </w:p>
    <w:p w14:paraId="5944A45D">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载明的货物包装方式、检验标准和方法等不符合采购文件的要求；</w:t>
      </w:r>
    </w:p>
    <w:p w14:paraId="06E29EBC">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cs="宋体"/>
          <w:sz w:val="21"/>
          <w:highlight w:val="none"/>
          <w:lang w:eastAsia="zh-CN"/>
        </w:rPr>
        <w:t>响应文件</w:t>
      </w:r>
      <w:r>
        <w:rPr>
          <w:rFonts w:hint="eastAsia" w:ascii="宋体" w:hAnsi="宋体" w:eastAsia="宋体" w:cs="宋体"/>
          <w:sz w:val="21"/>
          <w:highlight w:val="none"/>
        </w:rPr>
        <w:t>附有采购人不能接受的条件；</w:t>
      </w:r>
    </w:p>
    <w:p w14:paraId="2C6C8667">
      <w:pPr>
        <w:pStyle w:val="98"/>
        <w:numPr>
          <w:ilvl w:val="0"/>
          <w:numId w:val="8"/>
        </w:numPr>
        <w:spacing w:line="240" w:lineRule="auto"/>
        <w:ind w:left="0" w:firstLine="420"/>
        <w:rPr>
          <w:rFonts w:hint="eastAsia" w:ascii="宋体" w:hAnsi="宋体" w:eastAsia="宋体" w:cs="宋体"/>
          <w:sz w:val="21"/>
          <w:highlight w:val="none"/>
        </w:rPr>
      </w:pPr>
      <w:r>
        <w:rPr>
          <w:rFonts w:hint="eastAsia" w:ascii="宋体" w:hAnsi="宋体" w:eastAsia="宋体" w:cs="宋体"/>
          <w:sz w:val="21"/>
          <w:highlight w:val="none"/>
        </w:rPr>
        <w:t>不符合采购文件中规定的其他实质性要求。</w:t>
      </w:r>
    </w:p>
    <w:p w14:paraId="29EFA0A3">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3.3.1.3  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收到低于成本价应答的书面质疑材料、发现</w:t>
      </w:r>
      <w:r>
        <w:rPr>
          <w:rFonts w:hint="eastAsia" w:ascii="宋体" w:hAnsi="宋体" w:cs="宋体"/>
          <w:sz w:val="21"/>
          <w:highlight w:val="none"/>
          <w:lang w:eastAsia="zh-CN"/>
        </w:rPr>
        <w:t>供应商</w:t>
      </w:r>
      <w:r>
        <w:rPr>
          <w:rFonts w:hint="eastAsia" w:ascii="宋体" w:hAnsi="宋体" w:eastAsia="宋体" w:cs="宋体"/>
          <w:sz w:val="21"/>
          <w:highlight w:val="none"/>
        </w:rPr>
        <w:t>的综合报价明显低于其他应答报价或者设有标底时明显低于标底，认为应答报价可能低于其个别成本的，应当书面要求该</w:t>
      </w:r>
      <w:r>
        <w:rPr>
          <w:rFonts w:hint="eastAsia" w:ascii="宋体" w:hAnsi="宋体" w:cs="宋体"/>
          <w:sz w:val="21"/>
          <w:highlight w:val="none"/>
          <w:lang w:eastAsia="zh-CN"/>
        </w:rPr>
        <w:t>供应商</w:t>
      </w:r>
      <w:r>
        <w:rPr>
          <w:rFonts w:hint="eastAsia" w:ascii="宋体" w:hAnsi="宋体" w:eastAsia="宋体" w:cs="宋体"/>
          <w:sz w:val="21"/>
          <w:highlight w:val="none"/>
        </w:rPr>
        <w:t>做出书面说明并提供相关证明材料。</w:t>
      </w:r>
      <w:r>
        <w:rPr>
          <w:rFonts w:hint="eastAsia" w:ascii="宋体" w:hAnsi="宋体" w:cs="宋体"/>
          <w:sz w:val="21"/>
          <w:highlight w:val="none"/>
          <w:lang w:eastAsia="zh-CN"/>
        </w:rPr>
        <w:t>供应商</w:t>
      </w:r>
      <w:r>
        <w:rPr>
          <w:rFonts w:hint="eastAsia" w:ascii="宋体" w:hAnsi="宋体" w:eastAsia="宋体" w:cs="宋体"/>
          <w:sz w:val="21"/>
          <w:highlight w:val="none"/>
        </w:rPr>
        <w:t>不能合理说明或者不能提供相应证明材料的，由</w:t>
      </w:r>
      <w:r>
        <w:rPr>
          <w:rFonts w:hint="eastAsia" w:ascii="宋体" w:hAnsi="宋体" w:cs="宋体"/>
          <w:sz w:val="21"/>
          <w:highlight w:val="none"/>
          <w:lang w:eastAsia="zh-CN"/>
        </w:rPr>
        <w:t>项目小组</w:t>
      </w:r>
      <w:r>
        <w:rPr>
          <w:rFonts w:hint="eastAsia" w:ascii="宋体" w:hAnsi="宋体" w:eastAsia="宋体" w:cs="宋体"/>
          <w:sz w:val="21"/>
          <w:highlight w:val="none"/>
        </w:rPr>
        <w:t>认定该</w:t>
      </w:r>
      <w:r>
        <w:rPr>
          <w:rFonts w:hint="eastAsia" w:ascii="宋体" w:hAnsi="宋体" w:cs="宋体"/>
          <w:sz w:val="21"/>
          <w:highlight w:val="none"/>
          <w:lang w:eastAsia="zh-CN"/>
        </w:rPr>
        <w:t>供应商</w:t>
      </w:r>
      <w:r>
        <w:rPr>
          <w:rFonts w:hint="eastAsia" w:ascii="宋体" w:hAnsi="宋体" w:eastAsia="宋体" w:cs="宋体"/>
          <w:sz w:val="21"/>
          <w:highlight w:val="none"/>
        </w:rPr>
        <w:t>以低于成本报价应答，</w:t>
      </w:r>
      <w:r>
        <w:rPr>
          <w:rFonts w:hint="eastAsia" w:ascii="宋体" w:hAnsi="宋体" w:cs="宋体"/>
          <w:sz w:val="21"/>
          <w:highlight w:val="none"/>
          <w:lang w:eastAsia="zh-CN"/>
        </w:rPr>
        <w:t>项目小组</w:t>
      </w:r>
      <w:r>
        <w:rPr>
          <w:rFonts w:hint="eastAsia" w:ascii="宋体" w:hAnsi="宋体" w:eastAsia="宋体" w:cs="宋体"/>
          <w:sz w:val="21"/>
          <w:highlight w:val="none"/>
        </w:rPr>
        <w:t>应当否决其应答。</w:t>
      </w:r>
    </w:p>
    <w:p w14:paraId="681996FC">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3.3.1.4  应答报价有算术错误的，</w:t>
      </w:r>
      <w:r>
        <w:rPr>
          <w:rFonts w:hint="eastAsia" w:ascii="宋体" w:hAnsi="宋体" w:cs="宋体"/>
          <w:sz w:val="21"/>
          <w:highlight w:val="none"/>
          <w:lang w:eastAsia="zh-CN"/>
        </w:rPr>
        <w:t>项目小组</w:t>
      </w:r>
      <w:r>
        <w:rPr>
          <w:rFonts w:hint="eastAsia" w:ascii="宋体" w:hAnsi="宋体" w:eastAsia="宋体" w:cs="宋体"/>
          <w:sz w:val="21"/>
          <w:highlight w:val="none"/>
        </w:rPr>
        <w:t>按照以下原则对应答报价进行修正，修正的价格经</w:t>
      </w:r>
      <w:r>
        <w:rPr>
          <w:rFonts w:hint="eastAsia" w:ascii="宋体" w:hAnsi="宋体" w:cs="宋体"/>
          <w:sz w:val="21"/>
          <w:highlight w:val="none"/>
          <w:lang w:eastAsia="zh-CN"/>
        </w:rPr>
        <w:t>供应商</w:t>
      </w:r>
      <w:r>
        <w:rPr>
          <w:rFonts w:hint="eastAsia" w:ascii="宋体" w:hAnsi="宋体" w:eastAsia="宋体" w:cs="宋体"/>
          <w:sz w:val="21"/>
          <w:highlight w:val="none"/>
        </w:rPr>
        <w:t>书面确认后具有约束力。报价不一致的处理原则：</w:t>
      </w:r>
    </w:p>
    <w:p w14:paraId="5DA8B330">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1）当报价一览表报价信息与分项报价表报价信息不一致时，</w:t>
      </w:r>
      <w:r>
        <w:rPr>
          <w:rFonts w:hint="eastAsia" w:ascii="宋体" w:hAnsi="宋体" w:cs="宋体"/>
          <w:szCs w:val="21"/>
          <w:highlight w:val="none"/>
          <w:lang w:eastAsia="zh-CN"/>
        </w:rPr>
        <w:t>项目小组</w:t>
      </w:r>
      <w:r>
        <w:rPr>
          <w:rFonts w:hint="eastAsia" w:ascii="宋体" w:hAnsi="宋体" w:eastAsia="宋体" w:cs="宋体"/>
          <w:szCs w:val="21"/>
          <w:highlight w:val="none"/>
        </w:rPr>
        <w:t>将以分项报价表中的单价报价信息为准，修正其他报价信息。</w:t>
      </w:r>
    </w:p>
    <w:p w14:paraId="1B25E269">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总价金额与按单价汇总金额不一致的，以单价金额计算结果为准；但单价金额小数点或者百分比有明显错位的，以总价为准，并修改单价。</w:t>
      </w:r>
    </w:p>
    <w:p w14:paraId="35C0A94F">
      <w:pPr>
        <w:pStyle w:val="98"/>
        <w:spacing w:line="240" w:lineRule="auto"/>
        <w:ind w:firstLine="420"/>
        <w:rPr>
          <w:rFonts w:hint="eastAsia" w:ascii="宋体" w:hAnsi="宋体" w:eastAsia="宋体" w:cs="宋体"/>
          <w:color w:val="000000"/>
          <w:sz w:val="21"/>
          <w:highlight w:val="none"/>
        </w:rPr>
      </w:pPr>
      <w:r>
        <w:rPr>
          <w:rFonts w:hint="eastAsia" w:ascii="宋体" w:hAnsi="宋体" w:eastAsia="宋体" w:cs="宋体"/>
          <w:sz w:val="21"/>
          <w:highlight w:val="none"/>
        </w:rPr>
        <w:t>如果</w:t>
      </w:r>
      <w:r>
        <w:rPr>
          <w:rFonts w:hint="eastAsia" w:ascii="宋体" w:hAnsi="宋体" w:cs="宋体"/>
          <w:sz w:val="21"/>
          <w:highlight w:val="none"/>
          <w:lang w:eastAsia="zh-CN"/>
        </w:rPr>
        <w:t>供应商</w:t>
      </w:r>
      <w:r>
        <w:rPr>
          <w:rFonts w:hint="eastAsia" w:ascii="宋体" w:hAnsi="宋体" w:eastAsia="宋体" w:cs="宋体"/>
          <w:sz w:val="21"/>
          <w:highlight w:val="none"/>
        </w:rPr>
        <w:t>不接受对其错误的更正，其应答无效。</w:t>
      </w:r>
    </w:p>
    <w:p w14:paraId="3578C847">
      <w:pPr>
        <w:pStyle w:val="98"/>
        <w:spacing w:line="240" w:lineRule="auto"/>
        <w:ind w:firstLine="0" w:firstLineChars="0"/>
        <w:rPr>
          <w:rFonts w:hint="eastAsia" w:ascii="宋体" w:hAnsi="宋体" w:eastAsia="宋体" w:cs="宋体"/>
          <w:b/>
          <w:color w:val="000000"/>
          <w:sz w:val="21"/>
          <w:highlight w:val="none"/>
        </w:rPr>
      </w:pPr>
      <w:r>
        <w:rPr>
          <w:rFonts w:hint="eastAsia" w:ascii="宋体" w:hAnsi="宋体" w:eastAsia="宋体" w:cs="宋体"/>
          <w:b/>
          <w:color w:val="000000"/>
          <w:sz w:val="21"/>
          <w:highlight w:val="none"/>
        </w:rPr>
        <w:t>3.3.2详细评审</w:t>
      </w:r>
    </w:p>
    <w:p w14:paraId="6E8788EF">
      <w:pPr>
        <w:pStyle w:val="98"/>
        <w:spacing w:line="240" w:lineRule="auto"/>
        <w:ind w:firstLine="420"/>
        <w:rPr>
          <w:rFonts w:hint="eastAsia" w:ascii="宋体" w:hAnsi="宋体" w:eastAsia="宋体" w:cs="宋体"/>
          <w:sz w:val="21"/>
          <w:highlight w:val="none"/>
        </w:rPr>
      </w:pPr>
      <w:r>
        <w:rPr>
          <w:rFonts w:hint="eastAsia" w:ascii="宋体" w:hAnsi="宋体" w:cs="宋体"/>
          <w:sz w:val="21"/>
          <w:highlight w:val="none"/>
          <w:lang w:eastAsia="zh-CN"/>
        </w:rPr>
        <w:t>项目小组</w:t>
      </w:r>
      <w:r>
        <w:rPr>
          <w:rFonts w:hint="eastAsia" w:ascii="宋体" w:hAnsi="宋体" w:eastAsia="宋体" w:cs="宋体"/>
          <w:sz w:val="21"/>
          <w:highlight w:val="none"/>
        </w:rPr>
        <w:t>按照本章评审办法前附表规定的综合评审规则进行评审。</w:t>
      </w:r>
    </w:p>
    <w:p w14:paraId="74109ECA">
      <w:pPr>
        <w:pStyle w:val="98"/>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3.3.3</w:t>
      </w:r>
      <w:r>
        <w:rPr>
          <w:rFonts w:hint="eastAsia" w:ascii="宋体" w:hAnsi="宋体" w:cs="宋体"/>
          <w:b/>
          <w:sz w:val="21"/>
          <w:highlight w:val="none"/>
          <w:lang w:eastAsia="zh-CN"/>
        </w:rPr>
        <w:t>响应文件</w:t>
      </w:r>
      <w:r>
        <w:rPr>
          <w:rFonts w:hint="eastAsia" w:ascii="宋体" w:hAnsi="宋体" w:eastAsia="宋体" w:cs="宋体"/>
          <w:b/>
          <w:sz w:val="21"/>
          <w:highlight w:val="none"/>
        </w:rPr>
        <w:t>的澄清</w:t>
      </w:r>
    </w:p>
    <w:p w14:paraId="40958AF7">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3.3.3.1  在评审过程中，</w:t>
      </w:r>
      <w:r>
        <w:rPr>
          <w:rFonts w:hint="eastAsia" w:ascii="宋体" w:hAnsi="宋体" w:cs="宋体"/>
          <w:sz w:val="21"/>
          <w:highlight w:val="none"/>
          <w:lang w:eastAsia="zh-CN"/>
        </w:rPr>
        <w:t>项目小组</w:t>
      </w:r>
      <w:r>
        <w:rPr>
          <w:rFonts w:hint="eastAsia" w:ascii="宋体" w:hAnsi="宋体" w:eastAsia="宋体" w:cs="宋体"/>
          <w:sz w:val="21"/>
          <w:highlight w:val="none"/>
        </w:rPr>
        <w:t>应当以书面形式要求</w:t>
      </w:r>
      <w:r>
        <w:rPr>
          <w:rFonts w:hint="eastAsia" w:ascii="宋体" w:hAnsi="宋体" w:cs="宋体"/>
          <w:sz w:val="21"/>
          <w:highlight w:val="none"/>
          <w:lang w:eastAsia="zh-CN"/>
        </w:rPr>
        <w:t>供应商</w:t>
      </w:r>
      <w:r>
        <w:rPr>
          <w:rFonts w:hint="eastAsia" w:ascii="宋体" w:hAnsi="宋体" w:eastAsia="宋体" w:cs="宋体"/>
          <w:sz w:val="21"/>
          <w:highlight w:val="none"/>
        </w:rPr>
        <w:t>对所递交的</w:t>
      </w:r>
      <w:r>
        <w:rPr>
          <w:rFonts w:hint="eastAsia" w:ascii="宋体" w:hAnsi="宋体" w:cs="宋体"/>
          <w:sz w:val="21"/>
          <w:highlight w:val="none"/>
          <w:lang w:eastAsia="zh-CN"/>
        </w:rPr>
        <w:t>响应文件</w:t>
      </w:r>
      <w:r>
        <w:rPr>
          <w:rFonts w:hint="eastAsia" w:ascii="宋体" w:hAnsi="宋体" w:eastAsia="宋体" w:cs="宋体"/>
          <w:sz w:val="21"/>
          <w:highlight w:val="none"/>
        </w:rPr>
        <w:t>中不明确的内容进行书面澄清、说明或者对</w:t>
      </w:r>
      <w:r>
        <w:rPr>
          <w:rFonts w:hint="eastAsia" w:ascii="宋体" w:hAnsi="宋体" w:cs="宋体"/>
          <w:sz w:val="21"/>
          <w:highlight w:val="none"/>
          <w:lang w:eastAsia="zh-CN"/>
        </w:rPr>
        <w:t>响应文件</w:t>
      </w:r>
      <w:r>
        <w:rPr>
          <w:rFonts w:hint="eastAsia" w:ascii="宋体" w:hAnsi="宋体" w:eastAsia="宋体" w:cs="宋体"/>
          <w:sz w:val="21"/>
          <w:highlight w:val="none"/>
        </w:rPr>
        <w:t>中的细微偏差进行补正。</w:t>
      </w:r>
      <w:r>
        <w:rPr>
          <w:rFonts w:hint="eastAsia" w:ascii="宋体" w:hAnsi="宋体" w:cs="宋体"/>
          <w:sz w:val="21"/>
          <w:highlight w:val="none"/>
          <w:lang w:eastAsia="zh-CN"/>
        </w:rPr>
        <w:t>项目小组</w:t>
      </w:r>
      <w:r>
        <w:rPr>
          <w:rFonts w:hint="eastAsia" w:ascii="宋体" w:hAnsi="宋体" w:eastAsia="宋体" w:cs="宋体"/>
          <w:sz w:val="21"/>
          <w:highlight w:val="none"/>
        </w:rPr>
        <w:t>不接受</w:t>
      </w:r>
      <w:r>
        <w:rPr>
          <w:rFonts w:hint="eastAsia" w:ascii="宋体" w:hAnsi="宋体" w:cs="宋体"/>
          <w:sz w:val="21"/>
          <w:highlight w:val="none"/>
          <w:lang w:eastAsia="zh-CN"/>
        </w:rPr>
        <w:t>供应商</w:t>
      </w:r>
      <w:r>
        <w:rPr>
          <w:rFonts w:hint="eastAsia" w:ascii="宋体" w:hAnsi="宋体" w:eastAsia="宋体" w:cs="宋体"/>
          <w:sz w:val="21"/>
          <w:highlight w:val="none"/>
        </w:rPr>
        <w:t>主动提出的澄清、说明或者补正。</w:t>
      </w:r>
    </w:p>
    <w:p w14:paraId="2EAF61C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3.3.3.2  细微偏差：是指</w:t>
      </w:r>
      <w:r>
        <w:rPr>
          <w:rFonts w:hint="eastAsia" w:ascii="宋体" w:hAnsi="宋体" w:cs="宋体"/>
          <w:sz w:val="21"/>
          <w:highlight w:val="none"/>
          <w:lang w:eastAsia="zh-CN"/>
        </w:rPr>
        <w:t>响应文件</w:t>
      </w:r>
      <w:r>
        <w:rPr>
          <w:rFonts w:hint="eastAsia" w:ascii="宋体" w:hAnsi="宋体" w:eastAsia="宋体" w:cs="宋体"/>
          <w:sz w:val="21"/>
          <w:highlight w:val="none"/>
        </w:rPr>
        <w:t>在实质上响应采购文件要求，但个别地方存在漏项或者提供了不完整的技术信息和数据等情况，并且补正这些遗漏或者不完整不会对其他</w:t>
      </w:r>
      <w:r>
        <w:rPr>
          <w:rFonts w:hint="eastAsia" w:ascii="宋体" w:hAnsi="宋体" w:cs="宋体"/>
          <w:sz w:val="21"/>
          <w:highlight w:val="none"/>
          <w:lang w:eastAsia="zh-CN"/>
        </w:rPr>
        <w:t>供应商</w:t>
      </w:r>
      <w:r>
        <w:rPr>
          <w:rFonts w:hint="eastAsia" w:ascii="宋体" w:hAnsi="宋体" w:eastAsia="宋体" w:cs="宋体"/>
          <w:sz w:val="21"/>
          <w:highlight w:val="none"/>
        </w:rPr>
        <w:t>造成不公平的结果。细微偏差不影响</w:t>
      </w:r>
      <w:r>
        <w:rPr>
          <w:rFonts w:hint="eastAsia" w:ascii="宋体" w:hAnsi="宋体" w:cs="宋体"/>
          <w:sz w:val="21"/>
          <w:highlight w:val="none"/>
          <w:lang w:eastAsia="zh-CN"/>
        </w:rPr>
        <w:t>响应文件</w:t>
      </w:r>
      <w:r>
        <w:rPr>
          <w:rFonts w:hint="eastAsia" w:ascii="宋体" w:hAnsi="宋体" w:eastAsia="宋体" w:cs="宋体"/>
          <w:sz w:val="21"/>
          <w:highlight w:val="none"/>
        </w:rPr>
        <w:t>的有效性。</w:t>
      </w:r>
    </w:p>
    <w:p w14:paraId="1A4CF58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3.3.3.3  澄清、说明和补正不得改变</w:t>
      </w:r>
      <w:r>
        <w:rPr>
          <w:rFonts w:hint="eastAsia" w:ascii="宋体" w:hAnsi="宋体" w:cs="宋体"/>
          <w:sz w:val="21"/>
          <w:highlight w:val="none"/>
          <w:lang w:eastAsia="zh-CN"/>
        </w:rPr>
        <w:t>响应文件</w:t>
      </w:r>
      <w:r>
        <w:rPr>
          <w:rFonts w:hint="eastAsia" w:ascii="宋体" w:hAnsi="宋体" w:eastAsia="宋体" w:cs="宋体"/>
          <w:sz w:val="21"/>
          <w:highlight w:val="none"/>
        </w:rPr>
        <w:t>的实质性内容（算术性错误修正的除外）。</w:t>
      </w:r>
      <w:r>
        <w:rPr>
          <w:rFonts w:hint="eastAsia" w:ascii="宋体" w:hAnsi="宋体" w:cs="宋体"/>
          <w:sz w:val="21"/>
          <w:highlight w:val="none"/>
          <w:lang w:eastAsia="zh-CN"/>
        </w:rPr>
        <w:t>供应商</w:t>
      </w:r>
      <w:r>
        <w:rPr>
          <w:rFonts w:hint="eastAsia" w:ascii="宋体" w:hAnsi="宋体" w:eastAsia="宋体" w:cs="宋体"/>
          <w:sz w:val="21"/>
          <w:highlight w:val="none"/>
        </w:rPr>
        <w:t>的书面澄清、说明和补正属于</w:t>
      </w:r>
      <w:r>
        <w:rPr>
          <w:rFonts w:hint="eastAsia" w:ascii="宋体" w:hAnsi="宋体" w:cs="宋体"/>
          <w:sz w:val="21"/>
          <w:highlight w:val="none"/>
          <w:lang w:eastAsia="zh-CN"/>
        </w:rPr>
        <w:t>响应文件</w:t>
      </w:r>
      <w:r>
        <w:rPr>
          <w:rFonts w:hint="eastAsia" w:ascii="宋体" w:hAnsi="宋体" w:eastAsia="宋体" w:cs="宋体"/>
          <w:sz w:val="21"/>
          <w:highlight w:val="none"/>
        </w:rPr>
        <w:t>的组成部分。</w:t>
      </w:r>
    </w:p>
    <w:p w14:paraId="05B92424">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3.3.3.4  </w:t>
      </w:r>
      <w:r>
        <w:rPr>
          <w:rFonts w:hint="eastAsia" w:ascii="宋体" w:hAnsi="宋体" w:cs="宋体"/>
          <w:sz w:val="21"/>
          <w:highlight w:val="none"/>
          <w:lang w:eastAsia="zh-CN"/>
        </w:rPr>
        <w:t>项目小组</w:t>
      </w:r>
      <w:r>
        <w:rPr>
          <w:rFonts w:hint="eastAsia" w:ascii="宋体" w:hAnsi="宋体" w:eastAsia="宋体" w:cs="宋体"/>
          <w:sz w:val="21"/>
          <w:highlight w:val="none"/>
        </w:rPr>
        <w:t>对</w:t>
      </w:r>
      <w:r>
        <w:rPr>
          <w:rFonts w:hint="eastAsia" w:ascii="宋体" w:hAnsi="宋体" w:cs="宋体"/>
          <w:sz w:val="21"/>
          <w:highlight w:val="none"/>
          <w:lang w:eastAsia="zh-CN"/>
        </w:rPr>
        <w:t>供应商</w:t>
      </w:r>
      <w:r>
        <w:rPr>
          <w:rFonts w:hint="eastAsia" w:ascii="宋体" w:hAnsi="宋体" w:eastAsia="宋体" w:cs="宋体"/>
          <w:sz w:val="21"/>
          <w:highlight w:val="none"/>
        </w:rPr>
        <w:t>递交的澄清、说明或者补正有疑问的，可以要求</w:t>
      </w:r>
      <w:r>
        <w:rPr>
          <w:rFonts w:hint="eastAsia" w:ascii="宋体" w:hAnsi="宋体" w:cs="宋体"/>
          <w:sz w:val="21"/>
          <w:highlight w:val="none"/>
          <w:lang w:eastAsia="zh-CN"/>
        </w:rPr>
        <w:t>供应商</w:t>
      </w:r>
      <w:r>
        <w:rPr>
          <w:rFonts w:hint="eastAsia" w:ascii="宋体" w:hAnsi="宋体" w:eastAsia="宋体" w:cs="宋体"/>
          <w:sz w:val="21"/>
          <w:highlight w:val="none"/>
        </w:rPr>
        <w:t>进一步澄清、说明或者补正，直至满足</w:t>
      </w:r>
      <w:r>
        <w:rPr>
          <w:rFonts w:hint="eastAsia" w:ascii="宋体" w:hAnsi="宋体" w:cs="宋体"/>
          <w:sz w:val="21"/>
          <w:highlight w:val="none"/>
          <w:lang w:eastAsia="zh-CN"/>
        </w:rPr>
        <w:t>项目小组</w:t>
      </w:r>
      <w:r>
        <w:rPr>
          <w:rFonts w:hint="eastAsia" w:ascii="宋体" w:hAnsi="宋体" w:eastAsia="宋体" w:cs="宋体"/>
          <w:sz w:val="21"/>
          <w:highlight w:val="none"/>
        </w:rPr>
        <w:t>的要求。</w:t>
      </w:r>
    </w:p>
    <w:p w14:paraId="2B593FE4">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3.3.3.5  </w:t>
      </w:r>
      <w:r>
        <w:rPr>
          <w:rFonts w:hint="eastAsia" w:ascii="宋体" w:hAnsi="宋体" w:cs="宋体"/>
          <w:sz w:val="21"/>
          <w:highlight w:val="none"/>
          <w:lang w:eastAsia="zh-CN"/>
        </w:rPr>
        <w:t>项目小组</w:t>
      </w:r>
      <w:r>
        <w:rPr>
          <w:rFonts w:hint="eastAsia" w:ascii="宋体" w:hAnsi="宋体" w:eastAsia="宋体" w:cs="宋体"/>
          <w:sz w:val="21"/>
          <w:highlight w:val="none"/>
        </w:rPr>
        <w:t>必要时可以要求</w:t>
      </w:r>
      <w:r>
        <w:rPr>
          <w:rFonts w:hint="eastAsia" w:ascii="宋体" w:hAnsi="宋体" w:cs="宋体"/>
          <w:sz w:val="21"/>
          <w:highlight w:val="none"/>
          <w:lang w:eastAsia="zh-CN"/>
        </w:rPr>
        <w:t>供应商</w:t>
      </w:r>
      <w:r>
        <w:rPr>
          <w:rFonts w:hint="eastAsia" w:ascii="宋体" w:hAnsi="宋体" w:eastAsia="宋体" w:cs="宋体"/>
          <w:sz w:val="21"/>
          <w:highlight w:val="none"/>
        </w:rPr>
        <w:t>递交有关证明和证件的原件，以便核验。</w:t>
      </w:r>
      <w:bookmarkStart w:id="79" w:name="_Toc478566443"/>
      <w:bookmarkStart w:id="80" w:name="_Toc478565722"/>
      <w:bookmarkStart w:id="81" w:name="_Toc478566277"/>
      <w:bookmarkStart w:id="82" w:name="_Toc478566085"/>
      <w:bookmarkStart w:id="83" w:name="_Toc474148041"/>
    </w:p>
    <w:p w14:paraId="48650C11">
      <w:pPr>
        <w:pStyle w:val="98"/>
        <w:ind w:firstLine="0" w:firstLineChars="0"/>
        <w:rPr>
          <w:rFonts w:hint="eastAsia" w:ascii="宋体" w:hAnsi="宋体" w:eastAsia="宋体" w:cs="宋体"/>
          <w:b/>
          <w:bCs/>
          <w:sz w:val="21"/>
          <w:highlight w:val="none"/>
        </w:rPr>
      </w:pPr>
      <w:r>
        <w:rPr>
          <w:rFonts w:hint="eastAsia" w:ascii="宋体" w:hAnsi="宋体" w:eastAsia="宋体" w:cs="宋体"/>
          <w:b/>
          <w:bCs/>
          <w:sz w:val="21"/>
          <w:highlight w:val="none"/>
        </w:rPr>
        <w:t>3.3.4成交候选人推荐原则</w:t>
      </w:r>
      <w:bookmarkEnd w:id="79"/>
      <w:bookmarkEnd w:id="80"/>
      <w:bookmarkEnd w:id="81"/>
      <w:bookmarkEnd w:id="82"/>
      <w:bookmarkEnd w:id="83"/>
    </w:p>
    <w:p w14:paraId="2DF05D2A">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成交候选人推荐原则见评审办法前附表。</w:t>
      </w:r>
    </w:p>
    <w:p w14:paraId="71D4E645">
      <w:pPr>
        <w:pStyle w:val="98"/>
        <w:ind w:firstLine="0" w:firstLineChars="0"/>
        <w:rPr>
          <w:rFonts w:hint="eastAsia" w:ascii="宋体" w:hAnsi="宋体" w:eastAsia="宋体" w:cs="宋体"/>
          <w:b/>
          <w:sz w:val="21"/>
          <w:highlight w:val="none"/>
        </w:rPr>
      </w:pPr>
      <w:r>
        <w:rPr>
          <w:rFonts w:hint="eastAsia" w:ascii="宋体" w:hAnsi="宋体" w:eastAsia="宋体" w:cs="宋体"/>
          <w:b/>
          <w:sz w:val="21"/>
          <w:highlight w:val="none"/>
        </w:rPr>
        <w:t>3.3.5评审结果</w:t>
      </w:r>
    </w:p>
    <w:p w14:paraId="7FAF185B">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 xml:space="preserve">3.3.5.1  </w:t>
      </w:r>
      <w:r>
        <w:rPr>
          <w:rFonts w:hint="eastAsia" w:ascii="宋体" w:hAnsi="宋体" w:cs="宋体"/>
          <w:sz w:val="21"/>
          <w:highlight w:val="none"/>
          <w:lang w:eastAsia="zh-CN"/>
        </w:rPr>
        <w:t>项目小组</w:t>
      </w:r>
      <w:r>
        <w:rPr>
          <w:rFonts w:hint="eastAsia" w:ascii="宋体" w:hAnsi="宋体" w:eastAsia="宋体" w:cs="宋体"/>
          <w:sz w:val="21"/>
          <w:highlight w:val="none"/>
        </w:rPr>
        <w:t>完成评审后，应当</w:t>
      </w:r>
      <w:r>
        <w:rPr>
          <w:rFonts w:hint="eastAsia" w:ascii="宋体" w:hAnsi="宋体" w:cs="宋体"/>
          <w:sz w:val="21"/>
          <w:highlight w:val="none"/>
          <w:lang w:val="en-US" w:eastAsia="zh-CN"/>
        </w:rPr>
        <w:t>形成统一、完整的</w:t>
      </w:r>
      <w:r>
        <w:rPr>
          <w:rFonts w:hint="eastAsia" w:ascii="宋体" w:hAnsi="宋体" w:eastAsia="宋体" w:cs="宋体"/>
          <w:sz w:val="21"/>
          <w:highlight w:val="none"/>
        </w:rPr>
        <w:t>书面评审报告。</w:t>
      </w:r>
    </w:p>
    <w:p w14:paraId="23955108">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3.3.5.2  评审报告应当包括下列内容：</w:t>
      </w:r>
    </w:p>
    <w:p w14:paraId="68D6CD20">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（1）项目简介；</w:t>
      </w:r>
    </w:p>
    <w:p w14:paraId="263C4942">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（2）采购过程简介；</w:t>
      </w:r>
    </w:p>
    <w:p w14:paraId="6D821B1D">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3</w:t>
      </w:r>
      <w:r>
        <w:rPr>
          <w:rFonts w:hint="eastAsia" w:ascii="宋体" w:hAnsi="宋体" w:eastAsia="宋体" w:cs="宋体"/>
          <w:sz w:val="21"/>
          <w:highlight w:val="none"/>
        </w:rPr>
        <w:t>）</w:t>
      </w:r>
      <w:r>
        <w:rPr>
          <w:rFonts w:hint="eastAsia" w:ascii="宋体" w:hAnsi="宋体" w:cs="宋体"/>
          <w:sz w:val="21"/>
          <w:highlight w:val="none"/>
          <w:lang w:val="en-US" w:eastAsia="zh-CN"/>
        </w:rPr>
        <w:t>项目小组初步评审情况说明（包含</w:t>
      </w:r>
      <w:r>
        <w:rPr>
          <w:rFonts w:hint="eastAsia" w:ascii="宋体" w:hAnsi="宋体" w:eastAsia="宋体" w:cs="宋体"/>
          <w:sz w:val="21"/>
          <w:highlight w:val="none"/>
        </w:rPr>
        <w:t>否决应答的情况说明</w:t>
      </w:r>
      <w:r>
        <w:rPr>
          <w:rFonts w:hint="eastAsia" w:ascii="宋体" w:hAnsi="宋体" w:cs="宋体"/>
          <w:sz w:val="21"/>
          <w:highlight w:val="none"/>
          <w:lang w:eastAsia="zh-CN"/>
        </w:rPr>
        <w:t>）</w:t>
      </w:r>
      <w:r>
        <w:rPr>
          <w:rFonts w:hint="eastAsia" w:ascii="宋体" w:hAnsi="宋体" w:eastAsia="宋体" w:cs="宋体"/>
          <w:sz w:val="21"/>
          <w:highlight w:val="none"/>
        </w:rPr>
        <w:t>；</w:t>
      </w:r>
    </w:p>
    <w:p w14:paraId="170D981E">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4</w:t>
      </w:r>
      <w:r>
        <w:rPr>
          <w:rFonts w:hint="eastAsia" w:ascii="宋体" w:hAnsi="宋体" w:eastAsia="宋体" w:cs="宋体"/>
          <w:sz w:val="21"/>
          <w:highlight w:val="none"/>
        </w:rPr>
        <w:t>）推荐的</w:t>
      </w:r>
      <w:r>
        <w:rPr>
          <w:rFonts w:hint="eastAsia" w:ascii="宋体" w:hAnsi="宋体" w:eastAsia="宋体" w:cs="宋体"/>
          <w:sz w:val="21"/>
          <w:highlight w:val="none"/>
          <w:lang w:eastAsia="zh-CN"/>
        </w:rPr>
        <w:t>成交</w:t>
      </w:r>
      <w:r>
        <w:rPr>
          <w:rFonts w:hint="eastAsia" w:ascii="宋体" w:hAnsi="宋体" w:eastAsia="宋体" w:cs="宋体"/>
          <w:sz w:val="21"/>
          <w:highlight w:val="none"/>
        </w:rPr>
        <w:t>候选人名单；</w:t>
      </w:r>
    </w:p>
    <w:p w14:paraId="0B43B163">
      <w:pPr>
        <w:pStyle w:val="98"/>
        <w:spacing w:line="240" w:lineRule="auto"/>
        <w:ind w:firstLine="420"/>
        <w:rPr>
          <w:rFonts w:hint="eastAsia" w:ascii="宋体" w:hAnsi="宋体" w:eastAsia="宋体" w:cs="宋体"/>
          <w:sz w:val="21"/>
          <w:highlight w:val="none"/>
          <w:lang w:eastAsia="zh-CN"/>
        </w:rPr>
      </w:pPr>
      <w:r>
        <w:rPr>
          <w:rFonts w:hint="eastAsia" w:ascii="宋体" w:hAnsi="宋体" w:eastAsia="宋体" w:cs="宋体"/>
          <w:sz w:val="21"/>
          <w:highlight w:val="none"/>
        </w:rPr>
        <w:t>（</w:t>
      </w:r>
      <w:r>
        <w:rPr>
          <w:rFonts w:hint="eastAsia" w:ascii="宋体" w:hAnsi="宋体" w:cs="宋体"/>
          <w:sz w:val="21"/>
          <w:highlight w:val="none"/>
          <w:lang w:val="en-US" w:eastAsia="zh-CN"/>
        </w:rPr>
        <w:t>5</w:t>
      </w:r>
      <w:r>
        <w:rPr>
          <w:rFonts w:hint="eastAsia" w:ascii="宋体" w:hAnsi="宋体" w:eastAsia="宋体" w:cs="宋体"/>
          <w:sz w:val="21"/>
          <w:highlight w:val="none"/>
        </w:rPr>
        <w:t>）签订合同前要处理的事宜；</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0F94E558">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6</w:t>
      </w:r>
      <w:r>
        <w:rPr>
          <w:rFonts w:hint="eastAsia" w:ascii="宋体" w:hAnsi="宋体" w:eastAsia="宋体" w:cs="宋体"/>
          <w:sz w:val="21"/>
          <w:highlight w:val="none"/>
        </w:rPr>
        <w:t>）澄清、说明、补正事项纪要；</w:t>
      </w:r>
      <w:r>
        <w:rPr>
          <w:rFonts w:hint="eastAsia" w:ascii="宋体" w:hAnsi="宋体" w:cs="宋体"/>
          <w:sz w:val="21"/>
          <w:highlight w:val="none"/>
          <w:lang w:eastAsia="zh-CN"/>
        </w:rPr>
        <w:t>（</w:t>
      </w:r>
      <w:r>
        <w:rPr>
          <w:rFonts w:hint="eastAsia" w:ascii="宋体" w:hAnsi="宋体" w:cs="宋体"/>
          <w:sz w:val="21"/>
          <w:highlight w:val="none"/>
          <w:lang w:val="en-US" w:eastAsia="zh-CN"/>
        </w:rPr>
        <w:t>如有</w:t>
      </w:r>
      <w:r>
        <w:rPr>
          <w:rFonts w:hint="eastAsia" w:ascii="宋体" w:hAnsi="宋体" w:cs="宋体"/>
          <w:sz w:val="21"/>
          <w:highlight w:val="none"/>
          <w:lang w:eastAsia="zh-CN"/>
        </w:rPr>
        <w:t>）</w:t>
      </w:r>
    </w:p>
    <w:p w14:paraId="6F090DE1">
      <w:pPr>
        <w:pStyle w:val="98"/>
        <w:spacing w:line="240" w:lineRule="auto"/>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cs="宋体"/>
          <w:sz w:val="21"/>
          <w:highlight w:val="none"/>
          <w:lang w:val="en-US" w:eastAsia="zh-CN"/>
        </w:rPr>
        <w:t>7</w:t>
      </w:r>
      <w:r>
        <w:rPr>
          <w:rFonts w:hint="eastAsia" w:ascii="宋体" w:hAnsi="宋体" w:eastAsia="宋体" w:cs="宋体"/>
          <w:sz w:val="21"/>
          <w:highlight w:val="none"/>
        </w:rPr>
        <w:t>）</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成员名单及本人签字、拒绝在评审报告上签字的</w:t>
      </w:r>
      <w:r>
        <w:rPr>
          <w:rFonts w:hint="eastAsia" w:ascii="宋体" w:hAnsi="宋体" w:cs="宋体"/>
          <w:sz w:val="21"/>
          <w:highlight w:val="none"/>
          <w:lang w:eastAsia="zh-CN"/>
        </w:rPr>
        <w:t>项目小组</w:t>
      </w:r>
      <w:r>
        <w:rPr>
          <w:rFonts w:hint="eastAsia" w:ascii="宋体" w:hAnsi="宋体" w:eastAsia="宋体" w:cs="宋体"/>
          <w:sz w:val="21"/>
          <w:highlight w:val="none"/>
        </w:rPr>
        <w:t>成员名单及其陈述的不同意见和理由。</w:t>
      </w:r>
    </w:p>
    <w:p w14:paraId="72179059">
      <w:pP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p>
    <w:p w14:paraId="5E24FBA6">
      <w:pPr>
        <w:rPr>
          <w:rFonts w:hint="eastAsia" w:ascii="宋体" w:hAnsi="宋体" w:eastAsia="宋体" w:cs="宋体"/>
          <w:lang w:val="en-US" w:eastAsia="zh-CN"/>
        </w:rPr>
      </w:pPr>
      <w:r>
        <w:rPr>
          <w:rFonts w:hint="eastAsia" w:ascii="宋体" w:hAnsi="宋体" w:eastAsia="宋体" w:cs="宋体"/>
          <w:b/>
          <w:sz w:val="36"/>
          <w:szCs w:val="36"/>
          <w:lang w:val="en-US" w:eastAsia="zh-CN"/>
        </w:rPr>
        <w:t>附件：</w:t>
      </w:r>
      <w:bookmarkStart w:id="84" w:name="_Toc20635"/>
    </w:p>
    <w:p w14:paraId="5E43B1EE">
      <w:pPr>
        <w:pStyle w:val="5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lang w:val="en-US" w:eastAsia="zh-CN"/>
        </w:rPr>
      </w:pPr>
      <w:bookmarkStart w:id="85" w:name="_Toc17860"/>
      <w:r>
        <w:rPr>
          <w:rFonts w:hint="eastAsia" w:ascii="宋体" w:hAnsi="宋体" w:eastAsia="宋体" w:cs="宋体"/>
          <w:b/>
          <w:bCs w:val="0"/>
          <w:kern w:val="0"/>
          <w:sz w:val="28"/>
          <w:szCs w:val="28"/>
          <w:highlight w:val="none"/>
          <w:lang w:val="en-US" w:eastAsia="zh-CN"/>
        </w:rPr>
        <w:t>评分标准表</w:t>
      </w:r>
      <w:bookmarkEnd w:id="85"/>
    </w:p>
    <w:bookmarkEnd w:id="84"/>
    <w:p w14:paraId="597E6C37">
      <w:pPr>
        <w:pStyle w:val="16"/>
        <w:numPr>
          <w:ilvl w:val="0"/>
          <w:numId w:val="0"/>
        </w:numPr>
        <w:spacing w:before="91" w:line="223" w:lineRule="auto"/>
        <w:outlineLvl w:val="1"/>
        <w:rPr>
          <w:rFonts w:hint="eastAsia" w:ascii="宋体" w:hAnsi="宋体" w:eastAsia="宋体" w:cs="宋体"/>
          <w:spacing w:val="-5"/>
          <w:sz w:val="28"/>
          <w:szCs w:val="28"/>
        </w:rPr>
      </w:pPr>
      <w:bookmarkStart w:id="86" w:name="_Toc2537"/>
      <w:r>
        <w:rPr>
          <w:rFonts w:hint="eastAsia" w:ascii="宋体" w:hAnsi="宋体" w:eastAsia="宋体" w:cs="宋体"/>
          <w:spacing w:val="-5"/>
          <w:kern w:val="2"/>
          <w:sz w:val="28"/>
          <w:szCs w:val="28"/>
          <w:lang w:val="en-US" w:eastAsia="zh-CN" w:bidi="ar-SA"/>
        </w:rPr>
        <w:t>（1）</w:t>
      </w:r>
      <w:r>
        <w:rPr>
          <w:rFonts w:hint="eastAsia" w:ascii="宋体" w:hAnsi="宋体" w:eastAsia="宋体" w:cs="宋体"/>
          <w:b w:val="0"/>
          <w:bCs w:val="0"/>
          <w:spacing w:val="-3"/>
          <w:sz w:val="28"/>
          <w:szCs w:val="28"/>
          <w14:textOutline w14:w="5103" w14:cap="sq" w14:cmpd="sng">
            <w14:solidFill>
              <w14:srgbClr w14:val="000000"/>
            </w14:solidFill>
            <w14:prstDash w14:val="solid"/>
            <w14:bevel/>
          </w14:textOutline>
        </w:rPr>
        <w:t>分权值</w:t>
      </w:r>
      <w:r>
        <w:rPr>
          <w:rFonts w:hint="eastAsia" w:ascii="宋体" w:hAnsi="宋体" w:eastAsia="宋体" w:cs="宋体"/>
          <w:b w:val="0"/>
          <w:bCs w:val="0"/>
          <w:spacing w:val="-3"/>
          <w:sz w:val="28"/>
          <w:szCs w:val="28"/>
          <w:lang w:eastAsia="zh-CN"/>
          <w14:textOutline w14:w="5103" w14:cap="sq" w14:cmpd="sng">
            <w14:solidFill>
              <w14:srgbClr w14:val="000000"/>
            </w14:solidFill>
            <w14:prstDash w14:val="solid"/>
            <w14:bevel/>
          </w14:textOutline>
        </w:rPr>
        <w:t>：</w:t>
      </w:r>
      <w:r>
        <w:rPr>
          <w:rFonts w:hint="eastAsia" w:ascii="宋体" w:hAnsi="宋体" w:eastAsia="宋体" w:cs="宋体"/>
          <w:b w:val="0"/>
          <w:bCs w:val="0"/>
          <w:spacing w:val="-5"/>
          <w:sz w:val="28"/>
          <w:szCs w:val="28"/>
        </w:rPr>
        <w:t>总分为</w:t>
      </w:r>
      <w:r>
        <w:rPr>
          <w:rFonts w:hint="eastAsia" w:ascii="宋体" w:hAnsi="宋体" w:eastAsia="宋体" w:cs="宋体"/>
          <w:b w:val="0"/>
          <w:bCs w:val="0"/>
          <w:spacing w:val="-37"/>
          <w:sz w:val="28"/>
          <w:szCs w:val="28"/>
        </w:rPr>
        <w:t xml:space="preserve"> </w:t>
      </w:r>
      <w:r>
        <w:rPr>
          <w:rFonts w:hint="eastAsia" w:ascii="宋体" w:hAnsi="宋体" w:eastAsia="宋体" w:cs="宋体"/>
          <w:b w:val="0"/>
          <w:bCs w:val="0"/>
          <w:spacing w:val="-5"/>
          <w:sz w:val="28"/>
          <w:szCs w:val="28"/>
        </w:rPr>
        <w:t>100</w:t>
      </w:r>
      <w:r>
        <w:rPr>
          <w:rFonts w:hint="eastAsia" w:ascii="宋体" w:hAnsi="宋体" w:eastAsia="宋体" w:cs="宋体"/>
          <w:b w:val="0"/>
          <w:bCs w:val="0"/>
          <w:spacing w:val="-48"/>
          <w:sz w:val="28"/>
          <w:szCs w:val="28"/>
        </w:rPr>
        <w:t xml:space="preserve"> </w:t>
      </w:r>
      <w:r>
        <w:rPr>
          <w:rFonts w:hint="eastAsia" w:ascii="宋体" w:hAnsi="宋体" w:eastAsia="宋体" w:cs="宋体"/>
          <w:b w:val="0"/>
          <w:bCs w:val="0"/>
          <w:spacing w:val="-5"/>
          <w:sz w:val="28"/>
          <w:szCs w:val="28"/>
        </w:rPr>
        <w:t>分，</w:t>
      </w:r>
      <w:r>
        <w:rPr>
          <w:rFonts w:hint="eastAsia" w:ascii="宋体" w:hAnsi="宋体" w:eastAsia="宋体" w:cs="宋体"/>
          <w:spacing w:val="-5"/>
          <w:sz w:val="28"/>
          <w:szCs w:val="28"/>
        </w:rPr>
        <w:t>评分分值分配如下：</w:t>
      </w:r>
      <w:bookmarkEnd w:id="86"/>
    </w:p>
    <w:tbl>
      <w:tblPr>
        <w:tblStyle w:val="42"/>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2972"/>
        <w:gridCol w:w="2902"/>
      </w:tblGrid>
      <w:tr w14:paraId="0CA9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5E38D6D9">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评审项</w:t>
            </w:r>
          </w:p>
        </w:tc>
        <w:tc>
          <w:tcPr>
            <w:tcW w:w="3091" w:type="dxa"/>
            <w:shd w:val="clear" w:color="auto" w:fill="F1F1F1" w:themeFill="background1" w:themeFillShade="F2"/>
          </w:tcPr>
          <w:p w14:paraId="1C72F494">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各部分分值</w:t>
            </w:r>
          </w:p>
        </w:tc>
        <w:tc>
          <w:tcPr>
            <w:tcW w:w="3091" w:type="dxa"/>
            <w:shd w:val="clear" w:color="auto" w:fill="F1F1F1" w:themeFill="background1" w:themeFillShade="F2"/>
          </w:tcPr>
          <w:p w14:paraId="25153359">
            <w:pPr>
              <w:autoSpaceDE w:val="0"/>
              <w:autoSpaceDN w:val="0"/>
              <w:spacing w:before="93" w:beforeLines="30" w:after="93" w:afterLines="3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备注</w:t>
            </w:r>
          </w:p>
        </w:tc>
      </w:tr>
      <w:tr w14:paraId="574D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top"/>
          </w:tcPr>
          <w:p w14:paraId="227DAE33">
            <w:pPr>
              <w:spacing w:before="235" w:line="231" w:lineRule="auto"/>
              <w:ind w:left="918" w:leftChars="0"/>
              <w:rPr>
                <w:rFonts w:hint="eastAsia" w:ascii="宋体" w:hAnsi="宋体" w:eastAsia="宋体" w:cs="宋体"/>
                <w:b/>
                <w:szCs w:val="21"/>
              </w:rPr>
            </w:pPr>
            <w:r>
              <w:rPr>
                <w:rFonts w:hint="eastAsia" w:ascii="宋体" w:hAnsi="宋体" w:eastAsia="宋体" w:cs="宋体"/>
                <w:b/>
                <w:bCs/>
                <w:spacing w:val="3"/>
                <w:sz w:val="20"/>
                <w:szCs w:val="20"/>
              </w:rPr>
              <w:t>商务审查</w:t>
            </w:r>
          </w:p>
        </w:tc>
        <w:tc>
          <w:tcPr>
            <w:tcW w:w="3091" w:type="dxa"/>
            <w:vAlign w:val="top"/>
          </w:tcPr>
          <w:p w14:paraId="01D57004">
            <w:pPr>
              <w:spacing w:before="235" w:line="271" w:lineRule="exact"/>
              <w:ind w:left="1447" w:leftChars="0"/>
              <w:rPr>
                <w:rFonts w:hint="eastAsia" w:ascii="宋体" w:hAnsi="宋体" w:eastAsia="宋体" w:cs="宋体"/>
                <w:b/>
                <w:color w:val="FF0000"/>
                <w:szCs w:val="21"/>
              </w:rPr>
            </w:pPr>
            <w:r>
              <w:rPr>
                <w:rFonts w:hint="eastAsia" w:ascii="宋体" w:hAnsi="宋体" w:cs="宋体"/>
                <w:b/>
                <w:bCs/>
                <w:spacing w:val="-2"/>
                <w:position w:val="1"/>
                <w:sz w:val="20"/>
                <w:szCs w:val="20"/>
                <w:lang w:val="en-US" w:eastAsia="zh-CN"/>
              </w:rPr>
              <w:t>2</w:t>
            </w:r>
            <w:r>
              <w:rPr>
                <w:rFonts w:hint="eastAsia" w:ascii="宋体" w:hAnsi="宋体" w:eastAsia="宋体" w:cs="宋体"/>
                <w:b/>
                <w:bCs/>
                <w:spacing w:val="-2"/>
                <w:position w:val="1"/>
                <w:sz w:val="20"/>
                <w:szCs w:val="20"/>
              </w:rPr>
              <w:t>0</w:t>
            </w:r>
          </w:p>
        </w:tc>
        <w:tc>
          <w:tcPr>
            <w:tcW w:w="3091" w:type="dxa"/>
            <w:vMerge w:val="restart"/>
          </w:tcPr>
          <w:p w14:paraId="77CB843F">
            <w:pPr>
              <w:spacing w:before="146" w:line="231" w:lineRule="auto"/>
              <w:rPr>
                <w:rFonts w:hint="eastAsia" w:ascii="宋体" w:hAnsi="宋体" w:eastAsia="宋体" w:cs="宋体"/>
                <w:sz w:val="20"/>
                <w:szCs w:val="20"/>
              </w:rPr>
            </w:pPr>
            <w:r>
              <w:rPr>
                <w:rFonts w:hint="eastAsia" w:ascii="宋体" w:hAnsi="宋体" w:eastAsia="宋体" w:cs="宋体"/>
                <w:b/>
                <w:bCs/>
                <w:spacing w:val="7"/>
                <w:sz w:val="20"/>
                <w:szCs w:val="20"/>
              </w:rPr>
              <w:t>本项目商务部分设置评分基准</w:t>
            </w:r>
            <w:r>
              <w:rPr>
                <w:rFonts w:hint="eastAsia" w:ascii="宋体" w:hAnsi="宋体" w:eastAsia="宋体" w:cs="宋体"/>
                <w:b/>
                <w:bCs/>
                <w:spacing w:val="1"/>
                <w:sz w:val="20"/>
                <w:szCs w:val="20"/>
              </w:rPr>
              <w:t>线。若</w:t>
            </w:r>
            <w:r>
              <w:rPr>
                <w:rFonts w:hint="eastAsia" w:ascii="宋体" w:hAnsi="宋体" w:eastAsia="宋体" w:cs="宋体"/>
                <w:b/>
                <w:bCs/>
                <w:spacing w:val="1"/>
                <w:sz w:val="20"/>
                <w:szCs w:val="20"/>
                <w:lang w:val="en-US" w:eastAsia="zh-CN"/>
              </w:rPr>
              <w:t>供应商</w:t>
            </w:r>
            <w:r>
              <w:rPr>
                <w:rFonts w:hint="eastAsia" w:ascii="宋体" w:hAnsi="宋体" w:eastAsia="宋体" w:cs="宋体"/>
                <w:b/>
                <w:bCs/>
                <w:spacing w:val="1"/>
                <w:sz w:val="20"/>
                <w:szCs w:val="20"/>
              </w:rPr>
              <w:t>的商务评分低于基准线，其应答将被视为存在</w:t>
            </w:r>
            <w:r>
              <w:rPr>
                <w:rFonts w:hint="eastAsia" w:ascii="宋体" w:hAnsi="宋体" w:eastAsia="宋体" w:cs="宋体"/>
                <w:b/>
                <w:bCs/>
                <w:spacing w:val="6"/>
                <w:sz w:val="20"/>
                <w:szCs w:val="20"/>
              </w:rPr>
              <w:t>重大商务技术偏差，</w:t>
            </w:r>
            <w:r>
              <w:rPr>
                <w:rFonts w:hint="eastAsia" w:ascii="宋体" w:hAnsi="宋体" w:eastAsia="宋体" w:cs="宋体"/>
                <w:b/>
                <w:bCs/>
                <w:spacing w:val="6"/>
                <w:sz w:val="20"/>
                <w:szCs w:val="20"/>
                <w:lang w:val="en-US" w:eastAsia="zh-CN"/>
              </w:rPr>
              <w:t>其响应文件作</w:t>
            </w:r>
            <w:r>
              <w:rPr>
                <w:rFonts w:hint="eastAsia" w:ascii="宋体" w:hAnsi="宋体" w:eastAsia="宋体" w:cs="宋体"/>
                <w:b/>
                <w:bCs/>
                <w:spacing w:val="6"/>
                <w:sz w:val="20"/>
                <w:szCs w:val="20"/>
              </w:rPr>
              <w:t>无效</w:t>
            </w:r>
            <w:r>
              <w:rPr>
                <w:rFonts w:hint="eastAsia" w:ascii="宋体" w:hAnsi="宋体" w:eastAsia="宋体" w:cs="宋体"/>
                <w:b/>
                <w:bCs/>
                <w:spacing w:val="6"/>
                <w:sz w:val="20"/>
                <w:szCs w:val="20"/>
                <w:lang w:val="en-US" w:eastAsia="zh-CN"/>
              </w:rPr>
              <w:t>响应处理</w:t>
            </w:r>
            <w:r>
              <w:rPr>
                <w:rFonts w:hint="eastAsia" w:ascii="宋体" w:hAnsi="宋体" w:eastAsia="宋体" w:cs="宋体"/>
                <w:b/>
                <w:bCs/>
                <w:spacing w:val="6"/>
                <w:sz w:val="20"/>
                <w:szCs w:val="20"/>
              </w:rPr>
              <w:t>。</w:t>
            </w:r>
          </w:p>
          <w:p w14:paraId="1B1660B6">
            <w:pPr>
              <w:autoSpaceDE w:val="0"/>
              <w:autoSpaceDN w:val="0"/>
              <w:spacing w:before="93" w:beforeLines="30" w:after="93" w:afterLines="30"/>
              <w:jc w:val="center"/>
              <w:rPr>
                <w:rFonts w:hint="eastAsia" w:ascii="宋体" w:hAnsi="宋体" w:eastAsia="宋体" w:cs="宋体"/>
                <w:b/>
                <w:color w:val="FF0000"/>
                <w:szCs w:val="21"/>
              </w:rPr>
            </w:pPr>
            <w:r>
              <w:rPr>
                <w:rFonts w:hint="eastAsia" w:ascii="宋体" w:hAnsi="宋体" w:eastAsia="宋体" w:cs="宋体"/>
                <w:b/>
                <w:bCs/>
                <w:spacing w:val="6"/>
                <w:sz w:val="20"/>
                <w:szCs w:val="20"/>
              </w:rPr>
              <w:t>商务评分基准线=本项目商务部</w:t>
            </w:r>
            <w:r>
              <w:rPr>
                <w:rFonts w:hint="eastAsia" w:ascii="宋体" w:hAnsi="宋体" w:eastAsia="宋体" w:cs="宋体"/>
                <w:b/>
                <w:bCs/>
                <w:sz w:val="20"/>
                <w:szCs w:val="20"/>
              </w:rPr>
              <w:t>分分值×60%（即</w:t>
            </w:r>
            <w:r>
              <w:rPr>
                <w:rFonts w:hint="eastAsia" w:ascii="宋体" w:hAnsi="宋体" w:cs="宋体"/>
                <w:b/>
                <w:bCs/>
                <w:sz w:val="20"/>
                <w:szCs w:val="20"/>
                <w:lang w:val="en-US" w:eastAsia="zh-CN"/>
              </w:rPr>
              <w:t>2</w:t>
            </w:r>
            <w:r>
              <w:rPr>
                <w:rFonts w:hint="eastAsia" w:ascii="宋体" w:hAnsi="宋体" w:eastAsia="宋体" w:cs="宋体"/>
                <w:b/>
                <w:bCs/>
                <w:sz w:val="20"/>
                <w:szCs w:val="20"/>
              </w:rPr>
              <w:t>0×60%=</w:t>
            </w:r>
            <w:r>
              <w:rPr>
                <w:rFonts w:hint="eastAsia" w:ascii="宋体" w:hAnsi="宋体" w:cs="宋体"/>
                <w:b/>
                <w:bCs/>
                <w:sz w:val="20"/>
                <w:szCs w:val="20"/>
                <w:lang w:val="en-US" w:eastAsia="zh-CN"/>
              </w:rPr>
              <w:t>12</w:t>
            </w:r>
            <w:r>
              <w:rPr>
                <w:rFonts w:hint="eastAsia" w:ascii="宋体" w:hAnsi="宋体" w:eastAsia="宋体" w:cs="宋体"/>
                <w:b/>
                <w:bCs/>
                <w:sz w:val="20"/>
                <w:szCs w:val="20"/>
              </w:rPr>
              <w:t>分）</w:t>
            </w:r>
          </w:p>
        </w:tc>
      </w:tr>
      <w:tr w14:paraId="3C5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top"/>
          </w:tcPr>
          <w:p w14:paraId="31AFB7A0">
            <w:pPr>
              <w:spacing w:before="237" w:line="231" w:lineRule="auto"/>
              <w:ind w:left="912" w:leftChars="0"/>
              <w:rPr>
                <w:rFonts w:hint="eastAsia" w:ascii="宋体" w:hAnsi="宋体" w:eastAsia="宋体" w:cs="宋体"/>
                <w:b/>
                <w:szCs w:val="21"/>
              </w:rPr>
            </w:pPr>
            <w:r>
              <w:rPr>
                <w:rFonts w:hint="eastAsia" w:ascii="宋体" w:hAnsi="宋体" w:eastAsia="宋体" w:cs="宋体"/>
                <w:b/>
                <w:bCs/>
                <w:spacing w:val="4"/>
                <w:sz w:val="20"/>
                <w:szCs w:val="20"/>
              </w:rPr>
              <w:t>技术审查</w:t>
            </w:r>
          </w:p>
        </w:tc>
        <w:tc>
          <w:tcPr>
            <w:tcW w:w="3091" w:type="dxa"/>
            <w:vAlign w:val="top"/>
          </w:tcPr>
          <w:p w14:paraId="33EEF81D">
            <w:pPr>
              <w:spacing w:before="237" w:line="271" w:lineRule="exact"/>
              <w:ind w:left="1447" w:leftChars="0"/>
              <w:rPr>
                <w:rFonts w:hint="eastAsia" w:ascii="宋体" w:hAnsi="宋体" w:eastAsia="宋体" w:cs="宋体"/>
                <w:b/>
                <w:color w:val="FF0000"/>
                <w:szCs w:val="21"/>
              </w:rPr>
            </w:pPr>
            <w:r>
              <w:rPr>
                <w:rFonts w:hint="eastAsia" w:ascii="宋体" w:hAnsi="宋体" w:cs="宋体"/>
                <w:b/>
                <w:bCs/>
                <w:spacing w:val="-2"/>
                <w:position w:val="1"/>
                <w:sz w:val="20"/>
                <w:szCs w:val="20"/>
                <w:lang w:val="en-US" w:eastAsia="zh-CN"/>
              </w:rPr>
              <w:t>5</w:t>
            </w:r>
            <w:r>
              <w:rPr>
                <w:rFonts w:hint="eastAsia" w:ascii="宋体" w:hAnsi="宋体" w:eastAsia="宋体" w:cs="宋体"/>
                <w:b/>
                <w:bCs/>
                <w:spacing w:val="-2"/>
                <w:position w:val="1"/>
                <w:sz w:val="20"/>
                <w:szCs w:val="20"/>
              </w:rPr>
              <w:t>0</w:t>
            </w:r>
          </w:p>
        </w:tc>
        <w:tc>
          <w:tcPr>
            <w:tcW w:w="3091" w:type="dxa"/>
            <w:vMerge w:val="continue"/>
          </w:tcPr>
          <w:p w14:paraId="346B0DB0">
            <w:pPr>
              <w:autoSpaceDE w:val="0"/>
              <w:autoSpaceDN w:val="0"/>
              <w:spacing w:before="93" w:beforeLines="30" w:after="93" w:afterLines="30"/>
              <w:jc w:val="center"/>
              <w:rPr>
                <w:rFonts w:hint="eastAsia" w:ascii="宋体" w:hAnsi="宋体" w:eastAsia="宋体" w:cs="宋体"/>
                <w:b/>
                <w:color w:val="FF0000"/>
                <w:szCs w:val="21"/>
              </w:rPr>
            </w:pPr>
          </w:p>
        </w:tc>
      </w:tr>
      <w:tr w14:paraId="014C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top"/>
          </w:tcPr>
          <w:p w14:paraId="75B6041B">
            <w:pPr>
              <w:spacing w:before="237" w:line="231" w:lineRule="auto"/>
              <w:ind w:left="912" w:leftChars="0"/>
              <w:rPr>
                <w:rFonts w:hint="eastAsia" w:ascii="宋体" w:hAnsi="宋体" w:eastAsia="宋体" w:cs="宋体"/>
                <w:b/>
                <w:szCs w:val="21"/>
              </w:rPr>
            </w:pPr>
            <w:r>
              <w:rPr>
                <w:rFonts w:hint="eastAsia" w:ascii="宋体" w:hAnsi="宋体" w:eastAsia="宋体" w:cs="宋体"/>
                <w:b/>
                <w:bCs/>
                <w:spacing w:val="4"/>
                <w:sz w:val="20"/>
                <w:szCs w:val="20"/>
              </w:rPr>
              <w:t>价格评审</w:t>
            </w:r>
          </w:p>
        </w:tc>
        <w:tc>
          <w:tcPr>
            <w:tcW w:w="3091" w:type="dxa"/>
            <w:vAlign w:val="top"/>
          </w:tcPr>
          <w:p w14:paraId="0FDAE0BF">
            <w:pPr>
              <w:spacing w:before="237" w:line="271" w:lineRule="exact"/>
              <w:ind w:left="1445" w:leftChars="0"/>
              <w:rPr>
                <w:rFonts w:hint="eastAsia" w:ascii="宋体" w:hAnsi="宋体" w:eastAsia="宋体" w:cs="宋体"/>
                <w:b/>
                <w:color w:val="FF0000"/>
                <w:szCs w:val="21"/>
              </w:rPr>
            </w:pPr>
            <w:r>
              <w:rPr>
                <w:rFonts w:hint="eastAsia" w:ascii="宋体" w:hAnsi="宋体" w:cs="宋体"/>
                <w:b/>
                <w:bCs/>
                <w:spacing w:val="-1"/>
                <w:position w:val="1"/>
                <w:sz w:val="20"/>
                <w:szCs w:val="20"/>
                <w:lang w:val="en-US" w:eastAsia="zh-CN"/>
              </w:rPr>
              <w:t>3</w:t>
            </w:r>
            <w:r>
              <w:rPr>
                <w:rFonts w:hint="eastAsia" w:ascii="宋体" w:hAnsi="宋体" w:eastAsia="宋体" w:cs="宋体"/>
                <w:b/>
                <w:bCs/>
                <w:spacing w:val="-1"/>
                <w:position w:val="1"/>
                <w:sz w:val="20"/>
                <w:szCs w:val="20"/>
              </w:rPr>
              <w:t>0</w:t>
            </w:r>
          </w:p>
        </w:tc>
        <w:tc>
          <w:tcPr>
            <w:tcW w:w="3091" w:type="dxa"/>
            <w:vMerge w:val="continue"/>
          </w:tcPr>
          <w:p w14:paraId="6E606655">
            <w:pPr>
              <w:autoSpaceDE w:val="0"/>
              <w:autoSpaceDN w:val="0"/>
              <w:spacing w:before="93" w:beforeLines="30" w:after="93" w:afterLines="30"/>
              <w:jc w:val="center"/>
              <w:rPr>
                <w:rFonts w:hint="eastAsia" w:ascii="宋体" w:hAnsi="宋体" w:eastAsia="宋体" w:cs="宋体"/>
                <w:b/>
                <w:color w:val="FF0000"/>
                <w:szCs w:val="21"/>
              </w:rPr>
            </w:pPr>
          </w:p>
        </w:tc>
      </w:tr>
      <w:tr w14:paraId="4D7F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top"/>
          </w:tcPr>
          <w:p w14:paraId="6B836847">
            <w:pPr>
              <w:spacing w:before="239" w:line="232" w:lineRule="auto"/>
              <w:ind w:left="1131" w:leftChars="0"/>
              <w:rPr>
                <w:rFonts w:hint="eastAsia" w:ascii="宋体" w:hAnsi="宋体" w:eastAsia="宋体" w:cs="宋体"/>
                <w:b/>
                <w:szCs w:val="21"/>
              </w:rPr>
            </w:pPr>
            <w:r>
              <w:rPr>
                <w:rFonts w:hint="eastAsia" w:ascii="宋体" w:hAnsi="宋体" w:eastAsia="宋体" w:cs="宋体"/>
                <w:b/>
                <w:bCs/>
                <w:spacing w:val="-4"/>
                <w:sz w:val="20"/>
                <w:szCs w:val="20"/>
              </w:rPr>
              <w:t>总和</w:t>
            </w:r>
          </w:p>
        </w:tc>
        <w:tc>
          <w:tcPr>
            <w:tcW w:w="3091" w:type="dxa"/>
            <w:vAlign w:val="top"/>
          </w:tcPr>
          <w:p w14:paraId="6086D0CF">
            <w:pPr>
              <w:spacing w:before="239" w:line="271" w:lineRule="exact"/>
              <w:ind w:left="1405" w:leftChars="0"/>
              <w:rPr>
                <w:rFonts w:hint="eastAsia" w:ascii="宋体" w:hAnsi="宋体" w:eastAsia="宋体" w:cs="宋体"/>
                <w:b/>
                <w:szCs w:val="21"/>
              </w:rPr>
            </w:pPr>
            <w:r>
              <w:rPr>
                <w:rFonts w:hint="eastAsia" w:ascii="宋体" w:hAnsi="宋体" w:eastAsia="宋体" w:cs="宋体"/>
                <w:b/>
                <w:bCs/>
                <w:spacing w:val="-4"/>
                <w:position w:val="1"/>
                <w:sz w:val="20"/>
                <w:szCs w:val="20"/>
              </w:rPr>
              <w:t>100</w:t>
            </w:r>
          </w:p>
        </w:tc>
        <w:tc>
          <w:tcPr>
            <w:tcW w:w="3091" w:type="dxa"/>
            <w:vMerge w:val="continue"/>
          </w:tcPr>
          <w:p w14:paraId="4C136484">
            <w:pPr>
              <w:autoSpaceDE w:val="0"/>
              <w:autoSpaceDN w:val="0"/>
              <w:spacing w:before="93" w:beforeLines="30" w:after="93" w:afterLines="30"/>
              <w:jc w:val="center"/>
              <w:rPr>
                <w:rFonts w:hint="eastAsia" w:ascii="宋体" w:hAnsi="宋体" w:eastAsia="宋体" w:cs="宋体"/>
                <w:b/>
                <w:szCs w:val="21"/>
              </w:rPr>
            </w:pPr>
          </w:p>
        </w:tc>
      </w:tr>
    </w:tbl>
    <w:p w14:paraId="1B1A27FE">
      <w:pPr>
        <w:pStyle w:val="16"/>
        <w:numPr>
          <w:ilvl w:val="0"/>
          <w:numId w:val="0"/>
        </w:numPr>
        <w:spacing w:before="91" w:line="223" w:lineRule="auto"/>
        <w:ind w:left="0" w:leftChars="0" w:firstLine="0" w:firstLineChars="0"/>
        <w:outlineLvl w:val="1"/>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bookmarkStart w:id="87" w:name="_Toc18089"/>
      <w:r>
        <w:rPr>
          <w:rFonts w:hint="eastAsia" w:ascii="宋体" w:hAnsi="宋体" w:eastAsia="宋体" w:cs="宋体"/>
          <w:spacing w:val="-3"/>
          <w:kern w:val="2"/>
          <w:sz w:val="28"/>
          <w:szCs w:val="28"/>
          <w:lang w:val="en-US" w:eastAsia="zh-CN" w:bidi="ar-SA"/>
          <w14:textOutline w14:w="5103" w14:cap="sq" w14:cmpd="sng">
            <w14:solidFill>
              <w14:srgbClr w14:val="000000"/>
            </w14:solidFill>
            <w14:prstDash w14:val="solid"/>
            <w14:bevel/>
          </w14:textOutline>
        </w:rPr>
        <w:t>（2）</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商务评分表</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w:t>
      </w:r>
      <w:bookmarkEnd w:id="87"/>
    </w:p>
    <w:tbl>
      <w:tblPr>
        <w:tblStyle w:val="42"/>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7049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7657086F">
            <w:pPr>
              <w:autoSpaceDE w:val="0"/>
              <w:autoSpaceDN w:val="0"/>
              <w:spacing w:before="93" w:beforeLines="30" w:after="93" w:afterLines="30"/>
              <w:jc w:val="center"/>
              <w:rPr>
                <w:rFonts w:hint="eastAsia" w:ascii="宋体" w:hAnsi="宋体" w:eastAsia="宋体" w:cs="宋体"/>
                <w:b/>
                <w:szCs w:val="21"/>
              </w:rPr>
            </w:pPr>
            <w:bookmarkStart w:id="88" w:name="_Hlk164269056"/>
            <w:r>
              <w:rPr>
                <w:rFonts w:hint="eastAsia" w:ascii="宋体" w:hAnsi="宋体" w:eastAsia="宋体" w:cs="宋体"/>
                <w:b/>
                <w:szCs w:val="21"/>
              </w:rPr>
              <w:t>评分项</w:t>
            </w:r>
          </w:p>
        </w:tc>
        <w:tc>
          <w:tcPr>
            <w:tcW w:w="6184" w:type="dxa"/>
            <w:shd w:val="clear" w:color="auto" w:fill="F1F1F1" w:themeFill="background1" w:themeFillShade="F2"/>
            <w:vAlign w:val="center"/>
          </w:tcPr>
          <w:p w14:paraId="3E7D7910">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权重</w:t>
            </w:r>
          </w:p>
        </w:tc>
      </w:tr>
      <w:tr w14:paraId="1BDE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0C0D376F">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商务</w:t>
            </w:r>
          </w:p>
        </w:tc>
        <w:tc>
          <w:tcPr>
            <w:tcW w:w="6184" w:type="dxa"/>
            <w:shd w:val="clear" w:color="auto" w:fill="F1F1F1" w:themeFill="background1" w:themeFillShade="F2"/>
            <w:vAlign w:val="center"/>
          </w:tcPr>
          <w:p w14:paraId="1E8DEABE">
            <w:pPr>
              <w:autoSpaceDE w:val="0"/>
              <w:autoSpaceDN w:val="0"/>
              <w:spacing w:before="93" w:beforeLines="30" w:after="93" w:afterLines="3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20</w:t>
            </w:r>
          </w:p>
        </w:tc>
      </w:tr>
      <w:tr w14:paraId="5133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20126CDB">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序号</w:t>
            </w:r>
          </w:p>
        </w:tc>
        <w:tc>
          <w:tcPr>
            <w:tcW w:w="1068" w:type="dxa"/>
            <w:shd w:val="clear" w:color="auto" w:fill="F1F1F1" w:themeFill="background1" w:themeFillShade="F2"/>
            <w:vAlign w:val="center"/>
          </w:tcPr>
          <w:p w14:paraId="7B68F3E9">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内容</w:t>
            </w:r>
          </w:p>
        </w:tc>
        <w:tc>
          <w:tcPr>
            <w:tcW w:w="928" w:type="dxa"/>
            <w:shd w:val="clear" w:color="auto" w:fill="F1F1F1" w:themeFill="background1" w:themeFillShade="F2"/>
            <w:vAlign w:val="center"/>
          </w:tcPr>
          <w:p w14:paraId="349DBAF1">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分值</w:t>
            </w:r>
          </w:p>
        </w:tc>
        <w:tc>
          <w:tcPr>
            <w:tcW w:w="6184" w:type="dxa"/>
            <w:shd w:val="clear" w:color="auto" w:fill="F1F1F1" w:themeFill="background1" w:themeFillShade="F2"/>
          </w:tcPr>
          <w:p w14:paraId="6FD83C4F">
            <w:pPr>
              <w:autoSpaceDE w:val="0"/>
              <w:autoSpaceDN w:val="0"/>
              <w:spacing w:before="93" w:beforeLines="30" w:after="93" w:afterLines="30"/>
              <w:jc w:val="center"/>
              <w:rPr>
                <w:rFonts w:hint="eastAsia" w:ascii="宋体" w:hAnsi="宋体" w:eastAsia="宋体" w:cs="宋体"/>
                <w:b/>
                <w:color w:val="auto"/>
                <w:szCs w:val="21"/>
              </w:rPr>
            </w:pPr>
            <w:r>
              <w:rPr>
                <w:rFonts w:hint="eastAsia" w:ascii="宋体" w:hAnsi="宋体" w:eastAsia="宋体" w:cs="宋体"/>
                <w:b/>
                <w:color w:val="auto"/>
                <w:szCs w:val="21"/>
              </w:rPr>
              <w:t>评分准则</w:t>
            </w:r>
          </w:p>
        </w:tc>
      </w:tr>
      <w:bookmarkEnd w:id="88"/>
      <w:tr w14:paraId="7B12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AF80E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068" w:type="dxa"/>
            <w:vAlign w:val="center"/>
          </w:tcPr>
          <w:p w14:paraId="4716069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同类项目经验</w:t>
            </w:r>
            <w:r>
              <w:rPr>
                <w:rFonts w:hint="eastAsia" w:ascii="宋体" w:hAnsi="宋体" w:cs="宋体"/>
                <w:i w:val="0"/>
                <w:iCs w:val="0"/>
                <w:color w:val="auto"/>
                <w:kern w:val="0"/>
                <w:sz w:val="21"/>
                <w:szCs w:val="21"/>
                <w:highlight w:val="none"/>
                <w:u w:val="none"/>
                <w:lang w:val="en-US" w:eastAsia="zh-CN" w:bidi="ar"/>
              </w:rPr>
              <w:t>及评价</w:t>
            </w:r>
          </w:p>
        </w:tc>
        <w:tc>
          <w:tcPr>
            <w:tcW w:w="928" w:type="dxa"/>
            <w:vAlign w:val="center"/>
          </w:tcPr>
          <w:p w14:paraId="7F2BAB2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6184" w:type="dxa"/>
            <w:vAlign w:val="top"/>
          </w:tcPr>
          <w:p w14:paraId="3B70BE5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考察</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202</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年1月1日至今（以合同签订日期为准）承接过同类项目（同类项目指：</w:t>
            </w:r>
            <w:r>
              <w:rPr>
                <w:rFonts w:hint="eastAsia" w:ascii="宋体" w:hAnsi="宋体" w:cs="宋体"/>
                <w:b/>
                <w:bCs/>
                <w:i w:val="0"/>
                <w:iCs w:val="0"/>
                <w:color w:val="auto"/>
                <w:kern w:val="0"/>
                <w:sz w:val="21"/>
                <w:szCs w:val="21"/>
                <w:highlight w:val="none"/>
                <w:u w:val="none"/>
                <w:lang w:val="en-US" w:eastAsia="zh-CN" w:bidi="ar"/>
              </w:rPr>
              <w:t>文创产品开发定制类相关业绩</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数量</w:t>
            </w:r>
            <w:r>
              <w:rPr>
                <w:rFonts w:hint="eastAsia" w:ascii="宋体" w:hAnsi="宋体" w:eastAsia="宋体" w:cs="宋体"/>
                <w:i w:val="0"/>
                <w:iCs w:val="0"/>
                <w:color w:val="auto"/>
                <w:kern w:val="0"/>
                <w:sz w:val="21"/>
                <w:szCs w:val="21"/>
                <w:highlight w:val="none"/>
                <w:u w:val="none"/>
                <w:lang w:val="en-US" w:eastAsia="zh-CN" w:bidi="ar"/>
              </w:rPr>
              <w:t>。本项最高得</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分，具体如下：</w:t>
            </w:r>
          </w:p>
          <w:p w14:paraId="7ADA0A4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供应商每具备1项合同金额不低于10万元的</w:t>
            </w:r>
            <w:r>
              <w:rPr>
                <w:rFonts w:hint="eastAsia" w:ascii="宋体" w:hAnsi="宋体" w:cs="宋体"/>
                <w:b/>
                <w:bCs/>
                <w:i w:val="0"/>
                <w:iCs w:val="0"/>
                <w:color w:val="auto"/>
                <w:kern w:val="0"/>
                <w:sz w:val="21"/>
                <w:szCs w:val="21"/>
                <w:highlight w:val="none"/>
                <w:u w:val="none"/>
                <w:lang w:val="en-US" w:eastAsia="zh-CN" w:bidi="ar"/>
              </w:rPr>
              <w:t>同类</w:t>
            </w:r>
            <w:r>
              <w:rPr>
                <w:rFonts w:hint="eastAsia" w:ascii="宋体" w:hAnsi="宋体" w:eastAsia="宋体" w:cs="宋体"/>
                <w:i w:val="0"/>
                <w:iCs w:val="0"/>
                <w:color w:val="auto"/>
                <w:kern w:val="0"/>
                <w:sz w:val="21"/>
                <w:szCs w:val="21"/>
                <w:highlight w:val="none"/>
                <w:u w:val="none"/>
                <w:lang w:val="en-US" w:eastAsia="zh-CN" w:bidi="ar"/>
              </w:rPr>
              <w:t>项目业绩，得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分；本小项最高得</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p>
          <w:p w14:paraId="39797DD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注：①须提供合同关键页（不限于签订合同双方的单位名称、合同名称、合同标的内容、</w:t>
            </w:r>
            <w:r>
              <w:rPr>
                <w:rFonts w:hint="eastAsia" w:ascii="宋体" w:hAnsi="宋体" w:cs="宋体"/>
                <w:i w:val="0"/>
                <w:iCs w:val="0"/>
                <w:color w:val="auto"/>
                <w:kern w:val="0"/>
                <w:sz w:val="21"/>
                <w:szCs w:val="21"/>
                <w:highlight w:val="none"/>
                <w:u w:val="none"/>
                <w:lang w:val="en-US" w:eastAsia="zh-CN" w:bidi="ar"/>
              </w:rPr>
              <w:t>合同金额页、</w:t>
            </w:r>
            <w:r>
              <w:rPr>
                <w:rFonts w:hint="eastAsia" w:ascii="宋体" w:hAnsi="宋体" w:eastAsia="宋体" w:cs="宋体"/>
                <w:i w:val="0"/>
                <w:iCs w:val="0"/>
                <w:color w:val="auto"/>
                <w:kern w:val="0"/>
                <w:sz w:val="21"/>
                <w:szCs w:val="21"/>
                <w:highlight w:val="none"/>
                <w:u w:val="none"/>
                <w:lang w:val="en-US" w:eastAsia="zh-CN" w:bidi="ar"/>
              </w:rPr>
              <w:t>合同签订页等）复印件作为证明材料，不提供不得分。②若合同无法说明项目内容符合上述同类项目经验范围，可提供甲方出具的相应证明文件作依据（证明文件须加盖合同甲方公司章或合同章，或甲方项目使用部门章）。③若合同无相关签订时间，则以合同中能够体现的服务起始时间进行认定。④证明材料不完整、不清晰、</w:t>
            </w:r>
            <w:r>
              <w:rPr>
                <w:rFonts w:hint="eastAsia" w:ascii="宋体" w:hAnsi="宋体" w:cs="宋体"/>
                <w:i w:val="0"/>
                <w:iCs w:val="0"/>
                <w:color w:val="auto"/>
                <w:kern w:val="0"/>
                <w:sz w:val="21"/>
                <w:szCs w:val="21"/>
                <w:highlight w:val="none"/>
                <w:u w:val="none"/>
                <w:lang w:val="en-US" w:eastAsia="zh-CN" w:bidi="ar"/>
              </w:rPr>
              <w:t>项目评审小组</w:t>
            </w:r>
            <w:r>
              <w:rPr>
                <w:rFonts w:hint="eastAsia" w:ascii="宋体" w:hAnsi="宋体" w:eastAsia="宋体" w:cs="宋体"/>
                <w:i w:val="0"/>
                <w:iCs w:val="0"/>
                <w:color w:val="auto"/>
                <w:kern w:val="0"/>
                <w:sz w:val="21"/>
                <w:szCs w:val="21"/>
                <w:highlight w:val="none"/>
                <w:u w:val="none"/>
                <w:lang w:val="en-US" w:eastAsia="zh-CN" w:bidi="ar"/>
              </w:rPr>
              <w:t>无法确定业绩关键信息的将不予认可。</w:t>
            </w:r>
          </w:p>
        </w:tc>
      </w:tr>
      <w:tr w14:paraId="5CE8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37B11E2">
            <w:pPr>
              <w:spacing w:before="93" w:beforeLines="30" w:after="93" w:afterLines="30"/>
              <w:jc w:val="center"/>
              <w:rPr>
                <w:rFonts w:hint="default" w:ascii="宋体" w:hAnsi="宋体" w:cs="宋体"/>
                <w:bCs/>
                <w:color w:val="000000" w:themeColor="text1"/>
                <w:szCs w:val="21"/>
                <w:lang w:val="en-US" w:eastAsia="zh-CN"/>
                <w14:textFill>
                  <w14:solidFill>
                    <w14:schemeClr w14:val="tx1"/>
                  </w14:solidFill>
                </w14:textFill>
              </w:rPr>
            </w:pPr>
            <w:bookmarkStart w:id="89" w:name="_Toc15636"/>
            <w:r>
              <w:rPr>
                <w:rFonts w:hint="eastAsia" w:ascii="宋体" w:hAnsi="宋体" w:cs="宋体"/>
                <w:bCs/>
                <w:color w:val="000000" w:themeColor="text1"/>
                <w:szCs w:val="21"/>
                <w:lang w:val="en-US" w:eastAsia="zh-CN"/>
                <w14:textFill>
                  <w14:solidFill>
                    <w14:schemeClr w14:val="tx1"/>
                  </w14:solidFill>
                </w14:textFill>
              </w:rPr>
              <w:t>2</w:t>
            </w:r>
          </w:p>
        </w:tc>
        <w:tc>
          <w:tcPr>
            <w:tcW w:w="1068" w:type="dxa"/>
            <w:vAlign w:val="center"/>
          </w:tcPr>
          <w:p w14:paraId="280FFCDA">
            <w:pPr>
              <w:spacing w:before="93" w:beforeLines="30" w:after="93" w:afterLines="30"/>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服务团队配置人员素质</w:t>
            </w:r>
          </w:p>
        </w:tc>
        <w:tc>
          <w:tcPr>
            <w:tcW w:w="928" w:type="dxa"/>
            <w:vAlign w:val="center"/>
          </w:tcPr>
          <w:p w14:paraId="1FDF6088">
            <w:pPr>
              <w:spacing w:before="93" w:beforeLines="30" w:after="93" w:afterLines="30"/>
              <w:jc w:val="center"/>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4</w:t>
            </w:r>
          </w:p>
        </w:tc>
        <w:tc>
          <w:tcPr>
            <w:tcW w:w="6184" w:type="dxa"/>
            <w:vAlign w:val="center"/>
          </w:tcPr>
          <w:p w14:paraId="250B0A4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团队成员每有1人具备美术类、设计类专业本科及以上学历且工作经验不少于3年，得2分，本项满分4分。</w:t>
            </w:r>
          </w:p>
          <w:p w14:paraId="3321FE29">
            <w:pPr>
              <w:keepNext w:val="0"/>
              <w:keepLines w:val="0"/>
              <w:pageBreakBefore w:val="0"/>
              <w:widowControl w:val="0"/>
              <w:kinsoku/>
              <w:wordWrap/>
              <w:overflowPunct/>
              <w:topLinePunct w:val="0"/>
              <w:autoSpaceDE/>
              <w:autoSpaceDN/>
              <w:bidi w:val="0"/>
              <w:adjustRightInd/>
              <w:snapToGrid/>
              <w:textAlignment w:val="auto"/>
            </w:pPr>
            <w:r>
              <w:rPr>
                <w:rFonts w:hint="eastAsia"/>
                <w:lang w:val="en-US" w:eastAsia="zh-CN"/>
              </w:rPr>
              <w:t>注：1、服务团队成员需提供学历毕业证书复印件或学信网查询截图或国外学历毕业认证书作为证明材料，未提供则不得分；2、服务团队成员需提供2025年3月份以来任意一个月的有效缴纳社保的证明复印件，或有效期内的劳动合同复印件等，未提供则不得分；3、工作经验评审依据为团队成员提供的最高学历毕业证书颁证之日起至响应文件递交截止日止的时长。</w:t>
            </w:r>
          </w:p>
        </w:tc>
      </w:tr>
      <w:tr w14:paraId="3C0A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F2E5346">
            <w:pPr>
              <w:spacing w:before="93" w:beforeLines="30" w:after="93" w:afterLines="30"/>
              <w:jc w:val="center"/>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w:t>
            </w:r>
          </w:p>
        </w:tc>
        <w:tc>
          <w:tcPr>
            <w:tcW w:w="1068" w:type="dxa"/>
            <w:vAlign w:val="center"/>
          </w:tcPr>
          <w:p w14:paraId="19703D39">
            <w:pPr>
              <w:spacing w:before="93" w:beforeLines="30" w:after="93" w:afterLines="30"/>
              <w:jc w:val="center"/>
              <w:rPr>
                <w:rFonts w:hint="default" w:ascii="宋体" w:hAnsi="宋体" w:cs="宋体"/>
                <w:bCs/>
                <w:color w:val="000000" w:themeColor="text1"/>
                <w:szCs w:val="21"/>
                <w:lang w:val="en-US" w:eastAsia="zh-CN"/>
                <w14:textFill>
                  <w14:solidFill>
                    <w14:schemeClr w14:val="tx1"/>
                  </w14:solidFill>
                </w14:textFill>
              </w:rPr>
            </w:pPr>
            <w:r>
              <w:rPr>
                <w:rFonts w:hint="eastAsia"/>
                <w:lang w:val="en-US" w:eastAsia="zh-CN"/>
              </w:rPr>
              <w:t>突发情况紧急</w:t>
            </w:r>
            <w:r>
              <w:rPr>
                <w:rFonts w:hint="eastAsia" w:ascii="宋体" w:hAnsi="宋体" w:cs="宋体"/>
                <w:bCs/>
                <w:color w:val="000000" w:themeColor="text1"/>
                <w:szCs w:val="21"/>
                <w:lang w:val="en-US" w:eastAsia="zh-CN"/>
                <w14:textFill>
                  <w14:solidFill>
                    <w14:schemeClr w14:val="tx1"/>
                  </w14:solidFill>
                </w14:textFill>
              </w:rPr>
              <w:t>服务响应能力</w:t>
            </w:r>
          </w:p>
        </w:tc>
        <w:tc>
          <w:tcPr>
            <w:tcW w:w="928" w:type="dxa"/>
            <w:vAlign w:val="center"/>
          </w:tcPr>
          <w:p w14:paraId="15326E57">
            <w:pPr>
              <w:spacing w:before="93" w:beforeLines="30" w:after="93" w:afterLines="30"/>
              <w:jc w:val="center"/>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4</w:t>
            </w:r>
          </w:p>
        </w:tc>
        <w:tc>
          <w:tcPr>
            <w:tcW w:w="6184" w:type="dxa"/>
            <w:vAlign w:val="center"/>
          </w:tcPr>
          <w:p w14:paraId="47F02AC3">
            <w:pPr>
              <w:keepNext w:val="0"/>
              <w:keepLines w:val="0"/>
              <w:pageBreakBefore w:val="0"/>
              <w:widowControl w:val="0"/>
              <w:kinsoku/>
              <w:wordWrap/>
              <w:overflowPunct/>
              <w:topLinePunct w:val="0"/>
              <w:autoSpaceDE/>
              <w:autoSpaceDN/>
              <w:bidi w:val="0"/>
              <w:adjustRightInd/>
              <w:snapToGrid/>
              <w:textAlignment w:val="auto"/>
            </w:pPr>
            <w:r>
              <w:t>根据</w:t>
            </w:r>
            <w:r>
              <w:rPr>
                <w:rFonts w:hint="eastAsia"/>
                <w:lang w:val="en-US" w:eastAsia="zh-CN"/>
              </w:rPr>
              <w:t>供应商</w:t>
            </w:r>
            <w:r>
              <w:t>接到采购人</w:t>
            </w:r>
            <w:r>
              <w:rPr>
                <w:rFonts w:hint="eastAsia"/>
                <w:lang w:val="en-US" w:eastAsia="zh-CN"/>
              </w:rPr>
              <w:t>紧急服务求</w:t>
            </w:r>
            <w:r>
              <w:t>通知的</w:t>
            </w:r>
            <w:r>
              <w:rPr>
                <w:rFonts w:hint="eastAsia"/>
                <w:lang w:val="en-US" w:eastAsia="zh-CN"/>
              </w:rPr>
              <w:t>处理突发情况</w:t>
            </w:r>
            <w:r>
              <w:t xml:space="preserve">响应时间承诺进行评审： </w:t>
            </w:r>
          </w:p>
          <w:p w14:paraId="1FBD3CD6">
            <w:pPr>
              <w:keepNext w:val="0"/>
              <w:keepLines w:val="0"/>
              <w:pageBreakBefore w:val="0"/>
              <w:widowControl w:val="0"/>
              <w:numPr>
                <w:ilvl w:val="0"/>
                <w:numId w:val="9"/>
              </w:numPr>
              <w:kinsoku/>
              <w:wordWrap/>
              <w:overflowPunct/>
              <w:topLinePunct w:val="0"/>
              <w:autoSpaceDE/>
              <w:autoSpaceDN/>
              <w:bidi w:val="0"/>
              <w:adjustRightInd/>
              <w:snapToGrid/>
              <w:textAlignment w:val="auto"/>
            </w:pPr>
            <w:r>
              <w:rPr>
                <w:rFonts w:hint="eastAsia"/>
                <w:lang w:val="en-US" w:eastAsia="zh-CN"/>
              </w:rPr>
              <w:t>供应商</w:t>
            </w:r>
            <w:r>
              <w:t>承诺在接到采购人通知后1个小时（含本数）内到达采购人指定现场处理问题的，得</w:t>
            </w:r>
            <w:r>
              <w:rPr>
                <w:rFonts w:hint="eastAsia"/>
                <w:lang w:val="en-US" w:eastAsia="zh-CN"/>
              </w:rPr>
              <w:t>4</w:t>
            </w:r>
            <w:r>
              <w:t xml:space="preserve">分； </w:t>
            </w:r>
          </w:p>
          <w:p w14:paraId="525F8F3F">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default"/>
                <w:lang w:val="en-US" w:eastAsia="zh-CN"/>
              </w:rPr>
            </w:pPr>
            <w:r>
              <w:rPr>
                <w:rFonts w:hint="eastAsia"/>
                <w:lang w:val="en-US" w:eastAsia="zh-CN"/>
              </w:rPr>
              <w:t>供应商</w:t>
            </w:r>
            <w:r>
              <w:t>承诺在接到采购人通知后2个小时（含本数）内到达采购人指定现场处理问题的，得</w:t>
            </w:r>
            <w:r>
              <w:rPr>
                <w:rFonts w:hint="eastAsia"/>
                <w:lang w:val="en-US" w:eastAsia="zh-CN"/>
              </w:rPr>
              <w:t>2</w:t>
            </w:r>
            <w:r>
              <w:t xml:space="preserve">分； </w:t>
            </w:r>
          </w:p>
          <w:p w14:paraId="1BBC8B11">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default"/>
                <w:lang w:val="en-US" w:eastAsia="zh-CN"/>
              </w:rPr>
            </w:pPr>
            <w:r>
              <w:rPr>
                <w:rFonts w:hint="eastAsia"/>
                <w:lang w:val="en-US" w:eastAsia="zh-CN"/>
              </w:rPr>
              <w:t>供应商</w:t>
            </w:r>
            <w:r>
              <w:t xml:space="preserve">承诺在接到采购人通知后3个小时（含本数）内到达采购人指定现场处理问题的，得1分； </w:t>
            </w:r>
          </w:p>
          <w:p w14:paraId="746CF490">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default"/>
                <w:lang w:val="en-US" w:eastAsia="zh-CN"/>
              </w:rPr>
            </w:pPr>
            <w:r>
              <w:t xml:space="preserve">其他情况或未提供承诺函不得分。 </w:t>
            </w:r>
          </w:p>
          <w:p w14:paraId="0825D54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t>注：须提供服务响应时间承诺函并加盖</w:t>
            </w:r>
            <w:r>
              <w:rPr>
                <w:rFonts w:hint="eastAsia"/>
                <w:lang w:val="en-US" w:eastAsia="zh-CN"/>
              </w:rPr>
              <w:t>供应商</w:t>
            </w:r>
            <w:r>
              <w:t>公章，格式自拟。</w:t>
            </w:r>
          </w:p>
        </w:tc>
      </w:tr>
    </w:tbl>
    <w:p w14:paraId="42098C13">
      <w:pPr>
        <w:pStyle w:val="16"/>
        <w:numPr>
          <w:ilvl w:val="0"/>
          <w:numId w:val="0"/>
        </w:numPr>
        <w:spacing w:before="91" w:line="223" w:lineRule="auto"/>
        <w:ind w:left="0" w:leftChars="0" w:firstLine="0" w:firstLineChars="0"/>
        <w:outlineLvl w:val="1"/>
        <w:rPr>
          <w:rFonts w:hint="eastAsia" w:ascii="宋体" w:hAnsi="宋体" w:eastAsia="宋体" w:cs="宋体"/>
          <w:color w:val="000000" w:themeColor="text1"/>
          <w:spacing w:val="-3"/>
          <w:sz w:val="28"/>
          <w:szCs w:val="28"/>
          <w:lang w:eastAsia="zh-CN"/>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3"/>
          <w:kern w:val="2"/>
          <w:sz w:val="28"/>
          <w:szCs w:val="28"/>
          <w:lang w:val="en-US" w:eastAsia="zh-CN" w:bidi="ar-SA"/>
          <w14:textOutline w14:w="5103" w14:cap="sq" w14:cmpd="sng">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3"/>
          <w:sz w:val="28"/>
          <w:szCs w:val="28"/>
          <w:lang w:val="en-US" w:eastAsia="zh-CN"/>
          <w14:textOutline w14:w="5103" w14:cap="sq" w14:cmpd="sng">
            <w14:solidFill>
              <w14:srgbClr w14:val="000000"/>
            </w14:solidFill>
            <w14:prstDash w14:val="solid"/>
            <w14:bevel/>
          </w14:textOutline>
          <w14:textFill>
            <w14:solidFill>
              <w14:schemeClr w14:val="tx1"/>
            </w14:solidFill>
          </w14:textFill>
        </w:rPr>
        <w:t>技术评分表</w:t>
      </w:r>
      <w:r>
        <w:rPr>
          <w:rFonts w:hint="eastAsia" w:ascii="宋体" w:hAnsi="宋体" w:eastAsia="宋体" w:cs="宋体"/>
          <w:color w:val="000000" w:themeColor="text1"/>
          <w:spacing w:val="-3"/>
          <w:sz w:val="28"/>
          <w:szCs w:val="28"/>
          <w:lang w:eastAsia="zh-CN"/>
          <w14:textOutline w14:w="5103" w14:cap="sq" w14:cmpd="sng">
            <w14:solidFill>
              <w14:srgbClr w14:val="000000"/>
            </w14:solidFill>
            <w14:prstDash w14:val="solid"/>
            <w14:bevel/>
          </w14:textOutline>
          <w14:textFill>
            <w14:solidFill>
              <w14:schemeClr w14:val="tx1"/>
            </w14:solidFill>
          </w14:textFill>
        </w:rPr>
        <w:t>：</w:t>
      </w:r>
      <w:bookmarkEnd w:id="89"/>
    </w:p>
    <w:tbl>
      <w:tblPr>
        <w:tblStyle w:val="42"/>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02"/>
        <w:gridCol w:w="832"/>
        <w:gridCol w:w="6339"/>
      </w:tblGrid>
      <w:tr w14:paraId="0C71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gridSpan w:val="3"/>
            <w:shd w:val="clear" w:color="auto" w:fill="F1F1F1" w:themeFill="background1" w:themeFillShade="F2"/>
            <w:vAlign w:val="center"/>
          </w:tcPr>
          <w:p w14:paraId="1A473C6F">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评分项</w:t>
            </w:r>
          </w:p>
        </w:tc>
        <w:tc>
          <w:tcPr>
            <w:tcW w:w="6339" w:type="dxa"/>
            <w:shd w:val="clear" w:color="auto" w:fill="F1F1F1" w:themeFill="background1" w:themeFillShade="F2"/>
            <w:vAlign w:val="center"/>
          </w:tcPr>
          <w:p w14:paraId="5B90683C">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权重</w:t>
            </w:r>
          </w:p>
        </w:tc>
      </w:tr>
      <w:tr w14:paraId="7801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gridSpan w:val="3"/>
            <w:shd w:val="clear" w:color="auto" w:fill="F1F1F1" w:themeFill="background1" w:themeFillShade="F2"/>
            <w:vAlign w:val="center"/>
          </w:tcPr>
          <w:p w14:paraId="58EA424D">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w:t>
            </w:r>
          </w:p>
        </w:tc>
        <w:tc>
          <w:tcPr>
            <w:tcW w:w="6339" w:type="dxa"/>
            <w:shd w:val="clear" w:color="auto" w:fill="F1F1F1" w:themeFill="background1" w:themeFillShade="F2"/>
            <w:vAlign w:val="center"/>
          </w:tcPr>
          <w:p w14:paraId="55F60938">
            <w:pPr>
              <w:autoSpaceDE w:val="0"/>
              <w:autoSpaceDN w:val="0"/>
              <w:spacing w:before="93" w:beforeLines="30" w:after="93" w:afterLines="3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5</w:t>
            </w:r>
            <w:r>
              <w:rPr>
                <w:rFonts w:hint="eastAsia" w:ascii="宋体" w:hAnsi="宋体" w:eastAsia="宋体" w:cs="宋体"/>
                <w:b/>
                <w:color w:val="000000" w:themeColor="text1"/>
                <w:szCs w:val="21"/>
                <w:lang w:val="en-US" w:eastAsia="zh-CN"/>
                <w14:textFill>
                  <w14:solidFill>
                    <w14:schemeClr w14:val="tx1"/>
                  </w14:solidFill>
                </w14:textFill>
              </w:rPr>
              <w:t>0</w:t>
            </w:r>
          </w:p>
        </w:tc>
      </w:tr>
      <w:tr w14:paraId="7F4D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shd w:val="clear" w:color="auto" w:fill="F1F1F1" w:themeFill="background1" w:themeFillShade="F2"/>
            <w:vAlign w:val="center"/>
          </w:tcPr>
          <w:p w14:paraId="3EB16232">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102" w:type="dxa"/>
            <w:shd w:val="clear" w:color="auto" w:fill="F1F1F1" w:themeFill="background1" w:themeFillShade="F2"/>
            <w:vAlign w:val="center"/>
          </w:tcPr>
          <w:p w14:paraId="71029774">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内容</w:t>
            </w:r>
          </w:p>
        </w:tc>
        <w:tc>
          <w:tcPr>
            <w:tcW w:w="832" w:type="dxa"/>
            <w:shd w:val="clear" w:color="auto" w:fill="F1F1F1" w:themeFill="background1" w:themeFillShade="F2"/>
            <w:vAlign w:val="center"/>
          </w:tcPr>
          <w:p w14:paraId="107786C1">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分值</w:t>
            </w:r>
          </w:p>
        </w:tc>
        <w:tc>
          <w:tcPr>
            <w:tcW w:w="6339" w:type="dxa"/>
            <w:shd w:val="clear" w:color="auto" w:fill="F1F1F1" w:themeFill="background1" w:themeFillShade="F2"/>
          </w:tcPr>
          <w:p w14:paraId="14A71D0D">
            <w:pPr>
              <w:autoSpaceDE w:val="0"/>
              <w:autoSpaceDN w:val="0"/>
              <w:spacing w:before="93" w:beforeLines="30" w:after="93" w:afterLines="3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评分准则</w:t>
            </w:r>
          </w:p>
        </w:tc>
      </w:tr>
      <w:tr w14:paraId="7A02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2" w:type="dxa"/>
            <w:shd w:val="clear" w:color="auto" w:fill="auto"/>
            <w:vAlign w:val="center"/>
          </w:tcPr>
          <w:p w14:paraId="692FA95B">
            <w:pPr>
              <w:autoSpaceDE w:val="0"/>
              <w:autoSpaceDN w:val="0"/>
              <w:spacing w:before="93" w:beforeLines="30" w:after="93" w:afterLines="30"/>
              <w:jc w:val="center"/>
              <w:rPr>
                <w:rFonts w:hint="eastAsia" w:ascii="宋体" w:hAnsi="宋体" w:eastAsia="宋体" w:cs="宋体"/>
                <w:bCs/>
                <w:color w:val="000000" w:themeColor="text1"/>
                <w:szCs w:val="21"/>
                <w14:textFill>
                  <w14:solidFill>
                    <w14:schemeClr w14:val="tx1"/>
                  </w14:solidFill>
                </w14:textFill>
              </w:rPr>
            </w:pPr>
            <w:bookmarkStart w:id="90" w:name="_Hlk164272136"/>
            <w:r>
              <w:rPr>
                <w:rFonts w:hint="eastAsia" w:ascii="宋体" w:hAnsi="宋体" w:eastAsia="宋体" w:cs="宋体"/>
                <w:bCs/>
                <w:color w:val="000000" w:themeColor="text1"/>
                <w:szCs w:val="21"/>
                <w14:textFill>
                  <w14:solidFill>
                    <w14:schemeClr w14:val="tx1"/>
                  </w14:solidFill>
                </w14:textFill>
              </w:rPr>
              <w:t>1</w:t>
            </w:r>
          </w:p>
        </w:tc>
        <w:tc>
          <w:tcPr>
            <w:tcW w:w="1102" w:type="dxa"/>
            <w:shd w:val="clear" w:color="auto" w:fill="auto"/>
            <w:vAlign w:val="center"/>
          </w:tcPr>
          <w:p w14:paraId="5795A51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项目需求理解</w:t>
            </w:r>
          </w:p>
        </w:tc>
        <w:tc>
          <w:tcPr>
            <w:tcW w:w="832" w:type="dxa"/>
            <w:shd w:val="clear" w:color="auto" w:fill="auto"/>
            <w:vAlign w:val="center"/>
          </w:tcPr>
          <w:p w14:paraId="14D403E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6339" w:type="dxa"/>
            <w:shd w:val="clear" w:color="auto" w:fill="auto"/>
            <w:vAlign w:val="center"/>
          </w:tcPr>
          <w:p w14:paraId="07D48E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考察</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针对本项目需求的理解程度。根据</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提供的采购需求书，</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应提供完全满足或优于用户需求的方案，对本项目重点、难点有全面的认识和理解，且能详细描述。根据其理解的程度进行综合评分。具体如下：</w:t>
            </w:r>
          </w:p>
          <w:p w14:paraId="7A3EB9B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1、对本项目要求完成的工作目标和服务内容理解准确、能响应所有采购需求，能正确指出项目的特点和重点，得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p w14:paraId="46B4168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2、对本项目要求完成的工作目标和服务内容理解比较准确，能响应大部分采购需求，能正确指出项目的特点和重点，得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p w14:paraId="38D966A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3、对本项目要求完成的工作目标和服务内容理解基本准确，能基本响应大部分采购需求，能基本指出项目特点和重点，得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p w14:paraId="377061A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4、对本项目要求完成的工作目标和服务内容理解不准确，不能响应采购需求或其他情况，得1分；</w:t>
            </w:r>
          </w:p>
          <w:p w14:paraId="5A8F78D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5、未提供相关内容则不得分。</w:t>
            </w:r>
          </w:p>
        </w:tc>
      </w:tr>
      <w:tr w14:paraId="2CBA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E2064F7">
            <w:pPr>
              <w:spacing w:before="93" w:beforeLines="30" w:after="93" w:afterLines="30"/>
              <w:jc w:val="center"/>
              <w:rPr>
                <w:rFonts w:hint="eastAsia" w:ascii="宋体" w:hAnsi="宋体" w:eastAsia="宋体" w:cs="宋体"/>
                <w:bCs/>
                <w:color w:val="000000" w:themeColor="text1"/>
                <w:szCs w:val="21"/>
                <w14:textFill>
                  <w14:solidFill>
                    <w14:schemeClr w14:val="tx1"/>
                  </w14:solidFill>
                </w14:textFill>
              </w:rPr>
            </w:pPr>
            <w:bookmarkStart w:id="91" w:name="_Hlk163650616"/>
            <w:r>
              <w:rPr>
                <w:rFonts w:hint="eastAsia" w:ascii="宋体" w:hAnsi="宋体" w:eastAsia="宋体" w:cs="宋体"/>
                <w:bCs/>
                <w:color w:val="000000" w:themeColor="text1"/>
                <w:szCs w:val="21"/>
                <w14:textFill>
                  <w14:solidFill>
                    <w14:schemeClr w14:val="tx1"/>
                  </w14:solidFill>
                </w14:textFill>
              </w:rPr>
              <w:t>2</w:t>
            </w:r>
          </w:p>
        </w:tc>
        <w:tc>
          <w:tcPr>
            <w:tcW w:w="1102" w:type="dxa"/>
            <w:vAlign w:val="center"/>
          </w:tcPr>
          <w:p w14:paraId="46E32BD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0"/>
                <w:sz w:val="21"/>
                <w:szCs w:val="21"/>
                <w:highlight w:val="none"/>
                <w:u w:val="none"/>
                <w:lang w:val="en-US" w:eastAsia="zh-CN" w:bidi="ar"/>
              </w:rPr>
            </w:pPr>
            <w:r>
              <w:t>项目实施方案</w:t>
            </w:r>
          </w:p>
        </w:tc>
        <w:tc>
          <w:tcPr>
            <w:tcW w:w="832" w:type="dxa"/>
            <w:vAlign w:val="center"/>
          </w:tcPr>
          <w:p w14:paraId="4BC3F2F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6339" w:type="dxa"/>
            <w:vAlign w:val="center"/>
          </w:tcPr>
          <w:p w14:paraId="4756C981">
            <w:pPr>
              <w:keepNext w:val="0"/>
              <w:keepLines w:val="0"/>
              <w:pageBreakBefore w:val="0"/>
              <w:widowControl w:val="0"/>
              <w:kinsoku/>
              <w:wordWrap/>
              <w:overflowPunct/>
              <w:topLinePunct w:val="0"/>
              <w:autoSpaceDE/>
              <w:autoSpaceDN/>
              <w:bidi w:val="0"/>
              <w:adjustRightInd/>
              <w:snapToGrid/>
              <w:textAlignment w:val="auto"/>
            </w:pPr>
            <w:r>
              <w:rPr>
                <w:rFonts w:hint="eastAsia" w:ascii="宋体" w:hAnsi="宋体" w:eastAsia="宋体" w:cs="宋体"/>
                <w:i w:val="0"/>
                <w:iCs w:val="0"/>
                <w:color w:val="auto"/>
                <w:kern w:val="0"/>
                <w:sz w:val="21"/>
                <w:szCs w:val="21"/>
                <w:highlight w:val="none"/>
                <w:u w:val="none"/>
                <w:lang w:val="en-US" w:eastAsia="zh-CN" w:bidi="ar"/>
              </w:rPr>
              <w:t>考察</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提供的</w:t>
            </w:r>
            <w:r>
              <w:rPr>
                <w:rFonts w:hint="eastAsia" w:ascii="宋体" w:hAnsi="宋体" w:cs="宋体"/>
                <w:i w:val="0"/>
                <w:iCs w:val="0"/>
                <w:color w:val="auto"/>
                <w:kern w:val="0"/>
                <w:sz w:val="21"/>
                <w:szCs w:val="21"/>
                <w:highlight w:val="none"/>
                <w:u w:val="none"/>
                <w:lang w:val="en-US" w:eastAsia="zh-CN" w:bidi="ar"/>
              </w:rPr>
              <w:t>项目执行</w:t>
            </w:r>
            <w:r>
              <w:rPr>
                <w:rFonts w:hint="eastAsia" w:ascii="宋体" w:hAnsi="宋体" w:eastAsia="宋体" w:cs="宋体"/>
                <w:i w:val="0"/>
                <w:iCs w:val="0"/>
                <w:color w:val="auto"/>
                <w:kern w:val="0"/>
                <w:sz w:val="21"/>
                <w:szCs w:val="21"/>
                <w:highlight w:val="none"/>
                <w:u w:val="none"/>
                <w:lang w:val="en-US" w:eastAsia="zh-CN" w:bidi="ar"/>
              </w:rPr>
              <w:t>服务方案，</w:t>
            </w:r>
            <w:r>
              <w:t>提供的项目实施方案（包括但不限于物料设计制作方案、供货方案、</w:t>
            </w:r>
            <w:r>
              <w:rPr>
                <w:rFonts w:hint="eastAsia"/>
              </w:rPr>
              <w:t>存储集散</w:t>
            </w:r>
            <w:r>
              <w:t>场地</w:t>
            </w:r>
            <w:r>
              <w:rPr>
                <w:rFonts w:hint="eastAsia"/>
                <w:lang w:val="en-US" w:eastAsia="zh-CN"/>
              </w:rPr>
              <w:t>布置使用</w:t>
            </w:r>
            <w:r>
              <w:t>方案等）进行综合评审：</w:t>
            </w:r>
          </w:p>
          <w:p w14:paraId="7E683F9D">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ascii="Times New Roman" w:hAnsi="Times New Roman" w:eastAsia="宋体" w:cs="Times New Roman"/>
                <w:kern w:val="2"/>
                <w:sz w:val="21"/>
                <w:szCs w:val="24"/>
                <w:lang w:val="en-US" w:eastAsia="zh-CN" w:bidi="ar-SA"/>
              </w:rPr>
              <w:t>1、</w:t>
            </w:r>
            <w:r>
              <w:t>项目实施方案全面覆盖物料设计制作、供货、</w:t>
            </w:r>
            <w:r>
              <w:rPr>
                <w:rFonts w:hint="eastAsia"/>
              </w:rPr>
              <w:t>存储集散</w:t>
            </w:r>
            <w:r>
              <w:t>场地布置等所有要求，另有提出其他个性化服务方案，针对本项目实际情况制定的措施极具针对性，各环</w:t>
            </w:r>
            <w:bookmarkStart w:id="148" w:name="_GoBack"/>
            <w:bookmarkEnd w:id="148"/>
            <w:r>
              <w:t>节细节描述清晰、逻辑严谨，实施步骤科学合理，非常有利于项目的顺利实施，得15分；</w:t>
            </w:r>
          </w:p>
          <w:p w14:paraId="48979763">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hint="eastAsia" w:ascii="宋体" w:hAnsi="宋体" w:eastAsia="宋体" w:cs="宋体"/>
                <w:i w:val="0"/>
                <w:iCs w:val="0"/>
                <w:color w:val="auto"/>
                <w:kern w:val="0"/>
                <w:sz w:val="21"/>
                <w:szCs w:val="21"/>
                <w:lang w:val="en-US" w:eastAsia="zh-CN" w:bidi="ar"/>
              </w:rPr>
              <w:t>2、</w:t>
            </w:r>
            <w:r>
              <w:t>项目实施方案基本覆盖物料设计制作、供货、</w:t>
            </w:r>
            <w:r>
              <w:rPr>
                <w:rFonts w:hint="eastAsia"/>
              </w:rPr>
              <w:t>存储集散</w:t>
            </w:r>
            <w:r>
              <w:t>场地</w:t>
            </w:r>
            <w:r>
              <w:rPr>
                <w:rFonts w:hint="eastAsia"/>
                <w:lang w:val="en-US" w:eastAsia="zh-CN"/>
              </w:rPr>
              <w:t>布置使用方案</w:t>
            </w:r>
            <w:r>
              <w:t>等所有要求，对本项目情况有一定针对性，各环节有明确描述，实施步骤基本合理，各环节细节描述较清晰较合理，基本有利于项目的顺利实施，得10分；</w:t>
            </w:r>
          </w:p>
          <w:p w14:paraId="5384FBE5">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hint="eastAsia"/>
                <w:lang w:val="en-US" w:eastAsia="zh-CN"/>
              </w:rPr>
              <w:t>3、</w:t>
            </w:r>
            <w:r>
              <w:t>项目实施方案存在部分内容遗漏，对本项目针对性一般，部分环节描述模糊，实施步骤有合理性一般，部分有利于项目的顺利实施，得6分；</w:t>
            </w:r>
          </w:p>
          <w:p w14:paraId="63A9D1D6">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hint="eastAsia"/>
                <w:lang w:val="en-US" w:eastAsia="zh-CN"/>
              </w:rPr>
              <w:t>4、</w:t>
            </w:r>
            <w:r>
              <w:t>项目实施方案内容简略，仅涉及少量核心环节，对本项目无明显针对性，各环节描述混乱，实施步骤缺乏可行性，基本能保证项目的实施，得3分；</w:t>
            </w:r>
          </w:p>
          <w:p w14:paraId="701C16E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lang w:val="en-US" w:eastAsia="zh-CN"/>
              </w:rPr>
              <w:t>5、</w:t>
            </w:r>
            <w:r>
              <w:t>未提供对应方案的不得分</w:t>
            </w:r>
            <w:r>
              <w:rPr>
                <w:rFonts w:hint="eastAsia" w:ascii="宋体" w:hAnsi="宋体" w:eastAsia="宋体" w:cs="宋体"/>
                <w:i w:val="0"/>
                <w:iCs w:val="0"/>
                <w:color w:val="auto"/>
                <w:kern w:val="0"/>
                <w:sz w:val="21"/>
                <w:szCs w:val="21"/>
                <w:highlight w:val="none"/>
                <w:u w:val="none"/>
                <w:lang w:val="en-US" w:eastAsia="zh-CN" w:bidi="ar"/>
              </w:rPr>
              <w:t>。</w:t>
            </w:r>
          </w:p>
        </w:tc>
      </w:tr>
      <w:tr w14:paraId="611D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7FF983D4">
            <w:pPr>
              <w:spacing w:before="93" w:beforeLines="30" w:after="93" w:afterLines="30"/>
              <w:jc w:val="center"/>
              <w:rPr>
                <w:rFonts w:hint="eastAsia" w:ascii="宋体" w:hAnsi="宋体" w:eastAsia="宋体" w:cs="宋体"/>
                <w:bCs/>
                <w:szCs w:val="21"/>
              </w:rPr>
            </w:pPr>
            <w:r>
              <w:rPr>
                <w:rFonts w:hint="eastAsia" w:ascii="宋体" w:hAnsi="宋体" w:eastAsia="宋体" w:cs="宋体"/>
                <w:bCs/>
                <w:szCs w:val="21"/>
              </w:rPr>
              <w:t>3</w:t>
            </w:r>
          </w:p>
        </w:tc>
        <w:tc>
          <w:tcPr>
            <w:tcW w:w="1102" w:type="dxa"/>
            <w:vAlign w:val="center"/>
          </w:tcPr>
          <w:p w14:paraId="3F26BE80">
            <w:pPr>
              <w:spacing w:before="93" w:beforeLines="30" w:after="93" w:afterLines="30"/>
              <w:jc w:val="center"/>
              <w:rPr>
                <w:rFonts w:hint="eastAsia" w:ascii="宋体" w:hAnsi="宋体" w:eastAsia="宋体" w:cs="宋体"/>
                <w:bCs/>
                <w:szCs w:val="21"/>
                <w:lang w:val="en-US" w:eastAsia="zh-CN"/>
              </w:rPr>
            </w:pPr>
            <w:r>
              <w:rPr>
                <w:rFonts w:hint="eastAsia"/>
                <w:lang w:val="en-US" w:eastAsia="zh-CN"/>
              </w:rPr>
              <w:t>货物及服务质量保障措施</w:t>
            </w:r>
          </w:p>
        </w:tc>
        <w:tc>
          <w:tcPr>
            <w:tcW w:w="832" w:type="dxa"/>
            <w:vAlign w:val="center"/>
          </w:tcPr>
          <w:p w14:paraId="526E07C5">
            <w:pPr>
              <w:spacing w:before="93" w:beforeLines="30" w:after="93" w:afterLines="3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ascii="宋体" w:hAnsi="宋体" w:cs="宋体"/>
                <w:bCs/>
                <w:szCs w:val="21"/>
                <w:lang w:val="en-US" w:eastAsia="zh-CN"/>
              </w:rPr>
              <w:t>2</w:t>
            </w:r>
          </w:p>
        </w:tc>
        <w:tc>
          <w:tcPr>
            <w:tcW w:w="6339" w:type="dxa"/>
            <w:vAlign w:val="center"/>
          </w:tcPr>
          <w:p w14:paraId="4616FE56">
            <w:pPr>
              <w:keepNext w:val="0"/>
              <w:keepLines w:val="0"/>
              <w:pageBreakBefore w:val="0"/>
              <w:widowControl w:val="0"/>
              <w:kinsoku/>
              <w:wordWrap/>
              <w:overflowPunct/>
              <w:topLinePunct w:val="0"/>
              <w:autoSpaceDE/>
              <w:autoSpaceDN/>
              <w:bidi w:val="0"/>
              <w:adjustRightInd/>
              <w:snapToGrid/>
              <w:textAlignment w:val="auto"/>
            </w:pPr>
            <w:r>
              <w:t xml:space="preserve">根据供应商提供的货物及服务质量保证措施(包括不限于物料质量保障措施方案、工作方法与技术路线等)进行综合评审： </w:t>
            </w:r>
          </w:p>
          <w:p w14:paraId="1F3FC950">
            <w:pPr>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t>物料质量保障措施全面且严格，涵盖采购、存储等流程，工作方法先进科学，技术路线清晰，有完善的质量监督机制，得1</w:t>
            </w:r>
            <w:r>
              <w:rPr>
                <w:rFonts w:hint="eastAsia"/>
                <w:lang w:val="en-US" w:eastAsia="zh-CN"/>
              </w:rPr>
              <w:t>2</w:t>
            </w:r>
            <w:r>
              <w:t>分；</w:t>
            </w:r>
          </w:p>
          <w:p w14:paraId="779B5037">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pPr>
            <w:r>
              <w:t>物料质量保障措施完整，部分涵盖采购、存储等流程，工作方法较先进较科学，技术路线较清晰，有较完善的质量监督机制，得</w:t>
            </w:r>
            <w:r>
              <w:rPr>
                <w:rFonts w:hint="eastAsia"/>
                <w:lang w:val="en-US" w:eastAsia="zh-CN"/>
              </w:rPr>
              <w:t>9</w:t>
            </w:r>
            <w:r>
              <w:t>分；</w:t>
            </w:r>
          </w:p>
          <w:p w14:paraId="01ABEF88">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t>物料质量保障措施基本到位，工作方法和技术路线基本可行，能满足项目质量要求，有基本的质量监督机制，得</w:t>
            </w:r>
            <w:r>
              <w:rPr>
                <w:rFonts w:hint="eastAsia"/>
                <w:lang w:val="en-US" w:eastAsia="zh-CN"/>
              </w:rPr>
              <w:t>6</w:t>
            </w:r>
            <w:r>
              <w:t>分；</w:t>
            </w:r>
          </w:p>
          <w:p w14:paraId="2382B99E">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t>物料质量保障措施简单粗放，工作方法和技术路线差，对质量风险考虑不足，质量监督机制不够完善，得</w:t>
            </w:r>
            <w:r>
              <w:rPr>
                <w:rFonts w:hint="eastAsia"/>
                <w:lang w:val="en-US" w:eastAsia="zh-CN"/>
              </w:rPr>
              <w:t>3</w:t>
            </w:r>
            <w:r>
              <w:t>分；</w:t>
            </w:r>
          </w:p>
          <w:p w14:paraId="6E5FA690">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t>未提供对应方案不得分。</w:t>
            </w:r>
          </w:p>
        </w:tc>
      </w:tr>
      <w:tr w14:paraId="717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6A10453">
            <w:pPr>
              <w:spacing w:before="93" w:beforeLines="30" w:after="93" w:afterLines="30"/>
              <w:jc w:val="center"/>
              <w:rPr>
                <w:rFonts w:hint="eastAsia" w:ascii="宋体" w:hAnsi="宋体" w:eastAsia="宋体" w:cs="宋体"/>
                <w:bCs/>
                <w:szCs w:val="21"/>
                <w:lang w:val="en-US" w:eastAsia="zh-CN"/>
              </w:rPr>
            </w:pPr>
            <w:r>
              <w:rPr>
                <w:rFonts w:hint="eastAsia" w:ascii="宋体" w:hAnsi="宋体" w:cs="宋体"/>
                <w:bCs/>
                <w:szCs w:val="21"/>
                <w:lang w:val="en-US" w:eastAsia="zh-CN"/>
              </w:rPr>
              <w:t>4</w:t>
            </w:r>
          </w:p>
        </w:tc>
        <w:tc>
          <w:tcPr>
            <w:tcW w:w="1102" w:type="dxa"/>
            <w:vAlign w:val="center"/>
          </w:tcPr>
          <w:p w14:paraId="2E9F02C2">
            <w:pPr>
              <w:spacing w:before="93" w:beforeLines="30" w:after="93" w:afterLines="30"/>
              <w:jc w:val="center"/>
              <w:rPr>
                <w:rFonts w:hint="eastAsia" w:eastAsia="宋体"/>
                <w:lang w:val="en-US" w:eastAsia="zh-CN"/>
              </w:rPr>
            </w:pPr>
            <w:r>
              <w:t>应急处理及解决方案</w:t>
            </w:r>
          </w:p>
        </w:tc>
        <w:tc>
          <w:tcPr>
            <w:tcW w:w="832" w:type="dxa"/>
            <w:vAlign w:val="center"/>
          </w:tcPr>
          <w:p w14:paraId="7D779596">
            <w:pPr>
              <w:spacing w:before="93" w:beforeLines="30" w:after="93" w:afterLines="30"/>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6339" w:type="dxa"/>
            <w:vAlign w:val="center"/>
          </w:tcPr>
          <w:p w14:paraId="6216285C">
            <w:pPr>
              <w:keepNext w:val="0"/>
              <w:keepLines w:val="0"/>
              <w:pageBreakBefore w:val="0"/>
              <w:widowControl w:val="0"/>
              <w:numPr>
                <w:ilvl w:val="0"/>
                <w:numId w:val="0"/>
              </w:numPr>
              <w:kinsoku/>
              <w:wordWrap/>
              <w:overflowPunct/>
              <w:topLinePunct w:val="0"/>
              <w:autoSpaceDE/>
              <w:autoSpaceDN/>
              <w:bidi w:val="0"/>
              <w:adjustRightInd/>
              <w:snapToGrid/>
              <w:textAlignment w:val="auto"/>
            </w:pPr>
            <w:r>
              <w:t>对开展本项目所编制的的应急处理及解决方案（包括但不限于物料的应急</w:t>
            </w:r>
            <w:r>
              <w:rPr>
                <w:rFonts w:hint="eastAsia"/>
                <w:lang w:val="en-US" w:eastAsia="zh-CN"/>
              </w:rPr>
              <w:t>调换、</w:t>
            </w:r>
            <w:r>
              <w:t>补货、异常天气情况的紧急调配等）进行综合评审：</w:t>
            </w:r>
          </w:p>
          <w:p w14:paraId="357023DE">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ascii="Times New Roman" w:hAnsi="Times New Roman" w:eastAsia="宋体" w:cs="Times New Roman"/>
                <w:kern w:val="2"/>
                <w:sz w:val="21"/>
                <w:szCs w:val="24"/>
                <w:lang w:val="en-US" w:eastAsia="zh-CN" w:bidi="ar-SA"/>
              </w:rPr>
              <w:t>1、</w:t>
            </w:r>
            <w:r>
              <w:t>应急处理预案全面覆盖物料应急</w:t>
            </w:r>
            <w:r>
              <w:rPr>
                <w:rFonts w:hint="eastAsia"/>
                <w:lang w:val="en-US" w:eastAsia="zh-CN"/>
              </w:rPr>
              <w:t>调换、</w:t>
            </w:r>
            <w:r>
              <w:t>补货、异常天气情况紧急调配等所有场景，响应速度快，应急措施具体有效，责任分工明确，得</w:t>
            </w:r>
            <w:r>
              <w:rPr>
                <w:rFonts w:hint="eastAsia"/>
                <w:lang w:val="en-US" w:eastAsia="zh-CN"/>
              </w:rPr>
              <w:t>10</w:t>
            </w:r>
            <w:r>
              <w:t>分；</w:t>
            </w:r>
          </w:p>
          <w:p w14:paraId="63B75D7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2、</w:t>
            </w:r>
            <w:r>
              <w:t>应急处理预案基本覆盖物料应急</w:t>
            </w:r>
            <w:r>
              <w:rPr>
                <w:rFonts w:hint="eastAsia"/>
                <w:lang w:val="en-US" w:eastAsia="zh-CN"/>
              </w:rPr>
              <w:t>调换、</w:t>
            </w:r>
            <w:r>
              <w:t>补货、异常天气情况紧急调配等所有场景，响应时间及时，应急措施较具体，有明确的责任分工，得</w:t>
            </w:r>
            <w:r>
              <w:rPr>
                <w:rFonts w:hint="eastAsia"/>
                <w:lang w:val="en-US" w:eastAsia="zh-CN"/>
              </w:rPr>
              <w:t>7</w:t>
            </w:r>
            <w:r>
              <w:t>分；</w:t>
            </w:r>
          </w:p>
          <w:p w14:paraId="5A801F6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3、</w:t>
            </w:r>
            <w:r>
              <w:t>应急处理预案仅涉及部分应急场景，响应速度较慢，应急措施针对性不足，责任分工模糊，得</w:t>
            </w:r>
            <w:r>
              <w:rPr>
                <w:rFonts w:hint="eastAsia"/>
                <w:lang w:val="en-US" w:eastAsia="zh-CN"/>
              </w:rPr>
              <w:t>4</w:t>
            </w:r>
            <w:r>
              <w:t>分；</w:t>
            </w:r>
          </w:p>
          <w:p w14:paraId="24FB963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4、</w:t>
            </w:r>
            <w:r>
              <w:t>应急处理预案缺失主要内容，响应速度极慢，应急措施差，无明确责任分工，得1分；</w:t>
            </w:r>
          </w:p>
          <w:p w14:paraId="4F46867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5、</w:t>
            </w:r>
            <w:r>
              <w:t>未提供对应方案的不得分。</w:t>
            </w:r>
          </w:p>
        </w:tc>
      </w:tr>
      <w:tr w14:paraId="0290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203BB405">
            <w:pPr>
              <w:spacing w:before="93" w:beforeLines="30" w:after="93" w:afterLines="30"/>
              <w:jc w:val="center"/>
              <w:rPr>
                <w:rFonts w:hint="default" w:ascii="宋体" w:hAnsi="宋体" w:cs="宋体"/>
                <w:bCs/>
                <w:szCs w:val="21"/>
                <w:lang w:val="en-US" w:eastAsia="zh-CN"/>
              </w:rPr>
            </w:pPr>
            <w:bookmarkStart w:id="92" w:name="_Toc318"/>
            <w:r>
              <w:rPr>
                <w:rFonts w:hint="eastAsia" w:ascii="宋体" w:hAnsi="宋体" w:cs="宋体"/>
                <w:bCs/>
                <w:szCs w:val="21"/>
                <w:lang w:val="en-US" w:eastAsia="zh-CN"/>
              </w:rPr>
              <w:t>5</w:t>
            </w:r>
          </w:p>
        </w:tc>
        <w:tc>
          <w:tcPr>
            <w:tcW w:w="1102" w:type="dxa"/>
            <w:vAlign w:val="center"/>
          </w:tcPr>
          <w:p w14:paraId="7E19E40D">
            <w:pPr>
              <w:spacing w:before="93" w:beforeLines="30" w:after="93" w:afterLines="30"/>
              <w:jc w:val="center"/>
              <w:rPr>
                <w:rFonts w:hint="default" w:eastAsia="宋体"/>
                <w:lang w:val="en-US" w:eastAsia="zh-CN"/>
              </w:rPr>
            </w:pPr>
            <w:r>
              <w:rPr>
                <w:rFonts w:hint="eastAsia"/>
                <w:lang w:val="en-US" w:eastAsia="zh-CN"/>
              </w:rPr>
              <w:t>服务进度安排方案</w:t>
            </w:r>
          </w:p>
        </w:tc>
        <w:tc>
          <w:tcPr>
            <w:tcW w:w="832" w:type="dxa"/>
            <w:vAlign w:val="center"/>
          </w:tcPr>
          <w:p w14:paraId="46CB3477">
            <w:pPr>
              <w:spacing w:before="93" w:beforeLines="30" w:after="93" w:afterLines="30"/>
              <w:jc w:val="center"/>
              <w:rPr>
                <w:rFonts w:hint="default" w:ascii="宋体" w:hAnsi="宋体" w:cs="宋体"/>
                <w:bCs/>
                <w:szCs w:val="21"/>
                <w:lang w:val="en-US" w:eastAsia="zh-CN"/>
              </w:rPr>
            </w:pPr>
            <w:r>
              <w:rPr>
                <w:rFonts w:hint="eastAsia" w:ascii="宋体" w:hAnsi="宋体" w:cs="宋体"/>
                <w:bCs/>
                <w:szCs w:val="21"/>
                <w:lang w:val="en-US" w:eastAsia="zh-CN"/>
              </w:rPr>
              <w:t>7</w:t>
            </w:r>
          </w:p>
        </w:tc>
        <w:tc>
          <w:tcPr>
            <w:tcW w:w="6339" w:type="dxa"/>
            <w:vAlign w:val="center"/>
          </w:tcPr>
          <w:p w14:paraId="40926BE4">
            <w:pPr>
              <w:keepNext w:val="0"/>
              <w:keepLines w:val="0"/>
              <w:pageBreakBefore w:val="0"/>
              <w:widowControl w:val="0"/>
              <w:numPr>
                <w:ilvl w:val="0"/>
                <w:numId w:val="0"/>
              </w:numPr>
              <w:kinsoku/>
              <w:wordWrap/>
              <w:overflowPunct/>
              <w:topLinePunct w:val="0"/>
              <w:autoSpaceDE/>
              <w:autoSpaceDN/>
              <w:bidi w:val="0"/>
              <w:adjustRightInd/>
              <w:snapToGrid/>
              <w:textAlignment w:val="auto"/>
            </w:pPr>
            <w:r>
              <w:t>根据</w:t>
            </w:r>
            <w:r>
              <w:rPr>
                <w:rFonts w:hint="eastAsia"/>
                <w:lang w:val="en-US" w:eastAsia="zh-CN"/>
              </w:rPr>
              <w:t>供应商</w:t>
            </w:r>
            <w:r>
              <w:t>提供的服务进度安排（项目规划、</w:t>
            </w:r>
            <w:r>
              <w:rPr>
                <w:rFonts w:hint="eastAsia"/>
                <w:lang w:val="en-US" w:eastAsia="zh-CN"/>
              </w:rPr>
              <w:t>整体完成时间预计</w:t>
            </w:r>
            <w:r>
              <w:t>和综合进度保证措施等）进行综合评审：</w:t>
            </w:r>
          </w:p>
          <w:p w14:paraId="20A45F63">
            <w:pPr>
              <w:keepNext w:val="0"/>
              <w:keepLines w:val="0"/>
              <w:pageBreakBefore w:val="0"/>
              <w:widowControl w:val="0"/>
              <w:numPr>
                <w:ilvl w:val="0"/>
                <w:numId w:val="11"/>
              </w:numPr>
              <w:kinsoku/>
              <w:wordWrap/>
              <w:overflowPunct/>
              <w:topLinePunct w:val="0"/>
              <w:autoSpaceDE/>
              <w:autoSpaceDN/>
              <w:bidi w:val="0"/>
              <w:adjustRightInd/>
              <w:snapToGrid/>
              <w:textAlignment w:val="auto"/>
            </w:pPr>
            <w:r>
              <w:t>项目规划科学合理，</w:t>
            </w:r>
            <w:r>
              <w:rPr>
                <w:rFonts w:hint="eastAsia"/>
                <w:lang w:val="en-US" w:eastAsia="zh-CN"/>
              </w:rPr>
              <w:t>完成时间预计</w:t>
            </w:r>
            <w:r>
              <w:t>目标明确且符合项目要求，综合进度保证措施全面且针对性强，各阶段节点清晰、时间分配精准，有完善的进度跟踪机制，得</w:t>
            </w:r>
            <w:r>
              <w:rPr>
                <w:rFonts w:hint="eastAsia"/>
                <w:lang w:val="en-US" w:eastAsia="zh-CN"/>
              </w:rPr>
              <w:t>7</w:t>
            </w:r>
            <w:r>
              <w:t>分；</w:t>
            </w:r>
          </w:p>
          <w:p w14:paraId="51EB892C">
            <w:pPr>
              <w:keepNext w:val="0"/>
              <w:keepLines w:val="0"/>
              <w:pageBreakBefore w:val="0"/>
              <w:widowControl w:val="0"/>
              <w:numPr>
                <w:ilvl w:val="0"/>
                <w:numId w:val="11"/>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lang w:val="en-US" w:eastAsia="zh-CN" w:bidi="ar"/>
              </w:rPr>
            </w:pPr>
            <w:r>
              <w:t>项目规划较合理，</w:t>
            </w:r>
            <w:r>
              <w:rPr>
                <w:rFonts w:hint="eastAsia"/>
                <w:lang w:val="en-US" w:eastAsia="zh-CN"/>
              </w:rPr>
              <w:t>完成时间预计</w:t>
            </w:r>
            <w:r>
              <w:t xml:space="preserve">目标较明确，综合进度保证措施较全面有针对性，各阶段节点较清晰，时间分配较合理，有较完整的进度跟踪机制，得5分； </w:t>
            </w:r>
          </w:p>
          <w:p w14:paraId="259D70C5">
            <w:pPr>
              <w:keepNext w:val="0"/>
              <w:keepLines w:val="0"/>
              <w:pageBreakBefore w:val="0"/>
              <w:widowControl w:val="0"/>
              <w:numPr>
                <w:ilvl w:val="0"/>
                <w:numId w:val="11"/>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lang w:val="en-US" w:eastAsia="zh-CN" w:bidi="ar"/>
              </w:rPr>
            </w:pPr>
            <w:r>
              <w:t>项目规划基本合理，</w:t>
            </w:r>
            <w:r>
              <w:rPr>
                <w:rFonts w:hint="eastAsia"/>
                <w:lang w:val="en-US" w:eastAsia="zh-CN"/>
              </w:rPr>
              <w:t>完成时间预计</w:t>
            </w:r>
            <w:r>
              <w:t>目标基本明确，综合进度保证措施基本可行，各阶段节点基本明确，时间分配基本合理，有简单的进度跟踪机制，得3分；</w:t>
            </w:r>
          </w:p>
          <w:p w14:paraId="5BF0614A">
            <w:pPr>
              <w:keepNext w:val="0"/>
              <w:keepLines w:val="0"/>
              <w:pageBreakBefore w:val="0"/>
              <w:widowControl w:val="0"/>
              <w:numPr>
                <w:ilvl w:val="0"/>
                <w:numId w:val="11"/>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lang w:val="en-US" w:eastAsia="zh-CN" w:bidi="ar"/>
              </w:rPr>
            </w:pPr>
            <w:r>
              <w:t>项目规划合理性差，</w:t>
            </w:r>
            <w:r>
              <w:rPr>
                <w:rFonts w:hint="eastAsia"/>
                <w:lang w:val="en-US" w:eastAsia="zh-CN"/>
              </w:rPr>
              <w:t>完成时间预计</w:t>
            </w:r>
            <w:r>
              <w:t>目标表述模糊，综合进度保证措施简单，部分阶段节点不明确，时间分配合理性差，进度跟踪机制缺失，得1分</w:t>
            </w:r>
            <w:r>
              <w:rPr>
                <w:rFonts w:hint="eastAsia"/>
                <w:lang w:eastAsia="zh-CN"/>
              </w:rPr>
              <w:t>；</w:t>
            </w:r>
          </w:p>
          <w:p w14:paraId="05DAA59B">
            <w:pPr>
              <w:keepNext w:val="0"/>
              <w:keepLines w:val="0"/>
              <w:pageBreakBefore w:val="0"/>
              <w:widowControl w:val="0"/>
              <w:numPr>
                <w:ilvl w:val="0"/>
                <w:numId w:val="11"/>
              </w:numPr>
              <w:kinsoku/>
              <w:wordWrap/>
              <w:overflowPunct/>
              <w:topLinePunct w:val="0"/>
              <w:autoSpaceDE/>
              <w:autoSpaceDN/>
              <w:bidi w:val="0"/>
              <w:adjustRightInd/>
              <w:snapToGrid/>
              <w:textAlignment w:val="auto"/>
              <w:rPr>
                <w:rFonts w:hint="eastAsia" w:ascii="宋体" w:hAnsi="宋体" w:eastAsia="宋体" w:cs="宋体"/>
                <w:i w:val="0"/>
                <w:iCs w:val="0"/>
                <w:color w:val="auto"/>
                <w:kern w:val="0"/>
                <w:sz w:val="21"/>
                <w:szCs w:val="21"/>
                <w:lang w:val="en-US" w:eastAsia="zh-CN" w:bidi="ar"/>
              </w:rPr>
            </w:pPr>
            <w:r>
              <w:t>未提供对应方案不得分</w:t>
            </w:r>
            <w:r>
              <w:rPr>
                <w:rFonts w:hint="eastAsia"/>
                <w:lang w:eastAsia="zh-CN"/>
              </w:rPr>
              <w:t>。</w:t>
            </w:r>
          </w:p>
        </w:tc>
      </w:tr>
      <w:bookmarkEnd w:id="90"/>
      <w:bookmarkEnd w:id="91"/>
    </w:tbl>
    <w:p w14:paraId="43C0CA19">
      <w:pPr>
        <w:pStyle w:val="16"/>
        <w:spacing w:before="91" w:line="223" w:lineRule="auto"/>
        <w:outlineLvl w:val="1"/>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3"/>
          <w:sz w:val="28"/>
          <w:szCs w:val="28"/>
          <w14:textOutline w14:w="5103" w14:cap="sq" w14:cmpd="sng">
            <w14:solidFill>
              <w14:srgbClr w14:val="000000"/>
            </w14:solidFill>
            <w14:prstDash w14:val="solid"/>
            <w14:bevel/>
          </w14:textOutline>
        </w:rPr>
        <w:t>）</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价格评分表</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w:t>
      </w:r>
      <w:bookmarkEnd w:id="92"/>
    </w:p>
    <w:tbl>
      <w:tblPr>
        <w:tblStyle w:val="42"/>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02"/>
        <w:gridCol w:w="832"/>
        <w:gridCol w:w="6337"/>
      </w:tblGrid>
      <w:tr w14:paraId="56B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dxa"/>
            <w:gridSpan w:val="3"/>
            <w:shd w:val="clear" w:color="auto" w:fill="F1F1F1" w:themeFill="background1" w:themeFillShade="F2"/>
            <w:vAlign w:val="center"/>
          </w:tcPr>
          <w:p w14:paraId="2E6243F3">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评分项</w:t>
            </w:r>
          </w:p>
        </w:tc>
        <w:tc>
          <w:tcPr>
            <w:tcW w:w="6337" w:type="dxa"/>
            <w:shd w:val="clear" w:color="auto" w:fill="F1F1F1" w:themeFill="background1" w:themeFillShade="F2"/>
            <w:vAlign w:val="center"/>
          </w:tcPr>
          <w:p w14:paraId="5F5F8101">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权重</w:t>
            </w:r>
          </w:p>
        </w:tc>
      </w:tr>
      <w:tr w14:paraId="3D49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gridSpan w:val="3"/>
            <w:shd w:val="clear" w:color="auto" w:fill="F1F1F1" w:themeFill="background1" w:themeFillShade="F2"/>
            <w:vAlign w:val="center"/>
          </w:tcPr>
          <w:p w14:paraId="0D248DCA">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价格</w:t>
            </w:r>
          </w:p>
        </w:tc>
        <w:tc>
          <w:tcPr>
            <w:tcW w:w="6337" w:type="dxa"/>
            <w:shd w:val="clear" w:color="auto" w:fill="F1F1F1" w:themeFill="background1" w:themeFillShade="F2"/>
            <w:vAlign w:val="center"/>
          </w:tcPr>
          <w:p w14:paraId="0D049317">
            <w:pPr>
              <w:autoSpaceDE w:val="0"/>
              <w:autoSpaceDN w:val="0"/>
              <w:spacing w:before="93" w:beforeLines="30" w:after="93" w:afterLines="30"/>
              <w:jc w:val="center"/>
              <w:rPr>
                <w:rFonts w:hint="eastAsia" w:ascii="宋体" w:hAnsi="宋体" w:eastAsia="宋体" w:cs="宋体"/>
                <w:b/>
                <w:szCs w:val="21"/>
              </w:rPr>
            </w:pPr>
            <w:r>
              <w:rPr>
                <w:rFonts w:hint="eastAsia" w:ascii="宋体" w:hAnsi="宋体" w:cs="宋体"/>
                <w:b/>
                <w:szCs w:val="21"/>
                <w:lang w:val="en-US" w:eastAsia="zh-CN"/>
              </w:rPr>
              <w:t>3</w:t>
            </w:r>
            <w:r>
              <w:rPr>
                <w:rFonts w:hint="eastAsia" w:ascii="宋体" w:hAnsi="宋体" w:eastAsia="宋体" w:cs="宋体"/>
                <w:b/>
                <w:szCs w:val="21"/>
              </w:rPr>
              <w:t>0</w:t>
            </w:r>
          </w:p>
        </w:tc>
      </w:tr>
      <w:tr w14:paraId="2333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F1F1F1" w:themeFill="background1" w:themeFillShade="F2"/>
            <w:vAlign w:val="center"/>
          </w:tcPr>
          <w:p w14:paraId="5815D9C5">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序号</w:t>
            </w:r>
          </w:p>
        </w:tc>
        <w:tc>
          <w:tcPr>
            <w:tcW w:w="1102" w:type="dxa"/>
            <w:shd w:val="clear" w:color="auto" w:fill="F1F1F1" w:themeFill="background1" w:themeFillShade="F2"/>
            <w:vAlign w:val="center"/>
          </w:tcPr>
          <w:p w14:paraId="1960272A">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内容</w:t>
            </w:r>
          </w:p>
        </w:tc>
        <w:tc>
          <w:tcPr>
            <w:tcW w:w="832" w:type="dxa"/>
            <w:shd w:val="clear" w:color="auto" w:fill="F1F1F1" w:themeFill="background1" w:themeFillShade="F2"/>
            <w:vAlign w:val="center"/>
          </w:tcPr>
          <w:p w14:paraId="2EDA8493">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分值</w:t>
            </w:r>
          </w:p>
        </w:tc>
        <w:tc>
          <w:tcPr>
            <w:tcW w:w="6337" w:type="dxa"/>
            <w:shd w:val="clear" w:color="auto" w:fill="F1F1F1" w:themeFill="background1" w:themeFillShade="F2"/>
          </w:tcPr>
          <w:p w14:paraId="2BFCDD2C">
            <w:pPr>
              <w:autoSpaceDE w:val="0"/>
              <w:autoSpaceDN w:val="0"/>
              <w:spacing w:before="93" w:beforeLines="30" w:after="93" w:afterLines="30"/>
              <w:jc w:val="center"/>
              <w:rPr>
                <w:rFonts w:hint="eastAsia" w:ascii="宋体" w:hAnsi="宋体" w:eastAsia="宋体" w:cs="宋体"/>
                <w:b/>
                <w:szCs w:val="21"/>
              </w:rPr>
            </w:pPr>
            <w:r>
              <w:rPr>
                <w:rFonts w:hint="eastAsia" w:ascii="宋体" w:hAnsi="宋体" w:eastAsia="宋体" w:cs="宋体"/>
                <w:b/>
                <w:szCs w:val="21"/>
              </w:rPr>
              <w:t>评分准则</w:t>
            </w:r>
          </w:p>
        </w:tc>
      </w:tr>
      <w:tr w14:paraId="5862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0D94B9FC">
            <w:pPr>
              <w:spacing w:before="93" w:beforeLines="30" w:after="93" w:afterLines="30"/>
              <w:jc w:val="center"/>
              <w:rPr>
                <w:rFonts w:hint="eastAsia" w:ascii="宋体" w:hAnsi="宋体" w:eastAsia="宋体" w:cs="宋体"/>
                <w:bCs/>
                <w:szCs w:val="21"/>
              </w:rPr>
            </w:pPr>
            <w:r>
              <w:rPr>
                <w:rFonts w:hint="eastAsia" w:ascii="宋体" w:hAnsi="宋体" w:eastAsia="宋体" w:cs="宋体"/>
                <w:bCs/>
                <w:szCs w:val="21"/>
              </w:rPr>
              <w:t>1</w:t>
            </w:r>
          </w:p>
        </w:tc>
        <w:tc>
          <w:tcPr>
            <w:tcW w:w="1102" w:type="dxa"/>
            <w:vAlign w:val="center"/>
          </w:tcPr>
          <w:p w14:paraId="2A7DFCB2">
            <w:pPr>
              <w:spacing w:before="93" w:beforeLines="30" w:after="93" w:afterLines="30"/>
              <w:jc w:val="center"/>
              <w:rPr>
                <w:rFonts w:hint="eastAsia" w:ascii="宋体" w:hAnsi="宋体" w:eastAsia="宋体" w:cs="宋体"/>
                <w:bCs/>
                <w:szCs w:val="21"/>
              </w:rPr>
            </w:pPr>
            <w:r>
              <w:rPr>
                <w:rFonts w:hint="eastAsia" w:ascii="宋体" w:hAnsi="宋体" w:eastAsia="宋体" w:cs="宋体"/>
                <w:bCs/>
                <w:szCs w:val="21"/>
              </w:rPr>
              <w:t>价格分</w:t>
            </w:r>
          </w:p>
        </w:tc>
        <w:tc>
          <w:tcPr>
            <w:tcW w:w="832" w:type="dxa"/>
            <w:vAlign w:val="center"/>
          </w:tcPr>
          <w:p w14:paraId="1C9BA485">
            <w:pPr>
              <w:spacing w:before="93" w:beforeLines="30" w:after="93" w:afterLines="30"/>
              <w:jc w:val="center"/>
              <w:rPr>
                <w:rFonts w:hint="eastAsia" w:ascii="宋体" w:hAnsi="宋体" w:eastAsia="宋体" w:cs="宋体"/>
                <w:bCs/>
                <w:szCs w:val="21"/>
              </w:rPr>
            </w:pPr>
            <w:r>
              <w:rPr>
                <w:rFonts w:hint="eastAsia" w:ascii="宋体" w:hAnsi="宋体" w:cs="宋体"/>
                <w:bCs/>
                <w:szCs w:val="21"/>
                <w:lang w:val="en-US" w:eastAsia="zh-CN"/>
              </w:rPr>
              <w:t>3</w:t>
            </w:r>
            <w:r>
              <w:rPr>
                <w:rFonts w:hint="eastAsia" w:ascii="宋体" w:hAnsi="宋体" w:eastAsia="宋体" w:cs="宋体"/>
                <w:bCs/>
                <w:szCs w:val="21"/>
              </w:rPr>
              <w:t>0</w:t>
            </w:r>
          </w:p>
        </w:tc>
        <w:tc>
          <w:tcPr>
            <w:tcW w:w="6337" w:type="dxa"/>
          </w:tcPr>
          <w:p w14:paraId="3E0C2ED1">
            <w:pPr>
              <w:spacing w:before="93" w:beforeLines="30" w:after="93" w:afterLines="30"/>
              <w:rPr>
                <w:rFonts w:hint="eastAsia" w:ascii="宋体" w:hAnsi="宋体" w:eastAsia="宋体" w:cs="宋体"/>
                <w:bCs/>
                <w:szCs w:val="21"/>
              </w:rPr>
            </w:pPr>
            <w:r>
              <w:rPr>
                <w:rFonts w:hint="eastAsia" w:ascii="宋体" w:hAnsi="宋体" w:eastAsia="宋体" w:cs="宋体"/>
                <w:bCs/>
                <w:szCs w:val="21"/>
              </w:rPr>
              <w:t>本项目价格分统一采用</w:t>
            </w:r>
            <w:r>
              <w:rPr>
                <w:rFonts w:hint="eastAsia" w:ascii="宋体" w:hAnsi="宋体" w:eastAsia="宋体" w:cs="宋体"/>
                <w:bCs/>
                <w:szCs w:val="21"/>
                <w:u w:val="single"/>
              </w:rPr>
              <w:t>低价优先法</w:t>
            </w:r>
            <w:r>
              <w:rPr>
                <w:rFonts w:hint="eastAsia" w:ascii="宋体" w:hAnsi="宋体" w:eastAsia="宋体" w:cs="宋体"/>
                <w:bCs/>
                <w:szCs w:val="21"/>
              </w:rPr>
              <w:t>计算，即满足</w:t>
            </w:r>
            <w:r>
              <w:rPr>
                <w:rFonts w:hint="eastAsia" w:ascii="宋体" w:hAnsi="宋体" w:eastAsia="宋体" w:cs="宋体"/>
                <w:bCs/>
                <w:szCs w:val="21"/>
                <w:lang w:val="en-US" w:eastAsia="zh-CN"/>
              </w:rPr>
              <w:t>采购</w:t>
            </w:r>
            <w:r>
              <w:rPr>
                <w:rFonts w:hint="eastAsia" w:ascii="宋体" w:hAnsi="宋体" w:eastAsia="宋体" w:cs="宋体"/>
                <w:bCs/>
                <w:szCs w:val="21"/>
              </w:rPr>
              <w:t>文件要求且最后</w:t>
            </w:r>
            <w:r>
              <w:rPr>
                <w:rFonts w:hint="eastAsia" w:ascii="宋体" w:hAnsi="宋体" w:eastAsia="宋体" w:cs="宋体"/>
                <w:bCs/>
                <w:szCs w:val="21"/>
                <w:lang w:val="en-US" w:eastAsia="zh-CN"/>
              </w:rPr>
              <w:t>不</w:t>
            </w:r>
            <w:r>
              <w:rPr>
                <w:rFonts w:hint="eastAsia" w:ascii="宋体" w:hAnsi="宋体" w:eastAsia="宋体" w:cs="宋体"/>
                <w:bCs/>
                <w:szCs w:val="21"/>
              </w:rPr>
              <w:t>含税总价报价为最低的</w:t>
            </w:r>
            <w:r>
              <w:rPr>
                <w:rFonts w:hint="eastAsia" w:ascii="宋体" w:hAnsi="宋体" w:eastAsia="宋体" w:cs="宋体"/>
                <w:bCs/>
                <w:szCs w:val="21"/>
                <w:lang w:val="en-US" w:eastAsia="zh-CN"/>
              </w:rPr>
              <w:t>供应商</w:t>
            </w:r>
            <w:r>
              <w:rPr>
                <w:rFonts w:hint="eastAsia" w:ascii="宋体" w:hAnsi="宋体" w:eastAsia="宋体" w:cs="宋体"/>
                <w:bCs/>
                <w:szCs w:val="21"/>
              </w:rPr>
              <w:t>报价作为基准价，其价格得分为满分，满分为</w:t>
            </w:r>
            <w:r>
              <w:rPr>
                <w:rFonts w:hint="eastAsia" w:ascii="宋体" w:hAnsi="宋体" w:cs="宋体"/>
                <w:bCs/>
                <w:szCs w:val="21"/>
                <w:lang w:val="en-US" w:eastAsia="zh-CN"/>
              </w:rPr>
              <w:t>3</w:t>
            </w:r>
            <w:r>
              <w:rPr>
                <w:rFonts w:hint="eastAsia" w:ascii="宋体" w:hAnsi="宋体" w:eastAsia="宋体" w:cs="宋体"/>
                <w:bCs/>
                <w:szCs w:val="21"/>
              </w:rPr>
              <w:t>0分。具体公式如下：</w:t>
            </w:r>
          </w:p>
          <w:p w14:paraId="326A4799">
            <w:pPr>
              <w:spacing w:before="93" w:beforeLines="30" w:after="93" w:afterLines="30"/>
              <w:rPr>
                <w:rFonts w:hint="eastAsia" w:ascii="宋体" w:hAnsi="宋体" w:eastAsia="宋体" w:cs="宋体"/>
                <w:bCs/>
                <w:szCs w:val="21"/>
              </w:rPr>
            </w:pPr>
            <w:r>
              <w:rPr>
                <w:rFonts w:hint="eastAsia" w:ascii="宋体" w:hAnsi="宋体" w:eastAsia="宋体" w:cs="宋体"/>
                <w:bCs/>
                <w:szCs w:val="21"/>
              </w:rPr>
              <w:t>报价得分=（基准价/有效评审价）×价格分分值。</w:t>
            </w:r>
          </w:p>
          <w:p w14:paraId="48E43524">
            <w:pPr>
              <w:spacing w:before="93" w:beforeLines="30" w:after="93" w:afterLines="30"/>
              <w:rPr>
                <w:rFonts w:hint="eastAsia" w:ascii="宋体" w:hAnsi="宋体" w:eastAsia="宋体" w:cs="宋体"/>
                <w:bCs/>
                <w:szCs w:val="21"/>
              </w:rPr>
            </w:pPr>
            <w:r>
              <w:rPr>
                <w:rFonts w:hint="eastAsia" w:ascii="宋体" w:hAnsi="宋体" w:eastAsia="宋体" w:cs="宋体"/>
                <w:bCs/>
                <w:szCs w:val="21"/>
              </w:rPr>
              <w:t>说明：本项目有效评审价为通过初步评审的</w:t>
            </w:r>
            <w:r>
              <w:rPr>
                <w:rFonts w:hint="eastAsia" w:ascii="宋体" w:hAnsi="宋体" w:eastAsia="宋体" w:cs="宋体"/>
                <w:bCs/>
                <w:szCs w:val="21"/>
                <w:lang w:val="en-US" w:eastAsia="zh-CN"/>
              </w:rPr>
              <w:t>报价供应商</w:t>
            </w:r>
            <w:r>
              <w:rPr>
                <w:rFonts w:hint="eastAsia" w:ascii="宋体" w:hAnsi="宋体" w:eastAsia="宋体" w:cs="宋体"/>
                <w:bCs/>
                <w:szCs w:val="21"/>
              </w:rPr>
              <w:t>项目总价（含税）。如价格有算术性修正，请以修正后的价格为准。</w:t>
            </w:r>
          </w:p>
          <w:p w14:paraId="6F2D5B15">
            <w:pPr>
              <w:spacing w:before="93" w:beforeLines="30" w:after="93" w:afterLines="30"/>
              <w:rPr>
                <w:rFonts w:hint="eastAsia" w:ascii="宋体" w:hAnsi="宋体" w:eastAsia="宋体" w:cs="宋体"/>
                <w:bCs/>
                <w:szCs w:val="21"/>
              </w:rPr>
            </w:pPr>
            <w:r>
              <w:rPr>
                <w:rFonts w:hint="eastAsia" w:ascii="宋体" w:hAnsi="宋体" w:eastAsia="宋体" w:cs="宋体"/>
                <w:bCs/>
                <w:szCs w:val="21"/>
              </w:rPr>
              <w:t>备注：价格得分四舍五入，小数点后保留两位有效数。</w:t>
            </w:r>
          </w:p>
        </w:tc>
      </w:tr>
    </w:tbl>
    <w:p w14:paraId="51DA967A"/>
    <w:p w14:paraId="4B4C2298">
      <w:pPr>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br w:type="page"/>
      </w:r>
    </w:p>
    <w:p w14:paraId="61F9BB0B">
      <w:pPr>
        <w:pStyle w:val="52"/>
        <w:snapToGrid w:val="0"/>
        <w:spacing w:before="120" w:after="120"/>
        <w:rPr>
          <w:rFonts w:hint="default" w:ascii="宋体" w:hAnsi="宋体" w:eastAsia="宋体" w:cs="宋体"/>
          <w:b/>
          <w:bCs w:val="0"/>
          <w:kern w:val="0"/>
          <w:sz w:val="28"/>
          <w:szCs w:val="28"/>
          <w:highlight w:val="none"/>
          <w:lang w:val="en-US" w:eastAsia="zh-CN"/>
        </w:rPr>
      </w:pPr>
      <w:bookmarkStart w:id="93" w:name="_Toc4417"/>
      <w:r>
        <w:rPr>
          <w:rFonts w:hint="eastAsia" w:ascii="宋体" w:hAnsi="宋体" w:eastAsia="宋体" w:cs="宋体"/>
          <w:b/>
          <w:bCs w:val="0"/>
          <w:kern w:val="0"/>
          <w:sz w:val="28"/>
          <w:szCs w:val="28"/>
          <w:highlight w:val="none"/>
        </w:rPr>
        <w:t xml:space="preserve">第四章 </w:t>
      </w:r>
      <w:r>
        <w:rPr>
          <w:rFonts w:hint="eastAsia" w:ascii="宋体" w:hAnsi="宋体" w:eastAsia="宋体" w:cs="宋体"/>
          <w:b/>
          <w:bCs w:val="0"/>
          <w:kern w:val="0"/>
          <w:sz w:val="28"/>
          <w:szCs w:val="28"/>
          <w:highlight w:val="none"/>
          <w:lang w:val="en-US" w:eastAsia="zh-CN"/>
        </w:rPr>
        <w:t>采购需求书</w:t>
      </w:r>
      <w:bookmarkEnd w:id="93"/>
    </w:p>
    <w:bookmarkEnd w:id="75"/>
    <w:p w14:paraId="451B2B88">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1424CE27">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07D1B21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07799FEE">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2D38B41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0943F59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0ADF2FBD">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供应商须对《采购需求书》全部</w:t>
      </w:r>
      <w:r>
        <w:rPr>
          <w:rFonts w:hint="eastAsia" w:ascii="宋体" w:hAnsi="宋体" w:cs="宋体"/>
          <w:b/>
          <w:color w:val="auto"/>
          <w:lang w:val="en-US" w:eastAsia="zh-CN"/>
        </w:rPr>
        <w:t>内容</w:t>
      </w:r>
      <w:r>
        <w:rPr>
          <w:rFonts w:hint="eastAsia" w:ascii="宋体" w:hAnsi="宋体" w:cs="宋体"/>
          <w:b/>
          <w:color w:val="auto"/>
        </w:rPr>
        <w:t>理解清楚，并填写《技术商务偏离表》（格式见第六章）。</w:t>
      </w:r>
    </w:p>
    <w:p w14:paraId="30A793A4">
      <w:pPr>
        <w:rPr>
          <w:rFonts w:hint="eastAsia" w:ascii="宋体" w:hAnsi="宋体" w:eastAsia="宋体" w:cs="宋体"/>
          <w:sz w:val="21"/>
          <w:szCs w:val="21"/>
          <w:lang w:eastAsia="zh-CN"/>
        </w:rPr>
      </w:pPr>
    </w:p>
    <w:p w14:paraId="35AF56C1">
      <w:pPr>
        <w:rPr>
          <w:rFonts w:hint="eastAsia" w:ascii="宋体" w:hAnsi="宋体" w:eastAsia="宋体" w:cs="宋体"/>
          <w:sz w:val="21"/>
          <w:szCs w:val="21"/>
          <w:lang w:eastAsia="zh-CN"/>
        </w:rPr>
      </w:pPr>
      <w:r>
        <w:rPr>
          <w:rFonts w:hint="eastAsia" w:ascii="宋体" w:hAnsi="宋体" w:eastAsia="宋体" w:cs="宋体"/>
          <w:sz w:val="21"/>
          <w:szCs w:val="21"/>
          <w:lang w:eastAsia="zh-CN"/>
        </w:rPr>
        <w:br w:type="page"/>
      </w:r>
    </w:p>
    <w:p w14:paraId="0B5EB961">
      <w:pPr>
        <w:pStyle w:val="52"/>
        <w:keepNext/>
        <w:keepLines/>
        <w:pageBreakBefore w:val="0"/>
        <w:widowControl w:val="0"/>
        <w:kinsoku/>
        <w:wordWrap/>
        <w:overflowPunct/>
        <w:topLinePunct w:val="0"/>
        <w:autoSpaceDE/>
        <w:autoSpaceDN/>
        <w:bidi w:val="0"/>
        <w:adjustRightInd/>
        <w:snapToGrid w:val="0"/>
        <w:spacing w:before="120" w:after="120"/>
        <w:jc w:val="center"/>
        <w:textAlignment w:val="auto"/>
        <w:outlineLvl w:val="9"/>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十五运定制化媒体包物资综合保障采购项目需求书</w:t>
      </w:r>
    </w:p>
    <w:p w14:paraId="6853DF7E">
      <w:pPr>
        <w:pStyle w:val="52"/>
        <w:keepNext/>
        <w:keepLines/>
        <w:pageBreakBefore w:val="0"/>
        <w:widowControl w:val="0"/>
        <w:kinsoku/>
        <w:wordWrap/>
        <w:overflowPunct/>
        <w:topLinePunct w:val="0"/>
        <w:autoSpaceDE/>
        <w:autoSpaceDN/>
        <w:bidi w:val="0"/>
        <w:adjustRightInd/>
        <w:snapToGrid w:val="0"/>
        <w:spacing w:before="120" w:after="120"/>
        <w:jc w:val="center"/>
        <w:textAlignment w:val="auto"/>
        <w:outlineLvl w:val="9"/>
        <w:rPr>
          <w:rFonts w:hint="eastAsia" w:ascii="宋体" w:hAnsi="宋体" w:eastAsia="宋体" w:cs="宋体"/>
          <w:b/>
          <w:bCs w:val="0"/>
          <w:color w:val="auto"/>
          <w:kern w:val="0"/>
          <w:sz w:val="21"/>
          <w:szCs w:val="21"/>
          <w:lang w:val="en-US" w:eastAsia="zh-CN"/>
        </w:rPr>
      </w:pPr>
    </w:p>
    <w:p w14:paraId="1C54A00A">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一、项目概述</w:t>
      </w:r>
    </w:p>
    <w:p w14:paraId="758C640A">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根据采购人需要，现对外采购一家专业的供应商，为采购人提供拟定</w:t>
      </w:r>
      <w:r>
        <w:rPr>
          <w:rFonts w:hint="eastAsia" w:ascii="宋体" w:hAnsi="宋体" w:eastAsia="宋体" w:cs="宋体"/>
          <w:color w:val="000000"/>
          <w:sz w:val="21"/>
          <w:szCs w:val="21"/>
        </w:rPr>
        <w:t>于2025年10月16日</w:t>
      </w:r>
      <w:r>
        <w:rPr>
          <w:rFonts w:hint="eastAsia" w:ascii="宋体" w:hAnsi="宋体" w:eastAsia="宋体" w:cs="宋体"/>
          <w:color w:val="000000"/>
          <w:sz w:val="21"/>
          <w:szCs w:val="21"/>
          <w:lang w:val="en-US" w:eastAsia="zh-CN"/>
        </w:rPr>
        <w:t>开始执行的</w:t>
      </w:r>
      <w:r>
        <w:rPr>
          <w:rFonts w:hint="eastAsia" w:ascii="宋体" w:hAnsi="宋体" w:eastAsia="宋体" w:cs="宋体"/>
          <w:color w:val="000000"/>
          <w:sz w:val="21"/>
          <w:szCs w:val="21"/>
        </w:rPr>
        <w:t>十五运会媒体包物资设计定制、采购及分装</w:t>
      </w:r>
      <w:r>
        <w:rPr>
          <w:rFonts w:hint="eastAsia" w:ascii="宋体" w:hAnsi="宋体" w:eastAsia="宋体" w:cs="宋体"/>
          <w:color w:val="000000"/>
          <w:sz w:val="21"/>
          <w:szCs w:val="21"/>
          <w:lang w:val="en-US" w:eastAsia="zh-CN"/>
        </w:rPr>
        <w:t>等综合保障</w:t>
      </w:r>
      <w:r>
        <w:rPr>
          <w:rFonts w:hint="eastAsia" w:ascii="宋体" w:hAnsi="宋体" w:eastAsia="宋体" w:cs="宋体"/>
          <w:color w:val="000000"/>
          <w:sz w:val="21"/>
          <w:szCs w:val="21"/>
        </w:rPr>
        <w:t>服务。</w:t>
      </w:r>
    </w:p>
    <w:p w14:paraId="7C4B88F8">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、项目执行时间</w:t>
      </w:r>
    </w:p>
    <w:p w14:paraId="78D28DF2">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自合同签订之日起，至2025年11月15日。</w:t>
      </w:r>
    </w:p>
    <w:p w14:paraId="409C86DB">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、项目需求</w:t>
      </w:r>
    </w:p>
    <w:p w14:paraId="4FEE68D5">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本项目由供应商在采购人指导下，</w:t>
      </w:r>
      <w:bookmarkStart w:id="94" w:name="_Hlk173852845"/>
      <w:r>
        <w:rPr>
          <w:rFonts w:hint="eastAsia" w:ascii="宋体" w:hAnsi="宋体" w:eastAsia="宋体" w:cs="宋体"/>
          <w:color w:val="000000"/>
          <w:sz w:val="21"/>
          <w:szCs w:val="21"/>
        </w:rPr>
        <w:t>负责完成本次十五运定制化媒体包物资综合保障采购项目，具体包括以下内容：</w:t>
      </w:r>
    </w:p>
    <w:bookmarkEnd w:id="94"/>
    <w:p w14:paraId="524F36E7">
      <w:pPr>
        <w:spacing w:line="360" w:lineRule="auto"/>
        <w:ind w:firstLine="420" w:firstLineChars="200"/>
        <w:rPr>
          <w:rFonts w:hint="eastAsia" w:ascii="宋体" w:hAnsi="宋体" w:eastAsia="宋体" w:cs="宋体"/>
          <w:color w:val="000000"/>
          <w:kern w:val="0"/>
          <w:sz w:val="21"/>
          <w:szCs w:val="21"/>
        </w:rPr>
      </w:pPr>
      <w:bookmarkStart w:id="95" w:name="_Hlk173924078"/>
      <w:bookmarkStart w:id="96" w:name="_Hlk173860786"/>
      <w:bookmarkStart w:id="97" w:name="_Hlk173852944"/>
      <w:r>
        <w:rPr>
          <w:rFonts w:hint="eastAsia" w:ascii="宋体" w:hAnsi="宋体" w:eastAsia="宋体" w:cs="宋体"/>
          <w:color w:val="000000"/>
          <w:kern w:val="0"/>
          <w:sz w:val="21"/>
          <w:szCs w:val="21"/>
        </w:rPr>
        <w:t>（一）物资设计定制服务</w:t>
      </w:r>
    </w:p>
    <w:p w14:paraId="7B34D4F2">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需设计、定制十五运会媒体包中的点心盒、能量包、行李牌、文件夹、宣传手册等物资，每种4000份；</w:t>
      </w:r>
    </w:p>
    <w:p w14:paraId="4D37DCF0">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其中：</w:t>
      </w:r>
    </w:p>
    <w:p w14:paraId="21B50CB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1. 点心盒。根据采购人需求，设计可盛装3-4枚广东老字号餐饮品牌点心的纸盒，外观能展现广东文化特色，盒身质量过硬，不易变形，</w:t>
      </w:r>
      <w:r>
        <w:rPr>
          <w:rFonts w:hint="eastAsia" w:ascii="宋体" w:hAnsi="宋体" w:eastAsia="宋体" w:cs="宋体"/>
          <w:color w:val="000000"/>
          <w:sz w:val="21"/>
          <w:szCs w:val="21"/>
        </w:rPr>
        <w:t>具体以采购人最终需求为准；</w:t>
      </w:r>
    </w:p>
    <w:p w14:paraId="732430A7">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点心样式参考例图：</w:t>
      </w:r>
    </w:p>
    <w:p w14:paraId="73DAB598">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sz w:val="21"/>
          <w:szCs w:val="21"/>
        </w:rPr>
        <w:drawing>
          <wp:inline distT="0" distB="0" distL="0" distR="0">
            <wp:extent cx="914400" cy="1079500"/>
            <wp:effectExtent l="0" t="0" r="0" b="6350"/>
            <wp:docPr id="4536554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55433"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t="11470"/>
                    <a:stretch>
                      <a:fillRect/>
                    </a:stretch>
                  </pic:blipFill>
                  <pic:spPr>
                    <a:xfrm>
                      <a:off x="0" y="0"/>
                      <a:ext cx="914949" cy="1080000"/>
                    </a:xfrm>
                    <a:prstGeom prst="rect">
                      <a:avLst/>
                    </a:prstGeom>
                    <a:noFill/>
                    <a:ln>
                      <a:noFill/>
                    </a:ln>
                  </pic:spPr>
                </pic:pic>
              </a:graphicData>
            </a:graphic>
          </wp:inline>
        </w:drawing>
      </w:r>
      <w:r>
        <w:rPr>
          <w:rFonts w:hint="eastAsia" w:ascii="宋体" w:hAnsi="宋体" w:eastAsia="宋体" w:cs="宋体"/>
          <w:color w:val="000000"/>
          <w:sz w:val="21"/>
          <w:szCs w:val="21"/>
        </w:rPr>
        <w:drawing>
          <wp:inline distT="0" distB="0" distL="0" distR="0">
            <wp:extent cx="1058545" cy="1079500"/>
            <wp:effectExtent l="0" t="0" r="8255" b="6350"/>
            <wp:docPr id="3886806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80659"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t="44664" r="51281" b="5659"/>
                    <a:stretch>
                      <a:fillRect/>
                    </a:stretch>
                  </pic:blipFill>
                  <pic:spPr>
                    <a:xfrm>
                      <a:off x="0" y="0"/>
                      <a:ext cx="1059172" cy="1080000"/>
                    </a:xfrm>
                    <a:prstGeom prst="rect">
                      <a:avLst/>
                    </a:prstGeom>
                    <a:noFill/>
                    <a:ln>
                      <a:noFill/>
                    </a:ln>
                  </pic:spPr>
                </pic:pic>
              </a:graphicData>
            </a:graphic>
          </wp:inline>
        </w:drawing>
      </w:r>
      <w:r>
        <w:rPr>
          <w:rFonts w:hint="eastAsia" w:ascii="宋体" w:hAnsi="宋体" w:eastAsia="宋体" w:cs="宋体"/>
          <w:color w:val="000000"/>
          <w:sz w:val="21"/>
          <w:szCs w:val="21"/>
        </w:rPr>
        <w:drawing>
          <wp:inline distT="0" distB="0" distL="0" distR="0">
            <wp:extent cx="1226820" cy="1079500"/>
            <wp:effectExtent l="0" t="0" r="0" b="6350"/>
            <wp:docPr id="13026247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2472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2766" t="55544" r="38553" b="5718"/>
                    <a:stretch>
                      <a:fillRect/>
                    </a:stretch>
                  </pic:blipFill>
                  <pic:spPr>
                    <a:xfrm>
                      <a:off x="0" y="0"/>
                      <a:ext cx="1227398" cy="1080000"/>
                    </a:xfrm>
                    <a:prstGeom prst="rect">
                      <a:avLst/>
                    </a:prstGeom>
                    <a:noFill/>
                    <a:ln>
                      <a:noFill/>
                    </a:ln>
                  </pic:spPr>
                </pic:pic>
              </a:graphicData>
            </a:graphic>
          </wp:inline>
        </w:drawing>
      </w:r>
      <w:r>
        <w:rPr>
          <w:rFonts w:hint="eastAsia" w:ascii="宋体" w:hAnsi="宋体" w:eastAsia="宋体" w:cs="宋体"/>
          <w:sz w:val="21"/>
          <w:szCs w:val="21"/>
        </w:rPr>
        <w:drawing>
          <wp:inline distT="0" distB="0" distL="0" distR="0">
            <wp:extent cx="948690" cy="1079500"/>
            <wp:effectExtent l="0" t="0" r="3810" b="6350"/>
            <wp:docPr id="18656998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9984"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49135" cy="1080000"/>
                    </a:xfrm>
                    <a:prstGeom prst="rect">
                      <a:avLst/>
                    </a:prstGeom>
                    <a:noFill/>
                    <a:ln>
                      <a:noFill/>
                    </a:ln>
                  </pic:spPr>
                </pic:pic>
              </a:graphicData>
            </a:graphic>
          </wp:inline>
        </w:drawing>
      </w:r>
    </w:p>
    <w:p w14:paraId="2D5F994D">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bookmarkStart w:id="98" w:name="OLE_LINK32"/>
      <w:r>
        <w:rPr>
          <w:rFonts w:hint="eastAsia" w:ascii="宋体" w:hAnsi="宋体" w:eastAsia="宋体" w:cs="宋体"/>
          <w:color w:val="000000"/>
          <w:kern w:val="0"/>
          <w:sz w:val="21"/>
          <w:szCs w:val="21"/>
        </w:rPr>
        <w:t>能量包。根据采购人需求，设计</w:t>
      </w:r>
      <w:bookmarkEnd w:id="98"/>
      <w:r>
        <w:rPr>
          <w:rFonts w:hint="eastAsia" w:ascii="宋体" w:hAnsi="宋体" w:eastAsia="宋体" w:cs="宋体"/>
          <w:color w:val="000000"/>
          <w:kern w:val="0"/>
          <w:sz w:val="21"/>
          <w:szCs w:val="21"/>
        </w:rPr>
        <w:t>可盛装多袋（盒）小包装零食、日用品和港澳特产的帆布袋，平铺尺寸约A4纸大小，外观能展现广东文化特色，封口设计方便开合。</w:t>
      </w:r>
    </w:p>
    <w:p w14:paraId="0CB19F1F">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行李牌</w:t>
      </w:r>
      <w:bookmarkStart w:id="99" w:name="OLE_LINK33"/>
      <w:r>
        <w:rPr>
          <w:rFonts w:hint="eastAsia" w:ascii="宋体" w:hAnsi="宋体" w:eastAsia="宋体" w:cs="宋体"/>
          <w:color w:val="000000"/>
          <w:kern w:val="0"/>
          <w:sz w:val="21"/>
          <w:szCs w:val="21"/>
        </w:rPr>
        <w:t>。根据采购人需求，设计</w:t>
      </w:r>
      <w:bookmarkEnd w:id="99"/>
      <w:r>
        <w:rPr>
          <w:rFonts w:hint="eastAsia" w:ascii="宋体" w:hAnsi="宋体" w:eastAsia="宋体" w:cs="宋体"/>
          <w:color w:val="000000"/>
          <w:kern w:val="0"/>
          <w:sz w:val="21"/>
          <w:szCs w:val="21"/>
        </w:rPr>
        <w:t>可挂于行李箱（包）上使用的行李牌，材质使用PU皮革或PVC材质，外观能展现广东文化特色，美观，适用于常规行李箱挂件。具体以采购人最终需求为准；</w:t>
      </w:r>
    </w:p>
    <w:p w14:paraId="0EACB946">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 文件夹。根据采购人需求，设计开口的塑料夹页，尺寸为A4大小，外观能展现广东文化特色，材质厚实，质量过硬；</w:t>
      </w:r>
    </w:p>
    <w:p w14:paraId="5B739DEF">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 宣传手册。根据采购人需求，设计成风琴折页样式的宣传手册，折叠尺寸约为1/4A4大小，铜版纸，双面印刷。</w:t>
      </w:r>
    </w:p>
    <w:p w14:paraId="03FE886A">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（二）物资采购服务</w:t>
      </w:r>
    </w:p>
    <w:p w14:paraId="7E460E89">
      <w:pPr>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采购由采购人指定的十五运会官方特许商品，共4000份，每份包括1只醒狮摆件（盲盒7选1）和一枚纪念徽章（2选1），</w:t>
      </w:r>
      <w:r>
        <w:rPr>
          <w:rFonts w:hint="eastAsia" w:ascii="宋体" w:hAnsi="宋体" w:eastAsia="宋体" w:cs="宋体"/>
          <w:color w:val="000000"/>
          <w:sz w:val="21"/>
          <w:szCs w:val="21"/>
        </w:rPr>
        <w:t>具体以采购人最终需求为准</w:t>
      </w:r>
      <w:r>
        <w:rPr>
          <w:rFonts w:hint="eastAsia" w:ascii="宋体" w:hAnsi="宋体" w:eastAsia="宋体" w:cs="宋体"/>
          <w:color w:val="000000"/>
          <w:sz w:val="21"/>
          <w:szCs w:val="21"/>
          <w:lang w:eastAsia="zh-CN"/>
        </w:rPr>
        <w:t>。</w:t>
      </w:r>
    </w:p>
    <w:p w14:paraId="3908139B">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醒狮摆件参考例图：</w:t>
      </w:r>
    </w:p>
    <w:p w14:paraId="240F1959">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sz w:val="21"/>
          <w:szCs w:val="21"/>
        </w:rPr>
        <w:drawing>
          <wp:inline distT="0" distB="0" distL="0" distR="0">
            <wp:extent cx="1448435" cy="1079500"/>
            <wp:effectExtent l="0" t="0" r="0" b="6350"/>
            <wp:docPr id="21309214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21450" name="图片 1"/>
                    <pic:cNvPicPr>
                      <a:picLocks noChangeAspect="1"/>
                    </pic:cNvPicPr>
                  </pic:nvPicPr>
                  <pic:blipFill>
                    <a:blip r:embed="rId16"/>
                    <a:stretch>
                      <a:fillRect/>
                    </a:stretch>
                  </pic:blipFill>
                  <pic:spPr>
                    <a:xfrm>
                      <a:off x="0" y="0"/>
                      <a:ext cx="1448957" cy="1080000"/>
                    </a:xfrm>
                    <a:prstGeom prst="rect">
                      <a:avLst/>
                    </a:prstGeom>
                  </pic:spPr>
                </pic:pic>
              </a:graphicData>
            </a:graphic>
          </wp:inline>
        </w:drawing>
      </w:r>
    </w:p>
    <w:p w14:paraId="353533A1">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纪念徽章参考例图：</w:t>
      </w:r>
    </w:p>
    <w:p w14:paraId="0D80B72B">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sz w:val="21"/>
          <w:szCs w:val="21"/>
        </w:rPr>
        <w:drawing>
          <wp:inline distT="0" distB="0" distL="0" distR="0">
            <wp:extent cx="1343025" cy="1079500"/>
            <wp:effectExtent l="0" t="0" r="0" b="6350"/>
            <wp:docPr id="1279367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67879" name="图片 1"/>
                    <pic:cNvPicPr>
                      <a:picLocks noChangeAspect="1"/>
                    </pic:cNvPicPr>
                  </pic:nvPicPr>
                  <pic:blipFill>
                    <a:blip r:embed="rId17"/>
                    <a:stretch>
                      <a:fillRect/>
                    </a:stretch>
                  </pic:blipFill>
                  <pic:spPr>
                    <a:xfrm>
                      <a:off x="0" y="0"/>
                      <a:ext cx="1343081" cy="1080000"/>
                    </a:xfrm>
                    <a:prstGeom prst="rect">
                      <a:avLst/>
                    </a:prstGeom>
                  </pic:spPr>
                </pic:pic>
              </a:graphicData>
            </a:graphic>
          </wp:inline>
        </w:drawing>
      </w:r>
      <w:r>
        <w:rPr>
          <w:rFonts w:hint="eastAsia" w:ascii="宋体" w:hAnsi="宋体" w:eastAsia="宋体" w:cs="宋体"/>
          <w:color w:val="000000"/>
          <w:sz w:val="21"/>
          <w:szCs w:val="21"/>
        </w:rPr>
        <w:drawing>
          <wp:inline distT="0" distB="0" distL="0" distR="0">
            <wp:extent cx="1323975" cy="1079500"/>
            <wp:effectExtent l="0" t="0" r="0" b="6350"/>
            <wp:docPr id="79635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5952"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l="29761"/>
                    <a:stretch>
                      <a:fillRect/>
                    </a:stretch>
                  </pic:blipFill>
                  <pic:spPr>
                    <a:xfrm>
                      <a:off x="0" y="0"/>
                      <a:ext cx="1324236" cy="1080000"/>
                    </a:xfrm>
                    <a:prstGeom prst="rect">
                      <a:avLst/>
                    </a:prstGeom>
                    <a:noFill/>
                    <a:ln>
                      <a:noFill/>
                    </a:ln>
                  </pic:spPr>
                </pic:pic>
              </a:graphicData>
            </a:graphic>
          </wp:inline>
        </w:drawing>
      </w:r>
    </w:p>
    <w:p w14:paraId="41C2BB51">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（三）物资分装服务</w:t>
      </w:r>
    </w:p>
    <w:p w14:paraId="75761031">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根据采购人需求，供应商需完成共4000个媒体包所涉各项物资的接收、仓储、分装和总装工作，并运输至采购人指定的地点；</w:t>
      </w:r>
    </w:p>
    <w:bookmarkEnd w:id="95"/>
    <w:p w14:paraId="6EAD9DBA">
      <w:pPr>
        <w:pStyle w:val="16"/>
        <w:numPr>
          <w:ilvl w:val="255"/>
          <w:numId w:val="0"/>
        </w:num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2、根据采购人项目需要，供应商需在服务期间提供相关媒体包物资的存储集散场地。为保障响应及时，该场地要求包括:</w:t>
      </w:r>
    </w:p>
    <w:p w14:paraId="1588CD5A">
      <w:pPr>
        <w:pStyle w:val="16"/>
        <w:numPr>
          <w:ilvl w:val="255"/>
          <w:numId w:val="0"/>
        </w:num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（1）供应商配备的场地仓储面积满足本项目媒体包相关物料所需的存储需求，并留有足够的分拣操作区域。</w:t>
      </w:r>
    </w:p>
    <w:p w14:paraId="3C3AB503">
      <w:pPr>
        <w:pStyle w:val="16"/>
        <w:numPr>
          <w:ilvl w:val="255"/>
          <w:numId w:val="0"/>
        </w:num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（2）场地应位于广州市内交通便利的区域，方便货车进出，保障能够快速响应采购人需要，配货送至采购人指定地点（收到采购人通知之日起5日内）。</w:t>
      </w:r>
    </w:p>
    <w:p w14:paraId="240C83EC">
      <w:pPr>
        <w:pStyle w:val="16"/>
        <w:numPr>
          <w:ilvl w:val="255"/>
          <w:numId w:val="0"/>
        </w:num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（3）场地应配备符合安全规范、完善的消防设施，仓储环境必须干净、整洁，供应商需全方位保障物料存储安全管理。</w:t>
      </w:r>
    </w:p>
    <w:p w14:paraId="0FD78EA8">
      <w:pPr>
        <w:pStyle w:val="16"/>
        <w:numPr>
          <w:ilvl w:val="255"/>
          <w:numId w:val="0"/>
        </w:num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具体需求详见附表《需求明细表》。</w:t>
      </w:r>
    </w:p>
    <w:bookmarkEnd w:id="96"/>
    <w:bookmarkEnd w:id="97"/>
    <w:p w14:paraId="3771C06B">
      <w:pPr>
        <w:pStyle w:val="12"/>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、服务要求：</w:t>
      </w:r>
    </w:p>
    <w:p w14:paraId="21EF935A">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kern w:val="0"/>
          <w:sz w:val="21"/>
          <w:szCs w:val="21"/>
        </w:rPr>
        <w:t>（一）</w:t>
      </w:r>
      <w:r>
        <w:rPr>
          <w:rFonts w:hint="eastAsia" w:ascii="宋体" w:hAnsi="宋体" w:eastAsia="宋体" w:cs="宋体"/>
          <w:color w:val="000000"/>
          <w:sz w:val="21"/>
          <w:szCs w:val="21"/>
        </w:rPr>
        <w:t>能够提供全面的项目管理和协调，确保各环节顺利进行。</w:t>
      </w:r>
    </w:p>
    <w:p w14:paraId="7EF4AC4C">
      <w:pPr>
        <w:pStyle w:val="12"/>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（二）必须有专业团队提供本次执行服务项目，需准备最少五人团队，并给出项目分工说明表。</w:t>
      </w:r>
    </w:p>
    <w:p w14:paraId="0B82E031">
      <w:pPr>
        <w:pStyle w:val="12"/>
        <w:numPr>
          <w:ilvl w:val="255"/>
          <w:numId w:val="0"/>
        </w:numPr>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（三）能够根据项目需要，提供灵活的定制服务。</w:t>
      </w:r>
    </w:p>
    <w:p w14:paraId="36DF5F97">
      <w:pPr>
        <w:pStyle w:val="12"/>
        <w:numPr>
          <w:ilvl w:val="255"/>
          <w:numId w:val="0"/>
        </w:numPr>
        <w:spacing w:line="36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（四）需要有能力处理突发情况，接到一般需求24小时内要予以响应，接到紧急需求需3小时内响应，确保活动顺利进行。</w:t>
      </w:r>
    </w:p>
    <w:p w14:paraId="3262E8A4">
      <w:pPr>
        <w:spacing w:line="360" w:lineRule="auto"/>
        <w:ind w:firstLine="420" w:firstLineChars="200"/>
        <w:rPr>
          <w:rFonts w:hint="eastAsia" w:ascii="宋体" w:hAnsi="宋体" w:eastAsia="宋体" w:cs="宋体"/>
          <w:color w:val="000000"/>
          <w:kern w:val="0"/>
          <w:sz w:val="21"/>
          <w:szCs w:val="21"/>
        </w:rPr>
      </w:pPr>
      <w:bookmarkStart w:id="100" w:name="_Hlk168479867"/>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五</w:t>
      </w:r>
      <w:r>
        <w:rPr>
          <w:rFonts w:hint="eastAsia" w:ascii="宋体" w:hAnsi="宋体" w:eastAsia="宋体" w:cs="宋体"/>
          <w:color w:val="000000"/>
          <w:kern w:val="0"/>
          <w:sz w:val="21"/>
          <w:szCs w:val="21"/>
        </w:rPr>
        <w:t>）供应商在履行本次项目中知悉的采购人的信息，均为采购人的商业秘密，供应商不得使用、披露采购人的商业秘密，不得擅自使用、复制采购人的商标、标志、商业信息、技术及其他资料，否则供应商应承担相应的侵权责任。</w:t>
      </w:r>
    </w:p>
    <w:bookmarkEnd w:id="100"/>
    <w:p w14:paraId="1783ABAE">
      <w:pPr>
        <w:pStyle w:val="12"/>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、交付及验收：</w:t>
      </w:r>
    </w:p>
    <w:p w14:paraId="315DEC5B">
      <w:pPr>
        <w:pStyle w:val="12"/>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（一）供应商应按照项目采购需求的各项要求按时、按质、按量提供相应的服务，供应商提供的服务、成果等应符合采购人采购需求，采购人据此为标准进行验收。</w:t>
      </w:r>
    </w:p>
    <w:p w14:paraId="7B413719">
      <w:pPr>
        <w:pStyle w:val="12"/>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（二）采购人根据采购人审核通过的项目方案，对供应商执行程度进行验收。</w:t>
      </w:r>
    </w:p>
    <w:p w14:paraId="0FEBA455">
      <w:pPr>
        <w:pStyle w:val="12"/>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供应商按项目要求提供相应的服务，并提供满足采购人验收要求的成果资料后，可书面向采购人申请启动验收。采购人应在供应商申请验收后3个工作日内组织人员进行验收，并在组织验收后3个工作日内给予认可或提出修改意见。</w:t>
      </w:r>
    </w:p>
    <w:p w14:paraId="5E0C1A3B">
      <w:pPr>
        <w:pStyle w:val="12"/>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本项目实行总价包干，供应商报价是完成本次执行及服务项目至验收结束后，完成所有工作内容而发生的所有直接费用、间接费用、其他费用、税金等全部费用，以及应由供应商承担的义务、责任和风险所发生的一切费用和赔偿。采购人不再为本项目内容内的任何具体工作任务而支付额外的支出。</w:t>
      </w:r>
    </w:p>
    <w:p w14:paraId="0C7BDACE">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br w:type="page"/>
      </w:r>
    </w:p>
    <w:p w14:paraId="08DB91FB">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附表：《需求明细表》</w:t>
      </w:r>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67"/>
        <w:gridCol w:w="807"/>
        <w:gridCol w:w="3104"/>
        <w:gridCol w:w="1138"/>
        <w:gridCol w:w="1751"/>
      </w:tblGrid>
      <w:tr w14:paraId="141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bottom"/>
          </w:tcPr>
          <w:p w14:paraId="6F112C17">
            <w:pPr>
              <w:widowControl/>
              <w:adjustRightInd w:val="0"/>
              <w:snapToGrid w:val="0"/>
              <w:spacing w:line="360" w:lineRule="auto"/>
              <w:jc w:val="center"/>
              <w:rPr>
                <w:rFonts w:hint="eastAsia" w:ascii="宋体" w:hAnsi="宋体" w:eastAsia="宋体" w:cs="宋体"/>
                <w:color w:val="000000"/>
                <w:sz w:val="21"/>
                <w:szCs w:val="21"/>
              </w:rPr>
            </w:pPr>
            <w:bookmarkStart w:id="101" w:name="_Hlk209813396"/>
            <w:r>
              <w:rPr>
                <w:rFonts w:hint="eastAsia" w:ascii="宋体" w:hAnsi="宋体" w:eastAsia="宋体" w:cs="宋体"/>
                <w:color w:val="000000"/>
                <w:sz w:val="21"/>
                <w:szCs w:val="21"/>
              </w:rPr>
              <w:t>序号</w:t>
            </w:r>
          </w:p>
        </w:tc>
        <w:tc>
          <w:tcPr>
            <w:tcW w:w="508" w:type="pct"/>
            <w:vAlign w:val="bottom"/>
          </w:tcPr>
          <w:p w14:paraId="00D55995">
            <w:pPr>
              <w:widowControl/>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大项</w:t>
            </w:r>
          </w:p>
        </w:tc>
        <w:tc>
          <w:tcPr>
            <w:tcW w:w="473" w:type="pct"/>
            <w:vAlign w:val="bottom"/>
          </w:tcPr>
          <w:p w14:paraId="13DA59E9">
            <w:pPr>
              <w:widowControl/>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p>
        </w:tc>
        <w:tc>
          <w:tcPr>
            <w:tcW w:w="1819" w:type="pct"/>
            <w:vAlign w:val="bottom"/>
          </w:tcPr>
          <w:p w14:paraId="3AB7FCA3">
            <w:pPr>
              <w:widowControl/>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详情</w:t>
            </w:r>
          </w:p>
        </w:tc>
        <w:tc>
          <w:tcPr>
            <w:tcW w:w="667" w:type="pct"/>
            <w:vAlign w:val="bottom"/>
          </w:tcPr>
          <w:p w14:paraId="3F63D903">
            <w:pPr>
              <w:widowControl/>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26" w:type="pct"/>
            <w:vAlign w:val="bottom"/>
          </w:tcPr>
          <w:p w14:paraId="29E36804">
            <w:pPr>
              <w:widowControl/>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0581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4AA13D9A">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A-1</w:t>
            </w:r>
          </w:p>
        </w:tc>
        <w:tc>
          <w:tcPr>
            <w:tcW w:w="508" w:type="pct"/>
            <w:vMerge w:val="restart"/>
            <w:vAlign w:val="center"/>
          </w:tcPr>
          <w:p w14:paraId="26C5228D">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物资设计定制服务</w:t>
            </w:r>
          </w:p>
        </w:tc>
        <w:tc>
          <w:tcPr>
            <w:tcW w:w="473" w:type="pct"/>
            <w:vAlign w:val="center"/>
          </w:tcPr>
          <w:p w14:paraId="73CB3A62">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点心盒</w:t>
            </w:r>
          </w:p>
        </w:tc>
        <w:tc>
          <w:tcPr>
            <w:tcW w:w="1819" w:type="pct"/>
            <w:vAlign w:val="center"/>
          </w:tcPr>
          <w:p w14:paraId="568BC686">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可盛装3-4枚广东老字号餐饮品牌点心的纸盒，外观能展现广东文化特色，盒身质量过硬，不易变形。</w:t>
            </w:r>
          </w:p>
        </w:tc>
        <w:tc>
          <w:tcPr>
            <w:tcW w:w="667" w:type="pct"/>
            <w:vAlign w:val="center"/>
          </w:tcPr>
          <w:p w14:paraId="4B4BE582">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391F9666">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设计、定制、手工成形</w:t>
            </w:r>
          </w:p>
          <w:p w14:paraId="1C550A88">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具体以采购人最终需求为准</w:t>
            </w:r>
          </w:p>
        </w:tc>
      </w:tr>
      <w:tr w14:paraId="042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FDE24E8">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A-2</w:t>
            </w:r>
          </w:p>
        </w:tc>
        <w:tc>
          <w:tcPr>
            <w:tcW w:w="508" w:type="pct"/>
            <w:vMerge w:val="continue"/>
            <w:vAlign w:val="center"/>
          </w:tcPr>
          <w:p w14:paraId="683AB3C4">
            <w:pPr>
              <w:widowControl/>
              <w:adjustRightInd w:val="0"/>
              <w:snapToGrid w:val="0"/>
              <w:spacing w:line="560" w:lineRule="exact"/>
              <w:jc w:val="center"/>
              <w:rPr>
                <w:rFonts w:hint="eastAsia" w:ascii="宋体" w:hAnsi="宋体" w:eastAsia="宋体" w:cs="宋体"/>
                <w:color w:val="000000"/>
                <w:sz w:val="21"/>
                <w:szCs w:val="21"/>
              </w:rPr>
            </w:pPr>
          </w:p>
        </w:tc>
        <w:tc>
          <w:tcPr>
            <w:tcW w:w="473" w:type="pct"/>
            <w:vAlign w:val="center"/>
          </w:tcPr>
          <w:p w14:paraId="2F0F5E17">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能量包</w:t>
            </w:r>
          </w:p>
        </w:tc>
        <w:tc>
          <w:tcPr>
            <w:tcW w:w="1819" w:type="pct"/>
            <w:vAlign w:val="center"/>
          </w:tcPr>
          <w:p w14:paraId="7B9963CE">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可盛装多袋（盒）小包装零食、日用品和港澳特产的帆布袋，平铺尺寸约A4纸大小，外观能展现广东文化特色，封口设计方便开合。</w:t>
            </w:r>
          </w:p>
        </w:tc>
        <w:tc>
          <w:tcPr>
            <w:tcW w:w="667" w:type="pct"/>
            <w:vAlign w:val="center"/>
          </w:tcPr>
          <w:p w14:paraId="4696D2AB">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38B7F474">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设计、定制</w:t>
            </w:r>
          </w:p>
        </w:tc>
      </w:tr>
      <w:tr w14:paraId="0649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4436036">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A-3</w:t>
            </w:r>
          </w:p>
        </w:tc>
        <w:tc>
          <w:tcPr>
            <w:tcW w:w="508" w:type="pct"/>
            <w:vMerge w:val="continue"/>
            <w:vAlign w:val="center"/>
          </w:tcPr>
          <w:p w14:paraId="37CECE16">
            <w:pPr>
              <w:widowControl/>
              <w:adjustRightInd w:val="0"/>
              <w:snapToGrid w:val="0"/>
              <w:spacing w:line="560" w:lineRule="exact"/>
              <w:jc w:val="center"/>
              <w:rPr>
                <w:rFonts w:hint="eastAsia" w:ascii="宋体" w:hAnsi="宋体" w:eastAsia="宋体" w:cs="宋体"/>
                <w:color w:val="000000"/>
                <w:sz w:val="21"/>
                <w:szCs w:val="21"/>
              </w:rPr>
            </w:pPr>
          </w:p>
        </w:tc>
        <w:tc>
          <w:tcPr>
            <w:tcW w:w="473" w:type="pct"/>
            <w:vAlign w:val="center"/>
          </w:tcPr>
          <w:p w14:paraId="13C4ED00">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行李牌</w:t>
            </w:r>
          </w:p>
        </w:tc>
        <w:tc>
          <w:tcPr>
            <w:tcW w:w="1819" w:type="pct"/>
            <w:vAlign w:val="center"/>
          </w:tcPr>
          <w:p w14:paraId="04C4C5A9">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可挂于行李箱（包）上使用的行李牌，材质使用PU皮革或PVC材质，外观能展现广东文化特色，美观，适用于常规行李箱挂件。具体以采购人最终需求为准；</w:t>
            </w:r>
          </w:p>
        </w:tc>
        <w:tc>
          <w:tcPr>
            <w:tcW w:w="667" w:type="pct"/>
            <w:vAlign w:val="center"/>
          </w:tcPr>
          <w:p w14:paraId="0BDFA1C4">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1457C5B9">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设计、定制</w:t>
            </w:r>
          </w:p>
        </w:tc>
      </w:tr>
      <w:tr w14:paraId="386A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3C2FD21B">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A-4</w:t>
            </w:r>
          </w:p>
        </w:tc>
        <w:tc>
          <w:tcPr>
            <w:tcW w:w="508" w:type="pct"/>
            <w:vMerge w:val="continue"/>
            <w:vAlign w:val="center"/>
          </w:tcPr>
          <w:p w14:paraId="119C216A">
            <w:pPr>
              <w:widowControl/>
              <w:adjustRightInd w:val="0"/>
              <w:snapToGrid w:val="0"/>
              <w:spacing w:line="560" w:lineRule="exact"/>
              <w:jc w:val="center"/>
              <w:rPr>
                <w:rFonts w:hint="eastAsia" w:ascii="宋体" w:hAnsi="宋体" w:eastAsia="宋体" w:cs="宋体"/>
                <w:color w:val="000000"/>
                <w:sz w:val="21"/>
                <w:szCs w:val="21"/>
              </w:rPr>
            </w:pPr>
          </w:p>
        </w:tc>
        <w:tc>
          <w:tcPr>
            <w:tcW w:w="473" w:type="pct"/>
            <w:vAlign w:val="center"/>
          </w:tcPr>
          <w:p w14:paraId="2DBA9D8D">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文件夹</w:t>
            </w:r>
          </w:p>
        </w:tc>
        <w:tc>
          <w:tcPr>
            <w:tcW w:w="1819" w:type="pct"/>
            <w:vAlign w:val="center"/>
          </w:tcPr>
          <w:p w14:paraId="6B3AECFB">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开口的塑料夹页，尺寸为A4大小，外观能展现广东文化特色，材质厚实，质量过硬。</w:t>
            </w:r>
          </w:p>
        </w:tc>
        <w:tc>
          <w:tcPr>
            <w:tcW w:w="667" w:type="pct"/>
            <w:vAlign w:val="center"/>
          </w:tcPr>
          <w:p w14:paraId="4EA25351">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572EC5E4">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设计、定制</w:t>
            </w:r>
          </w:p>
        </w:tc>
      </w:tr>
      <w:tr w14:paraId="086F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C7DECF9">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A-5</w:t>
            </w:r>
          </w:p>
        </w:tc>
        <w:tc>
          <w:tcPr>
            <w:tcW w:w="508" w:type="pct"/>
            <w:vMerge w:val="continue"/>
            <w:vAlign w:val="center"/>
          </w:tcPr>
          <w:p w14:paraId="35F8EC37">
            <w:pPr>
              <w:widowControl/>
              <w:adjustRightInd w:val="0"/>
              <w:snapToGrid w:val="0"/>
              <w:spacing w:line="560" w:lineRule="exact"/>
              <w:jc w:val="center"/>
              <w:rPr>
                <w:rFonts w:hint="eastAsia" w:ascii="宋体" w:hAnsi="宋体" w:eastAsia="宋体" w:cs="宋体"/>
                <w:color w:val="000000"/>
                <w:sz w:val="21"/>
                <w:szCs w:val="21"/>
              </w:rPr>
            </w:pPr>
          </w:p>
        </w:tc>
        <w:tc>
          <w:tcPr>
            <w:tcW w:w="473" w:type="pct"/>
            <w:vAlign w:val="center"/>
          </w:tcPr>
          <w:p w14:paraId="298AD937">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宣传手册</w:t>
            </w:r>
          </w:p>
        </w:tc>
        <w:tc>
          <w:tcPr>
            <w:tcW w:w="1819" w:type="pct"/>
            <w:vAlign w:val="center"/>
          </w:tcPr>
          <w:p w14:paraId="4EBBE7A6">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风琴折页样式的宣传手册，折叠尺寸约为1/4A4大小，铜版纸，双面印刷。</w:t>
            </w:r>
          </w:p>
        </w:tc>
        <w:tc>
          <w:tcPr>
            <w:tcW w:w="667" w:type="pct"/>
            <w:vAlign w:val="center"/>
          </w:tcPr>
          <w:p w14:paraId="19B2AEE3">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6DEF17C1">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设计、定制</w:t>
            </w:r>
          </w:p>
        </w:tc>
      </w:tr>
      <w:tr w14:paraId="1A61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F606823">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B-1</w:t>
            </w:r>
          </w:p>
        </w:tc>
        <w:tc>
          <w:tcPr>
            <w:tcW w:w="508" w:type="pct"/>
            <w:vAlign w:val="center"/>
          </w:tcPr>
          <w:p w14:paraId="2087DCE2">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物资采购服务</w:t>
            </w:r>
          </w:p>
        </w:tc>
        <w:tc>
          <w:tcPr>
            <w:tcW w:w="473" w:type="pct"/>
            <w:vAlign w:val="center"/>
          </w:tcPr>
          <w:p w14:paraId="17319F99">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十五运会官方特许商品</w:t>
            </w:r>
          </w:p>
        </w:tc>
        <w:tc>
          <w:tcPr>
            <w:tcW w:w="1819" w:type="pct"/>
            <w:vAlign w:val="center"/>
          </w:tcPr>
          <w:p w14:paraId="65C46DB9">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采购由采购人指定的十五运会官方特许商品，共4000份，每份包括1只醒狮摆件（盲盒7选1）和一枚纪念徽章（2选1）。</w:t>
            </w:r>
          </w:p>
        </w:tc>
        <w:tc>
          <w:tcPr>
            <w:tcW w:w="667" w:type="pct"/>
            <w:vAlign w:val="center"/>
          </w:tcPr>
          <w:p w14:paraId="3BB23470">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704786D1">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单份设置最高限价：68.5元/份</w:t>
            </w:r>
          </w:p>
          <w:p w14:paraId="02588E8C">
            <w:pPr>
              <w:widowControl/>
              <w:adjustRightInd w:val="0"/>
              <w:snapToGrid w:val="0"/>
              <w:spacing w:line="5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具体以采购人最终需求为准</w:t>
            </w:r>
          </w:p>
        </w:tc>
      </w:tr>
      <w:tr w14:paraId="6406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28CD1A4">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C-1</w:t>
            </w:r>
          </w:p>
        </w:tc>
        <w:tc>
          <w:tcPr>
            <w:tcW w:w="508" w:type="pct"/>
            <w:vAlign w:val="center"/>
          </w:tcPr>
          <w:p w14:paraId="0F533DB9">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物资分装服务</w:t>
            </w:r>
          </w:p>
        </w:tc>
        <w:tc>
          <w:tcPr>
            <w:tcW w:w="473" w:type="pct"/>
            <w:vAlign w:val="center"/>
          </w:tcPr>
          <w:p w14:paraId="07739E14">
            <w:pPr>
              <w:widowControl/>
              <w:adjustRightInd w:val="0"/>
              <w:snapToGrid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十五运会媒体包分装服务</w:t>
            </w:r>
          </w:p>
        </w:tc>
        <w:tc>
          <w:tcPr>
            <w:tcW w:w="1819" w:type="pct"/>
            <w:vAlign w:val="center"/>
          </w:tcPr>
          <w:p w14:paraId="13213593">
            <w:pPr>
              <w:pStyle w:val="16"/>
              <w:numPr>
                <w:ilvl w:val="255"/>
                <w:numId w:val="0"/>
              </w:num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根据采购人需求，供应商需完成共4000个媒体包所涉各项物资的接收、仓储、分装和总装工作，并运输至采购人指定的地点；</w:t>
            </w:r>
          </w:p>
          <w:p w14:paraId="7C10F92D">
            <w:pPr>
              <w:pStyle w:val="16"/>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2、根据采购人项目需要，供应商需在服务期间提供相关媒体包物资的存储集散场地。为保障响应及时，该场地要求包括:</w:t>
            </w:r>
          </w:p>
          <w:p w14:paraId="32343D11">
            <w:pPr>
              <w:pStyle w:val="16"/>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（1）供应商配备的场地仓储面积满足本项目媒体包相关物料所需的存储需求，并留有足够的分拣操作区域。</w:t>
            </w:r>
          </w:p>
          <w:p w14:paraId="1917899F">
            <w:pPr>
              <w:pStyle w:val="16"/>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（2）场地应位于广州市内交通便利的区域，方便货车进出，保障能够快速响应采购人需要，配货送至采购人指定地点（收到采购人通知之日起5日内）。</w:t>
            </w:r>
          </w:p>
          <w:p w14:paraId="79841DC2">
            <w:pPr>
              <w:pStyle w:val="16"/>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（3）场地应配备符合安全规范、完善的消防设施，仓储环境必须干净、整洁，供应商需全方位保障物料存储安全管理。</w:t>
            </w:r>
          </w:p>
        </w:tc>
        <w:tc>
          <w:tcPr>
            <w:tcW w:w="667" w:type="pct"/>
            <w:vAlign w:val="center"/>
          </w:tcPr>
          <w:p w14:paraId="5C769A07">
            <w:pPr>
              <w:widowControl/>
              <w:adjustRightInd w:val="0"/>
              <w:snapToGrid w:val="0"/>
              <w:spacing w:line="560" w:lineRule="exact"/>
              <w:jc w:val="right"/>
              <w:rPr>
                <w:rFonts w:hint="eastAsia" w:ascii="宋体" w:hAnsi="宋体" w:eastAsia="宋体" w:cs="宋体"/>
                <w:sz w:val="21"/>
                <w:szCs w:val="21"/>
              </w:rPr>
            </w:pPr>
            <w:r>
              <w:rPr>
                <w:rFonts w:hint="eastAsia" w:ascii="宋体" w:hAnsi="宋体" w:eastAsia="宋体" w:cs="宋体"/>
                <w:sz w:val="21"/>
                <w:szCs w:val="21"/>
              </w:rPr>
              <w:t>4000</w:t>
            </w:r>
          </w:p>
        </w:tc>
        <w:tc>
          <w:tcPr>
            <w:tcW w:w="1026" w:type="pct"/>
            <w:vAlign w:val="center"/>
          </w:tcPr>
          <w:p w14:paraId="6C3FBB6D">
            <w:pPr>
              <w:widowControl/>
              <w:adjustRightInd w:val="0"/>
              <w:snapToGrid w:val="0"/>
              <w:spacing w:line="560" w:lineRule="exact"/>
              <w:rPr>
                <w:rFonts w:hint="eastAsia" w:ascii="宋体" w:hAnsi="宋体" w:eastAsia="宋体" w:cs="宋体"/>
                <w:color w:val="000000"/>
                <w:sz w:val="21"/>
                <w:szCs w:val="21"/>
              </w:rPr>
            </w:pPr>
          </w:p>
        </w:tc>
      </w:tr>
      <w:bookmarkEnd w:id="101"/>
    </w:tbl>
    <w:p w14:paraId="5F1F44D5">
      <w:pPr>
        <w:pStyle w:val="16"/>
        <w:keepNext w:val="0"/>
        <w:keepLines w:val="0"/>
        <w:pageBreakBefore w:val="0"/>
        <w:widowControl w:val="0"/>
        <w:numPr>
          <w:ilvl w:val="0"/>
          <w:numId w:val="0"/>
        </w:numPr>
        <w:kinsoku/>
        <w:wordWrap/>
        <w:overflowPunct/>
        <w:topLinePunct w:val="0"/>
        <w:bidi w:val="0"/>
        <w:snapToGrid/>
        <w:spacing w:line="360" w:lineRule="auto"/>
        <w:ind w:firstLine="420" w:firstLineChars="200"/>
        <w:jc w:val="left"/>
        <w:textAlignment w:val="auto"/>
        <w:rPr>
          <w:rFonts w:hint="eastAsia" w:ascii="宋体" w:hAnsi="宋体" w:eastAsia="宋体" w:cs="宋体"/>
          <w:color w:val="111111"/>
          <w:sz w:val="21"/>
          <w:szCs w:val="21"/>
          <w:highlight w:val="white"/>
          <w:lang w:eastAsia="zh-CN"/>
        </w:rPr>
      </w:pPr>
    </w:p>
    <w:p w14:paraId="234FB029">
      <w:pPr>
        <w:rPr>
          <w:rFonts w:hint="eastAsia" w:ascii="宋体" w:hAnsi="宋体" w:eastAsia="宋体" w:cs="宋体"/>
          <w:color w:val="111111"/>
          <w:sz w:val="21"/>
          <w:szCs w:val="21"/>
          <w:highlight w:val="white"/>
        </w:rPr>
      </w:pPr>
      <w:r>
        <w:rPr>
          <w:rFonts w:hint="eastAsia" w:ascii="宋体" w:hAnsi="宋体" w:eastAsia="宋体" w:cs="宋体"/>
          <w:color w:val="111111"/>
          <w:sz w:val="21"/>
          <w:szCs w:val="21"/>
          <w:highlight w:val="white"/>
        </w:rPr>
        <w:br w:type="page"/>
      </w:r>
    </w:p>
    <w:p w14:paraId="2F8F9D10">
      <w:pPr>
        <w:pStyle w:val="52"/>
        <w:snapToGrid w:val="0"/>
        <w:spacing w:before="120" w:after="120"/>
        <w:rPr>
          <w:rFonts w:hint="default" w:ascii="宋体" w:hAnsi="宋体" w:eastAsia="宋体" w:cs="宋体"/>
          <w:b/>
          <w:bCs w:val="0"/>
          <w:kern w:val="0"/>
          <w:sz w:val="28"/>
          <w:szCs w:val="28"/>
          <w:highlight w:val="none"/>
          <w:lang w:val="en-US" w:eastAsia="zh-CN"/>
        </w:rPr>
      </w:pPr>
      <w:bookmarkStart w:id="102" w:name="_Toc6617"/>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五</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商务合同</w:t>
      </w:r>
      <w:bookmarkEnd w:id="102"/>
    </w:p>
    <w:p w14:paraId="24195963">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3B0069FA">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2D1CDA3E">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2B02997D">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color w:val="auto"/>
          <w:szCs w:val="21"/>
          <w:lang w:eastAsia="zh-CN"/>
        </w:rPr>
        <w:t>今日（广东）国际传播有限公司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1EBF93DA">
      <w:pPr>
        <w:spacing w:before="62" w:beforeLines="20" w:after="62" w:afterLines="20" w:line="400" w:lineRule="exact"/>
        <w:ind w:firstLine="420" w:firstLineChars="200"/>
        <w:textAlignment w:val="baseline"/>
        <w:rPr>
          <w:rFonts w:hint="eastAsia" w:ascii="宋体" w:hAnsi="宋体" w:cs="宋体"/>
          <w:b/>
          <w:color w:val="auto"/>
        </w:rPr>
      </w:pPr>
      <w:r>
        <w:rPr>
          <w:rFonts w:hint="eastAsia" w:ascii="宋体" w:hAnsi="宋体" w:cs="宋体"/>
          <w:b/>
          <w:color w:val="auto"/>
        </w:rPr>
        <w:t>供应商须对《商务合同书》全部条款理解清楚，并填写《技术商务偏离表》（格式见第六章）。</w:t>
      </w:r>
    </w:p>
    <w:p w14:paraId="5BADBAFD">
      <w:pPr>
        <w:spacing w:line="360" w:lineRule="auto"/>
        <w:ind w:firstLine="420" w:firstLineChars="200"/>
        <w:rPr>
          <w:rFonts w:hint="eastAsia" w:ascii="宋体" w:hAnsi="宋体" w:cs="宋体"/>
          <w:b/>
          <w:color w:val="auto"/>
        </w:rPr>
      </w:pPr>
      <w:r>
        <w:rPr>
          <w:rFonts w:hint="eastAsia" w:ascii="宋体" w:hAnsi="宋体" w:cs="宋体"/>
          <w:b/>
          <w:color w:val="auto"/>
        </w:rPr>
        <w:t>注：</w:t>
      </w:r>
      <w:r>
        <w:rPr>
          <w:rFonts w:hint="eastAsia" w:ascii="宋体" w:hAnsi="宋体" w:cs="宋体"/>
          <w:b/>
          <w:szCs w:val="21"/>
        </w:rPr>
        <w:t>本合同仅为合同草案文本，合同签订双方可根据项目的具体要求进行修订和细化</w:t>
      </w:r>
      <w:r>
        <w:rPr>
          <w:rFonts w:hint="eastAsia" w:ascii="宋体" w:hAnsi="宋体" w:cs="宋体"/>
          <w:b/>
          <w:color w:val="auto"/>
          <w:lang w:val="en-US" w:eastAsia="zh-CN"/>
        </w:rPr>
        <w:t>，</w:t>
      </w:r>
      <w:r>
        <w:rPr>
          <w:rFonts w:hint="eastAsia" w:ascii="宋体" w:hAnsi="宋体" w:cs="宋体"/>
          <w:b/>
          <w:color w:val="auto"/>
        </w:rPr>
        <w:t>当供应商在成交后，应依据本合同的主要条款与采购方签订正式合同；当本合同与</w:t>
      </w:r>
      <w:r>
        <w:rPr>
          <w:rFonts w:hint="eastAsia" w:ascii="宋体" w:hAnsi="宋体" w:cs="宋体"/>
          <w:b/>
          <w:color w:val="auto"/>
          <w:lang w:val="en-US" w:eastAsia="zh-CN"/>
        </w:rPr>
        <w:t>询价采购</w:t>
      </w:r>
      <w:r>
        <w:rPr>
          <w:rFonts w:hint="eastAsia" w:ascii="宋体" w:hAnsi="宋体" w:cs="宋体"/>
          <w:b/>
          <w:color w:val="auto"/>
        </w:rPr>
        <w:t>文件其他部分有冲突，应按</w:t>
      </w:r>
      <w:r>
        <w:rPr>
          <w:rFonts w:hint="eastAsia" w:ascii="宋体" w:hAnsi="宋体" w:cs="宋体"/>
          <w:b/>
          <w:color w:val="auto"/>
          <w:lang w:val="en-US" w:eastAsia="zh-CN"/>
        </w:rPr>
        <w:t>询价采购</w:t>
      </w:r>
      <w:r>
        <w:rPr>
          <w:rFonts w:hint="eastAsia" w:ascii="宋体" w:hAnsi="宋体" w:cs="宋体"/>
          <w:b/>
          <w:color w:val="auto"/>
        </w:rPr>
        <w:t>文件的其他部分为准编制</w:t>
      </w:r>
      <w:r>
        <w:rPr>
          <w:rFonts w:hint="eastAsia" w:ascii="宋体" w:hAnsi="宋体" w:cs="宋体"/>
          <w:b/>
          <w:color w:val="auto"/>
          <w:lang w:val="en-US" w:eastAsia="zh-CN"/>
        </w:rPr>
        <w:t>合同</w:t>
      </w:r>
      <w:r>
        <w:rPr>
          <w:rFonts w:hint="eastAsia" w:ascii="宋体" w:hAnsi="宋体" w:cs="宋体"/>
          <w:b/>
          <w:color w:val="auto"/>
        </w:rPr>
        <w:t>。合同版本与条款以甲方最新合同模板为准。</w:t>
      </w:r>
    </w:p>
    <w:p w14:paraId="10A0DF5D">
      <w:pPr>
        <w:rPr>
          <w:rFonts w:hint="eastAsia" w:ascii="宋体" w:hAnsi="宋体" w:cs="宋体"/>
          <w:b/>
          <w:color w:val="auto"/>
        </w:rPr>
      </w:pPr>
      <w:r>
        <w:rPr>
          <w:rFonts w:hint="eastAsia" w:ascii="宋体" w:hAnsi="宋体" w:cs="宋体"/>
          <w:b/>
          <w:color w:val="auto"/>
        </w:rPr>
        <w:br w:type="page"/>
      </w:r>
    </w:p>
    <w:p w14:paraId="7E43C28C">
      <w:pPr>
        <w:widowControl/>
        <w:jc w:val="center"/>
        <w:rPr>
          <w:rFonts w:hint="eastAsia" w:ascii="宋体" w:hAnsi="宋体" w:eastAsia="宋体" w:cs="宋体"/>
          <w:b/>
          <w:bCs/>
          <w:sz w:val="28"/>
          <w:szCs w:val="28"/>
        </w:rPr>
      </w:pPr>
      <w:r>
        <w:rPr>
          <w:rFonts w:hint="eastAsia" w:ascii="宋体" w:hAnsi="宋体" w:cs="宋体"/>
          <w:b/>
          <w:bCs/>
          <w:sz w:val="28"/>
          <w:szCs w:val="28"/>
          <w:lang w:eastAsia="zh-CN"/>
        </w:rPr>
        <w:t>十五运定制化媒体包物资综合保障采购项目</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合同</w:t>
      </w:r>
    </w:p>
    <w:p w14:paraId="088B6328">
      <w:pPr>
        <w:rPr>
          <w:rFonts w:ascii="Times New Roman" w:hAnsi="Times New Roman" w:eastAsia="仿宋" w:cs="Times New Roman"/>
          <w:sz w:val="28"/>
          <w:szCs w:val="28"/>
        </w:rPr>
      </w:pPr>
    </w:p>
    <w:p w14:paraId="71A4F777">
      <w:pPr>
        <w:widowControl/>
        <w:snapToGrid w:val="0"/>
        <w:spacing w:line="360" w:lineRule="auto"/>
        <w:rPr>
          <w:rFonts w:hint="eastAsia" w:ascii="宋体" w:hAnsi="宋体" w:eastAsia="宋体" w:cs="宋体"/>
          <w:color w:val="000000"/>
          <w:kern w:val="0"/>
          <w:szCs w:val="21"/>
          <w:u w:val="single"/>
          <w:lang w:bidi="ar"/>
        </w:rPr>
      </w:pPr>
      <w:r>
        <w:rPr>
          <w:rFonts w:hint="eastAsia" w:ascii="宋体" w:hAnsi="宋体" w:eastAsia="宋体" w:cs="宋体"/>
          <w:color w:val="000000"/>
          <w:kern w:val="0"/>
          <w:szCs w:val="21"/>
          <w:lang w:bidi="ar"/>
        </w:rPr>
        <w:t>甲方：</w:t>
      </w:r>
      <w:r>
        <w:rPr>
          <w:rFonts w:hint="eastAsia" w:ascii="宋体" w:hAnsi="宋体" w:eastAsia="宋体" w:cs="宋体"/>
          <w:color w:val="000000"/>
          <w:kern w:val="0"/>
          <w:szCs w:val="21"/>
          <w:u w:val="single"/>
          <w:lang w:bidi="ar"/>
        </w:rPr>
        <w:t xml:space="preserve"> 今日（广东）国际传播有限公司 </w:t>
      </w:r>
    </w:p>
    <w:p w14:paraId="60B68EDC">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地址：</w:t>
      </w:r>
      <w:r>
        <w:rPr>
          <w:rFonts w:hint="eastAsia" w:ascii="宋体" w:hAnsi="宋体" w:eastAsia="宋体" w:cs="宋体"/>
          <w:color w:val="000000"/>
          <w:kern w:val="0"/>
          <w:szCs w:val="21"/>
          <w:u w:val="single"/>
          <w:lang w:bidi="ar"/>
        </w:rPr>
        <w:t xml:space="preserve"> 广州大道中289号南方传媒大厦A座2508  </w:t>
      </w:r>
    </w:p>
    <w:p w14:paraId="569366DC">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联系人：</w:t>
      </w:r>
      <w:r>
        <w:rPr>
          <w:rFonts w:hint="eastAsia" w:ascii="宋体" w:hAnsi="宋体" w:eastAsia="宋体" w:cs="宋体"/>
          <w:color w:val="000000"/>
          <w:kern w:val="0"/>
          <w:szCs w:val="21"/>
          <w:u w:val="single"/>
          <w:lang w:bidi="ar"/>
        </w:rPr>
        <w:t xml:space="preserve"> 蒋君彦       </w:t>
      </w:r>
    </w:p>
    <w:p w14:paraId="6FDDF710">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联系方式：</w:t>
      </w:r>
      <w:r>
        <w:rPr>
          <w:rFonts w:hint="eastAsia" w:ascii="宋体" w:hAnsi="宋体" w:eastAsia="宋体" w:cs="宋体"/>
          <w:color w:val="000000"/>
          <w:kern w:val="0"/>
          <w:szCs w:val="21"/>
          <w:u w:val="single"/>
          <w:lang w:bidi="ar"/>
        </w:rPr>
        <w:t xml:space="preserve"> 18620945107    </w:t>
      </w:r>
    </w:p>
    <w:p w14:paraId="315C054B">
      <w:pPr>
        <w:widowControl/>
        <w:snapToGrid w:val="0"/>
        <w:spacing w:line="360" w:lineRule="auto"/>
        <w:rPr>
          <w:rFonts w:hint="eastAsia" w:ascii="宋体" w:hAnsi="宋体" w:eastAsia="宋体" w:cs="宋体"/>
          <w:color w:val="000000"/>
          <w:kern w:val="0"/>
          <w:szCs w:val="21"/>
          <w:lang w:bidi="ar"/>
        </w:rPr>
      </w:pPr>
    </w:p>
    <w:p w14:paraId="3243D80D">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乙  方：</w:t>
      </w:r>
      <w:r>
        <w:rPr>
          <w:rFonts w:hint="eastAsia" w:ascii="宋体" w:hAnsi="宋体" w:eastAsia="宋体" w:cs="宋体"/>
          <w:color w:val="000000"/>
          <w:kern w:val="0"/>
          <w:szCs w:val="21"/>
          <w:u w:val="single"/>
          <w:lang w:bidi="ar"/>
        </w:rPr>
        <w:t xml:space="preserve">               </w:t>
      </w:r>
    </w:p>
    <w:p w14:paraId="6FC44156">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地  址：</w:t>
      </w:r>
      <w:r>
        <w:rPr>
          <w:rFonts w:hint="eastAsia" w:ascii="宋体" w:hAnsi="宋体" w:eastAsia="宋体" w:cs="宋体"/>
          <w:color w:val="000000"/>
          <w:kern w:val="0"/>
          <w:szCs w:val="21"/>
          <w:u w:val="single"/>
          <w:lang w:bidi="ar"/>
        </w:rPr>
        <w:t xml:space="preserve">               </w:t>
      </w:r>
    </w:p>
    <w:p w14:paraId="570B7F8B">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联系人：</w:t>
      </w:r>
      <w:r>
        <w:rPr>
          <w:rFonts w:hint="eastAsia" w:ascii="宋体" w:hAnsi="宋体" w:eastAsia="宋体" w:cs="宋体"/>
          <w:color w:val="000000"/>
          <w:kern w:val="0"/>
          <w:szCs w:val="21"/>
          <w:u w:val="single"/>
          <w:lang w:bidi="ar"/>
        </w:rPr>
        <w:t xml:space="preserve">               </w:t>
      </w:r>
    </w:p>
    <w:p w14:paraId="6F28E8B6">
      <w:pPr>
        <w:widowControl/>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联系方式：</w:t>
      </w:r>
      <w:r>
        <w:rPr>
          <w:rFonts w:hint="eastAsia" w:ascii="宋体" w:hAnsi="宋体" w:eastAsia="宋体" w:cs="宋体"/>
          <w:color w:val="000000"/>
          <w:kern w:val="0"/>
          <w:szCs w:val="21"/>
          <w:u w:val="single"/>
          <w:lang w:bidi="ar"/>
        </w:rPr>
        <w:t xml:space="preserve">             </w:t>
      </w:r>
    </w:p>
    <w:p w14:paraId="0F747991">
      <w:pPr>
        <w:widowControl/>
        <w:spacing w:line="360" w:lineRule="auto"/>
        <w:jc w:val="left"/>
        <w:rPr>
          <w:rFonts w:hint="eastAsia" w:ascii="宋体" w:hAnsi="宋体" w:eastAsia="宋体" w:cs="宋体"/>
          <w:szCs w:val="21"/>
        </w:rPr>
      </w:pPr>
    </w:p>
    <w:p w14:paraId="02687570">
      <w:pPr>
        <w:widowControl/>
        <w:numPr>
          <w:ilvl w:val="255"/>
          <w:numId w:val="0"/>
        </w:numPr>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甲、乙双方经过平等友好协商，依照《中华人民共和国民法典》等相关法律法规，现就甲方委托乙方完成</w:t>
      </w:r>
      <w:bookmarkStart w:id="103" w:name="_Hlk168342525"/>
      <w:r>
        <w:rPr>
          <w:rFonts w:hint="eastAsia" w:ascii="宋体" w:hAnsi="宋体" w:eastAsia="宋体" w:cs="宋体"/>
          <w:color w:val="000000"/>
          <w:kern w:val="0"/>
          <w:szCs w:val="21"/>
          <w:u w:val="single"/>
          <w:lang w:bidi="ar"/>
        </w:rPr>
        <w:t xml:space="preserve">  </w:t>
      </w:r>
      <w:bookmarkEnd w:id="103"/>
      <w:r>
        <w:rPr>
          <w:rFonts w:hint="eastAsia" w:ascii="宋体" w:hAnsi="宋体" w:eastAsia="宋体" w:cs="宋体"/>
          <w:color w:val="000000"/>
          <w:kern w:val="0"/>
          <w:szCs w:val="21"/>
          <w:u w:val="single"/>
          <w:lang w:bidi="ar"/>
        </w:rPr>
        <w:t xml:space="preserve">十五运定制化媒体包物资综合保障采购项目  </w:t>
      </w:r>
      <w:r>
        <w:rPr>
          <w:rFonts w:hint="eastAsia" w:ascii="宋体" w:hAnsi="宋体" w:eastAsia="宋体" w:cs="宋体"/>
          <w:color w:val="000000"/>
          <w:kern w:val="0"/>
          <w:szCs w:val="21"/>
          <w:lang w:bidi="ar"/>
        </w:rPr>
        <w:t xml:space="preserve">事宜达成如下合同，以资共同遵守。 </w:t>
      </w:r>
    </w:p>
    <w:p w14:paraId="7C6E0148">
      <w:pPr>
        <w:widowControl/>
        <w:spacing w:line="360" w:lineRule="auto"/>
        <w:jc w:val="left"/>
        <w:rPr>
          <w:rFonts w:hint="eastAsia" w:ascii="宋体" w:hAnsi="宋体" w:eastAsia="宋体" w:cs="宋体"/>
          <w:szCs w:val="21"/>
        </w:rPr>
      </w:pPr>
    </w:p>
    <w:p w14:paraId="23341ED2">
      <w:pPr>
        <w:widowControl/>
        <w:snapToGrid w:val="0"/>
        <w:spacing w:line="360" w:lineRule="auto"/>
        <w:rPr>
          <w:rFonts w:hint="eastAsia" w:ascii="宋体" w:hAnsi="宋体" w:eastAsia="宋体" w:cs="宋体"/>
          <w:szCs w:val="21"/>
        </w:rPr>
      </w:pPr>
      <w:r>
        <w:rPr>
          <w:rFonts w:hint="eastAsia" w:ascii="宋体" w:hAnsi="宋体" w:eastAsia="宋体" w:cs="宋体"/>
          <w:b/>
          <w:bCs/>
          <w:color w:val="000000"/>
          <w:kern w:val="0"/>
          <w:szCs w:val="21"/>
          <w:lang w:bidi="ar"/>
        </w:rPr>
        <w:t xml:space="preserve">第一条  项目概况 </w:t>
      </w:r>
    </w:p>
    <w:p w14:paraId="218F2BD8">
      <w:pPr>
        <w:widowControl/>
        <w:adjustRightInd w:val="0"/>
        <w:snapToGrid w:val="0"/>
        <w:spacing w:line="360" w:lineRule="auto"/>
        <w:ind w:firstLine="420" w:firstLineChars="200"/>
        <w:jc w:val="left"/>
        <w:rPr>
          <w:rFonts w:hint="eastAsia" w:ascii="宋体" w:hAnsi="宋体" w:eastAsia="宋体" w:cs="宋体"/>
          <w:color w:val="000000"/>
          <w:kern w:val="0"/>
          <w:szCs w:val="21"/>
          <w:u w:val="single"/>
          <w:lang w:bidi="ar"/>
        </w:rPr>
      </w:pPr>
      <w:r>
        <w:rPr>
          <w:rFonts w:hint="eastAsia" w:ascii="宋体" w:hAnsi="宋体" w:eastAsia="宋体" w:cs="宋体"/>
          <w:color w:val="000000"/>
          <w:kern w:val="0"/>
          <w:szCs w:val="21"/>
          <w:lang w:bidi="ar"/>
        </w:rPr>
        <w:t>（一）合作项目：</w:t>
      </w:r>
      <w:r>
        <w:rPr>
          <w:rFonts w:hint="eastAsia" w:ascii="宋体" w:hAnsi="宋体" w:eastAsia="宋体" w:cs="宋体"/>
          <w:color w:val="000000"/>
          <w:kern w:val="0"/>
          <w:szCs w:val="21"/>
          <w:u w:val="single"/>
          <w:lang w:bidi="ar"/>
        </w:rPr>
        <w:t xml:space="preserve">  十五运定制化媒体包物资综合保障采购项目；</w:t>
      </w:r>
    </w:p>
    <w:p w14:paraId="0C91B0DF">
      <w:pPr>
        <w:pStyle w:val="12"/>
        <w:spacing w:line="360" w:lineRule="auto"/>
        <w:ind w:firstLineChars="200"/>
        <w:jc w:val="both"/>
        <w:rPr>
          <w:rFonts w:hint="eastAsia" w:ascii="宋体" w:hAnsi="宋体" w:eastAsia="宋体" w:cs="仿宋_GB2312"/>
          <w:color w:val="000000"/>
          <w:sz w:val="21"/>
          <w:szCs w:val="21"/>
          <w:u w:val="single"/>
        </w:rPr>
      </w:pPr>
      <w:r>
        <w:rPr>
          <w:rFonts w:hint="eastAsia" w:ascii="宋体" w:hAnsi="宋体" w:eastAsia="宋体" w:cs="宋体"/>
          <w:color w:val="000000"/>
          <w:sz w:val="21"/>
          <w:szCs w:val="21"/>
          <w:lang w:bidi="ar"/>
        </w:rPr>
        <w:t>（二）合作内容：</w:t>
      </w:r>
      <w:r>
        <w:rPr>
          <w:rFonts w:hint="eastAsia" w:ascii="宋体" w:hAnsi="宋体" w:eastAsia="宋体" w:cs="仿宋_GB2312"/>
          <w:color w:val="000000"/>
          <w:sz w:val="21"/>
          <w:szCs w:val="21"/>
          <w:u w:val="single"/>
        </w:rPr>
        <w:t>本项目由乙方在甲方指导下，负责</w:t>
      </w:r>
      <w:r>
        <w:rPr>
          <w:rFonts w:ascii="宋体" w:hAnsi="宋体" w:eastAsia="宋体" w:cs="仿宋_GB2312"/>
          <w:color w:val="000000"/>
          <w:sz w:val="21"/>
          <w:szCs w:val="21"/>
          <w:u w:val="single"/>
        </w:rPr>
        <w:t>完成</w:t>
      </w:r>
      <w:r>
        <w:rPr>
          <w:rFonts w:hint="eastAsia" w:ascii="宋体" w:hAnsi="宋体" w:eastAsia="宋体" w:cs="仿宋_GB2312"/>
          <w:color w:val="000000"/>
          <w:sz w:val="21"/>
          <w:szCs w:val="21"/>
          <w:u w:val="single"/>
        </w:rPr>
        <w:t>十五运会媒体包物资相关设计、定制、采购及分装服务工作，具体需求详见附件《需求明细表》。</w:t>
      </w:r>
    </w:p>
    <w:p w14:paraId="5948AB43">
      <w:pPr>
        <w:ind w:firstLine="420" w:firstLineChars="200"/>
        <w:rPr>
          <w:rFonts w:hint="eastAsia"/>
        </w:rPr>
      </w:pPr>
      <w:r>
        <w:rPr>
          <w:rFonts w:hint="eastAsia"/>
        </w:rPr>
        <w:t>（三）项目</w:t>
      </w:r>
      <w:r>
        <w:rPr>
          <w:rFonts w:ascii="Times New Roman" w:hAnsi="Times New Roman" w:eastAsia="宋体" w:cs="Times New Roman"/>
        </w:rPr>
        <w:t>执行时间：自合同签订之日起，至2025年</w:t>
      </w:r>
      <w:r>
        <w:rPr>
          <w:rFonts w:hint="eastAsia" w:ascii="Times New Roman" w:hAnsi="Times New Roman" w:eastAsia="宋体" w:cs="Times New Roman"/>
        </w:rPr>
        <w:t>11</w:t>
      </w:r>
      <w:r>
        <w:rPr>
          <w:rFonts w:ascii="Times New Roman" w:hAnsi="Times New Roman" w:eastAsia="宋体" w:cs="Times New Roman"/>
        </w:rPr>
        <w:t>月</w:t>
      </w:r>
      <w:r>
        <w:rPr>
          <w:rFonts w:hint="eastAsia" w:ascii="Times New Roman" w:hAnsi="Times New Roman" w:eastAsia="宋体" w:cs="Times New Roman"/>
        </w:rPr>
        <w:t>15</w:t>
      </w:r>
      <w:r>
        <w:rPr>
          <w:rFonts w:ascii="Times New Roman" w:hAnsi="Times New Roman" w:eastAsia="宋体" w:cs="Times New Roman"/>
        </w:rPr>
        <w:t>日。</w:t>
      </w:r>
    </w:p>
    <w:p w14:paraId="6627BEDD">
      <w:pPr>
        <w:widowControl/>
        <w:jc w:val="left"/>
        <w:rPr>
          <w:rFonts w:hint="eastAsia" w:ascii="宋体" w:hAnsi="宋体" w:eastAsia="宋体"/>
          <w:szCs w:val="21"/>
        </w:rPr>
      </w:pPr>
    </w:p>
    <w:p w14:paraId="1DD219ED">
      <w:pPr>
        <w:widowControl/>
        <w:snapToGrid w:val="0"/>
        <w:spacing w:line="360" w:lineRule="auto"/>
        <w:rPr>
          <w:rFonts w:hint="eastAsia" w:ascii="宋体" w:hAnsi="宋体" w:eastAsia="宋体" w:cs="宋体"/>
          <w:szCs w:val="21"/>
        </w:rPr>
      </w:pPr>
      <w:r>
        <w:rPr>
          <w:rFonts w:hint="eastAsia" w:ascii="宋体" w:hAnsi="宋体" w:eastAsia="宋体" w:cs="宋体"/>
          <w:b/>
          <w:bCs/>
          <w:color w:val="000000"/>
          <w:kern w:val="0"/>
          <w:szCs w:val="21"/>
          <w:lang w:bidi="ar"/>
        </w:rPr>
        <w:t xml:space="preserve">第二条  合同价款及付款方式 </w:t>
      </w:r>
    </w:p>
    <w:p w14:paraId="20395352">
      <w:pPr>
        <w:widowControl/>
        <w:wordWrap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kern w:val="0"/>
          <w:szCs w:val="21"/>
          <w:lang w:bidi="ar"/>
        </w:rPr>
        <w:t>（一）合同价款总额为人民币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元（大写：人民币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）。除经过甲方书面确认的可增加的费用外，本合同价款总额不因任何事由增加，包括但不限于不可抗力、价格上涨等因素。</w:t>
      </w:r>
    </w:p>
    <w:p w14:paraId="523E296F">
      <w:pPr>
        <w:widowControl/>
        <w:wordWrap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kern w:val="0"/>
          <w:szCs w:val="21"/>
          <w:lang w:bidi="ar"/>
        </w:rPr>
        <w:t>（二）在本合同签订后，甲方收到乙方提供的正规发票后，甲方支付合同价款的</w:t>
      </w:r>
      <w:r>
        <w:rPr>
          <w:rFonts w:hint="eastAsia" w:ascii="宋体" w:hAnsi="宋体" w:eastAsia="宋体" w:cs="宋体"/>
          <w:color w:val="000000"/>
          <w:kern w:val="0"/>
          <w:szCs w:val="21"/>
          <w:u w:val="single"/>
          <w:lang w:bidi="ar"/>
        </w:rPr>
        <w:t>70%</w:t>
      </w:r>
      <w:r>
        <w:rPr>
          <w:rFonts w:hint="eastAsia" w:ascii="宋体" w:hAnsi="宋体" w:eastAsia="宋体" w:cs="宋体"/>
          <w:color w:val="000000"/>
          <w:kern w:val="0"/>
          <w:szCs w:val="21"/>
          <w:lang w:bidi="ar"/>
        </w:rPr>
        <w:t>，即人民币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元（大写：），项目执行完成后，服务内容经甲方验收合格后</w:t>
      </w:r>
      <w:r>
        <w:rPr>
          <w:rFonts w:hint="eastAsia" w:ascii="宋体" w:hAnsi="宋体" w:eastAsia="宋体" w:cs="宋体"/>
          <w:color w:val="000000"/>
          <w:kern w:val="0"/>
          <w:szCs w:val="21"/>
          <w:u w:val="single"/>
          <w:lang w:bidi="ar"/>
        </w:rPr>
        <w:t xml:space="preserve"> 30 </w:t>
      </w:r>
      <w:r>
        <w:rPr>
          <w:rFonts w:hint="eastAsia" w:ascii="宋体" w:hAnsi="宋体" w:eastAsia="宋体" w:cs="宋体"/>
          <w:color w:val="000000"/>
          <w:kern w:val="0"/>
          <w:szCs w:val="21"/>
          <w:lang w:bidi="ar"/>
        </w:rPr>
        <w:t>个工作日内，支付合同结算尾款的</w:t>
      </w:r>
      <w:r>
        <w:rPr>
          <w:rFonts w:hint="eastAsia" w:ascii="宋体" w:hAnsi="宋体" w:eastAsia="宋体" w:cs="宋体"/>
          <w:color w:val="000000"/>
          <w:kern w:val="0"/>
          <w:szCs w:val="21"/>
          <w:u w:val="single"/>
          <w:lang w:bidi="ar"/>
        </w:rPr>
        <w:t>30%</w:t>
      </w:r>
      <w:r>
        <w:rPr>
          <w:rFonts w:hint="eastAsia" w:ascii="宋体" w:hAnsi="宋体" w:eastAsia="宋体" w:cs="宋体"/>
          <w:color w:val="000000"/>
          <w:kern w:val="0"/>
          <w:szCs w:val="21"/>
          <w:lang w:bidi="ar"/>
        </w:rPr>
        <w:t>，即人民币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元（大写：人民币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w:t>
      </w:r>
    </w:p>
    <w:p w14:paraId="35C86D74">
      <w:pPr>
        <w:widowControl/>
        <w:wordWrap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kern w:val="0"/>
          <w:szCs w:val="21"/>
          <w:lang w:bidi="ar"/>
        </w:rPr>
        <w:t>（三）甲方付款前，乙方应</w:t>
      </w:r>
      <w:r>
        <w:rPr>
          <w:rFonts w:hint="eastAsia" w:ascii="宋体" w:hAnsi="宋体" w:eastAsia="宋体" w:cs="宋体"/>
          <w:szCs w:val="21"/>
        </w:rPr>
        <w:t>按甲方要求及时开具足额正规的增值税专用发票。</w:t>
      </w:r>
      <w:r>
        <w:rPr>
          <w:rFonts w:hint="eastAsia" w:ascii="宋体" w:hAnsi="宋体" w:eastAsia="宋体" w:cs="宋体"/>
          <w:color w:val="000000"/>
          <w:kern w:val="0"/>
          <w:szCs w:val="21"/>
          <w:lang w:bidi="ar"/>
        </w:rPr>
        <w:t>如因乙方提供发票时间延迟则甲方有权顺延付款时间且不承担逾期付款违约责任。</w:t>
      </w:r>
    </w:p>
    <w:p w14:paraId="651BC4B8">
      <w:pPr>
        <w:wordWrap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四）双方结算账户及发票信息如下表。本合同有效期内，如一方需要改变以下结算账户及发票信息，应提前十五天以加盖合同专用章或公司章的书面文件通知对方。如一方未按本合同规定通知而遭受损失的自行承担，若使另外一方遭受损失的，应赔偿相应损失。</w:t>
      </w:r>
    </w:p>
    <w:p w14:paraId="7556AEEB">
      <w:pPr>
        <w:pStyle w:val="16"/>
        <w:spacing w:line="360" w:lineRule="auto"/>
        <w:rPr>
          <w:rFonts w:hint="eastAsia" w:ascii="宋体" w:hAnsi="宋体" w:eastAsia="宋体" w:cs="宋体"/>
          <w:sz w:val="21"/>
          <w:szCs w:val="21"/>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736"/>
        <w:gridCol w:w="2031"/>
        <w:gridCol w:w="1497"/>
      </w:tblGrid>
      <w:tr w14:paraId="7E66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198152AD">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甲方名称</w:t>
            </w:r>
          </w:p>
        </w:tc>
        <w:tc>
          <w:tcPr>
            <w:tcW w:w="2736" w:type="dxa"/>
          </w:tcPr>
          <w:p w14:paraId="114D8081">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今日（广东）国际传播有限公司</w:t>
            </w:r>
          </w:p>
        </w:tc>
        <w:tc>
          <w:tcPr>
            <w:tcW w:w="2031" w:type="dxa"/>
          </w:tcPr>
          <w:p w14:paraId="65479D8B">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乙方名称</w:t>
            </w:r>
          </w:p>
        </w:tc>
        <w:tc>
          <w:tcPr>
            <w:tcW w:w="1497" w:type="dxa"/>
          </w:tcPr>
          <w:p w14:paraId="0773BEAF">
            <w:pPr>
              <w:snapToGrid w:val="0"/>
              <w:spacing w:line="360" w:lineRule="auto"/>
              <w:rPr>
                <w:rFonts w:hint="eastAsia" w:ascii="宋体" w:hAnsi="宋体" w:eastAsia="宋体" w:cs="宋体"/>
                <w:kern w:val="0"/>
                <w:sz w:val="20"/>
                <w:szCs w:val="21"/>
                <w:highlight w:val="yellow"/>
              </w:rPr>
            </w:pPr>
          </w:p>
        </w:tc>
      </w:tr>
      <w:tr w14:paraId="540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4C2886AF">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纳税人识别号</w:t>
            </w:r>
          </w:p>
        </w:tc>
        <w:tc>
          <w:tcPr>
            <w:tcW w:w="2736" w:type="dxa"/>
          </w:tcPr>
          <w:p w14:paraId="49C3B43A">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91440000MA55WMRQXY</w:t>
            </w:r>
          </w:p>
        </w:tc>
        <w:tc>
          <w:tcPr>
            <w:tcW w:w="2031" w:type="dxa"/>
          </w:tcPr>
          <w:p w14:paraId="73E5E7F0">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纳税人识别号</w:t>
            </w:r>
          </w:p>
        </w:tc>
        <w:tc>
          <w:tcPr>
            <w:tcW w:w="1497" w:type="dxa"/>
          </w:tcPr>
          <w:p w14:paraId="55FFDE58">
            <w:pPr>
              <w:snapToGrid w:val="0"/>
              <w:spacing w:line="360" w:lineRule="auto"/>
              <w:rPr>
                <w:rFonts w:hint="eastAsia" w:ascii="宋体" w:hAnsi="宋体" w:eastAsia="宋体" w:cs="宋体"/>
                <w:kern w:val="0"/>
                <w:sz w:val="20"/>
                <w:szCs w:val="21"/>
                <w:highlight w:val="yellow"/>
              </w:rPr>
            </w:pPr>
          </w:p>
        </w:tc>
      </w:tr>
      <w:tr w14:paraId="19C0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5FA5AB2A">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开户银行名称</w:t>
            </w:r>
          </w:p>
        </w:tc>
        <w:tc>
          <w:tcPr>
            <w:tcW w:w="2736" w:type="dxa"/>
          </w:tcPr>
          <w:p w14:paraId="71A4467E">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中国农业银行股份有限公司广州五羊新城支行</w:t>
            </w:r>
          </w:p>
        </w:tc>
        <w:tc>
          <w:tcPr>
            <w:tcW w:w="2031" w:type="dxa"/>
          </w:tcPr>
          <w:p w14:paraId="4631409E">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开户银行名称</w:t>
            </w:r>
          </w:p>
        </w:tc>
        <w:tc>
          <w:tcPr>
            <w:tcW w:w="1497" w:type="dxa"/>
          </w:tcPr>
          <w:p w14:paraId="6A88B627">
            <w:pPr>
              <w:snapToGrid w:val="0"/>
              <w:spacing w:line="360" w:lineRule="auto"/>
              <w:rPr>
                <w:rFonts w:hint="eastAsia" w:ascii="宋体" w:hAnsi="宋体" w:eastAsia="宋体" w:cs="宋体"/>
                <w:kern w:val="0"/>
                <w:sz w:val="20"/>
                <w:szCs w:val="21"/>
                <w:highlight w:val="yellow"/>
              </w:rPr>
            </w:pPr>
          </w:p>
        </w:tc>
      </w:tr>
      <w:tr w14:paraId="354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171DB5B3">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银行账号</w:t>
            </w:r>
          </w:p>
        </w:tc>
        <w:tc>
          <w:tcPr>
            <w:tcW w:w="2736" w:type="dxa"/>
          </w:tcPr>
          <w:p w14:paraId="69D0598F">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44031701040029130</w:t>
            </w:r>
          </w:p>
        </w:tc>
        <w:tc>
          <w:tcPr>
            <w:tcW w:w="2031" w:type="dxa"/>
          </w:tcPr>
          <w:p w14:paraId="7908B25D">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银行账号</w:t>
            </w:r>
          </w:p>
        </w:tc>
        <w:tc>
          <w:tcPr>
            <w:tcW w:w="1497" w:type="dxa"/>
          </w:tcPr>
          <w:p w14:paraId="5DAF9DCF">
            <w:pPr>
              <w:snapToGrid w:val="0"/>
              <w:spacing w:line="360" w:lineRule="auto"/>
              <w:rPr>
                <w:rFonts w:hint="eastAsia" w:ascii="宋体" w:hAnsi="宋体" w:eastAsia="宋体" w:cs="宋体"/>
                <w:kern w:val="0"/>
                <w:sz w:val="20"/>
                <w:szCs w:val="21"/>
                <w:highlight w:val="yellow"/>
              </w:rPr>
            </w:pPr>
          </w:p>
        </w:tc>
      </w:tr>
      <w:tr w14:paraId="3176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563415AF">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地址</w:t>
            </w:r>
          </w:p>
        </w:tc>
        <w:tc>
          <w:tcPr>
            <w:tcW w:w="2736" w:type="dxa"/>
          </w:tcPr>
          <w:p w14:paraId="2730B3AA">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广州市越秀区广州大道中289号大院1号楼A座25楼2508室</w:t>
            </w:r>
          </w:p>
        </w:tc>
        <w:tc>
          <w:tcPr>
            <w:tcW w:w="2031" w:type="dxa"/>
          </w:tcPr>
          <w:p w14:paraId="1269597A">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地址</w:t>
            </w:r>
          </w:p>
        </w:tc>
        <w:tc>
          <w:tcPr>
            <w:tcW w:w="1497" w:type="dxa"/>
          </w:tcPr>
          <w:p w14:paraId="6E9A5331">
            <w:pPr>
              <w:snapToGrid w:val="0"/>
              <w:spacing w:line="360" w:lineRule="auto"/>
              <w:rPr>
                <w:rFonts w:hint="eastAsia" w:ascii="宋体" w:hAnsi="宋体" w:eastAsia="宋体" w:cs="宋体"/>
                <w:kern w:val="0"/>
                <w:sz w:val="20"/>
                <w:szCs w:val="21"/>
                <w:highlight w:val="yellow"/>
              </w:rPr>
            </w:pPr>
          </w:p>
        </w:tc>
      </w:tr>
      <w:tr w14:paraId="5460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tcPr>
          <w:p w14:paraId="27A5D5B3">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电话</w:t>
            </w:r>
          </w:p>
        </w:tc>
        <w:tc>
          <w:tcPr>
            <w:tcW w:w="2736" w:type="dxa"/>
          </w:tcPr>
          <w:p w14:paraId="2003F5D1">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020-83002012</w:t>
            </w:r>
          </w:p>
        </w:tc>
        <w:tc>
          <w:tcPr>
            <w:tcW w:w="2031" w:type="dxa"/>
          </w:tcPr>
          <w:p w14:paraId="52FA18D5">
            <w:pPr>
              <w:snapToGrid w:val="0"/>
              <w:spacing w:line="360" w:lineRule="auto"/>
              <w:rPr>
                <w:rFonts w:hint="eastAsia" w:ascii="宋体" w:hAnsi="宋体" w:eastAsia="宋体" w:cs="宋体"/>
                <w:kern w:val="0"/>
                <w:sz w:val="20"/>
                <w:szCs w:val="21"/>
              </w:rPr>
            </w:pPr>
            <w:r>
              <w:rPr>
                <w:rFonts w:hint="eastAsia" w:ascii="宋体" w:hAnsi="宋体" w:eastAsia="宋体" w:cs="宋体"/>
                <w:kern w:val="0"/>
                <w:szCs w:val="21"/>
              </w:rPr>
              <w:t>电话</w:t>
            </w:r>
          </w:p>
        </w:tc>
        <w:tc>
          <w:tcPr>
            <w:tcW w:w="1497" w:type="dxa"/>
          </w:tcPr>
          <w:p w14:paraId="5F978F46">
            <w:pPr>
              <w:snapToGrid w:val="0"/>
              <w:spacing w:line="360" w:lineRule="auto"/>
              <w:rPr>
                <w:rFonts w:hint="eastAsia" w:ascii="宋体" w:hAnsi="宋体" w:eastAsia="宋体" w:cs="宋体"/>
                <w:kern w:val="0"/>
                <w:sz w:val="20"/>
                <w:szCs w:val="21"/>
                <w:highlight w:val="yellow"/>
              </w:rPr>
            </w:pPr>
          </w:p>
        </w:tc>
      </w:tr>
    </w:tbl>
    <w:p w14:paraId="1049E57F">
      <w:pPr>
        <w:widowControl/>
        <w:snapToGrid w:val="0"/>
        <w:spacing w:line="360" w:lineRule="auto"/>
        <w:ind w:firstLine="420" w:firstLineChars="200"/>
        <w:rPr>
          <w:rFonts w:hint="eastAsia" w:ascii="宋体" w:hAnsi="宋体" w:eastAsia="宋体" w:cs="宋体"/>
          <w:color w:val="000000"/>
          <w:kern w:val="0"/>
          <w:szCs w:val="21"/>
          <w:u w:val="single"/>
          <w:lang w:bidi="ar"/>
        </w:rPr>
      </w:pPr>
    </w:p>
    <w:p w14:paraId="7DF5EE8F">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第三条  双方权利及义务</w:t>
      </w:r>
    </w:p>
    <w:p w14:paraId="5ECDD158">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（一）甲方权利义务</w:t>
      </w:r>
    </w:p>
    <w:p w14:paraId="18E4FE4E">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1、甲方保证拥有签订并履行本合同的必要资格资质。</w:t>
      </w:r>
    </w:p>
    <w:p w14:paraId="23FCA7F1">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2、甲方根据本次项目实施的实际需要确定委托乙方提供项目相关服务的范围、内容及标准，并于项目方案中加以明确。</w:t>
      </w:r>
    </w:p>
    <w:p w14:paraId="2EC38578">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甲方根据项目服务进程和乙方要求，及时、全面、客观、合法地提供乙方为实施项目或提供服务所必需的有关文件、资料、信息，并如实陈述全部相关事实，协助乙方开展工作并保证甲方提供的文件、资料和涉及的其他相关事实或陈述等甲方资信的真实、准确、完整、合法、客观。</w:t>
      </w:r>
    </w:p>
    <w:p w14:paraId="1DE419EC">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4、甲方有权监控、指令乙方及工作人员项目执行；要求乙方更换不符合要求的工作人员。</w:t>
      </w:r>
    </w:p>
    <w:p w14:paraId="52C33798">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5、甲方应当按照合同约定付款。如甲方要求增减项目的，应书面通知乙方。双方确认的增减项目，乙方应积极配合执行，相关费用由甲方承担。</w:t>
      </w:r>
    </w:p>
    <w:p w14:paraId="2638994A">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（二）乙方权利义务</w:t>
      </w:r>
    </w:p>
    <w:p w14:paraId="645D61E7">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1、乙方保证具有签订并履行本合同的必要资格资质，有能力承担本合同项目。</w:t>
      </w:r>
      <w:bookmarkStart w:id="104" w:name="OLE_LINK1"/>
    </w:p>
    <w:p w14:paraId="6D81D9B2">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2、乙方负责本合同项下所涉第三方协调工作及相关手续的办理</w:t>
      </w:r>
      <w:bookmarkEnd w:id="104"/>
      <w:r>
        <w:rPr>
          <w:rFonts w:hint="eastAsia" w:ascii="宋体" w:hAnsi="宋体" w:eastAsia="宋体" w:cs="宋体"/>
          <w:color w:val="000000"/>
          <w:kern w:val="0"/>
          <w:szCs w:val="21"/>
          <w:lang w:bidi="ar"/>
        </w:rPr>
        <w:t>（如有）。</w:t>
      </w:r>
    </w:p>
    <w:p w14:paraId="29896864">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3、乙方应严格按照本合同约定提供服务，根据甲方提供的文字、图片素材等资料进行相关设计、定制、采购和分装工作。</w:t>
      </w:r>
    </w:p>
    <w:p w14:paraId="17769F5E">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4、乙方有权依照我国相关的法律法规规定，对甲方需发布的内容进行审查，如果乙方认为其不符合法律法规的规定，有权要求甲方修正，乙方应积极予以配合。</w:t>
      </w:r>
    </w:p>
    <w:p w14:paraId="3CCCA739">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5、乙方服务内容均需全部经甲方确认后，方可进行制作。</w:t>
      </w:r>
    </w:p>
    <w:p w14:paraId="123819E4">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6、乙方应保证其提供的服务合法合规，不侵害第三方合法权益，否则由此产生的责任由乙方承担，甲方因此遭受损失的，有权向乙方追偿。</w:t>
      </w:r>
    </w:p>
    <w:p w14:paraId="0D45EDB0">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7、未经甲方事先书面同意，乙方不得将其在本协议项下的权利或义务转让给任何第三方。</w:t>
      </w:r>
    </w:p>
    <w:p w14:paraId="4EBC32B5">
      <w:pPr>
        <w:widowControl/>
        <w:wordWrap w:val="0"/>
        <w:adjustRightInd w:val="0"/>
        <w:snapToGrid w:val="0"/>
        <w:spacing w:line="360" w:lineRule="auto"/>
        <w:rPr>
          <w:rFonts w:hint="eastAsia" w:ascii="宋体" w:hAnsi="宋体" w:eastAsia="宋体" w:cs="宋体"/>
          <w:b/>
          <w:bCs/>
          <w:color w:val="000000"/>
          <w:kern w:val="0"/>
          <w:szCs w:val="21"/>
          <w:lang w:bidi="ar"/>
        </w:rPr>
      </w:pPr>
    </w:p>
    <w:p w14:paraId="24F22551">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 xml:space="preserve">第四条  违约责任 </w:t>
      </w:r>
    </w:p>
    <w:p w14:paraId="788E6CEA">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（一）任何一方在合同正式履行之前要求终止合同的，应当提前告知对方，并向对方支付合同价款总额的百分之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作为违约金。</w:t>
      </w:r>
    </w:p>
    <w:p w14:paraId="0AF53AB5">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（二）若乙方未能按本合同及甲方确定的需求，在约定的时间内完成相关工作，或未能按约定提供服务并严重影响甲方活动效果，甲方可采取以下方式要求乙方承担责任：</w:t>
      </w:r>
    </w:p>
    <w:p w14:paraId="7CD9E23B">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1、甲方可要求乙方整改，乙方应负责在甲方指定的时间内进行整改，同时每日向甲方支付按本合同总价的千分之</w:t>
      </w:r>
      <w:r>
        <w:rPr>
          <w:rFonts w:hint="eastAsia" w:ascii="宋体" w:hAnsi="宋体" w:eastAsia="宋体" w:cs="宋体"/>
          <w:color w:val="000000"/>
          <w:kern w:val="0"/>
          <w:szCs w:val="21"/>
          <w:u w:val="single"/>
          <w:lang w:bidi="ar"/>
        </w:rPr>
        <w:t xml:space="preserve"> 三 </w:t>
      </w:r>
      <w:r>
        <w:rPr>
          <w:rFonts w:hint="eastAsia" w:ascii="宋体" w:hAnsi="宋体" w:eastAsia="宋体" w:cs="宋体"/>
          <w:color w:val="000000"/>
          <w:kern w:val="0"/>
          <w:szCs w:val="21"/>
          <w:lang w:bidi="ar"/>
        </w:rPr>
        <w:t>计算的逾期违约金，直至整改合格完毕；甲方乙方未能在甲方指定的时间内完成整改的，甲方有权解除合同，不予支付乙方所有合同费用（如甲方已支付的，乙方应全额返还甲方已支付的所有合同费用），并要求乙方支付合同总价的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作为违约金，因此给甲方造成损失的，乙方还应负责赔偿。</w:t>
      </w:r>
    </w:p>
    <w:p w14:paraId="4DC8DF47">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2、甲方有权立即解除本合同，不再支付乙方所有合同费用（如甲方已支付的，乙方应全额返还甲方已支付的所有合同费用），并要求乙方支付合同总价的百分之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作为违约金。</w:t>
      </w:r>
    </w:p>
    <w:p w14:paraId="2E2A8BB9">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（三）若甲方未按照本合同约定向乙方支付合同款项，每逾期一天，甲方支付乙方当期应付款项千分之</w:t>
      </w:r>
      <w:r>
        <w:rPr>
          <w:rFonts w:hint="eastAsia" w:ascii="宋体" w:hAnsi="宋体" w:eastAsia="宋体" w:cs="宋体"/>
          <w:color w:val="000000"/>
          <w:kern w:val="0"/>
          <w:szCs w:val="21"/>
          <w:u w:val="single"/>
          <w:lang w:bidi="ar"/>
        </w:rPr>
        <w:t xml:space="preserve"> 三 </w:t>
      </w:r>
      <w:r>
        <w:rPr>
          <w:rFonts w:hint="eastAsia" w:ascii="宋体" w:hAnsi="宋体" w:eastAsia="宋体" w:cs="宋体"/>
          <w:color w:val="000000"/>
          <w:kern w:val="0"/>
          <w:szCs w:val="21"/>
          <w:lang w:bidi="ar"/>
        </w:rPr>
        <w:t>计算的违约金。</w:t>
      </w:r>
    </w:p>
    <w:p w14:paraId="313F0562">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（四）乙方未能及时按照本合同规定履行政府报批手续的，乙方应当支付甲方本合同价款总额百分之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计算的违约金，同时导致甲方受到政府处罚或者其他损失的，乙方负责赔偿甲方为此遭受的全部损失。</w:t>
      </w:r>
    </w:p>
    <w:p w14:paraId="59BE5DE3">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（五）乙方违反本合同的约定擅自制作发布，甲方有权不予支付合同价款，乙方应当支付甲方合同价款总额百分之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计算的违约金。</w:t>
      </w:r>
    </w:p>
    <w:p w14:paraId="7724ACC5">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（六）乙方不得将本合同项下的权利义务转让给任何第三方，否则甲方有权解除合同，并有权要求乙方承担本合同价款总额百分之</w:t>
      </w:r>
      <w:r>
        <w:rPr>
          <w:rFonts w:hint="eastAsia" w:ascii="宋体" w:hAnsi="宋体" w:eastAsia="宋体" w:cs="宋体"/>
          <w:color w:val="000000"/>
          <w:kern w:val="0"/>
          <w:szCs w:val="21"/>
          <w:u w:val="single"/>
          <w:lang w:bidi="ar"/>
        </w:rPr>
        <w:t xml:space="preserve"> 十 </w:t>
      </w:r>
      <w:r>
        <w:rPr>
          <w:rFonts w:hint="eastAsia" w:ascii="宋体" w:hAnsi="宋体" w:eastAsia="宋体" w:cs="宋体"/>
          <w:color w:val="000000"/>
          <w:kern w:val="0"/>
          <w:szCs w:val="21"/>
          <w:lang w:bidi="ar"/>
        </w:rPr>
        <w:t>计算的违约金。</w:t>
      </w:r>
    </w:p>
    <w:p w14:paraId="55050391">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七）甲方有权在任何一期应付合同价款中扣除乙方按照本合同应支付的违约金及/或赔偿金。如果本合同所明确约定的违约金和乙方的其他责任仍然无法弥补甲方为乙方违约行为遭受的全部损失的，甲方有权要求乙方赔偿其为此遭受的全部损失（包括但不限于甲方向第三方承担的赔偿金、违约金、或甲方因参与诉讼而发生的律师费、鉴定费、公证费、诉讼费、差旅费等）。</w:t>
      </w:r>
    </w:p>
    <w:p w14:paraId="3C66B136">
      <w:pPr>
        <w:widowControl/>
        <w:wordWrap w:val="0"/>
        <w:adjustRightInd w:val="0"/>
        <w:snapToGrid w:val="0"/>
        <w:spacing w:line="360" w:lineRule="auto"/>
        <w:rPr>
          <w:rFonts w:hint="eastAsia" w:ascii="宋体" w:hAnsi="宋体" w:eastAsia="宋体" w:cs="宋体"/>
          <w:color w:val="000000"/>
          <w:kern w:val="0"/>
          <w:szCs w:val="21"/>
          <w:lang w:bidi="ar"/>
        </w:rPr>
      </w:pPr>
    </w:p>
    <w:p w14:paraId="4AA92ECC">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第五条  知识产权与商业秘密</w:t>
      </w:r>
    </w:p>
    <w:p w14:paraId="57751B34">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（一）乙方为履行本合同所形成的图片、文字作品等所有资料信息的知识产权均归属甲方所有，乙方不得将其用于合同项目以外的其他目的或在向第三方提供上述资料，否则乙方应另行承担侵权责任。</w:t>
      </w:r>
    </w:p>
    <w:p w14:paraId="42A18497">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w:t>
      </w:r>
      <w:bookmarkStart w:id="105" w:name="_Hlk168479624"/>
      <w:r>
        <w:rPr>
          <w:rFonts w:hint="eastAsia" w:ascii="宋体" w:hAnsi="宋体" w:eastAsia="宋体" w:cs="宋体"/>
          <w:color w:val="000000"/>
          <w:kern w:val="0"/>
          <w:szCs w:val="21"/>
          <w:lang w:bidi="ar"/>
        </w:rPr>
        <w:t>乙方在签订和履行本合同中知悉的甲方的全部信息（包括技术信息和经营信息等）均为甲方的商业秘密。除本合同规定之工作所需外，未经甲方事先书面同意，乙方不得使用、披露甲方的商业秘密，不得擅自使用、复制甲方的商标、标志、商业信息、技术及其他资料，否则乙方应承担相应的侵权责任。</w:t>
      </w:r>
      <w:bookmarkEnd w:id="105"/>
    </w:p>
    <w:p w14:paraId="49686182">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（三）本合同有效期内及终止后，本条款对乙方仍具有法律效力。</w:t>
      </w:r>
    </w:p>
    <w:p w14:paraId="44718B19">
      <w:pPr>
        <w:widowControl/>
        <w:wordWrap w:val="0"/>
        <w:adjustRightInd w:val="0"/>
        <w:snapToGrid w:val="0"/>
        <w:spacing w:line="360" w:lineRule="auto"/>
        <w:rPr>
          <w:rFonts w:hint="eastAsia" w:ascii="宋体" w:hAnsi="宋体" w:eastAsia="宋体" w:cs="宋体"/>
          <w:color w:val="000000"/>
          <w:kern w:val="0"/>
          <w:szCs w:val="21"/>
          <w:lang w:bidi="ar"/>
        </w:rPr>
      </w:pPr>
    </w:p>
    <w:p w14:paraId="52F213E0">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 xml:space="preserve">第六条  不可抗力及免责 </w:t>
      </w:r>
    </w:p>
    <w:p w14:paraId="2BF15164">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不可抗力”是指本合同双方不能合理控制、不可预见或即使预见亦无法避免的事件，该事件妨碍、影响或延误任何一方根据本合同履行其全部或部分义务。不可抗力包括但不限于：自然原因的不可抗力，例如：地震、火灾、洪水、严重的传染性疾病等；国家机关原因的不可抗力：例如：法律、政策、行政指令、政府行为和国家政策发生根本性改变；其它不可抗力：战争、武装冲突、动乱等其他突发事件等。</w:t>
      </w:r>
    </w:p>
    <w:p w14:paraId="63CC3B13">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任何一方由于不可抗力原因不能履行合同时，应在不可抗力事件结束后十五日内向对方通报，以减轻可能给对方造成的损失。在取得有关机构的不可抗力证明或双方谅解确认后，双方可根据不可抗力事件对履行合同影响的程度协商决定延期履行、变更合同或解除合同，并免于承担违约责任。</w:t>
      </w:r>
    </w:p>
    <w:p w14:paraId="2D032843">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（三）遭受不可抗力的一方未履行上述义务或不可抗力发生在一方违约前或违约后的，不能免除其违约责任。</w:t>
      </w:r>
    </w:p>
    <w:p w14:paraId="6D2C5C71">
      <w:pPr>
        <w:widowControl/>
        <w:wordWrap w:val="0"/>
        <w:adjustRightInd w:val="0"/>
        <w:snapToGrid w:val="0"/>
        <w:spacing w:line="360" w:lineRule="auto"/>
        <w:rPr>
          <w:rFonts w:hint="eastAsia" w:ascii="宋体" w:hAnsi="宋体" w:eastAsia="宋体" w:cs="宋体"/>
          <w:color w:val="000000"/>
          <w:kern w:val="0"/>
          <w:szCs w:val="21"/>
          <w:lang w:bidi="ar"/>
        </w:rPr>
      </w:pPr>
    </w:p>
    <w:p w14:paraId="59E34D8A">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第七条  法律适用及争议解决</w:t>
      </w:r>
    </w:p>
    <w:p w14:paraId="002295F5">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（一）本合同受中华人民共和国法律解释和管辖，并不考虑法律冲突。</w:t>
      </w:r>
    </w:p>
    <w:p w14:paraId="49DF7DEB">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（二）双方约定，合同签订地为广州市越秀区。有关本合同的任何争议应由双方秉承善意友好协商解决。若双方协商不成，一方可将争议提交合同签订地有管辖权的法院诉讼解决。</w:t>
      </w:r>
    </w:p>
    <w:p w14:paraId="1DEE76C4">
      <w:pPr>
        <w:widowControl/>
        <w:wordWrap w:val="0"/>
        <w:adjustRightInd w:val="0"/>
        <w:snapToGrid w:val="0"/>
        <w:spacing w:line="360" w:lineRule="auto"/>
        <w:rPr>
          <w:rFonts w:hint="eastAsia" w:ascii="宋体" w:hAnsi="宋体" w:eastAsia="宋体" w:cs="宋体"/>
          <w:b/>
          <w:bCs/>
          <w:color w:val="000000"/>
          <w:kern w:val="0"/>
          <w:szCs w:val="21"/>
          <w:lang w:bidi="ar"/>
        </w:rPr>
      </w:pPr>
    </w:p>
    <w:p w14:paraId="604F0F9F">
      <w:pPr>
        <w:widowControl/>
        <w:wordWrap w:val="0"/>
        <w:adjustRightInd w:val="0"/>
        <w:snapToGrid w:val="0"/>
        <w:spacing w:line="360" w:lineRule="auto"/>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 xml:space="preserve">第八条  通知与送达 </w:t>
      </w:r>
    </w:p>
    <w:p w14:paraId="54173F78">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与本合同有关的通知、文件等均须采用书面形式发出，并由中国邮政特快专递（EMS）或专人送至本合同首页载明的通讯地址。EMS寄出第三日（无论对方签收与否）与对方签收日中较早的日期视为已送达日期。一方的地址如发生变更，应于变更后七天内通知对方，未通知或延迟通知的，由其承担法律后果。</w:t>
      </w:r>
    </w:p>
    <w:p w14:paraId="1AEAD056">
      <w:pPr>
        <w:widowControl/>
        <w:wordWrap w:val="0"/>
        <w:adjustRightInd w:val="0"/>
        <w:snapToGrid w:val="0"/>
        <w:spacing w:line="360" w:lineRule="auto"/>
        <w:rPr>
          <w:rFonts w:hint="eastAsia" w:ascii="宋体" w:hAnsi="宋体" w:eastAsia="宋体" w:cs="宋体"/>
          <w:b/>
          <w:bCs/>
          <w:color w:val="000000"/>
          <w:kern w:val="0"/>
          <w:szCs w:val="21"/>
          <w:lang w:bidi="ar"/>
        </w:rPr>
      </w:pPr>
    </w:p>
    <w:p w14:paraId="3D4742BE">
      <w:pPr>
        <w:widowControl/>
        <w:wordWrap w:val="0"/>
        <w:adjustRightInd w:val="0"/>
        <w:snapToGrid w:val="0"/>
        <w:spacing w:line="360" w:lineRule="auto"/>
        <w:rPr>
          <w:rFonts w:hint="eastAsia" w:ascii="宋体" w:hAnsi="宋体" w:eastAsia="宋体" w:cs="宋体"/>
          <w:color w:val="000000"/>
          <w:kern w:val="0"/>
          <w:szCs w:val="21"/>
          <w:lang w:bidi="ar"/>
        </w:rPr>
      </w:pPr>
      <w:r>
        <w:rPr>
          <w:rFonts w:hint="eastAsia" w:ascii="宋体" w:hAnsi="宋体" w:eastAsia="宋体" w:cs="宋体"/>
          <w:b/>
          <w:bCs/>
          <w:color w:val="000000"/>
          <w:kern w:val="0"/>
          <w:szCs w:val="21"/>
          <w:lang w:bidi="ar"/>
        </w:rPr>
        <w:t>第九条  其他</w:t>
      </w:r>
      <w:r>
        <w:rPr>
          <w:rFonts w:hint="eastAsia" w:ascii="宋体" w:hAnsi="宋体" w:eastAsia="宋体" w:cs="宋体"/>
          <w:color w:val="000000"/>
          <w:kern w:val="0"/>
          <w:szCs w:val="21"/>
          <w:lang w:bidi="ar"/>
        </w:rPr>
        <w:t xml:space="preserve"> </w:t>
      </w:r>
    </w:p>
    <w:p w14:paraId="71D84225">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（一）本合同经双方法定代表人或授权代理人签字并盖章之日起生效。</w:t>
      </w:r>
    </w:p>
    <w:p w14:paraId="106E7E74">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（二）本合同一式</w:t>
      </w:r>
      <w:r>
        <w:rPr>
          <w:rFonts w:hint="eastAsia" w:ascii="宋体" w:hAnsi="宋体" w:eastAsia="宋体" w:cs="宋体"/>
          <w:color w:val="000000"/>
          <w:kern w:val="0"/>
          <w:szCs w:val="21"/>
          <w:u w:val="single"/>
          <w:lang w:bidi="ar"/>
        </w:rPr>
        <w:t xml:space="preserve">   陆  </w:t>
      </w:r>
      <w:r>
        <w:rPr>
          <w:rFonts w:hint="eastAsia" w:ascii="宋体" w:hAnsi="宋体" w:eastAsia="宋体" w:cs="宋体"/>
          <w:color w:val="000000"/>
          <w:kern w:val="0"/>
          <w:szCs w:val="21"/>
          <w:lang w:bidi="ar"/>
        </w:rPr>
        <w:t>份，甲方执</w:t>
      </w:r>
      <w:r>
        <w:rPr>
          <w:rFonts w:hint="eastAsia" w:ascii="宋体" w:hAnsi="宋体" w:eastAsia="宋体" w:cs="宋体"/>
          <w:color w:val="000000"/>
          <w:kern w:val="0"/>
          <w:szCs w:val="21"/>
          <w:u w:val="single"/>
          <w:lang w:bidi="ar"/>
        </w:rPr>
        <w:t xml:space="preserve">  叁   </w:t>
      </w:r>
      <w:r>
        <w:rPr>
          <w:rFonts w:hint="eastAsia" w:ascii="宋体" w:hAnsi="宋体" w:eastAsia="宋体" w:cs="宋体"/>
          <w:color w:val="000000"/>
          <w:kern w:val="0"/>
          <w:szCs w:val="21"/>
          <w:lang w:bidi="ar"/>
        </w:rPr>
        <w:t>份，乙方执</w:t>
      </w:r>
      <w:r>
        <w:rPr>
          <w:rFonts w:hint="eastAsia" w:ascii="宋体" w:hAnsi="宋体" w:eastAsia="宋体" w:cs="宋体"/>
          <w:color w:val="000000"/>
          <w:kern w:val="0"/>
          <w:szCs w:val="21"/>
          <w:u w:val="single"/>
          <w:lang w:bidi="ar"/>
        </w:rPr>
        <w:t xml:space="preserve">  叁  </w:t>
      </w:r>
      <w:r>
        <w:rPr>
          <w:rFonts w:hint="eastAsia" w:ascii="宋体" w:hAnsi="宋体" w:eastAsia="宋体" w:cs="宋体"/>
          <w:color w:val="000000"/>
          <w:kern w:val="0"/>
          <w:szCs w:val="21"/>
          <w:lang w:bidi="ar"/>
        </w:rPr>
        <w:t>份，具有相同效力。</w:t>
      </w:r>
    </w:p>
    <w:p w14:paraId="79F5E91A">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在执行本合同的过程中，所有经双方签署确认的文件（包括会议纪要、补充协议、往来信函）即成为本合同的有效组成部分。本合同未尽事宜或任何一方就本合同的任何条款要求修改，须由双方签订书面补充协议。补充协议是本合同的组成部分，与本合同具有同等法律效力，不一致之处以补充协议为准。</w:t>
      </w:r>
    </w:p>
    <w:p w14:paraId="69FC76CA">
      <w:pPr>
        <w:widowControl/>
        <w:wordWrap w:val="0"/>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（四）本合同有附件</w:t>
      </w:r>
      <w:r>
        <w:rPr>
          <w:rFonts w:hint="eastAsia" w:ascii="宋体" w:hAnsi="宋体" w:eastAsia="宋体" w:cs="宋体"/>
          <w:szCs w:val="21"/>
          <w:u w:val="single"/>
          <w:lang w:bidi="ar"/>
        </w:rPr>
        <w:t xml:space="preserve">  贰  </w:t>
      </w:r>
      <w:r>
        <w:rPr>
          <w:rFonts w:hint="eastAsia" w:ascii="宋体" w:hAnsi="宋体" w:eastAsia="宋体" w:cs="宋体"/>
          <w:szCs w:val="21"/>
          <w:lang w:bidi="ar"/>
        </w:rPr>
        <w:t xml:space="preserve">份,是本合同的完整组成部分，与本合同具有同等法律效力。本合同附件有： </w:t>
      </w:r>
    </w:p>
    <w:p w14:paraId="22959F8D">
      <w:pPr>
        <w:widowControl/>
        <w:wordWrap w:val="0"/>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附件一：《需求明细表》</w:t>
      </w:r>
    </w:p>
    <w:p w14:paraId="15661667">
      <w:pPr>
        <w:widowControl/>
        <w:wordWrap w:val="0"/>
        <w:adjustRightInd w:val="0"/>
        <w:snapToGrid w:val="0"/>
        <w:spacing w:line="360" w:lineRule="auto"/>
        <w:ind w:firstLine="420" w:firstLineChars="200"/>
        <w:rPr>
          <w:rFonts w:hint="eastAsia" w:ascii="宋体" w:hAnsi="宋体" w:eastAsia="宋体" w:cs="宋体"/>
          <w:color w:val="000000"/>
          <w:kern w:val="0"/>
          <w:szCs w:val="21"/>
          <w:lang w:bidi="ar"/>
        </w:rPr>
      </w:pPr>
      <w:r>
        <w:rPr>
          <w:rFonts w:hint="eastAsia" w:ascii="宋体" w:hAnsi="宋体" w:eastAsia="宋体" w:cs="宋体"/>
          <w:szCs w:val="21"/>
          <w:lang w:bidi="ar"/>
        </w:rPr>
        <w:t>附件二：《反商业贿赂协议》</w:t>
      </w:r>
    </w:p>
    <w:p w14:paraId="087619EE">
      <w:pPr>
        <w:spacing w:line="360" w:lineRule="auto"/>
        <w:rPr>
          <w:rFonts w:hint="eastAsia" w:ascii="宋体" w:hAnsi="宋体" w:eastAsia="宋体" w:cs="宋体"/>
          <w:szCs w:val="21"/>
        </w:rPr>
      </w:pPr>
      <w:r>
        <w:rPr>
          <w:rFonts w:hint="eastAsia" w:ascii="宋体" w:hAnsi="宋体" w:eastAsia="宋体" w:cs="宋体"/>
          <w:szCs w:val="21"/>
        </w:rPr>
        <w:t>————————————以下为签署页，无正文—————————————————</w:t>
      </w:r>
    </w:p>
    <w:p w14:paraId="2523F9D8">
      <w:pPr>
        <w:spacing w:line="360" w:lineRule="auto"/>
        <w:rPr>
          <w:rFonts w:hint="eastAsia" w:ascii="宋体" w:hAnsi="宋体" w:eastAsia="宋体" w:cs="宋体"/>
          <w:szCs w:val="21"/>
        </w:rPr>
      </w:pPr>
    </w:p>
    <w:p w14:paraId="7034A537">
      <w:pPr>
        <w:spacing w:line="360" w:lineRule="auto"/>
        <w:rPr>
          <w:rFonts w:hint="eastAsia" w:ascii="宋体" w:hAnsi="宋体" w:eastAsia="宋体" w:cs="宋体"/>
          <w:szCs w:val="21"/>
        </w:rPr>
      </w:pPr>
    </w:p>
    <w:p w14:paraId="2EB30F57">
      <w:pPr>
        <w:spacing w:line="360" w:lineRule="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甲方（盖章）：                  乙方（盖章）：</w:t>
      </w:r>
    </w:p>
    <w:p w14:paraId="266046DC">
      <w:pPr>
        <w:snapToGrid w:val="0"/>
        <w:spacing w:line="360" w:lineRule="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 xml:space="preserve">法人（授权）代表签字：          法人（授权）代表签字：        </w:t>
      </w:r>
    </w:p>
    <w:p w14:paraId="678CF58F">
      <w:pPr>
        <w:widowControl/>
        <w:snapToGrid w:val="0"/>
        <w:spacing w:before="62" w:beforeLines="20" w:after="62" w:afterLines="20" w:line="360" w:lineRule="auto"/>
        <w:rPr>
          <w:rFonts w:hint="eastAsia" w:ascii="宋体" w:hAnsi="宋体" w:eastAsia="宋体" w:cs="宋体"/>
          <w:color w:val="000000"/>
          <w:kern w:val="0"/>
          <w:sz w:val="21"/>
          <w:szCs w:val="21"/>
          <w:lang w:bidi="ar"/>
        </w:rPr>
      </w:pPr>
      <w:r>
        <w:rPr>
          <w:rFonts w:hint="eastAsia" w:ascii="宋体" w:hAnsi="宋体" w:eastAsia="宋体" w:cs="宋体"/>
          <w:szCs w:val="21"/>
          <w:shd w:val="clear" w:color="auto" w:fill="FFFFFF"/>
        </w:rPr>
        <w:t>日期：</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日        日期：</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szCs w:val="21"/>
          <w:shd w:val="clear" w:color="auto" w:fill="FFFFFF"/>
        </w:rPr>
        <w:t>日</w:t>
      </w:r>
    </w:p>
    <w:p w14:paraId="2C0A2116">
      <w:pPr>
        <w:widowControl/>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br w:type="page"/>
      </w:r>
    </w:p>
    <w:p w14:paraId="1BA40AB5">
      <w:pPr>
        <w:snapToGrid w:val="0"/>
        <w:spacing w:line="360" w:lineRule="auto"/>
        <w:rPr>
          <w:rFonts w:hint="eastAsia" w:ascii="宋体" w:hAnsi="宋体" w:eastAsia="宋体" w:cs="宋体"/>
          <w:b/>
          <w:bCs/>
          <w:sz w:val="21"/>
          <w:szCs w:val="21"/>
        </w:rPr>
      </w:pPr>
      <w:bookmarkStart w:id="106" w:name="_Toc191744816"/>
      <w:r>
        <w:rPr>
          <w:rFonts w:hint="eastAsia" w:ascii="宋体" w:hAnsi="宋体" w:eastAsia="宋体" w:cs="宋体"/>
          <w:b/>
          <w:bCs/>
          <w:sz w:val="21"/>
          <w:szCs w:val="21"/>
        </w:rPr>
        <w:t>附件</w:t>
      </w:r>
      <w:r>
        <w:rPr>
          <w:rFonts w:hint="eastAsia" w:ascii="宋体" w:hAnsi="宋体" w:cs="宋体"/>
          <w:b/>
          <w:bCs/>
          <w:sz w:val="21"/>
          <w:szCs w:val="21"/>
          <w:lang w:val="en-US" w:eastAsia="zh-CN"/>
        </w:rPr>
        <w:t>一</w:t>
      </w:r>
      <w:r>
        <w:rPr>
          <w:rFonts w:hint="eastAsia" w:ascii="宋体" w:hAnsi="宋体" w:eastAsia="宋体" w:cs="宋体"/>
          <w:b/>
          <w:bCs/>
          <w:sz w:val="21"/>
          <w:szCs w:val="21"/>
        </w:rPr>
        <w:t>：反商业贿赂协议</w:t>
      </w:r>
      <w:bookmarkEnd w:id="106"/>
    </w:p>
    <w:p w14:paraId="7F3B80B1">
      <w:pPr>
        <w:pStyle w:val="33"/>
        <w:wordWrap w:val="0"/>
        <w:snapToGrid w:val="0"/>
        <w:spacing w:line="360" w:lineRule="auto"/>
        <w:ind w:left="0" w:leftChars="0"/>
        <w:rPr>
          <w:rFonts w:hint="eastAsia" w:ascii="宋体" w:hAnsi="宋体" w:eastAsia="宋体" w:cs="宋体"/>
          <w:bCs/>
          <w:sz w:val="21"/>
          <w:szCs w:val="21"/>
        </w:rPr>
      </w:pPr>
    </w:p>
    <w:p w14:paraId="28C4F652">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今日（广东）国际传播有限公司</w:t>
      </w:r>
    </w:p>
    <w:p w14:paraId="272A708C">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p>
    <w:p w14:paraId="222C6CA6">
      <w:pPr>
        <w:pStyle w:val="33"/>
        <w:wordWrap w:val="0"/>
        <w:snapToGrid w:val="0"/>
        <w:spacing w:after="62" w:afterLines="20" w:line="360" w:lineRule="auto"/>
        <w:ind w:left="0" w:leftChars="0"/>
        <w:rPr>
          <w:rFonts w:hint="eastAsia" w:ascii="宋体" w:hAnsi="宋体" w:eastAsia="宋体" w:cs="宋体"/>
          <w:b/>
          <w:bCs/>
          <w:sz w:val="21"/>
          <w:szCs w:val="21"/>
        </w:rPr>
      </w:pPr>
    </w:p>
    <w:p w14:paraId="1D50E237">
      <w:pPr>
        <w:pStyle w:val="33"/>
        <w:wordWrap w:val="0"/>
        <w:snapToGrid w:val="0"/>
        <w:spacing w:after="62" w:afterLines="20" w:line="360" w:lineRule="auto"/>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甲乙双方于</w:t>
      </w:r>
      <w:r>
        <w:rPr>
          <w:rFonts w:hint="eastAsia" w:ascii="宋体" w:hAnsi="宋体" w:eastAsia="宋体" w:cs="宋体"/>
          <w:sz w:val="21"/>
          <w:szCs w:val="21"/>
          <w:u w:val="single"/>
        </w:rPr>
        <w:t>2025</w:t>
      </w:r>
      <w:r>
        <w:rPr>
          <w:rFonts w:hint="eastAsia" w:ascii="宋体" w:hAnsi="宋体" w:eastAsia="宋体" w:cs="宋体"/>
          <w:bCs/>
          <w:sz w:val="21"/>
          <w:szCs w:val="21"/>
        </w:rPr>
        <w:t>年  月  日签订《</w:t>
      </w:r>
      <w:r>
        <w:rPr>
          <w:rFonts w:hint="eastAsia" w:ascii="宋体" w:hAnsi="宋体" w:cs="宋体"/>
          <w:bCs/>
          <w:sz w:val="21"/>
          <w:szCs w:val="21"/>
          <w:u w:val="single"/>
          <w:lang w:eastAsia="zh-CN"/>
        </w:rPr>
        <w:t>十五运定制化媒体包物资综合保障采购项目</w:t>
      </w:r>
      <w:r>
        <w:rPr>
          <w:rFonts w:hint="eastAsia" w:ascii="宋体" w:hAnsi="宋体" w:eastAsia="宋体" w:cs="宋体"/>
          <w:bCs/>
          <w:sz w:val="21"/>
          <w:szCs w:val="21"/>
          <w:u w:val="single"/>
        </w:rPr>
        <w:t>服务合同</w:t>
      </w:r>
      <w:r>
        <w:rPr>
          <w:rFonts w:hint="eastAsia" w:ascii="宋体" w:hAnsi="宋体" w:eastAsia="宋体" w:cs="宋体"/>
          <w:bCs/>
          <w:sz w:val="21"/>
          <w:szCs w:val="21"/>
        </w:rPr>
        <w:t>》（下称：主合同）。为保护甲乙双方的合法权益，促使双方及其工作人员在合同履行过程中廉洁自律，双方签订本协议，以资信守。</w:t>
      </w:r>
    </w:p>
    <w:p w14:paraId="43031D84">
      <w:pPr>
        <w:adjustRightInd w:val="0"/>
        <w:snapToGrid w:val="0"/>
        <w:spacing w:line="360" w:lineRule="auto"/>
        <w:rPr>
          <w:rFonts w:hint="eastAsia" w:ascii="宋体" w:hAnsi="宋体" w:eastAsia="宋体" w:cs="宋体"/>
          <w:b/>
          <w:bCs/>
          <w:sz w:val="21"/>
          <w:szCs w:val="21"/>
        </w:rPr>
      </w:pPr>
    </w:p>
    <w:p w14:paraId="69901A02">
      <w:pPr>
        <w:widowControl/>
        <w:wordWrap w:val="0"/>
        <w:snapToGrid w:val="0"/>
        <w:spacing w:after="62" w:afterLines="2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第一条  定义</w:t>
      </w:r>
    </w:p>
    <w:p w14:paraId="58429C6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（一）本协议所称乙方，包括但不限于乙方、乙方关联主体以及乙方或乙方关联主体的董事、监事、管理人员、职员、雇员、代理或其他代表等。</w:t>
      </w:r>
    </w:p>
    <w:p w14:paraId="0E765DC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（二）本协议所称商业贿赂，是指乙方为获取与甲方的合作及合作的利益，给予甲方、甲方工作人员或其亲友的一切物质及精神上的直接或间接的不正当利益。</w:t>
      </w:r>
    </w:p>
    <w:p w14:paraId="6DF77C25">
      <w:pPr>
        <w:adjustRightInd w:val="0"/>
        <w:snapToGrid w:val="0"/>
        <w:spacing w:line="360" w:lineRule="auto"/>
        <w:rPr>
          <w:rFonts w:hint="eastAsia" w:ascii="宋体" w:hAnsi="宋体" w:eastAsia="宋体" w:cs="宋体"/>
          <w:b/>
          <w:bCs/>
          <w:sz w:val="21"/>
          <w:szCs w:val="21"/>
        </w:rPr>
      </w:pPr>
    </w:p>
    <w:p w14:paraId="4A6278C6">
      <w:pPr>
        <w:widowControl/>
        <w:wordWrap w:val="0"/>
        <w:snapToGrid w:val="0"/>
        <w:spacing w:after="62" w:afterLines="2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第二条  甲方的责任</w:t>
      </w:r>
    </w:p>
    <w:p w14:paraId="3EC01BF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（一）甲方工作人员应保持与乙方正常工作交往，不得以任何形式向乙方索要和收受礼金、有价证券、贵重物品、回扣或变相收受贿赂。</w:t>
      </w:r>
    </w:p>
    <w:p w14:paraId="6AFDE35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（二）甲方建立健全自我制约机制，开展廉洁自律教育。南方报业传媒集团纪检监察审计部是甲方监察部门，负责受理业务合作过程中的廉政监督及投诉、举报，并对举报人员信息予以严格保密。</w:t>
      </w:r>
    </w:p>
    <w:p w14:paraId="1B8E50E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来信举报：广州大道中289号南方报业传媒集团纪检审计部纪检室</w:t>
      </w:r>
    </w:p>
    <w:p w14:paraId="2D0D0B1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邮政编码：510601</w:t>
      </w:r>
    </w:p>
    <w:p w14:paraId="446CFFB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来访举报：南方传媒大厦A塔5楼515纪检审计部办公室</w:t>
      </w:r>
    </w:p>
    <w:p w14:paraId="3868405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电话举报:（020）83002141</w:t>
      </w:r>
    </w:p>
    <w:p w14:paraId="51794CF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邮箱:LZJD@nfmedia.com</w:t>
      </w:r>
    </w:p>
    <w:p w14:paraId="358B0AEE">
      <w:pPr>
        <w:adjustRightInd w:val="0"/>
        <w:snapToGrid w:val="0"/>
        <w:spacing w:line="360" w:lineRule="auto"/>
        <w:rPr>
          <w:rFonts w:hint="eastAsia" w:ascii="宋体" w:hAnsi="宋体" w:eastAsia="宋体" w:cs="宋体"/>
          <w:sz w:val="21"/>
          <w:szCs w:val="21"/>
        </w:rPr>
      </w:pPr>
    </w:p>
    <w:p w14:paraId="322F2CD2">
      <w:pPr>
        <w:widowControl/>
        <w:wordWrap w:val="0"/>
        <w:snapToGrid w:val="0"/>
        <w:spacing w:after="62" w:afterLines="2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第三条  乙方的责任</w:t>
      </w:r>
    </w:p>
    <w:p w14:paraId="56D73E6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（一）乙方应当通过正常途径开展相关业务工作，不得明示、暗示给予或者承诺给予甲方、甲方工作人员及其亲友任何形式的商业贿赂或其他不正当利益，包括但不限于：</w:t>
      </w:r>
    </w:p>
    <w:p w14:paraId="1A8174D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1、主动或被动给予甲方工作人员及其亲友各种形式的回扣、现金、实物、证券、礼券等有价物品；</w:t>
      </w:r>
    </w:p>
    <w:p w14:paraId="736B64B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2、向甲方工作人员及其亲友借贷资金或为其提供住房装修、婚丧嫁娶、工作安排、升职、出国（境）、旅游、探亲、留学、教育、宴请等，以及其他可能影响职务行为公正履行的活动；</w:t>
      </w:r>
    </w:p>
    <w:p w14:paraId="7A04BFA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3、协助甲方、甲方工作人员及其亲友进行各种形式的行贿、不当利益输送在内的各类违法活动；</w:t>
      </w:r>
    </w:p>
    <w:p w14:paraId="2339B34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4、甲方工作人员及其亲友以本人或其关系人名义于乙方处直接或变相（包括在甲方处离职后）参股、任职、兼职或获取其它利益，或约定将有关不正当利益给予特定关系人；</w:t>
      </w:r>
    </w:p>
    <w:p w14:paraId="77A0630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5、配合甲方工作人员及其亲友进行串标或围标等违规违法行为；或接受甲方工作人员及其亲友的明示或暗示，从而进行或参与中介活动；</w:t>
      </w:r>
    </w:p>
    <w:p w14:paraId="5F038C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6、其他各种利用职务之便获取私人利益、侵犯甲方利益的行为。</w:t>
      </w:r>
    </w:p>
    <w:p w14:paraId="2638F5B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（二）乙方在与甲方的业务往来过程中应坚持诚信原则，包括但不限于：</w:t>
      </w:r>
    </w:p>
    <w:p w14:paraId="7236FC50">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1、严格遵守国家、广东省、广州市以及南方报业传媒集团有关合同业务、物资采购、招标投标等市场经营活动的法律法规及廉政建设的规定；</w:t>
      </w:r>
    </w:p>
    <w:p w14:paraId="427A87E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2、向甲方提供各类文件、资料、数据、营业证照、注册信息、资质证明等并保证该等资料的真实、合法、准确、完整；</w:t>
      </w:r>
    </w:p>
    <w:p w14:paraId="71BD09C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3、严格遵守向甲方做出的承诺、双方签署的合同、协议和备忘录等，不隐瞒任何可能对甲方利益造成影响的信息；</w:t>
      </w:r>
    </w:p>
    <w:p w14:paraId="7C2CF51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4、接受甲方对乙方执行本协议约定情况的监督，积极配合甲方审计、内控、监察等工作，包括但不限于询问、约谈、巡视、稽查、专项审计、调查取证等相关工作。</w:t>
      </w:r>
    </w:p>
    <w:p w14:paraId="63C3D02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（三）双方如发现有违反本协议规定者，均可通过甲方监察部门举报。</w:t>
      </w:r>
    </w:p>
    <w:p w14:paraId="6A15E6D9">
      <w:pPr>
        <w:adjustRightInd w:val="0"/>
        <w:snapToGrid w:val="0"/>
        <w:spacing w:line="360" w:lineRule="auto"/>
        <w:rPr>
          <w:rFonts w:hint="eastAsia" w:ascii="宋体" w:hAnsi="宋体" w:eastAsia="宋体" w:cs="宋体"/>
          <w:b/>
          <w:bCs/>
          <w:sz w:val="21"/>
          <w:szCs w:val="21"/>
        </w:rPr>
      </w:pPr>
    </w:p>
    <w:p w14:paraId="6545FBE1">
      <w:pPr>
        <w:widowControl/>
        <w:wordWrap w:val="0"/>
        <w:snapToGrid w:val="0"/>
        <w:spacing w:before="156" w:beforeLines="50" w:after="62" w:afterLines="2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第四条  违约责任及其他</w:t>
      </w:r>
    </w:p>
    <w:p w14:paraId="48DCD9E7">
      <w:pPr>
        <w:adjustRightInd w:val="0"/>
        <w:snapToGrid w:val="0"/>
        <w:spacing w:line="360" w:lineRule="auto"/>
        <w:ind w:firstLine="561"/>
        <w:rPr>
          <w:rFonts w:hint="eastAsia" w:ascii="宋体" w:hAnsi="宋体" w:eastAsia="宋体" w:cs="宋体"/>
          <w:sz w:val="21"/>
          <w:szCs w:val="21"/>
        </w:rPr>
      </w:pPr>
      <w:r>
        <w:rPr>
          <w:rFonts w:hint="eastAsia" w:ascii="宋体" w:hAnsi="宋体" w:eastAsia="宋体" w:cs="宋体"/>
          <w:sz w:val="21"/>
          <w:szCs w:val="21"/>
        </w:rPr>
        <w:t>（一）乙方同意，如乙方违反本协议任何一条约定，甲方有权将乙方列入甲方的供应商黑名单，不再与其合作；同时甲方有权单方终止主合同，不支付主合同任何费用，甲方已经支付的，乙方应在主合同终止之日起五个工作日内全部退回，且乙方还应向甲方支付人民币十万元或主合同总价款百分之三十（二者以较高者为准）作为违约金。前述违约金不足以弥补甲方损失（包括直接损失和间接损失）的，甲方有权向乙方追偿。乙方涉嫌犯罪的，移送司法机关依法追究刑事责任。</w:t>
      </w:r>
    </w:p>
    <w:p w14:paraId="5BA053B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（二）本协议作为主合同的附件，与主合同具有同等法律效力。如主合同终止，本协议在主合同终止后2年内或所涉刑事案件的追溯期内持续有效。</w:t>
      </w:r>
    </w:p>
    <w:p w14:paraId="6AB0CD8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（三）本协议自甲乙双方签字盖章后生效。本协议一式陆份，甲乙双方各执叁份。</w:t>
      </w:r>
    </w:p>
    <w:p w14:paraId="0341912E">
      <w:pPr>
        <w:adjustRightInd w:val="0"/>
        <w:snapToGrid w:val="0"/>
        <w:spacing w:line="360" w:lineRule="auto"/>
        <w:ind w:firstLine="420" w:firstLineChars="200"/>
        <w:rPr>
          <w:rFonts w:hint="eastAsia" w:ascii="宋体" w:hAnsi="宋体" w:eastAsia="宋体" w:cs="宋体"/>
          <w:sz w:val="21"/>
          <w:szCs w:val="21"/>
        </w:rPr>
      </w:pPr>
    </w:p>
    <w:p w14:paraId="3DAE830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【以下无正文】</w:t>
      </w:r>
    </w:p>
    <w:p w14:paraId="6AE56E3F">
      <w:pPr>
        <w:adjustRightInd w:val="0"/>
        <w:snapToGrid w:val="0"/>
        <w:spacing w:line="360" w:lineRule="auto"/>
        <w:rPr>
          <w:rFonts w:hint="eastAsia" w:ascii="宋体" w:hAnsi="宋体" w:eastAsia="宋体" w:cs="宋体"/>
          <w:sz w:val="21"/>
          <w:szCs w:val="21"/>
        </w:rPr>
      </w:pPr>
    </w:p>
    <w:p w14:paraId="7EC34465">
      <w:pPr>
        <w:adjustRightInd w:val="0"/>
        <w:snapToGrid w:val="0"/>
        <w:spacing w:line="360" w:lineRule="auto"/>
        <w:rPr>
          <w:rFonts w:hint="eastAsia" w:ascii="宋体" w:hAnsi="宋体" w:eastAsia="宋体" w:cs="宋体"/>
          <w:sz w:val="21"/>
          <w:szCs w:val="21"/>
        </w:rPr>
      </w:pPr>
    </w:p>
    <w:p w14:paraId="2423CAE8">
      <w:pPr>
        <w:snapToGrid w:val="0"/>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甲方（盖章）：                   乙方（盖章）：</w:t>
      </w:r>
    </w:p>
    <w:p w14:paraId="0C2BF5A2">
      <w:pPr>
        <w:snapToGrid w:val="0"/>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法人（授权）代表签字：          法人（授权）代表签字：        </w:t>
      </w:r>
    </w:p>
    <w:p w14:paraId="4B8322EB">
      <w:pPr>
        <w:pStyle w:val="21"/>
        <w:tabs>
          <w:tab w:val="left" w:pos="630"/>
        </w:tabs>
        <w:snapToGrid w:val="0"/>
        <w:spacing w:line="440" w:lineRule="exact"/>
        <w:rPr>
          <w:rFonts w:hint="eastAsia" w:ascii="宋体" w:hAnsi="宋体" w:eastAsia="宋体" w:cs="宋体"/>
          <w:bCs/>
          <w:sz w:val="21"/>
          <w:szCs w:val="21"/>
          <w:highlight w:val="none"/>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        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w:t>
      </w:r>
    </w:p>
    <w:p w14:paraId="253AC519">
      <w:pPr>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br w:type="page"/>
      </w:r>
    </w:p>
    <w:p w14:paraId="4AAD72A3">
      <w:pPr>
        <w:pStyle w:val="52"/>
        <w:snapToGrid w:val="0"/>
        <w:spacing w:before="120" w:after="120"/>
        <w:rPr>
          <w:rFonts w:hint="eastAsia" w:ascii="宋体" w:hAnsi="宋体" w:eastAsia="宋体" w:cs="宋体"/>
          <w:b/>
          <w:bCs w:val="0"/>
          <w:kern w:val="0"/>
          <w:sz w:val="28"/>
          <w:szCs w:val="28"/>
          <w:highlight w:val="none"/>
        </w:rPr>
      </w:pPr>
      <w:bookmarkStart w:id="107" w:name="_Toc6553"/>
      <w:r>
        <w:rPr>
          <w:rFonts w:hint="eastAsia" w:ascii="宋体" w:hAnsi="宋体" w:eastAsia="宋体" w:cs="宋体"/>
          <w:b/>
          <w:bCs w:val="0"/>
          <w:kern w:val="0"/>
          <w:sz w:val="28"/>
          <w:szCs w:val="28"/>
          <w:highlight w:val="none"/>
        </w:rPr>
        <w:t>第</w:t>
      </w:r>
      <w:r>
        <w:rPr>
          <w:rFonts w:hint="eastAsia" w:ascii="宋体" w:hAnsi="宋体" w:eastAsia="宋体" w:cs="宋体"/>
          <w:b/>
          <w:bCs w:val="0"/>
          <w:kern w:val="0"/>
          <w:sz w:val="28"/>
          <w:szCs w:val="28"/>
          <w:highlight w:val="none"/>
          <w:lang w:val="en-US" w:eastAsia="zh-CN"/>
        </w:rPr>
        <w:t>六</w:t>
      </w:r>
      <w:r>
        <w:rPr>
          <w:rFonts w:hint="eastAsia" w:ascii="宋体" w:hAnsi="宋体" w:eastAsia="宋体" w:cs="宋体"/>
          <w:b/>
          <w:bCs w:val="0"/>
          <w:kern w:val="0"/>
          <w:sz w:val="28"/>
          <w:szCs w:val="28"/>
          <w:highlight w:val="none"/>
        </w:rPr>
        <w:t xml:space="preserve">章 </w:t>
      </w:r>
      <w:r>
        <w:rPr>
          <w:rFonts w:hint="eastAsia" w:ascii="宋体" w:hAnsi="宋体" w:eastAsia="宋体" w:cs="宋体"/>
          <w:b/>
          <w:bCs w:val="0"/>
          <w:kern w:val="0"/>
          <w:sz w:val="28"/>
          <w:szCs w:val="28"/>
          <w:highlight w:val="none"/>
          <w:lang w:val="en-US" w:eastAsia="zh-CN"/>
        </w:rPr>
        <w:t>响应</w:t>
      </w:r>
      <w:r>
        <w:rPr>
          <w:rFonts w:hint="eastAsia" w:ascii="宋体" w:hAnsi="宋体" w:eastAsia="宋体" w:cs="宋体"/>
          <w:b/>
          <w:bCs w:val="0"/>
          <w:kern w:val="0"/>
          <w:sz w:val="28"/>
          <w:szCs w:val="28"/>
          <w:highlight w:val="none"/>
        </w:rPr>
        <w:t>文件格式</w:t>
      </w:r>
      <w:bookmarkEnd w:id="76"/>
      <w:bookmarkEnd w:id="77"/>
      <w:bookmarkEnd w:id="78"/>
      <w:bookmarkEnd w:id="107"/>
    </w:p>
    <w:p w14:paraId="2D82AE12">
      <w:pPr>
        <w:pStyle w:val="53"/>
        <w:widowControl/>
        <w:spacing w:before="156" w:beforeLines="50" w:after="156" w:afterLines="50" w:line="360" w:lineRule="auto"/>
        <w:ind w:left="720" w:firstLine="0" w:firstLineChars="0"/>
        <w:jc w:val="left"/>
        <w:rPr>
          <w:rFonts w:hint="eastAsia" w:ascii="宋体" w:hAnsi="宋体" w:eastAsia="宋体" w:cs="宋体"/>
          <w:b/>
          <w:szCs w:val="21"/>
          <w:highlight w:val="none"/>
        </w:rPr>
      </w:pPr>
    </w:p>
    <w:p w14:paraId="1EB5F93C">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693EA536">
      <w:pPr>
        <w:pStyle w:val="3"/>
        <w:pageBreakBefore w:val="0"/>
        <w:widowControl w:val="0"/>
        <w:numPr>
          <w:ilvl w:val="1"/>
          <w:numId w:val="12"/>
        </w:numPr>
        <w:kinsoku/>
        <w:wordWrap/>
        <w:overflowPunct/>
        <w:topLinePunct w:val="0"/>
        <w:autoSpaceDE/>
        <w:autoSpaceDN/>
        <w:bidi w:val="0"/>
        <w:adjustRightInd/>
        <w:snapToGrid/>
        <w:spacing w:line="240" w:lineRule="auto"/>
        <w:textAlignment w:val="auto"/>
        <w:rPr>
          <w:rFonts w:hint="eastAsia" w:ascii="宋体" w:hAnsi="宋体" w:eastAsia="宋体" w:cs="宋体"/>
          <w:highlight w:val="none"/>
        </w:rPr>
      </w:pPr>
      <w:bookmarkStart w:id="108" w:name="_Toc32326"/>
      <w:bookmarkStart w:id="109" w:name="_Toc13364"/>
      <w:r>
        <w:rPr>
          <w:rFonts w:hint="eastAsia" w:ascii="宋体" w:hAnsi="宋体" w:eastAsia="宋体" w:cs="宋体"/>
          <w:highlight w:val="none"/>
        </w:rPr>
        <w:t>应答函</w:t>
      </w:r>
      <w:bookmarkEnd w:id="108"/>
      <w:bookmarkEnd w:id="109"/>
    </w:p>
    <w:p w14:paraId="35EA7DB4">
      <w:pPr>
        <w:pStyle w:val="5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6847F56C">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32688A6A">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5DF59C6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25DEDCF1">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242EB09D">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6BF00778">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18FE7144">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开具增值税发票</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5B47E9AE">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5621AB12">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eastAsia="zh-CN"/>
        </w:rPr>
        <w:t>，</w:t>
      </w:r>
      <w:r>
        <w:rPr>
          <w:rFonts w:hint="eastAsia" w:ascii="宋体" w:hAnsi="宋体" w:cs="宋体"/>
          <w:szCs w:val="21"/>
          <w:highlight w:val="none"/>
          <w:lang w:val="en-US" w:eastAsia="zh-CN"/>
        </w:rPr>
        <w:t>若成为本项目成交供应商，不转包、不违法分包</w:t>
      </w:r>
      <w:r>
        <w:rPr>
          <w:rFonts w:hint="eastAsia" w:ascii="宋体" w:hAnsi="宋体" w:eastAsia="宋体" w:cs="宋体"/>
          <w:szCs w:val="21"/>
          <w:highlight w:val="none"/>
          <w:lang w:eastAsia="zh-CN"/>
        </w:rPr>
        <w:t>。</w:t>
      </w:r>
    </w:p>
    <w:p w14:paraId="4EC3AD9C">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11F88AC3">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5D15A8A8">
      <w:pPr>
        <w:pStyle w:val="53"/>
        <w:numPr>
          <w:ilvl w:val="0"/>
          <w:numId w:val="14"/>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0CDF242C">
      <w:pPr>
        <w:pStyle w:val="53"/>
        <w:numPr>
          <w:ilvl w:val="0"/>
          <w:numId w:val="14"/>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6AAABDA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61A124FD">
      <w:pPr>
        <w:pStyle w:val="53"/>
        <w:numPr>
          <w:ilvl w:val="3"/>
          <w:numId w:val="13"/>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54854C0F">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69EF5C6F">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6ADEF46A">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52FC0CEB">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6CFD4D6E">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521E8DAE">
      <w:pPr>
        <w:pStyle w:val="3"/>
        <w:numPr>
          <w:ilvl w:val="1"/>
          <w:numId w:val="12"/>
        </w:numPr>
        <w:rPr>
          <w:rFonts w:hint="eastAsia" w:ascii="宋体" w:hAnsi="宋体" w:eastAsia="宋体" w:cs="宋体"/>
          <w:highlight w:val="none"/>
        </w:rPr>
      </w:pPr>
      <w:bookmarkStart w:id="110" w:name="_Toc475472674"/>
      <w:bookmarkStart w:id="111" w:name="_Toc1651899"/>
      <w:bookmarkStart w:id="112" w:name="_Toc9088"/>
      <w:bookmarkStart w:id="113" w:name="_Toc56432234"/>
      <w:bookmarkStart w:id="114" w:name="_Toc17459"/>
      <w:bookmarkStart w:id="115" w:name="_Toc68688804"/>
      <w:bookmarkStart w:id="116" w:name="_Toc26153"/>
      <w:bookmarkStart w:id="117"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110"/>
      <w:bookmarkEnd w:id="111"/>
      <w:bookmarkEnd w:id="112"/>
      <w:bookmarkEnd w:id="113"/>
      <w:bookmarkEnd w:id="114"/>
      <w:bookmarkEnd w:id="115"/>
      <w:bookmarkEnd w:id="116"/>
    </w:p>
    <w:p w14:paraId="61AF6FA4">
      <w:pPr>
        <w:jc w:val="center"/>
        <w:rPr>
          <w:rFonts w:hint="eastAsia" w:ascii="宋体" w:hAnsi="宋体" w:eastAsia="宋体" w:cs="宋体"/>
          <w:b/>
          <w:sz w:val="24"/>
          <w:highlight w:val="none"/>
        </w:rPr>
      </w:pPr>
    </w:p>
    <w:p w14:paraId="7701D17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6907715F">
      <w:pPr>
        <w:spacing w:line="440" w:lineRule="exact"/>
        <w:rPr>
          <w:rFonts w:hint="eastAsia" w:ascii="宋体" w:hAnsi="宋体" w:eastAsia="宋体" w:cs="宋体"/>
          <w:szCs w:val="21"/>
          <w:highlight w:val="none"/>
        </w:rPr>
      </w:pPr>
    </w:p>
    <w:p w14:paraId="0C87A07E">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7394A251">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5AE6DF80">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36697A3">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6C7AD874">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629703B4">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10E657F0">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5814FE68">
      <w:pPr>
        <w:topLinePunct/>
        <w:snapToGrid w:val="0"/>
        <w:spacing w:line="440" w:lineRule="exact"/>
        <w:ind w:firstLine="420" w:firstLineChars="200"/>
        <w:rPr>
          <w:rFonts w:hint="eastAsia" w:ascii="宋体" w:hAnsi="宋体" w:eastAsia="宋体" w:cs="宋体"/>
          <w:bCs/>
          <w:szCs w:val="21"/>
          <w:highlight w:val="none"/>
        </w:rPr>
      </w:pPr>
    </w:p>
    <w:p w14:paraId="248FB0C5">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2AF0F29B">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C04F9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09C04F9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23872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7923872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4C37F0F3">
      <w:pPr>
        <w:spacing w:line="500" w:lineRule="exact"/>
        <w:rPr>
          <w:rFonts w:hint="eastAsia" w:ascii="宋体" w:hAnsi="宋体" w:eastAsia="宋体" w:cs="宋体"/>
          <w:szCs w:val="21"/>
          <w:highlight w:val="none"/>
        </w:rPr>
      </w:pPr>
    </w:p>
    <w:p w14:paraId="494065D7">
      <w:pPr>
        <w:spacing w:line="440" w:lineRule="exact"/>
        <w:rPr>
          <w:rFonts w:hint="eastAsia" w:ascii="宋体" w:hAnsi="宋体" w:eastAsia="宋体" w:cs="宋体"/>
          <w:szCs w:val="21"/>
          <w:highlight w:val="none"/>
        </w:rPr>
      </w:pPr>
    </w:p>
    <w:p w14:paraId="2B31155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5CD731E">
      <w:pPr>
        <w:spacing w:line="500" w:lineRule="exact"/>
        <w:rPr>
          <w:rFonts w:hint="eastAsia" w:ascii="宋体" w:hAnsi="宋体" w:eastAsia="宋体" w:cs="宋体"/>
          <w:szCs w:val="21"/>
          <w:highlight w:val="none"/>
        </w:rPr>
      </w:pPr>
    </w:p>
    <w:p w14:paraId="0E4B8847">
      <w:pPr>
        <w:spacing w:line="440" w:lineRule="exact"/>
        <w:rPr>
          <w:rFonts w:hint="eastAsia" w:ascii="宋体" w:hAnsi="宋体" w:eastAsia="宋体" w:cs="宋体"/>
          <w:szCs w:val="21"/>
          <w:highlight w:val="none"/>
        </w:rPr>
      </w:pPr>
    </w:p>
    <w:p w14:paraId="088A25B4">
      <w:pPr>
        <w:spacing w:line="500" w:lineRule="exact"/>
        <w:rPr>
          <w:rFonts w:hint="eastAsia" w:ascii="宋体" w:hAnsi="宋体" w:eastAsia="宋体" w:cs="宋体"/>
          <w:szCs w:val="21"/>
          <w:highlight w:val="none"/>
        </w:rPr>
      </w:pPr>
    </w:p>
    <w:p w14:paraId="401DCBC3">
      <w:pPr>
        <w:spacing w:line="440" w:lineRule="exact"/>
        <w:rPr>
          <w:rFonts w:hint="eastAsia" w:ascii="宋体" w:hAnsi="宋体" w:eastAsia="宋体" w:cs="宋体"/>
          <w:szCs w:val="21"/>
          <w:highlight w:val="none"/>
        </w:rPr>
      </w:pPr>
    </w:p>
    <w:p w14:paraId="7C41CBD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79E9631">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76563DC0">
      <w:pPr>
        <w:spacing w:line="440" w:lineRule="exact"/>
        <w:ind w:firstLine="4305" w:firstLineChars="2050"/>
        <w:rPr>
          <w:rFonts w:hint="eastAsia" w:ascii="宋体" w:hAnsi="宋体" w:eastAsia="宋体" w:cs="宋体"/>
          <w:szCs w:val="21"/>
          <w:highlight w:val="none"/>
        </w:rPr>
      </w:pPr>
    </w:p>
    <w:p w14:paraId="27A279DD">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6EB0FA57">
      <w:pPr>
        <w:topLinePunct/>
        <w:spacing w:line="440" w:lineRule="exact"/>
        <w:ind w:left="422"/>
        <w:jc w:val="left"/>
        <w:rPr>
          <w:rFonts w:hint="eastAsia" w:ascii="宋体" w:hAnsi="宋体" w:eastAsia="宋体" w:cs="宋体"/>
          <w:highlight w:val="none"/>
        </w:rPr>
      </w:pPr>
    </w:p>
    <w:p w14:paraId="1C892FD7">
      <w:pPr>
        <w:pStyle w:val="3"/>
        <w:numPr>
          <w:ilvl w:val="1"/>
          <w:numId w:val="12"/>
        </w:numPr>
        <w:rPr>
          <w:rFonts w:hint="eastAsia" w:ascii="宋体" w:hAnsi="宋体" w:eastAsia="宋体" w:cs="宋体"/>
          <w:highlight w:val="none"/>
        </w:rPr>
      </w:pPr>
      <w:r>
        <w:rPr>
          <w:rFonts w:hint="eastAsia" w:ascii="宋体" w:hAnsi="宋体" w:eastAsia="宋体" w:cs="宋体"/>
          <w:szCs w:val="21"/>
          <w:highlight w:val="none"/>
        </w:rPr>
        <w:br w:type="page"/>
      </w:r>
      <w:bookmarkStart w:id="118" w:name="_Toc8603"/>
      <w:bookmarkStart w:id="119" w:name="_Toc12851"/>
      <w:bookmarkStart w:id="120" w:name="_Toc438052122"/>
      <w:bookmarkStart w:id="121" w:name="_Toc27262"/>
      <w:bookmarkStart w:id="122" w:name="_Toc1651900"/>
      <w:bookmarkStart w:id="123" w:name="_Toc56432235"/>
      <w:bookmarkStart w:id="124" w:name="_Toc475472675"/>
      <w:bookmarkStart w:id="125" w:name="_Toc68688805"/>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118"/>
      <w:bookmarkEnd w:id="119"/>
      <w:bookmarkEnd w:id="120"/>
      <w:bookmarkEnd w:id="121"/>
      <w:bookmarkEnd w:id="122"/>
      <w:bookmarkEnd w:id="123"/>
      <w:bookmarkEnd w:id="124"/>
      <w:bookmarkEnd w:id="125"/>
    </w:p>
    <w:p w14:paraId="2D959862">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66ECFC13">
      <w:pPr>
        <w:jc w:val="center"/>
        <w:rPr>
          <w:rFonts w:hint="eastAsia" w:ascii="宋体" w:hAnsi="宋体" w:eastAsia="宋体" w:cs="宋体"/>
          <w:b/>
          <w:sz w:val="24"/>
          <w:highlight w:val="none"/>
        </w:rPr>
      </w:pPr>
    </w:p>
    <w:p w14:paraId="1CD049EA">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51E7980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407E816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3BB2BE55">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77D41588">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7628AC9A">
      <w:pPr>
        <w:pStyle w:val="12"/>
        <w:rPr>
          <w:rFonts w:hint="eastAsia" w:ascii="宋体" w:hAnsi="宋体" w:eastAsia="宋体" w:cs="宋体"/>
          <w:highlight w:val="none"/>
        </w:rPr>
      </w:pPr>
    </w:p>
    <w:p w14:paraId="2AEE7991">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0EF8AEF3">
      <w:pPr>
        <w:pStyle w:val="12"/>
        <w:rPr>
          <w:rFonts w:hint="eastAsia" w:ascii="宋体" w:hAnsi="宋体" w:eastAsia="宋体" w:cs="宋体"/>
          <w:highlight w:val="none"/>
        </w:rPr>
      </w:pPr>
    </w:p>
    <w:p w14:paraId="3FD9626B">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195C54F8">
      <w:pPr>
        <w:pStyle w:val="12"/>
        <w:rPr>
          <w:rFonts w:hint="eastAsia" w:ascii="宋体" w:hAnsi="宋体" w:eastAsia="宋体" w:cs="宋体"/>
          <w:highlight w:val="none"/>
        </w:rPr>
      </w:pPr>
    </w:p>
    <w:p w14:paraId="65601A86">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12F52783">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36B3C4D0">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14983425">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0" b="635"/>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2051798">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BGPOCxKQIAAFAEAAAOAAAAAAAAAAEAIAAAACcBAABkcnMvZTJvRG9jLnhtbFBLBQYA&#10;AAAABgAGAFkBAADCBQAAAAA=&#10;">
                <v:fill on="t" focussize="0,0"/>
                <v:stroke color="#000000" joinstyle="miter"/>
                <v:imagedata o:title=""/>
                <o:lock v:ext="edit" aspectratio="f"/>
                <v:textbox>
                  <w:txbxContent>
                    <w:p w14:paraId="62051798">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0" b="635"/>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8C7A0A">
                            <w:pPr>
                              <w:jc w:val="center"/>
                              <w:rPr>
                                <w:szCs w:val="21"/>
                              </w:rPr>
                            </w:pPr>
                            <w:r>
                              <w:rPr>
                                <w:rFonts w:hint="eastAsia"/>
                                <w:szCs w:val="21"/>
                              </w:rPr>
                              <w:t>委托代理人身份证正面复印件贴于此处</w:t>
                            </w:r>
                          </w:p>
                          <w:p w14:paraId="229173B3">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798C7A0A">
                      <w:pPr>
                        <w:jc w:val="center"/>
                        <w:rPr>
                          <w:szCs w:val="21"/>
                        </w:rPr>
                      </w:pPr>
                      <w:r>
                        <w:rPr>
                          <w:rFonts w:hint="eastAsia"/>
                          <w:szCs w:val="21"/>
                        </w:rPr>
                        <w:t>委托代理人身份证正面复印件贴于此处</w:t>
                      </w:r>
                    </w:p>
                    <w:p w14:paraId="229173B3">
                      <w:pPr>
                        <w:jc w:val="center"/>
                        <w:rPr>
                          <w:szCs w:val="21"/>
                        </w:rPr>
                      </w:pPr>
                    </w:p>
                  </w:txbxContent>
                </v:textbox>
              </v:shape>
            </w:pict>
          </mc:Fallback>
        </mc:AlternateContent>
      </w:r>
    </w:p>
    <w:p w14:paraId="39995877">
      <w:pPr>
        <w:spacing w:line="440" w:lineRule="exact"/>
        <w:rPr>
          <w:rFonts w:hint="eastAsia" w:ascii="宋体" w:hAnsi="宋体" w:eastAsia="宋体" w:cs="宋体"/>
          <w:szCs w:val="21"/>
          <w:highlight w:val="none"/>
        </w:rPr>
      </w:pPr>
    </w:p>
    <w:p w14:paraId="4FE84D3F">
      <w:pPr>
        <w:spacing w:line="500" w:lineRule="exact"/>
        <w:rPr>
          <w:rFonts w:hint="eastAsia" w:ascii="宋体" w:hAnsi="宋体" w:eastAsia="宋体" w:cs="宋体"/>
          <w:szCs w:val="21"/>
          <w:highlight w:val="none"/>
        </w:rPr>
      </w:pPr>
    </w:p>
    <w:p w14:paraId="0E34C6D1">
      <w:pPr>
        <w:spacing w:line="440" w:lineRule="exact"/>
        <w:rPr>
          <w:rFonts w:hint="eastAsia" w:ascii="宋体" w:hAnsi="宋体" w:eastAsia="宋体" w:cs="宋体"/>
          <w:szCs w:val="21"/>
          <w:highlight w:val="none"/>
        </w:rPr>
      </w:pPr>
    </w:p>
    <w:p w14:paraId="1B77CC5C">
      <w:pPr>
        <w:topLinePunct/>
        <w:snapToGrid w:val="0"/>
        <w:spacing w:line="440" w:lineRule="exact"/>
        <w:rPr>
          <w:rFonts w:hint="eastAsia" w:ascii="宋体" w:hAnsi="宋体" w:eastAsia="宋体" w:cs="宋体"/>
          <w:highlight w:val="none"/>
        </w:rPr>
      </w:pPr>
    </w:p>
    <w:p w14:paraId="2D2F71A2">
      <w:pPr>
        <w:topLinePunct/>
        <w:snapToGrid w:val="0"/>
        <w:spacing w:line="440" w:lineRule="exact"/>
        <w:ind w:firstLine="420" w:firstLineChars="200"/>
        <w:rPr>
          <w:rFonts w:hint="eastAsia" w:ascii="宋体" w:hAnsi="宋体" w:eastAsia="宋体" w:cs="宋体"/>
          <w:bCs/>
          <w:szCs w:val="21"/>
          <w:highlight w:val="none"/>
        </w:rPr>
      </w:pPr>
    </w:p>
    <w:p w14:paraId="21881672">
      <w:pPr>
        <w:topLinePunct/>
        <w:snapToGrid w:val="0"/>
        <w:spacing w:line="440" w:lineRule="exact"/>
        <w:ind w:firstLine="420" w:firstLineChars="200"/>
        <w:rPr>
          <w:rFonts w:hint="eastAsia" w:ascii="宋体" w:hAnsi="宋体" w:eastAsia="宋体" w:cs="宋体"/>
          <w:bCs/>
          <w:szCs w:val="21"/>
          <w:highlight w:val="none"/>
        </w:rPr>
      </w:pPr>
    </w:p>
    <w:p w14:paraId="6C926188">
      <w:pPr>
        <w:topLinePunct/>
        <w:snapToGrid w:val="0"/>
        <w:spacing w:line="440" w:lineRule="exact"/>
        <w:ind w:firstLine="420" w:firstLineChars="200"/>
        <w:rPr>
          <w:rFonts w:hint="eastAsia" w:ascii="宋体" w:hAnsi="宋体" w:eastAsia="宋体" w:cs="宋体"/>
          <w:bCs/>
          <w:szCs w:val="21"/>
          <w:highlight w:val="none"/>
        </w:rPr>
      </w:pPr>
    </w:p>
    <w:p w14:paraId="6D18D5AE">
      <w:pPr>
        <w:widowControl/>
        <w:jc w:val="left"/>
        <w:rPr>
          <w:rFonts w:hint="eastAsia" w:ascii="宋体" w:hAnsi="宋体" w:eastAsia="宋体" w:cs="宋体"/>
          <w:b/>
          <w:bCs/>
          <w:sz w:val="32"/>
          <w:szCs w:val="32"/>
          <w:highlight w:val="none"/>
        </w:rPr>
      </w:pPr>
    </w:p>
    <w:p w14:paraId="7F8DC7C6">
      <w:pPr>
        <w:pStyle w:val="3"/>
        <w:numPr>
          <w:ilvl w:val="1"/>
          <w:numId w:val="12"/>
        </w:numPr>
        <w:rPr>
          <w:rFonts w:hint="eastAsia" w:ascii="宋体" w:hAnsi="宋体" w:eastAsia="宋体" w:cs="宋体"/>
          <w:highlight w:val="none"/>
        </w:rPr>
      </w:pPr>
      <w:bookmarkStart w:id="126" w:name="_Toc8223"/>
      <w:bookmarkStart w:id="127" w:name="_Toc25220"/>
      <w:r>
        <w:rPr>
          <w:rFonts w:hint="eastAsia" w:ascii="宋体" w:hAnsi="宋体" w:eastAsia="宋体" w:cs="宋体"/>
          <w:highlight w:val="none"/>
        </w:rPr>
        <w:t>供应商基本情况</w:t>
      </w:r>
      <w:bookmarkEnd w:id="117"/>
      <w:bookmarkEnd w:id="126"/>
      <w:bookmarkEnd w:id="127"/>
    </w:p>
    <w:p w14:paraId="472408C5">
      <w:pPr>
        <w:widowControl/>
        <w:snapToGrid w:val="0"/>
        <w:spacing w:line="360" w:lineRule="auto"/>
        <w:ind w:left="720"/>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4D5CE747">
      <w:pPr>
        <w:pStyle w:val="16"/>
        <w:rPr>
          <w:rFonts w:hint="eastAsia" w:ascii="宋体" w:hAnsi="宋体" w:eastAsia="宋体" w:cs="宋体"/>
          <w:highlight w:val="none"/>
        </w:rPr>
      </w:pPr>
    </w:p>
    <w:p w14:paraId="650ED157">
      <w:pPr>
        <w:widowControl/>
        <w:snapToGrid w:val="0"/>
        <w:spacing w:line="360" w:lineRule="auto"/>
        <w:ind w:left="720"/>
        <w:jc w:val="left"/>
        <w:rPr>
          <w:rFonts w:hint="eastAsia" w:ascii="宋体" w:hAnsi="宋体" w:cs="宋体"/>
          <w:highlight w:val="none"/>
          <w:lang w:val="en-US" w:eastAsia="zh-CN"/>
        </w:rPr>
      </w:pPr>
      <w:bookmarkStart w:id="128" w:name="_Toc476321847"/>
    </w:p>
    <w:p w14:paraId="331D3C28">
      <w:pPr>
        <w:widowControl/>
        <w:snapToGrid w:val="0"/>
        <w:spacing w:line="360" w:lineRule="auto"/>
        <w:ind w:left="720"/>
        <w:jc w:val="left"/>
        <w:rPr>
          <w:rFonts w:hint="eastAsia" w:ascii="宋体" w:hAnsi="宋体" w:eastAsia="宋体" w:cs="宋体"/>
          <w:highlight w:val="none"/>
        </w:rPr>
      </w:pPr>
      <w:r>
        <w:rPr>
          <w:rFonts w:hint="eastAsia" w:ascii="宋体" w:hAnsi="宋体" w:cs="宋体"/>
          <w:color w:val="333333"/>
          <w:highlight w:val="none"/>
          <w:lang w:val="en-US" w:eastAsia="zh-CN"/>
        </w:rPr>
        <w:t>4.2供应商</w:t>
      </w:r>
      <w:r>
        <w:rPr>
          <w:rFonts w:hint="eastAsia" w:ascii="宋体" w:hAnsi="宋体" w:eastAsia="宋体" w:cs="宋体"/>
          <w:highlight w:val="none"/>
        </w:rPr>
        <w:t>控股及管理关系情况申报表</w:t>
      </w:r>
      <w:bookmarkEnd w:id="128"/>
    </w:p>
    <w:p w14:paraId="2E28563B">
      <w:pPr>
        <w:pStyle w:val="53"/>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供应商控股及管理关系情况申报表</w:t>
      </w:r>
    </w:p>
    <w:p w14:paraId="33A4B542">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62FD9E28">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41"/>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245"/>
        <w:gridCol w:w="3635"/>
      </w:tblGrid>
      <w:tr w14:paraId="6ED471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c>
          <w:tcPr>
            <w:tcW w:w="1464" w:type="pct"/>
            <w:vAlign w:val="center"/>
          </w:tcPr>
          <w:p w14:paraId="21BD0F8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36" w:type="pct"/>
            <w:gridSpan w:val="2"/>
            <w:vAlign w:val="center"/>
          </w:tcPr>
          <w:p w14:paraId="36EF8D99">
            <w:pPr>
              <w:spacing w:line="360" w:lineRule="auto"/>
              <w:rPr>
                <w:rFonts w:hint="eastAsia" w:ascii="宋体" w:hAnsi="宋体" w:eastAsia="宋体" w:cs="宋体"/>
                <w:szCs w:val="21"/>
                <w:highlight w:val="none"/>
              </w:rPr>
            </w:pPr>
          </w:p>
        </w:tc>
      </w:tr>
      <w:tr w14:paraId="3432EC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265BCC6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50" w:type="pct"/>
            <w:vAlign w:val="center"/>
          </w:tcPr>
          <w:p w14:paraId="41BBE86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86" w:type="pct"/>
            <w:vAlign w:val="center"/>
          </w:tcPr>
          <w:p w14:paraId="6AEF8016">
            <w:pPr>
              <w:spacing w:line="360" w:lineRule="auto"/>
              <w:rPr>
                <w:rFonts w:hint="eastAsia" w:ascii="宋体" w:hAnsi="宋体" w:eastAsia="宋体" w:cs="宋体"/>
                <w:szCs w:val="21"/>
                <w:highlight w:val="none"/>
              </w:rPr>
            </w:pPr>
          </w:p>
        </w:tc>
      </w:tr>
      <w:tr w14:paraId="4EB2BC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694A02F7">
            <w:pPr>
              <w:spacing w:line="360" w:lineRule="auto"/>
              <w:rPr>
                <w:rFonts w:hint="eastAsia" w:ascii="宋体" w:hAnsi="宋体" w:eastAsia="宋体" w:cs="宋体"/>
                <w:szCs w:val="21"/>
                <w:highlight w:val="none"/>
              </w:rPr>
            </w:pPr>
          </w:p>
        </w:tc>
        <w:tc>
          <w:tcPr>
            <w:tcW w:w="1350" w:type="pct"/>
            <w:vAlign w:val="center"/>
          </w:tcPr>
          <w:p w14:paraId="213FA7B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86" w:type="pct"/>
            <w:vAlign w:val="center"/>
          </w:tcPr>
          <w:p w14:paraId="064201FA">
            <w:pPr>
              <w:spacing w:line="360" w:lineRule="auto"/>
              <w:rPr>
                <w:rFonts w:hint="eastAsia" w:ascii="宋体" w:hAnsi="宋体" w:eastAsia="宋体" w:cs="宋体"/>
                <w:szCs w:val="21"/>
                <w:highlight w:val="none"/>
              </w:rPr>
            </w:pPr>
          </w:p>
        </w:tc>
      </w:tr>
      <w:tr w14:paraId="03B498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16E79D8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630721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EE24594">
            <w:pPr>
              <w:spacing w:line="360" w:lineRule="auto"/>
              <w:rPr>
                <w:rFonts w:hint="eastAsia" w:ascii="宋体" w:hAnsi="宋体" w:eastAsia="宋体" w:cs="宋体"/>
                <w:szCs w:val="21"/>
                <w:highlight w:val="none"/>
              </w:rPr>
            </w:pPr>
          </w:p>
        </w:tc>
      </w:tr>
      <w:tr w14:paraId="343828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6BE0755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35DEF17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2704C4B4">
            <w:pPr>
              <w:spacing w:line="360" w:lineRule="auto"/>
              <w:rPr>
                <w:rFonts w:hint="eastAsia" w:ascii="宋体" w:hAnsi="宋体" w:eastAsia="宋体" w:cs="宋体"/>
                <w:szCs w:val="21"/>
                <w:highlight w:val="none"/>
              </w:rPr>
            </w:pPr>
          </w:p>
        </w:tc>
      </w:tr>
      <w:tr w14:paraId="24FB3F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3D140FB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50" w:type="pct"/>
            <w:vAlign w:val="center"/>
          </w:tcPr>
          <w:p w14:paraId="122F2FE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86" w:type="pct"/>
            <w:vAlign w:val="center"/>
          </w:tcPr>
          <w:p w14:paraId="6CA8C811">
            <w:pPr>
              <w:spacing w:line="360" w:lineRule="auto"/>
              <w:rPr>
                <w:rFonts w:hint="eastAsia" w:ascii="宋体" w:hAnsi="宋体" w:eastAsia="宋体" w:cs="宋体"/>
                <w:szCs w:val="21"/>
                <w:highlight w:val="none"/>
              </w:rPr>
            </w:pPr>
          </w:p>
        </w:tc>
      </w:tr>
      <w:tr w14:paraId="780899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755707B6">
            <w:pPr>
              <w:spacing w:line="360" w:lineRule="auto"/>
              <w:rPr>
                <w:rFonts w:hint="eastAsia" w:ascii="宋体" w:hAnsi="宋体" w:eastAsia="宋体" w:cs="宋体"/>
                <w:szCs w:val="21"/>
                <w:highlight w:val="none"/>
              </w:rPr>
            </w:pPr>
          </w:p>
        </w:tc>
        <w:tc>
          <w:tcPr>
            <w:tcW w:w="1350" w:type="pct"/>
            <w:vAlign w:val="center"/>
          </w:tcPr>
          <w:p w14:paraId="4D06BAF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86" w:type="pct"/>
            <w:vAlign w:val="center"/>
          </w:tcPr>
          <w:p w14:paraId="558B57B6">
            <w:pPr>
              <w:spacing w:line="360" w:lineRule="auto"/>
              <w:rPr>
                <w:rFonts w:hint="eastAsia" w:ascii="宋体" w:hAnsi="宋体" w:eastAsia="宋体" w:cs="宋体"/>
                <w:szCs w:val="21"/>
                <w:highlight w:val="none"/>
              </w:rPr>
            </w:pPr>
          </w:p>
        </w:tc>
      </w:tr>
      <w:tr w14:paraId="1FA47A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28661DA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32FFC5CD">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59A375B5">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68D4FB76">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0E2F102D">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22CCE9B1">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58CA9F1B">
      <w:pPr>
        <w:pStyle w:val="53"/>
        <w:widowControl/>
        <w:numPr>
          <w:ilvl w:val="0"/>
          <w:numId w:val="14"/>
        </w:numPr>
        <w:snapToGrid w:val="0"/>
        <w:spacing w:line="360" w:lineRule="auto"/>
        <w:ind w:firstLineChars="0"/>
        <w:jc w:val="left"/>
        <w:rPr>
          <w:rFonts w:hint="eastAsia" w:ascii="宋体" w:hAnsi="宋体" w:eastAsia="宋体" w:cs="宋体"/>
          <w:szCs w:val="21"/>
          <w:highlight w:val="none"/>
        </w:rPr>
      </w:pPr>
      <w:r>
        <w:rPr>
          <w:rFonts w:hint="eastAsia" w:ascii="宋体" w:hAnsi="宋体" w:eastAsia="宋体" w:cs="宋体"/>
          <w:highlight w:val="none"/>
        </w:rPr>
        <w:br w:type="page"/>
      </w:r>
    </w:p>
    <w:p w14:paraId="3A903E2F">
      <w:pPr>
        <w:pStyle w:val="3"/>
        <w:numPr>
          <w:ilvl w:val="1"/>
          <w:numId w:val="12"/>
        </w:numPr>
        <w:rPr>
          <w:rFonts w:hint="eastAsia" w:ascii="宋体" w:hAnsi="宋体" w:eastAsia="宋体" w:cs="宋体"/>
          <w:highlight w:val="none"/>
        </w:rPr>
      </w:pPr>
      <w:bookmarkStart w:id="129" w:name="_Toc13174"/>
      <w:bookmarkStart w:id="130" w:name="_Toc9663"/>
      <w:r>
        <w:rPr>
          <w:rFonts w:hint="eastAsia" w:ascii="宋体" w:hAnsi="宋体" w:eastAsia="宋体" w:cs="宋体"/>
          <w:highlight w:val="none"/>
        </w:rPr>
        <w:t>技术商务偏离表</w:t>
      </w:r>
      <w:bookmarkEnd w:id="129"/>
      <w:bookmarkEnd w:id="130"/>
    </w:p>
    <w:p w14:paraId="38F0776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5BA43B70">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414A1921">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2EC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149840B3">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1959C47D">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583AD79D">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35BC751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2AB4B0D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5C2C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200D67A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030D88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278285E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66F44F05">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666D67B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7A63292C">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01C9B85F">
            <w:pPr>
              <w:spacing w:after="120" w:line="360" w:lineRule="atLeast"/>
              <w:ind w:left="851" w:hanging="851"/>
              <w:jc w:val="center"/>
              <w:rPr>
                <w:rFonts w:hint="eastAsia" w:ascii="宋体" w:hAnsi="宋体" w:eastAsia="宋体" w:cs="宋体"/>
                <w:szCs w:val="21"/>
                <w:highlight w:val="none"/>
              </w:rPr>
            </w:pPr>
          </w:p>
        </w:tc>
      </w:tr>
      <w:tr w14:paraId="3325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3C2BA65A">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879C15D">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3B031CBA">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0E2AB1C5">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66940CC">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37B518B">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2FD918B0">
            <w:pPr>
              <w:spacing w:after="120" w:line="360" w:lineRule="atLeast"/>
              <w:ind w:left="851" w:hanging="851"/>
              <w:jc w:val="center"/>
              <w:rPr>
                <w:rFonts w:hint="eastAsia" w:ascii="宋体" w:hAnsi="宋体" w:eastAsia="宋体" w:cs="宋体"/>
                <w:szCs w:val="21"/>
                <w:highlight w:val="none"/>
              </w:rPr>
            </w:pPr>
          </w:p>
        </w:tc>
      </w:tr>
      <w:tr w14:paraId="2731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76BB165">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D4068C5">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75BB8872">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4E64848">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1009B894">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74CE8D5C">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440A1B96">
            <w:pPr>
              <w:spacing w:after="120" w:line="360" w:lineRule="atLeast"/>
              <w:ind w:left="851" w:hanging="851"/>
              <w:jc w:val="center"/>
              <w:rPr>
                <w:rFonts w:hint="eastAsia" w:ascii="宋体" w:hAnsi="宋体" w:eastAsia="宋体" w:cs="宋体"/>
                <w:szCs w:val="21"/>
                <w:highlight w:val="none"/>
              </w:rPr>
            </w:pPr>
          </w:p>
        </w:tc>
      </w:tr>
      <w:tr w14:paraId="7425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9B125A0">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1F9699F6">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2B8EB96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F103AD5">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0FA298F">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19F440F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67E5DC79">
            <w:pPr>
              <w:spacing w:after="120" w:line="360" w:lineRule="atLeast"/>
              <w:ind w:left="851" w:hanging="851"/>
              <w:jc w:val="center"/>
              <w:rPr>
                <w:rFonts w:hint="eastAsia" w:ascii="宋体" w:hAnsi="宋体" w:eastAsia="宋体" w:cs="宋体"/>
                <w:szCs w:val="21"/>
                <w:highlight w:val="none"/>
              </w:rPr>
            </w:pPr>
          </w:p>
        </w:tc>
      </w:tr>
      <w:tr w14:paraId="6105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F53C50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1A1301D">
            <w:pPr>
              <w:spacing w:after="120" w:line="360" w:lineRule="atLeast"/>
              <w:ind w:left="851" w:hanging="851"/>
              <w:jc w:val="center"/>
              <w:rPr>
                <w:rFonts w:hint="eastAsia" w:ascii="宋体" w:hAnsi="宋体" w:eastAsia="宋体" w:cs="宋体"/>
                <w:szCs w:val="21"/>
                <w:highlight w:val="none"/>
              </w:rPr>
            </w:pPr>
          </w:p>
        </w:tc>
      </w:tr>
    </w:tbl>
    <w:p w14:paraId="3373274D">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4F990949">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046C05D5">
      <w:pPr>
        <w:widowControl/>
        <w:snapToGrid w:val="0"/>
        <w:spacing w:line="360" w:lineRule="exact"/>
        <w:jc w:val="left"/>
        <w:rPr>
          <w:rFonts w:hint="eastAsia" w:ascii="宋体" w:hAnsi="宋体" w:eastAsia="宋体" w:cs="宋体"/>
          <w:szCs w:val="21"/>
          <w:highlight w:val="none"/>
        </w:rPr>
      </w:pPr>
    </w:p>
    <w:p w14:paraId="41D916E2">
      <w:pPr>
        <w:pStyle w:val="3"/>
        <w:numPr>
          <w:ilvl w:val="1"/>
          <w:numId w:val="12"/>
        </w:numPr>
        <w:rPr>
          <w:rFonts w:hint="eastAsia" w:ascii="宋体" w:hAnsi="宋体" w:eastAsia="宋体" w:cs="宋体"/>
          <w:highlight w:val="none"/>
        </w:rPr>
      </w:pPr>
      <w:bookmarkStart w:id="131" w:name="_Toc476321849"/>
      <w:bookmarkStart w:id="132" w:name="_Toc10360"/>
      <w:bookmarkStart w:id="133" w:name="_Toc25400"/>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131"/>
      <w:bookmarkEnd w:id="132"/>
      <w:bookmarkEnd w:id="133"/>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207"/>
        <w:gridCol w:w="1678"/>
        <w:gridCol w:w="1376"/>
        <w:gridCol w:w="1155"/>
      </w:tblGrid>
      <w:tr w14:paraId="0BDD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5DD812AF">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41458350">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2D2DBBBC">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43F59916">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78D7C8EB">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49E0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3D16D1FF">
            <w:pPr>
              <w:jc w:val="center"/>
              <w:rPr>
                <w:rFonts w:hint="eastAsia" w:ascii="宋体" w:hAnsi="宋体" w:eastAsia="宋体" w:cs="宋体"/>
                <w:szCs w:val="21"/>
                <w:highlight w:val="none"/>
              </w:rPr>
            </w:pPr>
          </w:p>
          <w:p w14:paraId="2777B9F0">
            <w:pPr>
              <w:jc w:val="center"/>
              <w:rPr>
                <w:rFonts w:hint="eastAsia" w:ascii="宋体" w:hAnsi="宋体" w:eastAsia="宋体" w:cs="宋体"/>
                <w:szCs w:val="21"/>
                <w:highlight w:val="none"/>
              </w:rPr>
            </w:pPr>
          </w:p>
        </w:tc>
        <w:tc>
          <w:tcPr>
            <w:tcW w:w="1880" w:type="pct"/>
            <w:vAlign w:val="center"/>
          </w:tcPr>
          <w:p w14:paraId="71C2A75E">
            <w:pPr>
              <w:widowControl/>
              <w:jc w:val="center"/>
              <w:rPr>
                <w:rFonts w:hint="eastAsia" w:ascii="宋体" w:hAnsi="宋体" w:eastAsia="宋体" w:cs="宋体"/>
                <w:szCs w:val="21"/>
                <w:highlight w:val="none"/>
              </w:rPr>
            </w:pPr>
          </w:p>
          <w:p w14:paraId="55EE76A4">
            <w:pPr>
              <w:jc w:val="center"/>
              <w:rPr>
                <w:rFonts w:hint="eastAsia" w:ascii="宋体" w:hAnsi="宋体" w:eastAsia="宋体" w:cs="宋体"/>
                <w:szCs w:val="21"/>
                <w:highlight w:val="none"/>
              </w:rPr>
            </w:pPr>
          </w:p>
        </w:tc>
        <w:tc>
          <w:tcPr>
            <w:tcW w:w="984" w:type="pct"/>
          </w:tcPr>
          <w:p w14:paraId="6A5B1DAD">
            <w:pPr>
              <w:jc w:val="center"/>
              <w:rPr>
                <w:rFonts w:hint="eastAsia" w:ascii="宋体" w:hAnsi="宋体" w:eastAsia="宋体" w:cs="宋体"/>
                <w:szCs w:val="21"/>
                <w:highlight w:val="none"/>
              </w:rPr>
            </w:pPr>
          </w:p>
        </w:tc>
        <w:tc>
          <w:tcPr>
            <w:tcW w:w="807" w:type="pct"/>
            <w:vAlign w:val="center"/>
          </w:tcPr>
          <w:p w14:paraId="26802688">
            <w:pPr>
              <w:jc w:val="center"/>
              <w:rPr>
                <w:rFonts w:hint="eastAsia" w:ascii="宋体" w:hAnsi="宋体" w:eastAsia="宋体" w:cs="宋体"/>
                <w:szCs w:val="21"/>
                <w:highlight w:val="none"/>
              </w:rPr>
            </w:pPr>
          </w:p>
        </w:tc>
        <w:tc>
          <w:tcPr>
            <w:tcW w:w="677" w:type="pct"/>
            <w:vAlign w:val="center"/>
          </w:tcPr>
          <w:p w14:paraId="3915C990">
            <w:pPr>
              <w:jc w:val="center"/>
              <w:rPr>
                <w:rFonts w:hint="eastAsia" w:ascii="宋体" w:hAnsi="宋体" w:eastAsia="宋体" w:cs="宋体"/>
                <w:szCs w:val="21"/>
                <w:highlight w:val="none"/>
              </w:rPr>
            </w:pPr>
          </w:p>
        </w:tc>
      </w:tr>
      <w:tr w14:paraId="3DA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077D5A10">
            <w:pPr>
              <w:jc w:val="center"/>
              <w:rPr>
                <w:rFonts w:hint="eastAsia" w:ascii="宋体" w:hAnsi="宋体" w:eastAsia="宋体" w:cs="宋体"/>
                <w:szCs w:val="21"/>
                <w:highlight w:val="none"/>
              </w:rPr>
            </w:pPr>
          </w:p>
          <w:p w14:paraId="02E513E8">
            <w:pPr>
              <w:jc w:val="center"/>
              <w:rPr>
                <w:rFonts w:hint="eastAsia" w:ascii="宋体" w:hAnsi="宋体" w:eastAsia="宋体" w:cs="宋体"/>
                <w:szCs w:val="21"/>
                <w:highlight w:val="none"/>
              </w:rPr>
            </w:pPr>
          </w:p>
        </w:tc>
        <w:tc>
          <w:tcPr>
            <w:tcW w:w="1880" w:type="pct"/>
            <w:vAlign w:val="center"/>
          </w:tcPr>
          <w:p w14:paraId="3C01F03C">
            <w:pPr>
              <w:widowControl/>
              <w:jc w:val="center"/>
              <w:rPr>
                <w:rFonts w:hint="eastAsia" w:ascii="宋体" w:hAnsi="宋体" w:eastAsia="宋体" w:cs="宋体"/>
                <w:szCs w:val="21"/>
                <w:highlight w:val="none"/>
              </w:rPr>
            </w:pPr>
          </w:p>
          <w:p w14:paraId="36D84F86">
            <w:pPr>
              <w:jc w:val="center"/>
              <w:rPr>
                <w:rFonts w:hint="eastAsia" w:ascii="宋体" w:hAnsi="宋体" w:eastAsia="宋体" w:cs="宋体"/>
                <w:szCs w:val="21"/>
                <w:highlight w:val="none"/>
              </w:rPr>
            </w:pPr>
          </w:p>
        </w:tc>
        <w:tc>
          <w:tcPr>
            <w:tcW w:w="984" w:type="pct"/>
          </w:tcPr>
          <w:p w14:paraId="048614CC">
            <w:pPr>
              <w:jc w:val="center"/>
              <w:rPr>
                <w:rFonts w:hint="eastAsia" w:ascii="宋体" w:hAnsi="宋体" w:eastAsia="宋体" w:cs="宋体"/>
                <w:szCs w:val="21"/>
                <w:highlight w:val="none"/>
              </w:rPr>
            </w:pPr>
          </w:p>
        </w:tc>
        <w:tc>
          <w:tcPr>
            <w:tcW w:w="807" w:type="pct"/>
            <w:vAlign w:val="center"/>
          </w:tcPr>
          <w:p w14:paraId="33F567FE">
            <w:pPr>
              <w:jc w:val="center"/>
              <w:rPr>
                <w:rFonts w:hint="eastAsia" w:ascii="宋体" w:hAnsi="宋体" w:eastAsia="宋体" w:cs="宋体"/>
                <w:szCs w:val="21"/>
                <w:highlight w:val="none"/>
              </w:rPr>
            </w:pPr>
          </w:p>
        </w:tc>
        <w:tc>
          <w:tcPr>
            <w:tcW w:w="677" w:type="pct"/>
            <w:vAlign w:val="center"/>
          </w:tcPr>
          <w:p w14:paraId="05A96933">
            <w:pPr>
              <w:jc w:val="center"/>
              <w:rPr>
                <w:rFonts w:hint="eastAsia" w:ascii="宋体" w:hAnsi="宋体" w:eastAsia="宋体" w:cs="宋体"/>
                <w:szCs w:val="21"/>
                <w:highlight w:val="none"/>
              </w:rPr>
            </w:pPr>
          </w:p>
        </w:tc>
      </w:tr>
      <w:tr w14:paraId="102F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70F29EEA">
            <w:pPr>
              <w:jc w:val="center"/>
              <w:rPr>
                <w:rFonts w:hint="eastAsia" w:ascii="宋体" w:hAnsi="宋体" w:eastAsia="宋体" w:cs="宋体"/>
                <w:szCs w:val="21"/>
                <w:highlight w:val="none"/>
              </w:rPr>
            </w:pPr>
          </w:p>
          <w:p w14:paraId="0EE15117">
            <w:pPr>
              <w:jc w:val="center"/>
              <w:rPr>
                <w:rFonts w:hint="eastAsia" w:ascii="宋体" w:hAnsi="宋体" w:eastAsia="宋体" w:cs="宋体"/>
                <w:szCs w:val="21"/>
                <w:highlight w:val="none"/>
              </w:rPr>
            </w:pPr>
          </w:p>
        </w:tc>
        <w:tc>
          <w:tcPr>
            <w:tcW w:w="1880" w:type="pct"/>
            <w:vAlign w:val="center"/>
          </w:tcPr>
          <w:p w14:paraId="4FFBF47F">
            <w:pPr>
              <w:widowControl/>
              <w:jc w:val="center"/>
              <w:rPr>
                <w:rFonts w:hint="eastAsia" w:ascii="宋体" w:hAnsi="宋体" w:eastAsia="宋体" w:cs="宋体"/>
                <w:szCs w:val="21"/>
                <w:highlight w:val="none"/>
              </w:rPr>
            </w:pPr>
          </w:p>
          <w:p w14:paraId="10C8C1B5">
            <w:pPr>
              <w:jc w:val="center"/>
              <w:rPr>
                <w:rFonts w:hint="eastAsia" w:ascii="宋体" w:hAnsi="宋体" w:eastAsia="宋体" w:cs="宋体"/>
                <w:szCs w:val="21"/>
                <w:highlight w:val="none"/>
              </w:rPr>
            </w:pPr>
          </w:p>
        </w:tc>
        <w:tc>
          <w:tcPr>
            <w:tcW w:w="984" w:type="pct"/>
          </w:tcPr>
          <w:p w14:paraId="56CDC558">
            <w:pPr>
              <w:jc w:val="center"/>
              <w:rPr>
                <w:rFonts w:hint="eastAsia" w:ascii="宋体" w:hAnsi="宋体" w:eastAsia="宋体" w:cs="宋体"/>
                <w:szCs w:val="21"/>
                <w:highlight w:val="none"/>
              </w:rPr>
            </w:pPr>
          </w:p>
        </w:tc>
        <w:tc>
          <w:tcPr>
            <w:tcW w:w="807" w:type="pct"/>
            <w:vAlign w:val="center"/>
          </w:tcPr>
          <w:p w14:paraId="3FA4B095">
            <w:pPr>
              <w:jc w:val="center"/>
              <w:rPr>
                <w:rFonts w:hint="eastAsia" w:ascii="宋体" w:hAnsi="宋体" w:eastAsia="宋体" w:cs="宋体"/>
                <w:szCs w:val="21"/>
                <w:highlight w:val="none"/>
              </w:rPr>
            </w:pPr>
          </w:p>
        </w:tc>
        <w:tc>
          <w:tcPr>
            <w:tcW w:w="677" w:type="pct"/>
            <w:vAlign w:val="center"/>
          </w:tcPr>
          <w:p w14:paraId="75D20954">
            <w:pPr>
              <w:jc w:val="center"/>
              <w:rPr>
                <w:rFonts w:hint="eastAsia" w:ascii="宋体" w:hAnsi="宋体" w:eastAsia="宋体" w:cs="宋体"/>
                <w:szCs w:val="21"/>
                <w:highlight w:val="none"/>
              </w:rPr>
            </w:pPr>
          </w:p>
        </w:tc>
      </w:tr>
      <w:tr w14:paraId="2762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753D11AD">
            <w:pPr>
              <w:jc w:val="center"/>
              <w:rPr>
                <w:rFonts w:hint="eastAsia" w:ascii="宋体" w:hAnsi="宋体" w:eastAsia="宋体" w:cs="宋体"/>
                <w:szCs w:val="21"/>
                <w:highlight w:val="none"/>
              </w:rPr>
            </w:pPr>
          </w:p>
          <w:p w14:paraId="36B66959">
            <w:pPr>
              <w:jc w:val="center"/>
              <w:rPr>
                <w:rFonts w:hint="eastAsia" w:ascii="宋体" w:hAnsi="宋体" w:eastAsia="宋体" w:cs="宋体"/>
                <w:szCs w:val="21"/>
                <w:highlight w:val="none"/>
              </w:rPr>
            </w:pPr>
          </w:p>
        </w:tc>
        <w:tc>
          <w:tcPr>
            <w:tcW w:w="1880" w:type="pct"/>
            <w:vAlign w:val="center"/>
          </w:tcPr>
          <w:p w14:paraId="16DE3B73">
            <w:pPr>
              <w:widowControl/>
              <w:jc w:val="center"/>
              <w:rPr>
                <w:rFonts w:hint="eastAsia" w:ascii="宋体" w:hAnsi="宋体" w:eastAsia="宋体" w:cs="宋体"/>
                <w:szCs w:val="21"/>
                <w:highlight w:val="none"/>
              </w:rPr>
            </w:pPr>
          </w:p>
          <w:p w14:paraId="36BC9DB8">
            <w:pPr>
              <w:jc w:val="center"/>
              <w:rPr>
                <w:rFonts w:hint="eastAsia" w:ascii="宋体" w:hAnsi="宋体" w:eastAsia="宋体" w:cs="宋体"/>
                <w:szCs w:val="21"/>
                <w:highlight w:val="none"/>
              </w:rPr>
            </w:pPr>
          </w:p>
        </w:tc>
        <w:tc>
          <w:tcPr>
            <w:tcW w:w="984" w:type="pct"/>
          </w:tcPr>
          <w:p w14:paraId="58BB057B">
            <w:pPr>
              <w:jc w:val="center"/>
              <w:rPr>
                <w:rFonts w:hint="eastAsia" w:ascii="宋体" w:hAnsi="宋体" w:eastAsia="宋体" w:cs="宋体"/>
                <w:szCs w:val="21"/>
                <w:highlight w:val="none"/>
              </w:rPr>
            </w:pPr>
          </w:p>
        </w:tc>
        <w:tc>
          <w:tcPr>
            <w:tcW w:w="807" w:type="pct"/>
            <w:vAlign w:val="center"/>
          </w:tcPr>
          <w:p w14:paraId="66CB0478">
            <w:pPr>
              <w:jc w:val="center"/>
              <w:rPr>
                <w:rFonts w:hint="eastAsia" w:ascii="宋体" w:hAnsi="宋体" w:eastAsia="宋体" w:cs="宋体"/>
                <w:szCs w:val="21"/>
                <w:highlight w:val="none"/>
              </w:rPr>
            </w:pPr>
          </w:p>
        </w:tc>
        <w:tc>
          <w:tcPr>
            <w:tcW w:w="677" w:type="pct"/>
            <w:vAlign w:val="center"/>
          </w:tcPr>
          <w:p w14:paraId="7EB79D9A">
            <w:pPr>
              <w:jc w:val="center"/>
              <w:rPr>
                <w:rFonts w:hint="eastAsia" w:ascii="宋体" w:hAnsi="宋体" w:eastAsia="宋体" w:cs="宋体"/>
                <w:szCs w:val="21"/>
                <w:highlight w:val="none"/>
              </w:rPr>
            </w:pPr>
          </w:p>
        </w:tc>
      </w:tr>
      <w:tr w14:paraId="7383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593F76DB">
            <w:pPr>
              <w:jc w:val="center"/>
              <w:rPr>
                <w:rFonts w:hint="eastAsia" w:ascii="宋体" w:hAnsi="宋体" w:eastAsia="宋体" w:cs="宋体"/>
                <w:szCs w:val="21"/>
                <w:highlight w:val="none"/>
              </w:rPr>
            </w:pPr>
          </w:p>
          <w:p w14:paraId="7D15E4AF">
            <w:pPr>
              <w:jc w:val="center"/>
              <w:rPr>
                <w:rFonts w:hint="eastAsia" w:ascii="宋体" w:hAnsi="宋体" w:eastAsia="宋体" w:cs="宋体"/>
                <w:szCs w:val="21"/>
                <w:highlight w:val="none"/>
              </w:rPr>
            </w:pPr>
          </w:p>
        </w:tc>
        <w:tc>
          <w:tcPr>
            <w:tcW w:w="1880" w:type="pct"/>
            <w:vAlign w:val="center"/>
          </w:tcPr>
          <w:p w14:paraId="7B858C1F">
            <w:pPr>
              <w:widowControl/>
              <w:jc w:val="center"/>
              <w:rPr>
                <w:rFonts w:hint="eastAsia" w:ascii="宋体" w:hAnsi="宋体" w:eastAsia="宋体" w:cs="宋体"/>
                <w:szCs w:val="21"/>
                <w:highlight w:val="none"/>
              </w:rPr>
            </w:pPr>
          </w:p>
          <w:p w14:paraId="6A903D44">
            <w:pPr>
              <w:jc w:val="center"/>
              <w:rPr>
                <w:rFonts w:hint="eastAsia" w:ascii="宋体" w:hAnsi="宋体" w:eastAsia="宋体" w:cs="宋体"/>
                <w:szCs w:val="21"/>
                <w:highlight w:val="none"/>
              </w:rPr>
            </w:pPr>
          </w:p>
        </w:tc>
        <w:tc>
          <w:tcPr>
            <w:tcW w:w="984" w:type="pct"/>
          </w:tcPr>
          <w:p w14:paraId="0B06124B">
            <w:pPr>
              <w:jc w:val="center"/>
              <w:rPr>
                <w:rFonts w:hint="eastAsia" w:ascii="宋体" w:hAnsi="宋体" w:eastAsia="宋体" w:cs="宋体"/>
                <w:szCs w:val="21"/>
                <w:highlight w:val="none"/>
              </w:rPr>
            </w:pPr>
          </w:p>
        </w:tc>
        <w:tc>
          <w:tcPr>
            <w:tcW w:w="807" w:type="pct"/>
            <w:vAlign w:val="center"/>
          </w:tcPr>
          <w:p w14:paraId="374C8B8A">
            <w:pPr>
              <w:jc w:val="center"/>
              <w:rPr>
                <w:rFonts w:hint="eastAsia" w:ascii="宋体" w:hAnsi="宋体" w:eastAsia="宋体" w:cs="宋体"/>
                <w:szCs w:val="21"/>
                <w:highlight w:val="none"/>
              </w:rPr>
            </w:pPr>
          </w:p>
        </w:tc>
        <w:tc>
          <w:tcPr>
            <w:tcW w:w="677" w:type="pct"/>
            <w:vAlign w:val="center"/>
          </w:tcPr>
          <w:p w14:paraId="3CD0BE45">
            <w:pPr>
              <w:jc w:val="center"/>
              <w:rPr>
                <w:rFonts w:hint="eastAsia" w:ascii="宋体" w:hAnsi="宋体" w:eastAsia="宋体" w:cs="宋体"/>
                <w:szCs w:val="21"/>
                <w:highlight w:val="none"/>
              </w:rPr>
            </w:pPr>
          </w:p>
        </w:tc>
      </w:tr>
      <w:tr w14:paraId="4CC1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D74C037">
            <w:pPr>
              <w:jc w:val="center"/>
              <w:rPr>
                <w:rFonts w:hint="eastAsia" w:ascii="宋体" w:hAnsi="宋体" w:eastAsia="宋体" w:cs="宋体"/>
                <w:szCs w:val="21"/>
                <w:highlight w:val="none"/>
              </w:rPr>
            </w:pPr>
          </w:p>
          <w:p w14:paraId="3C58BAFC">
            <w:pPr>
              <w:jc w:val="center"/>
              <w:rPr>
                <w:rFonts w:hint="eastAsia" w:ascii="宋体" w:hAnsi="宋体" w:eastAsia="宋体" w:cs="宋体"/>
                <w:szCs w:val="21"/>
                <w:highlight w:val="none"/>
              </w:rPr>
            </w:pPr>
          </w:p>
        </w:tc>
        <w:tc>
          <w:tcPr>
            <w:tcW w:w="1880" w:type="pct"/>
            <w:vAlign w:val="center"/>
          </w:tcPr>
          <w:p w14:paraId="0165FB07">
            <w:pPr>
              <w:widowControl/>
              <w:jc w:val="center"/>
              <w:rPr>
                <w:rFonts w:hint="eastAsia" w:ascii="宋体" w:hAnsi="宋体" w:eastAsia="宋体" w:cs="宋体"/>
                <w:szCs w:val="21"/>
                <w:highlight w:val="none"/>
              </w:rPr>
            </w:pPr>
          </w:p>
          <w:p w14:paraId="2FBF9834">
            <w:pPr>
              <w:jc w:val="center"/>
              <w:rPr>
                <w:rFonts w:hint="eastAsia" w:ascii="宋体" w:hAnsi="宋体" w:eastAsia="宋体" w:cs="宋体"/>
                <w:szCs w:val="21"/>
                <w:highlight w:val="none"/>
              </w:rPr>
            </w:pPr>
          </w:p>
        </w:tc>
        <w:tc>
          <w:tcPr>
            <w:tcW w:w="984" w:type="pct"/>
          </w:tcPr>
          <w:p w14:paraId="3C41C1ED">
            <w:pPr>
              <w:jc w:val="center"/>
              <w:rPr>
                <w:rFonts w:hint="eastAsia" w:ascii="宋体" w:hAnsi="宋体" w:eastAsia="宋体" w:cs="宋体"/>
                <w:szCs w:val="21"/>
                <w:highlight w:val="none"/>
              </w:rPr>
            </w:pPr>
          </w:p>
        </w:tc>
        <w:tc>
          <w:tcPr>
            <w:tcW w:w="807" w:type="pct"/>
            <w:vAlign w:val="center"/>
          </w:tcPr>
          <w:p w14:paraId="00199B4D">
            <w:pPr>
              <w:jc w:val="center"/>
              <w:rPr>
                <w:rFonts w:hint="eastAsia" w:ascii="宋体" w:hAnsi="宋体" w:eastAsia="宋体" w:cs="宋体"/>
                <w:szCs w:val="21"/>
                <w:highlight w:val="none"/>
              </w:rPr>
            </w:pPr>
          </w:p>
        </w:tc>
        <w:tc>
          <w:tcPr>
            <w:tcW w:w="677" w:type="pct"/>
            <w:vAlign w:val="center"/>
          </w:tcPr>
          <w:p w14:paraId="1BB6AF8B">
            <w:pPr>
              <w:jc w:val="center"/>
              <w:rPr>
                <w:rFonts w:hint="eastAsia" w:ascii="宋体" w:hAnsi="宋体" w:eastAsia="宋体" w:cs="宋体"/>
                <w:szCs w:val="21"/>
                <w:highlight w:val="none"/>
              </w:rPr>
            </w:pPr>
          </w:p>
        </w:tc>
      </w:tr>
    </w:tbl>
    <w:p w14:paraId="2C2CF52E">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7ABFF242">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386B2EF1">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w:t>
      </w:r>
      <w:r>
        <w:rPr>
          <w:rFonts w:hint="eastAsia" w:ascii="宋体" w:hAnsi="宋体" w:cs="宋体"/>
          <w:highlight w:val="none"/>
          <w:lang w:val="en-US" w:eastAsia="zh-CN"/>
        </w:rPr>
        <w:t>供应商应</w:t>
      </w:r>
      <w:r>
        <w:rPr>
          <w:rFonts w:hint="eastAsia" w:ascii="宋体" w:hAnsi="宋体" w:eastAsia="宋体" w:cs="宋体"/>
          <w:b w:val="0"/>
          <w:bCs w:val="0"/>
          <w:color w:val="auto"/>
          <w:highlight w:val="none"/>
        </w:rPr>
        <w:t>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w:t>
      </w:r>
      <w:r>
        <w:rPr>
          <w:rFonts w:hint="eastAsia" w:ascii="宋体" w:hAnsi="宋体" w:cs="宋体"/>
          <w:b w:val="0"/>
          <w:bCs w:val="0"/>
          <w:color w:val="auto"/>
          <w:highlight w:val="none"/>
          <w:lang w:val="en-US" w:eastAsia="zh-CN"/>
        </w:rPr>
        <w:t>合同标的页、</w:t>
      </w:r>
      <w:r>
        <w:rPr>
          <w:rFonts w:hint="eastAsia" w:ascii="宋体" w:hAnsi="宋体" w:eastAsia="宋体" w:cs="宋体"/>
          <w:b w:val="0"/>
          <w:bCs w:val="0"/>
          <w:color w:val="auto"/>
          <w:highlight w:val="none"/>
        </w:rPr>
        <w:t>合同签字页）。</w:t>
      </w:r>
    </w:p>
    <w:p w14:paraId="2C95D556">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554D4C23">
      <w:pPr>
        <w:pStyle w:val="3"/>
        <w:numPr>
          <w:ilvl w:val="1"/>
          <w:numId w:val="12"/>
        </w:numPr>
        <w:rPr>
          <w:rFonts w:hint="eastAsia" w:ascii="宋体" w:hAnsi="宋体" w:eastAsia="宋体" w:cs="宋体"/>
          <w:highlight w:val="none"/>
        </w:rPr>
      </w:pPr>
      <w:bookmarkStart w:id="134" w:name="_Toc26958"/>
      <w:bookmarkStart w:id="135" w:name="_Toc19010"/>
      <w:bookmarkStart w:id="136" w:name="_Toc476321850"/>
      <w:r>
        <w:rPr>
          <w:rFonts w:hint="eastAsia" w:ascii="宋体" w:hAnsi="宋体" w:eastAsia="宋体" w:cs="宋体"/>
          <w:highlight w:val="none"/>
        </w:rPr>
        <w:t>项目负责人及成员组成情况表</w:t>
      </w:r>
      <w:bookmarkEnd w:id="134"/>
      <w:bookmarkEnd w:id="135"/>
      <w:bookmarkEnd w:id="136"/>
    </w:p>
    <w:p w14:paraId="093378C9">
      <w:pPr>
        <w:pStyle w:val="53"/>
        <w:ind w:left="720" w:firstLine="0" w:firstLineChars="0"/>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0BD74DB9">
      <w:pPr>
        <w:pStyle w:val="53"/>
        <w:ind w:left="72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312"/>
        <w:gridCol w:w="973"/>
        <w:gridCol w:w="1082"/>
        <w:gridCol w:w="1468"/>
        <w:gridCol w:w="1468"/>
      </w:tblGrid>
      <w:tr w14:paraId="723D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3208951F">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769" w:type="pct"/>
            <w:vAlign w:val="center"/>
          </w:tcPr>
          <w:p w14:paraId="52692792">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570" w:type="pct"/>
            <w:vAlign w:val="center"/>
          </w:tcPr>
          <w:p w14:paraId="147B916C">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634" w:type="pct"/>
            <w:vAlign w:val="center"/>
          </w:tcPr>
          <w:p w14:paraId="4AA41152">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860" w:type="pct"/>
            <w:vAlign w:val="center"/>
          </w:tcPr>
          <w:p w14:paraId="5AA3AE0D">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c>
          <w:tcPr>
            <w:tcW w:w="860" w:type="pct"/>
            <w:vAlign w:val="center"/>
          </w:tcPr>
          <w:p w14:paraId="64EAFCB5">
            <w:pPr>
              <w:ind w:right="-57"/>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工作履历（经验）简介</w:t>
            </w:r>
          </w:p>
        </w:tc>
      </w:tr>
      <w:tr w14:paraId="67EE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15D06272">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769" w:type="pct"/>
            <w:vAlign w:val="center"/>
          </w:tcPr>
          <w:p w14:paraId="38CBCB0D">
            <w:pPr>
              <w:spacing w:line="360" w:lineRule="auto"/>
              <w:ind w:right="-55" w:firstLine="472"/>
              <w:jc w:val="center"/>
              <w:rPr>
                <w:rFonts w:hint="eastAsia" w:ascii="宋体" w:hAnsi="宋体" w:eastAsia="宋体" w:cs="宋体"/>
                <w:szCs w:val="21"/>
                <w:highlight w:val="none"/>
              </w:rPr>
            </w:pPr>
          </w:p>
        </w:tc>
        <w:tc>
          <w:tcPr>
            <w:tcW w:w="570" w:type="pct"/>
            <w:vAlign w:val="center"/>
          </w:tcPr>
          <w:p w14:paraId="37F52410">
            <w:pPr>
              <w:spacing w:line="360" w:lineRule="auto"/>
              <w:ind w:right="-55" w:firstLine="472"/>
              <w:jc w:val="center"/>
              <w:rPr>
                <w:rFonts w:hint="eastAsia" w:ascii="宋体" w:hAnsi="宋体" w:eastAsia="宋体" w:cs="宋体"/>
                <w:szCs w:val="21"/>
                <w:highlight w:val="none"/>
              </w:rPr>
            </w:pPr>
          </w:p>
        </w:tc>
        <w:tc>
          <w:tcPr>
            <w:tcW w:w="634" w:type="pct"/>
            <w:vAlign w:val="center"/>
          </w:tcPr>
          <w:p w14:paraId="76BF8700">
            <w:pPr>
              <w:spacing w:line="360" w:lineRule="auto"/>
              <w:ind w:right="-55" w:firstLine="472"/>
              <w:jc w:val="center"/>
              <w:rPr>
                <w:rFonts w:hint="eastAsia" w:ascii="宋体" w:hAnsi="宋体" w:eastAsia="宋体" w:cs="宋体"/>
                <w:szCs w:val="21"/>
                <w:highlight w:val="none"/>
              </w:rPr>
            </w:pPr>
          </w:p>
        </w:tc>
        <w:tc>
          <w:tcPr>
            <w:tcW w:w="860" w:type="pct"/>
            <w:vAlign w:val="center"/>
          </w:tcPr>
          <w:p w14:paraId="7AF6A510">
            <w:pPr>
              <w:spacing w:line="360" w:lineRule="auto"/>
              <w:ind w:right="-55" w:firstLine="472"/>
              <w:jc w:val="center"/>
              <w:rPr>
                <w:rFonts w:hint="eastAsia" w:ascii="宋体" w:hAnsi="宋体" w:eastAsia="宋体" w:cs="宋体"/>
                <w:szCs w:val="21"/>
                <w:highlight w:val="none"/>
              </w:rPr>
            </w:pPr>
          </w:p>
        </w:tc>
        <w:tc>
          <w:tcPr>
            <w:tcW w:w="860" w:type="pct"/>
            <w:vAlign w:val="center"/>
          </w:tcPr>
          <w:p w14:paraId="5756B4D5">
            <w:pPr>
              <w:spacing w:line="360" w:lineRule="auto"/>
              <w:ind w:right="-55" w:firstLine="472"/>
              <w:jc w:val="center"/>
              <w:rPr>
                <w:rFonts w:hint="eastAsia" w:ascii="宋体" w:hAnsi="宋体" w:eastAsia="宋体" w:cs="宋体"/>
                <w:szCs w:val="21"/>
                <w:highlight w:val="none"/>
              </w:rPr>
            </w:pPr>
          </w:p>
        </w:tc>
      </w:tr>
      <w:tr w14:paraId="749E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22B84118">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769" w:type="pct"/>
            <w:vAlign w:val="center"/>
          </w:tcPr>
          <w:p w14:paraId="5297F751">
            <w:pPr>
              <w:spacing w:line="360" w:lineRule="auto"/>
              <w:ind w:right="-55" w:firstLine="472"/>
              <w:jc w:val="center"/>
              <w:rPr>
                <w:rFonts w:hint="eastAsia" w:ascii="宋体" w:hAnsi="宋体" w:eastAsia="宋体" w:cs="宋体"/>
                <w:szCs w:val="21"/>
                <w:highlight w:val="none"/>
              </w:rPr>
            </w:pPr>
          </w:p>
        </w:tc>
        <w:tc>
          <w:tcPr>
            <w:tcW w:w="570" w:type="pct"/>
            <w:vAlign w:val="center"/>
          </w:tcPr>
          <w:p w14:paraId="14A54E98">
            <w:pPr>
              <w:spacing w:line="360" w:lineRule="auto"/>
              <w:ind w:right="-55" w:firstLine="472"/>
              <w:jc w:val="center"/>
              <w:rPr>
                <w:rFonts w:hint="eastAsia" w:ascii="宋体" w:hAnsi="宋体" w:eastAsia="宋体" w:cs="宋体"/>
                <w:szCs w:val="21"/>
                <w:highlight w:val="none"/>
              </w:rPr>
            </w:pPr>
          </w:p>
        </w:tc>
        <w:tc>
          <w:tcPr>
            <w:tcW w:w="634" w:type="pct"/>
            <w:vAlign w:val="center"/>
          </w:tcPr>
          <w:p w14:paraId="69847B34">
            <w:pPr>
              <w:spacing w:line="360" w:lineRule="auto"/>
              <w:ind w:right="-55" w:firstLine="472"/>
              <w:jc w:val="center"/>
              <w:rPr>
                <w:rFonts w:hint="eastAsia" w:ascii="宋体" w:hAnsi="宋体" w:eastAsia="宋体" w:cs="宋体"/>
                <w:szCs w:val="21"/>
                <w:highlight w:val="none"/>
              </w:rPr>
            </w:pPr>
          </w:p>
        </w:tc>
        <w:tc>
          <w:tcPr>
            <w:tcW w:w="860" w:type="pct"/>
            <w:vAlign w:val="center"/>
          </w:tcPr>
          <w:p w14:paraId="167C8363">
            <w:pPr>
              <w:spacing w:line="360" w:lineRule="auto"/>
              <w:ind w:right="-55" w:firstLine="472"/>
              <w:jc w:val="center"/>
              <w:rPr>
                <w:rFonts w:hint="eastAsia" w:ascii="宋体" w:hAnsi="宋体" w:eastAsia="宋体" w:cs="宋体"/>
                <w:szCs w:val="21"/>
                <w:highlight w:val="none"/>
              </w:rPr>
            </w:pPr>
          </w:p>
        </w:tc>
        <w:tc>
          <w:tcPr>
            <w:tcW w:w="860" w:type="pct"/>
            <w:vAlign w:val="center"/>
          </w:tcPr>
          <w:p w14:paraId="5B9CA166">
            <w:pPr>
              <w:spacing w:line="360" w:lineRule="auto"/>
              <w:ind w:right="-55" w:firstLine="472"/>
              <w:jc w:val="center"/>
              <w:rPr>
                <w:rFonts w:hint="eastAsia" w:ascii="宋体" w:hAnsi="宋体" w:eastAsia="宋体" w:cs="宋体"/>
                <w:szCs w:val="21"/>
                <w:highlight w:val="none"/>
              </w:rPr>
            </w:pPr>
          </w:p>
        </w:tc>
      </w:tr>
      <w:tr w14:paraId="1677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14916DB1">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769" w:type="pct"/>
            <w:vAlign w:val="center"/>
          </w:tcPr>
          <w:p w14:paraId="7A4DBE17">
            <w:pPr>
              <w:spacing w:line="360" w:lineRule="auto"/>
              <w:ind w:right="-55" w:firstLine="472"/>
              <w:jc w:val="center"/>
              <w:rPr>
                <w:rFonts w:hint="eastAsia" w:ascii="宋体" w:hAnsi="宋体" w:eastAsia="宋体" w:cs="宋体"/>
                <w:szCs w:val="21"/>
                <w:highlight w:val="none"/>
              </w:rPr>
            </w:pPr>
          </w:p>
        </w:tc>
        <w:tc>
          <w:tcPr>
            <w:tcW w:w="570" w:type="pct"/>
            <w:vAlign w:val="center"/>
          </w:tcPr>
          <w:p w14:paraId="4513CC9C">
            <w:pPr>
              <w:spacing w:line="360" w:lineRule="auto"/>
              <w:ind w:right="-55" w:firstLine="472"/>
              <w:jc w:val="center"/>
              <w:rPr>
                <w:rFonts w:hint="eastAsia" w:ascii="宋体" w:hAnsi="宋体" w:eastAsia="宋体" w:cs="宋体"/>
                <w:szCs w:val="21"/>
                <w:highlight w:val="none"/>
              </w:rPr>
            </w:pPr>
          </w:p>
        </w:tc>
        <w:tc>
          <w:tcPr>
            <w:tcW w:w="634" w:type="pct"/>
            <w:vAlign w:val="center"/>
          </w:tcPr>
          <w:p w14:paraId="2A9C4A39">
            <w:pPr>
              <w:spacing w:line="360" w:lineRule="auto"/>
              <w:ind w:right="-55" w:firstLine="472"/>
              <w:jc w:val="center"/>
              <w:rPr>
                <w:rFonts w:hint="eastAsia" w:ascii="宋体" w:hAnsi="宋体" w:eastAsia="宋体" w:cs="宋体"/>
                <w:szCs w:val="21"/>
                <w:highlight w:val="none"/>
              </w:rPr>
            </w:pPr>
          </w:p>
        </w:tc>
        <w:tc>
          <w:tcPr>
            <w:tcW w:w="860" w:type="pct"/>
            <w:vAlign w:val="center"/>
          </w:tcPr>
          <w:p w14:paraId="5D7A0CBA">
            <w:pPr>
              <w:spacing w:line="360" w:lineRule="auto"/>
              <w:ind w:right="-55" w:firstLine="472"/>
              <w:jc w:val="center"/>
              <w:rPr>
                <w:rFonts w:hint="eastAsia" w:ascii="宋体" w:hAnsi="宋体" w:eastAsia="宋体" w:cs="宋体"/>
                <w:szCs w:val="21"/>
                <w:highlight w:val="none"/>
              </w:rPr>
            </w:pPr>
          </w:p>
        </w:tc>
        <w:tc>
          <w:tcPr>
            <w:tcW w:w="860" w:type="pct"/>
            <w:vAlign w:val="center"/>
          </w:tcPr>
          <w:p w14:paraId="08273570">
            <w:pPr>
              <w:spacing w:line="360" w:lineRule="auto"/>
              <w:ind w:right="-55" w:firstLine="472"/>
              <w:jc w:val="center"/>
              <w:rPr>
                <w:rFonts w:hint="eastAsia" w:ascii="宋体" w:hAnsi="宋体" w:eastAsia="宋体" w:cs="宋体"/>
                <w:szCs w:val="21"/>
                <w:highlight w:val="none"/>
              </w:rPr>
            </w:pPr>
          </w:p>
        </w:tc>
      </w:tr>
      <w:tr w14:paraId="22A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0646DD8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769" w:type="pct"/>
            <w:vAlign w:val="center"/>
          </w:tcPr>
          <w:p w14:paraId="0FD99ECB">
            <w:pPr>
              <w:spacing w:line="360" w:lineRule="auto"/>
              <w:ind w:right="-55" w:firstLine="472"/>
              <w:jc w:val="center"/>
              <w:rPr>
                <w:rFonts w:hint="eastAsia" w:ascii="宋体" w:hAnsi="宋体" w:eastAsia="宋体" w:cs="宋体"/>
                <w:szCs w:val="21"/>
                <w:highlight w:val="none"/>
              </w:rPr>
            </w:pPr>
          </w:p>
        </w:tc>
        <w:tc>
          <w:tcPr>
            <w:tcW w:w="570" w:type="pct"/>
            <w:vAlign w:val="center"/>
          </w:tcPr>
          <w:p w14:paraId="787EB004">
            <w:pPr>
              <w:spacing w:line="360" w:lineRule="auto"/>
              <w:ind w:right="-55" w:firstLine="472"/>
              <w:jc w:val="center"/>
              <w:rPr>
                <w:rFonts w:hint="eastAsia" w:ascii="宋体" w:hAnsi="宋体" w:eastAsia="宋体" w:cs="宋体"/>
                <w:szCs w:val="21"/>
                <w:highlight w:val="none"/>
              </w:rPr>
            </w:pPr>
          </w:p>
        </w:tc>
        <w:tc>
          <w:tcPr>
            <w:tcW w:w="634" w:type="pct"/>
            <w:vAlign w:val="center"/>
          </w:tcPr>
          <w:p w14:paraId="0D760776">
            <w:pPr>
              <w:spacing w:line="360" w:lineRule="auto"/>
              <w:ind w:right="-55" w:firstLine="472"/>
              <w:jc w:val="center"/>
              <w:rPr>
                <w:rFonts w:hint="eastAsia" w:ascii="宋体" w:hAnsi="宋体" w:eastAsia="宋体" w:cs="宋体"/>
                <w:szCs w:val="21"/>
                <w:highlight w:val="none"/>
              </w:rPr>
            </w:pPr>
          </w:p>
        </w:tc>
        <w:tc>
          <w:tcPr>
            <w:tcW w:w="860" w:type="pct"/>
            <w:vAlign w:val="center"/>
          </w:tcPr>
          <w:p w14:paraId="7986D418">
            <w:pPr>
              <w:spacing w:line="360" w:lineRule="auto"/>
              <w:ind w:right="-55" w:firstLine="472"/>
              <w:jc w:val="center"/>
              <w:rPr>
                <w:rFonts w:hint="eastAsia" w:ascii="宋体" w:hAnsi="宋体" w:eastAsia="宋体" w:cs="宋体"/>
                <w:szCs w:val="21"/>
                <w:highlight w:val="none"/>
              </w:rPr>
            </w:pPr>
          </w:p>
        </w:tc>
        <w:tc>
          <w:tcPr>
            <w:tcW w:w="860" w:type="pct"/>
            <w:vAlign w:val="center"/>
          </w:tcPr>
          <w:p w14:paraId="6541B2B9">
            <w:pPr>
              <w:spacing w:line="360" w:lineRule="auto"/>
              <w:ind w:right="-55" w:firstLine="472"/>
              <w:jc w:val="center"/>
              <w:rPr>
                <w:rFonts w:hint="eastAsia" w:ascii="宋体" w:hAnsi="宋体" w:eastAsia="宋体" w:cs="宋体"/>
                <w:szCs w:val="21"/>
                <w:highlight w:val="none"/>
              </w:rPr>
            </w:pPr>
          </w:p>
        </w:tc>
      </w:tr>
      <w:tr w14:paraId="75E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66E2DB88">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769" w:type="pct"/>
            <w:vAlign w:val="center"/>
          </w:tcPr>
          <w:p w14:paraId="429DE144">
            <w:pPr>
              <w:spacing w:line="360" w:lineRule="auto"/>
              <w:ind w:right="-55" w:firstLine="472"/>
              <w:jc w:val="center"/>
              <w:rPr>
                <w:rFonts w:hint="eastAsia" w:ascii="宋体" w:hAnsi="宋体" w:eastAsia="宋体" w:cs="宋体"/>
                <w:szCs w:val="21"/>
                <w:highlight w:val="none"/>
              </w:rPr>
            </w:pPr>
          </w:p>
        </w:tc>
        <w:tc>
          <w:tcPr>
            <w:tcW w:w="570" w:type="pct"/>
            <w:vAlign w:val="center"/>
          </w:tcPr>
          <w:p w14:paraId="3CC5220F">
            <w:pPr>
              <w:spacing w:line="360" w:lineRule="auto"/>
              <w:ind w:right="-55" w:firstLine="472"/>
              <w:jc w:val="center"/>
              <w:rPr>
                <w:rFonts w:hint="eastAsia" w:ascii="宋体" w:hAnsi="宋体" w:eastAsia="宋体" w:cs="宋体"/>
                <w:szCs w:val="21"/>
                <w:highlight w:val="none"/>
              </w:rPr>
            </w:pPr>
          </w:p>
        </w:tc>
        <w:tc>
          <w:tcPr>
            <w:tcW w:w="634" w:type="pct"/>
            <w:vAlign w:val="center"/>
          </w:tcPr>
          <w:p w14:paraId="3B093D58">
            <w:pPr>
              <w:spacing w:line="360" w:lineRule="auto"/>
              <w:ind w:right="-55" w:firstLine="472"/>
              <w:jc w:val="center"/>
              <w:rPr>
                <w:rFonts w:hint="eastAsia" w:ascii="宋体" w:hAnsi="宋体" w:eastAsia="宋体" w:cs="宋体"/>
                <w:szCs w:val="21"/>
                <w:highlight w:val="none"/>
              </w:rPr>
            </w:pPr>
          </w:p>
        </w:tc>
        <w:tc>
          <w:tcPr>
            <w:tcW w:w="860" w:type="pct"/>
            <w:vAlign w:val="center"/>
          </w:tcPr>
          <w:p w14:paraId="2A8516EB">
            <w:pPr>
              <w:spacing w:line="360" w:lineRule="auto"/>
              <w:ind w:right="-55" w:firstLine="472"/>
              <w:jc w:val="center"/>
              <w:rPr>
                <w:rFonts w:hint="eastAsia" w:ascii="宋体" w:hAnsi="宋体" w:eastAsia="宋体" w:cs="宋体"/>
                <w:szCs w:val="21"/>
                <w:highlight w:val="none"/>
              </w:rPr>
            </w:pPr>
          </w:p>
        </w:tc>
        <w:tc>
          <w:tcPr>
            <w:tcW w:w="860" w:type="pct"/>
            <w:vAlign w:val="center"/>
          </w:tcPr>
          <w:p w14:paraId="51B71768">
            <w:pPr>
              <w:spacing w:line="360" w:lineRule="auto"/>
              <w:ind w:right="-55" w:firstLine="472"/>
              <w:jc w:val="center"/>
              <w:rPr>
                <w:rFonts w:hint="eastAsia" w:ascii="宋体" w:hAnsi="宋体" w:eastAsia="宋体" w:cs="宋体"/>
                <w:szCs w:val="21"/>
                <w:highlight w:val="none"/>
              </w:rPr>
            </w:pPr>
          </w:p>
        </w:tc>
      </w:tr>
      <w:tr w14:paraId="2F4C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72E68980">
            <w:pPr>
              <w:spacing w:line="360" w:lineRule="auto"/>
              <w:ind w:right="-55"/>
              <w:jc w:val="both"/>
              <w:rPr>
                <w:rFonts w:hint="eastAsia" w:ascii="宋体" w:hAnsi="宋体" w:eastAsia="宋体" w:cs="宋体"/>
                <w:szCs w:val="21"/>
                <w:highlight w:val="none"/>
              </w:rPr>
            </w:pPr>
          </w:p>
        </w:tc>
        <w:tc>
          <w:tcPr>
            <w:tcW w:w="769" w:type="pct"/>
            <w:vAlign w:val="center"/>
          </w:tcPr>
          <w:p w14:paraId="2974D001">
            <w:pPr>
              <w:spacing w:line="360" w:lineRule="auto"/>
              <w:ind w:right="-55" w:firstLine="472"/>
              <w:jc w:val="center"/>
              <w:rPr>
                <w:rFonts w:hint="eastAsia" w:ascii="宋体" w:hAnsi="宋体" w:eastAsia="宋体" w:cs="宋体"/>
                <w:szCs w:val="21"/>
                <w:highlight w:val="none"/>
              </w:rPr>
            </w:pPr>
          </w:p>
        </w:tc>
        <w:tc>
          <w:tcPr>
            <w:tcW w:w="570" w:type="pct"/>
            <w:vAlign w:val="center"/>
          </w:tcPr>
          <w:p w14:paraId="512A0837">
            <w:pPr>
              <w:spacing w:line="360" w:lineRule="auto"/>
              <w:ind w:right="-55" w:firstLine="472"/>
              <w:jc w:val="center"/>
              <w:rPr>
                <w:rFonts w:hint="eastAsia" w:ascii="宋体" w:hAnsi="宋体" w:eastAsia="宋体" w:cs="宋体"/>
                <w:szCs w:val="21"/>
                <w:highlight w:val="none"/>
              </w:rPr>
            </w:pPr>
          </w:p>
        </w:tc>
        <w:tc>
          <w:tcPr>
            <w:tcW w:w="634" w:type="pct"/>
            <w:vAlign w:val="center"/>
          </w:tcPr>
          <w:p w14:paraId="19A4D72E">
            <w:pPr>
              <w:spacing w:line="360" w:lineRule="auto"/>
              <w:ind w:right="-55" w:firstLine="472"/>
              <w:jc w:val="center"/>
              <w:rPr>
                <w:rFonts w:hint="eastAsia" w:ascii="宋体" w:hAnsi="宋体" w:eastAsia="宋体" w:cs="宋体"/>
                <w:szCs w:val="21"/>
                <w:highlight w:val="none"/>
              </w:rPr>
            </w:pPr>
          </w:p>
        </w:tc>
        <w:tc>
          <w:tcPr>
            <w:tcW w:w="860" w:type="pct"/>
            <w:vAlign w:val="center"/>
          </w:tcPr>
          <w:p w14:paraId="49B4FA7A">
            <w:pPr>
              <w:spacing w:line="360" w:lineRule="auto"/>
              <w:ind w:right="-55" w:firstLine="472"/>
              <w:jc w:val="center"/>
              <w:rPr>
                <w:rFonts w:hint="eastAsia" w:ascii="宋体" w:hAnsi="宋体" w:eastAsia="宋体" w:cs="宋体"/>
                <w:szCs w:val="21"/>
                <w:highlight w:val="none"/>
              </w:rPr>
            </w:pPr>
          </w:p>
        </w:tc>
        <w:tc>
          <w:tcPr>
            <w:tcW w:w="860" w:type="pct"/>
            <w:vAlign w:val="center"/>
          </w:tcPr>
          <w:p w14:paraId="55F9D78A">
            <w:pPr>
              <w:spacing w:line="360" w:lineRule="auto"/>
              <w:ind w:right="-55" w:firstLine="472"/>
              <w:jc w:val="center"/>
              <w:rPr>
                <w:rFonts w:hint="eastAsia" w:ascii="宋体" w:hAnsi="宋体" w:eastAsia="宋体" w:cs="宋体"/>
                <w:szCs w:val="21"/>
                <w:highlight w:val="none"/>
              </w:rPr>
            </w:pPr>
          </w:p>
        </w:tc>
      </w:tr>
      <w:tr w14:paraId="45E8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14:paraId="53AEE06B">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769" w:type="pct"/>
            <w:vAlign w:val="center"/>
          </w:tcPr>
          <w:p w14:paraId="2D7DC12F">
            <w:pPr>
              <w:spacing w:line="360" w:lineRule="auto"/>
              <w:ind w:right="-55" w:firstLine="472"/>
              <w:jc w:val="center"/>
              <w:rPr>
                <w:rFonts w:hint="eastAsia" w:ascii="宋体" w:hAnsi="宋体" w:eastAsia="宋体" w:cs="宋体"/>
                <w:szCs w:val="21"/>
                <w:highlight w:val="none"/>
              </w:rPr>
            </w:pPr>
          </w:p>
        </w:tc>
        <w:tc>
          <w:tcPr>
            <w:tcW w:w="570" w:type="pct"/>
            <w:vAlign w:val="center"/>
          </w:tcPr>
          <w:p w14:paraId="0B7FED0C">
            <w:pPr>
              <w:spacing w:line="360" w:lineRule="auto"/>
              <w:ind w:right="-55" w:firstLine="472"/>
              <w:jc w:val="center"/>
              <w:rPr>
                <w:rFonts w:hint="eastAsia" w:ascii="宋体" w:hAnsi="宋体" w:eastAsia="宋体" w:cs="宋体"/>
                <w:szCs w:val="21"/>
                <w:highlight w:val="none"/>
              </w:rPr>
            </w:pPr>
          </w:p>
        </w:tc>
        <w:tc>
          <w:tcPr>
            <w:tcW w:w="634" w:type="pct"/>
            <w:vAlign w:val="center"/>
          </w:tcPr>
          <w:p w14:paraId="3FA26DDF">
            <w:pPr>
              <w:spacing w:line="360" w:lineRule="auto"/>
              <w:ind w:right="-55" w:firstLine="472"/>
              <w:jc w:val="center"/>
              <w:rPr>
                <w:rFonts w:hint="eastAsia" w:ascii="宋体" w:hAnsi="宋体" w:eastAsia="宋体" w:cs="宋体"/>
                <w:szCs w:val="21"/>
                <w:highlight w:val="none"/>
              </w:rPr>
            </w:pPr>
          </w:p>
        </w:tc>
        <w:tc>
          <w:tcPr>
            <w:tcW w:w="860" w:type="pct"/>
            <w:vAlign w:val="center"/>
          </w:tcPr>
          <w:p w14:paraId="7AA0A38F">
            <w:pPr>
              <w:spacing w:line="360" w:lineRule="auto"/>
              <w:ind w:right="-55" w:firstLine="472"/>
              <w:jc w:val="center"/>
              <w:rPr>
                <w:rFonts w:hint="eastAsia" w:ascii="宋体" w:hAnsi="宋体" w:eastAsia="宋体" w:cs="宋体"/>
                <w:szCs w:val="21"/>
                <w:highlight w:val="none"/>
              </w:rPr>
            </w:pPr>
          </w:p>
        </w:tc>
        <w:tc>
          <w:tcPr>
            <w:tcW w:w="860" w:type="pct"/>
            <w:vAlign w:val="center"/>
          </w:tcPr>
          <w:p w14:paraId="2F98153A">
            <w:pPr>
              <w:spacing w:line="360" w:lineRule="auto"/>
              <w:ind w:right="-55" w:firstLine="472"/>
              <w:jc w:val="center"/>
              <w:rPr>
                <w:rFonts w:hint="eastAsia" w:ascii="宋体" w:hAnsi="宋体" w:eastAsia="宋体" w:cs="宋体"/>
                <w:szCs w:val="21"/>
                <w:highlight w:val="none"/>
              </w:rPr>
            </w:pPr>
          </w:p>
        </w:tc>
      </w:tr>
    </w:tbl>
    <w:p w14:paraId="15CF8C1C">
      <w:pPr>
        <w:adjustRightInd w:val="0"/>
        <w:snapToGrid w:val="0"/>
        <w:spacing w:line="300" w:lineRule="auto"/>
        <w:rPr>
          <w:rFonts w:hint="eastAsia" w:ascii="宋体" w:hAnsi="宋体" w:eastAsia="宋体" w:cs="宋体"/>
          <w:b w:val="0"/>
          <w:bCs w:val="0"/>
          <w:color w:val="auto"/>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供应商需提供团队人员的相关工作经验介绍材料，如：合同证明材料/客户评价材料/学历/职称/资质证书复印件等</w:t>
      </w:r>
      <w:r>
        <w:rPr>
          <w:rFonts w:hint="eastAsia" w:ascii="宋体" w:hAnsi="宋体" w:eastAsia="宋体" w:cs="宋体"/>
          <w:b w:val="0"/>
          <w:bCs w:val="0"/>
          <w:color w:val="auto"/>
          <w:highlight w:val="none"/>
        </w:rPr>
        <w:t>。</w:t>
      </w:r>
    </w:p>
    <w:p w14:paraId="4E4E2384">
      <w:pP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p>
    <w:p w14:paraId="0CA25428">
      <w:pPr>
        <w:pStyle w:val="3"/>
        <w:numPr>
          <w:ilvl w:val="1"/>
          <w:numId w:val="12"/>
        </w:numPr>
        <w:rPr>
          <w:rFonts w:hint="eastAsia" w:ascii="宋体" w:hAnsi="宋体" w:eastAsia="宋体" w:cs="宋体"/>
          <w:highlight w:val="none"/>
        </w:rPr>
      </w:pPr>
      <w:bookmarkStart w:id="137" w:name="_Toc22512"/>
      <w:bookmarkStart w:id="138" w:name="_Toc104"/>
      <w:r>
        <w:rPr>
          <w:rFonts w:hint="eastAsia" w:ascii="宋体" w:hAnsi="宋体" w:eastAsia="宋体" w:cs="宋体"/>
          <w:highlight w:val="none"/>
        </w:rPr>
        <w:t>本项目的实施方案</w:t>
      </w:r>
      <w:bookmarkEnd w:id="137"/>
      <w:bookmarkEnd w:id="138"/>
    </w:p>
    <w:p w14:paraId="1CD96D37">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0E82D2BC">
      <w:pPr>
        <w:widowControl/>
        <w:numPr>
          <w:ilvl w:val="0"/>
          <w:numId w:val="0"/>
        </w:numPr>
        <w:jc w:val="left"/>
        <w:rPr>
          <w:rFonts w:hint="eastAsia" w:ascii="宋体" w:hAnsi="宋体" w:cs="宋体"/>
          <w:kern w:val="2"/>
          <w:sz w:val="21"/>
          <w:szCs w:val="24"/>
          <w:lang w:val="en-US" w:eastAsia="zh-CN" w:bidi="ar-SA"/>
        </w:rPr>
      </w:pPr>
    </w:p>
    <w:p w14:paraId="4CE895E7">
      <w:pPr>
        <w:widowControl/>
        <w:numPr>
          <w:ilvl w:val="0"/>
          <w:numId w:val="0"/>
        </w:numPr>
        <w:jc w:val="left"/>
        <w:rPr>
          <w:rFonts w:hint="eastAsia" w:ascii="宋体" w:hAnsi="宋体" w:eastAsia="宋体" w:cs="宋体"/>
          <w:bCs/>
          <w:i/>
          <w:iCs/>
          <w:color w:val="000000" w:themeColor="text1"/>
          <w:sz w:val="20"/>
          <w:szCs w:val="20"/>
          <w14:textFill>
            <w14:solidFill>
              <w14:schemeClr w14:val="tx1"/>
            </w14:solidFill>
          </w14:textFill>
        </w:rPr>
      </w:pPr>
      <w:r>
        <w:rPr>
          <w:rFonts w:hint="eastAsia" w:ascii="宋体" w:hAnsi="宋体" w:cs="宋体"/>
          <w:i/>
          <w:iCs/>
          <w:kern w:val="2"/>
          <w:sz w:val="20"/>
          <w:szCs w:val="22"/>
          <w:lang w:val="en-US" w:eastAsia="zh-CN" w:bidi="ar-SA"/>
        </w:rPr>
        <w:t>注：应至少</w:t>
      </w:r>
      <w:r>
        <w:rPr>
          <w:rFonts w:hint="eastAsia" w:ascii="宋体" w:hAnsi="宋体" w:eastAsia="宋体" w:cs="宋体"/>
          <w:bCs/>
          <w:i/>
          <w:iCs/>
          <w:color w:val="000000" w:themeColor="text1"/>
          <w:sz w:val="20"/>
          <w:szCs w:val="20"/>
          <w14:textFill>
            <w14:solidFill>
              <w14:schemeClr w14:val="tx1"/>
            </w14:solidFill>
          </w14:textFill>
        </w:rPr>
        <w:t>包括但不限于</w:t>
      </w:r>
      <w:r>
        <w:rPr>
          <w:rFonts w:hint="eastAsia" w:ascii="宋体" w:hAnsi="宋体" w:eastAsia="宋体" w:cs="宋体"/>
          <w:bCs/>
          <w:i/>
          <w:iCs/>
          <w:color w:val="000000" w:themeColor="text1"/>
          <w:sz w:val="20"/>
          <w:szCs w:val="20"/>
          <w:lang w:val="en-US" w:eastAsia="zh-CN"/>
          <w14:textFill>
            <w14:solidFill>
              <w14:schemeClr w14:val="tx1"/>
            </w14:solidFill>
          </w14:textFill>
        </w:rPr>
        <w:t>项目理解、</w:t>
      </w:r>
      <w:r>
        <w:rPr>
          <w:rFonts w:hint="eastAsia" w:ascii="宋体" w:hAnsi="宋体" w:cs="宋体"/>
          <w:bCs/>
          <w:i/>
          <w:iCs/>
          <w:color w:val="000000" w:themeColor="text1"/>
          <w:sz w:val="20"/>
          <w:szCs w:val="20"/>
          <w:lang w:val="en-US" w:eastAsia="zh-CN"/>
          <w14:textFill>
            <w14:solidFill>
              <w14:schemeClr w14:val="tx1"/>
            </w14:solidFill>
          </w14:textFill>
        </w:rPr>
        <w:t>项目执行方案（需包含点心盒、能量包、行李牌、文件夹、宣传手册的设计图，并有产品设计思路阐述）</w:t>
      </w:r>
      <w:r>
        <w:rPr>
          <w:rFonts w:hint="eastAsia" w:ascii="宋体" w:hAnsi="宋体" w:eastAsia="宋体" w:cs="宋体"/>
          <w:bCs/>
          <w:i/>
          <w:iCs/>
          <w:color w:val="000000" w:themeColor="text1"/>
          <w:sz w:val="20"/>
          <w:szCs w:val="20"/>
          <w:lang w:val="en-US" w:eastAsia="zh-CN"/>
          <w14:textFill>
            <w14:solidFill>
              <w14:schemeClr w14:val="tx1"/>
            </w14:solidFill>
          </w14:textFill>
        </w:rPr>
        <w:t>、货物及服务质量保障措施</w:t>
      </w:r>
      <w:r>
        <w:rPr>
          <w:rFonts w:hint="eastAsia" w:ascii="宋体" w:hAnsi="宋体" w:cs="宋体"/>
          <w:bCs/>
          <w:i/>
          <w:iCs/>
          <w:color w:val="000000" w:themeColor="text1"/>
          <w:sz w:val="20"/>
          <w:szCs w:val="20"/>
          <w:lang w:val="en-US" w:eastAsia="zh-CN"/>
          <w14:textFill>
            <w14:solidFill>
              <w14:schemeClr w14:val="tx1"/>
            </w14:solidFill>
          </w14:textFill>
        </w:rPr>
        <w:t>、应急保障措施</w:t>
      </w:r>
      <w:r>
        <w:rPr>
          <w:rFonts w:hint="eastAsia" w:ascii="宋体" w:hAnsi="宋体" w:eastAsia="宋体" w:cs="宋体"/>
          <w:bCs/>
          <w:i/>
          <w:iCs/>
          <w:color w:val="000000" w:themeColor="text1"/>
          <w:sz w:val="20"/>
          <w:szCs w:val="20"/>
          <w:lang w:val="en-US" w:eastAsia="zh-CN"/>
          <w14:textFill>
            <w14:solidFill>
              <w14:schemeClr w14:val="tx1"/>
            </w14:solidFill>
          </w14:textFill>
        </w:rPr>
        <w:t>、服务进度安排方案</w:t>
      </w:r>
      <w:r>
        <w:rPr>
          <w:rFonts w:hint="eastAsia" w:ascii="宋体" w:hAnsi="宋体" w:eastAsia="宋体" w:cs="宋体"/>
          <w:bCs/>
          <w:i/>
          <w:iCs/>
          <w:color w:val="000000" w:themeColor="text1"/>
          <w:sz w:val="20"/>
          <w:szCs w:val="20"/>
          <w14:textFill>
            <w14:solidFill>
              <w14:schemeClr w14:val="tx1"/>
            </w14:solidFill>
          </w14:textFill>
        </w:rPr>
        <w:t>等</w:t>
      </w:r>
    </w:p>
    <w:p w14:paraId="436251E2">
      <w:pPr>
        <w:adjustRightInd w:val="0"/>
        <w:snapToGrid w:val="0"/>
        <w:spacing w:line="300" w:lineRule="auto"/>
        <w:rPr>
          <w:rFonts w:hint="eastAsia" w:ascii="宋体" w:hAnsi="宋体" w:eastAsia="宋体" w:cs="宋体"/>
          <w:highlight w:val="none"/>
        </w:rPr>
      </w:pPr>
      <w:r>
        <w:rPr>
          <w:rFonts w:hint="eastAsia" w:ascii="宋体" w:hAnsi="宋体" w:eastAsia="宋体" w:cs="宋体"/>
          <w:highlight w:val="none"/>
        </w:rPr>
        <w:br w:type="page"/>
      </w:r>
    </w:p>
    <w:p w14:paraId="54891608">
      <w:pPr>
        <w:pStyle w:val="3"/>
        <w:numPr>
          <w:ilvl w:val="1"/>
          <w:numId w:val="12"/>
        </w:numPr>
        <w:rPr>
          <w:rFonts w:hint="eastAsia" w:ascii="宋体" w:hAnsi="宋体" w:eastAsia="宋体" w:cs="宋体"/>
          <w:highlight w:val="none"/>
        </w:rPr>
      </w:pPr>
      <w:bookmarkStart w:id="139" w:name="_Toc68688822"/>
      <w:bookmarkStart w:id="140" w:name="_Toc56432254"/>
      <w:bookmarkStart w:id="141" w:name="_Toc15928"/>
      <w:bookmarkStart w:id="142" w:name="_Toc17083"/>
      <w:bookmarkStart w:id="143" w:name="_Toc1651923"/>
      <w:bookmarkStart w:id="144" w:name="_Toc17138"/>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139"/>
      <w:bookmarkEnd w:id="140"/>
      <w:bookmarkEnd w:id="141"/>
      <w:bookmarkEnd w:id="142"/>
      <w:bookmarkEnd w:id="143"/>
      <w:r>
        <w:rPr>
          <w:rFonts w:hint="eastAsia" w:ascii="宋体" w:hAnsi="宋体" w:eastAsia="宋体" w:cs="宋体"/>
          <w:highlight w:val="none"/>
        </w:rPr>
        <w:t>函</w:t>
      </w:r>
      <w:bookmarkEnd w:id="144"/>
    </w:p>
    <w:p w14:paraId="006EE09B">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十五运定制化媒体包物资综合保障采购项目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p>
    <w:p w14:paraId="19420E1D">
      <w:p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今日（广东）国际传播有限公司</w:t>
      </w:r>
      <w:r>
        <w:rPr>
          <w:rFonts w:hint="eastAsia" w:ascii="宋体" w:hAnsi="宋体" w:eastAsia="宋体" w:cs="宋体"/>
          <w:b/>
          <w:sz w:val="21"/>
          <w:szCs w:val="21"/>
        </w:rPr>
        <w:t>：</w:t>
      </w:r>
    </w:p>
    <w:p w14:paraId="0AC0AB8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eastAsia="zh-CN"/>
        </w:rPr>
        <w:t>十五运定制化媒体包物资综合保障采购项目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eastAsia="zh-CN"/>
        </w:rPr>
        <w:t>JC-202509005</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6878"/>
      </w:tblGrid>
      <w:tr w14:paraId="6942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8E279A2">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0B1430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eastAsia="zh-CN"/>
              </w:rPr>
              <w:t>十五运定制化媒体包物资综合保障采购项目</w:t>
            </w:r>
          </w:p>
        </w:tc>
      </w:tr>
      <w:tr w14:paraId="107D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675F6BF">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3C138D0D">
            <w:pPr>
              <w:widowControl/>
              <w:jc w:val="center"/>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rPr>
              <w:t>元</w:t>
            </w:r>
            <w:r>
              <w:rPr>
                <w:rFonts w:hint="eastAsia" w:ascii="宋体" w:hAnsi="宋体" w:eastAsia="宋体" w:cs="宋体"/>
                <w:b w:val="0"/>
                <w:bCs w:val="0"/>
                <w:kern w:val="0"/>
                <w:sz w:val="21"/>
                <w:szCs w:val="21"/>
                <w:lang w:eastAsia="zh-CN"/>
              </w:rPr>
              <w:t>（含税）</w:t>
            </w:r>
          </w:p>
        </w:tc>
      </w:tr>
      <w:tr w14:paraId="131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70786621">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16DB673">
            <w:pPr>
              <w:widowControl/>
              <w:jc w:val="center"/>
              <w:textAlignment w:val="center"/>
              <w:rPr>
                <w:rFonts w:hint="eastAsia" w:ascii="宋体" w:hAnsi="宋体" w:eastAsia="宋体" w:cs="宋体"/>
                <w:b w:val="0"/>
                <w:bCs w:val="0"/>
                <w:color w:val="000000"/>
                <w:sz w:val="21"/>
                <w:szCs w:val="21"/>
                <w:u w:val="single"/>
                <w:lang w:val="en-US" w:eastAsia="zh-CN"/>
              </w:rPr>
            </w:pP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none"/>
                <w:lang w:val="en-US" w:eastAsia="zh-CN"/>
              </w:rPr>
              <w:t>%</w:t>
            </w:r>
          </w:p>
        </w:tc>
      </w:tr>
      <w:tr w14:paraId="0181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043F664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017DCB0">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5FBEBB97">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7D19689D">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651A63DE">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1951A2FE">
      <w:pPr>
        <w:rPr>
          <w:rFonts w:hint="eastAsia" w:ascii="宋体" w:hAnsi="宋体" w:eastAsia="宋体" w:cs="宋体"/>
          <w:szCs w:val="21"/>
          <w:lang w:eastAsia="zh-CN"/>
        </w:rPr>
      </w:pPr>
      <w:r>
        <w:rPr>
          <w:rFonts w:hint="eastAsia" w:ascii="宋体" w:hAnsi="宋体" w:eastAsia="宋体" w:cs="宋体"/>
          <w:szCs w:val="21"/>
          <w:lang w:eastAsia="zh-CN"/>
        </w:rPr>
        <w:br w:type="page"/>
      </w:r>
    </w:p>
    <w:p w14:paraId="7A6F98DF">
      <w:pPr>
        <w:pStyle w:val="37"/>
        <w:tabs>
          <w:tab w:val="left" w:pos="588"/>
        </w:tabs>
        <w:snapToGrid w:val="0"/>
        <w:spacing w:before="120" w:after="120" w:line="440" w:lineRule="exact"/>
        <w:jc w:val="left"/>
        <w:outlineLvl w:val="9"/>
        <w:rPr>
          <w:rFonts w:ascii="宋体" w:hAnsi="宋体" w:cs="宋体"/>
          <w:sz w:val="24"/>
          <w:szCs w:val="24"/>
        </w:rPr>
      </w:pPr>
      <w:bookmarkStart w:id="145" w:name="_Toc20456"/>
      <w:bookmarkStart w:id="146" w:name="_Toc28567"/>
      <w:bookmarkStart w:id="147" w:name="_Toc10667"/>
      <w:r>
        <w:rPr>
          <w:rFonts w:hint="eastAsia" w:ascii="宋体" w:hAnsi="宋体" w:cs="宋体"/>
          <w:sz w:val="24"/>
          <w:szCs w:val="24"/>
        </w:rPr>
        <w:t>附件：分项一览表</w:t>
      </w:r>
      <w:bookmarkEnd w:id="145"/>
      <w:r>
        <w:rPr>
          <w:rFonts w:hint="eastAsia" w:ascii="宋体" w:hAnsi="宋体" w:cs="宋体"/>
          <w:sz w:val="24"/>
          <w:szCs w:val="24"/>
        </w:rPr>
        <w:t>（格式</w:t>
      </w:r>
      <w:r>
        <w:rPr>
          <w:rFonts w:hint="eastAsia" w:ascii="宋体" w:hAnsi="宋体" w:cs="宋体"/>
          <w:sz w:val="24"/>
          <w:szCs w:val="24"/>
          <w:lang w:val="en-US" w:eastAsia="zh-CN"/>
        </w:rPr>
        <w:t>自拟</w:t>
      </w:r>
      <w:r>
        <w:rPr>
          <w:rFonts w:hint="eastAsia" w:ascii="宋体" w:hAnsi="宋体" w:cs="宋体"/>
          <w:sz w:val="24"/>
          <w:szCs w:val="24"/>
        </w:rPr>
        <w:t>）</w:t>
      </w:r>
      <w:bookmarkEnd w:id="146"/>
      <w:bookmarkEnd w:id="147"/>
    </w:p>
    <w:p w14:paraId="3C322C23">
      <w:pPr>
        <w:spacing w:line="360" w:lineRule="auto"/>
        <w:rPr>
          <w:rFonts w:hint="eastAsia" w:ascii="宋体" w:hAnsi="宋体" w:eastAsia="宋体" w:cs="宋体"/>
          <w:u w:val="single"/>
          <w:lang w:eastAsia="zh-CN"/>
        </w:rPr>
      </w:pPr>
      <w:r>
        <w:rPr>
          <w:rFonts w:hint="eastAsia" w:ascii="宋体" w:hAnsi="宋体" w:cs="宋体"/>
        </w:rPr>
        <w:t>项目名称：</w:t>
      </w:r>
      <w:r>
        <w:rPr>
          <w:rFonts w:hint="eastAsia" w:ascii="宋体" w:hAnsi="宋体" w:cs="宋体"/>
          <w:sz w:val="21"/>
          <w:szCs w:val="21"/>
          <w:u w:val="single"/>
          <w:lang w:eastAsia="zh-CN"/>
        </w:rPr>
        <w:t>十五运定制化媒体包物资综合保障采购项目</w:t>
      </w:r>
    </w:p>
    <w:p w14:paraId="43BCC493">
      <w:pPr>
        <w:autoSpaceDE w:val="0"/>
        <w:autoSpaceDN w:val="0"/>
        <w:adjustRightInd w:val="0"/>
        <w:ind w:left="424" w:hanging="424" w:hangingChars="202"/>
        <w:jc w:val="left"/>
        <w:rPr>
          <w:rFonts w:hint="eastAsia" w:ascii="宋体" w:hAnsi="宋体" w:eastAsia="宋体" w:cs="宋体"/>
          <w:szCs w:val="21"/>
          <w:u w:val="single"/>
          <w:lang w:eastAsia="zh-CN"/>
        </w:rPr>
      </w:pPr>
      <w:r>
        <w:rPr>
          <w:rFonts w:hint="eastAsia" w:ascii="宋体" w:hAnsi="宋体" w:cs="宋体"/>
        </w:rPr>
        <w:t>项目编号：</w:t>
      </w:r>
      <w:r>
        <w:rPr>
          <w:rFonts w:hint="eastAsia" w:ascii="宋体" w:hAnsi="宋体" w:cs="宋体"/>
          <w:b w:val="0"/>
          <w:bCs/>
          <w:sz w:val="21"/>
          <w:szCs w:val="21"/>
          <w:u w:val="single"/>
          <w:lang w:eastAsia="zh-CN"/>
        </w:rPr>
        <w:t>JC-202509005</w:t>
      </w:r>
    </w:p>
    <w:p w14:paraId="219DAE8E">
      <w:pPr>
        <w:pStyle w:val="16"/>
        <w:rPr>
          <w:rFonts w:ascii="宋体" w:hAnsi="宋体" w:cs="宋体"/>
          <w:sz w:val="21"/>
          <w:szCs w:val="21"/>
        </w:rPr>
      </w:pPr>
    </w:p>
    <w:p w14:paraId="26ACE1E9">
      <w:pPr>
        <w:pStyle w:val="16"/>
        <w:rPr>
          <w:rFonts w:ascii="宋体" w:hAnsi="宋体" w:cs="宋体"/>
          <w:sz w:val="21"/>
          <w:szCs w:val="21"/>
        </w:rPr>
      </w:pPr>
    </w:p>
    <w:p w14:paraId="4183E89C">
      <w:pPr>
        <w:pStyle w:val="16"/>
        <w:rPr>
          <w:rFonts w:ascii="宋体" w:hAnsi="宋体" w:cs="宋体"/>
          <w:sz w:val="21"/>
          <w:szCs w:val="21"/>
        </w:rPr>
      </w:pPr>
    </w:p>
    <w:p w14:paraId="517701F4">
      <w:pPr>
        <w:pStyle w:val="16"/>
        <w:rPr>
          <w:rFonts w:ascii="宋体" w:hAnsi="宋体" w:cs="宋体"/>
          <w:sz w:val="21"/>
          <w:szCs w:val="21"/>
        </w:rPr>
      </w:pPr>
    </w:p>
    <w:p w14:paraId="533A001A">
      <w:pPr>
        <w:pStyle w:val="16"/>
        <w:rPr>
          <w:rFonts w:ascii="宋体" w:hAnsi="宋体" w:cs="宋体"/>
          <w:sz w:val="21"/>
          <w:szCs w:val="21"/>
        </w:rPr>
      </w:pPr>
      <w:r>
        <w:rPr>
          <w:rFonts w:hint="eastAsia" w:ascii="宋体" w:hAnsi="宋体" w:cs="宋体"/>
          <w:sz w:val="21"/>
          <w:szCs w:val="21"/>
        </w:rPr>
        <w:t>1、响应报价为供应商最终的响应报价，包含《第</w:t>
      </w:r>
      <w:r>
        <w:rPr>
          <w:rFonts w:hint="eastAsia" w:ascii="宋体" w:hAnsi="宋体" w:cs="宋体"/>
          <w:sz w:val="21"/>
          <w:szCs w:val="21"/>
          <w:lang w:val="en-US" w:eastAsia="zh-CN"/>
        </w:rPr>
        <w:t>四</w:t>
      </w:r>
      <w:r>
        <w:rPr>
          <w:rFonts w:hint="eastAsia" w:ascii="宋体" w:hAnsi="宋体" w:cs="宋体"/>
          <w:sz w:val="21"/>
          <w:szCs w:val="21"/>
        </w:rPr>
        <w:t>章 采购需求书》所述服务需要的全部费用。如果供应商在成交并签署合同后，在项目实施过程中出现任何遗漏，均由成交单位免费提供，采购人将不再支付任何费用。</w:t>
      </w:r>
    </w:p>
    <w:p w14:paraId="0388C140">
      <w:pPr>
        <w:pStyle w:val="16"/>
        <w:rPr>
          <w:rFonts w:hint="default" w:ascii="宋体" w:hAnsi="宋体" w:eastAsia="宋体" w:cs="宋体"/>
          <w:sz w:val="21"/>
          <w:szCs w:val="21"/>
          <w:lang w:val="en-US" w:eastAsia="zh-CN"/>
        </w:rPr>
      </w:pPr>
      <w:r>
        <w:rPr>
          <w:rFonts w:hint="eastAsia" w:ascii="宋体" w:hAnsi="宋体" w:cs="宋体"/>
          <w:sz w:val="21"/>
          <w:szCs w:val="21"/>
        </w:rPr>
        <w:t>2、请供应商进行详细的报价清单分析。</w:t>
      </w:r>
      <w:r>
        <w:rPr>
          <w:rFonts w:hint="eastAsia" w:ascii="宋体" w:hAnsi="宋体" w:cs="宋体"/>
          <w:b/>
          <w:bCs/>
          <w:sz w:val="21"/>
          <w:szCs w:val="21"/>
        </w:rPr>
        <w:t>本项目总价最高限价为494000.00元，其中“物资采购服务”设置最高单价限价为68.5元/份，供应商含税报价不得超出上述最高限价</w:t>
      </w:r>
      <w:r>
        <w:rPr>
          <w:rFonts w:hint="eastAsia" w:ascii="宋体" w:hAnsi="宋体" w:cs="宋体"/>
          <w:i w:val="0"/>
          <w:iCs w:val="0"/>
          <w:color w:val="auto"/>
          <w:kern w:val="2"/>
          <w:sz w:val="21"/>
          <w:szCs w:val="21"/>
          <w:lang w:val="en-US" w:eastAsia="zh-CN" w:bidi="ar-SA"/>
        </w:rPr>
        <w:t>。</w:t>
      </w:r>
    </w:p>
    <w:p w14:paraId="2ECF4B2C">
      <w:pPr>
        <w:pStyle w:val="16"/>
        <w:rPr>
          <w:rFonts w:ascii="宋体" w:hAnsi="宋体" w:cs="宋体"/>
          <w:sz w:val="21"/>
          <w:szCs w:val="21"/>
        </w:rPr>
      </w:pPr>
      <w:r>
        <w:rPr>
          <w:rFonts w:hint="eastAsia" w:ascii="宋体" w:hAnsi="宋体" w:cs="宋体"/>
          <w:sz w:val="21"/>
          <w:szCs w:val="21"/>
        </w:rPr>
        <w:t>3、分项报价表合计总价应与报价一览表的含税总报价一致。</w:t>
      </w:r>
    </w:p>
    <w:p w14:paraId="0B97D5DA">
      <w:pPr>
        <w:pStyle w:val="16"/>
        <w:rPr>
          <w:rFonts w:ascii="宋体" w:hAnsi="宋体" w:cs="宋体"/>
          <w:sz w:val="21"/>
          <w:szCs w:val="21"/>
        </w:rPr>
      </w:pPr>
    </w:p>
    <w:p w14:paraId="76DDB82E">
      <w:pPr>
        <w:pStyle w:val="16"/>
        <w:rPr>
          <w:rFonts w:ascii="宋体" w:hAnsi="宋体" w:cs="宋体"/>
          <w:sz w:val="21"/>
          <w:szCs w:val="21"/>
        </w:rPr>
      </w:pPr>
    </w:p>
    <w:p w14:paraId="17553099">
      <w:pPr>
        <w:pStyle w:val="16"/>
        <w:rPr>
          <w:rFonts w:ascii="宋体" w:hAnsi="宋体" w:cs="宋体"/>
        </w:rPr>
      </w:pPr>
    </w:p>
    <w:p w14:paraId="54D3C794">
      <w:pPr>
        <w:wordWrap w:val="0"/>
        <w:spacing w:line="300" w:lineRule="auto"/>
        <w:ind w:right="120"/>
        <w:jc w:val="right"/>
        <w:rPr>
          <w:rFonts w:ascii="宋体" w:hAnsi="宋体" w:cs="宋体"/>
          <w:szCs w:val="21"/>
        </w:rPr>
      </w:pPr>
      <w:r>
        <w:rPr>
          <w:rFonts w:hint="eastAsia" w:ascii="宋体" w:hAnsi="宋体" w:cs="宋体"/>
          <w:sz w:val="24"/>
          <w:szCs w:val="21"/>
        </w:rPr>
        <w:t xml:space="preserve"> </w:t>
      </w: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（盖单位公章）</w:t>
      </w:r>
    </w:p>
    <w:p w14:paraId="1B593A44">
      <w:pPr>
        <w:spacing w:line="300" w:lineRule="auto"/>
        <w:ind w:right="120"/>
        <w:jc w:val="right"/>
        <w:rPr>
          <w:rFonts w:ascii="宋体" w:hAnsi="宋体" w:cs="宋体"/>
          <w:szCs w:val="21"/>
        </w:rPr>
      </w:pPr>
      <w:r>
        <w:rPr>
          <w:rFonts w:hint="eastAsia" w:ascii="宋体" w:hAnsi="宋体" w:cs="宋体"/>
          <w:szCs w:val="21"/>
        </w:rPr>
        <w:t>法定代表人（</w:t>
      </w:r>
      <w:r>
        <w:rPr>
          <w:rFonts w:hint="eastAsia" w:ascii="宋体" w:hAnsi="宋体" w:cs="宋体"/>
        </w:rPr>
        <w:t>负责人）</w:t>
      </w:r>
      <w:r>
        <w:rPr>
          <w:rFonts w:hint="eastAsia" w:ascii="宋体" w:hAnsi="宋体" w:cs="宋体"/>
          <w:szCs w:val="21"/>
        </w:rPr>
        <w:t>或者其委托代理人：</w:t>
      </w:r>
      <w:r>
        <w:rPr>
          <w:rFonts w:hint="eastAsia" w:ascii="宋体" w:hAnsi="宋体" w:cs="宋体"/>
          <w:szCs w:val="21"/>
          <w:u w:val="single"/>
        </w:rPr>
        <w:t xml:space="preserve">               </w:t>
      </w:r>
      <w:r>
        <w:rPr>
          <w:rFonts w:hint="eastAsia" w:ascii="宋体" w:hAnsi="宋体" w:cs="宋体"/>
          <w:szCs w:val="21"/>
        </w:rPr>
        <w:t>（签字或盖章）</w:t>
      </w:r>
    </w:p>
    <w:p w14:paraId="2366C382">
      <w:pPr>
        <w:spacing w:line="300" w:lineRule="auto"/>
        <w:ind w:right="120"/>
        <w:jc w:val="right"/>
        <w:rPr>
          <w:rFonts w:hint="eastAsia" w:ascii="宋体" w:hAnsi="宋体" w:eastAsia="宋体" w:cs="宋体"/>
          <w:szCs w:val="21"/>
          <w:lang w:eastAsia="zh-CN"/>
        </w:rPr>
      </w:pPr>
      <w:r>
        <w:rPr>
          <w:rFonts w:hint="eastAsia" w:ascii="宋体" w:hAnsi="宋体" w:cs="宋体"/>
          <w:szCs w:val="21"/>
          <w:u w:val="single"/>
        </w:rPr>
        <w:t xml:space="preserve">     </w:t>
      </w:r>
      <w:r>
        <w:rPr>
          <w:rFonts w:hint="eastAsia" w:ascii="宋体" w:hAnsi="宋体" w:eastAsia="宋体" w:cs="宋体"/>
          <w:szCs w:val="21"/>
        </w:rPr>
        <w:t>年</w:t>
      </w:r>
      <w:r>
        <w:rPr>
          <w:rFonts w:hint="eastAsia" w:ascii="宋体" w:hAnsi="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rPr>
        <w:t xml:space="preserve">     </w:t>
      </w:r>
      <w:r>
        <w:rPr>
          <w:rFonts w:hint="eastAsia" w:ascii="宋体" w:hAnsi="宋体" w:eastAsia="宋体" w:cs="宋体"/>
          <w:szCs w:val="21"/>
        </w:rPr>
        <w:t>日</w:t>
      </w:r>
    </w:p>
    <w:p w14:paraId="48687B50">
      <w:pPr>
        <w:rPr>
          <w:rFonts w:hint="eastAsia" w:ascii="宋体" w:hAnsi="宋体" w:eastAsia="宋体" w:cs="宋体"/>
          <w:szCs w:val="21"/>
          <w:lang w:eastAsia="zh-CN"/>
        </w:rPr>
      </w:pPr>
    </w:p>
    <w:sectPr>
      <w:footerReference r:id="rId10" w:type="default"/>
      <w:pgSz w:w="11906" w:h="16838"/>
      <w:pgMar w:top="1418"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47F9555A-D182-42CE-87B7-F789C156B3CE}"/>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1A0C69F7-B178-4F34-B91E-F796BA6D363D}"/>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3" w:fontKey="{8ACC8AE3-7EF8-4481-8410-0EE15A9DAC5F}"/>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5918">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6EF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CD36EF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7AD5">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0C17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30C17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0E2D">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55A8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455A8B">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7D04">
    <w:pPr>
      <w:jc w:val="center"/>
      <w:rPr>
        <w:rFonts w:asciiTheme="minorEastAsia" w:hAnsiTheme="minorEastAsia" w:eastAsiaTheme="minor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FE63">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35FE63">
                    <w:pPr>
                      <w:pStyle w:val="2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265D5277">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DFF8">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B9E2E">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1B9E2E">
                    <w:pPr>
                      <w:pStyle w:val="26"/>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99B5">
    <w:pPr>
      <w:pStyle w:val="28"/>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68BB">
    <w:pPr>
      <w:pStyle w:val="28"/>
      <w:jc w:val="right"/>
      <w:rPr>
        <w:rFonts w:ascii="宋体" w:hAnsi="宋体"/>
      </w:rPr>
    </w:pPr>
    <w:r>
      <w:rPr>
        <w:rFonts w:hint="eastAsia" w:ascii="宋体" w:hAnsi="宋体"/>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8046"/>
    <w:multiLevelType w:val="singleLevel"/>
    <w:tmpl w:val="8EB48046"/>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1">
    <w:nsid w:val="A46111B9"/>
    <w:multiLevelType w:val="singleLevel"/>
    <w:tmpl w:val="A46111B9"/>
    <w:lvl w:ilvl="0" w:tentative="0">
      <w:start w:val="3"/>
      <w:numFmt w:val="chineseCounting"/>
      <w:suff w:val="space"/>
      <w:lvlText w:val="第%1章"/>
      <w:lvlJc w:val="left"/>
      <w:rPr>
        <w:rFonts w:hint="eastAsia"/>
      </w:rPr>
    </w:lvl>
  </w:abstractNum>
  <w:abstractNum w:abstractNumId="2">
    <w:nsid w:val="A643DA07"/>
    <w:multiLevelType w:val="singleLevel"/>
    <w:tmpl w:val="A643DA07"/>
    <w:lvl w:ilvl="0" w:tentative="0">
      <w:start w:val="1"/>
      <w:numFmt w:val="decimal"/>
      <w:suff w:val="nothing"/>
      <w:lvlText w:val="%1、"/>
      <w:lvlJc w:val="left"/>
    </w:lvl>
  </w:abstractNum>
  <w:abstractNum w:abstractNumId="3">
    <w:nsid w:val="DA5A4C52"/>
    <w:multiLevelType w:val="singleLevel"/>
    <w:tmpl w:val="DA5A4C52"/>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4">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66ACA4"/>
    <w:multiLevelType w:val="singleLevel"/>
    <w:tmpl w:val="3166ACA4"/>
    <w:lvl w:ilvl="0" w:tentative="0">
      <w:start w:val="1"/>
      <w:numFmt w:val="decimal"/>
      <w:suff w:val="nothing"/>
      <w:lvlText w:val="%1、"/>
      <w:lvlJc w:val="left"/>
    </w:lvl>
  </w:abstractNum>
  <w:abstractNum w:abstractNumId="8">
    <w:nsid w:val="43DF0686"/>
    <w:multiLevelType w:val="singleLevel"/>
    <w:tmpl w:val="43DF0686"/>
    <w:lvl w:ilvl="0" w:tentative="0">
      <w:start w:val="1"/>
      <w:numFmt w:val="decimal"/>
      <w:suff w:val="nothing"/>
      <w:lvlText w:val="%1、"/>
      <w:lvlJc w:val="left"/>
    </w:lvl>
  </w:abstractNum>
  <w:abstractNum w:abstractNumId="9">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1BC8251"/>
    <w:multiLevelType w:val="singleLevel"/>
    <w:tmpl w:val="61BC8251"/>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12">
    <w:nsid w:val="649FA7A7"/>
    <w:multiLevelType w:val="singleLevel"/>
    <w:tmpl w:val="649FA7A7"/>
    <w:lvl w:ilvl="0" w:tentative="0">
      <w:start w:val="1"/>
      <w:numFmt w:val="chineseCounting"/>
      <w:suff w:val="nothing"/>
      <w:lvlText w:val="%1、"/>
      <w:lvlJc w:val="left"/>
      <w:rPr>
        <w:rFonts w:hint="eastAsia" w:ascii="黑体" w:hAnsi="黑体" w:eastAsia="黑体" w:cs="黑体"/>
        <w:b/>
        <w:bCs/>
        <w:sz w:val="21"/>
        <w:szCs w:val="21"/>
      </w:rPr>
    </w:lvl>
  </w:abstractNum>
  <w:abstractNum w:abstractNumId="13">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2"/>
  </w:num>
  <w:num w:numId="3">
    <w:abstractNumId w:val="0"/>
  </w:num>
  <w:num w:numId="4">
    <w:abstractNumId w:val="3"/>
  </w:num>
  <w:num w:numId="5">
    <w:abstractNumId w:val="11"/>
  </w:num>
  <w:num w:numId="6">
    <w:abstractNumId w:val="6"/>
  </w:num>
  <w:num w:numId="7">
    <w:abstractNumId w:val="1"/>
  </w:num>
  <w:num w:numId="8">
    <w:abstractNumId w:val="10"/>
  </w:num>
  <w:num w:numId="9">
    <w:abstractNumId w:val="7"/>
  </w:num>
  <w:num w:numId="10">
    <w:abstractNumId w:val="8"/>
  </w:num>
  <w:num w:numId="11">
    <w:abstractNumId w:val="2"/>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ZGNiMzZhNDI0NTgzNmM2ZTVlZTc5OTMxODY0NjUifQ=="/>
  </w:docVars>
  <w:rsids>
    <w:rsidRoot w:val="006D1E24"/>
    <w:rsid w:val="000019DC"/>
    <w:rsid w:val="00001D14"/>
    <w:rsid w:val="00001F9E"/>
    <w:rsid w:val="00004907"/>
    <w:rsid w:val="00005869"/>
    <w:rsid w:val="0000597B"/>
    <w:rsid w:val="0000738B"/>
    <w:rsid w:val="00010968"/>
    <w:rsid w:val="000124EE"/>
    <w:rsid w:val="00016CB3"/>
    <w:rsid w:val="00020D9C"/>
    <w:rsid w:val="0002129D"/>
    <w:rsid w:val="0002141C"/>
    <w:rsid w:val="00021888"/>
    <w:rsid w:val="00021A11"/>
    <w:rsid w:val="0002398D"/>
    <w:rsid w:val="0002413D"/>
    <w:rsid w:val="00027253"/>
    <w:rsid w:val="00027794"/>
    <w:rsid w:val="00033ED9"/>
    <w:rsid w:val="0003775A"/>
    <w:rsid w:val="0004206C"/>
    <w:rsid w:val="0004255D"/>
    <w:rsid w:val="000445C6"/>
    <w:rsid w:val="0004718C"/>
    <w:rsid w:val="00047CB9"/>
    <w:rsid w:val="00047E9C"/>
    <w:rsid w:val="00051CBD"/>
    <w:rsid w:val="000560BC"/>
    <w:rsid w:val="00061656"/>
    <w:rsid w:val="00061B23"/>
    <w:rsid w:val="00061E84"/>
    <w:rsid w:val="00062473"/>
    <w:rsid w:val="00062A74"/>
    <w:rsid w:val="00063079"/>
    <w:rsid w:val="00065450"/>
    <w:rsid w:val="000665A5"/>
    <w:rsid w:val="00073E0B"/>
    <w:rsid w:val="00081C20"/>
    <w:rsid w:val="0008220C"/>
    <w:rsid w:val="00082ABD"/>
    <w:rsid w:val="00084ED1"/>
    <w:rsid w:val="000901AA"/>
    <w:rsid w:val="0009128A"/>
    <w:rsid w:val="00092670"/>
    <w:rsid w:val="000944A0"/>
    <w:rsid w:val="00094678"/>
    <w:rsid w:val="00096BF6"/>
    <w:rsid w:val="000975BF"/>
    <w:rsid w:val="000A0B43"/>
    <w:rsid w:val="000A0EF5"/>
    <w:rsid w:val="000A1448"/>
    <w:rsid w:val="000A1CA4"/>
    <w:rsid w:val="000A2258"/>
    <w:rsid w:val="000A250B"/>
    <w:rsid w:val="000A3C93"/>
    <w:rsid w:val="000A71E6"/>
    <w:rsid w:val="000B256E"/>
    <w:rsid w:val="000B55EC"/>
    <w:rsid w:val="000B6EB8"/>
    <w:rsid w:val="000B731B"/>
    <w:rsid w:val="000C01FA"/>
    <w:rsid w:val="000C09BF"/>
    <w:rsid w:val="000C1E9B"/>
    <w:rsid w:val="000C37EF"/>
    <w:rsid w:val="000C5D3C"/>
    <w:rsid w:val="000C62C7"/>
    <w:rsid w:val="000D090B"/>
    <w:rsid w:val="000D1A9E"/>
    <w:rsid w:val="000D202B"/>
    <w:rsid w:val="000D2B76"/>
    <w:rsid w:val="000D2C2A"/>
    <w:rsid w:val="000E045B"/>
    <w:rsid w:val="000E1C06"/>
    <w:rsid w:val="000E28EF"/>
    <w:rsid w:val="000E2B1C"/>
    <w:rsid w:val="000E2DD2"/>
    <w:rsid w:val="000E362C"/>
    <w:rsid w:val="000E4B58"/>
    <w:rsid w:val="000E5C88"/>
    <w:rsid w:val="000E5F8C"/>
    <w:rsid w:val="000E65C0"/>
    <w:rsid w:val="000E68A1"/>
    <w:rsid w:val="000F175B"/>
    <w:rsid w:val="000F3D64"/>
    <w:rsid w:val="000F6AD7"/>
    <w:rsid w:val="000F6C5A"/>
    <w:rsid w:val="00100735"/>
    <w:rsid w:val="00102BE9"/>
    <w:rsid w:val="00102C6F"/>
    <w:rsid w:val="00104246"/>
    <w:rsid w:val="00105188"/>
    <w:rsid w:val="001051DB"/>
    <w:rsid w:val="00107748"/>
    <w:rsid w:val="00107807"/>
    <w:rsid w:val="00107E05"/>
    <w:rsid w:val="00110A63"/>
    <w:rsid w:val="00110B1E"/>
    <w:rsid w:val="001112C1"/>
    <w:rsid w:val="00116CBA"/>
    <w:rsid w:val="00120CA5"/>
    <w:rsid w:val="0012225B"/>
    <w:rsid w:val="00123F97"/>
    <w:rsid w:val="00125693"/>
    <w:rsid w:val="001306E5"/>
    <w:rsid w:val="00135887"/>
    <w:rsid w:val="00135891"/>
    <w:rsid w:val="0013604E"/>
    <w:rsid w:val="001370BD"/>
    <w:rsid w:val="00141291"/>
    <w:rsid w:val="001413DE"/>
    <w:rsid w:val="00141EF0"/>
    <w:rsid w:val="00144EE1"/>
    <w:rsid w:val="001464EC"/>
    <w:rsid w:val="001476AF"/>
    <w:rsid w:val="00147EC5"/>
    <w:rsid w:val="001521DF"/>
    <w:rsid w:val="001523E0"/>
    <w:rsid w:val="001529A3"/>
    <w:rsid w:val="00152FC0"/>
    <w:rsid w:val="001558E8"/>
    <w:rsid w:val="001559C5"/>
    <w:rsid w:val="00156AD9"/>
    <w:rsid w:val="001622FD"/>
    <w:rsid w:val="00170461"/>
    <w:rsid w:val="00170A2B"/>
    <w:rsid w:val="001712B8"/>
    <w:rsid w:val="001714FB"/>
    <w:rsid w:val="00173C41"/>
    <w:rsid w:val="00174F8F"/>
    <w:rsid w:val="00176386"/>
    <w:rsid w:val="001773FF"/>
    <w:rsid w:val="0018045D"/>
    <w:rsid w:val="00180FCE"/>
    <w:rsid w:val="00182766"/>
    <w:rsid w:val="001830EA"/>
    <w:rsid w:val="001845D4"/>
    <w:rsid w:val="001848F1"/>
    <w:rsid w:val="00184F2C"/>
    <w:rsid w:val="001851E3"/>
    <w:rsid w:val="00186411"/>
    <w:rsid w:val="00186424"/>
    <w:rsid w:val="0018646D"/>
    <w:rsid w:val="001922AD"/>
    <w:rsid w:val="00193061"/>
    <w:rsid w:val="00193C19"/>
    <w:rsid w:val="00193C2A"/>
    <w:rsid w:val="00195240"/>
    <w:rsid w:val="00196397"/>
    <w:rsid w:val="00197154"/>
    <w:rsid w:val="001A0063"/>
    <w:rsid w:val="001A13AA"/>
    <w:rsid w:val="001A7B9F"/>
    <w:rsid w:val="001A7C37"/>
    <w:rsid w:val="001B03AE"/>
    <w:rsid w:val="001B0424"/>
    <w:rsid w:val="001B1E47"/>
    <w:rsid w:val="001B2099"/>
    <w:rsid w:val="001B2883"/>
    <w:rsid w:val="001B3F0F"/>
    <w:rsid w:val="001B5B42"/>
    <w:rsid w:val="001B79BF"/>
    <w:rsid w:val="001C162C"/>
    <w:rsid w:val="001C1E3D"/>
    <w:rsid w:val="001C2649"/>
    <w:rsid w:val="001C2B03"/>
    <w:rsid w:val="001C3F5C"/>
    <w:rsid w:val="001C5464"/>
    <w:rsid w:val="001C560E"/>
    <w:rsid w:val="001C59FC"/>
    <w:rsid w:val="001C5D49"/>
    <w:rsid w:val="001D0DDC"/>
    <w:rsid w:val="001D1275"/>
    <w:rsid w:val="001D201F"/>
    <w:rsid w:val="001D433D"/>
    <w:rsid w:val="001D618A"/>
    <w:rsid w:val="001D6D30"/>
    <w:rsid w:val="001E0048"/>
    <w:rsid w:val="001E15DC"/>
    <w:rsid w:val="001E254A"/>
    <w:rsid w:val="001E2A0A"/>
    <w:rsid w:val="001E39E7"/>
    <w:rsid w:val="001E4A17"/>
    <w:rsid w:val="001E7788"/>
    <w:rsid w:val="001F0FF1"/>
    <w:rsid w:val="001F2F59"/>
    <w:rsid w:val="001F4E16"/>
    <w:rsid w:val="001F5418"/>
    <w:rsid w:val="001F74E8"/>
    <w:rsid w:val="002001B4"/>
    <w:rsid w:val="002010F2"/>
    <w:rsid w:val="002017B3"/>
    <w:rsid w:val="0020216F"/>
    <w:rsid w:val="00204982"/>
    <w:rsid w:val="00205C2E"/>
    <w:rsid w:val="0020741B"/>
    <w:rsid w:val="00210392"/>
    <w:rsid w:val="002109CC"/>
    <w:rsid w:val="00213454"/>
    <w:rsid w:val="0021515C"/>
    <w:rsid w:val="00216A63"/>
    <w:rsid w:val="00217698"/>
    <w:rsid w:val="00217911"/>
    <w:rsid w:val="00221349"/>
    <w:rsid w:val="0022246C"/>
    <w:rsid w:val="00222817"/>
    <w:rsid w:val="00222EC3"/>
    <w:rsid w:val="002255BE"/>
    <w:rsid w:val="00227929"/>
    <w:rsid w:val="002306A8"/>
    <w:rsid w:val="00232E61"/>
    <w:rsid w:val="002342CB"/>
    <w:rsid w:val="00234EA4"/>
    <w:rsid w:val="0023604B"/>
    <w:rsid w:val="002434D9"/>
    <w:rsid w:val="00244F36"/>
    <w:rsid w:val="00246597"/>
    <w:rsid w:val="00250163"/>
    <w:rsid w:val="00254C4F"/>
    <w:rsid w:val="00254DD5"/>
    <w:rsid w:val="00254DE2"/>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35CB"/>
    <w:rsid w:val="00274C16"/>
    <w:rsid w:val="00276C1D"/>
    <w:rsid w:val="00277C54"/>
    <w:rsid w:val="00280A92"/>
    <w:rsid w:val="00280E8F"/>
    <w:rsid w:val="00281520"/>
    <w:rsid w:val="0028282F"/>
    <w:rsid w:val="00284F94"/>
    <w:rsid w:val="002864CD"/>
    <w:rsid w:val="00287A8C"/>
    <w:rsid w:val="00291EFA"/>
    <w:rsid w:val="002929E4"/>
    <w:rsid w:val="00294153"/>
    <w:rsid w:val="00295D81"/>
    <w:rsid w:val="00296112"/>
    <w:rsid w:val="002A0CBE"/>
    <w:rsid w:val="002A411E"/>
    <w:rsid w:val="002A5F03"/>
    <w:rsid w:val="002A6E2F"/>
    <w:rsid w:val="002B1672"/>
    <w:rsid w:val="002B20FF"/>
    <w:rsid w:val="002B3064"/>
    <w:rsid w:val="002B4238"/>
    <w:rsid w:val="002B7AFB"/>
    <w:rsid w:val="002C01C6"/>
    <w:rsid w:val="002C17E2"/>
    <w:rsid w:val="002C2734"/>
    <w:rsid w:val="002C2F0A"/>
    <w:rsid w:val="002C3215"/>
    <w:rsid w:val="002C364D"/>
    <w:rsid w:val="002C3771"/>
    <w:rsid w:val="002C6C4D"/>
    <w:rsid w:val="002C7EA3"/>
    <w:rsid w:val="002D1D6E"/>
    <w:rsid w:val="002D4E79"/>
    <w:rsid w:val="002D557F"/>
    <w:rsid w:val="002D5862"/>
    <w:rsid w:val="002D74A6"/>
    <w:rsid w:val="002D7600"/>
    <w:rsid w:val="002D794D"/>
    <w:rsid w:val="002E2A86"/>
    <w:rsid w:val="002E31E7"/>
    <w:rsid w:val="002E32AA"/>
    <w:rsid w:val="002E6A25"/>
    <w:rsid w:val="002E6B3F"/>
    <w:rsid w:val="002E71A2"/>
    <w:rsid w:val="002F037F"/>
    <w:rsid w:val="002F2670"/>
    <w:rsid w:val="002F3EA8"/>
    <w:rsid w:val="002F4305"/>
    <w:rsid w:val="002F67EF"/>
    <w:rsid w:val="00300CCB"/>
    <w:rsid w:val="003026F1"/>
    <w:rsid w:val="00303FEC"/>
    <w:rsid w:val="00306EB1"/>
    <w:rsid w:val="00310C54"/>
    <w:rsid w:val="003116CF"/>
    <w:rsid w:val="00313C13"/>
    <w:rsid w:val="00314673"/>
    <w:rsid w:val="00316007"/>
    <w:rsid w:val="0031734A"/>
    <w:rsid w:val="00317AD8"/>
    <w:rsid w:val="00317B40"/>
    <w:rsid w:val="00320956"/>
    <w:rsid w:val="003217AB"/>
    <w:rsid w:val="00321B84"/>
    <w:rsid w:val="00322D96"/>
    <w:rsid w:val="00323874"/>
    <w:rsid w:val="00324AB5"/>
    <w:rsid w:val="00325834"/>
    <w:rsid w:val="00325AE5"/>
    <w:rsid w:val="00327A80"/>
    <w:rsid w:val="003318A3"/>
    <w:rsid w:val="00331E14"/>
    <w:rsid w:val="003330C2"/>
    <w:rsid w:val="00335107"/>
    <w:rsid w:val="00336072"/>
    <w:rsid w:val="0033670D"/>
    <w:rsid w:val="00336A4B"/>
    <w:rsid w:val="00337135"/>
    <w:rsid w:val="00340B2E"/>
    <w:rsid w:val="00342C93"/>
    <w:rsid w:val="00343C02"/>
    <w:rsid w:val="00346700"/>
    <w:rsid w:val="00347031"/>
    <w:rsid w:val="00347D90"/>
    <w:rsid w:val="00350628"/>
    <w:rsid w:val="00351F65"/>
    <w:rsid w:val="00353442"/>
    <w:rsid w:val="0035484D"/>
    <w:rsid w:val="00355398"/>
    <w:rsid w:val="00356B01"/>
    <w:rsid w:val="0035715D"/>
    <w:rsid w:val="003575FE"/>
    <w:rsid w:val="003620DF"/>
    <w:rsid w:val="003640C0"/>
    <w:rsid w:val="0036458A"/>
    <w:rsid w:val="003649EA"/>
    <w:rsid w:val="00367944"/>
    <w:rsid w:val="003701BE"/>
    <w:rsid w:val="00371B8B"/>
    <w:rsid w:val="00372139"/>
    <w:rsid w:val="00372D5B"/>
    <w:rsid w:val="00372D8A"/>
    <w:rsid w:val="00373F68"/>
    <w:rsid w:val="0037478D"/>
    <w:rsid w:val="00374969"/>
    <w:rsid w:val="00375A09"/>
    <w:rsid w:val="00377044"/>
    <w:rsid w:val="00381A65"/>
    <w:rsid w:val="00381BC0"/>
    <w:rsid w:val="00381F10"/>
    <w:rsid w:val="00385140"/>
    <w:rsid w:val="00386842"/>
    <w:rsid w:val="003869B6"/>
    <w:rsid w:val="00387343"/>
    <w:rsid w:val="0039040B"/>
    <w:rsid w:val="00390CCC"/>
    <w:rsid w:val="00391035"/>
    <w:rsid w:val="00393CC5"/>
    <w:rsid w:val="00394C7A"/>
    <w:rsid w:val="00394DFC"/>
    <w:rsid w:val="00395679"/>
    <w:rsid w:val="00397BE2"/>
    <w:rsid w:val="003A12E8"/>
    <w:rsid w:val="003A2C0F"/>
    <w:rsid w:val="003A500C"/>
    <w:rsid w:val="003A78ED"/>
    <w:rsid w:val="003B1BFF"/>
    <w:rsid w:val="003B216D"/>
    <w:rsid w:val="003B34FF"/>
    <w:rsid w:val="003B3CC3"/>
    <w:rsid w:val="003B6288"/>
    <w:rsid w:val="003B654E"/>
    <w:rsid w:val="003B6F52"/>
    <w:rsid w:val="003B7A35"/>
    <w:rsid w:val="003C0EF7"/>
    <w:rsid w:val="003C2639"/>
    <w:rsid w:val="003C3666"/>
    <w:rsid w:val="003C3983"/>
    <w:rsid w:val="003D2EE1"/>
    <w:rsid w:val="003E0AA8"/>
    <w:rsid w:val="003E5604"/>
    <w:rsid w:val="003E589F"/>
    <w:rsid w:val="003E6406"/>
    <w:rsid w:val="003E717C"/>
    <w:rsid w:val="003E76B6"/>
    <w:rsid w:val="003F0C44"/>
    <w:rsid w:val="003F14BB"/>
    <w:rsid w:val="003F2534"/>
    <w:rsid w:val="003F3580"/>
    <w:rsid w:val="003F360D"/>
    <w:rsid w:val="003F41A9"/>
    <w:rsid w:val="003F5459"/>
    <w:rsid w:val="003F6DE6"/>
    <w:rsid w:val="003F6F4B"/>
    <w:rsid w:val="003F7856"/>
    <w:rsid w:val="00400501"/>
    <w:rsid w:val="00400B3E"/>
    <w:rsid w:val="00400CAE"/>
    <w:rsid w:val="00400D2C"/>
    <w:rsid w:val="0040109A"/>
    <w:rsid w:val="00401A3C"/>
    <w:rsid w:val="00403219"/>
    <w:rsid w:val="004059BA"/>
    <w:rsid w:val="004062F8"/>
    <w:rsid w:val="00407F26"/>
    <w:rsid w:val="00412691"/>
    <w:rsid w:val="00412AD6"/>
    <w:rsid w:val="004149D4"/>
    <w:rsid w:val="004159C7"/>
    <w:rsid w:val="00416AF9"/>
    <w:rsid w:val="00417E86"/>
    <w:rsid w:val="0042393D"/>
    <w:rsid w:val="004246E2"/>
    <w:rsid w:val="00425096"/>
    <w:rsid w:val="00425128"/>
    <w:rsid w:val="004256F0"/>
    <w:rsid w:val="00426094"/>
    <w:rsid w:val="00426872"/>
    <w:rsid w:val="00426B48"/>
    <w:rsid w:val="00431EED"/>
    <w:rsid w:val="00432010"/>
    <w:rsid w:val="00434201"/>
    <w:rsid w:val="00436072"/>
    <w:rsid w:val="004362FE"/>
    <w:rsid w:val="00441D34"/>
    <w:rsid w:val="0044330A"/>
    <w:rsid w:val="00454D2C"/>
    <w:rsid w:val="0045530D"/>
    <w:rsid w:val="00456C5A"/>
    <w:rsid w:val="00456CE8"/>
    <w:rsid w:val="0045728D"/>
    <w:rsid w:val="00460E19"/>
    <w:rsid w:val="004613BF"/>
    <w:rsid w:val="00461FFB"/>
    <w:rsid w:val="00463CF7"/>
    <w:rsid w:val="0046422B"/>
    <w:rsid w:val="0046568F"/>
    <w:rsid w:val="0046735C"/>
    <w:rsid w:val="004706A5"/>
    <w:rsid w:val="00470BBF"/>
    <w:rsid w:val="004731F0"/>
    <w:rsid w:val="00474A74"/>
    <w:rsid w:val="00476059"/>
    <w:rsid w:val="00476673"/>
    <w:rsid w:val="00483139"/>
    <w:rsid w:val="00484D35"/>
    <w:rsid w:val="00485FDC"/>
    <w:rsid w:val="00486C53"/>
    <w:rsid w:val="00486F8B"/>
    <w:rsid w:val="0048715D"/>
    <w:rsid w:val="004876D5"/>
    <w:rsid w:val="00487F31"/>
    <w:rsid w:val="004908F9"/>
    <w:rsid w:val="00492A9C"/>
    <w:rsid w:val="00492F59"/>
    <w:rsid w:val="00493539"/>
    <w:rsid w:val="00494DEE"/>
    <w:rsid w:val="004951C8"/>
    <w:rsid w:val="00495BCC"/>
    <w:rsid w:val="00496137"/>
    <w:rsid w:val="004A09A6"/>
    <w:rsid w:val="004A1063"/>
    <w:rsid w:val="004A194C"/>
    <w:rsid w:val="004A23A1"/>
    <w:rsid w:val="004A3B95"/>
    <w:rsid w:val="004A3E95"/>
    <w:rsid w:val="004A49D1"/>
    <w:rsid w:val="004A5604"/>
    <w:rsid w:val="004A596D"/>
    <w:rsid w:val="004A5E20"/>
    <w:rsid w:val="004A6046"/>
    <w:rsid w:val="004A7D86"/>
    <w:rsid w:val="004B0624"/>
    <w:rsid w:val="004B0CAD"/>
    <w:rsid w:val="004B25B8"/>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4F1DED"/>
    <w:rsid w:val="00501D8B"/>
    <w:rsid w:val="005046A9"/>
    <w:rsid w:val="00506D45"/>
    <w:rsid w:val="00507204"/>
    <w:rsid w:val="00507585"/>
    <w:rsid w:val="005113EA"/>
    <w:rsid w:val="00512735"/>
    <w:rsid w:val="00514617"/>
    <w:rsid w:val="00515EB1"/>
    <w:rsid w:val="00516EDF"/>
    <w:rsid w:val="00520559"/>
    <w:rsid w:val="00520659"/>
    <w:rsid w:val="00521A17"/>
    <w:rsid w:val="005227F2"/>
    <w:rsid w:val="005242CA"/>
    <w:rsid w:val="0052572C"/>
    <w:rsid w:val="005266BE"/>
    <w:rsid w:val="00530B70"/>
    <w:rsid w:val="00530CB7"/>
    <w:rsid w:val="00531093"/>
    <w:rsid w:val="00534354"/>
    <w:rsid w:val="0053445B"/>
    <w:rsid w:val="005348FF"/>
    <w:rsid w:val="005359EA"/>
    <w:rsid w:val="00535D4C"/>
    <w:rsid w:val="005372B6"/>
    <w:rsid w:val="00542212"/>
    <w:rsid w:val="00542516"/>
    <w:rsid w:val="00543CA0"/>
    <w:rsid w:val="00543E79"/>
    <w:rsid w:val="005473AE"/>
    <w:rsid w:val="005514A7"/>
    <w:rsid w:val="00553505"/>
    <w:rsid w:val="005547C4"/>
    <w:rsid w:val="005605AE"/>
    <w:rsid w:val="00564D16"/>
    <w:rsid w:val="00565324"/>
    <w:rsid w:val="005657FF"/>
    <w:rsid w:val="0056697B"/>
    <w:rsid w:val="00566A70"/>
    <w:rsid w:val="005670F5"/>
    <w:rsid w:val="0056789E"/>
    <w:rsid w:val="0057236A"/>
    <w:rsid w:val="00573490"/>
    <w:rsid w:val="00575101"/>
    <w:rsid w:val="0057736F"/>
    <w:rsid w:val="005809A2"/>
    <w:rsid w:val="00580D19"/>
    <w:rsid w:val="0058173A"/>
    <w:rsid w:val="00581A41"/>
    <w:rsid w:val="00583ADB"/>
    <w:rsid w:val="00583FB6"/>
    <w:rsid w:val="00590013"/>
    <w:rsid w:val="005A0F69"/>
    <w:rsid w:val="005A1C47"/>
    <w:rsid w:val="005A3D09"/>
    <w:rsid w:val="005B0EA7"/>
    <w:rsid w:val="005B13D1"/>
    <w:rsid w:val="005B157C"/>
    <w:rsid w:val="005B1F45"/>
    <w:rsid w:val="005B45CF"/>
    <w:rsid w:val="005B51B6"/>
    <w:rsid w:val="005B6BB6"/>
    <w:rsid w:val="005C0710"/>
    <w:rsid w:val="005C2906"/>
    <w:rsid w:val="005C57D5"/>
    <w:rsid w:val="005C585F"/>
    <w:rsid w:val="005C5B43"/>
    <w:rsid w:val="005D26BE"/>
    <w:rsid w:val="005D4557"/>
    <w:rsid w:val="005D4C85"/>
    <w:rsid w:val="005D6187"/>
    <w:rsid w:val="005D67BF"/>
    <w:rsid w:val="005D6BDC"/>
    <w:rsid w:val="005D6EE0"/>
    <w:rsid w:val="005D6FA4"/>
    <w:rsid w:val="005E14E9"/>
    <w:rsid w:val="005E2223"/>
    <w:rsid w:val="005E2F6E"/>
    <w:rsid w:val="005E2FF9"/>
    <w:rsid w:val="005E68C1"/>
    <w:rsid w:val="005E6BB6"/>
    <w:rsid w:val="005E7C2F"/>
    <w:rsid w:val="005F0F2C"/>
    <w:rsid w:val="005F10E1"/>
    <w:rsid w:val="005F1BA7"/>
    <w:rsid w:val="005F216C"/>
    <w:rsid w:val="005F23ED"/>
    <w:rsid w:val="005F2E89"/>
    <w:rsid w:val="005F2F82"/>
    <w:rsid w:val="005F303E"/>
    <w:rsid w:val="005F37DF"/>
    <w:rsid w:val="005F3889"/>
    <w:rsid w:val="005F3A2D"/>
    <w:rsid w:val="005F4BAA"/>
    <w:rsid w:val="005F6314"/>
    <w:rsid w:val="005F79D7"/>
    <w:rsid w:val="0060299F"/>
    <w:rsid w:val="006041B3"/>
    <w:rsid w:val="00604A7F"/>
    <w:rsid w:val="0060594D"/>
    <w:rsid w:val="00606155"/>
    <w:rsid w:val="00606456"/>
    <w:rsid w:val="00606B8B"/>
    <w:rsid w:val="00607909"/>
    <w:rsid w:val="00610E5B"/>
    <w:rsid w:val="00611CC4"/>
    <w:rsid w:val="00612B87"/>
    <w:rsid w:val="0061347B"/>
    <w:rsid w:val="006146A5"/>
    <w:rsid w:val="00615E3B"/>
    <w:rsid w:val="00616E1D"/>
    <w:rsid w:val="00616F5E"/>
    <w:rsid w:val="0061719A"/>
    <w:rsid w:val="006174BE"/>
    <w:rsid w:val="00617D12"/>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400A"/>
    <w:rsid w:val="006558F9"/>
    <w:rsid w:val="00656F1A"/>
    <w:rsid w:val="00662F8A"/>
    <w:rsid w:val="00665DA6"/>
    <w:rsid w:val="00667E25"/>
    <w:rsid w:val="00667FBF"/>
    <w:rsid w:val="006701E0"/>
    <w:rsid w:val="00672899"/>
    <w:rsid w:val="0067638A"/>
    <w:rsid w:val="00677E41"/>
    <w:rsid w:val="00680D0B"/>
    <w:rsid w:val="0068278C"/>
    <w:rsid w:val="00683ED3"/>
    <w:rsid w:val="006868C0"/>
    <w:rsid w:val="006912DA"/>
    <w:rsid w:val="00692DA8"/>
    <w:rsid w:val="00693415"/>
    <w:rsid w:val="00694AAC"/>
    <w:rsid w:val="00694AAE"/>
    <w:rsid w:val="00695BE5"/>
    <w:rsid w:val="0069643C"/>
    <w:rsid w:val="006979BF"/>
    <w:rsid w:val="00697E9A"/>
    <w:rsid w:val="006A12AA"/>
    <w:rsid w:val="006A281F"/>
    <w:rsid w:val="006A61E8"/>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3B39"/>
    <w:rsid w:val="006E4447"/>
    <w:rsid w:val="006E4787"/>
    <w:rsid w:val="006E4FF8"/>
    <w:rsid w:val="006F0D0C"/>
    <w:rsid w:val="006F2060"/>
    <w:rsid w:val="006F68B2"/>
    <w:rsid w:val="006F702F"/>
    <w:rsid w:val="006F79E9"/>
    <w:rsid w:val="006F7CC6"/>
    <w:rsid w:val="00700060"/>
    <w:rsid w:val="00701E8C"/>
    <w:rsid w:val="00704F0D"/>
    <w:rsid w:val="00705B65"/>
    <w:rsid w:val="007076CD"/>
    <w:rsid w:val="007116E4"/>
    <w:rsid w:val="00711852"/>
    <w:rsid w:val="007144FC"/>
    <w:rsid w:val="00714CAB"/>
    <w:rsid w:val="00714DD9"/>
    <w:rsid w:val="00714F6F"/>
    <w:rsid w:val="007218A5"/>
    <w:rsid w:val="007218C3"/>
    <w:rsid w:val="007243F8"/>
    <w:rsid w:val="007248BF"/>
    <w:rsid w:val="00730AFC"/>
    <w:rsid w:val="00732D8D"/>
    <w:rsid w:val="007341CF"/>
    <w:rsid w:val="0073456F"/>
    <w:rsid w:val="00734699"/>
    <w:rsid w:val="007377C7"/>
    <w:rsid w:val="00737DDF"/>
    <w:rsid w:val="00743B2E"/>
    <w:rsid w:val="00743CFC"/>
    <w:rsid w:val="0074513B"/>
    <w:rsid w:val="00746D6C"/>
    <w:rsid w:val="00746EE9"/>
    <w:rsid w:val="00747819"/>
    <w:rsid w:val="00751AE2"/>
    <w:rsid w:val="00752A74"/>
    <w:rsid w:val="00753151"/>
    <w:rsid w:val="00753505"/>
    <w:rsid w:val="0075594E"/>
    <w:rsid w:val="007573B9"/>
    <w:rsid w:val="00757B25"/>
    <w:rsid w:val="00757E81"/>
    <w:rsid w:val="0076103F"/>
    <w:rsid w:val="0076273A"/>
    <w:rsid w:val="00763061"/>
    <w:rsid w:val="007632D5"/>
    <w:rsid w:val="00763D6F"/>
    <w:rsid w:val="00764152"/>
    <w:rsid w:val="00764396"/>
    <w:rsid w:val="007667D8"/>
    <w:rsid w:val="00766B60"/>
    <w:rsid w:val="0076717C"/>
    <w:rsid w:val="007716B6"/>
    <w:rsid w:val="00771AF5"/>
    <w:rsid w:val="00771F86"/>
    <w:rsid w:val="007728A2"/>
    <w:rsid w:val="007744AD"/>
    <w:rsid w:val="00774C21"/>
    <w:rsid w:val="007754C0"/>
    <w:rsid w:val="00775CC5"/>
    <w:rsid w:val="007771E6"/>
    <w:rsid w:val="0078188A"/>
    <w:rsid w:val="00782FEE"/>
    <w:rsid w:val="0078401E"/>
    <w:rsid w:val="007877D5"/>
    <w:rsid w:val="00790DBD"/>
    <w:rsid w:val="00791CFD"/>
    <w:rsid w:val="007929B4"/>
    <w:rsid w:val="007A1A6B"/>
    <w:rsid w:val="007A1A9F"/>
    <w:rsid w:val="007A361F"/>
    <w:rsid w:val="007A4AA7"/>
    <w:rsid w:val="007A555C"/>
    <w:rsid w:val="007A5619"/>
    <w:rsid w:val="007A5F97"/>
    <w:rsid w:val="007A66C1"/>
    <w:rsid w:val="007A6AE8"/>
    <w:rsid w:val="007A75FE"/>
    <w:rsid w:val="007A78A8"/>
    <w:rsid w:val="007B0491"/>
    <w:rsid w:val="007B057B"/>
    <w:rsid w:val="007B0C92"/>
    <w:rsid w:val="007B3149"/>
    <w:rsid w:val="007B3EF5"/>
    <w:rsid w:val="007B5036"/>
    <w:rsid w:val="007B5F37"/>
    <w:rsid w:val="007B6419"/>
    <w:rsid w:val="007B703A"/>
    <w:rsid w:val="007B7131"/>
    <w:rsid w:val="007B7270"/>
    <w:rsid w:val="007C07A8"/>
    <w:rsid w:val="007C1828"/>
    <w:rsid w:val="007C3369"/>
    <w:rsid w:val="007C4C1C"/>
    <w:rsid w:val="007C7480"/>
    <w:rsid w:val="007D0A37"/>
    <w:rsid w:val="007D4699"/>
    <w:rsid w:val="007D6A14"/>
    <w:rsid w:val="007D772E"/>
    <w:rsid w:val="007E0769"/>
    <w:rsid w:val="007E0AF6"/>
    <w:rsid w:val="007E60D4"/>
    <w:rsid w:val="007E7E11"/>
    <w:rsid w:val="007F169F"/>
    <w:rsid w:val="007F306F"/>
    <w:rsid w:val="007F4E3B"/>
    <w:rsid w:val="007F6996"/>
    <w:rsid w:val="0080007B"/>
    <w:rsid w:val="00800580"/>
    <w:rsid w:val="008009FF"/>
    <w:rsid w:val="00800E88"/>
    <w:rsid w:val="0080185D"/>
    <w:rsid w:val="0080277F"/>
    <w:rsid w:val="0080646B"/>
    <w:rsid w:val="00810E84"/>
    <w:rsid w:val="008115E5"/>
    <w:rsid w:val="00812DD3"/>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339E"/>
    <w:rsid w:val="00855FA8"/>
    <w:rsid w:val="00857327"/>
    <w:rsid w:val="00860C7B"/>
    <w:rsid w:val="00863311"/>
    <w:rsid w:val="00863EF1"/>
    <w:rsid w:val="00864AC4"/>
    <w:rsid w:val="00866FEA"/>
    <w:rsid w:val="008702CD"/>
    <w:rsid w:val="008722E5"/>
    <w:rsid w:val="00874FF4"/>
    <w:rsid w:val="00875315"/>
    <w:rsid w:val="00875D54"/>
    <w:rsid w:val="008778A2"/>
    <w:rsid w:val="0088000D"/>
    <w:rsid w:val="00880BE2"/>
    <w:rsid w:val="00880DBE"/>
    <w:rsid w:val="008815A8"/>
    <w:rsid w:val="00881A66"/>
    <w:rsid w:val="008837BA"/>
    <w:rsid w:val="00883AA3"/>
    <w:rsid w:val="0088428A"/>
    <w:rsid w:val="008849BF"/>
    <w:rsid w:val="0088738B"/>
    <w:rsid w:val="00887F75"/>
    <w:rsid w:val="00890BCD"/>
    <w:rsid w:val="008928A7"/>
    <w:rsid w:val="00893678"/>
    <w:rsid w:val="0089444D"/>
    <w:rsid w:val="0089678B"/>
    <w:rsid w:val="008A057F"/>
    <w:rsid w:val="008A1733"/>
    <w:rsid w:val="008A7688"/>
    <w:rsid w:val="008B38CD"/>
    <w:rsid w:val="008B6145"/>
    <w:rsid w:val="008B6334"/>
    <w:rsid w:val="008C1476"/>
    <w:rsid w:val="008C178B"/>
    <w:rsid w:val="008C1BC7"/>
    <w:rsid w:val="008C2A4D"/>
    <w:rsid w:val="008C3840"/>
    <w:rsid w:val="008D03E0"/>
    <w:rsid w:val="008D0E03"/>
    <w:rsid w:val="008D43AE"/>
    <w:rsid w:val="008D45F6"/>
    <w:rsid w:val="008D6259"/>
    <w:rsid w:val="008E3BE6"/>
    <w:rsid w:val="008E5712"/>
    <w:rsid w:val="008F4E02"/>
    <w:rsid w:val="008F56EC"/>
    <w:rsid w:val="008F5B84"/>
    <w:rsid w:val="008F6434"/>
    <w:rsid w:val="00900307"/>
    <w:rsid w:val="0090060E"/>
    <w:rsid w:val="00902408"/>
    <w:rsid w:val="00904659"/>
    <w:rsid w:val="00905370"/>
    <w:rsid w:val="00905628"/>
    <w:rsid w:val="009077FF"/>
    <w:rsid w:val="00907CDE"/>
    <w:rsid w:val="00911BA0"/>
    <w:rsid w:val="009120E4"/>
    <w:rsid w:val="0091302E"/>
    <w:rsid w:val="00916414"/>
    <w:rsid w:val="00916E62"/>
    <w:rsid w:val="00917866"/>
    <w:rsid w:val="0092084A"/>
    <w:rsid w:val="009304CD"/>
    <w:rsid w:val="00930ED2"/>
    <w:rsid w:val="00932F94"/>
    <w:rsid w:val="00932FA6"/>
    <w:rsid w:val="00937277"/>
    <w:rsid w:val="00945F08"/>
    <w:rsid w:val="0094774A"/>
    <w:rsid w:val="009503B8"/>
    <w:rsid w:val="00950F51"/>
    <w:rsid w:val="00952287"/>
    <w:rsid w:val="00957742"/>
    <w:rsid w:val="009600A6"/>
    <w:rsid w:val="009602A9"/>
    <w:rsid w:val="00960ADB"/>
    <w:rsid w:val="00963ED1"/>
    <w:rsid w:val="00965DEC"/>
    <w:rsid w:val="00966853"/>
    <w:rsid w:val="00966B34"/>
    <w:rsid w:val="00970012"/>
    <w:rsid w:val="00974E0A"/>
    <w:rsid w:val="00974FE6"/>
    <w:rsid w:val="00976B35"/>
    <w:rsid w:val="00976D44"/>
    <w:rsid w:val="00980F02"/>
    <w:rsid w:val="00982782"/>
    <w:rsid w:val="00983604"/>
    <w:rsid w:val="00984F6F"/>
    <w:rsid w:val="0098572E"/>
    <w:rsid w:val="0098690A"/>
    <w:rsid w:val="009876B2"/>
    <w:rsid w:val="009876CD"/>
    <w:rsid w:val="00991447"/>
    <w:rsid w:val="0099179A"/>
    <w:rsid w:val="00991E44"/>
    <w:rsid w:val="009932CF"/>
    <w:rsid w:val="00994596"/>
    <w:rsid w:val="0099463C"/>
    <w:rsid w:val="00994D79"/>
    <w:rsid w:val="009951E5"/>
    <w:rsid w:val="009A0DAC"/>
    <w:rsid w:val="009A184D"/>
    <w:rsid w:val="009A1EDF"/>
    <w:rsid w:val="009A2F08"/>
    <w:rsid w:val="009A5DB0"/>
    <w:rsid w:val="009A7438"/>
    <w:rsid w:val="009B1E34"/>
    <w:rsid w:val="009B33ED"/>
    <w:rsid w:val="009B3539"/>
    <w:rsid w:val="009B501E"/>
    <w:rsid w:val="009B6748"/>
    <w:rsid w:val="009C0BC2"/>
    <w:rsid w:val="009C1319"/>
    <w:rsid w:val="009C37E7"/>
    <w:rsid w:val="009C436E"/>
    <w:rsid w:val="009C7A4C"/>
    <w:rsid w:val="009D1CC4"/>
    <w:rsid w:val="009D289C"/>
    <w:rsid w:val="009D2B2D"/>
    <w:rsid w:val="009D3253"/>
    <w:rsid w:val="009D4A1E"/>
    <w:rsid w:val="009D4D93"/>
    <w:rsid w:val="009D5A5C"/>
    <w:rsid w:val="009D5FDA"/>
    <w:rsid w:val="009D7270"/>
    <w:rsid w:val="009D7598"/>
    <w:rsid w:val="009E274F"/>
    <w:rsid w:val="009E38A2"/>
    <w:rsid w:val="009E5AD2"/>
    <w:rsid w:val="009E6B4E"/>
    <w:rsid w:val="009E7330"/>
    <w:rsid w:val="009F0DDF"/>
    <w:rsid w:val="009F2931"/>
    <w:rsid w:val="009F2DF8"/>
    <w:rsid w:val="009F34D1"/>
    <w:rsid w:val="009F60E9"/>
    <w:rsid w:val="009F6275"/>
    <w:rsid w:val="009F7F8B"/>
    <w:rsid w:val="00A00023"/>
    <w:rsid w:val="00A036A2"/>
    <w:rsid w:val="00A03872"/>
    <w:rsid w:val="00A03EAC"/>
    <w:rsid w:val="00A05C83"/>
    <w:rsid w:val="00A06708"/>
    <w:rsid w:val="00A0760D"/>
    <w:rsid w:val="00A14013"/>
    <w:rsid w:val="00A146D0"/>
    <w:rsid w:val="00A15649"/>
    <w:rsid w:val="00A17508"/>
    <w:rsid w:val="00A21041"/>
    <w:rsid w:val="00A21ABA"/>
    <w:rsid w:val="00A238D7"/>
    <w:rsid w:val="00A23BB6"/>
    <w:rsid w:val="00A240BB"/>
    <w:rsid w:val="00A24819"/>
    <w:rsid w:val="00A24B66"/>
    <w:rsid w:val="00A2705E"/>
    <w:rsid w:val="00A30FAC"/>
    <w:rsid w:val="00A3195D"/>
    <w:rsid w:val="00A31A42"/>
    <w:rsid w:val="00A33361"/>
    <w:rsid w:val="00A339BF"/>
    <w:rsid w:val="00A43DEB"/>
    <w:rsid w:val="00A44BCB"/>
    <w:rsid w:val="00A4582A"/>
    <w:rsid w:val="00A45888"/>
    <w:rsid w:val="00A45B0A"/>
    <w:rsid w:val="00A45FA0"/>
    <w:rsid w:val="00A46BEA"/>
    <w:rsid w:val="00A50972"/>
    <w:rsid w:val="00A50EB0"/>
    <w:rsid w:val="00A526BC"/>
    <w:rsid w:val="00A56C76"/>
    <w:rsid w:val="00A613AC"/>
    <w:rsid w:val="00A6371D"/>
    <w:rsid w:val="00A637EC"/>
    <w:rsid w:val="00A65011"/>
    <w:rsid w:val="00A6565C"/>
    <w:rsid w:val="00A66FA9"/>
    <w:rsid w:val="00A70DC6"/>
    <w:rsid w:val="00A73B0D"/>
    <w:rsid w:val="00A73B72"/>
    <w:rsid w:val="00A74164"/>
    <w:rsid w:val="00A748C4"/>
    <w:rsid w:val="00A74ADB"/>
    <w:rsid w:val="00A74E8C"/>
    <w:rsid w:val="00A811B8"/>
    <w:rsid w:val="00A81304"/>
    <w:rsid w:val="00A84359"/>
    <w:rsid w:val="00A84B9D"/>
    <w:rsid w:val="00A8604B"/>
    <w:rsid w:val="00A86199"/>
    <w:rsid w:val="00A86B2C"/>
    <w:rsid w:val="00A90A45"/>
    <w:rsid w:val="00A925C1"/>
    <w:rsid w:val="00A931DC"/>
    <w:rsid w:val="00A960E3"/>
    <w:rsid w:val="00A96568"/>
    <w:rsid w:val="00A9661D"/>
    <w:rsid w:val="00A976D8"/>
    <w:rsid w:val="00AA13DE"/>
    <w:rsid w:val="00AA1554"/>
    <w:rsid w:val="00AA1F47"/>
    <w:rsid w:val="00AA25C2"/>
    <w:rsid w:val="00AA40AD"/>
    <w:rsid w:val="00AA5754"/>
    <w:rsid w:val="00AA7105"/>
    <w:rsid w:val="00AA74A7"/>
    <w:rsid w:val="00AB38DA"/>
    <w:rsid w:val="00AB3BEF"/>
    <w:rsid w:val="00AB6453"/>
    <w:rsid w:val="00AB693A"/>
    <w:rsid w:val="00AB720C"/>
    <w:rsid w:val="00AB7B5E"/>
    <w:rsid w:val="00AC1A18"/>
    <w:rsid w:val="00AC2066"/>
    <w:rsid w:val="00AC461E"/>
    <w:rsid w:val="00AC50FF"/>
    <w:rsid w:val="00AD1D93"/>
    <w:rsid w:val="00AD392E"/>
    <w:rsid w:val="00AD440F"/>
    <w:rsid w:val="00AD4488"/>
    <w:rsid w:val="00AD4971"/>
    <w:rsid w:val="00AD67FC"/>
    <w:rsid w:val="00AD7D70"/>
    <w:rsid w:val="00AE12E1"/>
    <w:rsid w:val="00AE3328"/>
    <w:rsid w:val="00AE3FFF"/>
    <w:rsid w:val="00AE5850"/>
    <w:rsid w:val="00AF0E98"/>
    <w:rsid w:val="00AF172F"/>
    <w:rsid w:val="00AF20B3"/>
    <w:rsid w:val="00AF3F35"/>
    <w:rsid w:val="00AF78FE"/>
    <w:rsid w:val="00AF7911"/>
    <w:rsid w:val="00B00D84"/>
    <w:rsid w:val="00B032A1"/>
    <w:rsid w:val="00B06B80"/>
    <w:rsid w:val="00B10BD0"/>
    <w:rsid w:val="00B11587"/>
    <w:rsid w:val="00B1236D"/>
    <w:rsid w:val="00B13203"/>
    <w:rsid w:val="00B13CB7"/>
    <w:rsid w:val="00B14457"/>
    <w:rsid w:val="00B15ACE"/>
    <w:rsid w:val="00B21C42"/>
    <w:rsid w:val="00B23364"/>
    <w:rsid w:val="00B2362D"/>
    <w:rsid w:val="00B23EA6"/>
    <w:rsid w:val="00B24183"/>
    <w:rsid w:val="00B249FB"/>
    <w:rsid w:val="00B24C22"/>
    <w:rsid w:val="00B25905"/>
    <w:rsid w:val="00B30359"/>
    <w:rsid w:val="00B3225A"/>
    <w:rsid w:val="00B33D0F"/>
    <w:rsid w:val="00B3411C"/>
    <w:rsid w:val="00B342EB"/>
    <w:rsid w:val="00B35E4A"/>
    <w:rsid w:val="00B3659D"/>
    <w:rsid w:val="00B3775D"/>
    <w:rsid w:val="00B37948"/>
    <w:rsid w:val="00B405CE"/>
    <w:rsid w:val="00B4723C"/>
    <w:rsid w:val="00B53FB6"/>
    <w:rsid w:val="00B54BA5"/>
    <w:rsid w:val="00B57FC2"/>
    <w:rsid w:val="00B606C1"/>
    <w:rsid w:val="00B607F1"/>
    <w:rsid w:val="00B614B8"/>
    <w:rsid w:val="00B64A4C"/>
    <w:rsid w:val="00B64FC8"/>
    <w:rsid w:val="00B65A77"/>
    <w:rsid w:val="00B65D23"/>
    <w:rsid w:val="00B66093"/>
    <w:rsid w:val="00B668A7"/>
    <w:rsid w:val="00B70F37"/>
    <w:rsid w:val="00B71D6D"/>
    <w:rsid w:val="00B736B4"/>
    <w:rsid w:val="00B74869"/>
    <w:rsid w:val="00B77F15"/>
    <w:rsid w:val="00B83C6E"/>
    <w:rsid w:val="00B86232"/>
    <w:rsid w:val="00B87253"/>
    <w:rsid w:val="00B92BAF"/>
    <w:rsid w:val="00B93BE5"/>
    <w:rsid w:val="00B93FC6"/>
    <w:rsid w:val="00B9448A"/>
    <w:rsid w:val="00B9457D"/>
    <w:rsid w:val="00B959E5"/>
    <w:rsid w:val="00BA0B0F"/>
    <w:rsid w:val="00BA2C08"/>
    <w:rsid w:val="00BA3544"/>
    <w:rsid w:val="00BA3B02"/>
    <w:rsid w:val="00BA560E"/>
    <w:rsid w:val="00BA5662"/>
    <w:rsid w:val="00BA5874"/>
    <w:rsid w:val="00BA6128"/>
    <w:rsid w:val="00BB041A"/>
    <w:rsid w:val="00BB0DAD"/>
    <w:rsid w:val="00BB1691"/>
    <w:rsid w:val="00BB42EC"/>
    <w:rsid w:val="00BB6429"/>
    <w:rsid w:val="00BB7CE5"/>
    <w:rsid w:val="00BC0741"/>
    <w:rsid w:val="00BC1070"/>
    <w:rsid w:val="00BC2519"/>
    <w:rsid w:val="00BC2876"/>
    <w:rsid w:val="00BD0A3D"/>
    <w:rsid w:val="00BD24B2"/>
    <w:rsid w:val="00BE2884"/>
    <w:rsid w:val="00BE3B07"/>
    <w:rsid w:val="00BE5625"/>
    <w:rsid w:val="00BE5740"/>
    <w:rsid w:val="00BE63E9"/>
    <w:rsid w:val="00BE6936"/>
    <w:rsid w:val="00BE75CE"/>
    <w:rsid w:val="00BE78B4"/>
    <w:rsid w:val="00BF00EC"/>
    <w:rsid w:val="00BF1129"/>
    <w:rsid w:val="00BF1281"/>
    <w:rsid w:val="00BF1B25"/>
    <w:rsid w:val="00BF2371"/>
    <w:rsid w:val="00BF3BA8"/>
    <w:rsid w:val="00BF6455"/>
    <w:rsid w:val="00BF6582"/>
    <w:rsid w:val="00BF6E5D"/>
    <w:rsid w:val="00BF7A38"/>
    <w:rsid w:val="00BF7CC4"/>
    <w:rsid w:val="00C005AE"/>
    <w:rsid w:val="00C00EB6"/>
    <w:rsid w:val="00C0187E"/>
    <w:rsid w:val="00C0459B"/>
    <w:rsid w:val="00C0570C"/>
    <w:rsid w:val="00C10007"/>
    <w:rsid w:val="00C10AEF"/>
    <w:rsid w:val="00C12D62"/>
    <w:rsid w:val="00C1455E"/>
    <w:rsid w:val="00C205D4"/>
    <w:rsid w:val="00C22847"/>
    <w:rsid w:val="00C228D1"/>
    <w:rsid w:val="00C2310D"/>
    <w:rsid w:val="00C23B89"/>
    <w:rsid w:val="00C249E9"/>
    <w:rsid w:val="00C24E26"/>
    <w:rsid w:val="00C25075"/>
    <w:rsid w:val="00C26CB0"/>
    <w:rsid w:val="00C2738A"/>
    <w:rsid w:val="00C312E0"/>
    <w:rsid w:val="00C3283C"/>
    <w:rsid w:val="00C33703"/>
    <w:rsid w:val="00C34BBF"/>
    <w:rsid w:val="00C350EB"/>
    <w:rsid w:val="00C40F7C"/>
    <w:rsid w:val="00C4547D"/>
    <w:rsid w:val="00C46E3F"/>
    <w:rsid w:val="00C47153"/>
    <w:rsid w:val="00C4789D"/>
    <w:rsid w:val="00C47A25"/>
    <w:rsid w:val="00C51A2A"/>
    <w:rsid w:val="00C53E65"/>
    <w:rsid w:val="00C61015"/>
    <w:rsid w:val="00C633D6"/>
    <w:rsid w:val="00C63955"/>
    <w:rsid w:val="00C63A64"/>
    <w:rsid w:val="00C6586D"/>
    <w:rsid w:val="00C6759A"/>
    <w:rsid w:val="00C67C70"/>
    <w:rsid w:val="00C67F82"/>
    <w:rsid w:val="00C7007A"/>
    <w:rsid w:val="00C70909"/>
    <w:rsid w:val="00C71A39"/>
    <w:rsid w:val="00C72E98"/>
    <w:rsid w:val="00C7519B"/>
    <w:rsid w:val="00C81948"/>
    <w:rsid w:val="00C823BB"/>
    <w:rsid w:val="00C8504B"/>
    <w:rsid w:val="00C855D9"/>
    <w:rsid w:val="00C87294"/>
    <w:rsid w:val="00C91390"/>
    <w:rsid w:val="00C92571"/>
    <w:rsid w:val="00C92FA0"/>
    <w:rsid w:val="00C93C73"/>
    <w:rsid w:val="00C94864"/>
    <w:rsid w:val="00C951DB"/>
    <w:rsid w:val="00C97925"/>
    <w:rsid w:val="00CA2E53"/>
    <w:rsid w:val="00CA5C62"/>
    <w:rsid w:val="00CB09B1"/>
    <w:rsid w:val="00CB109F"/>
    <w:rsid w:val="00CB3594"/>
    <w:rsid w:val="00CB5C83"/>
    <w:rsid w:val="00CB753B"/>
    <w:rsid w:val="00CC2798"/>
    <w:rsid w:val="00CC4313"/>
    <w:rsid w:val="00CC6075"/>
    <w:rsid w:val="00CC7467"/>
    <w:rsid w:val="00CD0E17"/>
    <w:rsid w:val="00CD31BA"/>
    <w:rsid w:val="00CD3BC0"/>
    <w:rsid w:val="00CD5E69"/>
    <w:rsid w:val="00CE0B8F"/>
    <w:rsid w:val="00CE25F0"/>
    <w:rsid w:val="00CE3E81"/>
    <w:rsid w:val="00CE4D9B"/>
    <w:rsid w:val="00CE5A8C"/>
    <w:rsid w:val="00CE5ABD"/>
    <w:rsid w:val="00CF2BD7"/>
    <w:rsid w:val="00CF36EF"/>
    <w:rsid w:val="00CF3761"/>
    <w:rsid w:val="00CF55A0"/>
    <w:rsid w:val="00CF676C"/>
    <w:rsid w:val="00CF72D8"/>
    <w:rsid w:val="00D01BC1"/>
    <w:rsid w:val="00D02A49"/>
    <w:rsid w:val="00D05260"/>
    <w:rsid w:val="00D06B19"/>
    <w:rsid w:val="00D074CA"/>
    <w:rsid w:val="00D13E87"/>
    <w:rsid w:val="00D14875"/>
    <w:rsid w:val="00D156DF"/>
    <w:rsid w:val="00D16DFB"/>
    <w:rsid w:val="00D178E8"/>
    <w:rsid w:val="00D200E4"/>
    <w:rsid w:val="00D22059"/>
    <w:rsid w:val="00D250AD"/>
    <w:rsid w:val="00D258BB"/>
    <w:rsid w:val="00D25ABB"/>
    <w:rsid w:val="00D25F76"/>
    <w:rsid w:val="00D3075E"/>
    <w:rsid w:val="00D30A5B"/>
    <w:rsid w:val="00D31049"/>
    <w:rsid w:val="00D346D4"/>
    <w:rsid w:val="00D36FBF"/>
    <w:rsid w:val="00D425D7"/>
    <w:rsid w:val="00D43824"/>
    <w:rsid w:val="00D43AD9"/>
    <w:rsid w:val="00D43F83"/>
    <w:rsid w:val="00D45617"/>
    <w:rsid w:val="00D47FF6"/>
    <w:rsid w:val="00D5014D"/>
    <w:rsid w:val="00D510DA"/>
    <w:rsid w:val="00D52AF0"/>
    <w:rsid w:val="00D52E3B"/>
    <w:rsid w:val="00D53511"/>
    <w:rsid w:val="00D54FFD"/>
    <w:rsid w:val="00D570D5"/>
    <w:rsid w:val="00D6111F"/>
    <w:rsid w:val="00D62B98"/>
    <w:rsid w:val="00D62CEE"/>
    <w:rsid w:val="00D65044"/>
    <w:rsid w:val="00D6546D"/>
    <w:rsid w:val="00D65D0D"/>
    <w:rsid w:val="00D727D8"/>
    <w:rsid w:val="00D72D84"/>
    <w:rsid w:val="00D73B08"/>
    <w:rsid w:val="00D74CBB"/>
    <w:rsid w:val="00D75E7A"/>
    <w:rsid w:val="00D77672"/>
    <w:rsid w:val="00D80DA5"/>
    <w:rsid w:val="00D8104F"/>
    <w:rsid w:val="00D81EEC"/>
    <w:rsid w:val="00D829CE"/>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231B"/>
    <w:rsid w:val="00DC4D3F"/>
    <w:rsid w:val="00DC655F"/>
    <w:rsid w:val="00DC6C2C"/>
    <w:rsid w:val="00DC7815"/>
    <w:rsid w:val="00DD4159"/>
    <w:rsid w:val="00DD493C"/>
    <w:rsid w:val="00DD4B67"/>
    <w:rsid w:val="00DD72E5"/>
    <w:rsid w:val="00DE0908"/>
    <w:rsid w:val="00DE18A6"/>
    <w:rsid w:val="00DE33B3"/>
    <w:rsid w:val="00DE3532"/>
    <w:rsid w:val="00DE763A"/>
    <w:rsid w:val="00DE7B53"/>
    <w:rsid w:val="00DF03B6"/>
    <w:rsid w:val="00DF1E5E"/>
    <w:rsid w:val="00DF2082"/>
    <w:rsid w:val="00DF2AE1"/>
    <w:rsid w:val="00DF2C5A"/>
    <w:rsid w:val="00DF5B6C"/>
    <w:rsid w:val="00DF5D70"/>
    <w:rsid w:val="00DF6A02"/>
    <w:rsid w:val="00E01EFE"/>
    <w:rsid w:val="00E05491"/>
    <w:rsid w:val="00E06598"/>
    <w:rsid w:val="00E067A6"/>
    <w:rsid w:val="00E06D06"/>
    <w:rsid w:val="00E1015E"/>
    <w:rsid w:val="00E11585"/>
    <w:rsid w:val="00E128C3"/>
    <w:rsid w:val="00E161D2"/>
    <w:rsid w:val="00E167A6"/>
    <w:rsid w:val="00E169F4"/>
    <w:rsid w:val="00E16F9E"/>
    <w:rsid w:val="00E175C8"/>
    <w:rsid w:val="00E2241B"/>
    <w:rsid w:val="00E228B8"/>
    <w:rsid w:val="00E26639"/>
    <w:rsid w:val="00E30389"/>
    <w:rsid w:val="00E32226"/>
    <w:rsid w:val="00E346A1"/>
    <w:rsid w:val="00E4050E"/>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837"/>
    <w:rsid w:val="00E76EC2"/>
    <w:rsid w:val="00E8015D"/>
    <w:rsid w:val="00E828FC"/>
    <w:rsid w:val="00E83653"/>
    <w:rsid w:val="00E83BB6"/>
    <w:rsid w:val="00E85BEA"/>
    <w:rsid w:val="00E8697F"/>
    <w:rsid w:val="00E87766"/>
    <w:rsid w:val="00E90CDA"/>
    <w:rsid w:val="00E90D5D"/>
    <w:rsid w:val="00E91E2D"/>
    <w:rsid w:val="00E9407C"/>
    <w:rsid w:val="00EA1279"/>
    <w:rsid w:val="00EA1457"/>
    <w:rsid w:val="00EA30A6"/>
    <w:rsid w:val="00EA4E24"/>
    <w:rsid w:val="00EA6492"/>
    <w:rsid w:val="00EA69B6"/>
    <w:rsid w:val="00EB1C98"/>
    <w:rsid w:val="00EB2D35"/>
    <w:rsid w:val="00EB48A8"/>
    <w:rsid w:val="00EB5E79"/>
    <w:rsid w:val="00EB6D2D"/>
    <w:rsid w:val="00EC30CC"/>
    <w:rsid w:val="00EC3BF0"/>
    <w:rsid w:val="00EC604A"/>
    <w:rsid w:val="00EC7E71"/>
    <w:rsid w:val="00ED077E"/>
    <w:rsid w:val="00ED21E7"/>
    <w:rsid w:val="00ED3022"/>
    <w:rsid w:val="00ED3481"/>
    <w:rsid w:val="00ED646E"/>
    <w:rsid w:val="00ED741E"/>
    <w:rsid w:val="00ED7C32"/>
    <w:rsid w:val="00EE0AB3"/>
    <w:rsid w:val="00EE1364"/>
    <w:rsid w:val="00EE17EB"/>
    <w:rsid w:val="00EE2311"/>
    <w:rsid w:val="00EE27EF"/>
    <w:rsid w:val="00EE33D7"/>
    <w:rsid w:val="00EE4FFF"/>
    <w:rsid w:val="00EE775F"/>
    <w:rsid w:val="00EF422C"/>
    <w:rsid w:val="00EF6038"/>
    <w:rsid w:val="00EF7397"/>
    <w:rsid w:val="00F01C82"/>
    <w:rsid w:val="00F07504"/>
    <w:rsid w:val="00F07567"/>
    <w:rsid w:val="00F07F57"/>
    <w:rsid w:val="00F10354"/>
    <w:rsid w:val="00F162D6"/>
    <w:rsid w:val="00F169BA"/>
    <w:rsid w:val="00F16D7B"/>
    <w:rsid w:val="00F215D2"/>
    <w:rsid w:val="00F2262D"/>
    <w:rsid w:val="00F2277E"/>
    <w:rsid w:val="00F27207"/>
    <w:rsid w:val="00F3188B"/>
    <w:rsid w:val="00F31E85"/>
    <w:rsid w:val="00F32638"/>
    <w:rsid w:val="00F346A3"/>
    <w:rsid w:val="00F34B4E"/>
    <w:rsid w:val="00F40B5B"/>
    <w:rsid w:val="00F41047"/>
    <w:rsid w:val="00F417CB"/>
    <w:rsid w:val="00F418B2"/>
    <w:rsid w:val="00F41EAF"/>
    <w:rsid w:val="00F427FC"/>
    <w:rsid w:val="00F42B59"/>
    <w:rsid w:val="00F449FC"/>
    <w:rsid w:val="00F44D3B"/>
    <w:rsid w:val="00F4550D"/>
    <w:rsid w:val="00F511FC"/>
    <w:rsid w:val="00F513DD"/>
    <w:rsid w:val="00F53566"/>
    <w:rsid w:val="00F54532"/>
    <w:rsid w:val="00F5458A"/>
    <w:rsid w:val="00F54B0F"/>
    <w:rsid w:val="00F54CE3"/>
    <w:rsid w:val="00F6098A"/>
    <w:rsid w:val="00F60B11"/>
    <w:rsid w:val="00F6189B"/>
    <w:rsid w:val="00F63C70"/>
    <w:rsid w:val="00F64FD4"/>
    <w:rsid w:val="00F65C48"/>
    <w:rsid w:val="00F65E88"/>
    <w:rsid w:val="00F702DD"/>
    <w:rsid w:val="00F722BC"/>
    <w:rsid w:val="00F72E6C"/>
    <w:rsid w:val="00F767DF"/>
    <w:rsid w:val="00F76C94"/>
    <w:rsid w:val="00F82F14"/>
    <w:rsid w:val="00F84219"/>
    <w:rsid w:val="00F8506F"/>
    <w:rsid w:val="00F866A8"/>
    <w:rsid w:val="00F87F41"/>
    <w:rsid w:val="00FA0183"/>
    <w:rsid w:val="00FA14C0"/>
    <w:rsid w:val="00FA5F16"/>
    <w:rsid w:val="00FA7F2D"/>
    <w:rsid w:val="00FB01FF"/>
    <w:rsid w:val="00FB2D17"/>
    <w:rsid w:val="00FB32C2"/>
    <w:rsid w:val="00FB5B3F"/>
    <w:rsid w:val="00FB7358"/>
    <w:rsid w:val="00FC0E5B"/>
    <w:rsid w:val="00FC138B"/>
    <w:rsid w:val="00FC22A6"/>
    <w:rsid w:val="00FC32AB"/>
    <w:rsid w:val="00FC3C97"/>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0FF7EFE"/>
    <w:rsid w:val="010F3087"/>
    <w:rsid w:val="01E60B57"/>
    <w:rsid w:val="03F36D65"/>
    <w:rsid w:val="042D070E"/>
    <w:rsid w:val="044C05B1"/>
    <w:rsid w:val="04957317"/>
    <w:rsid w:val="06997F2C"/>
    <w:rsid w:val="069D69EC"/>
    <w:rsid w:val="07CC46CC"/>
    <w:rsid w:val="084B781B"/>
    <w:rsid w:val="09616B55"/>
    <w:rsid w:val="09786F5C"/>
    <w:rsid w:val="0AE37483"/>
    <w:rsid w:val="0B174F3F"/>
    <w:rsid w:val="0B760EC0"/>
    <w:rsid w:val="0E314B7C"/>
    <w:rsid w:val="0F4A444A"/>
    <w:rsid w:val="100F5CB0"/>
    <w:rsid w:val="11663FA5"/>
    <w:rsid w:val="118454F7"/>
    <w:rsid w:val="11F03D41"/>
    <w:rsid w:val="122B0C68"/>
    <w:rsid w:val="127508D7"/>
    <w:rsid w:val="12CF0B69"/>
    <w:rsid w:val="13452433"/>
    <w:rsid w:val="13AC3C68"/>
    <w:rsid w:val="14860174"/>
    <w:rsid w:val="148D3880"/>
    <w:rsid w:val="14C71E2C"/>
    <w:rsid w:val="15403700"/>
    <w:rsid w:val="158D6A4E"/>
    <w:rsid w:val="15DB2DA6"/>
    <w:rsid w:val="16CA07EC"/>
    <w:rsid w:val="16CC1BCB"/>
    <w:rsid w:val="19121CCF"/>
    <w:rsid w:val="192654DD"/>
    <w:rsid w:val="195D0C07"/>
    <w:rsid w:val="19B22C04"/>
    <w:rsid w:val="1A0E122D"/>
    <w:rsid w:val="1A667B0C"/>
    <w:rsid w:val="1A6E433A"/>
    <w:rsid w:val="1A927D47"/>
    <w:rsid w:val="1BB31F7A"/>
    <w:rsid w:val="1C357720"/>
    <w:rsid w:val="1D07649A"/>
    <w:rsid w:val="1D640CEE"/>
    <w:rsid w:val="1E424807"/>
    <w:rsid w:val="1E956831"/>
    <w:rsid w:val="1FF379C2"/>
    <w:rsid w:val="2006362B"/>
    <w:rsid w:val="20AD096A"/>
    <w:rsid w:val="20E553B1"/>
    <w:rsid w:val="227E19AC"/>
    <w:rsid w:val="24075CBC"/>
    <w:rsid w:val="240C179E"/>
    <w:rsid w:val="248532F7"/>
    <w:rsid w:val="24905166"/>
    <w:rsid w:val="263179D7"/>
    <w:rsid w:val="279E085F"/>
    <w:rsid w:val="291750BF"/>
    <w:rsid w:val="292A3FDD"/>
    <w:rsid w:val="29CF39EF"/>
    <w:rsid w:val="29DE45F4"/>
    <w:rsid w:val="29E06657"/>
    <w:rsid w:val="2A6F6410"/>
    <w:rsid w:val="2B8E100D"/>
    <w:rsid w:val="2BD439CB"/>
    <w:rsid w:val="2C0B5146"/>
    <w:rsid w:val="2C1B13EE"/>
    <w:rsid w:val="2C805AEB"/>
    <w:rsid w:val="2D4132A6"/>
    <w:rsid w:val="2D556DE5"/>
    <w:rsid w:val="2F762E67"/>
    <w:rsid w:val="30471746"/>
    <w:rsid w:val="310A6EC0"/>
    <w:rsid w:val="311470E3"/>
    <w:rsid w:val="31444456"/>
    <w:rsid w:val="31447C69"/>
    <w:rsid w:val="327454BC"/>
    <w:rsid w:val="332E2EA1"/>
    <w:rsid w:val="338C1D5A"/>
    <w:rsid w:val="339F776B"/>
    <w:rsid w:val="33CB53DB"/>
    <w:rsid w:val="33F13343"/>
    <w:rsid w:val="34235D54"/>
    <w:rsid w:val="34BA2BC8"/>
    <w:rsid w:val="350325B2"/>
    <w:rsid w:val="35ED6BDF"/>
    <w:rsid w:val="368465AA"/>
    <w:rsid w:val="36B866A8"/>
    <w:rsid w:val="36DB3EF8"/>
    <w:rsid w:val="3723513A"/>
    <w:rsid w:val="37726B89"/>
    <w:rsid w:val="378258AE"/>
    <w:rsid w:val="37BA7B64"/>
    <w:rsid w:val="382B560B"/>
    <w:rsid w:val="398A76E0"/>
    <w:rsid w:val="39B73FED"/>
    <w:rsid w:val="3A985188"/>
    <w:rsid w:val="3B1B4B0F"/>
    <w:rsid w:val="3B2576C1"/>
    <w:rsid w:val="3C464801"/>
    <w:rsid w:val="3CDE086D"/>
    <w:rsid w:val="3D230633"/>
    <w:rsid w:val="3D5027A5"/>
    <w:rsid w:val="3D64314E"/>
    <w:rsid w:val="3D8D26DE"/>
    <w:rsid w:val="3D9A3E6E"/>
    <w:rsid w:val="3E57531D"/>
    <w:rsid w:val="3E7B3779"/>
    <w:rsid w:val="400651C1"/>
    <w:rsid w:val="40DE3F79"/>
    <w:rsid w:val="41710C78"/>
    <w:rsid w:val="42850554"/>
    <w:rsid w:val="42B44AAA"/>
    <w:rsid w:val="43F6439D"/>
    <w:rsid w:val="45277812"/>
    <w:rsid w:val="45A73624"/>
    <w:rsid w:val="462B1998"/>
    <w:rsid w:val="465A2A5B"/>
    <w:rsid w:val="46E14C12"/>
    <w:rsid w:val="46F72500"/>
    <w:rsid w:val="475F3D89"/>
    <w:rsid w:val="48084655"/>
    <w:rsid w:val="48496326"/>
    <w:rsid w:val="487429DE"/>
    <w:rsid w:val="491B5C3B"/>
    <w:rsid w:val="4AA87431"/>
    <w:rsid w:val="4BB50611"/>
    <w:rsid w:val="4C3474E8"/>
    <w:rsid w:val="4D7D3CB3"/>
    <w:rsid w:val="4D976C60"/>
    <w:rsid w:val="4DDF5C24"/>
    <w:rsid w:val="4E1F3ADA"/>
    <w:rsid w:val="4E6B67CB"/>
    <w:rsid w:val="4FBF5D0D"/>
    <w:rsid w:val="531555EA"/>
    <w:rsid w:val="546376A1"/>
    <w:rsid w:val="54A61249"/>
    <w:rsid w:val="552B70A1"/>
    <w:rsid w:val="55501BB2"/>
    <w:rsid w:val="56496330"/>
    <w:rsid w:val="57A437BF"/>
    <w:rsid w:val="58241BF0"/>
    <w:rsid w:val="58E32BB5"/>
    <w:rsid w:val="591B5DF7"/>
    <w:rsid w:val="597C6B74"/>
    <w:rsid w:val="5AFE464D"/>
    <w:rsid w:val="5B66017A"/>
    <w:rsid w:val="5B875B99"/>
    <w:rsid w:val="5B9D7EC3"/>
    <w:rsid w:val="5BE179F4"/>
    <w:rsid w:val="5CA91C2D"/>
    <w:rsid w:val="5D337DF5"/>
    <w:rsid w:val="5DC85604"/>
    <w:rsid w:val="5E131299"/>
    <w:rsid w:val="5F0665CD"/>
    <w:rsid w:val="60202499"/>
    <w:rsid w:val="60CE6EF8"/>
    <w:rsid w:val="60DC67BD"/>
    <w:rsid w:val="60E26C0C"/>
    <w:rsid w:val="60E61ADC"/>
    <w:rsid w:val="616C2AE8"/>
    <w:rsid w:val="61E355CC"/>
    <w:rsid w:val="626F2A4D"/>
    <w:rsid w:val="62733360"/>
    <w:rsid w:val="62BB2AF8"/>
    <w:rsid w:val="635D6A4E"/>
    <w:rsid w:val="6450498C"/>
    <w:rsid w:val="64A111C7"/>
    <w:rsid w:val="657F4D4B"/>
    <w:rsid w:val="65EB7DF5"/>
    <w:rsid w:val="672F3D84"/>
    <w:rsid w:val="67FC0514"/>
    <w:rsid w:val="6AFB7A17"/>
    <w:rsid w:val="6B250B57"/>
    <w:rsid w:val="6B7C4792"/>
    <w:rsid w:val="6C3F7755"/>
    <w:rsid w:val="6C4500FB"/>
    <w:rsid w:val="6C873682"/>
    <w:rsid w:val="6DBB21E0"/>
    <w:rsid w:val="6DD97227"/>
    <w:rsid w:val="6E291A37"/>
    <w:rsid w:val="6E614B51"/>
    <w:rsid w:val="6F79220C"/>
    <w:rsid w:val="6FD1577A"/>
    <w:rsid w:val="70D3301C"/>
    <w:rsid w:val="721750DD"/>
    <w:rsid w:val="725956F5"/>
    <w:rsid w:val="72A97CF2"/>
    <w:rsid w:val="73B35573"/>
    <w:rsid w:val="751F6D7B"/>
    <w:rsid w:val="766B6455"/>
    <w:rsid w:val="772D5B56"/>
    <w:rsid w:val="776D6323"/>
    <w:rsid w:val="7A553377"/>
    <w:rsid w:val="7B1B7E87"/>
    <w:rsid w:val="7B6F05B6"/>
    <w:rsid w:val="7B7E01E2"/>
    <w:rsid w:val="7BB026E1"/>
    <w:rsid w:val="7C1B6950"/>
    <w:rsid w:val="7C8B4A51"/>
    <w:rsid w:val="7C8F73F9"/>
    <w:rsid w:val="7D347990"/>
    <w:rsid w:val="7DA367C3"/>
    <w:rsid w:val="7DB75D62"/>
    <w:rsid w:val="7DF306D1"/>
    <w:rsid w:val="7E5C589A"/>
    <w:rsid w:val="7F2C0419"/>
    <w:rsid w:val="7F5B695D"/>
    <w:rsid w:val="7F84247C"/>
    <w:rsid w:val="7F9B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kern w:val="44"/>
      <w:sz w:val="44"/>
      <w:szCs w:val="44"/>
    </w:rPr>
  </w:style>
  <w:style w:type="paragraph" w:styleId="3">
    <w:name w:val="heading 2"/>
    <w:basedOn w:val="1"/>
    <w:next w:val="1"/>
    <w:link w:val="5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59"/>
    <w:autoRedefine/>
    <w:qFormat/>
    <w:uiPriority w:val="0"/>
    <w:pPr>
      <w:keepNext/>
      <w:outlineLvl w:val="3"/>
    </w:pPr>
    <w:rPr>
      <w:sz w:val="28"/>
      <w:szCs w:val="20"/>
    </w:rPr>
  </w:style>
  <w:style w:type="paragraph" w:styleId="6">
    <w:name w:val="heading 5"/>
    <w:basedOn w:val="1"/>
    <w:next w:val="1"/>
    <w:link w:val="60"/>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autoRedefine/>
    <w:qFormat/>
    <w:uiPriority w:val="0"/>
    <w:pPr>
      <w:keepNext/>
      <w:keepLines/>
      <w:spacing w:before="240" w:after="64" w:line="320" w:lineRule="auto"/>
      <w:outlineLvl w:val="6"/>
    </w:pPr>
    <w:rPr>
      <w:b/>
      <w:bCs/>
      <w:sz w:val="24"/>
    </w:rPr>
  </w:style>
  <w:style w:type="paragraph" w:styleId="9">
    <w:name w:val="heading 8"/>
    <w:basedOn w:val="1"/>
    <w:next w:val="1"/>
    <w:link w:val="63"/>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4"/>
    <w:autoRedefine/>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Normal Indent"/>
    <w:basedOn w:val="1"/>
    <w:next w:val="1"/>
    <w:link w:val="95"/>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Document Map"/>
    <w:basedOn w:val="1"/>
    <w:link w:val="69"/>
    <w:autoRedefine/>
    <w:semiHidden/>
    <w:qFormat/>
    <w:uiPriority w:val="0"/>
    <w:rPr>
      <w:rFonts w:ascii="宋体"/>
      <w:sz w:val="18"/>
      <w:szCs w:val="18"/>
    </w:rPr>
  </w:style>
  <w:style w:type="paragraph" w:styleId="14">
    <w:name w:val="annotation text"/>
    <w:basedOn w:val="1"/>
    <w:link w:val="67"/>
    <w:autoRedefine/>
    <w:unhideWhenUsed/>
    <w:qFormat/>
    <w:uiPriority w:val="99"/>
    <w:pPr>
      <w:jc w:val="left"/>
    </w:pPr>
  </w:style>
  <w:style w:type="paragraph" w:styleId="15">
    <w:name w:val="Body Text 3"/>
    <w:basedOn w:val="1"/>
    <w:link w:val="93"/>
    <w:autoRedefine/>
    <w:semiHidden/>
    <w:unhideWhenUsed/>
    <w:qFormat/>
    <w:uiPriority w:val="99"/>
    <w:pPr>
      <w:spacing w:after="120"/>
    </w:pPr>
    <w:rPr>
      <w:sz w:val="16"/>
      <w:szCs w:val="16"/>
    </w:rPr>
  </w:style>
  <w:style w:type="paragraph" w:styleId="16">
    <w:name w:val="Body Text"/>
    <w:basedOn w:val="1"/>
    <w:link w:val="70"/>
    <w:autoRedefine/>
    <w:qFormat/>
    <w:uiPriority w:val="0"/>
    <w:rPr>
      <w:sz w:val="28"/>
      <w:szCs w:val="20"/>
    </w:rPr>
  </w:style>
  <w:style w:type="paragraph" w:styleId="17">
    <w:name w:val="Body Text Indent"/>
    <w:basedOn w:val="1"/>
    <w:link w:val="71"/>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72"/>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73"/>
    <w:autoRedefine/>
    <w:qFormat/>
    <w:uiPriority w:val="0"/>
    <w:pPr>
      <w:ind w:left="100" w:leftChars="2500"/>
    </w:pPr>
    <w:rPr>
      <w:szCs w:val="20"/>
    </w:rPr>
  </w:style>
  <w:style w:type="paragraph" w:styleId="24">
    <w:name w:val="Body Text Indent 2"/>
    <w:basedOn w:val="1"/>
    <w:link w:val="74"/>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5"/>
    <w:autoRedefine/>
    <w:semiHidden/>
    <w:unhideWhenUsed/>
    <w:qFormat/>
    <w:uiPriority w:val="0"/>
    <w:rPr>
      <w:sz w:val="18"/>
      <w:szCs w:val="18"/>
    </w:rPr>
  </w:style>
  <w:style w:type="paragraph" w:styleId="26">
    <w:name w:val="footer"/>
    <w:basedOn w:val="1"/>
    <w:link w:val="66"/>
    <w:autoRedefine/>
    <w:unhideWhenUsed/>
    <w:qFormat/>
    <w:uiPriority w:val="0"/>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cs="Arial"/>
    </w:rPr>
  </w:style>
  <w:style w:type="paragraph" w:styleId="28">
    <w:name w:val="header"/>
    <w:basedOn w:val="1"/>
    <w:link w:val="6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426"/>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5"/>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toc 6"/>
    <w:basedOn w:val="1"/>
    <w:next w:val="1"/>
    <w:autoRedefine/>
    <w:unhideWhenUsed/>
    <w:qFormat/>
    <w:uiPriority w:val="39"/>
    <w:pPr>
      <w:ind w:left="2100" w:leftChars="1000"/>
    </w:pPr>
    <w:rPr>
      <w:rFonts w:ascii="Calibri" w:hAnsi="Calibri"/>
      <w:szCs w:val="22"/>
    </w:rPr>
  </w:style>
  <w:style w:type="paragraph" w:styleId="33">
    <w:name w:val="Body Text Indent 3"/>
    <w:basedOn w:val="1"/>
    <w:link w:val="76"/>
    <w:autoRedefine/>
    <w:qFormat/>
    <w:uiPriority w:val="0"/>
    <w:pPr>
      <w:spacing w:after="120" w:line="360" w:lineRule="atLeast"/>
      <w:ind w:firstLine="720" w:firstLineChars="300"/>
    </w:pPr>
    <w:rPr>
      <w:sz w:val="24"/>
      <w:szCs w:val="20"/>
    </w:rPr>
  </w:style>
  <w:style w:type="paragraph" w:styleId="34">
    <w:name w:val="toc 2"/>
    <w:basedOn w:val="1"/>
    <w:next w:val="1"/>
    <w:autoRedefine/>
    <w:qFormat/>
    <w:uiPriority w:val="39"/>
    <w:pPr>
      <w:tabs>
        <w:tab w:val="left" w:pos="567"/>
        <w:tab w:val="right" w:leader="dot" w:pos="8505"/>
        <w:tab w:val="right" w:leader="dot" w:pos="9628"/>
      </w:tabs>
      <w:spacing w:line="440" w:lineRule="exact"/>
    </w:pPr>
  </w:style>
  <w:style w:type="paragraph" w:styleId="35">
    <w:name w:val="toc 9"/>
    <w:basedOn w:val="1"/>
    <w:next w:val="1"/>
    <w:autoRedefine/>
    <w:unhideWhenUsed/>
    <w:qFormat/>
    <w:uiPriority w:val="39"/>
    <w:pPr>
      <w:ind w:left="3360" w:leftChars="1600"/>
    </w:pPr>
    <w:rPr>
      <w:rFonts w:ascii="Calibri" w:hAnsi="Calibri"/>
      <w:szCs w:val="22"/>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next w:val="1"/>
    <w:link w:val="77"/>
    <w:autoRedefine/>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68"/>
    <w:autoRedefine/>
    <w:semiHidden/>
    <w:qFormat/>
    <w:uiPriority w:val="0"/>
    <w:rPr>
      <w:b/>
      <w:bCs/>
      <w:szCs w:val="20"/>
    </w:rPr>
  </w:style>
  <w:style w:type="paragraph" w:styleId="39">
    <w:name w:val="Body Text First Indent"/>
    <w:basedOn w:val="16"/>
    <w:autoRedefine/>
    <w:qFormat/>
    <w:uiPriority w:val="0"/>
    <w:pPr>
      <w:spacing w:after="120"/>
      <w:ind w:firstLine="420"/>
      <w:jc w:val="both"/>
    </w:pPr>
    <w:rPr>
      <w:sz w:val="21"/>
    </w:rPr>
  </w:style>
  <w:style w:type="paragraph" w:styleId="40">
    <w:name w:val="Body Text First Indent 2"/>
    <w:basedOn w:val="17"/>
    <w:next w:val="1"/>
    <w:autoRedefine/>
    <w:qFormat/>
    <w:uiPriority w:val="0"/>
    <w:pPr>
      <w:ind w:firstLine="420" w:firstLineChars="200"/>
    </w:pPr>
  </w:style>
  <w:style w:type="table" w:styleId="42">
    <w:name w:val="Table Grid"/>
    <w:basedOn w:val="41"/>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autoRedefine/>
    <w:qFormat/>
    <w:uiPriority w:val="0"/>
  </w:style>
  <w:style w:type="character" w:styleId="45">
    <w:name w:val="FollowedHyperlink"/>
    <w:autoRedefine/>
    <w:qFormat/>
    <w:uiPriority w:val="0"/>
    <w:rPr>
      <w:color w:val="800080"/>
      <w:u w:val="single"/>
    </w:rPr>
  </w:style>
  <w:style w:type="character" w:styleId="46">
    <w:name w:val="Hyperlink"/>
    <w:basedOn w:val="43"/>
    <w:autoRedefine/>
    <w:qFormat/>
    <w:uiPriority w:val="99"/>
    <w:rPr>
      <w:color w:val="0000FF"/>
      <w:u w:val="single"/>
    </w:rPr>
  </w:style>
  <w:style w:type="character" w:styleId="47">
    <w:name w:val="annotation reference"/>
    <w:autoRedefine/>
    <w:qFormat/>
    <w:uiPriority w:val="99"/>
    <w:rPr>
      <w:sz w:val="21"/>
      <w:szCs w:val="21"/>
    </w:rPr>
  </w:style>
  <w:style w:type="paragraph" w:customStyle="1" w:styleId="48">
    <w:name w:val="_Style 3"/>
    <w:basedOn w:val="1"/>
    <w:next w:val="49"/>
    <w:autoRedefine/>
    <w:qFormat/>
    <w:uiPriority w:val="0"/>
    <w:pPr>
      <w:ind w:firstLine="420" w:firstLineChars="200"/>
    </w:pPr>
    <w:rPr>
      <w:rFonts w:ascii="等线" w:hAnsi="等线" w:eastAsia="等线" w:cs="Times New Roman"/>
      <w:sz w:val="20"/>
    </w:rPr>
  </w:style>
  <w:style w:type="paragraph" w:customStyle="1" w:styleId="49">
    <w:name w:val="List Paragraph1"/>
    <w:basedOn w:val="1"/>
    <w:autoRedefine/>
    <w:qFormat/>
    <w:uiPriority w:val="99"/>
    <w:pPr>
      <w:ind w:firstLine="420" w:firstLineChars="200"/>
    </w:pPr>
  </w:style>
  <w:style w:type="paragraph" w:customStyle="1" w:styleId="50">
    <w:name w:val="表格文字"/>
    <w:basedOn w:val="51"/>
    <w:next w:val="1"/>
    <w:autoRedefine/>
    <w:qFormat/>
    <w:uiPriority w:val="0"/>
    <w:pPr>
      <w:spacing w:before="25" w:after="25"/>
      <w:jc w:val="left"/>
    </w:pPr>
    <w:rPr>
      <w:bCs/>
      <w:spacing w:val="10"/>
      <w:kern w:val="0"/>
      <w:sz w:val="24"/>
      <w:szCs w:val="20"/>
    </w:rPr>
  </w:style>
  <w:style w:type="paragraph" w:customStyle="1" w:styleId="51">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52">
    <w:name w:val="bt1bt1"/>
    <w:basedOn w:val="2"/>
    <w:autoRedefine/>
    <w:qFormat/>
    <w:uiPriority w:val="0"/>
    <w:pPr>
      <w:spacing w:line="240" w:lineRule="auto"/>
      <w:jc w:val="center"/>
    </w:pPr>
    <w:rPr>
      <w:rFonts w:ascii="黑体" w:eastAsia="黑体"/>
      <w:sz w:val="36"/>
      <w:szCs w:val="36"/>
    </w:rPr>
  </w:style>
  <w:style w:type="paragraph" w:styleId="53">
    <w:name w:val="List Paragraph"/>
    <w:basedOn w:val="1"/>
    <w:autoRedefine/>
    <w:unhideWhenUsed/>
    <w:qFormat/>
    <w:uiPriority w:val="34"/>
    <w:pPr>
      <w:ind w:firstLine="420" w:firstLineChars="200"/>
    </w:pPr>
  </w:style>
  <w:style w:type="character" w:customStyle="1" w:styleId="54">
    <w:name w:val="标题 1 字符"/>
    <w:basedOn w:val="43"/>
    <w:link w:val="2"/>
    <w:autoRedefine/>
    <w:qFormat/>
    <w:uiPriority w:val="0"/>
    <w:rPr>
      <w:rFonts w:ascii="Times New Roman" w:hAnsi="Times New Roman" w:eastAsia="宋体" w:cs="Times New Roman"/>
      <w:b/>
      <w:bCs/>
      <w:kern w:val="44"/>
      <w:sz w:val="44"/>
      <w:szCs w:val="44"/>
    </w:rPr>
  </w:style>
  <w:style w:type="character" w:customStyle="1" w:styleId="55">
    <w:name w:val="批注框文本 字符"/>
    <w:basedOn w:val="43"/>
    <w:link w:val="25"/>
    <w:autoRedefine/>
    <w:semiHidden/>
    <w:qFormat/>
    <w:uiPriority w:val="0"/>
    <w:rPr>
      <w:rFonts w:ascii="Times New Roman" w:hAnsi="Times New Roman" w:eastAsia="宋体" w:cs="Times New Roman"/>
      <w:sz w:val="18"/>
      <w:szCs w:val="18"/>
    </w:rPr>
  </w:style>
  <w:style w:type="paragraph" w:customStyle="1" w:styleId="5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标题 2 字符"/>
    <w:basedOn w:val="43"/>
    <w:link w:val="3"/>
    <w:autoRedefine/>
    <w:qFormat/>
    <w:uiPriority w:val="0"/>
    <w:rPr>
      <w:rFonts w:ascii="Arial" w:hAnsi="Arial" w:eastAsia="黑体" w:cs="Times New Roman"/>
      <w:b/>
      <w:bCs/>
      <w:sz w:val="32"/>
      <w:szCs w:val="32"/>
    </w:rPr>
  </w:style>
  <w:style w:type="character" w:customStyle="1" w:styleId="58">
    <w:name w:val="标题 3 字符"/>
    <w:basedOn w:val="43"/>
    <w:link w:val="4"/>
    <w:autoRedefine/>
    <w:qFormat/>
    <w:uiPriority w:val="0"/>
    <w:rPr>
      <w:rFonts w:ascii="黑体" w:hAnsi="Times New Roman" w:eastAsia="黑体" w:cs="Times New Roman"/>
      <w:kern w:val="0"/>
      <w:sz w:val="28"/>
      <w:szCs w:val="20"/>
    </w:rPr>
  </w:style>
  <w:style w:type="character" w:customStyle="1" w:styleId="59">
    <w:name w:val="标题 4 字符"/>
    <w:basedOn w:val="43"/>
    <w:link w:val="5"/>
    <w:autoRedefine/>
    <w:qFormat/>
    <w:uiPriority w:val="0"/>
    <w:rPr>
      <w:rFonts w:ascii="Times New Roman" w:hAnsi="Times New Roman" w:eastAsia="宋体" w:cs="Times New Roman"/>
      <w:sz w:val="28"/>
      <w:szCs w:val="20"/>
    </w:rPr>
  </w:style>
  <w:style w:type="character" w:customStyle="1" w:styleId="60">
    <w:name w:val="标题 5 字符"/>
    <w:basedOn w:val="43"/>
    <w:link w:val="6"/>
    <w:autoRedefine/>
    <w:qFormat/>
    <w:uiPriority w:val="0"/>
    <w:rPr>
      <w:rFonts w:ascii="Times New Roman" w:hAnsi="Times New Roman" w:eastAsia="宋体" w:cs="Times New Roman"/>
      <w:b/>
      <w:bCs/>
      <w:sz w:val="28"/>
      <w:szCs w:val="28"/>
    </w:rPr>
  </w:style>
  <w:style w:type="character" w:customStyle="1" w:styleId="61">
    <w:name w:val="标题 6 字符"/>
    <w:basedOn w:val="43"/>
    <w:link w:val="7"/>
    <w:autoRedefine/>
    <w:qFormat/>
    <w:uiPriority w:val="0"/>
    <w:rPr>
      <w:rFonts w:ascii="Arial" w:hAnsi="Arial" w:eastAsia="黑体" w:cs="Times New Roman"/>
      <w:b/>
      <w:bCs/>
      <w:sz w:val="24"/>
      <w:szCs w:val="24"/>
    </w:rPr>
  </w:style>
  <w:style w:type="character" w:customStyle="1" w:styleId="62">
    <w:name w:val="标题 7 字符"/>
    <w:basedOn w:val="43"/>
    <w:link w:val="8"/>
    <w:autoRedefine/>
    <w:qFormat/>
    <w:uiPriority w:val="0"/>
    <w:rPr>
      <w:rFonts w:ascii="Times New Roman" w:hAnsi="Times New Roman" w:eastAsia="宋体" w:cs="Times New Roman"/>
      <w:b/>
      <w:bCs/>
      <w:sz w:val="24"/>
      <w:szCs w:val="24"/>
    </w:rPr>
  </w:style>
  <w:style w:type="character" w:customStyle="1" w:styleId="63">
    <w:name w:val="标题 8 字符"/>
    <w:basedOn w:val="43"/>
    <w:link w:val="9"/>
    <w:autoRedefine/>
    <w:qFormat/>
    <w:uiPriority w:val="0"/>
    <w:rPr>
      <w:rFonts w:ascii="Arial" w:hAnsi="Arial" w:eastAsia="黑体" w:cs="Times New Roman"/>
      <w:sz w:val="24"/>
      <w:szCs w:val="24"/>
    </w:rPr>
  </w:style>
  <w:style w:type="character" w:customStyle="1" w:styleId="64">
    <w:name w:val="标题 9 字符"/>
    <w:basedOn w:val="43"/>
    <w:link w:val="10"/>
    <w:autoRedefine/>
    <w:qFormat/>
    <w:uiPriority w:val="0"/>
    <w:rPr>
      <w:rFonts w:ascii="Arial" w:hAnsi="Arial" w:eastAsia="黑体" w:cs="Times New Roman"/>
      <w:szCs w:val="21"/>
    </w:rPr>
  </w:style>
  <w:style w:type="character" w:customStyle="1" w:styleId="65">
    <w:name w:val="页眉 字符"/>
    <w:basedOn w:val="43"/>
    <w:link w:val="28"/>
    <w:autoRedefine/>
    <w:qFormat/>
    <w:uiPriority w:val="99"/>
    <w:rPr>
      <w:rFonts w:ascii="Times New Roman" w:hAnsi="Times New Roman" w:eastAsia="宋体" w:cs="Times New Roman"/>
      <w:sz w:val="18"/>
      <w:szCs w:val="18"/>
    </w:rPr>
  </w:style>
  <w:style w:type="character" w:customStyle="1" w:styleId="66">
    <w:name w:val="页脚 字符"/>
    <w:basedOn w:val="43"/>
    <w:link w:val="26"/>
    <w:autoRedefine/>
    <w:qFormat/>
    <w:uiPriority w:val="0"/>
    <w:rPr>
      <w:rFonts w:ascii="Times New Roman" w:hAnsi="Times New Roman" w:eastAsia="宋体" w:cs="Times New Roman"/>
      <w:sz w:val="18"/>
      <w:szCs w:val="18"/>
    </w:rPr>
  </w:style>
  <w:style w:type="character" w:customStyle="1" w:styleId="67">
    <w:name w:val="批注文字 字符"/>
    <w:basedOn w:val="43"/>
    <w:link w:val="14"/>
    <w:autoRedefine/>
    <w:qFormat/>
    <w:uiPriority w:val="99"/>
    <w:rPr>
      <w:rFonts w:ascii="Times New Roman" w:hAnsi="Times New Roman" w:eastAsia="宋体" w:cs="Times New Roman"/>
      <w:szCs w:val="24"/>
    </w:rPr>
  </w:style>
  <w:style w:type="character" w:customStyle="1" w:styleId="68">
    <w:name w:val="批注主题 字符"/>
    <w:basedOn w:val="67"/>
    <w:link w:val="38"/>
    <w:autoRedefine/>
    <w:semiHidden/>
    <w:qFormat/>
    <w:uiPriority w:val="0"/>
    <w:rPr>
      <w:rFonts w:ascii="Times New Roman" w:hAnsi="Times New Roman" w:eastAsia="宋体" w:cs="Times New Roman"/>
      <w:b/>
      <w:bCs/>
      <w:szCs w:val="20"/>
    </w:rPr>
  </w:style>
  <w:style w:type="character" w:customStyle="1" w:styleId="69">
    <w:name w:val="文档结构图 字符"/>
    <w:basedOn w:val="43"/>
    <w:link w:val="13"/>
    <w:autoRedefine/>
    <w:semiHidden/>
    <w:qFormat/>
    <w:uiPriority w:val="0"/>
    <w:rPr>
      <w:rFonts w:ascii="宋体" w:hAnsi="Times New Roman" w:eastAsia="宋体" w:cs="Times New Roman"/>
      <w:sz w:val="18"/>
      <w:szCs w:val="18"/>
    </w:rPr>
  </w:style>
  <w:style w:type="character" w:customStyle="1" w:styleId="70">
    <w:name w:val="正文文本 字符"/>
    <w:basedOn w:val="43"/>
    <w:link w:val="16"/>
    <w:autoRedefine/>
    <w:qFormat/>
    <w:uiPriority w:val="0"/>
    <w:rPr>
      <w:rFonts w:ascii="Times New Roman" w:hAnsi="Times New Roman" w:eastAsia="宋体" w:cs="Times New Roman"/>
      <w:sz w:val="28"/>
      <w:szCs w:val="20"/>
    </w:rPr>
  </w:style>
  <w:style w:type="character" w:customStyle="1" w:styleId="71">
    <w:name w:val="正文文本缩进 字符"/>
    <w:basedOn w:val="43"/>
    <w:link w:val="17"/>
    <w:autoRedefine/>
    <w:qFormat/>
    <w:uiPriority w:val="0"/>
    <w:rPr>
      <w:rFonts w:ascii="楷体_GB2312" w:hAnsi="Times New Roman" w:eastAsia="楷体_GB2312" w:cs="Times New Roman"/>
      <w:kern w:val="0"/>
      <w:sz w:val="28"/>
      <w:szCs w:val="20"/>
    </w:rPr>
  </w:style>
  <w:style w:type="character" w:customStyle="1" w:styleId="72">
    <w:name w:val="纯文本 字符"/>
    <w:basedOn w:val="43"/>
    <w:link w:val="21"/>
    <w:autoRedefine/>
    <w:qFormat/>
    <w:uiPriority w:val="0"/>
    <w:rPr>
      <w:rFonts w:ascii="宋体" w:hAnsi="Courier New" w:eastAsia="宋体" w:cs="Times New Roman"/>
      <w:szCs w:val="20"/>
    </w:rPr>
  </w:style>
  <w:style w:type="character" w:customStyle="1" w:styleId="73">
    <w:name w:val="日期 字符"/>
    <w:basedOn w:val="43"/>
    <w:link w:val="23"/>
    <w:autoRedefine/>
    <w:qFormat/>
    <w:uiPriority w:val="0"/>
    <w:rPr>
      <w:rFonts w:ascii="Times New Roman" w:hAnsi="Times New Roman" w:eastAsia="宋体" w:cs="Times New Roman"/>
      <w:szCs w:val="20"/>
    </w:rPr>
  </w:style>
  <w:style w:type="character" w:customStyle="1" w:styleId="74">
    <w:name w:val="正文文本缩进 2 字符"/>
    <w:basedOn w:val="43"/>
    <w:link w:val="24"/>
    <w:autoRedefine/>
    <w:qFormat/>
    <w:uiPriority w:val="0"/>
    <w:rPr>
      <w:rFonts w:ascii="仿宋_GB2312" w:hAnsi="宋体" w:eastAsia="仿宋_GB2312" w:cs="Times New Roman"/>
      <w:sz w:val="24"/>
      <w:szCs w:val="24"/>
    </w:rPr>
  </w:style>
  <w:style w:type="character" w:customStyle="1" w:styleId="75">
    <w:name w:val="副标题 字符"/>
    <w:basedOn w:val="43"/>
    <w:link w:val="31"/>
    <w:autoRedefine/>
    <w:qFormat/>
    <w:uiPriority w:val="0"/>
    <w:rPr>
      <w:rFonts w:ascii="Cambria" w:hAnsi="Cambria" w:eastAsia="宋体" w:cs="黑体"/>
      <w:b/>
      <w:bCs/>
      <w:kern w:val="28"/>
      <w:sz w:val="32"/>
      <w:szCs w:val="32"/>
    </w:rPr>
  </w:style>
  <w:style w:type="character" w:customStyle="1" w:styleId="76">
    <w:name w:val="正文文本缩进 3 字符"/>
    <w:basedOn w:val="43"/>
    <w:link w:val="33"/>
    <w:autoRedefine/>
    <w:qFormat/>
    <w:uiPriority w:val="0"/>
    <w:rPr>
      <w:rFonts w:ascii="Times New Roman" w:hAnsi="Times New Roman" w:eastAsia="宋体" w:cs="Times New Roman"/>
      <w:sz w:val="24"/>
      <w:szCs w:val="20"/>
    </w:rPr>
  </w:style>
  <w:style w:type="character" w:customStyle="1" w:styleId="77">
    <w:name w:val="标题 字符"/>
    <w:basedOn w:val="43"/>
    <w:link w:val="37"/>
    <w:autoRedefine/>
    <w:qFormat/>
    <w:uiPriority w:val="0"/>
    <w:rPr>
      <w:rFonts w:ascii="Cambria" w:hAnsi="Cambria" w:eastAsia="宋体" w:cs="Times New Roman"/>
      <w:b/>
      <w:bCs/>
      <w:sz w:val="32"/>
      <w:szCs w:val="32"/>
    </w:rPr>
  </w:style>
  <w:style w:type="paragraph" w:customStyle="1" w:styleId="78">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_Style 36"/>
    <w:basedOn w:val="1"/>
    <w:autoRedefine/>
    <w:qFormat/>
    <w:uiPriority w:val="34"/>
    <w:pPr>
      <w:ind w:firstLine="420" w:firstLineChars="200"/>
    </w:pPr>
    <w:rPr>
      <w:szCs w:val="20"/>
    </w:rPr>
  </w:style>
  <w:style w:type="paragraph" w:customStyle="1" w:styleId="80">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8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3">
    <w:name w:val="新定义正文"/>
    <w:basedOn w:val="1"/>
    <w:autoRedefine/>
    <w:qFormat/>
    <w:uiPriority w:val="0"/>
    <w:pPr>
      <w:widowControl/>
    </w:pPr>
    <w:rPr>
      <w:color w:val="000000"/>
      <w:szCs w:val="21"/>
    </w:rPr>
  </w:style>
  <w:style w:type="paragraph" w:customStyle="1" w:styleId="84">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5">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6">
    <w:name w:val="列出段落1"/>
    <w:basedOn w:val="1"/>
    <w:autoRedefine/>
    <w:qFormat/>
    <w:uiPriority w:val="0"/>
    <w:pPr>
      <w:ind w:firstLine="420" w:firstLineChars="200"/>
    </w:pPr>
    <w:rPr>
      <w:szCs w:val="20"/>
    </w:rPr>
  </w:style>
  <w:style w:type="paragraph" w:customStyle="1" w:styleId="87">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Char Char1"/>
    <w:autoRedefine/>
    <w:qFormat/>
    <w:uiPriority w:val="0"/>
    <w:rPr>
      <w:rFonts w:ascii="楷体_GB2312" w:eastAsia="楷体_GB2312"/>
      <w:sz w:val="28"/>
    </w:rPr>
  </w:style>
  <w:style w:type="character" w:customStyle="1" w:styleId="89">
    <w:name w:val="Char Char"/>
    <w:autoRedefine/>
    <w:qFormat/>
    <w:uiPriority w:val="0"/>
    <w:rPr>
      <w:rFonts w:ascii="宋体"/>
      <w:kern w:val="2"/>
      <w:sz w:val="18"/>
      <w:szCs w:val="18"/>
    </w:rPr>
  </w:style>
  <w:style w:type="paragraph" w:customStyle="1" w:styleId="9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2">
    <w:name w:val="批注文字 Char1"/>
    <w:autoRedefine/>
    <w:qFormat/>
    <w:uiPriority w:val="99"/>
    <w:rPr>
      <w:kern w:val="2"/>
      <w:sz w:val="21"/>
    </w:rPr>
  </w:style>
  <w:style w:type="character" w:customStyle="1" w:styleId="93">
    <w:name w:val="正文文本 3 字符"/>
    <w:basedOn w:val="43"/>
    <w:link w:val="15"/>
    <w:autoRedefine/>
    <w:semiHidden/>
    <w:qFormat/>
    <w:uiPriority w:val="99"/>
    <w:rPr>
      <w:rFonts w:ascii="Times New Roman" w:hAnsi="Times New Roman" w:eastAsia="宋体" w:cs="Times New Roman"/>
      <w:sz w:val="16"/>
      <w:szCs w:val="16"/>
    </w:rPr>
  </w:style>
  <w:style w:type="paragraph" w:customStyle="1" w:styleId="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95">
    <w:name w:val="正文缩进 字符"/>
    <w:link w:val="12"/>
    <w:autoRedefine/>
    <w:qFormat/>
    <w:uiPriority w:val="99"/>
    <w:rPr>
      <w:rFonts w:ascii="楷体_GB2312" w:hAnsi="Times New Roman" w:eastAsia="楷体_GB2312" w:cs="Times New Roman"/>
      <w:kern w:val="0"/>
      <w:sz w:val="28"/>
      <w:szCs w:val="20"/>
    </w:rPr>
  </w:style>
  <w:style w:type="table" w:customStyle="1" w:styleId="96">
    <w:name w:val="网格型1"/>
    <w:basedOn w:val="4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
    <w:name w:val="font01"/>
    <w:basedOn w:val="43"/>
    <w:autoRedefine/>
    <w:qFormat/>
    <w:uiPriority w:val="0"/>
    <w:rPr>
      <w:rFonts w:hint="default" w:ascii="仿宋" w:hAnsi="仿宋" w:eastAsia="仿宋" w:cs="仿宋"/>
      <w:color w:val="000000"/>
      <w:sz w:val="18"/>
      <w:szCs w:val="18"/>
      <w:u w:val="none"/>
    </w:rPr>
  </w:style>
  <w:style w:type="paragraph" w:customStyle="1" w:styleId="98">
    <w:name w:val="正文00"/>
    <w:basedOn w:val="1"/>
    <w:autoRedefine/>
    <w:qFormat/>
    <w:uiPriority w:val="0"/>
    <w:pPr>
      <w:topLinePunct/>
      <w:spacing w:line="360" w:lineRule="auto"/>
      <w:ind w:firstLine="200" w:firstLineChars="200"/>
    </w:pPr>
    <w:rPr>
      <w:sz w:val="24"/>
      <w:szCs w:val="21"/>
    </w:rPr>
  </w:style>
  <w:style w:type="paragraph" w:customStyle="1" w:styleId="99">
    <w:name w:val="UserStyle_0"/>
    <w:basedOn w:val="1"/>
    <w:autoRedefine/>
    <w:qFormat/>
    <w:uiPriority w:val="0"/>
    <w:pPr>
      <w:jc w:val="center"/>
      <w:textAlignment w:val="baseline"/>
    </w:pPr>
    <w:rPr>
      <w:rFonts w:ascii="Times New Roman" w:hAnsi="Times New Roman" w:eastAsia="仿宋_GB2312" w:cs="Times New Roman"/>
      <w:b/>
      <w:bCs/>
      <w:kern w:val="2"/>
      <w:sz w:val="44"/>
      <w:szCs w:val="24"/>
      <w:lang w:val="en-US" w:eastAsia="zh-CN" w:bidi="ar-SA"/>
    </w:rPr>
  </w:style>
  <w:style w:type="paragraph" w:customStyle="1" w:styleId="100">
    <w:name w:val="Heading2"/>
    <w:basedOn w:val="1"/>
    <w:next w:val="1"/>
    <w:autoRedefine/>
    <w:qFormat/>
    <w:uiPriority w:val="0"/>
    <w:pPr>
      <w:keepNext/>
      <w:spacing w:line="680" w:lineRule="exact"/>
      <w:jc w:val="center"/>
      <w:textAlignment w:val="baseline"/>
    </w:pPr>
    <w:rPr>
      <w:rFonts w:ascii="Calibri Light" w:hAnsi="Calibri Light" w:eastAsia="楷体_GB2312"/>
      <w:bCs/>
    </w:rPr>
  </w:style>
  <w:style w:type="paragraph" w:customStyle="1" w:styleId="101">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styleId="102">
    <w:name w:val="No Spacing"/>
    <w:autoRedefine/>
    <w:qFormat/>
    <w:uiPriority w:val="1"/>
    <w:rPr>
      <w:rFonts w:ascii="Times New Roman" w:hAnsi="Times New Roman" w:eastAsia="宋体" w:cs="Times New Roman"/>
      <w:sz w:val="22"/>
      <w:szCs w:val="22"/>
      <w:lang w:val="en-US" w:eastAsia="zh-CN" w:bidi="ar-SA"/>
    </w:rPr>
  </w:style>
  <w:style w:type="character" w:customStyle="1" w:styleId="103">
    <w:name w:val="NormalCharacter"/>
    <w:autoRedefine/>
    <w:qFormat/>
    <w:uiPriority w:val="0"/>
  </w:style>
  <w:style w:type="paragraph" w:customStyle="1" w:styleId="104">
    <w:name w:val="正文1"/>
    <w:basedOn w:val="1"/>
    <w:autoRedefine/>
    <w:qFormat/>
    <w:uiPriority w:val="0"/>
    <w:pPr>
      <w:tabs>
        <w:tab w:val="left" w:pos="720"/>
      </w:tabs>
      <w:adjustRightInd w:val="0"/>
      <w:spacing w:line="312" w:lineRule="atLeast"/>
      <w:textAlignment w:val="baseline"/>
    </w:pPr>
    <w:rPr>
      <w:kern w:val="0"/>
      <w:szCs w:val="20"/>
    </w:rPr>
  </w:style>
  <w:style w:type="paragraph" w:customStyle="1" w:styleId="105">
    <w:name w:val="缺省文本"/>
    <w:basedOn w:val="1"/>
    <w:autoRedefine/>
    <w:qFormat/>
    <w:uiPriority w:val="0"/>
    <w:pPr>
      <w:autoSpaceDE w:val="0"/>
      <w:autoSpaceDN w:val="0"/>
      <w:adjustRightInd w:val="0"/>
      <w:jc w:val="left"/>
    </w:pPr>
    <w:rPr>
      <w:kern w:val="0"/>
      <w:sz w:val="24"/>
      <w:szCs w:val="24"/>
    </w:rPr>
  </w:style>
  <w:style w:type="character" w:customStyle="1" w:styleId="106">
    <w:name w:val="font11"/>
    <w:basedOn w:val="43"/>
    <w:autoRedefine/>
    <w:qFormat/>
    <w:uiPriority w:val="0"/>
    <w:rPr>
      <w:rFonts w:hint="eastAsia" w:ascii="仿宋" w:hAnsi="仿宋" w:eastAsia="仿宋" w:cs="仿宋"/>
      <w:color w:val="000000"/>
      <w:sz w:val="24"/>
      <w:szCs w:val="24"/>
      <w:u w:val="none"/>
    </w:rPr>
  </w:style>
  <w:style w:type="character" w:customStyle="1" w:styleId="107">
    <w:name w:val="font21"/>
    <w:basedOn w:val="43"/>
    <w:autoRedefine/>
    <w:qFormat/>
    <w:uiPriority w:val="0"/>
    <w:rPr>
      <w:rFonts w:hint="eastAsia" w:ascii="仿宋" w:hAnsi="仿宋" w:eastAsia="仿宋" w:cs="仿宋"/>
      <w:color w:val="000000"/>
      <w:sz w:val="24"/>
      <w:szCs w:val="24"/>
      <w:u w:val="none"/>
    </w:rPr>
  </w:style>
  <w:style w:type="character" w:customStyle="1" w:styleId="108">
    <w:name w:val="标题 1 Char"/>
    <w:autoRedefine/>
    <w:qFormat/>
    <w:uiPriority w:val="0"/>
    <w:rPr>
      <w:rFonts w:ascii="Arial" w:hAnsi="Arial" w:eastAsia="宋体"/>
      <w:bCs/>
      <w:kern w:val="44"/>
      <w:sz w:val="36"/>
      <w:szCs w:val="36"/>
      <w:lang w:val="en-US" w:eastAsia="zh-CN" w:bidi="ar-SA"/>
    </w:rPr>
  </w:style>
  <w:style w:type="paragraph" w:customStyle="1" w:styleId="109">
    <w:name w:val="_Style 2"/>
    <w:basedOn w:val="1"/>
    <w:qFormat/>
    <w:uiPriority w:val="34"/>
    <w:pPr>
      <w:spacing w:after="160" w:line="278"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9D409-5DE7-4BC0-A3F2-0AA99419CB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6747</Words>
  <Characters>6971</Characters>
  <Lines>117</Lines>
  <Paragraphs>33</Paragraphs>
  <TotalTime>1</TotalTime>
  <ScaleCrop>false</ScaleCrop>
  <LinksUpToDate>false</LinksUpToDate>
  <CharactersWithSpaces>7164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2021-12-22T10:10:00Z</dcterms:created>
  <dc:creator>MIIT</dc:creator>
  <cp:lastModifiedBy>zhangxjian</cp:lastModifiedBy>
  <cp:lastPrinted>2025-06-05T02:00:00Z</cp:lastPrinted>
  <dcterms:modified xsi:type="dcterms:W3CDTF">2025-10-09T09:46:43Z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3F86BC64388048C784D8E3E7CEABBF3A_13</vt:lpwstr>
  </property>
  <property fmtid="{D5CDD505-2E9C-101B-9397-08002B2CF9AE}" pid="4" name="KSOTemplateDocerSaveRecord">
    <vt:lpwstr>eyJoZGlkIjoiZDU0ZGNiMzZhNDI0NTgzNmM2ZTVlZTc5OTMxODY0NjUiLCJ1c2VySWQiOiI2MTI5MDQyNTQifQ==</vt:lpwstr>
  </property>
</Properties>
</file>