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both"/>
        <w:rPr>
          <w:rFonts w:ascii="黑体" w:hAnsi="黑体" w:eastAsia="黑体"/>
          <w:spacing w:val="40"/>
          <w:sz w:val="44"/>
          <w:szCs w:val="32"/>
        </w:rPr>
      </w:pPr>
    </w:p>
    <w:p>
      <w:pPr>
        <w:jc w:val="center"/>
        <w:rPr>
          <w:rFonts w:ascii="黑体" w:hAnsi="黑体" w:eastAsia="黑体"/>
          <w:spacing w:val="40"/>
          <w:sz w:val="52"/>
        </w:rPr>
      </w:pPr>
      <w:r>
        <w:rPr>
          <w:rFonts w:hint="eastAsia" w:ascii="黑体" w:hAnsi="黑体" w:eastAsia="黑体"/>
          <w:spacing w:val="40"/>
          <w:sz w:val="44"/>
          <w:szCs w:val="32"/>
        </w:rPr>
        <w:t>2024年“疆品南下 粤品北上”项目搭建执行服务供应商库招募项目</w:t>
      </w:r>
    </w:p>
    <w:p>
      <w:pPr>
        <w:jc w:val="center"/>
        <w:rPr>
          <w:rFonts w:ascii="黑体" w:hAnsi="黑体" w:eastAsia="黑体"/>
          <w:spacing w:val="40"/>
          <w:sz w:val="52"/>
        </w:rPr>
      </w:pPr>
    </w:p>
    <w:p>
      <w:pPr>
        <w:jc w:val="center"/>
        <w:rPr>
          <w:rFonts w:ascii="黑体" w:hAnsi="黑体" w:eastAsia="黑体"/>
          <w:spacing w:val="40"/>
          <w:sz w:val="40"/>
          <w:szCs w:val="28"/>
        </w:rPr>
      </w:pPr>
      <w:r>
        <w:rPr>
          <w:rFonts w:hint="eastAsia" w:ascii="黑体" w:hAnsi="黑体" w:eastAsia="黑体"/>
          <w:spacing w:val="40"/>
          <w:sz w:val="40"/>
          <w:szCs w:val="28"/>
        </w:rPr>
        <w:t>项目编号：2024-CICDINFBY-F1002</w:t>
      </w:r>
    </w:p>
    <w:p>
      <w:pPr>
        <w:pStyle w:val="4"/>
        <w:rPr>
          <w:rFonts w:ascii="黑体" w:hAnsi="黑体" w:eastAsia="黑体"/>
          <w:spacing w:val="40"/>
          <w:sz w:val="52"/>
        </w:rPr>
      </w:pPr>
    </w:p>
    <w:p>
      <w:pPr>
        <w:pStyle w:val="4"/>
        <w:rPr>
          <w:rFonts w:ascii="黑体" w:hAnsi="黑体" w:eastAsia="黑体"/>
          <w:spacing w:val="40"/>
          <w:sz w:val="52"/>
        </w:rPr>
      </w:pPr>
    </w:p>
    <w:p>
      <w:pPr>
        <w:jc w:val="center"/>
        <w:rPr>
          <w:rFonts w:ascii="黑体" w:hAnsi="黑体" w:eastAsia="黑体"/>
          <w:spacing w:val="40"/>
          <w:sz w:val="52"/>
        </w:rPr>
      </w:pPr>
      <w:r>
        <w:rPr>
          <w:rFonts w:hint="eastAsia" w:ascii="黑体" w:hAnsi="黑体" w:eastAsia="黑体"/>
          <w:spacing w:val="40"/>
          <w:sz w:val="52"/>
        </w:rPr>
        <w:t>招募文件</w:t>
      </w:r>
    </w:p>
    <w:p>
      <w:pPr>
        <w:spacing w:after="120"/>
        <w:jc w:val="center"/>
        <w:rPr>
          <w:rFonts w:ascii="宋体" w:hAnsi="宋体"/>
          <w:b/>
        </w:rPr>
      </w:pPr>
    </w:p>
    <w:p>
      <w:pPr>
        <w:spacing w:after="120"/>
        <w:jc w:val="center"/>
        <w:rPr>
          <w:rFonts w:ascii="宋体" w:hAnsi="宋体"/>
          <w:b/>
        </w:rPr>
      </w:pPr>
    </w:p>
    <w:p>
      <w:pPr>
        <w:spacing w:after="120"/>
        <w:rPr>
          <w:rFonts w:ascii="宋体" w:hAnsi="宋体"/>
          <w:b/>
        </w:rPr>
      </w:pPr>
    </w:p>
    <w:p>
      <w:pPr>
        <w:spacing w:after="120"/>
        <w:jc w:val="center"/>
        <w:rPr>
          <w:rFonts w:ascii="宋体" w:hAnsi="宋体"/>
          <w:b/>
        </w:rPr>
      </w:pPr>
    </w:p>
    <w:p>
      <w:pPr>
        <w:spacing w:after="120" w:line="400" w:lineRule="exact"/>
        <w:rPr>
          <w:rFonts w:ascii="宋体" w:hAnsi="宋体"/>
          <w:b/>
          <w:sz w:val="24"/>
        </w:rPr>
      </w:pPr>
    </w:p>
    <w:p>
      <w:pPr>
        <w:spacing w:after="120" w:line="400" w:lineRule="exact"/>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sz w:val="24"/>
        </w:rPr>
      </w:pPr>
      <w:r>
        <w:rPr>
          <w:rFonts w:hint="eastAsia" w:ascii="黑体" w:hAnsi="黑体" w:eastAsia="黑体"/>
          <w:sz w:val="24"/>
        </w:rPr>
        <w:t>招标人：广东南方农村报经营有限公司</w:t>
      </w:r>
    </w:p>
    <w:p>
      <w:pPr>
        <w:spacing w:after="120" w:line="400" w:lineRule="exact"/>
        <w:jc w:val="center"/>
        <w:rPr>
          <w:rFonts w:ascii="黑体" w:hAnsi="黑体" w:eastAsia="黑体"/>
          <w:sz w:val="24"/>
        </w:rPr>
      </w:pPr>
      <w:r>
        <w:rPr>
          <w:rFonts w:hint="eastAsia" w:ascii="黑体" w:hAnsi="黑体" w:eastAsia="黑体"/>
          <w:sz w:val="24"/>
        </w:rPr>
        <w:t>招标代理机构：中通服咨询设计研究院有限公司</w:t>
      </w:r>
    </w:p>
    <w:p>
      <w:pPr>
        <w:spacing w:after="120" w:line="400" w:lineRule="exact"/>
        <w:jc w:val="center"/>
        <w:rPr>
          <w:rFonts w:ascii="黑体" w:hAnsi="黑体" w:eastAsia="黑体"/>
          <w:sz w:val="24"/>
        </w:rPr>
      </w:pPr>
      <w:r>
        <w:rPr>
          <w:rFonts w:hint="eastAsia" w:ascii="黑体" w:hAnsi="黑体" w:eastAsia="黑体"/>
          <w:sz w:val="24"/>
        </w:rPr>
        <w:t>日期：2024年8月</w:t>
      </w:r>
    </w:p>
    <w:p>
      <w:pPr>
        <w:widowControl/>
        <w:jc w:val="left"/>
        <w:rPr>
          <w:rFonts w:ascii="黑体" w:hAnsi="黑体" w:eastAsia="黑体"/>
          <w:sz w:val="24"/>
        </w:rPr>
      </w:pPr>
      <w:r>
        <w:rPr>
          <w:rFonts w:ascii="黑体" w:hAnsi="黑体" w:eastAsia="黑体"/>
          <w:sz w:val="24"/>
        </w:rPr>
        <w:br w:type="page"/>
      </w:r>
    </w:p>
    <w:p>
      <w:pPr>
        <w:spacing w:after="120" w:line="400" w:lineRule="exact"/>
        <w:jc w:val="center"/>
        <w:rPr>
          <w:rFonts w:ascii="黑体" w:hAnsi="黑体" w:eastAsia="黑体"/>
          <w:sz w:val="24"/>
        </w:rPr>
      </w:pPr>
    </w:p>
    <w:p>
      <w:pPr>
        <w:spacing w:after="120" w:line="360" w:lineRule="atLeast"/>
        <w:jc w:val="center"/>
        <w:rPr>
          <w:rFonts w:ascii="宋体" w:hAnsi="宋体" w:cs="宋体"/>
          <w:b/>
          <w:sz w:val="32"/>
          <w:szCs w:val="32"/>
        </w:rPr>
      </w:pPr>
      <w:bookmarkStart w:id="751" w:name="_GoBack"/>
      <w:bookmarkEnd w:id="751"/>
      <w:r>
        <w:rPr>
          <w:rFonts w:hint="eastAsia" w:ascii="宋体" w:hAnsi="宋体" w:cs="宋体"/>
          <w:b/>
          <w:sz w:val="32"/>
          <w:szCs w:val="32"/>
        </w:rPr>
        <w:t>目</w:t>
      </w:r>
      <w:r>
        <w:rPr>
          <w:rFonts w:ascii="宋体" w:hAnsi="宋体" w:cs="宋体"/>
          <w:b/>
          <w:sz w:val="32"/>
          <w:szCs w:val="32"/>
        </w:rPr>
        <w:t xml:space="preserve">  </w:t>
      </w:r>
      <w:r>
        <w:rPr>
          <w:rFonts w:hint="eastAsia" w:ascii="宋体" w:hAnsi="宋体" w:cs="宋体"/>
          <w:b/>
          <w:sz w:val="32"/>
          <w:szCs w:val="32"/>
        </w:rPr>
        <w:t>录</w:t>
      </w:r>
    </w:p>
    <w:p>
      <w:pPr>
        <w:pStyle w:val="30"/>
        <w:tabs>
          <w:tab w:val="right" w:leader="dot" w:pos="8504"/>
          <w:tab w:val="clear" w:pos="567"/>
          <w:tab w:val="clear" w:pos="709"/>
          <w:tab w:val="clear" w:pos="8505"/>
        </w:tabs>
      </w:pPr>
      <w:r>
        <w:rPr>
          <w:bCs/>
          <w:sz w:val="20"/>
          <w:szCs w:val="22"/>
        </w:rPr>
        <w:fldChar w:fldCharType="begin"/>
      </w:r>
      <w:r>
        <w:rPr>
          <w:bCs/>
          <w:sz w:val="20"/>
          <w:szCs w:val="22"/>
        </w:rPr>
        <w:instrText xml:space="preserve"> TOC \o "1-3" \h \z \u </w:instrText>
      </w:r>
      <w:r>
        <w:rPr>
          <w:bCs/>
          <w:sz w:val="20"/>
          <w:szCs w:val="22"/>
        </w:rPr>
        <w:fldChar w:fldCharType="separate"/>
      </w:r>
      <w:r>
        <w:fldChar w:fldCharType="begin"/>
      </w:r>
      <w:r>
        <w:instrText xml:space="preserve"> HYPERLINK \l "_Toc3629" </w:instrText>
      </w:r>
      <w:r>
        <w:fldChar w:fldCharType="separate"/>
      </w:r>
      <w:r>
        <w:rPr>
          <w:rFonts w:hint="eastAsia" w:cs="宋体"/>
          <w:kern w:val="0"/>
          <w:szCs w:val="28"/>
        </w:rPr>
        <w:t>第一章</w:t>
      </w:r>
      <w:r>
        <w:rPr>
          <w:rFonts w:cs="宋体"/>
          <w:kern w:val="0"/>
          <w:szCs w:val="28"/>
        </w:rPr>
        <w:t xml:space="preserve">  </w:t>
      </w:r>
      <w:r>
        <w:rPr>
          <w:rFonts w:hint="eastAsia" w:cs="宋体"/>
          <w:kern w:val="0"/>
          <w:szCs w:val="28"/>
        </w:rPr>
        <w:t>招募公告</w:t>
      </w:r>
      <w:r>
        <w:tab/>
      </w:r>
      <w:r>
        <w:fldChar w:fldCharType="begin"/>
      </w:r>
      <w:r>
        <w:instrText xml:space="preserve"> PAGEREF _Toc3629 \h </w:instrText>
      </w:r>
      <w:r>
        <w:fldChar w:fldCharType="separate"/>
      </w:r>
      <w:r>
        <w:t>1</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"_Toc23288" </w:instrText>
      </w:r>
      <w:r>
        <w:fldChar w:fldCharType="separate"/>
      </w:r>
      <w:r>
        <w:rPr>
          <w:rFonts w:hint="eastAsia" w:cs="宋体"/>
          <w:kern w:val="0"/>
          <w:szCs w:val="28"/>
        </w:rPr>
        <w:t>第二章</w:t>
      </w:r>
      <w:r>
        <w:rPr>
          <w:rFonts w:cs="宋体"/>
          <w:kern w:val="0"/>
          <w:szCs w:val="28"/>
        </w:rPr>
        <w:t xml:space="preserve">  </w:t>
      </w:r>
      <w:r>
        <w:rPr>
          <w:rFonts w:hint="eastAsia" w:cs="宋体"/>
          <w:kern w:val="0"/>
          <w:szCs w:val="28"/>
        </w:rPr>
        <w:t>投标人须知</w:t>
      </w:r>
      <w:r>
        <w:tab/>
      </w:r>
      <w:r>
        <w:fldChar w:fldCharType="begin"/>
      </w:r>
      <w:r>
        <w:instrText xml:space="preserve"> PAGEREF _Toc23288 \h </w:instrText>
      </w:r>
      <w:r>
        <w:fldChar w:fldCharType="separate"/>
      </w:r>
      <w:r>
        <w:t>4</w:t>
      </w:r>
      <w:r>
        <w:fldChar w:fldCharType="end"/>
      </w:r>
      <w:r>
        <w:fldChar w:fldCharType="end"/>
      </w:r>
    </w:p>
    <w:p>
      <w:pPr>
        <w:pStyle w:val="35"/>
        <w:tabs>
          <w:tab w:val="right" w:leader="dot" w:pos="8504"/>
          <w:tab w:val="clear" w:pos="567"/>
          <w:tab w:val="clear" w:pos="8505"/>
          <w:tab w:val="clear" w:pos="9628"/>
        </w:tabs>
      </w:pPr>
      <w:r>
        <w:fldChar w:fldCharType="begin"/>
      </w:r>
      <w:r>
        <w:instrText xml:space="preserve"> HYPERLINK \l "_Toc4626" </w:instrText>
      </w:r>
      <w:r>
        <w:fldChar w:fldCharType="separate"/>
      </w:r>
      <w:r>
        <w:rPr>
          <w:rFonts w:hint="eastAsia" w:ascii="宋体" w:hAnsi="宋体" w:cs="宋体"/>
        </w:rPr>
        <w:t>投标人须知前附表</w:t>
      </w:r>
      <w:r>
        <w:tab/>
      </w:r>
      <w:r>
        <w:fldChar w:fldCharType="begin"/>
      </w:r>
      <w:r>
        <w:instrText xml:space="preserve"> PAGEREF _Toc4626 \h </w:instrText>
      </w:r>
      <w:r>
        <w:fldChar w:fldCharType="separate"/>
      </w:r>
      <w:r>
        <w:t>4</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"_Toc27842" </w:instrText>
      </w:r>
      <w:r>
        <w:fldChar w:fldCharType="separate"/>
      </w:r>
      <w:r>
        <w:rPr>
          <w:rFonts w:hint="eastAsia" w:cs="宋体"/>
          <w:kern w:val="0"/>
          <w:szCs w:val="28"/>
        </w:rPr>
        <w:t>第三章</w:t>
      </w:r>
      <w:r>
        <w:rPr>
          <w:rFonts w:cs="宋体"/>
          <w:kern w:val="0"/>
          <w:szCs w:val="28"/>
        </w:rPr>
        <w:t xml:space="preserve"> </w:t>
      </w:r>
      <w:r>
        <w:rPr>
          <w:rFonts w:hint="eastAsia" w:cs="宋体"/>
          <w:kern w:val="0"/>
          <w:szCs w:val="28"/>
        </w:rPr>
        <w:t>评审办法（综合评估法）</w:t>
      </w:r>
      <w:r>
        <w:tab/>
      </w:r>
      <w:r>
        <w:fldChar w:fldCharType="begin"/>
      </w:r>
      <w:r>
        <w:instrText xml:space="preserve"> PAGEREF _Toc27842 \h </w:instrText>
      </w:r>
      <w:r>
        <w:fldChar w:fldCharType="separate"/>
      </w:r>
      <w:r>
        <w:t>18</w:t>
      </w:r>
      <w:r>
        <w:fldChar w:fldCharType="end"/>
      </w:r>
      <w:r>
        <w:fldChar w:fldCharType="end"/>
      </w:r>
    </w:p>
    <w:p>
      <w:pPr>
        <w:pStyle w:val="35"/>
        <w:tabs>
          <w:tab w:val="right" w:leader="dot" w:pos="8504"/>
          <w:tab w:val="clear" w:pos="567"/>
          <w:tab w:val="clear" w:pos="8505"/>
          <w:tab w:val="clear" w:pos="9628"/>
        </w:tabs>
      </w:pPr>
      <w:r>
        <w:fldChar w:fldCharType="begin"/>
      </w:r>
      <w:r>
        <w:instrText xml:space="preserve"> HYPERLINK \l "_Toc4970" </w:instrText>
      </w:r>
      <w:r>
        <w:fldChar w:fldCharType="separate"/>
      </w:r>
      <w:r>
        <w:rPr>
          <w:rFonts w:hint="eastAsia" w:ascii="宋体" w:hAnsi="宋体" w:cs="宋体"/>
        </w:rPr>
        <w:t>评审办法前附表</w:t>
      </w:r>
      <w:r>
        <w:tab/>
      </w:r>
      <w:r>
        <w:fldChar w:fldCharType="begin"/>
      </w:r>
      <w:r>
        <w:instrText xml:space="preserve"> PAGEREF _Toc4970 \h </w:instrText>
      </w:r>
      <w:r>
        <w:fldChar w:fldCharType="separate"/>
      </w:r>
      <w:r>
        <w:t>18</w:t>
      </w:r>
      <w:r>
        <w:fldChar w:fldCharType="end"/>
      </w:r>
      <w:r>
        <w:fldChar w:fldCharType="end"/>
      </w:r>
    </w:p>
    <w:p>
      <w:pPr>
        <w:pStyle w:val="35"/>
        <w:tabs>
          <w:tab w:val="right" w:leader="dot" w:pos="8504"/>
          <w:tab w:val="clear" w:pos="567"/>
          <w:tab w:val="clear" w:pos="8505"/>
          <w:tab w:val="clear" w:pos="9628"/>
        </w:tabs>
      </w:pPr>
      <w:r>
        <w:fldChar w:fldCharType="begin"/>
      </w:r>
      <w:r>
        <w:instrText xml:space="preserve"> HYPERLINK \l "_Toc5951" </w:instrText>
      </w:r>
      <w:r>
        <w:fldChar w:fldCharType="separate"/>
      </w:r>
      <w:r>
        <w:rPr>
          <w:rFonts w:asciiTheme="minorEastAsia" w:hAnsiTheme="minorEastAsia" w:eastAsiaTheme="minorEastAsia"/>
        </w:rPr>
        <w:t>1、初步评审表</w:t>
      </w:r>
      <w:r>
        <w:tab/>
      </w:r>
      <w:r>
        <w:fldChar w:fldCharType="begin"/>
      </w:r>
      <w:r>
        <w:instrText xml:space="preserve"> PAGEREF _Toc5951 \h </w:instrText>
      </w:r>
      <w:r>
        <w:fldChar w:fldCharType="separate"/>
      </w:r>
      <w:r>
        <w:t>18</w:t>
      </w:r>
      <w:r>
        <w:fldChar w:fldCharType="end"/>
      </w:r>
      <w:r>
        <w:fldChar w:fldCharType="end"/>
      </w:r>
    </w:p>
    <w:p>
      <w:pPr>
        <w:pStyle w:val="35"/>
        <w:tabs>
          <w:tab w:val="right" w:leader="dot" w:pos="8504"/>
          <w:tab w:val="clear" w:pos="567"/>
          <w:tab w:val="clear" w:pos="8505"/>
          <w:tab w:val="clear" w:pos="9628"/>
        </w:tabs>
      </w:pPr>
      <w:r>
        <w:fldChar w:fldCharType="begin"/>
      </w:r>
      <w:r>
        <w:instrText xml:space="preserve"> HYPERLINK \l "_Toc4232" </w:instrText>
      </w:r>
      <w:r>
        <w:fldChar w:fldCharType="separate"/>
      </w:r>
      <w:r>
        <w:rPr>
          <w:rFonts w:asciiTheme="minorEastAsia" w:hAnsiTheme="minorEastAsia" w:eastAsiaTheme="minorEastAsia"/>
        </w:rPr>
        <w:t>2、技术评分表</w:t>
      </w:r>
      <w:r>
        <w:tab/>
      </w:r>
      <w:r>
        <w:fldChar w:fldCharType="begin"/>
      </w:r>
      <w:r>
        <w:instrText xml:space="preserve"> PAGEREF _Toc4232 \h </w:instrText>
      </w:r>
      <w:r>
        <w:fldChar w:fldCharType="separate"/>
      </w:r>
      <w:r>
        <w:t>20</w:t>
      </w:r>
      <w:r>
        <w:fldChar w:fldCharType="end"/>
      </w:r>
      <w:r>
        <w:fldChar w:fldCharType="end"/>
      </w:r>
    </w:p>
    <w:p>
      <w:pPr>
        <w:pStyle w:val="35"/>
        <w:tabs>
          <w:tab w:val="right" w:leader="dot" w:pos="8504"/>
          <w:tab w:val="clear" w:pos="567"/>
          <w:tab w:val="clear" w:pos="8505"/>
          <w:tab w:val="clear" w:pos="9628"/>
        </w:tabs>
      </w:pPr>
      <w:r>
        <w:fldChar w:fldCharType="begin"/>
      </w:r>
      <w:r>
        <w:instrText xml:space="preserve"> HYPERLINK \l "_Toc4548" </w:instrText>
      </w:r>
      <w:r>
        <w:fldChar w:fldCharType="separate"/>
      </w:r>
      <w:r>
        <w:rPr>
          <w:rFonts w:asciiTheme="minorEastAsia" w:hAnsiTheme="minorEastAsia" w:eastAsiaTheme="minorEastAsia"/>
        </w:rPr>
        <w:t>3、</w:t>
      </w:r>
      <w:r>
        <w:rPr>
          <w:rFonts w:hint="eastAsia" w:asciiTheme="minorEastAsia" w:hAnsiTheme="minorEastAsia" w:eastAsiaTheme="minorEastAsia"/>
        </w:rPr>
        <w:t>商务评分表</w:t>
      </w:r>
      <w:r>
        <w:tab/>
      </w:r>
      <w:r>
        <w:fldChar w:fldCharType="begin"/>
      </w:r>
      <w:r>
        <w:instrText xml:space="preserve"> PAGEREF _Toc4548 \h </w:instrText>
      </w:r>
      <w:r>
        <w:fldChar w:fldCharType="separate"/>
      </w:r>
      <w:r>
        <w:t>20</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"_Toc5240" </w:instrText>
      </w:r>
      <w:r>
        <w:fldChar w:fldCharType="separate"/>
      </w:r>
      <w:r>
        <w:rPr>
          <w:rFonts w:hint="eastAsia" w:cs="宋体"/>
          <w:kern w:val="0"/>
          <w:szCs w:val="28"/>
        </w:rPr>
        <w:t>第四章  合同条款</w:t>
      </w:r>
      <w:r>
        <w:tab/>
      </w:r>
      <w:r>
        <w:fldChar w:fldCharType="begin"/>
      </w:r>
      <w:r>
        <w:instrText xml:space="preserve"> PAGEREF _Toc5240 \h </w:instrText>
      </w:r>
      <w:r>
        <w:fldChar w:fldCharType="separate"/>
      </w:r>
      <w:r>
        <w:t>26</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"_Toc20496" </w:instrText>
      </w:r>
      <w:r>
        <w:fldChar w:fldCharType="separate"/>
      </w:r>
      <w:r>
        <w:rPr>
          <w:rFonts w:hint="eastAsia" w:cs="宋体"/>
          <w:kern w:val="0"/>
          <w:szCs w:val="28"/>
        </w:rPr>
        <w:t>第五章</w:t>
      </w:r>
      <w:r>
        <w:rPr>
          <w:rFonts w:cs="宋体"/>
          <w:kern w:val="0"/>
          <w:szCs w:val="28"/>
        </w:rPr>
        <w:t xml:space="preserve">  </w:t>
      </w:r>
      <w:r>
        <w:rPr>
          <w:rFonts w:hint="eastAsia" w:cs="宋体"/>
          <w:kern w:val="0"/>
          <w:szCs w:val="28"/>
        </w:rPr>
        <w:t>采购需求书</w:t>
      </w:r>
      <w:r>
        <w:tab/>
      </w:r>
      <w:r>
        <w:fldChar w:fldCharType="begin"/>
      </w:r>
      <w:r>
        <w:instrText xml:space="preserve"> PAGEREF _Toc20496 \h </w:instrText>
      </w:r>
      <w:r>
        <w:fldChar w:fldCharType="separate"/>
      </w:r>
      <w:r>
        <w:t>38</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"_Toc3418" </w:instrText>
      </w:r>
      <w:r>
        <w:fldChar w:fldCharType="separate"/>
      </w:r>
      <w:r>
        <w:rPr>
          <w:rFonts w:hint="eastAsia" w:cs="宋体"/>
          <w:kern w:val="0"/>
          <w:szCs w:val="28"/>
        </w:rPr>
        <w:t>第六章</w:t>
      </w:r>
      <w:r>
        <w:rPr>
          <w:rFonts w:cs="宋体"/>
          <w:kern w:val="0"/>
          <w:szCs w:val="28"/>
        </w:rPr>
        <w:t xml:space="preserve">  </w:t>
      </w:r>
      <w:r>
        <w:rPr>
          <w:rFonts w:hint="eastAsia" w:cs="宋体"/>
          <w:kern w:val="0"/>
          <w:szCs w:val="28"/>
        </w:rPr>
        <w:t>投标申请文件格式</w:t>
      </w:r>
      <w:r>
        <w:tab/>
      </w:r>
      <w:r>
        <w:fldChar w:fldCharType="begin"/>
      </w:r>
      <w:r>
        <w:instrText xml:space="preserve"> PAGEREF _Toc3418 \h </w:instrText>
      </w:r>
      <w:r>
        <w:fldChar w:fldCharType="separate"/>
      </w:r>
      <w:r>
        <w:t>42</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"_Toc5050" </w:instrText>
      </w:r>
      <w:r>
        <w:fldChar w:fldCharType="separate"/>
      </w:r>
      <w:r>
        <w:rPr>
          <w:rFonts w:hint="eastAsia"/>
        </w:rPr>
        <w:t>1. 投标申请文件封面</w:t>
      </w:r>
      <w:r>
        <w:tab/>
      </w:r>
      <w:r>
        <w:fldChar w:fldCharType="begin"/>
      </w:r>
      <w:r>
        <w:instrText xml:space="preserve"> PAGEREF _Toc5050 \h </w:instrText>
      </w:r>
      <w:r>
        <w:fldChar w:fldCharType="separate"/>
      </w:r>
      <w:r>
        <w:t>43</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"_Toc23185" </w:instrText>
      </w:r>
      <w:r>
        <w:fldChar w:fldCharType="separate"/>
      </w:r>
      <w:r>
        <w:rPr>
          <w:rFonts w:hint="eastAsia"/>
        </w:rPr>
        <w:t>2. 评审索引表</w:t>
      </w:r>
      <w:r>
        <w:tab/>
      </w:r>
      <w:r>
        <w:fldChar w:fldCharType="begin"/>
      </w:r>
      <w:r>
        <w:instrText xml:space="preserve"> PAGEREF _Toc23185 \h </w:instrText>
      </w:r>
      <w:r>
        <w:fldChar w:fldCharType="separate"/>
      </w:r>
      <w:r>
        <w:t>44</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"_Toc31253" </w:instrText>
      </w:r>
      <w:r>
        <w:fldChar w:fldCharType="separate"/>
      </w:r>
      <w:r>
        <w:rPr>
          <w:rFonts w:hint="eastAsia"/>
        </w:rPr>
        <w:t>3. 投标函</w:t>
      </w:r>
      <w:r>
        <w:tab/>
      </w:r>
      <w:r>
        <w:fldChar w:fldCharType="begin"/>
      </w:r>
      <w:r>
        <w:instrText xml:space="preserve"> PAGEREF _Toc31253 \h </w:instrText>
      </w:r>
      <w:r>
        <w:fldChar w:fldCharType="separate"/>
      </w:r>
      <w:r>
        <w:t>45</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"_Toc31135" </w:instrText>
      </w:r>
      <w:r>
        <w:fldChar w:fldCharType="separate"/>
      </w:r>
      <w:r>
        <w:rPr>
          <w:rFonts w:hint="eastAsia"/>
        </w:rPr>
        <w:t xml:space="preserve">4. </w:t>
      </w:r>
      <w:r>
        <w:t>法定代表人</w:t>
      </w:r>
      <w:r>
        <w:rPr>
          <w:rFonts w:hint="eastAsia"/>
        </w:rPr>
        <w:t>（负责人）</w:t>
      </w:r>
      <w:r>
        <w:t>身份证明</w:t>
      </w:r>
      <w:r>
        <w:tab/>
      </w:r>
      <w:r>
        <w:fldChar w:fldCharType="begin"/>
      </w:r>
      <w:r>
        <w:instrText xml:space="preserve"> PAGEREF _Toc31135 \h </w:instrText>
      </w:r>
      <w:r>
        <w:fldChar w:fldCharType="separate"/>
      </w:r>
      <w:r>
        <w:t>47</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"_Toc29233" </w:instrText>
      </w:r>
      <w:r>
        <w:fldChar w:fldCharType="separate"/>
      </w:r>
      <w:r>
        <w:rPr>
          <w:rFonts w:hint="eastAsia"/>
        </w:rPr>
        <w:t xml:space="preserve">5. </w:t>
      </w:r>
      <w:r>
        <w:t>法定代表人</w:t>
      </w:r>
      <w:r>
        <w:rPr>
          <w:rFonts w:hint="eastAsia"/>
        </w:rPr>
        <w:t>（负责人）</w:t>
      </w:r>
      <w:r>
        <w:t>授权委托书</w:t>
      </w:r>
      <w:r>
        <w:tab/>
      </w:r>
      <w:r>
        <w:fldChar w:fldCharType="begin"/>
      </w:r>
      <w:r>
        <w:instrText xml:space="preserve"> PAGEREF _Toc29233 \h </w:instrText>
      </w:r>
      <w:r>
        <w:fldChar w:fldCharType="separate"/>
      </w:r>
      <w:r>
        <w:t>48</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"_Toc11934" </w:instrText>
      </w:r>
      <w:r>
        <w:fldChar w:fldCharType="separate"/>
      </w:r>
      <w:r>
        <w:rPr>
          <w:rFonts w:hint="eastAsia"/>
        </w:rPr>
        <w:t>6. 资格审查资料</w:t>
      </w:r>
      <w:r>
        <w:tab/>
      </w:r>
      <w:r>
        <w:fldChar w:fldCharType="begin"/>
      </w:r>
      <w:r>
        <w:instrText xml:space="preserve"> PAGEREF _Toc11934 \h </w:instrText>
      </w:r>
      <w:r>
        <w:fldChar w:fldCharType="separate"/>
      </w:r>
      <w:r>
        <w:t>49</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"_Toc9183" </w:instrText>
      </w:r>
      <w:r>
        <w:fldChar w:fldCharType="separate"/>
      </w:r>
      <w:r>
        <w:rPr>
          <w:rFonts w:hint="eastAsia"/>
        </w:rPr>
        <w:t>6.1 投标人</w:t>
      </w:r>
      <w:r>
        <w:t>基本情况表</w:t>
      </w:r>
      <w:r>
        <w:tab/>
      </w:r>
      <w:r>
        <w:fldChar w:fldCharType="begin"/>
      </w:r>
      <w:r>
        <w:instrText xml:space="preserve"> PAGEREF _Toc9183 \h </w:instrText>
      </w:r>
      <w:r>
        <w:fldChar w:fldCharType="separate"/>
      </w:r>
      <w:r>
        <w:t>49</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"_Toc11697" </w:instrText>
      </w:r>
      <w:r>
        <w:fldChar w:fldCharType="separate"/>
      </w:r>
      <w:r>
        <w:rPr>
          <w:rFonts w:hint="eastAsia"/>
        </w:rPr>
        <w:t>6.2 资格要求材料</w:t>
      </w:r>
      <w:r>
        <w:tab/>
      </w:r>
      <w:r>
        <w:fldChar w:fldCharType="begin"/>
      </w:r>
      <w:r>
        <w:instrText xml:space="preserve"> PAGEREF _Toc11697 \h </w:instrText>
      </w:r>
      <w:r>
        <w:fldChar w:fldCharType="separate"/>
      </w:r>
      <w:r>
        <w:t>50</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"_Toc22503" </w:instrText>
      </w:r>
      <w:r>
        <w:fldChar w:fldCharType="separate"/>
      </w:r>
      <w:r>
        <w:rPr>
          <w:rFonts w:hint="eastAsia"/>
        </w:rPr>
        <w:t>6.3 关于资格的声明函</w:t>
      </w:r>
      <w:r>
        <w:tab/>
      </w:r>
      <w:r>
        <w:fldChar w:fldCharType="begin"/>
      </w:r>
      <w:r>
        <w:instrText xml:space="preserve"> PAGEREF _Toc22503 \h </w:instrText>
      </w:r>
      <w:r>
        <w:fldChar w:fldCharType="separate"/>
      </w:r>
      <w:r>
        <w:t>51</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"_Toc13551" </w:instrText>
      </w:r>
      <w:r>
        <w:fldChar w:fldCharType="separate"/>
      </w:r>
      <w:r>
        <w:rPr>
          <w:rFonts w:hint="eastAsia"/>
        </w:rPr>
        <w:t>6.4 投标人控股及管理关系情况申报表</w:t>
      </w:r>
      <w:r>
        <w:tab/>
      </w:r>
      <w:r>
        <w:fldChar w:fldCharType="begin"/>
      </w:r>
      <w:r>
        <w:instrText xml:space="preserve"> PAGEREF _Toc13551 \h </w:instrText>
      </w:r>
      <w:r>
        <w:fldChar w:fldCharType="separate"/>
      </w:r>
      <w:r>
        <w:t>52</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"_Toc13005" </w:instrText>
      </w:r>
      <w:r>
        <w:fldChar w:fldCharType="separate"/>
      </w:r>
      <w:r>
        <w:rPr>
          <w:rFonts w:hint="eastAsia"/>
        </w:rPr>
        <w:t>6.5 同类项目经验</w:t>
      </w:r>
      <w:r>
        <w:tab/>
      </w:r>
      <w:r>
        <w:fldChar w:fldCharType="begin"/>
      </w:r>
      <w:r>
        <w:instrText xml:space="preserve"> PAGEREF _Toc13005 \h </w:instrText>
      </w:r>
      <w:r>
        <w:fldChar w:fldCharType="separate"/>
      </w:r>
      <w:r>
        <w:t>53</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"_Toc17028" </w:instrText>
      </w:r>
      <w:r>
        <w:fldChar w:fldCharType="separate"/>
      </w:r>
      <w:r>
        <w:rPr>
          <w:rFonts w:hint="eastAsia"/>
        </w:rPr>
        <w:t>7. 实质性条款偏离表</w:t>
      </w:r>
      <w:r>
        <w:tab/>
      </w:r>
      <w:r>
        <w:fldChar w:fldCharType="begin"/>
      </w:r>
      <w:r>
        <w:instrText xml:space="preserve"> PAGEREF _Toc17028 \h </w:instrText>
      </w:r>
      <w:r>
        <w:fldChar w:fldCharType="separate"/>
      </w:r>
      <w:r>
        <w:t>55</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"_Toc24277" </w:instrText>
      </w:r>
      <w:r>
        <w:fldChar w:fldCharType="separate"/>
      </w:r>
      <w:r>
        <w:rPr>
          <w:rFonts w:hint="eastAsia"/>
        </w:rPr>
        <w:t>8. 合同条款偏离表</w:t>
      </w:r>
      <w:r>
        <w:tab/>
      </w:r>
      <w:r>
        <w:fldChar w:fldCharType="begin"/>
      </w:r>
      <w:r>
        <w:instrText xml:space="preserve"> PAGEREF _Toc24277 \h </w:instrText>
      </w:r>
      <w:r>
        <w:fldChar w:fldCharType="separate"/>
      </w:r>
      <w:r>
        <w:t>54</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"_Toc12590" </w:instrText>
      </w:r>
      <w:r>
        <w:fldChar w:fldCharType="separate"/>
      </w:r>
      <w:r>
        <w:rPr>
          <w:rFonts w:hint="eastAsia"/>
        </w:rPr>
        <w:t>9. 采购需求条款偏离表</w:t>
      </w:r>
      <w:r>
        <w:tab/>
      </w:r>
      <w:r>
        <w:fldChar w:fldCharType="begin"/>
      </w:r>
      <w:r>
        <w:instrText xml:space="preserve"> PAGEREF _Toc12590 \h </w:instrText>
      </w:r>
      <w:r>
        <w:fldChar w:fldCharType="separate"/>
      </w:r>
      <w:r>
        <w:t>55</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"_Toc26416" </w:instrText>
      </w:r>
      <w:r>
        <w:fldChar w:fldCharType="separate"/>
      </w:r>
      <w:r>
        <w:rPr>
          <w:rFonts w:hint="eastAsia"/>
        </w:rPr>
        <w:t>10. 公章对投标专用章授权说明（如有）</w:t>
      </w:r>
      <w:r>
        <w:tab/>
      </w:r>
      <w:r>
        <w:fldChar w:fldCharType="begin"/>
      </w:r>
      <w:r>
        <w:instrText xml:space="preserve"> PAGEREF _Toc26416 \h </w:instrText>
      </w:r>
      <w:r>
        <w:fldChar w:fldCharType="separate"/>
      </w:r>
      <w:r>
        <w:t>57</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"_Toc5431" </w:instrText>
      </w:r>
      <w:r>
        <w:fldChar w:fldCharType="separate"/>
      </w:r>
      <w:r>
        <w:rPr>
          <w:rFonts w:hint="eastAsia"/>
        </w:rPr>
        <w:t xml:space="preserve">11. </w:t>
      </w:r>
      <w:r>
        <w:rPr>
          <w:rFonts w:hint="eastAsia"/>
          <w:lang w:val="en-US" w:eastAsia="zh-CN"/>
        </w:rPr>
        <w:t>企业人员规模及专业能力</w:t>
      </w:r>
      <w:r>
        <w:rPr>
          <w:rFonts w:hint="eastAsia"/>
        </w:rPr>
        <w:t>表</w:t>
      </w:r>
      <w:r>
        <w:tab/>
      </w:r>
      <w:r>
        <w:fldChar w:fldCharType="begin"/>
      </w:r>
      <w:r>
        <w:instrText xml:space="preserve"> PAGEREF _Toc5431 \h </w:instrText>
      </w:r>
      <w:r>
        <w:fldChar w:fldCharType="separate"/>
      </w:r>
      <w:r>
        <w:t>58</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"_Toc21869" </w:instrText>
      </w:r>
      <w:r>
        <w:fldChar w:fldCharType="separate"/>
      </w:r>
      <w:r>
        <w:rPr>
          <w:rFonts w:hint="eastAsia"/>
        </w:rPr>
        <w:t>12. 企业资质、认证证书（若有）</w:t>
      </w:r>
      <w:r>
        <w:tab/>
      </w:r>
      <w:r>
        <w:fldChar w:fldCharType="begin"/>
      </w:r>
      <w:r>
        <w:instrText xml:space="preserve"> PAGEREF _Toc21869 \h </w:instrText>
      </w:r>
      <w:r>
        <w:fldChar w:fldCharType="separate"/>
      </w:r>
      <w:r>
        <w:t>59</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"_Toc18070" </w:instrText>
      </w:r>
      <w:r>
        <w:fldChar w:fldCharType="separate"/>
      </w:r>
      <w:r>
        <w:rPr>
          <w:rFonts w:hint="eastAsia"/>
        </w:rPr>
        <w:t>13. 售后服务响应承诺函</w:t>
      </w:r>
      <w:r>
        <w:tab/>
      </w:r>
      <w:r>
        <w:fldChar w:fldCharType="begin"/>
      </w:r>
      <w:r>
        <w:instrText xml:space="preserve"> PAGEREF _Toc18070 \h </w:instrText>
      </w:r>
      <w:r>
        <w:fldChar w:fldCharType="separate"/>
      </w:r>
      <w:r>
        <w:t>60</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"_Toc27564" </w:instrText>
      </w:r>
      <w:r>
        <w:fldChar w:fldCharType="separate"/>
      </w:r>
      <w:r>
        <w:rPr>
          <w:rFonts w:hint="eastAsia"/>
        </w:rPr>
        <w:t xml:space="preserve">14. </w:t>
      </w:r>
      <w:r>
        <w:t>服务方案</w:t>
      </w:r>
      <w:r>
        <w:tab/>
      </w:r>
      <w:r>
        <w:fldChar w:fldCharType="begin"/>
      </w:r>
      <w:r>
        <w:instrText xml:space="preserve"> PAGEREF _Toc27564 \h </w:instrText>
      </w:r>
      <w:r>
        <w:fldChar w:fldCharType="separate"/>
      </w:r>
      <w:r>
        <w:t>61</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"_Toc10473" </w:instrText>
      </w:r>
      <w:r>
        <w:fldChar w:fldCharType="separate"/>
      </w:r>
      <w:r>
        <w:rPr>
          <w:rFonts w:hint="eastAsia"/>
        </w:rPr>
        <w:t>15. 投标保证金汇款凭证</w:t>
      </w:r>
      <w:r>
        <w:tab/>
      </w:r>
      <w:r>
        <w:fldChar w:fldCharType="begin"/>
      </w:r>
      <w:r>
        <w:instrText xml:space="preserve"> PAGEREF _Toc10473 \h </w:instrText>
      </w:r>
      <w:r>
        <w:fldChar w:fldCharType="separate"/>
      </w:r>
      <w:r>
        <w:t>62</w:t>
      </w:r>
      <w:r>
        <w:fldChar w:fldCharType="end"/>
      </w:r>
      <w:r>
        <w:fldChar w:fldCharType="end"/>
      </w:r>
    </w:p>
    <w:p>
      <w:pPr>
        <w:pStyle w:val="30"/>
        <w:tabs>
          <w:tab w:val="right" w:leader="dot" w:pos="8504"/>
          <w:tab w:val="clear" w:pos="567"/>
          <w:tab w:val="clear" w:pos="709"/>
          <w:tab w:val="clear" w:pos="8505"/>
        </w:tabs>
      </w:pPr>
      <w:r>
        <w:fldChar w:fldCharType="begin"/>
      </w:r>
      <w:r>
        <w:instrText xml:space="preserve"> HYPERLINK \l "_Toc26913" </w:instrText>
      </w:r>
      <w:r>
        <w:fldChar w:fldCharType="separate"/>
      </w:r>
      <w:r>
        <w:rPr>
          <w:rFonts w:hint="eastAsia"/>
        </w:rPr>
        <w:t>16. 招募文件</w:t>
      </w:r>
      <w:r>
        <w:t>中明确要求投标人提供的其他相关文件</w:t>
      </w:r>
      <w:r>
        <w:tab/>
      </w:r>
      <w:r>
        <w:fldChar w:fldCharType="begin"/>
      </w:r>
      <w:r>
        <w:instrText xml:space="preserve"> PAGEREF _Toc26913 \h </w:instrText>
      </w:r>
      <w:r>
        <w:fldChar w:fldCharType="separate"/>
      </w:r>
      <w:r>
        <w:t>63</w:t>
      </w:r>
      <w:r>
        <w:fldChar w:fldCharType="end"/>
      </w:r>
      <w:r>
        <w:fldChar w:fldCharType="end"/>
      </w:r>
    </w:p>
    <w:p>
      <w:pPr>
        <w:spacing w:after="120" w:line="360" w:lineRule="auto"/>
        <w:rPr>
          <w:rFonts w:ascii="宋体" w:hAnsi="宋体" w:cs="宋体"/>
          <w:sz w:val="24"/>
        </w:rPr>
        <w:sectPr>
          <w:footerReference r:id="rId3" w:type="default"/>
          <w:pgSz w:w="11906" w:h="16838"/>
          <w:pgMar w:top="1440" w:right="1701" w:bottom="1440" w:left="1701" w:header="851" w:footer="992" w:gutter="0"/>
          <w:pgNumType w:start="1"/>
          <w:cols w:space="720" w:num="1"/>
          <w:docGrid w:type="linesAndChars" w:linePitch="380" w:charSpace="0"/>
        </w:sectPr>
      </w:pPr>
      <w:r>
        <w:rPr>
          <w:rFonts w:ascii="宋体" w:hAnsi="宋体"/>
          <w:szCs w:val="22"/>
        </w:rPr>
        <w:fldChar w:fldCharType="end"/>
      </w:r>
    </w:p>
    <w:p>
      <w:pPr>
        <w:pStyle w:val="76"/>
        <w:spacing w:before="240" w:after="120"/>
        <w:rPr>
          <w:rFonts w:ascii="宋体" w:hAnsi="宋体" w:eastAsia="宋体" w:cs="宋体"/>
          <w:b/>
          <w:bCs w:val="0"/>
          <w:kern w:val="0"/>
          <w:sz w:val="28"/>
          <w:szCs w:val="28"/>
        </w:rPr>
      </w:pPr>
      <w:bookmarkStart w:id="1" w:name="_Toc2882"/>
      <w:bookmarkStart w:id="2" w:name="_Toc447265797"/>
      <w:bookmarkStart w:id="3" w:name="_Toc447188662"/>
      <w:bookmarkStart w:id="4" w:name="_Toc447265497"/>
      <w:bookmarkStart w:id="5" w:name="_Toc56432210"/>
      <w:bookmarkStart w:id="6" w:name="_Toc447265211"/>
      <w:bookmarkStart w:id="7" w:name="_Toc7924"/>
      <w:bookmarkStart w:id="8" w:name="_Toc3629"/>
      <w:r>
        <w:rPr>
          <w:rFonts w:hint="eastAsia" w:ascii="宋体" w:hAnsi="宋体" w:eastAsia="宋体" w:cs="宋体"/>
          <w:b/>
          <w:bCs w:val="0"/>
          <w:kern w:val="0"/>
          <w:sz w:val="28"/>
          <w:szCs w:val="28"/>
        </w:rPr>
        <w:t>第一章</w:t>
      </w:r>
      <w:r>
        <w:rPr>
          <w:rFonts w:ascii="宋体" w:hAnsi="宋体" w:eastAsia="宋体" w:cs="宋体"/>
          <w:b/>
          <w:bCs w:val="0"/>
          <w:kern w:val="0"/>
          <w:sz w:val="28"/>
          <w:szCs w:val="28"/>
        </w:rPr>
        <w:t xml:space="preserve">  </w:t>
      </w:r>
      <w:bookmarkEnd w:id="1"/>
      <w:bookmarkEnd w:id="2"/>
      <w:bookmarkEnd w:id="3"/>
      <w:bookmarkEnd w:id="4"/>
      <w:bookmarkEnd w:id="5"/>
      <w:bookmarkEnd w:id="6"/>
      <w:bookmarkEnd w:id="7"/>
      <w:r>
        <w:rPr>
          <w:rFonts w:hint="eastAsia" w:ascii="宋体" w:hAnsi="宋体" w:eastAsia="宋体" w:cs="宋体"/>
          <w:b/>
          <w:bCs w:val="0"/>
          <w:kern w:val="0"/>
          <w:sz w:val="28"/>
          <w:szCs w:val="28"/>
        </w:rPr>
        <w:t>招募公告</w:t>
      </w:r>
      <w:bookmarkEnd w:id="8"/>
    </w:p>
    <w:p>
      <w:pPr>
        <w:adjustRightInd w:val="0"/>
        <w:snapToGrid w:val="0"/>
        <w:spacing w:line="440" w:lineRule="exact"/>
        <w:ind w:firstLine="562" w:firstLineChars="200"/>
        <w:jc w:val="center"/>
        <w:rPr>
          <w:rFonts w:hint="eastAsia" w:ascii="宋体" w:hAnsi="宋体"/>
          <w:b/>
          <w:bCs/>
          <w:sz w:val="28"/>
          <w:szCs w:val="36"/>
          <w:u w:val="single"/>
        </w:rPr>
      </w:pPr>
      <w:r>
        <w:rPr>
          <w:rFonts w:hint="eastAsia" w:ascii="宋体" w:hAnsi="宋体"/>
          <w:b/>
          <w:bCs/>
          <w:sz w:val="28"/>
          <w:szCs w:val="36"/>
          <w:u w:val="single"/>
          <w:lang w:eastAsia="zh-CN"/>
        </w:rPr>
        <w:t>2024年“疆品南下 粤品北上”</w:t>
      </w:r>
      <w:r>
        <w:rPr>
          <w:rFonts w:hint="eastAsia" w:ascii="宋体" w:hAnsi="宋体"/>
          <w:b/>
          <w:bCs/>
          <w:sz w:val="28"/>
          <w:szCs w:val="36"/>
          <w:u w:val="single"/>
        </w:rPr>
        <w:t>项目搭建执行服务</w:t>
      </w:r>
    </w:p>
    <w:p>
      <w:pPr>
        <w:adjustRightInd w:val="0"/>
        <w:snapToGrid w:val="0"/>
        <w:spacing w:line="440" w:lineRule="exact"/>
        <w:ind w:firstLine="562" w:firstLineChars="200"/>
        <w:jc w:val="center"/>
        <w:rPr>
          <w:rFonts w:ascii="宋体" w:hAnsi="宋体"/>
          <w:b/>
          <w:bCs/>
          <w:sz w:val="24"/>
        </w:rPr>
      </w:pPr>
      <w:r>
        <w:rPr>
          <w:rFonts w:hint="eastAsia" w:ascii="宋体" w:hAnsi="宋体"/>
          <w:b/>
          <w:bCs/>
          <w:sz w:val="28"/>
          <w:szCs w:val="36"/>
          <w:u w:val="single"/>
        </w:rPr>
        <w:t>供应商库招募项目公开招募公告</w:t>
      </w:r>
    </w:p>
    <w:p>
      <w:pPr>
        <w:adjustRightInd w:val="0"/>
        <w:snapToGrid w:val="0"/>
        <w:spacing w:line="440" w:lineRule="exact"/>
        <w:ind w:firstLine="420" w:firstLineChars="200"/>
        <w:rPr>
          <w:rFonts w:ascii="宋体" w:hAnsi="宋体"/>
          <w:szCs w:val="21"/>
        </w:rPr>
      </w:pPr>
      <w:r>
        <w:rPr>
          <w:rFonts w:hint="eastAsia" w:ascii="宋体" w:hAnsi="宋体"/>
          <w:szCs w:val="21"/>
        </w:rPr>
        <w:t>本招标项目为</w:t>
      </w:r>
      <w:r>
        <w:rPr>
          <w:rFonts w:hint="eastAsia" w:ascii="宋体" w:hAnsi="宋体"/>
          <w:szCs w:val="21"/>
          <w:u w:val="single"/>
          <w:lang w:eastAsia="zh-CN"/>
        </w:rPr>
        <w:t>2024年“疆品南下 粤品北上”</w:t>
      </w:r>
      <w:r>
        <w:rPr>
          <w:rFonts w:hint="eastAsia" w:ascii="宋体" w:hAnsi="宋体"/>
          <w:szCs w:val="21"/>
          <w:u w:val="single"/>
        </w:rPr>
        <w:t>项目搭建执行服务供应商库招募项目</w:t>
      </w:r>
      <w:r>
        <w:rPr>
          <w:rFonts w:hint="eastAsia" w:ascii="宋体" w:hAnsi="宋体"/>
          <w:szCs w:val="21"/>
        </w:rPr>
        <w:t>，招标人为</w:t>
      </w:r>
      <w:r>
        <w:rPr>
          <w:rFonts w:hint="eastAsia" w:ascii="宋体" w:hAnsi="宋体"/>
          <w:szCs w:val="21"/>
          <w:u w:val="single"/>
        </w:rPr>
        <w:t>广东南方农村报经营有限公司</w:t>
      </w:r>
      <w:r>
        <w:rPr>
          <w:rFonts w:hint="eastAsia" w:ascii="宋体" w:hAnsi="宋体"/>
          <w:szCs w:val="21"/>
        </w:rPr>
        <w:t>，招标代理机构为</w:t>
      </w:r>
      <w:r>
        <w:rPr>
          <w:rFonts w:hint="eastAsia" w:ascii="宋体" w:hAnsi="宋体"/>
          <w:u w:val="single"/>
        </w:rPr>
        <w:t>中通服咨询设计研究院有限公司</w:t>
      </w:r>
      <w:r>
        <w:rPr>
          <w:rFonts w:hint="eastAsia" w:ascii="宋体" w:hAnsi="宋体"/>
          <w:szCs w:val="21"/>
        </w:rPr>
        <w:t>。项目资金已落实，具备招标条件，现进行公开招募，特邀请有意向的潜在投标人（以下简称投标人）投标。</w:t>
      </w:r>
    </w:p>
    <w:p>
      <w:pPr>
        <w:pStyle w:val="77"/>
        <w:adjustRightInd w:val="0"/>
        <w:snapToGrid w:val="0"/>
        <w:spacing w:line="440" w:lineRule="exact"/>
        <w:ind w:left="425" w:hanging="425" w:firstLineChars="0"/>
        <w:rPr>
          <w:rFonts w:ascii="宋体" w:hAnsi="宋体"/>
          <w:b/>
          <w:szCs w:val="21"/>
        </w:rPr>
      </w:pPr>
      <w:r>
        <w:rPr>
          <w:rFonts w:hint="eastAsia" w:ascii="宋体" w:hAnsi="宋体"/>
          <w:b/>
          <w:szCs w:val="21"/>
        </w:rPr>
        <w:t>1.项目概况与采购内容</w:t>
      </w:r>
    </w:p>
    <w:p>
      <w:pPr>
        <w:pStyle w:val="77"/>
        <w:adjustRightInd w:val="0"/>
        <w:snapToGrid w:val="0"/>
        <w:spacing w:line="440" w:lineRule="exact"/>
        <w:rPr>
          <w:rFonts w:ascii="宋体" w:hAnsi="宋体"/>
          <w:szCs w:val="21"/>
        </w:rPr>
      </w:pPr>
      <w:r>
        <w:rPr>
          <w:rFonts w:ascii="宋体" w:hAnsi="宋体"/>
          <w:szCs w:val="21"/>
        </w:rPr>
        <w:t>1.</w:t>
      </w:r>
      <w:r>
        <w:rPr>
          <w:rFonts w:hint="eastAsia" w:ascii="宋体" w:hAnsi="宋体"/>
          <w:szCs w:val="21"/>
        </w:rPr>
        <w:t>1</w:t>
      </w:r>
      <w:r>
        <w:rPr>
          <w:rFonts w:ascii="宋体" w:hAnsi="宋体"/>
          <w:szCs w:val="21"/>
        </w:rPr>
        <w:t>项目概况:</w:t>
      </w:r>
      <w:r>
        <w:rPr>
          <w:rFonts w:hint="eastAsia" w:ascii="宋体" w:hAnsi="宋体"/>
          <w:szCs w:val="21"/>
        </w:rPr>
        <w:t>本项目拟为招标人选取4家服务供应商组成2024年“疆品南下 粤品北上”项目搭建执行服务供应商库，后续为招标人提供相关项目活动的搭建执行服务及相关服务，服务内容包括但不限于在固定场地举办会展活动所需的场地租赁及接待服务、舞台设计搭建服务、配套物料服务、配套人员服务等主要涉实物资源的服务内容。具体项目活动包括但不限于开展“疆品南下 粤品北上”广东企业走进北疆专场活动、广东对口援疆地区名特优产品走进大湾区展销活动、广州之夜活动、开设省级体验馆等服务事项。</w:t>
      </w:r>
    </w:p>
    <w:p>
      <w:pPr>
        <w:pStyle w:val="77"/>
        <w:adjustRightInd w:val="0"/>
        <w:snapToGrid w:val="0"/>
        <w:spacing w:line="440" w:lineRule="exact"/>
        <w:rPr>
          <w:szCs w:val="21"/>
        </w:rPr>
      </w:pPr>
      <w:r>
        <w:rPr>
          <w:rFonts w:hint="eastAsia" w:ascii="宋体" w:hAnsi="宋体"/>
          <w:szCs w:val="21"/>
        </w:rPr>
        <w:t>1.2服务期限：</w:t>
      </w:r>
      <w:r>
        <w:rPr>
          <w:rFonts w:hint="eastAsia"/>
          <w:szCs w:val="21"/>
        </w:rPr>
        <w:t>自合同签订之日起一年，以具体项目执行完成情况为准。</w:t>
      </w:r>
    </w:p>
    <w:p>
      <w:pPr>
        <w:pStyle w:val="77"/>
        <w:adjustRightInd w:val="0"/>
        <w:snapToGrid w:val="0"/>
        <w:spacing w:line="440" w:lineRule="exact"/>
        <w:rPr>
          <w:rFonts w:ascii="宋体" w:hAnsi="宋体"/>
          <w:szCs w:val="21"/>
        </w:rPr>
      </w:pPr>
      <w:r>
        <w:rPr>
          <w:rFonts w:hint="eastAsia" w:ascii="宋体" w:hAnsi="宋体"/>
          <w:szCs w:val="21"/>
        </w:rPr>
        <w:t>1.3选取方式：本项目为公开招募服务采购，根据本项招募文件的评审标准进行评分，择优选择综合得分排名前4名的供应商入库。后续2024年“疆品南下 粤品北上”相关项目活动在本供应商库中按规定程序选取服务单位。本项目入库仅具备为2024年“疆品南下 粤品北上”项目提供服务的资格，招标人后续将根据项目需求对入库供应商进行谈判或询价等采购方式，最终确定供应商。申请人应清楚并理解，入选供应商库不一定能获得具体的项目合作。</w:t>
      </w:r>
    </w:p>
    <w:p>
      <w:pPr>
        <w:pStyle w:val="77"/>
        <w:adjustRightInd w:val="0"/>
        <w:snapToGrid w:val="0"/>
        <w:spacing w:line="440" w:lineRule="exact"/>
        <w:rPr>
          <w:rFonts w:ascii="宋体" w:hAnsi="宋体"/>
          <w:szCs w:val="21"/>
        </w:rPr>
      </w:pPr>
      <w:r>
        <w:rPr>
          <w:rFonts w:ascii="宋体" w:hAnsi="宋体"/>
          <w:szCs w:val="21"/>
        </w:rPr>
        <w:t>（1）若初审合格供应商≤3家，招募失败；</w:t>
      </w:r>
    </w:p>
    <w:p>
      <w:pPr>
        <w:pStyle w:val="77"/>
        <w:adjustRightInd w:val="0"/>
        <w:snapToGrid w:val="0"/>
        <w:spacing w:line="440" w:lineRule="exact"/>
        <w:rPr>
          <w:rFonts w:ascii="宋体" w:hAnsi="宋体"/>
          <w:szCs w:val="21"/>
        </w:rPr>
      </w:pPr>
      <w:r>
        <w:rPr>
          <w:rFonts w:ascii="宋体" w:hAnsi="宋体"/>
          <w:szCs w:val="21"/>
        </w:rPr>
        <w:t>（2）若初审合格供应商</w:t>
      </w:r>
      <w:r>
        <w:rPr>
          <w:rFonts w:hint="eastAsia" w:ascii="宋体" w:hAnsi="宋体"/>
          <w:szCs w:val="21"/>
        </w:rPr>
        <w:t>≥</w:t>
      </w:r>
      <w:r>
        <w:rPr>
          <w:rFonts w:ascii="宋体" w:hAnsi="宋体"/>
          <w:szCs w:val="21"/>
        </w:rPr>
        <w:t>4家，进行详细打分评审，择优选择综合得分排名前4名的供应商入库。</w:t>
      </w:r>
    </w:p>
    <w:p>
      <w:pPr>
        <w:pStyle w:val="77"/>
        <w:adjustRightInd w:val="0"/>
        <w:snapToGrid w:val="0"/>
        <w:spacing w:line="440" w:lineRule="exact"/>
        <w:ind w:left="425" w:hanging="425" w:firstLineChars="0"/>
        <w:rPr>
          <w:rFonts w:ascii="宋体" w:hAnsi="宋体"/>
          <w:b/>
          <w:szCs w:val="21"/>
        </w:rPr>
      </w:pPr>
      <w:bookmarkStart w:id="9" w:name="_Toc319769473"/>
      <w:bookmarkStart w:id="10" w:name="_Toc184704555"/>
      <w:bookmarkStart w:id="11" w:name="_Toc319394714"/>
      <w:r>
        <w:rPr>
          <w:rFonts w:hint="eastAsia" w:ascii="宋体" w:hAnsi="宋体"/>
          <w:b/>
          <w:szCs w:val="21"/>
        </w:rPr>
        <w:t>2.投标人资格要求</w:t>
      </w:r>
      <w:bookmarkEnd w:id="9"/>
      <w:bookmarkEnd w:id="10"/>
      <w:bookmarkEnd w:id="11"/>
    </w:p>
    <w:p>
      <w:pPr>
        <w:pStyle w:val="77"/>
        <w:adjustRightInd w:val="0"/>
        <w:snapToGrid w:val="0"/>
        <w:spacing w:line="440" w:lineRule="exact"/>
        <w:rPr>
          <w:rFonts w:ascii="宋体" w:hAnsi="宋体"/>
          <w:szCs w:val="21"/>
        </w:rPr>
      </w:pPr>
      <w:bookmarkStart w:id="12" w:name="_Toc184704556"/>
      <w:bookmarkStart w:id="13" w:name="_Toc319394715"/>
      <w:bookmarkStart w:id="14" w:name="_Toc319769474"/>
      <w:r>
        <w:rPr>
          <w:rFonts w:ascii="宋体" w:hAnsi="宋体"/>
          <w:szCs w:val="21"/>
        </w:rPr>
        <w:t>2.1</w:t>
      </w:r>
      <w:r>
        <w:rPr>
          <w:rFonts w:hint="eastAsia" w:ascii="宋体" w:hAnsi="宋体"/>
          <w:szCs w:val="21"/>
        </w:rPr>
        <w:t>投标人须在中华人民共和国境内注册的具有独立承担民事责任能力的法人或其他组织，提供营业执照或事业法人证书（分公司投标须得到总公司授权，同时提供总公司营业执照及盖章授权函）</w:t>
      </w:r>
      <w:r>
        <w:rPr>
          <w:rFonts w:ascii="宋体" w:hAnsi="宋体"/>
          <w:szCs w:val="21"/>
        </w:rPr>
        <w:t>；</w:t>
      </w:r>
    </w:p>
    <w:p>
      <w:pPr>
        <w:pStyle w:val="77"/>
        <w:adjustRightInd w:val="0"/>
        <w:snapToGrid w:val="0"/>
        <w:spacing w:line="440" w:lineRule="exact"/>
        <w:rPr>
          <w:rFonts w:ascii="宋体" w:hAnsi="宋体"/>
          <w:szCs w:val="21"/>
        </w:rPr>
      </w:pPr>
      <w:r>
        <w:rPr>
          <w:rFonts w:ascii="宋体" w:hAnsi="宋体"/>
          <w:szCs w:val="21"/>
        </w:rPr>
        <w:t>2.</w:t>
      </w:r>
      <w:r>
        <w:rPr>
          <w:rFonts w:hint="eastAsia" w:ascii="宋体" w:hAnsi="宋体"/>
          <w:szCs w:val="21"/>
        </w:rPr>
        <w:t>2投标人在“信用中国”网站（www.creditchina.gov.cn）、中国政府采购网（www.ccgp.gov.cn）没有被列入失信被执行人、重大税收违法失信主体、政府采购严重违法失信行为记录名单（以投标申请文件递交截止当天在“信用中国”网站（www.creditchina.gov.cn）及中国政府采购网(www.ccgp.gov.cn)查询结果为准，如相关失信记录已失效，投标人需提供相关证明资料）</w:t>
      </w:r>
      <w:r>
        <w:rPr>
          <w:rFonts w:ascii="宋体" w:hAnsi="宋体"/>
          <w:szCs w:val="21"/>
        </w:rPr>
        <w:t>；</w:t>
      </w:r>
    </w:p>
    <w:p>
      <w:pPr>
        <w:pStyle w:val="77"/>
        <w:adjustRightInd w:val="0"/>
        <w:snapToGrid w:val="0"/>
        <w:spacing w:line="440" w:lineRule="exact"/>
        <w:rPr>
          <w:rFonts w:ascii="宋体" w:hAnsi="宋体"/>
          <w:szCs w:val="21"/>
        </w:rPr>
      </w:pPr>
      <w:r>
        <w:rPr>
          <w:rFonts w:ascii="宋体" w:hAnsi="宋体"/>
          <w:szCs w:val="21"/>
        </w:rPr>
        <w:t>2.</w:t>
      </w:r>
      <w:r>
        <w:rPr>
          <w:rFonts w:hint="eastAsia" w:ascii="宋体" w:hAnsi="宋体"/>
          <w:szCs w:val="21"/>
        </w:rPr>
        <w:t>3单位负责人为同一人或者存在直接控股、管理关系的不同供应商，不得一同参加本项目的招标活动，以《投标人控股及管理关系情况申报表》填报的内容进行评审</w:t>
      </w:r>
      <w:r>
        <w:rPr>
          <w:rFonts w:ascii="宋体" w:hAnsi="宋体"/>
          <w:szCs w:val="21"/>
        </w:rPr>
        <w:t>；</w:t>
      </w:r>
    </w:p>
    <w:p>
      <w:pPr>
        <w:pStyle w:val="77"/>
        <w:adjustRightInd w:val="0"/>
        <w:snapToGrid w:val="0"/>
        <w:spacing w:line="440" w:lineRule="exact"/>
        <w:rPr>
          <w:rFonts w:ascii="宋体" w:hAnsi="宋体"/>
          <w:szCs w:val="21"/>
        </w:rPr>
      </w:pPr>
      <w:r>
        <w:rPr>
          <w:rFonts w:ascii="宋体" w:hAnsi="宋体"/>
          <w:szCs w:val="21"/>
        </w:rPr>
        <w:t>2.</w:t>
      </w:r>
      <w:r>
        <w:rPr>
          <w:rFonts w:hint="eastAsia" w:ascii="宋体" w:hAnsi="宋体"/>
          <w:szCs w:val="21"/>
        </w:rPr>
        <w:t>4本项目不接受联合体投标，不允许转包、违法分包；</w:t>
      </w:r>
    </w:p>
    <w:p>
      <w:pPr>
        <w:pStyle w:val="77"/>
        <w:adjustRightInd w:val="0"/>
        <w:snapToGrid w:val="0"/>
        <w:spacing w:line="440" w:lineRule="exact"/>
        <w:ind w:left="425" w:hanging="425" w:firstLineChars="0"/>
        <w:rPr>
          <w:rFonts w:ascii="宋体" w:hAnsi="宋体"/>
          <w:b/>
          <w:szCs w:val="21"/>
        </w:rPr>
      </w:pPr>
      <w:r>
        <w:rPr>
          <w:rFonts w:hint="eastAsia" w:ascii="宋体" w:hAnsi="宋体"/>
          <w:b/>
          <w:szCs w:val="21"/>
        </w:rPr>
        <w:t>3.资格审查方法</w:t>
      </w:r>
      <w:bookmarkEnd w:id="12"/>
      <w:bookmarkEnd w:id="13"/>
      <w:bookmarkEnd w:id="14"/>
    </w:p>
    <w:p>
      <w:pPr>
        <w:pStyle w:val="77"/>
        <w:adjustRightInd w:val="0"/>
        <w:snapToGrid w:val="0"/>
        <w:spacing w:line="440" w:lineRule="exact"/>
        <w:rPr>
          <w:rFonts w:ascii="宋体" w:hAnsi="宋体"/>
          <w:szCs w:val="21"/>
        </w:rPr>
      </w:pPr>
      <w:r>
        <w:rPr>
          <w:rFonts w:hint="eastAsia" w:ascii="宋体" w:hAnsi="宋体"/>
          <w:szCs w:val="21"/>
        </w:rPr>
        <w:t>本项目将进行资格审查，资格审查标准和内容见招募文件第三章“评审办法”，凡未通过资格后审的投标人，其投标申请文件将被否决。</w:t>
      </w:r>
    </w:p>
    <w:p>
      <w:pPr>
        <w:pStyle w:val="77"/>
        <w:adjustRightInd w:val="0"/>
        <w:snapToGrid w:val="0"/>
        <w:spacing w:line="440" w:lineRule="exact"/>
        <w:ind w:left="425" w:hanging="425" w:firstLineChars="0"/>
        <w:rPr>
          <w:rFonts w:ascii="宋体" w:hAnsi="宋体"/>
          <w:b/>
          <w:szCs w:val="21"/>
        </w:rPr>
      </w:pPr>
      <w:r>
        <w:rPr>
          <w:rFonts w:hint="eastAsia" w:ascii="宋体" w:hAnsi="宋体"/>
          <w:b/>
          <w:szCs w:val="21"/>
        </w:rPr>
        <w:t>4.招募文件获取</w:t>
      </w:r>
    </w:p>
    <w:p>
      <w:pPr>
        <w:pStyle w:val="77"/>
        <w:tabs>
          <w:tab w:val="left" w:pos="1440"/>
        </w:tabs>
        <w:adjustRightInd w:val="0"/>
        <w:snapToGrid w:val="0"/>
        <w:spacing w:line="440" w:lineRule="exact"/>
        <w:rPr>
          <w:rFonts w:ascii="宋体" w:hAnsi="宋体"/>
          <w:szCs w:val="21"/>
        </w:rPr>
      </w:pPr>
      <w:r>
        <w:rPr>
          <w:rFonts w:ascii="宋体" w:hAnsi="宋体"/>
          <w:szCs w:val="21"/>
        </w:rPr>
        <w:t>4.1获取时间：</w:t>
      </w:r>
      <w:r>
        <w:rPr>
          <w:rFonts w:hint="eastAsia" w:ascii="宋体" w:hAnsi="宋体"/>
          <w:szCs w:val="21"/>
        </w:rPr>
        <w:t>2024年</w:t>
      </w:r>
      <w:r>
        <w:rPr>
          <w:rFonts w:hint="eastAsia" w:ascii="宋体" w:hAnsi="宋体"/>
          <w:szCs w:val="21"/>
          <w:lang w:val="en-US" w:eastAsia="zh-CN"/>
        </w:rPr>
        <w:t>08</w:t>
      </w:r>
      <w:r>
        <w:rPr>
          <w:rFonts w:hint="eastAsia" w:ascii="宋体" w:hAnsi="宋体"/>
          <w:szCs w:val="21"/>
        </w:rPr>
        <w:t>月</w:t>
      </w:r>
      <w:r>
        <w:rPr>
          <w:rFonts w:hint="eastAsia" w:ascii="宋体" w:hAnsi="宋体"/>
          <w:szCs w:val="21"/>
          <w:lang w:val="en-US" w:eastAsia="zh-CN"/>
        </w:rPr>
        <w:t>28</w:t>
      </w:r>
      <w:r>
        <w:rPr>
          <w:rFonts w:hint="eastAsia" w:ascii="宋体" w:hAnsi="宋体"/>
          <w:szCs w:val="21"/>
        </w:rPr>
        <w:t>日至</w:t>
      </w:r>
      <w:r>
        <w:rPr>
          <w:rFonts w:hint="eastAsia" w:ascii="宋体" w:hAnsi="宋体"/>
          <w:szCs w:val="21"/>
          <w:lang w:val="en-US" w:eastAsia="zh-CN"/>
        </w:rPr>
        <w:t>09</w:t>
      </w:r>
      <w:r>
        <w:rPr>
          <w:rFonts w:hint="eastAsia" w:ascii="宋体" w:hAnsi="宋体"/>
          <w:szCs w:val="21"/>
        </w:rPr>
        <w:t>月</w:t>
      </w:r>
      <w:r>
        <w:rPr>
          <w:rFonts w:hint="eastAsia" w:ascii="宋体" w:hAnsi="宋体"/>
          <w:szCs w:val="21"/>
          <w:lang w:val="en-US" w:eastAsia="zh-CN"/>
        </w:rPr>
        <w:t>04</w:t>
      </w:r>
      <w:r>
        <w:rPr>
          <w:rFonts w:hint="eastAsia" w:ascii="宋体" w:hAnsi="宋体"/>
          <w:szCs w:val="21"/>
        </w:rPr>
        <w:t>日，每日上午9:00至11:30，下午14:30至17:00。</w:t>
      </w:r>
    </w:p>
    <w:p>
      <w:pPr>
        <w:pStyle w:val="77"/>
        <w:tabs>
          <w:tab w:val="left" w:pos="1440"/>
        </w:tabs>
        <w:adjustRightInd w:val="0"/>
        <w:snapToGrid w:val="0"/>
        <w:spacing w:line="440" w:lineRule="exact"/>
        <w:rPr>
          <w:rFonts w:ascii="宋体" w:hAnsi="宋体"/>
          <w:szCs w:val="21"/>
        </w:rPr>
      </w:pPr>
      <w:r>
        <w:rPr>
          <w:rFonts w:ascii="宋体" w:hAnsi="宋体"/>
          <w:szCs w:val="21"/>
        </w:rPr>
        <w:t>4.</w:t>
      </w:r>
      <w:r>
        <w:rPr>
          <w:rFonts w:hint="eastAsia" w:ascii="宋体" w:hAnsi="宋体"/>
          <w:szCs w:val="21"/>
        </w:rPr>
        <w:t>2</w:t>
      </w:r>
      <w:r>
        <w:rPr>
          <w:rFonts w:ascii="宋体" w:hAnsi="宋体"/>
          <w:szCs w:val="21"/>
        </w:rPr>
        <w:t>获取</w:t>
      </w:r>
      <w:r>
        <w:rPr>
          <w:rFonts w:hint="eastAsia" w:ascii="宋体" w:hAnsi="宋体"/>
          <w:szCs w:val="21"/>
        </w:rPr>
        <w:t>方式</w:t>
      </w:r>
      <w:r>
        <w:rPr>
          <w:rFonts w:ascii="宋体" w:hAnsi="宋体"/>
          <w:szCs w:val="21"/>
        </w:rPr>
        <w:t>：</w:t>
      </w:r>
      <w:r>
        <w:rPr>
          <w:rFonts w:hint="eastAsia" w:ascii="宋体" w:hAnsi="宋体"/>
          <w:szCs w:val="21"/>
        </w:rPr>
        <w:t>线上领取，详见公告</w:t>
      </w:r>
    </w:p>
    <w:p>
      <w:pPr>
        <w:pStyle w:val="77"/>
        <w:tabs>
          <w:tab w:val="left" w:pos="1440"/>
        </w:tabs>
        <w:adjustRightInd w:val="0"/>
        <w:snapToGrid w:val="0"/>
        <w:spacing w:line="440" w:lineRule="exact"/>
        <w:rPr>
          <w:rFonts w:ascii="宋体" w:hAnsi="宋体"/>
          <w:szCs w:val="21"/>
        </w:rPr>
      </w:pPr>
      <w:r>
        <w:rPr>
          <w:rFonts w:hint="eastAsia" w:ascii="宋体" w:hAnsi="宋体"/>
          <w:szCs w:val="21"/>
        </w:rPr>
        <w:t>4.3网上发送。邮件主题：项目名称+项目编号+公司名称；邮件内容：列明公司名称、法定代表人或授权代表人姓名及联系方式；邮件附件：需采用A4纸幅面，将报名材料加盖企业鲜章，文件名称与主题一致。报名材料审核通过后，采购机构联系人向供应商邮箱发送招标文件电子版；审核未通过的，采购机构联系人以邮件形式回复审核情况，供应商可在招标文件申领时间内重新提交材料。采购机构或代理机构邮箱：</w:t>
      </w:r>
      <w:r>
        <w:rPr>
          <w:rFonts w:ascii="微软雅黑" w:hAnsi="微软雅黑" w:eastAsia="微软雅黑" w:cs="微软雅黑"/>
          <w:color w:val="383838"/>
          <w:sz w:val="19"/>
          <w:szCs w:val="19"/>
          <w:shd w:val="clear" w:color="auto" w:fill="FFFFFF"/>
        </w:rPr>
        <w:t>18948056602@163.com</w:t>
      </w:r>
      <w:r>
        <w:rPr>
          <w:rFonts w:hint="eastAsia" w:ascii="宋体" w:hAnsi="宋体"/>
          <w:szCs w:val="21"/>
        </w:rPr>
        <w:t xml:space="preserve"> 。</w:t>
      </w:r>
    </w:p>
    <w:p>
      <w:pPr>
        <w:pStyle w:val="77"/>
        <w:tabs>
          <w:tab w:val="left" w:pos="1440"/>
        </w:tabs>
        <w:adjustRightInd w:val="0"/>
        <w:snapToGrid w:val="0"/>
        <w:spacing w:line="440" w:lineRule="exact"/>
        <w:rPr>
          <w:rFonts w:ascii="宋体" w:hAnsi="宋体"/>
          <w:szCs w:val="21"/>
        </w:rPr>
      </w:pPr>
      <w:r>
        <w:rPr>
          <w:rFonts w:hint="eastAsia" w:ascii="宋体" w:hAnsi="宋体"/>
          <w:szCs w:val="21"/>
        </w:rPr>
        <w:t xml:space="preserve">招标文件发售联系人：梁工  </w:t>
      </w:r>
      <w:r>
        <w:rPr>
          <w:rFonts w:ascii="微软雅黑" w:hAnsi="微软雅黑" w:eastAsia="微软雅黑" w:cs="微软雅黑"/>
          <w:color w:val="383838"/>
          <w:sz w:val="19"/>
          <w:szCs w:val="19"/>
          <w:shd w:val="clear" w:color="auto" w:fill="FFFFFF"/>
        </w:rPr>
        <w:t>15790945375</w:t>
      </w:r>
    </w:p>
    <w:p>
      <w:pPr>
        <w:pStyle w:val="77"/>
        <w:tabs>
          <w:tab w:val="left" w:pos="1440"/>
        </w:tabs>
        <w:adjustRightInd w:val="0"/>
        <w:snapToGrid w:val="0"/>
        <w:spacing w:line="440" w:lineRule="exact"/>
        <w:rPr>
          <w:rFonts w:ascii="宋体" w:hAnsi="宋体"/>
          <w:szCs w:val="21"/>
        </w:rPr>
      </w:pPr>
      <w:r>
        <w:rPr>
          <w:rFonts w:hint="eastAsia" w:ascii="宋体" w:hAnsi="宋体"/>
          <w:szCs w:val="21"/>
          <w:lang w:val="en-US" w:eastAsia="zh-CN"/>
        </w:rPr>
        <w:t>4.4</w:t>
      </w:r>
      <w:r>
        <w:rPr>
          <w:rFonts w:hint="eastAsia" w:ascii="宋体" w:hAnsi="宋体"/>
          <w:szCs w:val="21"/>
        </w:rPr>
        <w:t>招标文件售价：300元/份，售后不退。报名供应商必须于本采购项目规定的发售时间内向我司缴纳标书款，否则视为未完成报名。由采购代理机构出具发票，非因采购代理机构原因，发票一经开具不予退换。（备注：转账凭证备注栏须注明“项目名称”+“XX公司”。）</w:t>
      </w:r>
    </w:p>
    <w:p>
      <w:pPr>
        <w:pStyle w:val="77"/>
        <w:tabs>
          <w:tab w:val="left" w:pos="1440"/>
        </w:tabs>
        <w:adjustRightInd w:val="0"/>
        <w:snapToGrid w:val="0"/>
        <w:spacing w:line="440" w:lineRule="exact"/>
        <w:rPr>
          <w:rFonts w:ascii="宋体" w:hAnsi="宋体"/>
          <w:szCs w:val="21"/>
        </w:rPr>
      </w:pPr>
      <w:r>
        <w:rPr>
          <w:rFonts w:hint="eastAsia" w:ascii="宋体" w:hAnsi="宋体"/>
          <w:szCs w:val="21"/>
        </w:rPr>
        <w:t>1.支付方式：银行电汇</w:t>
      </w:r>
    </w:p>
    <w:p>
      <w:pPr>
        <w:pStyle w:val="77"/>
        <w:tabs>
          <w:tab w:val="left" w:pos="1440"/>
        </w:tabs>
        <w:adjustRightInd w:val="0"/>
        <w:snapToGrid w:val="0"/>
        <w:spacing w:line="440" w:lineRule="exact"/>
        <w:rPr>
          <w:rFonts w:ascii="宋体" w:hAnsi="宋体"/>
          <w:szCs w:val="21"/>
        </w:rPr>
      </w:pPr>
      <w:r>
        <w:rPr>
          <w:rFonts w:hint="eastAsia" w:ascii="宋体" w:hAnsi="宋体"/>
          <w:szCs w:val="21"/>
        </w:rPr>
        <w:t>2.收款人名称：中通服咨询设计研究院有限公司</w:t>
      </w:r>
    </w:p>
    <w:p>
      <w:pPr>
        <w:pStyle w:val="77"/>
        <w:tabs>
          <w:tab w:val="left" w:pos="1440"/>
        </w:tabs>
        <w:adjustRightInd w:val="0"/>
        <w:snapToGrid w:val="0"/>
        <w:spacing w:line="440" w:lineRule="exact"/>
        <w:rPr>
          <w:rFonts w:ascii="宋体" w:hAnsi="宋体"/>
          <w:szCs w:val="21"/>
        </w:rPr>
      </w:pPr>
      <w:r>
        <w:rPr>
          <w:rFonts w:hint="eastAsia" w:ascii="宋体" w:hAnsi="宋体"/>
          <w:szCs w:val="21"/>
        </w:rPr>
        <w:t>3.开户银行：招商银行南京分行城北支行；</w:t>
      </w:r>
    </w:p>
    <w:p>
      <w:pPr>
        <w:pStyle w:val="77"/>
        <w:tabs>
          <w:tab w:val="left" w:pos="1440"/>
        </w:tabs>
        <w:adjustRightInd w:val="0"/>
        <w:snapToGrid w:val="0"/>
        <w:spacing w:line="440" w:lineRule="exact"/>
        <w:rPr>
          <w:rFonts w:ascii="宋体" w:hAnsi="宋体"/>
          <w:szCs w:val="21"/>
        </w:rPr>
      </w:pPr>
      <w:r>
        <w:rPr>
          <w:rFonts w:hint="eastAsia" w:ascii="宋体" w:hAnsi="宋体"/>
          <w:szCs w:val="21"/>
        </w:rPr>
        <w:t>4.账号：12590209571010300012</w:t>
      </w:r>
    </w:p>
    <w:p>
      <w:pPr>
        <w:spacing w:line="440" w:lineRule="exact"/>
        <w:ind w:firstLine="424" w:firstLineChars="201"/>
        <w:rPr>
          <w:rFonts w:ascii="宋体" w:hAnsi="宋体"/>
          <w:b/>
          <w:szCs w:val="21"/>
        </w:rPr>
      </w:pPr>
      <w:r>
        <w:rPr>
          <w:rFonts w:hint="eastAsia" w:ascii="宋体" w:hAnsi="宋体"/>
          <w:b/>
          <w:szCs w:val="21"/>
        </w:rPr>
        <w:t>5.投标申请文件的递交</w:t>
      </w:r>
    </w:p>
    <w:p>
      <w:pPr>
        <w:pStyle w:val="77"/>
        <w:numPr>
          <w:ilvl w:val="1"/>
          <w:numId w:val="0"/>
        </w:numPr>
        <w:adjustRightInd w:val="0"/>
        <w:snapToGrid w:val="0"/>
        <w:spacing w:line="440" w:lineRule="exact"/>
        <w:ind w:firstLine="424" w:firstLineChars="202"/>
        <w:rPr>
          <w:rFonts w:ascii="宋体" w:hAnsi="宋体"/>
          <w:szCs w:val="21"/>
        </w:rPr>
      </w:pPr>
      <w:r>
        <w:rPr>
          <w:rFonts w:hint="eastAsia" w:ascii="宋体" w:hAnsi="宋体"/>
          <w:szCs w:val="21"/>
        </w:rPr>
        <w:t>5.1投标申请文件</w:t>
      </w:r>
      <w:r>
        <w:rPr>
          <w:rFonts w:hint="eastAsia" w:ascii="宋体" w:hAnsi="宋体"/>
        </w:rPr>
        <w:t>递交截止时间</w:t>
      </w:r>
      <w:r>
        <w:rPr>
          <w:rFonts w:hint="eastAsia" w:ascii="宋体" w:hAnsi="宋体"/>
          <w:szCs w:val="21"/>
        </w:rPr>
        <w:t>（即投标截止时间）：</w:t>
      </w:r>
      <w:r>
        <w:rPr>
          <w:rFonts w:ascii="宋体" w:hAnsi="宋体"/>
          <w:szCs w:val="21"/>
        </w:rPr>
        <w:t>202</w:t>
      </w:r>
      <w:r>
        <w:rPr>
          <w:rFonts w:hint="eastAsia" w:ascii="宋体" w:hAnsi="宋体"/>
          <w:szCs w:val="21"/>
        </w:rPr>
        <w:t>4</w:t>
      </w:r>
      <w:r>
        <w:rPr>
          <w:rFonts w:ascii="宋体" w:hAnsi="宋体"/>
          <w:szCs w:val="21"/>
        </w:rPr>
        <w:t>年</w:t>
      </w:r>
      <w:r>
        <w:rPr>
          <w:rFonts w:hint="eastAsia" w:ascii="宋体" w:hAnsi="宋体"/>
          <w:szCs w:val="21"/>
          <w:lang w:val="en-US" w:eastAsia="zh-CN"/>
        </w:rPr>
        <w:t>09</w:t>
      </w:r>
      <w:r>
        <w:rPr>
          <w:rFonts w:ascii="宋体" w:hAnsi="宋体"/>
          <w:szCs w:val="21"/>
        </w:rPr>
        <w:t>月</w:t>
      </w:r>
      <w:r>
        <w:rPr>
          <w:rFonts w:hint="eastAsia" w:ascii="宋体" w:hAnsi="宋体"/>
          <w:szCs w:val="21"/>
          <w:lang w:val="en-US" w:eastAsia="zh-CN"/>
        </w:rPr>
        <w:t>18</w:t>
      </w:r>
      <w:r>
        <w:rPr>
          <w:rFonts w:ascii="宋体" w:hAnsi="宋体"/>
          <w:szCs w:val="21"/>
        </w:rPr>
        <w:t>日</w:t>
      </w:r>
      <w:r>
        <w:rPr>
          <w:rFonts w:hint="eastAsia" w:ascii="宋体" w:hAnsi="宋体"/>
          <w:szCs w:val="21"/>
        </w:rPr>
        <w:t>09时</w:t>
      </w:r>
      <w:r>
        <w:rPr>
          <w:rFonts w:ascii="宋体" w:hAnsi="宋体"/>
          <w:szCs w:val="21"/>
        </w:rPr>
        <w:t>30分</w:t>
      </w:r>
    </w:p>
    <w:p>
      <w:pPr>
        <w:pStyle w:val="77"/>
        <w:numPr>
          <w:ilvl w:val="1"/>
          <w:numId w:val="0"/>
        </w:numPr>
        <w:adjustRightInd w:val="0"/>
        <w:snapToGrid w:val="0"/>
        <w:spacing w:line="440" w:lineRule="exact"/>
        <w:ind w:firstLine="424" w:firstLineChars="202"/>
        <w:rPr>
          <w:rFonts w:ascii="宋体" w:hAnsi="宋体"/>
          <w:szCs w:val="21"/>
        </w:rPr>
      </w:pPr>
      <w:r>
        <w:rPr>
          <w:rFonts w:hint="eastAsia"/>
          <w:szCs w:val="21"/>
        </w:rPr>
        <w:t>5.2</w:t>
      </w:r>
      <w:r>
        <w:rPr>
          <w:rFonts w:hint="eastAsia" w:ascii="宋体" w:hAnsi="宋体"/>
          <w:szCs w:val="21"/>
        </w:rPr>
        <w:t>地点：广州市林和西横路219号康富来大厦5楼1号会议室。</w:t>
      </w:r>
      <w:r>
        <w:rPr>
          <w:rFonts w:ascii="宋体" w:hAnsi="宋体"/>
          <w:szCs w:val="21"/>
        </w:rPr>
        <w:t xml:space="preserve"> </w:t>
      </w:r>
    </w:p>
    <w:p>
      <w:pPr>
        <w:pStyle w:val="77"/>
        <w:adjustRightInd w:val="0"/>
        <w:snapToGrid w:val="0"/>
        <w:spacing w:line="440" w:lineRule="exact"/>
        <w:ind w:firstLine="426" w:firstLineChars="0"/>
        <w:jc w:val="left"/>
        <w:rPr>
          <w:szCs w:val="21"/>
        </w:rPr>
      </w:pPr>
      <w:r>
        <w:rPr>
          <w:szCs w:val="21"/>
        </w:rPr>
        <w:t>5.3</w:t>
      </w:r>
      <w:r>
        <w:rPr>
          <w:rFonts w:hint="eastAsia"/>
          <w:szCs w:val="21"/>
        </w:rPr>
        <w:t>递交方式：</w:t>
      </w:r>
      <w:r>
        <w:rPr>
          <w:rFonts w:hint="eastAsia"/>
          <w:bCs/>
          <w:szCs w:val="21"/>
        </w:rPr>
        <w:t>线下递交投标申请文件</w:t>
      </w:r>
    </w:p>
    <w:p>
      <w:pPr>
        <w:pStyle w:val="77"/>
        <w:adjustRightInd w:val="0"/>
        <w:snapToGrid w:val="0"/>
        <w:spacing w:line="440" w:lineRule="exact"/>
        <w:ind w:firstLine="426" w:firstLineChars="0"/>
        <w:jc w:val="left"/>
        <w:rPr>
          <w:szCs w:val="21"/>
        </w:rPr>
      </w:pPr>
      <w:r>
        <w:rPr>
          <w:szCs w:val="21"/>
        </w:rPr>
        <w:t>5.4</w:t>
      </w:r>
      <w:r>
        <w:rPr>
          <w:rFonts w:hint="eastAsia"/>
          <w:szCs w:val="21"/>
        </w:rPr>
        <w:t>逾期送达的或者未送达指定地点的投标申请文件，招标人不予受理。</w:t>
      </w:r>
    </w:p>
    <w:p>
      <w:pPr>
        <w:spacing w:line="440" w:lineRule="exact"/>
        <w:ind w:firstLine="424" w:firstLineChars="201"/>
        <w:rPr>
          <w:rFonts w:ascii="宋体" w:hAnsi="宋体"/>
          <w:b/>
          <w:szCs w:val="21"/>
        </w:rPr>
      </w:pPr>
      <w:r>
        <w:rPr>
          <w:rFonts w:hint="eastAsia" w:ascii="宋体" w:hAnsi="宋体"/>
          <w:b/>
          <w:szCs w:val="21"/>
        </w:rPr>
        <w:t>6.发布公告的媒介</w:t>
      </w:r>
    </w:p>
    <w:p>
      <w:pPr>
        <w:pStyle w:val="77"/>
        <w:adjustRightInd w:val="0"/>
        <w:snapToGrid w:val="0"/>
        <w:spacing w:line="440" w:lineRule="exact"/>
        <w:rPr>
          <w:rFonts w:hint="eastAsia"/>
        </w:rPr>
      </w:pPr>
      <w:r>
        <w:rPr>
          <w:rFonts w:hint="eastAsia"/>
        </w:rPr>
        <w:t>本次招募公告同时在南方日报、南方网（http://zbtb.southcn.com/）、中国招投标公共服务平台（http://www.cebpubservice.com/）、中通服咨询设计研究院有限公司官网发布，其他媒体转载无效。</w:t>
      </w:r>
    </w:p>
    <w:p>
      <w:pPr>
        <w:pStyle w:val="77"/>
        <w:adjustRightInd w:val="0"/>
        <w:snapToGrid w:val="0"/>
        <w:spacing w:line="440" w:lineRule="exact"/>
        <w:rPr>
          <w:rFonts w:ascii="宋体" w:hAnsi="宋体"/>
          <w:b/>
          <w:szCs w:val="21"/>
        </w:rPr>
      </w:pPr>
      <w:r>
        <w:rPr>
          <w:rFonts w:hint="eastAsia" w:ascii="宋体" w:hAnsi="宋体"/>
          <w:b/>
          <w:szCs w:val="21"/>
        </w:rPr>
        <w:t>7.联系方式</w:t>
      </w:r>
    </w:p>
    <w:p>
      <w:pPr>
        <w:tabs>
          <w:tab w:val="left" w:pos="360"/>
        </w:tabs>
        <w:spacing w:line="440" w:lineRule="exact"/>
        <w:ind w:firstLine="420" w:firstLineChars="200"/>
        <w:rPr>
          <w:rFonts w:ascii="宋体" w:hAnsi="宋体"/>
          <w:szCs w:val="21"/>
        </w:rPr>
      </w:pPr>
      <w:r>
        <w:rPr>
          <w:rFonts w:hint="eastAsia" w:ascii="宋体" w:hAnsi="宋体"/>
          <w:szCs w:val="21"/>
        </w:rPr>
        <w:t>7.1招标代理机构：</w:t>
      </w:r>
    </w:p>
    <w:p>
      <w:pPr>
        <w:spacing w:line="420" w:lineRule="exact"/>
        <w:ind w:firstLine="411" w:firstLineChars="196"/>
        <w:rPr>
          <w:rFonts w:ascii="宋体" w:hAnsi="宋体"/>
          <w:szCs w:val="21"/>
        </w:rPr>
      </w:pPr>
      <w:r>
        <w:rPr>
          <w:rFonts w:hint="eastAsia" w:ascii="宋体" w:hAnsi="宋体"/>
          <w:szCs w:val="21"/>
        </w:rPr>
        <w:t>名称：中通服咨询设计研究院有限公司</w:t>
      </w:r>
    </w:p>
    <w:p>
      <w:pPr>
        <w:spacing w:line="420" w:lineRule="exact"/>
        <w:ind w:firstLine="411" w:firstLineChars="196"/>
        <w:rPr>
          <w:rFonts w:ascii="宋体" w:hAnsi="宋体"/>
          <w:szCs w:val="21"/>
        </w:rPr>
      </w:pPr>
      <w:r>
        <w:rPr>
          <w:rFonts w:hint="eastAsia" w:ascii="宋体" w:hAnsi="宋体"/>
          <w:szCs w:val="21"/>
        </w:rPr>
        <w:t>地址：广州市林和西横路219号康富来大厦5楼</w:t>
      </w:r>
    </w:p>
    <w:p>
      <w:pPr>
        <w:spacing w:line="420" w:lineRule="exact"/>
        <w:ind w:firstLine="411" w:firstLineChars="196"/>
        <w:rPr>
          <w:rFonts w:ascii="宋体" w:hAnsi="宋体"/>
          <w:szCs w:val="21"/>
        </w:rPr>
      </w:pPr>
      <w:r>
        <w:rPr>
          <w:rFonts w:hint="eastAsia" w:ascii="宋体" w:hAnsi="宋体"/>
          <w:szCs w:val="21"/>
        </w:rPr>
        <w:t>联 系 人：蔡翠莹、梁烨华</w:t>
      </w:r>
    </w:p>
    <w:p>
      <w:pPr>
        <w:spacing w:line="420" w:lineRule="exact"/>
        <w:ind w:firstLine="411" w:firstLineChars="196"/>
        <w:rPr>
          <w:rFonts w:ascii="宋体" w:hAnsi="宋体"/>
          <w:szCs w:val="21"/>
        </w:rPr>
      </w:pPr>
      <w:r>
        <w:rPr>
          <w:rFonts w:hint="eastAsia" w:ascii="宋体" w:hAnsi="宋体"/>
          <w:szCs w:val="21"/>
        </w:rPr>
        <w:t>电    话：13570220155（蔡），</w:t>
      </w:r>
      <w:r>
        <w:rPr>
          <w:rFonts w:ascii="微软雅黑" w:hAnsi="微软雅黑" w:eastAsia="微软雅黑" w:cs="微软雅黑"/>
          <w:color w:val="383838"/>
          <w:sz w:val="19"/>
          <w:szCs w:val="19"/>
          <w:shd w:val="clear" w:color="auto" w:fill="FFFFFF"/>
        </w:rPr>
        <w:t>15790945375</w:t>
      </w:r>
      <w:r>
        <w:rPr>
          <w:rFonts w:hint="eastAsia" w:ascii="宋体" w:hAnsi="宋体"/>
          <w:szCs w:val="21"/>
        </w:rPr>
        <w:t>（梁）</w:t>
      </w:r>
    </w:p>
    <w:p>
      <w:pPr>
        <w:spacing w:line="420" w:lineRule="exact"/>
        <w:ind w:firstLine="411" w:firstLineChars="196"/>
        <w:rPr>
          <w:rFonts w:ascii="宋体" w:hAnsi="宋体"/>
          <w:szCs w:val="21"/>
        </w:rPr>
      </w:pPr>
      <w:r>
        <w:rPr>
          <w:rFonts w:hint="eastAsia" w:ascii="宋体" w:hAnsi="宋体"/>
          <w:szCs w:val="21"/>
        </w:rPr>
        <w:t>邮    箱</w:t>
      </w:r>
      <w:r>
        <w:rPr>
          <w:rFonts w:hint="eastAsia" w:ascii="微软雅黑" w:hAnsi="微软雅黑" w:eastAsia="微软雅黑" w:cs="微软雅黑"/>
          <w:color w:val="383838"/>
          <w:sz w:val="19"/>
          <w:szCs w:val="19"/>
          <w:shd w:val="clear" w:color="auto" w:fill="FFFFFF"/>
        </w:rPr>
        <w:t>：</w:t>
      </w:r>
      <w:r>
        <w:fldChar w:fldCharType="begin"/>
      </w:r>
      <w:r>
        <w:instrText xml:space="preserve"> HYPERLINK "mailto:13570220155@139.com，940910224@qq.com，" </w:instrText>
      </w:r>
      <w:r>
        <w:fldChar w:fldCharType="separate"/>
      </w:r>
      <w:r>
        <w:rPr>
          <w:rFonts w:hint="eastAsia" w:ascii="微软雅黑" w:hAnsi="微软雅黑" w:eastAsia="微软雅黑" w:cs="微软雅黑"/>
          <w:color w:val="383838"/>
          <w:sz w:val="19"/>
          <w:szCs w:val="19"/>
          <w:shd w:val="clear" w:color="auto" w:fill="FFFFFF"/>
        </w:rPr>
        <w:t>13570220155@139.com，</w:t>
      </w:r>
      <w:r>
        <w:rPr>
          <w:rFonts w:ascii="微软雅黑" w:hAnsi="微软雅黑" w:eastAsia="微软雅黑" w:cs="微软雅黑"/>
          <w:color w:val="383838"/>
          <w:sz w:val="19"/>
          <w:szCs w:val="19"/>
          <w:shd w:val="clear" w:color="auto" w:fill="FFFFFF"/>
        </w:rPr>
        <w:t>18948056602@163.com</w:t>
      </w:r>
      <w:r>
        <w:rPr>
          <w:rFonts w:ascii="微软雅黑" w:hAnsi="微软雅黑" w:eastAsia="微软雅黑" w:cs="微软雅黑"/>
          <w:color w:val="383838"/>
          <w:sz w:val="19"/>
          <w:szCs w:val="19"/>
          <w:shd w:val="clear" w:color="auto" w:fill="FFFFFF"/>
        </w:rPr>
        <w:fldChar w:fldCharType="end"/>
      </w:r>
    </w:p>
    <w:p>
      <w:pPr>
        <w:spacing w:line="420" w:lineRule="exact"/>
        <w:ind w:firstLine="411" w:firstLineChars="196"/>
        <w:rPr>
          <w:rFonts w:ascii="宋体" w:hAnsi="宋体"/>
          <w:szCs w:val="21"/>
        </w:rPr>
      </w:pPr>
      <w:r>
        <w:rPr>
          <w:rFonts w:ascii="宋体" w:hAnsi="宋体"/>
          <w:szCs w:val="21"/>
        </w:rPr>
        <w:t>7.2</w:t>
      </w:r>
      <w:r>
        <w:rPr>
          <w:rFonts w:hint="eastAsia" w:ascii="宋体" w:hAnsi="宋体"/>
          <w:szCs w:val="21"/>
        </w:rPr>
        <w:t>招标人：</w:t>
      </w:r>
    </w:p>
    <w:p>
      <w:pPr>
        <w:tabs>
          <w:tab w:val="left" w:pos="360"/>
        </w:tabs>
        <w:spacing w:line="440" w:lineRule="exact"/>
        <w:ind w:firstLine="420" w:firstLineChars="200"/>
        <w:rPr>
          <w:rFonts w:ascii="宋体" w:hAnsi="宋体"/>
          <w:szCs w:val="21"/>
        </w:rPr>
      </w:pPr>
      <w:r>
        <w:rPr>
          <w:rFonts w:hint="eastAsia" w:ascii="宋体" w:hAnsi="宋体"/>
          <w:szCs w:val="21"/>
        </w:rPr>
        <w:t>名称：广东南方农村报经营有限公司</w:t>
      </w:r>
    </w:p>
    <w:p>
      <w:pPr>
        <w:tabs>
          <w:tab w:val="left" w:pos="360"/>
        </w:tabs>
        <w:spacing w:line="440" w:lineRule="exact"/>
        <w:ind w:firstLine="420" w:firstLineChars="200"/>
        <w:rPr>
          <w:rFonts w:ascii="宋体" w:hAnsi="宋体"/>
          <w:szCs w:val="21"/>
        </w:rPr>
      </w:pPr>
      <w:r>
        <w:rPr>
          <w:rFonts w:hint="eastAsia" w:ascii="宋体" w:hAnsi="宋体"/>
          <w:szCs w:val="21"/>
        </w:rPr>
        <w:t>地址：广州市越秀区广州大道中289号</w:t>
      </w:r>
    </w:p>
    <w:p>
      <w:pPr>
        <w:tabs>
          <w:tab w:val="left" w:pos="360"/>
        </w:tabs>
        <w:spacing w:line="440" w:lineRule="exact"/>
        <w:ind w:firstLine="420" w:firstLineChars="200"/>
        <w:rPr>
          <w:rFonts w:ascii="宋体" w:hAnsi="宋体"/>
          <w:szCs w:val="21"/>
        </w:rPr>
      </w:pPr>
      <w:r>
        <w:rPr>
          <w:rFonts w:hint="eastAsia" w:ascii="宋体" w:hAnsi="宋体"/>
          <w:szCs w:val="21"/>
        </w:rPr>
        <w:t>联系人：郑女士</w:t>
      </w:r>
    </w:p>
    <w:p>
      <w:pPr>
        <w:tabs>
          <w:tab w:val="left" w:pos="360"/>
        </w:tabs>
        <w:spacing w:line="440" w:lineRule="exact"/>
        <w:ind w:firstLine="420" w:firstLineChars="200"/>
        <w:rPr>
          <w:rFonts w:ascii="宋体" w:hAnsi="宋体"/>
          <w:szCs w:val="21"/>
        </w:rPr>
      </w:pPr>
      <w:r>
        <w:rPr>
          <w:rFonts w:hint="eastAsia" w:ascii="宋体" w:hAnsi="宋体"/>
          <w:szCs w:val="21"/>
        </w:rPr>
        <w:t>联系方式：188260273802</w:t>
      </w:r>
    </w:p>
    <w:p>
      <w:pPr>
        <w:pStyle w:val="77"/>
        <w:spacing w:line="400" w:lineRule="exact"/>
        <w:ind w:firstLine="3920" w:firstLineChars="1867"/>
        <w:jc w:val="right"/>
        <w:rPr>
          <w:rFonts w:ascii="宋体" w:hAnsi="宋体"/>
          <w:color w:val="FF0000"/>
          <w:szCs w:val="21"/>
        </w:rPr>
      </w:pPr>
    </w:p>
    <w:p>
      <w:pPr>
        <w:pStyle w:val="77"/>
        <w:spacing w:line="400" w:lineRule="exact"/>
        <w:ind w:left="425" w:firstLine="5040" w:firstLineChars="2400"/>
        <w:rPr>
          <w:rFonts w:ascii="宋体" w:hAnsi="宋体"/>
          <w:szCs w:val="21"/>
        </w:rPr>
        <w:sectPr>
          <w:footerReference r:id="rId4" w:type="default"/>
          <w:pgSz w:w="11906" w:h="16838"/>
          <w:pgMar w:top="1440" w:right="1800" w:bottom="1440" w:left="1800" w:header="851" w:footer="992" w:gutter="0"/>
          <w:pgNumType w:start="1"/>
          <w:cols w:space="425" w:num="1"/>
          <w:docGrid w:type="lines" w:linePitch="312" w:charSpace="0"/>
        </w:sectPr>
      </w:pPr>
      <w:bookmarkStart w:id="15" w:name="_Toc447265500"/>
      <w:bookmarkStart w:id="16" w:name="_Toc447265214"/>
      <w:bookmarkStart w:id="17" w:name="_Toc447188665"/>
    </w:p>
    <w:p>
      <w:pPr>
        <w:pStyle w:val="76"/>
        <w:spacing w:before="240" w:after="120"/>
        <w:rPr>
          <w:rFonts w:ascii="宋体" w:hAnsi="宋体" w:eastAsia="宋体" w:cs="宋体"/>
          <w:b/>
          <w:sz w:val="28"/>
          <w:szCs w:val="28"/>
        </w:rPr>
      </w:pPr>
      <w:bookmarkStart w:id="18" w:name="_Toc31813"/>
      <w:bookmarkStart w:id="19" w:name="_Toc56432211"/>
      <w:bookmarkStart w:id="20" w:name="_Toc3672"/>
      <w:bookmarkStart w:id="21" w:name="_Toc23288"/>
      <w:r>
        <w:rPr>
          <w:rFonts w:hint="eastAsia" w:ascii="宋体" w:hAnsi="宋体" w:eastAsia="宋体" w:cs="宋体"/>
          <w:b/>
          <w:bCs w:val="0"/>
          <w:kern w:val="0"/>
          <w:sz w:val="28"/>
          <w:szCs w:val="28"/>
        </w:rPr>
        <w:t>第二章</w:t>
      </w:r>
      <w:r>
        <w:rPr>
          <w:rFonts w:ascii="宋体" w:hAnsi="宋体" w:eastAsia="宋体" w:cs="宋体"/>
          <w:b/>
          <w:bCs w:val="0"/>
          <w:kern w:val="0"/>
          <w:sz w:val="28"/>
          <w:szCs w:val="28"/>
        </w:rPr>
        <w:t xml:space="preserve">  </w:t>
      </w:r>
      <w:r>
        <w:rPr>
          <w:rFonts w:hint="eastAsia" w:ascii="宋体" w:hAnsi="宋体" w:eastAsia="宋体" w:cs="宋体"/>
          <w:b/>
          <w:bCs w:val="0"/>
          <w:kern w:val="0"/>
          <w:sz w:val="28"/>
          <w:szCs w:val="28"/>
        </w:rPr>
        <w:t>投标人须知</w:t>
      </w:r>
      <w:bookmarkEnd w:id="15"/>
      <w:bookmarkEnd w:id="16"/>
      <w:bookmarkEnd w:id="17"/>
      <w:bookmarkEnd w:id="18"/>
      <w:bookmarkEnd w:id="19"/>
      <w:bookmarkEnd w:id="20"/>
      <w:bookmarkEnd w:id="21"/>
    </w:p>
    <w:p>
      <w:pPr>
        <w:pStyle w:val="7"/>
        <w:snapToGrid w:val="0"/>
        <w:spacing w:before="240" w:after="120" w:line="240" w:lineRule="auto"/>
        <w:jc w:val="center"/>
        <w:rPr>
          <w:rFonts w:ascii="宋体" w:hAnsi="宋体" w:eastAsia="宋体" w:cs="宋体"/>
          <w:sz w:val="24"/>
          <w:szCs w:val="24"/>
        </w:rPr>
      </w:pPr>
      <w:bookmarkStart w:id="22" w:name="_Toc15274"/>
      <w:bookmarkStart w:id="23" w:name="_Toc447188666"/>
      <w:bookmarkStart w:id="24" w:name="_Toc447265501"/>
      <w:bookmarkStart w:id="25" w:name="_Toc56432212"/>
      <w:bookmarkStart w:id="26" w:name="_Toc447265215"/>
      <w:bookmarkStart w:id="27" w:name="_Toc227057884"/>
      <w:bookmarkStart w:id="28" w:name="_Toc28624"/>
      <w:bookmarkStart w:id="29" w:name="_Toc226969277"/>
      <w:bookmarkStart w:id="30" w:name="_Toc4626"/>
      <w:r>
        <w:rPr>
          <w:rFonts w:hint="eastAsia" w:ascii="宋体" w:hAnsi="宋体" w:eastAsia="宋体" w:cs="宋体"/>
          <w:bCs w:val="0"/>
          <w:sz w:val="24"/>
          <w:szCs w:val="24"/>
        </w:rPr>
        <w:t>投标人须知前附表</w:t>
      </w:r>
      <w:bookmarkEnd w:id="22"/>
      <w:bookmarkEnd w:id="23"/>
      <w:bookmarkEnd w:id="24"/>
      <w:bookmarkEnd w:id="25"/>
      <w:bookmarkEnd w:id="26"/>
      <w:bookmarkEnd w:id="27"/>
      <w:bookmarkEnd w:id="28"/>
      <w:bookmarkEnd w:id="29"/>
      <w:bookmarkEnd w:id="30"/>
    </w:p>
    <w:p>
      <w:pPr>
        <w:autoSpaceDE w:val="0"/>
        <w:autoSpaceDN w:val="0"/>
        <w:ind w:firstLine="420" w:firstLineChars="200"/>
        <w:rPr>
          <w:rFonts w:ascii="宋体" w:hAnsi="宋体" w:cs="宋体"/>
        </w:rPr>
      </w:pPr>
      <w:r>
        <w:rPr>
          <w:rFonts w:hint="eastAsia" w:ascii="宋体" w:hAnsi="宋体" w:cs="宋体"/>
          <w:szCs w:val="21"/>
        </w:rPr>
        <w:t>本投标人须知前附表是对投标人须知正文的具体补充和修改，如有矛盾，以本前附表为准。</w:t>
      </w:r>
    </w:p>
    <w:tbl>
      <w:tblPr>
        <w:tblStyle w:val="41"/>
        <w:tblW w:w="8428"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0"/>
        <w:gridCol w:w="1666"/>
        <w:gridCol w:w="5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tblHeader/>
        </w:trPr>
        <w:tc>
          <w:tcPr>
            <w:tcW w:w="840" w:type="dxa"/>
            <w:shd w:val="clear" w:color="auto" w:fill="auto"/>
            <w:vAlign w:val="center"/>
          </w:tcPr>
          <w:p>
            <w:pPr>
              <w:autoSpaceDE w:val="0"/>
              <w:autoSpaceDN w:val="0"/>
              <w:jc w:val="center"/>
              <w:rPr>
                <w:rFonts w:ascii="宋体" w:hAnsi="宋体" w:cs="宋体"/>
                <w:b/>
                <w:szCs w:val="21"/>
              </w:rPr>
            </w:pPr>
            <w:r>
              <w:rPr>
                <w:rFonts w:hint="eastAsia" w:ascii="宋体" w:hAnsi="宋体" w:cs="宋体"/>
                <w:b/>
                <w:szCs w:val="21"/>
              </w:rPr>
              <w:t>条款号</w:t>
            </w:r>
          </w:p>
        </w:tc>
        <w:tc>
          <w:tcPr>
            <w:tcW w:w="1666" w:type="dxa"/>
            <w:shd w:val="clear" w:color="auto" w:fill="auto"/>
            <w:vAlign w:val="center"/>
          </w:tcPr>
          <w:p>
            <w:pPr>
              <w:autoSpaceDE w:val="0"/>
              <w:autoSpaceDN w:val="0"/>
              <w:jc w:val="center"/>
              <w:rPr>
                <w:rFonts w:ascii="宋体" w:hAnsi="宋体" w:cs="宋体"/>
                <w:b/>
                <w:szCs w:val="21"/>
              </w:rPr>
            </w:pPr>
            <w:r>
              <w:rPr>
                <w:rFonts w:hint="eastAsia" w:ascii="宋体" w:hAnsi="宋体" w:cs="宋体"/>
                <w:b/>
                <w:szCs w:val="21"/>
              </w:rPr>
              <w:t>条款名称</w:t>
            </w:r>
          </w:p>
        </w:tc>
        <w:tc>
          <w:tcPr>
            <w:tcW w:w="5922" w:type="dxa"/>
            <w:shd w:val="clear" w:color="auto" w:fill="auto"/>
            <w:vAlign w:val="center"/>
          </w:tcPr>
          <w:p>
            <w:pPr>
              <w:autoSpaceDE w:val="0"/>
              <w:autoSpaceDN w:val="0"/>
              <w:jc w:val="center"/>
              <w:rPr>
                <w:rFonts w:ascii="宋体" w:hAnsi="宋体" w:cs="宋体"/>
                <w:b/>
                <w:szCs w:val="21"/>
              </w:rPr>
            </w:pPr>
            <w:r>
              <w:rPr>
                <w:rFonts w:hint="eastAsia" w:ascii="宋体" w:hAnsi="宋体" w:cs="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1.1.2</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招标人</w:t>
            </w:r>
          </w:p>
        </w:tc>
        <w:tc>
          <w:tcPr>
            <w:tcW w:w="5922" w:type="dxa"/>
            <w:shd w:val="clear" w:color="auto" w:fill="auto"/>
            <w:vAlign w:val="center"/>
          </w:tcPr>
          <w:p>
            <w:pPr>
              <w:autoSpaceDE w:val="0"/>
              <w:autoSpaceDN w:val="0"/>
              <w:rPr>
                <w:rFonts w:ascii="宋体" w:hAnsi="宋体" w:cs="宋体"/>
                <w:szCs w:val="21"/>
              </w:rPr>
            </w:pPr>
            <w:r>
              <w:rPr>
                <w:rFonts w:hint="eastAsia" w:ascii="宋体" w:hAnsi="宋体" w:cs="宋体"/>
                <w:szCs w:val="21"/>
              </w:rPr>
              <w:t>招标人名称：广东南方农村报经营有限公司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1.1.3</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招标项目名称</w:t>
            </w:r>
          </w:p>
        </w:tc>
        <w:tc>
          <w:tcPr>
            <w:tcW w:w="5922" w:type="dxa"/>
            <w:shd w:val="clear" w:color="auto" w:fill="auto"/>
            <w:vAlign w:val="center"/>
          </w:tcPr>
          <w:p>
            <w:pPr>
              <w:autoSpaceDE w:val="0"/>
              <w:autoSpaceDN w:val="0"/>
              <w:rPr>
                <w:rFonts w:ascii="宋体" w:hAnsi="宋体" w:cs="宋体"/>
                <w:szCs w:val="21"/>
              </w:rPr>
            </w:pPr>
            <w:r>
              <w:rPr>
                <w:rFonts w:hint="eastAsia" w:ascii="宋体" w:hAnsi="宋体" w:cs="宋体"/>
                <w:szCs w:val="21"/>
              </w:rPr>
              <w:t>项目名称：</w:t>
            </w:r>
            <w:r>
              <w:rPr>
                <w:rFonts w:hint="eastAsia" w:ascii="宋体" w:hAnsi="宋体" w:cs="宋体"/>
                <w:szCs w:val="21"/>
                <w:lang w:eastAsia="zh-CN"/>
              </w:rPr>
              <w:t>2024年“疆品南下 粤品北上”</w:t>
            </w:r>
            <w:r>
              <w:rPr>
                <w:rFonts w:hint="eastAsia" w:ascii="宋体" w:hAnsi="宋体"/>
                <w:szCs w:val="21"/>
              </w:rPr>
              <w:t>项目搭建执行服务供应商库</w:t>
            </w:r>
            <w:r>
              <w:rPr>
                <w:rFonts w:hint="eastAsia" w:ascii="宋体" w:hAnsi="宋体" w:cs="宋体"/>
                <w:szCs w:val="21"/>
              </w:rPr>
              <w:t>招募项目</w:t>
            </w:r>
          </w:p>
          <w:p>
            <w:pPr>
              <w:autoSpaceDE w:val="0"/>
              <w:autoSpaceDN w:val="0"/>
              <w:rPr>
                <w:rFonts w:ascii="宋体" w:hAnsi="宋体" w:cs="宋体"/>
                <w:szCs w:val="21"/>
              </w:rPr>
            </w:pPr>
            <w:r>
              <w:rPr>
                <w:rFonts w:hint="eastAsia" w:ascii="宋体" w:hAnsi="宋体" w:cs="宋体"/>
                <w:szCs w:val="21"/>
              </w:rPr>
              <w:t>项目编号：2024-CICDINFBY-F1002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1.2</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资金来源</w:t>
            </w:r>
          </w:p>
        </w:tc>
        <w:tc>
          <w:tcPr>
            <w:tcW w:w="5922" w:type="dxa"/>
            <w:shd w:val="clear" w:color="auto" w:fill="auto"/>
            <w:vAlign w:val="center"/>
          </w:tcPr>
          <w:p>
            <w:pPr>
              <w:autoSpaceDE w:val="0"/>
              <w:autoSpaceDN w:val="0"/>
              <w:rPr>
                <w:rFonts w:ascii="宋体" w:hAnsi="宋体" w:cs="宋体"/>
                <w:szCs w:val="21"/>
                <w:u w:val="single"/>
              </w:rPr>
            </w:pPr>
            <w:r>
              <w:rPr>
                <w:rFonts w:hint="eastAsia" w:ascii="宋体" w:hAnsi="宋体" w:cs="宋体"/>
                <w:szCs w:val="21"/>
              </w:rPr>
              <w:t>招标人自筹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1.3</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采购范围</w:t>
            </w:r>
          </w:p>
        </w:tc>
        <w:tc>
          <w:tcPr>
            <w:tcW w:w="5922" w:type="dxa"/>
            <w:shd w:val="clear" w:color="auto" w:fill="auto"/>
            <w:vAlign w:val="center"/>
          </w:tcPr>
          <w:p>
            <w:pPr>
              <w:autoSpaceDE w:val="0"/>
              <w:autoSpaceDN w:val="0"/>
              <w:rPr>
                <w:rFonts w:ascii="宋体" w:hAnsi="宋体" w:cs="宋体"/>
                <w:szCs w:val="21"/>
              </w:rPr>
            </w:pPr>
            <w:r>
              <w:rPr>
                <w:rFonts w:hint="eastAsia" w:ascii="宋体" w:hAnsi="宋体"/>
                <w:szCs w:val="21"/>
              </w:rPr>
              <w:t>详见第一章招募公告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1.4</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采购包划分</w:t>
            </w:r>
          </w:p>
        </w:tc>
        <w:tc>
          <w:tcPr>
            <w:tcW w:w="5922" w:type="dxa"/>
            <w:shd w:val="clear" w:color="auto" w:fill="auto"/>
            <w:vAlign w:val="center"/>
          </w:tcPr>
          <w:p>
            <w:pPr>
              <w:autoSpaceDE w:val="0"/>
              <w:autoSpaceDN w:val="0"/>
              <w:rPr>
                <w:rFonts w:ascii="宋体" w:hAnsi="宋体" w:cs="宋体"/>
                <w:szCs w:val="21"/>
              </w:rPr>
            </w:pPr>
            <w:r>
              <w:rPr>
                <w:rFonts w:hint="eastAsia" w:ascii="宋体" w:hAnsi="宋体" w:cs="宋体"/>
                <w:szCs w:val="21"/>
              </w:rPr>
              <w:t>不划分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1.5.1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招标方式</w:t>
            </w:r>
          </w:p>
        </w:tc>
        <w:tc>
          <w:tcPr>
            <w:tcW w:w="5922" w:type="dxa"/>
            <w:shd w:val="clear" w:color="auto" w:fill="auto"/>
            <w:vAlign w:val="center"/>
          </w:tcPr>
          <w:p>
            <w:pPr>
              <w:autoSpaceDE w:val="0"/>
              <w:autoSpaceDN w:val="0"/>
              <w:rPr>
                <w:rFonts w:ascii="宋体" w:hAnsi="宋体" w:cs="宋体"/>
                <w:szCs w:val="21"/>
              </w:rPr>
            </w:pPr>
            <w:r>
              <w:rPr>
                <w:rFonts w:hint="eastAsia" w:ascii="宋体" w:hAnsi="宋体" w:cs="宋体"/>
                <w:szCs w:val="21"/>
              </w:rPr>
              <w:t>公开招募入围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1.6</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招标组织形式</w:t>
            </w:r>
          </w:p>
        </w:tc>
        <w:tc>
          <w:tcPr>
            <w:tcW w:w="5922" w:type="dxa"/>
            <w:shd w:val="clear" w:color="auto" w:fill="auto"/>
            <w:vAlign w:val="center"/>
          </w:tcPr>
          <w:p>
            <w:pPr>
              <w:autoSpaceDE w:val="0"/>
              <w:autoSpaceDN w:val="0"/>
              <w:rPr>
                <w:rFonts w:ascii="宋体" w:hAnsi="宋体" w:cs="宋体"/>
                <w:szCs w:val="21"/>
              </w:rPr>
            </w:pPr>
            <w:r>
              <w:rPr>
                <w:rFonts w:hint="eastAsia" w:ascii="宋体" w:hAnsi="宋体" w:cs="宋体"/>
                <w:szCs w:val="21"/>
              </w:rPr>
              <w:t>委托招标代理机构代理</w:t>
            </w:r>
          </w:p>
          <w:p>
            <w:pPr>
              <w:autoSpaceDE w:val="0"/>
              <w:autoSpaceDN w:val="0"/>
              <w:rPr>
                <w:rFonts w:ascii="宋体" w:hAnsi="宋体" w:cs="宋体"/>
                <w:szCs w:val="21"/>
              </w:rPr>
            </w:pPr>
            <w:r>
              <w:rPr>
                <w:rFonts w:hint="eastAsia" w:ascii="宋体" w:hAnsi="宋体" w:cs="宋体"/>
                <w:szCs w:val="21"/>
              </w:rPr>
              <w:t>招标代理机构名称：中通服咨询设计研究院有限公司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1.8.1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投标人不得存在的情形</w:t>
            </w:r>
          </w:p>
        </w:tc>
        <w:tc>
          <w:tcPr>
            <w:tcW w:w="5922" w:type="dxa"/>
            <w:shd w:val="clear" w:color="auto" w:fill="auto"/>
            <w:vAlign w:val="center"/>
          </w:tcPr>
          <w:p>
            <w:pPr>
              <w:tabs>
                <w:tab w:val="left" w:pos="585"/>
              </w:tabs>
              <w:spacing w:line="440" w:lineRule="exact"/>
              <w:ind w:left="18"/>
              <w:rPr>
                <w:rFonts w:ascii="宋体" w:hAnsi="宋体"/>
                <w:szCs w:val="21"/>
              </w:rPr>
            </w:pPr>
            <w:r>
              <w:rPr>
                <w:rFonts w:hint="eastAsia" w:ascii="宋体" w:hAnsi="宋体" w:cs="宋体"/>
                <w:szCs w:val="21"/>
              </w:rPr>
              <w:t>本条款增加以下规定：</w:t>
            </w:r>
            <w:r>
              <w:rPr>
                <w:rFonts w:ascii="宋体" w:hAnsi="宋体" w:cs="宋体"/>
                <w:szCs w:val="21"/>
              </w:rPr>
              <w:t>/</w:t>
            </w:r>
          </w:p>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2.1.1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招募文件的组成</w:t>
            </w:r>
          </w:p>
        </w:tc>
        <w:tc>
          <w:tcPr>
            <w:tcW w:w="5922" w:type="dxa"/>
            <w:shd w:val="clear" w:color="auto" w:fill="auto"/>
            <w:vAlign w:val="center"/>
          </w:tcPr>
          <w:p>
            <w:pPr>
              <w:autoSpaceDE w:val="0"/>
              <w:autoSpaceDN w:val="0"/>
              <w:rPr>
                <w:rFonts w:ascii="宋体" w:hAnsi="宋体" w:cs="宋体"/>
                <w:szCs w:val="21"/>
              </w:rPr>
            </w:pPr>
            <w:r>
              <w:rPr>
                <w:rFonts w:hint="eastAsia" w:ascii="宋体" w:hAnsi="宋体" w:cs="宋体"/>
                <w:szCs w:val="21"/>
              </w:rPr>
              <w:t>本条款替换为：</w:t>
            </w:r>
          </w:p>
          <w:p>
            <w:pPr>
              <w:autoSpaceDE w:val="0"/>
              <w:autoSpaceDN w:val="0"/>
              <w:rPr>
                <w:rFonts w:ascii="宋体" w:hAnsi="宋体" w:cs="宋体"/>
                <w:szCs w:val="21"/>
              </w:rPr>
            </w:pPr>
            <w:r>
              <w:rPr>
                <w:rFonts w:hint="eastAsia" w:ascii="宋体" w:hAnsi="宋体" w:cs="宋体"/>
                <w:szCs w:val="21"/>
              </w:rPr>
              <w:t>第一章</w:t>
            </w:r>
            <w:r>
              <w:rPr>
                <w:rFonts w:ascii="宋体" w:hAnsi="宋体" w:cs="宋体"/>
                <w:szCs w:val="21"/>
              </w:rPr>
              <w:t xml:space="preserve"> </w:t>
            </w:r>
            <w:r>
              <w:rPr>
                <w:rFonts w:hint="eastAsia" w:ascii="宋体" w:hAnsi="宋体" w:cs="宋体"/>
                <w:szCs w:val="21"/>
              </w:rPr>
              <w:t>招募公告</w:t>
            </w:r>
          </w:p>
          <w:p>
            <w:pPr>
              <w:autoSpaceDE w:val="0"/>
              <w:autoSpaceDN w:val="0"/>
              <w:rPr>
                <w:rFonts w:ascii="宋体" w:hAnsi="宋体" w:cs="宋体"/>
                <w:szCs w:val="21"/>
              </w:rPr>
            </w:pPr>
            <w:r>
              <w:rPr>
                <w:rFonts w:hint="eastAsia" w:ascii="宋体" w:hAnsi="宋体" w:cs="宋体"/>
                <w:szCs w:val="21"/>
              </w:rPr>
              <w:t>第二章</w:t>
            </w:r>
            <w:r>
              <w:rPr>
                <w:rFonts w:ascii="宋体" w:hAnsi="宋体" w:cs="宋体"/>
                <w:szCs w:val="21"/>
              </w:rPr>
              <w:t xml:space="preserve"> </w:t>
            </w:r>
            <w:r>
              <w:rPr>
                <w:rFonts w:hint="eastAsia" w:ascii="宋体" w:hAnsi="宋体" w:cs="宋体"/>
                <w:szCs w:val="21"/>
              </w:rPr>
              <w:t>投标人须知</w:t>
            </w:r>
          </w:p>
          <w:p>
            <w:pPr>
              <w:autoSpaceDE w:val="0"/>
              <w:autoSpaceDN w:val="0"/>
              <w:rPr>
                <w:rFonts w:ascii="宋体" w:hAnsi="宋体" w:cs="宋体"/>
                <w:szCs w:val="21"/>
              </w:rPr>
            </w:pPr>
            <w:r>
              <w:rPr>
                <w:rFonts w:hint="eastAsia" w:ascii="宋体" w:hAnsi="宋体" w:cs="宋体"/>
                <w:szCs w:val="21"/>
              </w:rPr>
              <w:t>第三章</w:t>
            </w:r>
            <w:r>
              <w:rPr>
                <w:rFonts w:ascii="宋体" w:hAnsi="宋体" w:cs="宋体"/>
                <w:szCs w:val="21"/>
              </w:rPr>
              <w:t xml:space="preserve"> </w:t>
            </w:r>
            <w:r>
              <w:rPr>
                <w:rFonts w:hint="eastAsia" w:ascii="宋体" w:hAnsi="宋体" w:cs="宋体"/>
                <w:szCs w:val="21"/>
              </w:rPr>
              <w:t>评审办法</w:t>
            </w:r>
          </w:p>
          <w:p>
            <w:pPr>
              <w:autoSpaceDE w:val="0"/>
              <w:autoSpaceDN w:val="0"/>
              <w:rPr>
                <w:rFonts w:ascii="宋体" w:hAnsi="宋体" w:cs="宋体"/>
                <w:szCs w:val="21"/>
              </w:rPr>
            </w:pPr>
            <w:r>
              <w:rPr>
                <w:rFonts w:hint="eastAsia" w:ascii="宋体" w:hAnsi="宋体" w:cs="宋体"/>
                <w:szCs w:val="21"/>
              </w:rPr>
              <w:t>第四章</w:t>
            </w:r>
            <w:r>
              <w:rPr>
                <w:rFonts w:ascii="宋体" w:hAnsi="宋体" w:cs="宋体"/>
                <w:szCs w:val="21"/>
              </w:rPr>
              <w:t xml:space="preserve"> </w:t>
            </w:r>
            <w:r>
              <w:rPr>
                <w:rFonts w:hint="eastAsia" w:ascii="宋体" w:hAnsi="宋体" w:cs="宋体"/>
                <w:szCs w:val="21"/>
              </w:rPr>
              <w:t>合同条款</w:t>
            </w:r>
          </w:p>
          <w:p>
            <w:pPr>
              <w:autoSpaceDE w:val="0"/>
              <w:autoSpaceDN w:val="0"/>
              <w:rPr>
                <w:rFonts w:ascii="宋体" w:hAnsi="宋体" w:cs="宋体"/>
                <w:szCs w:val="21"/>
              </w:rPr>
            </w:pPr>
            <w:r>
              <w:rPr>
                <w:rFonts w:hint="eastAsia" w:ascii="宋体" w:hAnsi="宋体" w:cs="宋体"/>
                <w:szCs w:val="21"/>
              </w:rPr>
              <w:t>第五章</w:t>
            </w:r>
            <w:r>
              <w:rPr>
                <w:rFonts w:ascii="宋体" w:hAnsi="宋体" w:cs="宋体"/>
                <w:szCs w:val="21"/>
              </w:rPr>
              <w:t xml:space="preserve"> </w:t>
            </w:r>
            <w:r>
              <w:rPr>
                <w:rFonts w:hint="eastAsia" w:ascii="宋体" w:hAnsi="宋体" w:cs="宋体"/>
                <w:szCs w:val="21"/>
              </w:rPr>
              <w:t>采购需求书</w:t>
            </w:r>
          </w:p>
          <w:p>
            <w:pPr>
              <w:autoSpaceDE w:val="0"/>
              <w:autoSpaceDN w:val="0"/>
              <w:rPr>
                <w:rFonts w:ascii="宋体" w:hAnsi="宋体" w:cs="宋体"/>
                <w:szCs w:val="21"/>
              </w:rPr>
            </w:pPr>
            <w:r>
              <w:rPr>
                <w:rFonts w:hint="eastAsia" w:ascii="宋体" w:hAnsi="宋体" w:cs="宋体"/>
                <w:szCs w:val="21"/>
              </w:rPr>
              <w:t>第六章</w:t>
            </w:r>
            <w:r>
              <w:rPr>
                <w:rFonts w:ascii="宋体" w:hAnsi="宋体" w:cs="宋体"/>
                <w:szCs w:val="21"/>
              </w:rPr>
              <w:t xml:space="preserve"> </w:t>
            </w:r>
            <w:r>
              <w:rPr>
                <w:rFonts w:hint="eastAsia" w:ascii="宋体" w:hAnsi="宋体" w:cs="宋体"/>
                <w:szCs w:val="21"/>
              </w:rPr>
              <w:t>投标申请文件格式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2.1.3</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招募文件实质性要求的标识及非实质性要求的偏离要求</w:t>
            </w:r>
          </w:p>
        </w:tc>
        <w:tc>
          <w:tcPr>
            <w:tcW w:w="5922" w:type="dxa"/>
            <w:shd w:val="clear" w:color="auto" w:fill="auto"/>
            <w:vAlign w:val="center"/>
          </w:tcPr>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招募文件</w:t>
            </w:r>
            <w:r>
              <w:rPr>
                <w:rFonts w:ascii="宋体" w:hAnsi="宋体" w:cs="宋体"/>
                <w:szCs w:val="21"/>
              </w:rPr>
              <w:t>中标识“</w:t>
            </w:r>
            <w:r>
              <w:rPr>
                <w:rFonts w:hint="eastAsia" w:ascii="宋体" w:hAnsi="宋体"/>
                <w:szCs w:val="21"/>
              </w:rPr>
              <w:t>★</w:t>
            </w:r>
            <w:r>
              <w:rPr>
                <w:rFonts w:hint="eastAsia" w:ascii="宋体" w:hAnsi="宋体" w:cs="宋体"/>
                <w:szCs w:val="21"/>
              </w:rPr>
              <w:t>”的条款，均为实质性条款，投标人任何不满足实质性条款的投标或负偏离均将被否决。</w:t>
            </w:r>
          </w:p>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2）非实质性要求的偏离要求：</w:t>
            </w:r>
            <w:r>
              <w:rPr>
                <w:rFonts w:hint="eastAsia" w:ascii="宋体" w:hAnsi="宋体"/>
              </w:rPr>
              <w:t>允许偏差的最大范围</w:t>
            </w:r>
            <w:r>
              <w:rPr>
                <w:rFonts w:ascii="宋体" w:hAnsi="宋体"/>
                <w:u w:val="single"/>
              </w:rPr>
              <w:t>/</w:t>
            </w:r>
            <w:r>
              <w:rPr>
                <w:rFonts w:hint="eastAsia" w:ascii="宋体" w:hAnsi="宋体"/>
              </w:rPr>
              <w:t>、最高项数</w:t>
            </w:r>
            <w:r>
              <w:rPr>
                <w:rFonts w:ascii="宋体" w:hAnsi="宋体"/>
                <w:u w:val="single"/>
              </w:rPr>
              <w:t>/</w:t>
            </w:r>
            <w:r>
              <w:rPr>
                <w:rFonts w:hint="eastAsia" w:ascii="宋体" w:hAnsi="宋体"/>
              </w:rPr>
              <w:t>，超出最大范围、最高项数视为重大偏离，</w:t>
            </w:r>
            <w:r>
              <w:rPr>
                <w:rFonts w:hint="eastAsia" w:ascii="宋体" w:hAnsi="宋体" w:cs="宋体"/>
                <w:szCs w:val="21"/>
              </w:rPr>
              <w:t>将被否决投标</w:t>
            </w:r>
            <w:r>
              <w:rPr>
                <w:rFonts w:hint="eastAsia" w:ascii="宋体" w:hAnsi="宋体"/>
              </w:rPr>
              <w:t>。调整偏差的方法</w:t>
            </w:r>
            <w:r>
              <w:rPr>
                <w:rFonts w:ascii="宋体" w:hAnsi="宋体"/>
                <w:u w:val="single"/>
              </w:rPr>
              <w:t>/</w:t>
            </w:r>
            <w:r>
              <w:rPr>
                <w:rFonts w:ascii="宋体" w:hAnsi="宋体"/>
              </w:rPr>
              <w:t xml:space="preserve"> [如无要求标“/”]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2.1.4</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是否以单项报价核定低于成本</w:t>
            </w:r>
          </w:p>
        </w:tc>
        <w:tc>
          <w:tcPr>
            <w:tcW w:w="5922" w:type="dxa"/>
            <w:shd w:val="clear" w:color="auto" w:fill="auto"/>
            <w:vAlign w:val="center"/>
          </w:tcPr>
          <w:p>
            <w:pPr>
              <w:autoSpaceDE w:val="0"/>
              <w:autoSpaceDN w:val="0"/>
              <w:rPr>
                <w:rFonts w:ascii="宋体" w:hAnsi="宋体" w:cs="宋体"/>
                <w:szCs w:val="21"/>
              </w:rPr>
            </w:pPr>
            <w:r>
              <w:rPr>
                <w:rFonts w:hint="eastAsia" w:ascii="宋体" w:hAnsi="宋体" w:cs="宋体"/>
                <w:szCs w:val="21"/>
              </w:rPr>
              <w:t>本项目不涉及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2.2.1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踏勘现场</w:t>
            </w:r>
          </w:p>
        </w:tc>
        <w:tc>
          <w:tcPr>
            <w:tcW w:w="5922" w:type="dxa"/>
            <w:shd w:val="clear" w:color="auto" w:fill="auto"/>
            <w:vAlign w:val="center"/>
          </w:tcPr>
          <w:p>
            <w:pPr>
              <w:autoSpaceDE w:val="0"/>
              <w:autoSpaceDN w:val="0"/>
              <w:rPr>
                <w:rFonts w:ascii="宋体" w:hAnsi="宋体" w:cs="宋体"/>
                <w:szCs w:val="21"/>
              </w:rPr>
            </w:pPr>
            <w:r>
              <w:rPr>
                <w:rFonts w:hint="eastAsia" w:ascii="宋体" w:hAnsi="宋体" w:cs="宋体"/>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2.3</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投标预备会</w:t>
            </w:r>
          </w:p>
        </w:tc>
        <w:tc>
          <w:tcPr>
            <w:tcW w:w="5922" w:type="dxa"/>
            <w:shd w:val="clear" w:color="auto" w:fill="auto"/>
            <w:vAlign w:val="center"/>
          </w:tcPr>
          <w:p>
            <w:pPr>
              <w:autoSpaceDE w:val="0"/>
              <w:autoSpaceDN w:val="0"/>
              <w:rPr>
                <w:rFonts w:ascii="宋体" w:hAnsi="宋体" w:cs="宋体"/>
                <w:szCs w:val="21"/>
              </w:rPr>
            </w:pPr>
            <w:r>
              <w:rPr>
                <w:rFonts w:hint="eastAsia" w:ascii="宋体" w:hAnsi="宋体" w:cs="宋体"/>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2.4.1</w:t>
            </w:r>
          </w:p>
        </w:tc>
        <w:tc>
          <w:tcPr>
            <w:tcW w:w="1666" w:type="dxa"/>
            <w:shd w:val="clear" w:color="auto" w:fill="auto"/>
            <w:vAlign w:val="center"/>
          </w:tcPr>
          <w:p>
            <w:pPr>
              <w:autoSpaceDE w:val="0"/>
              <w:autoSpaceDN w:val="0"/>
              <w:rPr>
                <w:rFonts w:ascii="宋体" w:hAnsi="宋体" w:cs="宋体"/>
                <w:szCs w:val="21"/>
              </w:rPr>
            </w:pPr>
            <w:r>
              <w:rPr>
                <w:rFonts w:hint="eastAsia"/>
              </w:rPr>
              <w:t>投标人提出澄清问题的截止时间和方式</w:t>
            </w:r>
          </w:p>
        </w:tc>
        <w:tc>
          <w:tcPr>
            <w:tcW w:w="5922" w:type="dxa"/>
            <w:shd w:val="clear" w:color="auto" w:fill="auto"/>
            <w:vAlign w:val="center"/>
          </w:tcPr>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1）截止时间：</w:t>
            </w:r>
            <w:r>
              <w:rPr>
                <w:rFonts w:hint="eastAsia" w:ascii="宋体" w:hAnsi="宋体" w:cs="宋体"/>
                <w:szCs w:val="21"/>
                <w:u w:val="single"/>
              </w:rPr>
              <w:t>投标截止之日前15日。</w:t>
            </w:r>
          </w:p>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2）提出澄清的方式：通过邮件方式提出澄清疑问（澄清问题接收邮箱：</w:t>
            </w:r>
            <w:r>
              <w:rPr>
                <w:rFonts w:hint="eastAsia" w:ascii="宋体" w:hAnsi="宋体"/>
                <w:szCs w:val="21"/>
                <w:u w:val="single"/>
              </w:rPr>
              <w:t>13570220155</w:t>
            </w:r>
            <w:r>
              <w:rPr>
                <w:rFonts w:ascii="宋体" w:hAnsi="宋体"/>
                <w:szCs w:val="21"/>
                <w:u w:val="single"/>
              </w:rPr>
              <w:t>@139.com</w:t>
            </w:r>
            <w:r>
              <w:rPr>
                <w:rFonts w:hint="eastAsia" w:ascii="宋体" w:hAnsi="宋体" w:cs="宋体"/>
                <w:szCs w:val="21"/>
              </w:rPr>
              <w:t>），并将纸质版疑问文件盖章，经扫描后与疑问文件电子版（须为可编辑的</w:t>
            </w:r>
            <w:r>
              <w:rPr>
                <w:rFonts w:ascii="宋体" w:hAnsi="宋体" w:cs="宋体"/>
                <w:szCs w:val="21"/>
              </w:rPr>
              <w:t>WORD文档）一起以附件形式上传，如正文内容与盖章扫描件内容不一致的，以盖章扫描件内容为准。</w:t>
            </w:r>
          </w:p>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招募文件</w:t>
            </w:r>
            <w:r>
              <w:rPr>
                <w:rFonts w:ascii="宋体" w:hAnsi="宋体" w:cs="宋体"/>
                <w:szCs w:val="21"/>
              </w:rPr>
              <w:t>异议：潜在投标人或者其他利害关系人对</w:t>
            </w:r>
            <w:r>
              <w:rPr>
                <w:rFonts w:hint="eastAsia" w:ascii="宋体" w:hAnsi="宋体" w:cs="宋体"/>
                <w:szCs w:val="21"/>
              </w:rPr>
              <w:t>招募文件</w:t>
            </w:r>
            <w:r>
              <w:rPr>
                <w:rFonts w:ascii="宋体" w:hAnsi="宋体" w:cs="宋体"/>
                <w:szCs w:val="21"/>
              </w:rPr>
              <w:t>有异议的，应当在提交投标</w:t>
            </w:r>
            <w:r>
              <w:rPr>
                <w:rFonts w:hint="eastAsia" w:ascii="宋体" w:hAnsi="宋体" w:cs="宋体"/>
                <w:szCs w:val="21"/>
              </w:rPr>
              <w:t>申请</w:t>
            </w:r>
            <w:r>
              <w:rPr>
                <w:rFonts w:ascii="宋体" w:hAnsi="宋体" w:cs="宋体"/>
                <w:szCs w:val="21"/>
              </w:rPr>
              <w:t>文件截止时间10日前提出。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2.4.2</w:t>
            </w:r>
          </w:p>
        </w:tc>
        <w:tc>
          <w:tcPr>
            <w:tcW w:w="1666" w:type="dxa"/>
            <w:shd w:val="clear" w:color="auto" w:fill="auto"/>
            <w:vAlign w:val="center"/>
          </w:tcPr>
          <w:p>
            <w:pPr>
              <w:spacing w:line="276" w:lineRule="auto"/>
              <w:rPr>
                <w:rFonts w:ascii="宋体" w:hAnsi="宋体" w:cs="宋体"/>
                <w:szCs w:val="21"/>
              </w:rPr>
            </w:pPr>
            <w:r>
              <w:rPr>
                <w:rFonts w:hint="eastAsia"/>
              </w:rPr>
              <w:t>招标人发出招募文件澄清或者修改的截止时间和方式</w:t>
            </w:r>
          </w:p>
        </w:tc>
        <w:tc>
          <w:tcPr>
            <w:tcW w:w="5922" w:type="dxa"/>
            <w:shd w:val="clear" w:color="auto" w:fill="auto"/>
            <w:vAlign w:val="center"/>
          </w:tcPr>
          <w:p>
            <w:pPr>
              <w:spacing w:line="276" w:lineRule="auto"/>
            </w:pPr>
            <w:r>
              <w:rPr>
                <w:rFonts w:hint="eastAsia"/>
              </w:rPr>
              <w:t>（</w:t>
            </w:r>
            <w:r>
              <w:t>1</w:t>
            </w:r>
            <w:r>
              <w:rPr>
                <w:rFonts w:hint="eastAsia"/>
              </w:rPr>
              <w:t>）如果招募文件澄清或者修改</w:t>
            </w:r>
            <w:r>
              <w:rPr>
                <w:rFonts w:hint="eastAsia" w:ascii="宋体" w:hAnsi="宋体" w:cs="宋体"/>
                <w:szCs w:val="21"/>
              </w:rPr>
              <w:t>影响投标申请文件编制的，应当在</w:t>
            </w:r>
            <w:r>
              <w:rPr>
                <w:rFonts w:hint="eastAsia"/>
              </w:rPr>
              <w:t>招募文件要求提交</w:t>
            </w:r>
            <w:r>
              <w:rPr>
                <w:rFonts w:hint="eastAsia" w:ascii="宋体" w:hAnsi="宋体" w:cs="宋体"/>
                <w:szCs w:val="21"/>
              </w:rPr>
              <w:t>投标申请文件</w:t>
            </w:r>
            <w:r>
              <w:rPr>
                <w:rFonts w:hint="eastAsia"/>
              </w:rPr>
              <w:t>截止时间至少十五日前，以书面形式通知所有投标人。</w:t>
            </w:r>
          </w:p>
          <w:p>
            <w:pPr>
              <w:spacing w:line="276" w:lineRule="auto"/>
              <w:rPr>
                <w:rFonts w:ascii="宋体" w:hAnsi="宋体" w:cs="宋体"/>
                <w:szCs w:val="21"/>
              </w:rPr>
            </w:pPr>
            <w:r>
              <w:rPr>
                <w:rFonts w:hint="eastAsia"/>
              </w:rPr>
              <w:t>（</w:t>
            </w:r>
            <w:r>
              <w:t>2</w:t>
            </w:r>
            <w:r>
              <w:rPr>
                <w:rFonts w:hint="eastAsia"/>
              </w:rPr>
              <w:t>）发出招募文件澄清或者修改的方式：通过</w:t>
            </w:r>
            <w:r>
              <w:rPr>
                <w:rFonts w:hint="eastAsia" w:ascii="宋体" w:hAnsi="宋体" w:cs="宋体"/>
                <w:szCs w:val="21"/>
              </w:rPr>
              <w:t>邮件方式</w:t>
            </w:r>
            <w:r>
              <w:rPr>
                <w:rFonts w:hint="eastAsia"/>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投标申请文件组成</w:t>
            </w:r>
          </w:p>
        </w:tc>
        <w:tc>
          <w:tcPr>
            <w:tcW w:w="5922"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投标申请文件必须按照以下顺序编制：详见</w:t>
            </w:r>
            <w:r>
              <w:rPr>
                <w:rFonts w:hint="eastAsia" w:ascii="宋体" w:hAnsi="宋体"/>
                <w:szCs w:val="21"/>
              </w:rPr>
              <w:t>第六章投标申请文件格式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3.2.2</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投标申请文件投标和编写</w:t>
            </w:r>
          </w:p>
        </w:tc>
        <w:tc>
          <w:tcPr>
            <w:tcW w:w="5922" w:type="dxa"/>
            <w:shd w:val="clear" w:color="auto" w:fill="auto"/>
            <w:vAlign w:val="center"/>
          </w:tcPr>
          <w:p>
            <w:pPr>
              <w:autoSpaceDE w:val="0"/>
              <w:autoSpaceDN w:val="0"/>
              <w:rPr>
                <w:rFonts w:ascii="宋体" w:hAnsi="宋体"/>
              </w:rPr>
            </w:pPr>
            <w:r>
              <w:rPr>
                <w:rFonts w:hint="eastAsia" w:ascii="宋体" w:hAnsi="宋体" w:cs="宋体"/>
                <w:szCs w:val="21"/>
              </w:rPr>
              <w:t>投标申请文件</w:t>
            </w:r>
            <w:r>
              <w:rPr>
                <w:rFonts w:hint="eastAsia" w:ascii="宋体" w:hAnsi="宋体"/>
              </w:rPr>
              <w:t>投标和编写的具体要求如下：</w:t>
            </w:r>
          </w:p>
          <w:p>
            <w:pPr>
              <w:autoSpaceDE w:val="0"/>
              <w:autoSpaceDN w:val="0"/>
              <w:rPr>
                <w:rFonts w:ascii="宋体" w:hAnsi="宋体" w:cs="宋体"/>
                <w:szCs w:val="21"/>
              </w:rPr>
            </w:pPr>
            <w:r>
              <w:rPr>
                <w:rFonts w:hint="eastAsia" w:ascii="宋体" w:hAnsi="宋体" w:cs="宋体"/>
                <w:szCs w:val="21"/>
              </w:rPr>
              <w:t>投标人应针</w:t>
            </w:r>
            <w:r>
              <w:rPr>
                <w:rFonts w:ascii="宋体" w:hAnsi="宋体" w:cs="宋体"/>
                <w:szCs w:val="21"/>
              </w:rPr>
              <w:t>对</w:t>
            </w:r>
            <w:r>
              <w:rPr>
                <w:rFonts w:hint="eastAsia" w:ascii="宋体" w:hAnsi="宋体" w:cs="宋体"/>
                <w:szCs w:val="21"/>
              </w:rPr>
              <w:t>招募文件</w:t>
            </w:r>
            <w:r>
              <w:rPr>
                <w:rFonts w:ascii="宋体" w:hAnsi="宋体" w:cs="宋体"/>
                <w:szCs w:val="21"/>
              </w:rPr>
              <w:t>中的</w:t>
            </w:r>
            <w:r>
              <w:rPr>
                <w:rFonts w:hint="eastAsia" w:ascii="宋体" w:hAnsi="宋体" w:cs="宋体"/>
                <w:szCs w:val="21"/>
              </w:rPr>
              <w:t>第四章</w:t>
            </w:r>
            <w:r>
              <w:rPr>
                <w:rFonts w:ascii="宋体" w:hAnsi="宋体" w:cs="宋体"/>
                <w:szCs w:val="21"/>
              </w:rPr>
              <w:t>“</w:t>
            </w:r>
            <w:r>
              <w:rPr>
                <w:rFonts w:hint="eastAsia" w:ascii="宋体" w:hAnsi="宋体" w:cs="宋体"/>
                <w:szCs w:val="21"/>
              </w:rPr>
              <w:t>合同</w:t>
            </w:r>
            <w:r>
              <w:rPr>
                <w:rFonts w:hint="default" w:ascii="宋体" w:hAnsi="宋体" w:cs="宋体"/>
                <w:szCs w:val="21"/>
              </w:rPr>
              <w:t>条款</w:t>
            </w:r>
            <w:r>
              <w:rPr>
                <w:rFonts w:ascii="宋体" w:hAnsi="宋体" w:cs="宋体"/>
                <w:szCs w:val="21"/>
              </w:rPr>
              <w:t>”</w:t>
            </w:r>
            <w:r>
              <w:rPr>
                <w:rFonts w:hint="eastAsia" w:ascii="宋体" w:hAnsi="宋体" w:cs="宋体"/>
                <w:szCs w:val="21"/>
              </w:rPr>
              <w:t>和第五章“采购需求书”填写偏离表。无偏离表的将</w:t>
            </w:r>
            <w:r>
              <w:rPr>
                <w:rFonts w:ascii="宋体" w:hAnsi="宋体" w:cs="宋体"/>
                <w:szCs w:val="21"/>
              </w:rPr>
              <w:t>导致其</w:t>
            </w:r>
            <w:r>
              <w:rPr>
                <w:rFonts w:hint="eastAsia" w:ascii="宋体" w:hAnsi="宋体" w:cs="宋体"/>
                <w:szCs w:val="21"/>
              </w:rPr>
              <w:t>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3.2.4</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投标申请文件的盖章或者签字</w:t>
            </w:r>
          </w:p>
        </w:tc>
        <w:tc>
          <w:tcPr>
            <w:tcW w:w="5922" w:type="dxa"/>
            <w:shd w:val="clear" w:color="auto" w:fill="auto"/>
            <w:vAlign w:val="center"/>
          </w:tcPr>
          <w:p>
            <w:pPr>
              <w:rPr>
                <w:rFonts w:ascii="宋体" w:hAnsi="宋体"/>
                <w:szCs w:val="21"/>
              </w:rPr>
            </w:pPr>
            <w:r>
              <w:rPr>
                <w:rFonts w:hint="eastAsia" w:ascii="宋体" w:hAnsi="宋体" w:cs="宋体"/>
                <w:szCs w:val="21"/>
              </w:rPr>
              <w:t>投标申请文件</w:t>
            </w:r>
            <w:r>
              <w:rPr>
                <w:rFonts w:hint="eastAsia" w:ascii="宋体" w:hAnsi="宋体"/>
                <w:szCs w:val="21"/>
              </w:rPr>
              <w:t>中凡出现投标人单位落款的地方应盖单位公章，如使用依照国家行政部门要求已备案的投标专用章、业务专用章的，应提供所使用印章的合法备案证明（复印件需加盖公章）。同时投标申请文件签字盖章必须符合以下其中一种：</w:t>
            </w:r>
          </w:p>
          <w:p>
            <w:pPr>
              <w:rPr>
                <w:rFonts w:ascii="宋体" w:hAnsi="宋体"/>
                <w:szCs w:val="21"/>
              </w:rPr>
            </w:pPr>
            <w:r>
              <w:rPr>
                <w:rFonts w:ascii="宋体" w:hAnsi="宋体"/>
                <w:szCs w:val="21"/>
              </w:rPr>
              <w:t>1)</w:t>
            </w:r>
            <w:r>
              <w:rPr>
                <w:rFonts w:ascii="宋体" w:hAnsi="宋体"/>
                <w:szCs w:val="21"/>
              </w:rPr>
              <w:tab/>
            </w:r>
            <w:r>
              <w:rPr>
                <w:rFonts w:hint="eastAsia" w:ascii="宋体" w:hAnsi="宋体"/>
                <w:szCs w:val="21"/>
              </w:rPr>
              <w:t>投标人的法定代表人（负责人）或其授权的代理人逐页签字或加盖签字章；</w:t>
            </w:r>
          </w:p>
          <w:p>
            <w:pPr>
              <w:rPr>
                <w:rFonts w:ascii="宋体" w:hAnsi="宋体"/>
                <w:szCs w:val="21"/>
              </w:rPr>
            </w:pPr>
            <w:r>
              <w:rPr>
                <w:rFonts w:ascii="宋体" w:hAnsi="宋体"/>
                <w:szCs w:val="21"/>
              </w:rPr>
              <w:t>2)</w:t>
            </w:r>
            <w:r>
              <w:rPr>
                <w:rFonts w:ascii="宋体" w:hAnsi="宋体"/>
                <w:szCs w:val="21"/>
              </w:rPr>
              <w:tab/>
            </w:r>
            <w:r>
              <w:rPr>
                <w:rFonts w:hint="eastAsia" w:ascii="宋体" w:hAnsi="宋体"/>
                <w:szCs w:val="21"/>
              </w:rPr>
              <w:t>加盖投标人单位骑缝章；</w:t>
            </w:r>
          </w:p>
          <w:p>
            <w:pPr>
              <w:autoSpaceDE w:val="0"/>
              <w:autoSpaceDN w:val="0"/>
              <w:rPr>
                <w:rFonts w:ascii="宋体" w:hAnsi="宋体" w:cs="宋体"/>
                <w:szCs w:val="21"/>
              </w:rPr>
            </w:pPr>
            <w:r>
              <w:rPr>
                <w:rFonts w:ascii="宋体" w:hAnsi="宋体"/>
                <w:szCs w:val="21"/>
              </w:rPr>
              <w:t>3)</w:t>
            </w:r>
            <w:r>
              <w:rPr>
                <w:rFonts w:ascii="宋体" w:hAnsi="宋体"/>
                <w:szCs w:val="21"/>
              </w:rPr>
              <w:tab/>
            </w:r>
            <w:r>
              <w:rPr>
                <w:rFonts w:hint="eastAsia" w:ascii="宋体" w:hAnsi="宋体"/>
                <w:szCs w:val="21"/>
              </w:rPr>
              <w:t>逐页加盖投标人单位印章。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3.3.3</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rPr>
              <w:t>最高投标限价或者其计算方法</w:t>
            </w:r>
          </w:p>
        </w:tc>
        <w:tc>
          <w:tcPr>
            <w:tcW w:w="5922" w:type="dxa"/>
            <w:shd w:val="clear" w:color="auto" w:fill="auto"/>
            <w:vAlign w:val="center"/>
          </w:tcPr>
          <w:p>
            <w:pPr>
              <w:autoSpaceDE w:val="0"/>
              <w:autoSpaceDN w:val="0"/>
              <w:jc w:val="left"/>
              <w:rPr>
                <w:rFonts w:ascii="宋体" w:hAnsi="宋体"/>
                <w:szCs w:val="21"/>
                <w:highlight w:val="yellow"/>
              </w:rPr>
            </w:pPr>
            <w:r>
              <w:rPr>
                <w:rFonts w:hint="eastAsia" w:ascii="宋体" w:hAnsi="宋体" w:cs="宋体"/>
                <w:szCs w:val="21"/>
              </w:rPr>
              <w:t>本项目不涉及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3.3.5</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投标报价</w:t>
            </w:r>
            <w:r>
              <w:rPr>
                <w:rFonts w:hint="eastAsia" w:ascii="宋体" w:hAnsi="宋体"/>
              </w:rPr>
              <w:t>优惠条件</w:t>
            </w:r>
          </w:p>
        </w:tc>
        <w:tc>
          <w:tcPr>
            <w:tcW w:w="5922" w:type="dxa"/>
            <w:shd w:val="clear" w:color="auto" w:fill="auto"/>
            <w:vAlign w:val="center"/>
          </w:tcPr>
          <w:p>
            <w:pPr>
              <w:autoSpaceDE w:val="0"/>
              <w:autoSpaceDN w:val="0"/>
              <w:rPr>
                <w:rFonts w:ascii="宋体" w:hAnsi="宋体" w:cs="宋体"/>
                <w:szCs w:val="21"/>
                <w:highlight w:val="yellow"/>
                <w:u w:val="single"/>
              </w:rPr>
            </w:pPr>
            <w:r>
              <w:rPr>
                <w:rFonts w:hint="eastAsia" w:ascii="宋体" w:hAnsi="宋体" w:cs="宋体"/>
                <w:szCs w:val="21"/>
              </w:rPr>
              <w:t>本项目不涉及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3.3.6</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投标报价具体要求</w:t>
            </w:r>
          </w:p>
        </w:tc>
        <w:tc>
          <w:tcPr>
            <w:tcW w:w="5922" w:type="dxa"/>
            <w:shd w:val="clear" w:color="auto" w:fill="auto"/>
            <w:vAlign w:val="center"/>
          </w:tcPr>
          <w:p>
            <w:pPr>
              <w:autoSpaceDE w:val="0"/>
              <w:autoSpaceDN w:val="0"/>
              <w:rPr>
                <w:rFonts w:ascii="宋体" w:hAnsi="宋体" w:cs="宋体"/>
                <w:szCs w:val="21"/>
              </w:rPr>
            </w:pPr>
            <w:r>
              <w:rPr>
                <w:rFonts w:hint="eastAsia" w:ascii="宋体" w:hAnsi="宋体" w:cs="宋体"/>
                <w:szCs w:val="21"/>
              </w:rPr>
              <w:t>本项目不涉及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3.4.1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投标有效期</w:t>
            </w:r>
          </w:p>
        </w:tc>
        <w:tc>
          <w:tcPr>
            <w:tcW w:w="5922"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3.5.1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投标保证金金额</w:t>
            </w:r>
          </w:p>
        </w:tc>
        <w:tc>
          <w:tcPr>
            <w:tcW w:w="5922" w:type="dxa"/>
            <w:shd w:val="clear" w:color="auto" w:fill="auto"/>
            <w:vAlign w:val="center"/>
          </w:tcPr>
          <w:p>
            <w:pPr>
              <w:numPr>
                <w:ilvl w:val="0"/>
                <w:numId w:val="2"/>
              </w:numPr>
              <w:ind w:left="0" w:firstLine="0"/>
              <w:rPr>
                <w:rFonts w:ascii="宋体" w:hAnsi="宋体"/>
                <w:szCs w:val="21"/>
                <w:u w:val="single"/>
              </w:rPr>
            </w:pPr>
            <w:r>
              <w:rPr>
                <w:rFonts w:hint="eastAsia" w:ascii="宋体" w:hAnsi="宋体"/>
                <w:szCs w:val="21"/>
              </w:rPr>
              <w:t>要求递交投标保证金，投标保证金的</w:t>
            </w:r>
            <w:r>
              <w:rPr>
                <w:rFonts w:ascii="宋体" w:hAnsi="宋体"/>
                <w:szCs w:val="21"/>
              </w:rPr>
              <w:t>金额：</w:t>
            </w:r>
            <w:r>
              <w:rPr>
                <w:rFonts w:hint="eastAsia" w:ascii="宋体" w:hAnsi="宋体"/>
                <w:szCs w:val="21"/>
              </w:rPr>
              <w:t>人民币</w:t>
            </w:r>
            <w:r>
              <w:rPr>
                <w:rFonts w:hint="eastAsia" w:ascii="宋体" w:hAnsi="宋体"/>
                <w:b/>
                <w:bCs/>
                <w:szCs w:val="21"/>
                <w:u w:val="single"/>
              </w:rPr>
              <w:t>5</w:t>
            </w:r>
            <w:r>
              <w:rPr>
                <w:rFonts w:ascii="宋体" w:hAnsi="宋体"/>
                <w:b/>
                <w:szCs w:val="21"/>
                <w:u w:val="single"/>
              </w:rPr>
              <w:t>000.00元</w:t>
            </w:r>
            <w:r>
              <w:rPr>
                <w:rFonts w:hint="eastAsia" w:ascii="宋体" w:hAnsi="宋体"/>
                <w:szCs w:val="21"/>
              </w:rPr>
              <w:t>。</w:t>
            </w:r>
          </w:p>
          <w:p>
            <w:pPr>
              <w:numPr>
                <w:ilvl w:val="0"/>
                <w:numId w:val="2"/>
              </w:numPr>
              <w:rPr>
                <w:rFonts w:ascii="宋体" w:hAnsi="宋体"/>
                <w:szCs w:val="21"/>
                <w:u w:val="single"/>
              </w:rPr>
            </w:pPr>
            <w:r>
              <w:rPr>
                <w:rFonts w:hint="eastAsia" w:ascii="宋体" w:hAnsi="宋体"/>
                <w:szCs w:val="21"/>
              </w:rPr>
              <w:t>投标保证金的</w:t>
            </w:r>
            <w:r>
              <w:rPr>
                <w:rFonts w:ascii="宋体" w:hAnsi="宋体"/>
                <w:szCs w:val="21"/>
              </w:rPr>
              <w:t>形式：</w:t>
            </w:r>
            <w:r>
              <w:rPr>
                <w:rFonts w:hint="eastAsia" w:ascii="宋体" w:hAnsi="宋体"/>
                <w:szCs w:val="21"/>
              </w:rPr>
              <w:t>银行电汇（凭证的备注栏须注明招标项目名称</w:t>
            </w:r>
            <w:r>
              <w:rPr>
                <w:rFonts w:ascii="宋体" w:hAnsi="宋体"/>
                <w:szCs w:val="21"/>
              </w:rPr>
              <w:t>+公司名称简写+投标保证金）</w:t>
            </w:r>
          </w:p>
          <w:p>
            <w:pPr>
              <w:rPr>
                <w:rFonts w:ascii="宋体" w:hAnsi="宋体"/>
                <w:szCs w:val="21"/>
              </w:rPr>
            </w:pPr>
            <w:r>
              <w:rPr>
                <w:rFonts w:hint="eastAsia" w:ascii="宋体" w:hAnsi="宋体"/>
                <w:szCs w:val="21"/>
              </w:rPr>
              <w:t>以电汇形式提交的，提交的投标保证金应当从投标人公司账户转出。</w:t>
            </w:r>
          </w:p>
          <w:p>
            <w:pPr>
              <w:numPr>
                <w:ilvl w:val="0"/>
                <w:numId w:val="2"/>
              </w:numPr>
              <w:rPr>
                <w:rFonts w:ascii="宋体" w:hAnsi="宋体"/>
                <w:szCs w:val="21"/>
              </w:rPr>
            </w:pPr>
            <w:r>
              <w:rPr>
                <w:rFonts w:ascii="宋体" w:hAnsi="宋体"/>
                <w:szCs w:val="21"/>
              </w:rPr>
              <w:t>投标保证金有效期与投标有效期一致。</w:t>
            </w:r>
          </w:p>
          <w:p>
            <w:pPr>
              <w:numPr>
                <w:ilvl w:val="0"/>
                <w:numId w:val="2"/>
              </w:numPr>
              <w:rPr>
                <w:rFonts w:ascii="宋体" w:hAnsi="宋体"/>
                <w:szCs w:val="21"/>
              </w:rPr>
            </w:pPr>
            <w:r>
              <w:rPr>
                <w:rFonts w:hint="eastAsia" w:ascii="宋体" w:hAnsi="宋体"/>
                <w:szCs w:val="21"/>
              </w:rPr>
              <w:t>提交投标保证金帐户信息：</w:t>
            </w:r>
          </w:p>
          <w:p>
            <w:pPr>
              <w:autoSpaceDE w:val="0"/>
              <w:autoSpaceDN w:val="0"/>
              <w:jc w:val="left"/>
              <w:rPr>
                <w:rFonts w:ascii="宋体" w:hAnsi="宋体" w:cs="宋体"/>
                <w:szCs w:val="21"/>
              </w:rPr>
            </w:pPr>
            <w:r>
              <w:rPr>
                <w:rFonts w:hint="eastAsia" w:ascii="宋体" w:hAnsi="宋体" w:cs="宋体"/>
                <w:szCs w:val="21"/>
              </w:rPr>
              <w:t>缴纳投标保证金账户信息：</w:t>
            </w:r>
          </w:p>
          <w:p>
            <w:pPr>
              <w:autoSpaceDE w:val="0"/>
              <w:autoSpaceDN w:val="0"/>
              <w:jc w:val="left"/>
              <w:rPr>
                <w:rFonts w:ascii="宋体" w:hAnsi="宋体" w:cs="宋体"/>
                <w:szCs w:val="21"/>
              </w:rPr>
            </w:pPr>
            <w:r>
              <w:rPr>
                <w:rFonts w:hint="eastAsia" w:ascii="宋体" w:hAnsi="宋体" w:cs="宋体"/>
                <w:szCs w:val="21"/>
              </w:rPr>
              <w:t xml:space="preserve">账户名称： 中通服咨询设计研究院有限公司 </w:t>
            </w:r>
          </w:p>
          <w:p>
            <w:pPr>
              <w:autoSpaceDE w:val="0"/>
              <w:autoSpaceDN w:val="0"/>
              <w:jc w:val="left"/>
              <w:rPr>
                <w:rFonts w:ascii="宋体" w:hAnsi="宋体" w:cs="宋体"/>
                <w:szCs w:val="21"/>
              </w:rPr>
            </w:pPr>
            <w:r>
              <w:rPr>
                <w:rFonts w:hint="eastAsia" w:ascii="宋体" w:hAnsi="宋体" w:cs="宋体"/>
                <w:szCs w:val="21"/>
              </w:rPr>
              <w:t xml:space="preserve">账号： 12590209571010300012  </w:t>
            </w:r>
          </w:p>
          <w:p>
            <w:pPr>
              <w:autoSpaceDE w:val="0"/>
              <w:autoSpaceDN w:val="0"/>
              <w:jc w:val="left"/>
              <w:rPr>
                <w:rFonts w:ascii="宋体" w:hAnsi="宋体" w:cs="宋体"/>
                <w:szCs w:val="21"/>
              </w:rPr>
            </w:pPr>
            <w:r>
              <w:rPr>
                <w:rFonts w:hint="eastAsia" w:ascii="宋体" w:hAnsi="宋体" w:cs="宋体"/>
                <w:szCs w:val="21"/>
              </w:rPr>
              <w:t>开户银行： 招商银行南京分行城北支行</w:t>
            </w:r>
          </w:p>
          <w:p>
            <w:pPr>
              <w:autoSpaceDE w:val="0"/>
              <w:autoSpaceDN w:val="0"/>
              <w:jc w:val="left"/>
              <w:rPr>
                <w:rFonts w:ascii="宋体" w:hAnsi="宋体" w:cs="宋体"/>
                <w:szCs w:val="21"/>
              </w:rPr>
            </w:pPr>
            <w:r>
              <w:rPr>
                <w:rFonts w:hint="eastAsia" w:ascii="宋体" w:hAnsi="宋体" w:cs="宋体"/>
                <w:szCs w:val="21"/>
              </w:rPr>
              <w:t>缴纳时需备注“XXX公司+XXX项目投标保证金”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3.5.2</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投标保证金形式</w:t>
            </w:r>
          </w:p>
        </w:tc>
        <w:tc>
          <w:tcPr>
            <w:tcW w:w="5922"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投标保证金形式：银行电汇</w:t>
            </w:r>
          </w:p>
          <w:p>
            <w:pPr>
              <w:autoSpaceDE w:val="0"/>
              <w:autoSpaceDN w:val="0"/>
              <w:rPr>
                <w:rFonts w:ascii="宋体" w:hAnsi="宋体" w:cs="宋体"/>
                <w:szCs w:val="21"/>
              </w:rPr>
            </w:pPr>
            <w:r>
              <w:rPr>
                <w:rFonts w:hint="eastAsia" w:ascii="宋体" w:hAnsi="宋体" w:cs="宋体"/>
                <w:szCs w:val="21"/>
              </w:rPr>
              <w:t>投标保证金有效期与投标有效期一致。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3.5.4</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投标保证金不予退还的其他规定</w:t>
            </w:r>
          </w:p>
        </w:tc>
        <w:tc>
          <w:tcPr>
            <w:tcW w:w="5922" w:type="dxa"/>
            <w:shd w:val="clear" w:color="auto" w:fill="auto"/>
            <w:vAlign w:val="center"/>
          </w:tcPr>
          <w:p>
            <w:pPr>
              <w:autoSpaceDE w:val="0"/>
              <w:autoSpaceDN w:val="0"/>
              <w:jc w:val="left"/>
              <w:rPr>
                <w:rFonts w:ascii="宋体" w:hAnsi="宋体" w:cs="宋体"/>
                <w:szCs w:val="21"/>
              </w:rPr>
            </w:pPr>
            <w:r>
              <w:rPr>
                <w:rFonts w:hint="eastAsia" w:ascii="宋体" w:hAnsi="宋体" w:cs="宋体"/>
                <w:szCs w:val="21"/>
              </w:rPr>
              <w:t>有下列情形之一的，投标保证金将不予退还：</w:t>
            </w:r>
            <w:r>
              <w:rPr>
                <w:rFonts w:ascii="宋体" w:hAnsi="宋体" w:cs="宋体"/>
                <w:szCs w:val="21"/>
              </w:rPr>
              <w:t xml:space="preserve"> </w:t>
            </w:r>
          </w:p>
          <w:p>
            <w:pPr>
              <w:autoSpaceDE w:val="0"/>
              <w:autoSpaceDN w:val="0"/>
              <w:jc w:val="left"/>
              <w:rPr>
                <w:rFonts w:ascii="宋体" w:hAnsi="宋体" w:cs="宋体"/>
                <w:szCs w:val="21"/>
              </w:rPr>
            </w:pPr>
            <w:r>
              <w:rPr>
                <w:rFonts w:hint="eastAsia" w:ascii="宋体" w:hAnsi="宋体" w:cs="宋体"/>
                <w:szCs w:val="21"/>
              </w:rPr>
              <w:t>（</w:t>
            </w:r>
            <w:r>
              <w:rPr>
                <w:rFonts w:ascii="宋体" w:hAnsi="宋体" w:cs="宋体"/>
                <w:szCs w:val="21"/>
              </w:rPr>
              <w:t>1）投标人在</w:t>
            </w:r>
            <w:r>
              <w:rPr>
                <w:rFonts w:hint="eastAsia" w:ascii="宋体" w:hAnsi="宋体" w:cs="宋体"/>
                <w:szCs w:val="21"/>
              </w:rPr>
              <w:t>招募文件</w:t>
            </w:r>
            <w:r>
              <w:rPr>
                <w:rFonts w:ascii="宋体" w:hAnsi="宋体" w:cs="宋体"/>
                <w:szCs w:val="21"/>
              </w:rPr>
              <w:t xml:space="preserve">中规定的投标有效期内撤销投标的； </w:t>
            </w:r>
          </w:p>
          <w:p>
            <w:pPr>
              <w:autoSpaceDE w:val="0"/>
              <w:autoSpaceDN w:val="0"/>
              <w:jc w:val="lef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中标入围单位</w:t>
            </w:r>
            <w:r>
              <w:rPr>
                <w:rFonts w:ascii="宋体" w:hAnsi="宋体" w:cs="宋体"/>
                <w:szCs w:val="21"/>
              </w:rPr>
              <w:t>无正当理由不与招标人订立合同，或在签订合同时向招标人提出附加条件，或者不按照</w:t>
            </w:r>
            <w:r>
              <w:rPr>
                <w:rFonts w:hint="eastAsia" w:ascii="宋体" w:hAnsi="宋体" w:cs="宋体"/>
                <w:szCs w:val="21"/>
              </w:rPr>
              <w:t>招募文件</w:t>
            </w:r>
            <w:r>
              <w:rPr>
                <w:rFonts w:ascii="宋体" w:hAnsi="宋体" w:cs="宋体"/>
                <w:szCs w:val="21"/>
              </w:rPr>
              <w:t xml:space="preserve">要求递交履约保证金的； </w:t>
            </w:r>
          </w:p>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3）投标人有围标、串通投标、弄虚作假、向招标人或者</w:t>
            </w:r>
            <w:r>
              <w:rPr>
                <w:rFonts w:hint="eastAsia" w:ascii="宋体" w:hAnsi="宋体" w:cs="宋体"/>
                <w:szCs w:val="21"/>
              </w:rPr>
              <w:t>评审委员会</w:t>
            </w:r>
            <w:r>
              <w:rPr>
                <w:rFonts w:ascii="宋体" w:hAnsi="宋体" w:cs="宋体"/>
                <w:szCs w:val="21"/>
              </w:rPr>
              <w:t>成员行贿谋取中标等行为的；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3.6.1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备选投标方案</w:t>
            </w:r>
          </w:p>
        </w:tc>
        <w:tc>
          <w:tcPr>
            <w:tcW w:w="5922" w:type="dxa"/>
            <w:shd w:val="clear" w:color="auto" w:fill="auto"/>
            <w:vAlign w:val="center"/>
          </w:tcPr>
          <w:p>
            <w:pPr>
              <w:autoSpaceDE w:val="0"/>
              <w:autoSpaceDN w:val="0"/>
              <w:rPr>
                <w:rFonts w:ascii="宋体" w:hAnsi="宋体" w:cs="宋体"/>
                <w:szCs w:val="21"/>
              </w:rPr>
            </w:pPr>
            <w:r>
              <w:rPr>
                <w:rFonts w:hint="eastAsia" w:ascii="宋体" w:hAnsi="宋体" w:cs="宋体"/>
                <w:szCs w:val="21"/>
              </w:rPr>
              <w:t>■不允许</w:t>
            </w:r>
          </w:p>
          <w:p>
            <w:pPr>
              <w:autoSpaceDE w:val="0"/>
              <w:autoSpaceDN w:val="0"/>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3.7.1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投标申请文件份数</w:t>
            </w:r>
          </w:p>
        </w:tc>
        <w:tc>
          <w:tcPr>
            <w:tcW w:w="5922" w:type="dxa"/>
            <w:shd w:val="clear" w:color="auto" w:fill="auto"/>
            <w:vAlign w:val="center"/>
          </w:tcPr>
          <w:p>
            <w:pPr>
              <w:jc w:val="left"/>
              <w:rPr>
                <w:rFonts w:ascii="宋体" w:hAnsi="宋体" w:cs="宋体"/>
                <w:szCs w:val="21"/>
              </w:rPr>
            </w:pPr>
            <w:r>
              <w:rPr>
                <w:rFonts w:ascii="宋体" w:hAnsi="宋体" w:cs="宋体"/>
                <w:szCs w:val="21"/>
              </w:rPr>
              <w:t xml:space="preserve">1． </w:t>
            </w:r>
            <w:r>
              <w:rPr>
                <w:rFonts w:hint="eastAsia" w:ascii="宋体" w:hAnsi="宋体" w:cs="宋体"/>
                <w:szCs w:val="21"/>
              </w:rPr>
              <w:t>投标申请文件</w:t>
            </w:r>
            <w:r>
              <w:rPr>
                <w:rFonts w:ascii="宋体" w:hAnsi="宋体" w:cs="宋体"/>
                <w:szCs w:val="21"/>
              </w:rPr>
              <w:t>1式</w:t>
            </w:r>
            <w:r>
              <w:rPr>
                <w:rFonts w:hint="eastAsia" w:ascii="宋体" w:hAnsi="宋体" w:cs="宋体"/>
                <w:szCs w:val="21"/>
              </w:rPr>
              <w:t>5</w:t>
            </w:r>
            <w:r>
              <w:rPr>
                <w:rFonts w:ascii="宋体" w:hAnsi="宋体" w:cs="宋体"/>
                <w:szCs w:val="21"/>
              </w:rPr>
              <w:t>份，1份正本和</w:t>
            </w:r>
            <w:r>
              <w:rPr>
                <w:rFonts w:hint="eastAsia" w:ascii="宋体" w:hAnsi="宋体" w:cs="宋体"/>
                <w:szCs w:val="21"/>
              </w:rPr>
              <w:t>4</w:t>
            </w:r>
            <w:r>
              <w:rPr>
                <w:rFonts w:ascii="宋体" w:hAnsi="宋体" w:cs="宋体"/>
                <w:szCs w:val="21"/>
              </w:rPr>
              <w:t>份副本。</w:t>
            </w:r>
          </w:p>
          <w:p>
            <w:pPr>
              <w:jc w:val="left"/>
              <w:rPr>
                <w:rFonts w:ascii="宋体" w:hAnsi="宋体" w:cs="宋体"/>
                <w:szCs w:val="21"/>
              </w:rPr>
            </w:pPr>
            <w:r>
              <w:rPr>
                <w:rFonts w:ascii="宋体" w:hAnsi="宋体" w:cs="宋体"/>
                <w:szCs w:val="21"/>
              </w:rPr>
              <w:t xml:space="preserve">2． </w:t>
            </w:r>
            <w:r>
              <w:rPr>
                <w:rFonts w:hint="eastAsia" w:ascii="宋体" w:hAnsi="宋体" w:cs="宋体"/>
                <w:szCs w:val="21"/>
              </w:rPr>
              <w:t>按项目制作投标申请文件成册，建议双面打印，并提供</w:t>
            </w:r>
            <w:r>
              <w:rPr>
                <w:rFonts w:ascii="宋体" w:hAnsi="宋体" w:cs="宋体"/>
                <w:szCs w:val="21"/>
              </w:rPr>
              <w:t>1套电子版，</w:t>
            </w:r>
            <w:r>
              <w:rPr>
                <w:rFonts w:hint="eastAsia" w:ascii="宋体" w:hAnsi="宋体" w:cs="宋体"/>
                <w:szCs w:val="21"/>
              </w:rPr>
              <w:t>投标申请文件</w:t>
            </w:r>
            <w:r>
              <w:rPr>
                <w:rFonts w:ascii="宋体" w:hAnsi="宋体" w:cs="宋体"/>
                <w:szCs w:val="21"/>
              </w:rPr>
              <w:t>电子版可同刻在一个U盘里，电子版内容需与</w:t>
            </w:r>
            <w:r>
              <w:rPr>
                <w:rFonts w:hint="eastAsia" w:ascii="宋体" w:hAnsi="宋体" w:cs="宋体"/>
                <w:szCs w:val="21"/>
              </w:rPr>
              <w:t>投标申请文件</w:t>
            </w:r>
            <w:r>
              <w:rPr>
                <w:rFonts w:ascii="宋体" w:hAnsi="宋体" w:cs="宋体"/>
                <w:szCs w:val="21"/>
              </w:rPr>
              <w:t>纸质内容一致。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3.7.4</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投标申请文件的外层包封</w:t>
            </w:r>
          </w:p>
        </w:tc>
        <w:tc>
          <w:tcPr>
            <w:tcW w:w="5922" w:type="dxa"/>
            <w:shd w:val="clear" w:color="auto" w:fill="auto"/>
            <w:vAlign w:val="center"/>
          </w:tcPr>
          <w:p>
            <w:pPr>
              <w:autoSpaceDE w:val="0"/>
              <w:autoSpaceDN w:val="0"/>
              <w:rPr>
                <w:rFonts w:ascii="宋体" w:hAnsi="宋体" w:cs="宋体"/>
                <w:szCs w:val="21"/>
              </w:rPr>
            </w:pPr>
            <w:r>
              <w:rPr>
                <w:rFonts w:ascii="宋体" w:hAnsi="宋体" w:cs="宋体"/>
                <w:szCs w:val="21"/>
              </w:rPr>
              <w:t>1．</w:t>
            </w:r>
            <w:r>
              <w:rPr>
                <w:rFonts w:ascii="宋体" w:hAnsi="宋体" w:cs="宋体"/>
                <w:szCs w:val="21"/>
              </w:rPr>
              <w:tab/>
            </w:r>
            <w:r>
              <w:rPr>
                <w:rFonts w:hint="eastAsia" w:ascii="宋体" w:hAnsi="宋体" w:cs="宋体"/>
                <w:b/>
                <w:bCs/>
                <w:szCs w:val="21"/>
              </w:rPr>
              <w:t>投标申请文件应装订、密封，并在封口加盖骑缝章。</w:t>
            </w:r>
          </w:p>
          <w:p>
            <w:pPr>
              <w:autoSpaceDE w:val="0"/>
              <w:autoSpaceDN w:val="0"/>
              <w:rPr>
                <w:rFonts w:ascii="宋体" w:hAnsi="宋体" w:cs="宋体"/>
                <w:szCs w:val="21"/>
              </w:rPr>
            </w:pPr>
            <w:r>
              <w:rPr>
                <w:rFonts w:hint="eastAsia" w:ascii="宋体" w:hAnsi="宋体" w:cs="宋体"/>
                <w:szCs w:val="21"/>
              </w:rPr>
              <w:t>2</w:t>
            </w:r>
            <w:r>
              <w:rPr>
                <w:rFonts w:ascii="宋体" w:hAnsi="宋体" w:cs="宋体"/>
                <w:szCs w:val="21"/>
              </w:rPr>
              <w:t>．</w:t>
            </w:r>
            <w:r>
              <w:rPr>
                <w:rFonts w:ascii="宋体" w:hAnsi="宋体" w:cs="宋体"/>
                <w:szCs w:val="21"/>
              </w:rPr>
              <w:tab/>
            </w:r>
            <w:r>
              <w:rPr>
                <w:rFonts w:hint="eastAsia" w:ascii="宋体" w:hAnsi="宋体" w:cs="宋体"/>
                <w:szCs w:val="21"/>
              </w:rPr>
              <w:t>投标人应在每份投标申请文件的正本、副本和电子文件封面上明确标明“正本”、“副本”或“电子文件”。包封的所有粘接缝隙必须加盖单位章或由投标人的法定代表人或其授权的代表人签字。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3.7.6</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投标申请文件的密封和标记要求</w:t>
            </w:r>
          </w:p>
        </w:tc>
        <w:tc>
          <w:tcPr>
            <w:tcW w:w="5922" w:type="dxa"/>
            <w:shd w:val="clear" w:color="auto" w:fill="auto"/>
            <w:vAlign w:val="center"/>
          </w:tcPr>
          <w:p>
            <w:pPr>
              <w:autoSpaceDE w:val="0"/>
              <w:autoSpaceDN w:val="0"/>
              <w:rPr>
                <w:rFonts w:ascii="宋体" w:hAnsi="宋体"/>
                <w:szCs w:val="21"/>
              </w:rPr>
            </w:pPr>
            <w:r>
              <w:rPr>
                <w:rFonts w:hint="eastAsia" w:ascii="宋体" w:hAnsi="宋体"/>
                <w:szCs w:val="21"/>
              </w:rPr>
              <w:t>本条款增加如下规定：</w:t>
            </w:r>
          </w:p>
          <w:p>
            <w:pPr>
              <w:tabs>
                <w:tab w:val="left" w:pos="318"/>
              </w:tabs>
              <w:jc w:val="left"/>
              <w:rPr>
                <w:rFonts w:ascii="宋体" w:hAnsi="宋体" w:cs="宋体"/>
                <w:szCs w:val="21"/>
              </w:rPr>
            </w:pPr>
            <w:r>
              <w:rPr>
                <w:rFonts w:hint="eastAsia" w:ascii="宋体" w:hAnsi="宋体" w:cs="宋体"/>
                <w:szCs w:val="21"/>
              </w:rPr>
              <w:t>密封的所有黏接缝隙必须加盖单位公章或者由投标人的法定代表人（负责人）或者其委托代理人签字。外层包封应当写明招标人名称、投标人名称和地址、项目名称、招标代理编号、并注明投标申请文件递交截止时间以前不得开封。</w:t>
            </w:r>
          </w:p>
          <w:p>
            <w:pPr>
              <w:tabs>
                <w:tab w:val="left" w:pos="318"/>
              </w:tabs>
              <w:jc w:val="left"/>
              <w:rPr>
                <w:rFonts w:ascii="宋体" w:hAnsi="宋体" w:cs="宋体"/>
                <w:szCs w:val="21"/>
              </w:rPr>
            </w:pPr>
            <w:r>
              <w:rPr>
                <w:rFonts w:hint="eastAsia" w:ascii="宋体" w:hAnsi="宋体" w:cs="宋体"/>
                <w:szCs w:val="21"/>
              </w:rPr>
              <w:t>封套上应载明的信息：</w:t>
            </w:r>
          </w:p>
          <w:p>
            <w:pPr>
              <w:tabs>
                <w:tab w:val="left" w:pos="318"/>
              </w:tabs>
              <w:jc w:val="left"/>
              <w:rPr>
                <w:rFonts w:ascii="宋体" w:hAnsi="宋体" w:cs="宋体"/>
                <w:szCs w:val="21"/>
              </w:rPr>
            </w:pPr>
            <w:r>
              <w:rPr>
                <w:rFonts w:hint="eastAsia" w:ascii="宋体" w:hAnsi="宋体" w:cs="宋体"/>
                <w:szCs w:val="21"/>
              </w:rPr>
              <w:t>招标人名称：XXXXXX有限公司</w:t>
            </w:r>
          </w:p>
          <w:p>
            <w:pPr>
              <w:tabs>
                <w:tab w:val="left" w:pos="318"/>
              </w:tabs>
              <w:jc w:val="left"/>
              <w:rPr>
                <w:rFonts w:ascii="宋体" w:hAnsi="宋体" w:cs="宋体"/>
                <w:szCs w:val="21"/>
              </w:rPr>
            </w:pPr>
            <w:r>
              <w:rPr>
                <w:rFonts w:hint="eastAsia" w:ascii="宋体" w:hAnsi="宋体" w:cs="宋体"/>
                <w:szCs w:val="21"/>
              </w:rPr>
              <w:t>投标人名称：</w:t>
            </w:r>
          </w:p>
          <w:p>
            <w:pPr>
              <w:tabs>
                <w:tab w:val="left" w:pos="318"/>
              </w:tabs>
              <w:jc w:val="left"/>
              <w:rPr>
                <w:rFonts w:ascii="宋体" w:hAnsi="宋体" w:cs="宋体"/>
                <w:szCs w:val="21"/>
              </w:rPr>
            </w:pPr>
            <w:r>
              <w:rPr>
                <w:rFonts w:hint="eastAsia" w:ascii="宋体" w:hAnsi="宋体" w:cs="宋体"/>
                <w:szCs w:val="21"/>
              </w:rPr>
              <w:t>投标人地址：</w:t>
            </w:r>
          </w:p>
          <w:p>
            <w:pPr>
              <w:tabs>
                <w:tab w:val="left" w:pos="318"/>
              </w:tabs>
              <w:jc w:val="left"/>
              <w:rPr>
                <w:rFonts w:ascii="宋体" w:hAnsi="宋体" w:cs="宋体"/>
                <w:szCs w:val="21"/>
              </w:rPr>
            </w:pPr>
            <w:r>
              <w:rPr>
                <w:rFonts w:hint="eastAsia" w:ascii="宋体" w:hAnsi="宋体" w:cs="宋体"/>
                <w:szCs w:val="21"/>
              </w:rPr>
              <w:t>项目名称：</w:t>
            </w:r>
            <w:r>
              <w:rPr>
                <w:rFonts w:ascii="宋体" w:hAnsi="宋体" w:cs="宋体"/>
                <w:szCs w:val="21"/>
              </w:rPr>
              <w:t xml:space="preserve"> </w:t>
            </w:r>
          </w:p>
          <w:p>
            <w:pPr>
              <w:tabs>
                <w:tab w:val="left" w:pos="318"/>
              </w:tabs>
              <w:jc w:val="left"/>
              <w:rPr>
                <w:rFonts w:ascii="宋体" w:hAnsi="宋体" w:cs="宋体"/>
                <w:szCs w:val="21"/>
              </w:rPr>
            </w:pPr>
            <w:r>
              <w:rPr>
                <w:rFonts w:hint="eastAsia" w:ascii="宋体" w:hAnsi="宋体" w:cs="宋体"/>
                <w:szCs w:val="21"/>
              </w:rPr>
              <w:t>在2024年</w:t>
            </w:r>
            <w:r>
              <w:rPr>
                <w:rFonts w:ascii="宋体" w:hAnsi="宋体" w:cs="宋体"/>
                <w:szCs w:val="21"/>
              </w:rPr>
              <w:tab/>
            </w:r>
            <w:r>
              <w:rPr>
                <w:rFonts w:hint="eastAsia" w:ascii="宋体" w:hAnsi="宋体" w:cs="宋体"/>
                <w:szCs w:val="21"/>
              </w:rPr>
              <w:t>月</w:t>
            </w:r>
            <w:r>
              <w:rPr>
                <w:rFonts w:ascii="宋体" w:hAnsi="宋体" w:cs="宋体"/>
                <w:szCs w:val="21"/>
              </w:rPr>
              <w:tab/>
            </w:r>
            <w:r>
              <w:rPr>
                <w:rFonts w:hint="eastAsia" w:ascii="宋体" w:hAnsi="宋体" w:cs="宋体"/>
                <w:szCs w:val="21"/>
              </w:rPr>
              <w:t>日</w:t>
            </w:r>
            <w:r>
              <w:rPr>
                <w:rFonts w:ascii="宋体" w:hAnsi="宋体" w:cs="宋体"/>
                <w:szCs w:val="21"/>
              </w:rPr>
              <w:tab/>
            </w:r>
            <w:r>
              <w:rPr>
                <w:rFonts w:hint="eastAsia" w:ascii="宋体" w:hAnsi="宋体" w:cs="宋体"/>
                <w:szCs w:val="21"/>
              </w:rPr>
              <w:t>时（投标截止时间）前不得开启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4.1.1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投标申请文件</w:t>
            </w:r>
            <w:r>
              <w:rPr>
                <w:rFonts w:hint="eastAsia" w:ascii="宋体" w:hAnsi="宋体"/>
              </w:rPr>
              <w:t>递交截止时间</w:t>
            </w:r>
          </w:p>
        </w:tc>
        <w:tc>
          <w:tcPr>
            <w:tcW w:w="5922" w:type="dxa"/>
            <w:shd w:val="clear" w:color="auto" w:fill="auto"/>
            <w:vAlign w:val="center"/>
          </w:tcPr>
          <w:p>
            <w:pPr>
              <w:autoSpaceDE w:val="0"/>
              <w:autoSpaceDN w:val="0"/>
              <w:rPr>
                <w:rFonts w:ascii="宋体" w:hAnsi="宋体" w:cs="宋体"/>
                <w:szCs w:val="21"/>
              </w:rPr>
            </w:pPr>
            <w:r>
              <w:rPr>
                <w:rFonts w:hint="eastAsia" w:ascii="宋体" w:hAnsi="宋体" w:cs="宋体"/>
                <w:szCs w:val="21"/>
              </w:rPr>
              <w:t>详见第一章</w:t>
            </w:r>
            <w:r>
              <w:rPr>
                <w:rFonts w:ascii="宋体" w:hAnsi="宋体" w:cs="宋体"/>
                <w:szCs w:val="21"/>
              </w:rPr>
              <w:t xml:space="preserve"> </w:t>
            </w:r>
            <w:r>
              <w:rPr>
                <w:rFonts w:hint="eastAsia" w:ascii="宋体" w:hAnsi="宋体" w:cs="宋体"/>
                <w:szCs w:val="21"/>
              </w:rPr>
              <w:t>招募公告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4.1.2</w:t>
            </w:r>
          </w:p>
        </w:tc>
        <w:tc>
          <w:tcPr>
            <w:tcW w:w="1666" w:type="dxa"/>
            <w:shd w:val="clear" w:color="auto" w:fill="auto"/>
            <w:vAlign w:val="center"/>
          </w:tcPr>
          <w:p>
            <w:pPr>
              <w:autoSpaceDE w:val="0"/>
              <w:autoSpaceDN w:val="0"/>
              <w:rPr>
                <w:rFonts w:ascii="宋体" w:hAnsi="宋体"/>
              </w:rPr>
            </w:pPr>
            <w:r>
              <w:rPr>
                <w:rFonts w:hint="eastAsia" w:ascii="宋体" w:hAnsi="宋体" w:cs="宋体"/>
                <w:szCs w:val="21"/>
              </w:rPr>
              <w:t>投标申请文件</w:t>
            </w:r>
            <w:r>
              <w:rPr>
                <w:rFonts w:hint="eastAsia" w:ascii="宋体" w:hAnsi="宋体"/>
              </w:rPr>
              <w:t>递交地点</w:t>
            </w:r>
          </w:p>
        </w:tc>
        <w:tc>
          <w:tcPr>
            <w:tcW w:w="5922" w:type="dxa"/>
            <w:shd w:val="clear" w:color="auto" w:fill="auto"/>
            <w:vAlign w:val="center"/>
          </w:tcPr>
          <w:p>
            <w:pPr>
              <w:autoSpaceDE w:val="0"/>
              <w:autoSpaceDN w:val="0"/>
              <w:rPr>
                <w:rFonts w:ascii="宋体" w:hAnsi="宋体" w:cs="宋体"/>
                <w:szCs w:val="21"/>
              </w:rPr>
            </w:pPr>
            <w:r>
              <w:rPr>
                <w:rFonts w:hint="eastAsia" w:ascii="宋体" w:hAnsi="宋体" w:cs="宋体"/>
                <w:szCs w:val="21"/>
              </w:rPr>
              <w:t>详见第一章</w:t>
            </w:r>
            <w:r>
              <w:rPr>
                <w:rFonts w:ascii="宋体" w:hAnsi="宋体" w:cs="宋体"/>
                <w:szCs w:val="21"/>
              </w:rPr>
              <w:t xml:space="preserve"> </w:t>
            </w:r>
            <w:r>
              <w:rPr>
                <w:rFonts w:hint="eastAsia" w:ascii="宋体" w:hAnsi="宋体" w:cs="宋体"/>
                <w:szCs w:val="21"/>
              </w:rPr>
              <w:t>招募公告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4.1.4</w:t>
            </w:r>
          </w:p>
        </w:tc>
        <w:tc>
          <w:tcPr>
            <w:tcW w:w="1666" w:type="dxa"/>
            <w:shd w:val="clear" w:color="auto" w:fill="auto"/>
            <w:vAlign w:val="center"/>
          </w:tcPr>
          <w:p>
            <w:pPr>
              <w:autoSpaceDE w:val="0"/>
              <w:autoSpaceDN w:val="0"/>
              <w:rPr>
                <w:rFonts w:ascii="宋体" w:hAnsi="宋体"/>
              </w:rPr>
            </w:pPr>
            <w:r>
              <w:rPr>
                <w:rFonts w:hint="eastAsia" w:ascii="宋体" w:hAnsi="宋体" w:cs="宋体"/>
                <w:szCs w:val="21"/>
              </w:rPr>
              <w:t>投标申请文件</w:t>
            </w:r>
            <w:r>
              <w:rPr>
                <w:rFonts w:hint="eastAsia" w:ascii="宋体" w:hAnsi="宋体"/>
              </w:rPr>
              <w:t>退还</w:t>
            </w:r>
          </w:p>
        </w:tc>
        <w:tc>
          <w:tcPr>
            <w:tcW w:w="5922" w:type="dxa"/>
            <w:shd w:val="clear" w:color="auto" w:fill="auto"/>
            <w:vAlign w:val="center"/>
          </w:tcPr>
          <w:p>
            <w:pPr>
              <w:autoSpaceDE w:val="0"/>
              <w:autoSpaceDN w:val="0"/>
              <w:rPr>
                <w:rFonts w:ascii="宋体" w:hAnsi="宋体" w:cs="宋体"/>
                <w:szCs w:val="21"/>
              </w:rPr>
            </w:pPr>
            <w:r>
              <w:rPr>
                <w:rFonts w:hint="eastAsia" w:ascii="宋体" w:hAnsi="宋体" w:cs="宋体"/>
                <w:szCs w:val="21"/>
              </w:rPr>
              <w:t>■不退还</w:t>
            </w:r>
          </w:p>
          <w:p>
            <w:pPr>
              <w:autoSpaceDE w:val="0"/>
              <w:autoSpaceDN w:val="0"/>
              <w:rPr>
                <w:rFonts w:ascii="宋体" w:hAnsi="宋体" w:cs="宋体"/>
                <w:szCs w:val="21"/>
              </w:rPr>
            </w:pPr>
            <w:r>
              <w:rPr>
                <w:rFonts w:hint="eastAsia" w:ascii="宋体" w:hAnsi="宋体" w:cs="宋体"/>
                <w:szCs w:val="21"/>
              </w:rPr>
              <w:t>□退还，</w:t>
            </w:r>
            <w:r>
              <w:rPr>
                <w:rFonts w:hint="eastAsia" w:ascii="宋体" w:hAnsi="宋体"/>
                <w:szCs w:val="21"/>
              </w:rPr>
              <w:t>投标申请文件</w:t>
            </w:r>
            <w:r>
              <w:rPr>
                <w:rFonts w:hint="eastAsia" w:ascii="宋体" w:hAnsi="宋体"/>
                <w:szCs w:val="21"/>
                <w:u w:val="single"/>
              </w:rPr>
              <w:t>退还的具体要求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5.1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唱价时间和地点</w:t>
            </w:r>
          </w:p>
        </w:tc>
        <w:tc>
          <w:tcPr>
            <w:tcW w:w="5922" w:type="dxa"/>
            <w:shd w:val="clear" w:color="auto" w:fill="auto"/>
            <w:vAlign w:val="center"/>
          </w:tcPr>
          <w:p>
            <w:pPr>
              <w:ind w:left="15" w:leftChars="7"/>
              <w:jc w:val="left"/>
              <w:rPr>
                <w:rFonts w:ascii="宋体" w:hAnsi="宋体"/>
                <w:szCs w:val="21"/>
              </w:rPr>
            </w:pPr>
            <w:r>
              <w:rPr>
                <w:rFonts w:hint="eastAsia" w:ascii="宋体" w:hAnsi="宋体" w:cs="宋体"/>
                <w:szCs w:val="21"/>
              </w:rPr>
              <w:t>本项目不涉及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6.1.1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评审委员会组成人数</w:t>
            </w:r>
          </w:p>
        </w:tc>
        <w:tc>
          <w:tcPr>
            <w:tcW w:w="5922" w:type="dxa"/>
            <w:shd w:val="clear" w:color="auto" w:fill="auto"/>
            <w:vAlign w:val="center"/>
          </w:tcPr>
          <w:p>
            <w:pPr>
              <w:autoSpaceDE w:val="0"/>
              <w:autoSpaceDN w:val="0"/>
              <w:rPr>
                <w:rFonts w:ascii="宋体" w:hAnsi="宋体" w:cs="宋体"/>
                <w:szCs w:val="21"/>
              </w:rPr>
            </w:pPr>
            <w:r>
              <w:rPr>
                <w:rFonts w:ascii="宋体" w:hAnsi="宋体"/>
                <w:szCs w:val="21"/>
                <w:u w:val="single"/>
              </w:rPr>
              <w:t>5</w:t>
            </w:r>
            <w:r>
              <w:rPr>
                <w:rFonts w:hint="eastAsia" w:ascii="宋体" w:hAnsi="宋体" w:cs="宋体"/>
                <w:szCs w:val="21"/>
              </w:rPr>
              <w:t>人或以上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vMerge w:val="restart"/>
            <w:shd w:val="clear" w:color="auto" w:fill="auto"/>
            <w:vAlign w:val="center"/>
          </w:tcPr>
          <w:p>
            <w:pPr>
              <w:autoSpaceDE w:val="0"/>
              <w:autoSpaceDN w:val="0"/>
              <w:jc w:val="center"/>
              <w:rPr>
                <w:rFonts w:ascii="宋体" w:hAnsi="宋体" w:cs="宋体"/>
                <w:szCs w:val="21"/>
              </w:rPr>
            </w:pPr>
            <w:r>
              <w:rPr>
                <w:rFonts w:ascii="宋体" w:hAnsi="宋体" w:cs="宋体"/>
                <w:szCs w:val="21"/>
              </w:rPr>
              <w:t>6.3</w:t>
            </w:r>
          </w:p>
        </w:tc>
        <w:tc>
          <w:tcPr>
            <w:tcW w:w="1666" w:type="dxa"/>
            <w:vMerge w:val="restart"/>
            <w:shd w:val="clear" w:color="auto" w:fill="auto"/>
            <w:vAlign w:val="center"/>
          </w:tcPr>
          <w:p>
            <w:pPr>
              <w:autoSpaceDE w:val="0"/>
              <w:autoSpaceDN w:val="0"/>
              <w:rPr>
                <w:rFonts w:ascii="宋体" w:hAnsi="宋体" w:cs="宋体"/>
                <w:szCs w:val="21"/>
              </w:rPr>
            </w:pPr>
            <w:r>
              <w:rPr>
                <w:rFonts w:hint="eastAsia" w:ascii="宋体" w:hAnsi="宋体" w:cs="宋体"/>
                <w:szCs w:val="21"/>
              </w:rPr>
              <w:t>评审方法</w:t>
            </w:r>
          </w:p>
        </w:tc>
        <w:tc>
          <w:tcPr>
            <w:tcW w:w="5922" w:type="dxa"/>
            <w:shd w:val="clear" w:color="auto" w:fill="auto"/>
            <w:vAlign w:val="center"/>
          </w:tcPr>
          <w:p>
            <w:pPr>
              <w:autoSpaceDE w:val="0"/>
              <w:autoSpaceDN w:val="0"/>
              <w:rPr>
                <w:rFonts w:ascii="宋体" w:hAnsi="宋体" w:cs="宋体"/>
                <w:szCs w:val="21"/>
                <w:u w:val="single"/>
              </w:rPr>
            </w:pPr>
            <w:r>
              <w:rPr>
                <w:rFonts w:hint="eastAsia" w:ascii="宋体" w:hAnsi="宋体" w:cs="宋体"/>
                <w:szCs w:val="21"/>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vMerge w:val="continue"/>
            <w:shd w:val="clear" w:color="auto" w:fill="auto"/>
            <w:vAlign w:val="center"/>
          </w:tcPr>
          <w:p>
            <w:pPr>
              <w:autoSpaceDE w:val="0"/>
              <w:autoSpaceDN w:val="0"/>
              <w:jc w:val="center"/>
              <w:rPr>
                <w:rFonts w:ascii="宋体" w:hAnsi="宋体" w:cs="宋体"/>
                <w:szCs w:val="21"/>
              </w:rPr>
            </w:pPr>
          </w:p>
        </w:tc>
        <w:tc>
          <w:tcPr>
            <w:tcW w:w="1666" w:type="dxa"/>
            <w:vMerge w:val="continue"/>
            <w:shd w:val="clear" w:color="auto" w:fill="auto"/>
            <w:vAlign w:val="center"/>
          </w:tcPr>
          <w:p>
            <w:pPr>
              <w:autoSpaceDE w:val="0"/>
              <w:autoSpaceDN w:val="0"/>
              <w:rPr>
                <w:rFonts w:ascii="宋体" w:hAnsi="宋体" w:cs="宋体"/>
                <w:szCs w:val="21"/>
              </w:rPr>
            </w:pPr>
          </w:p>
        </w:tc>
        <w:tc>
          <w:tcPr>
            <w:tcW w:w="5922" w:type="dxa"/>
            <w:shd w:val="clear" w:color="auto" w:fill="auto"/>
            <w:vAlign w:val="center"/>
          </w:tcPr>
          <w:p>
            <w:pPr>
              <w:pStyle w:val="17"/>
              <w:rPr>
                <w:rFonts w:ascii="宋体" w:hAnsi="宋体"/>
                <w:szCs w:val="21"/>
              </w:rPr>
            </w:pPr>
            <w:r>
              <w:rPr>
                <w:rFonts w:hint="eastAsia" w:ascii="宋体" w:hAnsi="宋体"/>
                <w:szCs w:val="21"/>
              </w:rPr>
              <w:t>其他要求：</w:t>
            </w:r>
          </w:p>
          <w:p>
            <w:pPr>
              <w:pStyle w:val="17"/>
            </w:pPr>
            <w:r>
              <w:rPr>
                <w:rFonts w:hint="eastAsia" w:ascii="宋体" w:hAnsi="宋体"/>
                <w:szCs w:val="21"/>
              </w:rPr>
              <w:t>1、符合推荐入围标准的投标单位少于4家时，本项目招募失败。2、</w:t>
            </w:r>
            <w:r>
              <w:rPr>
                <w:rFonts w:hint="eastAsia" w:ascii="宋体" w:hAnsi="宋体" w:cs="宋体"/>
                <w:sz w:val="22"/>
                <w:lang w:val="zh-CN"/>
              </w:rPr>
              <w:t>★</w:t>
            </w:r>
            <w:r>
              <w:rPr>
                <w:rFonts w:hint="eastAsia" w:ascii="宋体" w:hAnsi="宋体" w:cs="宋体"/>
                <w:sz w:val="22"/>
                <w:szCs w:val="22"/>
                <w:lang w:val="zh-CN"/>
              </w:rPr>
              <w:t>投标人的商务得分应不低于商务部分总分值的60%，否则就认定为无效投标人。如果商务得分达到商务部分总分值60%的投标人少于</w:t>
            </w:r>
            <w:r>
              <w:rPr>
                <w:rFonts w:hint="eastAsia" w:ascii="宋体" w:hAnsi="宋体" w:cs="宋体"/>
                <w:sz w:val="22"/>
                <w:szCs w:val="22"/>
              </w:rPr>
              <w:t>4</w:t>
            </w:r>
            <w:r>
              <w:rPr>
                <w:rFonts w:hint="eastAsia" w:ascii="宋体" w:hAnsi="宋体" w:cs="宋体"/>
                <w:sz w:val="22"/>
                <w:szCs w:val="22"/>
                <w:lang w:val="zh-CN"/>
              </w:rPr>
              <w:t>家，本项目废标。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 xml:space="preserve">6.4 </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中标入围候选单位推荐原则</w:t>
            </w:r>
          </w:p>
        </w:tc>
        <w:tc>
          <w:tcPr>
            <w:tcW w:w="5922" w:type="dxa"/>
            <w:shd w:val="clear" w:color="auto" w:fill="auto"/>
            <w:vAlign w:val="center"/>
          </w:tcPr>
          <w:p>
            <w:pPr>
              <w:autoSpaceDE w:val="0"/>
              <w:autoSpaceDN w:val="0"/>
              <w:rPr>
                <w:rFonts w:ascii="宋体" w:hAnsi="宋体"/>
                <w:szCs w:val="21"/>
              </w:rPr>
            </w:pPr>
            <w:bookmarkStart w:id="31" w:name="_Toc346159396"/>
            <w:r>
              <w:rPr>
                <w:rFonts w:hint="eastAsia" w:ascii="宋体" w:hAnsi="宋体"/>
                <w:szCs w:val="21"/>
              </w:rPr>
              <w:t>推荐原则如下：</w:t>
            </w:r>
            <w:bookmarkEnd w:id="31"/>
          </w:p>
          <w:p>
            <w:pPr>
              <w:autoSpaceDE w:val="0"/>
              <w:autoSpaceDN w:val="0"/>
            </w:pPr>
            <w:r>
              <w:rPr>
                <w:rFonts w:hint="eastAsia" w:ascii="宋体" w:hAnsi="宋体"/>
                <w:szCs w:val="21"/>
              </w:rPr>
              <w:t>根据综合得分从高到低选择4家中标入围单位。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7.</w:t>
            </w:r>
            <w:r>
              <w:rPr>
                <w:rFonts w:hint="eastAsia" w:ascii="宋体" w:hAnsi="宋体" w:cs="宋体"/>
                <w:szCs w:val="21"/>
              </w:rPr>
              <w:t>1</w:t>
            </w:r>
            <w:r>
              <w:rPr>
                <w:rFonts w:ascii="宋体" w:hAnsi="宋体" w:cs="宋体"/>
                <w:szCs w:val="21"/>
              </w:rPr>
              <w:t>.2</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rPr>
              <w:t>异议受理</w:t>
            </w:r>
          </w:p>
        </w:tc>
        <w:tc>
          <w:tcPr>
            <w:tcW w:w="5922" w:type="dxa"/>
            <w:shd w:val="clear" w:color="auto" w:fill="auto"/>
            <w:vAlign w:val="center"/>
          </w:tcPr>
          <w:p>
            <w:pPr>
              <w:autoSpaceDE w:val="0"/>
              <w:autoSpaceDN w:val="0"/>
              <w:rPr>
                <w:rFonts w:ascii="宋体" w:hAnsi="宋体"/>
                <w:szCs w:val="21"/>
              </w:rPr>
            </w:pPr>
            <w:r>
              <w:rPr>
                <w:rFonts w:hint="eastAsia" w:ascii="宋体" w:hAnsi="宋体"/>
                <w:szCs w:val="21"/>
              </w:rPr>
              <w:t>投标人如对本次招标评审结果持有异议的，可以在相应期限内向招标人或招标代理人提出实名书面质疑，对质疑回复不满意的，可提出实名书面投诉，质疑为投诉的前置程序。</w:t>
            </w:r>
          </w:p>
          <w:p>
            <w:pPr>
              <w:autoSpaceDE w:val="0"/>
              <w:autoSpaceDN w:val="0"/>
            </w:pPr>
            <w:r>
              <w:rPr>
                <w:rFonts w:hint="eastAsia" w:ascii="宋体" w:hAnsi="宋体"/>
                <w:szCs w:val="21"/>
              </w:rPr>
              <w:t>招标人或招标代理人联系方式详见第一章 招募公告“7.联系方式”。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7.</w:t>
            </w:r>
            <w:r>
              <w:rPr>
                <w:rFonts w:hint="eastAsia" w:ascii="宋体" w:hAnsi="宋体" w:cs="宋体"/>
                <w:szCs w:val="21"/>
              </w:rPr>
              <w:t>2</w:t>
            </w:r>
            <w:r>
              <w:rPr>
                <w:rFonts w:ascii="宋体" w:hAnsi="宋体" w:cs="宋体"/>
                <w:szCs w:val="21"/>
              </w:rPr>
              <w:t>.1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中标入围单位数量</w:t>
            </w:r>
          </w:p>
        </w:tc>
        <w:tc>
          <w:tcPr>
            <w:tcW w:w="5922" w:type="dxa"/>
            <w:shd w:val="clear" w:color="auto" w:fill="auto"/>
            <w:vAlign w:val="center"/>
          </w:tcPr>
          <w:p>
            <w:pPr>
              <w:autoSpaceDE w:val="0"/>
              <w:autoSpaceDN w:val="0"/>
              <w:rPr>
                <w:rFonts w:ascii="宋体" w:hAnsi="宋体" w:cs="宋体"/>
                <w:szCs w:val="21"/>
              </w:rPr>
            </w:pPr>
            <w:r>
              <w:rPr>
                <w:rFonts w:hint="eastAsia" w:ascii="宋体" w:hAnsi="宋体"/>
              </w:rPr>
              <w:t>中标入围单位数量：</w:t>
            </w:r>
            <w:r>
              <w:rPr>
                <w:rFonts w:hint="eastAsia" w:ascii="宋体" w:hAnsi="宋体"/>
                <w:szCs w:val="21"/>
                <w:u w:val="single"/>
              </w:rPr>
              <w:t>4</w:t>
            </w:r>
            <w:r>
              <w:rPr>
                <w:rFonts w:hint="eastAsia" w:ascii="宋体" w:hAnsi="宋体" w:cs="宋体"/>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7.</w:t>
            </w:r>
            <w:r>
              <w:rPr>
                <w:rFonts w:hint="eastAsia" w:ascii="宋体" w:hAnsi="宋体" w:cs="宋体"/>
                <w:szCs w:val="21"/>
              </w:rPr>
              <w:t>2</w:t>
            </w:r>
            <w:r>
              <w:rPr>
                <w:rFonts w:ascii="宋体" w:hAnsi="宋体" w:cs="宋体"/>
                <w:szCs w:val="21"/>
              </w:rPr>
              <w:t>.</w:t>
            </w:r>
            <w:r>
              <w:rPr>
                <w:rFonts w:hint="eastAsia" w:ascii="宋体" w:hAnsi="宋体" w:cs="宋体"/>
                <w:szCs w:val="21"/>
              </w:rPr>
              <w:t>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中标入围原则</w:t>
            </w:r>
          </w:p>
        </w:tc>
        <w:tc>
          <w:tcPr>
            <w:tcW w:w="5922" w:type="dxa"/>
            <w:shd w:val="clear" w:color="auto" w:fill="auto"/>
            <w:vAlign w:val="center"/>
          </w:tcPr>
          <w:p>
            <w:pPr>
              <w:autoSpaceDE w:val="0"/>
              <w:autoSpaceDN w:val="0"/>
              <w:rPr>
                <w:rFonts w:ascii="宋体" w:hAnsi="宋体" w:cs="宋体"/>
                <w:szCs w:val="21"/>
              </w:rPr>
            </w:pPr>
            <w:r>
              <w:rPr>
                <w:rFonts w:hint="eastAsia" w:ascii="宋体" w:hAnsi="宋体"/>
                <w:szCs w:val="21"/>
              </w:rPr>
              <w:t>中标入围原则如下：根据综合得分排名第一至四名为中标入围单位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8.1</w:t>
            </w:r>
          </w:p>
        </w:tc>
        <w:tc>
          <w:tcPr>
            <w:tcW w:w="1666" w:type="dxa"/>
            <w:tcBorders>
              <w:bottom w:val="single" w:color="auto" w:sz="4" w:space="0"/>
            </w:tcBorders>
            <w:shd w:val="clear" w:color="auto" w:fill="auto"/>
            <w:vAlign w:val="center"/>
          </w:tcPr>
          <w:p>
            <w:pPr>
              <w:autoSpaceDE w:val="0"/>
              <w:autoSpaceDN w:val="0"/>
              <w:rPr>
                <w:rFonts w:ascii="宋体" w:hAnsi="宋体"/>
              </w:rPr>
            </w:pPr>
            <w:r>
              <w:rPr>
                <w:rFonts w:hint="eastAsia" w:ascii="宋体" w:hAnsi="宋体"/>
              </w:rPr>
              <w:t>履约保证金</w:t>
            </w:r>
          </w:p>
        </w:tc>
        <w:tc>
          <w:tcPr>
            <w:tcW w:w="5922" w:type="dxa"/>
            <w:shd w:val="clear" w:color="auto" w:fill="auto"/>
            <w:vAlign w:val="center"/>
          </w:tcPr>
          <w:p>
            <w:pPr>
              <w:spacing w:line="276" w:lineRule="auto"/>
            </w:pPr>
            <w:r>
              <w:rPr>
                <w:rFonts w:hint="default" w:ascii="宋体" w:hAnsi="宋体"/>
                <w:szCs w:val="21"/>
              </w:rPr>
              <w:t>（1）本项目向每家中选入围供应商收取履约保证金10000元整。</w:t>
            </w:r>
          </w:p>
          <w:p>
            <w:pPr>
              <w:pStyle w:val="19"/>
              <w:rPr>
                <w:rFonts w:hint="default" w:ascii="宋体" w:hAnsi="宋体" w:eastAsia="宋体"/>
                <w:b w:val="0"/>
                <w:bCs w:val="0"/>
                <w:sz w:val="21"/>
                <w:szCs w:val="21"/>
              </w:rPr>
            </w:pPr>
            <w:r>
              <w:rPr>
                <w:rFonts w:hint="default" w:ascii="宋体" w:hAnsi="宋体" w:eastAsia="宋体"/>
                <w:b w:val="0"/>
                <w:bCs w:val="0"/>
                <w:sz w:val="21"/>
                <w:szCs w:val="21"/>
              </w:rPr>
              <w:t>（2）</w:t>
            </w:r>
            <w:r>
              <w:rPr>
                <w:rFonts w:hint="default" w:ascii="宋体" w:hAnsi="宋体"/>
                <w:b w:val="0"/>
                <w:bCs w:val="0"/>
                <w:sz w:val="21"/>
                <w:szCs w:val="21"/>
              </w:rPr>
              <w:t>履约保证金</w:t>
            </w:r>
            <w:r>
              <w:rPr>
                <w:rFonts w:hint="default" w:ascii="宋体" w:hAnsi="宋体" w:eastAsia="宋体"/>
                <w:b w:val="0"/>
                <w:bCs w:val="0"/>
                <w:sz w:val="21"/>
                <w:szCs w:val="21"/>
              </w:rPr>
              <w:t>的方式：银行转账或银行保函。</w:t>
            </w:r>
          </w:p>
          <w:p>
            <w:pPr>
              <w:pStyle w:val="40"/>
              <w:ind w:firstLine="0"/>
              <w:rPr>
                <w:rFonts w:hint="default" w:ascii="宋体" w:hAnsi="宋体" w:eastAsia="宋体"/>
                <w:b w:val="0"/>
                <w:bCs w:val="0"/>
                <w:sz w:val="21"/>
                <w:szCs w:val="21"/>
              </w:rPr>
            </w:pPr>
            <w:r>
              <w:rPr>
                <w:rFonts w:hint="default" w:ascii="宋体" w:hAnsi="宋体" w:eastAsia="宋体"/>
                <w:b w:val="0"/>
                <w:bCs w:val="0"/>
                <w:sz w:val="21"/>
                <w:szCs w:val="21"/>
              </w:rPr>
              <w:t>（3）在收到中选通知书后，中选入围单位需在10日内向招标人提交足额履约保证金，否则招标人可以取消其中选资格。</w:t>
            </w:r>
          </w:p>
          <w:p>
            <w:pPr>
              <w:pStyle w:val="33"/>
              <w:ind w:left="0" w:leftChars="0" w:firstLine="0" w:firstLineChars="0"/>
              <w:rPr>
                <w:rFonts w:hint="default"/>
              </w:rPr>
            </w:pPr>
            <w:r>
              <w:rPr>
                <w:rFonts w:hint="default"/>
              </w:rPr>
              <w:t>（4）合同到期（所有项目执行完毕后）招标人将履约保证金根据是否扣除金额退还给投标人。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hint="default" w:ascii="宋体" w:hAnsi="宋体" w:eastAsia="宋体" w:cs="宋体"/>
                <w:szCs w:val="21"/>
                <w:lang w:val="en-US" w:eastAsia="zh-CN"/>
              </w:rPr>
            </w:pPr>
            <w:r>
              <w:rPr>
                <w:rFonts w:ascii="宋体" w:hAnsi="宋体" w:cs="宋体"/>
                <w:szCs w:val="21"/>
              </w:rPr>
              <w:t>9</w:t>
            </w:r>
            <w:r>
              <w:rPr>
                <w:rFonts w:hint="eastAsia" w:ascii="宋体" w:hAnsi="宋体" w:cs="宋体"/>
                <w:szCs w:val="21"/>
                <w:lang w:eastAsia="zh-CN"/>
              </w:rPr>
              <w:t>.</w:t>
            </w:r>
            <w:r>
              <w:rPr>
                <w:rFonts w:hint="eastAsia" w:ascii="宋体" w:hAnsi="宋体" w:cs="宋体"/>
                <w:szCs w:val="21"/>
                <w:lang w:val="en-US" w:eastAsia="zh-CN"/>
              </w:rPr>
              <w:t>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招标代理服务费金额、交纳方式和时限</w:t>
            </w:r>
          </w:p>
        </w:tc>
        <w:tc>
          <w:tcPr>
            <w:tcW w:w="5922" w:type="dxa"/>
            <w:shd w:val="clear" w:color="auto" w:fill="auto"/>
            <w:vAlign w:val="center"/>
          </w:tcPr>
          <w:p>
            <w:pPr>
              <w:adjustRightInd w:val="0"/>
              <w:rPr>
                <w:rFonts w:ascii="宋体" w:hAnsi="宋体"/>
                <w:szCs w:val="21"/>
              </w:rPr>
            </w:pPr>
            <w:r>
              <w:rPr>
                <w:rFonts w:hint="eastAsia" w:ascii="宋体" w:hAnsi="宋体"/>
                <w:szCs w:val="21"/>
              </w:rPr>
              <w:t>招标代理服务费约定由中标入围单位支付，本项目代理服务费按每家中标单位5000元固定金额收取</w:t>
            </w:r>
            <w:r>
              <w:rPr>
                <w:rFonts w:ascii="宋体" w:hAnsi="宋体"/>
                <w:szCs w:val="21"/>
              </w:rPr>
              <w:t>，</w:t>
            </w:r>
            <w:r>
              <w:rPr>
                <w:rFonts w:hint="eastAsia" w:ascii="宋体" w:hAnsi="宋体"/>
                <w:szCs w:val="21"/>
              </w:rPr>
              <w:t>中标人在领取中标通知书前一次性向招标代理缴纳，未按上述规定缴纳中标服务费的，招标人将不予退还投标保证金，且招标人有权取消其中标资格和拒签合同。</w:t>
            </w:r>
          </w:p>
          <w:p>
            <w:pPr>
              <w:adjustRightInd w:val="0"/>
              <w:rPr>
                <w:rFonts w:ascii="宋体" w:hAnsi="宋体"/>
                <w:szCs w:val="21"/>
              </w:rPr>
            </w:pPr>
            <w:r>
              <w:rPr>
                <w:rFonts w:hint="eastAsia" w:ascii="宋体" w:hAnsi="宋体"/>
                <w:szCs w:val="21"/>
              </w:rPr>
              <w:t xml:space="preserve">账户名称： 中通服咨询设计研究院有限公司 </w:t>
            </w:r>
          </w:p>
          <w:p>
            <w:pPr>
              <w:adjustRightInd w:val="0"/>
              <w:rPr>
                <w:rFonts w:ascii="宋体" w:hAnsi="宋体"/>
                <w:szCs w:val="21"/>
              </w:rPr>
            </w:pPr>
            <w:r>
              <w:rPr>
                <w:rFonts w:hint="eastAsia" w:ascii="宋体" w:hAnsi="宋体"/>
                <w:szCs w:val="21"/>
              </w:rPr>
              <w:t xml:space="preserve">账号： 12590209571010300012  </w:t>
            </w:r>
          </w:p>
          <w:p>
            <w:pPr>
              <w:adjustRightInd w:val="0"/>
              <w:rPr>
                <w:rFonts w:ascii="宋体" w:hAnsi="宋体"/>
                <w:szCs w:val="21"/>
              </w:rPr>
            </w:pPr>
            <w:r>
              <w:rPr>
                <w:rFonts w:hint="eastAsia" w:ascii="宋体" w:hAnsi="宋体"/>
                <w:szCs w:val="21"/>
              </w:rPr>
              <w:t>开户银行： 招商银行南京分行城北支行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szCs w:val="21"/>
              </w:rPr>
            </w:pPr>
            <w:r>
              <w:rPr>
                <w:rFonts w:ascii="宋体" w:hAnsi="宋体" w:cs="宋体"/>
                <w:szCs w:val="21"/>
              </w:rPr>
              <w:t>11.1</w:t>
            </w:r>
          </w:p>
        </w:tc>
        <w:tc>
          <w:tcPr>
            <w:tcW w:w="1666" w:type="dxa"/>
            <w:shd w:val="clear" w:color="auto" w:fill="auto"/>
            <w:vAlign w:val="center"/>
          </w:tcPr>
          <w:p>
            <w:pPr>
              <w:autoSpaceDE w:val="0"/>
              <w:autoSpaceDN w:val="0"/>
            </w:pPr>
            <w:r>
              <w:rPr>
                <w:rFonts w:hint="eastAsia"/>
                <w:szCs w:val="21"/>
              </w:rPr>
              <w:t>中标入围单位放弃中标或者不能履行合同的处理</w:t>
            </w:r>
          </w:p>
        </w:tc>
        <w:tc>
          <w:tcPr>
            <w:tcW w:w="5922" w:type="dxa"/>
            <w:shd w:val="clear" w:color="auto" w:fill="auto"/>
            <w:vAlign w:val="center"/>
          </w:tcPr>
          <w:p>
            <w:pPr>
              <w:jc w:val="left"/>
              <w:rPr>
                <w:szCs w:val="21"/>
              </w:rPr>
            </w:pPr>
            <w:r>
              <w:rPr>
                <w:rFonts w:hint="eastAsia"/>
                <w:szCs w:val="21"/>
              </w:rPr>
              <w:t>二种方式可选：</w:t>
            </w:r>
          </w:p>
          <w:p>
            <w:pPr>
              <w:pStyle w:val="77"/>
              <w:numPr>
                <w:ilvl w:val="0"/>
                <w:numId w:val="3"/>
              </w:numPr>
              <w:ind w:firstLineChars="0"/>
              <w:rPr>
                <w:szCs w:val="21"/>
              </w:rPr>
            </w:pPr>
            <w:r>
              <w:rPr>
                <w:rFonts w:hint="eastAsia"/>
                <w:szCs w:val="21"/>
              </w:rPr>
              <w:t>按照评审委员会提出的中标入围候选单位名单排序依次确定其他中标入围候选单位为中标入围单位；</w:t>
            </w:r>
          </w:p>
          <w:p>
            <w:pPr>
              <w:jc w:val="left"/>
              <w:rPr>
                <w:szCs w:val="21"/>
              </w:rPr>
            </w:pPr>
            <w:r>
              <w:rPr>
                <w:szCs w:val="21"/>
              </w:rPr>
              <w:t>2</w:t>
            </w:r>
            <w:r>
              <w:rPr>
                <w:rFonts w:hint="eastAsia"/>
                <w:szCs w:val="21"/>
              </w:rPr>
              <w:t>、重新招标；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11.2</w:t>
            </w:r>
          </w:p>
        </w:tc>
        <w:tc>
          <w:tcPr>
            <w:tcW w:w="1666" w:type="dxa"/>
            <w:shd w:val="clear" w:color="auto" w:fill="auto"/>
            <w:vAlign w:val="center"/>
          </w:tcPr>
          <w:p>
            <w:pPr>
              <w:autoSpaceDE w:val="0"/>
              <w:autoSpaceDN w:val="0"/>
              <w:rPr>
                <w:szCs w:val="21"/>
              </w:rPr>
            </w:pPr>
            <w:r>
              <w:rPr>
                <w:rFonts w:hint="eastAsia" w:ascii="宋体" w:hAnsi="宋体"/>
                <w:szCs w:val="21"/>
              </w:rPr>
              <w:t>投标货币</w:t>
            </w:r>
          </w:p>
        </w:tc>
        <w:tc>
          <w:tcPr>
            <w:tcW w:w="5922" w:type="dxa"/>
            <w:shd w:val="clear" w:color="auto" w:fill="auto"/>
            <w:vAlign w:val="center"/>
          </w:tcPr>
          <w:p>
            <w:pPr>
              <w:rPr>
                <w:szCs w:val="21"/>
              </w:rPr>
            </w:pPr>
            <w:r>
              <w:rPr>
                <w:rFonts w:hint="eastAsia" w:ascii="宋体" w:hAnsi="宋体"/>
                <w:szCs w:val="21"/>
              </w:rPr>
              <w:t>招募文件和</w:t>
            </w:r>
            <w:r>
              <w:rPr>
                <w:rFonts w:hint="eastAsia" w:ascii="宋体" w:hAnsi="宋体" w:cs="宋体"/>
                <w:szCs w:val="21"/>
              </w:rPr>
              <w:t>投标申请文件</w:t>
            </w:r>
            <w:r>
              <w:rPr>
                <w:rFonts w:hint="eastAsia" w:ascii="宋体" w:hAnsi="宋体"/>
                <w:szCs w:val="21"/>
              </w:rPr>
              <w:t>中未明确币种的，均以人民币进行核算；投标申请文件中如出现其他币种，</w:t>
            </w:r>
            <w:r>
              <w:rPr>
                <w:rFonts w:hint="eastAsia" w:ascii="Courier New" w:hAnsi="Courier New"/>
                <w:kern w:val="0"/>
                <w:szCs w:val="21"/>
              </w:rPr>
              <w:t>按照投标申请文件递交截止之日中国人民银行公布的银行间外汇市场人民币汇率中间价折算为等值人民币（属于企业</w:t>
            </w:r>
            <w:r>
              <w:rPr>
                <w:rFonts w:hint="eastAsia"/>
                <w:kern w:val="0"/>
                <w:szCs w:val="21"/>
              </w:rPr>
              <w:t>注册资本金范畴的，</w:t>
            </w:r>
            <w:r>
              <w:rPr>
                <w:rFonts w:hint="eastAsia" w:ascii="Courier New" w:hAnsi="Courier New"/>
                <w:kern w:val="0"/>
                <w:szCs w:val="21"/>
              </w:rPr>
              <w:t>按</w:t>
            </w:r>
            <w:r>
              <w:rPr>
                <w:rFonts w:hint="eastAsia"/>
                <w:kern w:val="0"/>
                <w:szCs w:val="21"/>
              </w:rPr>
              <w:t>发生（</w:t>
            </w:r>
            <w:r>
              <w:rPr>
                <w:rFonts w:hint="eastAsia" w:ascii="宋体" w:hAnsi="宋体"/>
                <w:szCs w:val="21"/>
              </w:rPr>
              <w:t>营业执照标注的成立日期</w:t>
            </w:r>
            <w:r>
              <w:rPr>
                <w:rFonts w:hint="eastAsia"/>
                <w:kern w:val="0"/>
                <w:szCs w:val="21"/>
              </w:rPr>
              <w:t>）当日中国人民银行公布的汇率的中间价计算</w:t>
            </w:r>
            <w:r>
              <w:rPr>
                <w:rFonts w:hint="eastAsia" w:ascii="Courier New" w:hAnsi="Courier New"/>
                <w:kern w:val="0"/>
                <w:szCs w:val="21"/>
              </w:rPr>
              <w:t>为等值人民币</w:t>
            </w:r>
            <w:r>
              <w:rPr>
                <w:rFonts w:hint="eastAsia"/>
                <w:kern w:val="0"/>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11.3</w:t>
            </w:r>
          </w:p>
        </w:tc>
        <w:tc>
          <w:tcPr>
            <w:tcW w:w="1666" w:type="dxa"/>
            <w:shd w:val="clear" w:color="auto" w:fill="auto"/>
            <w:vAlign w:val="center"/>
          </w:tcPr>
          <w:p>
            <w:pPr>
              <w:autoSpaceDE w:val="0"/>
              <w:autoSpaceDN w:val="0"/>
              <w:rPr>
                <w:rFonts w:ascii="宋体" w:hAnsi="宋体"/>
                <w:szCs w:val="21"/>
              </w:rPr>
            </w:pPr>
            <w:r>
              <w:rPr>
                <w:rFonts w:hint="eastAsia"/>
                <w:bCs/>
                <w:szCs w:val="21"/>
              </w:rPr>
              <w:t>网络与信息安全</w:t>
            </w:r>
          </w:p>
        </w:tc>
        <w:tc>
          <w:tcPr>
            <w:tcW w:w="5922" w:type="dxa"/>
            <w:shd w:val="clear" w:color="auto" w:fill="auto"/>
            <w:vAlign w:val="center"/>
          </w:tcPr>
          <w:p>
            <w:pPr>
              <w:rPr>
                <w:rFonts w:ascii="宋体" w:hAnsi="宋体"/>
                <w:szCs w:val="21"/>
              </w:rPr>
            </w:pPr>
            <w:r>
              <w:rPr>
                <w:rFonts w:hint="eastAsia"/>
                <w:bCs/>
                <w:szCs w:val="21"/>
              </w:rPr>
              <w:t>投标人提供的产品或服务必须符合国家对网络与信息安全的相关要求。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11.4</w:t>
            </w:r>
          </w:p>
        </w:tc>
        <w:tc>
          <w:tcPr>
            <w:tcW w:w="1666" w:type="dxa"/>
            <w:shd w:val="clear" w:color="auto" w:fill="auto"/>
            <w:vAlign w:val="center"/>
          </w:tcPr>
          <w:p>
            <w:pPr>
              <w:autoSpaceDE w:val="0"/>
              <w:autoSpaceDN w:val="0"/>
              <w:rPr>
                <w:rFonts w:ascii="宋体" w:hAnsi="宋体"/>
                <w:szCs w:val="21"/>
              </w:rPr>
            </w:pPr>
            <w:r>
              <w:rPr>
                <w:rFonts w:hint="eastAsia"/>
                <w:bCs/>
                <w:szCs w:val="21"/>
              </w:rPr>
              <w:t>发票要求</w:t>
            </w:r>
          </w:p>
        </w:tc>
        <w:tc>
          <w:tcPr>
            <w:tcW w:w="5922" w:type="dxa"/>
            <w:shd w:val="clear" w:color="auto" w:fill="auto"/>
            <w:vAlign w:val="center"/>
          </w:tcPr>
          <w:p>
            <w:pPr>
              <w:rPr>
                <w:rFonts w:ascii="宋体" w:hAnsi="宋体"/>
                <w:szCs w:val="21"/>
              </w:rPr>
            </w:pPr>
            <w:r>
              <w:rPr>
                <w:rFonts w:hint="eastAsia"/>
                <w:bCs/>
                <w:szCs w:val="21"/>
              </w:rPr>
              <w:t>投标人须提供符合国家税率规定的增值税专用发票。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bookmarkStart w:id="32" w:name="_Toc447188667"/>
            <w:bookmarkStart w:id="33" w:name="_Toc227057885"/>
            <w:bookmarkStart w:id="34" w:name="_Toc226969278"/>
            <w:bookmarkStart w:id="35" w:name="_Toc107822484"/>
            <w:bookmarkStart w:id="36" w:name="_Toc488655831"/>
            <w:r>
              <w:rPr>
                <w:rFonts w:hint="eastAsia" w:ascii="宋体" w:hAnsi="宋体" w:cs="宋体"/>
                <w:szCs w:val="21"/>
              </w:rPr>
              <w:t>11.6</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其他</w:t>
            </w:r>
          </w:p>
        </w:tc>
        <w:tc>
          <w:tcPr>
            <w:tcW w:w="5922" w:type="dxa"/>
            <w:shd w:val="clear" w:color="auto" w:fill="auto"/>
            <w:vAlign w:val="center"/>
          </w:tcPr>
          <w:p>
            <w:pPr>
              <w:rPr>
                <w:rFonts w:ascii="宋体" w:hAnsi="宋体" w:cs="宋体"/>
                <w:szCs w:val="21"/>
              </w:rPr>
            </w:pPr>
            <w:r>
              <w:rPr>
                <w:rFonts w:hint="eastAsia" w:ascii="宋体" w:hAnsi="宋体" w:cs="宋体"/>
                <w:szCs w:val="21"/>
              </w:rPr>
              <w:t>本项目投标家数少于4家的，项目招标失败。</w:t>
            </w:r>
          </w:p>
        </w:tc>
      </w:tr>
    </w:tbl>
    <w:p>
      <w:pPr>
        <w:pStyle w:val="38"/>
        <w:tabs>
          <w:tab w:val="left" w:pos="602"/>
        </w:tabs>
        <w:snapToGrid w:val="0"/>
        <w:spacing w:before="120" w:after="120" w:line="440" w:lineRule="exact"/>
        <w:jc w:val="left"/>
        <w:rPr>
          <w:rFonts w:ascii="宋体" w:hAnsi="宋体"/>
          <w:sz w:val="28"/>
          <w:szCs w:val="28"/>
        </w:rPr>
        <w:sectPr>
          <w:footerReference r:id="rId6" w:type="first"/>
          <w:footerReference r:id="rId5" w:type="default"/>
          <w:pgSz w:w="11906" w:h="16838"/>
          <w:pgMar w:top="1440" w:right="1800" w:bottom="1440" w:left="1800" w:header="851" w:footer="992" w:gutter="0"/>
          <w:cols w:space="720" w:num="1"/>
          <w:titlePg/>
          <w:docGrid w:type="lines" w:linePitch="312" w:charSpace="0"/>
        </w:sectPr>
      </w:pPr>
    </w:p>
    <w:p>
      <w:pPr>
        <w:numPr>
          <w:ilvl w:val="0"/>
          <w:numId w:val="4"/>
        </w:numPr>
        <w:rPr>
          <w:b/>
          <w:bCs/>
          <w:sz w:val="24"/>
          <w:szCs w:val="32"/>
        </w:rPr>
      </w:pPr>
      <w:bookmarkStart w:id="37" w:name="_Toc447265502"/>
      <w:bookmarkStart w:id="38" w:name="_Toc447265216"/>
      <w:r>
        <w:rPr>
          <w:rFonts w:hint="eastAsia"/>
          <w:b/>
          <w:bCs/>
          <w:sz w:val="24"/>
          <w:szCs w:val="32"/>
        </w:rPr>
        <w:t>总则</w:t>
      </w:r>
      <w:bookmarkEnd w:id="32"/>
      <w:bookmarkEnd w:id="37"/>
      <w:bookmarkEnd w:id="38"/>
    </w:p>
    <w:p>
      <w:pPr>
        <w:rPr>
          <w:b/>
          <w:bCs/>
          <w:sz w:val="24"/>
          <w:szCs w:val="32"/>
        </w:rPr>
      </w:pPr>
      <w:bookmarkStart w:id="39" w:name="_Toc296602421"/>
      <w:bookmarkStart w:id="40" w:name="_Toc246996176"/>
      <w:bookmarkStart w:id="41" w:name="_Toc179632547"/>
      <w:bookmarkStart w:id="42" w:name="_Toc144974498"/>
      <w:bookmarkStart w:id="43" w:name="_Toc246996919"/>
      <w:bookmarkStart w:id="44" w:name="_Toc447188668"/>
      <w:bookmarkStart w:id="45" w:name="_Toc152042306"/>
      <w:bookmarkStart w:id="46" w:name="_Toc247085690"/>
      <w:bookmarkStart w:id="47" w:name="_Toc447265503"/>
      <w:bookmarkStart w:id="48" w:name="_Toc46496126"/>
      <w:bookmarkStart w:id="49" w:name="_Toc447265217"/>
      <w:bookmarkStart w:id="50" w:name="_Toc152045530"/>
      <w:r>
        <w:rPr>
          <w:b/>
          <w:bCs/>
          <w:sz w:val="24"/>
          <w:szCs w:val="32"/>
        </w:rPr>
        <w:t>1.1</w:t>
      </w:r>
      <w:r>
        <w:rPr>
          <w:rFonts w:hint="eastAsia"/>
          <w:b/>
          <w:bCs/>
          <w:sz w:val="24"/>
          <w:szCs w:val="32"/>
        </w:rPr>
        <w:t>项目概况</w:t>
      </w:r>
      <w:bookmarkEnd w:id="33"/>
      <w:bookmarkEnd w:id="34"/>
      <w:bookmarkEnd w:id="39"/>
      <w:bookmarkEnd w:id="40"/>
      <w:bookmarkEnd w:id="41"/>
      <w:bookmarkEnd w:id="42"/>
      <w:bookmarkEnd w:id="43"/>
      <w:bookmarkEnd w:id="44"/>
      <w:bookmarkEnd w:id="45"/>
      <w:bookmarkEnd w:id="46"/>
      <w:bookmarkEnd w:id="47"/>
      <w:bookmarkEnd w:id="48"/>
      <w:bookmarkEnd w:id="49"/>
      <w:bookmarkEnd w:id="50"/>
    </w:p>
    <w:p>
      <w:pPr>
        <w:pStyle w:val="23"/>
        <w:tabs>
          <w:tab w:val="left" w:pos="630"/>
        </w:tabs>
        <w:snapToGrid w:val="0"/>
        <w:spacing w:line="440" w:lineRule="exact"/>
        <w:ind w:firstLine="424" w:firstLineChars="202"/>
        <w:rPr>
          <w:rFonts w:hAnsi="宋体" w:cs="宋体"/>
        </w:rPr>
      </w:pPr>
      <w:r>
        <w:rPr>
          <w:rFonts w:hAnsi="宋体"/>
        </w:rPr>
        <w:t>1.1.1</w:t>
      </w:r>
      <w:r>
        <w:rPr>
          <w:rFonts w:hint="eastAsia" w:hAnsi="宋体"/>
        </w:rPr>
        <w:t>本招标项目已具备招标条件，现对本项目进行招标。</w:t>
      </w:r>
    </w:p>
    <w:p>
      <w:pPr>
        <w:pStyle w:val="23"/>
        <w:tabs>
          <w:tab w:val="left" w:pos="630"/>
        </w:tabs>
        <w:snapToGrid w:val="0"/>
        <w:spacing w:line="440" w:lineRule="exact"/>
        <w:ind w:firstLine="424" w:firstLineChars="202"/>
        <w:rPr>
          <w:rFonts w:hAnsi="宋体"/>
        </w:rPr>
      </w:pPr>
      <w:r>
        <w:rPr>
          <w:rFonts w:hAnsi="宋体"/>
        </w:rPr>
        <w:t>1.1.2</w:t>
      </w:r>
      <w:r>
        <w:rPr>
          <w:rFonts w:hint="eastAsia" w:hAnsi="宋体"/>
        </w:rPr>
        <w:t>招标人：招标人单位名称及联系方式见投标人须知前附表。</w:t>
      </w:r>
    </w:p>
    <w:p>
      <w:pPr>
        <w:pStyle w:val="23"/>
        <w:tabs>
          <w:tab w:val="left" w:pos="630"/>
        </w:tabs>
        <w:snapToGrid w:val="0"/>
        <w:spacing w:line="440" w:lineRule="exact"/>
        <w:ind w:firstLine="424" w:firstLineChars="202"/>
        <w:rPr>
          <w:rFonts w:hAnsi="宋体"/>
        </w:rPr>
      </w:pPr>
      <w:r>
        <w:rPr>
          <w:rFonts w:hAnsi="宋体"/>
        </w:rPr>
        <w:t>1.1.3项目名称：项目名称及招标代理编号见投标人须知前附表。</w:t>
      </w:r>
    </w:p>
    <w:p>
      <w:pPr>
        <w:rPr>
          <w:b/>
          <w:bCs/>
          <w:sz w:val="24"/>
          <w:szCs w:val="32"/>
        </w:rPr>
      </w:pPr>
      <w:bookmarkStart w:id="51" w:name="_Toc447188669"/>
      <w:bookmarkStart w:id="52" w:name="_Toc226969279"/>
      <w:bookmarkStart w:id="53" w:name="_Toc227057886"/>
      <w:bookmarkStart w:id="54" w:name="_Toc46496127"/>
      <w:bookmarkStart w:id="55" w:name="_Toc447265504"/>
      <w:bookmarkStart w:id="56" w:name="_Toc447265218"/>
      <w:r>
        <w:rPr>
          <w:b/>
          <w:bCs/>
          <w:sz w:val="24"/>
          <w:szCs w:val="32"/>
        </w:rPr>
        <w:t>1.2</w:t>
      </w:r>
      <w:r>
        <w:rPr>
          <w:rFonts w:hint="eastAsia"/>
          <w:b/>
          <w:bCs/>
          <w:sz w:val="24"/>
          <w:szCs w:val="32"/>
        </w:rPr>
        <w:t>资金来源</w:t>
      </w:r>
      <w:bookmarkEnd w:id="51"/>
      <w:bookmarkEnd w:id="52"/>
      <w:bookmarkEnd w:id="53"/>
      <w:r>
        <w:rPr>
          <w:rFonts w:hint="eastAsia"/>
          <w:b/>
          <w:bCs/>
          <w:sz w:val="24"/>
          <w:szCs w:val="32"/>
        </w:rPr>
        <w:t>和落实情况</w:t>
      </w:r>
      <w:bookmarkEnd w:id="54"/>
      <w:bookmarkEnd w:id="55"/>
      <w:bookmarkEnd w:id="56"/>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本项目资金已落实，资金来源见投标人须知前附表。</w:t>
      </w:r>
    </w:p>
    <w:p>
      <w:pPr>
        <w:rPr>
          <w:b/>
          <w:bCs/>
          <w:sz w:val="24"/>
          <w:szCs w:val="32"/>
        </w:rPr>
      </w:pPr>
      <w:bookmarkStart w:id="57" w:name="_Toc447188670"/>
      <w:bookmarkStart w:id="58" w:name="_Toc447265505"/>
      <w:bookmarkStart w:id="59" w:name="_Toc46496128"/>
      <w:bookmarkStart w:id="60" w:name="_Toc447265219"/>
      <w:r>
        <w:rPr>
          <w:b/>
          <w:bCs/>
          <w:sz w:val="24"/>
          <w:szCs w:val="32"/>
        </w:rPr>
        <w:t>1.3</w:t>
      </w:r>
      <w:r>
        <w:rPr>
          <w:rFonts w:hint="eastAsia"/>
          <w:b/>
          <w:bCs/>
          <w:sz w:val="24"/>
          <w:szCs w:val="32"/>
        </w:rPr>
        <w:t>采购范围</w:t>
      </w:r>
      <w:bookmarkEnd w:id="57"/>
      <w:bookmarkEnd w:id="58"/>
      <w:bookmarkEnd w:id="59"/>
      <w:bookmarkEnd w:id="60"/>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本项目采购范围：见投标人须知前附表。</w:t>
      </w:r>
    </w:p>
    <w:p>
      <w:pPr>
        <w:rPr>
          <w:b/>
          <w:bCs/>
          <w:sz w:val="24"/>
          <w:szCs w:val="32"/>
        </w:rPr>
      </w:pPr>
      <w:bookmarkStart w:id="61" w:name="_Toc46496129"/>
      <w:r>
        <w:rPr>
          <w:b/>
          <w:bCs/>
          <w:sz w:val="24"/>
          <w:szCs w:val="32"/>
        </w:rPr>
        <w:t>1.4</w:t>
      </w:r>
      <w:r>
        <w:rPr>
          <w:rFonts w:hint="eastAsia"/>
          <w:b/>
          <w:bCs/>
          <w:sz w:val="24"/>
          <w:szCs w:val="32"/>
        </w:rPr>
        <w:t>采购包划分</w:t>
      </w:r>
      <w:bookmarkEnd w:id="61"/>
    </w:p>
    <w:p>
      <w:pPr>
        <w:pStyle w:val="23"/>
        <w:tabs>
          <w:tab w:val="left" w:pos="630"/>
        </w:tabs>
        <w:snapToGrid w:val="0"/>
        <w:spacing w:line="440" w:lineRule="exact"/>
        <w:ind w:firstLine="420" w:firstLineChars="200"/>
        <w:rPr>
          <w:rFonts w:hAnsi="宋体"/>
        </w:rPr>
      </w:pPr>
      <w:r>
        <w:rPr>
          <w:rFonts w:hint="eastAsia" w:hAnsi="宋体"/>
        </w:rPr>
        <w:t>本项目采购包划分情况见投标人须知前附表。</w:t>
      </w:r>
      <w:bookmarkEnd w:id="35"/>
    </w:p>
    <w:p>
      <w:pPr>
        <w:rPr>
          <w:b/>
          <w:bCs/>
          <w:sz w:val="24"/>
          <w:szCs w:val="32"/>
        </w:rPr>
      </w:pPr>
      <w:bookmarkStart w:id="62" w:name="_Toc447188672"/>
      <w:bookmarkStart w:id="63" w:name="_Toc46496130"/>
      <w:bookmarkStart w:id="64" w:name="_Toc447265221"/>
      <w:bookmarkStart w:id="65" w:name="_Toc447265507"/>
      <w:bookmarkStart w:id="66" w:name="_Toc227057888"/>
      <w:bookmarkStart w:id="67" w:name="_Toc226969281"/>
      <w:bookmarkStart w:id="68" w:name="_Toc107822486"/>
      <w:r>
        <w:rPr>
          <w:b/>
          <w:bCs/>
          <w:sz w:val="24"/>
          <w:szCs w:val="32"/>
        </w:rPr>
        <w:t>1.5</w:t>
      </w:r>
      <w:r>
        <w:rPr>
          <w:rFonts w:hint="eastAsia"/>
          <w:b/>
          <w:bCs/>
          <w:sz w:val="24"/>
          <w:szCs w:val="32"/>
        </w:rPr>
        <w:t>招标方式</w:t>
      </w:r>
      <w:bookmarkEnd w:id="62"/>
      <w:bookmarkEnd w:id="63"/>
      <w:bookmarkEnd w:id="64"/>
      <w:bookmarkEnd w:id="65"/>
      <w:bookmarkEnd w:id="66"/>
      <w:bookmarkEnd w:id="67"/>
      <w:bookmarkEnd w:id="68"/>
    </w:p>
    <w:p>
      <w:pPr>
        <w:adjustRightInd w:val="0"/>
        <w:snapToGrid w:val="0"/>
        <w:spacing w:line="440" w:lineRule="exact"/>
        <w:ind w:firstLine="424" w:firstLineChars="202"/>
        <w:rPr>
          <w:rFonts w:ascii="宋体" w:hAnsi="宋体" w:cs="宋体"/>
          <w:szCs w:val="21"/>
        </w:rPr>
      </w:pPr>
      <w:r>
        <w:rPr>
          <w:rFonts w:ascii="宋体" w:hAnsi="宋体" w:cs="宋体"/>
          <w:szCs w:val="21"/>
        </w:rPr>
        <w:t>1.5.1招标方式见投标人须知前附表。</w:t>
      </w:r>
    </w:p>
    <w:p>
      <w:pPr>
        <w:pStyle w:val="23"/>
        <w:tabs>
          <w:tab w:val="left" w:pos="630"/>
        </w:tabs>
        <w:snapToGrid w:val="0"/>
        <w:spacing w:line="440" w:lineRule="exact"/>
        <w:ind w:firstLine="424" w:firstLineChars="202"/>
        <w:rPr>
          <w:rFonts w:hAnsi="宋体"/>
        </w:rPr>
      </w:pPr>
      <w:r>
        <w:rPr>
          <w:rFonts w:hAnsi="宋体"/>
        </w:rPr>
        <w:t>1.5.2公开招标</w:t>
      </w:r>
      <w:r>
        <w:rPr>
          <w:rFonts w:hint="eastAsia" w:hAnsi="宋体"/>
        </w:rPr>
        <w:t>入围</w:t>
      </w:r>
      <w:r>
        <w:rPr>
          <w:rFonts w:hAnsi="宋体"/>
        </w:rPr>
        <w:t>，是指招标人以</w:t>
      </w:r>
      <w:r>
        <w:rPr>
          <w:rFonts w:hint="eastAsia" w:hAnsi="宋体"/>
        </w:rPr>
        <w:t>招募公告</w:t>
      </w:r>
      <w:r>
        <w:rPr>
          <w:rFonts w:hAnsi="宋体"/>
        </w:rPr>
        <w:t>的方式邀请不特定的法人或者其他组织投标。</w:t>
      </w:r>
    </w:p>
    <w:p>
      <w:pPr>
        <w:rPr>
          <w:b/>
          <w:bCs/>
          <w:sz w:val="24"/>
          <w:szCs w:val="32"/>
        </w:rPr>
      </w:pPr>
      <w:bookmarkStart w:id="69" w:name="_Toc447265222"/>
      <w:bookmarkStart w:id="70" w:name="_Toc227057887"/>
      <w:bookmarkStart w:id="71" w:name="_Toc46496131"/>
      <w:bookmarkStart w:id="72" w:name="_Toc107822485"/>
      <w:bookmarkStart w:id="73" w:name="_Toc226969280"/>
      <w:bookmarkStart w:id="74" w:name="_Toc447188673"/>
      <w:bookmarkStart w:id="75" w:name="_Toc447265508"/>
      <w:bookmarkStart w:id="76" w:name="_Toc227057889"/>
      <w:bookmarkStart w:id="77" w:name="_Toc226969282"/>
      <w:r>
        <w:rPr>
          <w:b/>
          <w:bCs/>
          <w:sz w:val="24"/>
          <w:szCs w:val="32"/>
        </w:rPr>
        <w:t>1.6</w:t>
      </w:r>
      <w:r>
        <w:rPr>
          <w:rFonts w:hint="eastAsia"/>
          <w:b/>
          <w:bCs/>
          <w:sz w:val="24"/>
          <w:szCs w:val="32"/>
        </w:rPr>
        <w:t>招标组织形式</w:t>
      </w:r>
      <w:bookmarkEnd w:id="69"/>
      <w:bookmarkEnd w:id="70"/>
      <w:bookmarkEnd w:id="71"/>
      <w:bookmarkEnd w:id="72"/>
      <w:bookmarkEnd w:id="73"/>
      <w:bookmarkEnd w:id="74"/>
      <w:bookmarkEnd w:id="75"/>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本项目由招标人自行组织</w:t>
      </w:r>
      <w:r>
        <w:rPr>
          <w:rFonts w:ascii="宋体" w:hAnsi="宋体" w:cs="宋体"/>
          <w:szCs w:val="21"/>
        </w:rPr>
        <w:t>/委托</w:t>
      </w:r>
      <w:r>
        <w:rPr>
          <w:rFonts w:hint="eastAsia" w:ascii="宋体" w:hAnsi="宋体" w:cs="宋体"/>
          <w:szCs w:val="21"/>
        </w:rPr>
        <w:t>招标代理机构采用代理招标的方式进行，招标组织形式、招标代理机构名称及联系方式见投标人须知前附表。</w:t>
      </w:r>
    </w:p>
    <w:p>
      <w:pPr>
        <w:rPr>
          <w:b/>
          <w:bCs/>
          <w:sz w:val="24"/>
          <w:szCs w:val="32"/>
        </w:rPr>
      </w:pPr>
      <w:bookmarkStart w:id="78" w:name="_Toc447265509"/>
      <w:bookmarkStart w:id="79" w:name="_Toc447188674"/>
      <w:bookmarkStart w:id="80" w:name="_Toc46496132"/>
      <w:bookmarkStart w:id="81" w:name="_Toc447265223"/>
      <w:r>
        <w:rPr>
          <w:b/>
          <w:bCs/>
          <w:sz w:val="24"/>
          <w:szCs w:val="32"/>
        </w:rPr>
        <w:t>1.7</w:t>
      </w:r>
      <w:r>
        <w:rPr>
          <w:rFonts w:hint="eastAsia"/>
          <w:b/>
          <w:bCs/>
          <w:sz w:val="24"/>
          <w:szCs w:val="32"/>
        </w:rPr>
        <w:t>资格审查</w:t>
      </w:r>
      <w:bookmarkEnd w:id="76"/>
      <w:bookmarkEnd w:id="77"/>
      <w:bookmarkEnd w:id="78"/>
      <w:bookmarkEnd w:id="79"/>
      <w:bookmarkEnd w:id="80"/>
      <w:bookmarkEnd w:id="81"/>
    </w:p>
    <w:p>
      <w:pPr>
        <w:pStyle w:val="23"/>
        <w:tabs>
          <w:tab w:val="left" w:pos="630"/>
        </w:tabs>
        <w:snapToGrid w:val="0"/>
        <w:spacing w:line="440" w:lineRule="exact"/>
        <w:ind w:firstLine="424" w:firstLineChars="202"/>
        <w:rPr>
          <w:rFonts w:hAnsi="宋体"/>
        </w:rPr>
      </w:pPr>
      <w:bookmarkStart w:id="82" w:name="_Toc447188675"/>
      <w:bookmarkStart w:id="83" w:name="_Toc447265510"/>
      <w:bookmarkStart w:id="84" w:name="_Toc447265224"/>
      <w:r>
        <w:rPr>
          <w:rFonts w:hAnsi="宋体" w:cs="宋体"/>
          <w:szCs w:val="21"/>
        </w:rPr>
        <w:t>1.7.1本招标项目</w:t>
      </w:r>
      <w:r>
        <w:rPr>
          <w:rFonts w:hint="eastAsia" w:hAnsi="宋体" w:cs="宋体"/>
          <w:szCs w:val="21"/>
        </w:rPr>
        <w:t>根据招募文件要求对</w:t>
      </w:r>
      <w:r>
        <w:rPr>
          <w:rFonts w:hAnsi="宋体"/>
        </w:rPr>
        <w:t>投标人进行的资格审查</w:t>
      </w:r>
      <w:r>
        <w:rPr>
          <w:rFonts w:hint="eastAsia" w:hAnsi="宋体"/>
        </w:rPr>
        <w:t>。</w:t>
      </w:r>
    </w:p>
    <w:p>
      <w:pPr>
        <w:pStyle w:val="23"/>
        <w:tabs>
          <w:tab w:val="left" w:pos="630"/>
        </w:tabs>
        <w:snapToGrid w:val="0"/>
        <w:spacing w:line="440" w:lineRule="exact"/>
        <w:ind w:firstLine="424" w:firstLineChars="202"/>
        <w:rPr>
          <w:rFonts w:hAnsi="宋体"/>
        </w:rPr>
      </w:pPr>
      <w:r>
        <w:rPr>
          <w:rFonts w:hint="eastAsia" w:hAnsi="宋体"/>
        </w:rPr>
        <w:t>资格后审一般包括下列内容，具体以文件要求为准：</w:t>
      </w:r>
    </w:p>
    <w:p>
      <w:pPr>
        <w:numPr>
          <w:ilvl w:val="0"/>
          <w:numId w:val="5"/>
        </w:numPr>
        <w:tabs>
          <w:tab w:val="left" w:pos="644"/>
        </w:tabs>
        <w:snapToGrid w:val="0"/>
        <w:spacing w:line="440" w:lineRule="exact"/>
        <w:ind w:left="0" w:firstLine="424" w:firstLineChars="202"/>
        <w:rPr>
          <w:rFonts w:ascii="宋体" w:hAnsi="宋体" w:cs="宋体"/>
          <w:szCs w:val="21"/>
        </w:rPr>
      </w:pPr>
      <w:r>
        <w:rPr>
          <w:rFonts w:hint="eastAsia" w:ascii="宋体" w:hAnsi="宋体" w:cs="宋体"/>
          <w:szCs w:val="21"/>
        </w:rPr>
        <w:t>资格要求；</w:t>
      </w:r>
    </w:p>
    <w:p>
      <w:pPr>
        <w:numPr>
          <w:ilvl w:val="0"/>
          <w:numId w:val="5"/>
        </w:numPr>
        <w:tabs>
          <w:tab w:val="left" w:pos="644"/>
        </w:tabs>
        <w:snapToGrid w:val="0"/>
        <w:spacing w:line="440" w:lineRule="exact"/>
        <w:ind w:left="0" w:firstLine="424" w:firstLineChars="202"/>
        <w:rPr>
          <w:rFonts w:ascii="宋体" w:hAnsi="宋体" w:cs="宋体"/>
          <w:szCs w:val="21"/>
        </w:rPr>
      </w:pPr>
      <w:r>
        <w:rPr>
          <w:rFonts w:hint="eastAsia" w:ascii="宋体" w:hAnsi="宋体" w:cs="宋体"/>
          <w:szCs w:val="21"/>
        </w:rPr>
        <w:t>其他业绩要求；</w:t>
      </w:r>
    </w:p>
    <w:p>
      <w:pPr>
        <w:numPr>
          <w:ilvl w:val="0"/>
          <w:numId w:val="5"/>
        </w:numPr>
        <w:tabs>
          <w:tab w:val="left" w:pos="644"/>
        </w:tabs>
        <w:snapToGrid w:val="0"/>
        <w:spacing w:line="440" w:lineRule="exact"/>
        <w:ind w:left="0" w:firstLine="424" w:firstLineChars="202"/>
        <w:rPr>
          <w:rFonts w:ascii="宋体" w:hAnsi="宋体" w:cs="宋体"/>
          <w:szCs w:val="21"/>
        </w:rPr>
      </w:pPr>
      <w:r>
        <w:rPr>
          <w:rFonts w:hint="eastAsia" w:ascii="宋体" w:hAnsi="宋体" w:cs="宋体"/>
          <w:szCs w:val="21"/>
        </w:rPr>
        <w:t>审查标准和方法。</w:t>
      </w:r>
    </w:p>
    <w:p>
      <w:pPr>
        <w:pStyle w:val="23"/>
        <w:tabs>
          <w:tab w:val="left" w:pos="630"/>
        </w:tabs>
        <w:snapToGrid w:val="0"/>
        <w:spacing w:line="440" w:lineRule="exact"/>
        <w:ind w:firstLine="424" w:firstLineChars="202"/>
        <w:rPr>
          <w:rFonts w:hAnsi="宋体"/>
        </w:rPr>
      </w:pPr>
      <w:r>
        <w:rPr>
          <w:rFonts w:hint="eastAsia" w:hAnsi="宋体"/>
        </w:rPr>
        <w:t>资格后审不合格的投标人，评审委员会应当否决其投标。</w:t>
      </w:r>
    </w:p>
    <w:p>
      <w:pPr>
        <w:rPr>
          <w:b/>
          <w:bCs/>
          <w:sz w:val="24"/>
          <w:szCs w:val="32"/>
        </w:rPr>
      </w:pPr>
      <w:bookmarkStart w:id="85" w:name="_Toc46496133"/>
      <w:r>
        <w:rPr>
          <w:b/>
          <w:bCs/>
          <w:sz w:val="24"/>
          <w:szCs w:val="32"/>
        </w:rPr>
        <w:t>1.8</w:t>
      </w:r>
      <w:r>
        <w:rPr>
          <w:rFonts w:hint="eastAsia"/>
          <w:b/>
          <w:bCs/>
          <w:sz w:val="24"/>
          <w:szCs w:val="32"/>
        </w:rPr>
        <w:t>投标人不得存在的情形</w:t>
      </w:r>
      <w:bookmarkEnd w:id="82"/>
      <w:bookmarkEnd w:id="83"/>
      <w:bookmarkEnd w:id="84"/>
      <w:bookmarkEnd w:id="85"/>
    </w:p>
    <w:p>
      <w:pPr>
        <w:pStyle w:val="23"/>
        <w:tabs>
          <w:tab w:val="left" w:pos="630"/>
        </w:tabs>
        <w:snapToGrid w:val="0"/>
        <w:spacing w:line="440" w:lineRule="exact"/>
        <w:ind w:firstLine="424" w:firstLineChars="202"/>
        <w:rPr>
          <w:rFonts w:hAnsi="宋体"/>
        </w:rPr>
      </w:pPr>
      <w:r>
        <w:rPr>
          <w:rFonts w:hAnsi="宋体"/>
        </w:rPr>
        <w:t>1.8.1投标人不得存在下列情形之一</w:t>
      </w:r>
    </w:p>
    <w:p>
      <w:pPr>
        <w:pStyle w:val="77"/>
        <w:numPr>
          <w:ilvl w:val="0"/>
          <w:numId w:val="6"/>
        </w:numPr>
        <w:tabs>
          <w:tab w:val="left" w:pos="630"/>
        </w:tabs>
        <w:spacing w:line="400" w:lineRule="exact"/>
        <w:ind w:left="0" w:firstLine="424" w:firstLineChars="202"/>
        <w:rPr>
          <w:rFonts w:ascii="宋体" w:hAnsi="宋体"/>
        </w:rPr>
      </w:pPr>
      <w:r>
        <w:rPr>
          <w:rFonts w:hint="eastAsia" w:ascii="宋体" w:hAnsi="宋体"/>
        </w:rPr>
        <w:t>为招标人不具有独立法人资格的附属机构（单位）；</w:t>
      </w:r>
      <w:r>
        <w:rPr>
          <w:rFonts w:ascii="宋体" w:hAnsi="宋体"/>
        </w:rPr>
        <w:t xml:space="preserve"> </w:t>
      </w:r>
    </w:p>
    <w:p>
      <w:pPr>
        <w:pStyle w:val="77"/>
        <w:numPr>
          <w:ilvl w:val="0"/>
          <w:numId w:val="6"/>
        </w:numPr>
        <w:tabs>
          <w:tab w:val="left" w:pos="630"/>
        </w:tabs>
        <w:spacing w:line="400" w:lineRule="exact"/>
        <w:ind w:left="0" w:firstLine="424" w:firstLineChars="202"/>
        <w:rPr>
          <w:rFonts w:ascii="宋体" w:hAnsi="宋体"/>
        </w:rPr>
      </w:pPr>
      <w:r>
        <w:rPr>
          <w:rFonts w:hint="eastAsia" w:ascii="宋体" w:hAnsi="宋体"/>
        </w:rPr>
        <w:t>被责令停业的；</w:t>
      </w:r>
      <w:r>
        <w:rPr>
          <w:rFonts w:ascii="宋体" w:hAnsi="宋体"/>
        </w:rPr>
        <w:t xml:space="preserve"> </w:t>
      </w:r>
    </w:p>
    <w:p>
      <w:pPr>
        <w:pStyle w:val="77"/>
        <w:numPr>
          <w:ilvl w:val="0"/>
          <w:numId w:val="6"/>
        </w:numPr>
        <w:tabs>
          <w:tab w:val="left" w:pos="630"/>
        </w:tabs>
        <w:spacing w:line="400" w:lineRule="exact"/>
        <w:ind w:left="0" w:firstLine="424" w:firstLineChars="202"/>
        <w:rPr>
          <w:rFonts w:ascii="宋体" w:hAnsi="宋体"/>
        </w:rPr>
      </w:pPr>
      <w:r>
        <w:rPr>
          <w:rFonts w:hint="eastAsia" w:ascii="宋体" w:hAnsi="宋体"/>
        </w:rPr>
        <w:t>被暂停或者取消投标资格的；</w:t>
      </w:r>
      <w:r>
        <w:rPr>
          <w:rFonts w:ascii="宋体" w:hAnsi="宋体"/>
        </w:rPr>
        <w:t xml:space="preserve"> </w:t>
      </w:r>
    </w:p>
    <w:p>
      <w:pPr>
        <w:pStyle w:val="77"/>
        <w:numPr>
          <w:ilvl w:val="0"/>
          <w:numId w:val="6"/>
        </w:numPr>
        <w:tabs>
          <w:tab w:val="left" w:pos="630"/>
        </w:tabs>
        <w:spacing w:line="400" w:lineRule="exact"/>
        <w:ind w:left="0" w:firstLine="424" w:firstLineChars="202"/>
        <w:rPr>
          <w:rFonts w:ascii="宋体" w:hAnsi="宋体"/>
        </w:rPr>
      </w:pPr>
      <w:r>
        <w:rPr>
          <w:rFonts w:hint="eastAsia" w:ascii="宋体" w:hAnsi="宋体"/>
        </w:rPr>
        <w:t>财产被接管或者冻结的；</w:t>
      </w:r>
    </w:p>
    <w:p>
      <w:pPr>
        <w:pStyle w:val="77"/>
        <w:numPr>
          <w:ilvl w:val="0"/>
          <w:numId w:val="6"/>
        </w:numPr>
        <w:tabs>
          <w:tab w:val="left" w:pos="630"/>
        </w:tabs>
        <w:spacing w:line="400" w:lineRule="exact"/>
        <w:ind w:left="0" w:firstLine="424" w:firstLineChars="202"/>
        <w:rPr>
          <w:rFonts w:ascii="宋体" w:hAnsi="宋体"/>
        </w:rPr>
      </w:pPr>
      <w:r>
        <w:rPr>
          <w:rFonts w:hint="eastAsia" w:ascii="宋体" w:hAnsi="宋体"/>
        </w:rPr>
        <w:t>在最近三年内有骗取中标、严重违约、重大工程质量或者安全问题的；</w:t>
      </w:r>
    </w:p>
    <w:p>
      <w:pPr>
        <w:pStyle w:val="77"/>
        <w:numPr>
          <w:ilvl w:val="0"/>
          <w:numId w:val="6"/>
        </w:numPr>
        <w:tabs>
          <w:tab w:val="left" w:pos="630"/>
        </w:tabs>
        <w:spacing w:line="400" w:lineRule="exact"/>
        <w:ind w:left="0" w:firstLine="424" w:firstLineChars="202"/>
        <w:rPr>
          <w:rFonts w:ascii="宋体" w:hAnsi="宋体"/>
        </w:rPr>
      </w:pPr>
      <w:r>
        <w:rPr>
          <w:rFonts w:hint="eastAsia" w:ascii="宋体" w:hAnsi="宋体"/>
        </w:rPr>
        <w:t>法律法规限定的其他情形；</w:t>
      </w:r>
    </w:p>
    <w:p>
      <w:pPr>
        <w:pStyle w:val="77"/>
        <w:numPr>
          <w:ilvl w:val="0"/>
          <w:numId w:val="6"/>
        </w:numPr>
        <w:tabs>
          <w:tab w:val="left" w:pos="630"/>
        </w:tabs>
        <w:spacing w:line="400" w:lineRule="exact"/>
        <w:ind w:left="0" w:firstLine="424" w:firstLineChars="202"/>
        <w:rPr>
          <w:rFonts w:ascii="宋体" w:hAnsi="宋体"/>
        </w:rPr>
      </w:pPr>
      <w:r>
        <w:rPr>
          <w:rFonts w:hint="eastAsia" w:ascii="宋体" w:hAnsi="宋体"/>
        </w:rPr>
        <w:t>招募文件规定的其他情形：见投标人须知前附表。</w:t>
      </w:r>
    </w:p>
    <w:p>
      <w:pPr>
        <w:pStyle w:val="23"/>
        <w:tabs>
          <w:tab w:val="left" w:pos="630"/>
        </w:tabs>
        <w:snapToGrid w:val="0"/>
        <w:spacing w:line="440" w:lineRule="exact"/>
        <w:ind w:firstLine="424" w:firstLineChars="202"/>
        <w:rPr>
          <w:rFonts w:hAnsi="宋体"/>
        </w:rPr>
      </w:pPr>
      <w:r>
        <w:rPr>
          <w:rFonts w:hAnsi="宋体"/>
        </w:rPr>
        <w:t>1.8.2单位负责人为同一人或者存在控股、管理关系的不同单位，不得同时投标本项目中同一采购包或者投标未划分采购包的同一项目。</w:t>
      </w:r>
    </w:p>
    <w:p>
      <w:pPr>
        <w:rPr>
          <w:b/>
          <w:bCs/>
          <w:sz w:val="24"/>
          <w:szCs w:val="32"/>
        </w:rPr>
      </w:pPr>
      <w:bookmarkStart w:id="86" w:name="_Toc226969284"/>
      <w:bookmarkStart w:id="87" w:name="_Toc447188676"/>
      <w:bookmarkStart w:id="88" w:name="_Toc447265225"/>
      <w:bookmarkStart w:id="89" w:name="_Toc46496134"/>
      <w:bookmarkStart w:id="90" w:name="_Toc227057890"/>
      <w:bookmarkStart w:id="91" w:name="_Toc447265511"/>
      <w:bookmarkStart w:id="92" w:name="_Toc107822487"/>
      <w:r>
        <w:rPr>
          <w:b/>
          <w:bCs/>
          <w:sz w:val="24"/>
          <w:szCs w:val="32"/>
        </w:rPr>
        <w:t>1.9</w:t>
      </w:r>
      <w:r>
        <w:rPr>
          <w:rFonts w:hint="eastAsia"/>
          <w:b/>
          <w:bCs/>
          <w:sz w:val="24"/>
          <w:szCs w:val="32"/>
        </w:rPr>
        <w:t>合格的货物和服务</w:t>
      </w:r>
      <w:bookmarkEnd w:id="86"/>
      <w:bookmarkEnd w:id="87"/>
      <w:bookmarkEnd w:id="88"/>
      <w:bookmarkEnd w:id="89"/>
      <w:bookmarkEnd w:id="90"/>
      <w:bookmarkEnd w:id="91"/>
      <w:bookmarkEnd w:id="92"/>
    </w:p>
    <w:p>
      <w:pPr>
        <w:pStyle w:val="23"/>
        <w:tabs>
          <w:tab w:val="left" w:pos="630"/>
        </w:tabs>
        <w:snapToGrid w:val="0"/>
        <w:spacing w:line="440" w:lineRule="exact"/>
        <w:ind w:firstLine="283" w:firstLineChars="135"/>
        <w:rPr>
          <w:rFonts w:hAnsi="宋体"/>
        </w:rPr>
      </w:pPr>
      <w:r>
        <w:rPr>
          <w:rFonts w:hAnsi="宋体"/>
        </w:rPr>
        <w:t>1.9.1投标人提供的所有货物及其有关服务的原产地，均应当来自中国或者是与中国有正常贸易往来的国家或者地区。招标人的支付也仅限于这些货物和服务。</w:t>
      </w:r>
    </w:p>
    <w:p>
      <w:pPr>
        <w:pStyle w:val="23"/>
        <w:tabs>
          <w:tab w:val="left" w:pos="630"/>
        </w:tabs>
        <w:snapToGrid w:val="0"/>
        <w:spacing w:line="440" w:lineRule="exact"/>
        <w:ind w:firstLine="283" w:firstLineChars="135"/>
        <w:rPr>
          <w:rFonts w:hAnsi="宋体"/>
        </w:rPr>
      </w:pPr>
      <w:r>
        <w:rPr>
          <w:rFonts w:hAnsi="宋体"/>
        </w:rPr>
        <w:t>1.9.2本</w:t>
      </w:r>
      <w:r>
        <w:rPr>
          <w:rFonts w:hint="eastAsia" w:hAnsi="宋体"/>
        </w:rPr>
        <w:t>招募文件</w:t>
      </w:r>
      <w:r>
        <w:rPr>
          <w:rFonts w:hAnsi="宋体"/>
        </w:rPr>
        <w:t>所属的“原产地”是指货物开采、生长、生产或者提供有关服务的来源地。所述的“货物”是指制造、加工或者实质上装配了主要部件而形成的货物。商业上公认的产品是指基本特征、性能或者功能上与部件有着实质性区别的产品。</w:t>
      </w:r>
    </w:p>
    <w:p>
      <w:pPr>
        <w:pStyle w:val="23"/>
        <w:tabs>
          <w:tab w:val="left" w:pos="630"/>
        </w:tabs>
        <w:snapToGrid w:val="0"/>
        <w:spacing w:line="440" w:lineRule="exact"/>
        <w:ind w:firstLine="283" w:firstLineChars="135"/>
        <w:rPr>
          <w:rFonts w:hAnsi="宋体"/>
        </w:rPr>
      </w:pPr>
      <w:r>
        <w:rPr>
          <w:rFonts w:hAnsi="宋体"/>
        </w:rPr>
        <w:t>1.9.3投标人提供的所有货物及其有关服务应当符合国家规定的资格条件。</w:t>
      </w:r>
    </w:p>
    <w:p>
      <w:pPr>
        <w:rPr>
          <w:b/>
          <w:bCs/>
          <w:sz w:val="24"/>
          <w:szCs w:val="32"/>
        </w:rPr>
      </w:pPr>
      <w:bookmarkStart w:id="93" w:name="_Toc447188677"/>
      <w:bookmarkStart w:id="94" w:name="_Toc107822488"/>
      <w:bookmarkStart w:id="95" w:name="_Toc447265512"/>
      <w:bookmarkStart w:id="96" w:name="_Toc447265226"/>
      <w:bookmarkStart w:id="97" w:name="_Toc226969285"/>
      <w:bookmarkStart w:id="98" w:name="_Toc227057891"/>
      <w:bookmarkStart w:id="99" w:name="_Toc46496135"/>
      <w:r>
        <w:rPr>
          <w:b/>
          <w:bCs/>
          <w:sz w:val="24"/>
          <w:szCs w:val="32"/>
        </w:rPr>
        <w:t>1.10</w:t>
      </w:r>
      <w:r>
        <w:rPr>
          <w:rFonts w:hint="eastAsia"/>
          <w:b/>
          <w:bCs/>
          <w:sz w:val="24"/>
          <w:szCs w:val="32"/>
        </w:rPr>
        <w:t>投标费用</w:t>
      </w:r>
      <w:bookmarkEnd w:id="93"/>
      <w:bookmarkEnd w:id="94"/>
      <w:bookmarkEnd w:id="95"/>
      <w:bookmarkEnd w:id="96"/>
      <w:bookmarkEnd w:id="97"/>
      <w:bookmarkEnd w:id="98"/>
      <w:bookmarkEnd w:id="99"/>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不论结果如何，投标人自行承担所有准备和参与招标有关的费用。</w:t>
      </w:r>
      <w:bookmarkStart w:id="100" w:name="_Toc107822489"/>
      <w:bookmarkStart w:id="101" w:name="_Toc226969286"/>
      <w:bookmarkStart w:id="102" w:name="_Toc227057892"/>
    </w:p>
    <w:p>
      <w:pPr>
        <w:rPr>
          <w:b/>
          <w:bCs/>
          <w:sz w:val="24"/>
          <w:szCs w:val="32"/>
        </w:rPr>
      </w:pPr>
      <w:bookmarkStart w:id="103" w:name="_Toc46496136"/>
      <w:bookmarkStart w:id="104" w:name="_Toc447265227"/>
      <w:bookmarkStart w:id="105" w:name="_Toc447265513"/>
      <w:r>
        <w:rPr>
          <w:b/>
          <w:bCs/>
          <w:sz w:val="24"/>
          <w:szCs w:val="32"/>
        </w:rPr>
        <w:t>1.11</w:t>
      </w:r>
      <w:r>
        <w:rPr>
          <w:rFonts w:hint="eastAsia"/>
          <w:b/>
          <w:bCs/>
          <w:sz w:val="24"/>
          <w:szCs w:val="32"/>
        </w:rPr>
        <w:t>保密</w:t>
      </w:r>
      <w:bookmarkEnd w:id="103"/>
      <w:bookmarkEnd w:id="104"/>
      <w:bookmarkEnd w:id="105"/>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参与招标活动的各方应当对招募文件和投标申请文件中的商业和技术等秘密保密，违者应当对由此造成的后果承担法律责任。</w:t>
      </w:r>
    </w:p>
    <w:p>
      <w:pPr>
        <w:numPr>
          <w:ilvl w:val="0"/>
          <w:numId w:val="4"/>
        </w:numPr>
        <w:rPr>
          <w:b/>
          <w:bCs/>
          <w:sz w:val="24"/>
          <w:szCs w:val="32"/>
        </w:rPr>
      </w:pPr>
      <w:r>
        <w:rPr>
          <w:rFonts w:hint="eastAsia"/>
          <w:b/>
          <w:bCs/>
          <w:sz w:val="24"/>
          <w:szCs w:val="32"/>
        </w:rPr>
        <w:t>招募文件</w:t>
      </w:r>
      <w:r>
        <w:rPr>
          <w:b/>
          <w:bCs/>
          <w:sz w:val="24"/>
          <w:szCs w:val="32"/>
        </w:rPr>
        <w:t xml:space="preserve"> </w:t>
      </w:r>
    </w:p>
    <w:p>
      <w:pPr>
        <w:rPr>
          <w:b/>
          <w:bCs/>
          <w:sz w:val="24"/>
          <w:szCs w:val="32"/>
        </w:rPr>
      </w:pPr>
      <w:bookmarkStart w:id="106" w:name="_Toc447188679"/>
      <w:bookmarkStart w:id="107" w:name="_Toc46496138"/>
      <w:bookmarkStart w:id="108" w:name="_Toc447265229"/>
      <w:bookmarkStart w:id="109" w:name="_Toc447265515"/>
      <w:r>
        <w:rPr>
          <w:b/>
          <w:bCs/>
          <w:sz w:val="24"/>
          <w:szCs w:val="32"/>
        </w:rPr>
        <w:t>2.1</w:t>
      </w:r>
      <w:bookmarkEnd w:id="100"/>
      <w:r>
        <w:rPr>
          <w:rFonts w:hint="eastAsia"/>
          <w:b/>
          <w:bCs/>
          <w:sz w:val="24"/>
          <w:szCs w:val="32"/>
        </w:rPr>
        <w:t>招募文件的组成</w:t>
      </w:r>
      <w:bookmarkEnd w:id="101"/>
      <w:bookmarkEnd w:id="102"/>
      <w:bookmarkEnd w:id="106"/>
      <w:bookmarkEnd w:id="107"/>
      <w:bookmarkEnd w:id="108"/>
      <w:bookmarkEnd w:id="109"/>
    </w:p>
    <w:p>
      <w:pPr>
        <w:pStyle w:val="23"/>
        <w:tabs>
          <w:tab w:val="left" w:pos="630"/>
        </w:tabs>
        <w:snapToGrid w:val="0"/>
        <w:spacing w:line="440" w:lineRule="exact"/>
        <w:ind w:firstLine="424" w:firstLineChars="202"/>
        <w:rPr>
          <w:rFonts w:hAnsi="宋体"/>
        </w:rPr>
      </w:pPr>
      <w:r>
        <w:rPr>
          <w:rFonts w:hAnsi="宋体"/>
        </w:rPr>
        <w:t>2.1.1</w:t>
      </w:r>
      <w:r>
        <w:rPr>
          <w:rFonts w:hint="eastAsia" w:hAnsi="宋体"/>
        </w:rPr>
        <w:t>招募文件</w:t>
      </w:r>
      <w:r>
        <w:rPr>
          <w:rFonts w:hAnsi="宋体"/>
        </w:rPr>
        <w:t>一般由以下部分组成：</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第一章</w:t>
      </w:r>
      <w:r>
        <w:rPr>
          <w:rFonts w:ascii="宋体" w:hAnsi="宋体" w:cs="宋体"/>
          <w:szCs w:val="21"/>
        </w:rPr>
        <w:t xml:space="preserve"> </w:t>
      </w:r>
      <w:r>
        <w:rPr>
          <w:rFonts w:hint="eastAsia" w:ascii="宋体" w:hAnsi="宋体" w:cs="宋体"/>
          <w:szCs w:val="21"/>
        </w:rPr>
        <w:t>招募公告</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第二章</w:t>
      </w:r>
      <w:r>
        <w:rPr>
          <w:rFonts w:ascii="宋体" w:hAnsi="宋体" w:cs="宋体"/>
          <w:szCs w:val="21"/>
        </w:rPr>
        <w:t xml:space="preserve"> </w:t>
      </w:r>
      <w:r>
        <w:rPr>
          <w:rFonts w:hint="eastAsia" w:ascii="宋体" w:hAnsi="宋体" w:cs="宋体"/>
          <w:szCs w:val="21"/>
        </w:rPr>
        <w:t>投标人须知</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第三章</w:t>
      </w:r>
      <w:r>
        <w:rPr>
          <w:rFonts w:ascii="宋体" w:hAnsi="宋体" w:cs="宋体"/>
          <w:szCs w:val="21"/>
        </w:rPr>
        <w:t xml:space="preserve"> </w:t>
      </w:r>
      <w:r>
        <w:rPr>
          <w:rFonts w:hint="eastAsia" w:ascii="宋体" w:hAnsi="宋体" w:cs="宋体"/>
          <w:szCs w:val="21"/>
        </w:rPr>
        <w:t>评审办法</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第四章</w:t>
      </w:r>
      <w:r>
        <w:rPr>
          <w:rFonts w:ascii="宋体" w:hAnsi="宋体" w:cs="宋体"/>
          <w:szCs w:val="21"/>
        </w:rPr>
        <w:t xml:space="preserve"> </w:t>
      </w:r>
      <w:r>
        <w:rPr>
          <w:rFonts w:hint="eastAsia" w:ascii="宋体" w:hAnsi="宋体" w:cs="宋体"/>
          <w:szCs w:val="21"/>
        </w:rPr>
        <w:t>合同条款</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第五章</w:t>
      </w:r>
      <w:r>
        <w:rPr>
          <w:rFonts w:ascii="宋体" w:hAnsi="宋体" w:cs="宋体"/>
          <w:szCs w:val="21"/>
        </w:rPr>
        <w:t xml:space="preserve"> </w:t>
      </w:r>
      <w:r>
        <w:rPr>
          <w:rFonts w:hint="eastAsia" w:ascii="宋体" w:hAnsi="宋体" w:cs="宋体"/>
          <w:szCs w:val="21"/>
        </w:rPr>
        <w:t>采购需求书</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第六章</w:t>
      </w:r>
      <w:r>
        <w:rPr>
          <w:rFonts w:ascii="宋体" w:hAnsi="宋体" w:cs="宋体"/>
          <w:szCs w:val="21"/>
        </w:rPr>
        <w:t xml:space="preserve"> </w:t>
      </w:r>
      <w:r>
        <w:rPr>
          <w:rFonts w:hint="eastAsia" w:ascii="宋体" w:hAnsi="宋体" w:cs="宋体"/>
          <w:szCs w:val="21"/>
        </w:rPr>
        <w:t>投标申请文件格式</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第七章</w:t>
      </w:r>
      <w:r>
        <w:rPr>
          <w:rFonts w:ascii="宋体" w:hAnsi="宋体" w:cs="宋体"/>
          <w:szCs w:val="21"/>
        </w:rPr>
        <w:t xml:space="preserve"> </w:t>
      </w:r>
      <w:r>
        <w:rPr>
          <w:rFonts w:hint="eastAsia" w:ascii="宋体" w:hAnsi="宋体" w:cs="宋体"/>
          <w:szCs w:val="21"/>
        </w:rPr>
        <w:t>其他</w:t>
      </w:r>
    </w:p>
    <w:p>
      <w:pPr>
        <w:adjustRightInd w:val="0"/>
        <w:snapToGrid w:val="0"/>
        <w:spacing w:line="440" w:lineRule="exact"/>
        <w:ind w:firstLine="424" w:firstLineChars="202"/>
        <w:rPr>
          <w:rFonts w:ascii="宋体" w:hAnsi="宋体" w:cs="宋体"/>
          <w:szCs w:val="21"/>
        </w:rPr>
      </w:pPr>
      <w:r>
        <w:rPr>
          <w:rFonts w:ascii="宋体" w:hAnsi="宋体" w:cs="宋体"/>
          <w:szCs w:val="21"/>
        </w:rPr>
        <w:t>招标人另有规定的</w:t>
      </w:r>
      <w:r>
        <w:rPr>
          <w:rFonts w:hint="eastAsia" w:ascii="宋体" w:hAnsi="宋体" w:cs="宋体"/>
          <w:szCs w:val="21"/>
        </w:rPr>
        <w:t>，</w:t>
      </w:r>
      <w:r>
        <w:rPr>
          <w:rFonts w:ascii="宋体" w:hAnsi="宋体" w:cs="宋体"/>
          <w:szCs w:val="21"/>
        </w:rPr>
        <w:t>见投标人须知前附表</w:t>
      </w:r>
    </w:p>
    <w:p>
      <w:pPr>
        <w:pStyle w:val="23"/>
        <w:tabs>
          <w:tab w:val="left" w:pos="630"/>
        </w:tabs>
        <w:snapToGrid w:val="0"/>
        <w:spacing w:line="440" w:lineRule="exact"/>
        <w:ind w:firstLine="424" w:firstLineChars="202"/>
        <w:rPr>
          <w:rFonts w:hAnsi="宋体"/>
        </w:rPr>
      </w:pPr>
      <w:r>
        <w:rPr>
          <w:rFonts w:hAnsi="宋体"/>
        </w:rPr>
        <w:t>2.1.2</w:t>
      </w:r>
      <w:r>
        <w:rPr>
          <w:rFonts w:hint="eastAsia" w:hAnsi="宋体"/>
        </w:rPr>
        <w:t>招募文件</w:t>
      </w:r>
      <w:r>
        <w:rPr>
          <w:rFonts w:hAnsi="宋体"/>
        </w:rPr>
        <w:t>对同一内容的表述应当一致。第一章“</w:t>
      </w:r>
      <w:r>
        <w:rPr>
          <w:rFonts w:hint="eastAsia" w:hAnsi="宋体"/>
        </w:rPr>
        <w:t>招募公告</w:t>
      </w:r>
      <w:r>
        <w:rPr>
          <w:rFonts w:hAnsi="宋体"/>
        </w:rPr>
        <w:t>”与</w:t>
      </w:r>
      <w:r>
        <w:rPr>
          <w:rFonts w:hint="eastAsia" w:hAnsi="宋体"/>
        </w:rPr>
        <w:t>招募文件</w:t>
      </w:r>
      <w:r>
        <w:rPr>
          <w:rFonts w:hAnsi="宋体"/>
        </w:rPr>
        <w:t>在同一内容的表述上有矛盾或者冲突时，以第一章“</w:t>
      </w:r>
      <w:r>
        <w:rPr>
          <w:rFonts w:hint="eastAsia" w:hAnsi="宋体"/>
        </w:rPr>
        <w:t>招募公告</w:t>
      </w:r>
      <w:r>
        <w:rPr>
          <w:rFonts w:hAnsi="宋体"/>
        </w:rPr>
        <w:t>”</w:t>
      </w:r>
      <w:r>
        <w:rPr>
          <w:rFonts w:hint="eastAsia" w:hAnsi="宋体"/>
        </w:rPr>
        <w:t>为准；投标人须知前附表与投标人须知正文在同一内容的表述上有矛盾或者冲突时，以投标人须知前附表为准。</w:t>
      </w:r>
    </w:p>
    <w:p>
      <w:pPr>
        <w:pStyle w:val="23"/>
        <w:tabs>
          <w:tab w:val="left" w:pos="630"/>
        </w:tabs>
        <w:snapToGrid w:val="0"/>
        <w:spacing w:line="440" w:lineRule="exact"/>
        <w:ind w:firstLine="424" w:firstLineChars="202"/>
        <w:rPr>
          <w:rFonts w:hAnsi="宋体"/>
        </w:rPr>
      </w:pPr>
      <w:r>
        <w:rPr>
          <w:rFonts w:hAnsi="宋体"/>
        </w:rPr>
        <w:t>2.1.3招标人在</w:t>
      </w:r>
      <w:r>
        <w:rPr>
          <w:rFonts w:hint="eastAsia" w:hAnsi="宋体"/>
        </w:rPr>
        <w:t>招募文件</w:t>
      </w:r>
      <w:r>
        <w:rPr>
          <w:rFonts w:hAnsi="宋体"/>
        </w:rPr>
        <w:t>中以显著的方式标明实质性要求、条件以及不满足实质性要求和条件的投标将被否决的提示；对于非实质性要求和条件，规定允许偏差的最大范围、最高项数和调整偏差的方法。显著标识方式和具体要求见投标人须知前附表。</w:t>
      </w:r>
    </w:p>
    <w:p>
      <w:pPr>
        <w:pStyle w:val="23"/>
        <w:tabs>
          <w:tab w:val="left" w:pos="630"/>
        </w:tabs>
        <w:snapToGrid w:val="0"/>
        <w:spacing w:line="440" w:lineRule="exact"/>
        <w:ind w:firstLine="424" w:firstLineChars="202"/>
        <w:rPr>
          <w:rFonts w:hAnsi="宋体"/>
        </w:rPr>
      </w:pPr>
      <w:r>
        <w:rPr>
          <w:rFonts w:hAnsi="宋体"/>
        </w:rPr>
        <w:t>2.1.4招标人可要求以某一单项报价核定是否低于成本，具体要求见投标人须知前附表。</w:t>
      </w:r>
    </w:p>
    <w:p>
      <w:pPr>
        <w:rPr>
          <w:b/>
          <w:bCs/>
          <w:sz w:val="24"/>
          <w:szCs w:val="32"/>
        </w:rPr>
      </w:pPr>
      <w:bookmarkStart w:id="110" w:name="_Toc447265230"/>
      <w:bookmarkStart w:id="111" w:name="_Toc447265516"/>
      <w:bookmarkStart w:id="112" w:name="_Toc46496139"/>
      <w:bookmarkStart w:id="113" w:name="_Toc447188680"/>
      <w:bookmarkStart w:id="114" w:name="_Toc227057893"/>
      <w:bookmarkStart w:id="115" w:name="_Toc226969287"/>
      <w:bookmarkStart w:id="116" w:name="_Toc107822490"/>
      <w:r>
        <w:rPr>
          <w:b/>
          <w:bCs/>
          <w:sz w:val="24"/>
          <w:szCs w:val="32"/>
        </w:rPr>
        <w:t>2.2</w:t>
      </w:r>
      <w:r>
        <w:rPr>
          <w:rFonts w:hint="eastAsia"/>
          <w:b/>
          <w:bCs/>
          <w:sz w:val="24"/>
          <w:szCs w:val="32"/>
        </w:rPr>
        <w:t>踏勘现场</w:t>
      </w:r>
      <w:bookmarkEnd w:id="110"/>
      <w:bookmarkEnd w:id="111"/>
      <w:bookmarkEnd w:id="112"/>
      <w:bookmarkEnd w:id="113"/>
    </w:p>
    <w:p>
      <w:pPr>
        <w:pStyle w:val="23"/>
        <w:tabs>
          <w:tab w:val="left" w:pos="630"/>
        </w:tabs>
        <w:snapToGrid w:val="0"/>
        <w:spacing w:line="440" w:lineRule="exact"/>
        <w:ind w:firstLine="283" w:firstLineChars="135"/>
        <w:rPr>
          <w:rFonts w:hAnsi="宋体"/>
        </w:rPr>
      </w:pPr>
      <w:r>
        <w:rPr>
          <w:rFonts w:hAnsi="宋体"/>
        </w:rPr>
        <w:t xml:space="preserve">2.2.1投标人须知前附表规定组织踏勘现场的，招标人按照投标人须知前附表规定的时间、地点组织投标人踏勘项目现场。 </w:t>
      </w:r>
    </w:p>
    <w:p>
      <w:pPr>
        <w:pStyle w:val="23"/>
        <w:tabs>
          <w:tab w:val="left" w:pos="630"/>
        </w:tabs>
        <w:snapToGrid w:val="0"/>
        <w:spacing w:line="440" w:lineRule="exact"/>
        <w:ind w:firstLine="283" w:firstLineChars="135"/>
        <w:rPr>
          <w:rFonts w:hAnsi="宋体"/>
        </w:rPr>
      </w:pPr>
      <w:r>
        <w:rPr>
          <w:rFonts w:hAnsi="宋体"/>
        </w:rPr>
        <w:t>2.2.2</w:t>
      </w:r>
      <w:r>
        <w:rPr>
          <w:rFonts w:hint="eastAsia" w:hAnsi="宋体"/>
        </w:rPr>
        <w:t>潜在投标人踏勘现场发生的费用自理。</w:t>
      </w:r>
    </w:p>
    <w:p>
      <w:pPr>
        <w:pStyle w:val="23"/>
        <w:tabs>
          <w:tab w:val="left" w:pos="630"/>
        </w:tabs>
        <w:snapToGrid w:val="0"/>
        <w:spacing w:line="440" w:lineRule="exact"/>
        <w:ind w:firstLine="283" w:firstLineChars="135"/>
        <w:rPr>
          <w:rFonts w:hAnsi="宋体"/>
        </w:rPr>
      </w:pPr>
      <w:r>
        <w:rPr>
          <w:rFonts w:hAnsi="宋体"/>
        </w:rPr>
        <w:t>2.2.3</w:t>
      </w:r>
      <w:r>
        <w:rPr>
          <w:rFonts w:hint="eastAsia" w:hAnsi="宋体"/>
        </w:rPr>
        <w:t>除招标人的原因外，潜在投标人自行负责在踏勘现场中所发生的人员伤亡和财产损失。</w:t>
      </w:r>
    </w:p>
    <w:p>
      <w:pPr>
        <w:pStyle w:val="23"/>
        <w:tabs>
          <w:tab w:val="left" w:pos="630"/>
        </w:tabs>
        <w:snapToGrid w:val="0"/>
        <w:spacing w:line="440" w:lineRule="exact"/>
        <w:ind w:firstLine="283" w:firstLineChars="135"/>
        <w:rPr>
          <w:rFonts w:hAnsi="宋体"/>
        </w:rPr>
      </w:pPr>
      <w:r>
        <w:rPr>
          <w:rFonts w:hAnsi="宋体"/>
        </w:rPr>
        <w:t>2.2.4</w:t>
      </w:r>
      <w:r>
        <w:rPr>
          <w:rFonts w:hint="eastAsia" w:hAnsi="宋体"/>
        </w:rPr>
        <w:t>招标人在踏勘现场中介绍的项目现场和相关的周边环境情况，供潜在投标人在编制</w:t>
      </w:r>
      <w:r>
        <w:rPr>
          <w:rFonts w:hint="eastAsia" w:hAnsi="宋体" w:cs="宋体"/>
          <w:szCs w:val="21"/>
        </w:rPr>
        <w:t>投标申请文件</w:t>
      </w:r>
      <w:r>
        <w:rPr>
          <w:rFonts w:hint="eastAsia" w:hAnsi="宋体"/>
        </w:rPr>
        <w:t>时参考，招标人不对投标人据此作出的判断和决策负责。</w:t>
      </w:r>
    </w:p>
    <w:p>
      <w:pPr>
        <w:rPr>
          <w:b/>
          <w:bCs/>
          <w:sz w:val="24"/>
          <w:szCs w:val="32"/>
        </w:rPr>
      </w:pPr>
      <w:bookmarkStart w:id="117" w:name="_Toc46496140"/>
      <w:bookmarkStart w:id="118" w:name="_Toc447265231"/>
      <w:bookmarkStart w:id="119" w:name="_Toc447265517"/>
      <w:bookmarkStart w:id="120" w:name="_Toc447188681"/>
      <w:r>
        <w:rPr>
          <w:b/>
          <w:bCs/>
          <w:sz w:val="24"/>
          <w:szCs w:val="32"/>
        </w:rPr>
        <w:t>2.3</w:t>
      </w:r>
      <w:r>
        <w:rPr>
          <w:rFonts w:hint="eastAsia"/>
          <w:b/>
          <w:bCs/>
          <w:sz w:val="24"/>
          <w:szCs w:val="32"/>
        </w:rPr>
        <w:t>投标预备会</w:t>
      </w:r>
      <w:bookmarkEnd w:id="117"/>
      <w:bookmarkEnd w:id="118"/>
      <w:bookmarkEnd w:id="119"/>
      <w:bookmarkEnd w:id="120"/>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投标人须知前附表规定召开投标预备会的，招标人按照投标人须知前附表规定的时间和地点召开投标预备会，澄清潜在投标人提出的问题。</w:t>
      </w:r>
    </w:p>
    <w:p>
      <w:pPr>
        <w:rPr>
          <w:b/>
          <w:bCs/>
          <w:sz w:val="24"/>
          <w:szCs w:val="32"/>
        </w:rPr>
      </w:pPr>
      <w:bookmarkStart w:id="121" w:name="_Toc447188682"/>
      <w:bookmarkStart w:id="122" w:name="_Toc447265518"/>
      <w:bookmarkStart w:id="123" w:name="_Toc447265232"/>
      <w:bookmarkStart w:id="124" w:name="_Toc46496141"/>
      <w:r>
        <w:rPr>
          <w:b/>
          <w:bCs/>
          <w:sz w:val="24"/>
          <w:szCs w:val="32"/>
        </w:rPr>
        <w:t>2.4</w:t>
      </w:r>
      <w:r>
        <w:rPr>
          <w:rFonts w:hint="eastAsia"/>
          <w:b/>
          <w:bCs/>
          <w:sz w:val="24"/>
          <w:szCs w:val="32"/>
        </w:rPr>
        <w:t>招募文件的澄清</w:t>
      </w:r>
      <w:bookmarkEnd w:id="114"/>
      <w:bookmarkEnd w:id="115"/>
      <w:bookmarkEnd w:id="116"/>
      <w:r>
        <w:rPr>
          <w:rFonts w:hint="eastAsia"/>
          <w:b/>
          <w:bCs/>
          <w:sz w:val="24"/>
          <w:szCs w:val="32"/>
        </w:rPr>
        <w:t>和修改</w:t>
      </w:r>
      <w:bookmarkEnd w:id="121"/>
      <w:bookmarkEnd w:id="122"/>
      <w:bookmarkEnd w:id="123"/>
      <w:bookmarkEnd w:id="124"/>
    </w:p>
    <w:p>
      <w:pPr>
        <w:pStyle w:val="23"/>
        <w:tabs>
          <w:tab w:val="left" w:pos="630"/>
        </w:tabs>
        <w:snapToGrid w:val="0"/>
        <w:spacing w:line="440" w:lineRule="exact"/>
        <w:ind w:firstLine="283" w:firstLineChars="135"/>
        <w:rPr>
          <w:rFonts w:hAnsi="宋体"/>
        </w:rPr>
      </w:pPr>
      <w:bookmarkStart w:id="125" w:name="_Toc107822492"/>
      <w:bookmarkStart w:id="126" w:name="_Toc296602436"/>
      <w:bookmarkStart w:id="127" w:name="_Toc227057895"/>
      <w:bookmarkStart w:id="128" w:name="_Toc152045546"/>
      <w:bookmarkStart w:id="129" w:name="_Toc246996934"/>
      <w:bookmarkStart w:id="130" w:name="_Toc447265233"/>
      <w:bookmarkStart w:id="131" w:name="_Toc144974514"/>
      <w:bookmarkStart w:id="132" w:name="_Toc152042322"/>
      <w:bookmarkStart w:id="133" w:name="_Toc247085705"/>
      <w:bookmarkStart w:id="134" w:name="_Toc447188683"/>
      <w:bookmarkStart w:id="135" w:name="_Toc179632564"/>
      <w:bookmarkStart w:id="136" w:name="_Toc447265519"/>
      <w:bookmarkStart w:id="137" w:name="_Toc246996191"/>
      <w:bookmarkStart w:id="138" w:name="_Toc226969289"/>
      <w:r>
        <w:rPr>
          <w:rFonts w:hAnsi="宋体"/>
        </w:rPr>
        <w:t>2.4.1投标人对</w:t>
      </w:r>
      <w:r>
        <w:rPr>
          <w:rFonts w:hint="eastAsia" w:hAnsi="宋体"/>
        </w:rPr>
        <w:t>招募文件</w:t>
      </w:r>
      <w:r>
        <w:rPr>
          <w:rFonts w:hAnsi="宋体"/>
        </w:rPr>
        <w:t>有疑问的，应当按照投标人须知前附表规定的时间和方式，要求招标人对</w:t>
      </w:r>
      <w:r>
        <w:rPr>
          <w:rFonts w:hint="eastAsia" w:hAnsi="宋体"/>
        </w:rPr>
        <w:t>招募文件</w:t>
      </w:r>
      <w:r>
        <w:rPr>
          <w:rFonts w:hAnsi="宋体"/>
        </w:rPr>
        <w:t>进行澄清。</w:t>
      </w:r>
    </w:p>
    <w:p>
      <w:pPr>
        <w:pStyle w:val="23"/>
        <w:tabs>
          <w:tab w:val="left" w:pos="630"/>
        </w:tabs>
        <w:snapToGrid w:val="0"/>
        <w:spacing w:line="440" w:lineRule="exact"/>
        <w:ind w:firstLine="283" w:firstLineChars="135"/>
        <w:rPr>
          <w:rFonts w:hAnsi="宋体"/>
        </w:rPr>
      </w:pPr>
      <w:r>
        <w:rPr>
          <w:rFonts w:hAnsi="宋体"/>
        </w:rPr>
        <w:t>2.4.2</w:t>
      </w:r>
      <w:r>
        <w:rPr>
          <w:rFonts w:hint="eastAsia" w:hAnsi="宋体"/>
        </w:rPr>
        <w:t>招标人应当按照投标人须知前附表规定的时间和方式，将澄清或者修改内容发给所有购买招募文件的投标人，但不指明问题的来源。</w:t>
      </w:r>
    </w:p>
    <w:p>
      <w:pPr>
        <w:pStyle w:val="23"/>
        <w:tabs>
          <w:tab w:val="left" w:pos="630"/>
        </w:tabs>
        <w:snapToGrid w:val="0"/>
        <w:spacing w:line="440" w:lineRule="exact"/>
        <w:ind w:firstLine="283" w:firstLineChars="135"/>
        <w:rPr>
          <w:rFonts w:hAnsi="宋体"/>
        </w:rPr>
      </w:pPr>
      <w:r>
        <w:rPr>
          <w:rFonts w:hAnsi="宋体"/>
        </w:rPr>
        <w:t>2.4.4投标人收到澄清或者修改后，应当按照投标人须知前附表规定的时间和方式通知招标人，确认已收到该澄清或者修改。</w:t>
      </w:r>
    </w:p>
    <w:p>
      <w:pPr>
        <w:pStyle w:val="23"/>
        <w:tabs>
          <w:tab w:val="left" w:pos="630"/>
        </w:tabs>
        <w:snapToGrid w:val="0"/>
        <w:spacing w:line="440" w:lineRule="exact"/>
        <w:ind w:firstLine="283" w:firstLineChars="135"/>
        <w:rPr>
          <w:rFonts w:hAnsi="宋体"/>
        </w:rPr>
      </w:pPr>
      <w:r>
        <w:rPr>
          <w:rFonts w:hAnsi="宋体"/>
        </w:rPr>
        <w:t>2.4.5所有关于</w:t>
      </w:r>
      <w:r>
        <w:rPr>
          <w:rFonts w:hint="eastAsia" w:hAnsi="宋体"/>
        </w:rPr>
        <w:t>招募文件</w:t>
      </w:r>
      <w:r>
        <w:rPr>
          <w:rFonts w:hAnsi="宋体"/>
        </w:rPr>
        <w:t>的澄清和修改均作为</w:t>
      </w:r>
      <w:r>
        <w:rPr>
          <w:rFonts w:hint="eastAsia" w:hAnsi="宋体"/>
        </w:rPr>
        <w:t>招募文件</w:t>
      </w:r>
      <w:r>
        <w:rPr>
          <w:rFonts w:hAnsi="宋体"/>
        </w:rPr>
        <w:t>的补充部分。当</w:t>
      </w:r>
      <w:r>
        <w:rPr>
          <w:rFonts w:hint="eastAsia" w:hAnsi="宋体"/>
        </w:rPr>
        <w:t>招募文件</w:t>
      </w:r>
      <w:r>
        <w:rPr>
          <w:rFonts w:hAnsi="宋体"/>
        </w:rPr>
        <w:t>、</w:t>
      </w:r>
      <w:r>
        <w:rPr>
          <w:rFonts w:hint="eastAsia" w:hAnsi="宋体"/>
        </w:rPr>
        <w:t>招募文件</w:t>
      </w:r>
      <w:r>
        <w:rPr>
          <w:rFonts w:hAnsi="宋体"/>
        </w:rPr>
        <w:t>的澄清或者修改等在同一内容的表述上不一致时，以最后发出的书面文件为准。</w:t>
      </w:r>
    </w:p>
    <w:bookmarkEnd w:id="36"/>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Pr>
        <w:numPr>
          <w:ilvl w:val="0"/>
          <w:numId w:val="4"/>
        </w:numPr>
        <w:rPr>
          <w:b/>
          <w:bCs/>
          <w:sz w:val="24"/>
          <w:szCs w:val="32"/>
        </w:rPr>
      </w:pPr>
      <w:r>
        <w:rPr>
          <w:rFonts w:hint="eastAsia"/>
          <w:b/>
          <w:bCs/>
          <w:sz w:val="24"/>
          <w:szCs w:val="32"/>
        </w:rPr>
        <w:t>投标申请文件</w:t>
      </w:r>
    </w:p>
    <w:p>
      <w:pPr>
        <w:rPr>
          <w:b/>
          <w:bCs/>
          <w:sz w:val="24"/>
          <w:szCs w:val="32"/>
        </w:rPr>
      </w:pPr>
      <w:bookmarkStart w:id="139" w:name="_Toc107822493"/>
      <w:bookmarkStart w:id="140" w:name="_Toc226969290"/>
      <w:bookmarkStart w:id="141" w:name="_Toc227057896"/>
      <w:bookmarkStart w:id="142" w:name="_Toc450489293"/>
      <w:bookmarkStart w:id="143" w:name="_Toc447265520"/>
      <w:bookmarkStart w:id="144" w:name="_Toc447188684"/>
      <w:bookmarkStart w:id="145" w:name="_Toc447265234"/>
      <w:bookmarkStart w:id="146" w:name="_Toc46496143"/>
      <w:bookmarkStart w:id="147" w:name="_Toc447265242"/>
      <w:bookmarkStart w:id="148" w:name="_Toc184635074"/>
      <w:bookmarkStart w:id="149" w:name="_Toc447265528"/>
      <w:bookmarkStart w:id="150" w:name="_Toc107822503"/>
      <w:bookmarkStart w:id="151" w:name="_Toc488655848"/>
      <w:bookmarkStart w:id="152" w:name="_Toc227057906"/>
      <w:bookmarkStart w:id="153" w:name="_Toc226969300"/>
      <w:r>
        <w:rPr>
          <w:b/>
          <w:bCs/>
          <w:sz w:val="24"/>
          <w:szCs w:val="32"/>
        </w:rPr>
        <w:t>3.1</w:t>
      </w:r>
      <w:r>
        <w:rPr>
          <w:rFonts w:hint="eastAsia"/>
          <w:b/>
          <w:bCs/>
          <w:sz w:val="24"/>
          <w:szCs w:val="32"/>
        </w:rPr>
        <w:t>投标申请文件的</w:t>
      </w:r>
      <w:bookmarkEnd w:id="139"/>
      <w:bookmarkEnd w:id="140"/>
      <w:bookmarkEnd w:id="141"/>
      <w:r>
        <w:rPr>
          <w:rFonts w:hint="eastAsia"/>
          <w:b/>
          <w:bCs/>
          <w:sz w:val="24"/>
          <w:szCs w:val="32"/>
        </w:rPr>
        <w:t>组成</w:t>
      </w:r>
      <w:bookmarkEnd w:id="142"/>
      <w:bookmarkEnd w:id="143"/>
      <w:bookmarkEnd w:id="144"/>
      <w:bookmarkEnd w:id="145"/>
      <w:bookmarkEnd w:id="146"/>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投标人应当按照投标人须知前附表的要求制作并递交投标申请文件。投标申请文件组成见投标人须知前附表。</w:t>
      </w:r>
    </w:p>
    <w:p>
      <w:pPr>
        <w:rPr>
          <w:b/>
          <w:bCs/>
          <w:sz w:val="24"/>
          <w:szCs w:val="32"/>
        </w:rPr>
      </w:pPr>
      <w:bookmarkStart w:id="154" w:name="_Toc447265235"/>
      <w:bookmarkStart w:id="155" w:name="_Toc450489294"/>
      <w:bookmarkStart w:id="156" w:name="_Toc447188685"/>
      <w:bookmarkStart w:id="157" w:name="_Toc447265521"/>
      <w:bookmarkStart w:id="158" w:name="_Toc46496144"/>
      <w:r>
        <w:rPr>
          <w:b/>
          <w:bCs/>
          <w:sz w:val="24"/>
          <w:szCs w:val="32"/>
        </w:rPr>
        <w:t>3.2</w:t>
      </w:r>
      <w:r>
        <w:rPr>
          <w:rFonts w:hint="eastAsia"/>
          <w:b/>
          <w:bCs/>
          <w:sz w:val="24"/>
          <w:szCs w:val="32"/>
        </w:rPr>
        <w:t>投标申请文件的编制</w:t>
      </w:r>
      <w:bookmarkEnd w:id="154"/>
      <w:bookmarkEnd w:id="155"/>
      <w:bookmarkEnd w:id="156"/>
      <w:bookmarkEnd w:id="157"/>
      <w:bookmarkEnd w:id="158"/>
    </w:p>
    <w:p>
      <w:pPr>
        <w:pStyle w:val="23"/>
        <w:tabs>
          <w:tab w:val="left" w:pos="630"/>
        </w:tabs>
        <w:snapToGrid w:val="0"/>
        <w:spacing w:line="440" w:lineRule="exact"/>
        <w:ind w:firstLine="424" w:firstLineChars="202"/>
        <w:rPr>
          <w:rFonts w:hAnsi="宋体"/>
        </w:rPr>
      </w:pPr>
      <w:r>
        <w:rPr>
          <w:rFonts w:hAnsi="宋体"/>
        </w:rPr>
        <w:t>3.2.1投标人应当按照</w:t>
      </w:r>
      <w:r>
        <w:rPr>
          <w:rFonts w:hint="eastAsia" w:hAnsi="宋体"/>
        </w:rPr>
        <w:t>招募文件</w:t>
      </w:r>
      <w:r>
        <w:rPr>
          <w:rFonts w:hAnsi="宋体"/>
        </w:rPr>
        <w:t>的要求编制</w:t>
      </w:r>
      <w:r>
        <w:rPr>
          <w:rFonts w:hint="eastAsia" w:hAnsi="宋体" w:cs="宋体"/>
          <w:szCs w:val="21"/>
        </w:rPr>
        <w:t>投标申请文件</w:t>
      </w:r>
      <w:r>
        <w:rPr>
          <w:rFonts w:hint="eastAsia" w:hAnsi="宋体"/>
        </w:rPr>
        <w:t>，</w:t>
      </w:r>
      <w:r>
        <w:rPr>
          <w:rFonts w:hint="eastAsia" w:hAnsi="宋体" w:cs="宋体"/>
          <w:szCs w:val="21"/>
        </w:rPr>
        <w:t>投标申请文件</w:t>
      </w:r>
      <w:r>
        <w:rPr>
          <w:rFonts w:hint="eastAsia" w:hAnsi="宋体"/>
        </w:rPr>
        <w:t>应当对招募文件提出的实质性要求和条件作出响应。</w:t>
      </w:r>
    </w:p>
    <w:p>
      <w:pPr>
        <w:pStyle w:val="23"/>
        <w:tabs>
          <w:tab w:val="left" w:pos="630"/>
        </w:tabs>
        <w:snapToGrid w:val="0"/>
        <w:spacing w:line="440" w:lineRule="exact"/>
        <w:ind w:firstLine="424" w:firstLineChars="202"/>
        <w:rPr>
          <w:rFonts w:hAnsi="宋体"/>
        </w:rPr>
      </w:pPr>
      <w:r>
        <w:rPr>
          <w:rFonts w:hAnsi="宋体"/>
        </w:rPr>
        <w:t>3.2.2</w:t>
      </w:r>
      <w:r>
        <w:rPr>
          <w:rFonts w:hint="eastAsia" w:hAnsi="宋体"/>
        </w:rPr>
        <w:t>投标人应当认真阅读招募文件中所有的事项、格式、条款和技术规范等。投标人没有按照招募文件要求递交全部资料或者投标人没有对招募文件在各方面都作出实质性响应是投标人的风险，并可能导致其投标被否决。</w:t>
      </w:r>
      <w:r>
        <w:rPr>
          <w:rFonts w:hint="eastAsia" w:hAnsi="宋体" w:cs="宋体"/>
          <w:szCs w:val="21"/>
        </w:rPr>
        <w:t>投标申请文件</w:t>
      </w:r>
      <w:r>
        <w:rPr>
          <w:rFonts w:hint="eastAsia" w:hAnsi="宋体"/>
        </w:rPr>
        <w:t>投标和编写的具体要求见投标人须知前附表。</w:t>
      </w:r>
    </w:p>
    <w:p>
      <w:pPr>
        <w:pStyle w:val="23"/>
        <w:tabs>
          <w:tab w:val="left" w:pos="630"/>
        </w:tabs>
        <w:snapToGrid w:val="0"/>
        <w:spacing w:line="440" w:lineRule="exact"/>
        <w:ind w:firstLine="424" w:firstLineChars="202"/>
        <w:rPr>
          <w:rFonts w:hAnsi="宋体"/>
        </w:rPr>
      </w:pPr>
      <w:r>
        <w:rPr>
          <w:rFonts w:hAnsi="宋体"/>
        </w:rPr>
        <w:t>3.2.3投标人递交的</w:t>
      </w:r>
      <w:r>
        <w:rPr>
          <w:rFonts w:hint="eastAsia" w:hAnsi="宋体" w:cs="宋体"/>
          <w:szCs w:val="21"/>
        </w:rPr>
        <w:t>投标申请文件</w:t>
      </w:r>
      <w:r>
        <w:rPr>
          <w:rFonts w:hint="eastAsia" w:hAnsi="宋体"/>
        </w:rPr>
        <w:t>以及投标人与招标人就有关投标的所有往来函电均应当使用中文。投标人递交的证明文件和文献可以使用另一种语言，但相应内容应当译成中文，在解释</w:t>
      </w:r>
      <w:r>
        <w:rPr>
          <w:rFonts w:hint="eastAsia" w:hAnsi="宋体" w:cs="宋体"/>
          <w:szCs w:val="21"/>
        </w:rPr>
        <w:t>投标申请文件</w:t>
      </w:r>
      <w:r>
        <w:rPr>
          <w:rFonts w:hint="eastAsia" w:hAnsi="宋体"/>
        </w:rPr>
        <w:t>时以中文译本为准。</w:t>
      </w:r>
    </w:p>
    <w:p>
      <w:pPr>
        <w:pStyle w:val="23"/>
        <w:tabs>
          <w:tab w:val="left" w:pos="630"/>
        </w:tabs>
        <w:snapToGrid w:val="0"/>
        <w:spacing w:line="440" w:lineRule="exact"/>
        <w:ind w:firstLine="424" w:firstLineChars="202"/>
        <w:rPr>
          <w:rFonts w:hAnsi="宋体"/>
        </w:rPr>
      </w:pPr>
      <w:r>
        <w:rPr>
          <w:rFonts w:hAnsi="宋体"/>
        </w:rPr>
        <w:t>3.2.4</w:t>
      </w:r>
      <w:r>
        <w:rPr>
          <w:rFonts w:hint="eastAsia" w:hAnsi="宋体" w:cs="宋体"/>
          <w:szCs w:val="21"/>
        </w:rPr>
        <w:t>投标申请文件</w:t>
      </w:r>
      <w:r>
        <w:rPr>
          <w:rFonts w:hint="eastAsia" w:hAnsi="宋体"/>
        </w:rPr>
        <w:t>应当使用不褪色的材料书写或者打印，并加盖单位公章或者由投标人的法定代表人或者其委托代理人签字。委托代理人签字的，</w:t>
      </w:r>
      <w:r>
        <w:rPr>
          <w:rFonts w:hint="eastAsia" w:hAnsi="宋体" w:cs="宋体"/>
          <w:szCs w:val="21"/>
        </w:rPr>
        <w:t>投标申请文件</w:t>
      </w:r>
      <w:r>
        <w:rPr>
          <w:rFonts w:hint="eastAsia" w:hAnsi="宋体"/>
        </w:rPr>
        <w:t>应当附法定代表人签署的授权委托书。</w:t>
      </w:r>
      <w:r>
        <w:rPr>
          <w:rFonts w:hint="eastAsia" w:hAnsi="宋体" w:cs="宋体"/>
          <w:szCs w:val="21"/>
        </w:rPr>
        <w:t>投标申请文件</w:t>
      </w:r>
      <w:r>
        <w:rPr>
          <w:rFonts w:hint="eastAsia" w:hAnsi="宋体"/>
        </w:rPr>
        <w:t>应当尽量避免涂改、行间插字或者删除。如果出现上述情况，改动之处应当加盖单位公章或者由投标人的法定代表人或者其委托代理人签字确认。盖章或者签字另有要求的，见投标人须知前附表。</w:t>
      </w:r>
    </w:p>
    <w:p>
      <w:pPr>
        <w:rPr>
          <w:b/>
          <w:bCs/>
          <w:sz w:val="24"/>
          <w:szCs w:val="32"/>
        </w:rPr>
      </w:pPr>
      <w:bookmarkStart w:id="159" w:name="_Toc447188686"/>
      <w:bookmarkStart w:id="160" w:name="_Toc227057898"/>
      <w:bookmarkStart w:id="161" w:name="_Toc107822495"/>
      <w:bookmarkStart w:id="162" w:name="_Toc450489295"/>
      <w:bookmarkStart w:id="163" w:name="_Toc447265236"/>
      <w:bookmarkStart w:id="164" w:name="_Toc447265522"/>
      <w:bookmarkStart w:id="165" w:name="_Toc46496145"/>
      <w:bookmarkStart w:id="166" w:name="_Toc226969292"/>
      <w:r>
        <w:rPr>
          <w:b/>
          <w:bCs/>
          <w:sz w:val="24"/>
          <w:szCs w:val="32"/>
        </w:rPr>
        <w:t>3.3</w:t>
      </w:r>
      <w:r>
        <w:rPr>
          <w:rFonts w:hint="eastAsia"/>
          <w:b/>
          <w:bCs/>
          <w:sz w:val="24"/>
          <w:szCs w:val="32"/>
        </w:rPr>
        <w:t>投标报价</w:t>
      </w:r>
      <w:bookmarkEnd w:id="159"/>
      <w:bookmarkEnd w:id="160"/>
      <w:bookmarkEnd w:id="161"/>
      <w:bookmarkEnd w:id="162"/>
      <w:bookmarkEnd w:id="163"/>
      <w:bookmarkEnd w:id="164"/>
      <w:bookmarkEnd w:id="165"/>
      <w:bookmarkEnd w:id="166"/>
      <w:r>
        <w:rPr>
          <w:rFonts w:hint="eastAsia"/>
          <w:b/>
          <w:bCs/>
          <w:sz w:val="24"/>
          <w:szCs w:val="32"/>
        </w:rPr>
        <w:t>（本项目不涉及）</w:t>
      </w:r>
    </w:p>
    <w:p>
      <w:pPr>
        <w:pStyle w:val="23"/>
        <w:tabs>
          <w:tab w:val="left" w:pos="630"/>
        </w:tabs>
        <w:snapToGrid w:val="0"/>
        <w:spacing w:line="440" w:lineRule="exact"/>
        <w:ind w:firstLine="424" w:firstLineChars="202"/>
        <w:rPr>
          <w:rFonts w:hAnsi="宋体"/>
        </w:rPr>
      </w:pPr>
      <w:r>
        <w:rPr>
          <w:rFonts w:hAnsi="宋体"/>
        </w:rPr>
        <w:t>3.3.1投标人应当根据</w:t>
      </w:r>
      <w:r>
        <w:rPr>
          <w:rFonts w:hint="eastAsia" w:hAnsi="宋体"/>
        </w:rPr>
        <w:t>招募文件</w:t>
      </w:r>
      <w:r>
        <w:rPr>
          <w:rFonts w:hAnsi="宋体"/>
        </w:rPr>
        <w:t>要求进行报价，投标人应当报出符合</w:t>
      </w:r>
      <w:r>
        <w:rPr>
          <w:rFonts w:hint="eastAsia" w:hAnsi="宋体"/>
        </w:rPr>
        <w:t>招募文件</w:t>
      </w:r>
      <w:r>
        <w:rPr>
          <w:rFonts w:hAnsi="宋体"/>
        </w:rPr>
        <w:t>要求的拟提供投标货物的单价（如适用）和总价。</w:t>
      </w:r>
    </w:p>
    <w:p>
      <w:pPr>
        <w:pStyle w:val="23"/>
        <w:tabs>
          <w:tab w:val="left" w:pos="630"/>
        </w:tabs>
        <w:snapToGrid w:val="0"/>
        <w:spacing w:line="440" w:lineRule="exact"/>
        <w:ind w:firstLine="424" w:firstLineChars="202"/>
        <w:rPr>
          <w:rFonts w:hAnsi="宋体"/>
        </w:rPr>
      </w:pPr>
      <w:r>
        <w:rPr>
          <w:rFonts w:hAnsi="宋体"/>
        </w:rPr>
        <w:t>3.3.2</w:t>
      </w:r>
      <w:r>
        <w:rPr>
          <w:rFonts w:hint="eastAsia" w:hAnsi="宋体"/>
        </w:rPr>
        <w:t>投标货币：人民币。</w:t>
      </w:r>
    </w:p>
    <w:p>
      <w:pPr>
        <w:pStyle w:val="23"/>
        <w:tabs>
          <w:tab w:val="left" w:pos="630"/>
        </w:tabs>
        <w:snapToGrid w:val="0"/>
        <w:spacing w:line="440" w:lineRule="exact"/>
        <w:ind w:firstLine="424" w:firstLineChars="202"/>
        <w:rPr>
          <w:rFonts w:hAnsi="宋体"/>
        </w:rPr>
      </w:pPr>
      <w:r>
        <w:rPr>
          <w:rFonts w:hAnsi="宋体"/>
        </w:rPr>
        <w:t>3.3.3招标人设有最高限价的，投标人的</w:t>
      </w:r>
      <w:r>
        <w:rPr>
          <w:rFonts w:hint="eastAsia" w:hAnsi="宋体" w:cs="宋体"/>
          <w:szCs w:val="21"/>
        </w:rPr>
        <w:t>投标</w:t>
      </w:r>
      <w:r>
        <w:rPr>
          <w:rFonts w:hint="eastAsia" w:hAnsi="宋体"/>
        </w:rPr>
        <w:t>报价不得超过最高限价，否则其</w:t>
      </w:r>
      <w:r>
        <w:rPr>
          <w:rFonts w:hint="eastAsia" w:hAnsi="宋体" w:cs="宋体"/>
          <w:szCs w:val="21"/>
        </w:rPr>
        <w:t>投标</w:t>
      </w:r>
      <w:r>
        <w:rPr>
          <w:rFonts w:hint="eastAsia" w:hAnsi="宋体"/>
        </w:rPr>
        <w:t>将被否决。最高限价或者其计算方法见投标人须知前附表。</w:t>
      </w:r>
    </w:p>
    <w:p>
      <w:pPr>
        <w:pStyle w:val="23"/>
        <w:tabs>
          <w:tab w:val="left" w:pos="630"/>
        </w:tabs>
        <w:snapToGrid w:val="0"/>
        <w:spacing w:line="440" w:lineRule="exact"/>
        <w:ind w:firstLine="424" w:firstLineChars="202"/>
        <w:rPr>
          <w:rFonts w:hAnsi="宋体"/>
        </w:rPr>
      </w:pPr>
      <w:r>
        <w:rPr>
          <w:rFonts w:hAnsi="宋体"/>
        </w:rPr>
        <w:t>3.3.4招标人不接受投标人的任何低于成本报价的不正当竞争方式。</w:t>
      </w:r>
    </w:p>
    <w:p>
      <w:pPr>
        <w:pStyle w:val="23"/>
        <w:tabs>
          <w:tab w:val="left" w:pos="630"/>
        </w:tabs>
        <w:snapToGrid w:val="0"/>
        <w:spacing w:line="440" w:lineRule="exact"/>
        <w:ind w:firstLine="424" w:firstLineChars="202"/>
        <w:rPr>
          <w:rFonts w:hAnsi="宋体"/>
        </w:rPr>
      </w:pPr>
      <w:r>
        <w:rPr>
          <w:rFonts w:hAnsi="宋体"/>
        </w:rPr>
        <w:t>3.3.5只有在</w:t>
      </w:r>
      <w:r>
        <w:rPr>
          <w:rFonts w:hint="eastAsia" w:hAnsi="宋体"/>
        </w:rPr>
        <w:t>招募文件</w:t>
      </w:r>
      <w:r>
        <w:rPr>
          <w:rFonts w:hAnsi="宋体"/>
        </w:rPr>
        <w:t>要求或者允许报优惠价时，投标人才可以报出。投标人优惠报价的数额，唱价时也必须当众宣读。关于优惠条件的规定见投标人须知前附表。</w:t>
      </w:r>
    </w:p>
    <w:p>
      <w:pPr>
        <w:pStyle w:val="23"/>
        <w:tabs>
          <w:tab w:val="left" w:pos="630"/>
        </w:tabs>
        <w:snapToGrid w:val="0"/>
        <w:spacing w:line="440" w:lineRule="exact"/>
        <w:ind w:firstLine="424" w:firstLineChars="202"/>
        <w:rPr>
          <w:rFonts w:hAnsi="宋体"/>
        </w:rPr>
      </w:pPr>
      <w:r>
        <w:rPr>
          <w:rFonts w:hAnsi="宋体"/>
        </w:rPr>
        <w:t>3.3.6</w:t>
      </w:r>
      <w:r>
        <w:rPr>
          <w:rFonts w:hint="eastAsia" w:hAnsi="宋体" w:cs="宋体"/>
          <w:szCs w:val="21"/>
        </w:rPr>
        <w:t>投标</w:t>
      </w:r>
      <w:r>
        <w:rPr>
          <w:rFonts w:hint="eastAsia" w:hAnsi="宋体"/>
        </w:rPr>
        <w:t>报价的具体要求见投标人须知前附表。</w:t>
      </w:r>
    </w:p>
    <w:p>
      <w:pPr>
        <w:rPr>
          <w:b/>
          <w:bCs/>
          <w:sz w:val="24"/>
          <w:szCs w:val="32"/>
        </w:rPr>
      </w:pPr>
      <w:bookmarkStart w:id="167" w:name="_Toc227057902"/>
      <w:bookmarkStart w:id="168" w:name="_Toc447265237"/>
      <w:bookmarkStart w:id="169" w:name="_Toc447265523"/>
      <w:bookmarkStart w:id="170" w:name="_Toc450489296"/>
      <w:bookmarkStart w:id="171" w:name="_Toc447188687"/>
      <w:bookmarkStart w:id="172" w:name="_Toc226969296"/>
      <w:bookmarkStart w:id="173" w:name="_Toc107822500"/>
      <w:bookmarkStart w:id="174" w:name="_Toc46496146"/>
      <w:bookmarkStart w:id="175" w:name="_Toc227057901"/>
      <w:bookmarkStart w:id="176" w:name="_Toc107822499"/>
      <w:bookmarkStart w:id="177" w:name="_Toc226969295"/>
      <w:r>
        <w:rPr>
          <w:b/>
          <w:bCs/>
          <w:sz w:val="24"/>
          <w:szCs w:val="32"/>
        </w:rPr>
        <w:t>3.4</w:t>
      </w:r>
      <w:r>
        <w:rPr>
          <w:rFonts w:hint="eastAsia"/>
          <w:b/>
          <w:bCs/>
          <w:sz w:val="24"/>
          <w:szCs w:val="32"/>
        </w:rPr>
        <w:t>投标有效期</w:t>
      </w:r>
      <w:bookmarkEnd w:id="167"/>
      <w:bookmarkEnd w:id="168"/>
      <w:bookmarkEnd w:id="169"/>
      <w:bookmarkEnd w:id="170"/>
      <w:bookmarkEnd w:id="171"/>
      <w:bookmarkEnd w:id="172"/>
      <w:bookmarkEnd w:id="173"/>
      <w:bookmarkEnd w:id="174"/>
    </w:p>
    <w:p>
      <w:pPr>
        <w:pStyle w:val="23"/>
        <w:tabs>
          <w:tab w:val="left" w:pos="630"/>
        </w:tabs>
        <w:snapToGrid w:val="0"/>
        <w:spacing w:line="440" w:lineRule="exact"/>
        <w:ind w:firstLine="424" w:firstLineChars="202"/>
        <w:rPr>
          <w:rFonts w:hAnsi="宋体"/>
        </w:rPr>
      </w:pPr>
      <w:r>
        <w:rPr>
          <w:rFonts w:hAnsi="宋体"/>
        </w:rPr>
        <w:t>3.4.1</w:t>
      </w:r>
      <w:r>
        <w:rPr>
          <w:rFonts w:hint="eastAsia" w:hAnsi="宋体" w:cs="宋体"/>
          <w:szCs w:val="21"/>
        </w:rPr>
        <w:t>投标</w:t>
      </w:r>
      <w:r>
        <w:rPr>
          <w:rFonts w:hint="eastAsia" w:hAnsi="宋体"/>
        </w:rPr>
        <w:t>有效期从递交</w:t>
      </w:r>
      <w:r>
        <w:rPr>
          <w:rFonts w:hint="eastAsia" w:hAnsi="宋体" w:cs="宋体"/>
          <w:szCs w:val="21"/>
        </w:rPr>
        <w:t>投标申请文件</w:t>
      </w:r>
      <w:r>
        <w:rPr>
          <w:rFonts w:hint="eastAsia" w:hAnsi="宋体"/>
        </w:rPr>
        <w:t>截止日起计算。</w:t>
      </w:r>
      <w:r>
        <w:rPr>
          <w:rFonts w:hint="eastAsia" w:hAnsi="宋体" w:cs="宋体"/>
          <w:szCs w:val="21"/>
        </w:rPr>
        <w:t>投标</w:t>
      </w:r>
      <w:r>
        <w:rPr>
          <w:rFonts w:hint="eastAsia" w:hAnsi="宋体"/>
        </w:rPr>
        <w:t>有效期的具体时间见投标人须知前附表。在此期间，投标人不得要求撤销或者修改其</w:t>
      </w:r>
      <w:r>
        <w:rPr>
          <w:rFonts w:hint="eastAsia" w:hAnsi="宋体" w:cs="宋体"/>
          <w:szCs w:val="21"/>
        </w:rPr>
        <w:t>投标申请文件</w:t>
      </w:r>
      <w:r>
        <w:rPr>
          <w:rFonts w:hint="eastAsia" w:hAnsi="宋体"/>
        </w:rPr>
        <w:t>。</w:t>
      </w:r>
      <w:r>
        <w:rPr>
          <w:rFonts w:hint="eastAsia" w:hAnsi="宋体" w:cs="宋体"/>
          <w:szCs w:val="21"/>
        </w:rPr>
        <w:t>投标</w:t>
      </w:r>
      <w:r>
        <w:rPr>
          <w:rFonts w:hint="eastAsia" w:hAnsi="宋体"/>
        </w:rPr>
        <w:t>有效期不满足招募文件要求的</w:t>
      </w:r>
      <w:r>
        <w:rPr>
          <w:rFonts w:hint="eastAsia" w:hAnsi="宋体" w:cs="宋体"/>
          <w:szCs w:val="21"/>
        </w:rPr>
        <w:t>投标</w:t>
      </w:r>
      <w:r>
        <w:rPr>
          <w:rFonts w:hint="eastAsia" w:hAnsi="宋体"/>
        </w:rPr>
        <w:t>将被否决。</w:t>
      </w:r>
    </w:p>
    <w:p>
      <w:pPr>
        <w:pStyle w:val="23"/>
        <w:tabs>
          <w:tab w:val="left" w:pos="630"/>
        </w:tabs>
        <w:snapToGrid w:val="0"/>
        <w:spacing w:line="440" w:lineRule="exact"/>
        <w:ind w:firstLine="424" w:firstLineChars="202"/>
        <w:rPr>
          <w:rFonts w:hAnsi="宋体"/>
        </w:rPr>
      </w:pPr>
      <w:r>
        <w:rPr>
          <w:rFonts w:hAnsi="宋体"/>
        </w:rPr>
        <w:t>3.4.2</w:t>
      </w:r>
      <w:r>
        <w:rPr>
          <w:rFonts w:hint="eastAsia" w:hAnsi="宋体"/>
        </w:rPr>
        <w:t>在原定</w:t>
      </w:r>
      <w:r>
        <w:rPr>
          <w:rFonts w:hint="eastAsia" w:hAnsi="宋体" w:cs="宋体"/>
          <w:szCs w:val="21"/>
        </w:rPr>
        <w:t>投标</w:t>
      </w:r>
      <w:r>
        <w:rPr>
          <w:rFonts w:hint="eastAsia" w:hAnsi="宋体"/>
        </w:rPr>
        <w:t>有效期满之前，如果出现特殊情况，招标人决定延长</w:t>
      </w:r>
      <w:r>
        <w:rPr>
          <w:rFonts w:hint="eastAsia" w:hAnsi="宋体" w:cs="宋体"/>
          <w:szCs w:val="21"/>
        </w:rPr>
        <w:t>投标</w:t>
      </w:r>
      <w:r>
        <w:rPr>
          <w:rFonts w:hint="eastAsia" w:hAnsi="宋体"/>
        </w:rPr>
        <w:t>有效期的，应当以书面形式向投标人提出延长</w:t>
      </w:r>
      <w:r>
        <w:rPr>
          <w:rFonts w:hint="eastAsia" w:hAnsi="宋体" w:cs="宋体"/>
          <w:szCs w:val="21"/>
        </w:rPr>
        <w:t>投标</w:t>
      </w:r>
      <w:r>
        <w:rPr>
          <w:rFonts w:hint="eastAsia" w:hAnsi="宋体"/>
        </w:rPr>
        <w:t>有效期的要求，投标人须以书面形式予以答复。投标人同意延长</w:t>
      </w:r>
      <w:r>
        <w:rPr>
          <w:rFonts w:hint="eastAsia" w:hAnsi="宋体" w:cs="宋体"/>
          <w:szCs w:val="21"/>
        </w:rPr>
        <w:t>投标</w:t>
      </w:r>
      <w:r>
        <w:rPr>
          <w:rFonts w:hint="eastAsia" w:hAnsi="宋体"/>
        </w:rPr>
        <w:t>有效期的，不得修改其</w:t>
      </w:r>
      <w:r>
        <w:rPr>
          <w:rFonts w:hint="eastAsia" w:hAnsi="宋体" w:cs="宋体"/>
          <w:szCs w:val="21"/>
        </w:rPr>
        <w:t>投标申请文件</w:t>
      </w:r>
      <w:r>
        <w:rPr>
          <w:rFonts w:hint="eastAsia" w:hAnsi="宋体"/>
        </w:rPr>
        <w:t>的实质性内容，但应当相应延长其</w:t>
      </w:r>
      <w:r>
        <w:rPr>
          <w:rFonts w:hint="eastAsia" w:hAnsi="宋体" w:cs="宋体"/>
          <w:szCs w:val="21"/>
        </w:rPr>
        <w:t>投标</w:t>
      </w:r>
      <w:r>
        <w:rPr>
          <w:rFonts w:hint="eastAsia" w:hAnsi="宋体"/>
        </w:rPr>
        <w:t>保证金有效期；投标人拒绝延长</w:t>
      </w:r>
      <w:r>
        <w:rPr>
          <w:rFonts w:hint="eastAsia" w:hAnsi="宋体" w:cs="宋体"/>
          <w:szCs w:val="21"/>
        </w:rPr>
        <w:t>投标</w:t>
      </w:r>
      <w:r>
        <w:rPr>
          <w:rFonts w:hint="eastAsia" w:hAnsi="宋体"/>
        </w:rPr>
        <w:t>有效期的，其</w:t>
      </w:r>
      <w:r>
        <w:rPr>
          <w:rFonts w:hint="eastAsia" w:hAnsi="宋体" w:cs="宋体"/>
          <w:szCs w:val="21"/>
        </w:rPr>
        <w:t>投标</w:t>
      </w:r>
      <w:r>
        <w:rPr>
          <w:rFonts w:hint="eastAsia" w:hAnsi="宋体"/>
        </w:rPr>
        <w:t>失效，投标人有权收回其</w:t>
      </w:r>
      <w:r>
        <w:rPr>
          <w:rFonts w:hint="eastAsia" w:hAnsi="宋体" w:cs="宋体"/>
          <w:szCs w:val="21"/>
        </w:rPr>
        <w:t>投标</w:t>
      </w:r>
      <w:r>
        <w:rPr>
          <w:rFonts w:hint="eastAsia" w:hAnsi="宋体"/>
        </w:rPr>
        <w:t>保证金。</w:t>
      </w:r>
    </w:p>
    <w:p>
      <w:pPr>
        <w:rPr>
          <w:b/>
          <w:bCs/>
          <w:sz w:val="24"/>
          <w:szCs w:val="32"/>
        </w:rPr>
      </w:pPr>
      <w:bookmarkStart w:id="178" w:name="_Toc46496147"/>
      <w:bookmarkStart w:id="179" w:name="_Toc447188688"/>
      <w:bookmarkStart w:id="180" w:name="_Toc447265238"/>
      <w:bookmarkStart w:id="181" w:name="_Toc450489297"/>
      <w:bookmarkStart w:id="182" w:name="_Toc447265524"/>
      <w:r>
        <w:rPr>
          <w:b/>
          <w:bCs/>
          <w:sz w:val="24"/>
          <w:szCs w:val="32"/>
        </w:rPr>
        <w:t>3.5</w:t>
      </w:r>
      <w:r>
        <w:rPr>
          <w:rFonts w:hint="eastAsia"/>
          <w:b/>
          <w:bCs/>
          <w:sz w:val="24"/>
          <w:szCs w:val="32"/>
        </w:rPr>
        <w:t>投标保证金</w:t>
      </w:r>
      <w:bookmarkEnd w:id="175"/>
      <w:bookmarkEnd w:id="176"/>
      <w:bookmarkEnd w:id="177"/>
      <w:bookmarkEnd w:id="178"/>
      <w:bookmarkEnd w:id="179"/>
      <w:bookmarkEnd w:id="180"/>
      <w:bookmarkEnd w:id="181"/>
      <w:bookmarkEnd w:id="182"/>
    </w:p>
    <w:p>
      <w:pPr>
        <w:pStyle w:val="23"/>
        <w:tabs>
          <w:tab w:val="left" w:pos="630"/>
        </w:tabs>
        <w:snapToGrid w:val="0"/>
        <w:spacing w:line="440" w:lineRule="exact"/>
        <w:ind w:firstLine="424" w:firstLineChars="202"/>
        <w:rPr>
          <w:rFonts w:hAnsi="宋体"/>
        </w:rPr>
      </w:pPr>
      <w:r>
        <w:rPr>
          <w:rFonts w:hAnsi="宋体"/>
        </w:rPr>
        <w:t>3.5.1招标人要求投标人递交</w:t>
      </w:r>
      <w:r>
        <w:rPr>
          <w:rFonts w:hint="eastAsia" w:hAnsi="宋体" w:cs="宋体"/>
          <w:szCs w:val="21"/>
        </w:rPr>
        <w:t>投标</w:t>
      </w:r>
      <w:r>
        <w:rPr>
          <w:rFonts w:hint="eastAsia" w:hAnsi="宋体"/>
        </w:rPr>
        <w:t>保证金的，投标人必须在递交</w:t>
      </w:r>
      <w:r>
        <w:rPr>
          <w:rFonts w:hint="eastAsia" w:hAnsi="宋体" w:cs="宋体"/>
          <w:szCs w:val="21"/>
        </w:rPr>
        <w:t>投标申请文件</w:t>
      </w:r>
      <w:r>
        <w:rPr>
          <w:rFonts w:hint="eastAsia" w:hAnsi="宋体"/>
        </w:rPr>
        <w:t>的同时，按照投标人须知前附表的规定递交</w:t>
      </w:r>
      <w:r>
        <w:rPr>
          <w:rFonts w:hint="eastAsia" w:hAnsi="宋体" w:cs="宋体"/>
          <w:szCs w:val="21"/>
        </w:rPr>
        <w:t>投标</w:t>
      </w:r>
      <w:r>
        <w:rPr>
          <w:rFonts w:hint="eastAsia" w:hAnsi="宋体"/>
        </w:rPr>
        <w:t>保证金。</w:t>
      </w:r>
    </w:p>
    <w:p>
      <w:pPr>
        <w:pStyle w:val="23"/>
        <w:tabs>
          <w:tab w:val="left" w:pos="630"/>
        </w:tabs>
        <w:snapToGrid w:val="0"/>
        <w:spacing w:line="440" w:lineRule="exact"/>
        <w:ind w:firstLine="424" w:firstLineChars="202"/>
        <w:rPr>
          <w:rFonts w:hAnsi="宋体"/>
        </w:rPr>
      </w:pPr>
      <w:r>
        <w:rPr>
          <w:rFonts w:hAnsi="宋体"/>
        </w:rPr>
        <w:t>3.5.2招标人可以规定</w:t>
      </w:r>
      <w:r>
        <w:rPr>
          <w:rFonts w:hint="eastAsia" w:hAnsi="宋体" w:cs="宋体"/>
          <w:szCs w:val="21"/>
        </w:rPr>
        <w:t>投标</w:t>
      </w:r>
      <w:r>
        <w:rPr>
          <w:rFonts w:hint="eastAsia" w:hAnsi="宋体"/>
        </w:rPr>
        <w:t>保证金是以现金、支票、银行汇票、在中国注册的银行出具的银行保函等方式递交，以现金或者支票形式递交的</w:t>
      </w:r>
      <w:r>
        <w:rPr>
          <w:rFonts w:hint="eastAsia" w:hAnsi="宋体" w:cs="宋体"/>
          <w:szCs w:val="21"/>
        </w:rPr>
        <w:t>投标</w:t>
      </w:r>
      <w:r>
        <w:rPr>
          <w:rFonts w:hint="eastAsia" w:hAnsi="宋体"/>
        </w:rPr>
        <w:t>保证金应当从其基本账户转出。</w:t>
      </w:r>
      <w:r>
        <w:rPr>
          <w:rFonts w:hint="eastAsia" w:hAnsi="宋体" w:cs="宋体"/>
          <w:szCs w:val="21"/>
        </w:rPr>
        <w:t>投标</w:t>
      </w:r>
      <w:r>
        <w:rPr>
          <w:rFonts w:hint="eastAsia" w:hAnsi="宋体"/>
        </w:rPr>
        <w:t>保证金有效期应当与</w:t>
      </w:r>
      <w:r>
        <w:rPr>
          <w:rFonts w:hint="eastAsia" w:hAnsi="宋体" w:cs="宋体"/>
          <w:szCs w:val="21"/>
        </w:rPr>
        <w:t>投标</w:t>
      </w:r>
      <w:r>
        <w:rPr>
          <w:rFonts w:hint="eastAsia" w:hAnsi="宋体"/>
        </w:rPr>
        <w:t>有效期一致。</w:t>
      </w:r>
      <w:r>
        <w:rPr>
          <w:rFonts w:hint="eastAsia" w:hAnsi="宋体" w:cs="宋体"/>
          <w:szCs w:val="21"/>
        </w:rPr>
        <w:t>投标</w:t>
      </w:r>
      <w:r>
        <w:rPr>
          <w:rFonts w:hint="eastAsia" w:hAnsi="宋体"/>
        </w:rPr>
        <w:t>保证金的形式见投标人须知前附表。</w:t>
      </w:r>
    </w:p>
    <w:p>
      <w:pPr>
        <w:pStyle w:val="23"/>
        <w:tabs>
          <w:tab w:val="left" w:pos="630"/>
        </w:tabs>
        <w:snapToGrid w:val="0"/>
        <w:spacing w:line="440" w:lineRule="exact"/>
        <w:ind w:firstLine="424" w:firstLineChars="202"/>
        <w:rPr>
          <w:rFonts w:hAnsi="宋体"/>
        </w:rPr>
      </w:pPr>
      <w:r>
        <w:rPr>
          <w:rFonts w:hAnsi="宋体"/>
        </w:rPr>
        <w:t>3.5.3招标人最迟应当在书面合同签订后5日内向</w:t>
      </w:r>
      <w:r>
        <w:rPr>
          <w:rFonts w:hint="eastAsia" w:hAnsi="宋体"/>
        </w:rPr>
        <w:t>中标入围单位</w:t>
      </w:r>
      <w:r>
        <w:rPr>
          <w:rFonts w:hAnsi="宋体"/>
        </w:rPr>
        <w:t>和未中标的投标人退还</w:t>
      </w:r>
      <w:r>
        <w:rPr>
          <w:rFonts w:hint="eastAsia" w:hAnsi="宋体" w:cs="宋体"/>
          <w:szCs w:val="21"/>
        </w:rPr>
        <w:t>投标</w:t>
      </w:r>
      <w:r>
        <w:rPr>
          <w:rFonts w:hint="eastAsia" w:hAnsi="宋体"/>
        </w:rPr>
        <w:t>保证金及银行同期存款利息。</w:t>
      </w:r>
    </w:p>
    <w:p>
      <w:pPr>
        <w:pStyle w:val="23"/>
        <w:tabs>
          <w:tab w:val="left" w:pos="630"/>
        </w:tabs>
        <w:snapToGrid w:val="0"/>
        <w:spacing w:line="440" w:lineRule="exact"/>
        <w:ind w:firstLine="424" w:firstLineChars="202"/>
        <w:rPr>
          <w:rFonts w:hAnsi="宋体"/>
        </w:rPr>
      </w:pPr>
      <w:r>
        <w:rPr>
          <w:rFonts w:hAnsi="宋体"/>
        </w:rPr>
        <w:t>3.5.4</w:t>
      </w:r>
      <w:r>
        <w:rPr>
          <w:rFonts w:hint="eastAsia" w:hAnsi="宋体"/>
        </w:rPr>
        <w:t>下列任何情况发生时，</w:t>
      </w:r>
      <w:r>
        <w:rPr>
          <w:rFonts w:hint="eastAsia" w:hAnsi="宋体" w:cs="宋体"/>
          <w:szCs w:val="21"/>
        </w:rPr>
        <w:t>投标</w:t>
      </w:r>
      <w:r>
        <w:rPr>
          <w:rFonts w:hint="eastAsia" w:hAnsi="宋体"/>
        </w:rPr>
        <w:t>保证金可不予退还：</w:t>
      </w:r>
    </w:p>
    <w:p>
      <w:pPr>
        <w:tabs>
          <w:tab w:val="left" w:pos="630"/>
        </w:tabs>
        <w:spacing w:line="400" w:lineRule="exact"/>
        <w:ind w:firstLine="420" w:firstLineChars="200"/>
        <w:rPr>
          <w:rFonts w:ascii="宋体" w:hAnsi="宋体"/>
        </w:rPr>
      </w:pPr>
      <w:r>
        <w:rPr>
          <w:rFonts w:hint="eastAsia" w:ascii="宋体" w:hAnsi="宋体"/>
        </w:rPr>
        <w:t>（</w:t>
      </w:r>
      <w:r>
        <w:rPr>
          <w:rFonts w:ascii="宋体" w:hAnsi="宋体"/>
        </w:rPr>
        <w:t>1）投标人在</w:t>
      </w:r>
      <w:r>
        <w:rPr>
          <w:rFonts w:hint="eastAsia" w:ascii="宋体" w:hAnsi="宋体"/>
        </w:rPr>
        <w:t>招募文件</w:t>
      </w:r>
      <w:r>
        <w:rPr>
          <w:rFonts w:ascii="宋体" w:hAnsi="宋体"/>
        </w:rPr>
        <w:t>中规定的</w:t>
      </w:r>
      <w:r>
        <w:rPr>
          <w:rFonts w:hint="eastAsia" w:ascii="宋体" w:hAnsi="宋体" w:cs="宋体"/>
          <w:szCs w:val="21"/>
        </w:rPr>
        <w:t>投标</w:t>
      </w:r>
      <w:r>
        <w:rPr>
          <w:rFonts w:ascii="宋体" w:hAnsi="宋体"/>
        </w:rPr>
        <w:t>有效期内</w:t>
      </w:r>
      <w:r>
        <w:rPr>
          <w:rFonts w:hint="eastAsia" w:ascii="宋体" w:hAnsi="宋体"/>
        </w:rPr>
        <w:t>撤销</w:t>
      </w:r>
      <w:r>
        <w:rPr>
          <w:rFonts w:hint="eastAsia" w:ascii="宋体" w:hAnsi="宋体" w:cs="宋体"/>
          <w:szCs w:val="21"/>
        </w:rPr>
        <w:t>投标</w:t>
      </w:r>
      <w:r>
        <w:rPr>
          <w:rFonts w:hint="eastAsia" w:ascii="宋体" w:hAnsi="宋体"/>
        </w:rPr>
        <w:t>的；</w:t>
      </w:r>
    </w:p>
    <w:p>
      <w:pPr>
        <w:pStyle w:val="77"/>
        <w:tabs>
          <w:tab w:val="left" w:pos="630"/>
        </w:tabs>
        <w:spacing w:line="400" w:lineRule="exact"/>
        <w:ind w:left="424" w:firstLine="0" w:firstLineChars="0"/>
        <w:rPr>
          <w:rFonts w:ascii="宋体" w:hAnsi="宋体"/>
        </w:rPr>
      </w:pPr>
      <w:r>
        <w:rPr>
          <w:rFonts w:hint="eastAsia" w:ascii="宋体" w:hAnsi="宋体"/>
        </w:rPr>
        <w:t>（</w:t>
      </w:r>
      <w:r>
        <w:rPr>
          <w:rFonts w:ascii="宋体" w:hAnsi="宋体"/>
        </w:rPr>
        <w:t>2）</w:t>
      </w:r>
      <w:r>
        <w:rPr>
          <w:rFonts w:hint="eastAsia" w:ascii="宋体" w:hAnsi="宋体"/>
        </w:rPr>
        <w:t>中标入围单位</w:t>
      </w:r>
      <w:r>
        <w:rPr>
          <w:rFonts w:ascii="宋体" w:hAnsi="宋体"/>
        </w:rPr>
        <w:t>无正当理由不与招标人订立合同，在签订合同时向招标人提出附加条件，或者不按照</w:t>
      </w:r>
      <w:r>
        <w:rPr>
          <w:rFonts w:hint="eastAsia" w:ascii="宋体" w:hAnsi="宋体"/>
        </w:rPr>
        <w:t>招募文件</w:t>
      </w:r>
      <w:r>
        <w:rPr>
          <w:rFonts w:ascii="宋体" w:hAnsi="宋体"/>
        </w:rPr>
        <w:t>要求递交履约保证金的；</w:t>
      </w:r>
    </w:p>
    <w:p>
      <w:pPr>
        <w:pStyle w:val="77"/>
        <w:tabs>
          <w:tab w:val="left" w:pos="630"/>
        </w:tabs>
        <w:spacing w:line="400" w:lineRule="exact"/>
        <w:ind w:left="424" w:firstLine="0" w:firstLineChars="0"/>
        <w:rPr>
          <w:rFonts w:ascii="宋体" w:hAnsi="宋体"/>
        </w:rPr>
      </w:pPr>
      <w:r>
        <w:rPr>
          <w:rFonts w:hint="eastAsia" w:ascii="宋体" w:hAnsi="宋体"/>
        </w:rPr>
        <w:t>（</w:t>
      </w:r>
      <w:r>
        <w:rPr>
          <w:rFonts w:ascii="宋体" w:hAnsi="宋体"/>
        </w:rPr>
        <w:t>3）投标人有串通</w:t>
      </w:r>
      <w:r>
        <w:rPr>
          <w:rFonts w:hint="eastAsia" w:ascii="宋体" w:hAnsi="宋体"/>
        </w:rPr>
        <w:t>投标</w:t>
      </w:r>
      <w:r>
        <w:rPr>
          <w:rFonts w:ascii="宋体" w:hAnsi="宋体"/>
        </w:rPr>
        <w:t>、弄虚作假等行为的；</w:t>
      </w:r>
    </w:p>
    <w:p>
      <w:pPr>
        <w:pStyle w:val="77"/>
        <w:tabs>
          <w:tab w:val="left" w:pos="630"/>
        </w:tabs>
        <w:spacing w:line="400" w:lineRule="exact"/>
        <w:ind w:left="424" w:firstLine="0" w:firstLineChars="0"/>
        <w:rPr>
          <w:rFonts w:ascii="宋体" w:hAnsi="宋体"/>
        </w:rPr>
      </w:pPr>
      <w:r>
        <w:rPr>
          <w:rFonts w:hint="eastAsia" w:ascii="宋体" w:hAnsi="宋体"/>
        </w:rPr>
        <w:t>（</w:t>
      </w:r>
      <w:r>
        <w:rPr>
          <w:rFonts w:ascii="宋体" w:hAnsi="宋体"/>
        </w:rPr>
        <w:t>4）其他规定</w:t>
      </w:r>
      <w:r>
        <w:rPr>
          <w:rFonts w:hint="eastAsia" w:ascii="宋体" w:hAnsi="宋体"/>
        </w:rPr>
        <w:t>见投标人须知前附表</w:t>
      </w:r>
      <w:r>
        <w:rPr>
          <w:rFonts w:ascii="宋体" w:hAnsi="宋体"/>
        </w:rPr>
        <w:t>。</w:t>
      </w:r>
    </w:p>
    <w:p>
      <w:pPr>
        <w:pStyle w:val="23"/>
        <w:tabs>
          <w:tab w:val="left" w:pos="630"/>
        </w:tabs>
        <w:snapToGrid w:val="0"/>
        <w:spacing w:line="440" w:lineRule="exact"/>
        <w:ind w:firstLine="424" w:firstLineChars="202"/>
        <w:rPr>
          <w:rFonts w:hAnsi="宋体"/>
        </w:rPr>
      </w:pPr>
      <w:r>
        <w:rPr>
          <w:rFonts w:hAnsi="宋体"/>
        </w:rPr>
        <w:t>3.5.5未递交</w:t>
      </w:r>
      <w:r>
        <w:rPr>
          <w:rFonts w:hint="eastAsia" w:hAnsi="宋体" w:cs="宋体"/>
          <w:szCs w:val="21"/>
        </w:rPr>
        <w:t>投标</w:t>
      </w:r>
      <w:r>
        <w:rPr>
          <w:rFonts w:hint="eastAsia" w:hAnsi="宋体"/>
        </w:rPr>
        <w:t>保证金或者递交的</w:t>
      </w:r>
      <w:r>
        <w:rPr>
          <w:rFonts w:hint="eastAsia" w:hAnsi="宋体" w:cs="宋体"/>
          <w:szCs w:val="21"/>
        </w:rPr>
        <w:t>投标</w:t>
      </w:r>
      <w:r>
        <w:rPr>
          <w:rFonts w:hint="eastAsia" w:hAnsi="宋体"/>
        </w:rPr>
        <w:t>保证金有瑕疵的</w:t>
      </w:r>
      <w:r>
        <w:rPr>
          <w:rFonts w:hint="eastAsia" w:hAnsi="宋体" w:cs="宋体"/>
          <w:szCs w:val="21"/>
        </w:rPr>
        <w:t>投标</w:t>
      </w:r>
      <w:r>
        <w:rPr>
          <w:rFonts w:hint="eastAsia" w:hAnsi="宋体"/>
        </w:rPr>
        <w:t>将被否决。</w:t>
      </w:r>
    </w:p>
    <w:p>
      <w:pPr>
        <w:rPr>
          <w:b/>
          <w:bCs/>
          <w:sz w:val="24"/>
          <w:szCs w:val="32"/>
        </w:rPr>
      </w:pPr>
      <w:bookmarkStart w:id="183" w:name="_Toc447188689"/>
      <w:bookmarkStart w:id="184" w:name="_Toc227057903"/>
      <w:bookmarkStart w:id="185" w:name="_Toc46496148"/>
      <w:bookmarkStart w:id="186" w:name="_Toc447265239"/>
      <w:bookmarkStart w:id="187" w:name="_Toc226969297"/>
      <w:bookmarkStart w:id="188" w:name="_Toc450489298"/>
      <w:bookmarkStart w:id="189" w:name="_Toc447265525"/>
      <w:bookmarkStart w:id="190" w:name="_Toc107822501"/>
      <w:r>
        <w:rPr>
          <w:b/>
          <w:bCs/>
          <w:sz w:val="24"/>
          <w:szCs w:val="32"/>
        </w:rPr>
        <w:t>3.6</w:t>
      </w:r>
      <w:r>
        <w:rPr>
          <w:rFonts w:hint="eastAsia"/>
          <w:b/>
          <w:bCs/>
          <w:sz w:val="24"/>
          <w:szCs w:val="32"/>
        </w:rPr>
        <w:t>备选投标方案</w:t>
      </w:r>
      <w:bookmarkEnd w:id="183"/>
      <w:bookmarkEnd w:id="184"/>
      <w:bookmarkEnd w:id="185"/>
      <w:bookmarkEnd w:id="186"/>
      <w:bookmarkEnd w:id="187"/>
      <w:bookmarkEnd w:id="188"/>
      <w:bookmarkEnd w:id="189"/>
    </w:p>
    <w:p>
      <w:pPr>
        <w:pStyle w:val="23"/>
        <w:tabs>
          <w:tab w:val="left" w:pos="630"/>
        </w:tabs>
        <w:snapToGrid w:val="0"/>
        <w:spacing w:line="440" w:lineRule="exact"/>
        <w:ind w:firstLine="424" w:firstLineChars="202"/>
        <w:rPr>
          <w:rFonts w:hAnsi="宋体"/>
        </w:rPr>
      </w:pPr>
      <w:r>
        <w:rPr>
          <w:rFonts w:hAnsi="宋体"/>
        </w:rPr>
        <w:t>3.6.1除投标人须知前附表另有规定外，投标人不得递交备选</w:t>
      </w:r>
      <w:r>
        <w:rPr>
          <w:rFonts w:hint="eastAsia" w:hAnsi="宋体" w:cs="宋体"/>
          <w:szCs w:val="21"/>
        </w:rPr>
        <w:t>投标方</w:t>
      </w:r>
      <w:r>
        <w:rPr>
          <w:rFonts w:hint="eastAsia" w:hAnsi="宋体"/>
        </w:rPr>
        <w:t>案。</w:t>
      </w:r>
    </w:p>
    <w:p>
      <w:pPr>
        <w:pStyle w:val="23"/>
        <w:tabs>
          <w:tab w:val="left" w:pos="630"/>
        </w:tabs>
        <w:snapToGrid w:val="0"/>
        <w:spacing w:line="440" w:lineRule="exact"/>
        <w:ind w:firstLine="424" w:firstLineChars="202"/>
        <w:rPr>
          <w:rFonts w:hAnsi="宋体"/>
        </w:rPr>
      </w:pPr>
      <w:r>
        <w:rPr>
          <w:rFonts w:hAnsi="宋体"/>
        </w:rPr>
        <w:t>3.6.2</w:t>
      </w:r>
      <w:r>
        <w:rPr>
          <w:rFonts w:hint="eastAsia" w:hAnsi="宋体"/>
        </w:rPr>
        <w:t>若招标人在招募文件中邀请投标人递交备选方案时，则投标人除按照招募文件规定的基本方案编制和递交</w:t>
      </w:r>
      <w:r>
        <w:rPr>
          <w:rFonts w:hint="eastAsia" w:hAnsi="宋体" w:cs="宋体"/>
          <w:szCs w:val="21"/>
        </w:rPr>
        <w:t>投标申请文件</w:t>
      </w:r>
      <w:r>
        <w:rPr>
          <w:rFonts w:hint="eastAsia" w:hAnsi="宋体"/>
        </w:rPr>
        <w:t>外，可以附加递交备选</w:t>
      </w:r>
      <w:r>
        <w:rPr>
          <w:rFonts w:hint="eastAsia" w:hAnsi="宋体" w:cs="宋体"/>
          <w:szCs w:val="21"/>
        </w:rPr>
        <w:t>投标方</w:t>
      </w:r>
      <w:r>
        <w:rPr>
          <w:rFonts w:hint="eastAsia" w:hAnsi="宋体"/>
        </w:rPr>
        <w:t>案。</w:t>
      </w:r>
    </w:p>
    <w:p>
      <w:pPr>
        <w:pStyle w:val="23"/>
        <w:tabs>
          <w:tab w:val="left" w:pos="630"/>
        </w:tabs>
        <w:snapToGrid w:val="0"/>
        <w:spacing w:line="440" w:lineRule="exact"/>
        <w:ind w:firstLine="424" w:firstLineChars="202"/>
        <w:rPr>
          <w:rFonts w:hAnsi="宋体"/>
        </w:rPr>
      </w:pPr>
      <w:r>
        <w:rPr>
          <w:rFonts w:hAnsi="宋体"/>
        </w:rPr>
        <w:t>3.6.3</w:t>
      </w:r>
      <w:r>
        <w:rPr>
          <w:rFonts w:hint="eastAsia" w:hAnsi="宋体"/>
        </w:rPr>
        <w:t>备选</w:t>
      </w:r>
      <w:r>
        <w:rPr>
          <w:rFonts w:hint="eastAsia" w:hAnsi="宋体" w:cs="宋体"/>
          <w:szCs w:val="21"/>
        </w:rPr>
        <w:t>投标方</w:t>
      </w:r>
      <w:r>
        <w:rPr>
          <w:rFonts w:hint="eastAsia" w:hAnsi="宋体"/>
        </w:rPr>
        <w:t>案应当说明其对基本方案的改进意见和带来的效益，并附必要的图纸、设计计算、技术要求及其它有关资料，在封面上应当注明“备选</w:t>
      </w:r>
      <w:r>
        <w:rPr>
          <w:rFonts w:hint="eastAsia" w:hAnsi="宋体" w:cs="宋体"/>
          <w:szCs w:val="21"/>
        </w:rPr>
        <w:t>投标方</w:t>
      </w:r>
      <w:r>
        <w:rPr>
          <w:rFonts w:hint="eastAsia" w:hAnsi="宋体"/>
        </w:rPr>
        <w:t>案”字样。</w:t>
      </w:r>
    </w:p>
    <w:p>
      <w:pPr>
        <w:pStyle w:val="23"/>
        <w:tabs>
          <w:tab w:val="left" w:pos="630"/>
        </w:tabs>
        <w:snapToGrid w:val="0"/>
        <w:spacing w:line="440" w:lineRule="exact"/>
        <w:ind w:firstLine="424" w:firstLineChars="202"/>
        <w:rPr>
          <w:rFonts w:hAnsi="宋体"/>
        </w:rPr>
      </w:pPr>
      <w:r>
        <w:rPr>
          <w:rFonts w:hAnsi="宋体"/>
        </w:rPr>
        <w:t>3.6.4允许投标人递交备选</w:t>
      </w:r>
      <w:r>
        <w:rPr>
          <w:rFonts w:hint="eastAsia" w:hAnsi="宋体" w:cs="宋体"/>
          <w:szCs w:val="21"/>
        </w:rPr>
        <w:t>投标方</w:t>
      </w:r>
      <w:r>
        <w:rPr>
          <w:rFonts w:hint="eastAsia" w:hAnsi="宋体"/>
        </w:rPr>
        <w:t>案的，只有符合招募文件要求且评审价最低或者综合评分最高而被推荐为中标入围候选单位的投标人所递交的备选</w:t>
      </w:r>
      <w:r>
        <w:rPr>
          <w:rFonts w:hint="eastAsia" w:hAnsi="宋体" w:cs="宋体"/>
          <w:szCs w:val="21"/>
        </w:rPr>
        <w:t>投标方</w:t>
      </w:r>
      <w:r>
        <w:rPr>
          <w:rFonts w:hint="eastAsia" w:hAnsi="宋体"/>
        </w:rPr>
        <w:t>案，可予以考虑。评审委员会认为其备选</w:t>
      </w:r>
      <w:r>
        <w:rPr>
          <w:rFonts w:hint="eastAsia" w:hAnsi="宋体" w:cs="宋体"/>
          <w:szCs w:val="21"/>
        </w:rPr>
        <w:t>投标人</w:t>
      </w:r>
      <w:r>
        <w:rPr>
          <w:rFonts w:hint="eastAsia" w:hAnsi="宋体"/>
        </w:rPr>
        <w:t>案优于其按照招募文件要求编制的</w:t>
      </w:r>
      <w:r>
        <w:rPr>
          <w:rFonts w:hint="eastAsia" w:hAnsi="宋体" w:cs="宋体"/>
          <w:szCs w:val="21"/>
        </w:rPr>
        <w:t>投标方</w:t>
      </w:r>
      <w:r>
        <w:rPr>
          <w:rFonts w:hint="eastAsia" w:hAnsi="宋体"/>
        </w:rPr>
        <w:t>案的，招标人可以接受该备选</w:t>
      </w:r>
      <w:r>
        <w:rPr>
          <w:rFonts w:hint="eastAsia" w:hAnsi="宋体" w:cs="宋体"/>
          <w:szCs w:val="21"/>
        </w:rPr>
        <w:t>投标方</w:t>
      </w:r>
      <w:r>
        <w:rPr>
          <w:rFonts w:hint="eastAsia" w:hAnsi="宋体"/>
        </w:rPr>
        <w:t>案。</w:t>
      </w:r>
    </w:p>
    <w:p>
      <w:pPr>
        <w:rPr>
          <w:b/>
          <w:bCs/>
          <w:sz w:val="24"/>
          <w:szCs w:val="32"/>
        </w:rPr>
      </w:pPr>
      <w:bookmarkStart w:id="191" w:name="_Toc227057904"/>
      <w:bookmarkStart w:id="192" w:name="_Toc226969298"/>
      <w:bookmarkStart w:id="193" w:name="_Toc447265526"/>
      <w:bookmarkStart w:id="194" w:name="_Toc46496149"/>
      <w:bookmarkStart w:id="195" w:name="_Toc450489299"/>
      <w:bookmarkStart w:id="196" w:name="_Toc447188690"/>
      <w:bookmarkStart w:id="197" w:name="_Toc447265240"/>
      <w:r>
        <w:rPr>
          <w:b/>
          <w:bCs/>
          <w:sz w:val="24"/>
          <w:szCs w:val="32"/>
        </w:rPr>
        <w:t>3.7</w:t>
      </w:r>
      <w:r>
        <w:rPr>
          <w:rFonts w:hint="eastAsia"/>
          <w:b/>
          <w:bCs/>
          <w:sz w:val="24"/>
          <w:szCs w:val="32"/>
        </w:rPr>
        <w:t>投标申请文件的式样</w:t>
      </w:r>
      <w:bookmarkEnd w:id="190"/>
      <w:bookmarkEnd w:id="191"/>
      <w:bookmarkEnd w:id="192"/>
      <w:r>
        <w:rPr>
          <w:rFonts w:hint="eastAsia"/>
          <w:b/>
          <w:bCs/>
          <w:sz w:val="24"/>
          <w:szCs w:val="32"/>
        </w:rPr>
        <w:t>、密封和标记（递交纸质文件适用）</w:t>
      </w:r>
      <w:bookmarkEnd w:id="193"/>
      <w:bookmarkEnd w:id="194"/>
      <w:bookmarkEnd w:id="195"/>
      <w:bookmarkEnd w:id="196"/>
      <w:bookmarkEnd w:id="197"/>
    </w:p>
    <w:p>
      <w:pPr>
        <w:pStyle w:val="23"/>
        <w:tabs>
          <w:tab w:val="left" w:pos="630"/>
        </w:tabs>
        <w:snapToGrid w:val="0"/>
        <w:spacing w:line="440" w:lineRule="exact"/>
        <w:ind w:firstLine="424" w:firstLineChars="202"/>
        <w:rPr>
          <w:rFonts w:hAnsi="宋体"/>
        </w:rPr>
      </w:pPr>
      <w:r>
        <w:rPr>
          <w:rFonts w:hAnsi="宋体"/>
        </w:rPr>
        <w:t>3.7.1</w:t>
      </w:r>
      <w:r>
        <w:rPr>
          <w:rFonts w:hint="eastAsia" w:hAnsi="宋体"/>
        </w:rPr>
        <w:t>投标人应当编制一份</w:t>
      </w:r>
      <w:r>
        <w:rPr>
          <w:rFonts w:hint="eastAsia" w:hAnsi="宋体" w:cs="宋体"/>
          <w:szCs w:val="21"/>
        </w:rPr>
        <w:t>投标申请文件</w:t>
      </w:r>
      <w:r>
        <w:rPr>
          <w:rFonts w:hint="eastAsia" w:hAnsi="宋体"/>
        </w:rPr>
        <w:t>“正本”和投标人须知前附表所述份数的“副本”和“电子版”，副本为正本复印件。投标申请文件正本和副本如有不一致之处，以正本为准；纸质版文件与电子版文件不一致时，以纸质版文件为准。</w:t>
      </w:r>
    </w:p>
    <w:p>
      <w:pPr>
        <w:pStyle w:val="23"/>
        <w:tabs>
          <w:tab w:val="left" w:pos="630"/>
        </w:tabs>
        <w:snapToGrid w:val="0"/>
        <w:spacing w:line="440" w:lineRule="exact"/>
        <w:ind w:firstLine="424" w:firstLineChars="202"/>
        <w:rPr>
          <w:rFonts w:hAnsi="宋体"/>
        </w:rPr>
      </w:pPr>
      <w:r>
        <w:rPr>
          <w:rFonts w:hAnsi="宋体"/>
        </w:rPr>
        <w:t>3.7.2每份</w:t>
      </w:r>
      <w:r>
        <w:rPr>
          <w:rFonts w:hint="eastAsia" w:hAnsi="宋体" w:cs="宋体"/>
          <w:szCs w:val="21"/>
        </w:rPr>
        <w:t>投标申请文件</w:t>
      </w:r>
      <w:r>
        <w:rPr>
          <w:rFonts w:hint="eastAsia" w:hAnsi="宋体"/>
        </w:rPr>
        <w:t>的正本、副本及电子版应当分别装订，并于封面上明确标明“正本”、“副本”和“电子版”字样。</w:t>
      </w:r>
    </w:p>
    <w:p>
      <w:pPr>
        <w:pStyle w:val="23"/>
        <w:tabs>
          <w:tab w:val="left" w:pos="630"/>
        </w:tabs>
        <w:snapToGrid w:val="0"/>
        <w:spacing w:line="440" w:lineRule="exact"/>
        <w:ind w:firstLine="424" w:firstLineChars="202"/>
        <w:rPr>
          <w:rFonts w:hAnsi="宋体"/>
        </w:rPr>
      </w:pPr>
      <w:r>
        <w:rPr>
          <w:rFonts w:hAnsi="宋体"/>
        </w:rPr>
        <w:t>3.7.3</w:t>
      </w:r>
      <w:r>
        <w:rPr>
          <w:rFonts w:hint="eastAsia" w:hAnsi="宋体" w:cs="宋体"/>
          <w:szCs w:val="21"/>
        </w:rPr>
        <w:t>投标申请文件</w:t>
      </w:r>
      <w:r>
        <w:rPr>
          <w:rFonts w:hint="eastAsia" w:hAnsi="宋体"/>
        </w:rPr>
        <w:t>应当按照招募文件规定密封包装，并于封装封面上明确标明“正本”、“副本”和“电子版”字样。密封的所有粘接缝隙必须加盖单位公章或者由投标人的法定代表人或者其委托代理人签字。</w:t>
      </w:r>
    </w:p>
    <w:p>
      <w:pPr>
        <w:pStyle w:val="23"/>
        <w:tabs>
          <w:tab w:val="left" w:pos="630"/>
        </w:tabs>
        <w:snapToGrid w:val="0"/>
        <w:spacing w:line="440" w:lineRule="exact"/>
        <w:ind w:firstLine="424" w:firstLineChars="202"/>
        <w:rPr>
          <w:rFonts w:hAnsi="宋体"/>
        </w:rPr>
      </w:pPr>
      <w:r>
        <w:rPr>
          <w:rFonts w:hAnsi="宋体"/>
        </w:rPr>
        <w:t>3.7.4外层包封应当写明招标人名称和地址、项目名称、招标代理编号、并注明唱价时间以前不得开封。还应当写明投标人的名称与地址、邮政编码，以便投标出现逾期送达时能原封退回。</w:t>
      </w:r>
    </w:p>
    <w:p>
      <w:pPr>
        <w:pStyle w:val="23"/>
        <w:tabs>
          <w:tab w:val="left" w:pos="630"/>
        </w:tabs>
        <w:snapToGrid w:val="0"/>
        <w:spacing w:line="440" w:lineRule="exact"/>
        <w:ind w:firstLine="424" w:firstLineChars="202"/>
        <w:rPr>
          <w:rFonts w:hAnsi="宋体"/>
        </w:rPr>
      </w:pPr>
      <w:r>
        <w:rPr>
          <w:rFonts w:hAnsi="宋体"/>
        </w:rPr>
        <w:t>3.7.5递交</w:t>
      </w:r>
      <w:r>
        <w:rPr>
          <w:rFonts w:hint="eastAsia" w:hAnsi="宋体" w:cs="宋体"/>
          <w:szCs w:val="21"/>
        </w:rPr>
        <w:t>投标申请文件</w:t>
      </w:r>
      <w:r>
        <w:rPr>
          <w:rFonts w:hint="eastAsia" w:hAnsi="宋体"/>
        </w:rPr>
        <w:t>时，招标人应当对符合招募文件规定密封和标记的</w:t>
      </w:r>
      <w:r>
        <w:rPr>
          <w:rFonts w:hint="eastAsia" w:hAnsi="宋体" w:cs="宋体"/>
          <w:szCs w:val="21"/>
        </w:rPr>
        <w:t>投标申请文件</w:t>
      </w:r>
      <w:r>
        <w:rPr>
          <w:rFonts w:hint="eastAsia" w:hAnsi="宋体"/>
        </w:rPr>
        <w:t>进行签收。</w:t>
      </w:r>
    </w:p>
    <w:p>
      <w:pPr>
        <w:pStyle w:val="23"/>
        <w:tabs>
          <w:tab w:val="left" w:pos="630"/>
        </w:tabs>
        <w:snapToGrid w:val="0"/>
        <w:spacing w:line="440" w:lineRule="exact"/>
        <w:ind w:firstLine="424" w:firstLineChars="202"/>
        <w:rPr>
          <w:rFonts w:hAnsi="宋体"/>
        </w:rPr>
      </w:pPr>
      <w:r>
        <w:rPr>
          <w:rFonts w:hAnsi="宋体"/>
        </w:rPr>
        <w:t>3.7.6</w:t>
      </w:r>
      <w:r>
        <w:rPr>
          <w:rFonts w:hint="eastAsia" w:hAnsi="宋体"/>
        </w:rPr>
        <w:t>招标人对于</w:t>
      </w:r>
      <w:r>
        <w:rPr>
          <w:rFonts w:hint="eastAsia" w:hAnsi="宋体" w:cs="宋体"/>
          <w:szCs w:val="21"/>
        </w:rPr>
        <w:t>投标申请文件</w:t>
      </w:r>
      <w:r>
        <w:rPr>
          <w:rFonts w:hint="eastAsia" w:hAnsi="宋体"/>
        </w:rPr>
        <w:t>密封、标记另有要求的，见投标人须知前附表。</w:t>
      </w:r>
      <w:bookmarkEnd w:id="147"/>
      <w:bookmarkEnd w:id="148"/>
      <w:bookmarkEnd w:id="149"/>
    </w:p>
    <w:p>
      <w:pPr>
        <w:numPr>
          <w:ilvl w:val="0"/>
          <w:numId w:val="4"/>
        </w:numPr>
        <w:rPr>
          <w:b/>
          <w:bCs/>
          <w:sz w:val="24"/>
          <w:szCs w:val="32"/>
        </w:rPr>
      </w:pPr>
      <w:bookmarkStart w:id="198" w:name="_Toc477190296"/>
      <w:bookmarkEnd w:id="198"/>
      <w:bookmarkStart w:id="199" w:name="_Toc477190297"/>
      <w:bookmarkEnd w:id="199"/>
      <w:r>
        <w:rPr>
          <w:rFonts w:hint="eastAsia"/>
          <w:b/>
          <w:bCs/>
          <w:sz w:val="24"/>
          <w:szCs w:val="32"/>
        </w:rPr>
        <w:t>投标</w:t>
      </w:r>
    </w:p>
    <w:p>
      <w:pPr>
        <w:rPr>
          <w:b/>
          <w:bCs/>
          <w:sz w:val="24"/>
          <w:szCs w:val="32"/>
        </w:rPr>
      </w:pPr>
      <w:bookmarkStart w:id="200" w:name="_Toc447265243"/>
      <w:bookmarkStart w:id="201" w:name="_Toc46496151"/>
      <w:bookmarkStart w:id="202" w:name="_Toc447188692"/>
      <w:bookmarkStart w:id="203" w:name="_Toc447265529"/>
      <w:r>
        <w:rPr>
          <w:b/>
          <w:bCs/>
          <w:sz w:val="24"/>
          <w:szCs w:val="32"/>
        </w:rPr>
        <w:t>4.1</w:t>
      </w:r>
      <w:bookmarkEnd w:id="150"/>
      <w:bookmarkEnd w:id="151"/>
      <w:r>
        <w:rPr>
          <w:rFonts w:hint="eastAsia"/>
          <w:b/>
          <w:bCs/>
          <w:sz w:val="24"/>
          <w:szCs w:val="32"/>
        </w:rPr>
        <w:t>投标申请文件的递交</w:t>
      </w:r>
      <w:bookmarkEnd w:id="152"/>
      <w:bookmarkEnd w:id="153"/>
      <w:bookmarkEnd w:id="200"/>
      <w:bookmarkEnd w:id="201"/>
      <w:bookmarkEnd w:id="202"/>
      <w:bookmarkEnd w:id="203"/>
    </w:p>
    <w:p>
      <w:pPr>
        <w:pStyle w:val="23"/>
        <w:tabs>
          <w:tab w:val="left" w:pos="630"/>
        </w:tabs>
        <w:snapToGrid w:val="0"/>
        <w:spacing w:line="440" w:lineRule="exact"/>
        <w:ind w:firstLine="424" w:firstLineChars="202"/>
        <w:rPr>
          <w:rFonts w:hAnsi="宋体"/>
        </w:rPr>
      </w:pPr>
      <w:bookmarkStart w:id="204" w:name="_Toc488655849"/>
      <w:bookmarkStart w:id="205" w:name="_Toc107822504"/>
      <w:bookmarkStart w:id="206" w:name="_Toc107822505"/>
      <w:bookmarkStart w:id="207" w:name="_Toc227057907"/>
      <w:bookmarkStart w:id="208" w:name="_Toc226969301"/>
      <w:bookmarkStart w:id="209" w:name="_Toc488655850"/>
      <w:bookmarkStart w:id="210" w:name="_Toc447265530"/>
      <w:bookmarkStart w:id="211" w:name="_Toc447188693"/>
      <w:bookmarkStart w:id="212" w:name="_Toc447265244"/>
      <w:r>
        <w:rPr>
          <w:rFonts w:hAnsi="宋体"/>
        </w:rPr>
        <w:t>4.1.1</w:t>
      </w:r>
      <w:r>
        <w:rPr>
          <w:rFonts w:hint="eastAsia" w:hAnsi="宋体" w:cs="宋体"/>
          <w:szCs w:val="21"/>
        </w:rPr>
        <w:t>投标申请文件</w:t>
      </w:r>
      <w:r>
        <w:rPr>
          <w:rFonts w:hint="eastAsia" w:hAnsi="宋体"/>
        </w:rPr>
        <w:t>递交截止时间：见投标人须知前附表。</w:t>
      </w:r>
    </w:p>
    <w:p>
      <w:pPr>
        <w:pStyle w:val="23"/>
        <w:tabs>
          <w:tab w:val="left" w:pos="630"/>
        </w:tabs>
        <w:snapToGrid w:val="0"/>
        <w:spacing w:line="440" w:lineRule="exact"/>
        <w:ind w:firstLine="424" w:firstLineChars="202"/>
        <w:rPr>
          <w:rFonts w:hAnsi="宋体"/>
        </w:rPr>
      </w:pPr>
      <w:r>
        <w:rPr>
          <w:rFonts w:hAnsi="宋体"/>
        </w:rPr>
        <w:t>4.1.2</w:t>
      </w:r>
      <w:r>
        <w:rPr>
          <w:rFonts w:hint="eastAsia" w:hAnsi="宋体" w:cs="宋体"/>
          <w:szCs w:val="21"/>
        </w:rPr>
        <w:t>投标申请文件</w:t>
      </w:r>
      <w:r>
        <w:rPr>
          <w:rFonts w:hint="eastAsia" w:hAnsi="宋体"/>
        </w:rPr>
        <w:t>递交地点：见投标人须知前附表。</w:t>
      </w:r>
    </w:p>
    <w:p>
      <w:pPr>
        <w:pStyle w:val="23"/>
        <w:tabs>
          <w:tab w:val="left" w:pos="630"/>
        </w:tabs>
        <w:snapToGrid w:val="0"/>
        <w:spacing w:line="440" w:lineRule="exact"/>
        <w:ind w:firstLine="424" w:firstLineChars="202"/>
        <w:rPr>
          <w:rFonts w:hAnsi="宋体"/>
        </w:rPr>
      </w:pPr>
      <w:r>
        <w:rPr>
          <w:rFonts w:hAnsi="宋体"/>
        </w:rPr>
        <w:t>4.1.3招标人收到</w:t>
      </w:r>
      <w:r>
        <w:rPr>
          <w:rFonts w:hint="eastAsia" w:hAnsi="宋体"/>
        </w:rPr>
        <w:t>投标申请文件</w:t>
      </w:r>
      <w:r>
        <w:rPr>
          <w:rFonts w:hAnsi="宋体"/>
        </w:rPr>
        <w:t>后，向投标人出具签收凭证。</w:t>
      </w:r>
    </w:p>
    <w:p>
      <w:pPr>
        <w:pStyle w:val="23"/>
        <w:tabs>
          <w:tab w:val="left" w:pos="630"/>
        </w:tabs>
        <w:snapToGrid w:val="0"/>
        <w:spacing w:line="440" w:lineRule="exact"/>
        <w:ind w:firstLine="424" w:firstLineChars="202"/>
        <w:rPr>
          <w:rFonts w:hAnsi="宋体"/>
        </w:rPr>
      </w:pPr>
      <w:r>
        <w:rPr>
          <w:rFonts w:hAnsi="宋体"/>
        </w:rPr>
        <w:t>4.1.4</w:t>
      </w:r>
      <w:r>
        <w:rPr>
          <w:rFonts w:hint="eastAsia" w:hAnsi="宋体"/>
        </w:rPr>
        <w:t>除投标人须知前附表另有规定外，投标人所递交的</w:t>
      </w:r>
      <w:r>
        <w:rPr>
          <w:rFonts w:hint="eastAsia" w:hAnsi="宋体" w:cs="宋体"/>
          <w:szCs w:val="21"/>
        </w:rPr>
        <w:t>投标申请文件</w:t>
      </w:r>
      <w:r>
        <w:rPr>
          <w:rFonts w:hint="eastAsia" w:hAnsi="宋体"/>
        </w:rPr>
        <w:t>不予退还。</w:t>
      </w:r>
    </w:p>
    <w:p>
      <w:pPr>
        <w:pStyle w:val="23"/>
        <w:tabs>
          <w:tab w:val="left" w:pos="630"/>
        </w:tabs>
        <w:snapToGrid w:val="0"/>
        <w:spacing w:line="440" w:lineRule="exact"/>
        <w:ind w:firstLine="424" w:firstLineChars="202"/>
        <w:rPr>
          <w:rFonts w:hAnsi="宋体"/>
        </w:rPr>
      </w:pPr>
      <w:r>
        <w:rPr>
          <w:rFonts w:hAnsi="宋体"/>
        </w:rPr>
        <w:t>4.1.5出现以下情形时，招标人/招标代理机构不予接收</w:t>
      </w:r>
      <w:r>
        <w:rPr>
          <w:rFonts w:hint="eastAsia" w:hAnsi="宋体" w:cs="宋体"/>
          <w:szCs w:val="21"/>
        </w:rPr>
        <w:t>投标申请文件</w:t>
      </w:r>
      <w:r>
        <w:rPr>
          <w:rFonts w:hint="eastAsia" w:hAnsi="宋体"/>
        </w:rPr>
        <w:t>：</w:t>
      </w:r>
    </w:p>
    <w:p>
      <w:pPr>
        <w:pStyle w:val="77"/>
        <w:numPr>
          <w:ilvl w:val="0"/>
          <w:numId w:val="7"/>
        </w:numPr>
        <w:tabs>
          <w:tab w:val="left" w:pos="630"/>
        </w:tabs>
        <w:spacing w:line="400" w:lineRule="exact"/>
        <w:ind w:firstLine="424" w:firstLineChars="202"/>
        <w:rPr>
          <w:rFonts w:ascii="宋体" w:hAnsi="宋体"/>
        </w:rPr>
      </w:pPr>
      <w:r>
        <w:rPr>
          <w:rFonts w:hint="eastAsia" w:ascii="宋体" w:hAnsi="宋体"/>
        </w:rPr>
        <w:t>逾期送达或者未送达指定地点的；</w:t>
      </w:r>
    </w:p>
    <w:p>
      <w:pPr>
        <w:pStyle w:val="77"/>
        <w:numPr>
          <w:ilvl w:val="0"/>
          <w:numId w:val="7"/>
        </w:numPr>
        <w:tabs>
          <w:tab w:val="left" w:pos="630"/>
        </w:tabs>
        <w:spacing w:line="400" w:lineRule="exact"/>
        <w:ind w:firstLine="424" w:firstLineChars="202"/>
        <w:rPr>
          <w:rFonts w:ascii="宋体" w:hAnsi="宋体"/>
        </w:rPr>
      </w:pPr>
      <w:r>
        <w:rPr>
          <w:rFonts w:hint="eastAsia" w:ascii="宋体" w:hAnsi="宋体"/>
        </w:rPr>
        <w:t>未按照招募文件要求密封的；</w:t>
      </w:r>
    </w:p>
    <w:p>
      <w:pPr>
        <w:pStyle w:val="77"/>
        <w:numPr>
          <w:ilvl w:val="0"/>
          <w:numId w:val="7"/>
        </w:numPr>
        <w:tabs>
          <w:tab w:val="left" w:pos="630"/>
        </w:tabs>
        <w:spacing w:line="400" w:lineRule="exact"/>
        <w:ind w:firstLine="424" w:firstLineChars="202"/>
        <w:rPr>
          <w:rFonts w:ascii="宋体" w:hAnsi="宋体"/>
        </w:rPr>
      </w:pPr>
      <w:r>
        <w:rPr>
          <w:rFonts w:hint="eastAsia" w:ascii="宋体" w:hAnsi="宋体"/>
        </w:rPr>
        <w:t>未通过资格预审的申请人递交的；</w:t>
      </w:r>
    </w:p>
    <w:p>
      <w:pPr>
        <w:pStyle w:val="77"/>
        <w:numPr>
          <w:ilvl w:val="0"/>
          <w:numId w:val="7"/>
        </w:numPr>
        <w:tabs>
          <w:tab w:val="left" w:pos="630"/>
        </w:tabs>
        <w:spacing w:line="400" w:lineRule="exact"/>
        <w:ind w:firstLine="424" w:firstLineChars="202"/>
        <w:rPr>
          <w:rFonts w:ascii="宋体" w:hAnsi="宋体"/>
        </w:rPr>
      </w:pPr>
      <w:r>
        <w:rPr>
          <w:rFonts w:hint="eastAsia" w:ascii="宋体" w:hAnsi="宋体"/>
        </w:rPr>
        <w:t>未按照第一章“招募公告”或者投标邀请书要求获得本项目招募文件的。</w:t>
      </w:r>
      <w:bookmarkEnd w:id="204"/>
      <w:bookmarkEnd w:id="205"/>
    </w:p>
    <w:p>
      <w:pPr>
        <w:rPr>
          <w:b/>
          <w:bCs/>
          <w:sz w:val="24"/>
          <w:szCs w:val="32"/>
        </w:rPr>
      </w:pPr>
      <w:bookmarkStart w:id="213" w:name="_Toc46496152"/>
      <w:r>
        <w:rPr>
          <w:b/>
          <w:bCs/>
          <w:sz w:val="24"/>
          <w:szCs w:val="32"/>
        </w:rPr>
        <w:t>4.2</w:t>
      </w:r>
      <w:r>
        <w:rPr>
          <w:rFonts w:hint="eastAsia"/>
          <w:b/>
          <w:bCs/>
          <w:sz w:val="24"/>
          <w:szCs w:val="32"/>
        </w:rPr>
        <w:t>投标申请文件的修改、撤回</w:t>
      </w:r>
      <w:bookmarkEnd w:id="206"/>
      <w:bookmarkEnd w:id="207"/>
      <w:bookmarkEnd w:id="208"/>
      <w:bookmarkEnd w:id="209"/>
      <w:r>
        <w:rPr>
          <w:rFonts w:hint="eastAsia"/>
          <w:b/>
          <w:bCs/>
          <w:sz w:val="24"/>
          <w:szCs w:val="32"/>
        </w:rPr>
        <w:t>和撤销</w:t>
      </w:r>
      <w:bookmarkEnd w:id="210"/>
      <w:bookmarkEnd w:id="211"/>
      <w:bookmarkEnd w:id="212"/>
      <w:bookmarkEnd w:id="213"/>
    </w:p>
    <w:p>
      <w:pPr>
        <w:pStyle w:val="23"/>
        <w:tabs>
          <w:tab w:val="left" w:pos="630"/>
        </w:tabs>
        <w:snapToGrid w:val="0"/>
        <w:spacing w:line="440" w:lineRule="exact"/>
        <w:ind w:firstLine="424" w:firstLineChars="202"/>
        <w:rPr>
          <w:rFonts w:hAnsi="宋体"/>
        </w:rPr>
      </w:pPr>
      <w:bookmarkStart w:id="214" w:name="_Toc447265245"/>
      <w:bookmarkStart w:id="215" w:name="_Toc179632577"/>
      <w:bookmarkStart w:id="216" w:name="_Toc152042335"/>
      <w:bookmarkStart w:id="217" w:name="_Toc246996203"/>
      <w:bookmarkStart w:id="218" w:name="_Toc447265531"/>
      <w:bookmarkStart w:id="219" w:name="_Toc447188694"/>
      <w:bookmarkStart w:id="220" w:name="_Toc152045559"/>
      <w:bookmarkStart w:id="221" w:name="_Toc144974527"/>
      <w:bookmarkStart w:id="222" w:name="_Toc246996946"/>
      <w:bookmarkStart w:id="223" w:name="_Toc247085717"/>
      <w:bookmarkStart w:id="224" w:name="_Toc296602447"/>
      <w:bookmarkStart w:id="225" w:name="_Toc107822506"/>
      <w:bookmarkStart w:id="226" w:name="_Toc227057908"/>
      <w:bookmarkStart w:id="227" w:name="_Toc226969302"/>
      <w:bookmarkStart w:id="228" w:name="_Toc488655852"/>
      <w:r>
        <w:rPr>
          <w:rFonts w:hAnsi="宋体"/>
        </w:rPr>
        <w:t>4.2.1</w:t>
      </w:r>
      <w:r>
        <w:rPr>
          <w:rFonts w:hint="eastAsia" w:hAnsi="宋体"/>
        </w:rPr>
        <w:t>在规定的</w:t>
      </w:r>
      <w:r>
        <w:rPr>
          <w:rFonts w:hint="eastAsia" w:hAnsi="宋体" w:cs="宋体"/>
          <w:szCs w:val="21"/>
        </w:rPr>
        <w:t>投标</w:t>
      </w:r>
      <w:r>
        <w:rPr>
          <w:rFonts w:hint="eastAsia" w:hAnsi="宋体"/>
        </w:rPr>
        <w:t>截止时间前，投标人可以修改或者撤回已递交的</w:t>
      </w:r>
      <w:r>
        <w:rPr>
          <w:rFonts w:hint="eastAsia" w:hAnsi="宋体" w:cs="宋体"/>
          <w:szCs w:val="21"/>
        </w:rPr>
        <w:t>投标申请文件</w:t>
      </w:r>
      <w:r>
        <w:rPr>
          <w:rFonts w:hint="eastAsia" w:hAnsi="宋体"/>
        </w:rPr>
        <w:t>。</w:t>
      </w:r>
    </w:p>
    <w:p>
      <w:pPr>
        <w:pStyle w:val="23"/>
        <w:tabs>
          <w:tab w:val="left" w:pos="630"/>
        </w:tabs>
        <w:snapToGrid w:val="0"/>
        <w:spacing w:line="440" w:lineRule="exact"/>
        <w:ind w:firstLine="424" w:firstLineChars="202"/>
        <w:rPr>
          <w:rFonts w:hAnsi="宋体"/>
        </w:rPr>
      </w:pPr>
      <w:r>
        <w:rPr>
          <w:rFonts w:hAnsi="宋体"/>
        </w:rPr>
        <w:t>4.2.2</w:t>
      </w:r>
      <w:r>
        <w:rPr>
          <w:rFonts w:hint="eastAsia" w:hAnsi="宋体"/>
        </w:rPr>
        <w:t>投标人修改后的</w:t>
      </w:r>
      <w:r>
        <w:rPr>
          <w:rFonts w:hint="eastAsia" w:hAnsi="宋体" w:cs="宋体"/>
          <w:szCs w:val="21"/>
        </w:rPr>
        <w:t>投标申请文件</w:t>
      </w:r>
      <w:r>
        <w:rPr>
          <w:rFonts w:hint="eastAsia" w:hAnsi="宋体"/>
        </w:rPr>
        <w:t>，应当在规定的</w:t>
      </w:r>
      <w:r>
        <w:rPr>
          <w:rFonts w:hint="eastAsia" w:hAnsi="宋体" w:cs="宋体"/>
          <w:szCs w:val="21"/>
        </w:rPr>
        <w:t>投标</w:t>
      </w:r>
      <w:r>
        <w:rPr>
          <w:rFonts w:hint="eastAsia" w:hAnsi="宋体"/>
        </w:rPr>
        <w:t>截止时间前按照招募文件的规定编制、密封、标记、递交。</w:t>
      </w:r>
    </w:p>
    <w:p>
      <w:pPr>
        <w:pStyle w:val="23"/>
        <w:tabs>
          <w:tab w:val="left" w:pos="630"/>
        </w:tabs>
        <w:snapToGrid w:val="0"/>
        <w:spacing w:line="440" w:lineRule="exact"/>
        <w:ind w:firstLine="424" w:firstLineChars="202"/>
        <w:rPr>
          <w:rFonts w:hAnsi="宋体"/>
        </w:rPr>
      </w:pPr>
      <w:r>
        <w:rPr>
          <w:rFonts w:hAnsi="宋体"/>
        </w:rPr>
        <w:t>4.2.3</w:t>
      </w:r>
      <w:r>
        <w:rPr>
          <w:rFonts w:hint="eastAsia" w:hAnsi="宋体"/>
        </w:rPr>
        <w:t>投标人撤回已递交的</w:t>
      </w:r>
      <w:r>
        <w:rPr>
          <w:rFonts w:hint="eastAsia" w:hAnsi="宋体" w:cs="宋体"/>
          <w:szCs w:val="21"/>
        </w:rPr>
        <w:t>投标申请文件</w:t>
      </w:r>
      <w:r>
        <w:rPr>
          <w:rFonts w:hint="eastAsia" w:hAnsi="宋体"/>
        </w:rPr>
        <w:t>，应当书面通知招标人。招标人已收取</w:t>
      </w:r>
      <w:r>
        <w:rPr>
          <w:rFonts w:hint="eastAsia" w:hAnsi="宋体" w:cs="宋体"/>
          <w:szCs w:val="21"/>
        </w:rPr>
        <w:t>投标</w:t>
      </w:r>
      <w:r>
        <w:rPr>
          <w:rFonts w:hint="eastAsia" w:hAnsi="宋体"/>
        </w:rPr>
        <w:t>保证金的，应当自收到投标人书面撤回通知之日起</w:t>
      </w:r>
      <w:r>
        <w:rPr>
          <w:rFonts w:hAnsi="宋体"/>
        </w:rPr>
        <w:t>5日内退还。</w:t>
      </w:r>
    </w:p>
    <w:p>
      <w:pPr>
        <w:pStyle w:val="23"/>
        <w:tabs>
          <w:tab w:val="left" w:pos="630"/>
        </w:tabs>
        <w:snapToGrid w:val="0"/>
        <w:spacing w:line="440" w:lineRule="exact"/>
        <w:ind w:firstLine="424" w:firstLineChars="202"/>
        <w:rPr>
          <w:rFonts w:hAnsi="宋体"/>
        </w:rPr>
      </w:pPr>
      <w:r>
        <w:rPr>
          <w:rFonts w:hAnsi="宋体"/>
        </w:rPr>
        <w:t>4.2.4投标人在规定的</w:t>
      </w:r>
      <w:r>
        <w:rPr>
          <w:rFonts w:hint="eastAsia" w:hAnsi="宋体" w:cs="宋体"/>
          <w:szCs w:val="21"/>
        </w:rPr>
        <w:t>投标</w:t>
      </w:r>
      <w:r>
        <w:rPr>
          <w:rFonts w:hint="eastAsia" w:hAnsi="宋体"/>
        </w:rPr>
        <w:t>截止时间后，不得在</w:t>
      </w:r>
      <w:r>
        <w:rPr>
          <w:rFonts w:hint="eastAsia" w:hAnsi="宋体" w:cs="宋体"/>
          <w:szCs w:val="21"/>
        </w:rPr>
        <w:t>投标</w:t>
      </w:r>
      <w:r>
        <w:rPr>
          <w:rFonts w:hint="eastAsia" w:hAnsi="宋体"/>
        </w:rPr>
        <w:t>有效期内撤销其投标。否则招标人有权不退还其</w:t>
      </w:r>
      <w:r>
        <w:rPr>
          <w:rFonts w:hint="eastAsia" w:hAnsi="宋体" w:cs="宋体"/>
          <w:szCs w:val="21"/>
        </w:rPr>
        <w:t>投标</w:t>
      </w:r>
      <w:r>
        <w:rPr>
          <w:rFonts w:hint="eastAsia" w:hAnsi="宋体"/>
        </w:rPr>
        <w:t>保证金。</w:t>
      </w:r>
      <w:bookmarkEnd w:id="214"/>
      <w:bookmarkEnd w:id="215"/>
      <w:bookmarkEnd w:id="216"/>
      <w:bookmarkEnd w:id="217"/>
      <w:bookmarkEnd w:id="218"/>
      <w:bookmarkEnd w:id="219"/>
      <w:bookmarkEnd w:id="220"/>
      <w:bookmarkEnd w:id="221"/>
      <w:bookmarkEnd w:id="222"/>
      <w:bookmarkEnd w:id="223"/>
      <w:bookmarkEnd w:id="224"/>
    </w:p>
    <w:p>
      <w:pPr>
        <w:numPr>
          <w:ilvl w:val="0"/>
          <w:numId w:val="4"/>
        </w:numPr>
        <w:rPr>
          <w:b/>
          <w:bCs/>
          <w:sz w:val="24"/>
          <w:szCs w:val="32"/>
        </w:rPr>
      </w:pPr>
      <w:r>
        <w:rPr>
          <w:rFonts w:hint="eastAsia"/>
          <w:b/>
          <w:bCs/>
          <w:sz w:val="24"/>
          <w:szCs w:val="32"/>
        </w:rPr>
        <w:t>唱价（本项目不涉及）</w:t>
      </w:r>
    </w:p>
    <w:p>
      <w:pPr>
        <w:rPr>
          <w:b/>
          <w:bCs/>
          <w:sz w:val="24"/>
          <w:szCs w:val="32"/>
        </w:rPr>
      </w:pPr>
      <w:bookmarkStart w:id="229" w:name="_Toc447265246"/>
      <w:bookmarkStart w:id="230" w:name="_Toc447188695"/>
      <w:bookmarkStart w:id="231" w:name="_Toc447265532"/>
      <w:bookmarkStart w:id="232" w:name="_Toc46496154"/>
      <w:r>
        <w:rPr>
          <w:b/>
          <w:bCs/>
          <w:sz w:val="24"/>
          <w:szCs w:val="32"/>
        </w:rPr>
        <w:t>5.1</w:t>
      </w:r>
      <w:bookmarkEnd w:id="225"/>
      <w:bookmarkEnd w:id="226"/>
      <w:bookmarkEnd w:id="227"/>
      <w:bookmarkEnd w:id="228"/>
      <w:r>
        <w:rPr>
          <w:rFonts w:hint="eastAsia"/>
          <w:b/>
          <w:bCs/>
          <w:sz w:val="24"/>
          <w:szCs w:val="32"/>
        </w:rPr>
        <w:t>唱价时间和地点</w:t>
      </w:r>
      <w:bookmarkEnd w:id="229"/>
      <w:bookmarkEnd w:id="230"/>
      <w:bookmarkEnd w:id="231"/>
      <w:bookmarkEnd w:id="232"/>
    </w:p>
    <w:p>
      <w:pPr>
        <w:pStyle w:val="23"/>
        <w:tabs>
          <w:tab w:val="left" w:pos="630"/>
        </w:tabs>
        <w:snapToGrid w:val="0"/>
        <w:spacing w:line="440" w:lineRule="exact"/>
        <w:ind w:firstLine="420" w:firstLineChars="200"/>
        <w:rPr>
          <w:rFonts w:hAnsi="宋体"/>
        </w:rPr>
      </w:pPr>
      <w:r>
        <w:rPr>
          <w:rFonts w:hint="eastAsia" w:hAnsi="宋体"/>
        </w:rPr>
        <w:t>招标人将按照投标人须知前附表规定的时间和地点公开唱价，参加唱价的投标人代表应当签名报到，以证明其出席唱价。唱价时间和投标截止时间应当为同一时间。</w:t>
      </w:r>
    </w:p>
    <w:p>
      <w:pPr>
        <w:rPr>
          <w:b/>
          <w:bCs/>
          <w:sz w:val="24"/>
          <w:szCs w:val="32"/>
        </w:rPr>
      </w:pPr>
      <w:bookmarkStart w:id="233" w:name="_Toc447265533"/>
      <w:bookmarkStart w:id="234" w:name="_Toc447188696"/>
      <w:bookmarkStart w:id="235" w:name="_Toc46496155"/>
      <w:bookmarkStart w:id="236" w:name="_Toc447265247"/>
      <w:r>
        <w:rPr>
          <w:b/>
          <w:bCs/>
          <w:sz w:val="24"/>
          <w:szCs w:val="32"/>
        </w:rPr>
        <w:t>5.2</w:t>
      </w:r>
      <w:r>
        <w:rPr>
          <w:rFonts w:hint="eastAsia"/>
          <w:b/>
          <w:bCs/>
          <w:sz w:val="24"/>
          <w:szCs w:val="32"/>
        </w:rPr>
        <w:t>唱价程序</w:t>
      </w:r>
      <w:bookmarkEnd w:id="233"/>
      <w:bookmarkEnd w:id="234"/>
      <w:bookmarkEnd w:id="235"/>
      <w:bookmarkEnd w:id="236"/>
    </w:p>
    <w:p>
      <w:pPr>
        <w:pStyle w:val="23"/>
        <w:tabs>
          <w:tab w:val="left" w:pos="630"/>
        </w:tabs>
        <w:snapToGrid w:val="0"/>
        <w:spacing w:line="440" w:lineRule="exact"/>
        <w:ind w:firstLine="424" w:firstLineChars="202"/>
        <w:rPr>
          <w:rFonts w:hAnsi="宋体"/>
        </w:rPr>
      </w:pPr>
      <w:bookmarkStart w:id="237" w:name="_Toc447188699"/>
      <w:bookmarkStart w:id="238" w:name="_Toc152042338"/>
      <w:bookmarkStart w:id="239" w:name="_Toc144974530"/>
      <w:bookmarkStart w:id="240" w:name="_Toc447265250"/>
      <w:bookmarkStart w:id="241" w:name="_Toc296602451"/>
      <w:bookmarkStart w:id="242" w:name="_Toc246996206"/>
      <w:bookmarkStart w:id="243" w:name="_Toc246996949"/>
      <w:bookmarkStart w:id="244" w:name="_Toc179632580"/>
      <w:bookmarkStart w:id="245" w:name="_Toc247085720"/>
      <w:bookmarkStart w:id="246" w:name="_Toc447265536"/>
      <w:bookmarkStart w:id="247" w:name="_Toc152045562"/>
      <w:bookmarkStart w:id="248" w:name="_Toc107822507"/>
      <w:bookmarkStart w:id="249" w:name="_Toc227057909"/>
      <w:bookmarkStart w:id="250" w:name="_Toc226969303"/>
      <w:r>
        <w:rPr>
          <w:rFonts w:hAnsi="宋体"/>
        </w:rPr>
        <w:t>5.2.1唱价会议由招标人或者其委托的招标代理机构组织并主持，邀请所有的投标人或</w:t>
      </w:r>
      <w:r>
        <w:rPr>
          <w:rFonts w:hint="eastAsia" w:hAnsi="宋体"/>
        </w:rPr>
        <w:t>者其代表出席。投标人代表或者招标人委托的公证机构对</w:t>
      </w:r>
      <w:r>
        <w:rPr>
          <w:rFonts w:hint="eastAsia" w:hAnsi="宋体" w:cs="宋体"/>
          <w:szCs w:val="21"/>
        </w:rPr>
        <w:t>投标申请文件</w:t>
      </w:r>
      <w:r>
        <w:rPr>
          <w:rFonts w:hint="eastAsia" w:hAnsi="宋体"/>
        </w:rPr>
        <w:t>密封性进行检查。</w:t>
      </w:r>
    </w:p>
    <w:p>
      <w:pPr>
        <w:pStyle w:val="23"/>
        <w:tabs>
          <w:tab w:val="left" w:pos="630"/>
        </w:tabs>
        <w:snapToGrid w:val="0"/>
        <w:spacing w:line="440" w:lineRule="exact"/>
        <w:ind w:firstLine="424" w:firstLineChars="202"/>
        <w:rPr>
          <w:rFonts w:hAnsi="宋体"/>
        </w:rPr>
      </w:pPr>
      <w:r>
        <w:rPr>
          <w:rFonts w:hAnsi="宋体"/>
        </w:rPr>
        <w:t>5.2.2招标人在</w:t>
      </w:r>
      <w:r>
        <w:rPr>
          <w:rFonts w:hint="eastAsia" w:hAnsi="宋体" w:cs="宋体"/>
          <w:szCs w:val="21"/>
        </w:rPr>
        <w:t>投标申请文件</w:t>
      </w:r>
      <w:r>
        <w:rPr>
          <w:rFonts w:hAnsi="宋体"/>
        </w:rPr>
        <w:t>递交截止时间前收到的所有</w:t>
      </w:r>
      <w:r>
        <w:rPr>
          <w:rFonts w:hint="eastAsia" w:hAnsi="宋体" w:cs="宋体"/>
          <w:szCs w:val="21"/>
        </w:rPr>
        <w:t>投标申请文件</w:t>
      </w:r>
      <w:r>
        <w:rPr>
          <w:rFonts w:hAnsi="宋体"/>
        </w:rPr>
        <w:t>在唱价时都应当当众予以拆封</w:t>
      </w:r>
      <w:r>
        <w:rPr>
          <w:rFonts w:hint="eastAsia" w:hAnsi="宋体"/>
        </w:rPr>
        <w:t>、</w:t>
      </w:r>
      <w:r>
        <w:rPr>
          <w:rFonts w:hAnsi="宋体"/>
        </w:rPr>
        <w:t>宣读</w:t>
      </w:r>
      <w:r>
        <w:rPr>
          <w:rFonts w:hint="eastAsia" w:hAnsi="宋体"/>
        </w:rPr>
        <w:t>，</w:t>
      </w:r>
      <w:r>
        <w:rPr>
          <w:rFonts w:hAnsi="宋体"/>
        </w:rPr>
        <w:t>但</w:t>
      </w:r>
      <w:r>
        <w:rPr>
          <w:rFonts w:hint="eastAsia" w:hAnsi="宋体"/>
        </w:rPr>
        <w:t>按照招募文件规定递交合格的书面撤回通知的</w:t>
      </w:r>
      <w:r>
        <w:rPr>
          <w:rFonts w:hint="eastAsia" w:hAnsi="宋体" w:cs="宋体"/>
          <w:szCs w:val="21"/>
        </w:rPr>
        <w:t>投标申请文件</w:t>
      </w:r>
      <w:r>
        <w:rPr>
          <w:rFonts w:hint="eastAsia" w:hAnsi="宋体"/>
        </w:rPr>
        <w:t>不予开封。</w:t>
      </w:r>
    </w:p>
    <w:p>
      <w:pPr>
        <w:pStyle w:val="23"/>
        <w:tabs>
          <w:tab w:val="left" w:pos="630"/>
        </w:tabs>
        <w:snapToGrid w:val="0"/>
        <w:spacing w:line="440" w:lineRule="exact"/>
        <w:ind w:firstLine="424" w:firstLineChars="202"/>
        <w:rPr>
          <w:rFonts w:hAnsi="宋体"/>
        </w:rPr>
      </w:pPr>
      <w:r>
        <w:rPr>
          <w:rFonts w:hAnsi="宋体"/>
        </w:rPr>
        <w:t>5.2.3</w:t>
      </w:r>
      <w:r>
        <w:rPr>
          <w:rFonts w:hint="eastAsia" w:hAnsi="宋体"/>
        </w:rPr>
        <w:t>唱价时，招标人应当当众宣布参加本项目招标的投标人个数及</w:t>
      </w:r>
      <w:r>
        <w:rPr>
          <w:rFonts w:hint="eastAsia" w:hAnsi="宋体" w:cs="宋体"/>
          <w:szCs w:val="21"/>
        </w:rPr>
        <w:t>投标申请文件</w:t>
      </w:r>
      <w:r>
        <w:rPr>
          <w:rFonts w:hint="eastAsia" w:hAnsi="宋体"/>
        </w:rPr>
        <w:t>的密封情况，并宣读有效的“报价一览表”中的内容，“报价一览表”一般包括：投标人名称、</w:t>
      </w:r>
      <w:r>
        <w:rPr>
          <w:rFonts w:hint="eastAsia" w:hAnsi="宋体" w:cs="宋体"/>
          <w:szCs w:val="21"/>
        </w:rPr>
        <w:t>投标</w:t>
      </w:r>
      <w:r>
        <w:rPr>
          <w:rFonts w:hint="eastAsia" w:hAnsi="宋体"/>
        </w:rPr>
        <w:t>总报价、交货期、</w:t>
      </w:r>
      <w:r>
        <w:rPr>
          <w:rFonts w:hint="eastAsia" w:hAnsi="宋体" w:cs="宋体"/>
          <w:szCs w:val="21"/>
        </w:rPr>
        <w:t>投标</w:t>
      </w:r>
      <w:r>
        <w:rPr>
          <w:rFonts w:hint="eastAsia" w:hAnsi="宋体"/>
        </w:rPr>
        <w:t>保证金以及招募文件中规定的其他内容。</w:t>
      </w:r>
    </w:p>
    <w:p>
      <w:pPr>
        <w:rPr>
          <w:b/>
          <w:bCs/>
          <w:sz w:val="24"/>
          <w:szCs w:val="32"/>
        </w:rPr>
      </w:pPr>
      <w:bookmarkStart w:id="251" w:name="_Toc46496156"/>
      <w:bookmarkStart w:id="252" w:name="_Toc450489307"/>
      <w:bookmarkStart w:id="253" w:name="_Toc447265248"/>
      <w:bookmarkStart w:id="254" w:name="_Toc447188697"/>
      <w:bookmarkStart w:id="255" w:name="_Toc447265534"/>
      <w:r>
        <w:rPr>
          <w:b/>
          <w:bCs/>
          <w:sz w:val="24"/>
          <w:szCs w:val="32"/>
        </w:rPr>
        <w:t>5.3</w:t>
      </w:r>
      <w:r>
        <w:rPr>
          <w:rFonts w:hint="eastAsia"/>
          <w:b/>
          <w:bCs/>
          <w:sz w:val="24"/>
          <w:szCs w:val="32"/>
        </w:rPr>
        <w:t>异议</w:t>
      </w:r>
      <w:bookmarkEnd w:id="251"/>
      <w:bookmarkEnd w:id="252"/>
      <w:bookmarkEnd w:id="253"/>
      <w:bookmarkEnd w:id="254"/>
      <w:bookmarkEnd w:id="255"/>
    </w:p>
    <w:p>
      <w:pPr>
        <w:pStyle w:val="23"/>
        <w:tabs>
          <w:tab w:val="left" w:pos="630"/>
        </w:tabs>
        <w:snapToGrid w:val="0"/>
        <w:spacing w:line="440" w:lineRule="exact"/>
        <w:ind w:firstLine="424" w:firstLineChars="202"/>
        <w:rPr>
          <w:rFonts w:hAnsi="宋体"/>
        </w:rPr>
      </w:pPr>
      <w:r>
        <w:rPr>
          <w:rFonts w:hAnsi="宋体"/>
        </w:rPr>
        <w:t>5.3.1投标人对唱价有异议的，应当在唱价现场提出，招标人应当当场做出答复，并制作记录。</w:t>
      </w:r>
    </w:p>
    <w:p>
      <w:pPr>
        <w:pStyle w:val="23"/>
        <w:tabs>
          <w:tab w:val="left" w:pos="630"/>
        </w:tabs>
        <w:snapToGrid w:val="0"/>
        <w:spacing w:line="440" w:lineRule="exact"/>
        <w:ind w:firstLine="424" w:firstLineChars="202"/>
        <w:rPr>
          <w:rFonts w:hAnsi="宋体"/>
        </w:rPr>
      </w:pPr>
      <w:r>
        <w:rPr>
          <w:rFonts w:hAnsi="宋体"/>
        </w:rPr>
        <w:t>5.3.2</w:t>
      </w:r>
      <w:r>
        <w:rPr>
          <w:rFonts w:hint="eastAsia" w:hAnsi="宋体"/>
        </w:rPr>
        <w:t>投标人认为存在低于成本价投标情形的，可以在唱价现场提出异议，并在评审完成前向招标人递交书面材料，招标人应当及时将书面材料转交评审委员会。</w:t>
      </w:r>
      <w:bookmarkEnd w:id="237"/>
      <w:bookmarkEnd w:id="238"/>
      <w:bookmarkEnd w:id="239"/>
      <w:bookmarkEnd w:id="240"/>
      <w:bookmarkEnd w:id="241"/>
      <w:bookmarkEnd w:id="242"/>
      <w:bookmarkEnd w:id="243"/>
      <w:bookmarkEnd w:id="244"/>
      <w:bookmarkEnd w:id="245"/>
      <w:bookmarkEnd w:id="246"/>
      <w:bookmarkEnd w:id="247"/>
    </w:p>
    <w:p>
      <w:pPr>
        <w:numPr>
          <w:ilvl w:val="0"/>
          <w:numId w:val="4"/>
        </w:numPr>
        <w:rPr>
          <w:b/>
          <w:bCs/>
          <w:sz w:val="24"/>
          <w:szCs w:val="32"/>
        </w:rPr>
      </w:pPr>
      <w:bookmarkStart w:id="256" w:name="_Toc477190305"/>
      <w:bookmarkEnd w:id="256"/>
      <w:bookmarkStart w:id="257" w:name="_Toc477190306"/>
      <w:bookmarkEnd w:id="257"/>
      <w:r>
        <w:rPr>
          <w:rFonts w:hint="eastAsia"/>
          <w:b/>
          <w:bCs/>
          <w:sz w:val="24"/>
          <w:szCs w:val="32"/>
        </w:rPr>
        <w:t>评审</w:t>
      </w:r>
    </w:p>
    <w:p>
      <w:pPr>
        <w:rPr>
          <w:b/>
          <w:bCs/>
          <w:sz w:val="24"/>
          <w:szCs w:val="32"/>
        </w:rPr>
      </w:pPr>
      <w:bookmarkStart w:id="258" w:name="_Toc447265537"/>
      <w:bookmarkStart w:id="259" w:name="_Toc447265251"/>
      <w:bookmarkStart w:id="260" w:name="_Toc447188700"/>
      <w:bookmarkStart w:id="261" w:name="_Toc46496158"/>
      <w:r>
        <w:rPr>
          <w:b/>
          <w:bCs/>
          <w:sz w:val="24"/>
          <w:szCs w:val="32"/>
        </w:rPr>
        <w:t>6.1</w:t>
      </w:r>
      <w:bookmarkEnd w:id="248"/>
      <w:bookmarkEnd w:id="249"/>
      <w:bookmarkEnd w:id="250"/>
      <w:bookmarkEnd w:id="258"/>
      <w:bookmarkEnd w:id="259"/>
      <w:bookmarkEnd w:id="260"/>
      <w:bookmarkEnd w:id="261"/>
      <w:r>
        <w:rPr>
          <w:rFonts w:hint="eastAsia"/>
          <w:b/>
          <w:bCs/>
          <w:sz w:val="24"/>
          <w:szCs w:val="32"/>
        </w:rPr>
        <w:t>评审委员会</w:t>
      </w:r>
    </w:p>
    <w:p>
      <w:pPr>
        <w:pStyle w:val="23"/>
        <w:tabs>
          <w:tab w:val="left" w:pos="630"/>
        </w:tabs>
        <w:snapToGrid w:val="0"/>
        <w:spacing w:line="440" w:lineRule="exact"/>
        <w:ind w:firstLine="424" w:firstLineChars="202"/>
        <w:rPr>
          <w:rFonts w:hAnsi="宋体"/>
        </w:rPr>
      </w:pPr>
      <w:bookmarkStart w:id="262" w:name="_Toc447265255"/>
      <w:bookmarkStart w:id="263" w:name="_Toc447265541"/>
      <w:bookmarkStart w:id="264" w:name="_Toc447188703"/>
      <w:bookmarkStart w:id="265" w:name="_Toc227057915"/>
      <w:bookmarkStart w:id="266" w:name="_Toc107822516"/>
      <w:bookmarkStart w:id="267" w:name="_Toc488655860"/>
      <w:bookmarkStart w:id="268" w:name="_Toc226969309"/>
      <w:r>
        <w:rPr>
          <w:rFonts w:hAnsi="宋体"/>
        </w:rPr>
        <w:t>6.1.1评审由</w:t>
      </w:r>
      <w:r>
        <w:rPr>
          <w:rFonts w:hint="eastAsia" w:hAnsi="宋体"/>
        </w:rPr>
        <w:t>评审委员会</w:t>
      </w:r>
      <w:r>
        <w:rPr>
          <w:rFonts w:hAnsi="宋体"/>
        </w:rPr>
        <w:t>负责，具体人数见投标人须知前附表。</w:t>
      </w:r>
      <w:r>
        <w:rPr>
          <w:rFonts w:hint="eastAsia" w:hAnsi="宋体"/>
        </w:rPr>
        <w:t>评审委员会</w:t>
      </w:r>
      <w:r>
        <w:rPr>
          <w:rFonts w:hAnsi="宋体"/>
        </w:rPr>
        <w:t>的专家应当从</w:t>
      </w:r>
      <w:r>
        <w:rPr>
          <w:rFonts w:hint="eastAsia" w:hAnsi="宋体"/>
          <w:szCs w:val="21"/>
        </w:rPr>
        <w:t>专家从评标专家库内相关专业的专家名单中采取随机抽取方式确定</w:t>
      </w:r>
      <w:r>
        <w:rPr>
          <w:rFonts w:hint="eastAsia" w:hAnsi="宋体"/>
        </w:rPr>
        <w:t>。</w:t>
      </w:r>
    </w:p>
    <w:p>
      <w:pPr>
        <w:pStyle w:val="23"/>
        <w:tabs>
          <w:tab w:val="left" w:pos="630"/>
        </w:tabs>
        <w:snapToGrid w:val="0"/>
        <w:spacing w:line="440" w:lineRule="exact"/>
        <w:ind w:firstLine="424" w:firstLineChars="202"/>
        <w:rPr>
          <w:rFonts w:hAnsi="宋体"/>
        </w:rPr>
      </w:pPr>
      <w:r>
        <w:rPr>
          <w:rFonts w:hAnsi="宋体"/>
        </w:rPr>
        <w:t>6.1.2评审期间，任何单位和个人不得非法干预或者影响评审的过程和结果。</w:t>
      </w:r>
    </w:p>
    <w:p>
      <w:pPr>
        <w:pStyle w:val="23"/>
        <w:tabs>
          <w:tab w:val="left" w:pos="630"/>
        </w:tabs>
        <w:snapToGrid w:val="0"/>
        <w:spacing w:line="440" w:lineRule="exact"/>
        <w:ind w:firstLine="424" w:firstLineChars="202"/>
        <w:rPr>
          <w:rFonts w:hAnsi="宋体"/>
        </w:rPr>
      </w:pPr>
      <w:r>
        <w:rPr>
          <w:rFonts w:hAnsi="宋体"/>
        </w:rPr>
        <w:t>6.1.3</w:t>
      </w:r>
      <w:r>
        <w:rPr>
          <w:rFonts w:hint="eastAsia" w:hAnsi="宋体"/>
        </w:rPr>
        <w:t>评审委员会成员名单在中标结果确定前保密。</w:t>
      </w:r>
    </w:p>
    <w:p>
      <w:pPr>
        <w:rPr>
          <w:b/>
          <w:bCs/>
          <w:sz w:val="24"/>
          <w:szCs w:val="32"/>
        </w:rPr>
      </w:pPr>
      <w:bookmarkStart w:id="269" w:name="_Toc246996208"/>
      <w:bookmarkStart w:id="270" w:name="_Toc179632582"/>
      <w:bookmarkStart w:id="271" w:name="_Toc46496159"/>
      <w:bookmarkStart w:id="272" w:name="_Toc246996951"/>
      <w:bookmarkStart w:id="273" w:name="_Toc447265252"/>
      <w:bookmarkStart w:id="274" w:name="_Toc144974532"/>
      <w:bookmarkStart w:id="275" w:name="_Toc152045564"/>
      <w:bookmarkStart w:id="276" w:name="_Toc152042340"/>
      <w:bookmarkStart w:id="277" w:name="_Toc247085722"/>
      <w:bookmarkStart w:id="278" w:name="_Toc450489311"/>
      <w:bookmarkStart w:id="279" w:name="_Toc447265538"/>
      <w:bookmarkStart w:id="280" w:name="_Toc296602453"/>
      <w:r>
        <w:rPr>
          <w:b/>
          <w:bCs/>
          <w:sz w:val="24"/>
          <w:szCs w:val="32"/>
        </w:rPr>
        <w:t>6.2</w:t>
      </w:r>
      <w:r>
        <w:rPr>
          <w:rFonts w:hint="eastAsia"/>
          <w:b/>
          <w:bCs/>
          <w:sz w:val="24"/>
          <w:szCs w:val="32"/>
        </w:rPr>
        <w:t>评审原则</w:t>
      </w:r>
      <w:bookmarkEnd w:id="269"/>
      <w:bookmarkEnd w:id="270"/>
      <w:bookmarkEnd w:id="271"/>
      <w:bookmarkEnd w:id="272"/>
      <w:bookmarkEnd w:id="273"/>
      <w:bookmarkEnd w:id="274"/>
      <w:bookmarkEnd w:id="275"/>
      <w:bookmarkEnd w:id="276"/>
      <w:bookmarkEnd w:id="277"/>
      <w:bookmarkEnd w:id="278"/>
      <w:bookmarkEnd w:id="279"/>
      <w:bookmarkEnd w:id="280"/>
    </w:p>
    <w:p>
      <w:pPr>
        <w:pStyle w:val="23"/>
        <w:tabs>
          <w:tab w:val="left" w:pos="630"/>
        </w:tabs>
        <w:snapToGrid w:val="0"/>
        <w:spacing w:line="440" w:lineRule="exact"/>
        <w:ind w:firstLine="424" w:firstLineChars="202"/>
        <w:rPr>
          <w:rFonts w:hAnsi="宋体"/>
        </w:rPr>
      </w:pPr>
      <w:r>
        <w:rPr>
          <w:rFonts w:hAnsi="宋体"/>
        </w:rPr>
        <w:t>6.2.1评审活动遵循公平、公正、科学和择优的原则。</w:t>
      </w:r>
    </w:p>
    <w:p>
      <w:pPr>
        <w:pStyle w:val="23"/>
        <w:tabs>
          <w:tab w:val="left" w:pos="630"/>
        </w:tabs>
        <w:snapToGrid w:val="0"/>
        <w:spacing w:line="440" w:lineRule="exact"/>
        <w:ind w:firstLine="424" w:firstLineChars="202"/>
        <w:rPr>
          <w:rFonts w:hAnsi="宋体"/>
        </w:rPr>
      </w:pPr>
      <w:r>
        <w:rPr>
          <w:rFonts w:hAnsi="宋体"/>
        </w:rPr>
        <w:t>6.2.2</w:t>
      </w:r>
      <w:r>
        <w:rPr>
          <w:rFonts w:hint="eastAsia" w:hAnsi="宋体"/>
        </w:rPr>
        <w:t>评审委员会按照第三章“评审办法”规定的方法、评审因素、标准和程序对投标申请文件进行评审。第三章“评审办法”没有规定的方法、评审因素和标准，不得作为评审依据。</w:t>
      </w:r>
    </w:p>
    <w:p>
      <w:pPr>
        <w:rPr>
          <w:b/>
          <w:bCs/>
          <w:sz w:val="24"/>
          <w:szCs w:val="32"/>
        </w:rPr>
      </w:pPr>
      <w:bookmarkStart w:id="281" w:name="_Toc447265253"/>
      <w:bookmarkStart w:id="282" w:name="_Toc46496160"/>
      <w:bookmarkStart w:id="283" w:name="_Toc450489312"/>
      <w:bookmarkStart w:id="284" w:name="_Toc447188701"/>
      <w:bookmarkStart w:id="285" w:name="_Toc447265539"/>
      <w:r>
        <w:rPr>
          <w:b/>
          <w:bCs/>
          <w:sz w:val="24"/>
          <w:szCs w:val="32"/>
        </w:rPr>
        <w:t>6.3</w:t>
      </w:r>
      <w:r>
        <w:rPr>
          <w:rFonts w:hint="eastAsia"/>
          <w:b/>
          <w:bCs/>
          <w:sz w:val="24"/>
          <w:szCs w:val="32"/>
        </w:rPr>
        <w:t>评审方法</w:t>
      </w:r>
      <w:bookmarkEnd w:id="281"/>
      <w:bookmarkEnd w:id="282"/>
      <w:bookmarkEnd w:id="283"/>
      <w:bookmarkEnd w:id="284"/>
      <w:bookmarkEnd w:id="285"/>
    </w:p>
    <w:p>
      <w:pPr>
        <w:adjustRightInd w:val="0"/>
        <w:snapToGrid w:val="0"/>
        <w:spacing w:line="440" w:lineRule="exact"/>
        <w:ind w:firstLine="424" w:firstLineChars="202"/>
        <w:rPr>
          <w:rFonts w:ascii="宋体" w:hAnsi="宋体" w:cs="宋体"/>
          <w:szCs w:val="21"/>
        </w:rPr>
      </w:pPr>
      <w:r>
        <w:rPr>
          <w:rFonts w:ascii="宋体" w:hAnsi="宋体" w:cs="宋体"/>
          <w:szCs w:val="21"/>
        </w:rPr>
        <w:t>6.3.1</w:t>
      </w:r>
      <w:r>
        <w:rPr>
          <w:rFonts w:hint="eastAsia" w:ascii="宋体" w:hAnsi="宋体" w:cs="宋体"/>
          <w:szCs w:val="21"/>
        </w:rPr>
        <w:t>招募文件</w:t>
      </w:r>
      <w:r>
        <w:rPr>
          <w:rFonts w:ascii="宋体" w:hAnsi="宋体" w:cs="宋体"/>
          <w:szCs w:val="21"/>
        </w:rPr>
        <w:t>中详细载明下述评审方法之一作为本项目评审所采用的评审方法。评审方法见投标人须知前附表。</w:t>
      </w:r>
    </w:p>
    <w:p>
      <w:pPr>
        <w:pStyle w:val="23"/>
        <w:tabs>
          <w:tab w:val="left" w:pos="630"/>
        </w:tabs>
        <w:snapToGrid w:val="0"/>
        <w:spacing w:line="440" w:lineRule="exact"/>
        <w:ind w:firstLine="424" w:firstLineChars="202"/>
        <w:rPr>
          <w:rFonts w:hAnsi="宋体"/>
        </w:rPr>
      </w:pPr>
      <w:r>
        <w:rPr>
          <w:rFonts w:hAnsi="宋体"/>
        </w:rPr>
        <w:t>6.3.2</w:t>
      </w:r>
      <w:r>
        <w:rPr>
          <w:rFonts w:hint="eastAsia" w:hAnsi="宋体"/>
        </w:rPr>
        <w:t>采用综合评估法的，最大限度地满足招募文件中规定的各项综合评价标准的投标，应当推荐为中标入围候选单位，量化的标准和权重应当在招募文件中明确规定。</w:t>
      </w:r>
    </w:p>
    <w:p>
      <w:pPr>
        <w:pStyle w:val="23"/>
        <w:tabs>
          <w:tab w:val="left" w:pos="630"/>
        </w:tabs>
        <w:snapToGrid w:val="0"/>
        <w:spacing w:line="440" w:lineRule="exact"/>
        <w:ind w:firstLine="424" w:firstLineChars="202"/>
        <w:rPr>
          <w:rFonts w:hAnsi="宋体"/>
        </w:rPr>
      </w:pPr>
      <w:r>
        <w:rPr>
          <w:rFonts w:hint="eastAsia" w:hAnsi="宋体"/>
        </w:rPr>
        <w:t>采用多阶段</w:t>
      </w:r>
      <w:r>
        <w:rPr>
          <w:rFonts w:hAnsi="宋体"/>
        </w:rPr>
        <w:t>评审</w:t>
      </w:r>
      <w:r>
        <w:rPr>
          <w:rFonts w:hint="eastAsia" w:hAnsi="宋体"/>
        </w:rPr>
        <w:t>法的</w:t>
      </w:r>
      <w:r>
        <w:rPr>
          <w:rFonts w:hAnsi="宋体"/>
        </w:rPr>
        <w:t>，</w:t>
      </w:r>
      <w:r>
        <w:rPr>
          <w:rFonts w:hint="eastAsia"/>
        </w:rPr>
        <w:t>按照招募文件规定的量化因素和权重比值，通过商务技术评审后，价格得分最高的推荐为中标入围候选单位，商务技术</w:t>
      </w:r>
      <w:r>
        <w:rPr>
          <w:rFonts w:hint="eastAsia" w:hAnsi="宋体"/>
        </w:rPr>
        <w:t>量化的标准和权重以及</w:t>
      </w:r>
      <w:r>
        <w:rPr>
          <w:rFonts w:hAnsi="宋体"/>
        </w:rPr>
        <w:t>价格得分方法</w:t>
      </w:r>
      <w:r>
        <w:rPr>
          <w:rFonts w:hint="eastAsia" w:hAnsi="宋体"/>
        </w:rPr>
        <w:t>应当在招募文件中明确规定</w:t>
      </w:r>
      <w:r>
        <w:rPr>
          <w:rFonts w:hint="eastAsia"/>
        </w:rPr>
        <w:t>。</w:t>
      </w:r>
    </w:p>
    <w:p>
      <w:pPr>
        <w:pStyle w:val="23"/>
        <w:tabs>
          <w:tab w:val="left" w:pos="588"/>
          <w:tab w:val="left" w:pos="630"/>
        </w:tabs>
        <w:snapToGrid w:val="0"/>
        <w:spacing w:before="120" w:after="120" w:line="440" w:lineRule="exact"/>
        <w:ind w:firstLine="424" w:firstLineChars="202"/>
        <w:jc w:val="left"/>
        <w:rPr>
          <w:rFonts w:hAnsi="宋体"/>
          <w:sz w:val="24"/>
          <w:szCs w:val="24"/>
        </w:rPr>
      </w:pPr>
      <w:r>
        <w:rPr>
          <w:rFonts w:hAnsi="宋体"/>
        </w:rPr>
        <w:t>6.3.3法律</w:t>
      </w:r>
      <w:r>
        <w:rPr>
          <w:rFonts w:hint="eastAsia" w:hAnsi="宋体"/>
        </w:rPr>
        <w:t>、</w:t>
      </w:r>
      <w:r>
        <w:rPr>
          <w:rFonts w:hAnsi="宋体"/>
        </w:rPr>
        <w:t>法规允许的其他评</w:t>
      </w:r>
      <w:r>
        <w:rPr>
          <w:rFonts w:hint="eastAsia" w:hAnsi="宋体"/>
        </w:rPr>
        <w:t>审</w:t>
      </w:r>
      <w:r>
        <w:rPr>
          <w:rFonts w:hAnsi="宋体"/>
        </w:rPr>
        <w:t>方法</w:t>
      </w:r>
      <w:r>
        <w:rPr>
          <w:rFonts w:hint="eastAsia" w:hAnsi="宋体"/>
        </w:rPr>
        <w:t>。</w:t>
      </w:r>
      <w:bookmarkStart w:id="286" w:name="_Toc447188702"/>
      <w:bookmarkStart w:id="287" w:name="_Toc447265540"/>
      <w:bookmarkStart w:id="288" w:name="_Toc447265254"/>
      <w:bookmarkStart w:id="289" w:name="_Toc144974534"/>
      <w:bookmarkStart w:id="290" w:name="_Toc247085724"/>
      <w:bookmarkStart w:id="291" w:name="_Toc179632584"/>
      <w:bookmarkStart w:id="292" w:name="_Toc246996953"/>
      <w:bookmarkStart w:id="293" w:name="_Toc152045566"/>
      <w:bookmarkStart w:id="294" w:name="_Toc246996210"/>
      <w:bookmarkStart w:id="295" w:name="_Toc152042342"/>
      <w:bookmarkStart w:id="296" w:name="_Toc296602455"/>
    </w:p>
    <w:p>
      <w:pPr>
        <w:rPr>
          <w:b/>
          <w:bCs/>
          <w:sz w:val="24"/>
          <w:szCs w:val="32"/>
        </w:rPr>
      </w:pPr>
      <w:bookmarkStart w:id="297" w:name="_Toc46496161"/>
      <w:bookmarkStart w:id="298" w:name="_Toc450489313"/>
      <w:r>
        <w:rPr>
          <w:b/>
          <w:bCs/>
          <w:sz w:val="24"/>
          <w:szCs w:val="32"/>
        </w:rPr>
        <w:t>6.4</w:t>
      </w:r>
      <w:r>
        <w:rPr>
          <w:rFonts w:hint="eastAsia"/>
          <w:b/>
          <w:bCs/>
          <w:sz w:val="24"/>
          <w:szCs w:val="32"/>
        </w:rPr>
        <w:t>中标入围候选单位推荐原则</w:t>
      </w:r>
      <w:bookmarkEnd w:id="297"/>
      <w:bookmarkEnd w:id="298"/>
    </w:p>
    <w:p>
      <w:pPr>
        <w:ind w:firstLine="420" w:firstLineChars="200"/>
      </w:pPr>
      <w:r>
        <w:rPr>
          <w:rFonts w:hint="eastAsia"/>
        </w:rPr>
        <w:t>评审委员会应当根据招募文件载明的规则推荐中标入围候选单位，具体推荐原则见投标人须知前附表。</w:t>
      </w:r>
    </w:p>
    <w:p>
      <w:pPr>
        <w:rPr>
          <w:b/>
          <w:bCs/>
          <w:sz w:val="24"/>
          <w:szCs w:val="32"/>
        </w:rPr>
      </w:pPr>
      <w:bookmarkStart w:id="299" w:name="_Toc450489314"/>
      <w:bookmarkStart w:id="300" w:name="_Toc46496162"/>
      <w:r>
        <w:rPr>
          <w:b/>
          <w:bCs/>
          <w:sz w:val="24"/>
          <w:szCs w:val="32"/>
        </w:rPr>
        <w:t>6.5</w:t>
      </w:r>
      <w:r>
        <w:rPr>
          <w:rFonts w:hint="eastAsia"/>
          <w:b/>
          <w:bCs/>
          <w:sz w:val="24"/>
          <w:szCs w:val="32"/>
        </w:rPr>
        <w:t>评审报告</w:t>
      </w:r>
      <w:bookmarkEnd w:id="286"/>
      <w:bookmarkEnd w:id="287"/>
      <w:bookmarkEnd w:id="288"/>
      <w:bookmarkEnd w:id="299"/>
      <w:bookmarkEnd w:id="300"/>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评审完成后，评审委员会应当根据有关规定及时向招标人提交评审报告和中标入围候选单位名单。</w:t>
      </w:r>
      <w:bookmarkEnd w:id="262"/>
      <w:bookmarkEnd w:id="263"/>
      <w:bookmarkEnd w:id="264"/>
      <w:bookmarkEnd w:id="289"/>
      <w:bookmarkEnd w:id="290"/>
      <w:bookmarkEnd w:id="291"/>
      <w:bookmarkEnd w:id="292"/>
      <w:bookmarkEnd w:id="293"/>
      <w:bookmarkEnd w:id="294"/>
      <w:bookmarkEnd w:id="295"/>
      <w:bookmarkEnd w:id="296"/>
    </w:p>
    <w:p>
      <w:pPr>
        <w:numPr>
          <w:ilvl w:val="0"/>
          <w:numId w:val="4"/>
        </w:numPr>
        <w:rPr>
          <w:b/>
          <w:bCs/>
          <w:sz w:val="24"/>
          <w:szCs w:val="32"/>
        </w:rPr>
      </w:pPr>
      <w:r>
        <w:rPr>
          <w:rFonts w:hint="eastAsia"/>
          <w:b/>
          <w:bCs/>
          <w:sz w:val="24"/>
          <w:szCs w:val="32"/>
        </w:rPr>
        <w:t>中标</w:t>
      </w:r>
    </w:p>
    <w:p>
      <w:pPr>
        <w:rPr>
          <w:b/>
          <w:bCs/>
          <w:sz w:val="24"/>
          <w:szCs w:val="32"/>
        </w:rPr>
      </w:pPr>
      <w:bookmarkStart w:id="301" w:name="_Toc450489317"/>
      <w:bookmarkStart w:id="302" w:name="_Toc447188705"/>
      <w:bookmarkStart w:id="303" w:name="_Toc447265257"/>
      <w:bookmarkStart w:id="304" w:name="_Toc46496165"/>
      <w:bookmarkStart w:id="305" w:name="_Toc447265543"/>
      <w:bookmarkStart w:id="306" w:name="_Toc447188704"/>
      <w:bookmarkStart w:id="307" w:name="_Toc447265256"/>
      <w:bookmarkStart w:id="308" w:name="_Toc447265542"/>
      <w:bookmarkStart w:id="309" w:name="_Toc46496164"/>
      <w:r>
        <w:rPr>
          <w:b/>
          <w:bCs/>
          <w:sz w:val="24"/>
          <w:szCs w:val="32"/>
        </w:rPr>
        <w:t>7.</w:t>
      </w:r>
      <w:r>
        <w:rPr>
          <w:rFonts w:hint="eastAsia"/>
          <w:b/>
          <w:bCs/>
          <w:sz w:val="24"/>
          <w:szCs w:val="32"/>
        </w:rPr>
        <w:t>1中标入围候选单位公示</w:t>
      </w:r>
      <w:bookmarkEnd w:id="301"/>
      <w:bookmarkEnd w:id="302"/>
      <w:bookmarkEnd w:id="303"/>
      <w:bookmarkEnd w:id="304"/>
      <w:bookmarkEnd w:id="305"/>
    </w:p>
    <w:p>
      <w:pPr>
        <w:pStyle w:val="23"/>
        <w:tabs>
          <w:tab w:val="left" w:pos="630"/>
        </w:tabs>
        <w:snapToGrid w:val="0"/>
        <w:spacing w:line="440" w:lineRule="exact"/>
        <w:ind w:firstLine="424" w:firstLineChars="202"/>
        <w:rPr>
          <w:rFonts w:hAnsi="宋体"/>
        </w:rPr>
      </w:pPr>
      <w:r>
        <w:rPr>
          <w:rFonts w:hAnsi="宋体"/>
        </w:rPr>
        <w:t>7.</w:t>
      </w:r>
      <w:r>
        <w:rPr>
          <w:rFonts w:hint="eastAsia" w:hAnsi="宋体"/>
        </w:rPr>
        <w:t>1</w:t>
      </w:r>
      <w:r>
        <w:rPr>
          <w:rFonts w:hAnsi="宋体"/>
        </w:rPr>
        <w:t>.1</w:t>
      </w:r>
      <w:r>
        <w:rPr>
          <w:rFonts w:hint="eastAsia" w:hAnsi="宋体"/>
        </w:rPr>
        <w:t>招标人对评审委员会</w:t>
      </w:r>
      <w:r>
        <w:rPr>
          <w:rFonts w:hint="eastAsia" w:hAnsi="宋体" w:cs="宋体"/>
          <w:szCs w:val="21"/>
        </w:rPr>
        <w:t>提交评审报告和中标入围候选单位名单予以确认后，</w:t>
      </w:r>
      <w:r>
        <w:rPr>
          <w:rFonts w:hint="eastAsia" w:hAnsi="宋体"/>
        </w:rPr>
        <w:t>应</w:t>
      </w:r>
      <w:r>
        <w:rPr>
          <w:rFonts w:hAnsi="宋体"/>
        </w:rPr>
        <w:t>在“资格预审公告”或者“</w:t>
      </w:r>
      <w:r>
        <w:rPr>
          <w:rFonts w:hint="eastAsia" w:hAnsi="宋体"/>
        </w:rPr>
        <w:t>招募公告</w:t>
      </w:r>
      <w:r>
        <w:rPr>
          <w:rFonts w:hAnsi="宋体"/>
        </w:rPr>
        <w:t>”发布媒介公示全部</w:t>
      </w:r>
      <w:r>
        <w:rPr>
          <w:rFonts w:hint="eastAsia" w:hAnsi="宋体"/>
        </w:rPr>
        <w:t>中标入围候选单位名单，公示期不少于</w:t>
      </w:r>
      <w:r>
        <w:rPr>
          <w:rFonts w:hAnsi="宋体"/>
        </w:rPr>
        <w:t>3日。</w:t>
      </w:r>
    </w:p>
    <w:p>
      <w:pPr>
        <w:pStyle w:val="23"/>
        <w:tabs>
          <w:tab w:val="left" w:pos="630"/>
        </w:tabs>
        <w:snapToGrid w:val="0"/>
        <w:spacing w:line="440" w:lineRule="exact"/>
        <w:ind w:firstLine="424" w:firstLineChars="202"/>
        <w:rPr>
          <w:b/>
          <w:bCs/>
          <w:sz w:val="24"/>
          <w:szCs w:val="32"/>
        </w:rPr>
      </w:pPr>
      <w:r>
        <w:rPr>
          <w:rFonts w:hAnsi="宋体"/>
        </w:rPr>
        <w:t>7.</w:t>
      </w:r>
      <w:r>
        <w:rPr>
          <w:rFonts w:hint="eastAsia" w:hAnsi="宋体"/>
        </w:rPr>
        <w:t>1</w:t>
      </w:r>
      <w:r>
        <w:rPr>
          <w:rFonts w:hAnsi="宋体"/>
        </w:rPr>
        <w:t>.2</w:t>
      </w:r>
      <w:r>
        <w:rPr>
          <w:rFonts w:hint="eastAsia" w:hAnsi="宋体"/>
        </w:rPr>
        <w:t>投标人或者其他利害关系人对招标项目的评审结果有异议的，应当在中标入围候选单位公示期间提出。</w:t>
      </w:r>
    </w:p>
    <w:p>
      <w:pPr>
        <w:rPr>
          <w:b/>
          <w:bCs/>
          <w:sz w:val="24"/>
          <w:szCs w:val="32"/>
        </w:rPr>
      </w:pPr>
      <w:r>
        <w:rPr>
          <w:b/>
          <w:bCs/>
          <w:sz w:val="24"/>
          <w:szCs w:val="32"/>
        </w:rPr>
        <w:t>7.</w:t>
      </w:r>
      <w:bookmarkEnd w:id="306"/>
      <w:bookmarkEnd w:id="307"/>
      <w:bookmarkEnd w:id="308"/>
      <w:r>
        <w:rPr>
          <w:rFonts w:hint="eastAsia"/>
          <w:b/>
          <w:bCs/>
          <w:sz w:val="24"/>
          <w:szCs w:val="32"/>
        </w:rPr>
        <w:t>2确定</w:t>
      </w:r>
      <w:bookmarkEnd w:id="265"/>
      <w:bookmarkEnd w:id="266"/>
      <w:bookmarkEnd w:id="267"/>
      <w:bookmarkEnd w:id="268"/>
      <w:bookmarkEnd w:id="309"/>
      <w:r>
        <w:rPr>
          <w:rFonts w:hint="eastAsia"/>
          <w:b/>
          <w:bCs/>
          <w:sz w:val="24"/>
          <w:szCs w:val="32"/>
        </w:rPr>
        <w:t>中标入围单位</w:t>
      </w:r>
    </w:p>
    <w:p>
      <w:pPr>
        <w:pStyle w:val="23"/>
        <w:tabs>
          <w:tab w:val="left" w:pos="630"/>
        </w:tabs>
        <w:snapToGrid w:val="0"/>
        <w:spacing w:line="440" w:lineRule="exact"/>
        <w:ind w:firstLine="424" w:firstLineChars="202"/>
        <w:rPr>
          <w:rFonts w:hAnsi="宋体"/>
        </w:rPr>
      </w:pPr>
      <w:bookmarkStart w:id="310" w:name="_Toc447265545"/>
      <w:bookmarkStart w:id="311" w:name="_Toc447265259"/>
      <w:bookmarkStart w:id="312" w:name="_Toc152045569"/>
      <w:bookmarkStart w:id="313" w:name="_Toc144974537"/>
      <w:bookmarkStart w:id="314" w:name="_Toc246996213"/>
      <w:bookmarkStart w:id="315" w:name="_Toc247085727"/>
      <w:bookmarkStart w:id="316" w:name="_Toc179632587"/>
      <w:bookmarkStart w:id="317" w:name="_Toc152042345"/>
      <w:bookmarkStart w:id="318" w:name="_Toc246996956"/>
      <w:bookmarkStart w:id="319" w:name="_Toc296602459"/>
      <w:bookmarkStart w:id="320" w:name="_Toc227057916"/>
      <w:bookmarkStart w:id="321" w:name="_Toc226969310"/>
      <w:bookmarkStart w:id="322" w:name="_Toc107822517"/>
      <w:r>
        <w:rPr>
          <w:rFonts w:hAnsi="宋体"/>
        </w:rPr>
        <w:t>7.</w:t>
      </w:r>
      <w:r>
        <w:rPr>
          <w:rFonts w:hint="eastAsia" w:hAnsi="宋体"/>
        </w:rPr>
        <w:t>2</w:t>
      </w:r>
      <w:r>
        <w:rPr>
          <w:rFonts w:hAnsi="宋体"/>
        </w:rPr>
        <w:t>.1</w:t>
      </w:r>
      <w:r>
        <w:rPr>
          <w:rFonts w:hint="eastAsia" w:hAnsi="宋体"/>
        </w:rPr>
        <w:t>中标入围候选单位公示期结束且未收到异议，招标人依据评审委员会推荐的中标入围候选单位名单依次确定中标入围单位，具体中标入围原则及中标入围数量见投标人须知前附表。</w:t>
      </w:r>
    </w:p>
    <w:p>
      <w:pPr>
        <w:pStyle w:val="23"/>
        <w:tabs>
          <w:tab w:val="left" w:pos="630"/>
        </w:tabs>
        <w:snapToGrid w:val="0"/>
        <w:spacing w:line="440" w:lineRule="exact"/>
        <w:ind w:firstLine="424" w:firstLineChars="202"/>
        <w:rPr>
          <w:rFonts w:hAnsi="宋体"/>
        </w:rPr>
      </w:pPr>
      <w:r>
        <w:rPr>
          <w:rFonts w:hAnsi="宋体"/>
        </w:rPr>
        <w:t>7.</w:t>
      </w:r>
      <w:r>
        <w:rPr>
          <w:rFonts w:hint="eastAsia" w:hAnsi="宋体"/>
        </w:rPr>
        <w:t>2</w:t>
      </w:r>
      <w:r>
        <w:rPr>
          <w:rFonts w:hAnsi="宋体"/>
        </w:rPr>
        <w:t>.</w:t>
      </w:r>
      <w:r>
        <w:rPr>
          <w:rFonts w:hint="eastAsia" w:hAnsi="宋体"/>
        </w:rPr>
        <w:t>2</w:t>
      </w:r>
      <w:r>
        <w:rPr>
          <w:rFonts w:hAnsi="宋体"/>
        </w:rPr>
        <w:t>在签订合同之前</w:t>
      </w:r>
      <w:r>
        <w:rPr>
          <w:rFonts w:hint="eastAsia" w:hAnsi="宋体"/>
        </w:rPr>
        <w:t>，中标入围单位放弃中标或者不能履行合同的，招标人可以按照评审委员会提出的中标入围候选单位名单排序依次确定其他中标入围候选单位为中标入围单位，也可以重新招标。</w:t>
      </w:r>
    </w:p>
    <w:p>
      <w:pPr>
        <w:rPr>
          <w:b/>
          <w:bCs/>
          <w:sz w:val="24"/>
          <w:szCs w:val="32"/>
        </w:rPr>
      </w:pPr>
      <w:bookmarkStart w:id="323" w:name="_Toc447265258"/>
      <w:bookmarkStart w:id="324" w:name="_Toc179632586"/>
      <w:bookmarkStart w:id="325" w:name="_Toc450489318"/>
      <w:bookmarkStart w:id="326" w:name="_Toc46496166"/>
      <w:bookmarkStart w:id="327" w:name="_Toc246996955"/>
      <w:bookmarkStart w:id="328" w:name="_Toc152042344"/>
      <w:bookmarkStart w:id="329" w:name="_Toc247085726"/>
      <w:bookmarkStart w:id="330" w:name="_Toc144974536"/>
      <w:bookmarkStart w:id="331" w:name="_Toc246996212"/>
      <w:bookmarkStart w:id="332" w:name="_Toc152045568"/>
      <w:bookmarkStart w:id="333" w:name="_Toc447265544"/>
      <w:bookmarkStart w:id="334" w:name="_Toc296602458"/>
      <w:bookmarkStart w:id="335" w:name="OLE_LINK7"/>
      <w:bookmarkStart w:id="336" w:name="OLE_LINK6"/>
      <w:r>
        <w:rPr>
          <w:b/>
          <w:bCs/>
          <w:sz w:val="24"/>
          <w:szCs w:val="32"/>
        </w:rPr>
        <w:t>7.3</w:t>
      </w:r>
      <w:r>
        <w:rPr>
          <w:rFonts w:hint="eastAsia"/>
          <w:b/>
          <w:bCs/>
          <w:sz w:val="24"/>
          <w:szCs w:val="32"/>
        </w:rPr>
        <w:t>中标通知</w:t>
      </w:r>
      <w:bookmarkEnd w:id="323"/>
      <w:bookmarkEnd w:id="324"/>
      <w:bookmarkEnd w:id="325"/>
      <w:bookmarkEnd w:id="326"/>
      <w:bookmarkEnd w:id="327"/>
      <w:bookmarkEnd w:id="328"/>
      <w:bookmarkEnd w:id="329"/>
      <w:bookmarkEnd w:id="330"/>
      <w:bookmarkEnd w:id="331"/>
      <w:bookmarkEnd w:id="332"/>
      <w:bookmarkEnd w:id="333"/>
      <w:bookmarkEnd w:id="334"/>
    </w:p>
    <w:p>
      <w:pPr>
        <w:pStyle w:val="23"/>
        <w:tabs>
          <w:tab w:val="left" w:pos="630"/>
        </w:tabs>
        <w:snapToGrid w:val="0"/>
        <w:spacing w:line="440" w:lineRule="exact"/>
        <w:ind w:firstLine="424" w:firstLineChars="202"/>
        <w:rPr>
          <w:rFonts w:hAnsi="宋体"/>
        </w:rPr>
      </w:pPr>
      <w:r>
        <w:rPr>
          <w:rFonts w:hAnsi="宋体"/>
        </w:rPr>
        <w:t>7.3.1在</w:t>
      </w:r>
      <w:r>
        <w:rPr>
          <w:rFonts w:hint="eastAsia" w:hAnsi="宋体"/>
        </w:rPr>
        <w:t>中标入围通知书</w:t>
      </w:r>
      <w:r>
        <w:rPr>
          <w:rFonts w:hAnsi="宋体"/>
        </w:rPr>
        <w:t>发出前，</w:t>
      </w:r>
      <w:r>
        <w:rPr>
          <w:rFonts w:hint="eastAsia" w:hAnsi="宋体"/>
        </w:rPr>
        <w:t>中标入围候选单位</w:t>
      </w:r>
      <w:r>
        <w:rPr>
          <w:rFonts w:hAnsi="宋体"/>
        </w:rPr>
        <w:t>的经营、财务状况发生较大变化或者存在违法行为，可能影响其履约能力的，投标人应当主动告知招标人。</w:t>
      </w:r>
      <w:bookmarkEnd w:id="335"/>
      <w:bookmarkEnd w:id="336"/>
    </w:p>
    <w:p>
      <w:pPr>
        <w:pStyle w:val="23"/>
        <w:tabs>
          <w:tab w:val="left" w:pos="630"/>
        </w:tabs>
        <w:snapToGrid w:val="0"/>
        <w:spacing w:line="440" w:lineRule="exact"/>
        <w:ind w:firstLine="424" w:firstLineChars="202"/>
        <w:rPr>
          <w:rFonts w:hAnsi="宋体"/>
        </w:rPr>
      </w:pPr>
      <w:r>
        <w:rPr>
          <w:rFonts w:hAnsi="宋体"/>
        </w:rPr>
        <w:t>7.3.2</w:t>
      </w:r>
      <w:r>
        <w:rPr>
          <w:rFonts w:hint="eastAsia" w:hAnsi="宋体"/>
        </w:rPr>
        <w:t>中标入围单位</w:t>
      </w:r>
      <w:r>
        <w:rPr>
          <w:rFonts w:hAnsi="宋体"/>
        </w:rPr>
        <w:t>确定后，招标人应当自行或者委托招标代理机构向</w:t>
      </w:r>
      <w:r>
        <w:rPr>
          <w:rFonts w:hint="eastAsia" w:hAnsi="宋体"/>
        </w:rPr>
        <w:t>中标入围单位</w:t>
      </w:r>
      <w:r>
        <w:rPr>
          <w:rFonts w:hAnsi="宋体"/>
        </w:rPr>
        <w:t>发出</w:t>
      </w:r>
      <w:r>
        <w:rPr>
          <w:rFonts w:hint="eastAsia" w:hAnsi="宋体"/>
        </w:rPr>
        <w:t>中标入围通知书</w:t>
      </w:r>
      <w:r>
        <w:rPr>
          <w:rFonts w:hAnsi="宋体"/>
        </w:rPr>
        <w:t>，同时通知未</w:t>
      </w:r>
      <w:r>
        <w:rPr>
          <w:rFonts w:hint="eastAsia" w:hAnsi="宋体"/>
        </w:rPr>
        <w:t>中标入围单位</w:t>
      </w:r>
      <w:r>
        <w:rPr>
          <w:rFonts w:hAnsi="宋体"/>
        </w:rPr>
        <w:t>。</w:t>
      </w:r>
    </w:p>
    <w:p>
      <w:pPr>
        <w:pStyle w:val="23"/>
        <w:tabs>
          <w:tab w:val="left" w:pos="630"/>
        </w:tabs>
        <w:snapToGrid w:val="0"/>
        <w:spacing w:line="440" w:lineRule="exact"/>
        <w:ind w:firstLine="424" w:firstLineChars="202"/>
        <w:rPr>
          <w:rFonts w:hAnsi="宋体"/>
        </w:rPr>
      </w:pPr>
      <w:r>
        <w:rPr>
          <w:rFonts w:hAnsi="宋体"/>
        </w:rPr>
        <w:t>7.3.3</w:t>
      </w:r>
      <w:r>
        <w:rPr>
          <w:rFonts w:hint="eastAsia" w:hAnsi="宋体"/>
        </w:rPr>
        <w:t>中标入围通知书是招标档案和合同的组成部分。</w:t>
      </w:r>
    </w:p>
    <w:p>
      <w:pPr>
        <w:pStyle w:val="23"/>
        <w:tabs>
          <w:tab w:val="left" w:pos="630"/>
        </w:tabs>
        <w:snapToGrid w:val="0"/>
        <w:spacing w:line="440" w:lineRule="exact"/>
        <w:ind w:firstLine="424" w:firstLineChars="202"/>
        <w:rPr>
          <w:rFonts w:hAnsi="宋体"/>
        </w:rPr>
      </w:pPr>
      <w:r>
        <w:rPr>
          <w:rFonts w:hAnsi="宋体"/>
        </w:rPr>
        <w:t>7.3.4</w:t>
      </w:r>
      <w:r>
        <w:rPr>
          <w:rFonts w:hint="eastAsia" w:hAnsi="宋体"/>
        </w:rPr>
        <w:t>中标入围通知书对招标人和中标入围单位具有法律约束力。中标入围通知书发出后，招标人改变中标结果或者中标入围单位放弃中标的，应当承担法律责任。</w:t>
      </w:r>
    </w:p>
    <w:p>
      <w:pPr>
        <w:numPr>
          <w:ilvl w:val="0"/>
          <w:numId w:val="4"/>
        </w:numPr>
        <w:rPr>
          <w:b/>
          <w:bCs/>
          <w:sz w:val="24"/>
          <w:szCs w:val="32"/>
        </w:rPr>
      </w:pPr>
      <w:r>
        <w:rPr>
          <w:rFonts w:hint="eastAsia"/>
          <w:b/>
          <w:bCs/>
          <w:sz w:val="24"/>
          <w:szCs w:val="32"/>
        </w:rPr>
        <w:t>合同签订</w:t>
      </w:r>
      <w:bookmarkEnd w:id="310"/>
      <w:bookmarkEnd w:id="311"/>
    </w:p>
    <w:p>
      <w:pPr>
        <w:rPr>
          <w:b/>
          <w:bCs/>
          <w:sz w:val="24"/>
          <w:szCs w:val="32"/>
        </w:rPr>
      </w:pPr>
      <w:bookmarkStart w:id="337" w:name="_Toc46496168"/>
      <w:bookmarkStart w:id="338" w:name="_Toc447265546"/>
      <w:bookmarkStart w:id="339" w:name="_Toc447265260"/>
      <w:r>
        <w:rPr>
          <w:b/>
          <w:bCs/>
          <w:sz w:val="24"/>
          <w:szCs w:val="32"/>
        </w:rPr>
        <w:t>8.1</w:t>
      </w:r>
      <w:r>
        <w:rPr>
          <w:rFonts w:hint="eastAsia"/>
          <w:b/>
          <w:bCs/>
          <w:sz w:val="24"/>
          <w:szCs w:val="32"/>
        </w:rPr>
        <w:t>履约</w:t>
      </w:r>
      <w:bookmarkEnd w:id="312"/>
      <w:bookmarkEnd w:id="313"/>
      <w:bookmarkEnd w:id="314"/>
      <w:bookmarkEnd w:id="315"/>
      <w:bookmarkEnd w:id="316"/>
      <w:bookmarkEnd w:id="317"/>
      <w:bookmarkEnd w:id="318"/>
      <w:bookmarkEnd w:id="319"/>
      <w:r>
        <w:rPr>
          <w:rFonts w:hint="eastAsia"/>
          <w:b/>
          <w:bCs/>
          <w:sz w:val="24"/>
          <w:szCs w:val="32"/>
        </w:rPr>
        <w:t>保证金</w:t>
      </w:r>
      <w:bookmarkEnd w:id="320"/>
      <w:bookmarkEnd w:id="321"/>
      <w:bookmarkEnd w:id="322"/>
      <w:bookmarkEnd w:id="337"/>
      <w:bookmarkEnd w:id="338"/>
      <w:bookmarkEnd w:id="339"/>
    </w:p>
    <w:p>
      <w:pPr>
        <w:pStyle w:val="23"/>
        <w:tabs>
          <w:tab w:val="left" w:pos="630"/>
        </w:tabs>
        <w:snapToGrid w:val="0"/>
        <w:spacing w:line="440" w:lineRule="exact"/>
        <w:ind w:firstLine="424" w:firstLineChars="202"/>
        <w:rPr>
          <w:rFonts w:hAnsi="宋体"/>
        </w:rPr>
      </w:pPr>
      <w:bookmarkStart w:id="340" w:name="_Toc447188707"/>
      <w:bookmarkStart w:id="341" w:name="_Toc447265549"/>
      <w:bookmarkStart w:id="342" w:name="_Toc226969312"/>
      <w:bookmarkStart w:id="343" w:name="_Toc447265263"/>
      <w:bookmarkStart w:id="344" w:name="_Toc488655867"/>
      <w:bookmarkStart w:id="345" w:name="_Toc227057918"/>
      <w:bookmarkStart w:id="346" w:name="_Toc107822519"/>
      <w:r>
        <w:rPr>
          <w:rFonts w:hAnsi="宋体"/>
        </w:rPr>
        <w:t>8.1.1在签订合同前，</w:t>
      </w:r>
      <w:r>
        <w:rPr>
          <w:rFonts w:hint="eastAsia" w:hAnsi="宋体"/>
        </w:rPr>
        <w:t>中标入围单位</w:t>
      </w:r>
      <w:r>
        <w:rPr>
          <w:rFonts w:hAnsi="宋体"/>
        </w:rPr>
        <w:t>应当按照“投标人须知前附表”中规定的履约保证金的金额和形式向招标人递交履约保证金。</w:t>
      </w:r>
    </w:p>
    <w:p>
      <w:pPr>
        <w:pStyle w:val="23"/>
        <w:tabs>
          <w:tab w:val="left" w:pos="630"/>
        </w:tabs>
        <w:snapToGrid w:val="0"/>
        <w:spacing w:line="440" w:lineRule="exact"/>
        <w:ind w:firstLine="424" w:firstLineChars="202"/>
        <w:rPr>
          <w:rFonts w:hAnsi="宋体"/>
        </w:rPr>
      </w:pPr>
      <w:r>
        <w:rPr>
          <w:rFonts w:hAnsi="宋体"/>
        </w:rPr>
        <w:t>8.1.2</w:t>
      </w:r>
      <w:r>
        <w:rPr>
          <w:rFonts w:hint="eastAsia" w:hAnsi="宋体"/>
        </w:rPr>
        <w:t>中标入围单位不能按照招募文件要求递交履约担保的，视为放弃中标，其投标保证金不予退还，给招标人造成的损失超过投标保证金数额的，中标入围单位还应当对超过部分予以赔偿。</w:t>
      </w:r>
    </w:p>
    <w:p>
      <w:pPr>
        <w:rPr>
          <w:b/>
          <w:bCs/>
          <w:sz w:val="24"/>
          <w:szCs w:val="32"/>
        </w:rPr>
      </w:pPr>
      <w:bookmarkStart w:id="347" w:name="_Toc450489321"/>
      <w:bookmarkStart w:id="348" w:name="_Toc447265547"/>
      <w:bookmarkStart w:id="349" w:name="_Toc46496169"/>
      <w:bookmarkStart w:id="350" w:name="_Toc447265261"/>
      <w:r>
        <w:rPr>
          <w:b/>
          <w:bCs/>
          <w:sz w:val="24"/>
          <w:szCs w:val="32"/>
        </w:rPr>
        <w:t>8.2</w:t>
      </w:r>
      <w:r>
        <w:rPr>
          <w:rFonts w:hint="eastAsia"/>
          <w:b/>
          <w:bCs/>
          <w:sz w:val="24"/>
          <w:szCs w:val="32"/>
        </w:rPr>
        <w:t>合同签订</w:t>
      </w:r>
      <w:bookmarkEnd w:id="347"/>
      <w:bookmarkEnd w:id="348"/>
      <w:bookmarkEnd w:id="349"/>
      <w:bookmarkEnd w:id="350"/>
    </w:p>
    <w:p>
      <w:pPr>
        <w:pStyle w:val="23"/>
        <w:tabs>
          <w:tab w:val="left" w:pos="630"/>
        </w:tabs>
        <w:snapToGrid w:val="0"/>
        <w:spacing w:line="440" w:lineRule="exact"/>
        <w:ind w:firstLine="424" w:firstLineChars="202"/>
        <w:rPr>
          <w:rFonts w:hAnsi="宋体"/>
        </w:rPr>
      </w:pPr>
      <w:r>
        <w:rPr>
          <w:rFonts w:hAnsi="宋体"/>
        </w:rPr>
        <w:t>8.2.1</w:t>
      </w:r>
      <w:r>
        <w:rPr>
          <w:rFonts w:hint="eastAsia" w:hAnsi="宋体"/>
        </w:rPr>
        <w:t>招标人和中标入围单位应当在招标有效期内，根据招募文件和中标入围单位的投标申请文件订立书面合同。招标人和中标入围单位不得订立背离合同实质性内容的其他协议。</w:t>
      </w:r>
    </w:p>
    <w:p>
      <w:pPr>
        <w:pStyle w:val="23"/>
        <w:tabs>
          <w:tab w:val="left" w:pos="630"/>
        </w:tabs>
        <w:snapToGrid w:val="0"/>
        <w:spacing w:line="440" w:lineRule="exact"/>
        <w:ind w:firstLine="424" w:firstLineChars="202"/>
        <w:rPr>
          <w:rFonts w:hAnsi="宋体"/>
        </w:rPr>
      </w:pPr>
      <w:r>
        <w:rPr>
          <w:rFonts w:hAnsi="宋体"/>
        </w:rPr>
        <w:t>8.2.2</w:t>
      </w:r>
      <w:r>
        <w:rPr>
          <w:rFonts w:hint="eastAsia" w:hAnsi="宋体"/>
        </w:rPr>
        <w:t>中标入围单位</w:t>
      </w:r>
      <w:r>
        <w:rPr>
          <w:rFonts w:hAnsi="宋体"/>
        </w:rPr>
        <w:t>无正当理由拒签合同的，招标人取消其中标资格，其投标保证金不予退还；给招标人造成的损失超过投标保证金数额的，</w:t>
      </w:r>
      <w:r>
        <w:rPr>
          <w:rFonts w:hint="eastAsia" w:hAnsi="宋体"/>
        </w:rPr>
        <w:t>中标入围单位</w:t>
      </w:r>
      <w:r>
        <w:rPr>
          <w:rFonts w:hAnsi="宋体"/>
        </w:rPr>
        <w:t>还应当对超过部分予以赔偿。</w:t>
      </w:r>
    </w:p>
    <w:p>
      <w:pPr>
        <w:numPr>
          <w:ilvl w:val="0"/>
          <w:numId w:val="4"/>
        </w:numPr>
        <w:rPr>
          <w:b/>
          <w:bCs/>
          <w:sz w:val="24"/>
          <w:szCs w:val="32"/>
        </w:rPr>
      </w:pPr>
      <w:r>
        <w:rPr>
          <w:rFonts w:hint="eastAsia"/>
          <w:b/>
          <w:bCs/>
          <w:sz w:val="24"/>
          <w:szCs w:val="32"/>
        </w:rPr>
        <w:t>招标代理服务费</w:t>
      </w:r>
      <w:bookmarkEnd w:id="340"/>
      <w:bookmarkEnd w:id="341"/>
      <w:bookmarkEnd w:id="342"/>
      <w:bookmarkEnd w:id="343"/>
      <w:bookmarkEnd w:id="344"/>
      <w:bookmarkEnd w:id="345"/>
      <w:bookmarkEnd w:id="346"/>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中标入围单位应当按照招募文件规定交纳招标代理服务费，招标人和招标代理机构另有约定的从其约定。招标代理服务费的金额、交纳方式和时限见投标人须知前附表。</w:t>
      </w:r>
    </w:p>
    <w:p>
      <w:pPr>
        <w:numPr>
          <w:ilvl w:val="0"/>
          <w:numId w:val="4"/>
        </w:numPr>
        <w:rPr>
          <w:b/>
          <w:bCs/>
          <w:sz w:val="24"/>
          <w:szCs w:val="32"/>
        </w:rPr>
      </w:pPr>
      <w:bookmarkStart w:id="351" w:name="_Toc447265550"/>
      <w:bookmarkStart w:id="352" w:name="_Toc447188708"/>
      <w:bookmarkStart w:id="353" w:name="_Toc296602461"/>
      <w:bookmarkStart w:id="354" w:name="_Toc447265264"/>
      <w:r>
        <w:rPr>
          <w:rFonts w:hint="eastAsia"/>
          <w:b/>
          <w:bCs/>
          <w:sz w:val="24"/>
          <w:szCs w:val="32"/>
        </w:rPr>
        <w:t>纪律和监督</w:t>
      </w:r>
      <w:bookmarkEnd w:id="351"/>
      <w:bookmarkEnd w:id="352"/>
      <w:bookmarkEnd w:id="353"/>
      <w:bookmarkEnd w:id="354"/>
    </w:p>
    <w:p>
      <w:pPr>
        <w:rPr>
          <w:b/>
          <w:bCs/>
          <w:sz w:val="24"/>
          <w:szCs w:val="32"/>
        </w:rPr>
      </w:pPr>
      <w:bookmarkStart w:id="355" w:name="_Toc296602462"/>
      <w:bookmarkStart w:id="356" w:name="_Toc46496172"/>
      <w:bookmarkStart w:id="357" w:name="_Toc247085733"/>
      <w:bookmarkStart w:id="358" w:name="_Toc447265551"/>
      <w:bookmarkStart w:id="359" w:name="_Toc152045575"/>
      <w:bookmarkStart w:id="360" w:name="_Toc144974543"/>
      <w:bookmarkStart w:id="361" w:name="_Toc246996962"/>
      <w:bookmarkStart w:id="362" w:name="_Toc179632593"/>
      <w:bookmarkStart w:id="363" w:name="_Toc296590983"/>
      <w:bookmarkStart w:id="364" w:name="_Toc246996219"/>
      <w:bookmarkStart w:id="365" w:name="_Toc152042351"/>
      <w:bookmarkStart w:id="366" w:name="_Toc447265265"/>
      <w:r>
        <w:rPr>
          <w:b/>
          <w:bCs/>
          <w:sz w:val="24"/>
          <w:szCs w:val="32"/>
        </w:rPr>
        <w:t>10.1</w:t>
      </w:r>
      <w:r>
        <w:rPr>
          <w:rFonts w:hint="eastAsia"/>
          <w:b/>
          <w:bCs/>
          <w:sz w:val="24"/>
          <w:szCs w:val="32"/>
        </w:rPr>
        <w:t>对招标人的纪律要求</w:t>
      </w:r>
      <w:bookmarkEnd w:id="355"/>
      <w:bookmarkEnd w:id="356"/>
      <w:bookmarkEnd w:id="357"/>
      <w:bookmarkEnd w:id="358"/>
      <w:bookmarkEnd w:id="359"/>
      <w:bookmarkEnd w:id="360"/>
      <w:bookmarkEnd w:id="361"/>
      <w:bookmarkEnd w:id="362"/>
      <w:bookmarkEnd w:id="363"/>
      <w:bookmarkEnd w:id="364"/>
      <w:bookmarkEnd w:id="365"/>
      <w:bookmarkEnd w:id="366"/>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招标人不得泄漏招标活动中应当保密的情况和资料，不得与投标人串通损害国家利益、社会公共利益或者他人合法权益。</w:t>
      </w:r>
    </w:p>
    <w:p>
      <w:pPr>
        <w:rPr>
          <w:b/>
          <w:bCs/>
          <w:sz w:val="24"/>
          <w:szCs w:val="32"/>
        </w:rPr>
      </w:pPr>
      <w:bookmarkStart w:id="367" w:name="_Toc46496173"/>
      <w:bookmarkStart w:id="368" w:name="_Toc152045576"/>
      <w:bookmarkStart w:id="369" w:name="_Toc179632594"/>
      <w:bookmarkStart w:id="370" w:name="_Toc447265266"/>
      <w:bookmarkStart w:id="371" w:name="_Toc247085734"/>
      <w:bookmarkStart w:id="372" w:name="_Toc447265552"/>
      <w:bookmarkStart w:id="373" w:name="_Toc152042352"/>
      <w:bookmarkStart w:id="374" w:name="_Toc144974544"/>
      <w:bookmarkStart w:id="375" w:name="_Toc246996963"/>
      <w:bookmarkStart w:id="376" w:name="_Toc296602463"/>
      <w:bookmarkStart w:id="377" w:name="_Toc246996220"/>
      <w:r>
        <w:rPr>
          <w:b/>
          <w:bCs/>
          <w:sz w:val="24"/>
          <w:szCs w:val="32"/>
        </w:rPr>
        <w:t>10.2</w:t>
      </w:r>
      <w:r>
        <w:rPr>
          <w:rFonts w:hint="eastAsia"/>
          <w:b/>
          <w:bCs/>
          <w:sz w:val="24"/>
          <w:szCs w:val="32"/>
        </w:rPr>
        <w:t>对投标人的纪律要求</w:t>
      </w:r>
      <w:bookmarkEnd w:id="367"/>
      <w:bookmarkEnd w:id="368"/>
      <w:bookmarkEnd w:id="369"/>
      <w:bookmarkEnd w:id="370"/>
      <w:bookmarkEnd w:id="371"/>
      <w:bookmarkEnd w:id="372"/>
      <w:bookmarkEnd w:id="373"/>
      <w:bookmarkEnd w:id="374"/>
      <w:bookmarkEnd w:id="375"/>
      <w:bookmarkEnd w:id="376"/>
      <w:bookmarkEnd w:id="377"/>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投标人不得相互串通投标或者与招标人串通投标，不得向招标人或者评审委员会成员行贿谋取中标，不得以他人名义投标或者以其他方式弄虚作假骗取中标；投标人不得以任何方式干扰、影响评审工作。</w:t>
      </w:r>
    </w:p>
    <w:p>
      <w:pPr>
        <w:rPr>
          <w:b/>
          <w:bCs/>
          <w:sz w:val="24"/>
          <w:szCs w:val="32"/>
        </w:rPr>
      </w:pPr>
      <w:bookmarkStart w:id="378" w:name="_Toc152042353"/>
      <w:bookmarkStart w:id="379" w:name="_Toc447265267"/>
      <w:bookmarkStart w:id="380" w:name="_Toc46496174"/>
      <w:bookmarkStart w:id="381" w:name="_Toc144974545"/>
      <w:bookmarkStart w:id="382" w:name="_Toc152045577"/>
      <w:bookmarkStart w:id="383" w:name="_Toc296602464"/>
      <w:bookmarkStart w:id="384" w:name="_Toc179632595"/>
      <w:bookmarkStart w:id="385" w:name="_Toc246996221"/>
      <w:bookmarkStart w:id="386" w:name="_Toc447265553"/>
      <w:bookmarkStart w:id="387" w:name="_Toc247085735"/>
      <w:bookmarkStart w:id="388" w:name="_Toc246996964"/>
      <w:r>
        <w:rPr>
          <w:b/>
          <w:bCs/>
          <w:sz w:val="24"/>
          <w:szCs w:val="32"/>
        </w:rPr>
        <w:t>10.3</w:t>
      </w:r>
      <w:r>
        <w:rPr>
          <w:rFonts w:hint="eastAsia"/>
          <w:b/>
          <w:bCs/>
          <w:sz w:val="24"/>
          <w:szCs w:val="32"/>
        </w:rPr>
        <w:t>对评审委员会成员的纪律要求</w:t>
      </w:r>
      <w:bookmarkEnd w:id="378"/>
      <w:bookmarkEnd w:id="379"/>
      <w:bookmarkEnd w:id="380"/>
      <w:bookmarkEnd w:id="381"/>
      <w:bookmarkEnd w:id="382"/>
      <w:bookmarkEnd w:id="383"/>
      <w:bookmarkEnd w:id="384"/>
      <w:bookmarkEnd w:id="385"/>
      <w:bookmarkEnd w:id="386"/>
      <w:bookmarkEnd w:id="387"/>
      <w:bookmarkEnd w:id="388"/>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评审委员会成员不得收受他人的财物或者其他好处，不得向他人透漏对投标申请文件的评审和比较、中标入围候选单位的推荐情况以及评审有关的其他情况。在评审活动中，评审委员会成员应当客观、公正地履行职责，遵守职业道德，不得擅离职守，影响评选程序正常进行，不得使用第三章“评审办法”没有规定的评审因素和标准进行评审。</w:t>
      </w:r>
    </w:p>
    <w:p>
      <w:pPr>
        <w:rPr>
          <w:b/>
          <w:bCs/>
          <w:sz w:val="24"/>
          <w:szCs w:val="32"/>
        </w:rPr>
      </w:pPr>
      <w:bookmarkStart w:id="389" w:name="_Toc152045578"/>
      <w:bookmarkStart w:id="390" w:name="_Toc247085736"/>
      <w:bookmarkStart w:id="391" w:name="_Toc447265268"/>
      <w:bookmarkStart w:id="392" w:name="_Toc296602465"/>
      <w:bookmarkStart w:id="393" w:name="_Toc447265554"/>
      <w:bookmarkStart w:id="394" w:name="_Toc179632596"/>
      <w:bookmarkStart w:id="395" w:name="_Toc152042354"/>
      <w:bookmarkStart w:id="396" w:name="_Toc46496175"/>
      <w:bookmarkStart w:id="397" w:name="_Toc246996222"/>
      <w:bookmarkStart w:id="398" w:name="_Toc246996965"/>
      <w:bookmarkStart w:id="399" w:name="_Toc144974546"/>
      <w:r>
        <w:rPr>
          <w:b/>
          <w:bCs/>
          <w:sz w:val="24"/>
          <w:szCs w:val="32"/>
        </w:rPr>
        <w:t>10.4</w:t>
      </w:r>
      <w:r>
        <w:rPr>
          <w:rFonts w:hint="eastAsia"/>
          <w:b/>
          <w:bCs/>
          <w:sz w:val="24"/>
          <w:szCs w:val="32"/>
        </w:rPr>
        <w:t>对与评审活动有关的工作人员的纪律要求</w:t>
      </w:r>
      <w:bookmarkEnd w:id="389"/>
      <w:bookmarkEnd w:id="390"/>
      <w:bookmarkEnd w:id="391"/>
      <w:bookmarkEnd w:id="392"/>
      <w:bookmarkEnd w:id="393"/>
      <w:bookmarkEnd w:id="394"/>
      <w:bookmarkEnd w:id="395"/>
      <w:bookmarkEnd w:id="396"/>
      <w:bookmarkEnd w:id="397"/>
      <w:bookmarkEnd w:id="398"/>
    </w:p>
    <w:p>
      <w:pPr>
        <w:adjustRightInd w:val="0"/>
        <w:snapToGrid w:val="0"/>
        <w:spacing w:line="440" w:lineRule="exact"/>
        <w:ind w:firstLine="420" w:firstLineChars="200"/>
        <w:rPr>
          <w:rFonts w:ascii="宋体" w:hAnsi="宋体" w:cs="宋体"/>
          <w:szCs w:val="21"/>
        </w:rPr>
      </w:pPr>
      <w:bookmarkStart w:id="400" w:name="_Toc152042355"/>
      <w:r>
        <w:rPr>
          <w:rFonts w:hint="eastAsia" w:ascii="宋体" w:hAnsi="宋体" w:cs="宋体"/>
          <w:szCs w:val="21"/>
        </w:rPr>
        <w:t>与评审活动有关的工作人员不得收受他人的财物或者其他好处，不得向他人透漏对投标申请文件的评审和比较、中标入围候选单位的推荐情况以及评审有关的其他情况。在评审活动中，与评审活动有关的工作人员不得擅离职守，影响评审程序正常进行。</w:t>
      </w:r>
      <w:bookmarkEnd w:id="399"/>
      <w:bookmarkEnd w:id="400"/>
    </w:p>
    <w:p>
      <w:pPr>
        <w:numPr>
          <w:ilvl w:val="0"/>
          <w:numId w:val="4"/>
        </w:numPr>
        <w:rPr>
          <w:b/>
          <w:bCs/>
          <w:sz w:val="24"/>
          <w:szCs w:val="32"/>
        </w:rPr>
      </w:pPr>
      <w:bookmarkStart w:id="401" w:name="_Toc477190327"/>
      <w:bookmarkEnd w:id="401"/>
      <w:bookmarkStart w:id="402" w:name="_Toc477190328"/>
      <w:bookmarkEnd w:id="402"/>
      <w:bookmarkStart w:id="403" w:name="_Toc477190326"/>
      <w:bookmarkEnd w:id="403"/>
      <w:bookmarkStart w:id="404" w:name="_Toc246996224"/>
      <w:bookmarkStart w:id="405" w:name="_Toc447265270"/>
      <w:bookmarkStart w:id="406" w:name="_Toc152042357"/>
      <w:bookmarkStart w:id="407" w:name="_Toc152045580"/>
      <w:bookmarkStart w:id="408" w:name="_Toc179632598"/>
      <w:bookmarkStart w:id="409" w:name="_Toc296602467"/>
      <w:bookmarkStart w:id="410" w:name="_Toc246996967"/>
      <w:bookmarkStart w:id="411" w:name="_Toc144974547"/>
      <w:bookmarkStart w:id="412" w:name="_Toc447188709"/>
      <w:bookmarkStart w:id="413" w:name="_Toc247085738"/>
      <w:bookmarkStart w:id="414" w:name="_Toc447265556"/>
      <w:r>
        <w:rPr>
          <w:rFonts w:hint="eastAsia"/>
          <w:b/>
          <w:bCs/>
          <w:sz w:val="24"/>
          <w:szCs w:val="32"/>
        </w:rPr>
        <w:t>需要补充的其他内容</w:t>
      </w:r>
      <w:bookmarkEnd w:id="404"/>
      <w:bookmarkEnd w:id="405"/>
      <w:bookmarkEnd w:id="406"/>
      <w:bookmarkEnd w:id="407"/>
      <w:bookmarkEnd w:id="408"/>
      <w:bookmarkEnd w:id="409"/>
      <w:bookmarkEnd w:id="410"/>
      <w:bookmarkEnd w:id="411"/>
      <w:bookmarkEnd w:id="412"/>
      <w:bookmarkEnd w:id="413"/>
      <w:bookmarkEnd w:id="414"/>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需要补充的其他内容：见投标人须知前附表。</w:t>
      </w:r>
    </w:p>
    <w:p>
      <w:pPr>
        <w:tabs>
          <w:tab w:val="left" w:pos="851"/>
        </w:tabs>
        <w:adjustRightInd w:val="0"/>
        <w:snapToGrid w:val="0"/>
        <w:spacing w:line="440" w:lineRule="exact"/>
        <w:rPr>
          <w:rFonts w:ascii="宋体" w:hAnsi="宋体" w:cs="Arial"/>
          <w:b/>
          <w:szCs w:val="21"/>
        </w:rPr>
      </w:pPr>
    </w:p>
    <w:p>
      <w:r>
        <w:br w:type="page"/>
      </w:r>
    </w:p>
    <w:p>
      <w:pPr>
        <w:pStyle w:val="76"/>
        <w:spacing w:before="240" w:after="120"/>
        <w:rPr>
          <w:rFonts w:ascii="宋体" w:hAnsi="宋体" w:eastAsia="宋体" w:cs="宋体"/>
          <w:b/>
          <w:bCs w:val="0"/>
          <w:kern w:val="0"/>
          <w:sz w:val="28"/>
          <w:szCs w:val="28"/>
        </w:rPr>
      </w:pPr>
      <w:bookmarkStart w:id="415" w:name="_Toc447265273"/>
      <w:bookmarkStart w:id="416" w:name="_Toc27842"/>
      <w:bookmarkStart w:id="417" w:name="_Toc56432213"/>
      <w:bookmarkStart w:id="418" w:name="_Toc447265559"/>
      <w:bookmarkStart w:id="419" w:name="_Toc16927"/>
      <w:bookmarkStart w:id="420" w:name="_Toc28913"/>
      <w:r>
        <w:rPr>
          <w:rFonts w:hint="eastAsia" w:ascii="宋体" w:hAnsi="宋体" w:eastAsia="宋体" w:cs="宋体"/>
          <w:b/>
          <w:bCs w:val="0"/>
          <w:kern w:val="0"/>
          <w:sz w:val="28"/>
          <w:szCs w:val="28"/>
        </w:rPr>
        <w:t>第三章</w:t>
      </w:r>
      <w:r>
        <w:rPr>
          <w:rFonts w:ascii="宋体" w:hAnsi="宋体" w:eastAsia="宋体" w:cs="宋体"/>
          <w:b/>
          <w:bCs w:val="0"/>
          <w:kern w:val="0"/>
          <w:sz w:val="28"/>
          <w:szCs w:val="28"/>
        </w:rPr>
        <w:t xml:space="preserve"> </w:t>
      </w:r>
      <w:r>
        <w:rPr>
          <w:rFonts w:hint="eastAsia" w:ascii="宋体" w:hAnsi="宋体" w:eastAsia="宋体" w:cs="宋体"/>
          <w:b/>
          <w:bCs w:val="0"/>
          <w:kern w:val="0"/>
          <w:sz w:val="28"/>
          <w:szCs w:val="28"/>
        </w:rPr>
        <w:t>评审办法（综合评估法）</w:t>
      </w:r>
      <w:bookmarkEnd w:id="415"/>
      <w:bookmarkEnd w:id="416"/>
      <w:bookmarkEnd w:id="417"/>
      <w:bookmarkEnd w:id="418"/>
      <w:bookmarkEnd w:id="419"/>
      <w:bookmarkEnd w:id="420"/>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kern w:val="0"/>
                <w:sz w:val="24"/>
                <w:szCs w:val="20"/>
              </w:rPr>
            </w:pPr>
            <w:r>
              <w:rPr>
                <w:rFonts w:hint="eastAsia"/>
                <w:b/>
                <w:kern w:val="0"/>
                <w:sz w:val="24"/>
                <w:szCs w:val="20"/>
              </w:rPr>
              <w:t>评审项</w:t>
            </w:r>
          </w:p>
        </w:tc>
        <w:tc>
          <w:tcPr>
            <w:tcW w:w="4261" w:type="dxa"/>
            <w:vAlign w:val="center"/>
          </w:tcPr>
          <w:p>
            <w:pPr>
              <w:jc w:val="center"/>
              <w:rPr>
                <w:b/>
                <w:kern w:val="0"/>
                <w:sz w:val="24"/>
                <w:szCs w:val="20"/>
              </w:rPr>
            </w:pPr>
            <w:r>
              <w:rPr>
                <w:rFonts w:hint="eastAsia"/>
                <w:b/>
                <w:kern w:val="0"/>
                <w:sz w:val="24"/>
                <w:szCs w:val="20"/>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kern w:val="0"/>
                <w:sz w:val="24"/>
                <w:szCs w:val="20"/>
              </w:rPr>
            </w:pPr>
            <w:r>
              <w:rPr>
                <w:rFonts w:hint="eastAsia"/>
                <w:b/>
                <w:kern w:val="0"/>
                <w:sz w:val="24"/>
                <w:szCs w:val="20"/>
              </w:rPr>
              <w:t>技术审查</w:t>
            </w:r>
          </w:p>
        </w:tc>
        <w:tc>
          <w:tcPr>
            <w:tcW w:w="4261" w:type="dxa"/>
            <w:vAlign w:val="center"/>
          </w:tcPr>
          <w:p>
            <w:pPr>
              <w:jc w:val="center"/>
              <w:rPr>
                <w:b/>
                <w:kern w:val="0"/>
                <w:sz w:val="24"/>
                <w:szCs w:val="20"/>
              </w:rPr>
            </w:pPr>
            <w:r>
              <w:rPr>
                <w:rFonts w:hint="eastAsia"/>
                <w:b/>
                <w:kern w:val="0"/>
                <w:sz w:val="24"/>
                <w:szCs w:val="20"/>
              </w:rPr>
              <w:t>5</w:t>
            </w:r>
            <w:r>
              <w:rPr>
                <w:b/>
                <w:kern w:val="0"/>
                <w:sz w:val="24"/>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kern w:val="0"/>
                <w:sz w:val="24"/>
                <w:szCs w:val="20"/>
              </w:rPr>
            </w:pPr>
            <w:r>
              <w:rPr>
                <w:rFonts w:hint="eastAsia"/>
                <w:b/>
                <w:kern w:val="0"/>
                <w:sz w:val="24"/>
                <w:szCs w:val="20"/>
              </w:rPr>
              <w:t>商务审查</w:t>
            </w:r>
          </w:p>
        </w:tc>
        <w:tc>
          <w:tcPr>
            <w:tcW w:w="4261" w:type="dxa"/>
            <w:vAlign w:val="center"/>
          </w:tcPr>
          <w:p>
            <w:pPr>
              <w:jc w:val="center"/>
              <w:rPr>
                <w:b/>
                <w:kern w:val="0"/>
                <w:sz w:val="24"/>
                <w:szCs w:val="20"/>
              </w:rPr>
            </w:pPr>
            <w:r>
              <w:rPr>
                <w:rFonts w:hint="eastAsia"/>
                <w:b/>
                <w:kern w:val="0"/>
                <w:sz w:val="24"/>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kern w:val="0"/>
                <w:sz w:val="24"/>
                <w:szCs w:val="20"/>
              </w:rPr>
            </w:pPr>
            <w:r>
              <w:rPr>
                <w:rFonts w:hint="eastAsia"/>
                <w:b/>
                <w:kern w:val="0"/>
                <w:sz w:val="24"/>
                <w:szCs w:val="20"/>
              </w:rPr>
              <w:t>总和</w:t>
            </w:r>
          </w:p>
        </w:tc>
        <w:tc>
          <w:tcPr>
            <w:tcW w:w="4261" w:type="dxa"/>
            <w:vAlign w:val="center"/>
          </w:tcPr>
          <w:p>
            <w:pPr>
              <w:jc w:val="center"/>
              <w:rPr>
                <w:b/>
                <w:kern w:val="0"/>
                <w:sz w:val="24"/>
                <w:szCs w:val="20"/>
              </w:rPr>
            </w:pPr>
            <w:r>
              <w:rPr>
                <w:b/>
                <w:kern w:val="0"/>
                <w:sz w:val="24"/>
                <w:szCs w:val="20"/>
              </w:rPr>
              <w:t>100</w:t>
            </w:r>
          </w:p>
        </w:tc>
      </w:tr>
    </w:tbl>
    <w:p/>
    <w:p>
      <w:pPr>
        <w:pStyle w:val="7"/>
        <w:snapToGrid w:val="0"/>
        <w:spacing w:before="240" w:after="120" w:line="240" w:lineRule="auto"/>
        <w:jc w:val="center"/>
        <w:rPr>
          <w:rFonts w:ascii="宋体" w:hAnsi="宋体" w:eastAsia="宋体" w:cs="宋体"/>
          <w:bCs w:val="0"/>
          <w:sz w:val="21"/>
          <w:szCs w:val="24"/>
        </w:rPr>
      </w:pPr>
      <w:bookmarkStart w:id="421" w:name="_Toc11520"/>
      <w:bookmarkStart w:id="422" w:name="_Toc56432214"/>
      <w:bookmarkStart w:id="423" w:name="_Toc8100"/>
      <w:bookmarkStart w:id="424" w:name="_Toc4970"/>
      <w:bookmarkStart w:id="425" w:name="_Toc447265562"/>
      <w:bookmarkStart w:id="426" w:name="_Toc447265276"/>
      <w:bookmarkStart w:id="427" w:name="_Toc107822520"/>
      <w:bookmarkStart w:id="428" w:name="_Toc226969316"/>
      <w:bookmarkStart w:id="429" w:name="_Toc227057922"/>
      <w:r>
        <w:rPr>
          <w:rFonts w:hint="eastAsia" w:ascii="宋体" w:hAnsi="宋体" w:eastAsia="宋体" w:cs="宋体"/>
          <w:bCs w:val="0"/>
          <w:sz w:val="21"/>
          <w:szCs w:val="24"/>
        </w:rPr>
        <w:t>评审办法前附表</w:t>
      </w:r>
      <w:bookmarkEnd w:id="421"/>
      <w:bookmarkEnd w:id="422"/>
      <w:bookmarkEnd w:id="423"/>
      <w:bookmarkEnd w:id="424"/>
    </w:p>
    <w:p>
      <w:pPr>
        <w:pStyle w:val="7"/>
        <w:rPr>
          <w:rFonts w:asciiTheme="minorEastAsia" w:hAnsiTheme="minorEastAsia" w:eastAsiaTheme="minorEastAsia"/>
          <w:b w:val="0"/>
          <w:sz w:val="24"/>
        </w:rPr>
      </w:pPr>
      <w:bookmarkStart w:id="430" w:name="_Toc21818"/>
      <w:bookmarkStart w:id="431" w:name="_Toc5951"/>
      <w:bookmarkStart w:id="432" w:name="_Toc56432215"/>
      <w:bookmarkStart w:id="433" w:name="_Toc19724"/>
      <w:r>
        <w:rPr>
          <w:rFonts w:asciiTheme="minorEastAsia" w:hAnsiTheme="minorEastAsia" w:eastAsiaTheme="minorEastAsia"/>
          <w:b w:val="0"/>
          <w:sz w:val="24"/>
        </w:rPr>
        <w:t>1、初步评审表</w:t>
      </w:r>
      <w:bookmarkEnd w:id="430"/>
      <w:bookmarkEnd w:id="431"/>
      <w:bookmarkEnd w:id="432"/>
      <w:bookmarkEnd w:id="433"/>
    </w:p>
    <w:tbl>
      <w:tblPr>
        <w:tblStyle w:val="4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99"/>
        <w:gridCol w:w="2199"/>
        <w:gridCol w:w="4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97" w:type="dxa"/>
            <w:gridSpan w:val="2"/>
            <w:vAlign w:val="center"/>
          </w:tcPr>
          <w:p>
            <w:pPr>
              <w:snapToGrid w:val="0"/>
              <w:jc w:val="center"/>
              <w:rPr>
                <w:rFonts w:ascii="宋体" w:hAnsi="宋体" w:cs="宋体"/>
                <w:kern w:val="0"/>
                <w:szCs w:val="21"/>
              </w:rPr>
            </w:pPr>
            <w:r>
              <w:rPr>
                <w:rFonts w:hint="eastAsia" w:ascii="宋体" w:hAnsi="宋体" w:cs="宋体"/>
                <w:szCs w:val="21"/>
              </w:rPr>
              <w:t>条款号</w:t>
            </w:r>
          </w:p>
        </w:tc>
        <w:tc>
          <w:tcPr>
            <w:tcW w:w="2199" w:type="dxa"/>
            <w:vAlign w:val="center"/>
          </w:tcPr>
          <w:p>
            <w:pPr>
              <w:snapToGrid w:val="0"/>
              <w:jc w:val="center"/>
              <w:rPr>
                <w:rFonts w:ascii="宋体" w:hAnsi="宋体" w:cs="宋体"/>
                <w:szCs w:val="21"/>
              </w:rPr>
            </w:pPr>
            <w:r>
              <w:rPr>
                <w:rFonts w:hint="eastAsia" w:ascii="宋体" w:hAnsi="宋体" w:cs="宋体"/>
                <w:kern w:val="0"/>
                <w:szCs w:val="21"/>
              </w:rPr>
              <w:t>评审因素</w:t>
            </w:r>
          </w:p>
        </w:tc>
        <w:tc>
          <w:tcPr>
            <w:tcW w:w="4426" w:type="dxa"/>
            <w:vAlign w:val="center"/>
          </w:tcPr>
          <w:p>
            <w:pPr>
              <w:snapToGrid w:val="0"/>
              <w:jc w:val="center"/>
              <w:rPr>
                <w:rFonts w:ascii="宋体" w:hAnsi="宋体" w:cs="宋体"/>
                <w:szCs w:val="21"/>
              </w:rPr>
            </w:pPr>
            <w:r>
              <w:rPr>
                <w:rFonts w:hint="eastAsia" w:ascii="宋体" w:hAnsi="宋体" w:cs="宋体"/>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restart"/>
            <w:vAlign w:val="center"/>
          </w:tcPr>
          <w:p>
            <w:pPr>
              <w:snapToGrid w:val="0"/>
              <w:jc w:val="center"/>
              <w:rPr>
                <w:rFonts w:ascii="宋体" w:hAnsi="宋体" w:cs="宋体"/>
                <w:szCs w:val="21"/>
              </w:rPr>
            </w:pPr>
            <w:r>
              <w:rPr>
                <w:rFonts w:ascii="宋体" w:hAnsi="宋体" w:cs="宋体"/>
                <w:szCs w:val="21"/>
              </w:rPr>
              <w:t>2.1</w:t>
            </w:r>
            <w:r>
              <w:rPr>
                <w:rFonts w:hint="eastAsia" w:ascii="宋体" w:hAnsi="宋体"/>
                <w:szCs w:val="21"/>
              </w:rPr>
              <w:t>初步评审</w:t>
            </w:r>
          </w:p>
        </w:tc>
        <w:tc>
          <w:tcPr>
            <w:tcW w:w="1099" w:type="dxa"/>
            <w:vMerge w:val="restart"/>
            <w:vAlign w:val="center"/>
          </w:tcPr>
          <w:p>
            <w:pPr>
              <w:snapToGrid w:val="0"/>
              <w:jc w:val="center"/>
              <w:rPr>
                <w:rFonts w:ascii="宋体" w:hAnsi="宋体" w:cs="宋体"/>
                <w:kern w:val="0"/>
                <w:szCs w:val="21"/>
              </w:rPr>
            </w:pPr>
            <w:r>
              <w:rPr>
                <w:rFonts w:hint="eastAsia" w:ascii="宋体" w:hAnsi="宋体" w:cs="宋体"/>
                <w:kern w:val="0"/>
                <w:szCs w:val="21"/>
              </w:rPr>
              <w:t>形式评审</w:t>
            </w:r>
          </w:p>
        </w:tc>
        <w:tc>
          <w:tcPr>
            <w:tcW w:w="2199" w:type="dxa"/>
            <w:vAlign w:val="center"/>
          </w:tcPr>
          <w:p>
            <w:pPr>
              <w:spacing w:line="440" w:lineRule="exact"/>
              <w:jc w:val="center"/>
              <w:rPr>
                <w:rFonts w:ascii="宋体" w:hAnsi="宋体"/>
                <w:szCs w:val="21"/>
              </w:rPr>
            </w:pPr>
            <w:r>
              <w:rPr>
                <w:rFonts w:hint="eastAsia" w:ascii="宋体" w:hAnsi="宋体"/>
                <w:szCs w:val="21"/>
              </w:rPr>
              <w:t>投标人名称</w:t>
            </w:r>
          </w:p>
        </w:tc>
        <w:tc>
          <w:tcPr>
            <w:tcW w:w="4426" w:type="dxa"/>
          </w:tcPr>
          <w:p>
            <w:pPr>
              <w:rPr>
                <w:rFonts w:ascii="宋体" w:hAnsi="宋体"/>
                <w:szCs w:val="21"/>
              </w:rPr>
            </w:pPr>
            <w:r>
              <w:rPr>
                <w:rFonts w:hint="eastAsia" w:ascii="宋体" w:hAnsi="宋体"/>
                <w:szCs w:val="21"/>
              </w:rPr>
              <w:t>与营业执照、盖章落款一致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jc w:val="center"/>
              <w:rPr>
                <w:rFonts w:ascii="宋体" w:hAnsi="宋体" w:cs="宋体"/>
                <w:szCs w:val="21"/>
              </w:rPr>
            </w:pPr>
          </w:p>
        </w:tc>
        <w:tc>
          <w:tcPr>
            <w:tcW w:w="1099" w:type="dxa"/>
            <w:vMerge w:val="continue"/>
          </w:tcPr>
          <w:p>
            <w:pPr>
              <w:snapToGrid w:val="0"/>
              <w:jc w:val="center"/>
              <w:rPr>
                <w:rFonts w:ascii="宋体" w:hAnsi="宋体" w:cs="宋体"/>
                <w:szCs w:val="21"/>
              </w:rPr>
            </w:pPr>
          </w:p>
        </w:tc>
        <w:tc>
          <w:tcPr>
            <w:tcW w:w="2199" w:type="dxa"/>
            <w:vAlign w:val="center"/>
          </w:tcPr>
          <w:p>
            <w:pPr>
              <w:spacing w:line="440" w:lineRule="exact"/>
              <w:jc w:val="center"/>
              <w:rPr>
                <w:rFonts w:ascii="宋体" w:hAnsi="宋体"/>
                <w:szCs w:val="21"/>
              </w:rPr>
            </w:pPr>
            <w:r>
              <w:rPr>
                <w:rFonts w:hint="eastAsia" w:ascii="宋体" w:hAnsi="宋体"/>
                <w:szCs w:val="21"/>
              </w:rPr>
              <w:t>法人代表证明书及法人授权书</w:t>
            </w:r>
          </w:p>
        </w:tc>
        <w:tc>
          <w:tcPr>
            <w:tcW w:w="4426" w:type="dxa"/>
          </w:tcPr>
          <w:p>
            <w:pPr>
              <w:jc w:val="left"/>
              <w:rPr>
                <w:rFonts w:ascii="宋体" w:hAnsi="宋体"/>
                <w:szCs w:val="21"/>
              </w:rPr>
            </w:pPr>
            <w:r>
              <w:rPr>
                <w:rFonts w:hint="eastAsia" w:ascii="宋体" w:hAnsi="宋体"/>
                <w:szCs w:val="21"/>
              </w:rPr>
              <w:t>符合第六章“投标申请文件格式”要求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szCs w:val="21"/>
              </w:rPr>
            </w:pPr>
          </w:p>
        </w:tc>
        <w:tc>
          <w:tcPr>
            <w:tcW w:w="1099" w:type="dxa"/>
            <w:vMerge w:val="continue"/>
          </w:tcPr>
          <w:p>
            <w:pPr>
              <w:snapToGrid w:val="0"/>
              <w:jc w:val="center"/>
              <w:rPr>
                <w:rFonts w:ascii="宋体" w:hAnsi="宋体" w:cs="宋体"/>
                <w:szCs w:val="21"/>
              </w:rPr>
            </w:pPr>
          </w:p>
        </w:tc>
        <w:tc>
          <w:tcPr>
            <w:tcW w:w="2199" w:type="dxa"/>
            <w:vAlign w:val="center"/>
          </w:tcPr>
          <w:p>
            <w:pPr>
              <w:spacing w:line="440" w:lineRule="exact"/>
              <w:jc w:val="center"/>
              <w:rPr>
                <w:rFonts w:ascii="宋体" w:hAnsi="宋体"/>
                <w:szCs w:val="21"/>
              </w:rPr>
            </w:pPr>
            <w:r>
              <w:rPr>
                <w:rFonts w:hint="eastAsia" w:ascii="宋体" w:hAnsi="宋体"/>
                <w:szCs w:val="21"/>
              </w:rPr>
              <w:t>投标保证金</w:t>
            </w:r>
          </w:p>
        </w:tc>
        <w:tc>
          <w:tcPr>
            <w:tcW w:w="4426" w:type="dxa"/>
          </w:tcPr>
          <w:p>
            <w:pPr>
              <w:rPr>
                <w:rFonts w:ascii="宋体" w:hAnsi="宋体"/>
                <w:szCs w:val="21"/>
              </w:rPr>
            </w:pPr>
            <w:r>
              <w:rPr>
                <w:rFonts w:hint="eastAsia"/>
                <w:szCs w:val="21"/>
              </w:rPr>
              <w:t>按照招标入围文件要求的金额及形式提交投标保证金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szCs w:val="21"/>
              </w:rPr>
            </w:pPr>
          </w:p>
        </w:tc>
        <w:tc>
          <w:tcPr>
            <w:tcW w:w="1099" w:type="dxa"/>
            <w:vMerge w:val="continue"/>
          </w:tcPr>
          <w:p>
            <w:pPr>
              <w:snapToGrid w:val="0"/>
              <w:jc w:val="center"/>
              <w:rPr>
                <w:rFonts w:ascii="宋体" w:hAnsi="宋体" w:cs="宋体"/>
                <w:szCs w:val="21"/>
              </w:rPr>
            </w:pPr>
          </w:p>
        </w:tc>
        <w:tc>
          <w:tcPr>
            <w:tcW w:w="2199" w:type="dxa"/>
          </w:tcPr>
          <w:p>
            <w:pPr>
              <w:spacing w:line="440" w:lineRule="exact"/>
              <w:jc w:val="center"/>
              <w:rPr>
                <w:rFonts w:ascii="宋体" w:hAnsi="宋体"/>
                <w:szCs w:val="21"/>
              </w:rPr>
            </w:pPr>
            <w:r>
              <w:rPr>
                <w:rFonts w:hint="eastAsia" w:ascii="宋体" w:hAnsi="宋体"/>
                <w:szCs w:val="21"/>
              </w:rPr>
              <w:t>合同条款偏离表</w:t>
            </w:r>
          </w:p>
        </w:tc>
        <w:tc>
          <w:tcPr>
            <w:tcW w:w="4426" w:type="dxa"/>
          </w:tcPr>
          <w:p>
            <w:pPr>
              <w:rPr>
                <w:rFonts w:ascii="宋体" w:hAnsi="宋体"/>
                <w:szCs w:val="21"/>
              </w:rPr>
            </w:pPr>
            <w:r>
              <w:rPr>
                <w:rFonts w:hint="eastAsia" w:ascii="宋体" w:hAnsi="宋体"/>
                <w:szCs w:val="21"/>
              </w:rPr>
              <w:t>填写《合同条款偏离表》，且对加“★”条款不存在负偏离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szCs w:val="21"/>
              </w:rPr>
            </w:pPr>
          </w:p>
        </w:tc>
        <w:tc>
          <w:tcPr>
            <w:tcW w:w="1099" w:type="dxa"/>
            <w:vMerge w:val="continue"/>
          </w:tcPr>
          <w:p>
            <w:pPr>
              <w:snapToGrid w:val="0"/>
              <w:jc w:val="center"/>
              <w:rPr>
                <w:rFonts w:ascii="宋体" w:hAnsi="宋体" w:cs="宋体"/>
                <w:szCs w:val="21"/>
              </w:rPr>
            </w:pPr>
          </w:p>
        </w:tc>
        <w:tc>
          <w:tcPr>
            <w:tcW w:w="2199" w:type="dxa"/>
          </w:tcPr>
          <w:p>
            <w:pPr>
              <w:spacing w:line="440" w:lineRule="exact"/>
              <w:jc w:val="center"/>
              <w:rPr>
                <w:rFonts w:ascii="宋体" w:hAnsi="宋体"/>
                <w:szCs w:val="21"/>
              </w:rPr>
            </w:pPr>
            <w:r>
              <w:rPr>
                <w:rFonts w:hint="eastAsia" w:ascii="宋体" w:hAnsi="宋体"/>
                <w:szCs w:val="21"/>
              </w:rPr>
              <w:t>采购需求条款偏离表</w:t>
            </w:r>
          </w:p>
        </w:tc>
        <w:tc>
          <w:tcPr>
            <w:tcW w:w="4426" w:type="dxa"/>
          </w:tcPr>
          <w:p>
            <w:pPr>
              <w:rPr>
                <w:rFonts w:ascii="宋体" w:hAnsi="宋体"/>
                <w:szCs w:val="21"/>
              </w:rPr>
            </w:pPr>
            <w:r>
              <w:rPr>
                <w:rFonts w:hint="eastAsia" w:ascii="宋体" w:hAnsi="宋体"/>
                <w:szCs w:val="21"/>
              </w:rPr>
              <w:t>填写《采购需求条款偏离表》，且对加“★”条款不存在负偏离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szCs w:val="21"/>
              </w:rPr>
            </w:pPr>
          </w:p>
        </w:tc>
        <w:tc>
          <w:tcPr>
            <w:tcW w:w="1099" w:type="dxa"/>
            <w:vMerge w:val="continue"/>
          </w:tcPr>
          <w:p>
            <w:pPr>
              <w:snapToGrid w:val="0"/>
              <w:jc w:val="center"/>
              <w:rPr>
                <w:rFonts w:ascii="宋体" w:hAnsi="宋体" w:cs="宋体"/>
                <w:szCs w:val="21"/>
              </w:rPr>
            </w:pPr>
          </w:p>
        </w:tc>
        <w:tc>
          <w:tcPr>
            <w:tcW w:w="2199" w:type="dxa"/>
          </w:tcPr>
          <w:p>
            <w:pPr>
              <w:spacing w:line="440" w:lineRule="exact"/>
              <w:jc w:val="center"/>
              <w:rPr>
                <w:rFonts w:ascii="宋体" w:hAnsi="宋体"/>
                <w:szCs w:val="21"/>
              </w:rPr>
            </w:pPr>
            <w:r>
              <w:rPr>
                <w:rFonts w:hint="eastAsia" w:ascii="宋体" w:hAnsi="宋体"/>
                <w:szCs w:val="21"/>
              </w:rPr>
              <w:t>投标申请文件的签署和盖章</w:t>
            </w:r>
          </w:p>
        </w:tc>
        <w:tc>
          <w:tcPr>
            <w:tcW w:w="4426" w:type="dxa"/>
          </w:tcPr>
          <w:p>
            <w:pPr>
              <w:rPr>
                <w:rFonts w:ascii="宋体" w:hAnsi="宋体"/>
                <w:szCs w:val="21"/>
              </w:rPr>
            </w:pPr>
            <w:r>
              <w:rPr>
                <w:rFonts w:hint="eastAsia" w:ascii="宋体" w:hAnsi="宋体"/>
                <w:szCs w:val="21"/>
              </w:rPr>
              <w:t>投标申请文件中凡出现投标人单位落款的地方应盖单位公章，如使用依照国家行政部门要求已备案的投标专用章、业务专用章的，应提供所使用印章的合法备案证明（复印件需加盖公章）。同时投标申请文件中要求签名的由法定代表人或经其正式授权的代表签字或加盖签字章；同时投标申请文件中签字盖章必须符合以下其中一种：</w:t>
            </w:r>
          </w:p>
          <w:p>
            <w:pPr>
              <w:rPr>
                <w:rFonts w:ascii="宋体" w:hAnsi="宋体"/>
                <w:szCs w:val="21"/>
              </w:rPr>
            </w:pPr>
            <w:r>
              <w:rPr>
                <w:rFonts w:ascii="宋体" w:hAnsi="宋体"/>
                <w:szCs w:val="21"/>
              </w:rPr>
              <w:t>1)</w:t>
            </w:r>
            <w:r>
              <w:rPr>
                <w:rFonts w:ascii="宋体" w:hAnsi="宋体"/>
                <w:szCs w:val="21"/>
              </w:rPr>
              <w:tab/>
            </w:r>
            <w:r>
              <w:rPr>
                <w:rFonts w:hint="eastAsia" w:ascii="宋体" w:hAnsi="宋体"/>
                <w:szCs w:val="21"/>
              </w:rPr>
              <w:t>投标人的法定代表人（负责人）或其授权的代理人逐页签字或加盖签字章；</w:t>
            </w:r>
          </w:p>
          <w:p>
            <w:pPr>
              <w:rPr>
                <w:rFonts w:ascii="宋体" w:hAnsi="宋体"/>
                <w:szCs w:val="21"/>
              </w:rPr>
            </w:pPr>
            <w:r>
              <w:rPr>
                <w:rFonts w:ascii="宋体" w:hAnsi="宋体"/>
                <w:szCs w:val="21"/>
              </w:rPr>
              <w:t>2)</w:t>
            </w:r>
            <w:r>
              <w:rPr>
                <w:rFonts w:ascii="宋体" w:hAnsi="宋体"/>
                <w:szCs w:val="21"/>
              </w:rPr>
              <w:tab/>
            </w:r>
            <w:r>
              <w:rPr>
                <w:rFonts w:hint="eastAsia" w:ascii="宋体" w:hAnsi="宋体"/>
                <w:szCs w:val="21"/>
              </w:rPr>
              <w:t>加盖投标人单位骑缝章；</w:t>
            </w:r>
          </w:p>
          <w:p>
            <w:pPr>
              <w:rPr>
                <w:rFonts w:ascii="宋体" w:hAnsi="宋体"/>
                <w:szCs w:val="21"/>
              </w:rPr>
            </w:pPr>
            <w:r>
              <w:rPr>
                <w:rFonts w:ascii="宋体" w:hAnsi="宋体"/>
                <w:szCs w:val="21"/>
              </w:rPr>
              <w:t>3)</w:t>
            </w:r>
            <w:r>
              <w:rPr>
                <w:rFonts w:ascii="宋体" w:hAnsi="宋体"/>
                <w:szCs w:val="21"/>
              </w:rPr>
              <w:tab/>
            </w:r>
            <w:r>
              <w:rPr>
                <w:rFonts w:hint="eastAsia" w:ascii="宋体" w:hAnsi="宋体"/>
                <w:szCs w:val="21"/>
              </w:rPr>
              <w:t>逐页加盖投标人单位印章。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98" w:type="dxa"/>
            <w:vMerge w:val="continue"/>
            <w:vAlign w:val="center"/>
          </w:tcPr>
          <w:p>
            <w:pPr>
              <w:snapToGrid w:val="0"/>
              <w:ind w:firstLine="420" w:firstLineChars="200"/>
              <w:jc w:val="center"/>
              <w:rPr>
                <w:rFonts w:ascii="宋体" w:hAnsi="宋体" w:cs="宋体"/>
                <w:szCs w:val="21"/>
              </w:rPr>
            </w:pPr>
          </w:p>
        </w:tc>
        <w:tc>
          <w:tcPr>
            <w:tcW w:w="1099" w:type="dxa"/>
            <w:vAlign w:val="center"/>
          </w:tcPr>
          <w:p>
            <w:pPr>
              <w:snapToGrid w:val="0"/>
              <w:jc w:val="center"/>
              <w:rPr>
                <w:rFonts w:ascii="宋体" w:hAnsi="宋体" w:cs="宋体"/>
                <w:szCs w:val="21"/>
              </w:rPr>
            </w:pPr>
            <w:r>
              <w:rPr>
                <w:rFonts w:hint="eastAsia" w:ascii="宋体" w:hAnsi="宋体" w:cs="宋体"/>
                <w:szCs w:val="21"/>
              </w:rPr>
              <w:t>资格评审</w:t>
            </w:r>
          </w:p>
        </w:tc>
        <w:tc>
          <w:tcPr>
            <w:tcW w:w="2199" w:type="dxa"/>
            <w:vAlign w:val="center"/>
          </w:tcPr>
          <w:p>
            <w:pPr>
              <w:snapToGrid w:val="0"/>
              <w:jc w:val="center"/>
              <w:rPr>
                <w:rFonts w:ascii="宋体" w:hAnsi="宋体" w:cs="宋体"/>
                <w:szCs w:val="21"/>
              </w:rPr>
            </w:pPr>
            <w:r>
              <w:rPr>
                <w:rFonts w:hint="eastAsia" w:ascii="宋体" w:hAnsi="宋体"/>
                <w:szCs w:val="21"/>
              </w:rPr>
              <w:t>资格要求</w:t>
            </w:r>
          </w:p>
        </w:tc>
        <w:tc>
          <w:tcPr>
            <w:tcW w:w="4426" w:type="dxa"/>
            <w:vAlign w:val="center"/>
          </w:tcPr>
          <w:p>
            <w:pPr>
              <w:snapToGrid w:val="0"/>
              <w:jc w:val="left"/>
              <w:rPr>
                <w:rFonts w:ascii="宋体" w:hAnsi="宋体" w:cs="宋体"/>
                <w:szCs w:val="21"/>
              </w:rPr>
            </w:pPr>
            <w:r>
              <w:rPr>
                <w:rFonts w:hint="eastAsia" w:ascii="宋体" w:hAnsi="宋体" w:cs="宋体"/>
                <w:szCs w:val="21"/>
              </w:rPr>
              <w:t>2.1投标人须在中华人民共和国境内注册的具有独立承担民事责任能力的法人或其他组织，提供营业执照或事业法人证书（分公司投标须得到总公司授权，同时提供总公司营业执照及盖章授权函）；</w:t>
            </w:r>
          </w:p>
          <w:p>
            <w:pPr>
              <w:snapToGrid w:val="0"/>
              <w:jc w:val="left"/>
              <w:rPr>
                <w:rFonts w:ascii="宋体" w:hAnsi="宋体" w:cs="宋体"/>
                <w:szCs w:val="21"/>
              </w:rPr>
            </w:pPr>
            <w:r>
              <w:rPr>
                <w:rFonts w:hint="eastAsia" w:ascii="宋体" w:hAnsi="宋体" w:cs="宋体"/>
                <w:szCs w:val="21"/>
              </w:rPr>
              <w:t>2.2投标人在“信用中国”网站（www.creditchina.gov.cn）、中国政府采购网（www.ccgp.gov.cn）没有被列入失信被执行人、重大税收违法失信主体、政府采购严重违法失信行为记录名单（以投标申请文件递交截止当天在“信用中国”网站（www.creditchina.gov.cn）及中国政府采购网(www.ccgp.gov.cn)查询结果为准，如相关失信记录已失效，投标人需提供相关证明资料）；</w:t>
            </w:r>
          </w:p>
          <w:p>
            <w:pPr>
              <w:snapToGrid w:val="0"/>
              <w:jc w:val="left"/>
              <w:rPr>
                <w:rFonts w:ascii="宋体" w:hAnsi="宋体" w:cs="宋体"/>
                <w:szCs w:val="21"/>
              </w:rPr>
            </w:pPr>
            <w:r>
              <w:rPr>
                <w:rFonts w:hint="eastAsia" w:ascii="宋体" w:hAnsi="宋体" w:cs="宋体"/>
                <w:szCs w:val="21"/>
              </w:rPr>
              <w:t>2.3单位负责人为同一人或者存在直接控股、管理关系的不同供应商，不得一同参加本项目的招标活动，以《投标人控股及管理关系情况申报表》填报的内容进行评审；</w:t>
            </w:r>
          </w:p>
          <w:p>
            <w:pPr>
              <w:snapToGrid w:val="0"/>
              <w:jc w:val="left"/>
              <w:rPr>
                <w:rFonts w:ascii="宋体" w:hAnsi="宋体" w:cs="宋体"/>
                <w:szCs w:val="21"/>
              </w:rPr>
            </w:pPr>
            <w:r>
              <w:rPr>
                <w:rFonts w:hint="eastAsia" w:ascii="宋体" w:hAnsi="宋体" w:cs="宋体"/>
                <w:szCs w:val="21"/>
              </w:rPr>
              <w:t>2.4本项目不接受联合体投标，不允许转包、违法分包。</w:t>
            </w:r>
          </w:p>
        </w:tc>
      </w:tr>
    </w:tbl>
    <w:p>
      <w:pPr>
        <w:widowControl/>
        <w:jc w:val="left"/>
        <w:rPr>
          <w:rFonts w:ascii="宋体" w:hAnsi="宋体" w:cs="宋体"/>
          <w:szCs w:val="21"/>
        </w:rPr>
      </w:pPr>
    </w:p>
    <w:p>
      <w:pPr>
        <w:widowControl/>
        <w:jc w:val="left"/>
        <w:rPr>
          <w:rFonts w:ascii="宋体" w:hAnsi="宋体" w:cs="宋体"/>
          <w:sz w:val="28"/>
          <w:szCs w:val="28"/>
        </w:rPr>
      </w:pPr>
      <w:r>
        <w:rPr>
          <w:rFonts w:ascii="宋体" w:hAnsi="宋体" w:cs="宋体"/>
          <w:sz w:val="28"/>
          <w:szCs w:val="28"/>
        </w:rPr>
        <w:br w:type="page"/>
      </w:r>
    </w:p>
    <w:p>
      <w:pPr>
        <w:pStyle w:val="7"/>
        <w:rPr>
          <w:rFonts w:asciiTheme="minorEastAsia" w:hAnsiTheme="minorEastAsia" w:eastAsiaTheme="minorEastAsia"/>
          <w:b w:val="0"/>
          <w:sz w:val="24"/>
        </w:rPr>
      </w:pPr>
      <w:bookmarkStart w:id="434" w:name="_Toc4548"/>
      <w:bookmarkStart w:id="435" w:name="_Toc59548356"/>
      <w:bookmarkStart w:id="436" w:name="_Toc4232"/>
      <w:bookmarkStart w:id="437" w:name="_Toc10134"/>
      <w:bookmarkStart w:id="438" w:name="_Toc30857"/>
      <w:r>
        <w:rPr>
          <w:rFonts w:hint="eastAsia" w:asciiTheme="minorEastAsia" w:hAnsiTheme="minorEastAsia" w:eastAsiaTheme="minorEastAsia"/>
          <w:b w:val="0"/>
          <w:sz w:val="24"/>
        </w:rPr>
        <w:t>2</w:t>
      </w:r>
      <w:r>
        <w:rPr>
          <w:rFonts w:asciiTheme="minorEastAsia" w:hAnsiTheme="minorEastAsia" w:eastAsiaTheme="minorEastAsia"/>
          <w:b w:val="0"/>
          <w:sz w:val="24"/>
        </w:rPr>
        <w:t>、</w:t>
      </w:r>
      <w:r>
        <w:rPr>
          <w:rFonts w:hint="eastAsia" w:asciiTheme="minorEastAsia" w:hAnsiTheme="minorEastAsia" w:eastAsiaTheme="minorEastAsia"/>
          <w:b w:val="0"/>
          <w:sz w:val="24"/>
        </w:rPr>
        <w:t>商务评分表</w:t>
      </w:r>
      <w:bookmarkEnd w:id="434"/>
    </w:p>
    <w:tbl>
      <w:tblPr>
        <w:tblStyle w:val="41"/>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868"/>
        <w:gridCol w:w="461"/>
        <w:gridCol w:w="6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50" w:type="pct"/>
            <w:gridSpan w:val="3"/>
            <w:tcBorders>
              <w:bottom w:val="single" w:color="auto" w:sz="4" w:space="0"/>
            </w:tcBorders>
            <w:vAlign w:val="center"/>
          </w:tcPr>
          <w:p>
            <w:pPr>
              <w:spacing w:line="240" w:lineRule="exact"/>
              <w:jc w:val="center"/>
              <w:rPr>
                <w:rFonts w:ascii="宋体" w:hAnsi="宋体" w:cs="宋体"/>
                <w:b/>
                <w:bCs/>
                <w:szCs w:val="21"/>
              </w:rPr>
            </w:pPr>
            <w:bookmarkStart w:id="439" w:name="_Toc59548358"/>
            <w:bookmarkStart w:id="440" w:name="_Toc13412"/>
            <w:bookmarkStart w:id="441" w:name="_Toc22795"/>
            <w:r>
              <w:rPr>
                <w:rFonts w:hint="eastAsia" w:ascii="宋体" w:hAnsi="宋体" w:cs="宋体"/>
                <w:b/>
                <w:bCs/>
                <w:szCs w:val="21"/>
              </w:rPr>
              <w:t>评分项</w:t>
            </w:r>
          </w:p>
        </w:tc>
        <w:tc>
          <w:tcPr>
            <w:tcW w:w="3650" w:type="pct"/>
            <w:tcBorders>
              <w:bottom w:val="single" w:color="auto" w:sz="4" w:space="0"/>
            </w:tcBorders>
            <w:vAlign w:val="center"/>
          </w:tcPr>
          <w:p>
            <w:pPr>
              <w:spacing w:line="240" w:lineRule="exact"/>
              <w:jc w:val="center"/>
              <w:rPr>
                <w:rFonts w:ascii="宋体" w:hAnsi="宋体" w:cs="宋体"/>
                <w:b/>
                <w:bCs/>
                <w:szCs w:val="21"/>
              </w:rPr>
            </w:pPr>
            <w:r>
              <w:rPr>
                <w:rFonts w:hint="eastAsia" w:ascii="宋体" w:hAnsi="宋体" w:cs="宋体"/>
                <w:b/>
                <w:bCs/>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50" w:type="pct"/>
            <w:gridSpan w:val="3"/>
            <w:tcBorders>
              <w:bottom w:val="single" w:color="auto" w:sz="4" w:space="0"/>
            </w:tcBorders>
            <w:vAlign w:val="center"/>
          </w:tcPr>
          <w:p>
            <w:pPr>
              <w:spacing w:line="240" w:lineRule="exact"/>
              <w:jc w:val="center"/>
              <w:rPr>
                <w:rFonts w:ascii="宋体" w:hAnsi="宋体" w:cs="宋体"/>
                <w:b/>
                <w:bCs/>
                <w:szCs w:val="21"/>
              </w:rPr>
            </w:pPr>
            <w:r>
              <w:rPr>
                <w:rFonts w:hint="eastAsia" w:ascii="宋体" w:hAnsi="宋体" w:cs="宋体"/>
                <w:b/>
                <w:bCs/>
                <w:szCs w:val="21"/>
              </w:rPr>
              <w:t>商务</w:t>
            </w:r>
          </w:p>
        </w:tc>
        <w:tc>
          <w:tcPr>
            <w:tcW w:w="3650" w:type="pct"/>
            <w:tcBorders>
              <w:bottom w:val="single" w:color="auto" w:sz="4" w:space="0"/>
            </w:tcBorders>
            <w:vAlign w:val="center"/>
          </w:tcPr>
          <w:p>
            <w:pPr>
              <w:spacing w:line="240" w:lineRule="exact"/>
              <w:jc w:val="center"/>
              <w:rPr>
                <w:rFonts w:ascii="宋体" w:hAnsi="宋体" w:cs="宋体"/>
                <w:b/>
                <w:bCs/>
                <w:szCs w:val="21"/>
              </w:rPr>
            </w:pPr>
            <w:r>
              <w:rPr>
                <w:rFonts w:hint="eastAsia" w:ascii="宋体" w:hAnsi="宋体" w:cs="宋体"/>
                <w:b/>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80" w:type="pct"/>
            <w:tcBorders>
              <w:bottom w:val="single" w:color="auto" w:sz="4" w:space="0"/>
            </w:tcBorders>
            <w:vAlign w:val="center"/>
          </w:tcPr>
          <w:p>
            <w:pPr>
              <w:spacing w:line="240" w:lineRule="exact"/>
              <w:jc w:val="center"/>
              <w:rPr>
                <w:rFonts w:ascii="宋体" w:hAnsi="宋体" w:cs="宋体"/>
                <w:b/>
                <w:bCs/>
                <w:szCs w:val="21"/>
              </w:rPr>
            </w:pPr>
            <w:r>
              <w:rPr>
                <w:rFonts w:hint="eastAsia" w:ascii="宋体" w:hAnsi="宋体" w:cs="宋体"/>
                <w:b/>
                <w:bCs/>
                <w:szCs w:val="21"/>
              </w:rPr>
              <w:t>序号</w:t>
            </w:r>
          </w:p>
        </w:tc>
        <w:tc>
          <w:tcPr>
            <w:tcW w:w="594" w:type="pct"/>
            <w:tcBorders>
              <w:bottom w:val="single" w:color="auto" w:sz="4" w:space="0"/>
            </w:tcBorders>
            <w:vAlign w:val="center"/>
          </w:tcPr>
          <w:p>
            <w:pPr>
              <w:spacing w:line="240" w:lineRule="exact"/>
              <w:jc w:val="center"/>
              <w:rPr>
                <w:rFonts w:ascii="宋体" w:hAnsi="宋体" w:cs="宋体"/>
                <w:b/>
                <w:bCs/>
                <w:szCs w:val="21"/>
              </w:rPr>
            </w:pPr>
            <w:r>
              <w:rPr>
                <w:rFonts w:hint="eastAsia" w:ascii="宋体" w:hAnsi="宋体" w:cs="宋体"/>
                <w:b/>
                <w:bCs/>
                <w:szCs w:val="21"/>
              </w:rPr>
              <w:t>内容</w:t>
            </w:r>
          </w:p>
        </w:tc>
        <w:tc>
          <w:tcPr>
            <w:tcW w:w="376" w:type="pct"/>
            <w:tcBorders>
              <w:bottom w:val="single" w:color="auto" w:sz="4" w:space="0"/>
            </w:tcBorders>
            <w:vAlign w:val="center"/>
          </w:tcPr>
          <w:p>
            <w:pPr>
              <w:spacing w:line="240" w:lineRule="exact"/>
              <w:jc w:val="center"/>
              <w:rPr>
                <w:rFonts w:ascii="宋体" w:hAnsi="宋体" w:cs="宋体"/>
                <w:b/>
                <w:bCs/>
                <w:szCs w:val="21"/>
              </w:rPr>
            </w:pPr>
            <w:r>
              <w:rPr>
                <w:rFonts w:hint="eastAsia" w:ascii="宋体" w:hAnsi="宋体" w:cs="宋体"/>
                <w:b/>
                <w:bCs/>
                <w:szCs w:val="21"/>
              </w:rPr>
              <w:t>分值</w:t>
            </w:r>
          </w:p>
        </w:tc>
        <w:tc>
          <w:tcPr>
            <w:tcW w:w="3650" w:type="pct"/>
            <w:tcBorders>
              <w:bottom w:val="single" w:color="auto" w:sz="4" w:space="0"/>
            </w:tcBorders>
            <w:vAlign w:val="center"/>
          </w:tcPr>
          <w:p>
            <w:pPr>
              <w:spacing w:line="240" w:lineRule="exact"/>
              <w:jc w:val="center"/>
              <w:rPr>
                <w:rFonts w:ascii="宋体" w:hAnsi="宋体" w:cs="宋体"/>
                <w:b/>
                <w:bCs/>
                <w:szCs w:val="21"/>
              </w:rPr>
            </w:pPr>
            <w:r>
              <w:rPr>
                <w:rFonts w:hint="eastAsia" w:ascii="宋体" w:hAnsi="宋体" w:cs="宋体"/>
                <w:b/>
                <w:bCs/>
                <w:szCs w:val="21"/>
              </w:rPr>
              <w:t>评 分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380" w:type="pct"/>
            <w:tcBorders>
              <w:bottom w:val="single" w:color="auto" w:sz="4" w:space="0"/>
            </w:tcBorders>
            <w:vAlign w:val="center"/>
          </w:tcPr>
          <w:p>
            <w:pPr>
              <w:pStyle w:val="155"/>
              <w:numPr>
                <w:ilvl w:val="0"/>
                <w:numId w:val="0"/>
              </w:numPr>
              <w:ind w:left="630" w:leftChars="0" w:firstLine="420" w:firstLineChars="200"/>
              <w:rPr>
                <w:color w:val="000000" w:themeColor="text1"/>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1.</w:t>
            </w:r>
          </w:p>
        </w:tc>
        <w:tc>
          <w:tcPr>
            <w:tcW w:w="594" w:type="pct"/>
            <w:tcBorders>
              <w:bottom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持续经营时间</w:t>
            </w:r>
          </w:p>
        </w:tc>
        <w:tc>
          <w:tcPr>
            <w:tcW w:w="376" w:type="pct"/>
            <w:tcBorders>
              <w:bottom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p>
        </w:tc>
        <w:tc>
          <w:tcPr>
            <w:tcW w:w="3650" w:type="pct"/>
            <w:tcBorders>
              <w:bottom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考察申请人的持续经营时间，持续经营时间=【2024年8月】-成立年月：</w:t>
            </w:r>
          </w:p>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.持续经营时间3年及以上的均可得满分5分；</w:t>
            </w:r>
          </w:p>
          <w:p>
            <w:pPr>
              <w:widowControl/>
              <w:jc w:val="left"/>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.持续经营时间3年以下的，2年及以上的3分</w:t>
            </w:r>
            <w:r>
              <w:rPr>
                <w:rFonts w:hint="eastAsia" w:ascii="宋体" w:hAnsi="宋体" w:cs="宋体"/>
                <w:color w:val="000000" w:themeColor="text1"/>
                <w:kern w:val="0"/>
                <w:szCs w:val="21"/>
                <w:lang w:eastAsia="zh-CN"/>
                <w14:textFill>
                  <w14:solidFill>
                    <w14:schemeClr w14:val="tx1"/>
                  </w14:solidFill>
                </w14:textFill>
              </w:rPr>
              <w:t>；</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持续经营时间2年以下不足2年的得1分。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注：提供申请人营业执照复印件及国家企业信用信息公示系统的网页查询截图（需体现成立时间），未提供或不满足要求的不得分。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380" w:type="pct"/>
            <w:tcBorders>
              <w:bottom w:val="single" w:color="auto" w:sz="4" w:space="0"/>
            </w:tcBorders>
            <w:vAlign w:val="center"/>
          </w:tcPr>
          <w:p>
            <w:pPr>
              <w:pStyle w:val="155"/>
              <w:numPr>
                <w:ilvl w:val="0"/>
                <w:numId w:val="0"/>
              </w:numPr>
              <w:ind w:left="630" w:leftChars="0" w:firstLine="420" w:firstLineChars="200"/>
              <w:rPr>
                <w:color w:val="000000" w:themeColor="text1"/>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2.</w:t>
            </w:r>
          </w:p>
        </w:tc>
        <w:tc>
          <w:tcPr>
            <w:tcW w:w="594" w:type="pct"/>
            <w:tcBorders>
              <w:bottom w:val="single" w:color="auto" w:sz="4" w:space="0"/>
            </w:tcBorders>
            <w:vAlign w:val="center"/>
          </w:tcPr>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企业人员规模及专业能力</w:t>
            </w:r>
          </w:p>
        </w:tc>
        <w:tc>
          <w:tcPr>
            <w:tcW w:w="376" w:type="pct"/>
            <w:tcBorders>
              <w:bottom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w:t>
            </w:r>
          </w:p>
        </w:tc>
        <w:tc>
          <w:tcPr>
            <w:tcW w:w="3650" w:type="pct"/>
            <w:tcBorders>
              <w:bottom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考察申请人的员工数量及专业能力情况：</w:t>
            </w:r>
          </w:p>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.员工数量</w:t>
            </w:r>
            <w:r>
              <w:rPr>
                <w:rFonts w:hint="default"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0</w:t>
            </w:r>
            <w:r>
              <w:rPr>
                <w:rFonts w:hint="eastAsia" w:ascii="宋体" w:hAnsi="宋体" w:cs="宋体"/>
                <w:color w:val="000000" w:themeColor="text1"/>
                <w:kern w:val="0"/>
                <w:szCs w:val="21"/>
                <w14:textFill>
                  <w14:solidFill>
                    <w14:schemeClr w14:val="tx1"/>
                  </w14:solidFill>
                </w14:textFill>
              </w:rPr>
              <w:t>人</w:t>
            </w:r>
            <w:r>
              <w:rPr>
                <w:rFonts w:hint="eastAsia" w:ascii="宋体" w:hAnsi="宋体" w:cs="宋体"/>
                <w:color w:val="000000" w:themeColor="text1"/>
                <w:kern w:val="0"/>
                <w:szCs w:val="21"/>
                <w:lang w:val="en-US" w:eastAsia="zh-CN"/>
                <w14:textFill>
                  <w14:solidFill>
                    <w14:schemeClr w14:val="tx1"/>
                  </w14:solidFill>
                </w14:textFill>
              </w:rPr>
              <w:t>及以上</w:t>
            </w:r>
            <w:r>
              <w:rPr>
                <w:rFonts w:hint="eastAsia" w:ascii="宋体" w:hAnsi="宋体" w:cs="宋体"/>
                <w:color w:val="000000" w:themeColor="text1"/>
                <w:kern w:val="0"/>
                <w:szCs w:val="21"/>
                <w14:textFill>
                  <w14:solidFill>
                    <w14:schemeClr w14:val="tx1"/>
                  </w14:solidFill>
                </w14:textFill>
              </w:rPr>
              <w:t>的可得满分</w:t>
            </w:r>
            <w:r>
              <w:rPr>
                <w:rFonts w:hint="default" w:ascii="宋体" w:hAnsi="宋体" w:cs="宋体"/>
                <w:color w:val="000000" w:themeColor="text1"/>
                <w:kern w:val="0"/>
                <w:szCs w:val="21"/>
                <w:lang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w:t>
            </w:r>
          </w:p>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.员工数量</w:t>
            </w:r>
            <w:r>
              <w:rPr>
                <w:rFonts w:ascii="宋体" w:hAnsi="宋体" w:cs="宋体"/>
                <w:color w:val="000000" w:themeColor="text1"/>
                <w:kern w:val="0"/>
                <w:szCs w:val="21"/>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人以下</w:t>
            </w:r>
            <w:r>
              <w:rPr>
                <w:rFonts w:hint="default"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5人</w:t>
            </w:r>
            <w:r>
              <w:rPr>
                <w:rFonts w:hint="default" w:ascii="宋体" w:hAnsi="宋体" w:cs="宋体"/>
                <w:color w:val="000000" w:themeColor="text1"/>
                <w:kern w:val="0"/>
                <w:szCs w:val="21"/>
                <w14:textFill>
                  <w14:solidFill>
                    <w14:schemeClr w14:val="tx1"/>
                  </w14:solidFill>
                </w14:textFill>
              </w:rPr>
              <w:t>及</w:t>
            </w:r>
            <w:r>
              <w:rPr>
                <w:rFonts w:hint="eastAsia" w:ascii="宋体" w:hAnsi="宋体" w:cs="宋体"/>
                <w:color w:val="000000" w:themeColor="text1"/>
                <w:kern w:val="0"/>
                <w:szCs w:val="21"/>
                <w14:textFill>
                  <w14:solidFill>
                    <w14:schemeClr w14:val="tx1"/>
                  </w14:solidFill>
                </w14:textFill>
              </w:rPr>
              <w:t>以上得</w:t>
            </w:r>
            <w:r>
              <w:rPr>
                <w:rFonts w:hint="default" w:ascii="宋体" w:hAnsi="宋体" w:cs="宋体"/>
                <w:color w:val="000000" w:themeColor="text1"/>
                <w:kern w:val="0"/>
                <w:szCs w:val="21"/>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分；</w:t>
            </w:r>
          </w:p>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hint="default"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员工数量</w:t>
            </w:r>
            <w:r>
              <w:rPr>
                <w:rFonts w:hint="default" w:ascii="宋体" w:hAnsi="宋体" w:eastAsia="宋体" w:cs="宋体"/>
                <w:color w:val="000000" w:themeColor="text1"/>
                <w:kern w:val="0"/>
                <w:szCs w:val="21"/>
                <w14:textFill>
                  <w14:solidFill>
                    <w14:schemeClr w14:val="tx1"/>
                  </w14:solidFill>
                </w14:textFill>
              </w:rPr>
              <w:t>5</w:t>
            </w:r>
            <w:r>
              <w:rPr>
                <w:rFonts w:hint="eastAsia" w:ascii="宋体" w:hAnsi="宋体" w:eastAsia="宋体" w:cs="宋体"/>
                <w:color w:val="000000" w:themeColor="text1"/>
                <w:kern w:val="0"/>
                <w:szCs w:val="21"/>
                <w14:textFill>
                  <w14:solidFill>
                    <w14:schemeClr w14:val="tx1"/>
                  </w14:solidFill>
                </w14:textFill>
              </w:rPr>
              <w:t>人以下</w:t>
            </w:r>
            <w:r>
              <w:rPr>
                <w:rFonts w:hint="default" w:ascii="宋体" w:hAnsi="宋体" w:eastAsia="宋体" w:cs="宋体"/>
                <w:color w:val="000000" w:themeColor="text1"/>
                <w:kern w:val="0"/>
                <w:szCs w:val="21"/>
                <w14:textFill>
                  <w14:solidFill>
                    <w14:schemeClr w14:val="tx1"/>
                  </w14:solidFill>
                </w14:textFill>
              </w:rPr>
              <w:t>，3人及以上</w:t>
            </w:r>
            <w:r>
              <w:rPr>
                <w:rFonts w:hint="eastAsia" w:ascii="宋体" w:hAnsi="宋体" w:eastAsia="宋体" w:cs="宋体"/>
                <w:color w:val="000000" w:themeColor="text1"/>
                <w:kern w:val="0"/>
                <w:szCs w:val="21"/>
                <w14:textFill>
                  <w14:solidFill>
                    <w14:schemeClr w14:val="tx1"/>
                  </w14:solidFill>
                </w14:textFill>
              </w:rPr>
              <w:t>得</w:t>
            </w:r>
            <w:r>
              <w:rPr>
                <w:rFonts w:hint="default" w:ascii="宋体" w:hAnsi="宋体" w:eastAsia="宋体" w:cs="宋体"/>
                <w:color w:val="000000" w:themeColor="text1"/>
                <w:kern w:val="0"/>
                <w:szCs w:val="21"/>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分。</w:t>
            </w:r>
          </w:p>
          <w:p>
            <w:pPr>
              <w:widowControl/>
              <w:jc w:val="left"/>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eastAsia="宋体" w:cs="宋体"/>
                <w:color w:val="000000" w:themeColor="text1"/>
                <w:kern w:val="0"/>
                <w:szCs w:val="21"/>
                <w14:textFill>
                  <w14:solidFill>
                    <w14:schemeClr w14:val="tx1"/>
                  </w14:solidFill>
                </w14:textFill>
              </w:rPr>
              <w:t>4.其余情况不得分</w:t>
            </w:r>
            <w:r>
              <w:rPr>
                <w:rFonts w:hint="eastAsia" w:ascii="宋体" w:hAnsi="宋体" w:cs="宋体"/>
                <w:color w:val="000000" w:themeColor="text1"/>
                <w:kern w:val="0"/>
                <w:szCs w:val="21"/>
                <w:lang w:eastAsia="zh-CN"/>
                <w14:textFill>
                  <w14:solidFill>
                    <w14:schemeClr w14:val="tx1"/>
                  </w14:solidFill>
                </w14:textFill>
              </w:rPr>
              <w:t>。</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注：提供申请人近三个月内任意一个</w:t>
            </w:r>
            <w:r>
              <w:rPr>
                <w:rFonts w:hint="eastAsia" w:ascii="宋体" w:hAnsi="宋体"/>
                <w:color w:val="000000" w:themeColor="text1"/>
                <w:szCs w:val="21"/>
                <w14:textFill>
                  <w14:solidFill>
                    <w14:schemeClr w14:val="tx1"/>
                  </w14:solidFill>
                </w14:textFill>
              </w:rPr>
              <w:t>月缴纳社保的证明，社保证明需体现员工数量并且有政府社保管理部门印章，</w:t>
            </w:r>
            <w:r>
              <w:rPr>
                <w:rFonts w:hint="eastAsia" w:ascii="宋体" w:hAnsi="宋体" w:cs="宋体"/>
                <w:color w:val="000000" w:themeColor="text1"/>
                <w:kern w:val="0"/>
                <w:szCs w:val="21"/>
                <w14:textFill>
                  <w14:solidFill>
                    <w14:schemeClr w14:val="tx1"/>
                  </w14:solidFill>
                </w14:textFill>
              </w:rPr>
              <w:t>未提供或不满足要求的不得分</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380" w:type="pct"/>
            <w:vAlign w:val="center"/>
          </w:tcPr>
          <w:p>
            <w:pPr>
              <w:pStyle w:val="155"/>
              <w:numPr>
                <w:ilvl w:val="0"/>
                <w:numId w:val="0"/>
              </w:numPr>
              <w:ind w:left="630" w:leftChars="0" w:firstLine="420" w:firstLineChars="200"/>
              <w:rPr>
                <w:color w:val="000000" w:themeColor="text1"/>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3.</w:t>
            </w:r>
          </w:p>
        </w:tc>
        <w:tc>
          <w:tcPr>
            <w:tcW w:w="594" w:type="pct"/>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同类项目经验</w:t>
            </w:r>
          </w:p>
        </w:tc>
        <w:tc>
          <w:tcPr>
            <w:tcW w:w="376" w:type="pc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3650" w:type="pct"/>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考察投标人2021年1月1日至今（以合同签订日期为准）独立承接的同类项目（同类项目指：展厅展馆/展览展会等的布展施工、展览</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会议服务）情况，本项最高30分：1、合同额10万元（或以上）-50万元（不含）或服务场地面积50平方米（或以上）-200平方米（不含）的同类项目，每提供一项证明材料得</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2、合同额50万元（或以上）或服务场地面积200平方米（或以上）的同类项目，每提供一项证明材料得</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①需提供合同关键页（包括但不限于合同签订主体、合同标的、合同金额页、签字盖章页），如合同无法说明项目内容符合上述同类项目经验内容，可由甲方出具的相应证明文件作依据（证明文件须加盖合同甲方公司章或合同章，或甲方项目使用部门部门章）；②未按要求提供相关证明材料或证明材料内容不齐全或不清晰等导致评委无法认定的，一律不予认可。</w:t>
            </w:r>
            <w:r>
              <w:rPr>
                <w:rFonts w:hint="eastAsia" w:ascii="东文宋体" w:hAnsi="东文宋体" w:eastAsia="东文宋体" w:cs="东文宋体"/>
                <w:color w:val="000000" w:themeColor="text1"/>
                <w:szCs w:val="21"/>
                <w14:textFill>
                  <w14:solidFill>
                    <w14:schemeClr w14:val="tx1"/>
                  </w14:solidFill>
                </w14:textFill>
              </w:rPr>
              <w:t>③</w:t>
            </w:r>
            <w:r>
              <w:rPr>
                <w:rFonts w:hint="default" w:ascii="宋体" w:hAnsi="宋体" w:cs="宋体"/>
                <w:color w:val="000000" w:themeColor="text1"/>
                <w:szCs w:val="21"/>
                <w14:textFill>
                  <w14:solidFill>
                    <w14:schemeClr w14:val="tx1"/>
                  </w14:solidFill>
                </w14:textFill>
              </w:rPr>
              <w:t>若同时上述符合则取更高分数情况得分，例如某合同金额50万元以上、面积100平方米，则取更高分值得分，可得5分）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jc w:val="center"/>
        </w:trPr>
        <w:tc>
          <w:tcPr>
            <w:tcW w:w="380" w:type="pct"/>
            <w:vAlign w:val="center"/>
          </w:tcPr>
          <w:p>
            <w:pPr>
              <w:pStyle w:val="155"/>
              <w:numPr>
                <w:ilvl w:val="0"/>
                <w:numId w:val="0"/>
              </w:numPr>
              <w:ind w:left="630" w:leftChars="0" w:firstLine="420" w:firstLineChars="200"/>
              <w:rPr>
                <w:color w:val="000000" w:themeColor="text1"/>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4.</w:t>
            </w:r>
          </w:p>
        </w:tc>
        <w:tc>
          <w:tcPr>
            <w:tcW w:w="594" w:type="pct"/>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售后服务响应</w:t>
            </w:r>
          </w:p>
        </w:tc>
        <w:tc>
          <w:tcPr>
            <w:tcW w:w="376" w:type="pct"/>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p>
        </w:tc>
        <w:tc>
          <w:tcPr>
            <w:tcW w:w="3650" w:type="pct"/>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承诺遇到应急状况、设备故障或缺陷时能迅速响应，及时提供完善的解决方案及所需的备品备件，且能派足够的技术人员同时到达现场协助客户并解决问题：</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1、售后服务响应及实施时间在12小时内</w:t>
            </w:r>
            <w:r>
              <w:rPr>
                <w:rFonts w:hint="default" w:ascii="宋体" w:hAnsi="宋体" w:cs="宋体"/>
                <w:color w:val="000000" w:themeColor="text1"/>
                <w:szCs w:val="21"/>
                <w14:textFill>
                  <w14:solidFill>
                    <w14:schemeClr w14:val="tx1"/>
                  </w14:solidFill>
                </w14:textFill>
              </w:rPr>
              <w:t>（0h，12h</w:t>
            </w:r>
            <w:r>
              <w:rPr>
                <w:rFonts w:hint="eastAsia" w:ascii="宋体" w:hAnsi="宋体" w:cs="宋体"/>
                <w:color w:val="000000" w:themeColor="text1"/>
                <w:szCs w:val="21"/>
                <w14:textFill>
                  <w14:solidFill>
                    <w14:schemeClr w14:val="tx1"/>
                  </w14:solidFill>
                </w14:textFill>
              </w:rPr>
              <w:t>]的，得</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2、售后服务响应及实施时间在24小时内（12h，24h]的，得3分；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3、售后服务响应及实施时间在36小时内（24h，36h]的，得</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注：需提供承诺函，不提供不得分。</w:t>
            </w:r>
          </w:p>
        </w:tc>
      </w:tr>
      <w:bookmarkEnd w:id="439"/>
      <w:bookmarkEnd w:id="440"/>
      <w:bookmarkEnd w:id="441"/>
    </w:tbl>
    <w:p>
      <w:r>
        <w:br w:type="page"/>
      </w:r>
    </w:p>
    <w:p>
      <w:pPr>
        <w:pStyle w:val="7"/>
        <w:rPr>
          <w:rFonts w:asciiTheme="minorEastAsia" w:hAnsiTheme="minorEastAsia" w:eastAsiaTheme="minorEastAsia"/>
          <w:b w:val="0"/>
          <w:sz w:val="24"/>
        </w:rPr>
      </w:pPr>
      <w:r>
        <w:rPr>
          <w:rFonts w:hint="eastAsia" w:asciiTheme="minorEastAsia" w:hAnsiTheme="minorEastAsia" w:eastAsiaTheme="minorEastAsia"/>
          <w:b w:val="0"/>
          <w:sz w:val="24"/>
        </w:rPr>
        <w:t>3</w:t>
      </w:r>
      <w:r>
        <w:rPr>
          <w:rFonts w:asciiTheme="minorEastAsia" w:hAnsiTheme="minorEastAsia" w:eastAsiaTheme="minorEastAsia"/>
          <w:b w:val="0"/>
          <w:sz w:val="24"/>
        </w:rPr>
        <w:t>、技术评分表</w:t>
      </w:r>
      <w:bookmarkEnd w:id="435"/>
      <w:bookmarkEnd w:id="436"/>
      <w:bookmarkEnd w:id="437"/>
      <w:bookmarkEnd w:id="438"/>
    </w:p>
    <w:tbl>
      <w:tblPr>
        <w:tblStyle w:val="4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83"/>
        <w:gridCol w:w="700"/>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5" w:hRule="atLeast"/>
          <w:jc w:val="center"/>
        </w:trPr>
        <w:tc>
          <w:tcPr>
            <w:tcW w:w="906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eastAsia" w:ascii="宋体" w:hAnsi="宋体" w:eastAsia="宋体" w:cs="宋体"/>
                <w:b/>
                <w:bCs/>
                <w:color w:val="auto"/>
                <w:szCs w:val="21"/>
              </w:rPr>
            </w:pPr>
            <w:bookmarkStart w:id="442" w:name="_Toc2592"/>
            <w:bookmarkStart w:id="443" w:name="_Toc56432217"/>
            <w:bookmarkStart w:id="444" w:name="_Toc28311"/>
            <w:bookmarkStart w:id="445" w:name="_Toc59548357"/>
            <w:r>
              <w:rPr>
                <w:rFonts w:hint="eastAsia" w:ascii="宋体" w:hAnsi="宋体" w:cs="宋体"/>
                <w:b/>
                <w:bCs/>
                <w:color w:val="auto"/>
                <w:szCs w:val="21"/>
              </w:rPr>
              <w:t>投标人</w:t>
            </w:r>
            <w:r>
              <w:rPr>
                <w:rFonts w:hint="eastAsia" w:ascii="宋体" w:hAnsi="宋体" w:eastAsia="宋体" w:cs="宋体"/>
                <w:b/>
                <w:bCs/>
                <w:color w:val="auto"/>
                <w:szCs w:val="21"/>
              </w:rPr>
              <w:t>根据以下案例项目背景针对评分项</w:t>
            </w:r>
            <w:r>
              <w:rPr>
                <w:rFonts w:hint="default" w:ascii="宋体" w:hAnsi="宋体" w:eastAsia="宋体" w:cs="宋体"/>
                <w:b/>
                <w:bCs/>
                <w:color w:val="auto"/>
                <w:szCs w:val="21"/>
              </w:rPr>
              <w:t>“实施进度计划和风控保障”、“服务质量保证措施”、“物料制作及配送能力承诺”、“质保期服务方案”</w:t>
            </w:r>
            <w:r>
              <w:rPr>
                <w:rFonts w:hint="eastAsia" w:ascii="宋体" w:hAnsi="宋体" w:eastAsia="宋体" w:cs="宋体"/>
                <w:b/>
                <w:bCs/>
                <w:color w:val="auto"/>
                <w:szCs w:val="21"/>
              </w:rPr>
              <w:t>进行方案阐述。</w:t>
            </w:r>
          </w:p>
          <w:p>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eastAsia" w:ascii="宋体" w:hAnsi="宋体" w:eastAsia="宋体" w:cs="宋体"/>
                <w:b/>
                <w:bCs/>
                <w:color w:val="auto"/>
                <w:szCs w:val="21"/>
              </w:rPr>
            </w:pPr>
            <w:r>
              <w:rPr>
                <w:rFonts w:hint="eastAsia" w:ascii="宋体" w:hAnsi="宋体" w:eastAsia="宋体" w:cs="宋体"/>
                <w:b/>
                <w:bCs/>
                <w:color w:val="auto"/>
                <w:szCs w:val="21"/>
              </w:rPr>
              <w:t>案例简介：“</w:t>
            </w:r>
            <w:r>
              <w:rPr>
                <w:rFonts w:hint="eastAsia" w:ascii="宋体" w:hAnsi="宋体" w:eastAsia="宋体" w:cs="宋体"/>
                <w:b/>
                <w:bCs/>
                <w:color w:val="auto"/>
                <w:szCs w:val="21"/>
                <w:lang w:val="en-US" w:eastAsia="zh-CN"/>
              </w:rPr>
              <w:t>某</w:t>
            </w:r>
            <w:r>
              <w:rPr>
                <w:rFonts w:hint="default" w:ascii="宋体" w:hAnsi="宋体" w:eastAsia="宋体" w:cs="宋体"/>
                <w:b/>
                <w:bCs/>
                <w:color w:val="auto"/>
                <w:szCs w:val="21"/>
                <w:lang w:eastAsia="zh-CN"/>
              </w:rPr>
              <w:t>产业</w:t>
            </w:r>
            <w:r>
              <w:rPr>
                <w:rFonts w:hint="eastAsia" w:ascii="宋体" w:hAnsi="宋体" w:eastAsia="宋体" w:cs="宋体"/>
                <w:b/>
                <w:bCs/>
                <w:color w:val="auto"/>
                <w:szCs w:val="21"/>
                <w:lang w:eastAsia="zh-CN"/>
              </w:rPr>
              <w:t>博览会开幕式、氛围、搭建服务项</w:t>
            </w:r>
            <w:r>
              <w:rPr>
                <w:rFonts w:hint="eastAsia" w:ascii="宋体" w:hAnsi="宋体" w:eastAsia="宋体" w:cs="宋体"/>
                <w:b/>
                <w:bCs/>
                <w:color w:val="auto"/>
                <w:szCs w:val="21"/>
              </w:rPr>
              <w:t>目”，具体内容如下：</w:t>
            </w:r>
          </w:p>
          <w:p>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default" w:ascii="宋体" w:hAnsi="宋体" w:eastAsia="宋体" w:cs="宋体"/>
                <w:b/>
                <w:bCs/>
                <w:color w:val="auto"/>
                <w:szCs w:val="21"/>
              </w:rPr>
            </w:pPr>
            <w:r>
              <w:rPr>
                <w:rFonts w:hint="eastAsia" w:ascii="宋体" w:hAnsi="宋体" w:eastAsia="宋体" w:cs="宋体"/>
                <w:b/>
                <w:bCs/>
                <w:color w:val="auto"/>
                <w:szCs w:val="21"/>
              </w:rPr>
              <w:t>一、项目基本情况</w:t>
            </w:r>
            <w:r>
              <w:rPr>
                <w:rFonts w:hint="default" w:ascii="宋体" w:hAnsi="宋体" w:eastAsia="宋体" w:cs="宋体"/>
                <w:b/>
                <w:bCs/>
                <w:color w:val="auto"/>
                <w:szCs w:val="21"/>
              </w:rPr>
              <w:t>（详见附件项目需求书）</w:t>
            </w:r>
          </w:p>
          <w:p>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eastAsia" w:ascii="宋体" w:hAnsi="宋体" w:cs="宋体"/>
                <w:b/>
                <w:bCs/>
                <w:color w:val="auto"/>
                <w:szCs w:val="21"/>
              </w:rPr>
            </w:pPr>
            <w:r>
              <w:rPr>
                <w:rFonts w:hint="eastAsia" w:ascii="宋体" w:hAnsi="宋体" w:eastAsia="宋体" w:cs="宋体"/>
                <w:b/>
                <w:bCs/>
                <w:color w:val="auto"/>
                <w:szCs w:val="21"/>
              </w:rPr>
              <w:t>（1）协助组织策划开幕式并搭建对应</w:t>
            </w:r>
            <w:r>
              <w:rPr>
                <w:rFonts w:hint="eastAsia" w:ascii="宋体" w:hAnsi="宋体" w:cs="宋体"/>
                <w:b/>
                <w:bCs/>
                <w:color w:val="auto"/>
                <w:szCs w:val="21"/>
              </w:rPr>
              <w:t>场地；</w:t>
            </w:r>
          </w:p>
          <w:p>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eastAsia" w:ascii="宋体" w:hAnsi="宋体" w:cs="宋体"/>
                <w:b/>
                <w:bCs/>
                <w:color w:val="auto"/>
                <w:szCs w:val="21"/>
              </w:rPr>
            </w:pPr>
            <w:r>
              <w:rPr>
                <w:rFonts w:hint="eastAsia" w:ascii="宋体" w:hAnsi="宋体" w:cs="宋体"/>
                <w:b/>
                <w:bCs/>
                <w:color w:val="auto"/>
                <w:szCs w:val="21"/>
              </w:rPr>
              <w:t>（2）全场氛围布置、物料制作。</w:t>
            </w:r>
          </w:p>
          <w:p>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eastAsia" w:ascii="宋体" w:hAnsi="宋体" w:cs="宋体"/>
                <w:b/>
                <w:bCs/>
                <w:szCs w:val="21"/>
              </w:rPr>
            </w:pPr>
            <w:r>
              <w:rPr>
                <w:rFonts w:hint="eastAsia" w:ascii="宋体" w:hAnsi="宋体" w:cs="宋体"/>
                <w:b/>
                <w:bCs/>
                <w:color w:val="auto"/>
                <w:szCs w:val="21"/>
              </w:rPr>
              <w:t>二、项目</w:t>
            </w:r>
            <w:r>
              <w:rPr>
                <w:rFonts w:hint="default" w:ascii="宋体" w:hAnsi="宋体" w:cs="宋体"/>
                <w:b/>
                <w:bCs/>
                <w:color w:val="auto"/>
                <w:szCs w:val="21"/>
              </w:rPr>
              <w:t>需求</w:t>
            </w:r>
            <w:r>
              <w:rPr>
                <w:rFonts w:hint="eastAsia" w:ascii="宋体" w:hAnsi="宋体" w:cs="宋体"/>
                <w:b/>
                <w:bCs/>
                <w:color w:val="auto"/>
                <w:szCs w:val="21"/>
              </w:rPr>
              <w:t>（见附</w:t>
            </w:r>
            <w:r>
              <w:rPr>
                <w:rFonts w:hint="default" w:ascii="宋体" w:hAnsi="宋体" w:cs="宋体"/>
                <w:b/>
                <w:bCs/>
                <w:color w:val="auto"/>
                <w:szCs w:val="21"/>
              </w:rPr>
              <w:t>件项目需求书</w:t>
            </w:r>
            <w:r>
              <w:rPr>
                <w:rFonts w:hint="eastAsia" w:ascii="宋体" w:hAnsi="宋体" w:cs="宋体"/>
                <w:b/>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评分项</w:t>
            </w:r>
          </w:p>
        </w:tc>
        <w:tc>
          <w:tcPr>
            <w:tcW w:w="6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技术</w:t>
            </w:r>
          </w:p>
        </w:tc>
        <w:tc>
          <w:tcPr>
            <w:tcW w:w="6675"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内容</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分值</w:t>
            </w:r>
          </w:p>
        </w:tc>
        <w:tc>
          <w:tcPr>
            <w:tcW w:w="6675"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1</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实施进度计划和风控保障</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5</w:t>
            </w:r>
          </w:p>
        </w:tc>
        <w:tc>
          <w:tcPr>
            <w:tcW w:w="667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1.有根据需求制定合理的进度计划，对服务过程中可能会出现的风险有预先评判，并制定相应的防控措施，能避免风险或出现风险能及时有效的处理，得1</w:t>
            </w:r>
            <w:r>
              <w:rPr>
                <w:rFonts w:ascii="宋体" w:hAnsi="宋体" w:cs="宋体"/>
                <w:szCs w:val="21"/>
              </w:rPr>
              <w:t>5</w:t>
            </w:r>
            <w:r>
              <w:rPr>
                <w:rFonts w:hint="eastAsia" w:ascii="宋体" w:hAnsi="宋体" w:cs="宋体"/>
                <w:szCs w:val="21"/>
              </w:rPr>
              <w:t>分；</w:t>
            </w:r>
          </w:p>
          <w:p>
            <w:pPr>
              <w:jc w:val="left"/>
              <w:rPr>
                <w:rFonts w:ascii="宋体" w:hAnsi="宋体" w:cs="宋体"/>
                <w:szCs w:val="21"/>
              </w:rPr>
            </w:pPr>
            <w:r>
              <w:rPr>
                <w:rFonts w:hint="eastAsia" w:ascii="宋体" w:hAnsi="宋体" w:cs="宋体"/>
                <w:szCs w:val="21"/>
              </w:rPr>
              <w:t>2.有根据需求制定进度计划，有提出服务过程中可能会出现的风险，但制定的防控措施较为简单，得</w:t>
            </w:r>
            <w:r>
              <w:rPr>
                <w:rFonts w:ascii="宋体" w:hAnsi="宋体" w:cs="宋体"/>
                <w:szCs w:val="21"/>
              </w:rPr>
              <w:t>9</w:t>
            </w:r>
            <w:r>
              <w:rPr>
                <w:rFonts w:hint="eastAsia" w:ascii="宋体" w:hAnsi="宋体" w:cs="宋体"/>
                <w:szCs w:val="21"/>
              </w:rPr>
              <w:t>分；</w:t>
            </w:r>
          </w:p>
          <w:p>
            <w:pPr>
              <w:jc w:val="left"/>
              <w:rPr>
                <w:rFonts w:ascii="宋体" w:hAnsi="宋体" w:cs="宋体"/>
                <w:szCs w:val="21"/>
              </w:rPr>
            </w:pPr>
            <w:r>
              <w:rPr>
                <w:rFonts w:hint="eastAsia" w:ascii="宋体" w:hAnsi="宋体" w:cs="宋体"/>
                <w:szCs w:val="21"/>
              </w:rPr>
              <w:t>3.有根据需求制定进度计划和列明可能会出现的风险，但未制定防控措施，得</w:t>
            </w:r>
            <w:r>
              <w:rPr>
                <w:rFonts w:ascii="宋体" w:hAnsi="宋体" w:cs="宋体"/>
                <w:szCs w:val="21"/>
              </w:rPr>
              <w:t>3</w:t>
            </w:r>
            <w:r>
              <w:rPr>
                <w:rFonts w:hint="eastAsia" w:ascii="宋体" w:hAnsi="宋体" w:cs="宋体"/>
                <w:szCs w:val="21"/>
              </w:rPr>
              <w:t>分；</w:t>
            </w:r>
          </w:p>
          <w:p>
            <w:pPr>
              <w:jc w:val="left"/>
              <w:rPr>
                <w:rFonts w:ascii="宋体" w:hAnsi="宋体" w:cs="宋体"/>
                <w:szCs w:val="21"/>
              </w:rPr>
            </w:pPr>
            <w:r>
              <w:rPr>
                <w:rFonts w:ascii="宋体" w:hAnsi="宋体" w:cs="宋体"/>
                <w:szCs w:val="21"/>
              </w:rPr>
              <w:t>4.</w:t>
            </w:r>
            <w:r>
              <w:rPr>
                <w:rFonts w:hint="eastAsia" w:ascii="宋体" w:hAnsi="宋体" w:cs="宋体"/>
                <w:szCs w:val="21"/>
              </w:rPr>
              <w:t>未提供进度计划或列明风险的，得0分。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2</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服务质量保证措施</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15</w:t>
            </w:r>
          </w:p>
        </w:tc>
        <w:tc>
          <w:tcPr>
            <w:tcW w:w="667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1.有根据需求制定相应的服务质量保证措施，对服务过程中的关键节点有具体的控制措施，列明的人力物力投入安排科学合理，得1</w:t>
            </w:r>
            <w:r>
              <w:rPr>
                <w:rFonts w:ascii="宋体" w:hAnsi="宋体" w:cs="宋体"/>
                <w:szCs w:val="21"/>
              </w:rPr>
              <w:t>5</w:t>
            </w:r>
            <w:r>
              <w:rPr>
                <w:rFonts w:hint="eastAsia" w:ascii="宋体" w:hAnsi="宋体" w:cs="宋体"/>
                <w:szCs w:val="21"/>
              </w:rPr>
              <w:t>分；</w:t>
            </w:r>
          </w:p>
          <w:p>
            <w:pPr>
              <w:jc w:val="left"/>
              <w:rPr>
                <w:rFonts w:ascii="宋体" w:hAnsi="宋体" w:cs="宋体"/>
                <w:szCs w:val="21"/>
              </w:rPr>
            </w:pPr>
            <w:r>
              <w:rPr>
                <w:rFonts w:hint="eastAsia" w:ascii="宋体" w:hAnsi="宋体" w:cs="宋体"/>
                <w:szCs w:val="21"/>
              </w:rPr>
              <w:t>2.有保障措施，对服务过程中的关键节点有措施，有列明相应的人力物力投入安排，得</w:t>
            </w:r>
            <w:r>
              <w:rPr>
                <w:rFonts w:ascii="宋体" w:hAnsi="宋体" w:cs="宋体"/>
                <w:szCs w:val="21"/>
              </w:rPr>
              <w:t>9</w:t>
            </w:r>
            <w:r>
              <w:rPr>
                <w:rFonts w:hint="eastAsia" w:ascii="宋体" w:hAnsi="宋体" w:cs="宋体"/>
                <w:szCs w:val="21"/>
              </w:rPr>
              <w:t>分；</w:t>
            </w:r>
          </w:p>
          <w:p>
            <w:pPr>
              <w:jc w:val="left"/>
              <w:rPr>
                <w:rFonts w:ascii="宋体" w:hAnsi="宋体" w:cs="宋体"/>
                <w:szCs w:val="21"/>
              </w:rPr>
            </w:pPr>
            <w:r>
              <w:rPr>
                <w:rFonts w:hint="eastAsia" w:ascii="宋体" w:hAnsi="宋体" w:cs="宋体"/>
                <w:szCs w:val="21"/>
              </w:rPr>
              <w:t>3.有保障措施，但未列明相应的人力物力投入安排，得</w:t>
            </w:r>
            <w:r>
              <w:rPr>
                <w:rFonts w:ascii="宋体" w:hAnsi="宋体" w:cs="宋体"/>
                <w:szCs w:val="21"/>
              </w:rPr>
              <w:t>3</w:t>
            </w:r>
            <w:r>
              <w:rPr>
                <w:rFonts w:hint="eastAsia" w:ascii="宋体" w:hAnsi="宋体" w:cs="宋体"/>
                <w:szCs w:val="21"/>
              </w:rPr>
              <w:t>分；</w:t>
            </w:r>
          </w:p>
          <w:p>
            <w:pPr>
              <w:jc w:val="left"/>
              <w:rPr>
                <w:rFonts w:ascii="宋体" w:hAnsi="宋体" w:cs="宋体"/>
                <w:szCs w:val="21"/>
                <w:lang w:val="zh-TW" w:eastAsia="zh-TW"/>
              </w:rPr>
            </w:pPr>
            <w:r>
              <w:rPr>
                <w:rFonts w:hint="eastAsia" w:ascii="宋体" w:hAnsi="宋体" w:cs="宋体"/>
                <w:szCs w:val="21"/>
              </w:rPr>
              <w:t>4.未提供保证措施，得0分。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3</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项目安全防护及应急方案</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10</w:t>
            </w:r>
          </w:p>
        </w:tc>
        <w:tc>
          <w:tcPr>
            <w:tcW w:w="6675" w:type="dxa"/>
            <w:tcBorders>
              <w:top w:val="single" w:color="auto" w:sz="4" w:space="0"/>
              <w:left w:val="single" w:color="auto" w:sz="4" w:space="0"/>
              <w:bottom w:val="single" w:color="auto" w:sz="4" w:space="0"/>
              <w:right w:val="single" w:color="auto" w:sz="4" w:space="0"/>
            </w:tcBorders>
          </w:tcPr>
          <w:p>
            <w:pPr>
              <w:jc w:val="left"/>
              <w:rPr>
                <w:rFonts w:ascii="宋体" w:hAnsi="宋体" w:cs="宋体"/>
                <w:szCs w:val="21"/>
              </w:rPr>
            </w:pPr>
            <w:r>
              <w:rPr>
                <w:rFonts w:hint="eastAsia" w:ascii="宋体" w:hAnsi="宋体" w:cs="宋体"/>
                <w:szCs w:val="21"/>
              </w:rPr>
              <w:t>1．有根据需求制定相应的安全防护及应急方案，方案详细、合理、可行，符合项目实际情况，得</w:t>
            </w:r>
            <w:r>
              <w:rPr>
                <w:rFonts w:ascii="宋体" w:hAnsi="宋体" w:cs="宋体"/>
                <w:szCs w:val="21"/>
              </w:rPr>
              <w:t>10</w:t>
            </w:r>
            <w:r>
              <w:rPr>
                <w:rFonts w:hint="eastAsia" w:ascii="宋体" w:hAnsi="宋体" w:cs="宋体"/>
                <w:szCs w:val="21"/>
              </w:rPr>
              <w:t>分；</w:t>
            </w:r>
          </w:p>
          <w:p>
            <w:pPr>
              <w:jc w:val="left"/>
              <w:rPr>
                <w:rFonts w:ascii="宋体" w:hAnsi="宋体" w:cs="宋体"/>
                <w:szCs w:val="21"/>
              </w:rPr>
            </w:pPr>
            <w:r>
              <w:rPr>
                <w:rFonts w:hint="eastAsia" w:ascii="宋体" w:hAnsi="宋体" w:cs="宋体"/>
                <w:szCs w:val="21"/>
              </w:rPr>
              <w:t>2．有安全防护及应急方案，方案的合理性、可行性、符合情况等一般，得</w:t>
            </w:r>
            <w:r>
              <w:rPr>
                <w:rFonts w:ascii="宋体" w:hAnsi="宋体" w:cs="宋体"/>
                <w:szCs w:val="21"/>
              </w:rPr>
              <w:t>6</w:t>
            </w:r>
            <w:r>
              <w:rPr>
                <w:rFonts w:hint="eastAsia" w:ascii="宋体" w:hAnsi="宋体" w:cs="宋体"/>
                <w:szCs w:val="21"/>
              </w:rPr>
              <w:t>分；</w:t>
            </w:r>
          </w:p>
          <w:p>
            <w:pPr>
              <w:jc w:val="left"/>
              <w:rPr>
                <w:rFonts w:ascii="宋体" w:hAnsi="宋体" w:cs="宋体"/>
                <w:szCs w:val="21"/>
              </w:rPr>
            </w:pPr>
            <w:r>
              <w:rPr>
                <w:rFonts w:hint="eastAsia" w:ascii="宋体" w:hAnsi="宋体" w:cs="宋体"/>
                <w:szCs w:val="21"/>
              </w:rPr>
              <w:t>3．有安全防护及应急方案，方案的合理性、可行性、符合情况等较差，得2分；</w:t>
            </w:r>
          </w:p>
          <w:p>
            <w:pPr>
              <w:jc w:val="left"/>
              <w:rPr>
                <w:rFonts w:ascii="宋体" w:hAnsi="宋体" w:cs="宋体"/>
                <w:szCs w:val="21"/>
                <w:lang w:val="zh-TW" w:eastAsia="zh-TW"/>
              </w:rPr>
            </w:pPr>
            <w:r>
              <w:rPr>
                <w:rFonts w:hint="eastAsia" w:ascii="宋体" w:hAnsi="宋体" w:cs="宋体"/>
                <w:szCs w:val="21"/>
              </w:rPr>
              <w:t>4．未提供安全防护及应急方案，得0分。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4</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物料制作及配送能力承诺</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5</w:t>
            </w:r>
          </w:p>
        </w:tc>
        <w:tc>
          <w:tcPr>
            <w:tcW w:w="6675" w:type="dxa"/>
            <w:tcBorders>
              <w:top w:val="single" w:color="auto" w:sz="4" w:space="0"/>
              <w:left w:val="single" w:color="auto" w:sz="4" w:space="0"/>
              <w:bottom w:val="single" w:color="auto" w:sz="4" w:space="0"/>
              <w:right w:val="single" w:color="auto" w:sz="4" w:space="0"/>
            </w:tcBorders>
          </w:tcPr>
          <w:p>
            <w:pPr>
              <w:pStyle w:val="17"/>
              <w:rPr>
                <w:rFonts w:hint="eastAsia" w:ascii="宋体" w:hAnsi="宋体"/>
                <w:spacing w:val="2"/>
                <w:szCs w:val="21"/>
              </w:rPr>
            </w:pPr>
            <w:r>
              <w:rPr>
                <w:rFonts w:hint="eastAsia" w:ascii="宋体" w:hAnsi="宋体"/>
                <w:spacing w:val="2"/>
                <w:szCs w:val="21"/>
              </w:rPr>
              <w:t>申请人按以下要求提供盖章承诺函，有提供并满足要求的得5分，不提供得0分。</w:t>
            </w:r>
          </w:p>
          <w:p>
            <w:pPr>
              <w:pStyle w:val="17"/>
              <w:rPr>
                <w:rFonts w:hint="eastAsia" w:ascii="宋体" w:hAnsi="宋体"/>
                <w:spacing w:val="2"/>
                <w:szCs w:val="21"/>
              </w:rPr>
            </w:pPr>
            <w:r>
              <w:rPr>
                <w:rFonts w:hint="eastAsia" w:ascii="宋体" w:hAnsi="宋体"/>
                <w:spacing w:val="2"/>
                <w:szCs w:val="21"/>
              </w:rPr>
              <w:t>1</w:t>
            </w:r>
            <w:r>
              <w:rPr>
                <w:rFonts w:ascii="宋体" w:hAnsi="宋体"/>
                <w:spacing w:val="2"/>
                <w:szCs w:val="21"/>
              </w:rPr>
              <w:t>.</w:t>
            </w:r>
            <w:r>
              <w:rPr>
                <w:rFonts w:hint="eastAsia" w:ascii="宋体" w:hAnsi="宋体"/>
                <w:spacing w:val="2"/>
                <w:szCs w:val="21"/>
              </w:rPr>
              <w:t>申请人须承诺完成物料制作后，按招募人要求24小时内交货并配送至指定地点。</w:t>
            </w:r>
          </w:p>
          <w:p>
            <w:pPr>
              <w:jc w:val="left"/>
              <w:rPr>
                <w:rFonts w:hint="eastAsia" w:ascii="宋体" w:hAnsi="宋体" w:cs="宋体"/>
                <w:szCs w:val="21"/>
              </w:rPr>
            </w:pPr>
            <w:r>
              <w:rPr>
                <w:rFonts w:hint="eastAsia" w:ascii="宋体" w:hAnsi="宋体"/>
                <w:spacing w:val="2"/>
                <w:szCs w:val="21"/>
              </w:rPr>
              <w:t>（2）申请人须承诺不分节假日按招募人要求的时间及时进行制作与配合，不得以任何理由延误交货时间。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质保期服务方案</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5</w:t>
            </w:r>
          </w:p>
        </w:tc>
        <w:tc>
          <w:tcPr>
            <w:tcW w:w="6675" w:type="dxa"/>
            <w:tcBorders>
              <w:top w:val="single" w:color="auto" w:sz="4" w:space="0"/>
              <w:left w:val="single" w:color="auto" w:sz="4" w:space="0"/>
              <w:bottom w:val="single" w:color="auto" w:sz="4" w:space="0"/>
              <w:right w:val="single" w:color="auto" w:sz="4" w:space="0"/>
            </w:tcBorders>
          </w:tcPr>
          <w:p>
            <w:pPr>
              <w:jc w:val="left"/>
              <w:rPr>
                <w:rFonts w:ascii="宋体" w:hAnsi="宋体" w:cs="宋体"/>
                <w:szCs w:val="21"/>
              </w:rPr>
            </w:pPr>
            <w:r>
              <w:rPr>
                <w:rFonts w:hint="eastAsia" w:ascii="宋体" w:hAnsi="宋体" w:cs="宋体"/>
                <w:szCs w:val="21"/>
              </w:rPr>
              <w:t>1.质保期内布展维护保养、培训（操作、维护、技术）方案详细、具体、可行，满足采购需求，得</w:t>
            </w:r>
            <w:r>
              <w:rPr>
                <w:rFonts w:ascii="宋体" w:hAnsi="宋体" w:cs="宋体"/>
                <w:szCs w:val="21"/>
              </w:rPr>
              <w:t>5</w:t>
            </w:r>
            <w:r>
              <w:rPr>
                <w:rFonts w:hint="eastAsia" w:ascii="宋体" w:hAnsi="宋体" w:cs="宋体"/>
                <w:szCs w:val="21"/>
              </w:rPr>
              <w:t>分；</w:t>
            </w:r>
          </w:p>
          <w:p>
            <w:pPr>
              <w:jc w:val="left"/>
              <w:rPr>
                <w:rFonts w:ascii="宋体" w:hAnsi="宋体" w:cs="宋体"/>
                <w:szCs w:val="21"/>
              </w:rPr>
            </w:pPr>
            <w:r>
              <w:rPr>
                <w:rFonts w:hint="eastAsia" w:ascii="宋体" w:hAnsi="宋体" w:cs="宋体"/>
                <w:szCs w:val="21"/>
              </w:rPr>
              <w:t>2.质保期内布展维护保养、培训（操作、维护、技术）方案较合理、可行，基本满足采购需求，得</w:t>
            </w:r>
            <w:r>
              <w:rPr>
                <w:rFonts w:ascii="宋体" w:hAnsi="宋体" w:cs="宋体"/>
                <w:szCs w:val="21"/>
              </w:rPr>
              <w:t>3</w:t>
            </w:r>
            <w:r>
              <w:rPr>
                <w:rFonts w:hint="eastAsia" w:ascii="宋体" w:hAnsi="宋体" w:cs="宋体"/>
                <w:szCs w:val="21"/>
              </w:rPr>
              <w:t>分；</w:t>
            </w:r>
          </w:p>
          <w:p>
            <w:pPr>
              <w:jc w:val="left"/>
              <w:rPr>
                <w:rFonts w:ascii="宋体" w:hAnsi="宋体" w:cs="宋体"/>
                <w:szCs w:val="21"/>
              </w:rPr>
            </w:pPr>
            <w:r>
              <w:rPr>
                <w:rFonts w:hint="eastAsia" w:ascii="宋体" w:hAnsi="宋体" w:cs="宋体"/>
                <w:szCs w:val="21"/>
              </w:rPr>
              <w:t>3.质保期内布展维护保养、培训（操作、维护、技术）方案合理性差，与采购需求契合度较差，得1分；</w:t>
            </w:r>
          </w:p>
          <w:p>
            <w:pPr>
              <w:jc w:val="left"/>
              <w:rPr>
                <w:rFonts w:ascii="宋体" w:hAnsi="宋体" w:cs="宋体"/>
                <w:szCs w:val="21"/>
                <w:lang w:val="zh-TW" w:eastAsia="zh-TW"/>
              </w:rPr>
            </w:pPr>
            <w:r>
              <w:rPr>
                <w:rFonts w:hint="eastAsia" w:ascii="宋体" w:hAnsi="宋体" w:cs="宋体"/>
                <w:szCs w:val="21"/>
              </w:rPr>
              <w:t>4.未提供方案，得0分；</w:t>
            </w:r>
          </w:p>
        </w:tc>
      </w:tr>
      <w:bookmarkEnd w:id="442"/>
      <w:bookmarkEnd w:id="443"/>
      <w:bookmarkEnd w:id="444"/>
      <w:bookmarkEnd w:id="445"/>
    </w:tbl>
    <w:p>
      <w:pPr>
        <w:rPr>
          <w:rFonts w:ascii="宋体" w:hAnsi="宋体"/>
          <w:sz w:val="24"/>
        </w:rPr>
      </w:pPr>
      <w:r>
        <w:rPr>
          <w:rFonts w:ascii="宋体" w:hAnsi="宋体"/>
          <w:sz w:val="24"/>
        </w:rPr>
        <w:br w:type="page"/>
      </w:r>
    </w:p>
    <w:p>
      <w:pPr>
        <w:keepNext w:val="0"/>
        <w:keepLines w:val="0"/>
        <w:pageBreakBefore w:val="0"/>
        <w:widowControl w:val="0"/>
        <w:kinsoku/>
        <w:wordWrap/>
        <w:overflowPunct/>
        <w:topLinePunct w:val="0"/>
        <w:autoSpaceDE/>
        <w:autoSpaceDN/>
        <w:bidi w:val="0"/>
        <w:adjustRightInd/>
        <w:snapToGrid/>
        <w:textAlignment w:val="auto"/>
        <w:outlineLvl w:val="3"/>
        <w:rPr>
          <w:rFonts w:hint="default" w:ascii="宋体" w:hAnsi="宋体" w:eastAsia="宋体" w:cs="宋体"/>
          <w:b/>
          <w:bCs/>
          <w:color w:val="auto"/>
          <w:szCs w:val="21"/>
        </w:rPr>
      </w:pPr>
      <w:r>
        <w:rPr>
          <w:rFonts w:hint="default" w:ascii="宋体" w:hAnsi="宋体" w:eastAsia="宋体" w:cs="宋体"/>
          <w:b/>
          <w:bCs/>
          <w:color w:val="auto"/>
          <w:szCs w:val="21"/>
        </w:rPr>
        <w:t>附件：案例项目需求书</w:t>
      </w:r>
    </w:p>
    <w:p>
      <w:pPr>
        <w:bidi w:val="0"/>
        <w:ind w:firstLine="210" w:firstLineChars="100"/>
        <w:rPr>
          <w:rFonts w:hint="eastAsia"/>
          <w:lang w:eastAsia="zh-CN"/>
        </w:rPr>
      </w:pPr>
      <w:r>
        <w:rPr>
          <w:rFonts w:hint="eastAsia"/>
          <w:lang w:eastAsia="zh-CN"/>
        </w:rPr>
        <w:t>“</w:t>
      </w:r>
      <w:r>
        <w:rPr>
          <w:rFonts w:hint="default"/>
          <w:lang w:eastAsia="zh-CN"/>
        </w:rPr>
        <w:t>某产业博览会</w:t>
      </w:r>
      <w:r>
        <w:rPr>
          <w:rFonts w:hint="eastAsia"/>
          <w:lang w:eastAsia="zh-CN"/>
        </w:rPr>
        <w:t>开幕式、氛围</w:t>
      </w:r>
      <w:r>
        <w:rPr>
          <w:rFonts w:hint="eastAsia"/>
          <w:lang w:val="en-US" w:eastAsia="zh-CN"/>
        </w:rPr>
        <w:t>及搭建</w:t>
      </w:r>
      <w:r>
        <w:rPr>
          <w:rFonts w:hint="eastAsia"/>
          <w:lang w:eastAsia="zh-CN"/>
        </w:rPr>
        <w:t>服务项目”需保障成功</w:t>
      </w:r>
      <w:r>
        <w:rPr>
          <w:rFonts w:hint="default"/>
          <w:lang w:eastAsia="zh-CN"/>
        </w:rPr>
        <w:t>举办某产业</w:t>
      </w:r>
      <w:r>
        <w:rPr>
          <w:rFonts w:hint="eastAsia"/>
          <w:lang w:eastAsia="zh-CN"/>
        </w:rPr>
        <w:t>博览会，确保博览会开幕式顺畅有序进行。</w:t>
      </w:r>
    </w:p>
    <w:p>
      <w:pPr>
        <w:numPr>
          <w:ilvl w:val="0"/>
          <w:numId w:val="8"/>
        </w:numPr>
        <w:bidi w:val="0"/>
        <w:rPr>
          <w:rFonts w:hint="eastAsia"/>
          <w:lang w:val="en-US" w:eastAsia="zh-CN"/>
        </w:rPr>
      </w:pPr>
      <w:r>
        <w:rPr>
          <w:rFonts w:hint="eastAsia"/>
          <w:lang w:val="en-US" w:eastAsia="zh-CN"/>
        </w:rPr>
        <w:t>服务内容</w:t>
      </w:r>
    </w:p>
    <w:p>
      <w:pPr>
        <w:numPr>
          <w:ilvl w:val="0"/>
          <w:numId w:val="0"/>
        </w:numPr>
        <w:bidi w:val="0"/>
        <w:ind w:firstLine="210" w:firstLineChars="100"/>
        <w:rPr>
          <w:rFonts w:hint="default"/>
          <w:lang w:val="en-US" w:eastAsia="zh-CN"/>
        </w:rPr>
      </w:pPr>
      <w:r>
        <w:rPr>
          <w:rFonts w:hint="eastAsia"/>
          <w:lang w:val="en-US" w:eastAsia="zh-CN"/>
        </w:rPr>
        <w:t>“</w:t>
      </w:r>
      <w:r>
        <w:rPr>
          <w:rFonts w:hint="default"/>
          <w:lang w:eastAsia="zh-CN"/>
        </w:rPr>
        <w:t>某产业博览会</w:t>
      </w:r>
      <w:r>
        <w:rPr>
          <w:rFonts w:hint="eastAsia"/>
          <w:lang w:val="en-US" w:eastAsia="zh-CN"/>
        </w:rPr>
        <w:t>开幕式、氛围布置及</w:t>
      </w:r>
      <w:r>
        <w:rPr>
          <w:rFonts w:hint="default"/>
          <w:lang w:eastAsia="zh-CN"/>
        </w:rPr>
        <w:t>搭建服务</w:t>
      </w:r>
      <w:r>
        <w:rPr>
          <w:rFonts w:hint="eastAsia"/>
          <w:lang w:val="en-US" w:eastAsia="zh-CN"/>
        </w:rPr>
        <w:t>项目”包含以下服务内容：一是协助组织策划开幕式并搭建对应场地；二是全场氛围布置、物料制作。具体服务要求如下：</w:t>
      </w:r>
    </w:p>
    <w:p>
      <w:pPr>
        <w:bidi w:val="0"/>
        <w:rPr>
          <w:rFonts w:hint="eastAsia"/>
          <w:lang w:val="en-US" w:eastAsia="zh-CN"/>
        </w:rPr>
      </w:pPr>
      <w:bookmarkStart w:id="446" w:name="_Toc6032"/>
      <w:r>
        <w:rPr>
          <w:rFonts w:hint="eastAsia"/>
          <w:lang w:val="en-US" w:eastAsia="zh-CN"/>
        </w:rPr>
        <w:t>（1）协助组织策划开幕式并搭建对应场地</w:t>
      </w:r>
      <w:bookmarkEnd w:id="446"/>
    </w:p>
    <w:p>
      <w:pPr>
        <w:bidi w:val="0"/>
        <w:ind w:firstLine="210" w:firstLineChars="100"/>
        <w:rPr>
          <w:rFonts w:hint="eastAsia"/>
        </w:rPr>
      </w:pPr>
      <w:r>
        <w:rPr>
          <w:rFonts w:hint="eastAsia"/>
          <w:lang w:val="en-US" w:eastAsia="zh-CN"/>
        </w:rPr>
        <w:t>1.</w:t>
      </w:r>
      <w:r>
        <w:rPr>
          <w:rFonts w:hint="eastAsia"/>
          <w:lang w:eastAsia="zh-CN"/>
        </w:rPr>
        <w:t>博览会开幕式需提交整体方案、视觉设计，含舞美3D设计、现场布置规划图、效果图等，要求高端、大气，凸显大会主题，对整个博览会进行整体包装，提升大会形象。舞美设计需创新</w:t>
      </w:r>
      <w:r>
        <w:rPr>
          <w:rFonts w:hint="eastAsia"/>
        </w:rPr>
        <w:t>。</w:t>
      </w:r>
    </w:p>
    <w:p>
      <w:pPr>
        <w:bidi w:val="0"/>
        <w:ind w:firstLine="210" w:firstLineChars="100"/>
        <w:rPr>
          <w:rFonts w:hint="eastAsia"/>
        </w:rPr>
      </w:pPr>
      <w:r>
        <w:rPr>
          <w:rFonts w:hint="eastAsia"/>
          <w:lang w:val="en-US" w:eastAsia="zh-CN"/>
        </w:rPr>
        <w:t>2.</w:t>
      </w:r>
      <w:r>
        <w:rPr>
          <w:rFonts w:hint="eastAsia"/>
        </w:rPr>
        <w:t>负责布置搭建开幕式舞台、屏幕音响等设备，会场布置如沙发、茶几、贵宾椅、防雾胶膜、入座座位表指示牌、礼宾带等。场地搭建、设施、消防等需符合国家安全标准和安全规定。</w:t>
      </w:r>
    </w:p>
    <w:p>
      <w:pPr>
        <w:bidi w:val="0"/>
        <w:ind w:firstLine="210" w:firstLineChars="100"/>
        <w:rPr>
          <w:rFonts w:hint="eastAsia"/>
          <w:lang w:val="en-US" w:eastAsia="zh-CN"/>
        </w:rPr>
      </w:pPr>
      <w:r>
        <w:rPr>
          <w:rFonts w:hint="eastAsia"/>
          <w:lang w:val="en-US" w:eastAsia="zh-CN"/>
        </w:rPr>
        <w:t>3.</w:t>
      </w:r>
      <w:r>
        <w:rPr>
          <w:rFonts w:hint="eastAsia"/>
        </w:rPr>
        <w:t>开幕式流程含签约、揭牌、启动等环节，需结合创新、科技、等元素提供各环节形式建议；活动需安排至少1名总导演主导项目，现场需配备礼仪人员、设计师、活动执行人员等。</w:t>
      </w:r>
    </w:p>
    <w:p>
      <w:pPr>
        <w:bidi w:val="0"/>
        <w:rPr>
          <w:rFonts w:hint="eastAsia"/>
          <w:lang w:val="en-US" w:eastAsia="zh-CN"/>
        </w:rPr>
      </w:pPr>
      <w:bookmarkStart w:id="447" w:name="_Toc25105"/>
      <w:r>
        <w:rPr>
          <w:rFonts w:hint="eastAsia"/>
          <w:lang w:val="en-US" w:eastAsia="zh-CN"/>
        </w:rPr>
        <w:t>（2）全场氛围布置、会务物料、设计制作等</w:t>
      </w:r>
      <w:bookmarkEnd w:id="447"/>
    </w:p>
    <w:p>
      <w:pPr>
        <w:bidi w:val="0"/>
        <w:ind w:firstLine="210" w:firstLineChars="100"/>
        <w:rPr>
          <w:rFonts w:hint="eastAsia"/>
        </w:rPr>
      </w:pPr>
      <w:r>
        <w:rPr>
          <w:rFonts w:hint="eastAsia"/>
          <w:lang w:val="en-US" w:eastAsia="zh-CN"/>
        </w:rPr>
        <w:t>1.</w:t>
      </w:r>
      <w:r>
        <w:rPr>
          <w:rFonts w:hint="eastAsia"/>
        </w:rPr>
        <w:t>结合主视觉画面，</w:t>
      </w:r>
      <w:r>
        <w:rPr>
          <w:rFonts w:hint="eastAsia"/>
          <w:lang w:eastAsia="zh-CN"/>
        </w:rPr>
        <w:t>对</w:t>
      </w:r>
      <w:r>
        <w:rPr>
          <w:rFonts w:hint="default"/>
          <w:lang w:eastAsia="zh-CN"/>
        </w:rPr>
        <w:t>项目所在地</w:t>
      </w:r>
      <w:r>
        <w:rPr>
          <w:rFonts w:hint="eastAsia"/>
        </w:rPr>
        <w:t>科技园</w:t>
      </w:r>
      <w:r>
        <w:rPr>
          <w:rFonts w:hint="eastAsia"/>
          <w:lang w:eastAsia="zh-CN"/>
        </w:rPr>
        <w:t>进行</w:t>
      </w:r>
      <w:r>
        <w:rPr>
          <w:rFonts w:hint="eastAsia"/>
        </w:rPr>
        <w:t>全场氛围设计及搭建布置。如入口处迎宾门楼、刀旗、彩旗、空飘、打卡点、立体字装饰等。</w:t>
      </w:r>
    </w:p>
    <w:p>
      <w:pPr>
        <w:bidi w:val="0"/>
        <w:ind w:firstLine="210" w:firstLineChars="100"/>
        <w:rPr>
          <w:rFonts w:hint="eastAsia"/>
        </w:rPr>
      </w:pPr>
      <w:r>
        <w:rPr>
          <w:rFonts w:hint="eastAsia"/>
          <w:lang w:val="en-US" w:eastAsia="zh-CN"/>
        </w:rPr>
        <w:t>2.</w:t>
      </w:r>
      <w:r>
        <w:rPr>
          <w:rFonts w:hint="eastAsia"/>
          <w:lang w:eastAsia="zh-CN"/>
        </w:rPr>
        <w:t>园区内</w:t>
      </w:r>
      <w:r>
        <w:rPr>
          <w:rFonts w:hint="eastAsia"/>
        </w:rPr>
        <w:t>功能氛围区域设计及搭建布置。如、报到处、</w:t>
      </w:r>
      <w:r>
        <w:rPr>
          <w:rFonts w:hint="eastAsia"/>
          <w:lang w:eastAsia="zh-CN"/>
        </w:rPr>
        <w:t>服务区</w:t>
      </w:r>
      <w:r>
        <w:rPr>
          <w:rFonts w:hint="eastAsia"/>
        </w:rPr>
        <w:t>、信息总览大型背景板、广告位背景板</w:t>
      </w:r>
      <w:r>
        <w:rPr>
          <w:rFonts w:hint="eastAsia"/>
          <w:lang w:eastAsia="zh-CN"/>
        </w:rPr>
        <w:t>等</w:t>
      </w:r>
      <w:r>
        <w:rPr>
          <w:rFonts w:hint="eastAsia"/>
        </w:rPr>
        <w:t>，以及各路段指引牌、地贴等功能性区域内容打造。</w:t>
      </w:r>
    </w:p>
    <w:p>
      <w:pPr>
        <w:bidi w:val="0"/>
        <w:ind w:firstLine="210" w:firstLineChars="100"/>
        <w:rPr>
          <w:rFonts w:hint="default"/>
          <w:lang w:val="en-US" w:eastAsia="zh-CN"/>
        </w:rPr>
      </w:pPr>
      <w:r>
        <w:rPr>
          <w:rFonts w:hint="eastAsia"/>
          <w:lang w:val="en-US" w:eastAsia="zh-CN"/>
        </w:rPr>
        <w:t>3.博览会期间相关配套物料及设计等。</w:t>
      </w:r>
    </w:p>
    <w:p>
      <w:pPr>
        <w:bidi w:val="0"/>
      </w:pPr>
      <w:r>
        <w:br w:type="page"/>
      </w:r>
    </w:p>
    <w:p>
      <w:pPr>
        <w:numPr>
          <w:ilvl w:val="0"/>
          <w:numId w:val="9"/>
        </w:numPr>
        <w:rPr>
          <w:b/>
          <w:bCs/>
          <w:sz w:val="21"/>
          <w:szCs w:val="21"/>
        </w:rPr>
      </w:pPr>
      <w:bookmarkStart w:id="448" w:name="_Toc450489345"/>
      <w:r>
        <w:rPr>
          <w:rFonts w:hint="eastAsia"/>
          <w:b/>
          <w:bCs/>
          <w:sz w:val="21"/>
          <w:szCs w:val="21"/>
        </w:rPr>
        <w:t>评审方法</w:t>
      </w:r>
      <w:bookmarkEnd w:id="448"/>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本招标项目评审采用综合评估法。评审委员会对满足招募文件实质要求的</w:t>
      </w:r>
      <w:r>
        <w:rPr>
          <w:rFonts w:hint="eastAsia" w:ascii="宋体" w:hAnsi="宋体" w:cs="宋体"/>
          <w:kern w:val="0"/>
          <w:szCs w:val="21"/>
        </w:rPr>
        <w:t>投标申请文件</w:t>
      </w:r>
      <w:r>
        <w:rPr>
          <w:rFonts w:hint="eastAsia" w:ascii="宋体" w:hAnsi="宋体" w:cs="宋体"/>
          <w:szCs w:val="21"/>
        </w:rPr>
        <w:t>，根据本章第</w:t>
      </w:r>
      <w:r>
        <w:rPr>
          <w:rFonts w:ascii="宋体" w:hAnsi="宋体" w:cs="宋体"/>
          <w:szCs w:val="21"/>
        </w:rPr>
        <w:t>2.2款规定的评分因素和评分标准进行评分，按照综合评分由高到低的顺序推荐</w:t>
      </w:r>
      <w:r>
        <w:rPr>
          <w:rFonts w:hint="eastAsia" w:ascii="宋体" w:hAnsi="宋体" w:cs="宋体"/>
          <w:szCs w:val="21"/>
        </w:rPr>
        <w:t>中标入围候选单位。</w:t>
      </w:r>
    </w:p>
    <w:p>
      <w:pPr>
        <w:numPr>
          <w:ilvl w:val="0"/>
          <w:numId w:val="9"/>
        </w:numPr>
        <w:rPr>
          <w:b/>
          <w:bCs/>
          <w:sz w:val="24"/>
          <w:szCs w:val="32"/>
        </w:rPr>
      </w:pPr>
      <w:bookmarkStart w:id="449" w:name="_Toc450489346"/>
      <w:r>
        <w:rPr>
          <w:rFonts w:hint="eastAsia"/>
          <w:b/>
          <w:bCs/>
          <w:sz w:val="24"/>
          <w:szCs w:val="32"/>
        </w:rPr>
        <w:t>评审标准</w:t>
      </w:r>
      <w:bookmarkEnd w:id="449"/>
    </w:p>
    <w:p>
      <w:pPr>
        <w:rPr>
          <w:b/>
          <w:bCs/>
          <w:sz w:val="24"/>
          <w:szCs w:val="32"/>
        </w:rPr>
      </w:pPr>
      <w:bookmarkStart w:id="450" w:name="_Toc450489347"/>
      <w:r>
        <w:rPr>
          <w:b/>
          <w:bCs/>
          <w:sz w:val="24"/>
          <w:szCs w:val="32"/>
        </w:rPr>
        <w:t>2.1</w:t>
      </w:r>
      <w:r>
        <w:rPr>
          <w:rFonts w:hint="eastAsia"/>
          <w:b/>
          <w:bCs/>
          <w:sz w:val="24"/>
          <w:szCs w:val="32"/>
        </w:rPr>
        <w:t>初步评审标准</w:t>
      </w:r>
      <w:bookmarkEnd w:id="450"/>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初步评审标准：见评审办法前附表。</w:t>
      </w:r>
    </w:p>
    <w:p>
      <w:pPr>
        <w:rPr>
          <w:b/>
          <w:bCs/>
          <w:sz w:val="24"/>
          <w:szCs w:val="32"/>
        </w:rPr>
      </w:pPr>
      <w:bookmarkStart w:id="451" w:name="_Toc450489348"/>
      <w:r>
        <w:rPr>
          <w:b/>
          <w:bCs/>
          <w:sz w:val="24"/>
          <w:szCs w:val="32"/>
        </w:rPr>
        <w:t>2.2</w:t>
      </w:r>
      <w:r>
        <w:rPr>
          <w:rFonts w:hint="eastAsia"/>
          <w:b/>
          <w:bCs/>
          <w:sz w:val="24"/>
          <w:szCs w:val="32"/>
        </w:rPr>
        <w:t>详细评审标准</w:t>
      </w:r>
      <w:bookmarkEnd w:id="451"/>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详细评审标准：见评审办法前附表。</w:t>
      </w:r>
    </w:p>
    <w:p>
      <w:pPr>
        <w:numPr>
          <w:ilvl w:val="0"/>
          <w:numId w:val="9"/>
        </w:numPr>
        <w:rPr>
          <w:b/>
          <w:bCs/>
          <w:sz w:val="24"/>
          <w:szCs w:val="32"/>
        </w:rPr>
      </w:pPr>
      <w:bookmarkStart w:id="452" w:name="_Toc450489349"/>
      <w:r>
        <w:rPr>
          <w:rFonts w:hint="eastAsia"/>
          <w:b/>
          <w:bCs/>
          <w:sz w:val="24"/>
          <w:szCs w:val="32"/>
        </w:rPr>
        <w:t>评审程序</w:t>
      </w:r>
      <w:bookmarkEnd w:id="452"/>
    </w:p>
    <w:p>
      <w:pPr>
        <w:rPr>
          <w:b/>
          <w:bCs/>
          <w:sz w:val="24"/>
          <w:szCs w:val="32"/>
        </w:rPr>
      </w:pPr>
      <w:bookmarkStart w:id="453" w:name="_Toc450489350"/>
      <w:r>
        <w:rPr>
          <w:b/>
          <w:bCs/>
          <w:sz w:val="24"/>
          <w:szCs w:val="32"/>
        </w:rPr>
        <w:t>3.1</w:t>
      </w:r>
      <w:r>
        <w:rPr>
          <w:rFonts w:hint="eastAsia"/>
          <w:b/>
          <w:bCs/>
          <w:sz w:val="24"/>
          <w:szCs w:val="32"/>
        </w:rPr>
        <w:t>初步评审</w:t>
      </w:r>
      <w:bookmarkEnd w:id="453"/>
    </w:p>
    <w:p>
      <w:pPr>
        <w:pStyle w:val="23"/>
        <w:tabs>
          <w:tab w:val="left" w:pos="630"/>
        </w:tabs>
        <w:snapToGrid w:val="0"/>
        <w:spacing w:line="440" w:lineRule="exact"/>
        <w:ind w:firstLine="424" w:firstLineChars="202"/>
        <w:rPr>
          <w:rFonts w:hAnsi="宋体"/>
        </w:rPr>
      </w:pPr>
      <w:r>
        <w:rPr>
          <w:rFonts w:hAnsi="宋体"/>
        </w:rPr>
        <w:t>3.1.1</w:t>
      </w:r>
      <w:r>
        <w:rPr>
          <w:rFonts w:hint="eastAsia" w:hAnsi="宋体"/>
        </w:rPr>
        <w:t>评审委员会</w:t>
      </w:r>
      <w:r>
        <w:rPr>
          <w:rFonts w:hAnsi="宋体"/>
        </w:rPr>
        <w:t>根据本章第2.1款规定的标准对</w:t>
      </w:r>
      <w:r>
        <w:rPr>
          <w:rFonts w:hint="eastAsia" w:hAnsi="宋体" w:cs="宋体"/>
          <w:kern w:val="0"/>
          <w:szCs w:val="21"/>
        </w:rPr>
        <w:t>投标申请文件</w:t>
      </w:r>
      <w:r>
        <w:rPr>
          <w:rFonts w:hint="eastAsia" w:hAnsi="宋体"/>
        </w:rPr>
        <w:t>进行初步评审。有一项不符合评审标准的，评审委员会应当否决其</w:t>
      </w:r>
      <w:r>
        <w:rPr>
          <w:rFonts w:hint="eastAsia" w:hAnsi="宋体" w:cs="宋体"/>
          <w:kern w:val="0"/>
          <w:szCs w:val="21"/>
        </w:rPr>
        <w:t>投标</w:t>
      </w:r>
      <w:r>
        <w:rPr>
          <w:rFonts w:hint="eastAsia" w:hAnsi="宋体"/>
        </w:rPr>
        <w:t>。</w:t>
      </w:r>
    </w:p>
    <w:p>
      <w:pPr>
        <w:pStyle w:val="23"/>
        <w:tabs>
          <w:tab w:val="left" w:pos="630"/>
        </w:tabs>
        <w:snapToGrid w:val="0"/>
        <w:spacing w:line="440" w:lineRule="exact"/>
        <w:ind w:firstLine="424" w:firstLineChars="202"/>
        <w:rPr>
          <w:rFonts w:hAnsi="宋体"/>
        </w:rPr>
      </w:pPr>
      <w:r>
        <w:rPr>
          <w:rFonts w:hAnsi="宋体"/>
        </w:rPr>
        <w:t>3.1.2投标人有以下情形之一的，</w:t>
      </w:r>
      <w:r>
        <w:rPr>
          <w:rFonts w:hint="eastAsia" w:hAnsi="宋体"/>
        </w:rPr>
        <w:t>评审委员会</w:t>
      </w:r>
      <w:r>
        <w:rPr>
          <w:rFonts w:hAnsi="宋体"/>
        </w:rPr>
        <w:t>应当否决其</w:t>
      </w:r>
      <w:r>
        <w:rPr>
          <w:rFonts w:hint="eastAsia" w:hAnsi="宋体" w:cs="宋体"/>
          <w:kern w:val="0"/>
          <w:szCs w:val="21"/>
        </w:rPr>
        <w:t>投标</w:t>
      </w:r>
      <w:r>
        <w:rPr>
          <w:rFonts w:hint="eastAsia" w:hAnsi="宋体"/>
        </w:rPr>
        <w:t>：</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1）第二章“投标人须知”第1.8款规定的任何一种情形的；</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2）不按照</w:t>
      </w:r>
      <w:r>
        <w:rPr>
          <w:rFonts w:hint="eastAsia" w:ascii="宋体" w:hAnsi="宋体" w:cs="宋体"/>
          <w:szCs w:val="21"/>
        </w:rPr>
        <w:t>评审委员会</w:t>
      </w:r>
      <w:r>
        <w:rPr>
          <w:rFonts w:ascii="宋体" w:hAnsi="宋体" w:cs="宋体"/>
          <w:szCs w:val="21"/>
        </w:rPr>
        <w:t>要求澄清、说明或者补正的；</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kern w:val="0"/>
          <w:szCs w:val="21"/>
        </w:rPr>
        <w:t>投标申请文件</w:t>
      </w:r>
      <w:r>
        <w:rPr>
          <w:rFonts w:hint="eastAsia" w:ascii="宋体" w:hAnsi="宋体" w:cs="宋体"/>
          <w:szCs w:val="21"/>
        </w:rPr>
        <w:t>未经投标单位盖章和单位负责人签字；</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4）允许联合体投标的，投标联合体没有递交联合体协议；</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5）投标人不符合国家或者</w:t>
      </w:r>
      <w:r>
        <w:rPr>
          <w:rFonts w:hint="eastAsia" w:ascii="宋体" w:hAnsi="宋体" w:cs="宋体"/>
          <w:szCs w:val="21"/>
        </w:rPr>
        <w:t>招募文件</w:t>
      </w:r>
      <w:r>
        <w:rPr>
          <w:rFonts w:ascii="宋体" w:hAnsi="宋体" w:cs="宋体"/>
          <w:szCs w:val="21"/>
        </w:rPr>
        <w:t>规定的资格条件；</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6）同一投标人递交两个以上不同的</w:t>
      </w:r>
      <w:r>
        <w:rPr>
          <w:rFonts w:hint="eastAsia" w:ascii="宋体" w:hAnsi="宋体" w:cs="宋体"/>
          <w:kern w:val="0"/>
          <w:szCs w:val="21"/>
        </w:rPr>
        <w:t>投标申请文件</w:t>
      </w:r>
      <w:r>
        <w:rPr>
          <w:rFonts w:hint="eastAsia" w:ascii="宋体" w:hAnsi="宋体" w:cs="宋体"/>
          <w:szCs w:val="21"/>
        </w:rPr>
        <w:t>或者</w:t>
      </w:r>
      <w:r>
        <w:rPr>
          <w:rFonts w:hint="eastAsia" w:ascii="宋体" w:hAnsi="宋体" w:cs="宋体"/>
          <w:kern w:val="0"/>
          <w:szCs w:val="21"/>
        </w:rPr>
        <w:t>投标</w:t>
      </w:r>
      <w:r>
        <w:rPr>
          <w:rFonts w:hint="eastAsia" w:ascii="宋体" w:hAnsi="宋体" w:cs="宋体"/>
          <w:szCs w:val="21"/>
        </w:rPr>
        <w:t>报价，但招募文件要求递交备选</w:t>
      </w:r>
      <w:r>
        <w:rPr>
          <w:rFonts w:hint="eastAsia" w:ascii="宋体" w:hAnsi="宋体" w:cs="宋体"/>
          <w:kern w:val="0"/>
          <w:szCs w:val="21"/>
        </w:rPr>
        <w:t>投标</w:t>
      </w:r>
      <w:r>
        <w:rPr>
          <w:rFonts w:hint="eastAsia" w:ascii="宋体" w:hAnsi="宋体" w:cs="宋体"/>
          <w:szCs w:val="21"/>
        </w:rPr>
        <w:t>的除外；</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kern w:val="0"/>
          <w:szCs w:val="21"/>
        </w:rPr>
        <w:t>投标</w:t>
      </w:r>
      <w:r>
        <w:rPr>
          <w:rFonts w:hint="eastAsia" w:ascii="宋体" w:hAnsi="宋体" w:cs="宋体"/>
          <w:szCs w:val="21"/>
        </w:rPr>
        <w:t>报价低于成本或者高于招募文件设定的最高投标限价；</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kern w:val="0"/>
          <w:szCs w:val="21"/>
        </w:rPr>
        <w:t>投标申请文件</w:t>
      </w:r>
      <w:r>
        <w:rPr>
          <w:rFonts w:hint="eastAsia" w:ascii="宋体" w:hAnsi="宋体" w:cs="宋体"/>
          <w:szCs w:val="21"/>
        </w:rPr>
        <w:t>没有对招募文件的实质性要求和条件做出响应；</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9）投标人有串通</w:t>
      </w:r>
      <w:r>
        <w:rPr>
          <w:rFonts w:hint="eastAsia" w:ascii="宋体" w:hAnsi="宋体" w:cs="宋体"/>
          <w:kern w:val="0"/>
          <w:szCs w:val="21"/>
        </w:rPr>
        <w:t>投标</w:t>
      </w:r>
      <w:r>
        <w:rPr>
          <w:rFonts w:hint="eastAsia" w:ascii="宋体" w:hAnsi="宋体" w:cs="宋体"/>
          <w:szCs w:val="21"/>
        </w:rPr>
        <w:t>、弄虚作假、行贿等违法行为；</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10）投标人以他人名义投标；</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11）没有按照</w:t>
      </w:r>
      <w:r>
        <w:rPr>
          <w:rFonts w:hint="eastAsia" w:ascii="宋体" w:hAnsi="宋体" w:cs="宋体"/>
          <w:szCs w:val="21"/>
        </w:rPr>
        <w:t>招募文件</w:t>
      </w:r>
      <w:r>
        <w:rPr>
          <w:rFonts w:ascii="宋体" w:hAnsi="宋体" w:cs="宋体"/>
          <w:szCs w:val="21"/>
        </w:rPr>
        <w:t>要求提供</w:t>
      </w:r>
      <w:r>
        <w:rPr>
          <w:rFonts w:hint="eastAsia" w:ascii="宋体" w:hAnsi="宋体" w:cs="宋体"/>
          <w:kern w:val="0"/>
          <w:szCs w:val="21"/>
        </w:rPr>
        <w:t>投标</w:t>
      </w:r>
      <w:r>
        <w:rPr>
          <w:rFonts w:hint="eastAsia" w:ascii="宋体" w:hAnsi="宋体" w:cs="宋体"/>
          <w:szCs w:val="21"/>
        </w:rPr>
        <w:t>担保或者所提供的</w:t>
      </w:r>
      <w:r>
        <w:rPr>
          <w:rFonts w:hint="eastAsia" w:ascii="宋体" w:hAnsi="宋体" w:cs="宋体"/>
          <w:kern w:val="0"/>
          <w:szCs w:val="21"/>
        </w:rPr>
        <w:t>投标</w:t>
      </w:r>
      <w:r>
        <w:rPr>
          <w:rFonts w:hint="eastAsia" w:ascii="宋体" w:hAnsi="宋体" w:cs="宋体"/>
          <w:szCs w:val="21"/>
        </w:rPr>
        <w:t>担保有瑕疵；</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12）</w:t>
      </w:r>
      <w:r>
        <w:rPr>
          <w:rFonts w:hint="eastAsia" w:ascii="宋体" w:hAnsi="宋体" w:cs="宋体"/>
          <w:kern w:val="0"/>
          <w:szCs w:val="21"/>
        </w:rPr>
        <w:t>投标申请文件</w:t>
      </w:r>
      <w:r>
        <w:rPr>
          <w:rFonts w:hint="eastAsia" w:ascii="宋体" w:hAnsi="宋体" w:cs="宋体"/>
          <w:szCs w:val="21"/>
        </w:rPr>
        <w:t>载明的招标项目完成期限超过招募文件规定的期限；</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13）明显不符合技术规格、技术标准的要求；</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14）</w:t>
      </w:r>
      <w:r>
        <w:rPr>
          <w:rFonts w:hint="eastAsia" w:ascii="宋体" w:hAnsi="宋体" w:cs="宋体"/>
          <w:kern w:val="0"/>
          <w:szCs w:val="21"/>
        </w:rPr>
        <w:t>投标申请文件</w:t>
      </w:r>
      <w:r>
        <w:rPr>
          <w:rFonts w:hint="eastAsia" w:ascii="宋体" w:hAnsi="宋体" w:cs="宋体"/>
          <w:szCs w:val="21"/>
        </w:rPr>
        <w:t>载明的货物包装方式、检验标准和方法等不符合招募文件的要求；</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15）</w:t>
      </w:r>
      <w:r>
        <w:rPr>
          <w:rFonts w:hint="eastAsia" w:ascii="宋体" w:hAnsi="宋体" w:cs="宋体"/>
          <w:kern w:val="0"/>
          <w:szCs w:val="21"/>
        </w:rPr>
        <w:t>投标申请文件</w:t>
      </w:r>
      <w:r>
        <w:rPr>
          <w:rFonts w:hint="eastAsia" w:ascii="宋体" w:hAnsi="宋体" w:cs="宋体"/>
          <w:szCs w:val="21"/>
        </w:rPr>
        <w:t>附有招标人不能接受的条件；</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16）不符合</w:t>
      </w:r>
      <w:r>
        <w:rPr>
          <w:rFonts w:hint="eastAsia" w:ascii="宋体" w:hAnsi="宋体" w:cs="宋体"/>
          <w:szCs w:val="21"/>
        </w:rPr>
        <w:t>招募文件</w:t>
      </w:r>
      <w:r>
        <w:rPr>
          <w:rFonts w:ascii="宋体" w:hAnsi="宋体" w:cs="宋体"/>
          <w:szCs w:val="21"/>
        </w:rPr>
        <w:t>中规定的其他实质性要求。</w:t>
      </w:r>
    </w:p>
    <w:p>
      <w:pPr>
        <w:rPr>
          <w:b/>
          <w:bCs/>
          <w:sz w:val="24"/>
          <w:szCs w:val="32"/>
        </w:rPr>
      </w:pPr>
      <w:bookmarkStart w:id="454" w:name="_Toc450489351"/>
      <w:r>
        <w:rPr>
          <w:b/>
          <w:bCs/>
          <w:sz w:val="24"/>
          <w:szCs w:val="32"/>
        </w:rPr>
        <w:t>3.2</w:t>
      </w:r>
      <w:r>
        <w:rPr>
          <w:rFonts w:hint="eastAsia"/>
          <w:b/>
          <w:bCs/>
          <w:sz w:val="24"/>
          <w:szCs w:val="32"/>
        </w:rPr>
        <w:t>详细评审</w:t>
      </w:r>
      <w:bookmarkEnd w:id="454"/>
    </w:p>
    <w:p>
      <w:pPr>
        <w:pStyle w:val="23"/>
        <w:tabs>
          <w:tab w:val="left" w:pos="630"/>
        </w:tabs>
        <w:snapToGrid w:val="0"/>
        <w:spacing w:line="440" w:lineRule="exact"/>
        <w:ind w:firstLine="424" w:firstLineChars="202"/>
        <w:rPr>
          <w:rFonts w:hAnsi="宋体"/>
        </w:rPr>
      </w:pPr>
      <w:r>
        <w:rPr>
          <w:rFonts w:hAnsi="宋体"/>
        </w:rPr>
        <w:t>3.2.1</w:t>
      </w:r>
      <w:r>
        <w:rPr>
          <w:rFonts w:hint="eastAsia" w:hAnsi="宋体"/>
        </w:rPr>
        <w:t>评审委员会按照本章第</w:t>
      </w:r>
      <w:r>
        <w:rPr>
          <w:rFonts w:hAnsi="宋体"/>
        </w:rPr>
        <w:t>2.2款规定的评审因素和量化标准进行评分，并计算出综合评估得分。</w:t>
      </w:r>
    </w:p>
    <w:p>
      <w:pPr>
        <w:pStyle w:val="23"/>
        <w:tabs>
          <w:tab w:val="left" w:pos="630"/>
        </w:tabs>
        <w:snapToGrid w:val="0"/>
        <w:spacing w:line="440" w:lineRule="exact"/>
        <w:ind w:firstLine="424" w:firstLineChars="202"/>
        <w:rPr>
          <w:rFonts w:hAnsi="宋体"/>
        </w:rPr>
      </w:pPr>
      <w:r>
        <w:rPr>
          <w:rFonts w:hAnsi="宋体"/>
        </w:rPr>
        <w:t>3.2.2评分分值计算原则上保留小数点后两位，小数点后第三位“四舍五入”。另有规定的，见评审办法前附表。</w:t>
      </w:r>
    </w:p>
    <w:p>
      <w:pPr>
        <w:rPr>
          <w:b/>
          <w:bCs/>
          <w:sz w:val="24"/>
          <w:szCs w:val="32"/>
        </w:rPr>
      </w:pPr>
      <w:bookmarkStart w:id="455" w:name="_Toc447265561"/>
      <w:bookmarkStart w:id="456" w:name="_Toc447265275"/>
      <w:bookmarkStart w:id="457" w:name="_Toc450489352"/>
      <w:r>
        <w:rPr>
          <w:b/>
          <w:bCs/>
          <w:sz w:val="24"/>
          <w:szCs w:val="32"/>
        </w:rPr>
        <w:t>3.3</w:t>
      </w:r>
      <w:r>
        <w:rPr>
          <w:rFonts w:hint="eastAsia"/>
          <w:b/>
          <w:bCs/>
          <w:sz w:val="24"/>
          <w:szCs w:val="32"/>
        </w:rPr>
        <w:t>投标申请文件的澄清</w:t>
      </w:r>
      <w:bookmarkEnd w:id="455"/>
      <w:bookmarkEnd w:id="456"/>
      <w:bookmarkEnd w:id="457"/>
    </w:p>
    <w:p>
      <w:pPr>
        <w:pStyle w:val="23"/>
        <w:tabs>
          <w:tab w:val="left" w:pos="630"/>
        </w:tabs>
        <w:snapToGrid w:val="0"/>
        <w:spacing w:line="440" w:lineRule="exact"/>
        <w:ind w:firstLine="424" w:firstLineChars="202"/>
        <w:rPr>
          <w:rFonts w:hAnsi="宋体"/>
        </w:rPr>
      </w:pPr>
      <w:r>
        <w:rPr>
          <w:rFonts w:hAnsi="宋体"/>
        </w:rPr>
        <w:t>3.3.1在评审过程中，</w:t>
      </w:r>
      <w:r>
        <w:rPr>
          <w:rFonts w:hint="eastAsia" w:hAnsi="宋体"/>
        </w:rPr>
        <w:t>评审委员会</w:t>
      </w:r>
      <w:r>
        <w:rPr>
          <w:rFonts w:hAnsi="宋体"/>
        </w:rPr>
        <w:t>应当以书面形式要求投标人对所递交的</w:t>
      </w:r>
      <w:r>
        <w:rPr>
          <w:rFonts w:hint="eastAsia" w:hAnsi="宋体" w:cs="宋体"/>
          <w:kern w:val="0"/>
          <w:szCs w:val="21"/>
        </w:rPr>
        <w:t>投标申请文件</w:t>
      </w:r>
      <w:r>
        <w:rPr>
          <w:rFonts w:hint="eastAsia" w:hAnsi="宋体"/>
        </w:rPr>
        <w:t>中不明确的内容进行书面澄清、说明或者对</w:t>
      </w:r>
      <w:r>
        <w:rPr>
          <w:rFonts w:hint="eastAsia" w:hAnsi="宋体" w:cs="宋体"/>
          <w:kern w:val="0"/>
          <w:szCs w:val="21"/>
        </w:rPr>
        <w:t>投标申请文件</w:t>
      </w:r>
      <w:r>
        <w:rPr>
          <w:rFonts w:hint="eastAsia" w:hAnsi="宋体"/>
        </w:rPr>
        <w:t>中的细微偏差进行补正。评审委员会不接受投标人主动提出的澄清、说明或者补正。</w:t>
      </w:r>
    </w:p>
    <w:p>
      <w:pPr>
        <w:pStyle w:val="23"/>
        <w:tabs>
          <w:tab w:val="left" w:pos="630"/>
        </w:tabs>
        <w:snapToGrid w:val="0"/>
        <w:spacing w:line="440" w:lineRule="exact"/>
        <w:ind w:firstLine="424" w:firstLineChars="202"/>
        <w:rPr>
          <w:rFonts w:hAnsi="宋体"/>
        </w:rPr>
      </w:pPr>
      <w:r>
        <w:rPr>
          <w:rFonts w:hAnsi="宋体"/>
        </w:rPr>
        <w:t>3.3.2细微偏差是指</w:t>
      </w:r>
      <w:r>
        <w:rPr>
          <w:rFonts w:hint="eastAsia" w:hAnsi="宋体" w:cs="宋体"/>
          <w:kern w:val="0"/>
          <w:szCs w:val="21"/>
        </w:rPr>
        <w:t>投标申请文件</w:t>
      </w:r>
      <w:r>
        <w:rPr>
          <w:rFonts w:hint="eastAsia" w:hAnsi="宋体"/>
        </w:rPr>
        <w:t>在实质上响应招募文件要求，但个别地方存在漏项或者提供了不完整的技术信息和数据等情况，并且补正这些遗漏或者不完整不会对其他投标人造成不公平的结果。细微偏差不影响</w:t>
      </w:r>
      <w:r>
        <w:rPr>
          <w:rFonts w:hint="eastAsia" w:hAnsi="宋体" w:cs="宋体"/>
          <w:kern w:val="0"/>
          <w:szCs w:val="21"/>
        </w:rPr>
        <w:t>投标申请文件</w:t>
      </w:r>
      <w:r>
        <w:rPr>
          <w:rFonts w:hint="eastAsia" w:hAnsi="宋体"/>
        </w:rPr>
        <w:t>的有效性。</w:t>
      </w:r>
    </w:p>
    <w:p>
      <w:pPr>
        <w:pStyle w:val="23"/>
        <w:tabs>
          <w:tab w:val="left" w:pos="630"/>
        </w:tabs>
        <w:snapToGrid w:val="0"/>
        <w:spacing w:line="440" w:lineRule="exact"/>
        <w:ind w:firstLine="424" w:firstLineChars="202"/>
        <w:rPr>
          <w:rFonts w:hAnsi="宋体"/>
        </w:rPr>
      </w:pPr>
      <w:r>
        <w:rPr>
          <w:rFonts w:hAnsi="宋体"/>
        </w:rPr>
        <w:t>3.3.3澄清、说明和补正不得改变</w:t>
      </w:r>
      <w:r>
        <w:rPr>
          <w:rFonts w:hint="eastAsia" w:hAnsi="宋体"/>
        </w:rPr>
        <w:t>投标申请文件</w:t>
      </w:r>
      <w:r>
        <w:rPr>
          <w:rFonts w:hAnsi="宋体"/>
        </w:rPr>
        <w:t>的实质性内容（算术性错误修正的除外）。投标人的书面澄清、说明和补正属于</w:t>
      </w:r>
      <w:r>
        <w:rPr>
          <w:rFonts w:hint="eastAsia" w:hAnsi="宋体" w:cs="宋体"/>
          <w:kern w:val="0"/>
          <w:szCs w:val="21"/>
        </w:rPr>
        <w:t>投标</w:t>
      </w:r>
      <w:r>
        <w:rPr>
          <w:rFonts w:hint="eastAsia" w:hAnsi="宋体"/>
        </w:rPr>
        <w:t>选文件的组成部分。</w:t>
      </w:r>
    </w:p>
    <w:p>
      <w:pPr>
        <w:pStyle w:val="23"/>
        <w:tabs>
          <w:tab w:val="left" w:pos="630"/>
        </w:tabs>
        <w:snapToGrid w:val="0"/>
        <w:spacing w:line="440" w:lineRule="exact"/>
        <w:ind w:firstLine="424" w:firstLineChars="202"/>
        <w:rPr>
          <w:rFonts w:hAnsi="宋体"/>
        </w:rPr>
      </w:pPr>
      <w:r>
        <w:rPr>
          <w:rFonts w:hAnsi="宋体"/>
        </w:rPr>
        <w:t>3.3.4</w:t>
      </w:r>
      <w:r>
        <w:rPr>
          <w:rFonts w:hint="eastAsia" w:hAnsi="宋体"/>
        </w:rPr>
        <w:t>评审委员会</w:t>
      </w:r>
      <w:r>
        <w:rPr>
          <w:rFonts w:hAnsi="宋体"/>
        </w:rPr>
        <w:t>对投标人递交的澄清、说明或者补正有疑问的，可以要求投标人进一步澄清、说明或者补正，直至满足</w:t>
      </w:r>
      <w:r>
        <w:rPr>
          <w:rFonts w:hint="eastAsia" w:hAnsi="宋体"/>
        </w:rPr>
        <w:t>评审委员会</w:t>
      </w:r>
      <w:r>
        <w:rPr>
          <w:rFonts w:hAnsi="宋体"/>
        </w:rPr>
        <w:t>的要求。</w:t>
      </w:r>
    </w:p>
    <w:p>
      <w:pPr>
        <w:pStyle w:val="23"/>
        <w:tabs>
          <w:tab w:val="left" w:pos="630"/>
        </w:tabs>
        <w:snapToGrid w:val="0"/>
        <w:spacing w:line="440" w:lineRule="exact"/>
        <w:ind w:firstLine="424" w:firstLineChars="202"/>
        <w:rPr>
          <w:rFonts w:hAnsi="宋体"/>
        </w:rPr>
      </w:pPr>
      <w:r>
        <w:rPr>
          <w:rFonts w:hAnsi="宋体"/>
        </w:rPr>
        <w:t>3.3.5</w:t>
      </w:r>
      <w:r>
        <w:rPr>
          <w:rFonts w:hint="eastAsia" w:hAnsi="宋体"/>
        </w:rPr>
        <w:t>评审委员会必要时可以要求投标人递交有关证明和证件的原件，以便核验。</w:t>
      </w:r>
    </w:p>
    <w:p>
      <w:pPr>
        <w:rPr>
          <w:b/>
          <w:bCs/>
          <w:sz w:val="24"/>
          <w:szCs w:val="32"/>
        </w:rPr>
      </w:pPr>
      <w:bookmarkStart w:id="458" w:name="_Toc450489353"/>
      <w:r>
        <w:rPr>
          <w:b/>
          <w:bCs/>
          <w:sz w:val="24"/>
          <w:szCs w:val="32"/>
        </w:rPr>
        <w:t>3.4</w:t>
      </w:r>
      <w:r>
        <w:rPr>
          <w:rFonts w:hint="eastAsia"/>
          <w:b/>
          <w:bCs/>
          <w:sz w:val="24"/>
          <w:szCs w:val="32"/>
        </w:rPr>
        <w:t>中标入围候选单位推荐原则</w:t>
      </w:r>
      <w:bookmarkEnd w:id="458"/>
    </w:p>
    <w:p>
      <w:pPr>
        <w:pStyle w:val="23"/>
        <w:tabs>
          <w:tab w:val="left" w:pos="630"/>
        </w:tabs>
        <w:snapToGrid w:val="0"/>
        <w:spacing w:line="440" w:lineRule="exact"/>
        <w:ind w:firstLine="424" w:firstLineChars="202"/>
        <w:rPr>
          <w:rFonts w:hAnsi="宋体"/>
        </w:rPr>
      </w:pPr>
      <w:r>
        <w:rPr>
          <w:rFonts w:hAnsi="宋体"/>
        </w:rPr>
        <w:t>3.4.1</w:t>
      </w:r>
      <w:r>
        <w:rPr>
          <w:rFonts w:hint="eastAsia" w:hAnsi="宋体"/>
        </w:rPr>
        <w:t>评审委员会</w:t>
      </w:r>
      <w:r>
        <w:rPr>
          <w:rFonts w:hAnsi="宋体"/>
        </w:rPr>
        <w:t>按照综合评分由高到低的顺序推荐</w:t>
      </w:r>
      <w:r>
        <w:rPr>
          <w:rFonts w:hint="eastAsia" w:hAnsi="宋体"/>
        </w:rPr>
        <w:t>中标入围候选单位</w:t>
      </w:r>
      <w:r>
        <w:rPr>
          <w:rFonts w:hAnsi="宋体"/>
        </w:rPr>
        <w:t>。综合评分相同的，处理原则见评审办法前附表。</w:t>
      </w:r>
    </w:p>
    <w:p>
      <w:pPr>
        <w:pStyle w:val="23"/>
        <w:tabs>
          <w:tab w:val="left" w:pos="630"/>
        </w:tabs>
        <w:snapToGrid w:val="0"/>
        <w:spacing w:line="440" w:lineRule="exact"/>
        <w:ind w:firstLine="424" w:firstLineChars="202"/>
        <w:rPr>
          <w:rFonts w:hAnsi="宋体"/>
        </w:rPr>
      </w:pPr>
      <w:r>
        <w:rPr>
          <w:rFonts w:hAnsi="宋体"/>
        </w:rPr>
        <w:t>3.4.2</w:t>
      </w:r>
      <w:r>
        <w:rPr>
          <w:rFonts w:hint="eastAsia" w:hAnsi="宋体"/>
        </w:rPr>
        <w:t>中标入围候选单位</w:t>
      </w:r>
      <w:r>
        <w:rPr>
          <w:rFonts w:hAnsi="宋体"/>
        </w:rPr>
        <w:t>推荐原则见评审办法前附表。</w:t>
      </w:r>
    </w:p>
    <w:p>
      <w:pPr>
        <w:rPr>
          <w:b/>
          <w:bCs/>
          <w:sz w:val="24"/>
          <w:szCs w:val="32"/>
        </w:rPr>
      </w:pPr>
      <w:bookmarkStart w:id="459" w:name="_Toc450489354"/>
      <w:r>
        <w:rPr>
          <w:b/>
          <w:bCs/>
          <w:sz w:val="24"/>
          <w:szCs w:val="32"/>
        </w:rPr>
        <w:t>3.5</w:t>
      </w:r>
      <w:r>
        <w:rPr>
          <w:rFonts w:hint="eastAsia"/>
          <w:b/>
          <w:bCs/>
          <w:sz w:val="24"/>
          <w:szCs w:val="32"/>
        </w:rPr>
        <w:t>评审结果</w:t>
      </w:r>
      <w:bookmarkEnd w:id="459"/>
    </w:p>
    <w:p>
      <w:pPr>
        <w:pStyle w:val="23"/>
        <w:tabs>
          <w:tab w:val="left" w:pos="630"/>
        </w:tabs>
        <w:snapToGrid w:val="0"/>
        <w:spacing w:line="440" w:lineRule="exact"/>
        <w:ind w:firstLine="424" w:firstLineChars="202"/>
        <w:rPr>
          <w:rFonts w:hAnsi="宋体"/>
        </w:rPr>
      </w:pPr>
      <w:r>
        <w:rPr>
          <w:rFonts w:hAnsi="宋体"/>
        </w:rPr>
        <w:t>3.5.1</w:t>
      </w:r>
      <w:r>
        <w:rPr>
          <w:rFonts w:hint="eastAsia" w:hAnsi="宋体"/>
        </w:rPr>
        <w:t>评审委员会</w:t>
      </w:r>
      <w:r>
        <w:rPr>
          <w:rFonts w:hAnsi="宋体"/>
        </w:rPr>
        <w:t>完成评审后，应当向招标人递交书面评审报告。</w:t>
      </w:r>
      <w:r>
        <w:rPr>
          <w:rFonts w:hint="eastAsia" w:hAnsi="宋体"/>
        </w:rPr>
        <w:t>评审委员会</w:t>
      </w:r>
      <w:r>
        <w:rPr>
          <w:rFonts w:hAnsi="宋体"/>
        </w:rPr>
        <w:t>分组评审的，应当形成统一、完整的评审报告。</w:t>
      </w:r>
    </w:p>
    <w:p>
      <w:pPr>
        <w:pStyle w:val="76"/>
        <w:spacing w:before="240" w:after="120"/>
        <w:rPr>
          <w:rFonts w:ascii="宋体" w:hAnsi="宋体" w:cs="宋体"/>
          <w:szCs w:val="21"/>
        </w:rPr>
        <w:sectPr>
          <w:pgSz w:w="11906" w:h="16838"/>
          <w:pgMar w:top="1440" w:right="1800" w:bottom="1440" w:left="1800" w:header="851" w:footer="992" w:gutter="0"/>
          <w:cols w:space="425" w:num="1"/>
          <w:docGrid w:type="lines" w:linePitch="312" w:charSpace="0"/>
        </w:sectPr>
      </w:pPr>
      <w:r>
        <w:rPr>
          <w:rFonts w:ascii="宋体" w:hAnsi="宋体" w:cs="宋体"/>
          <w:szCs w:val="21"/>
        </w:rPr>
        <w:br w:type="page"/>
      </w:r>
      <w:bookmarkEnd w:id="425"/>
      <w:bookmarkEnd w:id="426"/>
      <w:bookmarkEnd w:id="427"/>
      <w:bookmarkEnd w:id="428"/>
      <w:bookmarkEnd w:id="429"/>
    </w:p>
    <w:p>
      <w:pPr>
        <w:pStyle w:val="76"/>
        <w:spacing w:before="240" w:after="120"/>
        <w:rPr>
          <w:rFonts w:ascii="宋体" w:hAnsi="宋体" w:cs="宋体"/>
          <w:b/>
          <w:bCs w:val="0"/>
          <w:kern w:val="0"/>
          <w:sz w:val="28"/>
          <w:szCs w:val="28"/>
        </w:rPr>
      </w:pPr>
      <w:bookmarkStart w:id="460" w:name="_Toc475472623"/>
      <w:bookmarkStart w:id="461" w:name="_Toc1774"/>
      <w:bookmarkStart w:id="462" w:name="_Toc11830"/>
      <w:bookmarkStart w:id="463" w:name="_Toc56432219"/>
      <w:bookmarkStart w:id="464" w:name="_Toc5240"/>
      <w:bookmarkStart w:id="465" w:name="_Toc227057959"/>
      <w:bookmarkStart w:id="466" w:name="_Toc447265599"/>
      <w:bookmarkStart w:id="467" w:name="_Toc447265313"/>
      <w:bookmarkStart w:id="468" w:name="_Toc226969353"/>
      <w:bookmarkStart w:id="469" w:name="_Toc107822570"/>
      <w:r>
        <w:rPr>
          <w:rFonts w:hint="eastAsia" w:ascii="宋体" w:hAnsi="宋体" w:eastAsia="宋体" w:cs="宋体"/>
          <w:b/>
          <w:bCs w:val="0"/>
          <w:kern w:val="0"/>
          <w:sz w:val="28"/>
          <w:szCs w:val="28"/>
        </w:rPr>
        <w:t xml:space="preserve">第四章  </w:t>
      </w:r>
      <w:bookmarkEnd w:id="460"/>
      <w:r>
        <w:rPr>
          <w:rFonts w:hint="eastAsia" w:ascii="宋体" w:hAnsi="宋体" w:eastAsia="宋体" w:cs="宋体"/>
          <w:b/>
          <w:bCs w:val="0"/>
          <w:kern w:val="0"/>
          <w:sz w:val="28"/>
          <w:szCs w:val="28"/>
        </w:rPr>
        <w:t>合同</w:t>
      </w:r>
      <w:bookmarkEnd w:id="461"/>
      <w:bookmarkEnd w:id="462"/>
      <w:bookmarkEnd w:id="463"/>
      <w:r>
        <w:rPr>
          <w:rFonts w:hint="eastAsia" w:ascii="宋体" w:hAnsi="宋体" w:eastAsia="宋体" w:cs="宋体"/>
          <w:b/>
          <w:bCs w:val="0"/>
          <w:kern w:val="0"/>
          <w:sz w:val="28"/>
          <w:szCs w:val="28"/>
        </w:rPr>
        <w:t>条款</w:t>
      </w:r>
      <w:bookmarkEnd w:id="464"/>
    </w:p>
    <w:p>
      <w:pPr>
        <w:spacing w:line="400" w:lineRule="exact"/>
        <w:jc w:val="left"/>
        <w:rPr>
          <w:rFonts w:ascii="宋体" w:hAnsi="宋体"/>
          <w:b/>
          <w:szCs w:val="21"/>
        </w:rPr>
      </w:pPr>
      <w:r>
        <w:rPr>
          <w:rFonts w:hint="eastAsia" w:ascii="宋体" w:hAnsi="宋体"/>
          <w:b/>
          <w:szCs w:val="21"/>
        </w:rPr>
        <w:t>总则</w:t>
      </w:r>
    </w:p>
    <w:p>
      <w:pPr>
        <w:spacing w:line="400" w:lineRule="exact"/>
        <w:jc w:val="left"/>
        <w:rPr>
          <w:rFonts w:ascii="宋体" w:hAnsi="宋体"/>
          <w:szCs w:val="21"/>
        </w:rPr>
      </w:pPr>
      <w:r>
        <w:rPr>
          <w:rFonts w:ascii="宋体" w:hAnsi="宋体"/>
          <w:szCs w:val="21"/>
        </w:rPr>
        <w:t>1.1本章涉及商务合同条款要求，</w:t>
      </w:r>
      <w:r>
        <w:rPr>
          <w:rFonts w:hint="eastAsia" w:ascii="宋体" w:hAnsi="宋体"/>
          <w:szCs w:val="21"/>
        </w:rPr>
        <w:t>投标人填写商务合同条款偏离表</w:t>
      </w:r>
      <w:r>
        <w:rPr>
          <w:rFonts w:ascii="宋体" w:hAnsi="宋体"/>
          <w:szCs w:val="21"/>
        </w:rPr>
        <w:t>之用，并作为中标后买卖双方签订合同的基础。</w:t>
      </w:r>
    </w:p>
    <w:p>
      <w:pPr>
        <w:spacing w:line="400" w:lineRule="exact"/>
        <w:jc w:val="left"/>
        <w:rPr>
          <w:rFonts w:ascii="宋体" w:hAnsi="宋体"/>
          <w:szCs w:val="21"/>
        </w:rPr>
      </w:pPr>
      <w:r>
        <w:rPr>
          <w:rFonts w:ascii="宋体" w:hAnsi="宋体"/>
          <w:szCs w:val="21"/>
        </w:rPr>
        <w:t>1.2针对本章合同条款内容，</w:t>
      </w:r>
      <w:r>
        <w:rPr>
          <w:rFonts w:hint="eastAsia" w:ascii="宋体" w:hAnsi="宋体"/>
          <w:szCs w:val="21"/>
        </w:rPr>
        <w:t>投标人</w:t>
      </w:r>
      <w:r>
        <w:rPr>
          <w:rFonts w:ascii="宋体" w:hAnsi="宋体"/>
          <w:szCs w:val="21"/>
        </w:rPr>
        <w:t>应</w:t>
      </w:r>
      <w:r>
        <w:rPr>
          <w:rFonts w:hint="eastAsia" w:ascii="宋体" w:hAnsi="宋体"/>
          <w:szCs w:val="21"/>
        </w:rPr>
        <w:t>填写“商务合同条款偏离表”。如存在偏离</w:t>
      </w:r>
      <w:r>
        <w:rPr>
          <w:rFonts w:ascii="宋体" w:hAnsi="宋体"/>
          <w:szCs w:val="21"/>
        </w:rPr>
        <w:t>应提出充分理由并</w:t>
      </w:r>
      <w:r>
        <w:rPr>
          <w:rFonts w:hint="eastAsia" w:ascii="宋体" w:hAnsi="宋体"/>
          <w:szCs w:val="21"/>
        </w:rPr>
        <w:t>在“合同条款偏离表”中</w:t>
      </w:r>
      <w:r>
        <w:rPr>
          <w:rFonts w:ascii="宋体" w:hAnsi="宋体"/>
          <w:szCs w:val="21"/>
        </w:rPr>
        <w:t>加以详尽说明。</w:t>
      </w:r>
    </w:p>
    <w:p>
      <w:pPr>
        <w:spacing w:line="400" w:lineRule="exact"/>
        <w:jc w:val="left"/>
        <w:rPr>
          <w:rFonts w:ascii="宋体" w:hAnsi="宋体"/>
          <w:szCs w:val="21"/>
        </w:rPr>
      </w:pPr>
      <w:r>
        <w:rPr>
          <w:rFonts w:ascii="宋体" w:hAnsi="宋体"/>
          <w:szCs w:val="21"/>
        </w:rPr>
        <w:t>1.3本章内容根据</w:t>
      </w:r>
      <w:r>
        <w:rPr>
          <w:rFonts w:hint="eastAsia" w:ascii="宋体" w:hAnsi="宋体"/>
          <w:szCs w:val="21"/>
        </w:rPr>
        <w:t>投标人</w:t>
      </w:r>
      <w:r>
        <w:rPr>
          <w:rFonts w:ascii="宋体" w:hAnsi="宋体"/>
          <w:szCs w:val="21"/>
        </w:rPr>
        <w:t>的投标情况完善后，将作为</w:t>
      </w:r>
      <w:r>
        <w:rPr>
          <w:rFonts w:hint="eastAsia" w:ascii="宋体" w:hAnsi="宋体"/>
          <w:szCs w:val="21"/>
        </w:rPr>
        <w:t>招标人</w:t>
      </w:r>
      <w:r>
        <w:rPr>
          <w:rFonts w:ascii="宋体" w:hAnsi="宋体"/>
          <w:szCs w:val="21"/>
        </w:rPr>
        <w:t>与</w:t>
      </w:r>
      <w:r>
        <w:rPr>
          <w:rFonts w:hint="eastAsia" w:ascii="宋体" w:hAnsi="宋体"/>
          <w:szCs w:val="21"/>
        </w:rPr>
        <w:t>中标入围单位</w:t>
      </w:r>
      <w:r>
        <w:rPr>
          <w:rFonts w:ascii="宋体" w:hAnsi="宋体"/>
          <w:szCs w:val="21"/>
        </w:rPr>
        <w:t>签订合同的基础。</w:t>
      </w:r>
      <w:r>
        <w:rPr>
          <w:rFonts w:hint="eastAsia" w:ascii="宋体" w:hAnsi="宋体"/>
          <w:szCs w:val="21"/>
        </w:rPr>
        <w:t>本项目招标人</w:t>
      </w:r>
      <w:r>
        <w:rPr>
          <w:rFonts w:ascii="宋体" w:hAnsi="宋体"/>
          <w:szCs w:val="21"/>
        </w:rPr>
        <w:t>为合同甲方；</w:t>
      </w:r>
      <w:r>
        <w:rPr>
          <w:rFonts w:hint="eastAsia" w:ascii="宋体" w:hAnsi="宋体"/>
          <w:szCs w:val="21"/>
        </w:rPr>
        <w:t>中标入围单位</w:t>
      </w:r>
      <w:r>
        <w:rPr>
          <w:rFonts w:ascii="宋体" w:hAnsi="宋体"/>
          <w:szCs w:val="21"/>
        </w:rPr>
        <w:t>为合同乙方。</w:t>
      </w:r>
    </w:p>
    <w:p>
      <w:pPr>
        <w:spacing w:before="62" w:beforeLines="20" w:after="62" w:afterLines="20" w:line="400" w:lineRule="exact"/>
        <w:ind w:firstLine="422" w:firstLineChars="200"/>
        <w:textAlignment w:val="baseline"/>
        <w:rPr>
          <w:rFonts w:ascii="宋体" w:hAnsi="宋体"/>
          <w:b/>
        </w:rPr>
      </w:pPr>
      <w:r>
        <w:rPr>
          <w:rFonts w:hint="eastAsia" w:ascii="宋体" w:hAnsi="宋体"/>
          <w:b/>
        </w:rPr>
        <w:t>投标人须对《合同书》全部条款理解清楚，并填写《合同条款偏离表》（格式见第六章）。</w:t>
      </w:r>
    </w:p>
    <w:p>
      <w:pPr>
        <w:spacing w:line="360" w:lineRule="auto"/>
        <w:ind w:firstLine="422" w:firstLineChars="200"/>
        <w:rPr>
          <w:rFonts w:ascii="宋体" w:hAnsi="宋体"/>
          <w:b/>
        </w:rPr>
      </w:pPr>
      <w:r>
        <w:rPr>
          <w:rFonts w:hint="eastAsia" w:ascii="宋体" w:hAnsi="宋体"/>
          <w:b/>
        </w:rPr>
        <w:t>注：本合同仅供参考，并非正式合同，当投标人在成交后，应依据本合同的主要条款与采购方签订正式合同；当本合同与招募文件其他部分有冲突，应按招募文件的其他部分为准编制招募文件。合同版本与条款以甲方最新合同模板为准。</w:t>
      </w:r>
    </w:p>
    <w:p>
      <w:pPr>
        <w:rPr>
          <w:rFonts w:ascii="宋体" w:hAnsi="宋体"/>
          <w:b/>
        </w:rPr>
      </w:pPr>
      <w:r>
        <w:rPr>
          <w:rFonts w:ascii="宋体" w:hAnsi="宋体"/>
          <w:b/>
        </w:rPr>
        <w:br w:type="page"/>
      </w:r>
    </w:p>
    <w:bookmarkEnd w:id="465"/>
    <w:bookmarkEnd w:id="466"/>
    <w:bookmarkEnd w:id="467"/>
    <w:bookmarkEnd w:id="468"/>
    <w:bookmarkEnd w:id="469"/>
    <w:p>
      <w:bookmarkStart w:id="470" w:name="_Toc475472662"/>
      <w:bookmarkStart w:id="471" w:name="_Toc14414"/>
      <w:bookmarkStart w:id="472" w:name="_Toc56432221"/>
      <w:bookmarkStart w:id="473" w:name="_Toc447265602"/>
      <w:bookmarkStart w:id="474" w:name="_Toc475472669"/>
      <w:bookmarkStart w:id="475" w:name="_Toc447265316"/>
      <w:r>
        <w:rPr>
          <w:sz w:val="27"/>
        </w:rPr>
        <w:t xml:space="preserve"> </w:t>
      </w:r>
    </w:p>
    <w:p>
      <w:pPr>
        <w:jc w:val="center"/>
      </w:pPr>
    </w:p>
    <w:p>
      <w:pPr>
        <w:jc w:val="center"/>
        <w:rPr>
          <w:rFonts w:ascii="宋体" w:hAnsi="宋体" w:cs="宋体"/>
          <w:b/>
          <w:sz w:val="72"/>
          <w:szCs w:val="72"/>
        </w:rPr>
      </w:pPr>
      <w:r>
        <w:rPr>
          <w:rFonts w:hint="eastAsia" w:ascii="宋体" w:hAnsi="宋体" w:cs="宋体"/>
          <w:b/>
          <w:sz w:val="72"/>
          <w:szCs w:val="72"/>
        </w:rPr>
        <w:t>招 标 入 围 合 同 书</w:t>
      </w:r>
    </w:p>
    <w:p>
      <w:pPr>
        <w:pStyle w:val="49"/>
        <w:ind w:firstLine="420"/>
      </w:pPr>
    </w:p>
    <w:p>
      <w:pPr>
        <w:pStyle w:val="3"/>
        <w:rPr>
          <w:rFonts w:ascii="宋体" w:hAnsi="宋体" w:eastAsia="宋体" w:cs="宋体"/>
        </w:rPr>
      </w:pPr>
    </w:p>
    <w:p>
      <w:pPr>
        <w:pStyle w:val="3"/>
        <w:rPr>
          <w:rFonts w:ascii="宋体" w:hAnsi="宋体" w:eastAsia="宋体" w:cs="宋体"/>
        </w:rPr>
      </w:pPr>
    </w:p>
    <w:p>
      <w:pPr>
        <w:jc w:val="center"/>
        <w:rPr>
          <w:rFonts w:ascii="宋体" w:hAnsi="宋体" w:cs="宋体"/>
          <w:b/>
          <w:sz w:val="28"/>
          <w:szCs w:val="28"/>
        </w:rPr>
      </w:pPr>
    </w:p>
    <w:p>
      <w:pPr>
        <w:spacing w:line="360" w:lineRule="auto"/>
        <w:rPr>
          <w:rFonts w:ascii="宋体" w:hAnsi="宋体" w:cs="宋体"/>
          <w:b/>
          <w:sz w:val="28"/>
          <w:szCs w:val="28"/>
        </w:rPr>
      </w:pPr>
      <w:r>
        <w:rPr>
          <w:rFonts w:hint="eastAsia" w:ascii="宋体" w:hAnsi="宋体" w:cs="宋体"/>
          <w:b/>
          <w:sz w:val="28"/>
          <w:szCs w:val="28"/>
        </w:rPr>
        <w:t>项目名称：</w:t>
      </w:r>
      <w:r>
        <w:rPr>
          <w:rFonts w:hint="eastAsia" w:ascii="宋体" w:hAnsi="宋体" w:cs="宋体"/>
          <w:b/>
          <w:sz w:val="28"/>
          <w:szCs w:val="28"/>
          <w:u w:val="single"/>
        </w:rPr>
        <w:t xml:space="preserve"> </w:t>
      </w:r>
      <w:r>
        <w:rPr>
          <w:rFonts w:ascii="宋体" w:hAnsi="宋体" w:cs="宋体"/>
          <w:b/>
          <w:sz w:val="28"/>
          <w:szCs w:val="28"/>
          <w:u w:val="single"/>
        </w:rPr>
        <w:t>2024</w:t>
      </w:r>
      <w:r>
        <w:rPr>
          <w:rFonts w:hint="eastAsia" w:ascii="宋体" w:hAnsi="宋体" w:cs="宋体"/>
          <w:b/>
          <w:sz w:val="28"/>
          <w:szCs w:val="28"/>
          <w:u w:val="single"/>
        </w:rPr>
        <w:t xml:space="preserve">年“疆品南下 粤品北上”项目供应商库招募项目 </w:t>
      </w:r>
    </w:p>
    <w:p>
      <w:pPr>
        <w:spacing w:line="360" w:lineRule="auto"/>
        <w:rPr>
          <w:rFonts w:ascii="宋体" w:hAnsi="宋体" w:cs="宋体"/>
          <w:b/>
          <w:sz w:val="28"/>
          <w:szCs w:val="28"/>
        </w:rPr>
      </w:pPr>
      <w:r>
        <w:rPr>
          <w:rFonts w:hint="eastAsia" w:ascii="宋体" w:hAnsi="宋体" w:cs="宋体"/>
          <w:b/>
          <w:sz w:val="28"/>
          <w:szCs w:val="28"/>
        </w:rPr>
        <w:t>合同编号：</w:t>
      </w:r>
      <w:r>
        <w:rPr>
          <w:rFonts w:hint="eastAsia" w:ascii="宋体" w:hAnsi="宋体" w:cs="宋体"/>
          <w:b/>
          <w:sz w:val="28"/>
          <w:szCs w:val="28"/>
          <w:u w:val="single"/>
        </w:rPr>
        <w:t xml:space="preserve">                                   </w:t>
      </w:r>
      <w:r>
        <w:rPr>
          <w:rFonts w:ascii="宋体" w:hAnsi="宋体" w:cs="宋体"/>
          <w:b/>
          <w:sz w:val="28"/>
          <w:szCs w:val="28"/>
          <w:u w:val="single"/>
        </w:rPr>
        <w:t xml:space="preserve">   </w:t>
      </w:r>
      <w:r>
        <w:rPr>
          <w:rFonts w:hint="eastAsia" w:ascii="宋体" w:hAnsi="宋体" w:cs="宋体"/>
          <w:b/>
          <w:sz w:val="28"/>
          <w:szCs w:val="28"/>
          <w:u w:val="single"/>
        </w:rPr>
        <w:t xml:space="preserve">             </w:t>
      </w:r>
    </w:p>
    <w:p>
      <w:pPr>
        <w:spacing w:line="360" w:lineRule="auto"/>
        <w:rPr>
          <w:rFonts w:ascii="宋体" w:hAnsi="宋体" w:cs="宋体"/>
          <w:b/>
          <w:sz w:val="28"/>
          <w:szCs w:val="28"/>
        </w:rPr>
      </w:pPr>
      <w:r>
        <w:rPr>
          <w:rFonts w:hint="eastAsia" w:ascii="宋体" w:hAnsi="宋体" w:cs="宋体"/>
          <w:b/>
          <w:sz w:val="28"/>
          <w:szCs w:val="28"/>
        </w:rPr>
        <w:t>签订地点：</w:t>
      </w:r>
      <w:r>
        <w:rPr>
          <w:rFonts w:hint="eastAsia" w:ascii="宋体" w:hAnsi="宋体" w:cs="宋体"/>
          <w:b/>
          <w:sz w:val="28"/>
          <w:szCs w:val="28"/>
          <w:u w:val="single"/>
        </w:rPr>
        <w:t xml:space="preserve">  </w:t>
      </w:r>
      <w:r>
        <w:rPr>
          <w:rFonts w:ascii="宋体" w:hAnsi="宋体" w:cs="宋体"/>
          <w:b/>
          <w:sz w:val="28"/>
          <w:szCs w:val="28"/>
          <w:u w:val="single"/>
        </w:rPr>
        <w:t xml:space="preserve">    </w:t>
      </w:r>
      <w:r>
        <w:rPr>
          <w:rFonts w:hint="eastAsia" w:ascii="宋体" w:hAnsi="宋体" w:cs="宋体"/>
          <w:b/>
          <w:sz w:val="28"/>
          <w:szCs w:val="28"/>
          <w:u w:val="single"/>
        </w:rPr>
        <w:t xml:space="preserve">                             </w:t>
      </w:r>
      <w:r>
        <w:rPr>
          <w:rFonts w:ascii="宋体" w:hAnsi="宋体" w:cs="宋体"/>
          <w:b/>
          <w:sz w:val="28"/>
          <w:szCs w:val="28"/>
          <w:u w:val="single"/>
        </w:rPr>
        <w:t xml:space="preserve">   </w:t>
      </w:r>
      <w:r>
        <w:rPr>
          <w:rFonts w:hint="eastAsia" w:ascii="宋体" w:hAnsi="宋体" w:cs="宋体"/>
          <w:b/>
          <w:sz w:val="28"/>
          <w:szCs w:val="28"/>
          <w:u w:val="single"/>
        </w:rPr>
        <w:t xml:space="preserve">           </w:t>
      </w:r>
      <w:r>
        <w:rPr>
          <w:rFonts w:hint="eastAsia" w:ascii="宋体" w:hAnsi="宋体" w:cs="宋体"/>
          <w:b/>
          <w:sz w:val="28"/>
          <w:szCs w:val="28"/>
        </w:rPr>
        <w:t xml:space="preserve">      </w:t>
      </w:r>
    </w:p>
    <w:p>
      <w:pPr>
        <w:pStyle w:val="49"/>
        <w:spacing w:line="360" w:lineRule="auto"/>
        <w:ind w:firstLine="0" w:firstLineChars="0"/>
        <w:rPr>
          <w:rFonts w:ascii="宋体" w:hAnsi="宋体" w:cs="宋体"/>
          <w:szCs w:val="21"/>
        </w:rPr>
      </w:pPr>
    </w:p>
    <w:p>
      <w:pPr>
        <w:pStyle w:val="49"/>
        <w:spacing w:line="360" w:lineRule="auto"/>
        <w:ind w:firstLine="420"/>
        <w:rPr>
          <w:rFonts w:ascii="宋体" w:hAnsi="宋体" w:cs="宋体"/>
          <w:szCs w:val="21"/>
        </w:rPr>
      </w:pPr>
    </w:p>
    <w:p>
      <w:pPr>
        <w:spacing w:line="360" w:lineRule="auto"/>
        <w:rPr>
          <w:rFonts w:ascii="宋体" w:hAnsi="宋体" w:cs="宋体"/>
          <w:b/>
          <w:sz w:val="28"/>
          <w:szCs w:val="28"/>
        </w:rPr>
      </w:pPr>
    </w:p>
    <w:p>
      <w:pPr>
        <w:spacing w:line="360" w:lineRule="auto"/>
        <w:jc w:val="center"/>
        <w:rPr>
          <w:rFonts w:ascii="宋体" w:hAnsi="宋体" w:cs="宋体"/>
          <w:b/>
          <w:sz w:val="28"/>
          <w:szCs w:val="28"/>
        </w:rPr>
      </w:pPr>
      <w:r>
        <w:rPr>
          <w:rFonts w:hint="eastAsia" w:ascii="宋体" w:hAnsi="宋体" w:cs="宋体"/>
          <w:b/>
          <w:sz w:val="28"/>
          <w:szCs w:val="28"/>
        </w:rPr>
        <w:t>二〇    年    月   日</w:t>
      </w:r>
    </w:p>
    <w:p>
      <w:pPr>
        <w:jc w:val="left"/>
        <w:rPr>
          <w:rFonts w:ascii="宋体" w:hAnsi="宋体" w:cs="宋体"/>
          <w:b/>
          <w:sz w:val="28"/>
          <w:szCs w:val="28"/>
        </w:rPr>
      </w:pPr>
    </w:p>
    <w:p>
      <w:pPr>
        <w:rPr>
          <w:rFonts w:ascii="宋体" w:hAnsi="宋体" w:cs="宋体"/>
          <w:b/>
          <w:sz w:val="28"/>
          <w:szCs w:val="28"/>
        </w:rPr>
      </w:pPr>
    </w:p>
    <w:p>
      <w:pPr>
        <w:pStyle w:val="3"/>
        <w:ind w:left="2100"/>
        <w:rPr>
          <w:rFonts w:ascii="宋体" w:hAnsi="宋体" w:eastAsia="宋体" w:cs="宋体"/>
          <w:b/>
          <w:szCs w:val="28"/>
        </w:rPr>
      </w:pPr>
    </w:p>
    <w:p>
      <w:pPr>
        <w:rPr>
          <w:rFonts w:ascii="宋体" w:hAnsi="宋体" w:cs="宋体"/>
          <w:b/>
          <w:szCs w:val="21"/>
        </w:rPr>
      </w:pPr>
      <w:r>
        <w:rPr>
          <w:rFonts w:hint="eastAsia" w:ascii="宋体" w:hAnsi="宋体" w:cs="宋体"/>
          <w:b/>
          <w:szCs w:val="21"/>
        </w:rPr>
        <w:t>注：本合同仅为合同草案文本，合同签订双方可根据项目的具体要求进行修订和细化。</w:t>
      </w:r>
    </w:p>
    <w:p>
      <w:pPr>
        <w:ind w:firstLine="5670" w:firstLineChars="2700"/>
        <w:rPr>
          <w:rFonts w:ascii="宋体" w:hAnsi="宋体" w:cs="宋体"/>
          <w:szCs w:val="21"/>
        </w:rPr>
      </w:pPr>
    </w:p>
    <w:p>
      <w:pPr>
        <w:rPr>
          <w:rFonts w:ascii="宋体" w:hAnsi="宋体" w:cs="宋体"/>
          <w:szCs w:val="21"/>
        </w:rPr>
      </w:pPr>
      <w:r>
        <w:rPr>
          <w:rFonts w:hint="eastAsia" w:ascii="宋体" w:hAnsi="宋体" w:cs="宋体"/>
          <w:szCs w:val="21"/>
        </w:rPr>
        <w:br w:type="page"/>
      </w:r>
    </w:p>
    <w:p>
      <w:pPr>
        <w:snapToGrid w:val="0"/>
        <w:spacing w:line="360" w:lineRule="auto"/>
        <w:rPr>
          <w:rFonts w:ascii="宋体" w:hAnsi="宋体" w:cs="宋体"/>
          <w:szCs w:val="21"/>
        </w:rPr>
      </w:pPr>
      <w:r>
        <w:rPr>
          <w:rFonts w:hint="eastAsia" w:ascii="宋体" w:hAnsi="宋体" w:cs="宋体"/>
          <w:szCs w:val="21"/>
        </w:rPr>
        <w:t xml:space="preserve">甲方：广东南方农村报经营有限公司             </w:t>
      </w:r>
    </w:p>
    <w:p>
      <w:pPr>
        <w:snapToGrid w:val="0"/>
        <w:spacing w:line="360" w:lineRule="auto"/>
        <w:rPr>
          <w:rFonts w:ascii="宋体" w:hAnsi="宋体" w:cs="宋体"/>
          <w:szCs w:val="21"/>
        </w:rPr>
      </w:pPr>
      <w:r>
        <w:rPr>
          <w:rFonts w:hint="eastAsia" w:ascii="宋体" w:hAnsi="宋体" w:cs="宋体"/>
          <w:szCs w:val="21"/>
        </w:rPr>
        <w:t xml:space="preserve">联系人： </w:t>
      </w:r>
    </w:p>
    <w:p>
      <w:pPr>
        <w:snapToGrid w:val="0"/>
        <w:spacing w:line="360" w:lineRule="auto"/>
        <w:rPr>
          <w:rFonts w:ascii="宋体" w:hAnsi="宋体" w:cs="宋体"/>
          <w:szCs w:val="21"/>
        </w:rPr>
      </w:pPr>
      <w:r>
        <w:rPr>
          <w:rFonts w:hint="eastAsia" w:ascii="宋体" w:hAnsi="宋体" w:cs="宋体"/>
          <w:szCs w:val="21"/>
        </w:rPr>
        <w:t>地址：广州市黄埔区黄埔大道东888号22层自编02单元01室</w:t>
      </w:r>
    </w:p>
    <w:p>
      <w:pPr>
        <w:snapToGrid w:val="0"/>
        <w:spacing w:line="360" w:lineRule="auto"/>
        <w:rPr>
          <w:rFonts w:ascii="宋体" w:hAnsi="宋体" w:cs="宋体"/>
          <w:szCs w:val="21"/>
        </w:rPr>
      </w:pPr>
      <w:r>
        <w:rPr>
          <w:rFonts w:hint="eastAsia" w:ascii="宋体" w:hAnsi="宋体" w:cs="宋体"/>
          <w:szCs w:val="21"/>
        </w:rPr>
        <w:t>联系方式：</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乙 方：</w:t>
      </w:r>
    </w:p>
    <w:p>
      <w:pPr>
        <w:snapToGrid w:val="0"/>
        <w:spacing w:line="360" w:lineRule="auto"/>
        <w:rPr>
          <w:rFonts w:ascii="宋体" w:hAnsi="宋体" w:cs="宋体"/>
          <w:szCs w:val="21"/>
        </w:rPr>
      </w:pPr>
      <w:r>
        <w:rPr>
          <w:rFonts w:hint="eastAsia" w:ascii="宋体" w:hAnsi="宋体" w:cs="宋体"/>
          <w:szCs w:val="21"/>
        </w:rPr>
        <w:t>联系人：</w:t>
      </w:r>
    </w:p>
    <w:p>
      <w:pPr>
        <w:snapToGrid w:val="0"/>
        <w:spacing w:line="360" w:lineRule="auto"/>
        <w:rPr>
          <w:rFonts w:ascii="宋体" w:hAnsi="宋体" w:cs="宋体"/>
          <w:szCs w:val="21"/>
        </w:rPr>
      </w:pPr>
      <w:r>
        <w:rPr>
          <w:rFonts w:hint="eastAsia" w:ascii="宋体" w:hAnsi="宋体" w:cs="宋体"/>
          <w:szCs w:val="21"/>
        </w:rPr>
        <w:t>地 址：</w:t>
      </w:r>
    </w:p>
    <w:p>
      <w:pPr>
        <w:snapToGrid w:val="0"/>
        <w:spacing w:line="360" w:lineRule="auto"/>
        <w:rPr>
          <w:rFonts w:ascii="宋体" w:hAnsi="宋体" w:cs="宋体"/>
          <w:szCs w:val="21"/>
        </w:rPr>
      </w:pPr>
      <w:r>
        <w:rPr>
          <w:rFonts w:hint="eastAsia" w:ascii="宋体" w:hAnsi="宋体" w:cs="宋体"/>
          <w:szCs w:val="21"/>
        </w:rPr>
        <w:t>联系方式：</w:t>
      </w:r>
    </w:p>
    <w:p>
      <w:pPr>
        <w:pStyle w:val="170"/>
        <w:adjustRightInd w:val="0"/>
        <w:snapToGrid w:val="0"/>
        <w:spacing w:before="0" w:beforeAutospacing="0" w:after="0" w:afterAutospacing="0" w:line="360" w:lineRule="auto"/>
        <w:ind w:firstLine="420" w:firstLineChars="200"/>
        <w:rPr>
          <w:rStyle w:val="171"/>
          <w:rFonts w:cs="宋体"/>
          <w:bCs/>
          <w:sz w:val="21"/>
          <w:szCs w:val="21"/>
        </w:rPr>
      </w:pPr>
    </w:p>
    <w:p>
      <w:pPr>
        <w:pStyle w:val="170"/>
        <w:adjustRightInd w:val="0"/>
        <w:snapToGrid w:val="0"/>
        <w:spacing w:before="0" w:beforeAutospacing="0" w:after="0" w:afterAutospacing="0" w:line="360" w:lineRule="auto"/>
        <w:ind w:firstLine="420" w:firstLineChars="200"/>
        <w:rPr>
          <w:rStyle w:val="171"/>
          <w:rFonts w:cs="宋体"/>
          <w:bCs/>
          <w:sz w:val="21"/>
          <w:szCs w:val="21"/>
        </w:rPr>
      </w:pPr>
      <w:r>
        <w:rPr>
          <w:rStyle w:val="171"/>
          <w:rFonts w:hint="eastAsia" w:cs="宋体"/>
          <w:bCs/>
          <w:sz w:val="21"/>
          <w:szCs w:val="21"/>
        </w:rPr>
        <w:t>甲、乙双方经过平等友好协商，依照《中华人民共和国民法典》等相关法律法规，现就甲方委托乙方进行</w:t>
      </w:r>
      <w:r>
        <w:rPr>
          <w:rFonts w:hint="eastAsia"/>
          <w:sz w:val="21"/>
          <w:szCs w:val="21"/>
        </w:rPr>
        <w:t>搭建执行及相关</w:t>
      </w:r>
      <w:r>
        <w:rPr>
          <w:rStyle w:val="171"/>
          <w:rFonts w:hint="eastAsia" w:cs="宋体"/>
          <w:bCs/>
          <w:sz w:val="21"/>
          <w:szCs w:val="21"/>
        </w:rPr>
        <w:t>服务事宜达成如下协议，以资共同遵守。</w:t>
      </w:r>
    </w:p>
    <w:p>
      <w:pPr>
        <w:pStyle w:val="170"/>
        <w:adjustRightInd w:val="0"/>
        <w:snapToGrid w:val="0"/>
        <w:spacing w:before="0" w:beforeAutospacing="0" w:after="0" w:afterAutospacing="0" w:line="360" w:lineRule="auto"/>
        <w:ind w:firstLine="420" w:firstLineChars="200"/>
        <w:rPr>
          <w:rStyle w:val="167"/>
          <w:rFonts w:cs="宋体"/>
          <w:sz w:val="21"/>
          <w:szCs w:val="21"/>
        </w:rPr>
      </w:pPr>
    </w:p>
    <w:p>
      <w:pPr>
        <w:pStyle w:val="170"/>
        <w:snapToGrid w:val="0"/>
        <w:spacing w:before="0" w:beforeAutospacing="0" w:after="0" w:afterAutospacing="0" w:line="360" w:lineRule="auto"/>
        <w:rPr>
          <w:rStyle w:val="167"/>
          <w:rFonts w:cs="宋体"/>
          <w:b/>
          <w:sz w:val="21"/>
          <w:szCs w:val="21"/>
        </w:rPr>
      </w:pPr>
      <w:r>
        <w:rPr>
          <w:rStyle w:val="167"/>
          <w:rFonts w:hint="eastAsia" w:cs="宋体"/>
          <w:b/>
          <w:sz w:val="21"/>
          <w:szCs w:val="21"/>
        </w:rPr>
        <w:t>第一条  项目概况</w:t>
      </w:r>
    </w:p>
    <w:p>
      <w:pPr>
        <w:pStyle w:val="170"/>
        <w:wordWrap w:val="0"/>
        <w:adjustRightInd w:val="0"/>
        <w:snapToGrid w:val="0"/>
        <w:spacing w:before="0" w:beforeAutospacing="0" w:after="0" w:afterAutospacing="0" w:line="360" w:lineRule="auto"/>
        <w:ind w:firstLine="420" w:firstLineChars="200"/>
        <w:rPr>
          <w:rStyle w:val="171"/>
          <w:rFonts w:cs="宋体"/>
          <w:bCs/>
          <w:sz w:val="21"/>
          <w:szCs w:val="21"/>
        </w:rPr>
      </w:pPr>
      <w:r>
        <w:rPr>
          <w:rStyle w:val="171"/>
          <w:rFonts w:hint="eastAsia" w:cs="宋体"/>
          <w:bCs/>
          <w:sz w:val="21"/>
          <w:szCs w:val="21"/>
        </w:rPr>
        <w:t>（一）项目名称：</w:t>
      </w:r>
      <w:r>
        <w:rPr>
          <w:rStyle w:val="167"/>
          <w:rFonts w:hint="eastAsia" w:cs="宋体"/>
          <w:bCs/>
          <w:sz w:val="21"/>
          <w:szCs w:val="21"/>
          <w:u w:val="single"/>
        </w:rPr>
        <w:t xml:space="preserve"> </w:t>
      </w:r>
      <w:r>
        <w:rPr>
          <w:rFonts w:cs="宋体"/>
          <w:bCs/>
          <w:sz w:val="21"/>
          <w:szCs w:val="21"/>
          <w:u w:val="single"/>
        </w:rPr>
        <w:t xml:space="preserve">                                          </w:t>
      </w:r>
      <w:r>
        <w:rPr>
          <w:rStyle w:val="167"/>
          <w:rFonts w:hint="eastAsia" w:cs="宋体"/>
          <w:sz w:val="21"/>
          <w:szCs w:val="21"/>
        </w:rPr>
        <w:t>。</w:t>
      </w:r>
    </w:p>
    <w:p>
      <w:pPr>
        <w:pStyle w:val="170"/>
        <w:snapToGrid w:val="0"/>
        <w:spacing w:before="0" w:beforeAutospacing="0" w:after="0" w:afterAutospacing="0" w:line="360" w:lineRule="auto"/>
        <w:ind w:firstLine="420" w:firstLineChars="200"/>
        <w:rPr>
          <w:rStyle w:val="167"/>
          <w:rFonts w:cs="宋体"/>
          <w:sz w:val="21"/>
          <w:szCs w:val="21"/>
          <w:u w:val="single"/>
        </w:rPr>
      </w:pPr>
      <w:r>
        <w:rPr>
          <w:rStyle w:val="167"/>
          <w:rFonts w:hint="eastAsia" w:cs="宋体"/>
          <w:sz w:val="21"/>
          <w:szCs w:val="21"/>
        </w:rPr>
        <w:t>（二）项目地点：</w:t>
      </w:r>
      <w:r>
        <w:rPr>
          <w:rStyle w:val="167"/>
          <w:rFonts w:hint="eastAsia" w:cs="宋体"/>
          <w:sz w:val="21"/>
          <w:szCs w:val="21"/>
          <w:u w:val="single"/>
        </w:rPr>
        <w:t xml:space="preserve">    </w:t>
      </w:r>
      <w:r>
        <w:rPr>
          <w:rStyle w:val="167"/>
          <w:rFonts w:cs="宋体"/>
          <w:sz w:val="21"/>
          <w:szCs w:val="21"/>
          <w:u w:val="single"/>
        </w:rPr>
        <w:t xml:space="preserve">         </w:t>
      </w:r>
      <w:r>
        <w:rPr>
          <w:rStyle w:val="167"/>
          <w:rFonts w:hint="eastAsia" w:cs="宋体"/>
          <w:sz w:val="21"/>
          <w:szCs w:val="21"/>
          <w:u w:val="single"/>
        </w:rPr>
        <w:t xml:space="preserve">  </w:t>
      </w:r>
      <w:r>
        <w:rPr>
          <w:rStyle w:val="167"/>
          <w:rFonts w:hint="eastAsia" w:cs="宋体"/>
          <w:sz w:val="21"/>
          <w:szCs w:val="21"/>
        </w:rPr>
        <w:t>。</w:t>
      </w:r>
    </w:p>
    <w:p>
      <w:pPr>
        <w:pStyle w:val="170"/>
        <w:wordWrap w:val="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三）服务要求：在服务期内，乙方根据甲方提供的具体项目设计方案、施工图纸及服务清单，负责项目的布展实施工作及相关配套服务，包括但不限于：装饰装修及配套、水电工程、空调通风工程、消防工程、灯光设备、平面展陈布展、多媒体设备协同等施工及实施服务；整理提供与布展实施服务相关的项目资料；负责质保期内的维保服务等。</w:t>
      </w:r>
    </w:p>
    <w:p>
      <w:pPr>
        <w:pStyle w:val="170"/>
        <w:wordWrap w:val="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乙方需根据甲方实际开展的项目需求在规定时限内提供布展实施服务（包括但不限于进行布展配套装饰服务、与本项目相关配套服务及维保服务等）。</w:t>
      </w:r>
    </w:p>
    <w:p>
      <w:pPr>
        <w:pStyle w:val="170"/>
        <w:wordWrap w:val="0"/>
        <w:snapToGrid w:val="0"/>
        <w:spacing w:before="0" w:beforeAutospacing="0" w:after="0" w:afterAutospacing="0" w:line="360" w:lineRule="auto"/>
        <w:ind w:firstLine="420" w:firstLineChars="200"/>
        <w:rPr>
          <w:rStyle w:val="167"/>
          <w:rFonts w:cs="宋体"/>
          <w:bCs/>
          <w:sz w:val="21"/>
          <w:szCs w:val="21"/>
        </w:rPr>
      </w:pPr>
      <w:r>
        <w:rPr>
          <w:rStyle w:val="167"/>
          <w:rFonts w:hint="eastAsia" w:cs="宋体"/>
          <w:bCs/>
          <w:sz w:val="21"/>
          <w:szCs w:val="21"/>
        </w:rPr>
        <w:t>（四）服务期限：自合同签订之日起一年。服务期满后，经甲方同意后可再续期一年。单个具体项目的服务期限根据甲方具体要求为准。本项目为招标入围，合同履约期间甲方根据每个具体项目另行与乙方签订具体项目的实施合同。乙方在本次招标入围采购中的具体结算金额甲方不作承诺。</w:t>
      </w:r>
    </w:p>
    <w:p>
      <w:pPr>
        <w:pStyle w:val="170"/>
        <w:wordWrap w:val="0"/>
        <w:snapToGrid w:val="0"/>
        <w:spacing w:before="0" w:beforeAutospacing="0" w:after="0" w:afterAutospacing="0" w:line="360" w:lineRule="auto"/>
        <w:ind w:firstLine="420" w:firstLineChars="200"/>
        <w:rPr>
          <w:rStyle w:val="167"/>
          <w:rFonts w:cs="宋体"/>
          <w:bCs/>
          <w:sz w:val="21"/>
          <w:szCs w:val="21"/>
        </w:rPr>
      </w:pPr>
      <w:r>
        <w:rPr>
          <w:rStyle w:val="167"/>
          <w:rFonts w:hint="eastAsia" w:cs="宋体"/>
          <w:bCs/>
          <w:sz w:val="21"/>
          <w:szCs w:val="21"/>
        </w:rPr>
        <w:t>（五）项目人员要求：</w:t>
      </w:r>
    </w:p>
    <w:p>
      <w:pPr>
        <w:pStyle w:val="170"/>
        <w:wordWrap w:val="0"/>
        <w:snapToGrid w:val="0"/>
        <w:spacing w:before="0" w:beforeAutospacing="0" w:after="0" w:afterAutospacing="0" w:line="360" w:lineRule="auto"/>
        <w:ind w:firstLine="420" w:firstLineChars="200"/>
        <w:rPr>
          <w:rStyle w:val="167"/>
          <w:rFonts w:cs="宋体"/>
          <w:bCs/>
          <w:sz w:val="21"/>
          <w:szCs w:val="21"/>
        </w:rPr>
      </w:pPr>
      <w:r>
        <w:rPr>
          <w:rStyle w:val="167"/>
          <w:rFonts w:hint="eastAsia" w:cs="宋体"/>
          <w:bCs/>
          <w:sz w:val="21"/>
          <w:szCs w:val="21"/>
        </w:rPr>
        <w:t>1、管理人员：乙方须有详细项目管理组织机构，列出项目负责人、项目组主要人员以及项目组组成人员名单，并在投标申请文件中详细列出参与本项目组所有人员的姓名、年龄、职务、职称、承担的工作、主要资历、经验及承担过的项目。</w:t>
      </w:r>
    </w:p>
    <w:p>
      <w:pPr>
        <w:pStyle w:val="170"/>
        <w:wordWrap w:val="0"/>
        <w:snapToGrid w:val="0"/>
        <w:spacing w:before="0" w:beforeAutospacing="0" w:after="0" w:afterAutospacing="0" w:line="360" w:lineRule="auto"/>
        <w:ind w:firstLine="420" w:firstLineChars="200"/>
        <w:rPr>
          <w:rStyle w:val="167"/>
          <w:rFonts w:cs="宋体"/>
          <w:bCs/>
          <w:sz w:val="21"/>
          <w:szCs w:val="21"/>
        </w:rPr>
      </w:pPr>
      <w:r>
        <w:rPr>
          <w:rStyle w:val="167"/>
          <w:rFonts w:hint="eastAsia" w:cs="宋体"/>
          <w:bCs/>
          <w:sz w:val="21"/>
          <w:szCs w:val="21"/>
        </w:rPr>
        <w:t>2、实施人员：单个具体项目的具体实施人员应根据具体实施项目安排。</w:t>
      </w:r>
    </w:p>
    <w:p>
      <w:pPr>
        <w:pStyle w:val="170"/>
        <w:wordWrap w:val="0"/>
        <w:snapToGrid w:val="0"/>
        <w:spacing w:before="0" w:beforeAutospacing="0" w:after="0" w:afterAutospacing="0" w:line="360" w:lineRule="auto"/>
        <w:ind w:firstLine="420" w:firstLineChars="200"/>
        <w:rPr>
          <w:rStyle w:val="167"/>
          <w:rFonts w:cs="宋体"/>
          <w:bCs/>
          <w:sz w:val="21"/>
          <w:szCs w:val="21"/>
        </w:rPr>
      </w:pPr>
      <w:r>
        <w:rPr>
          <w:rStyle w:val="167"/>
          <w:rFonts w:hint="eastAsia" w:cs="宋体"/>
          <w:bCs/>
          <w:sz w:val="21"/>
          <w:szCs w:val="21"/>
        </w:rPr>
        <w:t>（六）其他服务要求：</w:t>
      </w:r>
    </w:p>
    <w:p>
      <w:pPr>
        <w:pStyle w:val="170"/>
        <w:wordWrap w:val="0"/>
        <w:snapToGrid w:val="0"/>
        <w:spacing w:before="0" w:beforeAutospacing="0" w:after="0" w:afterAutospacing="0" w:line="360" w:lineRule="auto"/>
        <w:ind w:firstLine="420" w:firstLineChars="200"/>
        <w:rPr>
          <w:rStyle w:val="167"/>
          <w:rFonts w:cs="宋体"/>
          <w:bCs/>
          <w:sz w:val="21"/>
          <w:szCs w:val="21"/>
        </w:rPr>
      </w:pPr>
      <w:r>
        <w:rPr>
          <w:rStyle w:val="167"/>
          <w:rFonts w:hint="eastAsia" w:cs="宋体"/>
          <w:bCs/>
          <w:sz w:val="21"/>
          <w:szCs w:val="21"/>
        </w:rPr>
        <w:t>（1）乙方应与甲方针对单个具体项目各指定合作负责人一名，负责双方日常事务联络、推动、跟踪、落实和检查具体合作活动开展、过程、信息交流等工作。</w:t>
      </w:r>
    </w:p>
    <w:p>
      <w:pPr>
        <w:pStyle w:val="170"/>
        <w:wordWrap w:val="0"/>
        <w:snapToGrid w:val="0"/>
        <w:spacing w:before="0" w:beforeAutospacing="0" w:after="0" w:afterAutospacing="0" w:line="360" w:lineRule="auto"/>
        <w:ind w:firstLine="420" w:firstLineChars="200"/>
        <w:rPr>
          <w:rStyle w:val="167"/>
          <w:rFonts w:cs="宋体"/>
          <w:bCs/>
          <w:sz w:val="21"/>
          <w:szCs w:val="21"/>
        </w:rPr>
      </w:pPr>
      <w:r>
        <w:rPr>
          <w:rStyle w:val="167"/>
          <w:rFonts w:hint="eastAsia" w:cs="宋体"/>
          <w:bCs/>
          <w:sz w:val="21"/>
          <w:szCs w:val="21"/>
        </w:rPr>
        <w:t>（2）验收方式：乙方根据单个具体项目的实际需求，组织项目服务人员在约定时间完成各项服务工作，甲方对实施服务开展日常工作监督检查，项目服务工作完成后，由甲方根据单个项目约定的验收标准组织验收。</w:t>
      </w:r>
    </w:p>
    <w:p>
      <w:pPr>
        <w:pStyle w:val="170"/>
        <w:wordWrap w:val="0"/>
        <w:snapToGrid w:val="0"/>
        <w:spacing w:before="0" w:beforeAutospacing="0" w:after="0" w:afterAutospacing="0" w:line="360" w:lineRule="auto"/>
        <w:ind w:firstLine="420" w:firstLineChars="200"/>
        <w:rPr>
          <w:rStyle w:val="167"/>
          <w:rFonts w:cs="宋体"/>
          <w:bCs/>
          <w:sz w:val="21"/>
          <w:szCs w:val="21"/>
        </w:rPr>
      </w:pPr>
      <w:r>
        <w:rPr>
          <w:rStyle w:val="167"/>
          <w:rFonts w:hint="eastAsia" w:cs="宋体"/>
          <w:bCs/>
          <w:sz w:val="21"/>
          <w:szCs w:val="21"/>
        </w:rPr>
        <w:t>（3）质量保障要求：乙方应在保证安全和服务质量的前提下开展服务工作，服务过程中的非招标单位造成的一切风险（包括安全责任事故）均由乙方负责承担。</w:t>
      </w:r>
    </w:p>
    <w:p>
      <w:pPr>
        <w:pStyle w:val="170"/>
        <w:wordWrap w:val="0"/>
        <w:snapToGrid w:val="0"/>
        <w:spacing w:before="0" w:beforeAutospacing="0" w:after="0" w:afterAutospacing="0" w:line="360" w:lineRule="auto"/>
        <w:rPr>
          <w:rStyle w:val="167"/>
          <w:rFonts w:cs="宋体"/>
          <w:sz w:val="21"/>
          <w:szCs w:val="21"/>
        </w:rPr>
      </w:pPr>
      <w:r>
        <w:rPr>
          <w:rStyle w:val="167"/>
          <w:rFonts w:hint="eastAsia" w:cs="宋体"/>
          <w:b/>
          <w:sz w:val="21"/>
          <w:szCs w:val="21"/>
        </w:rPr>
        <w:t>第二条  付款方式</w:t>
      </w:r>
    </w:p>
    <w:p>
      <w:pPr>
        <w:pStyle w:val="170"/>
        <w:wordWrap w:val="0"/>
        <w:snapToGrid w:val="0"/>
        <w:spacing w:before="0" w:beforeAutospacing="0" w:after="0" w:afterAutospacing="0" w:line="360" w:lineRule="auto"/>
        <w:ind w:firstLine="420" w:firstLineChars="200"/>
        <w:rPr>
          <w:rFonts w:cs="宋体"/>
          <w:color w:val="000000"/>
          <w:kern w:val="2"/>
          <w:sz w:val="21"/>
          <w:szCs w:val="21"/>
          <w:lang w:bidi="ar"/>
        </w:rPr>
      </w:pPr>
      <w:r>
        <w:rPr>
          <w:rStyle w:val="167"/>
          <w:rFonts w:hint="eastAsia" w:cs="宋体"/>
          <w:sz w:val="21"/>
          <w:szCs w:val="21"/>
        </w:rPr>
        <w:t>（一）</w:t>
      </w:r>
      <w:r>
        <w:rPr>
          <w:rFonts w:hint="eastAsia" w:cs="宋体"/>
          <w:color w:val="000000"/>
          <w:kern w:val="2"/>
          <w:sz w:val="21"/>
          <w:szCs w:val="21"/>
          <w:lang w:bidi="ar"/>
        </w:rPr>
        <w:t>付款方式：甲方根据单项合同与乙方进行项目结算。</w:t>
      </w:r>
    </w:p>
    <w:p>
      <w:pPr>
        <w:pStyle w:val="19"/>
        <w:wordWrap w:val="0"/>
        <w:adjustRightInd w:val="0"/>
        <w:snapToGrid w:val="0"/>
        <w:spacing w:line="360" w:lineRule="auto"/>
        <w:ind w:firstLine="420" w:firstLineChars="200"/>
        <w:rPr>
          <w:rFonts w:ascii="宋体" w:hAnsi="宋体" w:cs="宋体"/>
          <w:color w:val="000000"/>
          <w:kern w:val="0"/>
          <w:sz w:val="21"/>
          <w:szCs w:val="21"/>
          <w:lang w:bidi="ar"/>
        </w:rPr>
      </w:pPr>
      <w:r>
        <w:rPr>
          <w:rFonts w:hint="eastAsia" w:ascii="宋体" w:hAnsi="宋体" w:cs="宋体"/>
          <w:sz w:val="21"/>
          <w:szCs w:val="21"/>
        </w:rPr>
        <w:t>（二）乙方须在甲方每次付款前按甲方要求及时开具足额正规的□增值税专用发票</w:t>
      </w:r>
      <w:r>
        <w:rPr>
          <w:rFonts w:hint="eastAsia" w:ascii="宋体" w:hAnsi="宋体" w:cs="宋体"/>
          <w:sz w:val="21"/>
          <w:szCs w:val="21"/>
        </w:rPr>
        <w:sym w:font="Wingdings 2" w:char="00A3"/>
      </w:r>
      <w:r>
        <w:rPr>
          <w:rFonts w:hint="eastAsia" w:ascii="宋体" w:hAnsi="宋体" w:cs="宋体"/>
          <w:sz w:val="21"/>
          <w:szCs w:val="21"/>
        </w:rPr>
        <w:t>增值税普通发票。</w:t>
      </w:r>
      <w:r>
        <w:rPr>
          <w:rFonts w:hint="eastAsia" w:ascii="宋体" w:hAnsi="宋体" w:cs="宋体"/>
          <w:color w:val="000000"/>
          <w:kern w:val="0"/>
          <w:sz w:val="21"/>
          <w:szCs w:val="21"/>
          <w:lang w:bidi="ar"/>
        </w:rPr>
        <w:t>如因乙方提供发票时间延迟则甲方有权顺延付款时间且不承担逾期付款违约责任。</w:t>
      </w:r>
    </w:p>
    <w:p>
      <w:pPr>
        <w:pStyle w:val="19"/>
        <w:wordWrap w:val="0"/>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lang w:bidi="ar"/>
        </w:rPr>
        <w:t>（三）</w:t>
      </w:r>
      <w:r>
        <w:rPr>
          <w:rFonts w:hint="eastAsia" w:ascii="宋体" w:hAnsi="宋体" w:cs="宋体"/>
          <w:sz w:val="21"/>
          <w:szCs w:val="21"/>
        </w:rPr>
        <w:t>本合同有效期内，如一方需要改变结算账户及发票信息，应提前十五天以加盖合同专用章或公司章的书面文件通知对方。如一方未按本合同规定通知而遭受损失的自行承担，若使另外一方遭受损失的，应赔偿相应损失。</w:t>
      </w:r>
    </w:p>
    <w:p>
      <w:pPr>
        <w:spacing w:line="360" w:lineRule="auto"/>
        <w:ind w:firstLine="420" w:firstLineChars="200"/>
        <w:rPr>
          <w:rFonts w:ascii="宋体" w:hAnsi="宋体" w:cs="宋体"/>
          <w:b/>
          <w:szCs w:val="21"/>
        </w:rPr>
      </w:pPr>
      <w:r>
        <w:rPr>
          <w:rFonts w:hint="eastAsia" w:ascii="宋体" w:hAnsi="宋体" w:cs="宋体"/>
          <w:szCs w:val="21"/>
        </w:rPr>
        <w:t>（四）双方结算账户及发票信息如下。</w:t>
      </w:r>
    </w:p>
    <w:p>
      <w:pPr>
        <w:spacing w:line="360" w:lineRule="auto"/>
        <w:ind w:firstLine="420" w:firstLineChars="200"/>
        <w:rPr>
          <w:rFonts w:ascii="宋体" w:hAnsi="宋体" w:cs="宋体"/>
          <w:szCs w:val="21"/>
        </w:rPr>
      </w:pPr>
      <w:r>
        <w:rPr>
          <w:rFonts w:hint="eastAsia" w:ascii="宋体" w:hAnsi="宋体" w:cs="宋体"/>
          <w:szCs w:val="21"/>
        </w:rPr>
        <w:t>1、 甲方开票账户信息</w:t>
      </w:r>
    </w:p>
    <w:p>
      <w:pPr>
        <w:spacing w:line="360" w:lineRule="auto"/>
        <w:ind w:firstLine="420" w:firstLineChars="200"/>
        <w:rPr>
          <w:rFonts w:ascii="宋体" w:hAnsi="宋体" w:cs="宋体"/>
          <w:szCs w:val="21"/>
        </w:rPr>
      </w:pPr>
      <w:r>
        <w:rPr>
          <w:rFonts w:hint="eastAsia" w:ascii="宋体" w:hAnsi="宋体" w:cs="宋体"/>
          <w:szCs w:val="21"/>
        </w:rPr>
        <w:t>名称：</w:t>
      </w:r>
    </w:p>
    <w:p>
      <w:pPr>
        <w:spacing w:line="360" w:lineRule="auto"/>
        <w:ind w:firstLine="420" w:firstLineChars="200"/>
        <w:rPr>
          <w:rFonts w:ascii="宋体" w:hAnsi="宋体" w:cs="宋体"/>
          <w:szCs w:val="21"/>
        </w:rPr>
      </w:pPr>
      <w:r>
        <w:rPr>
          <w:rFonts w:hint="eastAsia" w:ascii="宋体" w:hAnsi="宋体" w:cs="宋体"/>
          <w:szCs w:val="21"/>
        </w:rPr>
        <w:t>纳税人识别号：</w:t>
      </w:r>
    </w:p>
    <w:p>
      <w:pPr>
        <w:spacing w:line="360" w:lineRule="auto"/>
        <w:ind w:firstLine="420" w:firstLineChars="200"/>
        <w:rPr>
          <w:rFonts w:ascii="宋体" w:hAnsi="宋体" w:cs="宋体"/>
          <w:szCs w:val="21"/>
        </w:rPr>
      </w:pPr>
      <w:r>
        <w:rPr>
          <w:rFonts w:hint="eastAsia" w:ascii="宋体" w:hAnsi="宋体" w:cs="宋体"/>
          <w:szCs w:val="21"/>
        </w:rPr>
        <w:t>开户银行：</w:t>
      </w:r>
    </w:p>
    <w:p>
      <w:pPr>
        <w:spacing w:line="360" w:lineRule="auto"/>
        <w:ind w:firstLine="420" w:firstLineChars="200"/>
        <w:rPr>
          <w:rFonts w:ascii="宋体" w:hAnsi="宋体" w:cs="宋体"/>
          <w:szCs w:val="21"/>
        </w:rPr>
      </w:pPr>
      <w:r>
        <w:rPr>
          <w:rFonts w:hint="eastAsia" w:ascii="宋体" w:hAnsi="宋体" w:cs="宋体"/>
          <w:szCs w:val="21"/>
        </w:rPr>
        <w:t>银行账号：</w:t>
      </w:r>
    </w:p>
    <w:p>
      <w:pPr>
        <w:spacing w:line="360" w:lineRule="auto"/>
        <w:ind w:firstLine="420" w:firstLineChars="200"/>
        <w:rPr>
          <w:rFonts w:ascii="宋体" w:hAnsi="宋体" w:cs="宋体"/>
          <w:szCs w:val="21"/>
        </w:rPr>
      </w:pPr>
      <w:r>
        <w:rPr>
          <w:rFonts w:hint="eastAsia" w:ascii="宋体" w:hAnsi="宋体" w:cs="宋体"/>
          <w:szCs w:val="21"/>
        </w:rPr>
        <w:t>地址：</w:t>
      </w:r>
    </w:p>
    <w:p>
      <w:pPr>
        <w:spacing w:line="360" w:lineRule="auto"/>
        <w:ind w:firstLine="420" w:firstLineChars="200"/>
        <w:rPr>
          <w:rFonts w:ascii="宋体" w:hAnsi="宋体" w:cs="宋体"/>
          <w:szCs w:val="21"/>
        </w:rPr>
      </w:pPr>
      <w:r>
        <w:rPr>
          <w:rFonts w:hint="eastAsia" w:ascii="宋体" w:hAnsi="宋体" w:cs="宋体"/>
          <w:szCs w:val="21"/>
        </w:rPr>
        <w:t>电话：</w:t>
      </w:r>
    </w:p>
    <w:p>
      <w:pPr>
        <w:spacing w:line="360" w:lineRule="auto"/>
        <w:ind w:firstLine="420" w:firstLineChars="200"/>
        <w:rPr>
          <w:rFonts w:ascii="宋体" w:hAnsi="宋体" w:cs="宋体"/>
          <w:szCs w:val="21"/>
        </w:rPr>
      </w:pPr>
      <w:r>
        <w:rPr>
          <w:rFonts w:hint="eastAsia" w:ascii="宋体" w:hAnsi="宋体" w:cs="宋体"/>
          <w:szCs w:val="21"/>
        </w:rPr>
        <w:t>2、乙方银行账户信息</w:t>
      </w:r>
    </w:p>
    <w:p>
      <w:pPr>
        <w:spacing w:line="360" w:lineRule="auto"/>
        <w:ind w:firstLine="420" w:firstLineChars="200"/>
        <w:rPr>
          <w:rFonts w:ascii="宋体" w:hAnsi="宋体" w:cs="宋体"/>
          <w:szCs w:val="21"/>
        </w:rPr>
      </w:pPr>
      <w:r>
        <w:rPr>
          <w:rFonts w:hint="eastAsia" w:ascii="宋体" w:hAnsi="宋体" w:cs="宋体"/>
          <w:szCs w:val="21"/>
        </w:rPr>
        <w:t>名称：</w:t>
      </w:r>
    </w:p>
    <w:p>
      <w:pPr>
        <w:spacing w:line="360" w:lineRule="auto"/>
        <w:ind w:firstLine="420" w:firstLineChars="200"/>
        <w:rPr>
          <w:rFonts w:ascii="宋体" w:hAnsi="宋体" w:cs="宋体"/>
          <w:szCs w:val="21"/>
        </w:rPr>
      </w:pPr>
      <w:r>
        <w:rPr>
          <w:rFonts w:hint="eastAsia" w:ascii="宋体" w:hAnsi="宋体" w:cs="宋体"/>
          <w:szCs w:val="21"/>
        </w:rPr>
        <w:t>纳税人识别号：</w:t>
      </w:r>
    </w:p>
    <w:p>
      <w:pPr>
        <w:spacing w:line="360" w:lineRule="auto"/>
        <w:ind w:firstLine="420" w:firstLineChars="200"/>
        <w:rPr>
          <w:rFonts w:ascii="宋体" w:hAnsi="宋体" w:cs="宋体"/>
          <w:szCs w:val="21"/>
        </w:rPr>
      </w:pPr>
      <w:r>
        <w:rPr>
          <w:rFonts w:hint="eastAsia" w:ascii="宋体" w:hAnsi="宋体" w:cs="宋体"/>
          <w:szCs w:val="21"/>
        </w:rPr>
        <w:t>开户银行：</w:t>
      </w:r>
    </w:p>
    <w:p>
      <w:pPr>
        <w:spacing w:line="360" w:lineRule="auto"/>
        <w:ind w:firstLine="420" w:firstLineChars="200"/>
        <w:rPr>
          <w:rFonts w:ascii="宋体" w:hAnsi="宋体" w:cs="宋体"/>
          <w:szCs w:val="21"/>
        </w:rPr>
      </w:pPr>
      <w:r>
        <w:rPr>
          <w:rFonts w:hint="eastAsia" w:ascii="宋体" w:hAnsi="宋体" w:cs="宋体"/>
          <w:szCs w:val="21"/>
        </w:rPr>
        <w:t>银行账号：</w:t>
      </w:r>
    </w:p>
    <w:p>
      <w:pPr>
        <w:spacing w:line="360" w:lineRule="auto"/>
        <w:ind w:firstLine="420" w:firstLineChars="200"/>
        <w:rPr>
          <w:rFonts w:ascii="宋体" w:hAnsi="宋体" w:cs="宋体"/>
          <w:szCs w:val="21"/>
        </w:rPr>
      </w:pPr>
      <w:r>
        <w:rPr>
          <w:rFonts w:hint="eastAsia" w:ascii="宋体" w:hAnsi="宋体" w:cs="宋体"/>
          <w:szCs w:val="21"/>
        </w:rPr>
        <w:t xml:space="preserve">地址：                          </w:t>
      </w:r>
    </w:p>
    <w:p>
      <w:pPr>
        <w:spacing w:line="360" w:lineRule="auto"/>
        <w:ind w:firstLine="420" w:firstLineChars="200"/>
        <w:rPr>
          <w:rFonts w:ascii="宋体" w:hAnsi="宋体" w:cs="宋体"/>
          <w:szCs w:val="21"/>
        </w:rPr>
      </w:pPr>
      <w:r>
        <w:rPr>
          <w:rFonts w:hint="eastAsia" w:ascii="宋体" w:hAnsi="宋体" w:cs="宋体"/>
          <w:szCs w:val="21"/>
        </w:rPr>
        <w:t>电话：</w:t>
      </w:r>
    </w:p>
    <w:p>
      <w:pPr>
        <w:spacing w:line="360" w:lineRule="auto"/>
        <w:rPr>
          <w:rStyle w:val="167"/>
          <w:rFonts w:ascii="宋体" w:hAnsi="宋体" w:cs="宋体"/>
          <w:b/>
          <w:szCs w:val="21"/>
        </w:rPr>
      </w:pPr>
      <w:r>
        <w:rPr>
          <w:rStyle w:val="167"/>
          <w:rFonts w:hint="eastAsia" w:ascii="宋体" w:hAnsi="宋体" w:cs="宋体"/>
          <w:b/>
          <w:szCs w:val="21"/>
        </w:rPr>
        <w:t>第三条  双方的责任</w:t>
      </w:r>
    </w:p>
    <w:p>
      <w:pPr>
        <w:pStyle w:val="170"/>
        <w:wordWrap w:val="0"/>
        <w:adjustRightInd w:val="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（一）甲方责任</w:t>
      </w:r>
    </w:p>
    <w:p>
      <w:pPr>
        <w:pStyle w:val="170"/>
        <w:wordWrap w:val="0"/>
        <w:adjustRightInd w:val="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1、</w:t>
      </w:r>
      <w:r>
        <w:rPr>
          <w:rFonts w:hint="eastAsia" w:cs="宋体"/>
          <w:sz w:val="21"/>
          <w:szCs w:val="21"/>
        </w:rPr>
        <w:t>根据项目进度向乙方提供</w:t>
      </w:r>
      <w:r>
        <w:rPr>
          <w:rStyle w:val="167"/>
          <w:rFonts w:hint="eastAsia" w:cs="宋体"/>
          <w:sz w:val="21"/>
          <w:szCs w:val="21"/>
        </w:rPr>
        <w:t>设计方案、施工图纸及服务清单。</w:t>
      </w:r>
    </w:p>
    <w:p>
      <w:pPr>
        <w:pStyle w:val="170"/>
        <w:wordWrap w:val="0"/>
        <w:adjustRightInd w:val="0"/>
        <w:snapToGrid w:val="0"/>
        <w:spacing w:before="0" w:beforeAutospacing="0" w:after="0" w:afterAutospacing="0" w:line="360" w:lineRule="auto"/>
        <w:ind w:firstLine="420" w:firstLineChars="200"/>
        <w:rPr>
          <w:rStyle w:val="167"/>
          <w:rFonts w:cs="宋体"/>
          <w:sz w:val="21"/>
          <w:szCs w:val="21"/>
        </w:rPr>
      </w:pPr>
      <w:r>
        <w:rPr>
          <w:rFonts w:hint="eastAsia" w:cs="宋体"/>
          <w:sz w:val="21"/>
          <w:szCs w:val="21"/>
        </w:rPr>
        <w:t>2、协助办理进场手续，移交施工场地</w:t>
      </w:r>
      <w:r>
        <w:rPr>
          <w:rStyle w:val="167"/>
          <w:rFonts w:hint="eastAsia" w:cs="宋体"/>
          <w:sz w:val="21"/>
          <w:szCs w:val="21"/>
        </w:rPr>
        <w:t>。</w:t>
      </w:r>
    </w:p>
    <w:p>
      <w:pPr>
        <w:pStyle w:val="170"/>
        <w:wordWrap w:val="0"/>
        <w:adjustRightInd w:val="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3、对项目实施过程进行检查监督，发现问题及时督促乙方进行整改。</w:t>
      </w:r>
    </w:p>
    <w:p>
      <w:pPr>
        <w:pStyle w:val="170"/>
        <w:wordWrap w:val="0"/>
        <w:adjustRightInd w:val="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4、依照合同约定支付合同款项。</w:t>
      </w:r>
    </w:p>
    <w:p>
      <w:pPr>
        <w:pStyle w:val="170"/>
        <w:wordWrap w:val="0"/>
        <w:adjustRightInd w:val="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5、委托</w:t>
      </w:r>
      <w:r>
        <w:rPr>
          <w:rStyle w:val="167"/>
          <w:rFonts w:hint="eastAsia" w:cs="宋体"/>
          <w:sz w:val="21"/>
          <w:szCs w:val="21"/>
          <w:u w:val="single"/>
        </w:rPr>
        <w:t xml:space="preserve">       </w:t>
      </w:r>
      <w:r>
        <w:rPr>
          <w:rStyle w:val="167"/>
          <w:rFonts w:hint="eastAsia" w:cs="宋体"/>
          <w:sz w:val="21"/>
          <w:szCs w:val="21"/>
        </w:rPr>
        <w:t>为甲方代表，跟进与乙方沟通联络的有关事宜，联系邮箱：</w:t>
      </w:r>
      <w:r>
        <w:rPr>
          <w:rStyle w:val="167"/>
          <w:rFonts w:hint="eastAsia" w:cs="宋体"/>
          <w:sz w:val="21"/>
          <w:szCs w:val="21"/>
          <w:u w:val="single"/>
        </w:rPr>
        <w:t xml:space="preserve">                   </w:t>
      </w:r>
      <w:r>
        <w:rPr>
          <w:rStyle w:val="167"/>
          <w:rFonts w:hint="eastAsia" w:cs="宋体"/>
          <w:sz w:val="21"/>
          <w:szCs w:val="21"/>
        </w:rPr>
        <w:t>，联系电话：</w:t>
      </w:r>
      <w:r>
        <w:rPr>
          <w:rStyle w:val="167"/>
          <w:rFonts w:hint="eastAsia" w:cs="宋体"/>
          <w:sz w:val="21"/>
          <w:szCs w:val="21"/>
          <w:u w:val="single"/>
        </w:rPr>
        <w:t xml:space="preserve">            </w:t>
      </w:r>
      <w:r>
        <w:rPr>
          <w:rStyle w:val="167"/>
          <w:rFonts w:hint="eastAsia" w:cs="宋体"/>
          <w:sz w:val="21"/>
          <w:szCs w:val="21"/>
        </w:rPr>
        <w:t>。</w:t>
      </w:r>
    </w:p>
    <w:p>
      <w:pPr>
        <w:pStyle w:val="170"/>
        <w:wordWrap w:val="0"/>
        <w:adjustRightInd w:val="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（二）乙方责任</w:t>
      </w:r>
    </w:p>
    <w:p>
      <w:pPr>
        <w:spacing w:line="360" w:lineRule="auto"/>
        <w:ind w:firstLine="480"/>
        <w:rPr>
          <w:rFonts w:ascii="宋体" w:hAnsi="宋体" w:cs="宋体"/>
          <w:color w:val="000000"/>
          <w:szCs w:val="21"/>
        </w:rPr>
      </w:pPr>
      <w:r>
        <w:rPr>
          <w:rFonts w:hint="eastAsia" w:ascii="宋体" w:hAnsi="宋体" w:cs="宋体"/>
          <w:szCs w:val="21"/>
        </w:rPr>
        <w:t>1、</w:t>
      </w:r>
      <w:r>
        <w:rPr>
          <w:rFonts w:hint="eastAsia" w:ascii="宋体" w:hAnsi="宋体" w:cs="宋体"/>
          <w:color w:val="000000"/>
          <w:szCs w:val="21"/>
        </w:rPr>
        <w:t>严格按照甲方确认的设计方案、施工图等开展项目实施工作，并接受甲方对项目质量、工期、安全、环保及工地纪律的管制。</w:t>
      </w:r>
    </w:p>
    <w:p>
      <w:pPr>
        <w:spacing w:line="360" w:lineRule="auto"/>
        <w:ind w:firstLine="480"/>
        <w:rPr>
          <w:rFonts w:ascii="宋体" w:hAnsi="宋体" w:cs="宋体"/>
          <w:szCs w:val="21"/>
        </w:rPr>
      </w:pPr>
      <w:r>
        <w:rPr>
          <w:rFonts w:hint="eastAsia" w:ascii="宋体" w:hAnsi="宋体" w:cs="宋体"/>
          <w:szCs w:val="21"/>
        </w:rPr>
        <w:t>2、严格遵守项目地点当地政府职能部门的各项规章制度，</w:t>
      </w:r>
      <w:r>
        <w:rPr>
          <w:rStyle w:val="167"/>
          <w:rFonts w:hint="eastAsia" w:ascii="宋体" w:hAnsi="宋体" w:cs="宋体"/>
          <w:szCs w:val="21"/>
        </w:rPr>
        <w:t>严格执行施工规范、质量标准、安全操作规范、防火安全规范、环境保护规定及物业管理规定等</w:t>
      </w:r>
      <w:r>
        <w:rPr>
          <w:rFonts w:hint="eastAsia" w:ascii="宋体" w:hAnsi="宋体" w:cs="宋体"/>
          <w:color w:val="000000"/>
          <w:szCs w:val="21"/>
        </w:rPr>
        <w:t>，</w:t>
      </w:r>
      <w:r>
        <w:rPr>
          <w:rFonts w:hint="eastAsia" w:ascii="宋体" w:hAnsi="宋体" w:cs="宋体"/>
          <w:szCs w:val="21"/>
        </w:rPr>
        <w:t>规范项目实施过程。</w:t>
      </w:r>
    </w:p>
    <w:p>
      <w:pPr>
        <w:widowControl/>
        <w:spacing w:line="360" w:lineRule="auto"/>
        <w:ind w:firstLine="420" w:firstLineChars="200"/>
        <w:jc w:val="left"/>
        <w:rPr>
          <w:rStyle w:val="167"/>
          <w:rFonts w:ascii="宋体" w:hAnsi="宋体" w:cs="宋体"/>
          <w:szCs w:val="21"/>
        </w:rPr>
      </w:pPr>
      <w:r>
        <w:rPr>
          <w:rFonts w:hint="eastAsia" w:ascii="宋体" w:hAnsi="宋体" w:cs="宋体"/>
          <w:szCs w:val="21"/>
        </w:rPr>
        <w:t>3、作为</w:t>
      </w:r>
      <w:r>
        <w:rPr>
          <w:rFonts w:hint="eastAsia" w:ascii="宋体" w:hAnsi="宋体" w:cs="宋体"/>
          <w:color w:val="000000"/>
          <w:kern w:val="0"/>
          <w:szCs w:val="21"/>
          <w:lang w:bidi="ar"/>
        </w:rPr>
        <w:t>项目实施现场的安全责任主体，负责实施现场的全部安全管理工作，并承担安全管理责任。乙方应</w:t>
      </w:r>
      <w:r>
        <w:rPr>
          <w:rFonts w:hint="eastAsia" w:ascii="宋体" w:hAnsi="宋体" w:cs="宋体"/>
          <w:szCs w:val="21"/>
        </w:rPr>
        <w:t>建立健全安全生产管理体系，</w:t>
      </w:r>
      <w:r>
        <w:rPr>
          <w:rFonts w:hint="eastAsia" w:ascii="宋体" w:hAnsi="宋体" w:cs="宋体"/>
          <w:color w:val="000000"/>
          <w:kern w:val="0"/>
          <w:szCs w:val="21"/>
          <w:lang w:bidi="ar"/>
        </w:rPr>
        <w:t>严格按安全生产标准组织实施，采取必要的安全防护措施，</w:t>
      </w:r>
      <w:r>
        <w:rPr>
          <w:rFonts w:hint="eastAsia" w:ascii="宋体" w:hAnsi="宋体" w:cs="宋体"/>
          <w:color w:val="000000"/>
          <w:szCs w:val="21"/>
        </w:rPr>
        <w:t>防止因施工造成人身伤害和财产损失。乙方应确保现场施工作业人员具备</w:t>
      </w:r>
      <w:r>
        <w:rPr>
          <w:rFonts w:hint="eastAsia" w:ascii="宋体" w:hAnsi="宋体" w:cs="宋体"/>
          <w:color w:val="000000"/>
          <w:kern w:val="0"/>
          <w:szCs w:val="21"/>
          <w:lang w:bidi="ar"/>
        </w:rPr>
        <w:t>相适应的资格证书，并</w:t>
      </w:r>
      <w:r>
        <w:rPr>
          <w:rStyle w:val="167"/>
          <w:rFonts w:hint="eastAsia" w:ascii="宋体" w:hAnsi="宋体" w:cs="宋体"/>
          <w:szCs w:val="21"/>
        </w:rPr>
        <w:t xml:space="preserve">为其办理工伤保险或人身意外伤害保险。活动现场范围内所发生的一切人身伤亡以及财产损失由乙方负责。 </w:t>
      </w:r>
    </w:p>
    <w:p>
      <w:pPr>
        <w:spacing w:line="360" w:lineRule="auto"/>
        <w:ind w:firstLine="480"/>
        <w:rPr>
          <w:rFonts w:ascii="宋体" w:hAnsi="宋体" w:cs="宋体"/>
          <w:color w:val="000000"/>
          <w:szCs w:val="21"/>
        </w:rPr>
      </w:pPr>
      <w:r>
        <w:rPr>
          <w:rFonts w:hint="eastAsia" w:ascii="宋体" w:hAnsi="宋体" w:cs="宋体"/>
          <w:color w:val="000000"/>
          <w:szCs w:val="21"/>
        </w:rPr>
        <w:t>4、项目所使用的材料及施工要符合消防部门要求，项目期间配备专职安全人员，配置一定数量的消防器材，建立安全用电制度。施工过程中如对消防设施有损坏移位，需及时按要求恢复原状。</w:t>
      </w:r>
    </w:p>
    <w:p>
      <w:pPr>
        <w:pStyle w:val="19"/>
        <w:spacing w:line="360" w:lineRule="auto"/>
        <w:ind w:firstLine="420" w:firstLineChars="200"/>
        <w:rPr>
          <w:rFonts w:ascii="宋体" w:hAnsi="宋体" w:cs="宋体"/>
          <w:sz w:val="21"/>
          <w:szCs w:val="21"/>
        </w:rPr>
      </w:pPr>
      <w:r>
        <w:rPr>
          <w:rFonts w:hint="eastAsia" w:ascii="宋体" w:hAnsi="宋体" w:cs="宋体"/>
          <w:bCs/>
          <w:sz w:val="21"/>
          <w:szCs w:val="21"/>
        </w:rPr>
        <w:t>5、乙方及乙方项目服务人员不得以甲方名义开展任何非本合同约定的活动。乙方不得将本合同项目内项目服务工作分包、转包或变相转包。</w:t>
      </w:r>
    </w:p>
    <w:p>
      <w:pPr>
        <w:spacing w:line="360" w:lineRule="auto"/>
        <w:ind w:firstLine="480"/>
        <w:rPr>
          <w:rFonts w:ascii="宋体" w:hAnsi="宋体" w:cs="宋体"/>
          <w:color w:val="000000"/>
          <w:szCs w:val="21"/>
        </w:rPr>
      </w:pPr>
      <w:r>
        <w:rPr>
          <w:rFonts w:hint="eastAsia" w:ascii="宋体" w:hAnsi="宋体" w:cs="宋体"/>
          <w:szCs w:val="21"/>
        </w:rPr>
        <w:t>6、</w:t>
      </w:r>
      <w:r>
        <w:rPr>
          <w:rFonts w:hint="eastAsia" w:ascii="宋体" w:hAnsi="宋体" w:cs="宋体"/>
          <w:color w:val="000000"/>
          <w:szCs w:val="21"/>
        </w:rPr>
        <w:t>委托</w:t>
      </w:r>
      <w:r>
        <w:rPr>
          <w:rFonts w:hint="eastAsia" w:ascii="宋体" w:hAnsi="宋体" w:cs="宋体"/>
          <w:color w:val="000000"/>
          <w:szCs w:val="21"/>
          <w:u w:val="single"/>
        </w:rPr>
        <w:t xml:space="preserve">          </w:t>
      </w:r>
      <w:r>
        <w:rPr>
          <w:rFonts w:hint="eastAsia" w:ascii="宋体" w:hAnsi="宋体" w:cs="宋体"/>
          <w:color w:val="000000"/>
          <w:szCs w:val="21"/>
        </w:rPr>
        <w:t>作为乙方代表，负责与甲方代表人员联络，联系邮箱：</w:t>
      </w:r>
      <w:r>
        <w:rPr>
          <w:rFonts w:hint="eastAsia" w:ascii="宋体" w:hAnsi="宋体" w:cs="宋体"/>
          <w:color w:val="000000"/>
          <w:szCs w:val="21"/>
          <w:u w:val="single"/>
        </w:rPr>
        <w:t xml:space="preserve">                   </w:t>
      </w:r>
      <w:r>
        <w:rPr>
          <w:rFonts w:hint="eastAsia" w:ascii="宋体" w:hAnsi="宋体" w:cs="宋体"/>
          <w:color w:val="000000"/>
          <w:szCs w:val="21"/>
        </w:rPr>
        <w:t>，联系电话：</w:t>
      </w:r>
      <w:r>
        <w:rPr>
          <w:rFonts w:hint="eastAsia" w:ascii="宋体" w:hAnsi="宋体" w:cs="宋体"/>
          <w:color w:val="000000"/>
          <w:szCs w:val="21"/>
          <w:u w:val="single"/>
        </w:rPr>
        <w:t xml:space="preserve">            </w:t>
      </w:r>
      <w:r>
        <w:rPr>
          <w:rFonts w:hint="eastAsia" w:ascii="宋体" w:hAnsi="宋体" w:cs="宋体"/>
          <w:color w:val="000000"/>
          <w:szCs w:val="21"/>
        </w:rPr>
        <w:t>。</w:t>
      </w:r>
    </w:p>
    <w:p>
      <w:pPr>
        <w:pStyle w:val="170"/>
        <w:wordWrap w:val="0"/>
        <w:adjustRightInd w:val="0"/>
        <w:snapToGrid w:val="0"/>
        <w:spacing w:before="0" w:beforeAutospacing="0" w:after="0" w:afterAutospacing="0" w:line="360" w:lineRule="auto"/>
        <w:rPr>
          <w:rStyle w:val="167"/>
          <w:rFonts w:cs="宋体"/>
          <w:b/>
          <w:sz w:val="21"/>
          <w:szCs w:val="21"/>
        </w:rPr>
      </w:pPr>
      <w:r>
        <w:rPr>
          <w:rFonts w:hint="eastAsia" w:cs="宋体"/>
          <w:b/>
          <w:bCs/>
          <w:color w:val="000000"/>
          <w:sz w:val="21"/>
          <w:szCs w:val="21"/>
        </w:rPr>
        <w:t>第四条</w:t>
      </w:r>
      <w:r>
        <w:rPr>
          <w:rFonts w:hint="eastAsia" w:cs="宋体"/>
          <w:color w:val="000000"/>
          <w:sz w:val="21"/>
          <w:szCs w:val="21"/>
        </w:rPr>
        <w:t xml:space="preserve"> </w:t>
      </w:r>
      <w:r>
        <w:rPr>
          <w:rStyle w:val="167"/>
          <w:rFonts w:hint="eastAsia" w:cs="宋体"/>
          <w:b/>
          <w:sz w:val="21"/>
          <w:szCs w:val="21"/>
        </w:rPr>
        <w:t xml:space="preserve"> 项目实施与变更</w:t>
      </w:r>
    </w:p>
    <w:p>
      <w:pPr>
        <w:pStyle w:val="170"/>
        <w:snapToGrid w:val="0"/>
        <w:spacing w:before="0" w:beforeAutospacing="0" w:after="0" w:afterAutospacing="0" w:line="360" w:lineRule="auto"/>
        <w:rPr>
          <w:rStyle w:val="167"/>
          <w:rFonts w:cs="宋体"/>
          <w:sz w:val="21"/>
          <w:szCs w:val="21"/>
        </w:rPr>
      </w:pPr>
      <w:r>
        <w:rPr>
          <w:rStyle w:val="167"/>
          <w:rFonts w:hint="eastAsia" w:cs="宋体"/>
          <w:b/>
          <w:sz w:val="21"/>
          <w:szCs w:val="21"/>
        </w:rPr>
        <w:t xml:space="preserve">    </w:t>
      </w:r>
      <w:r>
        <w:rPr>
          <w:rStyle w:val="167"/>
          <w:rFonts w:hint="eastAsia" w:cs="宋体"/>
          <w:sz w:val="21"/>
          <w:szCs w:val="21"/>
        </w:rPr>
        <w:t>（一）甲方确认设计施工图后，乙方应按图施工，任意一方不得随意修改变更。甲方在施工中提出变更设计或增减项目的，应书面通知乙方，乙方应3个工作日内向甲方提交变更后的施工方案及增减项目的造价。甲方同意变更方案的，进行签复。</w:t>
      </w:r>
    </w:p>
    <w:p>
      <w:pPr>
        <w:pStyle w:val="170"/>
        <w:wordWrap w:val="0"/>
        <w:adjustRightInd w:val="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（二）乙方在施工中认为需要增减项目的，须经双方协商后，由甲方盖章签字确认生效，否则不作为审计结算依据。</w:t>
      </w:r>
    </w:p>
    <w:p>
      <w:pPr>
        <w:pStyle w:val="170"/>
        <w:snapToGrid w:val="0"/>
        <w:spacing w:before="0" w:beforeAutospacing="0" w:after="0" w:afterAutospacing="0" w:line="360" w:lineRule="auto"/>
        <w:rPr>
          <w:rStyle w:val="167"/>
          <w:rFonts w:cs="宋体"/>
          <w:b/>
          <w:sz w:val="21"/>
          <w:szCs w:val="21"/>
        </w:rPr>
      </w:pPr>
      <w:r>
        <w:rPr>
          <w:rStyle w:val="167"/>
          <w:rFonts w:hint="eastAsia" w:cs="宋体"/>
          <w:b/>
          <w:sz w:val="21"/>
          <w:szCs w:val="21"/>
        </w:rPr>
        <w:t>第五条  项目验收与保修</w:t>
      </w:r>
    </w:p>
    <w:p>
      <w:pPr>
        <w:pStyle w:val="170"/>
        <w:wordWrap w:val="0"/>
        <w:adjustRightInd w:val="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（一）项目实施必须符合本合同及单项合同下设计施工图、预算清单的要求，且符合国家、行业和地区的相关标准。</w:t>
      </w:r>
    </w:p>
    <w:p>
      <w:pPr>
        <w:pStyle w:val="170"/>
        <w:wordWrap w:val="0"/>
        <w:adjustRightInd w:val="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（二）验收流程</w:t>
      </w:r>
    </w:p>
    <w:p>
      <w:pPr>
        <w:pStyle w:val="170"/>
        <w:wordWrap w:val="0"/>
        <w:adjustRightInd w:val="0"/>
        <w:snapToGrid w:val="0"/>
        <w:spacing w:before="0" w:beforeAutospacing="0" w:after="0" w:afterAutospacing="0" w:line="360" w:lineRule="auto"/>
        <w:ind w:firstLine="420" w:firstLineChars="200"/>
        <w:rPr>
          <w:rStyle w:val="167"/>
          <w:rFonts w:cs="宋体"/>
          <w:sz w:val="21"/>
          <w:szCs w:val="21"/>
          <w:highlight w:val="yellow"/>
        </w:rPr>
      </w:pPr>
      <w:r>
        <w:rPr>
          <w:rStyle w:val="167"/>
          <w:rFonts w:hint="eastAsia" w:cs="宋体"/>
          <w:sz w:val="21"/>
          <w:szCs w:val="21"/>
        </w:rPr>
        <w:t>1、项目存在隐蔽工程的，乙方应在隐蔽前通知甲方进行验收，甲方在收到通知后</w:t>
      </w:r>
      <w:r>
        <w:rPr>
          <w:rStyle w:val="167"/>
          <w:rFonts w:hint="eastAsia" w:cs="宋体"/>
          <w:sz w:val="21"/>
          <w:szCs w:val="21"/>
          <w:u w:val="single"/>
        </w:rPr>
        <w:t xml:space="preserve">    </w:t>
      </w:r>
      <w:r>
        <w:rPr>
          <w:rStyle w:val="167"/>
          <w:rFonts w:hint="eastAsia" w:cs="宋体"/>
          <w:sz w:val="21"/>
          <w:szCs w:val="21"/>
        </w:rPr>
        <w:t>个工作日内组织验收，经甲方书面验收通过后方可隐蔽。验收不合格的，乙方应按甲方要求在指定期限内进行整改，并承担由此造成的整改费用。</w:t>
      </w:r>
    </w:p>
    <w:p>
      <w:pPr>
        <w:pStyle w:val="170"/>
        <w:wordWrap w:val="0"/>
        <w:adjustRightInd w:val="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2、甲方要求进行室内环境质量检测的，在项目完工后由甲方（或委托乙方）组织安排建设行政主管部门认可、具有室内环境质量检测资格的机构进行室内环境质量检测。室内环境质量检测合格后，方可提交甲方验收。</w:t>
      </w:r>
    </w:p>
    <w:p>
      <w:pPr>
        <w:pStyle w:val="170"/>
        <w:wordWrap w:val="0"/>
        <w:adjustRightInd w:val="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3、乙方完成项目实施后，应以书面形式通知甲方进行验收。无需室内环境质量检测的项目，甲方在收到通知后</w:t>
      </w:r>
      <w:r>
        <w:rPr>
          <w:rStyle w:val="167"/>
          <w:rFonts w:hint="eastAsia" w:cs="宋体"/>
          <w:sz w:val="21"/>
          <w:szCs w:val="21"/>
          <w:u w:val="single"/>
        </w:rPr>
        <w:t xml:space="preserve">    </w:t>
      </w:r>
      <w:r>
        <w:rPr>
          <w:rStyle w:val="167"/>
          <w:rFonts w:hint="eastAsia" w:cs="宋体"/>
          <w:sz w:val="21"/>
          <w:szCs w:val="21"/>
        </w:rPr>
        <w:t>个工作日内组织验收。验收合格的，出具验收证明；验收不合格的，乙方应按甲方要求在指定期限内进行整改，自行承担由此造成的整改费用。</w:t>
      </w:r>
    </w:p>
    <w:p>
      <w:pPr>
        <w:pStyle w:val="170"/>
        <w:wordWrap w:val="0"/>
        <w:adjustRightInd w:val="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（三）验收标准按照双方合同关于设计方案、施工图、施工质量、材料质量等约定并参照国家相关规定执行。</w:t>
      </w:r>
    </w:p>
    <w:p>
      <w:pPr>
        <w:pStyle w:val="170"/>
        <w:numPr>
          <w:ilvl w:val="0"/>
          <w:numId w:val="10"/>
        </w:numPr>
        <w:wordWrap w:val="0"/>
        <w:adjustRightInd w:val="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项目质量保修期按照单个具体项目确定，自甲方出具项目验收合格证明之日起算。</w:t>
      </w:r>
    </w:p>
    <w:p>
      <w:pPr>
        <w:pStyle w:val="170"/>
        <w:numPr>
          <w:ilvl w:val="0"/>
          <w:numId w:val="11"/>
        </w:numPr>
        <w:wordWrap w:val="0"/>
        <w:adjustRightInd w:val="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质保期内由于乙方责任造成的质量问题，乙方应无条件在</w:t>
      </w:r>
      <w:r>
        <w:rPr>
          <w:rStyle w:val="167"/>
          <w:rFonts w:hint="eastAsia" w:cs="宋体"/>
          <w:sz w:val="21"/>
          <w:szCs w:val="21"/>
          <w:u w:val="single"/>
        </w:rPr>
        <w:t xml:space="preserve"> </w:t>
      </w:r>
      <w:r>
        <w:rPr>
          <w:rStyle w:val="167"/>
          <w:rFonts w:cs="宋体"/>
          <w:sz w:val="21"/>
          <w:szCs w:val="21"/>
          <w:u w:val="single"/>
        </w:rPr>
        <w:t>7</w:t>
      </w:r>
      <w:r>
        <w:rPr>
          <w:rStyle w:val="167"/>
          <w:rFonts w:hint="eastAsia" w:cs="宋体"/>
          <w:sz w:val="21"/>
          <w:szCs w:val="21"/>
          <w:u w:val="single"/>
        </w:rPr>
        <w:t xml:space="preserve"> </w:t>
      </w:r>
      <w:r>
        <w:rPr>
          <w:rStyle w:val="167"/>
          <w:rFonts w:hint="eastAsia" w:cs="宋体"/>
          <w:sz w:val="21"/>
          <w:szCs w:val="21"/>
        </w:rPr>
        <w:t>日内按原貌进行维修或更换，不另行收取费用。</w:t>
      </w:r>
    </w:p>
    <w:p>
      <w:pPr>
        <w:numPr>
          <w:ilvl w:val="0"/>
          <w:numId w:val="11"/>
        </w:numPr>
        <w:spacing w:line="360" w:lineRule="auto"/>
        <w:ind w:firstLine="420" w:firstLineChars="200"/>
        <w:rPr>
          <w:rFonts w:ascii="宋体" w:hAnsi="宋体" w:cs="宋体"/>
          <w:szCs w:val="21"/>
        </w:rPr>
      </w:pPr>
      <w:r>
        <w:rPr>
          <w:rFonts w:hint="eastAsia" w:ascii="宋体" w:hAnsi="宋体" w:cs="宋体"/>
          <w:szCs w:val="21"/>
        </w:rPr>
        <w:t>凡由产品质量问题引起的各类设备故障，乙方在接到甲方故障报修通知后，应及时予以响应，24小时内解决故障。不能及时排除故障的，征得甲方同意后可顺延维修时间。维修后仍不能排除故障的，则应由乙方提供不低于原设备标准的备用产品设备正常运行。</w:t>
      </w:r>
    </w:p>
    <w:p>
      <w:pPr>
        <w:spacing w:line="360" w:lineRule="auto"/>
        <w:ind w:firstLine="420" w:firstLineChars="200"/>
        <w:rPr>
          <w:rStyle w:val="167"/>
          <w:rFonts w:ascii="宋体" w:hAnsi="宋体" w:cs="宋体"/>
          <w:szCs w:val="21"/>
        </w:rPr>
      </w:pPr>
      <w:r>
        <w:rPr>
          <w:rStyle w:val="167"/>
          <w:rFonts w:hint="eastAsia" w:ascii="宋体" w:hAnsi="宋体" w:cs="宋体"/>
          <w:szCs w:val="21"/>
        </w:rPr>
        <w:t>3、施工材料、设备等质保期比本合同约定的质保期更长的，按最长质保期执行。</w:t>
      </w:r>
    </w:p>
    <w:p>
      <w:pPr>
        <w:pStyle w:val="170"/>
        <w:snapToGrid w:val="0"/>
        <w:spacing w:before="0" w:beforeAutospacing="0" w:after="0" w:afterAutospacing="0" w:line="360" w:lineRule="auto"/>
        <w:rPr>
          <w:rStyle w:val="167"/>
          <w:rFonts w:cs="宋体"/>
          <w:b/>
          <w:sz w:val="21"/>
          <w:szCs w:val="21"/>
        </w:rPr>
      </w:pPr>
      <w:r>
        <w:rPr>
          <w:rStyle w:val="167"/>
          <w:rFonts w:hint="eastAsia" w:cs="宋体"/>
          <w:b/>
          <w:sz w:val="21"/>
          <w:szCs w:val="21"/>
        </w:rPr>
        <w:t>第六条  项目结算</w:t>
      </w:r>
    </w:p>
    <w:p>
      <w:pPr>
        <w:pStyle w:val="170"/>
        <w:wordWrap w:val="0"/>
        <w:adjustRightInd w:val="0"/>
        <w:snapToGrid w:val="0"/>
        <w:spacing w:before="0" w:beforeAutospacing="0" w:after="0" w:afterAutospacing="0" w:line="360" w:lineRule="auto"/>
        <w:ind w:firstLine="420" w:firstLineChars="200"/>
        <w:rPr>
          <w:rStyle w:val="167"/>
          <w:rFonts w:cs="宋体"/>
          <w:sz w:val="21"/>
          <w:szCs w:val="21"/>
          <w:highlight w:val="yellow"/>
        </w:rPr>
      </w:pPr>
      <w:r>
        <w:rPr>
          <w:rFonts w:hint="eastAsia" w:cs="宋体"/>
          <w:sz w:val="21"/>
          <w:szCs w:val="21"/>
        </w:rPr>
        <w:t>单个项目竣工验收后，乙方需向甲方提供完整的竣工资料并申请项目结算。项目结算按经甲方书面同意的现场实际工作量核计，综合服务单价按另行签订的单项合同预算清单约定的价格不变。</w:t>
      </w:r>
    </w:p>
    <w:p>
      <w:pPr>
        <w:spacing w:line="360" w:lineRule="auto"/>
        <w:rPr>
          <w:rStyle w:val="167"/>
          <w:rFonts w:ascii="宋体" w:hAnsi="宋体" w:cs="宋体"/>
          <w:b/>
          <w:szCs w:val="21"/>
        </w:rPr>
      </w:pPr>
      <w:r>
        <w:rPr>
          <w:rStyle w:val="167"/>
          <w:rFonts w:hint="eastAsia" w:ascii="宋体" w:hAnsi="宋体" w:cs="宋体"/>
          <w:b/>
          <w:szCs w:val="21"/>
        </w:rPr>
        <w:t>第七条  违约责任</w:t>
      </w:r>
    </w:p>
    <w:p>
      <w:pPr>
        <w:spacing w:line="360" w:lineRule="auto"/>
        <w:ind w:firstLine="420" w:firstLineChars="200"/>
        <w:rPr>
          <w:rFonts w:ascii="宋体" w:hAnsi="宋体" w:cs="宋体"/>
          <w:szCs w:val="21"/>
        </w:rPr>
      </w:pPr>
      <w:r>
        <w:rPr>
          <w:rStyle w:val="167"/>
          <w:rFonts w:hint="eastAsia" w:ascii="宋体" w:hAnsi="宋体" w:cs="宋体"/>
          <w:szCs w:val="21"/>
        </w:rPr>
        <w:t>（一）因乙方原因造成的停工、返工、窝工、倒运、机械设备调迁、材料积压等损失和费用均由乙方自行承担。</w:t>
      </w:r>
      <w:r>
        <w:rPr>
          <w:rFonts w:hint="eastAsia" w:ascii="宋体" w:hAnsi="宋体" w:cs="宋体"/>
          <w:szCs w:val="21"/>
        </w:rPr>
        <w:t>因乙方原因造成的工期延误，每延误一天，须向甲方支付合同金额的千分之</w:t>
      </w:r>
      <w:r>
        <w:rPr>
          <w:rFonts w:hint="eastAsia" w:ascii="宋体" w:hAnsi="宋体" w:cs="宋体"/>
          <w:szCs w:val="21"/>
          <w:u w:val="single"/>
        </w:rPr>
        <w:t xml:space="preserve"> 一 </w:t>
      </w:r>
      <w:r>
        <w:rPr>
          <w:rFonts w:hint="eastAsia" w:ascii="宋体" w:hAnsi="宋体" w:cs="宋体"/>
          <w:szCs w:val="21"/>
        </w:rPr>
        <w:t>作为违约金。</w:t>
      </w:r>
    </w:p>
    <w:p>
      <w:pPr>
        <w:pStyle w:val="19"/>
        <w:spacing w:line="360" w:lineRule="auto"/>
        <w:rPr>
          <w:rFonts w:ascii="宋体" w:hAnsi="宋体" w:cs="宋体"/>
          <w:sz w:val="21"/>
          <w:szCs w:val="21"/>
        </w:rPr>
      </w:pPr>
      <w:r>
        <w:rPr>
          <w:rFonts w:hint="eastAsia" w:ascii="宋体" w:hAnsi="宋体" w:cs="宋体"/>
          <w:sz w:val="21"/>
          <w:szCs w:val="21"/>
        </w:rPr>
        <w:t xml:space="preserve">    因乙方原因逾期不能完成项目的，甲方有权安排其他单位完成项目，所产生的费用按实际发生额从合同款项中予以扣除。情节严重的，甲方有权单方终止合同，乙方应自合同解除之日起</w:t>
      </w:r>
      <w:r>
        <w:rPr>
          <w:rFonts w:hint="eastAsia" w:ascii="宋体" w:hAnsi="宋体" w:cs="宋体"/>
          <w:sz w:val="21"/>
          <w:szCs w:val="21"/>
          <w:u w:val="single"/>
        </w:rPr>
        <w:t xml:space="preserve"> </w:t>
      </w:r>
      <w:r>
        <w:rPr>
          <w:rFonts w:ascii="宋体" w:hAnsi="宋体" w:cs="宋体"/>
          <w:sz w:val="21"/>
          <w:szCs w:val="21"/>
          <w:u w:val="single"/>
        </w:rPr>
        <w:t>7</w:t>
      </w:r>
      <w:r>
        <w:rPr>
          <w:rFonts w:hint="eastAsia" w:ascii="宋体" w:hAnsi="宋体" w:cs="宋体"/>
          <w:sz w:val="21"/>
          <w:szCs w:val="21"/>
          <w:u w:val="single"/>
        </w:rPr>
        <w:t xml:space="preserve"> </w:t>
      </w:r>
      <w:r>
        <w:rPr>
          <w:rFonts w:hint="eastAsia" w:ascii="宋体" w:hAnsi="宋体" w:cs="宋体"/>
          <w:sz w:val="21"/>
          <w:szCs w:val="21"/>
        </w:rPr>
        <w:t>日内返还甲方已支付的所有合同费用，并支付合同总价的百分之三十作为违约金。</w:t>
      </w:r>
    </w:p>
    <w:p>
      <w:pPr>
        <w:pStyle w:val="19"/>
        <w:spacing w:line="360" w:lineRule="auto"/>
        <w:ind w:firstLine="420" w:firstLineChars="200"/>
        <w:rPr>
          <w:rFonts w:ascii="宋体" w:hAnsi="宋体" w:cs="宋体"/>
          <w:sz w:val="21"/>
          <w:szCs w:val="21"/>
        </w:rPr>
      </w:pPr>
      <w:r>
        <w:rPr>
          <w:rFonts w:hint="eastAsia" w:ascii="宋体" w:hAnsi="宋体" w:cs="宋体"/>
          <w:sz w:val="21"/>
          <w:szCs w:val="21"/>
        </w:rPr>
        <w:t>（二）乙方采购送交的材料、设备等，须提供出厂证明或合格证、检测报告等，如不符合质量要求或型号规格有差异，甲方有权拒收并要求更换，因此产生的相关费用或损失由乙方承担。乙方存在以次充好、假冒伪劣等主观恶意行为的，甲方还可向乙方另行追偿合同价款20%的违约金。</w:t>
      </w:r>
    </w:p>
    <w:p>
      <w:pPr>
        <w:spacing w:line="360" w:lineRule="auto"/>
        <w:ind w:firstLine="420" w:firstLineChars="200"/>
        <w:rPr>
          <w:rFonts w:ascii="宋体" w:hAnsi="宋体" w:cs="宋体"/>
          <w:szCs w:val="21"/>
        </w:rPr>
      </w:pPr>
      <w:r>
        <w:rPr>
          <w:rStyle w:val="167"/>
          <w:rFonts w:hint="eastAsia" w:ascii="宋体" w:hAnsi="宋体" w:cs="宋体"/>
          <w:szCs w:val="21"/>
        </w:rPr>
        <w:t>（三）乙方不按照甲方确认的设计方案、施工图进行施工的，或施工不符合合同约定的，</w:t>
      </w:r>
      <w:r>
        <w:rPr>
          <w:rFonts w:hint="eastAsia" w:ascii="宋体" w:hAnsi="宋体" w:cs="宋体"/>
          <w:color w:val="000000"/>
          <w:kern w:val="0"/>
          <w:szCs w:val="21"/>
          <w:lang w:bidi="ar"/>
        </w:rPr>
        <w:t>甲方可要求乙方整改，</w:t>
      </w:r>
      <w:r>
        <w:rPr>
          <w:rFonts w:hint="eastAsia" w:ascii="宋体" w:hAnsi="宋体" w:cs="宋体"/>
          <w:szCs w:val="21"/>
        </w:rPr>
        <w:t>乙方应负责在甲方指定的时间内进行整改，直至整改合格为止。因整改产生的费用由乙方自行承担，且乙方应按本合同承担工期延误违约金。乙方未能在甲方指定的时间内完成整改或整改后仍然达不到合同约定的，甲方有权解除合同，不予支付乙方所有合同费用（如甲方已支付的，乙方应自合同解除之日起</w:t>
      </w:r>
      <w:r>
        <w:rPr>
          <w:rFonts w:hint="eastAsia" w:ascii="宋体" w:hAnsi="宋体" w:cs="宋体"/>
          <w:szCs w:val="21"/>
          <w:u w:val="single"/>
        </w:rPr>
        <w:t xml:space="preserve"> </w:t>
      </w:r>
      <w:r>
        <w:rPr>
          <w:rFonts w:ascii="宋体" w:hAnsi="宋体" w:cs="宋体"/>
          <w:szCs w:val="21"/>
          <w:u w:val="single"/>
        </w:rPr>
        <w:t>7</w:t>
      </w:r>
      <w:r>
        <w:rPr>
          <w:rFonts w:hint="eastAsia" w:ascii="宋体" w:hAnsi="宋体" w:cs="宋体"/>
          <w:szCs w:val="21"/>
          <w:u w:val="single"/>
        </w:rPr>
        <w:t xml:space="preserve"> </w:t>
      </w:r>
      <w:r>
        <w:rPr>
          <w:rFonts w:hint="eastAsia" w:ascii="宋体" w:hAnsi="宋体" w:cs="宋体"/>
          <w:szCs w:val="21"/>
        </w:rPr>
        <w:t>日内返还甲方已支付的所有合同费用），并支付合同总价的百分之三十作为违约金。</w:t>
      </w:r>
    </w:p>
    <w:p>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szCs w:val="21"/>
        </w:rPr>
        <w:t>（四）</w:t>
      </w:r>
      <w:r>
        <w:rPr>
          <w:rFonts w:hint="eastAsia" w:ascii="宋体" w:hAnsi="宋体" w:cs="宋体"/>
          <w:color w:val="000000"/>
          <w:kern w:val="0"/>
          <w:szCs w:val="21"/>
          <w:lang w:bidi="ar"/>
        </w:rPr>
        <w:t>因乙方派出的工作人员不符合安全管理和技术、资质要求的，或不服从甲方安全管理要求、不听劝阻的，甲方有权要求乙方立刻清理撤出作业现场，待整改完毕并且得到甲方同意后，方可再次入场作业。乙方拒绝予以整改的，甲方有权要求乙方以每次3000元的标准支付违反安全文明施工的违约金。经甲方书面警告，乙方仍拒绝予以整改的，甲方有权单方面终止本合同并且不承担任何赔偿责任，</w:t>
      </w:r>
      <w:r>
        <w:rPr>
          <w:rFonts w:hint="eastAsia" w:ascii="宋体" w:hAnsi="宋体" w:cs="宋体"/>
          <w:szCs w:val="21"/>
        </w:rPr>
        <w:t>乙方应自合同解除之日起</w:t>
      </w:r>
      <w:r>
        <w:rPr>
          <w:rFonts w:hint="eastAsia" w:ascii="宋体" w:hAnsi="宋体" w:cs="宋体"/>
          <w:szCs w:val="21"/>
          <w:u w:val="single"/>
        </w:rPr>
        <w:t xml:space="preserve"> </w:t>
      </w:r>
      <w:r>
        <w:rPr>
          <w:rFonts w:ascii="宋体" w:hAnsi="宋体" w:cs="宋体"/>
          <w:szCs w:val="21"/>
          <w:u w:val="single"/>
        </w:rPr>
        <w:t>7</w:t>
      </w:r>
      <w:r>
        <w:rPr>
          <w:rFonts w:hint="eastAsia" w:ascii="宋体" w:hAnsi="宋体" w:cs="宋体"/>
          <w:szCs w:val="21"/>
          <w:u w:val="single"/>
        </w:rPr>
        <w:t xml:space="preserve"> </w:t>
      </w:r>
      <w:r>
        <w:rPr>
          <w:rFonts w:hint="eastAsia" w:ascii="宋体" w:hAnsi="宋体" w:cs="宋体"/>
          <w:szCs w:val="21"/>
        </w:rPr>
        <w:t>日内返还甲方已支付的所有合同费用，</w:t>
      </w:r>
      <w:r>
        <w:rPr>
          <w:rFonts w:hint="eastAsia" w:ascii="宋体" w:hAnsi="宋体" w:cs="宋体"/>
          <w:color w:val="000000"/>
          <w:kern w:val="0"/>
          <w:szCs w:val="21"/>
          <w:lang w:bidi="ar"/>
        </w:rPr>
        <w:t>由此造成的所有损失均由乙方承担。</w:t>
      </w:r>
    </w:p>
    <w:p>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（五）</w:t>
      </w:r>
      <w:r>
        <w:rPr>
          <w:rStyle w:val="167"/>
          <w:rFonts w:hint="eastAsia" w:ascii="宋体" w:hAnsi="宋体" w:cs="宋体"/>
          <w:szCs w:val="21"/>
        </w:rPr>
        <w:t>在施工过程中，因乙方及其工作人员导致发生任何人身安全和财产损害事故的，均由乙方负责解决并承担相应的法律责任，赔偿损害方全部损失。</w:t>
      </w:r>
      <w:r>
        <w:rPr>
          <w:rFonts w:hint="eastAsia" w:ascii="宋体" w:hAnsi="宋体" w:cs="宋体"/>
          <w:color w:val="000000"/>
          <w:kern w:val="0"/>
          <w:szCs w:val="21"/>
          <w:lang w:bidi="ar"/>
        </w:rPr>
        <w:t>如发生瞒报、谎报事故等情形，甲方有权立即解除本合同，</w:t>
      </w:r>
      <w:r>
        <w:rPr>
          <w:rFonts w:hint="eastAsia" w:ascii="宋体" w:hAnsi="宋体" w:cs="宋体"/>
          <w:szCs w:val="21"/>
        </w:rPr>
        <w:t>乙方应自合同解除之日起</w:t>
      </w:r>
      <w:r>
        <w:rPr>
          <w:rFonts w:hint="eastAsia" w:ascii="宋体" w:hAnsi="宋体" w:cs="宋体"/>
          <w:szCs w:val="21"/>
          <w:u w:val="single"/>
        </w:rPr>
        <w:t xml:space="preserve"> </w:t>
      </w:r>
      <w:r>
        <w:rPr>
          <w:rFonts w:ascii="宋体" w:hAnsi="宋体" w:cs="宋体"/>
          <w:szCs w:val="21"/>
          <w:u w:val="single"/>
        </w:rPr>
        <w:t>7</w:t>
      </w:r>
      <w:r>
        <w:rPr>
          <w:rFonts w:hint="eastAsia" w:ascii="宋体" w:hAnsi="宋体" w:cs="宋体"/>
          <w:szCs w:val="21"/>
          <w:u w:val="single"/>
        </w:rPr>
        <w:t xml:space="preserve"> </w:t>
      </w:r>
      <w:r>
        <w:rPr>
          <w:rFonts w:hint="eastAsia" w:ascii="宋体" w:hAnsi="宋体" w:cs="宋体"/>
          <w:szCs w:val="21"/>
        </w:rPr>
        <w:t>日内返还甲方已支付的所有合同费用，支付合同总价的百分之三十作为违约金，并承担所有损失。甲方若因此需对外承担赔偿责任的，则乙方应在甲方承担赔偿责任范围内向甲方承担等额赔偿责任。乙方应在收到甲方提供的生效法律文书复印件、赔偿通知等文件之日起五个工作日内将款项支付给甲方。</w:t>
      </w:r>
    </w:p>
    <w:p>
      <w:pPr>
        <w:spacing w:line="360" w:lineRule="auto"/>
        <w:ind w:firstLine="420" w:firstLineChars="200"/>
        <w:rPr>
          <w:rStyle w:val="167"/>
          <w:rFonts w:ascii="宋体" w:hAnsi="宋体" w:cs="宋体"/>
          <w:szCs w:val="21"/>
        </w:rPr>
      </w:pPr>
      <w:r>
        <w:rPr>
          <w:rStyle w:val="167"/>
          <w:rFonts w:hint="eastAsia" w:ascii="宋体" w:hAnsi="宋体" w:cs="宋体"/>
          <w:szCs w:val="21"/>
        </w:rPr>
        <w:t>（六）项目质保期内，如乙方未及时履行本合同约定的保修义务的，甲方有权自行或聘请第三方提供保修服务，所产生的费用由乙方承担，甲方有权从剩余未付款项（包括质保金）中扣除，剩余未付款项不足以弥补甲方支付第三方的费用的，甲方有权向乙方追偿。</w:t>
      </w:r>
    </w:p>
    <w:p>
      <w:pPr>
        <w:spacing w:line="360" w:lineRule="auto"/>
        <w:ind w:firstLine="420" w:firstLineChars="200"/>
        <w:rPr>
          <w:rFonts w:ascii="宋体" w:hAnsi="宋体" w:cs="宋体"/>
          <w:b/>
          <w:bCs/>
          <w:szCs w:val="21"/>
        </w:rPr>
      </w:pPr>
      <w:r>
        <w:rPr>
          <w:rFonts w:hint="eastAsia" w:ascii="宋体" w:hAnsi="宋体" w:cs="宋体"/>
          <w:szCs w:val="21"/>
        </w:rPr>
        <w:t>（七）因乙方违反本合同约定导致甲方遭受损失的，乙方应当赔偿甲方的损失。甲方有权在任何一期应付合同价款中扣除乙方按照本合同应支付的违约金。</w:t>
      </w:r>
    </w:p>
    <w:p>
      <w:pPr>
        <w:spacing w:line="360" w:lineRule="auto"/>
        <w:ind w:firstLine="420" w:firstLineChars="200"/>
        <w:rPr>
          <w:rFonts w:ascii="宋体" w:hAnsi="宋体" w:cs="宋体"/>
          <w:b/>
          <w:bCs/>
          <w:szCs w:val="21"/>
        </w:rPr>
      </w:pPr>
      <w:r>
        <w:rPr>
          <w:rStyle w:val="167"/>
          <w:rFonts w:hint="eastAsia" w:ascii="宋体" w:hAnsi="宋体" w:cs="宋体"/>
          <w:szCs w:val="21"/>
        </w:rPr>
        <w:t>（八）因一方原因，合同无法继续履行时，经与对方协商同意后办理合同终止手续，并由责任方赔偿对方由此造成的经济损失。本合同所称损失包括但不限于直接的经济损失、预期（可得）利益损失及为此而支出的维权支出（包括但不限于调查取证费、鉴定费、公证费、评估费、交通差旅费、诉讼费、律师费、财产保全费、财产保全保险费等）。</w:t>
      </w:r>
    </w:p>
    <w:p>
      <w:pPr>
        <w:adjustRightInd w:val="0"/>
        <w:snapToGrid w:val="0"/>
        <w:spacing w:line="360" w:lineRule="auto"/>
        <w:rPr>
          <w:rFonts w:ascii="宋体" w:hAnsi="宋体" w:cs="宋体"/>
          <w:b/>
          <w:bCs/>
          <w:szCs w:val="21"/>
        </w:rPr>
      </w:pPr>
      <w:r>
        <w:rPr>
          <w:rFonts w:hint="eastAsia" w:ascii="宋体" w:hAnsi="宋体" w:cs="宋体"/>
          <w:b/>
          <w:bCs/>
          <w:szCs w:val="21"/>
        </w:rPr>
        <w:t>第八条  知识产权与商业秘密</w:t>
      </w:r>
    </w:p>
    <w:p>
      <w:pPr>
        <w:numPr>
          <w:ilvl w:val="0"/>
          <w:numId w:val="12"/>
        </w:num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甲方提供的任何与本项目相关的图片、文字、音视频等材料的知识产权均归甲方所有，乙方不得将其用于合同项目以外的其他目的或向第三方提供上述材料，否则乙方应另行承担侵权责任。</w:t>
      </w:r>
    </w:p>
    <w:p>
      <w:pPr>
        <w:numPr>
          <w:ilvl w:val="0"/>
          <w:numId w:val="13"/>
        </w:num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乙方在签订和履行本合同中知悉的甲方的全部信息（包括技术信息和经营信息等）均为甲方的商业秘密。除本合同规定之工作所需外，未经甲方事先书面同意，乙方不得使用、披露甲方的商业秘密，不得擅自使用、复制甲方的商标、标志、商业信息、技术及其他资料，否则乙方应承担相应的侵权责任。</w:t>
      </w:r>
    </w:p>
    <w:p>
      <w:pPr>
        <w:spacing w:line="360" w:lineRule="auto"/>
        <w:ind w:firstLine="420" w:firstLineChars="200"/>
        <w:rPr>
          <w:rFonts w:ascii="宋体" w:hAnsi="宋体" w:cs="宋体"/>
          <w:szCs w:val="21"/>
        </w:rPr>
      </w:pPr>
      <w:r>
        <w:rPr>
          <w:rFonts w:hint="eastAsia" w:ascii="宋体" w:hAnsi="宋体" w:cs="宋体"/>
          <w:szCs w:val="21"/>
        </w:rPr>
        <w:t>（三）乙方应保证为本项目的所完成和使用的设计方案、创意、图纸、标志、元素、技术、设备设施、服务成果或其任何一部分不会产生因第三方提出侵犯其专利权、商标权、著作权或其他合法权益而引起的法律和经济纠纷；如因第三方提出乙方侵权之诉，一切法律责任由乙方承担，甲方有权解除本合同并要求乙方返还已支付的全部费用。甲方若因此需对外承担赔偿责任时，则乙方应在甲方承担赔偿责任范围内向甲方承担等额赔偿责任。乙方应在收到甲方提供的生效法律文书复印件、赔偿通知等文件之日起五个工作日内将款项支付给甲方。</w:t>
      </w:r>
    </w:p>
    <w:p>
      <w:pPr>
        <w:spacing w:line="360" w:lineRule="auto"/>
        <w:ind w:firstLine="420" w:firstLineChars="200"/>
        <w:rPr>
          <w:rFonts w:ascii="宋体" w:hAnsi="宋体" w:cs="宋体"/>
          <w:szCs w:val="21"/>
        </w:rPr>
      </w:pPr>
      <w:r>
        <w:rPr>
          <w:rFonts w:hint="eastAsia" w:ascii="宋体" w:hAnsi="宋体" w:cs="宋体"/>
          <w:szCs w:val="21"/>
        </w:rPr>
        <w:t>（五）委托项目成果验收后，本合同项下乙方服务成果（不论何种形式的载体）的著作权等知识产权均归甲方所有。未经甲方书面同意，乙方不得擅自对外公开发表或对向他人提供成果。如乙方因擅自对外公开发表或对向他人提供成果获得收益，则乙方应在获得收益之日起五个工作日内将收益支付给甲方。</w:t>
      </w:r>
    </w:p>
    <w:p>
      <w:pPr>
        <w:spacing w:line="360" w:lineRule="auto"/>
        <w:ind w:firstLine="420" w:firstLineChars="200"/>
        <w:rPr>
          <w:rStyle w:val="167"/>
          <w:rFonts w:ascii="宋体" w:hAnsi="宋体" w:cs="宋体"/>
          <w:szCs w:val="21"/>
        </w:rPr>
      </w:pPr>
      <w:r>
        <w:rPr>
          <w:rFonts w:hint="eastAsia" w:ascii="宋体" w:hAnsi="宋体" w:cs="宋体"/>
          <w:color w:val="000000"/>
          <w:szCs w:val="21"/>
        </w:rPr>
        <w:t>（六）本合同有效期内及终止后，本条款对乙方仍具有法律效力。</w:t>
      </w:r>
    </w:p>
    <w:p>
      <w:pPr>
        <w:adjustRightInd w:val="0"/>
        <w:snapToGrid w:val="0"/>
        <w:spacing w:line="360" w:lineRule="auto"/>
        <w:rPr>
          <w:rFonts w:ascii="宋体" w:hAnsi="宋体" w:cs="宋体"/>
          <w:b/>
          <w:bCs/>
          <w:szCs w:val="21"/>
        </w:rPr>
      </w:pPr>
      <w:r>
        <w:rPr>
          <w:rFonts w:hint="eastAsia" w:ascii="宋体" w:hAnsi="宋体" w:cs="宋体"/>
          <w:b/>
          <w:bCs/>
          <w:szCs w:val="21"/>
        </w:rPr>
        <w:t>第九条  不可抗力及免责</w:t>
      </w:r>
    </w:p>
    <w:p>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一）“不可抗力”是指本合同双方不能合理控制、不可预见或即使预见亦无法避免的事件，该事件妨碍、影响或延误任何一方根据本合同履行其全部或部分义务。不可抗力包括但不限于：自然原因的不可抗力，例如：地震、火灾、洪水、严重的传染性疾病等；国家机关原因的不可抗力，例如：法律、政策、行政指令、政府行为和国家政策发生根本性改变；其它不可抗力：战争、武装冲突、动乱等其他突发事件等。</w:t>
      </w:r>
    </w:p>
    <w:p>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二）任何一方由于不可抗力原因不能履行合同时，应在不可抗力事件结束后3日内向对方通报，以减轻可能给对方造成的损失。在取得有关机构的不可抗力证明或双方谅解确认后，双方可根据不可抗力事件对合同履行的影响程度协商决定延期履行、变更合同或解除合同，并免于承担违约责任。</w:t>
      </w:r>
    </w:p>
    <w:p>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（三）遭受不可抗力的一方未履行上述义务或不可抗力发生在一方违约前或违约后的，不能免除其违约责任。</w:t>
      </w:r>
    </w:p>
    <w:p>
      <w:pPr>
        <w:snapToGrid w:val="0"/>
        <w:spacing w:line="360" w:lineRule="auto"/>
        <w:rPr>
          <w:rFonts w:ascii="宋体" w:hAnsi="宋体" w:cs="宋体"/>
          <w:b/>
          <w:bCs/>
          <w:szCs w:val="21"/>
        </w:rPr>
      </w:pPr>
      <w:r>
        <w:rPr>
          <w:rStyle w:val="167"/>
          <w:rFonts w:hint="eastAsia" w:ascii="宋体" w:hAnsi="宋体" w:cs="宋体"/>
          <w:b/>
          <w:szCs w:val="21"/>
        </w:rPr>
        <w:t xml:space="preserve">第十条  </w:t>
      </w:r>
      <w:r>
        <w:rPr>
          <w:rFonts w:hint="eastAsia" w:ascii="宋体" w:hAnsi="宋体" w:cs="宋体"/>
          <w:b/>
          <w:bCs/>
          <w:szCs w:val="21"/>
        </w:rPr>
        <w:t>法律适用及争议解决</w:t>
      </w:r>
    </w:p>
    <w:p>
      <w:pPr>
        <w:snapToGrid w:val="0"/>
        <w:spacing w:line="360" w:lineRule="auto"/>
        <w:ind w:firstLine="420" w:firstLineChars="200"/>
        <w:rPr>
          <w:rStyle w:val="167"/>
          <w:rFonts w:ascii="宋体" w:hAnsi="宋体" w:cs="宋体"/>
          <w:kern w:val="0"/>
          <w:szCs w:val="21"/>
        </w:rPr>
      </w:pPr>
      <w:r>
        <w:rPr>
          <w:rStyle w:val="167"/>
          <w:rFonts w:hint="eastAsia" w:ascii="宋体" w:hAnsi="宋体" w:cs="宋体"/>
          <w:kern w:val="0"/>
          <w:szCs w:val="21"/>
        </w:rPr>
        <w:t>（一）本合同受中华人民共和国法律解释和管辖，并不考虑法律冲突。</w:t>
      </w:r>
    </w:p>
    <w:p>
      <w:pPr>
        <w:pStyle w:val="155"/>
        <w:snapToGrid w:val="0"/>
        <w:spacing w:line="360" w:lineRule="auto"/>
        <w:rPr>
          <w:rStyle w:val="167"/>
          <w:rFonts w:ascii="宋体" w:hAnsi="宋体" w:cs="宋体"/>
          <w:kern w:val="0"/>
          <w:szCs w:val="21"/>
        </w:rPr>
      </w:pPr>
      <w:r>
        <w:rPr>
          <w:rStyle w:val="167"/>
          <w:rFonts w:hint="eastAsia" w:ascii="宋体" w:hAnsi="宋体" w:cs="宋体"/>
          <w:kern w:val="0"/>
          <w:szCs w:val="21"/>
        </w:rPr>
        <w:t>（二）双方约定，合同签订地为广州市越秀区。有关本合同的任何争议应由双方秉承善意友好协商解决。</w:t>
      </w:r>
      <w:r>
        <w:rPr>
          <w:rFonts w:hint="eastAsia" w:ascii="宋体" w:hAnsi="宋体" w:cs="宋体"/>
          <w:szCs w:val="21"/>
        </w:rPr>
        <w:t>若双方协商不成，一方可</w:t>
      </w:r>
      <w:r>
        <w:rPr>
          <w:rStyle w:val="167"/>
          <w:rFonts w:hint="eastAsia" w:ascii="宋体" w:hAnsi="宋体" w:cs="宋体"/>
          <w:kern w:val="0"/>
          <w:szCs w:val="21"/>
        </w:rPr>
        <w:t>将争议提交合同签订地有管辖权的法院诉讼解决。</w:t>
      </w:r>
    </w:p>
    <w:p>
      <w:pPr>
        <w:snapToGrid w:val="0"/>
        <w:spacing w:line="360" w:lineRule="auto"/>
        <w:rPr>
          <w:rFonts w:ascii="宋体" w:hAnsi="宋体" w:cs="宋体"/>
          <w:b/>
          <w:szCs w:val="21"/>
        </w:rPr>
      </w:pPr>
      <w:r>
        <w:rPr>
          <w:rFonts w:hint="eastAsia" w:ascii="宋体" w:hAnsi="宋体" w:cs="宋体"/>
          <w:b/>
          <w:szCs w:val="21"/>
        </w:rPr>
        <w:t>第十一条  通知与送达</w:t>
      </w:r>
    </w:p>
    <w:p>
      <w:pPr>
        <w:snapToGrid w:val="0"/>
        <w:spacing w:line="360" w:lineRule="auto"/>
        <w:ind w:firstLine="420" w:firstLineChars="200"/>
        <w:rPr>
          <w:rFonts w:ascii="宋体" w:hAnsi="宋体" w:cs="宋体"/>
          <w:szCs w:val="21"/>
        </w:rPr>
      </w:pPr>
      <w:r>
        <w:rPr>
          <w:rFonts w:hint="eastAsia" w:ascii="宋体" w:hAnsi="宋体" w:cs="宋体"/>
          <w:szCs w:val="21"/>
        </w:rPr>
        <w:t>与本合同有关的通知、文件等均须采用书面形式发出，并通过快递或专人送至本合同首页载明的通讯地址。快递寄出第三日（无论对方签收与否）与对方签收日中较早的日期视为已送达日期。一方的地址如发生变更，应于变更后七天内通知对方，未通知或延迟通知的，由其承担法律后果。</w:t>
      </w:r>
    </w:p>
    <w:p>
      <w:pPr>
        <w:pStyle w:val="170"/>
        <w:snapToGrid w:val="0"/>
        <w:spacing w:before="0" w:beforeAutospacing="0" w:after="0" w:afterAutospacing="0" w:line="360" w:lineRule="auto"/>
        <w:rPr>
          <w:rStyle w:val="167"/>
          <w:rFonts w:cs="宋体"/>
          <w:b/>
          <w:sz w:val="21"/>
          <w:szCs w:val="21"/>
        </w:rPr>
      </w:pPr>
      <w:r>
        <w:rPr>
          <w:rStyle w:val="167"/>
          <w:rFonts w:hint="eastAsia" w:cs="宋体"/>
          <w:b/>
          <w:sz w:val="21"/>
          <w:szCs w:val="21"/>
        </w:rPr>
        <w:t>第十二条  其他</w:t>
      </w:r>
    </w:p>
    <w:p>
      <w:pPr>
        <w:pStyle w:val="17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（一）</w:t>
      </w:r>
      <w:r>
        <w:rPr>
          <w:rFonts w:hint="eastAsia" w:cs="宋体"/>
          <w:sz w:val="21"/>
          <w:szCs w:val="21"/>
        </w:rPr>
        <w:t>本合同经双方法定代表人或授权代理人签字并盖章之日起生效</w:t>
      </w:r>
      <w:r>
        <w:rPr>
          <w:rStyle w:val="167"/>
          <w:rFonts w:hint="eastAsia" w:cs="宋体"/>
          <w:sz w:val="21"/>
          <w:szCs w:val="21"/>
        </w:rPr>
        <w:t>。</w:t>
      </w:r>
    </w:p>
    <w:p>
      <w:pPr>
        <w:pStyle w:val="17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（二）</w:t>
      </w:r>
      <w:r>
        <w:rPr>
          <w:rFonts w:hint="eastAsia" w:cs="宋体"/>
          <w:sz w:val="21"/>
          <w:szCs w:val="21"/>
        </w:rPr>
        <w:t>本合同共</w:t>
      </w:r>
      <w:r>
        <w:rPr>
          <w:rFonts w:hint="eastAsia" w:cs="宋体"/>
          <w:sz w:val="21"/>
          <w:szCs w:val="21"/>
          <w:u w:val="single"/>
        </w:rPr>
        <w:t xml:space="preserve"> 肆 </w:t>
      </w:r>
      <w:r>
        <w:rPr>
          <w:rFonts w:hint="eastAsia" w:cs="宋体"/>
          <w:sz w:val="21"/>
          <w:szCs w:val="21"/>
        </w:rPr>
        <w:t>份,其中甲方执</w:t>
      </w:r>
      <w:r>
        <w:rPr>
          <w:rFonts w:hint="eastAsia" w:cs="宋体"/>
          <w:sz w:val="21"/>
          <w:szCs w:val="21"/>
          <w:u w:val="single"/>
        </w:rPr>
        <w:t xml:space="preserve"> 贰 </w:t>
      </w:r>
      <w:r>
        <w:rPr>
          <w:rFonts w:hint="eastAsia" w:cs="宋体"/>
          <w:sz w:val="21"/>
          <w:szCs w:val="21"/>
        </w:rPr>
        <w:t>份，乙方执</w:t>
      </w:r>
      <w:r>
        <w:rPr>
          <w:rFonts w:hint="eastAsia" w:cs="宋体"/>
          <w:sz w:val="21"/>
          <w:szCs w:val="21"/>
          <w:u w:val="single"/>
        </w:rPr>
        <w:t xml:space="preserve"> 贰 </w:t>
      </w:r>
      <w:r>
        <w:rPr>
          <w:rFonts w:hint="eastAsia" w:cs="宋体"/>
          <w:sz w:val="21"/>
          <w:szCs w:val="21"/>
        </w:rPr>
        <w:t>份，具有同等法律效力</w:t>
      </w:r>
      <w:r>
        <w:rPr>
          <w:rStyle w:val="167"/>
          <w:rFonts w:hint="eastAsia" w:cs="宋体"/>
          <w:sz w:val="21"/>
          <w:szCs w:val="21"/>
        </w:rPr>
        <w:t>。</w:t>
      </w:r>
    </w:p>
    <w:p>
      <w:pPr>
        <w:pStyle w:val="17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三）在执行本合同的过程中，所有经双方签署确认的文件（包括会议纪要、补充协议、往来信函）即成为本合同的有效组成部分。本合同未尽事宜或任何一方就本合同的任何条款要求修改，须由双方签订书面补充协议。补充协议是本合同的组成部分，与本合同具有同等法律效力，不一致之处以补充协议为准。</w:t>
      </w:r>
    </w:p>
    <w:p>
      <w:pPr>
        <w:pStyle w:val="17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（四）以下附件均为本合同组成部分，与本合同具有同等法律效力。附件有：</w:t>
      </w:r>
    </w:p>
    <w:p>
      <w:pPr>
        <w:pStyle w:val="17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1、附件一：</w:t>
      </w:r>
    </w:p>
    <w:p>
      <w:pPr>
        <w:pStyle w:val="170"/>
        <w:snapToGrid w:val="0"/>
        <w:spacing w:before="0" w:beforeAutospacing="0" w:after="0" w:afterAutospacing="0" w:line="360" w:lineRule="auto"/>
        <w:ind w:firstLine="420" w:firstLineChars="200"/>
        <w:rPr>
          <w:rStyle w:val="167"/>
          <w:rFonts w:cs="宋体"/>
          <w:sz w:val="21"/>
          <w:szCs w:val="21"/>
          <w:u w:val="single"/>
        </w:rPr>
      </w:pPr>
      <w:r>
        <w:rPr>
          <w:rStyle w:val="167"/>
          <w:rFonts w:hint="eastAsia" w:cs="宋体"/>
          <w:sz w:val="21"/>
          <w:szCs w:val="21"/>
        </w:rPr>
        <w:t>2、附件二：其他</w:t>
      </w:r>
      <w:r>
        <w:rPr>
          <w:rStyle w:val="167"/>
          <w:rFonts w:hint="eastAsia" w:cs="宋体"/>
          <w:sz w:val="21"/>
          <w:szCs w:val="21"/>
          <w:u w:val="single"/>
        </w:rPr>
        <w:t xml:space="preserve">          </w:t>
      </w:r>
    </w:p>
    <w:p>
      <w:pPr>
        <w:pStyle w:val="170"/>
        <w:snapToGrid w:val="0"/>
        <w:spacing w:before="0" w:beforeAutospacing="0" w:after="0" w:afterAutospacing="0" w:line="360" w:lineRule="auto"/>
        <w:rPr>
          <w:rStyle w:val="167"/>
          <w:rFonts w:cs="宋体"/>
          <w:sz w:val="21"/>
          <w:szCs w:val="21"/>
        </w:rPr>
      </w:pPr>
      <w:r>
        <w:rPr>
          <w:rStyle w:val="167"/>
          <w:rFonts w:hint="eastAsia" w:cs="宋体"/>
          <w:sz w:val="21"/>
          <w:szCs w:val="21"/>
        </w:rPr>
        <w:t>【以下无正文】</w:t>
      </w:r>
    </w:p>
    <w:p>
      <w:pPr>
        <w:snapToGrid w:val="0"/>
        <w:spacing w:line="360" w:lineRule="auto"/>
        <w:rPr>
          <w:rFonts w:ascii="宋体" w:hAnsi="宋体" w:cs="宋体"/>
          <w:szCs w:val="21"/>
          <w:shd w:val="clear" w:color="auto" w:fill="FFFFFF"/>
        </w:rPr>
      </w:pPr>
    </w:p>
    <w:p>
      <w:pPr>
        <w:snapToGrid w:val="0"/>
        <w:spacing w:line="360" w:lineRule="auto"/>
        <w:rPr>
          <w:rFonts w:ascii="宋体" w:hAnsi="宋体" w:cs="宋体"/>
          <w:szCs w:val="21"/>
          <w:shd w:val="clear" w:color="auto" w:fill="FFFFFF"/>
        </w:rPr>
      </w:pPr>
    </w:p>
    <w:p>
      <w:pPr>
        <w:snapToGrid w:val="0"/>
        <w:spacing w:line="360" w:lineRule="auto"/>
        <w:rPr>
          <w:rFonts w:ascii="宋体" w:hAnsi="宋体" w:cs="宋体"/>
          <w:szCs w:val="21"/>
          <w:shd w:val="clear" w:color="auto" w:fill="FFFFFF"/>
        </w:rPr>
      </w:pPr>
      <w:r>
        <w:rPr>
          <w:rFonts w:hint="eastAsia" w:ascii="宋体" w:hAnsi="宋体" w:cs="宋体"/>
          <w:szCs w:val="21"/>
          <w:shd w:val="clear" w:color="auto" w:fill="FFFFFF"/>
        </w:rPr>
        <w:t>甲方（盖章）：               乙方（盖章）：</w:t>
      </w:r>
    </w:p>
    <w:p>
      <w:pPr>
        <w:pStyle w:val="19"/>
        <w:spacing w:line="360" w:lineRule="auto"/>
        <w:rPr>
          <w:rFonts w:ascii="宋体" w:hAnsi="宋体" w:cs="宋体"/>
          <w:sz w:val="21"/>
          <w:szCs w:val="21"/>
        </w:rPr>
      </w:pPr>
    </w:p>
    <w:p>
      <w:pPr>
        <w:snapToGrid w:val="0"/>
        <w:spacing w:line="360" w:lineRule="auto"/>
        <w:rPr>
          <w:rFonts w:ascii="宋体" w:hAnsi="宋体" w:cs="宋体"/>
          <w:szCs w:val="21"/>
          <w:shd w:val="clear" w:color="auto" w:fill="FFFFFF"/>
        </w:rPr>
      </w:pPr>
      <w:r>
        <w:rPr>
          <w:rFonts w:hint="eastAsia" w:ascii="宋体" w:hAnsi="宋体" w:cs="宋体"/>
          <w:szCs w:val="21"/>
          <w:shd w:val="clear" w:color="auto" w:fill="FFFFFF"/>
        </w:rPr>
        <w:t xml:space="preserve">法人（授权）代表签字：       法人（授权）代表签字：     </w:t>
      </w:r>
    </w:p>
    <w:p>
      <w:pPr>
        <w:snapToGrid w:val="0"/>
        <w:spacing w:line="360" w:lineRule="auto"/>
        <w:rPr>
          <w:rFonts w:ascii="宋体" w:hAnsi="宋体" w:cs="宋体"/>
          <w:szCs w:val="21"/>
          <w:shd w:val="clear" w:color="auto" w:fill="FFFFFF"/>
        </w:rPr>
      </w:pPr>
      <w:r>
        <w:rPr>
          <w:rFonts w:hint="eastAsia" w:ascii="宋体" w:hAnsi="宋体" w:cs="宋体"/>
          <w:szCs w:val="21"/>
          <w:shd w:val="clear" w:color="auto" w:fill="FFFFFF"/>
        </w:rPr>
        <w:t xml:space="preserve">   </w:t>
      </w:r>
    </w:p>
    <w:p>
      <w:pPr>
        <w:snapToGrid w:val="0"/>
        <w:spacing w:line="360" w:lineRule="auto"/>
        <w:rPr>
          <w:rFonts w:ascii="宋体" w:hAnsi="宋体" w:cs="宋体"/>
          <w:szCs w:val="21"/>
        </w:rPr>
      </w:pPr>
      <w:r>
        <w:rPr>
          <w:rFonts w:hint="eastAsia" w:ascii="宋体" w:hAnsi="宋体" w:cs="宋体"/>
          <w:szCs w:val="21"/>
          <w:shd w:val="clear" w:color="auto" w:fill="FFFFFF"/>
        </w:rPr>
        <w:t>日期：</w:t>
      </w:r>
      <w:r>
        <w:rPr>
          <w:rFonts w:hint="eastAsia" w:ascii="宋体" w:hAnsi="宋体" w:cs="宋体"/>
          <w:szCs w:val="21"/>
          <w:u w:val="single"/>
        </w:rPr>
        <w:t xml:space="preserve">    </w:t>
      </w:r>
      <w:r>
        <w:rPr>
          <w:rFonts w:hint="eastAsia" w:ascii="宋体" w:hAnsi="宋体" w:cs="宋体"/>
          <w:szCs w:val="21"/>
          <w:shd w:val="clear" w:color="auto" w:fill="FFFFFF"/>
        </w:rPr>
        <w:t>年</w:t>
      </w:r>
      <w:r>
        <w:rPr>
          <w:rFonts w:hint="eastAsia" w:ascii="宋体" w:hAnsi="宋体" w:cs="宋体"/>
          <w:szCs w:val="21"/>
          <w:u w:val="single"/>
        </w:rPr>
        <w:t xml:space="preserve">    </w:t>
      </w:r>
      <w:r>
        <w:rPr>
          <w:rFonts w:hint="eastAsia" w:ascii="宋体" w:hAnsi="宋体" w:cs="宋体"/>
          <w:szCs w:val="21"/>
          <w:shd w:val="clear" w:color="auto" w:fill="FFFFFF"/>
        </w:rPr>
        <w:t>月</w:t>
      </w:r>
      <w:r>
        <w:rPr>
          <w:rFonts w:hint="eastAsia" w:ascii="宋体" w:hAnsi="宋体" w:cs="宋体"/>
          <w:szCs w:val="21"/>
          <w:u w:val="single"/>
        </w:rPr>
        <w:t xml:space="preserve">    </w:t>
      </w:r>
      <w:r>
        <w:rPr>
          <w:rFonts w:hint="eastAsia" w:ascii="宋体" w:hAnsi="宋体" w:cs="宋体"/>
          <w:szCs w:val="21"/>
          <w:shd w:val="clear" w:color="auto" w:fill="FFFFFF"/>
        </w:rPr>
        <w:t>日     日期：</w:t>
      </w:r>
      <w:r>
        <w:rPr>
          <w:rFonts w:hint="eastAsia" w:ascii="宋体" w:hAnsi="宋体" w:cs="宋体"/>
          <w:szCs w:val="21"/>
          <w:u w:val="single"/>
        </w:rPr>
        <w:t xml:space="preserve">    </w:t>
      </w:r>
      <w:r>
        <w:rPr>
          <w:rFonts w:hint="eastAsia" w:ascii="宋体" w:hAnsi="宋体" w:cs="宋体"/>
          <w:szCs w:val="21"/>
          <w:shd w:val="clear" w:color="auto" w:fill="FFFFFF"/>
        </w:rPr>
        <w:t>年</w:t>
      </w:r>
      <w:r>
        <w:rPr>
          <w:rFonts w:hint="eastAsia" w:ascii="宋体" w:hAnsi="宋体" w:cs="宋体"/>
          <w:szCs w:val="21"/>
          <w:u w:val="single"/>
        </w:rPr>
        <w:t xml:space="preserve">    </w:t>
      </w:r>
      <w:r>
        <w:rPr>
          <w:rFonts w:hint="eastAsia" w:ascii="宋体" w:hAnsi="宋体" w:cs="宋体"/>
          <w:szCs w:val="21"/>
          <w:shd w:val="clear" w:color="auto" w:fill="FFFFFF"/>
        </w:rPr>
        <w:t>月</w:t>
      </w:r>
      <w:r>
        <w:rPr>
          <w:rFonts w:hint="eastAsia" w:ascii="宋体" w:hAnsi="宋体" w:cs="宋体"/>
          <w:szCs w:val="21"/>
          <w:u w:val="single"/>
        </w:rPr>
        <w:t xml:space="preserve">    </w:t>
      </w:r>
      <w:r>
        <w:rPr>
          <w:rFonts w:hint="eastAsia" w:ascii="宋体" w:hAnsi="宋体" w:cs="宋体"/>
          <w:szCs w:val="21"/>
          <w:shd w:val="clear" w:color="auto" w:fill="FFFFFF"/>
        </w:rPr>
        <w:t>日</w:t>
      </w:r>
    </w:p>
    <w:p>
      <w:pPr>
        <w:spacing w:line="360" w:lineRule="auto"/>
        <w:jc w:val="left"/>
        <w:rPr>
          <w:rFonts w:ascii="Calibri" w:hAnsi="宋体"/>
          <w:b/>
          <w:bCs/>
          <w:sz w:val="22"/>
          <w:szCs w:val="21"/>
        </w:rPr>
      </w:pPr>
    </w:p>
    <w:p>
      <w:pPr>
        <w:rPr>
          <w:rFonts w:hint="eastAsia"/>
          <w:b/>
          <w:sz w:val="44"/>
        </w:rPr>
      </w:pPr>
      <w:r>
        <w:rPr>
          <w:b/>
          <w:sz w:val="44"/>
        </w:rPr>
        <w:br w:type="page"/>
      </w:r>
    </w:p>
    <w:p>
      <w:pPr>
        <w:pStyle w:val="170"/>
        <w:snapToGrid w:val="0"/>
        <w:spacing w:before="0" w:beforeAutospacing="0" w:after="0" w:afterAutospacing="0" w:line="360" w:lineRule="auto"/>
        <w:rPr>
          <w:b/>
          <w:bCs/>
          <w:sz w:val="21"/>
          <w:szCs w:val="21"/>
        </w:rPr>
      </w:pPr>
      <w:r>
        <w:rPr>
          <w:rFonts w:hint="eastAsia"/>
          <w:b/>
          <w:bCs/>
          <w:sz w:val="21"/>
          <w:szCs w:val="21"/>
        </w:rPr>
        <w:t>附件一：2024年“疆品南下 粤品北上”项目搭建执行服务供应商的使用及管理原则</w:t>
      </w:r>
    </w:p>
    <w:p>
      <w:pPr>
        <w:pStyle w:val="170"/>
        <w:snapToGrid w:val="0"/>
        <w:spacing w:before="0" w:beforeAutospacing="0" w:after="0" w:afterAutospacing="0" w:line="360" w:lineRule="auto"/>
        <w:ind w:firstLine="562" w:firstLineChars="200"/>
        <w:jc w:val="center"/>
        <w:rPr>
          <w:rStyle w:val="167"/>
          <w:rFonts w:cs="宋体"/>
          <w:sz w:val="21"/>
          <w:szCs w:val="21"/>
        </w:rPr>
      </w:pPr>
      <w:r>
        <w:rPr>
          <w:rStyle w:val="167"/>
          <w:rFonts w:hint="eastAsia" w:cs="宋体"/>
          <w:b/>
          <w:bCs/>
          <w:sz w:val="28"/>
          <w:szCs w:val="28"/>
        </w:rPr>
        <w:t>2024年“疆品南下 粤品北上”项目搭建执行服务供应商的使用及管理原则</w:t>
      </w:r>
    </w:p>
    <w:p>
      <w:pPr>
        <w:pStyle w:val="17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（一）使用原则</w:t>
      </w:r>
    </w:p>
    <w:p>
      <w:pPr>
        <w:pStyle w:val="170"/>
        <w:snapToGrid w:val="0"/>
        <w:spacing w:before="0" w:beforeAutospacing="0" w:after="0" w:afterAutospacing="0" w:line="360" w:lineRule="auto"/>
        <w:ind w:firstLine="420" w:firstLineChars="200"/>
        <w:rPr>
          <w:rStyle w:val="167"/>
          <w:rFonts w:cs="宋体"/>
          <w:sz w:val="21"/>
          <w:szCs w:val="21"/>
          <w:highlight w:val="yellow"/>
        </w:rPr>
      </w:pPr>
      <w:r>
        <w:rPr>
          <w:rStyle w:val="167"/>
          <w:rFonts w:hint="eastAsia" w:cs="宋体"/>
          <w:sz w:val="21"/>
          <w:szCs w:val="21"/>
        </w:rPr>
        <w:t>每个具体项目实施前，甲方通知全部入围供应商，并以书面形式向全部入围供应商发送项目需求。各供应商需在规定时间内进行响应报价。甲方依照南方报业传媒集团和广东南方农村报经营有限公司有关管理规定，根据单个具体项目情况及供应商的报价，全面考虑供应商的服务方案和价格，以综合评审的方式确定该项目的实施单位，并签订项目合同（项目评审标准见下表）。不满三家供应商响应报价</w:t>
      </w:r>
      <w:r>
        <w:rPr>
          <w:rStyle w:val="167"/>
          <w:rFonts w:hint="eastAsia" w:cs="宋体"/>
          <w:sz w:val="21"/>
          <w:szCs w:val="21"/>
          <w:highlight w:val="none"/>
        </w:rPr>
        <w:t>的，甲方在对项目材料作相应调整后，重新向全部供应商发送项目需求，供应商在规定时间内重新进行报价。若存在两次不满三家供应商响应报价的情况，甲方可针对单个实施项目采用其他方式进行采购。</w:t>
      </w:r>
    </w:p>
    <w:p>
      <w:pPr>
        <w:pStyle w:val="170"/>
        <w:snapToGrid w:val="0"/>
        <w:spacing w:before="0" w:beforeAutospacing="0" w:after="0" w:afterAutospacing="0" w:line="360" w:lineRule="auto"/>
        <w:ind w:firstLine="422" w:firstLineChars="200"/>
        <w:rPr>
          <w:rStyle w:val="167"/>
          <w:rFonts w:cs="宋体"/>
          <w:b/>
          <w:bCs/>
          <w:sz w:val="21"/>
          <w:szCs w:val="21"/>
        </w:rPr>
      </w:pPr>
      <w:r>
        <w:rPr>
          <w:rStyle w:val="167"/>
          <w:rFonts w:hint="eastAsia" w:cs="宋体"/>
          <w:b/>
          <w:bCs/>
          <w:sz w:val="21"/>
          <w:szCs w:val="21"/>
        </w:rPr>
        <w:t>注：后续具体项目评审标准：</w:t>
      </w:r>
    </w:p>
    <w:tbl>
      <w:tblPr>
        <w:tblStyle w:val="41"/>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922"/>
        <w:gridCol w:w="6114"/>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序号</w:t>
            </w: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内容</w:t>
            </w:r>
          </w:p>
        </w:tc>
        <w:tc>
          <w:tcPr>
            <w:tcW w:w="6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评分准则</w:t>
            </w:r>
          </w:p>
        </w:tc>
        <w:tc>
          <w:tcPr>
            <w:tcW w:w="10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满分值（分）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665" w:type="dxa"/>
            <w:tcBorders>
              <w:top w:val="single" w:color="auto" w:sz="4" w:space="0"/>
              <w:left w:val="single" w:color="auto" w:sz="4" w:space="0"/>
              <w:right w:val="single" w:color="auto" w:sz="4" w:space="0"/>
            </w:tcBorders>
            <w:vAlign w:val="center"/>
          </w:tcPr>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922" w:type="dxa"/>
            <w:tcBorders>
              <w:top w:val="single" w:color="auto" w:sz="4" w:space="0"/>
              <w:left w:val="single" w:color="auto" w:sz="4" w:space="0"/>
              <w:right w:val="single" w:color="auto" w:sz="4" w:space="0"/>
            </w:tcBorders>
            <w:vAlign w:val="center"/>
          </w:tcPr>
          <w:p>
            <w:pPr>
              <w:spacing w:line="4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项目团队成员名单</w:t>
            </w:r>
          </w:p>
        </w:tc>
        <w:tc>
          <w:tcPr>
            <w:tcW w:w="6114" w:type="dxa"/>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根据供应商提供的项目团队成员情况进行评审：供应商需提供项目执行团队名单，要求岗位配备齐全、专业搭配合理，满足本项目需要。</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（1）专职服务团队为5人及以上(含5人)的，得15分；</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（2）专职服务团队为3-4人(含3人)之间的，得10分；</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（3）专职服务团队3人以下的，不得分。</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b/>
                <w:szCs w:val="21"/>
              </w:rPr>
              <w:t>【提供人员经社保局盖章的2024年1月至今至少1个月的本单位缴纳社保的证明材料，否则不得分。】</w:t>
            </w:r>
          </w:p>
        </w:tc>
        <w:tc>
          <w:tcPr>
            <w:tcW w:w="10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665" w:type="dxa"/>
            <w:tcBorders>
              <w:top w:val="single" w:color="auto" w:sz="4" w:space="0"/>
              <w:left w:val="single" w:color="auto" w:sz="4" w:space="0"/>
              <w:right w:val="single" w:color="auto" w:sz="4" w:space="0"/>
            </w:tcBorders>
            <w:vAlign w:val="center"/>
          </w:tcPr>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922" w:type="dxa"/>
            <w:tcBorders>
              <w:top w:val="single" w:color="auto" w:sz="4" w:space="0"/>
              <w:left w:val="single" w:color="auto" w:sz="4" w:space="0"/>
              <w:right w:val="single" w:color="auto" w:sz="4" w:space="0"/>
            </w:tcBorders>
            <w:vAlign w:val="center"/>
          </w:tcPr>
          <w:p>
            <w:pPr>
              <w:spacing w:line="4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项目服务方案</w:t>
            </w:r>
          </w:p>
        </w:tc>
        <w:tc>
          <w:tcPr>
            <w:tcW w:w="6114" w:type="dxa"/>
            <w:tcBorders>
              <w:top w:val="single" w:color="auto" w:sz="4" w:space="0"/>
              <w:left w:val="single" w:color="auto" w:sz="4" w:space="0"/>
              <w:bottom w:val="single" w:color="auto" w:sz="4" w:space="0"/>
              <w:right w:val="single" w:color="auto" w:sz="4" w:space="0"/>
            </w:tcBorders>
            <w:vAlign w:val="center"/>
          </w:tcPr>
          <w:p>
            <w:pPr>
              <w:pStyle w:val="15"/>
              <w:ind w:left="0" w:leftChars="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根据采购人需求，提供项目服务方案：</w:t>
            </w:r>
          </w:p>
          <w:p>
            <w:pPr>
              <w:pStyle w:val="15"/>
              <w:ind w:left="0" w:leftChars="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（1）项目实施计划总方案及设计方案完整、详细，思路清晰，具有针对性、可行性，完全满足项目的总体要求，项目进度安排合理，得40分；</w:t>
            </w:r>
          </w:p>
          <w:p>
            <w:pPr>
              <w:pStyle w:val="15"/>
              <w:ind w:left="0" w:leftChars="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（2）项目实施计划总方案及设计方案较完整、详细，思路较清晰，较具有针对性、可行性，基本能满足项目的总体要求，项目进度安排较合理，得30分；</w:t>
            </w:r>
          </w:p>
          <w:p>
            <w:pPr>
              <w:pStyle w:val="15"/>
              <w:ind w:left="0" w:leftChars="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（3）项目实施计划总方案及设计方案完整性、详细性一般，思路不清晰，针对性、可行性一般，不能满足项目的总体要求，项目进度安排一般，得20分；</w:t>
            </w:r>
          </w:p>
          <w:p>
            <w:pPr>
              <w:pStyle w:val="15"/>
              <w:ind w:left="0" w:leftChars="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（4）项目实施计划总方案及设计方案不完整、不详细，思路不清晰，针对性、可行性较差，不能满足项目的总体要求，项目进度安排不合理，得10分。</w:t>
            </w:r>
          </w:p>
          <w:p>
            <w:pPr>
              <w:pStyle w:val="15"/>
              <w:ind w:left="0" w:leftChars="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（5）没有提供不得分。</w:t>
            </w:r>
          </w:p>
        </w:tc>
        <w:tc>
          <w:tcPr>
            <w:tcW w:w="10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665" w:type="dxa"/>
            <w:tcBorders>
              <w:top w:val="single" w:color="auto" w:sz="4" w:space="0"/>
              <w:left w:val="single" w:color="auto" w:sz="4" w:space="0"/>
              <w:right w:val="single" w:color="auto" w:sz="4" w:space="0"/>
            </w:tcBorders>
            <w:vAlign w:val="center"/>
          </w:tcPr>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922" w:type="dxa"/>
            <w:tcBorders>
              <w:top w:val="single" w:color="auto" w:sz="4" w:space="0"/>
              <w:left w:val="single" w:color="auto" w:sz="4" w:space="0"/>
              <w:right w:val="single" w:color="auto" w:sz="4" w:space="0"/>
            </w:tcBorders>
            <w:vAlign w:val="center"/>
          </w:tcPr>
          <w:p>
            <w:pPr>
              <w:spacing w:line="4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项目质量保证</w:t>
            </w:r>
          </w:p>
        </w:tc>
        <w:tc>
          <w:tcPr>
            <w:tcW w:w="6114" w:type="dxa"/>
            <w:tcBorders>
              <w:top w:val="single" w:color="auto" w:sz="4" w:space="0"/>
              <w:left w:val="single" w:color="auto" w:sz="4" w:space="0"/>
              <w:bottom w:val="single" w:color="auto" w:sz="4" w:space="0"/>
              <w:right w:val="single" w:color="auto" w:sz="4" w:space="0"/>
            </w:tcBorders>
            <w:vAlign w:val="center"/>
          </w:tcPr>
          <w:p>
            <w:pPr>
              <w:pStyle w:val="15"/>
              <w:ind w:left="0" w:leftChars="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考察供应商对本项目制定的项目质量保证措施进行评审： </w:t>
            </w:r>
          </w:p>
          <w:p>
            <w:pPr>
              <w:pStyle w:val="15"/>
              <w:ind w:left="0" w:leftChars="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（1）项目质量保证措施齐全、可行性高，实施方法和流程科学合理，得15分； </w:t>
            </w:r>
          </w:p>
          <w:p>
            <w:pPr>
              <w:pStyle w:val="15"/>
              <w:ind w:left="0" w:leftChars="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（2）项目质量保证措施较为齐全、可行性一般，实施方法和流程较为科学合理，得11分； </w:t>
            </w:r>
          </w:p>
          <w:p>
            <w:pPr>
              <w:pStyle w:val="15"/>
              <w:ind w:left="0" w:leftChars="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（3）项目质量保证措施、可行性一般，得7分； </w:t>
            </w:r>
          </w:p>
          <w:p>
            <w:pPr>
              <w:pStyle w:val="15"/>
              <w:ind w:left="0" w:leftChars="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（4）项目质量保证措施不齐全、可行性差，实施方法和流程不科学、不合理，得3分；</w:t>
            </w:r>
          </w:p>
          <w:p>
            <w:pPr>
              <w:pStyle w:val="15"/>
              <w:ind w:left="0" w:leftChars="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（5）没有提供不得分。</w:t>
            </w:r>
          </w:p>
        </w:tc>
        <w:tc>
          <w:tcPr>
            <w:tcW w:w="10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9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报价</w:t>
            </w:r>
          </w:p>
        </w:tc>
        <w:tc>
          <w:tcPr>
            <w:tcW w:w="6114" w:type="dxa"/>
            <w:tcBorders>
              <w:top w:val="single" w:color="auto" w:sz="4" w:space="0"/>
              <w:left w:val="single" w:color="auto" w:sz="4" w:space="0"/>
              <w:bottom w:val="single" w:color="auto" w:sz="4" w:space="0"/>
              <w:right w:val="single" w:color="auto" w:sz="4" w:space="0"/>
            </w:tcBorders>
            <w:vAlign w:val="center"/>
          </w:tcPr>
          <w:p>
            <w:pPr>
              <w:pStyle w:val="124"/>
              <w:autoSpaceDE w:val="0"/>
              <w:autoSpaceDN w:val="0"/>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kern w:val="2"/>
                <w:sz w:val="21"/>
                <w:szCs w:val="21"/>
                <w:lang w:eastAsia="zh-CN"/>
              </w:rPr>
              <w:t>报价得分＝（基准价/报价）×价格分值【注：满足采购文件要求且价格最低的报价为基准价。】</w:t>
            </w:r>
          </w:p>
        </w:tc>
        <w:tc>
          <w:tcPr>
            <w:tcW w:w="10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701" w:type="dxa"/>
            <w:gridSpan w:val="3"/>
            <w:tcBorders>
              <w:top w:val="single" w:color="auto" w:sz="4" w:space="0"/>
              <w:left w:val="single" w:color="auto" w:sz="4" w:space="0"/>
              <w:bottom w:val="single" w:color="auto" w:sz="4" w:space="0"/>
              <w:right w:val="single" w:color="auto" w:sz="4" w:space="0"/>
            </w:tcBorders>
            <w:vAlign w:val="center"/>
          </w:tcPr>
          <w:p>
            <w:pPr>
              <w:pStyle w:val="124"/>
              <w:autoSpaceDE w:val="0"/>
              <w:autoSpaceDN w:val="0"/>
              <w:spacing w:line="400" w:lineRule="exact"/>
              <w:jc w:val="center"/>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kern w:val="2"/>
                <w:sz w:val="21"/>
                <w:szCs w:val="21"/>
                <w:lang w:eastAsia="zh-CN"/>
              </w:rPr>
              <w:t>合计</w:t>
            </w:r>
          </w:p>
        </w:tc>
        <w:tc>
          <w:tcPr>
            <w:tcW w:w="10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w:t>
            </w:r>
          </w:p>
        </w:tc>
      </w:tr>
    </w:tbl>
    <w:p>
      <w:pPr>
        <w:pStyle w:val="170"/>
        <w:snapToGrid w:val="0"/>
        <w:spacing w:before="0" w:beforeAutospacing="0" w:after="0" w:afterAutospacing="0" w:line="360" w:lineRule="auto"/>
        <w:ind w:firstLine="420" w:firstLineChars="200"/>
        <w:rPr>
          <w:rStyle w:val="167"/>
          <w:rFonts w:cs="宋体"/>
          <w:sz w:val="21"/>
          <w:szCs w:val="21"/>
        </w:rPr>
      </w:pPr>
    </w:p>
    <w:p>
      <w:pPr>
        <w:pStyle w:val="17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（二）管理原则</w:t>
      </w:r>
    </w:p>
    <w:p>
      <w:pPr>
        <w:pStyle w:val="17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2024年“疆品南下 粤品北上”项目供应商合作期拟为1年，以具体项目执行完成情况为准。部分管理细则如下：</w:t>
      </w:r>
    </w:p>
    <w:p>
      <w:pPr>
        <w:pStyle w:val="17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1、每个具体项目实施前，甲方以书面形式向可参与报价的全部入围供应商发送项目需求。各入围供应商根据甲方的具体项目需求，在规定时间内以书面形式进行响应报价，如不响应则记一次“不参与项目”。</w:t>
      </w:r>
    </w:p>
    <w:p>
      <w:pPr>
        <w:pStyle w:val="170"/>
        <w:snapToGrid w:val="0"/>
        <w:spacing w:before="0" w:beforeAutospacing="0" w:after="0" w:afterAutospacing="0" w:line="360" w:lineRule="auto"/>
        <w:ind w:firstLine="420" w:firstLineChars="200"/>
        <w:rPr>
          <w:rStyle w:val="167"/>
          <w:rFonts w:cs="宋体"/>
          <w:sz w:val="21"/>
          <w:szCs w:val="21"/>
        </w:rPr>
      </w:pPr>
      <w:r>
        <w:rPr>
          <w:rStyle w:val="167"/>
          <w:rFonts w:hint="eastAsia" w:cs="宋体"/>
          <w:sz w:val="21"/>
          <w:szCs w:val="21"/>
        </w:rPr>
        <w:t xml:space="preserve">2、甲方发出的项目采购需求原则上均设定项目最高限价，各入围供应商的报价不得超过甲方设定的最高限价，否则视为无效报价。入围供应商提供无效报价的，记为一次“不参与项目”。 </w:t>
      </w:r>
    </w:p>
    <w:p>
      <w:pPr>
        <w:pStyle w:val="170"/>
        <w:snapToGrid w:val="0"/>
        <w:spacing w:before="0" w:beforeAutospacing="0" w:after="0" w:afterAutospacing="0" w:line="360" w:lineRule="auto"/>
        <w:ind w:firstLine="420" w:firstLineChars="200"/>
        <w:rPr>
          <w:rStyle w:val="167"/>
          <w:rFonts w:hint="eastAsia" w:cs="宋体"/>
          <w:sz w:val="21"/>
          <w:szCs w:val="21"/>
        </w:rPr>
      </w:pPr>
      <w:r>
        <w:rPr>
          <w:rStyle w:val="167"/>
          <w:rFonts w:hint="default" w:cs="宋体"/>
          <w:sz w:val="21"/>
          <w:szCs w:val="21"/>
        </w:rPr>
        <w:t>3</w:t>
      </w:r>
      <w:r>
        <w:rPr>
          <w:rStyle w:val="167"/>
          <w:rFonts w:hint="eastAsia" w:cs="宋体"/>
          <w:sz w:val="21"/>
          <w:szCs w:val="21"/>
        </w:rPr>
        <w:t>、当服务期内可参与报价的年度供应商数量少于3家时，甲方将重新启动招标增补供应商或采取其他方式开展工作。</w:t>
      </w:r>
    </w:p>
    <w:p>
      <w:pPr>
        <w:pStyle w:val="19"/>
        <w:spacing w:line="360" w:lineRule="auto"/>
        <w:ind w:firstLine="420" w:firstLineChars="200"/>
        <w:rPr>
          <w:rFonts w:hint="default" w:ascii="宋体" w:hAnsi="宋体" w:cs="宋体"/>
          <w:sz w:val="21"/>
          <w:szCs w:val="21"/>
        </w:rPr>
      </w:pPr>
      <w:r>
        <w:rPr>
          <w:rFonts w:hint="default" w:ascii="宋体" w:hAnsi="宋体" w:cs="宋体"/>
          <w:sz w:val="21"/>
          <w:szCs w:val="21"/>
        </w:rPr>
        <w:t>4、每出现一次或者具体项目履约考核情况低于60分的情况，扣取履约保证金3000元；出现3次不响应放弃报价或者履约考核情况低于60分的情况，则全部扣取其履约保证金。</w:t>
      </w:r>
    </w:p>
    <w:p>
      <w:pPr>
        <w:pStyle w:val="170"/>
        <w:snapToGrid w:val="0"/>
        <w:spacing w:before="0" w:beforeAutospacing="0" w:after="0" w:afterAutospacing="0" w:line="360" w:lineRule="auto"/>
        <w:ind w:firstLine="420" w:firstLineChars="200"/>
        <w:rPr>
          <w:rStyle w:val="167"/>
          <w:rFonts w:hint="eastAsia" w:cs="宋体"/>
          <w:sz w:val="21"/>
          <w:szCs w:val="21"/>
        </w:rPr>
      </w:pPr>
    </w:p>
    <w:p>
      <w:pPr>
        <w:pStyle w:val="170"/>
        <w:snapToGrid w:val="0"/>
        <w:spacing w:before="0" w:beforeAutospacing="0" w:after="0" w:afterAutospacing="0" w:line="360" w:lineRule="auto"/>
        <w:ind w:firstLine="0" w:firstLineChars="0"/>
        <w:rPr>
          <w:rStyle w:val="167"/>
          <w:rFonts w:hint="eastAsia" w:cs="宋体"/>
          <w:sz w:val="21"/>
          <w:szCs w:val="21"/>
        </w:rPr>
      </w:pPr>
    </w:p>
    <w:p>
      <w:pPr>
        <w:pStyle w:val="170"/>
        <w:keepNext w:val="0"/>
        <w:keepLines w:val="0"/>
        <w:pageBreakBefore w:val="0"/>
        <w:kinsoku/>
        <w:wordWrap/>
        <w:overflowPunct/>
        <w:topLinePunct w:val="0"/>
        <w:autoSpaceDE/>
        <w:autoSpaceDN/>
        <w:bidi w:val="0"/>
        <w:adjustRightInd/>
        <w:snapToGrid w:val="0"/>
        <w:spacing w:before="0" w:beforeAutospacing="0" w:after="0" w:afterAutospacing="0" w:line="360" w:lineRule="auto"/>
        <w:textAlignment w:val="auto"/>
        <w:rPr>
          <w:rFonts w:hint="default" w:eastAsia="宋体"/>
          <w:b/>
          <w:bCs/>
          <w:sz w:val="21"/>
          <w:szCs w:val="21"/>
          <w:lang w:val="en-US" w:eastAsia="zh-CN"/>
        </w:rPr>
      </w:pPr>
      <w:r>
        <w:rPr>
          <w:rFonts w:hint="eastAsia" w:ascii="宋体" w:hAnsi="宋体" w:cs="宋体"/>
          <w:sz w:val="28"/>
          <w:szCs w:val="28"/>
        </w:rPr>
        <w:br w:type="page"/>
      </w:r>
      <w:r>
        <w:rPr>
          <w:rFonts w:hint="eastAsia"/>
          <w:b/>
          <w:bCs/>
          <w:sz w:val="21"/>
          <w:szCs w:val="21"/>
          <w:lang w:val="en-US" w:eastAsia="zh-CN"/>
        </w:rPr>
        <w:t>附件二：项目履约考核评分表</w:t>
      </w:r>
    </w:p>
    <w:p>
      <w:pPr>
        <w:jc w:val="center"/>
        <w:rPr>
          <w:rFonts w:hint="eastAsia"/>
          <w:b/>
          <w:bCs/>
          <w:sz w:val="28"/>
          <w:szCs w:val="28"/>
        </w:rPr>
      </w:pPr>
      <w:r>
        <w:rPr>
          <w:rFonts w:hint="eastAsia"/>
          <w:b/>
          <w:bCs/>
          <w:sz w:val="28"/>
          <w:szCs w:val="28"/>
        </w:rPr>
        <w:t>项目履约考核评分表</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428"/>
        <w:gridCol w:w="1519"/>
        <w:gridCol w:w="1282"/>
        <w:gridCol w:w="1506"/>
        <w:gridCol w:w="815"/>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53"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项目名称</w:t>
            </w:r>
          </w:p>
        </w:tc>
        <w:tc>
          <w:tcPr>
            <w:tcW w:w="7269" w:type="dxa"/>
            <w:gridSpan w:val="6"/>
            <w:vAlign w:val="center"/>
          </w:tcPr>
          <w:p>
            <w:pPr>
              <w:jc w:val="left"/>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53"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供应商</w:t>
            </w:r>
          </w:p>
        </w:tc>
        <w:tc>
          <w:tcPr>
            <w:tcW w:w="7269" w:type="dxa"/>
            <w:gridSpan w:val="6"/>
            <w:vAlign w:val="center"/>
          </w:tcPr>
          <w:p>
            <w:pPr>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3"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开工时间</w:t>
            </w:r>
          </w:p>
        </w:tc>
        <w:tc>
          <w:tcPr>
            <w:tcW w:w="2947" w:type="dxa"/>
            <w:gridSpan w:val="2"/>
            <w:vAlign w:val="center"/>
          </w:tcPr>
          <w:p>
            <w:pPr>
              <w:wordWrap w:val="0"/>
              <w:jc w:val="left"/>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 xml:space="preserve">年  月  日  </w:t>
            </w:r>
          </w:p>
        </w:tc>
        <w:tc>
          <w:tcPr>
            <w:tcW w:w="1282" w:type="dxa"/>
            <w:vAlign w:val="center"/>
          </w:tcPr>
          <w:p>
            <w:pPr>
              <w:jc w:val="left"/>
              <w:rPr>
                <w:rFonts w:hint="eastAsia"/>
                <w:sz w:val="21"/>
                <w:szCs w:val="21"/>
                <w:vertAlign w:val="baseline"/>
                <w:lang w:val="en-US" w:eastAsia="zh-CN"/>
              </w:rPr>
            </w:pPr>
            <w:r>
              <w:rPr>
                <w:rFonts w:hint="eastAsia"/>
                <w:b/>
                <w:bCs/>
                <w:sz w:val="21"/>
                <w:szCs w:val="21"/>
                <w:vertAlign w:val="baseline"/>
                <w:lang w:val="en-US" w:eastAsia="zh-CN"/>
              </w:rPr>
              <w:t>完工时间</w:t>
            </w:r>
          </w:p>
        </w:tc>
        <w:tc>
          <w:tcPr>
            <w:tcW w:w="3040" w:type="dxa"/>
            <w:gridSpan w:val="3"/>
            <w:vAlign w:val="center"/>
          </w:tcPr>
          <w:p>
            <w:pPr>
              <w:wordWrap w:val="0"/>
              <w:jc w:val="left"/>
              <w:rPr>
                <w:rFonts w:hint="default"/>
                <w:sz w:val="21"/>
                <w:szCs w:val="21"/>
                <w:vertAlign w:val="baseline"/>
                <w:lang w:val="en-US" w:eastAsia="zh-CN"/>
              </w:rPr>
            </w:pPr>
            <w:r>
              <w:rPr>
                <w:rFonts w:hint="eastAsia"/>
                <w:sz w:val="21"/>
                <w:szCs w:val="21"/>
                <w:vertAlign w:val="baseline"/>
                <w:lang w:val="en-US" w:eastAsia="zh-CN"/>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53"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评价内容</w:t>
            </w:r>
          </w:p>
        </w:tc>
        <w:tc>
          <w:tcPr>
            <w:tcW w:w="1428"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分值</w:t>
            </w:r>
          </w:p>
        </w:tc>
        <w:tc>
          <w:tcPr>
            <w:tcW w:w="4307" w:type="dxa"/>
            <w:gridSpan w:val="3"/>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评分标准</w:t>
            </w:r>
          </w:p>
        </w:tc>
        <w:tc>
          <w:tcPr>
            <w:tcW w:w="815"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得分</w:t>
            </w:r>
          </w:p>
        </w:tc>
        <w:tc>
          <w:tcPr>
            <w:tcW w:w="719"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vAlign w:val="center"/>
          </w:tcPr>
          <w:p>
            <w:pPr>
              <w:keepNext w:val="0"/>
              <w:keepLines w:val="0"/>
              <w:pageBreakBefore w:val="0"/>
              <w:widowControl w:val="0"/>
              <w:kinsoku/>
              <w:wordWrap/>
              <w:overflowPunct/>
              <w:topLinePunct w:val="0"/>
              <w:autoSpaceDE/>
              <w:autoSpaceDN/>
              <w:bidi w:val="0"/>
              <w:adjustRightInd/>
              <w:snapToGrid/>
              <w:spacing w:line="168"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施工质量</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line="168"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30</w:t>
            </w:r>
          </w:p>
        </w:tc>
        <w:tc>
          <w:tcPr>
            <w:tcW w:w="4307" w:type="dxa"/>
            <w:gridSpan w:val="3"/>
            <w:vAlign w:val="center"/>
          </w:tcPr>
          <w:p>
            <w:pPr>
              <w:keepNext w:val="0"/>
              <w:keepLines w:val="0"/>
              <w:pageBreakBefore w:val="0"/>
              <w:widowControl w:val="0"/>
              <w:kinsoku/>
              <w:wordWrap/>
              <w:overflowPunct/>
              <w:topLinePunct w:val="0"/>
              <w:autoSpaceDE/>
              <w:autoSpaceDN/>
              <w:bidi w:val="0"/>
              <w:adjustRightInd/>
              <w:snapToGrid/>
              <w:spacing w:line="168" w:lineRule="auto"/>
              <w:jc w:val="both"/>
              <w:textAlignment w:val="auto"/>
              <w:rPr>
                <w:rFonts w:hint="default"/>
                <w:sz w:val="21"/>
                <w:szCs w:val="21"/>
                <w:vertAlign w:val="baseline"/>
                <w:lang w:val="en-US" w:eastAsia="zh-CN"/>
              </w:rPr>
            </w:pPr>
            <w:r>
              <w:rPr>
                <w:rFonts w:hint="eastAsia"/>
                <w:sz w:val="21"/>
                <w:szCs w:val="21"/>
                <w:vertAlign w:val="baseline"/>
                <w:lang w:val="en-US" w:eastAsia="zh-CN"/>
              </w:rPr>
              <w:t>优（＞24分），良（＞18分），中（＞12分），差（＞6分），很差（≥0分）</w:t>
            </w:r>
          </w:p>
        </w:tc>
        <w:tc>
          <w:tcPr>
            <w:tcW w:w="815" w:type="dxa"/>
            <w:vAlign w:val="center"/>
          </w:tcPr>
          <w:p>
            <w:pPr>
              <w:jc w:val="left"/>
              <w:rPr>
                <w:rFonts w:hint="eastAsia"/>
                <w:sz w:val="21"/>
                <w:szCs w:val="21"/>
                <w:vertAlign w:val="baseline"/>
                <w:lang w:val="en-US" w:eastAsia="zh-CN"/>
              </w:rPr>
            </w:pPr>
          </w:p>
        </w:tc>
        <w:tc>
          <w:tcPr>
            <w:tcW w:w="719" w:type="dxa"/>
            <w:vAlign w:val="center"/>
          </w:tcPr>
          <w:p>
            <w:pPr>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vAlign w:val="center"/>
          </w:tcPr>
          <w:p>
            <w:pPr>
              <w:keepNext w:val="0"/>
              <w:keepLines w:val="0"/>
              <w:pageBreakBefore w:val="0"/>
              <w:widowControl w:val="0"/>
              <w:kinsoku/>
              <w:wordWrap/>
              <w:overflowPunct/>
              <w:topLinePunct w:val="0"/>
              <w:autoSpaceDE/>
              <w:autoSpaceDN/>
              <w:bidi w:val="0"/>
              <w:adjustRightInd/>
              <w:snapToGrid/>
              <w:spacing w:line="168"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安全文明施工</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line="168"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30</w:t>
            </w:r>
          </w:p>
        </w:tc>
        <w:tc>
          <w:tcPr>
            <w:tcW w:w="4307" w:type="dxa"/>
            <w:gridSpan w:val="3"/>
            <w:vAlign w:val="center"/>
          </w:tcPr>
          <w:p>
            <w:pPr>
              <w:keepNext w:val="0"/>
              <w:keepLines w:val="0"/>
              <w:pageBreakBefore w:val="0"/>
              <w:widowControl w:val="0"/>
              <w:kinsoku/>
              <w:wordWrap/>
              <w:overflowPunct/>
              <w:topLinePunct w:val="0"/>
              <w:autoSpaceDE/>
              <w:autoSpaceDN/>
              <w:bidi w:val="0"/>
              <w:adjustRightInd/>
              <w:snapToGrid/>
              <w:spacing w:line="168" w:lineRule="auto"/>
              <w:jc w:val="both"/>
              <w:textAlignment w:val="auto"/>
              <w:rPr>
                <w:rFonts w:hint="eastAsia"/>
                <w:sz w:val="21"/>
                <w:szCs w:val="21"/>
                <w:vertAlign w:val="baseline"/>
                <w:lang w:val="en-US" w:eastAsia="zh-CN"/>
              </w:rPr>
            </w:pPr>
            <w:r>
              <w:rPr>
                <w:rFonts w:hint="eastAsia"/>
                <w:sz w:val="21"/>
                <w:szCs w:val="21"/>
                <w:vertAlign w:val="baseline"/>
                <w:lang w:val="en-US" w:eastAsia="zh-CN"/>
              </w:rPr>
              <w:t>优（＞24分），良（＞18分），中（＞12分），差（＞6分），很差（≥0分）</w:t>
            </w:r>
          </w:p>
        </w:tc>
        <w:tc>
          <w:tcPr>
            <w:tcW w:w="815" w:type="dxa"/>
            <w:vAlign w:val="center"/>
          </w:tcPr>
          <w:p>
            <w:pPr>
              <w:jc w:val="left"/>
              <w:rPr>
                <w:rFonts w:hint="eastAsia"/>
                <w:sz w:val="21"/>
                <w:szCs w:val="21"/>
                <w:vertAlign w:val="baseline"/>
                <w:lang w:val="en-US" w:eastAsia="zh-CN"/>
              </w:rPr>
            </w:pPr>
          </w:p>
        </w:tc>
        <w:tc>
          <w:tcPr>
            <w:tcW w:w="719" w:type="dxa"/>
            <w:vAlign w:val="center"/>
          </w:tcPr>
          <w:p>
            <w:pPr>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vAlign w:val="center"/>
          </w:tcPr>
          <w:p>
            <w:pPr>
              <w:keepNext w:val="0"/>
              <w:keepLines w:val="0"/>
              <w:pageBreakBefore w:val="0"/>
              <w:widowControl w:val="0"/>
              <w:kinsoku/>
              <w:wordWrap/>
              <w:overflowPunct/>
              <w:topLinePunct w:val="0"/>
              <w:autoSpaceDE/>
              <w:autoSpaceDN/>
              <w:bidi w:val="0"/>
              <w:adjustRightInd/>
              <w:snapToGrid/>
              <w:spacing w:line="168"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进度管理</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line="168"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20</w:t>
            </w:r>
          </w:p>
        </w:tc>
        <w:tc>
          <w:tcPr>
            <w:tcW w:w="4307" w:type="dxa"/>
            <w:gridSpan w:val="3"/>
            <w:vAlign w:val="center"/>
          </w:tcPr>
          <w:p>
            <w:pPr>
              <w:keepNext w:val="0"/>
              <w:keepLines w:val="0"/>
              <w:pageBreakBefore w:val="0"/>
              <w:widowControl w:val="0"/>
              <w:kinsoku/>
              <w:wordWrap/>
              <w:overflowPunct/>
              <w:topLinePunct w:val="0"/>
              <w:autoSpaceDE/>
              <w:autoSpaceDN/>
              <w:bidi w:val="0"/>
              <w:adjustRightInd/>
              <w:snapToGrid/>
              <w:spacing w:line="168" w:lineRule="auto"/>
              <w:jc w:val="both"/>
              <w:textAlignment w:val="auto"/>
              <w:rPr>
                <w:rFonts w:hint="eastAsia"/>
                <w:sz w:val="21"/>
                <w:szCs w:val="21"/>
                <w:vertAlign w:val="baseline"/>
                <w:lang w:val="en-US" w:eastAsia="zh-CN"/>
              </w:rPr>
            </w:pPr>
            <w:r>
              <w:rPr>
                <w:rFonts w:hint="eastAsia"/>
                <w:sz w:val="21"/>
                <w:szCs w:val="21"/>
                <w:vertAlign w:val="baseline"/>
                <w:lang w:val="en-US" w:eastAsia="zh-CN"/>
              </w:rPr>
              <w:t>优（＞16分），良（＞12分），中（＞8分），差（＞4分），很差（≥0分）</w:t>
            </w:r>
          </w:p>
        </w:tc>
        <w:tc>
          <w:tcPr>
            <w:tcW w:w="815" w:type="dxa"/>
            <w:vAlign w:val="center"/>
          </w:tcPr>
          <w:p>
            <w:pPr>
              <w:jc w:val="left"/>
              <w:rPr>
                <w:rFonts w:hint="eastAsia"/>
                <w:sz w:val="21"/>
                <w:szCs w:val="21"/>
                <w:vertAlign w:val="baseline"/>
                <w:lang w:val="en-US" w:eastAsia="zh-CN"/>
              </w:rPr>
            </w:pPr>
          </w:p>
        </w:tc>
        <w:tc>
          <w:tcPr>
            <w:tcW w:w="719" w:type="dxa"/>
            <w:vAlign w:val="center"/>
          </w:tcPr>
          <w:p>
            <w:pPr>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3" w:type="dxa"/>
            <w:vAlign w:val="center"/>
          </w:tcPr>
          <w:p>
            <w:pPr>
              <w:keepNext w:val="0"/>
              <w:keepLines w:val="0"/>
              <w:pageBreakBefore w:val="0"/>
              <w:widowControl w:val="0"/>
              <w:kinsoku/>
              <w:wordWrap/>
              <w:overflowPunct/>
              <w:topLinePunct w:val="0"/>
              <w:autoSpaceDE/>
              <w:autoSpaceDN/>
              <w:bidi w:val="0"/>
              <w:adjustRightInd/>
              <w:snapToGrid/>
              <w:spacing w:line="168"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响应速度与配合度</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line="168"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20</w:t>
            </w:r>
          </w:p>
        </w:tc>
        <w:tc>
          <w:tcPr>
            <w:tcW w:w="4307" w:type="dxa"/>
            <w:gridSpan w:val="3"/>
            <w:vAlign w:val="center"/>
          </w:tcPr>
          <w:p>
            <w:pPr>
              <w:keepNext w:val="0"/>
              <w:keepLines w:val="0"/>
              <w:pageBreakBefore w:val="0"/>
              <w:widowControl w:val="0"/>
              <w:kinsoku/>
              <w:wordWrap/>
              <w:overflowPunct/>
              <w:topLinePunct w:val="0"/>
              <w:autoSpaceDE/>
              <w:autoSpaceDN/>
              <w:bidi w:val="0"/>
              <w:adjustRightInd/>
              <w:snapToGrid/>
              <w:spacing w:line="168" w:lineRule="auto"/>
              <w:jc w:val="both"/>
              <w:textAlignment w:val="auto"/>
              <w:rPr>
                <w:rFonts w:hint="eastAsia"/>
                <w:sz w:val="21"/>
                <w:szCs w:val="21"/>
                <w:vertAlign w:val="baseline"/>
                <w:lang w:val="en-US" w:eastAsia="zh-CN"/>
              </w:rPr>
            </w:pPr>
            <w:r>
              <w:rPr>
                <w:rFonts w:hint="eastAsia"/>
                <w:sz w:val="21"/>
                <w:szCs w:val="21"/>
                <w:vertAlign w:val="baseline"/>
                <w:lang w:val="en-US" w:eastAsia="zh-CN"/>
              </w:rPr>
              <w:t>优（＞16分），良（＞12分），中（＞8分），差（＞4分），很差（≥0分）</w:t>
            </w:r>
          </w:p>
        </w:tc>
        <w:tc>
          <w:tcPr>
            <w:tcW w:w="815" w:type="dxa"/>
            <w:vAlign w:val="center"/>
          </w:tcPr>
          <w:p>
            <w:pPr>
              <w:jc w:val="left"/>
              <w:rPr>
                <w:rFonts w:hint="eastAsia"/>
                <w:sz w:val="21"/>
                <w:szCs w:val="21"/>
                <w:vertAlign w:val="baseline"/>
                <w:lang w:val="en-US" w:eastAsia="zh-CN"/>
              </w:rPr>
            </w:pPr>
          </w:p>
        </w:tc>
        <w:tc>
          <w:tcPr>
            <w:tcW w:w="719" w:type="dxa"/>
            <w:vAlign w:val="center"/>
          </w:tcPr>
          <w:p>
            <w:pPr>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253" w:type="dxa"/>
            <w:vAlign w:val="center"/>
          </w:tcPr>
          <w:p>
            <w:pPr>
              <w:keepNext w:val="0"/>
              <w:keepLines w:val="0"/>
              <w:pageBreakBefore w:val="0"/>
              <w:widowControl w:val="0"/>
              <w:kinsoku/>
              <w:wordWrap/>
              <w:overflowPunct/>
              <w:topLinePunct w:val="0"/>
              <w:autoSpaceDE/>
              <w:autoSpaceDN/>
              <w:bidi w:val="0"/>
              <w:adjustRightInd/>
              <w:snapToGrid/>
              <w:spacing w:line="168"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减分项</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line="168"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－5/次</w:t>
            </w:r>
          </w:p>
        </w:tc>
        <w:tc>
          <w:tcPr>
            <w:tcW w:w="4307" w:type="dxa"/>
            <w:gridSpan w:val="3"/>
            <w:vAlign w:val="center"/>
          </w:tcPr>
          <w:p>
            <w:pPr>
              <w:keepNext w:val="0"/>
              <w:keepLines w:val="0"/>
              <w:pageBreakBefore w:val="0"/>
              <w:widowControl w:val="0"/>
              <w:kinsoku/>
              <w:wordWrap/>
              <w:overflowPunct/>
              <w:topLinePunct w:val="0"/>
              <w:autoSpaceDE/>
              <w:autoSpaceDN/>
              <w:bidi w:val="0"/>
              <w:adjustRightInd/>
              <w:snapToGrid/>
              <w:spacing w:line="168" w:lineRule="auto"/>
              <w:jc w:val="both"/>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项目执行过程中，如若收到项目业主方、监理方的书面投诉，一次扣减5分。</w:t>
            </w:r>
          </w:p>
        </w:tc>
        <w:tc>
          <w:tcPr>
            <w:tcW w:w="815" w:type="dxa"/>
            <w:vAlign w:val="center"/>
          </w:tcPr>
          <w:p>
            <w:pPr>
              <w:jc w:val="left"/>
              <w:rPr>
                <w:rFonts w:hint="eastAsia"/>
                <w:sz w:val="21"/>
                <w:szCs w:val="21"/>
                <w:vertAlign w:val="baseline"/>
                <w:lang w:val="en-US" w:eastAsia="zh-CN"/>
              </w:rPr>
            </w:pPr>
          </w:p>
        </w:tc>
        <w:tc>
          <w:tcPr>
            <w:tcW w:w="719" w:type="dxa"/>
            <w:vAlign w:val="center"/>
          </w:tcPr>
          <w:p>
            <w:pPr>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253" w:type="dxa"/>
            <w:vAlign w:val="center"/>
          </w:tcPr>
          <w:p>
            <w:pPr>
              <w:keepNext w:val="0"/>
              <w:keepLines w:val="0"/>
              <w:pageBreakBefore w:val="0"/>
              <w:widowControl w:val="0"/>
              <w:kinsoku/>
              <w:wordWrap/>
              <w:overflowPunct/>
              <w:topLinePunct w:val="0"/>
              <w:autoSpaceDE/>
              <w:autoSpaceDN/>
              <w:bidi w:val="0"/>
              <w:adjustRightInd/>
              <w:snapToGrid/>
              <w:spacing w:line="168"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重大失误</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line="168"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－10≤－30/次</w:t>
            </w:r>
          </w:p>
        </w:tc>
        <w:tc>
          <w:tcPr>
            <w:tcW w:w="4307" w:type="dxa"/>
            <w:gridSpan w:val="3"/>
            <w:vAlign w:val="center"/>
          </w:tcPr>
          <w:p>
            <w:pPr>
              <w:keepNext w:val="0"/>
              <w:keepLines w:val="0"/>
              <w:pageBreakBefore w:val="0"/>
              <w:widowControl w:val="0"/>
              <w:kinsoku/>
              <w:wordWrap/>
              <w:overflowPunct/>
              <w:topLinePunct w:val="0"/>
              <w:autoSpaceDE/>
              <w:autoSpaceDN/>
              <w:bidi w:val="0"/>
              <w:adjustRightInd/>
              <w:snapToGrid/>
              <w:spacing w:line="168" w:lineRule="auto"/>
              <w:jc w:val="both"/>
              <w:textAlignment w:val="auto"/>
              <w:rPr>
                <w:rFonts w:hint="eastAsia"/>
                <w:sz w:val="21"/>
                <w:szCs w:val="21"/>
                <w:vertAlign w:val="baseline"/>
                <w:lang w:val="en-US" w:eastAsia="zh-CN"/>
              </w:rPr>
            </w:pPr>
            <w:r>
              <w:rPr>
                <w:rFonts w:hint="eastAsia"/>
                <w:sz w:val="21"/>
                <w:szCs w:val="21"/>
                <w:vertAlign w:val="baseline"/>
                <w:lang w:val="en-US" w:eastAsia="zh-CN"/>
              </w:rPr>
              <w:t>因乙方失误，导致项目无法按时按质完成，并对甲方造成实际损失的，视损失大小，每次扣减10-30 分。</w:t>
            </w:r>
          </w:p>
        </w:tc>
        <w:tc>
          <w:tcPr>
            <w:tcW w:w="815" w:type="dxa"/>
            <w:vAlign w:val="center"/>
          </w:tcPr>
          <w:p>
            <w:pPr>
              <w:jc w:val="left"/>
              <w:rPr>
                <w:rFonts w:hint="eastAsia"/>
                <w:sz w:val="21"/>
                <w:szCs w:val="21"/>
                <w:vertAlign w:val="baseline"/>
                <w:lang w:val="en-US" w:eastAsia="zh-CN"/>
              </w:rPr>
            </w:pPr>
          </w:p>
        </w:tc>
        <w:tc>
          <w:tcPr>
            <w:tcW w:w="719" w:type="dxa"/>
            <w:vAlign w:val="center"/>
          </w:tcPr>
          <w:p>
            <w:pPr>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3" w:type="dxa"/>
            <w:vAlign w:val="center"/>
          </w:tcPr>
          <w:p>
            <w:pPr>
              <w:keepNext w:val="0"/>
              <w:keepLines w:val="0"/>
              <w:pageBreakBefore w:val="0"/>
              <w:widowControl w:val="0"/>
              <w:kinsoku/>
              <w:wordWrap/>
              <w:overflowPunct/>
              <w:topLinePunct w:val="0"/>
              <w:autoSpaceDE/>
              <w:autoSpaceDN/>
              <w:bidi w:val="0"/>
              <w:adjustRightInd/>
              <w:snapToGrid/>
              <w:spacing w:line="168"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一票否决</w:t>
            </w:r>
          </w:p>
        </w:tc>
        <w:tc>
          <w:tcPr>
            <w:tcW w:w="5735" w:type="dxa"/>
            <w:gridSpan w:val="4"/>
            <w:vAlign w:val="center"/>
          </w:tcPr>
          <w:p>
            <w:pPr>
              <w:keepNext w:val="0"/>
              <w:keepLines w:val="0"/>
              <w:pageBreakBefore w:val="0"/>
              <w:widowControl w:val="0"/>
              <w:kinsoku/>
              <w:wordWrap/>
              <w:overflowPunct/>
              <w:topLinePunct w:val="0"/>
              <w:autoSpaceDE/>
              <w:autoSpaceDN/>
              <w:bidi w:val="0"/>
              <w:adjustRightInd/>
              <w:snapToGrid/>
              <w:spacing w:line="144"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如乙方出现违反国家法律法规、廉政廉洁规定的情况，计0分，取消其年度供应商资格。</w:t>
            </w:r>
          </w:p>
        </w:tc>
        <w:tc>
          <w:tcPr>
            <w:tcW w:w="815" w:type="dxa"/>
            <w:vAlign w:val="center"/>
          </w:tcPr>
          <w:p>
            <w:pPr>
              <w:jc w:val="left"/>
              <w:rPr>
                <w:rFonts w:hint="eastAsia"/>
                <w:sz w:val="21"/>
                <w:szCs w:val="21"/>
                <w:vertAlign w:val="baseline"/>
                <w:lang w:val="en-US" w:eastAsia="zh-CN"/>
              </w:rPr>
            </w:pPr>
          </w:p>
        </w:tc>
        <w:tc>
          <w:tcPr>
            <w:tcW w:w="719" w:type="dxa"/>
            <w:vAlign w:val="center"/>
          </w:tcPr>
          <w:p>
            <w:pPr>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988" w:type="dxa"/>
            <w:gridSpan w:val="5"/>
            <w:vAlign w:val="center"/>
          </w:tcPr>
          <w:p>
            <w:pPr>
              <w:keepNext w:val="0"/>
              <w:keepLines w:val="0"/>
              <w:pageBreakBefore w:val="0"/>
              <w:widowControl w:val="0"/>
              <w:kinsoku/>
              <w:wordWrap/>
              <w:overflowPunct/>
              <w:topLinePunct w:val="0"/>
              <w:autoSpaceDE/>
              <w:autoSpaceDN/>
              <w:bidi w:val="0"/>
              <w:adjustRightInd/>
              <w:snapToGrid/>
              <w:spacing w:line="168" w:lineRule="auto"/>
              <w:jc w:val="center"/>
              <w:textAlignment w:val="auto"/>
              <w:rPr>
                <w:rFonts w:hint="eastAsia"/>
                <w:sz w:val="21"/>
                <w:szCs w:val="21"/>
                <w:vertAlign w:val="baseline"/>
                <w:lang w:val="en-US" w:eastAsia="zh-CN"/>
              </w:rPr>
            </w:pPr>
            <w:r>
              <w:rPr>
                <w:rFonts w:hint="eastAsia"/>
                <w:b/>
                <w:bCs/>
                <w:sz w:val="21"/>
                <w:szCs w:val="21"/>
                <w:vertAlign w:val="baseline"/>
                <w:lang w:val="en-US" w:eastAsia="zh-CN"/>
              </w:rPr>
              <w:t>总分</w:t>
            </w:r>
          </w:p>
        </w:tc>
        <w:tc>
          <w:tcPr>
            <w:tcW w:w="815" w:type="dxa"/>
            <w:vAlign w:val="center"/>
          </w:tcPr>
          <w:p>
            <w:pPr>
              <w:jc w:val="center"/>
              <w:rPr>
                <w:rFonts w:hint="eastAsia"/>
                <w:sz w:val="21"/>
                <w:szCs w:val="21"/>
                <w:vertAlign w:val="baseline"/>
                <w:lang w:val="en-US" w:eastAsia="zh-CN"/>
              </w:rPr>
            </w:pPr>
          </w:p>
        </w:tc>
        <w:tc>
          <w:tcPr>
            <w:tcW w:w="719" w:type="dxa"/>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22" w:type="dxa"/>
            <w:gridSpan w:val="7"/>
            <w:vAlign w:val="center"/>
          </w:tcPr>
          <w:p>
            <w:pPr>
              <w:jc w:val="both"/>
              <w:rPr>
                <w:rFonts w:hint="eastAsia"/>
                <w:sz w:val="21"/>
                <w:szCs w:val="21"/>
                <w:vertAlign w:val="baseline"/>
                <w:lang w:val="en-US" w:eastAsia="zh-CN"/>
              </w:rPr>
            </w:pPr>
            <w:r>
              <w:rPr>
                <w:rFonts w:hint="eastAsia"/>
                <w:b/>
                <w:bCs/>
                <w:sz w:val="21"/>
                <w:szCs w:val="21"/>
                <w:vertAlign w:val="baseline"/>
                <w:lang w:val="en-US" w:eastAsia="zh-CN"/>
              </w:rPr>
              <w:t>评价人签名：</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b/>
          <w:color w:val="auto"/>
          <w:sz w:val="44"/>
        </w:rPr>
      </w:pPr>
    </w:p>
    <w:p>
      <w:pPr>
        <w:rPr>
          <w:rFonts w:ascii="宋体" w:hAnsi="宋体" w:cs="宋体"/>
          <w:sz w:val="28"/>
          <w:szCs w:val="28"/>
        </w:rPr>
      </w:pPr>
      <w:r>
        <w:rPr>
          <w:rFonts w:ascii="宋体" w:hAnsi="宋体" w:cs="宋体"/>
          <w:b/>
          <w:color w:val="auto"/>
          <w:kern w:val="0"/>
          <w:sz w:val="28"/>
          <w:szCs w:val="28"/>
        </w:rPr>
        <w:br w:type="page"/>
      </w:r>
    </w:p>
    <w:p>
      <w:pPr>
        <w:pStyle w:val="76"/>
        <w:spacing w:before="240" w:after="120"/>
        <w:rPr>
          <w:rFonts w:ascii="宋体" w:hAnsi="宋体" w:eastAsia="宋体" w:cs="宋体"/>
          <w:b/>
          <w:bCs w:val="0"/>
          <w:kern w:val="0"/>
          <w:sz w:val="28"/>
          <w:szCs w:val="28"/>
        </w:rPr>
      </w:pPr>
      <w:bookmarkStart w:id="476" w:name="_Toc4094"/>
      <w:bookmarkStart w:id="477" w:name="_Toc20496"/>
      <w:r>
        <w:rPr>
          <w:rFonts w:hint="eastAsia" w:ascii="宋体" w:hAnsi="宋体" w:eastAsia="宋体" w:cs="宋体"/>
          <w:b/>
          <w:bCs w:val="0"/>
          <w:kern w:val="0"/>
          <w:sz w:val="28"/>
          <w:szCs w:val="28"/>
        </w:rPr>
        <w:t>第五章</w:t>
      </w:r>
      <w:r>
        <w:rPr>
          <w:rFonts w:ascii="宋体" w:hAnsi="宋体" w:eastAsia="宋体" w:cs="宋体"/>
          <w:b/>
          <w:bCs w:val="0"/>
          <w:kern w:val="0"/>
          <w:sz w:val="28"/>
          <w:szCs w:val="28"/>
        </w:rPr>
        <w:t xml:space="preserve">  </w:t>
      </w:r>
      <w:r>
        <w:rPr>
          <w:rFonts w:hint="eastAsia" w:ascii="宋体" w:hAnsi="宋体" w:eastAsia="宋体" w:cs="宋体"/>
          <w:b/>
          <w:bCs w:val="0"/>
          <w:kern w:val="0"/>
          <w:sz w:val="28"/>
          <w:szCs w:val="28"/>
        </w:rPr>
        <w:t>采购需求书</w:t>
      </w:r>
      <w:bookmarkEnd w:id="470"/>
      <w:bookmarkEnd w:id="471"/>
      <w:bookmarkEnd w:id="472"/>
      <w:bookmarkEnd w:id="476"/>
      <w:bookmarkEnd w:id="477"/>
    </w:p>
    <w:p>
      <w:pPr>
        <w:spacing w:line="400" w:lineRule="exact"/>
        <w:jc w:val="left"/>
        <w:rPr>
          <w:rFonts w:ascii="宋体" w:hAnsi="宋体"/>
          <w:b/>
          <w:szCs w:val="21"/>
        </w:rPr>
      </w:pPr>
      <w:r>
        <w:rPr>
          <w:rFonts w:hint="eastAsia" w:ascii="宋体" w:hAnsi="宋体"/>
          <w:b/>
          <w:szCs w:val="21"/>
        </w:rPr>
        <w:t>总则</w:t>
      </w:r>
    </w:p>
    <w:p>
      <w:pPr>
        <w:spacing w:before="62" w:beforeLines="20" w:after="62" w:afterLines="20" w:line="400" w:lineRule="exact"/>
        <w:ind w:firstLine="420" w:firstLineChars="200"/>
        <w:textAlignment w:val="baseline"/>
        <w:rPr>
          <w:rFonts w:ascii="宋体" w:hAnsi="宋体"/>
          <w:szCs w:val="21"/>
        </w:rPr>
      </w:pPr>
      <w:r>
        <w:rPr>
          <w:rFonts w:ascii="宋体" w:hAnsi="宋体"/>
          <w:szCs w:val="21"/>
        </w:rPr>
        <w:t>1.1本节为招标人向投标人提出的最低要求，作为投标人填写采购需求条款偏离表的依据，根据投标人的投标书完善后，将作为合同的附件之一。</w:t>
      </w:r>
    </w:p>
    <w:p>
      <w:pPr>
        <w:spacing w:before="62" w:beforeLines="20" w:after="62" w:afterLines="20" w:line="400" w:lineRule="exact"/>
        <w:ind w:firstLine="420" w:firstLineChars="200"/>
        <w:textAlignment w:val="baseline"/>
        <w:rPr>
          <w:rFonts w:ascii="宋体" w:hAnsi="宋体"/>
          <w:szCs w:val="21"/>
        </w:rPr>
      </w:pPr>
      <w:r>
        <w:rPr>
          <w:rFonts w:ascii="宋体" w:hAnsi="宋体"/>
          <w:szCs w:val="21"/>
        </w:rPr>
        <w:t>1.2对于本节提出的有关要求，投标人应填写“采购需求条款偏离表”。如存在偏离应提出充分理由并加以详尽说明。</w:t>
      </w:r>
    </w:p>
    <w:p>
      <w:pPr>
        <w:spacing w:before="62" w:beforeLines="20" w:after="62" w:afterLines="20" w:line="400" w:lineRule="exact"/>
        <w:ind w:firstLine="420" w:firstLineChars="200"/>
        <w:textAlignment w:val="baseline"/>
        <w:rPr>
          <w:rFonts w:ascii="宋体" w:hAnsi="宋体"/>
          <w:szCs w:val="21"/>
        </w:rPr>
      </w:pPr>
      <w:r>
        <w:rPr>
          <w:rFonts w:ascii="宋体" w:hAnsi="宋体"/>
          <w:szCs w:val="21"/>
        </w:rPr>
        <w:t xml:space="preserve">1.3对于本节中未能提出的指标和不合理的要求等，投标人应在建议书中加以补充说明，并提供有关详细资料。 </w:t>
      </w:r>
    </w:p>
    <w:p>
      <w:pPr>
        <w:spacing w:before="62" w:beforeLines="20" w:after="62" w:afterLines="20" w:line="400" w:lineRule="exact"/>
        <w:ind w:firstLine="420" w:firstLineChars="200"/>
        <w:textAlignment w:val="baseline"/>
        <w:rPr>
          <w:rFonts w:ascii="宋体" w:hAnsi="宋体"/>
          <w:szCs w:val="21"/>
        </w:rPr>
      </w:pPr>
      <w:r>
        <w:rPr>
          <w:rFonts w:ascii="宋体" w:hAnsi="宋体"/>
          <w:szCs w:val="21"/>
        </w:rPr>
        <w:t>1.4投标人应根据招标项目的要求提出完整的实施方案，如有缺漏，由投标人免费补足。</w:t>
      </w:r>
    </w:p>
    <w:p>
      <w:pPr>
        <w:spacing w:before="62" w:beforeLines="20" w:after="62" w:afterLines="20" w:line="400" w:lineRule="exact"/>
        <w:ind w:firstLine="420" w:firstLineChars="200"/>
        <w:textAlignment w:val="baseline"/>
        <w:rPr>
          <w:rFonts w:ascii="宋体" w:hAnsi="宋体"/>
          <w:szCs w:val="21"/>
        </w:rPr>
      </w:pPr>
      <w:r>
        <w:rPr>
          <w:rFonts w:ascii="宋体" w:hAnsi="宋体"/>
          <w:szCs w:val="21"/>
        </w:rPr>
        <w:t>1.5招标人有权在签订最终合同前，根据需要修改本章内容。技术标准和要求的最终解释权在招标人。</w:t>
      </w:r>
    </w:p>
    <w:p>
      <w:pPr>
        <w:spacing w:before="62" w:beforeLines="20" w:after="62" w:afterLines="20" w:line="400" w:lineRule="exact"/>
        <w:ind w:firstLine="422" w:firstLineChars="200"/>
        <w:textAlignment w:val="baseline"/>
        <w:rPr>
          <w:rFonts w:ascii="宋体" w:hAnsi="宋体"/>
          <w:b/>
        </w:rPr>
      </w:pPr>
      <w:r>
        <w:rPr>
          <w:rFonts w:hint="eastAsia" w:ascii="宋体" w:hAnsi="宋体"/>
          <w:b/>
        </w:rPr>
        <w:t>投标人须对《采购需求书》全部条款理解清楚，并填写《采购需求偏离表》（格式见第六章）。</w:t>
      </w:r>
    </w:p>
    <w:p>
      <w:pPr>
        <w:widowControl/>
        <w:jc w:val="left"/>
        <w:rPr>
          <w:rFonts w:ascii="宋体" w:hAnsi="宋体"/>
          <w:b/>
        </w:rPr>
      </w:pPr>
      <w:r>
        <w:rPr>
          <w:rFonts w:ascii="宋体" w:hAnsi="宋体"/>
          <w:b/>
        </w:rPr>
        <w:br w:type="page"/>
      </w:r>
    </w:p>
    <w:p>
      <w:pPr>
        <w:spacing w:before="156" w:beforeLines="50" w:after="156" w:afterLines="50" w:line="360" w:lineRule="auto"/>
        <w:jc w:val="center"/>
        <w:rPr>
          <w:rFonts w:asciiTheme="minorEastAsia" w:hAnsiTheme="minorEastAsia" w:eastAsiaTheme="minorEastAsia"/>
          <w:sz w:val="32"/>
          <w:szCs w:val="32"/>
        </w:rPr>
      </w:pPr>
      <w:bookmarkStart w:id="478" w:name="_Toc26541"/>
      <w:bookmarkStart w:id="479" w:name="_Toc5272"/>
      <w:bookmarkStart w:id="480" w:name="_Toc32130"/>
      <w:bookmarkStart w:id="481" w:name="_Toc70434247"/>
      <w:bookmarkStart w:id="482" w:name="_Toc68684318"/>
      <w:bookmarkStart w:id="483" w:name="_Toc18739"/>
      <w:bookmarkStart w:id="484" w:name="_Toc16752"/>
      <w:r>
        <w:rPr>
          <w:rFonts w:hint="eastAsia" w:asciiTheme="minorEastAsia" w:hAnsiTheme="minorEastAsia" w:eastAsiaTheme="minorEastAsia"/>
          <w:sz w:val="32"/>
          <w:szCs w:val="32"/>
        </w:rPr>
        <w:t>2024年“疆品南下 粤品北上”项目搭建执行服务供应商招标入围项目</w:t>
      </w:r>
      <w:bookmarkEnd w:id="478"/>
      <w:bookmarkEnd w:id="479"/>
      <w:bookmarkEnd w:id="480"/>
      <w:bookmarkEnd w:id="481"/>
      <w:bookmarkEnd w:id="482"/>
      <w:bookmarkEnd w:id="483"/>
      <w:r>
        <w:rPr>
          <w:rFonts w:hint="eastAsia" w:asciiTheme="minorEastAsia" w:hAnsiTheme="minorEastAsia" w:eastAsiaTheme="minorEastAsia"/>
          <w:sz w:val="32"/>
          <w:szCs w:val="32"/>
          <w:lang w:eastAsia="zh-Hans"/>
        </w:rPr>
        <w:t>招标需求</w:t>
      </w:r>
    </w:p>
    <w:p>
      <w:pPr>
        <w:pStyle w:val="19"/>
        <w:spacing w:line="360" w:lineRule="auto"/>
        <w:ind w:firstLine="422" w:firstLineChars="200"/>
        <w:rPr>
          <w:rFonts w:ascii="宋体" w:hAnsi="宋体" w:cs="宋体"/>
          <w:b/>
          <w:bCs/>
          <w:sz w:val="21"/>
          <w:szCs w:val="21"/>
        </w:rPr>
      </w:pPr>
      <w:r>
        <w:rPr>
          <w:rFonts w:hint="eastAsia" w:ascii="宋体" w:hAnsi="宋体" w:cs="宋体"/>
          <w:b/>
          <w:bCs/>
          <w:sz w:val="21"/>
          <w:szCs w:val="21"/>
        </w:rPr>
        <w:t>一、采购需求</w:t>
      </w:r>
    </w:p>
    <w:p>
      <w:pPr>
        <w:pStyle w:val="77"/>
        <w:adjustRightInd w:val="0"/>
        <w:snapToGrid w:val="0"/>
        <w:spacing w:line="440" w:lineRule="exact"/>
        <w:rPr>
          <w:rFonts w:ascii="宋体" w:hAnsi="宋体"/>
          <w:szCs w:val="21"/>
        </w:rPr>
      </w:pPr>
      <w:r>
        <w:rPr>
          <w:rFonts w:ascii="宋体" w:hAnsi="宋体"/>
          <w:szCs w:val="21"/>
        </w:rPr>
        <w:t>1.</w:t>
      </w:r>
      <w:r>
        <w:rPr>
          <w:rFonts w:hint="eastAsia" w:ascii="宋体" w:hAnsi="宋体"/>
          <w:szCs w:val="21"/>
        </w:rPr>
        <w:t>1</w:t>
      </w:r>
      <w:r>
        <w:rPr>
          <w:rFonts w:ascii="宋体" w:hAnsi="宋体"/>
          <w:szCs w:val="21"/>
        </w:rPr>
        <w:t>项目概况:</w:t>
      </w:r>
      <w:r>
        <w:rPr>
          <w:rFonts w:hint="eastAsia" w:ascii="宋体" w:hAnsi="宋体"/>
          <w:szCs w:val="21"/>
        </w:rPr>
        <w:t>本项目拟为招标人选取4家服务供应商组成2024年“疆品南下 粤品北上”项目搭建执行服务供应商库，后续为招标人提供相关项目活动的搭建执行服务及相关服务，服务内容包括但不限于在固定场地举办会展活动所需的场地租赁及接待服务、舞台设计搭建服务、配套物料服务、配套人员服务等主要涉实物资源的服务内容。具体项目活动包括但不限于开展“疆品南下 粤品北上”广东企业走进北疆专场活动、广东对口援疆地区名特优产品走进大湾区展销活动、广州之夜活动、开设省级体验馆等服务事项。</w:t>
      </w:r>
    </w:p>
    <w:p>
      <w:pPr>
        <w:pStyle w:val="77"/>
        <w:adjustRightInd w:val="0"/>
        <w:snapToGrid w:val="0"/>
        <w:spacing w:line="440" w:lineRule="exact"/>
        <w:rPr>
          <w:szCs w:val="21"/>
        </w:rPr>
      </w:pPr>
      <w:r>
        <w:rPr>
          <w:rFonts w:hint="eastAsia" w:ascii="宋体" w:hAnsi="宋体"/>
          <w:szCs w:val="21"/>
        </w:rPr>
        <w:t>1.2服务期限：</w:t>
      </w:r>
      <w:r>
        <w:rPr>
          <w:rFonts w:hint="eastAsia"/>
          <w:szCs w:val="21"/>
        </w:rPr>
        <w:t>自合同签订之日起一年，以具体项目执行完成情况为准。</w:t>
      </w:r>
    </w:p>
    <w:p>
      <w:pPr>
        <w:pStyle w:val="77"/>
        <w:adjustRightInd w:val="0"/>
        <w:snapToGrid w:val="0"/>
        <w:spacing w:line="440" w:lineRule="exact"/>
        <w:rPr>
          <w:rFonts w:ascii="宋体" w:hAnsi="宋体"/>
          <w:szCs w:val="21"/>
        </w:rPr>
      </w:pPr>
      <w:r>
        <w:rPr>
          <w:rFonts w:hint="eastAsia" w:ascii="宋体" w:hAnsi="宋体"/>
          <w:szCs w:val="21"/>
        </w:rPr>
        <w:t>1.3选取方式：本项目为公开招募服务采购，根据本项招募文件的评审标准进行评分，择优选择综合得分排名前4名的供应商入库。后续2024年“疆品南下 粤品北上”相关项目活动在本供应商库中按规定程序选取服务单位。本项目入库仅具备为2024年“疆品南下 粤品北上”项目提供服务的资格，招标人后续将根据项目需求对入库供应商进行谈判或询价等采购方式，最终确定供应商。申请人应清楚并理解，入选供应商库不一定能获得具体的项目合作。</w:t>
      </w:r>
    </w:p>
    <w:p>
      <w:pPr>
        <w:pStyle w:val="77"/>
        <w:adjustRightInd w:val="0"/>
        <w:snapToGrid w:val="0"/>
        <w:spacing w:line="440" w:lineRule="exact"/>
        <w:rPr>
          <w:rFonts w:ascii="宋体" w:hAnsi="宋体"/>
          <w:szCs w:val="21"/>
        </w:rPr>
      </w:pPr>
      <w:r>
        <w:rPr>
          <w:rFonts w:ascii="宋体" w:hAnsi="宋体"/>
          <w:szCs w:val="21"/>
        </w:rPr>
        <w:t>（1）若初审合格供应商≤3家，招募失败；</w:t>
      </w:r>
    </w:p>
    <w:p>
      <w:pPr>
        <w:pStyle w:val="77"/>
        <w:adjustRightInd w:val="0"/>
        <w:snapToGrid w:val="0"/>
        <w:spacing w:line="440" w:lineRule="exact"/>
        <w:rPr>
          <w:rFonts w:ascii="宋体" w:hAnsi="宋体" w:cs="宋体"/>
          <w:szCs w:val="21"/>
        </w:rPr>
      </w:pPr>
      <w:r>
        <w:rPr>
          <w:rFonts w:ascii="宋体" w:hAnsi="宋体"/>
          <w:szCs w:val="21"/>
        </w:rPr>
        <w:t>（2）若初审合格供应商</w:t>
      </w:r>
      <w:r>
        <w:rPr>
          <w:rFonts w:hint="eastAsia" w:ascii="宋体" w:hAnsi="宋体"/>
          <w:szCs w:val="21"/>
        </w:rPr>
        <w:t>≥</w:t>
      </w:r>
      <w:r>
        <w:rPr>
          <w:rFonts w:ascii="宋体" w:hAnsi="宋体"/>
          <w:szCs w:val="21"/>
        </w:rPr>
        <w:t>4家，进行详细打分评审，择优选择综合得分排名前4名的供应商入库。</w:t>
      </w:r>
    </w:p>
    <w:p>
      <w:pPr>
        <w:pStyle w:val="19"/>
        <w:spacing w:line="360" w:lineRule="auto"/>
        <w:ind w:firstLine="422" w:firstLineChars="200"/>
        <w:rPr>
          <w:rFonts w:ascii="宋体" w:hAnsi="宋体" w:cs="宋体"/>
          <w:b/>
          <w:bCs/>
          <w:sz w:val="21"/>
          <w:szCs w:val="21"/>
        </w:rPr>
      </w:pPr>
      <w:r>
        <w:rPr>
          <w:rFonts w:hint="eastAsia" w:ascii="宋体" w:hAnsi="宋体" w:cs="宋体"/>
          <w:b/>
          <w:bCs/>
          <w:sz w:val="21"/>
          <w:szCs w:val="21"/>
        </w:rPr>
        <w:t>二、项目服务要求</w:t>
      </w:r>
    </w:p>
    <w:p>
      <w:pPr>
        <w:pStyle w:val="19"/>
        <w:spacing w:line="360" w:lineRule="auto"/>
        <w:ind w:firstLine="420" w:firstLineChars="200"/>
        <w:rPr>
          <w:rFonts w:ascii="宋体" w:hAnsi="宋体" w:cs="宋体"/>
          <w:sz w:val="21"/>
          <w:szCs w:val="21"/>
        </w:rPr>
      </w:pPr>
      <w:r>
        <w:rPr>
          <w:rFonts w:hint="eastAsia" w:ascii="宋体" w:hAnsi="宋体" w:cs="宋体"/>
          <w:sz w:val="21"/>
          <w:szCs w:val="21"/>
        </w:rPr>
        <w:t>1、服务要求：在服务期内，中标入围单位根据招标人提供的具体项目需求、方案及服务清单等资料，负责项目的布展实施工作及相关配套服务，包括但不限于：装饰装修及配套、水电工程、空调通风工程、消防工程、灯光设备、平面展陈布展、多媒体设备协同等施工及实施服务；整理提供与布展实施服务相关的项目资料；负责质保期内的维保服务等。</w:t>
      </w:r>
    </w:p>
    <w:p>
      <w:pPr>
        <w:pStyle w:val="19"/>
        <w:spacing w:line="360" w:lineRule="auto"/>
        <w:ind w:firstLine="420" w:firstLineChars="200"/>
        <w:rPr>
          <w:rFonts w:ascii="宋体" w:hAnsi="宋体" w:cs="宋体"/>
          <w:sz w:val="21"/>
          <w:szCs w:val="21"/>
        </w:rPr>
      </w:pPr>
      <w:r>
        <w:rPr>
          <w:rFonts w:hint="eastAsia" w:ascii="宋体" w:hAnsi="宋体" w:cs="宋体"/>
          <w:sz w:val="21"/>
          <w:szCs w:val="21"/>
        </w:rPr>
        <w:t>中标入围单位需根据招标人实际开展的项目需求在规定时限内提供布展实施服务（包括但不限于进行布展配套装饰服务、与本项目相关配套服务及维保服务等）。</w:t>
      </w:r>
    </w:p>
    <w:p>
      <w:pPr>
        <w:pStyle w:val="19"/>
        <w:spacing w:line="360" w:lineRule="auto"/>
        <w:ind w:firstLine="420" w:firstLineChars="200"/>
        <w:rPr>
          <w:rFonts w:ascii="宋体" w:hAnsi="宋体" w:cs="宋体"/>
          <w:sz w:val="21"/>
          <w:szCs w:val="21"/>
        </w:rPr>
      </w:pPr>
      <w:r>
        <w:rPr>
          <w:rFonts w:hint="eastAsia" w:ascii="宋体" w:hAnsi="宋体" w:cs="宋体"/>
          <w:sz w:val="21"/>
          <w:szCs w:val="21"/>
        </w:rPr>
        <w:t>2、服务期限：自合同签订之日起一年，以具体项目执行完成情况为准。单个具体项目的服务期限根据招标人具体要求为准。本项目为招标入围，合同履约期间招标人根据每个具体项目实际产生费用据实结算。中标入围单位在本次招标入围采购中的具体结算金额招标人不作承诺。</w:t>
      </w:r>
    </w:p>
    <w:p>
      <w:pPr>
        <w:pStyle w:val="19"/>
        <w:spacing w:line="360" w:lineRule="auto"/>
        <w:ind w:firstLine="420" w:firstLineChars="200"/>
        <w:rPr>
          <w:rFonts w:ascii="宋体" w:hAnsi="宋体" w:cs="宋体"/>
          <w:sz w:val="21"/>
          <w:szCs w:val="21"/>
        </w:rPr>
      </w:pPr>
      <w:r>
        <w:rPr>
          <w:rFonts w:hint="eastAsia" w:ascii="宋体" w:hAnsi="宋体" w:cs="宋体"/>
          <w:sz w:val="21"/>
          <w:szCs w:val="21"/>
        </w:rPr>
        <w:t>3、服务地点：招标人指定。</w:t>
      </w:r>
    </w:p>
    <w:p>
      <w:pPr>
        <w:pStyle w:val="19"/>
        <w:spacing w:line="360" w:lineRule="auto"/>
        <w:ind w:firstLine="420" w:firstLineChars="200"/>
        <w:rPr>
          <w:rFonts w:ascii="宋体" w:hAnsi="宋体" w:cs="宋体"/>
          <w:sz w:val="21"/>
          <w:szCs w:val="21"/>
        </w:rPr>
      </w:pPr>
      <w:r>
        <w:rPr>
          <w:rFonts w:hint="eastAsia" w:ascii="宋体" w:hAnsi="宋体" w:cs="宋体"/>
          <w:sz w:val="21"/>
          <w:szCs w:val="21"/>
        </w:rPr>
        <w:t>4、项目人员要求：</w:t>
      </w:r>
    </w:p>
    <w:p>
      <w:pPr>
        <w:pStyle w:val="19"/>
        <w:spacing w:line="360" w:lineRule="auto"/>
        <w:ind w:firstLine="420" w:firstLineChars="200"/>
        <w:rPr>
          <w:rFonts w:ascii="宋体" w:hAnsi="宋体" w:cs="宋体"/>
          <w:sz w:val="21"/>
          <w:szCs w:val="21"/>
        </w:rPr>
      </w:pPr>
      <w:r>
        <w:rPr>
          <w:rFonts w:hint="eastAsia" w:ascii="宋体" w:hAnsi="宋体" w:cs="宋体"/>
          <w:sz w:val="21"/>
          <w:szCs w:val="21"/>
        </w:rPr>
        <w:t>（1）管理人员：投标人须有详细项目管理组织机构，列出项目负责人、项目组主要人员以及项目组组成人员名单，并在投标申请文件中详细列出参与本项目组所有人员的姓名、年龄、职务、职称、承担的工作、主要资历、经验及承担过的项目。</w:t>
      </w:r>
    </w:p>
    <w:p>
      <w:pPr>
        <w:pStyle w:val="19"/>
        <w:spacing w:line="360" w:lineRule="auto"/>
        <w:ind w:firstLine="420" w:firstLineChars="200"/>
        <w:rPr>
          <w:rFonts w:ascii="宋体" w:hAnsi="宋体" w:cs="宋体"/>
          <w:sz w:val="21"/>
          <w:szCs w:val="21"/>
        </w:rPr>
      </w:pPr>
      <w:r>
        <w:rPr>
          <w:rFonts w:hint="eastAsia" w:ascii="宋体" w:hAnsi="宋体" w:cs="宋体"/>
          <w:sz w:val="21"/>
          <w:szCs w:val="21"/>
        </w:rPr>
        <w:t>（2）实施人员：单个具体项目的具体实施人员应根据具体实施项目安排。</w:t>
      </w:r>
    </w:p>
    <w:p>
      <w:pPr>
        <w:pStyle w:val="19"/>
        <w:spacing w:line="360" w:lineRule="auto"/>
        <w:ind w:firstLine="420" w:firstLineChars="200"/>
        <w:rPr>
          <w:rFonts w:ascii="宋体" w:hAnsi="宋体" w:cs="宋体"/>
          <w:sz w:val="21"/>
          <w:szCs w:val="21"/>
        </w:rPr>
      </w:pPr>
      <w:r>
        <w:rPr>
          <w:rFonts w:hint="eastAsia" w:ascii="宋体" w:hAnsi="宋体" w:cs="宋体"/>
          <w:sz w:val="21"/>
          <w:szCs w:val="21"/>
        </w:rPr>
        <w:t>5、其他服务要求：</w:t>
      </w:r>
    </w:p>
    <w:p>
      <w:pPr>
        <w:pStyle w:val="19"/>
        <w:spacing w:line="360" w:lineRule="auto"/>
        <w:ind w:firstLine="420" w:firstLineChars="200"/>
        <w:rPr>
          <w:rFonts w:ascii="宋体" w:hAnsi="宋体" w:cs="宋体"/>
          <w:sz w:val="21"/>
          <w:szCs w:val="21"/>
        </w:rPr>
      </w:pPr>
      <w:r>
        <w:rPr>
          <w:rFonts w:hint="eastAsia" w:ascii="宋体" w:hAnsi="宋体" w:cs="宋体"/>
          <w:sz w:val="21"/>
          <w:szCs w:val="21"/>
        </w:rPr>
        <w:t>（1）中标入围单位应与招标人针对单个具体项目各指定合作负责人一名，负责双方日常事务联络、推动、跟踪、落实和检查具体合作活动开展、过程、信息交流等工作。</w:t>
      </w:r>
    </w:p>
    <w:p>
      <w:pPr>
        <w:pStyle w:val="19"/>
        <w:spacing w:line="360" w:lineRule="auto"/>
        <w:ind w:firstLine="420" w:firstLineChars="200"/>
        <w:rPr>
          <w:rFonts w:ascii="宋体" w:hAnsi="宋体" w:cs="宋体"/>
          <w:sz w:val="21"/>
          <w:szCs w:val="21"/>
        </w:rPr>
      </w:pPr>
      <w:r>
        <w:rPr>
          <w:rFonts w:hint="eastAsia" w:ascii="宋体" w:hAnsi="宋体" w:cs="宋体"/>
          <w:sz w:val="21"/>
          <w:szCs w:val="21"/>
        </w:rPr>
        <w:t>（2）验收方式：中标入围单位根据单个具体项目的实际需求，组织项目服务人员在约定时间完成各项服务工作，招标人对实施服务开展日常工作监督检查，项目服务工作完成后，由招标人根据单个项目约定的验收标准组织验收。</w:t>
      </w:r>
    </w:p>
    <w:p>
      <w:pPr>
        <w:pStyle w:val="19"/>
        <w:spacing w:line="360" w:lineRule="auto"/>
        <w:ind w:firstLine="420" w:firstLineChars="200"/>
        <w:rPr>
          <w:rFonts w:ascii="宋体" w:hAnsi="宋体" w:cs="宋体"/>
          <w:sz w:val="21"/>
          <w:szCs w:val="21"/>
        </w:rPr>
      </w:pPr>
      <w:r>
        <w:rPr>
          <w:rFonts w:hint="eastAsia" w:ascii="宋体" w:hAnsi="宋体" w:cs="宋体"/>
          <w:sz w:val="21"/>
          <w:szCs w:val="21"/>
        </w:rPr>
        <w:t>（3）质量保障要求：中标入围单位应在保证安全和服务质量的前提下开展服务工作，服务过程中的非招标单位造成的一切风险（包括安全责任事故）均由中标入围单位负责承担。</w:t>
      </w:r>
    </w:p>
    <w:p>
      <w:pPr>
        <w:pStyle w:val="19"/>
        <w:spacing w:line="360" w:lineRule="auto"/>
        <w:ind w:firstLine="422" w:firstLineChars="200"/>
        <w:rPr>
          <w:rFonts w:ascii="宋体" w:hAnsi="宋体" w:cs="宋体"/>
          <w:b/>
          <w:bCs/>
          <w:sz w:val="21"/>
          <w:szCs w:val="21"/>
        </w:rPr>
      </w:pPr>
      <w:r>
        <w:rPr>
          <w:rFonts w:hint="eastAsia" w:ascii="宋体" w:hAnsi="宋体" w:cs="宋体"/>
          <w:b/>
          <w:bCs/>
          <w:sz w:val="21"/>
          <w:szCs w:val="21"/>
        </w:rPr>
        <w:t>三、知识产权与保密要求</w:t>
      </w:r>
    </w:p>
    <w:p>
      <w:pPr>
        <w:pStyle w:val="19"/>
        <w:spacing w:line="360" w:lineRule="auto"/>
        <w:ind w:firstLine="420" w:firstLineChars="200"/>
        <w:rPr>
          <w:rFonts w:ascii="宋体" w:hAnsi="宋体" w:cs="宋体"/>
          <w:sz w:val="21"/>
          <w:szCs w:val="21"/>
        </w:rPr>
      </w:pPr>
      <w:r>
        <w:rPr>
          <w:rFonts w:hint="eastAsia" w:ascii="宋体" w:hAnsi="宋体" w:cs="宋体"/>
          <w:sz w:val="21"/>
          <w:szCs w:val="21"/>
        </w:rPr>
        <w:t>1、招标人提供的任何与本项目相关的图文材料的知识产权均归招标人所有，中标入围单位不得将其用于合同项目以外的其他目的或向第三方提供上述材料，否则中标入围单位应另行承担侵权责任。</w:t>
      </w:r>
    </w:p>
    <w:p>
      <w:pPr>
        <w:pStyle w:val="19"/>
        <w:spacing w:line="360" w:lineRule="auto"/>
        <w:ind w:firstLine="420" w:firstLineChars="200"/>
        <w:rPr>
          <w:rFonts w:ascii="宋体" w:hAnsi="宋体" w:cs="宋体"/>
          <w:sz w:val="21"/>
          <w:szCs w:val="21"/>
        </w:rPr>
      </w:pPr>
      <w:r>
        <w:rPr>
          <w:rFonts w:hint="eastAsia" w:ascii="宋体" w:hAnsi="宋体" w:cs="宋体"/>
          <w:sz w:val="21"/>
          <w:szCs w:val="21"/>
        </w:rPr>
        <w:t>2、中标入围单位在签订和履行本合同中知悉的招标人的全部信息（包括技术信息和经营信息等）均为招标人的商业秘密。除本合同规定之工作所需外，未经招标人事先书面同意，中标入围单位不得使用、披露甲方的商业秘密，不得擅自使用、复制招标人的商标、标志、商业信息、技术及其他资料，否则中标入围单位应承担相应的侵权责任。</w:t>
      </w:r>
    </w:p>
    <w:p>
      <w:pPr>
        <w:pStyle w:val="19"/>
        <w:spacing w:line="360" w:lineRule="auto"/>
        <w:ind w:firstLine="422" w:firstLineChars="200"/>
        <w:rPr>
          <w:rFonts w:ascii="宋体" w:hAnsi="宋体" w:cs="宋体"/>
          <w:sz w:val="21"/>
          <w:szCs w:val="21"/>
        </w:rPr>
      </w:pPr>
      <w:r>
        <w:rPr>
          <w:rFonts w:hint="eastAsia" w:ascii="宋体" w:hAnsi="宋体" w:cs="宋体"/>
          <w:b/>
          <w:bCs/>
          <w:sz w:val="21"/>
          <w:szCs w:val="21"/>
        </w:rPr>
        <w:t>四、供应商库的使用管理原则</w:t>
      </w:r>
    </w:p>
    <w:p>
      <w:pPr>
        <w:pStyle w:val="19"/>
        <w:spacing w:line="360" w:lineRule="auto"/>
        <w:ind w:firstLine="420" w:firstLineChars="200"/>
        <w:rPr>
          <w:rFonts w:ascii="宋体" w:hAnsi="宋体" w:cs="宋体"/>
          <w:sz w:val="21"/>
          <w:szCs w:val="21"/>
        </w:rPr>
      </w:pPr>
      <w:r>
        <w:rPr>
          <w:rFonts w:hint="eastAsia" w:ascii="宋体" w:hAnsi="宋体" w:cs="宋体"/>
          <w:sz w:val="21"/>
          <w:szCs w:val="21"/>
        </w:rPr>
        <w:t>1、</w:t>
      </w:r>
      <w:r>
        <w:rPr>
          <w:rStyle w:val="167"/>
          <w:rFonts w:hint="eastAsia" w:cs="宋体"/>
          <w:sz w:val="21"/>
          <w:szCs w:val="21"/>
        </w:rPr>
        <w:t>每个具体项目实施前，甲方通知全部入围供应商，并以书面形式向全部入围供应商发送项目需求。各供应商需在规定时间内进行响应报价。甲方依照南方报业传媒集团和广东南方农村报经营有限公司有关管理规定，根据单个具体项目情况及供应商的报价，全面考虑供应商的服务方案和价格，以综合评审的方式确定该项目的实施单位，并签订项目合同（项目评审标准见</w:t>
      </w:r>
      <w:r>
        <w:rPr>
          <w:rStyle w:val="167"/>
          <w:rFonts w:hint="default" w:cs="宋体"/>
          <w:sz w:val="21"/>
          <w:szCs w:val="21"/>
        </w:rPr>
        <w:t>第四章合同条款</w:t>
      </w:r>
      <w:r>
        <w:rPr>
          <w:rStyle w:val="167"/>
          <w:rFonts w:hint="eastAsia" w:cs="宋体"/>
          <w:sz w:val="21"/>
          <w:szCs w:val="21"/>
        </w:rPr>
        <w:t>）。</w:t>
      </w:r>
      <w:r>
        <w:rPr>
          <w:rStyle w:val="167"/>
          <w:rFonts w:hint="default" w:cs="宋体"/>
          <w:sz w:val="21"/>
          <w:szCs w:val="21"/>
        </w:rPr>
        <w:t>如出现供应商放弃报价导致</w:t>
      </w:r>
      <w:r>
        <w:rPr>
          <w:rStyle w:val="167"/>
          <w:rFonts w:hint="eastAsia" w:cs="宋体"/>
          <w:sz w:val="21"/>
          <w:szCs w:val="21"/>
        </w:rPr>
        <w:t>不满三家供应商响应报价的，甲方在对项目材料作相应调整后，重新向全部供应商发送项目需求，供应商在规定时间内重新进行报价。若存在两次不满三家供应商响应报价的情况，甲方可针对单个实施项目采用其他方式进行采购</w:t>
      </w:r>
      <w:r>
        <w:rPr>
          <w:rFonts w:hint="eastAsia" w:ascii="宋体" w:hAnsi="宋体" w:cs="宋体"/>
          <w:sz w:val="21"/>
          <w:szCs w:val="21"/>
        </w:rPr>
        <w:t>。</w:t>
      </w:r>
      <w:bookmarkEnd w:id="484"/>
      <w:bookmarkStart w:id="485" w:name="_Toc56432229"/>
    </w:p>
    <w:p>
      <w:pPr>
        <w:pStyle w:val="19"/>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2、</w:t>
      </w:r>
      <w:r>
        <w:rPr>
          <w:rFonts w:hint="eastAsia" w:ascii="文泉驿微米黑" w:hAnsi="文泉驿微米黑" w:eastAsia="文泉驿微米黑" w:cs="文泉驿微米黑"/>
          <w:sz w:val="21"/>
          <w:szCs w:val="21"/>
        </w:rPr>
        <w:t>★</w:t>
      </w:r>
      <w:r>
        <w:rPr>
          <w:rFonts w:hint="default" w:ascii="宋体" w:hAnsi="宋体" w:cs="宋体"/>
          <w:sz w:val="21"/>
          <w:szCs w:val="21"/>
        </w:rPr>
        <w:t>入围供应商需积极响应后续具体项目报价，承诺每次项目均响应。（提供承诺函或资格声明函</w:t>
      </w:r>
      <w:r>
        <w:rPr>
          <w:rFonts w:hint="eastAsia" w:ascii="宋体" w:hAnsi="宋体" w:cs="宋体"/>
          <w:sz w:val="21"/>
          <w:szCs w:val="21"/>
          <w:lang w:eastAsia="zh-CN"/>
        </w:rPr>
        <w:t>。</w:t>
      </w:r>
    </w:p>
    <w:p>
      <w:pPr>
        <w:pStyle w:val="19"/>
        <w:spacing w:line="360" w:lineRule="auto"/>
        <w:ind w:firstLine="420" w:firstLineChars="200"/>
        <w:rPr>
          <w:rFonts w:hint="default" w:ascii="宋体" w:hAnsi="宋体" w:cs="宋体"/>
          <w:sz w:val="21"/>
          <w:szCs w:val="21"/>
        </w:rPr>
      </w:pPr>
      <w:r>
        <w:rPr>
          <w:rFonts w:hint="default" w:ascii="宋体" w:hAnsi="宋体" w:cs="宋体"/>
          <w:sz w:val="21"/>
          <w:szCs w:val="21"/>
        </w:rPr>
        <w:t>3、每出现一次或者具体项目履约考核情况低于60分的情况，扣取履约保证金3000元；出现3次不响应放弃报价或者履约考核情况低于60分的情况，则全部扣取其保证金。</w:t>
      </w:r>
    </w:p>
    <w:p>
      <w:pPr>
        <w:pStyle w:val="19"/>
        <w:spacing w:line="360" w:lineRule="auto"/>
        <w:ind w:firstLine="420" w:firstLineChars="200"/>
        <w:rPr>
          <w:rFonts w:ascii="宋体" w:hAnsi="宋体" w:cs="宋体"/>
          <w:sz w:val="21"/>
          <w:szCs w:val="21"/>
        </w:rPr>
      </w:pPr>
      <w:r>
        <w:rPr>
          <w:rFonts w:hint="default" w:ascii="宋体" w:hAnsi="宋体" w:cs="宋体"/>
          <w:sz w:val="21"/>
          <w:szCs w:val="21"/>
        </w:rPr>
        <w:t>4、</w:t>
      </w:r>
      <w:r>
        <w:rPr>
          <w:rFonts w:hint="eastAsia" w:ascii="宋体" w:hAnsi="宋体" w:cs="宋体"/>
          <w:sz w:val="21"/>
          <w:szCs w:val="21"/>
        </w:rPr>
        <w:t>具体项目的实施和选取由招标人根据实际情况确定。如同一个体验馆项目的装修装饰搭建服务和配套服务，招标人可视项目情况分别从中标入围供应商根据程序选取不同供应商进行服务。</w:t>
      </w:r>
    </w:p>
    <w:p>
      <w:pPr>
        <w:pStyle w:val="19"/>
        <w:spacing w:line="360" w:lineRule="auto"/>
        <w:ind w:firstLine="562" w:firstLineChars="200"/>
        <w:rPr>
          <w:rFonts w:ascii="宋体" w:hAnsi="宋体" w:cs="宋体"/>
          <w:b/>
          <w:kern w:val="0"/>
          <w:szCs w:val="28"/>
        </w:rPr>
      </w:pPr>
      <w:r>
        <w:rPr>
          <w:rFonts w:ascii="宋体" w:hAnsi="宋体" w:cs="宋体"/>
          <w:b/>
          <w:bCs/>
          <w:kern w:val="0"/>
          <w:szCs w:val="28"/>
        </w:rPr>
        <w:br w:type="page"/>
      </w:r>
    </w:p>
    <w:bookmarkEnd w:id="473"/>
    <w:bookmarkEnd w:id="474"/>
    <w:bookmarkEnd w:id="475"/>
    <w:bookmarkEnd w:id="485"/>
    <w:p>
      <w:pPr>
        <w:pStyle w:val="76"/>
        <w:spacing w:before="240" w:after="120"/>
        <w:rPr>
          <w:rFonts w:ascii="宋体" w:hAnsi="宋体" w:eastAsia="宋体" w:cs="宋体"/>
          <w:b/>
          <w:bCs w:val="0"/>
          <w:kern w:val="0"/>
          <w:sz w:val="28"/>
          <w:szCs w:val="28"/>
        </w:rPr>
      </w:pPr>
      <w:bookmarkStart w:id="486" w:name="_Toc21679"/>
      <w:bookmarkStart w:id="487" w:name="_Toc29000"/>
      <w:bookmarkStart w:id="488" w:name="_Toc3418"/>
      <w:bookmarkStart w:id="489" w:name="_Toc56432231"/>
      <w:bookmarkStart w:id="490" w:name="_Toc1651895"/>
      <w:bookmarkStart w:id="491" w:name="_Toc32127"/>
      <w:bookmarkStart w:id="492" w:name="_Toc24350"/>
      <w:bookmarkStart w:id="493" w:name="_Toc475472670"/>
      <w:r>
        <w:rPr>
          <w:rFonts w:hint="eastAsia" w:ascii="宋体" w:hAnsi="宋体" w:eastAsia="宋体" w:cs="宋体"/>
          <w:b/>
          <w:bCs w:val="0"/>
          <w:kern w:val="0"/>
          <w:sz w:val="28"/>
          <w:szCs w:val="28"/>
        </w:rPr>
        <w:t>第六章</w:t>
      </w:r>
      <w:r>
        <w:rPr>
          <w:rFonts w:ascii="宋体" w:hAnsi="宋体" w:eastAsia="宋体" w:cs="宋体"/>
          <w:b/>
          <w:bCs w:val="0"/>
          <w:kern w:val="0"/>
          <w:sz w:val="28"/>
          <w:szCs w:val="28"/>
        </w:rPr>
        <w:t xml:space="preserve">  </w:t>
      </w:r>
      <w:r>
        <w:rPr>
          <w:rFonts w:hint="eastAsia" w:ascii="宋体" w:hAnsi="宋体" w:eastAsia="宋体" w:cs="宋体"/>
          <w:b/>
          <w:bCs w:val="0"/>
          <w:kern w:val="0"/>
          <w:sz w:val="28"/>
          <w:szCs w:val="28"/>
        </w:rPr>
        <w:t>投标申请文件格式</w:t>
      </w:r>
      <w:bookmarkEnd w:id="486"/>
      <w:bookmarkEnd w:id="487"/>
      <w:bookmarkEnd w:id="488"/>
    </w:p>
    <w:p>
      <w:pPr>
        <w:adjustRightInd w:val="0"/>
        <w:snapToGrid w:val="0"/>
        <w:spacing w:line="440" w:lineRule="exact"/>
        <w:jc w:val="left"/>
        <w:rPr>
          <w:rFonts w:ascii="宋体" w:hAnsi="宋体"/>
          <w:szCs w:val="21"/>
        </w:rPr>
      </w:pPr>
      <w:r>
        <w:rPr>
          <w:rFonts w:ascii="宋体" w:hAnsi="宋体"/>
          <w:szCs w:val="21"/>
        </w:rPr>
        <w:t>[本格式应根据第二章投标人须知前附表3.1条款中关于纸质文件提供顺序进行修改，应与</w:t>
      </w:r>
      <w:r>
        <w:rPr>
          <w:rFonts w:hint="eastAsia" w:ascii="宋体" w:hAnsi="宋体"/>
          <w:szCs w:val="21"/>
        </w:rPr>
        <w:t>投标申请文件</w:t>
      </w:r>
      <w:r>
        <w:rPr>
          <w:rFonts w:ascii="宋体" w:hAnsi="宋体"/>
          <w:szCs w:val="21"/>
        </w:rPr>
        <w:t>组成顺序一一对应]</w:t>
      </w:r>
    </w:p>
    <w:p>
      <w:pPr>
        <w:pStyle w:val="77"/>
        <w:numPr>
          <w:ilvl w:val="0"/>
          <w:numId w:val="14"/>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投标申请文件封面</w:t>
      </w:r>
    </w:p>
    <w:p>
      <w:pPr>
        <w:pStyle w:val="77"/>
        <w:numPr>
          <w:ilvl w:val="0"/>
          <w:numId w:val="14"/>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评审索引表</w:t>
      </w:r>
    </w:p>
    <w:p>
      <w:pPr>
        <w:pStyle w:val="77"/>
        <w:numPr>
          <w:ilvl w:val="0"/>
          <w:numId w:val="14"/>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投标函</w:t>
      </w:r>
    </w:p>
    <w:p>
      <w:pPr>
        <w:pStyle w:val="77"/>
        <w:numPr>
          <w:ilvl w:val="0"/>
          <w:numId w:val="14"/>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法定代表人（负责人）身份证明</w:t>
      </w:r>
    </w:p>
    <w:p>
      <w:pPr>
        <w:pStyle w:val="77"/>
        <w:numPr>
          <w:ilvl w:val="0"/>
          <w:numId w:val="14"/>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法定代表人（负责人）授权委托书</w:t>
      </w:r>
    </w:p>
    <w:p>
      <w:pPr>
        <w:pStyle w:val="77"/>
        <w:numPr>
          <w:ilvl w:val="0"/>
          <w:numId w:val="14"/>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资格审查资料</w:t>
      </w:r>
    </w:p>
    <w:p>
      <w:pPr>
        <w:pStyle w:val="77"/>
        <w:numPr>
          <w:ilvl w:val="0"/>
          <w:numId w:val="14"/>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lang w:val="en-US" w:eastAsia="zh-CN"/>
        </w:rPr>
        <w:t>实质性条款偏离表</w:t>
      </w:r>
    </w:p>
    <w:p>
      <w:pPr>
        <w:pStyle w:val="77"/>
        <w:numPr>
          <w:ilvl w:val="0"/>
          <w:numId w:val="14"/>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lang w:val="en-US" w:eastAsia="zh-CN"/>
        </w:rPr>
        <w:t>合同条款偏离表</w:t>
      </w:r>
    </w:p>
    <w:p>
      <w:pPr>
        <w:pStyle w:val="77"/>
        <w:numPr>
          <w:ilvl w:val="0"/>
          <w:numId w:val="14"/>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采购需求条款偏离表</w:t>
      </w:r>
    </w:p>
    <w:p>
      <w:pPr>
        <w:pStyle w:val="77"/>
        <w:numPr>
          <w:ilvl w:val="0"/>
          <w:numId w:val="14"/>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公章对投标专用章授权说明（如有）</w:t>
      </w:r>
    </w:p>
    <w:p>
      <w:pPr>
        <w:pStyle w:val="77"/>
        <w:numPr>
          <w:ilvl w:val="0"/>
          <w:numId w:val="14"/>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lang w:val="en-US" w:eastAsia="zh-CN"/>
        </w:rPr>
        <w:t>企业人员规模及专业能力</w:t>
      </w:r>
      <w:r>
        <w:rPr>
          <w:rFonts w:hint="eastAsia" w:ascii="宋体" w:hAnsi="宋体" w:cs="宋体"/>
          <w:b/>
          <w:szCs w:val="21"/>
        </w:rPr>
        <w:t>表</w:t>
      </w:r>
    </w:p>
    <w:p>
      <w:pPr>
        <w:pStyle w:val="77"/>
        <w:numPr>
          <w:ilvl w:val="0"/>
          <w:numId w:val="14"/>
        </w:numPr>
        <w:tabs>
          <w:tab w:val="left" w:pos="567"/>
        </w:tabs>
        <w:adjustRightInd w:val="0"/>
        <w:snapToGrid w:val="0"/>
        <w:spacing w:line="440" w:lineRule="exact"/>
        <w:ind w:left="0" w:firstLine="0" w:firstLineChars="0"/>
        <w:rPr>
          <w:rFonts w:ascii="宋体" w:hAnsi="宋体" w:cs="宋体"/>
          <w:b/>
          <w:szCs w:val="21"/>
        </w:rPr>
      </w:pPr>
      <w:r>
        <w:rPr>
          <w:rFonts w:hint="eastAsia" w:ascii="宋体" w:hAnsi="宋体" w:cs="宋体"/>
          <w:b/>
          <w:szCs w:val="21"/>
        </w:rPr>
        <w:t>企业资质、认证证书（如有）</w:t>
      </w:r>
    </w:p>
    <w:p>
      <w:pPr>
        <w:pStyle w:val="77"/>
        <w:numPr>
          <w:ilvl w:val="0"/>
          <w:numId w:val="14"/>
        </w:numPr>
        <w:tabs>
          <w:tab w:val="left" w:pos="567"/>
        </w:tabs>
        <w:adjustRightInd w:val="0"/>
        <w:snapToGrid w:val="0"/>
        <w:spacing w:line="440" w:lineRule="exact"/>
        <w:ind w:left="0" w:firstLine="0" w:firstLineChars="0"/>
        <w:rPr>
          <w:rFonts w:ascii="宋体" w:hAnsi="宋体" w:cs="宋体"/>
          <w:b/>
          <w:szCs w:val="21"/>
        </w:rPr>
      </w:pPr>
      <w:r>
        <w:rPr>
          <w:rFonts w:hint="eastAsia" w:ascii="宋体" w:hAnsi="宋体" w:cs="宋体"/>
          <w:b/>
          <w:szCs w:val="21"/>
        </w:rPr>
        <w:t>售后服务响应承诺函</w:t>
      </w:r>
    </w:p>
    <w:p>
      <w:pPr>
        <w:pStyle w:val="77"/>
        <w:numPr>
          <w:ilvl w:val="0"/>
          <w:numId w:val="14"/>
        </w:numPr>
        <w:tabs>
          <w:tab w:val="left" w:pos="567"/>
        </w:tabs>
        <w:adjustRightInd w:val="0"/>
        <w:snapToGrid w:val="0"/>
        <w:spacing w:line="440" w:lineRule="exact"/>
        <w:ind w:left="0" w:firstLine="0" w:firstLineChars="0"/>
        <w:rPr>
          <w:rFonts w:ascii="宋体" w:hAnsi="宋体" w:cs="宋体"/>
          <w:b/>
          <w:szCs w:val="21"/>
        </w:rPr>
      </w:pPr>
      <w:r>
        <w:rPr>
          <w:rFonts w:hint="eastAsia" w:ascii="宋体" w:hAnsi="宋体" w:cs="宋体"/>
          <w:b/>
          <w:szCs w:val="21"/>
        </w:rPr>
        <w:t>服务方案</w:t>
      </w:r>
    </w:p>
    <w:p>
      <w:pPr>
        <w:pStyle w:val="77"/>
        <w:numPr>
          <w:ilvl w:val="0"/>
          <w:numId w:val="14"/>
        </w:numPr>
        <w:tabs>
          <w:tab w:val="left" w:pos="567"/>
        </w:tabs>
        <w:adjustRightInd w:val="0"/>
        <w:snapToGrid w:val="0"/>
        <w:spacing w:line="440" w:lineRule="exact"/>
        <w:ind w:left="0" w:firstLine="0" w:firstLineChars="0"/>
        <w:rPr>
          <w:rFonts w:ascii="宋体" w:hAnsi="宋体" w:cs="宋体"/>
          <w:b/>
          <w:szCs w:val="21"/>
        </w:rPr>
      </w:pPr>
      <w:r>
        <w:rPr>
          <w:rFonts w:hint="eastAsia" w:ascii="宋体" w:hAnsi="宋体" w:cs="宋体"/>
          <w:b/>
          <w:szCs w:val="21"/>
        </w:rPr>
        <w:t>投标保证金汇款凭证</w:t>
      </w:r>
    </w:p>
    <w:p>
      <w:pPr>
        <w:pStyle w:val="77"/>
        <w:numPr>
          <w:ilvl w:val="0"/>
          <w:numId w:val="14"/>
        </w:numPr>
        <w:tabs>
          <w:tab w:val="left" w:pos="567"/>
        </w:tabs>
        <w:adjustRightInd w:val="0"/>
        <w:snapToGrid w:val="0"/>
        <w:spacing w:line="440" w:lineRule="exact"/>
        <w:ind w:left="0" w:firstLine="0" w:firstLineChars="0"/>
        <w:rPr>
          <w:rFonts w:ascii="宋体" w:hAnsi="宋体" w:cs="宋体"/>
          <w:b/>
          <w:szCs w:val="21"/>
        </w:rPr>
      </w:pPr>
      <w:r>
        <w:rPr>
          <w:rFonts w:hint="eastAsia" w:ascii="宋体" w:hAnsi="宋体" w:cs="宋体"/>
          <w:b/>
          <w:szCs w:val="21"/>
        </w:rPr>
        <w:t>招募文件中明确要求投标人提供的其他相关文件</w:t>
      </w:r>
    </w:p>
    <w:p>
      <w:pPr>
        <w:rPr>
          <w:rFonts w:ascii="宋体" w:hAnsi="宋体"/>
        </w:rPr>
        <w:sectPr>
          <w:pgSz w:w="11906" w:h="16838"/>
          <w:pgMar w:top="1440" w:right="1800" w:bottom="1440" w:left="1800" w:header="851" w:footer="992" w:gutter="0"/>
          <w:cols w:space="425" w:num="1"/>
          <w:docGrid w:type="lines" w:linePitch="312" w:charSpace="0"/>
        </w:sectPr>
      </w:pPr>
    </w:p>
    <w:p>
      <w:pPr>
        <w:pStyle w:val="38"/>
        <w:numPr>
          <w:ilvl w:val="0"/>
          <w:numId w:val="15"/>
        </w:numPr>
        <w:tabs>
          <w:tab w:val="left" w:pos="588"/>
        </w:tabs>
        <w:snapToGrid w:val="0"/>
        <w:spacing w:before="120" w:after="120" w:line="440" w:lineRule="exact"/>
        <w:jc w:val="left"/>
        <w:rPr>
          <w:rFonts w:ascii="宋体" w:hAnsi="宋体"/>
          <w:sz w:val="24"/>
          <w:szCs w:val="24"/>
        </w:rPr>
      </w:pPr>
      <w:bookmarkStart w:id="494" w:name="_Toc5050"/>
      <w:r>
        <w:rPr>
          <w:rFonts w:hint="eastAsia" w:ascii="宋体" w:hAnsi="宋体"/>
          <w:sz w:val="24"/>
          <w:szCs w:val="24"/>
        </w:rPr>
        <w:t>投标申请文件封面</w:t>
      </w:r>
      <w:bookmarkEnd w:id="489"/>
      <w:bookmarkEnd w:id="490"/>
      <w:bookmarkEnd w:id="491"/>
      <w:bookmarkEnd w:id="492"/>
      <w:bookmarkEnd w:id="493"/>
      <w:bookmarkEnd w:id="494"/>
    </w:p>
    <w:p>
      <w:pPr>
        <w:spacing w:after="120" w:line="360" w:lineRule="atLeast"/>
        <w:jc w:val="center"/>
        <w:rPr>
          <w:rFonts w:ascii="宋体" w:hAnsi="宋体" w:cs="宋体"/>
          <w:sz w:val="32"/>
          <w:szCs w:val="32"/>
          <w:u w:val="single"/>
        </w:rPr>
      </w:pPr>
    </w:p>
    <w:p>
      <w:pPr>
        <w:spacing w:after="120" w:line="360" w:lineRule="atLeast"/>
        <w:jc w:val="center"/>
        <w:rPr>
          <w:rFonts w:ascii="宋体" w:hAnsi="宋体" w:cs="宋体"/>
          <w:sz w:val="32"/>
          <w:szCs w:val="32"/>
          <w:u w:val="single"/>
        </w:rPr>
      </w:pPr>
    </w:p>
    <w:p>
      <w:pPr>
        <w:spacing w:after="120" w:line="360" w:lineRule="atLeast"/>
        <w:jc w:val="center"/>
        <w:rPr>
          <w:rFonts w:ascii="宋体" w:hAnsi="宋体" w:cs="宋体"/>
          <w:b/>
          <w:sz w:val="30"/>
          <w:szCs w:val="30"/>
        </w:rPr>
      </w:pPr>
      <w:r>
        <w:rPr>
          <w:rFonts w:ascii="宋体" w:hAnsi="宋体"/>
          <w:sz w:val="28"/>
          <w:szCs w:val="28"/>
          <w:u w:val="single"/>
        </w:rPr>
        <w:t xml:space="preserve">           </w:t>
      </w:r>
      <w:r>
        <w:rPr>
          <w:rFonts w:hint="eastAsia" w:ascii="宋体" w:hAnsi="宋体"/>
          <w:sz w:val="28"/>
          <w:szCs w:val="28"/>
        </w:rPr>
        <w:t>（项目名称）</w:t>
      </w:r>
    </w:p>
    <w:p>
      <w:pPr>
        <w:jc w:val="center"/>
        <w:rPr>
          <w:rFonts w:ascii="宋体" w:hAnsi="宋体" w:cs="宋体"/>
          <w:sz w:val="28"/>
          <w:szCs w:val="28"/>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spacing w:after="120"/>
        <w:jc w:val="center"/>
        <w:rPr>
          <w:rFonts w:ascii="宋体" w:hAnsi="宋体" w:cs="宋体"/>
          <w:b/>
          <w:sz w:val="36"/>
          <w:szCs w:val="36"/>
        </w:rPr>
      </w:pPr>
      <w:r>
        <w:rPr>
          <w:rFonts w:hint="eastAsia" w:ascii="宋体" w:hAnsi="宋体" w:cs="宋体"/>
          <w:b/>
          <w:sz w:val="36"/>
          <w:szCs w:val="36"/>
        </w:rPr>
        <w:t>投标申请文件</w:t>
      </w: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adjustRightInd w:val="0"/>
        <w:snapToGrid w:val="0"/>
        <w:spacing w:line="440" w:lineRule="exact"/>
        <w:jc w:val="center"/>
        <w:rPr>
          <w:rFonts w:ascii="宋体" w:hAnsi="宋体" w:cs="宋体"/>
          <w:sz w:val="24"/>
        </w:rPr>
      </w:pPr>
      <w:r>
        <w:rPr>
          <w:rFonts w:ascii="宋体" w:hAnsi="宋体" w:cs="宋体"/>
          <w:sz w:val="24"/>
        </w:rPr>
        <w:t xml:space="preserve">   投标人名称：</w:t>
      </w:r>
      <w:r>
        <w:rPr>
          <w:rFonts w:ascii="宋体" w:hAnsi="宋体" w:cs="宋体"/>
          <w:sz w:val="24"/>
          <w:u w:val="single"/>
        </w:rPr>
        <w:t xml:space="preserve">                              </w:t>
      </w:r>
      <w:r>
        <w:rPr>
          <w:rFonts w:hint="eastAsia" w:ascii="宋体" w:hAnsi="宋体" w:cs="宋体"/>
          <w:sz w:val="24"/>
        </w:rPr>
        <w:t>（盖单位公章）</w:t>
      </w:r>
    </w:p>
    <w:p>
      <w:pPr>
        <w:adjustRightInd w:val="0"/>
        <w:snapToGrid w:val="0"/>
        <w:spacing w:line="440" w:lineRule="exact"/>
        <w:ind w:firstLine="1020" w:firstLineChars="425"/>
        <w:rPr>
          <w:rFonts w:ascii="宋体" w:hAnsi="宋体" w:cs="宋体"/>
          <w:sz w:val="24"/>
        </w:rPr>
      </w:pPr>
    </w:p>
    <w:p>
      <w:pPr>
        <w:adjustRightInd w:val="0"/>
        <w:snapToGrid w:val="0"/>
        <w:spacing w:after="120" w:line="440" w:lineRule="exact"/>
        <w:ind w:firstLine="1200" w:firstLineChars="500"/>
        <w:jc w:val="left"/>
        <w:rPr>
          <w:rFonts w:ascii="宋体" w:hAnsi="宋体" w:cs="宋体"/>
          <w:sz w:val="24"/>
        </w:rPr>
      </w:pPr>
    </w:p>
    <w:p>
      <w:pPr>
        <w:adjustRightInd w:val="0"/>
        <w:snapToGrid w:val="0"/>
        <w:spacing w:line="440" w:lineRule="exact"/>
        <w:jc w:val="center"/>
        <w:rPr>
          <w:rFonts w:ascii="宋体" w:hAnsi="宋体" w:cs="宋体"/>
        </w:rPr>
      </w:pP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pPr>
        <w:pStyle w:val="76"/>
        <w:snapToGrid w:val="0"/>
        <w:spacing w:before="240" w:after="120" w:line="440" w:lineRule="exact"/>
        <w:rPr>
          <w:rFonts w:ascii="宋体" w:hAnsi="宋体" w:eastAsia="宋体" w:cs="宋体"/>
          <w:b/>
          <w:bCs w:val="0"/>
          <w:kern w:val="0"/>
          <w:sz w:val="28"/>
          <w:szCs w:val="28"/>
        </w:rPr>
        <w:sectPr>
          <w:pgSz w:w="11906" w:h="16838"/>
          <w:pgMar w:top="1440" w:right="1800" w:bottom="1440" w:left="1800" w:header="851" w:footer="992" w:gutter="0"/>
          <w:cols w:space="425" w:num="1"/>
          <w:docGrid w:type="lines" w:linePitch="312" w:charSpace="0"/>
        </w:sectPr>
      </w:pPr>
    </w:p>
    <w:p>
      <w:pPr>
        <w:pStyle w:val="38"/>
        <w:numPr>
          <w:ilvl w:val="0"/>
          <w:numId w:val="15"/>
        </w:numPr>
        <w:tabs>
          <w:tab w:val="left" w:pos="588"/>
        </w:tabs>
        <w:snapToGrid w:val="0"/>
        <w:spacing w:before="120" w:after="120" w:line="440" w:lineRule="exact"/>
        <w:jc w:val="left"/>
        <w:rPr>
          <w:rFonts w:ascii="宋体" w:hAnsi="宋体"/>
          <w:sz w:val="24"/>
          <w:szCs w:val="24"/>
        </w:rPr>
      </w:pPr>
      <w:bookmarkStart w:id="495" w:name="_Toc447265317"/>
      <w:bookmarkStart w:id="496" w:name="_Toc28380"/>
      <w:bookmarkStart w:id="497" w:name="_Toc475472671"/>
      <w:bookmarkStart w:id="498" w:name="_Toc27545"/>
      <w:bookmarkStart w:id="499" w:name="_Toc56432232"/>
      <w:bookmarkStart w:id="500" w:name="_Toc1651896"/>
      <w:bookmarkStart w:id="501" w:name="_Toc447265603"/>
      <w:bookmarkStart w:id="502" w:name="_Toc438052118"/>
      <w:bookmarkStart w:id="503" w:name="_Toc23185"/>
      <w:r>
        <w:rPr>
          <w:rFonts w:hint="eastAsia" w:ascii="宋体" w:hAnsi="宋体"/>
          <w:sz w:val="24"/>
          <w:szCs w:val="24"/>
        </w:rPr>
        <w:t>评审索引表</w:t>
      </w:r>
      <w:bookmarkEnd w:id="495"/>
      <w:bookmarkEnd w:id="496"/>
      <w:bookmarkEnd w:id="497"/>
      <w:bookmarkEnd w:id="498"/>
      <w:bookmarkEnd w:id="499"/>
      <w:bookmarkEnd w:id="500"/>
      <w:bookmarkEnd w:id="501"/>
      <w:bookmarkEnd w:id="502"/>
      <w:bookmarkEnd w:id="503"/>
    </w:p>
    <w:p>
      <w:pPr>
        <w:jc w:val="center"/>
        <w:rPr>
          <w:rFonts w:ascii="宋体" w:hAnsi="宋体"/>
          <w:b/>
          <w:sz w:val="24"/>
        </w:rPr>
      </w:pPr>
      <w:r>
        <w:rPr>
          <w:rFonts w:hint="eastAsia" w:ascii="宋体" w:hAnsi="宋体"/>
          <w:b/>
          <w:sz w:val="24"/>
        </w:rPr>
        <w:t>评审索引表</w:t>
      </w:r>
    </w:p>
    <w:p>
      <w:pPr>
        <w:jc w:val="center"/>
        <w:rPr>
          <w:rFonts w:ascii="宋体" w:hAnsi="宋体"/>
          <w:b/>
        </w:rPr>
      </w:pPr>
    </w:p>
    <w:p>
      <w:pPr>
        <w:jc w:val="left"/>
        <w:rPr>
          <w:rFonts w:ascii="宋体" w:hAnsi="宋体"/>
          <w:szCs w:val="21"/>
        </w:rPr>
      </w:pPr>
      <w:r>
        <w:rPr>
          <w:rFonts w:hint="eastAsia" w:ascii="宋体" w:hAnsi="宋体"/>
          <w:szCs w:val="21"/>
        </w:rPr>
        <w:t>此部分内容建议按照第三章评审办法中的评审标准的顺序一一罗列</w:t>
      </w:r>
    </w:p>
    <w:p>
      <w:pPr>
        <w:jc w:val="center"/>
        <w:rPr>
          <w:rFonts w:ascii="宋体" w:hAnsi="宋体"/>
          <w:sz w:val="22"/>
          <w:szCs w:val="22"/>
        </w:rPr>
      </w:pPr>
      <w:r>
        <w:rPr>
          <w:rFonts w:hint="eastAsia" w:ascii="宋体" w:hAnsi="宋体"/>
          <w:sz w:val="22"/>
          <w:szCs w:val="22"/>
        </w:rPr>
        <w:t>资格审查索引表</w:t>
      </w:r>
    </w:p>
    <w:tbl>
      <w:tblPr>
        <w:tblStyle w:val="41"/>
        <w:tblW w:w="830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2506"/>
        <w:gridCol w:w="2197"/>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jc w:val="center"/>
              <w:rPr>
                <w:rFonts w:ascii="宋体" w:hAnsi="宋体"/>
                <w:szCs w:val="21"/>
              </w:rPr>
            </w:pPr>
            <w:r>
              <w:rPr>
                <w:rFonts w:ascii="宋体" w:hAnsi="宋体"/>
                <w:szCs w:val="21"/>
              </w:rPr>
              <w:t>条款号</w:t>
            </w:r>
          </w:p>
        </w:tc>
        <w:tc>
          <w:tcPr>
            <w:tcW w:w="2506" w:type="dxa"/>
            <w:vAlign w:val="center"/>
          </w:tcPr>
          <w:p>
            <w:pPr>
              <w:jc w:val="center"/>
              <w:rPr>
                <w:rFonts w:ascii="宋体" w:hAnsi="宋体"/>
                <w:szCs w:val="21"/>
              </w:rPr>
            </w:pPr>
            <w:r>
              <w:rPr>
                <w:rFonts w:ascii="宋体" w:hAnsi="宋体"/>
                <w:szCs w:val="21"/>
              </w:rPr>
              <w:t>评审因素</w:t>
            </w:r>
          </w:p>
        </w:tc>
        <w:tc>
          <w:tcPr>
            <w:tcW w:w="2197" w:type="dxa"/>
            <w:vAlign w:val="center"/>
          </w:tcPr>
          <w:p>
            <w:pPr>
              <w:jc w:val="center"/>
              <w:rPr>
                <w:rFonts w:ascii="宋体" w:hAnsi="宋体"/>
                <w:szCs w:val="21"/>
              </w:rPr>
            </w:pPr>
            <w:r>
              <w:rPr>
                <w:rFonts w:hint="eastAsia" w:ascii="宋体" w:hAnsi="宋体"/>
                <w:szCs w:val="21"/>
              </w:rPr>
              <w:t>对应页码</w:t>
            </w:r>
          </w:p>
        </w:tc>
        <w:tc>
          <w:tcPr>
            <w:tcW w:w="2366" w:type="dxa"/>
            <w:vAlign w:val="center"/>
          </w:tcPr>
          <w:p>
            <w:pPr>
              <w:jc w:val="center"/>
              <w:rPr>
                <w:rFonts w:ascii="宋体" w:hAnsi="宋体"/>
                <w:szCs w:val="21"/>
              </w:rPr>
            </w:pPr>
            <w:r>
              <w:rPr>
                <w:rFonts w:hint="eastAsia" w:ascii="宋体" w:hAnsi="宋体"/>
                <w:szCs w:val="21"/>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ind w:left="-2" w:firstLine="1"/>
              <w:jc w:val="center"/>
              <w:rPr>
                <w:rFonts w:ascii="宋体" w:hAnsi="宋体"/>
                <w:szCs w:val="21"/>
              </w:rPr>
            </w:pPr>
            <w:r>
              <w:rPr>
                <w:rFonts w:ascii="宋体" w:hAnsi="宋体"/>
                <w:szCs w:val="21"/>
              </w:rPr>
              <w:t>1</w:t>
            </w:r>
          </w:p>
        </w:tc>
        <w:tc>
          <w:tcPr>
            <w:tcW w:w="2506" w:type="dxa"/>
            <w:vAlign w:val="center"/>
          </w:tcPr>
          <w:p>
            <w:pPr>
              <w:tabs>
                <w:tab w:val="left" w:pos="720"/>
              </w:tabs>
              <w:spacing w:line="360" w:lineRule="auto"/>
              <w:ind w:left="-2" w:firstLine="1"/>
              <w:jc w:val="center"/>
              <w:rPr>
                <w:rFonts w:ascii="宋体" w:hAnsi="宋体"/>
                <w:szCs w:val="21"/>
              </w:rPr>
            </w:pPr>
            <w:r>
              <w:rPr>
                <w:rFonts w:hint="eastAsia" w:ascii="宋体" w:hAnsi="宋体"/>
                <w:szCs w:val="21"/>
              </w:rPr>
              <w:t>投标人名称</w:t>
            </w:r>
          </w:p>
        </w:tc>
        <w:tc>
          <w:tcPr>
            <w:tcW w:w="2197" w:type="dxa"/>
            <w:vAlign w:val="center"/>
          </w:tcPr>
          <w:p>
            <w:pPr>
              <w:tabs>
                <w:tab w:val="left" w:pos="720"/>
              </w:tabs>
              <w:spacing w:line="360" w:lineRule="auto"/>
              <w:jc w:val="center"/>
              <w:rPr>
                <w:rFonts w:ascii="宋体" w:hAnsi="宋体"/>
                <w:szCs w:val="21"/>
              </w:rPr>
            </w:pPr>
            <w:r>
              <w:rPr>
                <w:rFonts w:ascii="宋体" w:hAnsi="宋体"/>
                <w:szCs w:val="21"/>
              </w:rPr>
              <w:t>/</w:t>
            </w:r>
          </w:p>
        </w:tc>
        <w:tc>
          <w:tcPr>
            <w:tcW w:w="2366"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trPr>
        <w:tc>
          <w:tcPr>
            <w:tcW w:w="1232" w:type="dxa"/>
            <w:vAlign w:val="center"/>
          </w:tcPr>
          <w:p>
            <w:pPr>
              <w:tabs>
                <w:tab w:val="left" w:pos="720"/>
              </w:tabs>
              <w:spacing w:line="360" w:lineRule="auto"/>
              <w:jc w:val="center"/>
              <w:rPr>
                <w:rFonts w:ascii="宋体" w:hAnsi="宋体"/>
                <w:szCs w:val="21"/>
              </w:rPr>
            </w:pPr>
            <w:r>
              <w:rPr>
                <w:rFonts w:ascii="宋体" w:hAnsi="宋体"/>
                <w:szCs w:val="21"/>
              </w:rPr>
              <w:t>2</w:t>
            </w:r>
          </w:p>
        </w:tc>
        <w:tc>
          <w:tcPr>
            <w:tcW w:w="2506" w:type="dxa"/>
            <w:vAlign w:val="center"/>
          </w:tcPr>
          <w:p>
            <w:pPr>
              <w:tabs>
                <w:tab w:val="left" w:pos="720"/>
              </w:tabs>
              <w:spacing w:line="360" w:lineRule="auto"/>
              <w:jc w:val="center"/>
              <w:rPr>
                <w:rFonts w:ascii="宋体" w:hAnsi="宋体"/>
                <w:szCs w:val="21"/>
              </w:rPr>
            </w:pPr>
            <w:r>
              <w:rPr>
                <w:rFonts w:hint="eastAsia" w:ascii="宋体" w:hAnsi="宋体"/>
                <w:szCs w:val="21"/>
              </w:rPr>
              <w:t>法人代表证明书及法人授权书</w:t>
            </w:r>
          </w:p>
        </w:tc>
        <w:tc>
          <w:tcPr>
            <w:tcW w:w="2197" w:type="dxa"/>
            <w:vAlign w:val="center"/>
          </w:tcPr>
          <w:p>
            <w:pPr>
              <w:tabs>
                <w:tab w:val="left" w:pos="720"/>
              </w:tabs>
              <w:spacing w:line="360" w:lineRule="auto"/>
              <w:jc w:val="center"/>
              <w:rPr>
                <w:rFonts w:ascii="宋体" w:hAnsi="宋体"/>
                <w:szCs w:val="21"/>
              </w:rPr>
            </w:pPr>
          </w:p>
        </w:tc>
        <w:tc>
          <w:tcPr>
            <w:tcW w:w="2366"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szCs w:val="21"/>
              </w:rPr>
            </w:pPr>
            <w:r>
              <w:rPr>
                <w:rFonts w:hint="eastAsia" w:ascii="宋体" w:hAnsi="宋体"/>
                <w:szCs w:val="21"/>
              </w:rPr>
              <w:t>3</w:t>
            </w:r>
          </w:p>
        </w:tc>
        <w:tc>
          <w:tcPr>
            <w:tcW w:w="2506" w:type="dxa"/>
            <w:vAlign w:val="center"/>
          </w:tcPr>
          <w:p>
            <w:pPr>
              <w:tabs>
                <w:tab w:val="left" w:pos="720"/>
              </w:tabs>
              <w:spacing w:line="360" w:lineRule="auto"/>
              <w:jc w:val="center"/>
              <w:rPr>
                <w:rFonts w:ascii="宋体" w:hAnsi="宋体"/>
                <w:szCs w:val="21"/>
              </w:rPr>
            </w:pPr>
            <w:r>
              <w:rPr>
                <w:rFonts w:hint="eastAsia" w:ascii="宋体" w:hAnsi="宋体"/>
                <w:szCs w:val="21"/>
              </w:rPr>
              <w:t>投标保证金</w:t>
            </w:r>
          </w:p>
        </w:tc>
        <w:tc>
          <w:tcPr>
            <w:tcW w:w="2197" w:type="dxa"/>
            <w:vAlign w:val="center"/>
          </w:tcPr>
          <w:p>
            <w:pPr>
              <w:tabs>
                <w:tab w:val="left" w:pos="720"/>
              </w:tabs>
              <w:spacing w:line="360" w:lineRule="auto"/>
              <w:jc w:val="center"/>
              <w:rPr>
                <w:rFonts w:ascii="宋体" w:hAnsi="宋体"/>
                <w:szCs w:val="21"/>
              </w:rPr>
            </w:pPr>
          </w:p>
        </w:tc>
        <w:tc>
          <w:tcPr>
            <w:tcW w:w="2366"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szCs w:val="21"/>
              </w:rPr>
            </w:pPr>
            <w:r>
              <w:rPr>
                <w:rFonts w:ascii="宋体" w:hAnsi="宋体"/>
                <w:szCs w:val="21"/>
              </w:rPr>
              <w:t>4</w:t>
            </w:r>
          </w:p>
        </w:tc>
        <w:tc>
          <w:tcPr>
            <w:tcW w:w="2506" w:type="dxa"/>
          </w:tcPr>
          <w:p>
            <w:pPr>
              <w:tabs>
                <w:tab w:val="left" w:pos="720"/>
              </w:tabs>
              <w:spacing w:line="360" w:lineRule="auto"/>
              <w:jc w:val="center"/>
              <w:rPr>
                <w:rFonts w:ascii="宋体" w:hAnsi="宋体"/>
                <w:szCs w:val="21"/>
              </w:rPr>
            </w:pPr>
            <w:r>
              <w:rPr>
                <w:rFonts w:hint="eastAsia" w:ascii="宋体" w:hAnsi="宋体"/>
                <w:szCs w:val="21"/>
              </w:rPr>
              <w:t>商务合同条款偏离表</w:t>
            </w:r>
          </w:p>
        </w:tc>
        <w:tc>
          <w:tcPr>
            <w:tcW w:w="2197" w:type="dxa"/>
            <w:vAlign w:val="center"/>
          </w:tcPr>
          <w:p>
            <w:pPr>
              <w:tabs>
                <w:tab w:val="left" w:pos="720"/>
              </w:tabs>
              <w:spacing w:line="360" w:lineRule="auto"/>
              <w:jc w:val="center"/>
              <w:rPr>
                <w:rFonts w:ascii="宋体" w:hAnsi="宋体"/>
                <w:szCs w:val="21"/>
              </w:rPr>
            </w:pPr>
          </w:p>
        </w:tc>
        <w:tc>
          <w:tcPr>
            <w:tcW w:w="2366"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szCs w:val="21"/>
              </w:rPr>
            </w:pPr>
            <w:r>
              <w:rPr>
                <w:rFonts w:ascii="宋体" w:hAnsi="宋体"/>
                <w:szCs w:val="21"/>
              </w:rPr>
              <w:t>5</w:t>
            </w:r>
          </w:p>
        </w:tc>
        <w:tc>
          <w:tcPr>
            <w:tcW w:w="2506" w:type="dxa"/>
          </w:tcPr>
          <w:p>
            <w:pPr>
              <w:tabs>
                <w:tab w:val="left" w:pos="720"/>
              </w:tabs>
              <w:spacing w:line="360" w:lineRule="auto"/>
              <w:jc w:val="center"/>
              <w:rPr>
                <w:rFonts w:ascii="宋体" w:hAnsi="宋体"/>
                <w:szCs w:val="21"/>
              </w:rPr>
            </w:pPr>
            <w:r>
              <w:rPr>
                <w:rFonts w:hint="eastAsia" w:ascii="宋体" w:hAnsi="宋体"/>
                <w:szCs w:val="21"/>
              </w:rPr>
              <w:t>采购需求条款偏离表</w:t>
            </w:r>
          </w:p>
        </w:tc>
        <w:tc>
          <w:tcPr>
            <w:tcW w:w="2197" w:type="dxa"/>
            <w:vAlign w:val="center"/>
          </w:tcPr>
          <w:p>
            <w:pPr>
              <w:tabs>
                <w:tab w:val="left" w:pos="720"/>
              </w:tabs>
              <w:spacing w:line="360" w:lineRule="auto"/>
              <w:jc w:val="center"/>
              <w:rPr>
                <w:rFonts w:ascii="宋体" w:hAnsi="宋体"/>
                <w:szCs w:val="21"/>
              </w:rPr>
            </w:pPr>
          </w:p>
        </w:tc>
        <w:tc>
          <w:tcPr>
            <w:tcW w:w="2366"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szCs w:val="21"/>
              </w:rPr>
            </w:pPr>
            <w:r>
              <w:rPr>
                <w:rFonts w:ascii="宋体" w:hAnsi="宋体"/>
                <w:szCs w:val="21"/>
              </w:rPr>
              <w:t>6</w:t>
            </w:r>
          </w:p>
        </w:tc>
        <w:tc>
          <w:tcPr>
            <w:tcW w:w="2506" w:type="dxa"/>
          </w:tcPr>
          <w:p>
            <w:pPr>
              <w:tabs>
                <w:tab w:val="left" w:pos="720"/>
              </w:tabs>
              <w:spacing w:line="360" w:lineRule="auto"/>
              <w:jc w:val="center"/>
              <w:rPr>
                <w:rFonts w:ascii="宋体" w:hAnsi="宋体"/>
                <w:szCs w:val="21"/>
              </w:rPr>
            </w:pPr>
            <w:r>
              <w:rPr>
                <w:rFonts w:hint="eastAsia" w:ascii="宋体" w:hAnsi="宋体"/>
                <w:szCs w:val="21"/>
              </w:rPr>
              <w:t>投标申请文件的签署和盖章</w:t>
            </w:r>
          </w:p>
        </w:tc>
        <w:tc>
          <w:tcPr>
            <w:tcW w:w="2197" w:type="dxa"/>
            <w:vAlign w:val="center"/>
          </w:tcPr>
          <w:p>
            <w:pPr>
              <w:spacing w:line="360" w:lineRule="auto"/>
              <w:jc w:val="center"/>
              <w:rPr>
                <w:rFonts w:ascii="宋体" w:hAnsi="宋体"/>
                <w:szCs w:val="21"/>
              </w:rPr>
            </w:pPr>
            <w:r>
              <w:rPr>
                <w:rFonts w:ascii="宋体" w:hAnsi="宋体"/>
                <w:szCs w:val="21"/>
              </w:rPr>
              <w:t>/</w:t>
            </w:r>
          </w:p>
        </w:tc>
        <w:tc>
          <w:tcPr>
            <w:tcW w:w="2366" w:type="dxa"/>
            <w:vAlign w:val="center"/>
          </w:tcPr>
          <w:p>
            <w:pPr>
              <w:tabs>
                <w:tab w:val="left" w:pos="720"/>
              </w:tabs>
              <w:spacing w:line="360" w:lineRule="auto"/>
              <w:ind w:left="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szCs w:val="21"/>
              </w:rPr>
            </w:pPr>
            <w:r>
              <w:rPr>
                <w:rFonts w:ascii="宋体" w:hAnsi="宋体"/>
                <w:szCs w:val="21"/>
              </w:rPr>
              <w:t>7</w:t>
            </w:r>
          </w:p>
        </w:tc>
        <w:tc>
          <w:tcPr>
            <w:tcW w:w="2506" w:type="dxa"/>
            <w:vAlign w:val="center"/>
          </w:tcPr>
          <w:p>
            <w:pPr>
              <w:tabs>
                <w:tab w:val="left" w:pos="720"/>
              </w:tabs>
              <w:spacing w:line="360" w:lineRule="auto"/>
              <w:jc w:val="center"/>
              <w:rPr>
                <w:rFonts w:ascii="宋体" w:hAnsi="宋体"/>
                <w:szCs w:val="21"/>
              </w:rPr>
            </w:pPr>
            <w:r>
              <w:rPr>
                <w:rFonts w:hint="eastAsia" w:ascii="宋体" w:hAnsi="宋体"/>
                <w:szCs w:val="21"/>
              </w:rPr>
              <w:t>资格要求</w:t>
            </w:r>
          </w:p>
        </w:tc>
        <w:tc>
          <w:tcPr>
            <w:tcW w:w="2197" w:type="dxa"/>
            <w:vAlign w:val="center"/>
          </w:tcPr>
          <w:p>
            <w:pPr>
              <w:tabs>
                <w:tab w:val="left" w:pos="720"/>
              </w:tabs>
              <w:spacing w:line="360" w:lineRule="auto"/>
              <w:ind w:left="420"/>
              <w:jc w:val="center"/>
              <w:rPr>
                <w:rFonts w:ascii="宋体" w:hAnsi="宋体"/>
                <w:szCs w:val="21"/>
              </w:rPr>
            </w:pPr>
          </w:p>
        </w:tc>
        <w:tc>
          <w:tcPr>
            <w:tcW w:w="2366" w:type="dxa"/>
            <w:vAlign w:val="center"/>
          </w:tcPr>
          <w:p>
            <w:pPr>
              <w:tabs>
                <w:tab w:val="left" w:pos="720"/>
              </w:tabs>
              <w:spacing w:line="360" w:lineRule="auto"/>
              <w:jc w:val="center"/>
              <w:rPr>
                <w:rFonts w:ascii="宋体" w:hAnsi="宋体"/>
                <w:szCs w:val="21"/>
              </w:rPr>
            </w:pPr>
          </w:p>
        </w:tc>
      </w:tr>
    </w:tbl>
    <w:p/>
    <w:p>
      <w:pPr>
        <w:jc w:val="center"/>
        <w:rPr>
          <w:sz w:val="22"/>
          <w:szCs w:val="28"/>
        </w:rPr>
      </w:pPr>
      <w:r>
        <w:rPr>
          <w:rFonts w:hint="eastAsia"/>
          <w:sz w:val="22"/>
          <w:szCs w:val="28"/>
        </w:rPr>
        <w:t>技术评审索引表</w:t>
      </w:r>
    </w:p>
    <w:tbl>
      <w:tblPr>
        <w:tblStyle w:val="41"/>
        <w:tblpPr w:leftFromText="180" w:rightFromText="180" w:vertAnchor="text" w:horzAnchor="page" w:tblpX="1892" w:tblpY="319"/>
        <w:tblOverlap w:val="never"/>
        <w:tblW w:w="8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996"/>
        <w:gridCol w:w="1724"/>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846" w:type="dxa"/>
            <w:vAlign w:val="center"/>
          </w:tcPr>
          <w:p>
            <w:pPr>
              <w:jc w:val="center"/>
              <w:rPr>
                <w:rFonts w:ascii="宋体" w:hAnsi="宋体"/>
                <w:szCs w:val="21"/>
              </w:rPr>
            </w:pPr>
            <w:r>
              <w:rPr>
                <w:rFonts w:ascii="宋体" w:hAnsi="宋体"/>
                <w:szCs w:val="21"/>
              </w:rPr>
              <w:t>条款号</w:t>
            </w:r>
          </w:p>
        </w:tc>
        <w:tc>
          <w:tcPr>
            <w:tcW w:w="3996" w:type="dxa"/>
            <w:vAlign w:val="center"/>
          </w:tcPr>
          <w:p>
            <w:pPr>
              <w:jc w:val="center"/>
              <w:rPr>
                <w:rFonts w:ascii="宋体" w:hAnsi="宋体"/>
                <w:szCs w:val="21"/>
              </w:rPr>
            </w:pPr>
            <w:r>
              <w:rPr>
                <w:rFonts w:ascii="宋体" w:hAnsi="宋体"/>
                <w:szCs w:val="21"/>
              </w:rPr>
              <w:t>评审因素</w:t>
            </w:r>
          </w:p>
        </w:tc>
        <w:tc>
          <w:tcPr>
            <w:tcW w:w="1724" w:type="dxa"/>
            <w:vAlign w:val="center"/>
          </w:tcPr>
          <w:p>
            <w:pPr>
              <w:jc w:val="center"/>
              <w:rPr>
                <w:rFonts w:ascii="宋体" w:hAnsi="宋体"/>
                <w:szCs w:val="21"/>
              </w:rPr>
            </w:pPr>
            <w:r>
              <w:rPr>
                <w:rFonts w:hint="eastAsia" w:ascii="宋体" w:hAnsi="宋体"/>
                <w:szCs w:val="21"/>
              </w:rPr>
              <w:t>对应页码</w:t>
            </w:r>
          </w:p>
        </w:tc>
        <w:tc>
          <w:tcPr>
            <w:tcW w:w="1761" w:type="dxa"/>
            <w:vAlign w:val="center"/>
          </w:tcPr>
          <w:p>
            <w:pPr>
              <w:jc w:val="center"/>
              <w:rPr>
                <w:rFonts w:ascii="宋体" w:hAnsi="宋体"/>
                <w:szCs w:val="21"/>
              </w:rPr>
            </w:pPr>
            <w:r>
              <w:rPr>
                <w:rFonts w:hint="eastAsia" w:ascii="宋体" w:hAnsi="宋体"/>
                <w:szCs w:val="21"/>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846" w:type="dxa"/>
            <w:vAlign w:val="center"/>
          </w:tcPr>
          <w:p>
            <w:pPr>
              <w:pStyle w:val="155"/>
              <w:tabs>
                <w:tab w:val="left" w:pos="720"/>
              </w:tabs>
              <w:spacing w:line="360" w:lineRule="auto"/>
              <w:ind w:left="-1" w:firstLine="0" w:firstLineChars="0"/>
              <w:jc w:val="center"/>
              <w:rPr>
                <w:rFonts w:ascii="宋体" w:hAnsi="宋体"/>
                <w:szCs w:val="21"/>
              </w:rPr>
            </w:pPr>
            <w:r>
              <w:rPr>
                <w:rFonts w:ascii="宋体" w:hAnsi="宋体"/>
                <w:szCs w:val="21"/>
              </w:rPr>
              <w:t>1</w:t>
            </w:r>
          </w:p>
        </w:tc>
        <w:tc>
          <w:tcPr>
            <w:tcW w:w="3996" w:type="dxa"/>
            <w:vAlign w:val="center"/>
          </w:tcPr>
          <w:p>
            <w:pPr>
              <w:pStyle w:val="155"/>
              <w:tabs>
                <w:tab w:val="left" w:pos="720"/>
              </w:tabs>
              <w:spacing w:line="360" w:lineRule="auto"/>
              <w:ind w:left="-1" w:firstLine="0" w:firstLineChars="0"/>
              <w:jc w:val="center"/>
              <w:rPr>
                <w:rFonts w:ascii="宋体" w:hAnsi="宋体"/>
                <w:szCs w:val="21"/>
              </w:rPr>
            </w:pPr>
            <w:r>
              <w:rPr>
                <w:rFonts w:hint="eastAsia" w:ascii="宋体" w:hAnsi="宋体"/>
                <w:szCs w:val="21"/>
              </w:rPr>
              <w:t>实施方案</w:t>
            </w:r>
          </w:p>
        </w:tc>
        <w:tc>
          <w:tcPr>
            <w:tcW w:w="1724" w:type="dxa"/>
            <w:vAlign w:val="center"/>
          </w:tcPr>
          <w:p>
            <w:pPr>
              <w:tabs>
                <w:tab w:val="left" w:pos="720"/>
              </w:tabs>
              <w:spacing w:line="360" w:lineRule="auto"/>
              <w:jc w:val="center"/>
              <w:rPr>
                <w:rFonts w:ascii="宋体" w:hAnsi="宋体"/>
                <w:szCs w:val="21"/>
              </w:rPr>
            </w:pPr>
          </w:p>
        </w:tc>
        <w:tc>
          <w:tcPr>
            <w:tcW w:w="1761"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846" w:type="dxa"/>
            <w:vAlign w:val="center"/>
          </w:tcPr>
          <w:p>
            <w:pPr>
              <w:pStyle w:val="155"/>
              <w:tabs>
                <w:tab w:val="left" w:pos="720"/>
              </w:tabs>
              <w:spacing w:line="360" w:lineRule="auto"/>
              <w:ind w:left="-1" w:firstLine="0" w:firstLineChars="0"/>
              <w:jc w:val="center"/>
              <w:rPr>
                <w:rFonts w:ascii="宋体" w:hAnsi="宋体"/>
                <w:szCs w:val="21"/>
              </w:rPr>
            </w:pPr>
            <w:r>
              <w:rPr>
                <w:rFonts w:hint="eastAsia" w:ascii="宋体" w:hAnsi="宋体"/>
                <w:szCs w:val="21"/>
              </w:rPr>
              <w:t>2</w:t>
            </w:r>
          </w:p>
        </w:tc>
        <w:tc>
          <w:tcPr>
            <w:tcW w:w="3996" w:type="dxa"/>
            <w:vAlign w:val="center"/>
          </w:tcPr>
          <w:p>
            <w:pPr>
              <w:pStyle w:val="155"/>
              <w:tabs>
                <w:tab w:val="left" w:pos="720"/>
              </w:tabs>
              <w:spacing w:line="360" w:lineRule="auto"/>
              <w:ind w:left="-1" w:firstLine="0" w:firstLineChars="0"/>
              <w:jc w:val="center"/>
              <w:rPr>
                <w:rFonts w:ascii="宋体" w:hAnsi="宋体"/>
                <w:szCs w:val="21"/>
              </w:rPr>
            </w:pPr>
            <w:r>
              <w:rPr>
                <w:rFonts w:hint="eastAsia" w:ascii="宋体" w:hAnsi="宋体"/>
                <w:szCs w:val="21"/>
              </w:rPr>
              <w:t>实施进度计划和风控保障</w:t>
            </w:r>
          </w:p>
        </w:tc>
        <w:tc>
          <w:tcPr>
            <w:tcW w:w="1724" w:type="dxa"/>
            <w:vAlign w:val="center"/>
          </w:tcPr>
          <w:p>
            <w:pPr>
              <w:tabs>
                <w:tab w:val="left" w:pos="720"/>
              </w:tabs>
              <w:spacing w:line="360" w:lineRule="auto"/>
              <w:jc w:val="center"/>
              <w:rPr>
                <w:rFonts w:ascii="宋体" w:hAnsi="宋体"/>
                <w:szCs w:val="21"/>
              </w:rPr>
            </w:pPr>
          </w:p>
        </w:tc>
        <w:tc>
          <w:tcPr>
            <w:tcW w:w="1761"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pPr>
              <w:pStyle w:val="155"/>
              <w:tabs>
                <w:tab w:val="left" w:pos="720"/>
              </w:tabs>
              <w:spacing w:line="360" w:lineRule="auto"/>
              <w:ind w:left="-1" w:firstLine="0" w:firstLineChars="0"/>
              <w:jc w:val="center"/>
              <w:rPr>
                <w:rFonts w:ascii="宋体" w:hAnsi="宋体"/>
                <w:szCs w:val="21"/>
              </w:rPr>
            </w:pPr>
            <w:r>
              <w:rPr>
                <w:rFonts w:hint="eastAsia" w:ascii="宋体" w:hAnsi="宋体"/>
                <w:szCs w:val="21"/>
              </w:rPr>
              <w:t>3</w:t>
            </w:r>
          </w:p>
        </w:tc>
        <w:tc>
          <w:tcPr>
            <w:tcW w:w="3996" w:type="dxa"/>
            <w:vAlign w:val="center"/>
          </w:tcPr>
          <w:p>
            <w:pPr>
              <w:pStyle w:val="155"/>
              <w:tabs>
                <w:tab w:val="left" w:pos="720"/>
              </w:tabs>
              <w:spacing w:line="360" w:lineRule="auto"/>
              <w:ind w:left="-1" w:firstLine="0" w:firstLineChars="0"/>
              <w:jc w:val="center"/>
              <w:rPr>
                <w:rFonts w:ascii="宋体" w:hAnsi="宋体"/>
                <w:szCs w:val="21"/>
              </w:rPr>
            </w:pPr>
            <w:r>
              <w:rPr>
                <w:rFonts w:hint="eastAsia" w:ascii="宋体" w:hAnsi="宋体"/>
                <w:szCs w:val="21"/>
              </w:rPr>
              <w:t>服务质量保证措施</w:t>
            </w:r>
          </w:p>
        </w:tc>
        <w:tc>
          <w:tcPr>
            <w:tcW w:w="1724" w:type="dxa"/>
            <w:vAlign w:val="center"/>
          </w:tcPr>
          <w:p>
            <w:pPr>
              <w:tabs>
                <w:tab w:val="left" w:pos="720"/>
              </w:tabs>
              <w:spacing w:line="360" w:lineRule="auto"/>
              <w:jc w:val="center"/>
              <w:rPr>
                <w:rFonts w:ascii="宋体" w:hAnsi="宋体"/>
                <w:szCs w:val="21"/>
              </w:rPr>
            </w:pPr>
          </w:p>
        </w:tc>
        <w:tc>
          <w:tcPr>
            <w:tcW w:w="1761"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pPr>
              <w:pStyle w:val="155"/>
              <w:tabs>
                <w:tab w:val="left" w:pos="720"/>
              </w:tabs>
              <w:spacing w:line="360" w:lineRule="auto"/>
              <w:ind w:left="-1" w:firstLine="0" w:firstLineChars="0"/>
              <w:jc w:val="center"/>
              <w:rPr>
                <w:rFonts w:ascii="宋体" w:hAnsi="宋体"/>
                <w:szCs w:val="21"/>
              </w:rPr>
            </w:pPr>
            <w:r>
              <w:rPr>
                <w:rFonts w:hint="eastAsia" w:ascii="宋体" w:hAnsi="宋体"/>
                <w:szCs w:val="21"/>
              </w:rPr>
              <w:t>4</w:t>
            </w:r>
          </w:p>
        </w:tc>
        <w:tc>
          <w:tcPr>
            <w:tcW w:w="3996" w:type="dxa"/>
            <w:vAlign w:val="center"/>
          </w:tcPr>
          <w:p>
            <w:pPr>
              <w:pStyle w:val="155"/>
              <w:tabs>
                <w:tab w:val="left" w:pos="720"/>
              </w:tabs>
              <w:spacing w:line="360" w:lineRule="auto"/>
              <w:ind w:left="-1" w:firstLine="0" w:firstLineChars="0"/>
              <w:jc w:val="center"/>
              <w:rPr>
                <w:rFonts w:ascii="宋体" w:hAnsi="宋体"/>
                <w:szCs w:val="21"/>
              </w:rPr>
            </w:pPr>
            <w:r>
              <w:rPr>
                <w:rFonts w:hint="eastAsia" w:ascii="宋体" w:hAnsi="宋体"/>
                <w:szCs w:val="21"/>
              </w:rPr>
              <w:t>项目安全防护及应急方案</w:t>
            </w:r>
          </w:p>
        </w:tc>
        <w:tc>
          <w:tcPr>
            <w:tcW w:w="1724" w:type="dxa"/>
            <w:vAlign w:val="center"/>
          </w:tcPr>
          <w:p>
            <w:pPr>
              <w:tabs>
                <w:tab w:val="left" w:pos="720"/>
              </w:tabs>
              <w:spacing w:line="360" w:lineRule="auto"/>
              <w:jc w:val="center"/>
              <w:rPr>
                <w:rFonts w:ascii="宋体" w:hAnsi="宋体"/>
                <w:szCs w:val="21"/>
              </w:rPr>
            </w:pPr>
          </w:p>
        </w:tc>
        <w:tc>
          <w:tcPr>
            <w:tcW w:w="1761"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6" w:type="dxa"/>
            <w:vAlign w:val="center"/>
          </w:tcPr>
          <w:p>
            <w:pPr>
              <w:pStyle w:val="155"/>
              <w:tabs>
                <w:tab w:val="left" w:pos="720"/>
              </w:tabs>
              <w:spacing w:line="360" w:lineRule="auto"/>
              <w:ind w:left="-1" w:firstLine="0" w:firstLineChars="0"/>
              <w:jc w:val="center"/>
              <w:rPr>
                <w:rFonts w:ascii="宋体" w:hAnsi="宋体"/>
                <w:szCs w:val="21"/>
              </w:rPr>
            </w:pPr>
            <w:r>
              <w:rPr>
                <w:rFonts w:hint="eastAsia" w:ascii="宋体" w:hAnsi="宋体"/>
                <w:szCs w:val="21"/>
              </w:rPr>
              <w:t>5</w:t>
            </w:r>
          </w:p>
        </w:tc>
        <w:tc>
          <w:tcPr>
            <w:tcW w:w="3996" w:type="dxa"/>
            <w:vAlign w:val="center"/>
          </w:tcPr>
          <w:p>
            <w:pPr>
              <w:pStyle w:val="155"/>
              <w:tabs>
                <w:tab w:val="left" w:pos="720"/>
              </w:tabs>
              <w:spacing w:line="360" w:lineRule="auto"/>
              <w:ind w:left="-1" w:firstLine="0" w:firstLineChars="0"/>
              <w:jc w:val="center"/>
              <w:rPr>
                <w:rFonts w:ascii="宋体" w:hAnsi="宋体"/>
                <w:szCs w:val="21"/>
              </w:rPr>
            </w:pPr>
            <w:r>
              <w:rPr>
                <w:rFonts w:hint="eastAsia" w:ascii="宋体" w:hAnsi="宋体"/>
                <w:szCs w:val="21"/>
              </w:rPr>
              <w:t>质保期服务方案</w:t>
            </w:r>
          </w:p>
        </w:tc>
        <w:tc>
          <w:tcPr>
            <w:tcW w:w="1724" w:type="dxa"/>
            <w:vAlign w:val="center"/>
          </w:tcPr>
          <w:p>
            <w:pPr>
              <w:tabs>
                <w:tab w:val="left" w:pos="720"/>
              </w:tabs>
              <w:spacing w:line="360" w:lineRule="auto"/>
              <w:jc w:val="center"/>
              <w:rPr>
                <w:rFonts w:ascii="宋体" w:hAnsi="宋体"/>
                <w:szCs w:val="21"/>
              </w:rPr>
            </w:pPr>
          </w:p>
        </w:tc>
        <w:tc>
          <w:tcPr>
            <w:tcW w:w="1761" w:type="dxa"/>
            <w:vAlign w:val="center"/>
          </w:tcPr>
          <w:p>
            <w:pPr>
              <w:tabs>
                <w:tab w:val="left" w:pos="720"/>
              </w:tabs>
              <w:spacing w:line="360" w:lineRule="auto"/>
              <w:jc w:val="center"/>
              <w:rPr>
                <w:rFonts w:ascii="宋体" w:hAnsi="宋体"/>
                <w:szCs w:val="21"/>
              </w:rPr>
            </w:pPr>
          </w:p>
        </w:tc>
      </w:tr>
    </w:tbl>
    <w:p/>
    <w:p>
      <w:pPr>
        <w:jc w:val="center"/>
      </w:pPr>
    </w:p>
    <w:p>
      <w:pPr>
        <w:jc w:val="center"/>
        <w:rPr>
          <w:sz w:val="22"/>
          <w:szCs w:val="28"/>
        </w:rPr>
      </w:pPr>
      <w:r>
        <w:rPr>
          <w:rFonts w:hint="eastAsia"/>
          <w:sz w:val="22"/>
          <w:szCs w:val="28"/>
        </w:rPr>
        <w:t>商务评审索引表</w:t>
      </w:r>
    </w:p>
    <w:tbl>
      <w:tblPr>
        <w:tblStyle w:val="41"/>
        <w:tblW w:w="838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4132"/>
        <w:gridCol w:w="1316"/>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1052" w:type="dxa"/>
            <w:vAlign w:val="center"/>
          </w:tcPr>
          <w:p>
            <w:pPr>
              <w:jc w:val="center"/>
              <w:rPr>
                <w:rFonts w:ascii="宋体" w:hAnsi="宋体"/>
                <w:szCs w:val="21"/>
              </w:rPr>
            </w:pPr>
            <w:r>
              <w:rPr>
                <w:rFonts w:ascii="宋体" w:hAnsi="宋体"/>
                <w:szCs w:val="21"/>
              </w:rPr>
              <w:t>条款号</w:t>
            </w:r>
          </w:p>
        </w:tc>
        <w:tc>
          <w:tcPr>
            <w:tcW w:w="4132" w:type="dxa"/>
            <w:vAlign w:val="center"/>
          </w:tcPr>
          <w:p>
            <w:pPr>
              <w:jc w:val="center"/>
              <w:rPr>
                <w:rFonts w:ascii="宋体" w:hAnsi="宋体"/>
                <w:szCs w:val="21"/>
              </w:rPr>
            </w:pPr>
            <w:r>
              <w:rPr>
                <w:rFonts w:ascii="宋体" w:hAnsi="宋体"/>
                <w:szCs w:val="21"/>
              </w:rPr>
              <w:t>评审因素</w:t>
            </w:r>
          </w:p>
        </w:tc>
        <w:tc>
          <w:tcPr>
            <w:tcW w:w="1316" w:type="dxa"/>
            <w:vAlign w:val="center"/>
          </w:tcPr>
          <w:p>
            <w:pPr>
              <w:jc w:val="center"/>
              <w:rPr>
                <w:rFonts w:ascii="宋体" w:hAnsi="宋体"/>
                <w:szCs w:val="21"/>
              </w:rPr>
            </w:pPr>
            <w:r>
              <w:rPr>
                <w:rFonts w:hint="eastAsia" w:ascii="宋体" w:hAnsi="宋体"/>
                <w:szCs w:val="21"/>
              </w:rPr>
              <w:t>对应页码</w:t>
            </w:r>
          </w:p>
        </w:tc>
        <w:tc>
          <w:tcPr>
            <w:tcW w:w="1887" w:type="dxa"/>
            <w:vAlign w:val="center"/>
          </w:tcPr>
          <w:p>
            <w:pPr>
              <w:jc w:val="center"/>
              <w:rPr>
                <w:rFonts w:ascii="宋体" w:hAnsi="宋体"/>
                <w:szCs w:val="21"/>
              </w:rPr>
            </w:pPr>
            <w:r>
              <w:rPr>
                <w:rFonts w:hint="eastAsia" w:ascii="宋体" w:hAnsi="宋体"/>
                <w:szCs w:val="21"/>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1052" w:type="dxa"/>
            <w:vAlign w:val="center"/>
          </w:tcPr>
          <w:p>
            <w:pPr>
              <w:tabs>
                <w:tab w:val="left" w:pos="720"/>
              </w:tabs>
              <w:spacing w:line="360" w:lineRule="auto"/>
              <w:ind w:left="-2" w:firstLine="1"/>
              <w:jc w:val="center"/>
              <w:rPr>
                <w:rFonts w:ascii="宋体" w:hAnsi="宋体"/>
                <w:szCs w:val="21"/>
              </w:rPr>
            </w:pPr>
            <w:r>
              <w:rPr>
                <w:rFonts w:ascii="宋体" w:hAnsi="宋体"/>
                <w:szCs w:val="21"/>
              </w:rPr>
              <w:t>1</w:t>
            </w:r>
          </w:p>
        </w:tc>
        <w:tc>
          <w:tcPr>
            <w:tcW w:w="4132" w:type="dxa"/>
            <w:vAlign w:val="center"/>
          </w:tcPr>
          <w:p>
            <w:pPr>
              <w:tabs>
                <w:tab w:val="left" w:pos="720"/>
              </w:tabs>
              <w:spacing w:line="360" w:lineRule="auto"/>
              <w:ind w:left="-2" w:firstLine="1"/>
              <w:jc w:val="center"/>
              <w:rPr>
                <w:rFonts w:ascii="宋体" w:hAnsi="宋体"/>
                <w:szCs w:val="21"/>
              </w:rPr>
            </w:pPr>
            <w:r>
              <w:rPr>
                <w:rFonts w:hint="eastAsia" w:ascii="宋体" w:hAnsi="宋体" w:cs="宋体"/>
                <w:color w:val="000000" w:themeColor="text1"/>
                <w:kern w:val="0"/>
                <w:szCs w:val="21"/>
                <w14:textFill>
                  <w14:solidFill>
                    <w14:schemeClr w14:val="tx1"/>
                  </w14:solidFill>
                </w14:textFill>
              </w:rPr>
              <w:t>持续经营时间</w:t>
            </w:r>
          </w:p>
        </w:tc>
        <w:tc>
          <w:tcPr>
            <w:tcW w:w="1316" w:type="dxa"/>
            <w:vAlign w:val="center"/>
          </w:tcPr>
          <w:p>
            <w:pPr>
              <w:tabs>
                <w:tab w:val="left" w:pos="720"/>
              </w:tabs>
              <w:spacing w:line="360" w:lineRule="auto"/>
              <w:jc w:val="center"/>
              <w:rPr>
                <w:rFonts w:ascii="宋体" w:hAnsi="宋体"/>
                <w:szCs w:val="21"/>
              </w:rPr>
            </w:pPr>
          </w:p>
        </w:tc>
        <w:tc>
          <w:tcPr>
            <w:tcW w:w="1887"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1052" w:type="dxa"/>
            <w:vAlign w:val="center"/>
          </w:tcPr>
          <w:p>
            <w:pPr>
              <w:tabs>
                <w:tab w:val="left" w:pos="720"/>
              </w:tabs>
              <w:spacing w:line="360" w:lineRule="auto"/>
              <w:ind w:left="-2" w:firstLine="1"/>
              <w:jc w:val="center"/>
              <w:rPr>
                <w:rFonts w:ascii="宋体" w:hAnsi="宋体"/>
                <w:szCs w:val="21"/>
              </w:rPr>
            </w:pPr>
            <w:r>
              <w:rPr>
                <w:rFonts w:hint="eastAsia" w:ascii="宋体" w:hAnsi="宋体"/>
                <w:szCs w:val="21"/>
              </w:rPr>
              <w:t>2</w:t>
            </w:r>
          </w:p>
        </w:tc>
        <w:tc>
          <w:tcPr>
            <w:tcW w:w="4132" w:type="dxa"/>
            <w:vAlign w:val="center"/>
          </w:tcPr>
          <w:p>
            <w:pPr>
              <w:tabs>
                <w:tab w:val="left" w:pos="720"/>
              </w:tabs>
              <w:spacing w:line="360" w:lineRule="auto"/>
              <w:ind w:left="-2" w:firstLine="1"/>
              <w:jc w:val="center"/>
              <w:rPr>
                <w:rFonts w:ascii="宋体" w:hAnsi="宋体"/>
                <w:szCs w:val="21"/>
              </w:rPr>
            </w:pPr>
            <w:r>
              <w:rPr>
                <w:rFonts w:hint="eastAsia" w:ascii="宋体" w:hAnsi="宋体" w:cs="宋体"/>
                <w:color w:val="000000" w:themeColor="text1"/>
                <w:kern w:val="0"/>
                <w:szCs w:val="21"/>
                <w14:textFill>
                  <w14:solidFill>
                    <w14:schemeClr w14:val="tx1"/>
                  </w14:solidFill>
                </w14:textFill>
              </w:rPr>
              <w:t>企业人员规模及专业能力</w:t>
            </w:r>
          </w:p>
        </w:tc>
        <w:tc>
          <w:tcPr>
            <w:tcW w:w="1316" w:type="dxa"/>
            <w:vAlign w:val="center"/>
          </w:tcPr>
          <w:p>
            <w:pPr>
              <w:tabs>
                <w:tab w:val="left" w:pos="720"/>
              </w:tabs>
              <w:spacing w:line="360" w:lineRule="auto"/>
              <w:jc w:val="center"/>
              <w:rPr>
                <w:rFonts w:ascii="宋体" w:hAnsi="宋体"/>
                <w:szCs w:val="21"/>
              </w:rPr>
            </w:pPr>
          </w:p>
        </w:tc>
        <w:tc>
          <w:tcPr>
            <w:tcW w:w="1887"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1052" w:type="dxa"/>
            <w:vAlign w:val="center"/>
          </w:tcPr>
          <w:p>
            <w:pPr>
              <w:tabs>
                <w:tab w:val="left" w:pos="720"/>
              </w:tabs>
              <w:autoSpaceDE w:val="0"/>
              <w:autoSpaceDN w:val="0"/>
              <w:adjustRightInd w:val="0"/>
              <w:spacing w:before="100" w:after="100" w:line="360" w:lineRule="auto"/>
              <w:ind w:left="360" w:right="360"/>
              <w:jc w:val="center"/>
              <w:rPr>
                <w:rFonts w:ascii="宋体" w:hAnsi="宋体"/>
                <w:szCs w:val="21"/>
              </w:rPr>
            </w:pPr>
            <w:r>
              <w:rPr>
                <w:rFonts w:hint="eastAsia" w:ascii="宋体" w:hAnsi="宋体"/>
                <w:szCs w:val="21"/>
              </w:rPr>
              <w:t>3</w:t>
            </w:r>
          </w:p>
        </w:tc>
        <w:tc>
          <w:tcPr>
            <w:tcW w:w="4132" w:type="dxa"/>
            <w:vAlign w:val="center"/>
          </w:tcPr>
          <w:p>
            <w:pPr>
              <w:tabs>
                <w:tab w:val="left" w:pos="720"/>
              </w:tabs>
              <w:spacing w:line="360" w:lineRule="auto"/>
              <w:ind w:left="-2" w:firstLine="1"/>
              <w:jc w:val="center"/>
              <w:rPr>
                <w:rFonts w:ascii="宋体" w:hAnsi="宋体"/>
                <w:szCs w:val="21"/>
              </w:rPr>
            </w:pPr>
            <w:r>
              <w:rPr>
                <w:rFonts w:hint="eastAsia" w:ascii="宋体" w:hAnsi="宋体" w:cs="宋体"/>
                <w:color w:val="000000" w:themeColor="text1"/>
                <w:szCs w:val="21"/>
                <w14:textFill>
                  <w14:solidFill>
                    <w14:schemeClr w14:val="tx1"/>
                  </w14:solidFill>
                </w14:textFill>
              </w:rPr>
              <w:t>同类项目经验</w:t>
            </w:r>
          </w:p>
        </w:tc>
        <w:tc>
          <w:tcPr>
            <w:tcW w:w="1316" w:type="dxa"/>
            <w:vAlign w:val="center"/>
          </w:tcPr>
          <w:p>
            <w:pPr>
              <w:tabs>
                <w:tab w:val="left" w:pos="720"/>
              </w:tabs>
              <w:spacing w:line="360" w:lineRule="auto"/>
              <w:jc w:val="center"/>
              <w:rPr>
                <w:rFonts w:ascii="宋体" w:hAnsi="宋体"/>
                <w:szCs w:val="21"/>
              </w:rPr>
            </w:pPr>
          </w:p>
        </w:tc>
        <w:tc>
          <w:tcPr>
            <w:tcW w:w="1887"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1052" w:type="dxa"/>
            <w:vAlign w:val="center"/>
          </w:tcPr>
          <w:p>
            <w:pPr>
              <w:tabs>
                <w:tab w:val="left" w:pos="720"/>
              </w:tabs>
              <w:autoSpaceDE w:val="0"/>
              <w:autoSpaceDN w:val="0"/>
              <w:adjustRightInd w:val="0"/>
              <w:spacing w:before="100" w:after="100" w:line="360" w:lineRule="auto"/>
              <w:ind w:left="360" w:right="360"/>
              <w:jc w:val="center"/>
              <w:rPr>
                <w:rFonts w:ascii="宋体" w:hAnsi="宋体"/>
                <w:szCs w:val="21"/>
              </w:rPr>
            </w:pPr>
            <w:r>
              <w:rPr>
                <w:rFonts w:hint="eastAsia" w:ascii="宋体" w:hAnsi="宋体"/>
                <w:szCs w:val="21"/>
              </w:rPr>
              <w:t>4</w:t>
            </w:r>
          </w:p>
        </w:tc>
        <w:tc>
          <w:tcPr>
            <w:tcW w:w="4132" w:type="dxa"/>
            <w:vAlign w:val="center"/>
          </w:tcPr>
          <w:p>
            <w:pPr>
              <w:tabs>
                <w:tab w:val="left" w:pos="720"/>
              </w:tabs>
              <w:spacing w:line="360" w:lineRule="auto"/>
              <w:ind w:left="-2" w:firstLine="1"/>
              <w:jc w:val="center"/>
              <w:rPr>
                <w:rFonts w:ascii="宋体" w:hAnsi="宋体"/>
                <w:szCs w:val="21"/>
              </w:rPr>
            </w:pPr>
            <w:r>
              <w:rPr>
                <w:rFonts w:hint="eastAsia" w:ascii="宋体" w:hAnsi="宋体"/>
                <w:szCs w:val="21"/>
              </w:rPr>
              <w:t>售后服务响应</w:t>
            </w:r>
          </w:p>
        </w:tc>
        <w:tc>
          <w:tcPr>
            <w:tcW w:w="1316" w:type="dxa"/>
            <w:vAlign w:val="center"/>
          </w:tcPr>
          <w:p>
            <w:pPr>
              <w:tabs>
                <w:tab w:val="left" w:pos="720"/>
              </w:tabs>
              <w:spacing w:line="360" w:lineRule="auto"/>
              <w:jc w:val="center"/>
              <w:rPr>
                <w:rFonts w:ascii="宋体" w:hAnsi="宋体"/>
                <w:szCs w:val="21"/>
              </w:rPr>
            </w:pPr>
          </w:p>
        </w:tc>
        <w:tc>
          <w:tcPr>
            <w:tcW w:w="1887" w:type="dxa"/>
            <w:vAlign w:val="center"/>
          </w:tcPr>
          <w:p>
            <w:pPr>
              <w:tabs>
                <w:tab w:val="left" w:pos="720"/>
              </w:tabs>
              <w:spacing w:line="360" w:lineRule="auto"/>
              <w:jc w:val="center"/>
              <w:rPr>
                <w:rFonts w:ascii="宋体" w:hAnsi="宋体"/>
                <w:szCs w:val="21"/>
              </w:rPr>
            </w:pPr>
          </w:p>
        </w:tc>
      </w:tr>
    </w:tbl>
    <w:p>
      <w:pPr>
        <w:pStyle w:val="4"/>
        <w:ind w:firstLine="0"/>
      </w:pPr>
    </w:p>
    <w:p>
      <w:pPr>
        <w:pStyle w:val="38"/>
        <w:numPr>
          <w:ilvl w:val="0"/>
          <w:numId w:val="15"/>
        </w:numPr>
        <w:tabs>
          <w:tab w:val="left" w:pos="588"/>
        </w:tabs>
        <w:snapToGrid w:val="0"/>
        <w:spacing w:before="120" w:after="120" w:line="440" w:lineRule="exact"/>
        <w:jc w:val="left"/>
        <w:rPr>
          <w:rFonts w:ascii="宋体" w:hAnsi="宋体"/>
          <w:sz w:val="24"/>
          <w:szCs w:val="24"/>
        </w:rPr>
      </w:pPr>
      <w:bookmarkStart w:id="504" w:name="_Toc31253"/>
      <w:bookmarkStart w:id="505" w:name="_Toc25766"/>
      <w:bookmarkStart w:id="506" w:name="_Toc9656"/>
      <w:bookmarkStart w:id="507" w:name="_Toc56432233"/>
      <w:r>
        <w:rPr>
          <w:rFonts w:hint="eastAsia" w:ascii="宋体" w:hAnsi="宋体"/>
          <w:sz w:val="24"/>
          <w:szCs w:val="24"/>
        </w:rPr>
        <w:t>投标函</w:t>
      </w:r>
      <w:bookmarkEnd w:id="504"/>
      <w:bookmarkEnd w:id="505"/>
      <w:bookmarkEnd w:id="506"/>
      <w:bookmarkEnd w:id="507"/>
    </w:p>
    <w:p>
      <w:pPr>
        <w:pStyle w:val="77"/>
        <w:spacing w:line="360" w:lineRule="auto"/>
        <w:ind w:firstLine="0" w:firstLineChars="0"/>
        <w:jc w:val="center"/>
        <w:rPr>
          <w:rFonts w:ascii="宋体" w:hAnsi="宋体"/>
          <w:b/>
          <w:sz w:val="24"/>
        </w:rPr>
      </w:pPr>
      <w:r>
        <w:rPr>
          <w:rFonts w:hint="eastAsia" w:ascii="宋体" w:hAnsi="宋体"/>
          <w:b/>
          <w:sz w:val="24"/>
        </w:rPr>
        <w:t>投标函</w:t>
      </w:r>
    </w:p>
    <w:p>
      <w:pPr>
        <w:adjustRightInd w:val="0"/>
        <w:snapToGrid w:val="0"/>
        <w:spacing w:line="360" w:lineRule="auto"/>
        <w:jc w:val="left"/>
        <w:rPr>
          <w:rFonts w:ascii="宋体" w:hAnsi="宋体" w:cs="宋体"/>
          <w:sz w:val="20"/>
          <w:szCs w:val="20"/>
        </w:rPr>
      </w:pPr>
      <w:r>
        <w:rPr>
          <w:rFonts w:hint="eastAsia" w:ascii="宋体" w:hAnsi="宋体" w:cs="宋体"/>
          <w:sz w:val="20"/>
          <w:szCs w:val="20"/>
        </w:rPr>
        <w:t>致：</w:t>
      </w:r>
      <w:r>
        <w:rPr>
          <w:rFonts w:hint="eastAsia" w:ascii="宋体" w:hAnsi="宋体"/>
          <w:sz w:val="20"/>
          <w:szCs w:val="22"/>
          <w:u w:val="single"/>
        </w:rPr>
        <w:t>XXXXXX有限公司</w:t>
      </w:r>
      <w:r>
        <w:rPr>
          <w:rFonts w:ascii="宋体" w:hAnsi="宋体"/>
          <w:sz w:val="20"/>
          <w:szCs w:val="22"/>
          <w:u w:val="single"/>
        </w:rPr>
        <w:t>[招标人名称]</w:t>
      </w:r>
      <w:r>
        <w:rPr>
          <w:rFonts w:ascii="宋体" w:hAnsi="宋体" w:cs="宋体"/>
          <w:sz w:val="20"/>
          <w:szCs w:val="20"/>
        </w:rPr>
        <w:t>：</w:t>
      </w:r>
    </w:p>
    <w:p>
      <w:pPr>
        <w:spacing w:line="360" w:lineRule="auto"/>
        <w:ind w:firstLine="400" w:firstLineChars="200"/>
        <w:rPr>
          <w:rFonts w:ascii="宋体" w:hAnsi="宋体"/>
          <w:sz w:val="20"/>
          <w:szCs w:val="20"/>
        </w:rPr>
      </w:pPr>
      <w:r>
        <w:rPr>
          <w:rFonts w:ascii="宋体" w:hAnsi="宋体"/>
          <w:sz w:val="20"/>
          <w:szCs w:val="20"/>
          <w:u w:val="single"/>
        </w:rPr>
        <w:t xml:space="preserve">      （投标人名称）</w:t>
      </w:r>
      <w:r>
        <w:rPr>
          <w:rFonts w:hint="eastAsia" w:ascii="宋体" w:hAnsi="宋体"/>
          <w:sz w:val="20"/>
          <w:szCs w:val="20"/>
        </w:rPr>
        <w:t>（以下称“我方”）</w:t>
      </w:r>
      <w:r>
        <w:rPr>
          <w:rFonts w:ascii="宋体" w:hAnsi="宋体"/>
          <w:sz w:val="20"/>
          <w:szCs w:val="20"/>
        </w:rPr>
        <w:t>已仔细研究了</w:t>
      </w:r>
      <w:r>
        <w:rPr>
          <w:rFonts w:hint="eastAsia" w:ascii="宋体" w:hAnsi="宋体"/>
          <w:sz w:val="20"/>
          <w:szCs w:val="20"/>
          <w:u w:val="single"/>
        </w:rPr>
        <w:t>XXXXX项目</w:t>
      </w:r>
      <w:r>
        <w:rPr>
          <w:rFonts w:hint="eastAsia" w:ascii="宋体" w:hAnsi="宋体"/>
          <w:sz w:val="20"/>
          <w:szCs w:val="20"/>
        </w:rPr>
        <w:t>（项目编号：</w:t>
      </w:r>
      <w:r>
        <w:rPr>
          <w:rFonts w:hint="eastAsia" w:ascii="宋体" w:hAnsi="宋体"/>
          <w:sz w:val="20"/>
          <w:szCs w:val="20"/>
          <w:u w:val="single"/>
        </w:rPr>
        <w:t>XXXX</w:t>
      </w:r>
      <w:r>
        <w:rPr>
          <w:rFonts w:ascii="宋体" w:hAnsi="宋体"/>
          <w:sz w:val="20"/>
          <w:szCs w:val="20"/>
        </w:rPr>
        <w:t>）</w:t>
      </w:r>
      <w:r>
        <w:rPr>
          <w:rFonts w:hint="eastAsia" w:ascii="宋体" w:hAnsi="宋体"/>
          <w:sz w:val="20"/>
          <w:szCs w:val="20"/>
        </w:rPr>
        <w:t>招募文件</w:t>
      </w:r>
      <w:r>
        <w:rPr>
          <w:rFonts w:ascii="宋体" w:hAnsi="宋体"/>
          <w:sz w:val="20"/>
          <w:szCs w:val="20"/>
        </w:rPr>
        <w:t>的全部内容</w:t>
      </w:r>
      <w:r>
        <w:rPr>
          <w:rFonts w:hint="eastAsia" w:ascii="宋体" w:hAnsi="宋体"/>
          <w:sz w:val="20"/>
          <w:szCs w:val="20"/>
        </w:rPr>
        <w:t>，</w:t>
      </w:r>
      <w:r>
        <w:rPr>
          <w:rFonts w:ascii="宋体" w:hAnsi="宋体"/>
          <w:bCs/>
          <w:sz w:val="20"/>
          <w:szCs w:val="20"/>
        </w:rPr>
        <w:t>包括</w:t>
      </w:r>
      <w:r>
        <w:rPr>
          <w:rFonts w:hint="eastAsia" w:ascii="宋体" w:hAnsi="宋体"/>
          <w:bCs/>
          <w:sz w:val="20"/>
          <w:szCs w:val="20"/>
        </w:rPr>
        <w:t>澄清或者</w:t>
      </w:r>
      <w:r>
        <w:rPr>
          <w:rFonts w:ascii="宋体" w:hAnsi="宋体"/>
          <w:bCs/>
          <w:sz w:val="20"/>
          <w:szCs w:val="20"/>
        </w:rPr>
        <w:t>修改文件</w:t>
      </w:r>
      <w:r>
        <w:rPr>
          <w:rFonts w:hint="eastAsia" w:ascii="宋体" w:hAnsi="宋体"/>
          <w:bCs/>
          <w:sz w:val="20"/>
          <w:szCs w:val="20"/>
        </w:rPr>
        <w:t>以及</w:t>
      </w:r>
      <w:r>
        <w:rPr>
          <w:rFonts w:ascii="宋体" w:hAnsi="宋体"/>
          <w:bCs/>
          <w:sz w:val="20"/>
          <w:szCs w:val="20"/>
        </w:rPr>
        <w:t>有关附件</w:t>
      </w:r>
      <w:r>
        <w:rPr>
          <w:rFonts w:ascii="宋体" w:hAnsi="宋体"/>
          <w:sz w:val="20"/>
          <w:szCs w:val="20"/>
        </w:rPr>
        <w:t>，</w:t>
      </w:r>
      <w:r>
        <w:rPr>
          <w:rFonts w:hint="eastAsia" w:ascii="宋体" w:hAnsi="宋体"/>
          <w:sz w:val="20"/>
          <w:szCs w:val="20"/>
        </w:rPr>
        <w:t>我方将严格按照招募文件要求递交符合要求的全部投标申请文件。</w:t>
      </w:r>
    </w:p>
    <w:p>
      <w:pPr>
        <w:spacing w:line="360" w:lineRule="auto"/>
        <w:ind w:firstLine="400" w:firstLineChars="200"/>
        <w:rPr>
          <w:rFonts w:ascii="宋体" w:hAnsi="宋体"/>
          <w:sz w:val="20"/>
          <w:szCs w:val="20"/>
        </w:rPr>
      </w:pPr>
      <w:r>
        <w:rPr>
          <w:rFonts w:hint="eastAsia" w:ascii="宋体" w:hAnsi="宋体"/>
          <w:sz w:val="20"/>
          <w:szCs w:val="20"/>
        </w:rPr>
        <w:t>我方承诺如下内容：</w:t>
      </w:r>
    </w:p>
    <w:p>
      <w:pPr>
        <w:pStyle w:val="77"/>
        <w:numPr>
          <w:ilvl w:val="3"/>
          <w:numId w:val="16"/>
        </w:numPr>
        <w:tabs>
          <w:tab w:val="left" w:pos="709"/>
        </w:tabs>
        <w:spacing w:line="360" w:lineRule="auto"/>
        <w:ind w:left="0" w:firstLine="404" w:firstLineChars="202"/>
        <w:rPr>
          <w:rFonts w:ascii="宋体" w:hAnsi="宋体"/>
          <w:sz w:val="20"/>
          <w:szCs w:val="20"/>
        </w:rPr>
      </w:pPr>
      <w:r>
        <w:rPr>
          <w:rFonts w:hint="eastAsia" w:ascii="宋体" w:hAnsi="宋体"/>
          <w:sz w:val="20"/>
          <w:szCs w:val="20"/>
        </w:rPr>
        <w:t>我方的投标申请文件包含第二章“投标人须知”第</w:t>
      </w:r>
      <w:r>
        <w:rPr>
          <w:rFonts w:ascii="宋体" w:hAnsi="宋体"/>
          <w:sz w:val="20"/>
          <w:szCs w:val="20"/>
        </w:rPr>
        <w:t>3.1款规定的全部内容。</w:t>
      </w:r>
    </w:p>
    <w:p>
      <w:pPr>
        <w:pStyle w:val="77"/>
        <w:numPr>
          <w:ilvl w:val="3"/>
          <w:numId w:val="16"/>
        </w:numPr>
        <w:tabs>
          <w:tab w:val="left" w:pos="709"/>
        </w:tabs>
        <w:spacing w:line="360" w:lineRule="auto"/>
        <w:ind w:left="0" w:firstLine="404" w:firstLineChars="202"/>
        <w:rPr>
          <w:rFonts w:ascii="宋体" w:hAnsi="宋体"/>
          <w:sz w:val="20"/>
          <w:szCs w:val="20"/>
        </w:rPr>
      </w:pPr>
      <w:r>
        <w:rPr>
          <w:rFonts w:ascii="宋体" w:hAnsi="宋体"/>
          <w:sz w:val="20"/>
          <w:szCs w:val="20"/>
        </w:rPr>
        <w:t>我方承诺在</w:t>
      </w:r>
      <w:r>
        <w:rPr>
          <w:rFonts w:hint="eastAsia" w:ascii="宋体" w:hAnsi="宋体"/>
          <w:sz w:val="20"/>
          <w:szCs w:val="20"/>
        </w:rPr>
        <w:t>招募文件规定的投标</w:t>
      </w:r>
      <w:r>
        <w:rPr>
          <w:rFonts w:ascii="宋体" w:hAnsi="宋体"/>
          <w:sz w:val="20"/>
          <w:szCs w:val="20"/>
        </w:rPr>
        <w:t>有效期</w:t>
      </w:r>
      <w:r>
        <w:rPr>
          <w:rFonts w:hint="eastAsia" w:ascii="宋体" w:hAnsi="宋体"/>
          <w:sz w:val="20"/>
          <w:szCs w:val="20"/>
        </w:rPr>
        <w:t>（投标有效期为</w:t>
      </w:r>
      <w:r>
        <w:rPr>
          <w:rFonts w:ascii="宋体" w:hAnsi="宋体"/>
          <w:sz w:val="20"/>
          <w:szCs w:val="20"/>
          <w:u w:val="single"/>
        </w:rPr>
        <w:t xml:space="preserve"> </w:t>
      </w:r>
      <w:r>
        <w:rPr>
          <w:rFonts w:hint="eastAsia" w:ascii="宋体" w:hAnsi="宋体"/>
          <w:sz w:val="20"/>
          <w:szCs w:val="20"/>
          <w:u w:val="single"/>
        </w:rPr>
        <w:t>90</w:t>
      </w:r>
      <w:r>
        <w:rPr>
          <w:rFonts w:hint="eastAsia" w:ascii="宋体" w:hAnsi="宋体"/>
          <w:sz w:val="20"/>
          <w:szCs w:val="20"/>
        </w:rPr>
        <w:t>天）</w:t>
      </w:r>
      <w:r>
        <w:rPr>
          <w:rFonts w:ascii="宋体" w:hAnsi="宋体"/>
          <w:sz w:val="20"/>
          <w:szCs w:val="20"/>
        </w:rPr>
        <w:t>内不修改、撤销</w:t>
      </w:r>
      <w:r>
        <w:rPr>
          <w:rFonts w:hint="eastAsia" w:ascii="宋体" w:hAnsi="宋体"/>
          <w:sz w:val="20"/>
          <w:szCs w:val="20"/>
        </w:rPr>
        <w:t>投标申请文件</w:t>
      </w:r>
      <w:r>
        <w:rPr>
          <w:rFonts w:ascii="宋体" w:hAnsi="宋体"/>
          <w:sz w:val="20"/>
          <w:szCs w:val="20"/>
        </w:rPr>
        <w:t>。</w:t>
      </w:r>
    </w:p>
    <w:p>
      <w:pPr>
        <w:pStyle w:val="77"/>
        <w:numPr>
          <w:ilvl w:val="3"/>
          <w:numId w:val="16"/>
        </w:numPr>
        <w:tabs>
          <w:tab w:val="left" w:pos="709"/>
        </w:tabs>
        <w:spacing w:line="360" w:lineRule="auto"/>
        <w:ind w:left="0" w:firstLine="404" w:firstLineChars="202"/>
        <w:rPr>
          <w:rFonts w:ascii="宋体" w:hAnsi="宋体"/>
          <w:sz w:val="20"/>
          <w:szCs w:val="20"/>
        </w:rPr>
      </w:pPr>
      <w:r>
        <w:rPr>
          <w:rFonts w:ascii="宋体" w:hAnsi="宋体"/>
          <w:sz w:val="20"/>
          <w:szCs w:val="20"/>
        </w:rPr>
        <w:t>随同本</w:t>
      </w:r>
      <w:r>
        <w:rPr>
          <w:rFonts w:hint="eastAsia" w:ascii="宋体" w:hAnsi="宋体"/>
          <w:sz w:val="20"/>
          <w:szCs w:val="20"/>
        </w:rPr>
        <w:t>投标</w:t>
      </w:r>
      <w:r>
        <w:rPr>
          <w:rFonts w:ascii="宋体" w:hAnsi="宋体"/>
          <w:sz w:val="20"/>
          <w:szCs w:val="20"/>
        </w:rPr>
        <w:t>函递交</w:t>
      </w:r>
      <w:r>
        <w:rPr>
          <w:rFonts w:hint="eastAsia" w:ascii="宋体" w:hAnsi="宋体"/>
          <w:sz w:val="20"/>
          <w:szCs w:val="20"/>
        </w:rPr>
        <w:t>投标</w:t>
      </w:r>
      <w:r>
        <w:rPr>
          <w:rFonts w:ascii="宋体" w:hAnsi="宋体"/>
          <w:sz w:val="20"/>
          <w:szCs w:val="20"/>
        </w:rPr>
        <w:t>保证金一份，金额为人民币（大写）</w:t>
      </w:r>
      <w:r>
        <w:rPr>
          <w:rFonts w:ascii="宋体" w:hAnsi="宋体"/>
          <w:sz w:val="20"/>
          <w:szCs w:val="20"/>
          <w:u w:val="single"/>
        </w:rPr>
        <w:t xml:space="preserve">    </w:t>
      </w:r>
      <w:r>
        <w:rPr>
          <w:rFonts w:ascii="宋体" w:hAnsi="宋体"/>
          <w:sz w:val="20"/>
          <w:szCs w:val="20"/>
        </w:rPr>
        <w:t>（¥</w:t>
      </w:r>
      <w:r>
        <w:rPr>
          <w:rFonts w:ascii="宋体" w:hAnsi="宋体"/>
          <w:sz w:val="20"/>
          <w:szCs w:val="20"/>
          <w:u w:val="single"/>
        </w:rPr>
        <w:t xml:space="preserve">   </w:t>
      </w:r>
      <w:r>
        <w:rPr>
          <w:rFonts w:hint="eastAsia" w:ascii="宋体" w:hAnsi="宋体"/>
          <w:b/>
          <w:sz w:val="20"/>
          <w:szCs w:val="20"/>
          <w:u w:val="single"/>
        </w:rPr>
        <w:t>元</w:t>
      </w:r>
      <w:r>
        <w:rPr>
          <w:rFonts w:ascii="宋体" w:hAnsi="宋体"/>
          <w:sz w:val="20"/>
          <w:szCs w:val="20"/>
        </w:rPr>
        <w:t>）。</w:t>
      </w:r>
    </w:p>
    <w:p>
      <w:pPr>
        <w:pStyle w:val="77"/>
        <w:numPr>
          <w:ilvl w:val="3"/>
          <w:numId w:val="16"/>
        </w:numPr>
        <w:tabs>
          <w:tab w:val="left" w:pos="709"/>
        </w:tabs>
        <w:spacing w:line="360" w:lineRule="auto"/>
        <w:ind w:left="0" w:firstLine="404" w:firstLineChars="202"/>
        <w:rPr>
          <w:rFonts w:ascii="宋体" w:hAnsi="宋体"/>
          <w:sz w:val="20"/>
          <w:szCs w:val="20"/>
        </w:rPr>
      </w:pPr>
      <w:r>
        <w:rPr>
          <w:rFonts w:hint="eastAsia" w:ascii="宋体" w:hAnsi="宋体"/>
          <w:sz w:val="20"/>
          <w:szCs w:val="20"/>
        </w:rPr>
        <w:t>我方承诺如果在规定的唱价时间后，在投标有效期内撤回投标申请文件，投标保证金将被贵方没收。</w:t>
      </w:r>
    </w:p>
    <w:p>
      <w:pPr>
        <w:pStyle w:val="77"/>
        <w:numPr>
          <w:ilvl w:val="3"/>
          <w:numId w:val="16"/>
        </w:numPr>
        <w:tabs>
          <w:tab w:val="left" w:pos="709"/>
        </w:tabs>
        <w:spacing w:line="360" w:lineRule="auto"/>
        <w:ind w:left="0" w:firstLine="404" w:firstLineChars="202"/>
        <w:rPr>
          <w:rFonts w:ascii="宋体" w:hAnsi="宋体"/>
          <w:sz w:val="20"/>
          <w:szCs w:val="20"/>
        </w:rPr>
      </w:pPr>
      <w:r>
        <w:rPr>
          <w:rFonts w:hint="eastAsia" w:ascii="宋体" w:hAnsi="宋体"/>
          <w:sz w:val="20"/>
          <w:szCs w:val="20"/>
        </w:rPr>
        <w:t>我方已经详细地阅读了全部招募文件及其附件，包括澄清及参考文件</w:t>
      </w:r>
      <w:r>
        <w:rPr>
          <w:rFonts w:ascii="宋体" w:hAnsi="宋体"/>
          <w:sz w:val="20"/>
          <w:szCs w:val="20"/>
        </w:rPr>
        <w:t>(如果有的话)。我方已完全清晰理解</w:t>
      </w:r>
      <w:r>
        <w:rPr>
          <w:rFonts w:hint="eastAsia" w:ascii="宋体" w:hAnsi="宋体"/>
          <w:sz w:val="20"/>
          <w:szCs w:val="20"/>
        </w:rPr>
        <w:t>招募文件</w:t>
      </w:r>
      <w:r>
        <w:rPr>
          <w:rFonts w:ascii="宋体" w:hAnsi="宋体"/>
          <w:sz w:val="20"/>
          <w:szCs w:val="20"/>
        </w:rPr>
        <w:t>的要求，不存在任何含糊不清和误解之处，同意放弃对这些文件所提出的异议和质疑的权利</w:t>
      </w:r>
    </w:p>
    <w:p>
      <w:pPr>
        <w:pStyle w:val="77"/>
        <w:numPr>
          <w:ilvl w:val="3"/>
          <w:numId w:val="16"/>
        </w:numPr>
        <w:tabs>
          <w:tab w:val="left" w:pos="709"/>
        </w:tabs>
        <w:spacing w:line="360" w:lineRule="auto"/>
        <w:ind w:left="0" w:firstLine="404" w:firstLineChars="202"/>
        <w:rPr>
          <w:rFonts w:ascii="宋体" w:hAnsi="宋体"/>
          <w:sz w:val="20"/>
          <w:szCs w:val="20"/>
        </w:rPr>
      </w:pPr>
      <w:r>
        <w:rPr>
          <w:rFonts w:hint="eastAsia" w:ascii="宋体" w:hAnsi="宋体"/>
          <w:sz w:val="20"/>
          <w:szCs w:val="20"/>
        </w:rPr>
        <w:t>我方在评审过程中根据评审委员会要求提供的符合相关规定的澄清文件，构成投标申请文件的组成部分。</w:t>
      </w:r>
    </w:p>
    <w:p>
      <w:pPr>
        <w:pStyle w:val="77"/>
        <w:numPr>
          <w:ilvl w:val="3"/>
          <w:numId w:val="16"/>
        </w:numPr>
        <w:tabs>
          <w:tab w:val="left" w:pos="709"/>
        </w:tabs>
        <w:spacing w:line="360" w:lineRule="auto"/>
        <w:ind w:left="0" w:firstLine="404" w:firstLineChars="202"/>
        <w:rPr>
          <w:rFonts w:ascii="宋体" w:hAnsi="宋体"/>
          <w:sz w:val="20"/>
          <w:szCs w:val="20"/>
        </w:rPr>
      </w:pPr>
      <w:r>
        <w:rPr>
          <w:rFonts w:hint="eastAsia" w:ascii="宋体" w:hAnsi="宋体"/>
          <w:sz w:val="20"/>
          <w:szCs w:val="20"/>
        </w:rPr>
        <w:t>我方为本次报价所提交的所有证明其合格和资格的文件是真实的和正确的，并愿为其真实性和正确性承担法律责任。</w:t>
      </w:r>
    </w:p>
    <w:p>
      <w:pPr>
        <w:pStyle w:val="77"/>
        <w:numPr>
          <w:ilvl w:val="3"/>
          <w:numId w:val="16"/>
        </w:numPr>
        <w:tabs>
          <w:tab w:val="left" w:pos="709"/>
        </w:tabs>
        <w:spacing w:line="360" w:lineRule="auto"/>
        <w:ind w:left="0" w:firstLine="404" w:firstLineChars="202"/>
        <w:rPr>
          <w:rFonts w:ascii="宋体" w:hAnsi="宋体"/>
          <w:sz w:val="20"/>
          <w:szCs w:val="20"/>
        </w:rPr>
      </w:pPr>
      <w:r>
        <w:rPr>
          <w:rFonts w:hint="eastAsia" w:ascii="宋体" w:hAnsi="宋体"/>
          <w:sz w:val="20"/>
          <w:szCs w:val="20"/>
        </w:rPr>
        <w:t>我方为中华人民共和国境内的合法经营主体，具有独立的民事行为能力；我方具备履行合同所必需的设备和专业技术能力；我方</w:t>
      </w:r>
      <w:r>
        <w:rPr>
          <w:rFonts w:hint="eastAsia"/>
          <w:sz w:val="20"/>
          <w:szCs w:val="20"/>
        </w:rPr>
        <w:t>有依法缴纳税收和社会保障资金的良好记录</w:t>
      </w:r>
      <w:r>
        <w:rPr>
          <w:rFonts w:hint="eastAsia" w:ascii="宋体" w:hAnsi="宋体"/>
          <w:sz w:val="20"/>
          <w:szCs w:val="20"/>
        </w:rPr>
        <w:t>。</w:t>
      </w:r>
    </w:p>
    <w:p>
      <w:pPr>
        <w:pStyle w:val="77"/>
        <w:numPr>
          <w:ilvl w:val="3"/>
          <w:numId w:val="16"/>
        </w:numPr>
        <w:tabs>
          <w:tab w:val="left" w:pos="709"/>
        </w:tabs>
        <w:spacing w:line="360" w:lineRule="auto"/>
        <w:ind w:left="0" w:firstLine="404" w:firstLineChars="202"/>
        <w:rPr>
          <w:rFonts w:ascii="宋体" w:hAnsi="宋体"/>
          <w:sz w:val="20"/>
          <w:szCs w:val="20"/>
        </w:rPr>
      </w:pPr>
      <w:r>
        <w:rPr>
          <w:rFonts w:hint="eastAsia" w:ascii="宋体" w:hAnsi="宋体"/>
          <w:sz w:val="20"/>
          <w:szCs w:val="20"/>
        </w:rPr>
        <w:t>我方同意提供贵方可能要求的与投标有关的一切数据或者资料，并完全理解贵方不一定接受最低价的投标。</w:t>
      </w:r>
    </w:p>
    <w:p>
      <w:pPr>
        <w:pStyle w:val="77"/>
        <w:numPr>
          <w:ilvl w:val="3"/>
          <w:numId w:val="16"/>
        </w:numPr>
        <w:tabs>
          <w:tab w:val="left" w:pos="709"/>
        </w:tabs>
        <w:spacing w:line="360" w:lineRule="auto"/>
        <w:ind w:left="0" w:firstLine="404" w:firstLineChars="202"/>
        <w:rPr>
          <w:rFonts w:ascii="宋体" w:hAnsi="宋体"/>
          <w:sz w:val="20"/>
          <w:szCs w:val="20"/>
        </w:rPr>
      </w:pPr>
      <w:r>
        <w:rPr>
          <w:rFonts w:hint="eastAsia" w:ascii="宋体" w:hAnsi="宋体"/>
          <w:sz w:val="20"/>
          <w:szCs w:val="20"/>
        </w:rPr>
        <w:t>我方承诺不向第三方透露与招标相关的所有信息。</w:t>
      </w:r>
    </w:p>
    <w:p>
      <w:pPr>
        <w:pStyle w:val="77"/>
        <w:numPr>
          <w:ilvl w:val="3"/>
          <w:numId w:val="16"/>
        </w:numPr>
        <w:tabs>
          <w:tab w:val="left" w:pos="709"/>
        </w:tabs>
        <w:spacing w:line="360" w:lineRule="auto"/>
        <w:ind w:left="0" w:firstLine="404" w:firstLineChars="202"/>
        <w:rPr>
          <w:rFonts w:ascii="宋体" w:hAnsi="宋体"/>
          <w:sz w:val="20"/>
          <w:szCs w:val="20"/>
        </w:rPr>
      </w:pPr>
      <w:r>
        <w:rPr>
          <w:rFonts w:hint="eastAsia" w:ascii="宋体" w:hAnsi="宋体"/>
          <w:sz w:val="20"/>
          <w:szCs w:val="20"/>
        </w:rPr>
        <w:t>我方承诺不存在财产被接管或冻结或破产清算状况，遵守国家有关的法律、法令和条例。</w:t>
      </w:r>
    </w:p>
    <w:p>
      <w:pPr>
        <w:pStyle w:val="77"/>
        <w:numPr>
          <w:ilvl w:val="3"/>
          <w:numId w:val="16"/>
        </w:numPr>
        <w:tabs>
          <w:tab w:val="left" w:pos="709"/>
        </w:tabs>
        <w:spacing w:line="360" w:lineRule="auto"/>
        <w:ind w:left="0" w:firstLine="404" w:firstLineChars="202"/>
        <w:rPr>
          <w:rFonts w:ascii="宋体" w:hAnsi="宋体"/>
          <w:sz w:val="20"/>
          <w:szCs w:val="20"/>
        </w:rPr>
      </w:pPr>
      <w:r>
        <w:rPr>
          <w:rFonts w:ascii="宋体" w:hAnsi="宋体"/>
          <w:sz w:val="20"/>
          <w:szCs w:val="20"/>
        </w:rPr>
        <w:t>如我方中标：</w:t>
      </w:r>
    </w:p>
    <w:p>
      <w:pPr>
        <w:pStyle w:val="77"/>
        <w:numPr>
          <w:ilvl w:val="0"/>
          <w:numId w:val="17"/>
        </w:numPr>
        <w:tabs>
          <w:tab w:val="left" w:pos="993"/>
        </w:tabs>
        <w:spacing w:line="360" w:lineRule="auto"/>
        <w:ind w:left="0" w:firstLine="426" w:firstLineChars="0"/>
        <w:rPr>
          <w:rFonts w:ascii="宋体" w:hAnsi="宋体"/>
          <w:sz w:val="20"/>
          <w:szCs w:val="20"/>
        </w:rPr>
      </w:pPr>
      <w:r>
        <w:rPr>
          <w:rFonts w:ascii="宋体" w:hAnsi="宋体"/>
          <w:sz w:val="20"/>
          <w:szCs w:val="20"/>
        </w:rPr>
        <w:t>我方承诺在收到</w:t>
      </w:r>
      <w:r>
        <w:rPr>
          <w:rFonts w:hint="eastAsia" w:ascii="宋体" w:hAnsi="宋体"/>
          <w:sz w:val="20"/>
          <w:szCs w:val="20"/>
        </w:rPr>
        <w:t>中标入围通知书</w:t>
      </w:r>
      <w:r>
        <w:rPr>
          <w:rFonts w:ascii="宋体" w:hAnsi="宋体"/>
          <w:sz w:val="20"/>
          <w:szCs w:val="20"/>
        </w:rPr>
        <w:t>后，在</w:t>
      </w:r>
      <w:r>
        <w:rPr>
          <w:rFonts w:hint="eastAsia" w:ascii="宋体" w:hAnsi="宋体"/>
          <w:sz w:val="20"/>
          <w:szCs w:val="20"/>
        </w:rPr>
        <w:t>中标入围通知书</w:t>
      </w:r>
      <w:r>
        <w:rPr>
          <w:rFonts w:ascii="宋体" w:hAnsi="宋体"/>
          <w:sz w:val="20"/>
          <w:szCs w:val="20"/>
        </w:rPr>
        <w:t>规定的期限内与</w:t>
      </w:r>
      <w:r>
        <w:rPr>
          <w:rFonts w:hint="eastAsia" w:ascii="宋体" w:hAnsi="宋体"/>
          <w:sz w:val="20"/>
          <w:szCs w:val="20"/>
        </w:rPr>
        <w:t>贵</w:t>
      </w:r>
      <w:r>
        <w:rPr>
          <w:rFonts w:ascii="宋体" w:hAnsi="宋体"/>
          <w:sz w:val="20"/>
          <w:szCs w:val="20"/>
        </w:rPr>
        <w:t>方签订合同。</w:t>
      </w:r>
    </w:p>
    <w:p>
      <w:pPr>
        <w:pStyle w:val="77"/>
        <w:numPr>
          <w:ilvl w:val="0"/>
          <w:numId w:val="17"/>
        </w:numPr>
        <w:tabs>
          <w:tab w:val="left" w:pos="993"/>
        </w:tabs>
        <w:spacing w:line="360" w:lineRule="auto"/>
        <w:ind w:left="0" w:firstLine="426" w:firstLineChars="0"/>
        <w:rPr>
          <w:rFonts w:ascii="宋体" w:hAnsi="宋体"/>
          <w:sz w:val="20"/>
          <w:szCs w:val="20"/>
        </w:rPr>
      </w:pPr>
      <w:r>
        <w:rPr>
          <w:rFonts w:ascii="宋体" w:hAnsi="宋体"/>
          <w:sz w:val="20"/>
          <w:szCs w:val="20"/>
        </w:rPr>
        <w:t>我方承诺按照</w:t>
      </w:r>
      <w:r>
        <w:rPr>
          <w:rFonts w:hint="eastAsia" w:ascii="宋体" w:hAnsi="宋体"/>
          <w:sz w:val="20"/>
          <w:szCs w:val="20"/>
        </w:rPr>
        <w:t>招募文件</w:t>
      </w:r>
      <w:r>
        <w:rPr>
          <w:rFonts w:ascii="宋体" w:hAnsi="宋体"/>
          <w:sz w:val="20"/>
          <w:szCs w:val="20"/>
        </w:rPr>
        <w:t>规定递交履约</w:t>
      </w:r>
      <w:r>
        <w:rPr>
          <w:rFonts w:hint="eastAsia" w:ascii="宋体" w:hAnsi="宋体"/>
          <w:sz w:val="20"/>
          <w:szCs w:val="20"/>
        </w:rPr>
        <w:t>保证金、支付招标代理服务费</w:t>
      </w:r>
      <w:r>
        <w:rPr>
          <w:rFonts w:ascii="宋体" w:hAnsi="宋体"/>
          <w:sz w:val="20"/>
          <w:szCs w:val="20"/>
        </w:rPr>
        <w:t>。</w:t>
      </w:r>
    </w:p>
    <w:p>
      <w:pPr>
        <w:pStyle w:val="77"/>
        <w:numPr>
          <w:ilvl w:val="0"/>
          <w:numId w:val="17"/>
        </w:numPr>
        <w:tabs>
          <w:tab w:val="left" w:pos="993"/>
        </w:tabs>
        <w:spacing w:line="360" w:lineRule="auto"/>
        <w:ind w:left="0" w:firstLine="426" w:firstLineChars="0"/>
        <w:rPr>
          <w:rFonts w:ascii="宋体" w:hAnsi="宋体"/>
          <w:sz w:val="20"/>
          <w:szCs w:val="20"/>
        </w:rPr>
      </w:pPr>
      <w:r>
        <w:rPr>
          <w:rFonts w:ascii="宋体" w:hAnsi="宋体"/>
          <w:sz w:val="20"/>
          <w:szCs w:val="20"/>
        </w:rPr>
        <w:t>我方承诺</w:t>
      </w:r>
      <w:r>
        <w:rPr>
          <w:rFonts w:hint="eastAsia" w:ascii="宋体" w:hAnsi="宋体"/>
          <w:sz w:val="20"/>
          <w:szCs w:val="20"/>
        </w:rPr>
        <w:t>按照招募文件的规定及合同约定履行相关责任和义务。</w:t>
      </w:r>
    </w:p>
    <w:p>
      <w:pPr>
        <w:pStyle w:val="77"/>
        <w:numPr>
          <w:ilvl w:val="0"/>
          <w:numId w:val="17"/>
        </w:numPr>
        <w:tabs>
          <w:tab w:val="left" w:pos="993"/>
        </w:tabs>
        <w:spacing w:line="360" w:lineRule="auto"/>
        <w:ind w:left="0" w:firstLine="426" w:firstLineChars="0"/>
        <w:rPr>
          <w:rFonts w:ascii="宋体" w:hAnsi="宋体"/>
          <w:sz w:val="20"/>
          <w:szCs w:val="20"/>
        </w:rPr>
      </w:pPr>
      <w:r>
        <w:rPr>
          <w:rFonts w:hint="eastAsia" w:ascii="宋体" w:hAnsi="宋体"/>
          <w:sz w:val="20"/>
          <w:szCs w:val="20"/>
        </w:rPr>
        <w:t>我方承诺提供的产品或服务符合国家对网络与信息安全的相关要求。如违反国家对对网络与信息安全的相关要求，责任完全由我方承担。</w:t>
      </w:r>
    </w:p>
    <w:p>
      <w:pPr>
        <w:pStyle w:val="77"/>
        <w:numPr>
          <w:ilvl w:val="0"/>
          <w:numId w:val="17"/>
        </w:numPr>
        <w:spacing w:line="360" w:lineRule="auto"/>
        <w:ind w:left="993" w:hanging="573" w:firstLineChars="0"/>
        <w:rPr>
          <w:rFonts w:ascii="宋体" w:hAnsi="宋体"/>
          <w:sz w:val="20"/>
          <w:szCs w:val="20"/>
        </w:rPr>
      </w:pPr>
      <w:r>
        <w:rPr>
          <w:rFonts w:hint="eastAsia" w:ascii="宋体" w:hAnsi="宋体"/>
          <w:sz w:val="20"/>
          <w:szCs w:val="20"/>
        </w:rPr>
        <w:t>我方承诺按照招募文件的规定及合同约定开具增值税专用发票。</w:t>
      </w:r>
    </w:p>
    <w:p>
      <w:pPr>
        <w:pStyle w:val="77"/>
        <w:numPr>
          <w:ilvl w:val="0"/>
          <w:numId w:val="17"/>
        </w:numPr>
        <w:spacing w:line="360" w:lineRule="auto"/>
        <w:ind w:left="993" w:hanging="573" w:firstLineChars="0"/>
        <w:rPr>
          <w:rFonts w:ascii="宋体" w:hAnsi="宋体"/>
          <w:sz w:val="20"/>
          <w:szCs w:val="20"/>
        </w:rPr>
      </w:pPr>
      <w:r>
        <w:rPr>
          <w:rFonts w:hint="eastAsia" w:ascii="宋体" w:hAnsi="宋体"/>
          <w:sz w:val="20"/>
          <w:szCs w:val="20"/>
        </w:rPr>
        <w:t>我方承诺中标后不转包、不分包。</w:t>
      </w:r>
    </w:p>
    <w:p>
      <w:pPr>
        <w:spacing w:line="360" w:lineRule="auto"/>
        <w:ind w:firstLine="400" w:firstLineChars="200"/>
        <w:rPr>
          <w:rFonts w:ascii="宋体" w:hAnsi="宋体"/>
          <w:sz w:val="20"/>
          <w:szCs w:val="20"/>
        </w:rPr>
      </w:pPr>
      <w:r>
        <w:rPr>
          <w:rFonts w:hint="eastAsia" w:ascii="宋体" w:hAnsi="宋体"/>
          <w:sz w:val="20"/>
          <w:szCs w:val="20"/>
        </w:rPr>
        <w:t>我方在此声明，所递交的投标申请文件及有关资料内容完整、真实和准确，且不存在第二章“投标人须知”第</w:t>
      </w:r>
      <w:r>
        <w:rPr>
          <w:rFonts w:ascii="宋体" w:hAnsi="宋体"/>
          <w:sz w:val="20"/>
          <w:szCs w:val="20"/>
        </w:rPr>
        <w:t>1.8款规定的任何一种情形。如有弄虚作假，将承担相应的法律责任，并赔偿由此造成的一切损失。</w:t>
      </w:r>
    </w:p>
    <w:p>
      <w:pPr>
        <w:pStyle w:val="77"/>
        <w:numPr>
          <w:ilvl w:val="3"/>
          <w:numId w:val="16"/>
        </w:numPr>
        <w:tabs>
          <w:tab w:val="left" w:pos="709"/>
        </w:tabs>
        <w:spacing w:line="360" w:lineRule="auto"/>
        <w:ind w:left="0" w:firstLine="404" w:firstLineChars="202"/>
        <w:rPr>
          <w:rFonts w:ascii="宋体" w:hAnsi="宋体"/>
          <w:sz w:val="20"/>
          <w:szCs w:val="20"/>
        </w:rPr>
      </w:pPr>
      <w:r>
        <w:rPr>
          <w:rFonts w:hint="eastAsia" w:ascii="宋体" w:hAnsi="宋体"/>
          <w:sz w:val="20"/>
          <w:szCs w:val="20"/>
        </w:rPr>
        <w:t>其他</w:t>
      </w:r>
      <w:r>
        <w:rPr>
          <w:rFonts w:ascii="宋体" w:hAnsi="宋体"/>
          <w:sz w:val="20"/>
          <w:szCs w:val="20"/>
        </w:rPr>
        <w:t>补充说明</w:t>
      </w:r>
      <w:r>
        <w:rPr>
          <w:rFonts w:hint="eastAsia" w:ascii="宋体" w:hAnsi="宋体"/>
          <w:sz w:val="20"/>
          <w:szCs w:val="20"/>
        </w:rPr>
        <w:t>：</w:t>
      </w:r>
      <w:r>
        <w:rPr>
          <w:rFonts w:ascii="宋体" w:hAnsi="宋体"/>
          <w:sz w:val="20"/>
          <w:szCs w:val="20"/>
          <w:u w:val="single"/>
        </w:rPr>
        <w:t>XX/无/具体的其他说明或要求</w:t>
      </w:r>
    </w:p>
    <w:p>
      <w:pPr>
        <w:pStyle w:val="77"/>
        <w:numPr>
          <w:ilvl w:val="3"/>
          <w:numId w:val="16"/>
        </w:numPr>
        <w:tabs>
          <w:tab w:val="left" w:pos="709"/>
        </w:tabs>
        <w:spacing w:line="360" w:lineRule="auto"/>
        <w:ind w:left="851" w:firstLineChars="0"/>
        <w:rPr>
          <w:rFonts w:ascii="宋体" w:hAnsi="宋体"/>
          <w:sz w:val="20"/>
          <w:szCs w:val="20"/>
        </w:rPr>
      </w:pPr>
      <w:r>
        <w:rPr>
          <w:rFonts w:hint="eastAsia" w:ascii="宋体" w:hAnsi="宋体"/>
          <w:sz w:val="20"/>
          <w:szCs w:val="20"/>
        </w:rPr>
        <w:t>与本次公开招标的有关的一切正式往来通讯请寄：</w:t>
      </w:r>
    </w:p>
    <w:p>
      <w:pPr>
        <w:pStyle w:val="77"/>
        <w:tabs>
          <w:tab w:val="left" w:pos="709"/>
        </w:tabs>
        <w:spacing w:line="360" w:lineRule="auto"/>
        <w:ind w:left="709" w:firstLine="0" w:firstLineChars="0"/>
        <w:rPr>
          <w:rFonts w:ascii="宋体" w:hAnsi="宋体"/>
          <w:sz w:val="20"/>
          <w:szCs w:val="20"/>
        </w:rPr>
      </w:pPr>
      <w:r>
        <w:rPr>
          <w:rFonts w:hint="eastAsia" w:ascii="宋体" w:hAnsi="宋体"/>
          <w:sz w:val="20"/>
          <w:szCs w:val="20"/>
        </w:rPr>
        <w:t>地址：</w:t>
      </w:r>
      <w:r>
        <w:rPr>
          <w:rFonts w:ascii="宋体" w:hAnsi="宋体"/>
          <w:sz w:val="20"/>
          <w:szCs w:val="20"/>
        </w:rPr>
        <w:t xml:space="preserve">_____________________  </w:t>
      </w:r>
      <w:r>
        <w:rPr>
          <w:rFonts w:hint="eastAsia" w:ascii="宋体" w:hAnsi="宋体"/>
          <w:sz w:val="20"/>
          <w:szCs w:val="20"/>
        </w:rPr>
        <w:t>传真：</w:t>
      </w:r>
      <w:r>
        <w:rPr>
          <w:rFonts w:ascii="宋体" w:hAnsi="宋体"/>
          <w:sz w:val="20"/>
          <w:szCs w:val="20"/>
        </w:rPr>
        <w:t>_________________________</w:t>
      </w:r>
    </w:p>
    <w:p>
      <w:pPr>
        <w:pStyle w:val="77"/>
        <w:tabs>
          <w:tab w:val="left" w:pos="709"/>
        </w:tabs>
        <w:spacing w:line="360" w:lineRule="auto"/>
        <w:ind w:left="709" w:firstLine="0" w:firstLineChars="0"/>
        <w:rPr>
          <w:rFonts w:ascii="宋体" w:hAnsi="宋体"/>
          <w:sz w:val="20"/>
          <w:szCs w:val="20"/>
        </w:rPr>
      </w:pPr>
      <w:r>
        <w:rPr>
          <w:rFonts w:hint="eastAsia" w:ascii="宋体" w:hAnsi="宋体"/>
          <w:sz w:val="20"/>
          <w:szCs w:val="20"/>
        </w:rPr>
        <w:t>电话：</w:t>
      </w:r>
      <w:r>
        <w:rPr>
          <w:rFonts w:ascii="宋体" w:hAnsi="宋体"/>
          <w:sz w:val="20"/>
          <w:szCs w:val="20"/>
        </w:rPr>
        <w:t xml:space="preserve">_____________________  </w:t>
      </w:r>
      <w:r>
        <w:rPr>
          <w:rFonts w:hint="eastAsia" w:ascii="宋体" w:hAnsi="宋体"/>
          <w:sz w:val="20"/>
          <w:szCs w:val="20"/>
        </w:rPr>
        <w:t>电子邮箱：</w:t>
      </w:r>
      <w:r>
        <w:rPr>
          <w:rFonts w:ascii="宋体" w:hAnsi="宋体"/>
          <w:sz w:val="20"/>
          <w:szCs w:val="20"/>
        </w:rPr>
        <w:t>_____________________</w:t>
      </w:r>
    </w:p>
    <w:p>
      <w:pPr>
        <w:spacing w:line="360" w:lineRule="auto"/>
        <w:ind w:firstLine="2700" w:firstLineChars="1350"/>
        <w:rPr>
          <w:rFonts w:ascii="宋体" w:hAnsi="宋体"/>
          <w:sz w:val="20"/>
          <w:szCs w:val="20"/>
        </w:rPr>
      </w:pPr>
      <w:r>
        <w:rPr>
          <w:rFonts w:ascii="宋体" w:hAnsi="宋体"/>
          <w:sz w:val="20"/>
          <w:szCs w:val="20"/>
        </w:rPr>
        <w:t>投标人</w:t>
      </w:r>
      <w:r>
        <w:rPr>
          <w:rFonts w:hint="eastAsia" w:ascii="宋体" w:hAnsi="宋体"/>
          <w:sz w:val="20"/>
          <w:szCs w:val="20"/>
        </w:rPr>
        <w:t>名称</w:t>
      </w:r>
      <w:r>
        <w:rPr>
          <w:rFonts w:ascii="宋体" w:hAnsi="宋体"/>
          <w:sz w:val="20"/>
          <w:szCs w:val="20"/>
        </w:rPr>
        <w:t>：</w:t>
      </w:r>
      <w:r>
        <w:rPr>
          <w:rFonts w:ascii="宋体" w:hAnsi="宋体"/>
          <w:sz w:val="20"/>
          <w:szCs w:val="20"/>
          <w:u w:val="single"/>
        </w:rPr>
        <w:t xml:space="preserve">                     </w:t>
      </w:r>
      <w:r>
        <w:rPr>
          <w:rFonts w:ascii="宋体" w:hAnsi="宋体"/>
          <w:sz w:val="20"/>
          <w:szCs w:val="20"/>
        </w:rPr>
        <w:t>（盖单位公章）</w:t>
      </w:r>
    </w:p>
    <w:p>
      <w:pPr>
        <w:spacing w:line="360" w:lineRule="auto"/>
        <w:jc w:val="right"/>
        <w:rPr>
          <w:rFonts w:ascii="宋体" w:hAnsi="宋体"/>
          <w:sz w:val="20"/>
          <w:szCs w:val="20"/>
        </w:rPr>
      </w:pPr>
      <w:r>
        <w:rPr>
          <w:rFonts w:ascii="宋体" w:hAnsi="宋体"/>
          <w:sz w:val="20"/>
          <w:szCs w:val="20"/>
        </w:rPr>
        <w:t>法定代表人</w:t>
      </w:r>
      <w:r>
        <w:rPr>
          <w:rFonts w:hint="eastAsia" w:ascii="宋体" w:hAnsi="宋体"/>
          <w:sz w:val="20"/>
          <w:szCs w:val="20"/>
        </w:rPr>
        <w:t>（负责人）</w:t>
      </w:r>
      <w:r>
        <w:rPr>
          <w:rFonts w:ascii="宋体" w:hAnsi="宋体"/>
          <w:sz w:val="20"/>
          <w:szCs w:val="20"/>
        </w:rPr>
        <w:t>或者其委托代理人：</w:t>
      </w:r>
      <w:r>
        <w:rPr>
          <w:rFonts w:ascii="宋体" w:hAnsi="宋体"/>
          <w:sz w:val="20"/>
          <w:szCs w:val="20"/>
          <w:u w:val="single"/>
        </w:rPr>
        <w:t xml:space="preserve">         </w:t>
      </w:r>
      <w:r>
        <w:rPr>
          <w:rFonts w:ascii="宋体" w:hAnsi="宋体"/>
          <w:sz w:val="20"/>
          <w:szCs w:val="20"/>
        </w:rPr>
        <w:t>（签字</w:t>
      </w:r>
      <w:r>
        <w:rPr>
          <w:rFonts w:hint="eastAsia" w:ascii="宋体" w:hAnsi="宋体"/>
          <w:sz w:val="20"/>
          <w:szCs w:val="20"/>
        </w:rPr>
        <w:t>或盖章</w:t>
      </w:r>
      <w:r>
        <w:rPr>
          <w:rFonts w:ascii="宋体" w:hAnsi="宋体"/>
          <w:sz w:val="20"/>
          <w:szCs w:val="20"/>
        </w:rPr>
        <w:t>）</w:t>
      </w:r>
    </w:p>
    <w:p>
      <w:pPr>
        <w:topLinePunct/>
        <w:spacing w:line="360" w:lineRule="auto"/>
        <w:jc w:val="right"/>
        <w:rPr>
          <w:rFonts w:ascii="宋体" w:hAnsi="宋体"/>
          <w:sz w:val="20"/>
          <w:szCs w:val="22"/>
        </w:rPr>
        <w:sectPr>
          <w:pgSz w:w="11906" w:h="16838"/>
          <w:pgMar w:top="1440" w:right="1800" w:bottom="1440" w:left="1800" w:header="851" w:footer="992" w:gutter="0"/>
          <w:cols w:space="425" w:num="1"/>
          <w:docGrid w:type="lines" w:linePitch="312" w:charSpace="0"/>
        </w:sectPr>
      </w:pPr>
      <w:r>
        <w:rPr>
          <w:rFonts w:hint="eastAsia" w:ascii="宋体" w:hAnsi="宋体"/>
          <w:sz w:val="20"/>
          <w:szCs w:val="22"/>
        </w:rPr>
        <w:t>日期：</w:t>
      </w:r>
      <w:r>
        <w:rPr>
          <w:rFonts w:ascii="宋体" w:hAnsi="宋体"/>
          <w:sz w:val="20"/>
          <w:szCs w:val="22"/>
        </w:rPr>
        <w:t>XX年XX月XX</w:t>
      </w:r>
    </w:p>
    <w:p>
      <w:pPr>
        <w:pStyle w:val="38"/>
        <w:numPr>
          <w:ilvl w:val="0"/>
          <w:numId w:val="15"/>
        </w:numPr>
        <w:tabs>
          <w:tab w:val="left" w:pos="588"/>
        </w:tabs>
        <w:snapToGrid w:val="0"/>
        <w:spacing w:before="120" w:after="120" w:line="440" w:lineRule="exact"/>
        <w:jc w:val="left"/>
        <w:rPr>
          <w:rFonts w:ascii="宋体" w:hAnsi="宋体"/>
          <w:sz w:val="24"/>
          <w:szCs w:val="24"/>
        </w:rPr>
      </w:pPr>
      <w:bookmarkStart w:id="508" w:name="_Toc475472674"/>
      <w:bookmarkStart w:id="509" w:name="_Toc31135"/>
      <w:bookmarkStart w:id="510" w:name="_Toc28376"/>
      <w:bookmarkStart w:id="511" w:name="_Toc29078"/>
      <w:bookmarkStart w:id="512" w:name="_Toc1651899"/>
      <w:bookmarkStart w:id="513" w:name="_Toc56432234"/>
      <w:r>
        <w:rPr>
          <w:rFonts w:ascii="宋体" w:hAnsi="宋体"/>
          <w:sz w:val="24"/>
          <w:szCs w:val="24"/>
        </w:rPr>
        <w:t>法定代表人</w:t>
      </w:r>
      <w:r>
        <w:rPr>
          <w:rFonts w:hint="eastAsia" w:ascii="宋体" w:hAnsi="宋体"/>
          <w:sz w:val="24"/>
          <w:szCs w:val="24"/>
        </w:rPr>
        <w:t>（负责人）</w:t>
      </w:r>
      <w:r>
        <w:rPr>
          <w:rFonts w:ascii="宋体" w:hAnsi="宋体"/>
          <w:sz w:val="24"/>
          <w:szCs w:val="24"/>
        </w:rPr>
        <w:t>身份证明</w:t>
      </w:r>
      <w:bookmarkEnd w:id="508"/>
      <w:bookmarkEnd w:id="509"/>
      <w:bookmarkEnd w:id="510"/>
      <w:bookmarkEnd w:id="511"/>
      <w:bookmarkEnd w:id="512"/>
      <w:bookmarkEnd w:id="513"/>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法定代表人（负责人）身份证明</w:t>
      </w:r>
    </w:p>
    <w:p>
      <w:pPr>
        <w:spacing w:line="440" w:lineRule="exact"/>
        <w:rPr>
          <w:rFonts w:ascii="宋体" w:hAnsi="宋体"/>
          <w:szCs w:val="21"/>
        </w:rPr>
      </w:pPr>
    </w:p>
    <w:p>
      <w:pPr>
        <w:topLinePunct/>
        <w:snapToGrid w:val="0"/>
        <w:spacing w:line="440" w:lineRule="exact"/>
        <w:rPr>
          <w:rFonts w:ascii="宋体" w:hAnsi="宋体"/>
          <w:bCs/>
          <w:szCs w:val="21"/>
          <w:u w:val="single"/>
        </w:rPr>
      </w:pPr>
      <w:r>
        <w:rPr>
          <w:rFonts w:hint="eastAsia" w:ascii="宋体" w:hAnsi="宋体"/>
          <w:bCs/>
          <w:szCs w:val="21"/>
        </w:rPr>
        <w:t>投标人</w:t>
      </w:r>
      <w:r>
        <w:rPr>
          <w:rFonts w:ascii="宋体" w:hAnsi="宋体"/>
          <w:bCs/>
          <w:szCs w:val="21"/>
        </w:rPr>
        <w:t>名称：</w:t>
      </w:r>
      <w:r>
        <w:rPr>
          <w:rFonts w:ascii="宋体" w:hAnsi="宋体"/>
          <w:bCs/>
          <w:szCs w:val="21"/>
          <w:u w:val="single"/>
        </w:rPr>
        <w:t xml:space="preserve">                         </w:t>
      </w:r>
    </w:p>
    <w:p>
      <w:pPr>
        <w:topLinePunct/>
        <w:snapToGrid w:val="0"/>
        <w:spacing w:line="440" w:lineRule="exact"/>
        <w:rPr>
          <w:rFonts w:ascii="宋体" w:hAnsi="宋体"/>
          <w:bCs/>
          <w:szCs w:val="21"/>
        </w:rPr>
      </w:pPr>
      <w:r>
        <w:rPr>
          <w:rFonts w:ascii="宋体" w:hAnsi="宋体"/>
          <w:bCs/>
          <w:szCs w:val="21"/>
        </w:rPr>
        <w:t>单位性质：</w:t>
      </w:r>
      <w:r>
        <w:rPr>
          <w:rFonts w:ascii="宋体" w:hAnsi="宋体"/>
          <w:bCs/>
          <w:szCs w:val="21"/>
          <w:u w:val="single"/>
        </w:rPr>
        <w:t xml:space="preserve">                           </w:t>
      </w:r>
    </w:p>
    <w:p>
      <w:pPr>
        <w:topLinePunct/>
        <w:snapToGrid w:val="0"/>
        <w:spacing w:line="440" w:lineRule="exact"/>
        <w:rPr>
          <w:rFonts w:ascii="宋体" w:hAnsi="宋体"/>
          <w:bCs/>
          <w:szCs w:val="21"/>
        </w:rPr>
      </w:pPr>
      <w:r>
        <w:rPr>
          <w:rFonts w:ascii="宋体" w:hAnsi="宋体"/>
          <w:bCs/>
          <w:szCs w:val="21"/>
        </w:rPr>
        <w:t>成立时间：</w:t>
      </w:r>
      <w:r>
        <w:rPr>
          <w:rFonts w:ascii="宋体" w:hAnsi="宋体"/>
          <w:bCs/>
          <w:szCs w:val="21"/>
          <w:u w:val="single"/>
        </w:rPr>
        <w:t xml:space="preserve">       </w:t>
      </w:r>
      <w:r>
        <w:rPr>
          <w:rFonts w:ascii="宋体" w:hAnsi="宋体"/>
          <w:bCs/>
          <w:szCs w:val="21"/>
        </w:rPr>
        <w:t>年</w:t>
      </w:r>
      <w:r>
        <w:rPr>
          <w:rFonts w:ascii="宋体" w:hAnsi="宋体"/>
          <w:bCs/>
          <w:szCs w:val="21"/>
          <w:u w:val="single"/>
        </w:rPr>
        <w:t xml:space="preserve">       </w:t>
      </w:r>
      <w:r>
        <w:rPr>
          <w:rFonts w:ascii="宋体" w:hAnsi="宋体"/>
          <w:bCs/>
          <w:szCs w:val="21"/>
        </w:rPr>
        <w:t>月</w:t>
      </w:r>
      <w:r>
        <w:rPr>
          <w:rFonts w:ascii="宋体" w:hAnsi="宋体"/>
          <w:bCs/>
          <w:szCs w:val="21"/>
          <w:u w:val="single"/>
        </w:rPr>
        <w:t xml:space="preserve">       </w:t>
      </w:r>
      <w:r>
        <w:rPr>
          <w:rFonts w:ascii="宋体" w:hAnsi="宋体"/>
          <w:bCs/>
          <w:szCs w:val="21"/>
        </w:rPr>
        <w:t>日</w:t>
      </w:r>
    </w:p>
    <w:p>
      <w:pPr>
        <w:topLinePunct/>
        <w:snapToGrid w:val="0"/>
        <w:spacing w:line="440" w:lineRule="exact"/>
        <w:rPr>
          <w:rFonts w:ascii="宋体" w:hAnsi="宋体"/>
          <w:bCs/>
          <w:szCs w:val="21"/>
        </w:rPr>
      </w:pPr>
      <w:r>
        <w:rPr>
          <w:rFonts w:ascii="宋体" w:hAnsi="宋体"/>
          <w:bCs/>
          <w:szCs w:val="21"/>
        </w:rPr>
        <w:t>经营期限：</w:t>
      </w:r>
      <w:r>
        <w:rPr>
          <w:rFonts w:ascii="宋体" w:hAnsi="宋体"/>
          <w:bCs/>
          <w:szCs w:val="21"/>
          <w:u w:val="single"/>
        </w:rPr>
        <w:t xml:space="preserve">            </w:t>
      </w:r>
    </w:p>
    <w:p>
      <w:pPr>
        <w:topLinePunct/>
        <w:snapToGrid w:val="0"/>
        <w:spacing w:line="440" w:lineRule="exact"/>
        <w:rPr>
          <w:rFonts w:ascii="宋体" w:hAnsi="宋体"/>
          <w:bCs/>
          <w:szCs w:val="21"/>
          <w:u w:val="single"/>
        </w:rPr>
      </w:pPr>
      <w:r>
        <w:rPr>
          <w:rFonts w:ascii="宋体" w:hAnsi="宋体"/>
          <w:bCs/>
          <w:szCs w:val="21"/>
        </w:rPr>
        <w:t>姓名：</w:t>
      </w:r>
      <w:r>
        <w:rPr>
          <w:rFonts w:ascii="宋体" w:hAnsi="宋体"/>
          <w:bCs/>
          <w:szCs w:val="21"/>
          <w:u w:val="single"/>
        </w:rPr>
        <w:t xml:space="preserve">         </w:t>
      </w:r>
      <w:r>
        <w:rPr>
          <w:rFonts w:ascii="宋体" w:hAnsi="宋体"/>
          <w:bCs/>
          <w:szCs w:val="21"/>
        </w:rPr>
        <w:t>性别：</w:t>
      </w:r>
      <w:r>
        <w:rPr>
          <w:rFonts w:ascii="宋体" w:hAnsi="宋体"/>
          <w:bCs/>
          <w:szCs w:val="21"/>
          <w:u w:val="single"/>
        </w:rPr>
        <w:t xml:space="preserve">          </w:t>
      </w:r>
      <w:r>
        <w:rPr>
          <w:rFonts w:ascii="宋体" w:hAnsi="宋体"/>
          <w:bCs/>
          <w:szCs w:val="21"/>
        </w:rPr>
        <w:t>年龄：</w:t>
      </w:r>
      <w:r>
        <w:rPr>
          <w:rFonts w:ascii="宋体" w:hAnsi="宋体"/>
          <w:bCs/>
          <w:szCs w:val="21"/>
          <w:u w:val="single"/>
        </w:rPr>
        <w:t xml:space="preserve">         </w:t>
      </w:r>
      <w:r>
        <w:rPr>
          <w:rFonts w:ascii="宋体" w:hAnsi="宋体"/>
          <w:bCs/>
          <w:szCs w:val="21"/>
        </w:rPr>
        <w:t>职务：</w:t>
      </w:r>
      <w:r>
        <w:rPr>
          <w:rFonts w:ascii="宋体" w:hAnsi="宋体"/>
          <w:bCs/>
          <w:szCs w:val="21"/>
          <w:u w:val="single"/>
        </w:rPr>
        <w:t xml:space="preserve">         </w:t>
      </w:r>
    </w:p>
    <w:p>
      <w:pPr>
        <w:topLinePunct/>
        <w:snapToGrid w:val="0"/>
        <w:spacing w:line="440" w:lineRule="exact"/>
        <w:rPr>
          <w:rFonts w:ascii="宋体" w:hAnsi="宋体"/>
          <w:bCs/>
          <w:szCs w:val="21"/>
        </w:rPr>
      </w:pPr>
      <w:r>
        <w:rPr>
          <w:rFonts w:ascii="宋体" w:hAnsi="宋体"/>
          <w:bCs/>
          <w:szCs w:val="21"/>
        </w:rPr>
        <w:t>系</w:t>
      </w:r>
      <w:r>
        <w:rPr>
          <w:rFonts w:ascii="宋体" w:hAnsi="宋体"/>
          <w:u w:val="single"/>
        </w:rPr>
        <w:t>XX公司</w:t>
      </w:r>
      <w:r>
        <w:rPr>
          <w:rFonts w:ascii="宋体" w:hAnsi="宋体"/>
          <w:szCs w:val="21"/>
          <w:u w:val="single"/>
        </w:rPr>
        <w:t>[投标人单位名称]</w:t>
      </w:r>
      <w:r>
        <w:rPr>
          <w:rFonts w:ascii="宋体" w:hAnsi="宋体"/>
          <w:bCs/>
          <w:szCs w:val="21"/>
        </w:rPr>
        <w:t>的法定代表人。</w:t>
      </w:r>
    </w:p>
    <w:p>
      <w:pPr>
        <w:topLinePunct/>
        <w:snapToGrid w:val="0"/>
        <w:spacing w:line="440" w:lineRule="exact"/>
        <w:ind w:firstLine="420" w:firstLineChars="200"/>
        <w:rPr>
          <w:rFonts w:ascii="宋体" w:hAnsi="宋体"/>
          <w:bCs/>
          <w:szCs w:val="21"/>
        </w:rPr>
      </w:pPr>
      <w:r>
        <w:rPr>
          <w:rFonts w:ascii="宋体" w:hAnsi="宋体"/>
          <w:bCs/>
          <w:szCs w:val="21"/>
        </w:rPr>
        <w:t>特此证明。</w:t>
      </w:r>
    </w:p>
    <w:p>
      <w:pPr>
        <w:topLinePunct/>
        <w:snapToGrid w:val="0"/>
        <w:spacing w:line="440" w:lineRule="exact"/>
        <w:ind w:firstLine="420" w:firstLineChars="200"/>
        <w:rPr>
          <w:rFonts w:ascii="宋体" w:hAnsi="宋体"/>
          <w:bCs/>
          <w:szCs w:val="21"/>
        </w:rPr>
      </w:pPr>
    </w:p>
    <w:p>
      <w:pPr>
        <w:topLinePunct/>
        <w:snapToGrid w:val="0"/>
        <w:spacing w:line="440" w:lineRule="exact"/>
        <w:rPr>
          <w:rFonts w:ascii="宋体" w:hAnsi="宋体"/>
        </w:rPr>
      </w:pPr>
      <w:r>
        <w:rPr>
          <w:rFonts w:ascii="宋体" w:hAnsi="宋体"/>
        </w:rPr>
        <w:t>附：法定代表人身份证复印件</w:t>
      </w:r>
      <w:r>
        <w:rPr>
          <w:rFonts w:ascii="宋体" w:hAnsi="宋体"/>
          <w:bCs/>
          <w:szCs w:val="21"/>
        </w:rPr>
        <w:t>(需同时提供正面及背面)</w:t>
      </w:r>
    </w:p>
    <w:p>
      <w:pPr>
        <w:spacing w:line="500" w:lineRule="exact"/>
        <w:rPr>
          <w:rFonts w:ascii="宋体" w:hAnsi="宋体"/>
          <w:szCs w:val="21"/>
        </w:rPr>
      </w:pPr>
      <w:r>
        <mc:AlternateContent>
          <mc:Choice Requires="wps">
            <w:drawing>
              <wp:anchor distT="0" distB="0" distL="114300" distR="114300" simplePos="0" relativeHeight="251659264" behindDoc="0" locked="0" layoutInCell="1" allowOverlap="1">
                <wp:simplePos x="0" y="0"/>
                <wp:positionH relativeFrom="column">
                  <wp:posOffset>-278130</wp:posOffset>
                </wp:positionH>
                <wp:positionV relativeFrom="paragraph">
                  <wp:posOffset>238760</wp:posOffset>
                </wp:positionV>
                <wp:extent cx="2923540" cy="2127250"/>
                <wp:effectExtent l="4445" t="5080" r="13335" b="16510"/>
                <wp:wrapNone/>
                <wp:docPr id="2" name="流程图: 可选过程 9"/>
                <wp:cNvGraphicFramePr/>
                <a:graphic xmlns:a="http://schemas.openxmlformats.org/drawingml/2006/main">
                  <a:graphicData uri="http://schemas.microsoft.com/office/word/2010/wordprocessingShape">
                    <wps:wsp>
                      <wps:cNvSpPr/>
                      <wps:spPr>
                        <a:xfrm>
                          <a:off x="0" y="0"/>
                          <a:ext cx="2923540" cy="212725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21.9pt;margin-top:18.8pt;height:167.5pt;width:230.2pt;z-index:251659264;mso-width-relative:page;mso-height-relative:page;" fillcolor="#FFFFFF" filled="t" stroked="t" coordsize="21600,21600" o:gfxdata="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jeyRO2QAAAAoBAAAPAAAAAAAAAAEAIAAAACIAAABkcnMvZG93bnJldi54bWxQ&#10;SwECFAAUAAAACACHTuJAQhUCWi8CAABeBAAADgAAAAAAAAABACAAAAAoAQAAZHJzL2Uyb0RvYy54&#10;bWxQSwUGAAAAAAYABgBZAQAAyQUAAAAA&#10;">
                <v:fill on="t" focussize="0,0"/>
                <v:stroke color="#000000" joinstyle="miter"/>
                <v:imagedata o:title=""/>
                <o:lock v:ext="edit" aspectratio="f"/>
                <v:textbox>
                  <w:txbxContent>
                    <w:p>
                      <w:pPr>
                        <w:jc w:val="center"/>
                        <w:rPr>
                          <w:szCs w:val="21"/>
                        </w:rPr>
                      </w:pPr>
                      <w:r>
                        <w:rPr>
                          <w:rFonts w:hint="eastAsia"/>
                          <w:szCs w:val="21"/>
                        </w:rPr>
                        <w:t>法定代表人身份证正面复印件贴于此处</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252095</wp:posOffset>
                </wp:positionV>
                <wp:extent cx="2606040" cy="2100580"/>
                <wp:effectExtent l="4445" t="4445" r="10795" b="13335"/>
                <wp:wrapNone/>
                <wp:docPr id="3" name="流程图: 可选过程 10"/>
                <wp:cNvGraphicFramePr/>
                <a:graphic xmlns:a="http://schemas.openxmlformats.org/drawingml/2006/main">
                  <a:graphicData uri="http://schemas.microsoft.com/office/word/2010/wordprocessingShape">
                    <wps:wsp>
                      <wps:cNvSpPr/>
                      <wps:spPr>
                        <a:xfrm>
                          <a:off x="0" y="0"/>
                          <a:ext cx="2606040" cy="21005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9.85pt;height:165.4pt;width:205.2pt;z-index:251660288;mso-width-relative:page;mso-height-relative:page;" fillcolor="#FFFFFF" filled="t" stroked="t" coordsize="21600,21600" o:gfxdata="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ND9qzYAAAACgEAAA8AAAAAAAAAAQAgAAAAIgAAAGRycy9kb3ducmV2LnhtbFBL&#10;AQIUABQAAAAIAIdO4kDPu2HmLwIAAF8EAAAOAAAAAAAAAAEAIAAAACcBAABkcnMvZTJvRG9jLnht&#10;bFBLBQYAAAAABgAGAFkBAADIBQAAAAA=&#10;">
                <v:fill on="t" focussize="0,0"/>
                <v:stroke color="#000000" joinstyle="miter"/>
                <v:imagedata o:title=""/>
                <o:lock v:ext="edit" aspectratio="f"/>
                <v:textbox>
                  <w:txbxContent>
                    <w:p>
                      <w:pPr>
                        <w:jc w:val="center"/>
                        <w:rPr>
                          <w:szCs w:val="21"/>
                        </w:rPr>
                      </w:pPr>
                      <w:r>
                        <w:rPr>
                          <w:rFonts w:hint="eastAsia"/>
                          <w:szCs w:val="21"/>
                        </w:rPr>
                        <w:t>法定代表人身份证背面复印件贴于此处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r>
        <w:rPr>
          <w:rFonts w:ascii="宋体" w:hAnsi="宋体"/>
          <w:szCs w:val="21"/>
        </w:rPr>
        <w:t xml:space="preserve">                          </w:t>
      </w: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r>
        <w:rPr>
          <w:rFonts w:ascii="宋体" w:hAnsi="宋体"/>
          <w:szCs w:val="21"/>
        </w:rPr>
        <w:t xml:space="preserve">                          </w:t>
      </w:r>
    </w:p>
    <w:p>
      <w:pPr>
        <w:spacing w:line="440" w:lineRule="exact"/>
        <w:jc w:val="right"/>
        <w:rPr>
          <w:rFonts w:ascii="宋体" w:hAnsi="宋体"/>
          <w:szCs w:val="21"/>
        </w:rPr>
      </w:pPr>
      <w:r>
        <w:rPr>
          <w:rFonts w:ascii="宋体" w:hAnsi="宋体"/>
          <w:szCs w:val="21"/>
        </w:rPr>
        <w:t>投标人</w:t>
      </w:r>
      <w:r>
        <w:rPr>
          <w:rFonts w:hint="eastAsia" w:ascii="宋体" w:hAnsi="宋体"/>
          <w:szCs w:val="21"/>
        </w:rPr>
        <w:t>名称</w:t>
      </w:r>
      <w:r>
        <w:rPr>
          <w:rFonts w:ascii="宋体" w:hAnsi="宋体"/>
          <w:szCs w:val="21"/>
        </w:rPr>
        <w:t>：</w:t>
      </w:r>
      <w:r>
        <w:rPr>
          <w:rFonts w:ascii="宋体" w:hAnsi="宋体"/>
          <w:szCs w:val="21"/>
          <w:u w:val="single"/>
        </w:rPr>
        <w:t xml:space="preserve">               </w:t>
      </w:r>
      <w:r>
        <w:rPr>
          <w:rFonts w:ascii="宋体" w:hAnsi="宋体"/>
          <w:szCs w:val="21"/>
        </w:rPr>
        <w:t>（盖单位公章）</w:t>
      </w:r>
    </w:p>
    <w:p>
      <w:pPr>
        <w:spacing w:line="440" w:lineRule="exact"/>
        <w:ind w:firstLine="4305" w:firstLineChars="2050"/>
        <w:rPr>
          <w:rFonts w:ascii="宋体" w:hAnsi="宋体"/>
          <w:szCs w:val="21"/>
        </w:rPr>
      </w:pPr>
    </w:p>
    <w:p>
      <w:pPr>
        <w:spacing w:line="440" w:lineRule="exact"/>
        <w:jc w:val="right"/>
        <w:rPr>
          <w:rFonts w:ascii="宋体" w:hAnsi="宋体"/>
          <w:szCs w:val="21"/>
        </w:rPr>
      </w:pPr>
      <w:r>
        <w:rPr>
          <w:rFonts w:ascii="宋体" w:hAnsi="宋体"/>
          <w:szCs w:val="21"/>
        </w:rPr>
        <w:t xml:space="preserve">                                         </w:t>
      </w:r>
      <w:r>
        <w:rPr>
          <w:rFonts w:hint="eastAsia" w:ascii="宋体" w:hAnsi="宋体"/>
        </w:rPr>
        <w:t>日期：</w:t>
      </w:r>
      <w:r>
        <w:rPr>
          <w:rFonts w:ascii="宋体" w:hAnsi="宋体"/>
        </w:rPr>
        <w:t>XX年XX月XX日</w:t>
      </w:r>
    </w:p>
    <w:p>
      <w:pPr>
        <w:topLinePunct/>
        <w:spacing w:line="440" w:lineRule="exact"/>
        <w:ind w:left="422"/>
        <w:jc w:val="left"/>
        <w:rPr>
          <w:rFonts w:ascii="宋体" w:hAnsi="宋体"/>
        </w:rPr>
      </w:pPr>
    </w:p>
    <w:p>
      <w:pPr>
        <w:pStyle w:val="38"/>
        <w:numPr>
          <w:ilvl w:val="0"/>
          <w:numId w:val="15"/>
        </w:numPr>
        <w:tabs>
          <w:tab w:val="left" w:pos="588"/>
        </w:tabs>
        <w:snapToGrid w:val="0"/>
        <w:spacing w:before="120" w:after="120" w:line="440" w:lineRule="exact"/>
        <w:jc w:val="left"/>
        <w:rPr>
          <w:rFonts w:ascii="宋体" w:hAnsi="宋体"/>
          <w:sz w:val="24"/>
          <w:szCs w:val="24"/>
        </w:rPr>
      </w:pPr>
      <w:r>
        <w:rPr>
          <w:rFonts w:ascii="宋体" w:hAnsi="宋体"/>
          <w:szCs w:val="21"/>
        </w:rPr>
        <w:br w:type="page"/>
      </w:r>
      <w:bookmarkStart w:id="514" w:name="_Toc475472675"/>
      <w:bookmarkStart w:id="515" w:name="_Toc29233"/>
      <w:bookmarkStart w:id="516" w:name="_Toc1651900"/>
      <w:bookmarkStart w:id="517" w:name="_Toc438052122"/>
      <w:bookmarkStart w:id="518" w:name="_Toc5243"/>
      <w:bookmarkStart w:id="519" w:name="_Toc56432235"/>
      <w:bookmarkStart w:id="520" w:name="_Toc29191"/>
      <w:r>
        <w:rPr>
          <w:rFonts w:ascii="宋体" w:hAnsi="宋体"/>
          <w:sz w:val="24"/>
          <w:szCs w:val="24"/>
        </w:rPr>
        <w:t>法定代表人</w:t>
      </w:r>
      <w:r>
        <w:rPr>
          <w:rFonts w:hint="eastAsia" w:ascii="宋体" w:hAnsi="宋体"/>
          <w:sz w:val="24"/>
          <w:szCs w:val="24"/>
        </w:rPr>
        <w:t>（负责人）</w:t>
      </w:r>
      <w:r>
        <w:rPr>
          <w:rFonts w:ascii="宋体" w:hAnsi="宋体"/>
          <w:sz w:val="24"/>
          <w:szCs w:val="24"/>
        </w:rPr>
        <w:t>授权委托书</w:t>
      </w:r>
      <w:bookmarkEnd w:id="514"/>
      <w:bookmarkEnd w:id="515"/>
      <w:bookmarkEnd w:id="516"/>
      <w:bookmarkEnd w:id="517"/>
      <w:bookmarkEnd w:id="518"/>
      <w:bookmarkEnd w:id="519"/>
      <w:bookmarkEnd w:id="520"/>
    </w:p>
    <w:p>
      <w:pPr>
        <w:jc w:val="center"/>
        <w:rPr>
          <w:rFonts w:ascii="宋体" w:hAnsi="宋体" w:cs="宋体"/>
          <w:b/>
          <w:sz w:val="24"/>
        </w:rPr>
      </w:pPr>
      <w:r>
        <w:rPr>
          <w:rFonts w:hint="eastAsia" w:ascii="宋体" w:hAnsi="宋体" w:cs="宋体"/>
          <w:b/>
          <w:sz w:val="24"/>
        </w:rPr>
        <w:t>法定代表人（负责人）授权委托书</w:t>
      </w:r>
    </w:p>
    <w:p>
      <w:pPr>
        <w:jc w:val="center"/>
        <w:rPr>
          <w:rFonts w:ascii="宋体" w:hAnsi="宋体" w:cs="宋体"/>
          <w:b/>
          <w:sz w:val="24"/>
        </w:rPr>
      </w:pPr>
    </w:p>
    <w:p>
      <w:pPr>
        <w:topLinePunct/>
        <w:snapToGrid w:val="0"/>
        <w:spacing w:line="440" w:lineRule="exact"/>
        <w:ind w:firstLine="420" w:firstLineChars="200"/>
        <w:rPr>
          <w:rFonts w:ascii="宋体" w:hAnsi="宋体"/>
          <w:bCs/>
          <w:szCs w:val="21"/>
        </w:rPr>
      </w:pPr>
      <w:r>
        <w:rPr>
          <w:rFonts w:ascii="宋体" w:hAnsi="宋体"/>
          <w:bCs/>
          <w:szCs w:val="21"/>
        </w:rPr>
        <w:t>本人</w:t>
      </w:r>
      <w:r>
        <w:rPr>
          <w:rFonts w:ascii="宋体" w:hAnsi="宋体"/>
          <w:u w:val="single"/>
        </w:rPr>
        <w:t>XX</w:t>
      </w:r>
      <w:r>
        <w:rPr>
          <w:rFonts w:ascii="宋体" w:hAnsi="宋体"/>
          <w:szCs w:val="21"/>
          <w:u w:val="single"/>
        </w:rPr>
        <w:t xml:space="preserve"> [投标人法定代表人（负责人）姓名]</w:t>
      </w:r>
      <w:r>
        <w:rPr>
          <w:rFonts w:ascii="宋体" w:hAnsi="宋体"/>
          <w:bCs/>
          <w:szCs w:val="21"/>
        </w:rPr>
        <w:t xml:space="preserve">系 </w:t>
      </w:r>
      <w:r>
        <w:rPr>
          <w:rFonts w:ascii="宋体" w:hAnsi="宋体"/>
          <w:u w:val="single"/>
        </w:rPr>
        <w:t>XX公司</w:t>
      </w:r>
      <w:r>
        <w:rPr>
          <w:rFonts w:ascii="宋体" w:hAnsi="宋体"/>
          <w:szCs w:val="21"/>
          <w:u w:val="single"/>
        </w:rPr>
        <w:t>[投标人名称]</w:t>
      </w:r>
      <w:r>
        <w:rPr>
          <w:rFonts w:ascii="宋体" w:hAnsi="宋体"/>
          <w:bCs/>
          <w:szCs w:val="21"/>
        </w:rPr>
        <w:t>的法定代表人，现委托</w:t>
      </w:r>
      <w:r>
        <w:rPr>
          <w:rFonts w:ascii="宋体" w:hAnsi="宋体"/>
          <w:u w:val="single"/>
        </w:rPr>
        <w:t>XX</w:t>
      </w:r>
      <w:r>
        <w:rPr>
          <w:rFonts w:ascii="宋体" w:hAnsi="宋体"/>
          <w:szCs w:val="21"/>
          <w:u w:val="single"/>
        </w:rPr>
        <w:t xml:space="preserve"> [委托代理人姓名]</w:t>
      </w:r>
      <w:r>
        <w:rPr>
          <w:rFonts w:ascii="宋体" w:hAnsi="宋体"/>
          <w:bCs/>
          <w:szCs w:val="21"/>
        </w:rPr>
        <w:t>为我方代理人。代理人根据授权，以我方名义</w:t>
      </w:r>
      <w:r>
        <w:rPr>
          <w:rFonts w:hint="eastAsia" w:ascii="宋体" w:hAnsi="宋体"/>
          <w:bCs/>
          <w:szCs w:val="21"/>
        </w:rPr>
        <w:t>全权处理</w:t>
      </w:r>
      <w:r>
        <w:rPr>
          <w:rFonts w:ascii="宋体" w:hAnsi="宋体"/>
          <w:u w:val="single"/>
        </w:rPr>
        <w:t>XX</w:t>
      </w:r>
      <w:r>
        <w:rPr>
          <w:rFonts w:hint="eastAsia" w:ascii="宋体" w:hAnsi="宋体"/>
          <w:szCs w:val="21"/>
          <w:u w:val="single"/>
        </w:rPr>
        <w:t>项目</w:t>
      </w:r>
      <w:r>
        <w:rPr>
          <w:rFonts w:ascii="宋体" w:hAnsi="宋体"/>
          <w:szCs w:val="21"/>
          <w:u w:val="single"/>
        </w:rPr>
        <w:t>[</w:t>
      </w:r>
      <w:r>
        <w:rPr>
          <w:rFonts w:ascii="宋体" w:hAnsi="宋体"/>
          <w:bCs/>
          <w:szCs w:val="21"/>
          <w:u w:val="single"/>
        </w:rPr>
        <w:t>招标项目名称</w:t>
      </w:r>
      <w:r>
        <w:rPr>
          <w:rFonts w:ascii="宋体" w:hAnsi="宋体"/>
          <w:szCs w:val="21"/>
          <w:u w:val="single"/>
        </w:rPr>
        <w:t>]</w:t>
      </w:r>
      <w:r>
        <w:rPr>
          <w:rFonts w:ascii="宋体" w:hAnsi="宋体"/>
          <w:bCs/>
          <w:szCs w:val="21"/>
          <w:u w:val="single"/>
        </w:rPr>
        <w:t>签署、澄清</w:t>
      </w:r>
      <w:r>
        <w:rPr>
          <w:rFonts w:hint="eastAsia" w:ascii="宋体" w:hAnsi="宋体"/>
          <w:bCs/>
          <w:szCs w:val="21"/>
          <w:u w:val="single"/>
        </w:rPr>
        <w:t>、说明、补正</w:t>
      </w:r>
      <w:r>
        <w:rPr>
          <w:rFonts w:ascii="宋体" w:hAnsi="宋体"/>
          <w:bCs/>
          <w:szCs w:val="21"/>
          <w:u w:val="single"/>
        </w:rPr>
        <w:t>、递交、撤回、修改</w:t>
      </w:r>
      <w:r>
        <w:rPr>
          <w:rFonts w:hint="eastAsia" w:ascii="宋体" w:hAnsi="宋体"/>
          <w:bCs/>
          <w:szCs w:val="21"/>
          <w:u w:val="single"/>
        </w:rPr>
        <w:t>投标申请文件，</w:t>
      </w:r>
      <w:r>
        <w:rPr>
          <w:rFonts w:ascii="宋体" w:hAnsi="宋体"/>
          <w:bCs/>
          <w:szCs w:val="21"/>
          <w:u w:val="single"/>
        </w:rPr>
        <w:t>签订合同和处理</w:t>
      </w:r>
      <w:r>
        <w:rPr>
          <w:rFonts w:hint="eastAsia" w:ascii="宋体" w:hAnsi="宋体"/>
          <w:bCs/>
          <w:szCs w:val="21"/>
          <w:u w:val="single"/>
        </w:rPr>
        <w:t>一切</w:t>
      </w:r>
      <w:r>
        <w:rPr>
          <w:rFonts w:ascii="宋体" w:hAnsi="宋体"/>
          <w:bCs/>
          <w:szCs w:val="21"/>
          <w:u w:val="single"/>
        </w:rPr>
        <w:t>有关事宜</w:t>
      </w:r>
      <w:r>
        <w:rPr>
          <w:rFonts w:ascii="宋体" w:hAnsi="宋体"/>
          <w:bCs/>
          <w:szCs w:val="21"/>
        </w:rPr>
        <w:t xml:space="preserve">，其法律后果由我方承担。 </w:t>
      </w:r>
    </w:p>
    <w:p>
      <w:pPr>
        <w:topLinePunct/>
        <w:snapToGrid w:val="0"/>
        <w:spacing w:line="440" w:lineRule="exact"/>
        <w:ind w:firstLine="420" w:firstLineChars="200"/>
        <w:rPr>
          <w:rFonts w:ascii="宋体" w:hAnsi="宋体"/>
          <w:bCs/>
          <w:szCs w:val="21"/>
        </w:rPr>
      </w:pPr>
      <w:r>
        <w:rPr>
          <w:rFonts w:hint="eastAsia" w:ascii="宋体" w:hAnsi="宋体"/>
          <w:bCs/>
          <w:szCs w:val="21"/>
        </w:rPr>
        <w:t>委托</w:t>
      </w:r>
      <w:r>
        <w:rPr>
          <w:rFonts w:ascii="宋体" w:hAnsi="宋体"/>
          <w:bCs/>
          <w:szCs w:val="21"/>
        </w:rPr>
        <w:t>代理人无转委托权。</w:t>
      </w:r>
    </w:p>
    <w:p>
      <w:pPr>
        <w:spacing w:line="440" w:lineRule="exact"/>
        <w:ind w:firstLine="420" w:firstLineChars="200"/>
        <w:rPr>
          <w:rFonts w:ascii="宋体" w:hAnsi="宋体"/>
          <w:szCs w:val="21"/>
        </w:rPr>
      </w:pPr>
      <w:r>
        <w:rPr>
          <w:rFonts w:hint="eastAsia" w:ascii="宋体" w:hAnsi="宋体"/>
          <w:bCs/>
          <w:szCs w:val="21"/>
        </w:rPr>
        <w:t>附：委托代理人身份证复印件</w:t>
      </w:r>
      <w:r>
        <w:rPr>
          <w:rFonts w:ascii="宋体" w:hAnsi="宋体"/>
          <w:bCs/>
          <w:szCs w:val="21"/>
        </w:rPr>
        <w:t>(需同时提供正面及背面)</w:t>
      </w:r>
    </w:p>
    <w:p>
      <w:pPr>
        <w:topLinePunct/>
        <w:snapToGrid w:val="0"/>
        <w:spacing w:line="440" w:lineRule="exact"/>
        <w:ind w:firstLine="420" w:firstLineChars="200"/>
        <w:jc w:val="right"/>
        <w:rPr>
          <w:rFonts w:ascii="宋体" w:hAnsi="宋体"/>
          <w:bCs/>
          <w:szCs w:val="21"/>
        </w:rPr>
      </w:pPr>
      <w:r>
        <w:rPr>
          <w:rFonts w:ascii="宋体" w:hAnsi="宋体"/>
          <w:bCs/>
          <w:szCs w:val="21"/>
        </w:rPr>
        <w:t xml:space="preserve"> </w:t>
      </w:r>
    </w:p>
    <w:p>
      <w:pPr>
        <w:topLinePunct/>
        <w:snapToGrid w:val="0"/>
        <w:spacing w:line="440" w:lineRule="exact"/>
        <w:ind w:firstLine="420" w:firstLineChars="200"/>
        <w:jc w:val="right"/>
        <w:rPr>
          <w:rFonts w:ascii="宋体" w:hAnsi="宋体"/>
          <w:bCs/>
          <w:szCs w:val="21"/>
        </w:rPr>
      </w:pPr>
      <w:r>
        <w:rPr>
          <w:rFonts w:ascii="宋体" w:hAnsi="宋体"/>
          <w:bCs/>
          <w:szCs w:val="21"/>
        </w:rPr>
        <w:t>投标人</w:t>
      </w:r>
      <w:r>
        <w:rPr>
          <w:rFonts w:hint="eastAsia" w:ascii="宋体" w:hAnsi="宋体"/>
          <w:bCs/>
          <w:szCs w:val="21"/>
        </w:rPr>
        <w:t>名称</w:t>
      </w:r>
      <w:r>
        <w:rPr>
          <w:rFonts w:ascii="宋体" w:hAnsi="宋体"/>
          <w:bCs/>
          <w:szCs w:val="21"/>
        </w:rPr>
        <w:t>：</w:t>
      </w:r>
      <w:r>
        <w:rPr>
          <w:rFonts w:ascii="宋体" w:hAnsi="宋体"/>
          <w:bCs/>
          <w:szCs w:val="21"/>
          <w:u w:val="single"/>
        </w:rPr>
        <w:t xml:space="preserve">                               </w:t>
      </w:r>
      <w:r>
        <w:rPr>
          <w:rFonts w:ascii="宋体" w:hAnsi="宋体"/>
          <w:bCs/>
          <w:szCs w:val="21"/>
        </w:rPr>
        <w:t>（盖单位公章）</w:t>
      </w:r>
    </w:p>
    <w:p>
      <w:pPr>
        <w:topLinePunct/>
        <w:snapToGrid w:val="0"/>
        <w:spacing w:line="440" w:lineRule="exact"/>
        <w:ind w:firstLine="2310" w:firstLineChars="1100"/>
        <w:rPr>
          <w:rFonts w:ascii="宋体" w:hAnsi="宋体"/>
          <w:bCs/>
          <w:szCs w:val="21"/>
        </w:rPr>
      </w:pPr>
      <w:r>
        <w:rPr>
          <w:rFonts w:ascii="宋体" w:hAnsi="宋体"/>
          <w:bCs/>
          <w:szCs w:val="21"/>
        </w:rPr>
        <w:t>法定代表人</w:t>
      </w:r>
      <w:r>
        <w:rPr>
          <w:rFonts w:hint="eastAsia" w:ascii="宋体" w:hAnsi="宋体"/>
          <w:bCs/>
          <w:szCs w:val="21"/>
        </w:rPr>
        <w:t>（负责人）</w:t>
      </w:r>
      <w:r>
        <w:rPr>
          <w:rFonts w:ascii="宋体" w:hAnsi="宋体"/>
          <w:bCs/>
          <w:szCs w:val="21"/>
        </w:rPr>
        <w:t>：</w:t>
      </w:r>
      <w:r>
        <w:rPr>
          <w:rFonts w:ascii="宋体" w:hAnsi="宋体"/>
          <w:bCs/>
          <w:szCs w:val="21"/>
          <w:u w:val="single"/>
        </w:rPr>
        <w:t xml:space="preserve">                    </w:t>
      </w:r>
      <w:r>
        <w:rPr>
          <w:rFonts w:ascii="宋体" w:hAnsi="宋体"/>
          <w:bCs/>
          <w:szCs w:val="21"/>
        </w:rPr>
        <w:t>（签字</w:t>
      </w:r>
      <w:r>
        <w:rPr>
          <w:rFonts w:hint="eastAsia" w:ascii="宋体" w:hAnsi="宋体"/>
          <w:bCs/>
          <w:szCs w:val="21"/>
        </w:rPr>
        <w:t>或盖章</w:t>
      </w:r>
      <w:r>
        <w:rPr>
          <w:rFonts w:ascii="宋体" w:hAnsi="宋体"/>
          <w:bCs/>
          <w:szCs w:val="21"/>
        </w:rPr>
        <w:t>）</w:t>
      </w:r>
    </w:p>
    <w:p>
      <w:pPr>
        <w:topLinePunct/>
        <w:snapToGrid w:val="0"/>
        <w:spacing w:line="440" w:lineRule="exact"/>
        <w:ind w:firstLine="2310" w:firstLineChars="1100"/>
        <w:rPr>
          <w:rFonts w:ascii="宋体" w:hAnsi="宋体"/>
          <w:bCs/>
          <w:szCs w:val="21"/>
        </w:rPr>
      </w:pPr>
      <w:r>
        <w:rPr>
          <w:rFonts w:ascii="宋体" w:hAnsi="宋体"/>
          <w:bCs/>
          <w:szCs w:val="21"/>
        </w:rPr>
        <w:t>身份证号码：</w:t>
      </w:r>
      <w:r>
        <w:rPr>
          <w:rFonts w:ascii="宋体" w:hAnsi="宋体"/>
          <w:bCs/>
          <w:szCs w:val="21"/>
          <w:u w:val="single"/>
        </w:rPr>
        <w:t xml:space="preserve">                                </w:t>
      </w:r>
      <w:r>
        <w:rPr>
          <w:rFonts w:ascii="宋体" w:hAnsi="宋体"/>
          <w:bCs/>
          <w:szCs w:val="21"/>
        </w:rPr>
        <w:t xml:space="preserve">     </w:t>
      </w:r>
    </w:p>
    <w:p>
      <w:pPr>
        <w:topLinePunct/>
        <w:snapToGrid w:val="0"/>
        <w:spacing w:line="440" w:lineRule="exact"/>
        <w:ind w:firstLine="2310" w:firstLineChars="1100"/>
        <w:rPr>
          <w:rFonts w:ascii="宋体" w:hAnsi="宋体"/>
          <w:bCs/>
          <w:szCs w:val="21"/>
        </w:rPr>
      </w:pPr>
      <w:r>
        <w:rPr>
          <w:rFonts w:ascii="宋体" w:hAnsi="宋体"/>
          <w:bCs/>
          <w:szCs w:val="21"/>
        </w:rPr>
        <w:t>委托代理人：</w:t>
      </w:r>
      <w:r>
        <w:rPr>
          <w:rFonts w:ascii="宋体" w:hAnsi="宋体"/>
          <w:bCs/>
          <w:szCs w:val="21"/>
          <w:u w:val="single"/>
        </w:rPr>
        <w:t xml:space="preserve">                              </w:t>
      </w:r>
      <w:r>
        <w:rPr>
          <w:rFonts w:ascii="宋体" w:hAnsi="宋体"/>
          <w:bCs/>
          <w:szCs w:val="21"/>
        </w:rPr>
        <w:t>（签字</w:t>
      </w:r>
      <w:r>
        <w:rPr>
          <w:rFonts w:hint="eastAsia" w:ascii="宋体" w:hAnsi="宋体"/>
          <w:bCs/>
          <w:szCs w:val="21"/>
        </w:rPr>
        <w:t>或盖章</w:t>
      </w:r>
      <w:r>
        <w:rPr>
          <w:rFonts w:ascii="宋体" w:hAnsi="宋体"/>
          <w:bCs/>
          <w:szCs w:val="21"/>
        </w:rPr>
        <w:t xml:space="preserve">） </w:t>
      </w:r>
    </w:p>
    <w:p>
      <w:pPr>
        <w:topLinePunct/>
        <w:snapToGrid w:val="0"/>
        <w:spacing w:line="440" w:lineRule="exact"/>
        <w:ind w:firstLine="2310" w:firstLineChars="1100"/>
        <w:rPr>
          <w:rFonts w:ascii="宋体" w:hAnsi="宋体"/>
          <w:bCs/>
          <w:szCs w:val="21"/>
        </w:rPr>
      </w:pPr>
      <w:r>
        <w:rPr>
          <w:rFonts w:ascii="宋体" w:hAnsi="宋体"/>
          <w:bCs/>
          <w:szCs w:val="21"/>
        </w:rPr>
        <w:t>身份证号码：</w:t>
      </w:r>
      <w:r>
        <w:rPr>
          <w:rFonts w:ascii="宋体" w:hAnsi="宋体"/>
          <w:bCs/>
          <w:szCs w:val="21"/>
          <w:u w:val="single"/>
        </w:rPr>
        <w:t xml:space="preserve">                               </w:t>
      </w:r>
      <w:r>
        <w:rPr>
          <w:rFonts w:ascii="宋体" w:hAnsi="宋体"/>
          <w:bCs/>
          <w:szCs w:val="21"/>
        </w:rPr>
        <w:t xml:space="preserve">      </w:t>
      </w:r>
    </w:p>
    <w:p>
      <w:pPr>
        <w:topLinePunct/>
        <w:snapToGrid w:val="0"/>
        <w:spacing w:line="440" w:lineRule="exact"/>
        <w:ind w:firstLine="2310" w:firstLineChars="1100"/>
        <w:rPr>
          <w:rFonts w:ascii="宋体" w:hAnsi="宋体"/>
          <w:bCs/>
          <w:szCs w:val="21"/>
        </w:rPr>
      </w:pPr>
      <w:r>
        <w:rPr>
          <w:rFonts w:hint="eastAsia" w:ascii="宋体" w:hAnsi="宋体"/>
          <w:bCs/>
          <w:szCs w:val="21"/>
        </w:rPr>
        <w:t>联系方式（手机）：</w:t>
      </w:r>
      <w:r>
        <w:rPr>
          <w:rFonts w:ascii="宋体" w:hAnsi="宋体"/>
          <w:bCs/>
          <w:szCs w:val="21"/>
          <w:u w:val="single"/>
        </w:rPr>
        <w:t xml:space="preserve">                     </w:t>
      </w:r>
    </w:p>
    <w:p>
      <w:pPr>
        <w:topLinePunct/>
        <w:snapToGrid w:val="0"/>
        <w:spacing w:line="440" w:lineRule="exact"/>
        <w:ind w:firstLine="420" w:firstLineChars="200"/>
        <w:rPr>
          <w:rFonts w:ascii="宋体" w:hAnsi="宋体"/>
        </w:rPr>
      </w:pPr>
      <w:r>
        <w:rPr>
          <w:rFonts w:ascii="宋体" w:hAnsi="宋体"/>
          <w:bCs/>
          <w:szCs w:val="21"/>
        </w:rPr>
        <w:t xml:space="preserve">                  </w:t>
      </w:r>
      <w:r>
        <w:rPr>
          <w:rFonts w:hint="eastAsia" w:ascii="宋体" w:hAnsi="宋体"/>
        </w:rPr>
        <w:t>日期：</w:t>
      </w:r>
      <w:r>
        <w:rPr>
          <w:rFonts w:ascii="宋体" w:hAnsi="宋体"/>
        </w:rPr>
        <w:t>XX年XX月XX日</w:t>
      </w:r>
    </w:p>
    <w:p>
      <w:pPr>
        <w:spacing w:line="500" w:lineRule="exact"/>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6350" t="6350" r="23495" b="13335"/>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Cs w:val="21"/>
                        </w:rPr>
                      </w:pPr>
                      <w:r>
                        <w:rPr>
                          <w:rFonts w:hint="eastAsia"/>
                          <w:szCs w:val="21"/>
                        </w:rPr>
                        <w:t>委托代理人身份证背面复印件贴于此处</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6350" t="6350" r="23495" b="13335"/>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Cs w:val="21"/>
                        </w:rPr>
                      </w:pPr>
                      <w:r>
                        <w:rPr>
                          <w:rFonts w:hint="eastAsia"/>
                          <w:szCs w:val="21"/>
                        </w:rPr>
                        <w:t>委托代理人身份证正面复印件贴于此处</w:t>
                      </w:r>
                    </w:p>
                    <w:p>
                      <w:pPr>
                        <w:jc w:val="center"/>
                        <w:rPr>
                          <w:szCs w:val="21"/>
                        </w:rPr>
                      </w:pPr>
                    </w:p>
                  </w:txbxContent>
                </v:textbox>
              </v:shape>
            </w:pict>
          </mc:Fallback>
        </mc:AlternateContent>
      </w: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pgSz w:w="11906" w:h="16838"/>
          <w:pgMar w:top="1440" w:right="1800" w:bottom="1440" w:left="1800" w:header="851" w:footer="992" w:gutter="0"/>
          <w:cols w:space="425" w:num="1"/>
          <w:docGrid w:type="lines" w:linePitch="312" w:charSpace="0"/>
        </w:sectPr>
      </w:pPr>
    </w:p>
    <w:p>
      <w:pPr>
        <w:pStyle w:val="38"/>
        <w:numPr>
          <w:ilvl w:val="0"/>
          <w:numId w:val="15"/>
        </w:numPr>
        <w:tabs>
          <w:tab w:val="left" w:pos="588"/>
        </w:tabs>
        <w:snapToGrid w:val="0"/>
        <w:spacing w:before="120" w:after="120" w:line="440" w:lineRule="exact"/>
        <w:jc w:val="left"/>
        <w:rPr>
          <w:rFonts w:ascii="宋体" w:hAnsi="宋体"/>
          <w:sz w:val="24"/>
          <w:szCs w:val="24"/>
        </w:rPr>
      </w:pPr>
      <w:bookmarkStart w:id="521" w:name="_Toc1651901"/>
      <w:bookmarkStart w:id="522" w:name="_Toc5595"/>
      <w:bookmarkStart w:id="523" w:name="_Toc30915"/>
      <w:bookmarkStart w:id="524" w:name="_Toc11934"/>
      <w:bookmarkStart w:id="525" w:name="_Toc56432236"/>
      <w:bookmarkStart w:id="526" w:name="_Toc475472676"/>
      <w:r>
        <w:rPr>
          <w:rFonts w:hint="eastAsia" w:ascii="宋体" w:hAnsi="宋体"/>
          <w:sz w:val="24"/>
          <w:szCs w:val="24"/>
        </w:rPr>
        <w:t>资格审查资料</w:t>
      </w:r>
      <w:bookmarkEnd w:id="521"/>
      <w:bookmarkEnd w:id="522"/>
      <w:bookmarkEnd w:id="523"/>
      <w:bookmarkEnd w:id="524"/>
      <w:bookmarkEnd w:id="525"/>
    </w:p>
    <w:p>
      <w:r>
        <w:rPr>
          <w:rFonts w:hint="eastAsia" w:ascii="宋体" w:hAnsi="宋体"/>
          <w:b/>
          <w:szCs w:val="21"/>
        </w:rPr>
        <w:t>注：按照招募公告“</w:t>
      </w:r>
      <w:r>
        <w:rPr>
          <w:rFonts w:ascii="宋体" w:hAnsi="宋体"/>
          <w:b/>
          <w:szCs w:val="21"/>
        </w:rPr>
        <w:t>2.投标人资格要求”资质条件中提到的资格证明文件等相关材料，提供复印件等证明文件。</w:t>
      </w:r>
    </w:p>
    <w:p>
      <w:pPr>
        <w:pStyle w:val="38"/>
        <w:numPr>
          <w:ilvl w:val="1"/>
          <w:numId w:val="15"/>
        </w:numPr>
        <w:tabs>
          <w:tab w:val="left" w:pos="588"/>
        </w:tabs>
        <w:snapToGrid w:val="0"/>
        <w:spacing w:before="120" w:after="120" w:line="440" w:lineRule="exact"/>
        <w:ind w:hanging="992"/>
        <w:jc w:val="left"/>
        <w:rPr>
          <w:rFonts w:ascii="宋体" w:hAnsi="宋体"/>
          <w:sz w:val="24"/>
          <w:szCs w:val="24"/>
        </w:rPr>
      </w:pPr>
      <w:bookmarkStart w:id="527" w:name="_Toc144974876"/>
      <w:bookmarkStart w:id="528" w:name="_Toc946"/>
      <w:bookmarkStart w:id="529" w:name="_Toc179632828"/>
      <w:bookmarkStart w:id="530" w:name="_Toc1651902"/>
      <w:bookmarkStart w:id="531" w:name="_Toc246996373"/>
      <w:bookmarkStart w:id="532" w:name="_Toc332188252"/>
      <w:bookmarkStart w:id="533" w:name="_Toc326223618"/>
      <w:bookmarkStart w:id="534" w:name="_Toc152042597"/>
      <w:bookmarkStart w:id="535" w:name="_Toc56432237"/>
      <w:bookmarkStart w:id="536" w:name="_Toc10795"/>
      <w:bookmarkStart w:id="537" w:name="_Toc247085891"/>
      <w:bookmarkStart w:id="538" w:name="_Toc152045808"/>
      <w:bookmarkStart w:id="539" w:name="_Toc334767003"/>
      <w:bookmarkStart w:id="540" w:name="_Toc246997116"/>
      <w:bookmarkStart w:id="541" w:name="_Toc9183"/>
      <w:r>
        <w:rPr>
          <w:rFonts w:hint="eastAsia" w:ascii="宋体" w:hAnsi="宋体"/>
          <w:sz w:val="24"/>
          <w:szCs w:val="24"/>
        </w:rPr>
        <w:t>投标人</w:t>
      </w:r>
      <w:r>
        <w:rPr>
          <w:rFonts w:ascii="宋体" w:hAnsi="宋体"/>
          <w:sz w:val="24"/>
          <w:szCs w:val="24"/>
        </w:rPr>
        <w:t>基本情况表</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tbl>
      <w:tblPr>
        <w:tblStyle w:val="41"/>
        <w:tblW w:w="8565"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951"/>
        <w:gridCol w:w="840"/>
        <w:gridCol w:w="420"/>
        <w:gridCol w:w="311"/>
        <w:gridCol w:w="1078"/>
        <w:gridCol w:w="490"/>
        <w:gridCol w:w="18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申请人名称</w:t>
            </w:r>
          </w:p>
        </w:tc>
        <w:tc>
          <w:tcPr>
            <w:tcW w:w="6839"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邮政编码</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网</w:t>
            </w:r>
            <w:r>
              <w:rPr>
                <w:rFonts w:ascii="宋体" w:hAnsi="宋体"/>
                <w:szCs w:val="21"/>
              </w:rPr>
              <w:t xml:space="preserve"> </w:t>
            </w:r>
            <w:r>
              <w:rPr>
                <w:rFonts w:hint="eastAsia" w:ascii="宋体" w:hAnsi="宋体"/>
                <w:szCs w:val="21"/>
              </w:rPr>
              <w:t>址</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组织结构</w:t>
            </w:r>
          </w:p>
        </w:tc>
        <w:tc>
          <w:tcPr>
            <w:tcW w:w="6839"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法定代表人（负责人）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姓名</w:t>
            </w:r>
          </w:p>
        </w:tc>
        <w:tc>
          <w:tcPr>
            <w:tcW w:w="2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电话</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成立时间</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szCs w:val="21"/>
              </w:rPr>
            </w:pPr>
            <w:r>
              <w:rPr>
                <w:rFonts w:hint="eastAsia" w:ascii="宋体" w:hAnsi="宋体"/>
                <w:szCs w:val="21"/>
              </w:rPr>
              <w:t>员工人数：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0" w:hRule="atLeast"/>
        </w:trPr>
        <w:tc>
          <w:tcPr>
            <w:tcW w:w="1726"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szCs w:val="21"/>
              </w:rPr>
            </w:pPr>
          </w:p>
          <w:p>
            <w:pPr>
              <w:topLinePunct/>
              <w:spacing w:line="440" w:lineRule="exact"/>
              <w:jc w:val="center"/>
              <w:rPr>
                <w:rFonts w:ascii="宋体" w:hAnsi="宋体"/>
                <w:szCs w:val="21"/>
              </w:rPr>
            </w:pPr>
            <w:r>
              <w:rPr>
                <w:rFonts w:hint="eastAsia" w:ascii="宋体" w:hAnsi="宋体"/>
                <w:szCs w:val="21"/>
              </w:rPr>
              <w:t>统一社会信用代码</w:t>
            </w:r>
          </w:p>
        </w:tc>
        <w:tc>
          <w:tcPr>
            <w:tcW w:w="1848" w:type="dxa"/>
            <w:gridSpan w:val="2"/>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其中</w:t>
            </w:r>
          </w:p>
        </w:tc>
        <w:tc>
          <w:tcPr>
            <w:tcW w:w="2299"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高级职称</w:t>
            </w:r>
          </w:p>
        </w:tc>
        <w:tc>
          <w:tcPr>
            <w:tcW w:w="1852"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6" w:hRule="atLeast"/>
        </w:trPr>
        <w:tc>
          <w:tcPr>
            <w:tcW w:w="1726"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开户银行</w:t>
            </w:r>
          </w:p>
        </w:tc>
        <w:tc>
          <w:tcPr>
            <w:tcW w:w="1848" w:type="dxa"/>
            <w:gridSpan w:val="2"/>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299"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中级职称</w:t>
            </w:r>
          </w:p>
        </w:tc>
        <w:tc>
          <w:tcPr>
            <w:tcW w:w="1852"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账号</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rPr>
            </w:pPr>
            <w:r>
              <w:rPr>
                <w:rFonts w:hint="eastAsia" w:ascii="宋体" w:hAnsi="宋体"/>
                <w:szCs w:val="21"/>
              </w:rPr>
              <w:t>初级职称</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备注</w:t>
            </w:r>
          </w:p>
        </w:tc>
        <w:tc>
          <w:tcPr>
            <w:tcW w:w="6839"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bl>
    <w:p>
      <w:pPr>
        <w:pStyle w:val="77"/>
        <w:widowControl/>
        <w:ind w:left="425" w:firstLine="0" w:firstLineChars="0"/>
        <w:jc w:val="left"/>
        <w:rPr>
          <w:rFonts w:ascii="宋体" w:hAnsi="宋体"/>
          <w:szCs w:val="21"/>
        </w:rPr>
      </w:pPr>
      <w:r>
        <w:rPr>
          <w:rFonts w:hint="eastAsia" w:ascii="宋体" w:hAnsi="宋体"/>
          <w:szCs w:val="21"/>
        </w:rPr>
        <w:t>以上信息如没有的可以不填写</w:t>
      </w:r>
    </w:p>
    <w:p>
      <w:pPr>
        <w:widowControl/>
        <w:jc w:val="left"/>
        <w:rPr>
          <w:rFonts w:ascii="宋体" w:hAnsi="宋体"/>
          <w:szCs w:val="21"/>
        </w:rPr>
      </w:pPr>
      <w:r>
        <w:rPr>
          <w:rFonts w:ascii="宋体" w:hAnsi="宋体"/>
          <w:szCs w:val="21"/>
        </w:rPr>
        <w:br w:type="page"/>
      </w:r>
    </w:p>
    <w:p>
      <w:pPr>
        <w:pStyle w:val="38"/>
        <w:numPr>
          <w:ilvl w:val="1"/>
          <w:numId w:val="15"/>
        </w:numPr>
        <w:tabs>
          <w:tab w:val="left" w:pos="588"/>
        </w:tabs>
        <w:snapToGrid w:val="0"/>
        <w:spacing w:before="120" w:after="120" w:line="440" w:lineRule="exact"/>
        <w:ind w:hanging="992"/>
        <w:jc w:val="left"/>
        <w:rPr>
          <w:rFonts w:ascii="宋体" w:hAnsi="宋体"/>
          <w:sz w:val="24"/>
          <w:szCs w:val="24"/>
        </w:rPr>
      </w:pPr>
      <w:bookmarkStart w:id="542" w:name="_Toc11697"/>
      <w:bookmarkStart w:id="543" w:name="_Toc56432238"/>
      <w:bookmarkStart w:id="544" w:name="_Toc8061"/>
      <w:bookmarkStart w:id="545" w:name="_Toc5638"/>
      <w:bookmarkStart w:id="546" w:name="_Toc34146941"/>
      <w:bookmarkStart w:id="547" w:name="_Toc1651903"/>
      <w:r>
        <w:rPr>
          <w:rFonts w:hint="eastAsia" w:ascii="宋体" w:hAnsi="宋体"/>
          <w:sz w:val="24"/>
          <w:szCs w:val="24"/>
        </w:rPr>
        <w:t>资格要求材料</w:t>
      </w:r>
      <w:bookmarkEnd w:id="542"/>
      <w:bookmarkEnd w:id="543"/>
      <w:bookmarkEnd w:id="544"/>
      <w:bookmarkEnd w:id="545"/>
    </w:p>
    <w:p>
      <w:pPr>
        <w:spacing w:line="400" w:lineRule="exact"/>
        <w:rPr>
          <w:rFonts w:ascii="宋体" w:hAnsi="宋体"/>
          <w:szCs w:val="21"/>
        </w:rPr>
      </w:pPr>
      <w:r>
        <w:rPr>
          <w:rFonts w:hint="eastAsia" w:ascii="宋体" w:hAnsi="宋体"/>
          <w:szCs w:val="21"/>
        </w:rPr>
        <w:t>注：按照第一章《招募公告》“</w:t>
      </w:r>
      <w:r>
        <w:rPr>
          <w:rFonts w:ascii="宋体" w:hAnsi="宋体"/>
          <w:szCs w:val="21"/>
        </w:rPr>
        <w:t xml:space="preserve">2. </w:t>
      </w:r>
      <w:r>
        <w:rPr>
          <w:rFonts w:hint="eastAsia" w:ascii="宋体" w:hAnsi="宋体"/>
          <w:szCs w:val="21"/>
        </w:rPr>
        <w:t>投标人资格要求”。</w:t>
      </w:r>
    </w:p>
    <w:p>
      <w:pPr>
        <w:pStyle w:val="77"/>
        <w:adjustRightInd w:val="0"/>
        <w:snapToGrid w:val="0"/>
        <w:spacing w:line="440" w:lineRule="exact"/>
        <w:rPr>
          <w:rFonts w:ascii="宋体" w:hAnsi="宋体"/>
          <w:szCs w:val="21"/>
        </w:rPr>
      </w:pPr>
      <w:r>
        <w:rPr>
          <w:rFonts w:ascii="宋体" w:hAnsi="宋体"/>
          <w:szCs w:val="21"/>
        </w:rPr>
        <w:t>1、投标人须在中华人民共和国境内注册的具有独立承担民事责任能力的法人或其他组织，提供营业执照或事业法人证书（分公司投标须得到总公司授权，同时提供总公司营业执照及盖章授权函）；</w:t>
      </w:r>
    </w:p>
    <w:p>
      <w:pPr>
        <w:pStyle w:val="77"/>
        <w:adjustRightInd w:val="0"/>
        <w:snapToGrid w:val="0"/>
        <w:spacing w:line="440" w:lineRule="exact"/>
        <w:rPr>
          <w:rFonts w:ascii="宋体" w:hAnsi="宋体"/>
          <w:szCs w:val="21"/>
        </w:rPr>
      </w:pPr>
    </w:p>
    <w:p>
      <w:pPr>
        <w:pStyle w:val="77"/>
        <w:adjustRightInd w:val="0"/>
        <w:snapToGrid w:val="0"/>
        <w:spacing w:line="440" w:lineRule="exact"/>
        <w:rPr>
          <w:rFonts w:ascii="宋体" w:hAnsi="宋体"/>
          <w:szCs w:val="21"/>
        </w:rPr>
      </w:pPr>
    </w:p>
    <w:p>
      <w:pPr>
        <w:pStyle w:val="77"/>
        <w:adjustRightInd w:val="0"/>
        <w:snapToGrid w:val="0"/>
        <w:spacing w:line="440" w:lineRule="exact"/>
        <w:rPr>
          <w:rFonts w:ascii="宋体" w:hAnsi="宋体"/>
          <w:szCs w:val="21"/>
        </w:rPr>
      </w:pPr>
      <w:r>
        <w:rPr>
          <w:rFonts w:ascii="宋体" w:hAnsi="宋体"/>
          <w:szCs w:val="21"/>
        </w:rPr>
        <w:t>2、投标人在“信用中国”网站（www.creditchina.gov.cn）、中国政府采购网（www.ccgp.gov.cn）没有被列入失信被执行人、重大税收违法失信主体、政府采购严重违法失信行为记录名单（</w:t>
      </w:r>
      <w:r>
        <w:rPr>
          <w:rFonts w:hint="eastAsia" w:ascii="宋体" w:hAnsi="宋体"/>
          <w:szCs w:val="21"/>
        </w:rPr>
        <w:t>投标人需提供查询截图</w:t>
      </w:r>
      <w:r>
        <w:rPr>
          <w:rFonts w:ascii="宋体" w:hAnsi="宋体"/>
          <w:szCs w:val="21"/>
        </w:rPr>
        <w:t>）；</w:t>
      </w:r>
    </w:p>
    <w:p>
      <w:pPr>
        <w:pStyle w:val="77"/>
        <w:adjustRightInd w:val="0"/>
        <w:snapToGrid w:val="0"/>
        <w:spacing w:line="440" w:lineRule="exact"/>
        <w:rPr>
          <w:rFonts w:ascii="宋体" w:hAnsi="宋体"/>
          <w:szCs w:val="21"/>
        </w:rPr>
      </w:pPr>
    </w:p>
    <w:p>
      <w:pPr>
        <w:pStyle w:val="77"/>
        <w:adjustRightInd w:val="0"/>
        <w:snapToGrid w:val="0"/>
        <w:spacing w:line="440" w:lineRule="exact"/>
        <w:rPr>
          <w:rFonts w:ascii="宋体" w:hAnsi="宋体"/>
          <w:szCs w:val="21"/>
        </w:rPr>
      </w:pPr>
      <w:r>
        <w:rPr>
          <w:rFonts w:ascii="宋体" w:hAnsi="宋体"/>
          <w:szCs w:val="21"/>
        </w:rPr>
        <w:t>3、</w:t>
      </w:r>
      <w:r>
        <w:rPr>
          <w:rFonts w:hint="eastAsia" w:ascii="宋体" w:hAnsi="宋体"/>
          <w:szCs w:val="21"/>
        </w:rPr>
        <w:t>单位负责人为同一人或者存在直接控股、管理关系的不同供应商，不得一同参加本项目的招标活动，以《投标人控股及管理关系情况申报表》填报的内容进行评审</w:t>
      </w:r>
      <w:r>
        <w:rPr>
          <w:rFonts w:ascii="宋体" w:hAnsi="宋体"/>
          <w:szCs w:val="21"/>
        </w:rPr>
        <w:t>；</w:t>
      </w:r>
    </w:p>
    <w:p>
      <w:pPr>
        <w:pStyle w:val="77"/>
        <w:adjustRightInd w:val="0"/>
        <w:snapToGrid w:val="0"/>
        <w:spacing w:line="440" w:lineRule="exact"/>
        <w:rPr>
          <w:rFonts w:ascii="宋体" w:hAnsi="宋体"/>
          <w:szCs w:val="21"/>
        </w:rPr>
      </w:pPr>
    </w:p>
    <w:p>
      <w:pPr>
        <w:pStyle w:val="77"/>
        <w:adjustRightInd w:val="0"/>
        <w:snapToGrid w:val="0"/>
        <w:spacing w:line="440" w:lineRule="exact"/>
        <w:rPr>
          <w:rFonts w:ascii="宋体" w:hAnsi="宋体"/>
          <w:szCs w:val="21"/>
        </w:rPr>
      </w:pPr>
      <w:r>
        <w:rPr>
          <w:rFonts w:hint="eastAsia" w:ascii="宋体" w:hAnsi="宋体"/>
          <w:szCs w:val="21"/>
        </w:rPr>
        <w:t>4、</w:t>
      </w:r>
      <w:r>
        <w:rPr>
          <w:rFonts w:ascii="宋体" w:hAnsi="宋体"/>
          <w:szCs w:val="21"/>
        </w:rPr>
        <w:t>联合体情况：我司为非联合体投标</w:t>
      </w:r>
      <w:r>
        <w:rPr>
          <w:rFonts w:hint="eastAsia" w:ascii="宋体" w:hAnsi="宋体"/>
          <w:szCs w:val="21"/>
        </w:rPr>
        <w:t>，我司承诺不</w:t>
      </w:r>
      <w:r>
        <w:rPr>
          <w:rFonts w:hint="eastAsia" w:ascii="宋体" w:hAnsi="宋体" w:cs="宋体"/>
          <w:szCs w:val="21"/>
        </w:rPr>
        <w:t>转包、违法分包</w:t>
      </w:r>
      <w:r>
        <w:rPr>
          <w:rFonts w:ascii="宋体" w:hAnsi="宋体"/>
          <w:szCs w:val="21"/>
        </w:rPr>
        <w:t>。</w:t>
      </w:r>
    </w:p>
    <w:p>
      <w:pPr>
        <w:pStyle w:val="77"/>
        <w:adjustRightInd w:val="0"/>
        <w:snapToGrid w:val="0"/>
        <w:spacing w:line="440" w:lineRule="exact"/>
        <w:ind w:firstLine="0" w:firstLineChars="0"/>
        <w:rPr>
          <w:rFonts w:ascii="宋体" w:hAnsi="宋体"/>
          <w:szCs w:val="21"/>
        </w:rPr>
      </w:pPr>
    </w:p>
    <w:p>
      <w:pPr>
        <w:pStyle w:val="77"/>
        <w:adjustRightInd w:val="0"/>
        <w:snapToGrid w:val="0"/>
        <w:spacing w:line="440" w:lineRule="exact"/>
        <w:ind w:firstLine="0" w:firstLineChars="0"/>
        <w:rPr>
          <w:rFonts w:ascii="宋体" w:hAnsi="宋体"/>
          <w:szCs w:val="21"/>
        </w:rPr>
      </w:pPr>
    </w:p>
    <w:p>
      <w:pPr>
        <w:spacing w:line="400" w:lineRule="exact"/>
        <w:rPr>
          <w:rFonts w:ascii="宋体" w:hAnsi="宋体"/>
          <w:szCs w:val="21"/>
        </w:rPr>
      </w:pPr>
    </w:p>
    <w:p>
      <w:pPr>
        <w:widowControl/>
        <w:jc w:val="left"/>
        <w:rPr>
          <w:rFonts w:ascii="宋体" w:hAnsi="宋体"/>
          <w:b/>
          <w:bCs/>
          <w:sz w:val="24"/>
        </w:rPr>
      </w:pPr>
      <w:bookmarkStart w:id="548" w:name="_Toc56432239"/>
      <w:r>
        <w:rPr>
          <w:rFonts w:ascii="宋体" w:hAnsi="宋体"/>
          <w:sz w:val="24"/>
        </w:rPr>
        <w:br w:type="page"/>
      </w:r>
    </w:p>
    <w:p>
      <w:pPr>
        <w:pStyle w:val="38"/>
        <w:numPr>
          <w:ilvl w:val="1"/>
          <w:numId w:val="15"/>
        </w:numPr>
        <w:tabs>
          <w:tab w:val="left" w:pos="588"/>
        </w:tabs>
        <w:snapToGrid w:val="0"/>
        <w:spacing w:before="120" w:after="120" w:line="440" w:lineRule="exact"/>
        <w:ind w:hanging="992"/>
        <w:jc w:val="left"/>
        <w:rPr>
          <w:rFonts w:ascii="宋体" w:hAnsi="宋体"/>
          <w:color w:val="auto"/>
          <w:sz w:val="24"/>
          <w:szCs w:val="24"/>
        </w:rPr>
      </w:pPr>
      <w:bookmarkStart w:id="549" w:name="_Toc22503"/>
      <w:bookmarkStart w:id="550" w:name="_Toc10886"/>
      <w:bookmarkStart w:id="551" w:name="_Toc8068"/>
      <w:r>
        <w:rPr>
          <w:rFonts w:hint="eastAsia" w:ascii="宋体" w:hAnsi="宋体"/>
          <w:color w:val="auto"/>
          <w:sz w:val="24"/>
          <w:szCs w:val="24"/>
        </w:rPr>
        <w:t>关于资格的声明函</w:t>
      </w:r>
      <w:bookmarkEnd w:id="548"/>
      <w:bookmarkEnd w:id="549"/>
      <w:bookmarkEnd w:id="550"/>
      <w:bookmarkEnd w:id="551"/>
    </w:p>
    <w:p>
      <w:pPr>
        <w:shd w:val="clear" w:color="auto" w:fill="FFFFFF" w:themeFill="background1"/>
        <w:spacing w:line="480" w:lineRule="exact"/>
        <w:jc w:val="center"/>
        <w:rPr>
          <w:color w:val="auto"/>
          <w:sz w:val="24"/>
        </w:rPr>
      </w:pPr>
      <w:r>
        <w:rPr>
          <w:rFonts w:hint="eastAsia"/>
          <w:b/>
          <w:color w:val="auto"/>
          <w:sz w:val="24"/>
        </w:rPr>
        <w:t>资格声明函</w:t>
      </w:r>
    </w:p>
    <w:p>
      <w:pPr>
        <w:shd w:val="clear" w:color="auto" w:fill="FFFFFF" w:themeFill="background1"/>
        <w:spacing w:line="360" w:lineRule="auto"/>
        <w:rPr>
          <w:rFonts w:ascii="宋体" w:hAnsi="宋体"/>
          <w:b/>
          <w:bCs/>
          <w:color w:val="auto"/>
          <w:szCs w:val="21"/>
        </w:rPr>
      </w:pPr>
      <w:r>
        <w:rPr>
          <w:rFonts w:hint="eastAsia" w:ascii="宋体" w:hAnsi="宋体"/>
          <w:b/>
          <w:bCs/>
          <w:color w:val="auto"/>
          <w:szCs w:val="21"/>
        </w:rPr>
        <w:t>XXXXXX有限公司、XXXXXX：</w:t>
      </w:r>
    </w:p>
    <w:p>
      <w:pPr>
        <w:shd w:val="clear" w:color="auto" w:fill="FFFFFF" w:themeFill="background1"/>
        <w:spacing w:line="360" w:lineRule="auto"/>
        <w:ind w:firstLine="540"/>
        <w:rPr>
          <w:rFonts w:ascii="宋体" w:hAnsi="宋体"/>
          <w:color w:val="auto"/>
          <w:szCs w:val="21"/>
        </w:rPr>
      </w:pPr>
      <w:r>
        <w:rPr>
          <w:rFonts w:hint="eastAsia" w:ascii="宋体" w:hAnsi="宋体"/>
          <w:color w:val="auto"/>
          <w:szCs w:val="21"/>
        </w:rPr>
        <w:t>我方愿响应你方</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日的（项目编号：</w:t>
      </w:r>
      <w:r>
        <w:rPr>
          <w:rFonts w:hint="eastAsia" w:ascii="宋体" w:hAnsi="宋体"/>
          <w:color w:val="auto"/>
          <w:szCs w:val="21"/>
          <w:u w:val="single"/>
        </w:rPr>
        <w:t>XXXXXXXX</w:t>
      </w:r>
      <w:r>
        <w:rPr>
          <w:rFonts w:hint="eastAsia" w:ascii="宋体" w:hAnsi="宋体"/>
          <w:color w:val="auto"/>
          <w:szCs w:val="21"/>
        </w:rPr>
        <w:t>）投标邀请，参与投标，提供招标人需求中规定的货物或服务，并按采购文件要求提交所附资格文件且声明和保证如下：</w:t>
      </w:r>
    </w:p>
    <w:p>
      <w:pPr>
        <w:widowControl/>
        <w:numPr>
          <w:ilvl w:val="0"/>
          <w:numId w:val="0"/>
        </w:numPr>
        <w:shd w:val="clear" w:color="auto" w:fill="FFFFFF" w:themeFill="background1"/>
        <w:spacing w:line="360" w:lineRule="auto"/>
        <w:ind w:left="-46" w:leftChars="0" w:firstLine="198" w:firstLineChars="0"/>
        <w:jc w:val="left"/>
        <w:rPr>
          <w:rFonts w:ascii="宋体" w:hAnsi="宋体"/>
          <w:color w:val="auto"/>
          <w:szCs w:val="21"/>
        </w:rPr>
      </w:pPr>
      <w:r>
        <w:rPr>
          <w:rFonts w:hint="eastAsia" w:ascii="宋体" w:hAnsi="宋体" w:cs="Times New Roman"/>
          <w:color w:val="auto"/>
          <w:kern w:val="2"/>
          <w:sz w:val="21"/>
          <w:szCs w:val="21"/>
          <w:lang w:val="en-US" w:eastAsia="zh-CN" w:bidi="ar-SA"/>
        </w:rPr>
        <w:t>1</w:t>
      </w:r>
      <w:r>
        <w:rPr>
          <w:rFonts w:ascii="宋体" w:hAnsi="宋体" w:eastAsia="宋体" w:cs="Times New Roman"/>
          <w:color w:val="auto"/>
          <w:kern w:val="2"/>
          <w:sz w:val="21"/>
          <w:szCs w:val="21"/>
          <w:lang w:val="en-US" w:eastAsia="zh-CN" w:bidi="ar-SA"/>
        </w:rPr>
        <w:t>.</w:t>
      </w:r>
      <w:r>
        <w:rPr>
          <w:rFonts w:hint="eastAsia" w:ascii="宋体" w:hAnsi="宋体"/>
          <w:color w:val="auto"/>
          <w:szCs w:val="21"/>
        </w:rPr>
        <w:t>我方为本次报价所提交的所有证明其合格和资格的文件是真实的和正确的，并愿为其真实性和正确性承担法律责任；</w:t>
      </w:r>
    </w:p>
    <w:p>
      <w:pPr>
        <w:widowControl/>
        <w:numPr>
          <w:ilvl w:val="0"/>
          <w:numId w:val="0"/>
        </w:numPr>
        <w:shd w:val="clear" w:color="auto" w:fill="FFFFFF" w:themeFill="background1"/>
        <w:spacing w:line="360" w:lineRule="auto"/>
        <w:ind w:left="630" w:leftChars="0" w:hanging="420" w:firstLineChars="0"/>
        <w:jc w:val="left"/>
        <w:rPr>
          <w:rFonts w:ascii="宋体" w:hAnsi="宋体"/>
          <w:color w:val="auto"/>
          <w:szCs w:val="21"/>
        </w:rPr>
      </w:pPr>
      <w:r>
        <w:rPr>
          <w:rFonts w:hint="eastAsia" w:ascii="宋体" w:hAnsi="宋体" w:cs="Times New Roman"/>
          <w:color w:val="auto"/>
          <w:kern w:val="2"/>
          <w:sz w:val="21"/>
          <w:szCs w:val="21"/>
          <w:lang w:val="en-US" w:eastAsia="zh-CN" w:bidi="ar-SA"/>
        </w:rPr>
        <w:t>2</w:t>
      </w:r>
      <w:r>
        <w:rPr>
          <w:rFonts w:ascii="宋体" w:hAnsi="宋体" w:eastAsia="宋体" w:cs="Times New Roman"/>
          <w:color w:val="auto"/>
          <w:kern w:val="2"/>
          <w:sz w:val="21"/>
          <w:szCs w:val="21"/>
          <w:lang w:val="en-US" w:eastAsia="zh-CN" w:bidi="ar-SA"/>
        </w:rPr>
        <w:t>.</w:t>
      </w:r>
      <w:r>
        <w:rPr>
          <w:rFonts w:hint="eastAsia" w:ascii="宋体" w:hAnsi="宋体"/>
          <w:color w:val="auto"/>
          <w:szCs w:val="21"/>
        </w:rPr>
        <w:t>我方为中华人民共和国境内的合法经营主体，具有独立的民事行为能力；具有良好的商业信誉和健全的财务会计制度；我方具备履行合同所必需的专业技术能力。</w:t>
      </w:r>
    </w:p>
    <w:p>
      <w:pPr>
        <w:widowControl/>
        <w:numPr>
          <w:ilvl w:val="0"/>
          <w:numId w:val="0"/>
        </w:numPr>
        <w:shd w:val="clear" w:color="auto" w:fill="FFFFFF" w:themeFill="background1"/>
        <w:spacing w:line="360" w:lineRule="auto"/>
        <w:ind w:left="-46" w:leftChars="0" w:firstLine="198" w:firstLineChars="0"/>
        <w:jc w:val="left"/>
        <w:rPr>
          <w:rFonts w:ascii="宋体" w:hAnsi="宋体"/>
          <w:color w:val="auto"/>
          <w:szCs w:val="21"/>
        </w:rPr>
      </w:pPr>
      <w:r>
        <w:rPr>
          <w:rFonts w:hint="eastAsia" w:ascii="宋体" w:hAnsi="宋体" w:cs="Times New Roman"/>
          <w:color w:val="auto"/>
          <w:kern w:val="2"/>
          <w:sz w:val="21"/>
          <w:szCs w:val="21"/>
          <w:lang w:val="en-US" w:eastAsia="zh-CN" w:bidi="ar-SA"/>
        </w:rPr>
        <w:t>3</w:t>
      </w:r>
      <w:r>
        <w:rPr>
          <w:rFonts w:ascii="宋体" w:hAnsi="宋体" w:eastAsia="宋体" w:cs="Times New Roman"/>
          <w:color w:val="auto"/>
          <w:kern w:val="2"/>
          <w:sz w:val="21"/>
          <w:szCs w:val="21"/>
          <w:lang w:val="en-US" w:eastAsia="zh-CN" w:bidi="ar-SA"/>
        </w:rPr>
        <w:t>.</w:t>
      </w:r>
      <w:r>
        <w:rPr>
          <w:rFonts w:hint="eastAsia" w:ascii="宋体" w:hAnsi="宋体"/>
          <w:color w:val="auto"/>
          <w:szCs w:val="21"/>
        </w:rPr>
        <w:t>我方（企业）具备招募公告中规定的资格条件，并已清楚采购文件的要求及有关文件规定，并承诺在本次招标采购活动中，如有违法、违规、弄虚作假行为，所造成的损失、不良后果及法律责任，一律由我方（企业）承担。</w:t>
      </w:r>
    </w:p>
    <w:p>
      <w:pPr>
        <w:widowControl/>
        <w:numPr>
          <w:ilvl w:val="0"/>
          <w:numId w:val="0"/>
        </w:numPr>
        <w:shd w:val="clear" w:color="auto" w:fill="FFFFFF" w:themeFill="background1"/>
        <w:spacing w:line="360" w:lineRule="auto"/>
        <w:ind w:left="630" w:leftChars="0" w:hanging="420" w:firstLineChars="0"/>
        <w:jc w:val="left"/>
        <w:rPr>
          <w:rFonts w:ascii="宋体" w:hAnsi="宋体"/>
          <w:color w:val="auto"/>
          <w:szCs w:val="21"/>
        </w:rPr>
      </w:pPr>
      <w:r>
        <w:rPr>
          <w:rFonts w:hint="eastAsia" w:ascii="宋体" w:hAnsi="宋体" w:cs="Times New Roman"/>
          <w:color w:val="auto"/>
          <w:kern w:val="2"/>
          <w:sz w:val="21"/>
          <w:szCs w:val="21"/>
          <w:lang w:val="en-US" w:eastAsia="zh-CN" w:bidi="ar-SA"/>
        </w:rPr>
        <w:t>4</w:t>
      </w:r>
      <w:r>
        <w:rPr>
          <w:rFonts w:ascii="宋体" w:hAnsi="宋体" w:eastAsia="宋体" w:cs="Times New Roman"/>
          <w:color w:val="auto"/>
          <w:kern w:val="2"/>
          <w:sz w:val="21"/>
          <w:szCs w:val="21"/>
          <w:lang w:val="en-US" w:eastAsia="zh-CN" w:bidi="ar-SA"/>
        </w:rPr>
        <w:t>.</w:t>
      </w:r>
      <w:r>
        <w:rPr>
          <w:rFonts w:hint="eastAsia" w:ascii="宋体" w:hAnsi="宋体"/>
          <w:color w:val="auto"/>
          <w:szCs w:val="21"/>
        </w:rPr>
        <w:t>我方是依法注册的法人，在法律上、财务上和运作上完全独立于</w:t>
      </w:r>
      <w:r>
        <w:rPr>
          <w:rFonts w:hint="eastAsia" w:ascii="宋体" w:hAnsi="宋体"/>
          <w:color w:val="auto"/>
          <w:szCs w:val="21"/>
          <w:u w:val="single"/>
        </w:rPr>
        <w:t>XXXXXX有限公司</w:t>
      </w:r>
      <w:r>
        <w:rPr>
          <w:rFonts w:ascii="宋体" w:hAnsi="宋体"/>
          <w:color w:val="auto"/>
          <w:szCs w:val="21"/>
          <w:u w:val="single"/>
        </w:rPr>
        <w:t xml:space="preserve">   </w:t>
      </w:r>
      <w:r>
        <w:rPr>
          <w:rFonts w:hint="eastAsia" w:ascii="宋体" w:hAnsi="宋体"/>
          <w:color w:val="auto"/>
          <w:szCs w:val="21"/>
        </w:rPr>
        <w:t>（招标人）及</w:t>
      </w:r>
      <w:r>
        <w:rPr>
          <w:rFonts w:hint="eastAsia" w:ascii="宋体" w:hAnsi="宋体"/>
          <w:color w:val="auto"/>
          <w:szCs w:val="21"/>
          <w:u w:val="single"/>
        </w:rPr>
        <w:t>XXXXXX</w:t>
      </w:r>
      <w:r>
        <w:rPr>
          <w:rFonts w:hint="eastAsia" w:ascii="宋体" w:hAnsi="宋体"/>
          <w:color w:val="auto"/>
          <w:szCs w:val="21"/>
        </w:rPr>
        <w:t>（采购代理机构）。</w:t>
      </w:r>
    </w:p>
    <w:p>
      <w:pPr>
        <w:widowControl/>
        <w:numPr>
          <w:ilvl w:val="0"/>
          <w:numId w:val="0"/>
        </w:numPr>
        <w:shd w:val="clear" w:color="auto" w:fill="FFFFFF" w:themeFill="background1"/>
        <w:spacing w:line="360" w:lineRule="auto"/>
        <w:ind w:left="-46" w:leftChars="0" w:firstLine="198" w:firstLineChars="0"/>
        <w:jc w:val="left"/>
        <w:rPr>
          <w:color w:val="auto"/>
        </w:rPr>
      </w:pPr>
      <w:r>
        <w:rPr>
          <w:rFonts w:hint="eastAsia" w:cs="Times New Roman"/>
          <w:color w:val="auto"/>
          <w:kern w:val="2"/>
          <w:sz w:val="21"/>
          <w:szCs w:val="24"/>
          <w:lang w:val="en-US" w:eastAsia="zh-CN" w:bidi="ar-SA"/>
        </w:rPr>
        <w:t>5</w:t>
      </w:r>
      <w:r>
        <w:rPr>
          <w:rFonts w:ascii="Times New Roman" w:hAnsi="Times New Roman" w:eastAsia="宋体" w:cs="Times New Roman"/>
          <w:color w:val="auto"/>
          <w:kern w:val="2"/>
          <w:sz w:val="21"/>
          <w:szCs w:val="24"/>
          <w:lang w:val="en-US" w:eastAsia="zh-CN" w:bidi="ar-SA"/>
        </w:rPr>
        <w:t>.</w:t>
      </w:r>
      <w:r>
        <w:rPr>
          <w:rFonts w:hint="eastAsia" w:ascii="宋体" w:hAnsi="宋体"/>
          <w:color w:val="auto"/>
          <w:szCs w:val="21"/>
        </w:rPr>
        <w:t>我方</w:t>
      </w:r>
      <w:r>
        <w:rPr>
          <w:rFonts w:hint="default" w:ascii="宋体" w:hAnsi="宋体"/>
          <w:color w:val="auto"/>
          <w:szCs w:val="21"/>
        </w:rPr>
        <w:t>若</w:t>
      </w:r>
      <w:r>
        <w:rPr>
          <w:rFonts w:hint="default" w:ascii="宋体" w:hAnsi="宋体" w:cs="宋体"/>
          <w:color w:val="auto"/>
          <w:sz w:val="21"/>
          <w:szCs w:val="21"/>
        </w:rPr>
        <w:t>入围，承诺积极响应后续具体项目报价，承诺每次项目均响应。否则接受招标人的相关处罚。</w:t>
      </w:r>
    </w:p>
    <w:p>
      <w:pPr>
        <w:widowControl/>
        <w:numPr>
          <w:ilvl w:val="0"/>
          <w:numId w:val="0"/>
        </w:numPr>
        <w:shd w:val="clear" w:color="auto" w:fill="FFFFFF" w:themeFill="background1"/>
        <w:spacing w:line="360" w:lineRule="auto"/>
        <w:ind w:left="-46" w:leftChars="0" w:firstLine="198" w:firstLineChars="0"/>
        <w:jc w:val="left"/>
        <w:rPr>
          <w:rFonts w:ascii="宋体" w:hAnsi="宋体"/>
          <w:color w:val="auto"/>
          <w:szCs w:val="21"/>
        </w:rPr>
      </w:pPr>
      <w:r>
        <w:rPr>
          <w:rFonts w:hint="eastAsia" w:ascii="宋体" w:hAnsi="宋体" w:cs="Times New Roman"/>
          <w:color w:val="auto"/>
          <w:kern w:val="2"/>
          <w:sz w:val="21"/>
          <w:szCs w:val="21"/>
          <w:lang w:val="en-US" w:eastAsia="zh-CN" w:bidi="ar-SA"/>
        </w:rPr>
        <w:t>6</w:t>
      </w:r>
      <w:r>
        <w:rPr>
          <w:rFonts w:ascii="宋体" w:hAnsi="宋体" w:eastAsia="宋体" w:cs="Times New Roman"/>
          <w:color w:val="auto"/>
          <w:kern w:val="2"/>
          <w:sz w:val="21"/>
          <w:szCs w:val="21"/>
          <w:lang w:val="en-US" w:eastAsia="zh-CN" w:bidi="ar-SA"/>
        </w:rPr>
        <w:t>.</w:t>
      </w:r>
      <w:r>
        <w:rPr>
          <w:rFonts w:hint="eastAsia" w:ascii="宋体" w:hAnsi="宋体"/>
          <w:color w:val="auto"/>
          <w:szCs w:val="21"/>
        </w:rPr>
        <w:t>我方</w:t>
      </w:r>
      <w:r>
        <w:rPr>
          <w:rFonts w:hint="default" w:ascii="宋体" w:hAnsi="宋体"/>
          <w:color w:val="auto"/>
          <w:szCs w:val="21"/>
        </w:rPr>
        <w:t>若入围，承诺按照招募文件相关规定缴纳履约保证金。</w:t>
      </w:r>
    </w:p>
    <w:p>
      <w:pPr>
        <w:widowControl/>
        <w:numPr>
          <w:ilvl w:val="0"/>
          <w:numId w:val="0"/>
        </w:numPr>
        <w:shd w:val="clear" w:color="auto" w:fill="FFFFFF" w:themeFill="background1"/>
        <w:spacing w:line="360" w:lineRule="auto"/>
        <w:ind w:left="-46" w:leftChars="0" w:firstLine="198" w:firstLineChars="0"/>
        <w:jc w:val="left"/>
        <w:rPr>
          <w:rFonts w:ascii="宋体" w:hAnsi="宋体"/>
          <w:color w:val="auto"/>
          <w:szCs w:val="21"/>
        </w:rPr>
      </w:pPr>
      <w:r>
        <w:rPr>
          <w:rFonts w:hint="eastAsia" w:ascii="宋体" w:hAnsi="宋体" w:cs="Times New Roman"/>
          <w:color w:val="auto"/>
          <w:kern w:val="2"/>
          <w:sz w:val="21"/>
          <w:szCs w:val="21"/>
          <w:lang w:val="en-US" w:eastAsia="zh-CN" w:bidi="ar-SA"/>
        </w:rPr>
        <w:t>7</w:t>
      </w:r>
      <w:r>
        <w:rPr>
          <w:rFonts w:ascii="宋体" w:hAnsi="宋体" w:eastAsia="宋体" w:cs="Times New Roman"/>
          <w:color w:val="auto"/>
          <w:kern w:val="2"/>
          <w:sz w:val="21"/>
          <w:szCs w:val="21"/>
          <w:lang w:val="en-US" w:eastAsia="zh-CN" w:bidi="ar-SA"/>
        </w:rPr>
        <w:t>.</w:t>
      </w:r>
      <w:r>
        <w:rPr>
          <w:rFonts w:hint="eastAsia" w:ascii="宋体" w:hAnsi="宋体"/>
          <w:color w:val="auto"/>
          <w:szCs w:val="21"/>
        </w:rPr>
        <w:t>我方非联合体参与本项目投标，我方承诺不转包、违法分包。</w:t>
      </w:r>
    </w:p>
    <w:p>
      <w:pPr>
        <w:widowControl/>
        <w:numPr>
          <w:ilvl w:val="0"/>
          <w:numId w:val="0"/>
        </w:numPr>
        <w:shd w:val="clear" w:color="auto" w:fill="FFFFFF" w:themeFill="background1"/>
        <w:spacing w:line="360" w:lineRule="auto"/>
        <w:ind w:left="-46" w:leftChars="0" w:firstLine="198" w:firstLineChars="0"/>
        <w:jc w:val="left"/>
        <w:rPr>
          <w:rFonts w:ascii="宋体" w:hAnsi="宋体"/>
          <w:color w:val="auto"/>
          <w:szCs w:val="21"/>
        </w:rPr>
      </w:pPr>
      <w:r>
        <w:rPr>
          <w:rFonts w:hint="eastAsia" w:ascii="宋体" w:hAnsi="宋体" w:cs="Times New Roman"/>
          <w:color w:val="auto"/>
          <w:kern w:val="2"/>
          <w:sz w:val="21"/>
          <w:szCs w:val="21"/>
          <w:lang w:val="en-US" w:eastAsia="zh-CN" w:bidi="ar-SA"/>
        </w:rPr>
        <w:t>8</w:t>
      </w:r>
      <w:r>
        <w:rPr>
          <w:rFonts w:ascii="宋体" w:hAnsi="宋体" w:eastAsia="宋体" w:cs="Times New Roman"/>
          <w:color w:val="auto"/>
          <w:kern w:val="2"/>
          <w:sz w:val="21"/>
          <w:szCs w:val="21"/>
          <w:lang w:val="en-US" w:eastAsia="zh-CN" w:bidi="ar-SA"/>
        </w:rPr>
        <w:t>.</w:t>
      </w:r>
      <w:r>
        <w:rPr>
          <w:rFonts w:hint="eastAsia" w:ascii="宋体" w:hAnsi="宋体"/>
          <w:color w:val="auto"/>
          <w:szCs w:val="21"/>
        </w:rPr>
        <w:t>我方在参加本次投标前</w:t>
      </w:r>
      <w:r>
        <w:rPr>
          <w:rFonts w:ascii="宋体" w:hAnsi="宋体"/>
          <w:color w:val="auto"/>
          <w:szCs w:val="21"/>
        </w:rPr>
        <w:t>3年内，在经营活动及参与采购活动中没有重大违法活动及涉嫌违规行为，并没有因而被有关部门警告或处分的记录。</w:t>
      </w:r>
    </w:p>
    <w:p>
      <w:pPr>
        <w:widowControl/>
        <w:shd w:val="clear" w:color="auto" w:fill="FFFFFF" w:themeFill="background1"/>
        <w:spacing w:line="360" w:lineRule="auto"/>
        <w:ind w:left="368" w:firstLine="420" w:firstLineChars="200"/>
        <w:jc w:val="left"/>
        <w:rPr>
          <w:rFonts w:ascii="宋体" w:hAnsi="宋体"/>
          <w:color w:val="auto"/>
          <w:szCs w:val="21"/>
        </w:rPr>
      </w:pPr>
      <w:r>
        <w:rPr>
          <w:rFonts w:hint="eastAsia" w:ascii="宋体" w:hAnsi="宋体"/>
          <w:color w:val="auto"/>
          <w:szCs w:val="21"/>
        </w:rPr>
        <w:t>特此声明！</w:t>
      </w:r>
    </w:p>
    <w:p>
      <w:pPr>
        <w:shd w:val="clear" w:color="auto" w:fill="FFFFFF" w:themeFill="background1"/>
        <w:spacing w:line="480" w:lineRule="auto"/>
        <w:ind w:left="-2" w:leftChars="-1" w:firstLine="616" w:firstLineChars="257"/>
        <w:rPr>
          <w:rFonts w:ascii="宋体" w:hAnsi="宋体"/>
          <w:color w:val="auto"/>
          <w:sz w:val="24"/>
        </w:rPr>
      </w:pPr>
    </w:p>
    <w:p>
      <w:pPr>
        <w:shd w:val="clear" w:color="auto" w:fill="FFFFFF" w:themeFill="background1"/>
        <w:spacing w:line="360" w:lineRule="auto"/>
        <w:jc w:val="right"/>
        <w:rPr>
          <w:rFonts w:ascii="宋体" w:hAnsi="宋体"/>
          <w:color w:val="auto"/>
          <w:szCs w:val="21"/>
        </w:rPr>
      </w:pPr>
      <w:r>
        <w:rPr>
          <w:rFonts w:hint="eastAsia" w:ascii="宋体" w:hAnsi="宋体"/>
          <w:color w:val="auto"/>
          <w:szCs w:val="21"/>
        </w:rPr>
        <w:t>投标人名称（加盖公章）</w:t>
      </w:r>
      <w:r>
        <w:rPr>
          <w:rFonts w:ascii="宋体" w:hAnsi="宋体"/>
          <w:color w:val="auto"/>
          <w:szCs w:val="21"/>
        </w:rPr>
        <w:t xml:space="preserve">: </w:t>
      </w:r>
      <w:r>
        <w:rPr>
          <w:rFonts w:ascii="宋体" w:hAnsi="宋体"/>
          <w:color w:val="auto"/>
          <w:szCs w:val="21"/>
          <w:u w:val="single"/>
        </w:rPr>
        <w:t xml:space="preserve">              </w:t>
      </w:r>
      <w:r>
        <w:rPr>
          <w:rFonts w:ascii="宋体" w:hAnsi="宋体"/>
          <w:color w:val="auto"/>
          <w:szCs w:val="21"/>
        </w:rPr>
        <w:t>.</w:t>
      </w:r>
    </w:p>
    <w:p>
      <w:pPr>
        <w:shd w:val="clear" w:color="auto" w:fill="FFFFFF" w:themeFill="background1"/>
        <w:spacing w:line="360" w:lineRule="auto"/>
        <w:jc w:val="right"/>
        <w:rPr>
          <w:rFonts w:ascii="宋体" w:hAnsi="宋体"/>
          <w:color w:val="auto"/>
          <w:szCs w:val="21"/>
          <w:u w:val="single"/>
        </w:rPr>
      </w:pPr>
      <w:r>
        <w:rPr>
          <w:rFonts w:hint="eastAsia" w:ascii="宋体" w:hAnsi="宋体"/>
          <w:color w:val="auto"/>
          <w:szCs w:val="21"/>
        </w:rPr>
        <w:t>法定代表或其授权代表</w:t>
      </w:r>
      <w:r>
        <w:rPr>
          <w:rFonts w:ascii="宋体" w:hAnsi="宋体"/>
          <w:color w:val="auto"/>
          <w:szCs w:val="21"/>
        </w:rPr>
        <w:t>(签字或盖章)：</w:t>
      </w:r>
      <w:r>
        <w:rPr>
          <w:rFonts w:ascii="宋体" w:hAnsi="宋体"/>
          <w:color w:val="auto"/>
          <w:szCs w:val="21"/>
          <w:u w:val="single"/>
        </w:rPr>
        <w:t xml:space="preserve">              </w:t>
      </w:r>
      <w:r>
        <w:rPr>
          <w:rFonts w:ascii="宋体" w:hAnsi="宋体"/>
          <w:color w:val="auto"/>
          <w:szCs w:val="21"/>
        </w:rPr>
        <w:t>.</w:t>
      </w:r>
    </w:p>
    <w:p>
      <w:pPr>
        <w:shd w:val="clear" w:color="auto" w:fill="FFFFFF" w:themeFill="background1"/>
        <w:jc w:val="right"/>
        <w:rPr>
          <w:color w:val="auto"/>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rPr>
        <w:t>202</w:t>
      </w:r>
      <w:r>
        <w:rPr>
          <w:rFonts w:hint="eastAsia" w:ascii="宋体" w:hAnsi="宋体"/>
          <w:color w:val="auto"/>
          <w:szCs w:val="21"/>
        </w:rPr>
        <w:t>4</w:t>
      </w:r>
      <w:r>
        <w:rPr>
          <w:rFonts w:ascii="宋体" w:hAnsi="宋体"/>
          <w:color w:val="auto"/>
          <w:szCs w:val="21"/>
        </w:rPr>
        <w:t>年   月   日</w:t>
      </w:r>
    </w:p>
    <w:p>
      <w:pPr>
        <w:widowControl/>
        <w:jc w:val="left"/>
        <w:rPr>
          <w:color w:val="auto"/>
        </w:rPr>
      </w:pPr>
      <w:r>
        <w:rPr>
          <w:color w:val="auto"/>
        </w:rPr>
        <w:br w:type="page"/>
      </w:r>
    </w:p>
    <w:p/>
    <w:p>
      <w:pPr>
        <w:pStyle w:val="38"/>
        <w:numPr>
          <w:ilvl w:val="1"/>
          <w:numId w:val="15"/>
        </w:numPr>
        <w:tabs>
          <w:tab w:val="left" w:pos="588"/>
        </w:tabs>
        <w:snapToGrid w:val="0"/>
        <w:spacing w:before="120" w:after="120" w:line="440" w:lineRule="exact"/>
        <w:ind w:hanging="992"/>
        <w:jc w:val="left"/>
        <w:rPr>
          <w:rFonts w:ascii="宋体" w:hAnsi="宋体"/>
          <w:sz w:val="24"/>
          <w:szCs w:val="24"/>
        </w:rPr>
      </w:pPr>
      <w:bookmarkStart w:id="552" w:name="_Toc1421"/>
      <w:bookmarkStart w:id="553" w:name="_Toc29084"/>
      <w:bookmarkStart w:id="554" w:name="_Toc56432240"/>
      <w:bookmarkStart w:id="555" w:name="_Toc13551"/>
      <w:r>
        <w:rPr>
          <w:rFonts w:hint="eastAsia" w:ascii="宋体" w:hAnsi="宋体"/>
          <w:sz w:val="24"/>
          <w:szCs w:val="24"/>
        </w:rPr>
        <w:t>投标人控股及管理关系情况申报表</w:t>
      </w:r>
      <w:bookmarkEnd w:id="546"/>
      <w:bookmarkEnd w:id="547"/>
      <w:bookmarkEnd w:id="552"/>
      <w:bookmarkEnd w:id="553"/>
      <w:bookmarkEnd w:id="554"/>
      <w:bookmarkEnd w:id="555"/>
    </w:p>
    <w:p>
      <w:pPr>
        <w:spacing w:line="360" w:lineRule="auto"/>
        <w:rPr>
          <w:rFonts w:ascii="宋体" w:hAnsi="宋体"/>
          <w:szCs w:val="21"/>
        </w:rPr>
      </w:pPr>
      <w:r>
        <w:rPr>
          <w:rFonts w:ascii="宋体" w:hAnsi="宋体"/>
          <w:szCs w:val="21"/>
          <w:u w:val="single"/>
        </w:rPr>
        <w:t xml:space="preserve">致：            </w:t>
      </w:r>
      <w:r>
        <w:rPr>
          <w:rFonts w:hint="eastAsia" w:ascii="宋体" w:hAnsi="宋体"/>
          <w:szCs w:val="21"/>
        </w:rPr>
        <w:t>（招标人名称）：</w:t>
      </w:r>
    </w:p>
    <w:p>
      <w:pPr>
        <w:spacing w:line="440" w:lineRule="exact"/>
        <w:ind w:firstLine="420" w:firstLineChars="200"/>
      </w:pPr>
      <w:r>
        <w:rPr>
          <w:rFonts w:hint="eastAsia"/>
        </w:rPr>
        <w:t>我方参加</w:t>
      </w:r>
      <w:r>
        <w:rPr>
          <w:u w:val="single"/>
        </w:rPr>
        <w:t xml:space="preserve">          </w:t>
      </w:r>
      <w:r>
        <w:rPr>
          <w:rFonts w:hint="eastAsia"/>
          <w:u w:val="single"/>
        </w:rPr>
        <w:t>（项目名称）</w:t>
      </w:r>
      <w:r>
        <w:rPr>
          <w:u w:val="single"/>
        </w:rPr>
        <w:t xml:space="preserve">      </w:t>
      </w:r>
      <w:r>
        <w:rPr>
          <w:rFonts w:hint="eastAsia"/>
        </w:rPr>
        <w:t>的投标，根据法律法规维护采购公正性的相关规定，特就本单位控股及管理关系情况申报如下，并承担申报不实的责任。</w:t>
      </w:r>
    </w:p>
    <w:tbl>
      <w:tblPr>
        <w:tblStyle w:val="41"/>
        <w:tblW w:w="8315" w:type="dxa"/>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2245"/>
        <w:gridCol w:w="363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435" w:type="dxa"/>
            <w:vAlign w:val="center"/>
          </w:tcPr>
          <w:p>
            <w:pPr>
              <w:spacing w:line="360" w:lineRule="auto"/>
              <w:rPr>
                <w:rFonts w:ascii="宋体" w:hAnsi="宋体"/>
                <w:szCs w:val="21"/>
              </w:rPr>
            </w:pPr>
            <w:r>
              <w:rPr>
                <w:rFonts w:hint="eastAsia" w:ascii="宋体" w:hAnsi="宋体"/>
                <w:szCs w:val="21"/>
              </w:rPr>
              <w:t>申报人名称</w:t>
            </w:r>
          </w:p>
        </w:tc>
        <w:tc>
          <w:tcPr>
            <w:tcW w:w="5880" w:type="dxa"/>
            <w:gridSpan w:val="2"/>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restart"/>
            <w:vAlign w:val="center"/>
          </w:tcPr>
          <w:p>
            <w:pPr>
              <w:spacing w:line="360" w:lineRule="auto"/>
              <w:rPr>
                <w:rFonts w:ascii="宋体" w:hAnsi="宋体"/>
                <w:szCs w:val="21"/>
              </w:rPr>
            </w:pPr>
            <w:r>
              <w:rPr>
                <w:rFonts w:hint="eastAsia" w:ascii="宋体" w:hAnsi="宋体"/>
                <w:szCs w:val="21"/>
              </w:rPr>
              <w:t>法定代表人</w:t>
            </w:r>
            <w:r>
              <w:rPr>
                <w:rFonts w:ascii="宋体" w:hAnsi="宋体"/>
                <w:szCs w:val="21"/>
              </w:rPr>
              <w:t>/单位负责人</w:t>
            </w:r>
          </w:p>
        </w:tc>
        <w:tc>
          <w:tcPr>
            <w:tcW w:w="2245" w:type="dxa"/>
            <w:vAlign w:val="center"/>
          </w:tcPr>
          <w:p>
            <w:pPr>
              <w:spacing w:line="360" w:lineRule="auto"/>
              <w:rPr>
                <w:rFonts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635" w:type="dxa"/>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continue"/>
            <w:vAlign w:val="center"/>
          </w:tcPr>
          <w:p>
            <w:pPr>
              <w:spacing w:line="360" w:lineRule="auto"/>
              <w:rPr>
                <w:rFonts w:ascii="宋体" w:hAnsi="宋体"/>
                <w:szCs w:val="21"/>
              </w:rPr>
            </w:pPr>
          </w:p>
        </w:tc>
        <w:tc>
          <w:tcPr>
            <w:tcW w:w="2245" w:type="dxa"/>
            <w:vAlign w:val="center"/>
          </w:tcPr>
          <w:p>
            <w:pPr>
              <w:spacing w:line="360" w:lineRule="auto"/>
              <w:rPr>
                <w:rFonts w:ascii="宋体" w:hAnsi="宋体"/>
                <w:szCs w:val="21"/>
              </w:rPr>
            </w:pPr>
            <w:r>
              <w:rPr>
                <w:rFonts w:hint="eastAsia" w:ascii="宋体" w:hAnsi="宋体"/>
                <w:szCs w:val="21"/>
              </w:rPr>
              <w:t>身份证号</w:t>
            </w:r>
          </w:p>
        </w:tc>
        <w:tc>
          <w:tcPr>
            <w:tcW w:w="3635" w:type="dxa"/>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435" w:type="dxa"/>
            <w:vAlign w:val="center"/>
          </w:tcPr>
          <w:p>
            <w:pPr>
              <w:spacing w:line="360" w:lineRule="auto"/>
              <w:rPr>
                <w:rFonts w:ascii="宋体" w:hAnsi="宋体"/>
                <w:szCs w:val="21"/>
              </w:rPr>
            </w:pPr>
            <w:r>
              <w:rPr>
                <w:rFonts w:hint="eastAsia" w:ascii="宋体" w:hAnsi="宋体"/>
                <w:szCs w:val="21"/>
              </w:rPr>
              <w:t>控股股东</w:t>
            </w:r>
            <w:r>
              <w:rPr>
                <w:rFonts w:ascii="宋体" w:hAnsi="宋体"/>
                <w:szCs w:val="21"/>
              </w:rPr>
              <w:t>/投资人名称</w:t>
            </w:r>
          </w:p>
          <w:p>
            <w:pPr>
              <w:spacing w:line="360" w:lineRule="auto"/>
              <w:rPr>
                <w:rFonts w:ascii="宋体" w:hAnsi="宋体"/>
                <w:szCs w:val="21"/>
              </w:rPr>
            </w:pPr>
            <w:r>
              <w:rPr>
                <w:rFonts w:hint="eastAsia" w:ascii="宋体" w:hAnsi="宋体"/>
                <w:szCs w:val="21"/>
              </w:rPr>
              <w:t>及出资比例</w:t>
            </w:r>
          </w:p>
        </w:tc>
        <w:tc>
          <w:tcPr>
            <w:tcW w:w="5880" w:type="dxa"/>
            <w:gridSpan w:val="2"/>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435" w:type="dxa"/>
            <w:vAlign w:val="center"/>
          </w:tcPr>
          <w:p>
            <w:pPr>
              <w:spacing w:line="360" w:lineRule="auto"/>
              <w:rPr>
                <w:rFonts w:ascii="宋体" w:hAnsi="宋体"/>
                <w:szCs w:val="21"/>
              </w:rPr>
            </w:pPr>
            <w:r>
              <w:rPr>
                <w:rFonts w:hint="eastAsia" w:ascii="宋体" w:hAnsi="宋体"/>
                <w:szCs w:val="21"/>
              </w:rPr>
              <w:t>非控股股东</w:t>
            </w:r>
            <w:r>
              <w:rPr>
                <w:rFonts w:ascii="宋体" w:hAnsi="宋体"/>
                <w:szCs w:val="21"/>
              </w:rPr>
              <w:t>/投资人名称</w:t>
            </w:r>
          </w:p>
          <w:p>
            <w:pPr>
              <w:spacing w:line="360" w:lineRule="auto"/>
              <w:rPr>
                <w:rFonts w:ascii="宋体" w:hAnsi="宋体"/>
                <w:szCs w:val="21"/>
              </w:rPr>
            </w:pPr>
            <w:r>
              <w:rPr>
                <w:rFonts w:hint="eastAsia" w:ascii="宋体" w:hAnsi="宋体"/>
                <w:szCs w:val="21"/>
              </w:rPr>
              <w:t>及出资比例</w:t>
            </w:r>
          </w:p>
        </w:tc>
        <w:tc>
          <w:tcPr>
            <w:tcW w:w="5880" w:type="dxa"/>
            <w:gridSpan w:val="2"/>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restart"/>
            <w:vAlign w:val="center"/>
          </w:tcPr>
          <w:p>
            <w:pPr>
              <w:spacing w:line="360" w:lineRule="auto"/>
              <w:rPr>
                <w:rFonts w:ascii="宋体" w:hAnsi="宋体"/>
                <w:szCs w:val="21"/>
              </w:rPr>
            </w:pPr>
            <w:r>
              <w:rPr>
                <w:rFonts w:hint="eastAsia" w:ascii="宋体" w:hAnsi="宋体"/>
                <w:szCs w:val="21"/>
              </w:rPr>
              <w:t>管理关系单位名称</w:t>
            </w:r>
          </w:p>
        </w:tc>
        <w:tc>
          <w:tcPr>
            <w:tcW w:w="2245" w:type="dxa"/>
            <w:vAlign w:val="center"/>
          </w:tcPr>
          <w:p>
            <w:pPr>
              <w:spacing w:line="360" w:lineRule="auto"/>
              <w:rPr>
                <w:rFonts w:ascii="宋体" w:hAnsi="宋体"/>
                <w:szCs w:val="21"/>
              </w:rPr>
            </w:pPr>
            <w:r>
              <w:rPr>
                <w:rFonts w:hint="eastAsia" w:ascii="宋体" w:hAnsi="宋体"/>
                <w:szCs w:val="21"/>
              </w:rPr>
              <w:t>管理关系单位名称</w:t>
            </w:r>
          </w:p>
        </w:tc>
        <w:tc>
          <w:tcPr>
            <w:tcW w:w="3635" w:type="dxa"/>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continue"/>
            <w:vAlign w:val="center"/>
          </w:tcPr>
          <w:p>
            <w:pPr>
              <w:spacing w:line="360" w:lineRule="auto"/>
              <w:rPr>
                <w:rFonts w:ascii="宋体" w:hAnsi="宋体"/>
                <w:szCs w:val="21"/>
              </w:rPr>
            </w:pPr>
          </w:p>
        </w:tc>
        <w:tc>
          <w:tcPr>
            <w:tcW w:w="2245" w:type="dxa"/>
            <w:vAlign w:val="center"/>
          </w:tcPr>
          <w:p>
            <w:pPr>
              <w:spacing w:line="360" w:lineRule="auto"/>
              <w:rPr>
                <w:rFonts w:ascii="宋体" w:hAnsi="宋体"/>
                <w:szCs w:val="21"/>
              </w:rPr>
            </w:pPr>
            <w:r>
              <w:rPr>
                <w:rFonts w:hint="eastAsia" w:ascii="宋体" w:hAnsi="宋体"/>
                <w:szCs w:val="21"/>
              </w:rPr>
              <w:t>被管理关系单位名称</w:t>
            </w:r>
          </w:p>
        </w:tc>
        <w:tc>
          <w:tcPr>
            <w:tcW w:w="3635" w:type="dxa"/>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8315" w:type="dxa"/>
            <w:gridSpan w:val="3"/>
            <w:vAlign w:val="center"/>
          </w:tcPr>
          <w:p>
            <w:pPr>
              <w:spacing w:line="360" w:lineRule="auto"/>
              <w:rPr>
                <w:rFonts w:ascii="宋体" w:hAnsi="宋体"/>
                <w:szCs w:val="21"/>
              </w:rPr>
            </w:pPr>
            <w:r>
              <w:rPr>
                <w:rFonts w:hint="eastAsia" w:ascii="宋体" w:hAnsi="宋体"/>
                <w:szCs w:val="21"/>
              </w:rPr>
              <w:t>备注：</w:t>
            </w:r>
          </w:p>
        </w:tc>
      </w:tr>
    </w:tbl>
    <w:p>
      <w:pPr>
        <w:spacing w:line="360" w:lineRule="auto"/>
        <w:rPr>
          <w:rFonts w:ascii="宋体" w:hAnsi="宋体"/>
        </w:rPr>
      </w:pPr>
      <w:r>
        <w:rPr>
          <w:rFonts w:hint="eastAsia" w:ascii="宋体" w:hAnsi="宋体"/>
        </w:rPr>
        <w:t>注：</w:t>
      </w:r>
      <w:r>
        <w:rPr>
          <w:rFonts w:ascii="宋体" w:hAnsi="宋体"/>
        </w:rPr>
        <w:t>1.控股股东/投资人是指出资比例在50%以上，或者出资比例不足50%，但享有公司股东会/董事会控制权的投资方（含单位或者个人）；</w:t>
      </w:r>
    </w:p>
    <w:p>
      <w:pPr>
        <w:spacing w:line="360" w:lineRule="auto"/>
        <w:rPr>
          <w:rFonts w:ascii="宋体" w:hAnsi="宋体"/>
          <w:i/>
        </w:rPr>
      </w:pPr>
      <w:r>
        <w:rPr>
          <w:rFonts w:ascii="宋体" w:hAnsi="宋体"/>
        </w:rPr>
        <w:t xml:space="preserve">    2.管理关系单位是指与不具有出资持股关系的其他单位之间存在管理与被管理关系的单位；</w:t>
      </w:r>
    </w:p>
    <w:p>
      <w:pPr>
        <w:spacing w:line="360" w:lineRule="auto"/>
        <w:rPr>
          <w:rFonts w:ascii="宋体" w:hAnsi="宋体"/>
          <w:kern w:val="0"/>
        </w:rPr>
      </w:pPr>
      <w:r>
        <w:rPr>
          <w:rFonts w:ascii="宋体" w:hAnsi="宋体"/>
        </w:rPr>
        <w:t xml:space="preserve">    3.如未有相关情况，请在相应栏填写“无”。</w:t>
      </w:r>
    </w:p>
    <w:p>
      <w:pPr>
        <w:spacing w:line="360" w:lineRule="auto"/>
        <w:rPr>
          <w:rFonts w:ascii="宋体" w:hAnsi="宋体"/>
          <w:kern w:val="0"/>
        </w:rPr>
      </w:pPr>
    </w:p>
    <w:p>
      <w:pPr>
        <w:spacing w:line="360" w:lineRule="auto"/>
        <w:rPr>
          <w:rFonts w:ascii="宋体" w:hAnsi="宋体"/>
          <w:kern w:val="0"/>
        </w:rPr>
      </w:pPr>
    </w:p>
    <w:p>
      <w:pPr>
        <w:spacing w:line="360" w:lineRule="auto"/>
        <w:jc w:val="right"/>
        <w:rPr>
          <w:rFonts w:ascii="宋体" w:hAnsi="宋体"/>
          <w:kern w:val="0"/>
        </w:rPr>
      </w:pPr>
      <w:bookmarkStart w:id="556" w:name="_Toc247514301"/>
      <w:bookmarkStart w:id="557" w:name="_Toc144974877"/>
      <w:bookmarkStart w:id="558" w:name="_Toc334767004"/>
      <w:bookmarkStart w:id="559" w:name="_Toc152045809"/>
      <w:bookmarkStart w:id="560" w:name="_Toc152042598"/>
      <w:bookmarkStart w:id="561" w:name="_Toc326223619"/>
      <w:bookmarkStart w:id="562" w:name="_Toc265953295"/>
      <w:bookmarkStart w:id="563" w:name="_Toc247527849"/>
      <w:bookmarkStart w:id="564" w:name="_Toc332188253"/>
      <w:r>
        <w:rPr>
          <w:rFonts w:hint="eastAsia" w:ascii="宋体" w:hAnsi="宋体"/>
          <w:kern w:val="0"/>
        </w:rPr>
        <w:t>投标人：</w:t>
      </w:r>
      <w:r>
        <w:rPr>
          <w:rFonts w:ascii="宋体" w:hAnsi="宋体"/>
          <w:kern w:val="0"/>
          <w:u w:val="single"/>
        </w:rPr>
        <w:t xml:space="preserve">              </w:t>
      </w:r>
      <w:r>
        <w:rPr>
          <w:rFonts w:hint="eastAsia" w:ascii="宋体" w:hAnsi="宋体"/>
          <w:kern w:val="0"/>
        </w:rPr>
        <w:t>（盖单位公章）</w:t>
      </w:r>
      <w:r>
        <w:rPr>
          <w:rFonts w:ascii="宋体" w:hAnsi="宋体"/>
          <w:kern w:val="0"/>
        </w:rPr>
        <w:t xml:space="preserve"> </w:t>
      </w:r>
    </w:p>
    <w:p>
      <w:pPr>
        <w:spacing w:line="360" w:lineRule="auto"/>
        <w:ind w:firstLine="4200" w:firstLineChars="2000"/>
        <w:jc w:val="right"/>
        <w:rPr>
          <w:rFonts w:ascii="宋体" w:hAnsi="宋体"/>
          <w:kern w:val="0"/>
        </w:rPr>
      </w:pPr>
      <w:r>
        <w:rPr>
          <w:rFonts w:ascii="宋体" w:hAnsi="宋体"/>
          <w:kern w:val="0"/>
        </w:rPr>
        <w:t xml:space="preserve">                 </w:t>
      </w:r>
      <w:r>
        <w:rPr>
          <w:rFonts w:hint="eastAsia" w:ascii="宋体" w:hAnsi="宋体"/>
          <w:kern w:val="0"/>
        </w:rPr>
        <w:t>年</w:t>
      </w:r>
      <w:r>
        <w:rPr>
          <w:rFonts w:ascii="宋体" w:hAnsi="宋体"/>
          <w:kern w:val="0"/>
        </w:rPr>
        <w:t xml:space="preserve">   </w:t>
      </w:r>
      <w:r>
        <w:rPr>
          <w:rFonts w:hint="eastAsia" w:ascii="宋体" w:hAnsi="宋体"/>
          <w:kern w:val="0"/>
        </w:rPr>
        <w:t>月</w:t>
      </w:r>
      <w:r>
        <w:rPr>
          <w:rFonts w:ascii="宋体" w:hAnsi="宋体"/>
          <w:kern w:val="0"/>
        </w:rPr>
        <w:t xml:space="preserve">   </w:t>
      </w:r>
      <w:r>
        <w:rPr>
          <w:rFonts w:hint="eastAsia" w:ascii="宋体" w:hAnsi="宋体"/>
          <w:kern w:val="0"/>
        </w:rPr>
        <w:t>日</w:t>
      </w:r>
    </w:p>
    <w:p>
      <w:pPr>
        <w:widowControl/>
        <w:jc w:val="left"/>
      </w:pPr>
      <w:r>
        <w:br w:type="page"/>
      </w:r>
      <w:bookmarkEnd w:id="556"/>
      <w:bookmarkEnd w:id="557"/>
      <w:bookmarkEnd w:id="558"/>
      <w:bookmarkEnd w:id="559"/>
      <w:bookmarkEnd w:id="560"/>
      <w:bookmarkEnd w:id="561"/>
      <w:bookmarkEnd w:id="562"/>
      <w:bookmarkEnd w:id="563"/>
      <w:bookmarkEnd w:id="564"/>
    </w:p>
    <w:p>
      <w:pPr>
        <w:pStyle w:val="38"/>
        <w:numPr>
          <w:ilvl w:val="1"/>
          <w:numId w:val="15"/>
        </w:numPr>
        <w:tabs>
          <w:tab w:val="left" w:pos="588"/>
        </w:tabs>
        <w:snapToGrid w:val="0"/>
        <w:spacing w:before="120" w:after="120" w:line="440" w:lineRule="exact"/>
        <w:ind w:hanging="992"/>
        <w:jc w:val="left"/>
        <w:rPr>
          <w:rFonts w:ascii="宋体" w:hAnsi="宋体"/>
          <w:sz w:val="24"/>
          <w:szCs w:val="24"/>
        </w:rPr>
      </w:pPr>
      <w:bookmarkStart w:id="565" w:name="_Toc13005"/>
      <w:r>
        <w:rPr>
          <w:rFonts w:hint="eastAsia" w:ascii="宋体" w:hAnsi="宋体"/>
          <w:sz w:val="24"/>
          <w:szCs w:val="24"/>
        </w:rPr>
        <w:t>同类项目经验</w:t>
      </w:r>
      <w:bookmarkEnd w:id="565"/>
    </w:p>
    <w:p>
      <w:pPr>
        <w:jc w:val="center"/>
      </w:pPr>
      <w:r>
        <w:rPr>
          <w:rFonts w:hint="eastAsia"/>
        </w:rPr>
        <w:t>2021年1月1日至今（以合同签订日期为准）具备的同类项目情况表</w:t>
      </w:r>
    </w:p>
    <w:tbl>
      <w:tblPr>
        <w:tblStyle w:val="41"/>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063"/>
        <w:gridCol w:w="1160"/>
        <w:gridCol w:w="1160"/>
        <w:gridCol w:w="1160"/>
        <w:gridCol w:w="858"/>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80" w:type="dxa"/>
            <w:vAlign w:val="center"/>
          </w:tcPr>
          <w:p>
            <w:pPr>
              <w:jc w:val="center"/>
              <w:rPr>
                <w:rFonts w:ascii="宋体" w:hAnsi="宋体"/>
                <w:bCs/>
                <w:szCs w:val="21"/>
              </w:rPr>
            </w:pPr>
            <w:r>
              <w:rPr>
                <w:rFonts w:hint="eastAsia" w:ascii="宋体" w:hAnsi="宋体"/>
                <w:bCs/>
                <w:szCs w:val="21"/>
              </w:rPr>
              <w:t>序号</w:t>
            </w:r>
          </w:p>
        </w:tc>
        <w:tc>
          <w:tcPr>
            <w:tcW w:w="2063" w:type="dxa"/>
            <w:vAlign w:val="center"/>
          </w:tcPr>
          <w:p>
            <w:pPr>
              <w:jc w:val="center"/>
              <w:rPr>
                <w:rFonts w:ascii="宋体" w:hAnsi="宋体"/>
                <w:bCs/>
                <w:szCs w:val="21"/>
              </w:rPr>
            </w:pPr>
            <w:r>
              <w:rPr>
                <w:rFonts w:hint="eastAsia" w:ascii="宋体" w:hAnsi="宋体"/>
                <w:bCs/>
                <w:szCs w:val="21"/>
              </w:rPr>
              <w:t>项目名称</w:t>
            </w:r>
          </w:p>
        </w:tc>
        <w:tc>
          <w:tcPr>
            <w:tcW w:w="1160" w:type="dxa"/>
            <w:vAlign w:val="center"/>
          </w:tcPr>
          <w:p>
            <w:pPr>
              <w:jc w:val="center"/>
              <w:rPr>
                <w:rFonts w:ascii="宋体" w:hAnsi="宋体"/>
                <w:bCs/>
                <w:szCs w:val="21"/>
              </w:rPr>
            </w:pPr>
            <w:r>
              <w:rPr>
                <w:rFonts w:hint="eastAsia" w:ascii="宋体" w:hAnsi="宋体"/>
                <w:bCs/>
                <w:szCs w:val="21"/>
              </w:rPr>
              <w:t>合同金额</w:t>
            </w:r>
          </w:p>
        </w:tc>
        <w:tc>
          <w:tcPr>
            <w:tcW w:w="1160" w:type="dxa"/>
            <w:vAlign w:val="center"/>
          </w:tcPr>
          <w:p>
            <w:pPr>
              <w:jc w:val="center"/>
              <w:rPr>
                <w:rFonts w:ascii="宋体" w:hAnsi="宋体"/>
                <w:bCs/>
                <w:szCs w:val="21"/>
              </w:rPr>
            </w:pPr>
            <w:r>
              <w:rPr>
                <w:rFonts w:hint="eastAsia" w:ascii="宋体" w:hAnsi="宋体"/>
                <w:bCs/>
                <w:szCs w:val="21"/>
              </w:rPr>
              <w:t>甲方名称</w:t>
            </w:r>
          </w:p>
        </w:tc>
        <w:tc>
          <w:tcPr>
            <w:tcW w:w="1160" w:type="dxa"/>
            <w:vAlign w:val="center"/>
          </w:tcPr>
          <w:p>
            <w:pPr>
              <w:jc w:val="center"/>
              <w:rPr>
                <w:rFonts w:ascii="宋体" w:hAnsi="宋体"/>
                <w:bCs/>
                <w:szCs w:val="21"/>
              </w:rPr>
            </w:pPr>
            <w:r>
              <w:rPr>
                <w:rFonts w:hint="eastAsia" w:ascii="宋体" w:hAnsi="宋体"/>
                <w:bCs/>
                <w:szCs w:val="21"/>
              </w:rPr>
              <w:t>签订合同时间</w:t>
            </w:r>
          </w:p>
        </w:tc>
        <w:tc>
          <w:tcPr>
            <w:tcW w:w="858" w:type="dxa"/>
            <w:vAlign w:val="center"/>
          </w:tcPr>
          <w:p>
            <w:pPr>
              <w:jc w:val="center"/>
              <w:rPr>
                <w:rFonts w:ascii="宋体" w:hAnsi="宋体"/>
                <w:bCs/>
                <w:szCs w:val="21"/>
              </w:rPr>
            </w:pPr>
            <w:r>
              <w:rPr>
                <w:rFonts w:hint="eastAsia" w:ascii="宋体" w:hAnsi="宋体"/>
                <w:bCs/>
                <w:szCs w:val="21"/>
              </w:rPr>
              <w:t>项目负责人</w:t>
            </w:r>
          </w:p>
        </w:tc>
        <w:tc>
          <w:tcPr>
            <w:tcW w:w="1344" w:type="dxa"/>
            <w:vAlign w:val="center"/>
          </w:tcPr>
          <w:p>
            <w:pPr>
              <w:jc w:val="center"/>
              <w:rPr>
                <w:rFonts w:ascii="宋体" w:hAnsi="宋体"/>
                <w:bCs/>
                <w:szCs w:val="21"/>
              </w:rPr>
            </w:pPr>
            <w:r>
              <w:rPr>
                <w:rFonts w:hint="eastAsia" w:ascii="Verdana" w:hAnsi="Verdana"/>
                <w:szCs w:val="21"/>
              </w:rPr>
              <w:t>投标申请文件对应页码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pPr>
              <w:jc w:val="center"/>
              <w:rPr>
                <w:rFonts w:ascii="宋体" w:hAnsi="宋体"/>
                <w:szCs w:val="21"/>
              </w:rPr>
            </w:pPr>
          </w:p>
          <w:p>
            <w:pPr>
              <w:jc w:val="center"/>
              <w:rPr>
                <w:rFonts w:ascii="宋体" w:hAnsi="宋体"/>
                <w:szCs w:val="21"/>
              </w:rPr>
            </w:pPr>
          </w:p>
        </w:tc>
        <w:tc>
          <w:tcPr>
            <w:tcW w:w="2063" w:type="dxa"/>
            <w:vAlign w:val="center"/>
          </w:tcPr>
          <w:p>
            <w:pPr>
              <w:widowControl/>
              <w:jc w:val="center"/>
              <w:rPr>
                <w:rFonts w:ascii="宋体" w:hAnsi="宋体"/>
                <w:szCs w:val="21"/>
              </w:rPr>
            </w:pPr>
          </w:p>
          <w:p>
            <w:pPr>
              <w:jc w:val="center"/>
              <w:rPr>
                <w:rFonts w:ascii="宋体" w:hAnsi="宋体"/>
                <w:szCs w:val="21"/>
              </w:rPr>
            </w:pPr>
          </w:p>
        </w:tc>
        <w:tc>
          <w:tcPr>
            <w:tcW w:w="1160" w:type="dxa"/>
          </w:tcPr>
          <w:p>
            <w:pPr>
              <w:jc w:val="center"/>
              <w:rPr>
                <w:rFonts w:ascii="宋体" w:hAnsi="宋体"/>
                <w:szCs w:val="21"/>
              </w:rPr>
            </w:pPr>
          </w:p>
        </w:tc>
        <w:tc>
          <w:tcPr>
            <w:tcW w:w="1160" w:type="dxa"/>
          </w:tcPr>
          <w:p>
            <w:pPr>
              <w:jc w:val="center"/>
              <w:rPr>
                <w:rFonts w:ascii="宋体" w:hAnsi="宋体"/>
                <w:szCs w:val="21"/>
              </w:rPr>
            </w:pPr>
          </w:p>
        </w:tc>
        <w:tc>
          <w:tcPr>
            <w:tcW w:w="1160" w:type="dxa"/>
          </w:tcPr>
          <w:p>
            <w:pPr>
              <w:jc w:val="center"/>
              <w:rPr>
                <w:rFonts w:ascii="宋体" w:hAnsi="宋体"/>
                <w:szCs w:val="21"/>
              </w:rPr>
            </w:pPr>
          </w:p>
        </w:tc>
        <w:tc>
          <w:tcPr>
            <w:tcW w:w="858" w:type="dxa"/>
            <w:vAlign w:val="center"/>
          </w:tcPr>
          <w:p>
            <w:pPr>
              <w:jc w:val="center"/>
              <w:rPr>
                <w:rFonts w:ascii="宋体" w:hAnsi="宋体"/>
                <w:szCs w:val="21"/>
              </w:rPr>
            </w:pPr>
          </w:p>
        </w:tc>
        <w:tc>
          <w:tcPr>
            <w:tcW w:w="134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80" w:type="dxa"/>
            <w:vAlign w:val="center"/>
          </w:tcPr>
          <w:p>
            <w:pPr>
              <w:jc w:val="center"/>
              <w:rPr>
                <w:rFonts w:ascii="宋体" w:hAnsi="宋体"/>
                <w:szCs w:val="21"/>
              </w:rPr>
            </w:pPr>
          </w:p>
          <w:p>
            <w:pPr>
              <w:jc w:val="center"/>
              <w:rPr>
                <w:rFonts w:ascii="宋体" w:hAnsi="宋体"/>
                <w:szCs w:val="21"/>
              </w:rPr>
            </w:pPr>
          </w:p>
        </w:tc>
        <w:tc>
          <w:tcPr>
            <w:tcW w:w="2063" w:type="dxa"/>
            <w:vAlign w:val="center"/>
          </w:tcPr>
          <w:p>
            <w:pPr>
              <w:widowControl/>
              <w:jc w:val="center"/>
              <w:rPr>
                <w:rFonts w:ascii="宋体" w:hAnsi="宋体"/>
                <w:szCs w:val="21"/>
              </w:rPr>
            </w:pPr>
          </w:p>
          <w:p>
            <w:pPr>
              <w:jc w:val="center"/>
              <w:rPr>
                <w:rFonts w:ascii="宋体" w:hAnsi="宋体"/>
                <w:szCs w:val="21"/>
              </w:rPr>
            </w:pPr>
          </w:p>
        </w:tc>
        <w:tc>
          <w:tcPr>
            <w:tcW w:w="1160" w:type="dxa"/>
          </w:tcPr>
          <w:p>
            <w:pPr>
              <w:jc w:val="center"/>
              <w:rPr>
                <w:rFonts w:ascii="宋体" w:hAnsi="宋体"/>
                <w:szCs w:val="21"/>
              </w:rPr>
            </w:pPr>
          </w:p>
        </w:tc>
        <w:tc>
          <w:tcPr>
            <w:tcW w:w="1160" w:type="dxa"/>
          </w:tcPr>
          <w:p>
            <w:pPr>
              <w:jc w:val="center"/>
              <w:rPr>
                <w:rFonts w:ascii="宋体" w:hAnsi="宋体"/>
                <w:szCs w:val="21"/>
              </w:rPr>
            </w:pPr>
          </w:p>
        </w:tc>
        <w:tc>
          <w:tcPr>
            <w:tcW w:w="1160" w:type="dxa"/>
          </w:tcPr>
          <w:p>
            <w:pPr>
              <w:jc w:val="center"/>
              <w:rPr>
                <w:rFonts w:ascii="宋体" w:hAnsi="宋体"/>
                <w:szCs w:val="21"/>
              </w:rPr>
            </w:pPr>
          </w:p>
        </w:tc>
        <w:tc>
          <w:tcPr>
            <w:tcW w:w="858" w:type="dxa"/>
            <w:vAlign w:val="center"/>
          </w:tcPr>
          <w:p>
            <w:pPr>
              <w:jc w:val="center"/>
              <w:rPr>
                <w:rFonts w:ascii="宋体" w:hAnsi="宋体"/>
                <w:szCs w:val="21"/>
              </w:rPr>
            </w:pPr>
          </w:p>
        </w:tc>
        <w:tc>
          <w:tcPr>
            <w:tcW w:w="134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pPr>
              <w:jc w:val="center"/>
              <w:rPr>
                <w:rFonts w:ascii="宋体" w:hAnsi="宋体"/>
                <w:szCs w:val="21"/>
              </w:rPr>
            </w:pPr>
          </w:p>
          <w:p>
            <w:pPr>
              <w:jc w:val="center"/>
              <w:rPr>
                <w:rFonts w:ascii="宋体" w:hAnsi="宋体"/>
                <w:szCs w:val="21"/>
              </w:rPr>
            </w:pPr>
          </w:p>
        </w:tc>
        <w:tc>
          <w:tcPr>
            <w:tcW w:w="2063" w:type="dxa"/>
            <w:vAlign w:val="center"/>
          </w:tcPr>
          <w:p>
            <w:pPr>
              <w:widowControl/>
              <w:jc w:val="center"/>
              <w:rPr>
                <w:rFonts w:ascii="宋体" w:hAnsi="宋体"/>
                <w:szCs w:val="21"/>
              </w:rPr>
            </w:pPr>
          </w:p>
          <w:p>
            <w:pPr>
              <w:jc w:val="center"/>
              <w:rPr>
                <w:rFonts w:ascii="宋体" w:hAnsi="宋体"/>
                <w:szCs w:val="21"/>
              </w:rPr>
            </w:pPr>
          </w:p>
        </w:tc>
        <w:tc>
          <w:tcPr>
            <w:tcW w:w="1160" w:type="dxa"/>
          </w:tcPr>
          <w:p>
            <w:pPr>
              <w:jc w:val="center"/>
              <w:rPr>
                <w:rFonts w:ascii="宋体" w:hAnsi="宋体"/>
                <w:szCs w:val="21"/>
              </w:rPr>
            </w:pPr>
          </w:p>
        </w:tc>
        <w:tc>
          <w:tcPr>
            <w:tcW w:w="1160" w:type="dxa"/>
          </w:tcPr>
          <w:p>
            <w:pPr>
              <w:jc w:val="center"/>
              <w:rPr>
                <w:rFonts w:ascii="宋体" w:hAnsi="宋体"/>
                <w:szCs w:val="21"/>
              </w:rPr>
            </w:pPr>
          </w:p>
        </w:tc>
        <w:tc>
          <w:tcPr>
            <w:tcW w:w="1160" w:type="dxa"/>
          </w:tcPr>
          <w:p>
            <w:pPr>
              <w:jc w:val="center"/>
              <w:rPr>
                <w:rFonts w:ascii="宋体" w:hAnsi="宋体"/>
                <w:szCs w:val="21"/>
              </w:rPr>
            </w:pPr>
          </w:p>
        </w:tc>
        <w:tc>
          <w:tcPr>
            <w:tcW w:w="858" w:type="dxa"/>
            <w:vAlign w:val="center"/>
          </w:tcPr>
          <w:p>
            <w:pPr>
              <w:jc w:val="center"/>
              <w:rPr>
                <w:rFonts w:ascii="宋体" w:hAnsi="宋体"/>
                <w:szCs w:val="21"/>
              </w:rPr>
            </w:pPr>
          </w:p>
        </w:tc>
        <w:tc>
          <w:tcPr>
            <w:tcW w:w="134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80" w:type="dxa"/>
            <w:vAlign w:val="center"/>
          </w:tcPr>
          <w:p>
            <w:pPr>
              <w:jc w:val="center"/>
              <w:rPr>
                <w:rFonts w:ascii="宋体" w:hAnsi="宋体"/>
                <w:szCs w:val="21"/>
              </w:rPr>
            </w:pPr>
          </w:p>
          <w:p>
            <w:pPr>
              <w:jc w:val="center"/>
              <w:rPr>
                <w:rFonts w:ascii="宋体" w:hAnsi="宋体"/>
                <w:szCs w:val="21"/>
              </w:rPr>
            </w:pPr>
          </w:p>
        </w:tc>
        <w:tc>
          <w:tcPr>
            <w:tcW w:w="2063" w:type="dxa"/>
            <w:vAlign w:val="center"/>
          </w:tcPr>
          <w:p>
            <w:pPr>
              <w:widowControl/>
              <w:jc w:val="center"/>
              <w:rPr>
                <w:rFonts w:ascii="宋体" w:hAnsi="宋体"/>
                <w:szCs w:val="21"/>
              </w:rPr>
            </w:pPr>
          </w:p>
          <w:p>
            <w:pPr>
              <w:jc w:val="center"/>
              <w:rPr>
                <w:rFonts w:ascii="宋体" w:hAnsi="宋体"/>
                <w:szCs w:val="21"/>
              </w:rPr>
            </w:pPr>
          </w:p>
        </w:tc>
        <w:tc>
          <w:tcPr>
            <w:tcW w:w="1160" w:type="dxa"/>
          </w:tcPr>
          <w:p>
            <w:pPr>
              <w:jc w:val="center"/>
              <w:rPr>
                <w:rFonts w:ascii="宋体" w:hAnsi="宋体"/>
                <w:szCs w:val="21"/>
              </w:rPr>
            </w:pPr>
          </w:p>
        </w:tc>
        <w:tc>
          <w:tcPr>
            <w:tcW w:w="1160" w:type="dxa"/>
          </w:tcPr>
          <w:p>
            <w:pPr>
              <w:jc w:val="center"/>
              <w:rPr>
                <w:rFonts w:ascii="宋体" w:hAnsi="宋体"/>
                <w:szCs w:val="21"/>
              </w:rPr>
            </w:pPr>
          </w:p>
        </w:tc>
        <w:tc>
          <w:tcPr>
            <w:tcW w:w="1160" w:type="dxa"/>
          </w:tcPr>
          <w:p>
            <w:pPr>
              <w:jc w:val="center"/>
              <w:rPr>
                <w:rFonts w:ascii="宋体" w:hAnsi="宋体"/>
                <w:szCs w:val="21"/>
              </w:rPr>
            </w:pPr>
          </w:p>
        </w:tc>
        <w:tc>
          <w:tcPr>
            <w:tcW w:w="858" w:type="dxa"/>
            <w:vAlign w:val="center"/>
          </w:tcPr>
          <w:p>
            <w:pPr>
              <w:jc w:val="center"/>
              <w:rPr>
                <w:rFonts w:ascii="宋体" w:hAnsi="宋体"/>
                <w:szCs w:val="21"/>
              </w:rPr>
            </w:pPr>
          </w:p>
        </w:tc>
        <w:tc>
          <w:tcPr>
            <w:tcW w:w="134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80" w:type="dxa"/>
            <w:vAlign w:val="center"/>
          </w:tcPr>
          <w:p>
            <w:pPr>
              <w:jc w:val="center"/>
              <w:rPr>
                <w:rFonts w:ascii="宋体" w:hAnsi="宋体"/>
                <w:szCs w:val="21"/>
              </w:rPr>
            </w:pPr>
          </w:p>
          <w:p>
            <w:pPr>
              <w:jc w:val="center"/>
              <w:rPr>
                <w:rFonts w:ascii="宋体" w:hAnsi="宋体"/>
                <w:szCs w:val="21"/>
              </w:rPr>
            </w:pPr>
          </w:p>
        </w:tc>
        <w:tc>
          <w:tcPr>
            <w:tcW w:w="2063" w:type="dxa"/>
            <w:vAlign w:val="center"/>
          </w:tcPr>
          <w:p>
            <w:pPr>
              <w:widowControl/>
              <w:jc w:val="center"/>
              <w:rPr>
                <w:rFonts w:ascii="宋体" w:hAnsi="宋体"/>
                <w:szCs w:val="21"/>
              </w:rPr>
            </w:pPr>
          </w:p>
          <w:p>
            <w:pPr>
              <w:jc w:val="center"/>
              <w:rPr>
                <w:rFonts w:ascii="宋体" w:hAnsi="宋体"/>
                <w:szCs w:val="21"/>
              </w:rPr>
            </w:pPr>
          </w:p>
        </w:tc>
        <w:tc>
          <w:tcPr>
            <w:tcW w:w="1160" w:type="dxa"/>
          </w:tcPr>
          <w:p>
            <w:pPr>
              <w:jc w:val="center"/>
              <w:rPr>
                <w:rFonts w:ascii="宋体" w:hAnsi="宋体"/>
                <w:szCs w:val="21"/>
              </w:rPr>
            </w:pPr>
          </w:p>
        </w:tc>
        <w:tc>
          <w:tcPr>
            <w:tcW w:w="1160" w:type="dxa"/>
          </w:tcPr>
          <w:p>
            <w:pPr>
              <w:jc w:val="center"/>
              <w:rPr>
                <w:rFonts w:ascii="宋体" w:hAnsi="宋体"/>
                <w:szCs w:val="21"/>
              </w:rPr>
            </w:pPr>
          </w:p>
        </w:tc>
        <w:tc>
          <w:tcPr>
            <w:tcW w:w="1160" w:type="dxa"/>
          </w:tcPr>
          <w:p>
            <w:pPr>
              <w:jc w:val="center"/>
              <w:rPr>
                <w:rFonts w:ascii="宋体" w:hAnsi="宋体"/>
                <w:szCs w:val="21"/>
              </w:rPr>
            </w:pPr>
          </w:p>
        </w:tc>
        <w:tc>
          <w:tcPr>
            <w:tcW w:w="858" w:type="dxa"/>
            <w:vAlign w:val="center"/>
          </w:tcPr>
          <w:p>
            <w:pPr>
              <w:jc w:val="center"/>
              <w:rPr>
                <w:rFonts w:ascii="宋体" w:hAnsi="宋体"/>
                <w:szCs w:val="21"/>
              </w:rPr>
            </w:pPr>
          </w:p>
        </w:tc>
        <w:tc>
          <w:tcPr>
            <w:tcW w:w="1344" w:type="dxa"/>
          </w:tcPr>
          <w:p>
            <w:pPr>
              <w:jc w:val="center"/>
              <w:rPr>
                <w:rFonts w:ascii="宋体" w:hAnsi="宋体"/>
                <w:szCs w:val="21"/>
              </w:rPr>
            </w:pPr>
          </w:p>
        </w:tc>
      </w:tr>
    </w:tbl>
    <w:p>
      <w:pPr>
        <w:rPr>
          <w:rFonts w:ascii="宋体" w:hAnsi="宋体"/>
          <w:bCs/>
          <w:szCs w:val="21"/>
          <w:u w:val="single"/>
        </w:rPr>
      </w:pPr>
      <w:r>
        <w:rPr>
          <w:rFonts w:hint="eastAsia" w:ascii="宋体" w:hAnsi="宋体"/>
          <w:bCs/>
          <w:szCs w:val="21"/>
          <w:u w:val="single"/>
        </w:rPr>
        <w:t>备注：投标人必须如实填写，须按第三章评审办法中的“商务评分表”评审</w:t>
      </w:r>
      <w:r>
        <w:rPr>
          <w:rFonts w:hint="default" w:ascii="宋体" w:hAnsi="宋体"/>
          <w:bCs/>
          <w:szCs w:val="21"/>
          <w:u w:val="single"/>
        </w:rPr>
        <w:t>维度</w:t>
      </w:r>
      <w:r>
        <w:rPr>
          <w:rFonts w:hint="eastAsia" w:ascii="宋体" w:hAnsi="宋体"/>
          <w:bCs/>
          <w:szCs w:val="21"/>
          <w:u w:val="single"/>
        </w:rPr>
        <w:t>的要求提供证明材料，否则不予认可。</w:t>
      </w:r>
    </w:p>
    <w:p>
      <w:pPr>
        <w:spacing w:line="440" w:lineRule="exact"/>
        <w:rPr>
          <w:rFonts w:ascii="宋体" w:hAnsi="宋体"/>
          <w:sz w:val="23"/>
          <w:szCs w:val="23"/>
        </w:rPr>
      </w:pPr>
    </w:p>
    <w:p>
      <w:pPr>
        <w:widowControl/>
        <w:jc w:val="left"/>
        <w:rPr>
          <w:rFonts w:ascii="宋体" w:hAnsi="宋体"/>
          <w:sz w:val="23"/>
          <w:szCs w:val="23"/>
        </w:rPr>
      </w:pPr>
      <w:r>
        <w:rPr>
          <w:rFonts w:ascii="宋体" w:hAnsi="宋体"/>
          <w:sz w:val="23"/>
          <w:szCs w:val="23"/>
        </w:rPr>
        <w:br w:type="page"/>
      </w:r>
      <w:bookmarkEnd w:id="526"/>
    </w:p>
    <w:p>
      <w:pPr>
        <w:pStyle w:val="38"/>
        <w:numPr>
          <w:ilvl w:val="0"/>
          <w:numId w:val="15"/>
        </w:numPr>
        <w:tabs>
          <w:tab w:val="left" w:pos="588"/>
        </w:tabs>
        <w:snapToGrid w:val="0"/>
        <w:spacing w:before="120" w:after="120" w:line="440" w:lineRule="exact"/>
        <w:jc w:val="left"/>
        <w:rPr>
          <w:rFonts w:ascii="宋体" w:hAnsi="宋体"/>
          <w:sz w:val="24"/>
          <w:szCs w:val="24"/>
        </w:rPr>
      </w:pPr>
      <w:bookmarkStart w:id="566" w:name="_Toc477190654"/>
      <w:bookmarkEnd w:id="566"/>
      <w:bookmarkStart w:id="567" w:name="_Toc477190576"/>
      <w:bookmarkEnd w:id="567"/>
      <w:bookmarkStart w:id="568" w:name="_Toc477190562"/>
      <w:bookmarkEnd w:id="568"/>
      <w:bookmarkStart w:id="569" w:name="_Toc477190514"/>
      <w:bookmarkEnd w:id="569"/>
      <w:bookmarkStart w:id="570" w:name="_Toc477190474"/>
      <w:bookmarkEnd w:id="570"/>
      <w:bookmarkStart w:id="571" w:name="_Toc477190646"/>
      <w:bookmarkEnd w:id="571"/>
      <w:bookmarkStart w:id="572" w:name="_Toc477190448"/>
      <w:bookmarkEnd w:id="572"/>
      <w:bookmarkStart w:id="573" w:name="_Toc477190575"/>
      <w:bookmarkEnd w:id="573"/>
      <w:bookmarkStart w:id="574" w:name="_Toc477190506"/>
      <w:bookmarkEnd w:id="574"/>
      <w:bookmarkStart w:id="575" w:name="_Toc477190573"/>
      <w:bookmarkEnd w:id="575"/>
      <w:bookmarkStart w:id="576" w:name="_Toc477190507"/>
      <w:bookmarkEnd w:id="576"/>
      <w:bookmarkStart w:id="577" w:name="_Toc477190587"/>
      <w:bookmarkEnd w:id="577"/>
      <w:bookmarkStart w:id="578" w:name="_Toc477190612"/>
      <w:bookmarkEnd w:id="578"/>
      <w:bookmarkStart w:id="579" w:name="_Toc477190589"/>
      <w:bookmarkEnd w:id="579"/>
      <w:bookmarkStart w:id="580" w:name="_Toc477190462"/>
      <w:bookmarkEnd w:id="580"/>
      <w:bookmarkStart w:id="581" w:name="_Toc477190568"/>
      <w:bookmarkEnd w:id="581"/>
      <w:bookmarkStart w:id="582" w:name="_Toc477190517"/>
      <w:bookmarkEnd w:id="582"/>
      <w:bookmarkStart w:id="583" w:name="_Toc477190427"/>
      <w:bookmarkEnd w:id="583"/>
      <w:bookmarkStart w:id="584" w:name="_Toc477190457"/>
      <w:bookmarkEnd w:id="584"/>
      <w:bookmarkStart w:id="585" w:name="_Toc477190579"/>
      <w:bookmarkEnd w:id="585"/>
      <w:bookmarkStart w:id="586" w:name="_Toc477190513"/>
      <w:bookmarkEnd w:id="586"/>
      <w:bookmarkStart w:id="587" w:name="_Toc477190566"/>
      <w:bookmarkEnd w:id="587"/>
      <w:bookmarkStart w:id="588" w:name="_Toc477190368"/>
      <w:bookmarkEnd w:id="588"/>
      <w:bookmarkStart w:id="589" w:name="_Toc477190469"/>
      <w:bookmarkEnd w:id="589"/>
      <w:bookmarkStart w:id="590" w:name="_Toc477190571"/>
      <w:bookmarkEnd w:id="590"/>
      <w:bookmarkStart w:id="591" w:name="_Toc477190458"/>
      <w:bookmarkEnd w:id="591"/>
      <w:bookmarkStart w:id="592" w:name="_Toc477190366"/>
      <w:bookmarkEnd w:id="592"/>
      <w:bookmarkStart w:id="593" w:name="_Toc477190438"/>
      <w:bookmarkEnd w:id="593"/>
      <w:bookmarkStart w:id="594" w:name="_Toc477190431"/>
      <w:bookmarkEnd w:id="594"/>
      <w:bookmarkStart w:id="595" w:name="_Toc477190482"/>
      <w:bookmarkEnd w:id="595"/>
      <w:bookmarkStart w:id="596" w:name="_Toc477190498"/>
      <w:bookmarkEnd w:id="596"/>
      <w:bookmarkStart w:id="597" w:name="_Toc477190434"/>
      <w:bookmarkEnd w:id="597"/>
      <w:bookmarkStart w:id="598" w:name="_Toc477190421"/>
      <w:bookmarkEnd w:id="598"/>
      <w:bookmarkStart w:id="599" w:name="_Toc477190645"/>
      <w:bookmarkEnd w:id="599"/>
      <w:bookmarkStart w:id="600" w:name="_Toc477190510"/>
      <w:bookmarkEnd w:id="600"/>
      <w:bookmarkStart w:id="601" w:name="_Toc477190453"/>
      <w:bookmarkEnd w:id="601"/>
      <w:bookmarkStart w:id="602" w:name="_Toc477190450"/>
      <w:bookmarkEnd w:id="602"/>
      <w:bookmarkStart w:id="603" w:name="_Toc477190601"/>
      <w:bookmarkEnd w:id="603"/>
      <w:bookmarkStart w:id="604" w:name="_Toc477190455"/>
      <w:bookmarkEnd w:id="604"/>
      <w:bookmarkStart w:id="605" w:name="_Toc477190597"/>
      <w:bookmarkEnd w:id="605"/>
      <w:bookmarkStart w:id="606" w:name="_Toc477190433"/>
      <w:bookmarkEnd w:id="606"/>
      <w:bookmarkStart w:id="607" w:name="_Toc477190622"/>
      <w:bookmarkEnd w:id="607"/>
      <w:bookmarkStart w:id="608" w:name="_Toc477190423"/>
      <w:bookmarkEnd w:id="608"/>
      <w:bookmarkStart w:id="609" w:name="_Toc477190593"/>
      <w:bookmarkEnd w:id="609"/>
      <w:bookmarkStart w:id="610" w:name="_Toc477190508"/>
      <w:bookmarkEnd w:id="610"/>
      <w:bookmarkStart w:id="611" w:name="_Toc477190595"/>
      <w:bookmarkEnd w:id="611"/>
      <w:bookmarkStart w:id="612" w:name="_Toc477190598"/>
      <w:bookmarkEnd w:id="612"/>
      <w:bookmarkStart w:id="613" w:name="_Toc477190467"/>
      <w:bookmarkEnd w:id="613"/>
      <w:bookmarkStart w:id="614" w:name="_Toc477190650"/>
      <w:bookmarkEnd w:id="614"/>
      <w:bookmarkStart w:id="615" w:name="_Toc477190516"/>
      <w:bookmarkEnd w:id="615"/>
      <w:bookmarkStart w:id="616" w:name="_Toc477190585"/>
      <w:bookmarkEnd w:id="616"/>
      <w:bookmarkStart w:id="617" w:name="_Toc477190596"/>
      <w:bookmarkEnd w:id="617"/>
      <w:bookmarkStart w:id="618" w:name="_Toc477190652"/>
      <w:bookmarkEnd w:id="618"/>
      <w:bookmarkStart w:id="619" w:name="_Toc477190647"/>
      <w:bookmarkEnd w:id="619"/>
      <w:bookmarkStart w:id="620" w:name="_Toc477190426"/>
      <w:bookmarkEnd w:id="620"/>
      <w:bookmarkStart w:id="621" w:name="_Toc477190416"/>
      <w:bookmarkEnd w:id="621"/>
      <w:bookmarkStart w:id="622" w:name="_Toc477190512"/>
      <w:bookmarkEnd w:id="622"/>
      <w:bookmarkStart w:id="623" w:name="_Toc477190653"/>
      <w:bookmarkEnd w:id="623"/>
      <w:bookmarkStart w:id="624" w:name="_Toc477190424"/>
      <w:bookmarkEnd w:id="624"/>
      <w:bookmarkStart w:id="625" w:name="_Toc477190583"/>
      <w:bookmarkEnd w:id="625"/>
      <w:bookmarkStart w:id="626" w:name="_Toc477190569"/>
      <w:bookmarkEnd w:id="626"/>
      <w:bookmarkStart w:id="627" w:name="_Toc477190505"/>
      <w:bookmarkEnd w:id="627"/>
      <w:bookmarkStart w:id="628" w:name="_Toc477190504"/>
      <w:bookmarkEnd w:id="628"/>
      <w:bookmarkStart w:id="629" w:name="_Toc477190565"/>
      <w:bookmarkEnd w:id="629"/>
      <w:bookmarkStart w:id="630" w:name="_Toc477190442"/>
      <w:bookmarkEnd w:id="630"/>
      <w:bookmarkStart w:id="631" w:name="_Toc477190543"/>
      <w:bookmarkEnd w:id="631"/>
      <w:bookmarkStart w:id="632" w:name="_Toc477190466"/>
      <w:bookmarkEnd w:id="632"/>
      <w:bookmarkStart w:id="633" w:name="_Toc477190518"/>
      <w:bookmarkEnd w:id="633"/>
      <w:bookmarkStart w:id="634" w:name="_Toc477190537"/>
      <w:bookmarkEnd w:id="634"/>
      <w:bookmarkStart w:id="635" w:name="_Toc477190586"/>
      <w:bookmarkEnd w:id="635"/>
      <w:bookmarkStart w:id="636" w:name="_Toc477190570"/>
      <w:bookmarkEnd w:id="636"/>
      <w:bookmarkStart w:id="637" w:name="_Toc477190422"/>
      <w:bookmarkEnd w:id="637"/>
      <w:bookmarkStart w:id="638" w:name="_Toc477190463"/>
      <w:bookmarkEnd w:id="638"/>
      <w:bookmarkStart w:id="639" w:name="_Toc477190459"/>
      <w:bookmarkEnd w:id="639"/>
      <w:bookmarkStart w:id="640" w:name="_Toc477190564"/>
      <w:bookmarkEnd w:id="640"/>
      <w:bookmarkStart w:id="641" w:name="_Toc477190572"/>
      <w:bookmarkEnd w:id="641"/>
      <w:bookmarkStart w:id="642" w:name="_Toc477190549"/>
      <w:bookmarkEnd w:id="642"/>
      <w:bookmarkStart w:id="643" w:name="_Toc477190445"/>
      <w:bookmarkEnd w:id="643"/>
      <w:bookmarkStart w:id="644" w:name="_Toc477190432"/>
      <w:bookmarkEnd w:id="644"/>
      <w:bookmarkStart w:id="645" w:name="_Toc477190420"/>
      <w:bookmarkEnd w:id="645"/>
      <w:bookmarkStart w:id="646" w:name="_Toc477190437"/>
      <w:bookmarkEnd w:id="646"/>
      <w:bookmarkStart w:id="647" w:name="_Toc477190472"/>
      <w:bookmarkEnd w:id="647"/>
      <w:bookmarkStart w:id="648" w:name="_Toc477190452"/>
      <w:bookmarkEnd w:id="648"/>
      <w:bookmarkStart w:id="649" w:name="_Toc477190515"/>
      <w:bookmarkEnd w:id="649"/>
      <w:bookmarkStart w:id="650" w:name="_Toc477190473"/>
      <w:bookmarkEnd w:id="650"/>
      <w:bookmarkStart w:id="651" w:name="_Toc477190435"/>
      <w:bookmarkEnd w:id="651"/>
      <w:bookmarkStart w:id="652" w:name="_Toc477190591"/>
      <w:bookmarkEnd w:id="652"/>
      <w:bookmarkStart w:id="653" w:name="_Toc477190456"/>
      <w:bookmarkEnd w:id="653"/>
      <w:bookmarkStart w:id="654" w:name="_Toc477190590"/>
      <w:bookmarkEnd w:id="654"/>
      <w:bookmarkStart w:id="655" w:name="_Toc477190436"/>
      <w:bookmarkEnd w:id="655"/>
      <w:bookmarkStart w:id="656" w:name="_Toc477190365"/>
      <w:bookmarkEnd w:id="656"/>
      <w:bookmarkStart w:id="657" w:name="_Toc477190367"/>
      <w:bookmarkEnd w:id="657"/>
      <w:bookmarkStart w:id="658" w:name="_Toc477190555"/>
      <w:bookmarkEnd w:id="658"/>
      <w:bookmarkStart w:id="659" w:name="_Toc477190439"/>
      <w:bookmarkEnd w:id="659"/>
      <w:bookmarkStart w:id="660" w:name="_Toc477190418"/>
      <w:bookmarkEnd w:id="660"/>
      <w:bookmarkStart w:id="661" w:name="_Toc477190649"/>
      <w:bookmarkEnd w:id="661"/>
      <w:bookmarkStart w:id="662" w:name="_Toc477190419"/>
      <w:bookmarkEnd w:id="662"/>
      <w:bookmarkStart w:id="663" w:name="_Toc477190509"/>
      <w:bookmarkEnd w:id="663"/>
      <w:bookmarkStart w:id="664" w:name="_Toc477190599"/>
      <w:bookmarkEnd w:id="664"/>
      <w:bookmarkStart w:id="665" w:name="_Toc477190525"/>
      <w:bookmarkEnd w:id="665"/>
      <w:bookmarkStart w:id="666" w:name="_Toc477190567"/>
      <w:bookmarkEnd w:id="666"/>
      <w:bookmarkStart w:id="667" w:name="_Toc477190574"/>
      <w:bookmarkEnd w:id="667"/>
      <w:bookmarkStart w:id="668" w:name="_Toc477190443"/>
      <w:bookmarkEnd w:id="668"/>
      <w:bookmarkStart w:id="669" w:name="_Toc477190430"/>
      <w:bookmarkEnd w:id="669"/>
      <w:bookmarkStart w:id="670" w:name="_Toc477190470"/>
      <w:bookmarkEnd w:id="670"/>
      <w:bookmarkStart w:id="671" w:name="_Toc477190471"/>
      <w:bookmarkEnd w:id="671"/>
      <w:bookmarkStart w:id="672" w:name="_Toc477190584"/>
      <w:bookmarkEnd w:id="672"/>
      <w:bookmarkStart w:id="673" w:name="_Toc477190429"/>
      <w:bookmarkEnd w:id="673"/>
      <w:bookmarkStart w:id="674" w:name="_Toc477190588"/>
      <w:bookmarkEnd w:id="674"/>
      <w:bookmarkStart w:id="675" w:name="_Toc477190451"/>
      <w:bookmarkEnd w:id="675"/>
      <w:bookmarkStart w:id="676" w:name="_Toc477190651"/>
      <w:bookmarkEnd w:id="676"/>
      <w:bookmarkStart w:id="677" w:name="_Toc477190578"/>
      <w:bookmarkEnd w:id="677"/>
      <w:bookmarkStart w:id="678" w:name="_Toc477190446"/>
      <w:bookmarkEnd w:id="678"/>
      <w:bookmarkStart w:id="679" w:name="_Toc477190581"/>
      <w:bookmarkEnd w:id="679"/>
      <w:bookmarkStart w:id="680" w:name="_Toc477190428"/>
      <w:bookmarkEnd w:id="680"/>
      <w:bookmarkStart w:id="681" w:name="_Toc477190441"/>
      <w:bookmarkEnd w:id="681"/>
      <w:bookmarkStart w:id="682" w:name="_Toc477190580"/>
      <w:bookmarkEnd w:id="682"/>
      <w:bookmarkStart w:id="683" w:name="_Toc477190460"/>
      <w:bookmarkEnd w:id="683"/>
      <w:bookmarkStart w:id="684" w:name="_Toc477190447"/>
      <w:bookmarkEnd w:id="684"/>
      <w:bookmarkStart w:id="685" w:name="_Toc477190594"/>
      <w:bookmarkEnd w:id="685"/>
      <w:bookmarkStart w:id="686" w:name="_Toc477190425"/>
      <w:bookmarkEnd w:id="686"/>
      <w:bookmarkStart w:id="687" w:name="_Toc477190642"/>
      <w:bookmarkEnd w:id="687"/>
      <w:bookmarkStart w:id="688" w:name="_Toc477190414"/>
      <w:bookmarkEnd w:id="688"/>
      <w:bookmarkStart w:id="689" w:name="_Toc477190449"/>
      <w:bookmarkEnd w:id="689"/>
      <w:bookmarkStart w:id="690" w:name="_Toc477190454"/>
      <w:bookmarkEnd w:id="690"/>
      <w:bookmarkStart w:id="691" w:name="_Toc477190511"/>
      <w:bookmarkEnd w:id="691"/>
      <w:bookmarkStart w:id="692" w:name="_Toc477190468"/>
      <w:bookmarkEnd w:id="692"/>
      <w:bookmarkStart w:id="693" w:name="_Toc477190531"/>
      <w:bookmarkEnd w:id="693"/>
      <w:bookmarkStart w:id="694" w:name="_Toc477190648"/>
      <w:bookmarkEnd w:id="694"/>
      <w:bookmarkStart w:id="695" w:name="_Toc477190582"/>
      <w:bookmarkEnd w:id="695"/>
      <w:bookmarkStart w:id="696" w:name="_Toc477190444"/>
      <w:bookmarkEnd w:id="696"/>
      <w:bookmarkStart w:id="697" w:name="_Toc477190440"/>
      <w:bookmarkEnd w:id="697"/>
      <w:bookmarkStart w:id="698" w:name="_Toc477190415"/>
      <w:bookmarkEnd w:id="698"/>
      <w:bookmarkStart w:id="699" w:name="_Toc477190465"/>
      <w:bookmarkEnd w:id="699"/>
      <w:bookmarkStart w:id="700" w:name="_Toc477190561"/>
      <w:bookmarkEnd w:id="700"/>
      <w:bookmarkStart w:id="701" w:name="_Toc477190464"/>
      <w:bookmarkEnd w:id="701"/>
      <w:bookmarkStart w:id="702" w:name="_Toc477190600"/>
      <w:bookmarkEnd w:id="702"/>
      <w:bookmarkStart w:id="703" w:name="_Toc477190417"/>
      <w:bookmarkEnd w:id="703"/>
      <w:bookmarkStart w:id="704" w:name="_Toc477190592"/>
      <w:bookmarkEnd w:id="704"/>
      <w:bookmarkStart w:id="705" w:name="_Toc477190563"/>
      <w:bookmarkEnd w:id="705"/>
      <w:bookmarkStart w:id="706" w:name="_Toc477190632"/>
      <w:bookmarkEnd w:id="706"/>
      <w:bookmarkStart w:id="707" w:name="_Toc477190461"/>
      <w:bookmarkEnd w:id="707"/>
      <w:bookmarkStart w:id="708" w:name="_Toc477190577"/>
      <w:bookmarkEnd w:id="708"/>
      <w:bookmarkStart w:id="709" w:name="_Toc24277"/>
      <w:bookmarkStart w:id="710" w:name="_Toc9628"/>
      <w:bookmarkStart w:id="711" w:name="_Toc18418"/>
      <w:bookmarkStart w:id="712" w:name="_Toc56432243"/>
      <w:bookmarkStart w:id="713" w:name="_Toc475472691"/>
      <w:r>
        <w:rPr>
          <w:rFonts w:hint="eastAsia" w:ascii="宋体" w:hAnsi="宋体"/>
          <w:sz w:val="24"/>
          <w:szCs w:val="24"/>
        </w:rPr>
        <w:t>实质性条款偏离表</w:t>
      </w:r>
      <w:bookmarkEnd w:id="709"/>
      <w:bookmarkEnd w:id="710"/>
      <w:bookmarkEnd w:id="711"/>
    </w:p>
    <w:p>
      <w:pPr>
        <w:pStyle w:val="4"/>
        <w:spacing w:line="24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实质性条款偏离表（★条款）</w:t>
      </w:r>
    </w:p>
    <w:p>
      <w:pPr>
        <w:pStyle w:val="4"/>
        <w:spacing w:line="240" w:lineRule="auto"/>
        <w:rPr>
          <w:rFonts w:ascii="宋体" w:hAnsi="宋体" w:eastAsia="宋体"/>
          <w:sz w:val="21"/>
          <w:szCs w:val="21"/>
          <w:u w:val="single"/>
        </w:rPr>
      </w:pPr>
      <w:r>
        <w:rPr>
          <w:rFonts w:hint="eastAsia" w:ascii="宋体" w:hAnsi="宋体" w:eastAsia="宋体"/>
          <w:sz w:val="21"/>
          <w:szCs w:val="21"/>
        </w:rPr>
        <w:t>项目名称：</w:t>
      </w:r>
      <w:r>
        <w:rPr>
          <w:rFonts w:hint="eastAsia" w:ascii="宋体" w:hAnsi="宋体" w:eastAsia="宋体"/>
          <w:sz w:val="21"/>
          <w:szCs w:val="21"/>
          <w:u w:val="single"/>
        </w:rPr>
        <w:t>XXXXX项目</w:t>
      </w:r>
    </w:p>
    <w:p>
      <w:pPr>
        <w:pStyle w:val="4"/>
        <w:spacing w:line="240" w:lineRule="auto"/>
        <w:rPr>
          <w:rFonts w:ascii="宋体" w:hAnsi="宋体" w:eastAsia="宋体"/>
          <w:sz w:val="21"/>
          <w:szCs w:val="21"/>
          <w:u w:val="single"/>
        </w:rPr>
      </w:pPr>
      <w:r>
        <w:rPr>
          <w:rFonts w:hint="eastAsia" w:ascii="宋体" w:hAnsi="宋体" w:eastAsia="宋体"/>
          <w:sz w:val="21"/>
          <w:szCs w:val="21"/>
        </w:rPr>
        <w:t>项目编号：XXXXXXXX</w:t>
      </w:r>
    </w:p>
    <w:p>
      <w:pPr>
        <w:pStyle w:val="4"/>
        <w:spacing w:line="240" w:lineRule="auto"/>
        <w:jc w:val="center"/>
        <w:rPr>
          <w:rFonts w:asciiTheme="minorEastAsia" w:hAnsiTheme="minorEastAsia" w:eastAsiaTheme="minorEastAsia" w:cstheme="minorEastAsia"/>
          <w:b/>
          <w:bCs/>
          <w:sz w:val="24"/>
          <w:szCs w:val="24"/>
        </w:rPr>
      </w:pPr>
    </w:p>
    <w:tbl>
      <w:tblPr>
        <w:tblStyle w:val="41"/>
        <w:tblW w:w="905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505"/>
        <w:gridCol w:w="3096"/>
        <w:gridCol w:w="2479"/>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539" w:type="dxa"/>
            <w:vAlign w:val="center"/>
          </w:tcPr>
          <w:p>
            <w:pPr>
              <w:pStyle w:val="4"/>
              <w:spacing w:line="240" w:lineRule="auto"/>
              <w:ind w:left="46" w:right="-139" w:rightChars="-66" w:hanging="46" w:hangingChars="22"/>
              <w:rPr>
                <w:rFonts w:ascii="宋体" w:hAnsi="宋体" w:eastAsia="宋体"/>
                <w:sz w:val="21"/>
                <w:szCs w:val="21"/>
              </w:rPr>
            </w:pPr>
            <w:r>
              <w:rPr>
                <w:rFonts w:hint="eastAsia" w:ascii="宋体" w:hAnsi="宋体" w:eastAsia="宋体"/>
                <w:sz w:val="21"/>
                <w:szCs w:val="21"/>
              </w:rPr>
              <w:t>序号</w:t>
            </w:r>
          </w:p>
        </w:tc>
        <w:tc>
          <w:tcPr>
            <w:tcW w:w="1505" w:type="dxa"/>
            <w:vAlign w:val="center"/>
          </w:tcPr>
          <w:p>
            <w:pPr>
              <w:pStyle w:val="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招募文件条目号</w:t>
            </w:r>
          </w:p>
        </w:tc>
        <w:tc>
          <w:tcPr>
            <w:tcW w:w="3096" w:type="dxa"/>
            <w:vAlign w:val="center"/>
          </w:tcPr>
          <w:p>
            <w:pPr>
              <w:pStyle w:val="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招募文件的实质性采购需求条款</w:t>
            </w:r>
          </w:p>
        </w:tc>
        <w:tc>
          <w:tcPr>
            <w:tcW w:w="2479" w:type="dxa"/>
            <w:vAlign w:val="center"/>
          </w:tcPr>
          <w:p>
            <w:pPr>
              <w:pStyle w:val="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投标申请文件的实质性采购需求响应</w:t>
            </w:r>
          </w:p>
        </w:tc>
        <w:tc>
          <w:tcPr>
            <w:tcW w:w="1438" w:type="dxa"/>
            <w:vAlign w:val="center"/>
          </w:tcPr>
          <w:p>
            <w:pPr>
              <w:pStyle w:val="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39" w:type="dxa"/>
            <w:vAlign w:val="center"/>
          </w:tcPr>
          <w:p>
            <w:pPr>
              <w:pStyle w:val="4"/>
              <w:spacing w:line="240" w:lineRule="auto"/>
              <w:ind w:left="46" w:hanging="46" w:hangingChars="22"/>
              <w:jc w:val="center"/>
              <w:rPr>
                <w:rFonts w:ascii="宋体" w:hAnsi="宋体" w:eastAsia="宋体"/>
                <w:sz w:val="21"/>
                <w:szCs w:val="21"/>
              </w:rPr>
            </w:pPr>
            <w:r>
              <w:rPr>
                <w:rFonts w:ascii="宋体" w:hAnsi="宋体" w:eastAsia="宋体"/>
                <w:sz w:val="21"/>
                <w:szCs w:val="21"/>
              </w:rPr>
              <w:t>1</w:t>
            </w:r>
          </w:p>
        </w:tc>
        <w:tc>
          <w:tcPr>
            <w:tcW w:w="1505" w:type="dxa"/>
            <w:vAlign w:val="center"/>
          </w:tcPr>
          <w:p>
            <w:pPr>
              <w:pStyle w:val="4"/>
              <w:spacing w:line="240" w:lineRule="auto"/>
              <w:ind w:left="46" w:hanging="46" w:hangingChars="22"/>
              <w:rPr>
                <w:rFonts w:ascii="宋体" w:hAnsi="宋体" w:eastAsia="宋体"/>
                <w:sz w:val="21"/>
                <w:szCs w:val="21"/>
              </w:rPr>
            </w:pPr>
          </w:p>
        </w:tc>
        <w:tc>
          <w:tcPr>
            <w:tcW w:w="3096" w:type="dxa"/>
            <w:vAlign w:val="center"/>
          </w:tcPr>
          <w:p>
            <w:pPr>
              <w:pStyle w:val="4"/>
              <w:spacing w:line="240" w:lineRule="auto"/>
              <w:ind w:left="46" w:hanging="46" w:hangingChars="22"/>
              <w:rPr>
                <w:rFonts w:ascii="宋体" w:hAnsi="宋体" w:eastAsia="宋体"/>
                <w:sz w:val="21"/>
                <w:szCs w:val="21"/>
              </w:rPr>
            </w:pPr>
          </w:p>
        </w:tc>
        <w:tc>
          <w:tcPr>
            <w:tcW w:w="2479" w:type="dxa"/>
            <w:vAlign w:val="center"/>
          </w:tcPr>
          <w:p>
            <w:pPr>
              <w:pStyle w:val="4"/>
              <w:spacing w:line="240" w:lineRule="auto"/>
              <w:ind w:left="46" w:hanging="46" w:hangingChars="22"/>
              <w:jc w:val="center"/>
              <w:rPr>
                <w:rFonts w:ascii="宋体" w:hAnsi="宋体" w:eastAsia="宋体"/>
                <w:sz w:val="21"/>
                <w:szCs w:val="21"/>
              </w:rPr>
            </w:pPr>
          </w:p>
        </w:tc>
        <w:tc>
          <w:tcPr>
            <w:tcW w:w="1438" w:type="dxa"/>
            <w:vAlign w:val="center"/>
          </w:tcPr>
          <w:p>
            <w:pPr>
              <w:pStyle w:val="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39" w:type="dxa"/>
            <w:vAlign w:val="center"/>
          </w:tcPr>
          <w:p>
            <w:pPr>
              <w:pStyle w:val="4"/>
              <w:spacing w:line="240" w:lineRule="auto"/>
              <w:ind w:left="46" w:hanging="46" w:hangingChars="22"/>
              <w:jc w:val="center"/>
              <w:rPr>
                <w:rFonts w:ascii="宋体" w:hAnsi="宋体" w:eastAsia="宋体"/>
                <w:sz w:val="21"/>
                <w:szCs w:val="21"/>
              </w:rPr>
            </w:pPr>
            <w:r>
              <w:rPr>
                <w:rFonts w:ascii="宋体" w:hAnsi="宋体" w:eastAsia="宋体"/>
                <w:sz w:val="21"/>
                <w:szCs w:val="21"/>
              </w:rPr>
              <w:t>2</w:t>
            </w:r>
          </w:p>
        </w:tc>
        <w:tc>
          <w:tcPr>
            <w:tcW w:w="1505" w:type="dxa"/>
            <w:vAlign w:val="center"/>
          </w:tcPr>
          <w:p>
            <w:pPr>
              <w:pStyle w:val="4"/>
              <w:spacing w:line="240" w:lineRule="auto"/>
              <w:ind w:left="46" w:hanging="46" w:hangingChars="22"/>
              <w:jc w:val="center"/>
              <w:rPr>
                <w:rFonts w:ascii="宋体" w:hAnsi="宋体" w:eastAsia="宋体"/>
                <w:sz w:val="21"/>
                <w:szCs w:val="21"/>
              </w:rPr>
            </w:pPr>
          </w:p>
        </w:tc>
        <w:tc>
          <w:tcPr>
            <w:tcW w:w="3096" w:type="dxa"/>
            <w:vAlign w:val="center"/>
          </w:tcPr>
          <w:p>
            <w:pPr>
              <w:pStyle w:val="4"/>
              <w:spacing w:line="240" w:lineRule="auto"/>
              <w:ind w:left="46" w:hanging="46" w:hangingChars="22"/>
              <w:rPr>
                <w:rFonts w:ascii="宋体" w:hAnsi="宋体" w:eastAsia="宋体"/>
                <w:sz w:val="21"/>
                <w:szCs w:val="21"/>
              </w:rPr>
            </w:pPr>
          </w:p>
        </w:tc>
        <w:tc>
          <w:tcPr>
            <w:tcW w:w="2479" w:type="dxa"/>
            <w:vAlign w:val="center"/>
          </w:tcPr>
          <w:p>
            <w:pPr>
              <w:pStyle w:val="4"/>
              <w:spacing w:line="240" w:lineRule="auto"/>
              <w:ind w:left="46" w:hanging="46" w:hangingChars="22"/>
              <w:jc w:val="center"/>
              <w:rPr>
                <w:rFonts w:ascii="宋体" w:hAnsi="宋体" w:eastAsia="宋体"/>
                <w:sz w:val="21"/>
                <w:szCs w:val="21"/>
              </w:rPr>
            </w:pPr>
          </w:p>
        </w:tc>
        <w:tc>
          <w:tcPr>
            <w:tcW w:w="1438" w:type="dxa"/>
            <w:vAlign w:val="center"/>
          </w:tcPr>
          <w:p>
            <w:pPr>
              <w:pStyle w:val="4"/>
              <w:spacing w:line="240" w:lineRule="auto"/>
              <w:ind w:left="46" w:hanging="46" w:hangingChars="22"/>
              <w:jc w:val="center"/>
              <w:rPr>
                <w:rFonts w:ascii="宋体" w:hAnsi="宋体" w:eastAsia="宋体"/>
                <w:sz w:val="21"/>
                <w:szCs w:val="21"/>
              </w:rPr>
            </w:pPr>
          </w:p>
        </w:tc>
      </w:tr>
    </w:tbl>
    <w:p>
      <w:pPr>
        <w:rPr>
          <w:rFonts w:ascii="宋体" w:hAnsi="宋体"/>
          <w:bCs/>
          <w:szCs w:val="21"/>
        </w:rPr>
      </w:pPr>
    </w:p>
    <w:p>
      <w:pPr>
        <w:rPr>
          <w:rFonts w:ascii="宋体" w:hAnsi="宋体"/>
          <w:bCs/>
          <w:szCs w:val="21"/>
        </w:rPr>
      </w:pPr>
      <w:r>
        <w:rPr>
          <w:rFonts w:hint="eastAsia" w:ascii="宋体" w:hAnsi="宋体"/>
          <w:bCs/>
          <w:szCs w:val="21"/>
        </w:rPr>
        <w:t>注：投标人对照</w:t>
      </w:r>
      <w:r>
        <w:rPr>
          <w:rFonts w:hint="eastAsia" w:ascii="宋体" w:hAnsi="宋体"/>
          <w:b/>
          <w:bCs/>
          <w:szCs w:val="21"/>
        </w:rPr>
        <w:t>“第五章</w:t>
      </w:r>
      <w:r>
        <w:rPr>
          <w:rFonts w:ascii="宋体" w:hAnsi="宋体"/>
          <w:b/>
          <w:bCs/>
          <w:szCs w:val="21"/>
        </w:rPr>
        <w:t xml:space="preserve"> </w:t>
      </w:r>
      <w:r>
        <w:rPr>
          <w:rFonts w:hint="eastAsia" w:ascii="宋体" w:hAnsi="宋体"/>
          <w:b/>
          <w:bCs/>
          <w:szCs w:val="21"/>
        </w:rPr>
        <w:t>采购需求书”：</w:t>
      </w:r>
    </w:p>
    <w:p>
      <w:pPr>
        <w:rPr>
          <w:rFonts w:ascii="宋体" w:hAnsi="宋体"/>
          <w:bCs/>
          <w:szCs w:val="21"/>
        </w:rPr>
      </w:pPr>
      <w:r>
        <w:rPr>
          <w:rFonts w:ascii="宋体" w:hAnsi="宋体"/>
          <w:bCs/>
          <w:szCs w:val="21"/>
        </w:rPr>
        <w:t>1、如有优于</w:t>
      </w:r>
      <w:r>
        <w:rPr>
          <w:rFonts w:hint="eastAsia" w:ascii="宋体" w:hAnsi="宋体"/>
          <w:bCs/>
          <w:szCs w:val="21"/>
        </w:rPr>
        <w:t>招募文件</w:t>
      </w:r>
      <w:r>
        <w:rPr>
          <w:rFonts w:ascii="宋体" w:hAnsi="宋体"/>
          <w:bCs/>
          <w:szCs w:val="21"/>
        </w:rPr>
        <w:t>★条款要求的条件或与</w:t>
      </w:r>
      <w:r>
        <w:rPr>
          <w:rFonts w:hint="eastAsia" w:ascii="宋体" w:hAnsi="宋体"/>
          <w:bCs/>
          <w:szCs w:val="21"/>
        </w:rPr>
        <w:t>招募文件</w:t>
      </w:r>
      <w:r>
        <w:rPr>
          <w:rFonts w:ascii="宋体" w:hAnsi="宋体"/>
          <w:bCs/>
          <w:szCs w:val="21"/>
        </w:rPr>
        <w:t>★条款要求有偏离的条目应填写</w:t>
      </w:r>
      <w:r>
        <w:rPr>
          <w:rFonts w:hint="eastAsia" w:ascii="宋体" w:hAnsi="宋体"/>
          <w:b/>
          <w:bCs/>
          <w:szCs w:val="21"/>
        </w:rPr>
        <w:t>“实质性条款偏离表</w:t>
      </w:r>
      <w:r>
        <w:rPr>
          <w:rFonts w:hint="eastAsia" w:ascii="宋体" w:hAnsi="宋体"/>
          <w:bCs/>
          <w:szCs w:val="21"/>
        </w:rPr>
        <w:t>”。</w:t>
      </w:r>
    </w:p>
    <w:p>
      <w:pPr>
        <w:rPr>
          <w:rFonts w:ascii="宋体" w:hAnsi="宋体"/>
          <w:bCs/>
          <w:szCs w:val="21"/>
        </w:rPr>
      </w:pPr>
      <w:r>
        <w:rPr>
          <w:rFonts w:hint="eastAsia" w:ascii="宋体" w:hAnsi="宋体"/>
          <w:bCs/>
          <w:szCs w:val="21"/>
        </w:rPr>
        <w:t>投标人</w:t>
      </w:r>
      <w:r>
        <w:rPr>
          <w:rFonts w:ascii="宋体" w:hAnsi="宋体"/>
          <w:spacing w:val="-2"/>
          <w:szCs w:val="21"/>
        </w:rPr>
        <w:t>保证：除</w:t>
      </w:r>
      <w:r>
        <w:rPr>
          <w:rFonts w:hint="eastAsia" w:ascii="宋体" w:hAnsi="宋体"/>
          <w:spacing w:val="-2"/>
          <w:szCs w:val="21"/>
        </w:rPr>
        <w:t>实质性条款偏离表</w:t>
      </w:r>
      <w:r>
        <w:rPr>
          <w:rFonts w:ascii="宋体" w:hAnsi="宋体"/>
          <w:spacing w:val="-2"/>
          <w:szCs w:val="21"/>
        </w:rPr>
        <w:t>列出的偏差外，</w:t>
      </w:r>
      <w:r>
        <w:rPr>
          <w:rFonts w:hint="eastAsia" w:ascii="宋体" w:hAnsi="宋体"/>
          <w:spacing w:val="-2"/>
          <w:szCs w:val="21"/>
        </w:rPr>
        <w:t>投标人</w:t>
      </w:r>
      <w:r>
        <w:rPr>
          <w:rFonts w:ascii="宋体" w:hAnsi="宋体"/>
          <w:spacing w:val="-2"/>
          <w:szCs w:val="21"/>
        </w:rPr>
        <w:t>响应</w:t>
      </w:r>
      <w:r>
        <w:rPr>
          <w:rFonts w:hint="eastAsia" w:ascii="宋体" w:hAnsi="宋体"/>
          <w:spacing w:val="-2"/>
          <w:szCs w:val="21"/>
        </w:rPr>
        <w:t>招募文件</w:t>
      </w:r>
      <w:r>
        <w:rPr>
          <w:rFonts w:ascii="宋体" w:hAnsi="宋体"/>
          <w:spacing w:val="-2"/>
          <w:szCs w:val="21"/>
        </w:rPr>
        <w:t>的全部要求。</w:t>
      </w:r>
      <w:r>
        <w:rPr>
          <w:rFonts w:hint="eastAsia" w:ascii="宋体" w:hAnsi="宋体"/>
          <w:bCs/>
          <w:szCs w:val="21"/>
        </w:rPr>
        <w:t>以上所指条款以最小条目号所在内容认定为一条款。</w:t>
      </w:r>
    </w:p>
    <w:p>
      <w:pPr>
        <w:rPr>
          <w:rFonts w:ascii="宋体" w:hAnsi="宋体"/>
          <w:b/>
          <w:color w:val="FF0000"/>
          <w:szCs w:val="21"/>
        </w:rPr>
      </w:pPr>
      <w:r>
        <w:rPr>
          <w:rFonts w:ascii="宋体" w:hAnsi="宋体"/>
          <w:bCs/>
          <w:szCs w:val="21"/>
        </w:rPr>
        <w:t>2、如全部无偏离在</w:t>
      </w:r>
      <w:r>
        <w:rPr>
          <w:rFonts w:hint="eastAsia" w:ascii="宋体" w:hAnsi="宋体"/>
          <w:b/>
          <w:bCs/>
          <w:szCs w:val="21"/>
        </w:rPr>
        <w:t>“实质性条款偏离表</w:t>
      </w:r>
      <w:r>
        <w:rPr>
          <w:rFonts w:hint="eastAsia" w:ascii="宋体" w:hAnsi="宋体"/>
          <w:bCs/>
          <w:szCs w:val="21"/>
        </w:rPr>
        <w:t>”中“</w:t>
      </w:r>
      <w:r>
        <w:rPr>
          <w:rFonts w:hint="eastAsia" w:ascii="宋体" w:hAnsi="宋体"/>
          <w:szCs w:val="21"/>
        </w:rPr>
        <w:t>投标申请文件的实质性采购需求响应</w:t>
      </w:r>
      <w:r>
        <w:rPr>
          <w:rFonts w:hint="eastAsia" w:ascii="宋体" w:hAnsi="宋体"/>
          <w:bCs/>
          <w:szCs w:val="21"/>
        </w:rPr>
        <w:t>”一栏中填写“全部条款无偏离”。</w:t>
      </w:r>
      <w:r>
        <w:rPr>
          <w:rFonts w:hint="eastAsia" w:ascii="宋体" w:hAnsi="宋体"/>
          <w:b/>
          <w:color w:val="FF0000"/>
          <w:szCs w:val="21"/>
        </w:rPr>
        <w:t>若投标人提供空白表格，则视为“实质性采购需求条款全部响应无偏离”。</w:t>
      </w:r>
    </w:p>
    <w:p>
      <w:pPr>
        <w:rPr>
          <w:rFonts w:ascii="宋体" w:hAnsi="宋体"/>
          <w:bCs/>
          <w:szCs w:val="21"/>
        </w:rPr>
      </w:pPr>
      <w:r>
        <w:rPr>
          <w:rFonts w:ascii="宋体" w:hAnsi="宋体"/>
          <w:bCs/>
          <w:szCs w:val="21"/>
        </w:rPr>
        <w:t>3</w:t>
      </w:r>
      <w:r>
        <w:rPr>
          <w:rFonts w:hint="eastAsia" w:ascii="宋体" w:hAnsi="宋体"/>
          <w:bCs/>
          <w:szCs w:val="21"/>
        </w:rPr>
        <w:t>、</w:t>
      </w:r>
      <w:r>
        <w:rPr>
          <w:rFonts w:hint="eastAsia" w:ascii="宋体" w:hAnsi="宋体"/>
          <w:b/>
          <w:bCs/>
          <w:szCs w:val="21"/>
        </w:rPr>
        <w:t>“实质性条款偏离表”需加盖</w:t>
      </w:r>
      <w:r>
        <w:rPr>
          <w:rFonts w:ascii="宋体" w:hAnsi="宋体"/>
          <w:b/>
          <w:szCs w:val="21"/>
        </w:rPr>
        <w:t>单位公章</w:t>
      </w:r>
      <w:r>
        <w:rPr>
          <w:rFonts w:hint="eastAsia" w:ascii="宋体" w:hAnsi="宋体"/>
          <w:b/>
          <w:szCs w:val="21"/>
        </w:rPr>
        <w:t>。</w:t>
      </w:r>
    </w:p>
    <w:p>
      <w:pPr>
        <w:rPr>
          <w:rFonts w:ascii="宋体" w:hAnsi="宋体"/>
          <w:bCs/>
          <w:szCs w:val="21"/>
        </w:rPr>
      </w:pPr>
      <w:r>
        <w:rPr>
          <w:rFonts w:ascii="宋体" w:hAnsi="宋体"/>
          <w:bCs/>
          <w:szCs w:val="21"/>
        </w:rPr>
        <w:t>4、正偏离（优于</w:t>
      </w:r>
      <w:r>
        <w:rPr>
          <w:rFonts w:hint="eastAsia" w:ascii="宋体" w:hAnsi="宋体"/>
          <w:bCs/>
          <w:szCs w:val="21"/>
        </w:rPr>
        <w:t>招募文件</w:t>
      </w:r>
      <w:r>
        <w:rPr>
          <w:rFonts w:ascii="宋体" w:hAnsi="宋体"/>
          <w:bCs/>
          <w:szCs w:val="21"/>
        </w:rPr>
        <w:t>要求），无偏离（"等于"</w:t>
      </w:r>
      <w:r>
        <w:rPr>
          <w:rFonts w:hint="eastAsia" w:ascii="宋体" w:hAnsi="宋体"/>
          <w:bCs/>
          <w:szCs w:val="21"/>
        </w:rPr>
        <w:t>招募文件</w:t>
      </w:r>
      <w:r>
        <w:rPr>
          <w:rFonts w:ascii="宋体" w:hAnsi="宋体"/>
          <w:bCs/>
          <w:szCs w:val="21"/>
        </w:rPr>
        <w:t>要求），负偏离（低于</w:t>
      </w:r>
      <w:r>
        <w:rPr>
          <w:rFonts w:hint="eastAsia" w:ascii="宋体" w:hAnsi="宋体"/>
          <w:bCs/>
          <w:szCs w:val="21"/>
        </w:rPr>
        <w:t>招募文件</w:t>
      </w:r>
      <w:r>
        <w:rPr>
          <w:rFonts w:ascii="宋体" w:hAnsi="宋体"/>
          <w:bCs/>
          <w:szCs w:val="21"/>
        </w:rPr>
        <w:t>要求）。投标人正偏离的，需在说明一栏给出详细的文字说明。</w:t>
      </w:r>
    </w:p>
    <w:p>
      <w:pPr>
        <w:rPr>
          <w:rFonts w:ascii="宋体" w:hAnsi="宋体"/>
          <w:bCs/>
          <w:szCs w:val="21"/>
        </w:rPr>
      </w:pPr>
    </w:p>
    <w:p>
      <w:pPr>
        <w:pStyle w:val="4"/>
        <w:spacing w:line="240" w:lineRule="auto"/>
        <w:jc w:val="right"/>
        <w:rPr>
          <w:rFonts w:ascii="宋体" w:hAnsi="宋体" w:eastAsia="宋体"/>
          <w:sz w:val="21"/>
          <w:szCs w:val="21"/>
          <w:u w:val="single"/>
        </w:rPr>
      </w:pPr>
      <w:r>
        <w:rPr>
          <w:rFonts w:hint="eastAsia" w:ascii="宋体" w:hAnsi="宋体" w:eastAsia="宋体"/>
          <w:sz w:val="21"/>
          <w:szCs w:val="21"/>
        </w:rPr>
        <w:t>投标人名称：</w:t>
      </w:r>
      <w:r>
        <w:rPr>
          <w:rFonts w:ascii="宋体" w:hAnsi="宋体" w:eastAsia="宋体"/>
          <w:sz w:val="21"/>
          <w:szCs w:val="21"/>
          <w:u w:val="single"/>
        </w:rPr>
        <w:t xml:space="preserve">        （盖章）</w:t>
      </w:r>
    </w:p>
    <w:p>
      <w:pPr>
        <w:pStyle w:val="4"/>
        <w:spacing w:line="240" w:lineRule="auto"/>
        <w:jc w:val="right"/>
        <w:rPr>
          <w:rFonts w:ascii="宋体" w:hAnsi="宋体" w:eastAsia="宋体"/>
          <w:sz w:val="21"/>
          <w:szCs w:val="21"/>
          <w:u w:val="single"/>
        </w:rPr>
      </w:pPr>
    </w:p>
    <w:p>
      <w:pPr>
        <w:pStyle w:val="4"/>
        <w:spacing w:line="240" w:lineRule="auto"/>
        <w:jc w:val="right"/>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rPr>
          <w:rFonts w:ascii="宋体" w:hAnsi="宋体"/>
          <w:sz w:val="24"/>
        </w:rPr>
      </w:pPr>
      <w:r>
        <w:rPr>
          <w:rFonts w:ascii="宋体" w:hAnsi="宋体"/>
          <w:sz w:val="24"/>
        </w:rPr>
        <w:br w:type="page"/>
      </w:r>
    </w:p>
    <w:p>
      <w:pPr>
        <w:pStyle w:val="38"/>
        <w:numPr>
          <w:ilvl w:val="0"/>
          <w:numId w:val="15"/>
        </w:numPr>
        <w:tabs>
          <w:tab w:val="left" w:pos="588"/>
        </w:tabs>
        <w:snapToGrid w:val="0"/>
        <w:spacing w:before="120" w:after="120" w:line="440" w:lineRule="exact"/>
        <w:jc w:val="left"/>
        <w:rPr>
          <w:rFonts w:ascii="宋体" w:hAnsi="宋体"/>
          <w:sz w:val="24"/>
          <w:szCs w:val="24"/>
        </w:rPr>
      </w:pPr>
      <w:bookmarkStart w:id="714" w:name="_Toc17028"/>
      <w:bookmarkStart w:id="715" w:name="_Toc1651912"/>
      <w:bookmarkStart w:id="716" w:name="_Toc56432242"/>
      <w:bookmarkStart w:id="717" w:name="_Toc14332"/>
      <w:bookmarkStart w:id="718" w:name="_Toc18827"/>
      <w:bookmarkStart w:id="719" w:name="_Toc12590"/>
      <w:bookmarkStart w:id="720" w:name="_Toc9875"/>
      <w:bookmarkStart w:id="721" w:name="_Toc25312"/>
      <w:r>
        <w:rPr>
          <w:rFonts w:hint="eastAsia" w:ascii="宋体" w:hAnsi="宋体"/>
          <w:sz w:val="24"/>
          <w:szCs w:val="24"/>
        </w:rPr>
        <w:t>合同条款偏离表</w:t>
      </w:r>
      <w:bookmarkEnd w:id="714"/>
      <w:bookmarkEnd w:id="715"/>
      <w:bookmarkEnd w:id="716"/>
      <w:bookmarkEnd w:id="717"/>
      <w:bookmarkEnd w:id="718"/>
    </w:p>
    <w:p>
      <w:pPr>
        <w:pStyle w:val="4"/>
        <w:spacing w:line="240" w:lineRule="auto"/>
        <w:jc w:val="center"/>
        <w:rPr>
          <w:rFonts w:ascii="宋体" w:hAnsi="宋体" w:eastAsia="宋体"/>
          <w:b/>
          <w:bCs/>
          <w:kern w:val="2"/>
          <w:sz w:val="24"/>
          <w:szCs w:val="24"/>
        </w:rPr>
      </w:pPr>
      <w:r>
        <w:rPr>
          <w:rFonts w:hint="eastAsia" w:ascii="宋体" w:hAnsi="宋体" w:eastAsia="宋体"/>
          <w:b/>
          <w:bCs/>
          <w:kern w:val="2"/>
          <w:sz w:val="24"/>
          <w:szCs w:val="24"/>
        </w:rPr>
        <w:t>合同条款偏离表</w:t>
      </w:r>
    </w:p>
    <w:p>
      <w:pPr>
        <w:pStyle w:val="4"/>
        <w:spacing w:line="240" w:lineRule="auto"/>
        <w:rPr>
          <w:rFonts w:ascii="宋体" w:hAnsi="宋体" w:eastAsia="宋体"/>
          <w:sz w:val="21"/>
          <w:szCs w:val="21"/>
          <w:u w:val="single"/>
        </w:rPr>
      </w:pPr>
      <w:r>
        <w:rPr>
          <w:rFonts w:hint="eastAsia" w:ascii="宋体" w:hAnsi="宋体" w:eastAsia="宋体"/>
          <w:sz w:val="21"/>
          <w:szCs w:val="21"/>
        </w:rPr>
        <w:t>项目名称：</w:t>
      </w:r>
      <w:r>
        <w:rPr>
          <w:rFonts w:hint="eastAsia" w:ascii="宋体" w:hAnsi="宋体" w:eastAsia="宋体"/>
          <w:sz w:val="21"/>
          <w:szCs w:val="21"/>
          <w:u w:val="single"/>
        </w:rPr>
        <w:t>XXXXX项目</w:t>
      </w:r>
    </w:p>
    <w:p>
      <w:pPr>
        <w:pStyle w:val="4"/>
        <w:spacing w:line="240" w:lineRule="auto"/>
        <w:rPr>
          <w:rFonts w:ascii="宋体" w:hAnsi="宋体" w:eastAsia="宋体"/>
          <w:sz w:val="21"/>
          <w:szCs w:val="21"/>
          <w:u w:val="single"/>
        </w:rPr>
      </w:pPr>
      <w:r>
        <w:rPr>
          <w:rFonts w:hint="eastAsia" w:ascii="宋体" w:hAnsi="宋体" w:eastAsia="宋体"/>
          <w:sz w:val="21"/>
          <w:szCs w:val="21"/>
        </w:rPr>
        <w:t>项目编号：XXXXXXXX</w:t>
      </w:r>
    </w:p>
    <w:tbl>
      <w:tblPr>
        <w:tblStyle w:val="41"/>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636"/>
        <w:gridCol w:w="2306"/>
        <w:gridCol w:w="2478"/>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99" w:type="dxa"/>
            <w:vAlign w:val="center"/>
          </w:tcPr>
          <w:p>
            <w:pPr>
              <w:pStyle w:val="4"/>
              <w:spacing w:line="240" w:lineRule="auto"/>
              <w:ind w:left="46" w:right="-139" w:rightChars="-66" w:hanging="46" w:hangingChars="22"/>
              <w:rPr>
                <w:rFonts w:ascii="宋体" w:hAnsi="宋体" w:eastAsia="宋体"/>
                <w:sz w:val="21"/>
                <w:szCs w:val="21"/>
              </w:rPr>
            </w:pPr>
            <w:r>
              <w:rPr>
                <w:rFonts w:hint="eastAsia" w:ascii="宋体" w:hAnsi="宋体" w:eastAsia="宋体"/>
                <w:sz w:val="21"/>
                <w:szCs w:val="21"/>
              </w:rPr>
              <w:t>序号</w:t>
            </w:r>
          </w:p>
        </w:tc>
        <w:tc>
          <w:tcPr>
            <w:tcW w:w="1636" w:type="dxa"/>
            <w:vAlign w:val="center"/>
          </w:tcPr>
          <w:p>
            <w:pPr>
              <w:pStyle w:val="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招募文件条目号</w:t>
            </w:r>
          </w:p>
        </w:tc>
        <w:tc>
          <w:tcPr>
            <w:tcW w:w="2306" w:type="dxa"/>
            <w:vAlign w:val="center"/>
          </w:tcPr>
          <w:p>
            <w:pPr>
              <w:pStyle w:val="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招募文件的合同条款</w:t>
            </w:r>
          </w:p>
        </w:tc>
        <w:tc>
          <w:tcPr>
            <w:tcW w:w="2478" w:type="dxa"/>
            <w:vAlign w:val="center"/>
          </w:tcPr>
          <w:p>
            <w:pPr>
              <w:pStyle w:val="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投标申请文件的合同条款响应</w:t>
            </w:r>
          </w:p>
        </w:tc>
        <w:tc>
          <w:tcPr>
            <w:tcW w:w="1437" w:type="dxa"/>
            <w:vAlign w:val="center"/>
          </w:tcPr>
          <w:p>
            <w:pPr>
              <w:pStyle w:val="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9" w:type="dxa"/>
            <w:vAlign w:val="center"/>
          </w:tcPr>
          <w:p>
            <w:pPr>
              <w:pStyle w:val="4"/>
              <w:numPr>
                <w:ilvl w:val="0"/>
                <w:numId w:val="18"/>
              </w:numPr>
              <w:spacing w:line="240" w:lineRule="auto"/>
              <w:jc w:val="center"/>
              <w:rPr>
                <w:rFonts w:ascii="宋体" w:hAnsi="宋体" w:eastAsia="宋体"/>
                <w:sz w:val="21"/>
                <w:szCs w:val="21"/>
              </w:rPr>
            </w:pPr>
          </w:p>
        </w:tc>
        <w:tc>
          <w:tcPr>
            <w:tcW w:w="1636" w:type="dxa"/>
            <w:vAlign w:val="center"/>
          </w:tcPr>
          <w:p>
            <w:pPr>
              <w:pStyle w:val="4"/>
              <w:spacing w:line="240" w:lineRule="auto"/>
              <w:ind w:left="46" w:hanging="46" w:hangingChars="22"/>
              <w:rPr>
                <w:rFonts w:ascii="宋体" w:hAnsi="宋体" w:eastAsia="宋体"/>
                <w:sz w:val="21"/>
                <w:szCs w:val="21"/>
              </w:rPr>
            </w:pPr>
          </w:p>
        </w:tc>
        <w:tc>
          <w:tcPr>
            <w:tcW w:w="2306" w:type="dxa"/>
            <w:vAlign w:val="center"/>
          </w:tcPr>
          <w:p>
            <w:pPr>
              <w:pStyle w:val="4"/>
              <w:spacing w:line="240" w:lineRule="auto"/>
              <w:ind w:left="46" w:hanging="46" w:hangingChars="22"/>
              <w:rPr>
                <w:rFonts w:ascii="宋体" w:hAnsi="宋体" w:eastAsia="宋体"/>
                <w:sz w:val="21"/>
                <w:szCs w:val="21"/>
              </w:rPr>
            </w:pPr>
          </w:p>
        </w:tc>
        <w:tc>
          <w:tcPr>
            <w:tcW w:w="2478" w:type="dxa"/>
            <w:vAlign w:val="center"/>
          </w:tcPr>
          <w:p>
            <w:pPr>
              <w:pStyle w:val="4"/>
              <w:spacing w:line="240" w:lineRule="auto"/>
              <w:ind w:left="46" w:hanging="46" w:hangingChars="22"/>
              <w:jc w:val="center"/>
              <w:rPr>
                <w:rFonts w:ascii="宋体" w:hAnsi="宋体" w:eastAsia="宋体"/>
                <w:sz w:val="21"/>
                <w:szCs w:val="21"/>
              </w:rPr>
            </w:pPr>
          </w:p>
        </w:tc>
        <w:tc>
          <w:tcPr>
            <w:tcW w:w="1437" w:type="dxa"/>
            <w:vAlign w:val="center"/>
          </w:tcPr>
          <w:p>
            <w:pPr>
              <w:pStyle w:val="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9" w:type="dxa"/>
            <w:vAlign w:val="center"/>
          </w:tcPr>
          <w:p>
            <w:pPr>
              <w:pStyle w:val="4"/>
              <w:numPr>
                <w:ilvl w:val="0"/>
                <w:numId w:val="18"/>
              </w:numPr>
              <w:spacing w:line="240" w:lineRule="auto"/>
              <w:jc w:val="center"/>
              <w:rPr>
                <w:rFonts w:ascii="宋体" w:hAnsi="宋体" w:eastAsia="宋体"/>
                <w:sz w:val="21"/>
                <w:szCs w:val="21"/>
              </w:rPr>
            </w:pPr>
          </w:p>
        </w:tc>
        <w:tc>
          <w:tcPr>
            <w:tcW w:w="1636" w:type="dxa"/>
            <w:vAlign w:val="center"/>
          </w:tcPr>
          <w:p>
            <w:pPr>
              <w:pStyle w:val="4"/>
              <w:spacing w:line="240" w:lineRule="auto"/>
              <w:ind w:left="46" w:hanging="46" w:hangingChars="22"/>
              <w:rPr>
                <w:rFonts w:ascii="宋体" w:hAnsi="宋体" w:eastAsia="宋体"/>
                <w:sz w:val="21"/>
                <w:szCs w:val="21"/>
              </w:rPr>
            </w:pPr>
          </w:p>
        </w:tc>
        <w:tc>
          <w:tcPr>
            <w:tcW w:w="2306" w:type="dxa"/>
            <w:vAlign w:val="center"/>
          </w:tcPr>
          <w:p>
            <w:pPr>
              <w:pStyle w:val="4"/>
              <w:spacing w:line="240" w:lineRule="auto"/>
              <w:ind w:left="46" w:hanging="46" w:hangingChars="22"/>
              <w:rPr>
                <w:rFonts w:ascii="宋体" w:hAnsi="宋体" w:eastAsia="宋体"/>
                <w:sz w:val="21"/>
                <w:szCs w:val="21"/>
              </w:rPr>
            </w:pPr>
          </w:p>
        </w:tc>
        <w:tc>
          <w:tcPr>
            <w:tcW w:w="2478" w:type="dxa"/>
            <w:vAlign w:val="center"/>
          </w:tcPr>
          <w:p>
            <w:pPr>
              <w:pStyle w:val="4"/>
              <w:spacing w:line="240" w:lineRule="auto"/>
              <w:ind w:left="46" w:hanging="46" w:hangingChars="22"/>
              <w:jc w:val="center"/>
              <w:rPr>
                <w:rFonts w:ascii="宋体" w:hAnsi="宋体" w:eastAsia="宋体"/>
                <w:sz w:val="21"/>
                <w:szCs w:val="21"/>
              </w:rPr>
            </w:pPr>
          </w:p>
        </w:tc>
        <w:tc>
          <w:tcPr>
            <w:tcW w:w="1437" w:type="dxa"/>
            <w:vAlign w:val="center"/>
          </w:tcPr>
          <w:p>
            <w:pPr>
              <w:pStyle w:val="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9" w:type="dxa"/>
            <w:vAlign w:val="center"/>
          </w:tcPr>
          <w:p>
            <w:pPr>
              <w:pStyle w:val="4"/>
              <w:numPr>
                <w:ilvl w:val="0"/>
                <w:numId w:val="18"/>
              </w:numPr>
              <w:spacing w:line="240" w:lineRule="auto"/>
              <w:jc w:val="center"/>
              <w:rPr>
                <w:rFonts w:ascii="宋体" w:hAnsi="宋体" w:eastAsia="宋体"/>
                <w:sz w:val="21"/>
                <w:szCs w:val="21"/>
              </w:rPr>
            </w:pPr>
          </w:p>
        </w:tc>
        <w:tc>
          <w:tcPr>
            <w:tcW w:w="1636" w:type="dxa"/>
            <w:vAlign w:val="center"/>
          </w:tcPr>
          <w:p>
            <w:pPr>
              <w:pStyle w:val="4"/>
              <w:spacing w:line="240" w:lineRule="auto"/>
              <w:ind w:left="46" w:hanging="46" w:hangingChars="22"/>
              <w:rPr>
                <w:rFonts w:asciiTheme="minorEastAsia" w:hAnsiTheme="minorEastAsia" w:eastAsiaTheme="minorEastAsia" w:cstheme="minorEastAsia"/>
                <w:sz w:val="21"/>
                <w:szCs w:val="21"/>
              </w:rPr>
            </w:pPr>
          </w:p>
        </w:tc>
        <w:tc>
          <w:tcPr>
            <w:tcW w:w="2306" w:type="dxa"/>
            <w:vAlign w:val="center"/>
          </w:tcPr>
          <w:p>
            <w:pPr>
              <w:pStyle w:val="4"/>
              <w:spacing w:line="240" w:lineRule="auto"/>
              <w:ind w:left="46" w:hanging="46" w:hangingChars="22"/>
              <w:rPr>
                <w:rFonts w:ascii="宋体" w:hAnsi="宋体" w:eastAsia="宋体"/>
                <w:sz w:val="21"/>
                <w:szCs w:val="21"/>
              </w:rPr>
            </w:pPr>
          </w:p>
        </w:tc>
        <w:tc>
          <w:tcPr>
            <w:tcW w:w="2478" w:type="dxa"/>
            <w:vAlign w:val="center"/>
          </w:tcPr>
          <w:p>
            <w:pPr>
              <w:pStyle w:val="4"/>
              <w:spacing w:line="240" w:lineRule="auto"/>
              <w:ind w:left="46" w:hanging="46" w:hangingChars="22"/>
              <w:jc w:val="center"/>
              <w:rPr>
                <w:rFonts w:ascii="宋体" w:hAnsi="宋体" w:eastAsia="宋体"/>
                <w:sz w:val="21"/>
                <w:szCs w:val="21"/>
              </w:rPr>
            </w:pPr>
          </w:p>
        </w:tc>
        <w:tc>
          <w:tcPr>
            <w:tcW w:w="1437" w:type="dxa"/>
            <w:vAlign w:val="center"/>
          </w:tcPr>
          <w:p>
            <w:pPr>
              <w:pStyle w:val="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9" w:type="dxa"/>
            <w:vAlign w:val="center"/>
          </w:tcPr>
          <w:p>
            <w:pPr>
              <w:pStyle w:val="4"/>
              <w:numPr>
                <w:ilvl w:val="0"/>
                <w:numId w:val="18"/>
              </w:numPr>
              <w:spacing w:line="240" w:lineRule="auto"/>
              <w:jc w:val="center"/>
              <w:rPr>
                <w:rFonts w:ascii="宋体" w:hAnsi="宋体" w:eastAsia="宋体"/>
                <w:sz w:val="21"/>
                <w:szCs w:val="21"/>
              </w:rPr>
            </w:pPr>
          </w:p>
        </w:tc>
        <w:tc>
          <w:tcPr>
            <w:tcW w:w="1636" w:type="dxa"/>
            <w:vAlign w:val="center"/>
          </w:tcPr>
          <w:p>
            <w:pPr>
              <w:pStyle w:val="4"/>
              <w:spacing w:line="240" w:lineRule="auto"/>
              <w:ind w:left="46" w:hanging="46" w:hangingChars="22"/>
              <w:rPr>
                <w:rFonts w:asciiTheme="minorEastAsia" w:hAnsiTheme="minorEastAsia" w:eastAsiaTheme="minorEastAsia" w:cstheme="minorEastAsia"/>
                <w:sz w:val="21"/>
                <w:szCs w:val="21"/>
              </w:rPr>
            </w:pPr>
          </w:p>
        </w:tc>
        <w:tc>
          <w:tcPr>
            <w:tcW w:w="2306" w:type="dxa"/>
            <w:vAlign w:val="center"/>
          </w:tcPr>
          <w:p>
            <w:pPr>
              <w:pStyle w:val="4"/>
              <w:spacing w:line="240" w:lineRule="auto"/>
              <w:ind w:left="46" w:hanging="46" w:hangingChars="22"/>
              <w:rPr>
                <w:rFonts w:ascii="宋体" w:hAnsi="宋体" w:eastAsia="宋体"/>
                <w:sz w:val="21"/>
                <w:szCs w:val="21"/>
              </w:rPr>
            </w:pPr>
          </w:p>
        </w:tc>
        <w:tc>
          <w:tcPr>
            <w:tcW w:w="2478" w:type="dxa"/>
            <w:vAlign w:val="center"/>
          </w:tcPr>
          <w:p>
            <w:pPr>
              <w:pStyle w:val="4"/>
              <w:spacing w:line="240" w:lineRule="auto"/>
              <w:ind w:left="46" w:hanging="46" w:hangingChars="22"/>
              <w:jc w:val="center"/>
              <w:rPr>
                <w:rFonts w:ascii="宋体" w:hAnsi="宋体" w:eastAsia="宋体"/>
                <w:sz w:val="21"/>
                <w:szCs w:val="21"/>
              </w:rPr>
            </w:pPr>
          </w:p>
        </w:tc>
        <w:tc>
          <w:tcPr>
            <w:tcW w:w="1437" w:type="dxa"/>
            <w:vAlign w:val="center"/>
          </w:tcPr>
          <w:p>
            <w:pPr>
              <w:pStyle w:val="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9" w:type="dxa"/>
            <w:vAlign w:val="center"/>
          </w:tcPr>
          <w:p>
            <w:pPr>
              <w:pStyle w:val="4"/>
              <w:numPr>
                <w:ilvl w:val="0"/>
                <w:numId w:val="18"/>
              </w:numPr>
              <w:spacing w:line="240" w:lineRule="auto"/>
              <w:jc w:val="center"/>
              <w:rPr>
                <w:rFonts w:ascii="宋体" w:hAnsi="宋体" w:eastAsia="宋体"/>
                <w:sz w:val="21"/>
                <w:szCs w:val="21"/>
              </w:rPr>
            </w:pPr>
          </w:p>
        </w:tc>
        <w:tc>
          <w:tcPr>
            <w:tcW w:w="1636" w:type="dxa"/>
            <w:vAlign w:val="center"/>
          </w:tcPr>
          <w:p>
            <w:pPr>
              <w:pStyle w:val="4"/>
              <w:spacing w:line="240" w:lineRule="auto"/>
              <w:ind w:left="46" w:hanging="46" w:hangingChars="22"/>
              <w:rPr>
                <w:rFonts w:asciiTheme="minorEastAsia" w:hAnsiTheme="minorEastAsia" w:eastAsiaTheme="minorEastAsia" w:cstheme="minorEastAsia"/>
                <w:sz w:val="21"/>
                <w:szCs w:val="21"/>
              </w:rPr>
            </w:pPr>
          </w:p>
        </w:tc>
        <w:tc>
          <w:tcPr>
            <w:tcW w:w="2306" w:type="dxa"/>
            <w:vAlign w:val="center"/>
          </w:tcPr>
          <w:p>
            <w:pPr>
              <w:pStyle w:val="4"/>
              <w:spacing w:line="240" w:lineRule="auto"/>
              <w:ind w:left="46" w:hanging="46" w:hangingChars="22"/>
              <w:rPr>
                <w:rFonts w:ascii="宋体" w:hAnsi="宋体" w:eastAsia="宋体"/>
                <w:sz w:val="21"/>
                <w:szCs w:val="21"/>
              </w:rPr>
            </w:pPr>
          </w:p>
        </w:tc>
        <w:tc>
          <w:tcPr>
            <w:tcW w:w="2478" w:type="dxa"/>
            <w:vAlign w:val="center"/>
          </w:tcPr>
          <w:p>
            <w:pPr>
              <w:pStyle w:val="4"/>
              <w:spacing w:line="240" w:lineRule="auto"/>
              <w:ind w:left="46" w:hanging="46" w:hangingChars="22"/>
              <w:jc w:val="center"/>
              <w:rPr>
                <w:rFonts w:ascii="宋体" w:hAnsi="宋体" w:eastAsia="宋体"/>
                <w:sz w:val="21"/>
                <w:szCs w:val="21"/>
              </w:rPr>
            </w:pPr>
          </w:p>
        </w:tc>
        <w:tc>
          <w:tcPr>
            <w:tcW w:w="1437" w:type="dxa"/>
            <w:vAlign w:val="center"/>
          </w:tcPr>
          <w:p>
            <w:pPr>
              <w:pStyle w:val="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9" w:type="dxa"/>
            <w:vAlign w:val="center"/>
          </w:tcPr>
          <w:p>
            <w:pPr>
              <w:pStyle w:val="4"/>
              <w:numPr>
                <w:ilvl w:val="0"/>
                <w:numId w:val="18"/>
              </w:numPr>
              <w:spacing w:line="240" w:lineRule="auto"/>
              <w:jc w:val="center"/>
              <w:rPr>
                <w:rFonts w:ascii="宋体" w:hAnsi="宋体" w:eastAsia="宋体"/>
                <w:sz w:val="21"/>
                <w:szCs w:val="21"/>
              </w:rPr>
            </w:pPr>
          </w:p>
        </w:tc>
        <w:tc>
          <w:tcPr>
            <w:tcW w:w="1636" w:type="dxa"/>
            <w:vAlign w:val="center"/>
          </w:tcPr>
          <w:p>
            <w:pPr>
              <w:pStyle w:val="4"/>
              <w:spacing w:line="240" w:lineRule="auto"/>
              <w:ind w:left="46" w:hanging="46" w:hangingChars="22"/>
              <w:rPr>
                <w:rFonts w:asciiTheme="minorEastAsia" w:hAnsiTheme="minorEastAsia" w:eastAsiaTheme="minorEastAsia" w:cstheme="minorEastAsia"/>
                <w:sz w:val="21"/>
                <w:szCs w:val="21"/>
              </w:rPr>
            </w:pPr>
          </w:p>
        </w:tc>
        <w:tc>
          <w:tcPr>
            <w:tcW w:w="2306" w:type="dxa"/>
            <w:vAlign w:val="center"/>
          </w:tcPr>
          <w:p>
            <w:pPr>
              <w:pStyle w:val="4"/>
              <w:spacing w:line="240" w:lineRule="auto"/>
              <w:ind w:left="46" w:hanging="46" w:hangingChars="22"/>
              <w:rPr>
                <w:rFonts w:ascii="宋体" w:hAnsi="宋体" w:eastAsia="宋体"/>
                <w:sz w:val="21"/>
                <w:szCs w:val="21"/>
              </w:rPr>
            </w:pPr>
          </w:p>
        </w:tc>
        <w:tc>
          <w:tcPr>
            <w:tcW w:w="2478" w:type="dxa"/>
            <w:vAlign w:val="center"/>
          </w:tcPr>
          <w:p>
            <w:pPr>
              <w:pStyle w:val="4"/>
              <w:spacing w:line="240" w:lineRule="auto"/>
              <w:ind w:left="46" w:hanging="46" w:hangingChars="22"/>
              <w:jc w:val="center"/>
              <w:rPr>
                <w:rFonts w:ascii="宋体" w:hAnsi="宋体" w:eastAsia="宋体"/>
                <w:sz w:val="21"/>
                <w:szCs w:val="21"/>
              </w:rPr>
            </w:pPr>
          </w:p>
        </w:tc>
        <w:tc>
          <w:tcPr>
            <w:tcW w:w="1437" w:type="dxa"/>
            <w:vAlign w:val="center"/>
          </w:tcPr>
          <w:p>
            <w:pPr>
              <w:pStyle w:val="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9" w:type="dxa"/>
            <w:vAlign w:val="center"/>
          </w:tcPr>
          <w:p>
            <w:pPr>
              <w:pStyle w:val="4"/>
              <w:numPr>
                <w:ilvl w:val="0"/>
                <w:numId w:val="18"/>
              </w:numPr>
              <w:spacing w:line="240" w:lineRule="auto"/>
              <w:jc w:val="center"/>
              <w:rPr>
                <w:rFonts w:ascii="宋体" w:hAnsi="宋体" w:eastAsia="宋体"/>
                <w:sz w:val="21"/>
                <w:szCs w:val="21"/>
              </w:rPr>
            </w:pPr>
          </w:p>
        </w:tc>
        <w:tc>
          <w:tcPr>
            <w:tcW w:w="1636" w:type="dxa"/>
            <w:vAlign w:val="center"/>
          </w:tcPr>
          <w:p>
            <w:pPr>
              <w:pStyle w:val="4"/>
              <w:spacing w:line="240" w:lineRule="auto"/>
              <w:ind w:left="46" w:hanging="46" w:hangingChars="22"/>
              <w:rPr>
                <w:rFonts w:asciiTheme="minorEastAsia" w:hAnsiTheme="minorEastAsia" w:eastAsiaTheme="minorEastAsia" w:cstheme="minorEastAsia"/>
                <w:sz w:val="21"/>
                <w:szCs w:val="21"/>
              </w:rPr>
            </w:pPr>
          </w:p>
        </w:tc>
        <w:tc>
          <w:tcPr>
            <w:tcW w:w="2306" w:type="dxa"/>
            <w:vAlign w:val="center"/>
          </w:tcPr>
          <w:p>
            <w:pPr>
              <w:pStyle w:val="4"/>
              <w:spacing w:line="240" w:lineRule="auto"/>
              <w:ind w:left="46" w:hanging="46" w:hangingChars="22"/>
              <w:rPr>
                <w:rFonts w:ascii="宋体" w:hAnsi="宋体" w:eastAsia="宋体"/>
                <w:sz w:val="21"/>
                <w:szCs w:val="21"/>
              </w:rPr>
            </w:pPr>
          </w:p>
        </w:tc>
        <w:tc>
          <w:tcPr>
            <w:tcW w:w="2478" w:type="dxa"/>
            <w:vAlign w:val="center"/>
          </w:tcPr>
          <w:p>
            <w:pPr>
              <w:pStyle w:val="4"/>
              <w:spacing w:line="240" w:lineRule="auto"/>
              <w:ind w:left="46" w:hanging="46" w:hangingChars="22"/>
              <w:jc w:val="center"/>
              <w:rPr>
                <w:rFonts w:ascii="宋体" w:hAnsi="宋体" w:eastAsia="宋体"/>
                <w:sz w:val="21"/>
                <w:szCs w:val="21"/>
              </w:rPr>
            </w:pPr>
          </w:p>
        </w:tc>
        <w:tc>
          <w:tcPr>
            <w:tcW w:w="1437" w:type="dxa"/>
            <w:vAlign w:val="center"/>
          </w:tcPr>
          <w:p>
            <w:pPr>
              <w:pStyle w:val="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9" w:type="dxa"/>
            <w:vAlign w:val="center"/>
          </w:tcPr>
          <w:p>
            <w:pPr>
              <w:pStyle w:val="4"/>
              <w:numPr>
                <w:ilvl w:val="0"/>
                <w:numId w:val="18"/>
              </w:numPr>
              <w:spacing w:line="240" w:lineRule="auto"/>
              <w:jc w:val="center"/>
              <w:rPr>
                <w:rFonts w:ascii="宋体" w:hAnsi="宋体" w:eastAsia="宋体"/>
                <w:sz w:val="21"/>
                <w:szCs w:val="21"/>
              </w:rPr>
            </w:pPr>
          </w:p>
        </w:tc>
        <w:tc>
          <w:tcPr>
            <w:tcW w:w="1636" w:type="dxa"/>
            <w:vAlign w:val="center"/>
          </w:tcPr>
          <w:p>
            <w:pPr>
              <w:pStyle w:val="4"/>
              <w:spacing w:line="240" w:lineRule="auto"/>
              <w:ind w:left="46" w:hanging="46" w:hangingChars="22"/>
              <w:rPr>
                <w:rFonts w:asciiTheme="minorEastAsia" w:hAnsiTheme="minorEastAsia" w:eastAsiaTheme="minorEastAsia" w:cstheme="minorEastAsia"/>
                <w:sz w:val="21"/>
                <w:szCs w:val="21"/>
              </w:rPr>
            </w:pPr>
          </w:p>
        </w:tc>
        <w:tc>
          <w:tcPr>
            <w:tcW w:w="2306" w:type="dxa"/>
            <w:vAlign w:val="center"/>
          </w:tcPr>
          <w:p>
            <w:pPr>
              <w:pStyle w:val="4"/>
              <w:spacing w:line="240" w:lineRule="auto"/>
              <w:ind w:left="46" w:hanging="46" w:hangingChars="22"/>
              <w:rPr>
                <w:rFonts w:ascii="宋体" w:hAnsi="宋体" w:eastAsia="宋体"/>
                <w:sz w:val="21"/>
                <w:szCs w:val="21"/>
              </w:rPr>
            </w:pPr>
          </w:p>
        </w:tc>
        <w:tc>
          <w:tcPr>
            <w:tcW w:w="2478" w:type="dxa"/>
            <w:vAlign w:val="center"/>
          </w:tcPr>
          <w:p>
            <w:pPr>
              <w:pStyle w:val="4"/>
              <w:spacing w:line="240" w:lineRule="auto"/>
              <w:ind w:left="46" w:hanging="46" w:hangingChars="22"/>
              <w:jc w:val="center"/>
              <w:rPr>
                <w:rFonts w:ascii="宋体" w:hAnsi="宋体" w:eastAsia="宋体"/>
                <w:sz w:val="21"/>
                <w:szCs w:val="21"/>
              </w:rPr>
            </w:pPr>
          </w:p>
        </w:tc>
        <w:tc>
          <w:tcPr>
            <w:tcW w:w="1437" w:type="dxa"/>
            <w:vAlign w:val="center"/>
          </w:tcPr>
          <w:p>
            <w:pPr>
              <w:pStyle w:val="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9" w:type="dxa"/>
            <w:vAlign w:val="center"/>
          </w:tcPr>
          <w:p>
            <w:pPr>
              <w:pStyle w:val="4"/>
              <w:numPr>
                <w:ilvl w:val="0"/>
                <w:numId w:val="18"/>
              </w:numPr>
              <w:spacing w:line="240" w:lineRule="auto"/>
              <w:jc w:val="center"/>
              <w:rPr>
                <w:rFonts w:ascii="宋体" w:hAnsi="宋体" w:eastAsia="宋体"/>
                <w:sz w:val="21"/>
                <w:szCs w:val="21"/>
              </w:rPr>
            </w:pPr>
          </w:p>
        </w:tc>
        <w:tc>
          <w:tcPr>
            <w:tcW w:w="1636" w:type="dxa"/>
            <w:vAlign w:val="center"/>
          </w:tcPr>
          <w:p>
            <w:pPr>
              <w:pStyle w:val="4"/>
              <w:spacing w:line="240" w:lineRule="auto"/>
              <w:ind w:left="46" w:hanging="46" w:hangingChars="22"/>
              <w:rPr>
                <w:rFonts w:asciiTheme="minorEastAsia" w:hAnsiTheme="minorEastAsia" w:eastAsiaTheme="minorEastAsia" w:cstheme="minorEastAsia"/>
                <w:sz w:val="21"/>
                <w:szCs w:val="21"/>
              </w:rPr>
            </w:pPr>
          </w:p>
        </w:tc>
        <w:tc>
          <w:tcPr>
            <w:tcW w:w="2306" w:type="dxa"/>
            <w:vAlign w:val="center"/>
          </w:tcPr>
          <w:p>
            <w:pPr>
              <w:pStyle w:val="4"/>
              <w:spacing w:line="240" w:lineRule="auto"/>
              <w:ind w:left="46" w:hanging="46" w:hangingChars="22"/>
              <w:jc w:val="both"/>
              <w:rPr>
                <w:rFonts w:ascii="宋体" w:hAnsi="宋体" w:eastAsia="宋体"/>
                <w:sz w:val="21"/>
                <w:szCs w:val="21"/>
              </w:rPr>
            </w:pPr>
          </w:p>
        </w:tc>
        <w:tc>
          <w:tcPr>
            <w:tcW w:w="2478" w:type="dxa"/>
            <w:vAlign w:val="center"/>
          </w:tcPr>
          <w:p>
            <w:pPr>
              <w:pStyle w:val="4"/>
              <w:spacing w:line="240" w:lineRule="auto"/>
              <w:ind w:left="46" w:hanging="46" w:hangingChars="22"/>
              <w:jc w:val="center"/>
              <w:rPr>
                <w:rFonts w:ascii="宋体" w:hAnsi="宋体" w:eastAsia="宋体"/>
                <w:sz w:val="21"/>
                <w:szCs w:val="21"/>
              </w:rPr>
            </w:pPr>
          </w:p>
        </w:tc>
        <w:tc>
          <w:tcPr>
            <w:tcW w:w="1437" w:type="dxa"/>
            <w:vAlign w:val="center"/>
          </w:tcPr>
          <w:p>
            <w:pPr>
              <w:pStyle w:val="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9" w:type="dxa"/>
            <w:vAlign w:val="center"/>
          </w:tcPr>
          <w:p>
            <w:pPr>
              <w:pStyle w:val="4"/>
              <w:numPr>
                <w:ilvl w:val="0"/>
                <w:numId w:val="18"/>
              </w:numPr>
              <w:spacing w:line="240" w:lineRule="auto"/>
              <w:jc w:val="center"/>
              <w:rPr>
                <w:rFonts w:ascii="宋体" w:hAnsi="宋体" w:eastAsia="宋体"/>
                <w:sz w:val="21"/>
                <w:szCs w:val="21"/>
              </w:rPr>
            </w:pPr>
          </w:p>
        </w:tc>
        <w:tc>
          <w:tcPr>
            <w:tcW w:w="1636" w:type="dxa"/>
            <w:vAlign w:val="center"/>
          </w:tcPr>
          <w:p>
            <w:pPr>
              <w:pStyle w:val="4"/>
              <w:spacing w:line="240" w:lineRule="auto"/>
              <w:ind w:left="46" w:hanging="46" w:hangingChars="22"/>
              <w:rPr>
                <w:rFonts w:ascii="宋体" w:hAnsi="宋体" w:eastAsia="宋体"/>
                <w:sz w:val="21"/>
                <w:szCs w:val="21"/>
              </w:rPr>
            </w:pPr>
          </w:p>
        </w:tc>
        <w:tc>
          <w:tcPr>
            <w:tcW w:w="2306" w:type="dxa"/>
            <w:vAlign w:val="center"/>
          </w:tcPr>
          <w:p>
            <w:pPr>
              <w:pStyle w:val="4"/>
              <w:spacing w:line="240" w:lineRule="auto"/>
              <w:ind w:left="46" w:hanging="46" w:hangingChars="22"/>
              <w:jc w:val="both"/>
              <w:rPr>
                <w:rFonts w:ascii="宋体" w:hAnsi="宋体" w:eastAsia="宋体"/>
                <w:sz w:val="21"/>
                <w:szCs w:val="21"/>
              </w:rPr>
            </w:pPr>
          </w:p>
        </w:tc>
        <w:tc>
          <w:tcPr>
            <w:tcW w:w="2478" w:type="dxa"/>
            <w:vAlign w:val="center"/>
          </w:tcPr>
          <w:p>
            <w:pPr>
              <w:pStyle w:val="4"/>
              <w:spacing w:line="240" w:lineRule="auto"/>
              <w:ind w:left="46" w:hanging="46" w:hangingChars="22"/>
              <w:jc w:val="center"/>
              <w:rPr>
                <w:rFonts w:ascii="宋体" w:hAnsi="宋体" w:eastAsia="宋体"/>
                <w:sz w:val="21"/>
                <w:szCs w:val="21"/>
              </w:rPr>
            </w:pPr>
          </w:p>
        </w:tc>
        <w:tc>
          <w:tcPr>
            <w:tcW w:w="1437" w:type="dxa"/>
            <w:vAlign w:val="center"/>
          </w:tcPr>
          <w:p>
            <w:pPr>
              <w:pStyle w:val="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9" w:type="dxa"/>
            <w:vAlign w:val="center"/>
          </w:tcPr>
          <w:p>
            <w:pPr>
              <w:pStyle w:val="4"/>
              <w:numPr>
                <w:ilvl w:val="0"/>
                <w:numId w:val="18"/>
              </w:numPr>
              <w:spacing w:line="240" w:lineRule="auto"/>
              <w:jc w:val="center"/>
              <w:rPr>
                <w:rFonts w:ascii="宋体" w:hAnsi="宋体" w:eastAsia="宋体"/>
                <w:sz w:val="21"/>
                <w:szCs w:val="21"/>
              </w:rPr>
            </w:pPr>
          </w:p>
        </w:tc>
        <w:tc>
          <w:tcPr>
            <w:tcW w:w="1636" w:type="dxa"/>
            <w:vAlign w:val="center"/>
          </w:tcPr>
          <w:p>
            <w:pPr>
              <w:pStyle w:val="4"/>
              <w:spacing w:line="240" w:lineRule="auto"/>
              <w:ind w:left="46" w:hanging="46" w:hangingChars="22"/>
              <w:rPr>
                <w:rFonts w:ascii="宋体" w:hAnsi="宋体" w:eastAsia="宋体"/>
                <w:sz w:val="21"/>
                <w:szCs w:val="21"/>
              </w:rPr>
            </w:pPr>
          </w:p>
        </w:tc>
        <w:tc>
          <w:tcPr>
            <w:tcW w:w="2306" w:type="dxa"/>
            <w:vAlign w:val="center"/>
          </w:tcPr>
          <w:p>
            <w:pPr>
              <w:pStyle w:val="4"/>
              <w:spacing w:line="240" w:lineRule="auto"/>
              <w:ind w:left="46" w:hanging="46" w:hangingChars="22"/>
              <w:jc w:val="both"/>
              <w:rPr>
                <w:rFonts w:ascii="宋体" w:hAnsi="宋体" w:eastAsia="宋体"/>
                <w:sz w:val="21"/>
                <w:szCs w:val="21"/>
              </w:rPr>
            </w:pPr>
          </w:p>
        </w:tc>
        <w:tc>
          <w:tcPr>
            <w:tcW w:w="2478" w:type="dxa"/>
            <w:vAlign w:val="center"/>
          </w:tcPr>
          <w:p>
            <w:pPr>
              <w:pStyle w:val="4"/>
              <w:spacing w:line="240" w:lineRule="auto"/>
              <w:ind w:left="46" w:hanging="46" w:hangingChars="22"/>
              <w:jc w:val="center"/>
              <w:rPr>
                <w:rFonts w:ascii="宋体" w:hAnsi="宋体" w:eastAsia="宋体"/>
                <w:sz w:val="21"/>
                <w:szCs w:val="21"/>
              </w:rPr>
            </w:pPr>
          </w:p>
        </w:tc>
        <w:tc>
          <w:tcPr>
            <w:tcW w:w="1437" w:type="dxa"/>
            <w:vAlign w:val="center"/>
          </w:tcPr>
          <w:p>
            <w:pPr>
              <w:pStyle w:val="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9" w:type="dxa"/>
            <w:vAlign w:val="center"/>
          </w:tcPr>
          <w:p>
            <w:pPr>
              <w:pStyle w:val="4"/>
              <w:numPr>
                <w:ilvl w:val="0"/>
                <w:numId w:val="18"/>
              </w:numPr>
              <w:spacing w:line="240" w:lineRule="auto"/>
              <w:jc w:val="center"/>
              <w:rPr>
                <w:rFonts w:ascii="宋体" w:hAnsi="宋体" w:eastAsia="宋体"/>
                <w:sz w:val="21"/>
                <w:szCs w:val="21"/>
              </w:rPr>
            </w:pPr>
          </w:p>
        </w:tc>
        <w:tc>
          <w:tcPr>
            <w:tcW w:w="1636" w:type="dxa"/>
            <w:vAlign w:val="center"/>
          </w:tcPr>
          <w:p>
            <w:pPr>
              <w:pStyle w:val="4"/>
              <w:spacing w:line="240" w:lineRule="auto"/>
              <w:ind w:left="46" w:hanging="46" w:hangingChars="22"/>
              <w:rPr>
                <w:rFonts w:ascii="宋体" w:hAnsi="宋体" w:eastAsia="宋体"/>
                <w:sz w:val="21"/>
                <w:szCs w:val="21"/>
              </w:rPr>
            </w:pPr>
          </w:p>
        </w:tc>
        <w:tc>
          <w:tcPr>
            <w:tcW w:w="2306" w:type="dxa"/>
            <w:vAlign w:val="center"/>
          </w:tcPr>
          <w:p>
            <w:pPr>
              <w:pStyle w:val="4"/>
              <w:spacing w:line="240" w:lineRule="auto"/>
              <w:ind w:left="46" w:hanging="46" w:hangingChars="22"/>
              <w:jc w:val="both"/>
              <w:rPr>
                <w:rFonts w:ascii="宋体" w:hAnsi="宋体" w:eastAsia="宋体"/>
                <w:sz w:val="21"/>
                <w:szCs w:val="21"/>
              </w:rPr>
            </w:pPr>
          </w:p>
        </w:tc>
        <w:tc>
          <w:tcPr>
            <w:tcW w:w="2478" w:type="dxa"/>
            <w:vAlign w:val="center"/>
          </w:tcPr>
          <w:p>
            <w:pPr>
              <w:pStyle w:val="4"/>
              <w:spacing w:line="240" w:lineRule="auto"/>
              <w:ind w:left="46" w:hanging="46" w:hangingChars="22"/>
              <w:jc w:val="center"/>
              <w:rPr>
                <w:rFonts w:ascii="宋体" w:hAnsi="宋体" w:eastAsia="宋体"/>
                <w:sz w:val="21"/>
                <w:szCs w:val="21"/>
              </w:rPr>
            </w:pPr>
          </w:p>
        </w:tc>
        <w:tc>
          <w:tcPr>
            <w:tcW w:w="1437" w:type="dxa"/>
            <w:vAlign w:val="center"/>
          </w:tcPr>
          <w:p>
            <w:pPr>
              <w:pStyle w:val="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9" w:type="dxa"/>
            <w:vAlign w:val="center"/>
          </w:tcPr>
          <w:p>
            <w:pPr>
              <w:pStyle w:val="4"/>
              <w:numPr>
                <w:ilvl w:val="0"/>
                <w:numId w:val="18"/>
              </w:numPr>
              <w:spacing w:line="240" w:lineRule="auto"/>
              <w:jc w:val="center"/>
              <w:rPr>
                <w:rFonts w:ascii="宋体" w:hAnsi="宋体" w:eastAsia="宋体"/>
                <w:sz w:val="21"/>
                <w:szCs w:val="21"/>
              </w:rPr>
            </w:pPr>
          </w:p>
        </w:tc>
        <w:tc>
          <w:tcPr>
            <w:tcW w:w="1636" w:type="dxa"/>
            <w:vAlign w:val="center"/>
          </w:tcPr>
          <w:p>
            <w:pPr>
              <w:pStyle w:val="4"/>
              <w:spacing w:line="240" w:lineRule="auto"/>
              <w:ind w:left="46" w:hanging="46" w:hangingChars="22"/>
              <w:rPr>
                <w:rFonts w:asciiTheme="minorEastAsia" w:hAnsiTheme="minorEastAsia" w:eastAsiaTheme="minorEastAsia" w:cstheme="minorEastAsia"/>
                <w:sz w:val="21"/>
                <w:szCs w:val="21"/>
              </w:rPr>
            </w:pPr>
          </w:p>
        </w:tc>
        <w:tc>
          <w:tcPr>
            <w:tcW w:w="2306" w:type="dxa"/>
            <w:vAlign w:val="center"/>
          </w:tcPr>
          <w:p>
            <w:pPr>
              <w:pStyle w:val="4"/>
              <w:spacing w:line="240" w:lineRule="auto"/>
              <w:ind w:left="46" w:hanging="46" w:hangingChars="22"/>
              <w:rPr>
                <w:rFonts w:ascii="宋体" w:hAnsi="宋体" w:eastAsia="宋体"/>
                <w:sz w:val="21"/>
                <w:szCs w:val="21"/>
              </w:rPr>
            </w:pPr>
          </w:p>
        </w:tc>
        <w:tc>
          <w:tcPr>
            <w:tcW w:w="2478" w:type="dxa"/>
            <w:vAlign w:val="center"/>
          </w:tcPr>
          <w:p>
            <w:pPr>
              <w:pStyle w:val="4"/>
              <w:spacing w:line="240" w:lineRule="auto"/>
              <w:ind w:left="46" w:hanging="46" w:hangingChars="22"/>
              <w:jc w:val="center"/>
              <w:rPr>
                <w:rFonts w:ascii="宋体" w:hAnsi="宋体" w:eastAsia="宋体"/>
                <w:sz w:val="21"/>
                <w:szCs w:val="21"/>
              </w:rPr>
            </w:pPr>
          </w:p>
        </w:tc>
        <w:tc>
          <w:tcPr>
            <w:tcW w:w="1437" w:type="dxa"/>
            <w:vAlign w:val="center"/>
          </w:tcPr>
          <w:p>
            <w:pPr>
              <w:pStyle w:val="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9" w:type="dxa"/>
            <w:vAlign w:val="center"/>
          </w:tcPr>
          <w:p>
            <w:pPr>
              <w:pStyle w:val="4"/>
              <w:numPr>
                <w:ilvl w:val="0"/>
                <w:numId w:val="18"/>
              </w:numPr>
              <w:spacing w:line="240" w:lineRule="auto"/>
              <w:jc w:val="center"/>
              <w:rPr>
                <w:rFonts w:ascii="宋体" w:hAnsi="宋体" w:eastAsia="宋体"/>
                <w:sz w:val="21"/>
                <w:szCs w:val="21"/>
              </w:rPr>
            </w:pPr>
          </w:p>
        </w:tc>
        <w:tc>
          <w:tcPr>
            <w:tcW w:w="1636" w:type="dxa"/>
            <w:vAlign w:val="center"/>
          </w:tcPr>
          <w:p>
            <w:pPr>
              <w:pStyle w:val="4"/>
              <w:spacing w:line="240" w:lineRule="auto"/>
              <w:ind w:left="46" w:hanging="46" w:hangingChars="22"/>
              <w:rPr>
                <w:rFonts w:ascii="宋体" w:hAnsi="宋体" w:eastAsia="宋体"/>
                <w:sz w:val="21"/>
                <w:szCs w:val="21"/>
              </w:rPr>
            </w:pPr>
          </w:p>
        </w:tc>
        <w:tc>
          <w:tcPr>
            <w:tcW w:w="2306" w:type="dxa"/>
            <w:vAlign w:val="center"/>
          </w:tcPr>
          <w:p>
            <w:pPr>
              <w:pStyle w:val="4"/>
              <w:spacing w:line="240" w:lineRule="auto"/>
              <w:ind w:left="46" w:hanging="46" w:hangingChars="22"/>
              <w:rPr>
                <w:rFonts w:ascii="宋体" w:hAnsi="宋体" w:eastAsia="宋体"/>
                <w:sz w:val="21"/>
                <w:szCs w:val="21"/>
              </w:rPr>
            </w:pPr>
          </w:p>
        </w:tc>
        <w:tc>
          <w:tcPr>
            <w:tcW w:w="2478" w:type="dxa"/>
            <w:vAlign w:val="center"/>
          </w:tcPr>
          <w:p>
            <w:pPr>
              <w:pStyle w:val="4"/>
              <w:spacing w:line="240" w:lineRule="auto"/>
              <w:ind w:left="46" w:hanging="46" w:hangingChars="22"/>
              <w:jc w:val="center"/>
              <w:rPr>
                <w:rFonts w:ascii="宋体" w:hAnsi="宋体" w:eastAsia="宋体"/>
                <w:sz w:val="21"/>
                <w:szCs w:val="21"/>
              </w:rPr>
            </w:pPr>
          </w:p>
        </w:tc>
        <w:tc>
          <w:tcPr>
            <w:tcW w:w="1437" w:type="dxa"/>
            <w:vAlign w:val="center"/>
          </w:tcPr>
          <w:p>
            <w:pPr>
              <w:pStyle w:val="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9" w:type="dxa"/>
            <w:vAlign w:val="center"/>
          </w:tcPr>
          <w:p>
            <w:pPr>
              <w:pStyle w:val="4"/>
              <w:numPr>
                <w:ilvl w:val="0"/>
                <w:numId w:val="18"/>
              </w:numPr>
              <w:spacing w:line="240" w:lineRule="auto"/>
              <w:jc w:val="center"/>
              <w:rPr>
                <w:rFonts w:ascii="宋体" w:hAnsi="宋体" w:eastAsia="宋体"/>
                <w:sz w:val="21"/>
                <w:szCs w:val="21"/>
              </w:rPr>
            </w:pPr>
          </w:p>
        </w:tc>
        <w:tc>
          <w:tcPr>
            <w:tcW w:w="1636" w:type="dxa"/>
            <w:vAlign w:val="center"/>
          </w:tcPr>
          <w:p>
            <w:pPr>
              <w:pStyle w:val="4"/>
              <w:spacing w:line="240" w:lineRule="auto"/>
              <w:ind w:left="46" w:hanging="46" w:hangingChars="22"/>
              <w:rPr>
                <w:rFonts w:ascii="宋体" w:hAnsi="宋体" w:eastAsia="宋体"/>
                <w:sz w:val="21"/>
                <w:szCs w:val="21"/>
              </w:rPr>
            </w:pPr>
          </w:p>
        </w:tc>
        <w:tc>
          <w:tcPr>
            <w:tcW w:w="2306" w:type="dxa"/>
            <w:vAlign w:val="center"/>
          </w:tcPr>
          <w:p>
            <w:pPr>
              <w:pStyle w:val="4"/>
              <w:spacing w:line="240" w:lineRule="auto"/>
              <w:ind w:left="46" w:hanging="46" w:hangingChars="22"/>
              <w:rPr>
                <w:rFonts w:ascii="宋体" w:hAnsi="宋体" w:eastAsia="宋体"/>
                <w:sz w:val="21"/>
                <w:szCs w:val="21"/>
              </w:rPr>
            </w:pPr>
          </w:p>
        </w:tc>
        <w:tc>
          <w:tcPr>
            <w:tcW w:w="2478" w:type="dxa"/>
            <w:vAlign w:val="center"/>
          </w:tcPr>
          <w:p>
            <w:pPr>
              <w:pStyle w:val="4"/>
              <w:spacing w:line="240" w:lineRule="auto"/>
              <w:ind w:left="46" w:hanging="46" w:hangingChars="22"/>
              <w:jc w:val="center"/>
              <w:rPr>
                <w:rFonts w:ascii="宋体" w:hAnsi="宋体" w:eastAsia="宋体"/>
                <w:sz w:val="21"/>
                <w:szCs w:val="21"/>
              </w:rPr>
            </w:pPr>
          </w:p>
        </w:tc>
        <w:tc>
          <w:tcPr>
            <w:tcW w:w="1437" w:type="dxa"/>
            <w:vAlign w:val="center"/>
          </w:tcPr>
          <w:p>
            <w:pPr>
              <w:pStyle w:val="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99" w:type="dxa"/>
            <w:vAlign w:val="center"/>
          </w:tcPr>
          <w:p>
            <w:pPr>
              <w:pStyle w:val="4"/>
              <w:numPr>
                <w:ilvl w:val="0"/>
                <w:numId w:val="18"/>
              </w:numPr>
              <w:spacing w:line="240" w:lineRule="auto"/>
              <w:jc w:val="center"/>
              <w:rPr>
                <w:rFonts w:ascii="宋体" w:hAnsi="宋体" w:eastAsia="宋体"/>
                <w:sz w:val="21"/>
                <w:szCs w:val="21"/>
              </w:rPr>
            </w:pPr>
          </w:p>
        </w:tc>
        <w:tc>
          <w:tcPr>
            <w:tcW w:w="1636" w:type="dxa"/>
            <w:vAlign w:val="center"/>
          </w:tcPr>
          <w:p>
            <w:pPr>
              <w:pStyle w:val="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（其余条款投标人可根据实际情况自行补充）</w:t>
            </w:r>
          </w:p>
        </w:tc>
        <w:tc>
          <w:tcPr>
            <w:tcW w:w="2306" w:type="dxa"/>
            <w:vAlign w:val="center"/>
          </w:tcPr>
          <w:p>
            <w:pPr>
              <w:pStyle w:val="4"/>
              <w:ind w:left="46" w:hanging="46" w:hangingChars="22"/>
              <w:rPr>
                <w:rFonts w:ascii="宋体" w:hAnsi="宋体" w:eastAsia="宋体"/>
                <w:sz w:val="21"/>
                <w:szCs w:val="21"/>
              </w:rPr>
            </w:pPr>
          </w:p>
        </w:tc>
        <w:tc>
          <w:tcPr>
            <w:tcW w:w="2478" w:type="dxa"/>
            <w:vAlign w:val="center"/>
          </w:tcPr>
          <w:p>
            <w:pPr>
              <w:pStyle w:val="4"/>
              <w:spacing w:line="240" w:lineRule="auto"/>
              <w:ind w:left="46" w:hanging="46" w:hangingChars="22"/>
              <w:jc w:val="center"/>
              <w:rPr>
                <w:rFonts w:ascii="宋体" w:hAnsi="宋体" w:eastAsia="宋体"/>
                <w:sz w:val="21"/>
                <w:szCs w:val="21"/>
              </w:rPr>
            </w:pPr>
          </w:p>
        </w:tc>
        <w:tc>
          <w:tcPr>
            <w:tcW w:w="1437" w:type="dxa"/>
            <w:vAlign w:val="center"/>
          </w:tcPr>
          <w:p>
            <w:pPr>
              <w:pStyle w:val="4"/>
              <w:spacing w:line="240" w:lineRule="auto"/>
              <w:ind w:left="46" w:hanging="46" w:hangingChars="22"/>
              <w:jc w:val="center"/>
              <w:rPr>
                <w:rFonts w:ascii="宋体" w:hAnsi="宋体" w:eastAsia="宋体"/>
                <w:sz w:val="21"/>
                <w:szCs w:val="21"/>
              </w:rPr>
            </w:pPr>
          </w:p>
        </w:tc>
      </w:tr>
    </w:tbl>
    <w:p>
      <w:pPr>
        <w:rPr>
          <w:rFonts w:ascii="宋体" w:hAnsi="宋体"/>
          <w:bCs/>
          <w:szCs w:val="21"/>
        </w:rPr>
      </w:pPr>
    </w:p>
    <w:p>
      <w:pPr>
        <w:rPr>
          <w:rFonts w:ascii="宋体" w:hAnsi="宋体"/>
          <w:bCs/>
          <w:szCs w:val="21"/>
        </w:rPr>
      </w:pPr>
      <w:r>
        <w:rPr>
          <w:rFonts w:hint="eastAsia" w:ascii="宋体" w:hAnsi="宋体"/>
          <w:bCs/>
          <w:szCs w:val="21"/>
        </w:rPr>
        <w:t>注：投标人对照</w:t>
      </w:r>
      <w:r>
        <w:rPr>
          <w:rFonts w:hint="eastAsia" w:ascii="宋体" w:hAnsi="宋体"/>
          <w:b/>
          <w:bCs/>
          <w:szCs w:val="21"/>
        </w:rPr>
        <w:t>“第四章</w:t>
      </w:r>
      <w:r>
        <w:rPr>
          <w:rFonts w:ascii="宋体" w:hAnsi="宋体"/>
          <w:b/>
          <w:bCs/>
          <w:szCs w:val="21"/>
        </w:rPr>
        <w:t xml:space="preserve"> </w:t>
      </w:r>
      <w:r>
        <w:rPr>
          <w:rFonts w:hint="eastAsia" w:ascii="宋体" w:hAnsi="宋体"/>
          <w:b/>
          <w:bCs/>
          <w:szCs w:val="21"/>
        </w:rPr>
        <w:t>合同条款”：</w:t>
      </w:r>
    </w:p>
    <w:p>
      <w:pPr>
        <w:rPr>
          <w:rFonts w:ascii="宋体" w:hAnsi="宋体"/>
          <w:bCs/>
          <w:szCs w:val="21"/>
        </w:rPr>
      </w:pPr>
      <w:r>
        <w:rPr>
          <w:rFonts w:ascii="宋体" w:hAnsi="宋体"/>
          <w:bCs/>
          <w:szCs w:val="21"/>
        </w:rPr>
        <w:t>1、如有优于</w:t>
      </w:r>
      <w:r>
        <w:rPr>
          <w:rFonts w:hint="eastAsia" w:ascii="宋体" w:hAnsi="宋体"/>
          <w:bCs/>
          <w:szCs w:val="21"/>
        </w:rPr>
        <w:t>招募文件</w:t>
      </w:r>
      <w:r>
        <w:rPr>
          <w:rFonts w:ascii="宋体" w:hAnsi="宋体"/>
          <w:bCs/>
          <w:szCs w:val="21"/>
        </w:rPr>
        <w:t>要求的条件或与</w:t>
      </w:r>
      <w:r>
        <w:rPr>
          <w:rFonts w:hint="eastAsia" w:ascii="宋体" w:hAnsi="宋体"/>
          <w:bCs/>
          <w:szCs w:val="21"/>
        </w:rPr>
        <w:t>招募文件</w:t>
      </w:r>
      <w:r>
        <w:rPr>
          <w:rFonts w:ascii="宋体" w:hAnsi="宋体"/>
          <w:bCs/>
          <w:szCs w:val="21"/>
        </w:rPr>
        <w:t>要求有偏离的条目应填写“</w:t>
      </w:r>
      <w:r>
        <w:rPr>
          <w:rFonts w:hint="eastAsia" w:ascii="宋体" w:hAnsi="宋体"/>
          <w:b/>
          <w:szCs w:val="21"/>
        </w:rPr>
        <w:t>合同条款偏离表</w:t>
      </w:r>
      <w:r>
        <w:rPr>
          <w:rFonts w:hint="eastAsia" w:ascii="宋体" w:hAnsi="宋体"/>
          <w:bCs/>
          <w:szCs w:val="21"/>
        </w:rPr>
        <w:t>”。</w:t>
      </w:r>
    </w:p>
    <w:p>
      <w:pPr>
        <w:rPr>
          <w:rFonts w:ascii="宋体" w:hAnsi="宋体"/>
          <w:bCs/>
          <w:szCs w:val="21"/>
        </w:rPr>
      </w:pPr>
      <w:r>
        <w:rPr>
          <w:rFonts w:hint="eastAsia" w:ascii="宋体" w:hAnsi="宋体"/>
          <w:bCs/>
          <w:szCs w:val="21"/>
        </w:rPr>
        <w:t>投标人</w:t>
      </w:r>
      <w:r>
        <w:rPr>
          <w:rFonts w:ascii="宋体" w:hAnsi="宋体"/>
          <w:spacing w:val="-2"/>
          <w:szCs w:val="21"/>
        </w:rPr>
        <w:t>保证：除</w:t>
      </w:r>
      <w:r>
        <w:rPr>
          <w:rFonts w:hint="eastAsia" w:ascii="宋体" w:hAnsi="宋体"/>
          <w:spacing w:val="-2"/>
          <w:szCs w:val="21"/>
        </w:rPr>
        <w:t>合同条款偏离表</w:t>
      </w:r>
      <w:r>
        <w:rPr>
          <w:rFonts w:ascii="宋体" w:hAnsi="宋体"/>
          <w:spacing w:val="-2"/>
          <w:szCs w:val="21"/>
        </w:rPr>
        <w:t>列出的偏差外，</w:t>
      </w:r>
      <w:r>
        <w:rPr>
          <w:rFonts w:hint="eastAsia" w:ascii="宋体" w:hAnsi="宋体"/>
          <w:spacing w:val="-2"/>
          <w:szCs w:val="21"/>
        </w:rPr>
        <w:t>投标人</w:t>
      </w:r>
      <w:r>
        <w:rPr>
          <w:rFonts w:ascii="宋体" w:hAnsi="宋体"/>
          <w:spacing w:val="-2"/>
          <w:szCs w:val="21"/>
        </w:rPr>
        <w:t>响应</w:t>
      </w:r>
      <w:r>
        <w:rPr>
          <w:rFonts w:hint="eastAsia" w:ascii="宋体" w:hAnsi="宋体"/>
          <w:spacing w:val="-2"/>
          <w:szCs w:val="21"/>
        </w:rPr>
        <w:t>招募文件</w:t>
      </w:r>
      <w:r>
        <w:rPr>
          <w:rFonts w:ascii="宋体" w:hAnsi="宋体"/>
          <w:spacing w:val="-2"/>
          <w:szCs w:val="21"/>
        </w:rPr>
        <w:t>的</w:t>
      </w:r>
      <w:r>
        <w:rPr>
          <w:rFonts w:hint="eastAsia" w:ascii="宋体" w:hAnsi="宋体"/>
          <w:spacing w:val="-2"/>
          <w:szCs w:val="21"/>
        </w:rPr>
        <w:t>合同</w:t>
      </w:r>
      <w:r>
        <w:rPr>
          <w:rFonts w:ascii="宋体" w:hAnsi="宋体"/>
          <w:spacing w:val="-2"/>
          <w:szCs w:val="21"/>
        </w:rPr>
        <w:t>全部要求。</w:t>
      </w:r>
      <w:r>
        <w:rPr>
          <w:rFonts w:hint="eastAsia" w:ascii="宋体" w:hAnsi="宋体"/>
          <w:bCs/>
          <w:szCs w:val="21"/>
        </w:rPr>
        <w:t>以上所指条款以最小条目号所在内容认定为一条款。</w:t>
      </w:r>
    </w:p>
    <w:p>
      <w:pPr>
        <w:rPr>
          <w:rFonts w:ascii="宋体" w:hAnsi="宋体"/>
          <w:bCs/>
          <w:szCs w:val="21"/>
        </w:rPr>
      </w:pPr>
      <w:r>
        <w:rPr>
          <w:rFonts w:ascii="宋体" w:hAnsi="宋体"/>
          <w:bCs/>
          <w:szCs w:val="21"/>
        </w:rPr>
        <w:t>2、如全部无偏离在“</w:t>
      </w:r>
      <w:r>
        <w:rPr>
          <w:rFonts w:hint="eastAsia" w:ascii="宋体" w:hAnsi="宋体"/>
          <w:b/>
          <w:szCs w:val="21"/>
        </w:rPr>
        <w:t>合同条款偏离表</w:t>
      </w:r>
      <w:r>
        <w:rPr>
          <w:rFonts w:hint="eastAsia" w:ascii="宋体" w:hAnsi="宋体"/>
          <w:bCs/>
          <w:szCs w:val="21"/>
        </w:rPr>
        <w:t>”中“投标申请文件</w:t>
      </w:r>
      <w:r>
        <w:rPr>
          <w:rFonts w:hint="eastAsia" w:ascii="宋体" w:hAnsi="宋体"/>
          <w:szCs w:val="21"/>
        </w:rPr>
        <w:t>的合同条款响应</w:t>
      </w:r>
      <w:r>
        <w:rPr>
          <w:rFonts w:hint="eastAsia" w:ascii="宋体" w:hAnsi="宋体"/>
          <w:bCs/>
          <w:szCs w:val="21"/>
        </w:rPr>
        <w:t>”一栏中填写“全部条款无偏离”。</w:t>
      </w:r>
      <w:r>
        <w:rPr>
          <w:rFonts w:hint="eastAsia" w:ascii="宋体" w:hAnsi="宋体"/>
          <w:b/>
          <w:color w:val="FF0000"/>
          <w:szCs w:val="21"/>
        </w:rPr>
        <w:t>若投标人提供空白表格，则视为“合同条款全部响应无偏离”</w:t>
      </w:r>
      <w:r>
        <w:rPr>
          <w:rFonts w:hint="eastAsia" w:ascii="宋体" w:hAnsi="宋体"/>
          <w:bCs/>
          <w:szCs w:val="21"/>
        </w:rPr>
        <w:t>。</w:t>
      </w:r>
    </w:p>
    <w:p>
      <w:pPr>
        <w:rPr>
          <w:rFonts w:ascii="宋体" w:hAnsi="宋体"/>
          <w:bCs/>
          <w:szCs w:val="21"/>
        </w:rPr>
      </w:pPr>
      <w:r>
        <w:rPr>
          <w:rFonts w:ascii="宋体" w:hAnsi="宋体"/>
          <w:bCs/>
          <w:szCs w:val="21"/>
        </w:rPr>
        <w:t>3</w:t>
      </w:r>
      <w:r>
        <w:rPr>
          <w:rFonts w:hint="eastAsia" w:ascii="宋体" w:hAnsi="宋体"/>
          <w:bCs/>
          <w:szCs w:val="21"/>
        </w:rPr>
        <w:t>、</w:t>
      </w:r>
      <w:r>
        <w:rPr>
          <w:rFonts w:hint="eastAsia" w:ascii="宋体" w:hAnsi="宋体"/>
          <w:b/>
          <w:bCs/>
          <w:szCs w:val="21"/>
        </w:rPr>
        <w:t>“</w:t>
      </w:r>
      <w:r>
        <w:rPr>
          <w:rFonts w:hint="eastAsia" w:ascii="宋体" w:hAnsi="宋体"/>
          <w:b/>
          <w:szCs w:val="21"/>
        </w:rPr>
        <w:t>合同条款偏离表</w:t>
      </w:r>
      <w:r>
        <w:rPr>
          <w:rFonts w:hint="eastAsia" w:ascii="宋体" w:hAnsi="宋体"/>
          <w:b/>
          <w:bCs/>
          <w:szCs w:val="21"/>
        </w:rPr>
        <w:t>”需加盖</w:t>
      </w:r>
      <w:r>
        <w:rPr>
          <w:rFonts w:ascii="宋体" w:hAnsi="宋体"/>
          <w:b/>
          <w:szCs w:val="21"/>
        </w:rPr>
        <w:t>单位公章</w:t>
      </w:r>
      <w:r>
        <w:rPr>
          <w:rFonts w:hint="eastAsia" w:ascii="宋体" w:hAnsi="宋体"/>
          <w:b/>
          <w:szCs w:val="21"/>
        </w:rPr>
        <w:t>。</w:t>
      </w:r>
    </w:p>
    <w:p>
      <w:pPr>
        <w:rPr>
          <w:rFonts w:ascii="宋体" w:hAnsi="宋体"/>
          <w:bCs/>
          <w:szCs w:val="21"/>
        </w:rPr>
      </w:pPr>
      <w:r>
        <w:rPr>
          <w:rFonts w:ascii="宋体" w:hAnsi="宋体"/>
          <w:bCs/>
          <w:szCs w:val="21"/>
        </w:rPr>
        <w:t>4、正偏离（优于</w:t>
      </w:r>
      <w:r>
        <w:rPr>
          <w:rFonts w:hint="eastAsia" w:ascii="宋体" w:hAnsi="宋体"/>
          <w:bCs/>
          <w:szCs w:val="21"/>
        </w:rPr>
        <w:t>招募文件</w:t>
      </w:r>
      <w:r>
        <w:rPr>
          <w:rFonts w:ascii="宋体" w:hAnsi="宋体"/>
          <w:bCs/>
          <w:szCs w:val="21"/>
        </w:rPr>
        <w:t>要求），无偏离（"等于"</w:t>
      </w:r>
      <w:r>
        <w:rPr>
          <w:rFonts w:hint="eastAsia" w:ascii="宋体" w:hAnsi="宋体"/>
          <w:bCs/>
          <w:szCs w:val="21"/>
        </w:rPr>
        <w:t>招募文件</w:t>
      </w:r>
      <w:r>
        <w:rPr>
          <w:rFonts w:ascii="宋体" w:hAnsi="宋体"/>
          <w:bCs/>
          <w:szCs w:val="21"/>
        </w:rPr>
        <w:t>要求），负偏离（低于</w:t>
      </w:r>
      <w:r>
        <w:rPr>
          <w:rFonts w:hint="eastAsia" w:ascii="宋体" w:hAnsi="宋体"/>
          <w:bCs/>
          <w:szCs w:val="21"/>
        </w:rPr>
        <w:t>招募文件</w:t>
      </w:r>
      <w:r>
        <w:rPr>
          <w:rFonts w:ascii="宋体" w:hAnsi="宋体"/>
          <w:bCs/>
          <w:szCs w:val="21"/>
        </w:rPr>
        <w:t>要求）。投标人正偏离的，需在说明一栏给出详细的文字说明。</w:t>
      </w:r>
    </w:p>
    <w:p>
      <w:pPr>
        <w:rPr>
          <w:rFonts w:ascii="宋体" w:hAnsi="宋体"/>
          <w:bCs/>
          <w:szCs w:val="21"/>
        </w:rPr>
      </w:pPr>
    </w:p>
    <w:p>
      <w:pPr>
        <w:pStyle w:val="4"/>
        <w:spacing w:line="240" w:lineRule="auto"/>
        <w:jc w:val="right"/>
        <w:rPr>
          <w:rFonts w:ascii="宋体" w:hAnsi="宋体" w:eastAsia="宋体"/>
          <w:sz w:val="21"/>
          <w:szCs w:val="21"/>
          <w:u w:val="single"/>
        </w:rPr>
      </w:pPr>
      <w:r>
        <w:rPr>
          <w:rFonts w:hint="eastAsia" w:ascii="宋体" w:hAnsi="宋体" w:eastAsia="宋体"/>
          <w:sz w:val="21"/>
          <w:szCs w:val="21"/>
        </w:rPr>
        <w:t>投标人名称：</w:t>
      </w:r>
      <w:r>
        <w:rPr>
          <w:rFonts w:ascii="宋体" w:hAnsi="宋体" w:eastAsia="宋体"/>
          <w:sz w:val="21"/>
          <w:szCs w:val="21"/>
          <w:u w:val="single"/>
        </w:rPr>
        <w:t xml:space="preserve">        （盖章）</w:t>
      </w:r>
    </w:p>
    <w:p>
      <w:pPr>
        <w:rPr>
          <w:rFonts w:ascii="宋体" w:hAnsi="宋体"/>
          <w:bCs/>
          <w:szCs w:val="21"/>
        </w:rPr>
      </w:pPr>
    </w:p>
    <w:p>
      <w:pPr>
        <w:pStyle w:val="4"/>
        <w:spacing w:line="240" w:lineRule="auto"/>
        <w:jc w:val="right"/>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widowControl/>
        <w:jc w:val="left"/>
      </w:pPr>
      <w:r>
        <w:br w:type="page"/>
      </w:r>
    </w:p>
    <w:p>
      <w:pPr>
        <w:pStyle w:val="38"/>
        <w:numPr>
          <w:ilvl w:val="0"/>
          <w:numId w:val="15"/>
        </w:numPr>
        <w:tabs>
          <w:tab w:val="left" w:pos="588"/>
        </w:tabs>
        <w:snapToGrid w:val="0"/>
        <w:spacing w:before="120" w:after="120" w:line="440" w:lineRule="exact"/>
        <w:jc w:val="left"/>
        <w:rPr>
          <w:rFonts w:ascii="宋体" w:hAnsi="宋体"/>
          <w:sz w:val="24"/>
          <w:szCs w:val="24"/>
        </w:rPr>
      </w:pPr>
      <w:r>
        <w:rPr>
          <w:rFonts w:hint="eastAsia" w:ascii="宋体" w:hAnsi="宋体"/>
          <w:sz w:val="24"/>
          <w:szCs w:val="24"/>
        </w:rPr>
        <w:t>采购需求条款偏离表</w:t>
      </w:r>
      <w:bookmarkEnd w:id="712"/>
      <w:bookmarkEnd w:id="719"/>
      <w:bookmarkEnd w:id="720"/>
      <w:bookmarkEnd w:id="721"/>
    </w:p>
    <w:p>
      <w:pPr>
        <w:pStyle w:val="4"/>
        <w:spacing w:line="240" w:lineRule="auto"/>
        <w:jc w:val="center"/>
        <w:rPr>
          <w:rFonts w:ascii="宋体" w:hAnsi="宋体" w:eastAsia="宋体"/>
          <w:b/>
          <w:bCs/>
          <w:kern w:val="2"/>
          <w:sz w:val="24"/>
          <w:szCs w:val="24"/>
        </w:rPr>
      </w:pPr>
      <w:r>
        <w:rPr>
          <w:rFonts w:hint="eastAsia" w:ascii="宋体" w:hAnsi="宋体" w:eastAsia="宋体"/>
          <w:b/>
          <w:bCs/>
          <w:kern w:val="2"/>
          <w:sz w:val="24"/>
          <w:szCs w:val="24"/>
        </w:rPr>
        <w:t>采购需求条款偏离表</w:t>
      </w:r>
    </w:p>
    <w:p>
      <w:pPr>
        <w:pStyle w:val="4"/>
        <w:spacing w:line="240" w:lineRule="auto"/>
        <w:rPr>
          <w:rFonts w:ascii="宋体" w:hAnsi="宋体" w:eastAsia="宋体"/>
          <w:sz w:val="21"/>
          <w:szCs w:val="21"/>
          <w:u w:val="single"/>
        </w:rPr>
      </w:pPr>
      <w:r>
        <w:rPr>
          <w:rFonts w:hint="eastAsia" w:ascii="宋体" w:hAnsi="宋体" w:eastAsia="宋体"/>
          <w:sz w:val="21"/>
          <w:szCs w:val="21"/>
        </w:rPr>
        <w:t>项目名称：</w:t>
      </w:r>
      <w:r>
        <w:rPr>
          <w:rFonts w:hint="eastAsia" w:ascii="宋体" w:hAnsi="宋体" w:eastAsia="宋体"/>
          <w:sz w:val="21"/>
          <w:szCs w:val="21"/>
          <w:u w:val="single"/>
        </w:rPr>
        <w:t>XXXXX项目</w:t>
      </w:r>
    </w:p>
    <w:p>
      <w:pPr>
        <w:pStyle w:val="4"/>
        <w:spacing w:line="240" w:lineRule="auto"/>
        <w:rPr>
          <w:rFonts w:ascii="宋体" w:hAnsi="宋体" w:eastAsia="宋体"/>
          <w:sz w:val="21"/>
          <w:szCs w:val="21"/>
          <w:u w:val="single"/>
        </w:rPr>
      </w:pPr>
      <w:r>
        <w:rPr>
          <w:rFonts w:hint="eastAsia" w:ascii="宋体" w:hAnsi="宋体" w:eastAsia="宋体"/>
          <w:sz w:val="21"/>
          <w:szCs w:val="21"/>
        </w:rPr>
        <w:t>项目编号：XXXXXXXX</w:t>
      </w:r>
    </w:p>
    <w:p>
      <w:pPr>
        <w:pStyle w:val="4"/>
        <w:spacing w:line="240" w:lineRule="auto"/>
        <w:jc w:val="center"/>
        <w:rPr>
          <w:rFonts w:ascii="宋体" w:hAnsi="宋体" w:eastAsia="宋体"/>
          <w:b/>
          <w:bCs/>
          <w:kern w:val="2"/>
          <w:sz w:val="24"/>
          <w:szCs w:val="24"/>
        </w:rPr>
      </w:pPr>
    </w:p>
    <w:tbl>
      <w:tblPr>
        <w:tblStyle w:val="41"/>
        <w:tblW w:w="885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472"/>
        <w:gridCol w:w="3028"/>
        <w:gridCol w:w="2424"/>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527" w:type="dxa"/>
            <w:vAlign w:val="center"/>
          </w:tcPr>
          <w:p>
            <w:pPr>
              <w:pStyle w:val="4"/>
              <w:spacing w:line="240" w:lineRule="auto"/>
              <w:ind w:left="46" w:right="-139" w:rightChars="-66" w:hanging="46" w:hangingChars="22"/>
              <w:rPr>
                <w:rFonts w:ascii="宋体" w:hAnsi="宋体" w:eastAsia="宋体"/>
                <w:sz w:val="21"/>
                <w:szCs w:val="21"/>
              </w:rPr>
            </w:pPr>
          </w:p>
          <w:p>
            <w:pPr>
              <w:pStyle w:val="4"/>
              <w:spacing w:line="240" w:lineRule="auto"/>
              <w:ind w:left="46" w:right="-139" w:rightChars="-66" w:hanging="46" w:hangingChars="22"/>
              <w:rPr>
                <w:rFonts w:ascii="宋体" w:hAnsi="宋体" w:eastAsia="宋体"/>
                <w:sz w:val="21"/>
                <w:szCs w:val="21"/>
              </w:rPr>
            </w:pPr>
            <w:r>
              <w:rPr>
                <w:rFonts w:hint="eastAsia" w:ascii="宋体" w:hAnsi="宋体" w:eastAsia="宋体"/>
                <w:sz w:val="21"/>
                <w:szCs w:val="21"/>
              </w:rPr>
              <w:t>序号</w:t>
            </w:r>
          </w:p>
        </w:tc>
        <w:tc>
          <w:tcPr>
            <w:tcW w:w="1472" w:type="dxa"/>
            <w:vAlign w:val="center"/>
          </w:tcPr>
          <w:p>
            <w:pPr>
              <w:pStyle w:val="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招募文件条目号</w:t>
            </w:r>
          </w:p>
        </w:tc>
        <w:tc>
          <w:tcPr>
            <w:tcW w:w="3028" w:type="dxa"/>
            <w:vAlign w:val="center"/>
          </w:tcPr>
          <w:p>
            <w:pPr>
              <w:pStyle w:val="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招募文件的采购需求条款</w:t>
            </w:r>
          </w:p>
        </w:tc>
        <w:tc>
          <w:tcPr>
            <w:tcW w:w="2424" w:type="dxa"/>
            <w:vAlign w:val="center"/>
          </w:tcPr>
          <w:p>
            <w:pPr>
              <w:pStyle w:val="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投标申请文件的采购需求响应</w:t>
            </w:r>
          </w:p>
        </w:tc>
        <w:tc>
          <w:tcPr>
            <w:tcW w:w="1406" w:type="dxa"/>
            <w:vAlign w:val="center"/>
          </w:tcPr>
          <w:p>
            <w:pPr>
              <w:pStyle w:val="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27" w:type="dxa"/>
            <w:vAlign w:val="center"/>
          </w:tcPr>
          <w:p>
            <w:pPr>
              <w:pStyle w:val="4"/>
              <w:numPr>
                <w:ilvl w:val="0"/>
                <w:numId w:val="19"/>
              </w:numPr>
              <w:spacing w:line="240" w:lineRule="auto"/>
              <w:jc w:val="center"/>
              <w:rPr>
                <w:rFonts w:ascii="宋体" w:hAnsi="宋体" w:eastAsia="宋体"/>
                <w:sz w:val="21"/>
                <w:szCs w:val="21"/>
              </w:rPr>
            </w:pPr>
          </w:p>
        </w:tc>
        <w:tc>
          <w:tcPr>
            <w:tcW w:w="1472" w:type="dxa"/>
            <w:vAlign w:val="center"/>
          </w:tcPr>
          <w:p>
            <w:pPr>
              <w:pStyle w:val="4"/>
              <w:spacing w:line="240" w:lineRule="auto"/>
              <w:ind w:left="46" w:hanging="46" w:hangingChars="22"/>
              <w:jc w:val="center"/>
              <w:rPr>
                <w:rFonts w:ascii="宋体" w:hAnsi="宋体" w:eastAsia="宋体"/>
                <w:sz w:val="21"/>
                <w:szCs w:val="21"/>
              </w:rPr>
            </w:pPr>
          </w:p>
        </w:tc>
        <w:tc>
          <w:tcPr>
            <w:tcW w:w="3028" w:type="dxa"/>
            <w:vAlign w:val="center"/>
          </w:tcPr>
          <w:p>
            <w:pPr>
              <w:pStyle w:val="4"/>
              <w:spacing w:line="240" w:lineRule="auto"/>
              <w:ind w:left="46" w:hanging="46" w:hangingChars="22"/>
              <w:rPr>
                <w:rFonts w:ascii="宋体" w:hAnsi="宋体" w:eastAsia="宋体"/>
                <w:sz w:val="21"/>
                <w:szCs w:val="21"/>
              </w:rPr>
            </w:pPr>
          </w:p>
        </w:tc>
        <w:tc>
          <w:tcPr>
            <w:tcW w:w="2424" w:type="dxa"/>
            <w:vAlign w:val="center"/>
          </w:tcPr>
          <w:p>
            <w:pPr>
              <w:pStyle w:val="4"/>
              <w:spacing w:line="240" w:lineRule="auto"/>
              <w:ind w:left="46" w:hanging="46" w:hangingChars="22"/>
              <w:jc w:val="center"/>
              <w:rPr>
                <w:rFonts w:ascii="宋体" w:hAnsi="宋体" w:eastAsia="宋体"/>
                <w:sz w:val="21"/>
                <w:szCs w:val="21"/>
              </w:rPr>
            </w:pPr>
          </w:p>
        </w:tc>
        <w:tc>
          <w:tcPr>
            <w:tcW w:w="1406" w:type="dxa"/>
            <w:vAlign w:val="center"/>
          </w:tcPr>
          <w:p>
            <w:pPr>
              <w:pStyle w:val="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27" w:type="dxa"/>
            <w:vAlign w:val="center"/>
          </w:tcPr>
          <w:p>
            <w:pPr>
              <w:pStyle w:val="4"/>
              <w:numPr>
                <w:ilvl w:val="0"/>
                <w:numId w:val="19"/>
              </w:numPr>
              <w:spacing w:line="240" w:lineRule="auto"/>
              <w:jc w:val="center"/>
              <w:rPr>
                <w:rFonts w:ascii="宋体" w:hAnsi="宋体" w:eastAsia="宋体"/>
                <w:sz w:val="21"/>
                <w:szCs w:val="21"/>
              </w:rPr>
            </w:pPr>
          </w:p>
        </w:tc>
        <w:tc>
          <w:tcPr>
            <w:tcW w:w="1472" w:type="dxa"/>
            <w:vAlign w:val="center"/>
          </w:tcPr>
          <w:p>
            <w:pPr>
              <w:pStyle w:val="4"/>
              <w:spacing w:line="240" w:lineRule="auto"/>
              <w:ind w:left="46" w:hanging="46" w:hangingChars="22"/>
              <w:jc w:val="center"/>
              <w:rPr>
                <w:rFonts w:ascii="宋体" w:hAnsi="宋体" w:eastAsia="宋体"/>
                <w:sz w:val="21"/>
                <w:szCs w:val="21"/>
              </w:rPr>
            </w:pPr>
          </w:p>
        </w:tc>
        <w:tc>
          <w:tcPr>
            <w:tcW w:w="3028" w:type="dxa"/>
            <w:vAlign w:val="center"/>
          </w:tcPr>
          <w:p>
            <w:pPr>
              <w:pStyle w:val="4"/>
              <w:spacing w:line="240" w:lineRule="auto"/>
              <w:ind w:left="46" w:hanging="46" w:hangingChars="22"/>
              <w:rPr>
                <w:rFonts w:ascii="宋体" w:hAnsi="宋体" w:eastAsia="宋体"/>
                <w:sz w:val="21"/>
                <w:szCs w:val="21"/>
              </w:rPr>
            </w:pPr>
          </w:p>
        </w:tc>
        <w:tc>
          <w:tcPr>
            <w:tcW w:w="2424" w:type="dxa"/>
            <w:vAlign w:val="center"/>
          </w:tcPr>
          <w:p>
            <w:pPr>
              <w:pStyle w:val="4"/>
              <w:spacing w:line="240" w:lineRule="auto"/>
              <w:ind w:left="46" w:hanging="46" w:hangingChars="22"/>
              <w:jc w:val="center"/>
              <w:rPr>
                <w:rFonts w:ascii="宋体" w:hAnsi="宋体" w:eastAsia="宋体"/>
                <w:sz w:val="21"/>
                <w:szCs w:val="21"/>
              </w:rPr>
            </w:pPr>
          </w:p>
        </w:tc>
        <w:tc>
          <w:tcPr>
            <w:tcW w:w="1406" w:type="dxa"/>
            <w:vAlign w:val="center"/>
          </w:tcPr>
          <w:p>
            <w:pPr>
              <w:pStyle w:val="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27" w:type="dxa"/>
            <w:vAlign w:val="center"/>
          </w:tcPr>
          <w:p>
            <w:pPr>
              <w:pStyle w:val="4"/>
              <w:numPr>
                <w:ilvl w:val="0"/>
                <w:numId w:val="19"/>
              </w:numPr>
              <w:spacing w:line="240" w:lineRule="auto"/>
              <w:jc w:val="center"/>
              <w:rPr>
                <w:rFonts w:ascii="宋体" w:hAnsi="宋体" w:eastAsia="宋体"/>
                <w:sz w:val="21"/>
                <w:szCs w:val="21"/>
              </w:rPr>
            </w:pPr>
          </w:p>
        </w:tc>
        <w:tc>
          <w:tcPr>
            <w:tcW w:w="1472" w:type="dxa"/>
            <w:vAlign w:val="center"/>
          </w:tcPr>
          <w:p>
            <w:pPr>
              <w:pStyle w:val="4"/>
              <w:spacing w:line="240" w:lineRule="auto"/>
              <w:ind w:left="46" w:hanging="46" w:hangingChars="22"/>
              <w:jc w:val="center"/>
              <w:rPr>
                <w:rFonts w:ascii="宋体" w:hAnsi="宋体" w:eastAsia="宋体"/>
                <w:sz w:val="21"/>
                <w:szCs w:val="21"/>
              </w:rPr>
            </w:pPr>
          </w:p>
        </w:tc>
        <w:tc>
          <w:tcPr>
            <w:tcW w:w="3028" w:type="dxa"/>
            <w:vAlign w:val="center"/>
          </w:tcPr>
          <w:p>
            <w:pPr>
              <w:pStyle w:val="4"/>
              <w:spacing w:line="240" w:lineRule="auto"/>
              <w:ind w:left="46" w:hanging="46" w:hangingChars="22"/>
              <w:rPr>
                <w:rFonts w:ascii="宋体" w:hAnsi="宋体" w:eastAsia="宋体"/>
                <w:sz w:val="21"/>
                <w:szCs w:val="21"/>
              </w:rPr>
            </w:pPr>
          </w:p>
        </w:tc>
        <w:tc>
          <w:tcPr>
            <w:tcW w:w="2424" w:type="dxa"/>
            <w:vAlign w:val="center"/>
          </w:tcPr>
          <w:p>
            <w:pPr>
              <w:pStyle w:val="4"/>
              <w:spacing w:line="240" w:lineRule="auto"/>
              <w:ind w:left="46" w:hanging="46" w:hangingChars="22"/>
              <w:jc w:val="center"/>
              <w:rPr>
                <w:rFonts w:ascii="宋体" w:hAnsi="宋体" w:eastAsia="宋体"/>
                <w:sz w:val="21"/>
                <w:szCs w:val="21"/>
              </w:rPr>
            </w:pPr>
          </w:p>
        </w:tc>
        <w:tc>
          <w:tcPr>
            <w:tcW w:w="1406" w:type="dxa"/>
            <w:vAlign w:val="center"/>
          </w:tcPr>
          <w:p>
            <w:pPr>
              <w:pStyle w:val="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27" w:type="dxa"/>
            <w:vAlign w:val="center"/>
          </w:tcPr>
          <w:p>
            <w:pPr>
              <w:pStyle w:val="4"/>
              <w:numPr>
                <w:ilvl w:val="0"/>
                <w:numId w:val="19"/>
              </w:numPr>
              <w:spacing w:line="240" w:lineRule="auto"/>
              <w:jc w:val="center"/>
              <w:rPr>
                <w:rFonts w:ascii="宋体" w:hAnsi="宋体" w:eastAsia="宋体"/>
                <w:sz w:val="21"/>
                <w:szCs w:val="21"/>
              </w:rPr>
            </w:pPr>
          </w:p>
        </w:tc>
        <w:tc>
          <w:tcPr>
            <w:tcW w:w="1472" w:type="dxa"/>
            <w:vAlign w:val="center"/>
          </w:tcPr>
          <w:p>
            <w:pPr>
              <w:pStyle w:val="4"/>
              <w:spacing w:line="240" w:lineRule="auto"/>
              <w:ind w:left="46" w:hanging="46" w:hangingChars="22"/>
              <w:jc w:val="center"/>
              <w:rPr>
                <w:rFonts w:ascii="宋体" w:hAnsi="宋体" w:eastAsia="宋体"/>
                <w:sz w:val="21"/>
                <w:szCs w:val="21"/>
              </w:rPr>
            </w:pPr>
          </w:p>
        </w:tc>
        <w:tc>
          <w:tcPr>
            <w:tcW w:w="3028" w:type="dxa"/>
            <w:vAlign w:val="center"/>
          </w:tcPr>
          <w:p>
            <w:pPr>
              <w:pStyle w:val="4"/>
              <w:spacing w:line="240" w:lineRule="auto"/>
              <w:ind w:left="46" w:hanging="46" w:hangingChars="22"/>
              <w:rPr>
                <w:rFonts w:ascii="宋体" w:hAnsi="宋体" w:eastAsia="宋体"/>
                <w:sz w:val="21"/>
                <w:szCs w:val="21"/>
              </w:rPr>
            </w:pPr>
          </w:p>
        </w:tc>
        <w:tc>
          <w:tcPr>
            <w:tcW w:w="2424" w:type="dxa"/>
            <w:vAlign w:val="center"/>
          </w:tcPr>
          <w:p>
            <w:pPr>
              <w:pStyle w:val="4"/>
              <w:spacing w:line="240" w:lineRule="auto"/>
              <w:ind w:left="46" w:hanging="46" w:hangingChars="22"/>
              <w:jc w:val="center"/>
              <w:rPr>
                <w:rFonts w:ascii="宋体" w:hAnsi="宋体" w:eastAsia="宋体"/>
                <w:sz w:val="21"/>
                <w:szCs w:val="21"/>
              </w:rPr>
            </w:pPr>
          </w:p>
        </w:tc>
        <w:tc>
          <w:tcPr>
            <w:tcW w:w="1406" w:type="dxa"/>
            <w:vAlign w:val="center"/>
          </w:tcPr>
          <w:p>
            <w:pPr>
              <w:pStyle w:val="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27" w:type="dxa"/>
            <w:vAlign w:val="center"/>
          </w:tcPr>
          <w:p>
            <w:pPr>
              <w:pStyle w:val="4"/>
              <w:numPr>
                <w:ilvl w:val="0"/>
                <w:numId w:val="19"/>
              </w:numPr>
              <w:spacing w:line="240" w:lineRule="auto"/>
              <w:jc w:val="center"/>
              <w:rPr>
                <w:rFonts w:ascii="宋体" w:hAnsi="宋体" w:eastAsia="宋体"/>
                <w:sz w:val="21"/>
                <w:szCs w:val="21"/>
              </w:rPr>
            </w:pPr>
          </w:p>
        </w:tc>
        <w:tc>
          <w:tcPr>
            <w:tcW w:w="1472" w:type="dxa"/>
            <w:vAlign w:val="center"/>
          </w:tcPr>
          <w:p>
            <w:pPr>
              <w:pStyle w:val="4"/>
              <w:spacing w:line="240" w:lineRule="auto"/>
              <w:ind w:left="46" w:hanging="46" w:hangingChars="22"/>
              <w:jc w:val="center"/>
              <w:rPr>
                <w:rFonts w:ascii="宋体" w:hAnsi="宋体" w:eastAsia="宋体"/>
                <w:sz w:val="21"/>
                <w:szCs w:val="21"/>
              </w:rPr>
            </w:pPr>
          </w:p>
        </w:tc>
        <w:tc>
          <w:tcPr>
            <w:tcW w:w="3028" w:type="dxa"/>
            <w:vAlign w:val="center"/>
          </w:tcPr>
          <w:p>
            <w:pPr>
              <w:pStyle w:val="4"/>
              <w:spacing w:line="240" w:lineRule="auto"/>
              <w:ind w:left="46" w:hanging="46" w:hangingChars="22"/>
              <w:rPr>
                <w:rFonts w:ascii="宋体" w:hAnsi="宋体" w:eastAsia="宋体"/>
                <w:sz w:val="21"/>
                <w:szCs w:val="21"/>
              </w:rPr>
            </w:pPr>
          </w:p>
        </w:tc>
        <w:tc>
          <w:tcPr>
            <w:tcW w:w="2424" w:type="dxa"/>
            <w:vAlign w:val="center"/>
          </w:tcPr>
          <w:p>
            <w:pPr>
              <w:pStyle w:val="4"/>
              <w:spacing w:line="240" w:lineRule="auto"/>
              <w:ind w:left="46" w:hanging="46" w:hangingChars="22"/>
              <w:jc w:val="center"/>
              <w:rPr>
                <w:rFonts w:ascii="宋体" w:hAnsi="宋体" w:eastAsia="宋体"/>
                <w:sz w:val="21"/>
                <w:szCs w:val="21"/>
              </w:rPr>
            </w:pPr>
          </w:p>
        </w:tc>
        <w:tc>
          <w:tcPr>
            <w:tcW w:w="1406" w:type="dxa"/>
            <w:vAlign w:val="center"/>
          </w:tcPr>
          <w:p>
            <w:pPr>
              <w:pStyle w:val="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27" w:type="dxa"/>
            <w:vAlign w:val="center"/>
          </w:tcPr>
          <w:p>
            <w:pPr>
              <w:pStyle w:val="4"/>
              <w:numPr>
                <w:ilvl w:val="0"/>
                <w:numId w:val="19"/>
              </w:numPr>
              <w:spacing w:line="240" w:lineRule="auto"/>
              <w:jc w:val="center"/>
              <w:rPr>
                <w:rFonts w:ascii="宋体" w:hAnsi="宋体" w:eastAsia="宋体"/>
                <w:sz w:val="21"/>
                <w:szCs w:val="21"/>
              </w:rPr>
            </w:pPr>
          </w:p>
        </w:tc>
        <w:tc>
          <w:tcPr>
            <w:tcW w:w="1472" w:type="dxa"/>
            <w:vAlign w:val="center"/>
          </w:tcPr>
          <w:p>
            <w:pPr>
              <w:pStyle w:val="4"/>
              <w:spacing w:line="240" w:lineRule="auto"/>
              <w:ind w:left="46" w:hanging="46" w:hangingChars="22"/>
              <w:jc w:val="center"/>
              <w:rPr>
                <w:rFonts w:ascii="宋体" w:hAnsi="宋体" w:eastAsia="宋体"/>
                <w:sz w:val="21"/>
                <w:szCs w:val="21"/>
              </w:rPr>
            </w:pPr>
          </w:p>
        </w:tc>
        <w:tc>
          <w:tcPr>
            <w:tcW w:w="3028" w:type="dxa"/>
            <w:vAlign w:val="center"/>
          </w:tcPr>
          <w:p>
            <w:pPr>
              <w:pStyle w:val="4"/>
              <w:spacing w:line="240" w:lineRule="auto"/>
              <w:ind w:left="46" w:hanging="46" w:hangingChars="22"/>
              <w:rPr>
                <w:rFonts w:ascii="宋体" w:hAnsi="宋体" w:eastAsia="宋体"/>
                <w:sz w:val="21"/>
                <w:szCs w:val="21"/>
              </w:rPr>
            </w:pPr>
          </w:p>
        </w:tc>
        <w:tc>
          <w:tcPr>
            <w:tcW w:w="2424" w:type="dxa"/>
            <w:vAlign w:val="center"/>
          </w:tcPr>
          <w:p>
            <w:pPr>
              <w:pStyle w:val="4"/>
              <w:spacing w:line="240" w:lineRule="auto"/>
              <w:ind w:left="46" w:hanging="46" w:hangingChars="22"/>
              <w:jc w:val="center"/>
              <w:rPr>
                <w:rFonts w:ascii="宋体" w:hAnsi="宋体" w:eastAsia="宋体"/>
                <w:sz w:val="21"/>
                <w:szCs w:val="21"/>
              </w:rPr>
            </w:pPr>
          </w:p>
        </w:tc>
        <w:tc>
          <w:tcPr>
            <w:tcW w:w="1406" w:type="dxa"/>
            <w:vAlign w:val="center"/>
          </w:tcPr>
          <w:p>
            <w:pPr>
              <w:pStyle w:val="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27" w:type="dxa"/>
            <w:vAlign w:val="center"/>
          </w:tcPr>
          <w:p>
            <w:pPr>
              <w:pStyle w:val="4"/>
              <w:spacing w:line="240" w:lineRule="auto"/>
              <w:ind w:left="46" w:hanging="46" w:hangingChars="22"/>
              <w:jc w:val="center"/>
              <w:rPr>
                <w:rFonts w:ascii="宋体" w:hAnsi="宋体" w:eastAsia="宋体"/>
                <w:sz w:val="21"/>
                <w:szCs w:val="21"/>
              </w:rPr>
            </w:pPr>
          </w:p>
        </w:tc>
        <w:tc>
          <w:tcPr>
            <w:tcW w:w="1472" w:type="dxa"/>
            <w:vAlign w:val="center"/>
          </w:tcPr>
          <w:p>
            <w:pPr>
              <w:pStyle w:val="4"/>
              <w:spacing w:line="240" w:lineRule="auto"/>
              <w:ind w:left="46" w:hanging="46" w:hangingChars="22"/>
              <w:jc w:val="center"/>
              <w:rPr>
                <w:rFonts w:asciiTheme="minorEastAsia" w:hAnsiTheme="minorEastAsia" w:eastAsiaTheme="minorEastAsia"/>
                <w:sz w:val="24"/>
                <w:szCs w:val="32"/>
              </w:rPr>
            </w:pPr>
            <w:r>
              <w:rPr>
                <w:rFonts w:hint="eastAsia" w:ascii="宋体" w:hAnsi="宋体" w:eastAsia="宋体"/>
                <w:sz w:val="21"/>
                <w:szCs w:val="21"/>
              </w:rPr>
              <w:t>（其余条款投标人可根据实际情况自行补充）</w:t>
            </w:r>
          </w:p>
        </w:tc>
        <w:tc>
          <w:tcPr>
            <w:tcW w:w="3028" w:type="dxa"/>
            <w:vAlign w:val="center"/>
          </w:tcPr>
          <w:p>
            <w:pPr>
              <w:pStyle w:val="4"/>
              <w:ind w:left="46" w:hanging="46" w:hangingChars="22"/>
              <w:rPr>
                <w:rFonts w:ascii="宋体" w:hAnsi="宋体" w:eastAsia="宋体"/>
                <w:sz w:val="21"/>
                <w:szCs w:val="21"/>
              </w:rPr>
            </w:pPr>
          </w:p>
        </w:tc>
        <w:tc>
          <w:tcPr>
            <w:tcW w:w="2424" w:type="dxa"/>
            <w:vAlign w:val="center"/>
          </w:tcPr>
          <w:p>
            <w:pPr>
              <w:pStyle w:val="4"/>
              <w:spacing w:line="240" w:lineRule="auto"/>
              <w:ind w:left="46" w:hanging="46" w:hangingChars="22"/>
              <w:jc w:val="center"/>
              <w:rPr>
                <w:rFonts w:ascii="宋体" w:hAnsi="宋体" w:eastAsia="宋体"/>
                <w:sz w:val="21"/>
                <w:szCs w:val="21"/>
              </w:rPr>
            </w:pPr>
          </w:p>
        </w:tc>
        <w:tc>
          <w:tcPr>
            <w:tcW w:w="1406" w:type="dxa"/>
            <w:vAlign w:val="center"/>
          </w:tcPr>
          <w:p>
            <w:pPr>
              <w:pStyle w:val="4"/>
              <w:spacing w:line="240" w:lineRule="auto"/>
              <w:ind w:left="46" w:hanging="46" w:hangingChars="22"/>
              <w:jc w:val="center"/>
              <w:rPr>
                <w:rFonts w:ascii="宋体" w:hAnsi="宋体" w:eastAsia="宋体"/>
                <w:sz w:val="21"/>
                <w:szCs w:val="21"/>
              </w:rPr>
            </w:pPr>
          </w:p>
        </w:tc>
      </w:tr>
    </w:tbl>
    <w:p>
      <w:pPr>
        <w:rPr>
          <w:rFonts w:ascii="宋体" w:hAnsi="宋体"/>
          <w:bCs/>
          <w:szCs w:val="21"/>
        </w:rPr>
      </w:pPr>
    </w:p>
    <w:p>
      <w:pPr>
        <w:rPr>
          <w:rFonts w:ascii="宋体" w:hAnsi="宋体"/>
          <w:bCs/>
          <w:szCs w:val="21"/>
        </w:rPr>
      </w:pPr>
      <w:r>
        <w:rPr>
          <w:rFonts w:hint="eastAsia" w:ascii="宋体" w:hAnsi="宋体"/>
          <w:bCs/>
          <w:szCs w:val="21"/>
        </w:rPr>
        <w:t>注：投标人对照</w:t>
      </w:r>
      <w:r>
        <w:rPr>
          <w:rFonts w:hint="eastAsia" w:ascii="宋体" w:hAnsi="宋体"/>
          <w:b/>
          <w:bCs/>
          <w:szCs w:val="21"/>
        </w:rPr>
        <w:t>“第五章</w:t>
      </w:r>
      <w:r>
        <w:rPr>
          <w:rFonts w:ascii="宋体" w:hAnsi="宋体"/>
          <w:b/>
          <w:bCs/>
          <w:szCs w:val="21"/>
        </w:rPr>
        <w:t xml:space="preserve"> </w:t>
      </w:r>
      <w:r>
        <w:rPr>
          <w:rFonts w:hint="eastAsia" w:ascii="宋体" w:hAnsi="宋体"/>
          <w:b/>
          <w:bCs/>
          <w:szCs w:val="21"/>
        </w:rPr>
        <w:t>采购需求书”：</w:t>
      </w:r>
    </w:p>
    <w:p>
      <w:pPr>
        <w:rPr>
          <w:rFonts w:ascii="宋体" w:hAnsi="宋体"/>
          <w:bCs/>
          <w:szCs w:val="21"/>
        </w:rPr>
      </w:pPr>
      <w:r>
        <w:rPr>
          <w:rFonts w:ascii="宋体" w:hAnsi="宋体"/>
          <w:bCs/>
          <w:szCs w:val="21"/>
        </w:rPr>
        <w:t>1、如有优于</w:t>
      </w:r>
      <w:r>
        <w:rPr>
          <w:rFonts w:hint="eastAsia" w:ascii="宋体" w:hAnsi="宋体"/>
          <w:bCs/>
          <w:szCs w:val="21"/>
        </w:rPr>
        <w:t>招募文件</w:t>
      </w:r>
      <w:r>
        <w:rPr>
          <w:rFonts w:ascii="宋体" w:hAnsi="宋体"/>
          <w:bCs/>
          <w:szCs w:val="21"/>
        </w:rPr>
        <w:t>要求的条件或与</w:t>
      </w:r>
      <w:r>
        <w:rPr>
          <w:rFonts w:hint="eastAsia" w:ascii="宋体" w:hAnsi="宋体"/>
          <w:bCs/>
          <w:szCs w:val="21"/>
        </w:rPr>
        <w:t>招募文件</w:t>
      </w:r>
      <w:r>
        <w:rPr>
          <w:rFonts w:ascii="宋体" w:hAnsi="宋体"/>
          <w:bCs/>
          <w:szCs w:val="21"/>
        </w:rPr>
        <w:t>要求有偏离的条目应填写</w:t>
      </w:r>
      <w:r>
        <w:rPr>
          <w:rFonts w:hint="eastAsia" w:ascii="宋体" w:hAnsi="宋体"/>
          <w:b/>
          <w:bCs/>
          <w:szCs w:val="21"/>
        </w:rPr>
        <w:t>“采购需求条款偏离表</w:t>
      </w:r>
      <w:r>
        <w:rPr>
          <w:rFonts w:hint="eastAsia" w:ascii="宋体" w:hAnsi="宋体"/>
          <w:bCs/>
          <w:szCs w:val="21"/>
        </w:rPr>
        <w:t>”。</w:t>
      </w:r>
    </w:p>
    <w:p>
      <w:pPr>
        <w:rPr>
          <w:rFonts w:ascii="宋体" w:hAnsi="宋体"/>
          <w:bCs/>
          <w:szCs w:val="21"/>
        </w:rPr>
      </w:pPr>
      <w:r>
        <w:rPr>
          <w:rFonts w:hint="eastAsia" w:ascii="宋体" w:hAnsi="宋体"/>
          <w:bCs/>
          <w:szCs w:val="21"/>
        </w:rPr>
        <w:t>投标人</w:t>
      </w:r>
      <w:r>
        <w:rPr>
          <w:rFonts w:ascii="宋体" w:hAnsi="宋体"/>
          <w:spacing w:val="-2"/>
          <w:szCs w:val="21"/>
        </w:rPr>
        <w:t>保证：除</w:t>
      </w:r>
      <w:r>
        <w:rPr>
          <w:rFonts w:hint="eastAsia" w:ascii="宋体" w:hAnsi="宋体"/>
          <w:spacing w:val="-2"/>
          <w:szCs w:val="21"/>
        </w:rPr>
        <w:t>采购需求条款偏离表</w:t>
      </w:r>
      <w:r>
        <w:rPr>
          <w:rFonts w:ascii="宋体" w:hAnsi="宋体"/>
          <w:spacing w:val="-2"/>
          <w:szCs w:val="21"/>
        </w:rPr>
        <w:t>列出的偏差外，</w:t>
      </w:r>
      <w:r>
        <w:rPr>
          <w:rFonts w:hint="eastAsia" w:ascii="宋体" w:hAnsi="宋体"/>
          <w:spacing w:val="-2"/>
          <w:szCs w:val="21"/>
        </w:rPr>
        <w:t>投标人</w:t>
      </w:r>
      <w:r>
        <w:rPr>
          <w:rFonts w:ascii="宋体" w:hAnsi="宋体"/>
          <w:spacing w:val="-2"/>
          <w:szCs w:val="21"/>
        </w:rPr>
        <w:t>响应</w:t>
      </w:r>
      <w:r>
        <w:rPr>
          <w:rFonts w:hint="eastAsia" w:ascii="宋体" w:hAnsi="宋体"/>
          <w:spacing w:val="-2"/>
          <w:szCs w:val="21"/>
        </w:rPr>
        <w:t>招募文件</w:t>
      </w:r>
      <w:r>
        <w:rPr>
          <w:rFonts w:ascii="宋体" w:hAnsi="宋体"/>
          <w:spacing w:val="-2"/>
          <w:szCs w:val="21"/>
        </w:rPr>
        <w:t>的全部要求。</w:t>
      </w:r>
      <w:r>
        <w:rPr>
          <w:rFonts w:hint="eastAsia" w:ascii="宋体" w:hAnsi="宋体"/>
          <w:bCs/>
          <w:szCs w:val="21"/>
        </w:rPr>
        <w:t>以上所指条款以最小条目号所在内容认定为一条款。</w:t>
      </w:r>
    </w:p>
    <w:p>
      <w:pPr>
        <w:rPr>
          <w:rFonts w:ascii="宋体" w:hAnsi="宋体"/>
          <w:bCs/>
          <w:szCs w:val="21"/>
        </w:rPr>
      </w:pPr>
      <w:r>
        <w:rPr>
          <w:rFonts w:ascii="宋体" w:hAnsi="宋体"/>
          <w:bCs/>
          <w:szCs w:val="21"/>
        </w:rPr>
        <w:t>2、如全部无偏离在</w:t>
      </w:r>
      <w:r>
        <w:rPr>
          <w:rFonts w:hint="eastAsia" w:ascii="宋体" w:hAnsi="宋体"/>
          <w:b/>
          <w:bCs/>
          <w:szCs w:val="21"/>
        </w:rPr>
        <w:t>“采购需求条款偏离表</w:t>
      </w:r>
      <w:r>
        <w:rPr>
          <w:rFonts w:hint="eastAsia" w:ascii="宋体" w:hAnsi="宋体"/>
          <w:bCs/>
          <w:szCs w:val="21"/>
        </w:rPr>
        <w:t>”中“</w:t>
      </w:r>
      <w:r>
        <w:rPr>
          <w:rFonts w:hint="eastAsia" w:ascii="宋体" w:hAnsi="宋体"/>
          <w:szCs w:val="21"/>
        </w:rPr>
        <w:t>投标申请文件的采购需求响应</w:t>
      </w:r>
      <w:r>
        <w:rPr>
          <w:rFonts w:hint="eastAsia" w:ascii="宋体" w:hAnsi="宋体"/>
          <w:bCs/>
          <w:szCs w:val="21"/>
        </w:rPr>
        <w:t>”一栏中填写“全部条款无偏离”。</w:t>
      </w:r>
      <w:r>
        <w:rPr>
          <w:rFonts w:hint="eastAsia" w:ascii="宋体" w:hAnsi="宋体"/>
          <w:b/>
          <w:color w:val="FF0000"/>
          <w:szCs w:val="21"/>
        </w:rPr>
        <w:t>若投标人提供空白表格，则视为“采购需求条款全部响应无偏离”。</w:t>
      </w:r>
    </w:p>
    <w:p>
      <w:pPr>
        <w:rPr>
          <w:rFonts w:ascii="宋体" w:hAnsi="宋体"/>
          <w:bCs/>
          <w:szCs w:val="21"/>
        </w:rPr>
      </w:pPr>
      <w:r>
        <w:rPr>
          <w:rFonts w:ascii="宋体" w:hAnsi="宋体"/>
          <w:bCs/>
          <w:szCs w:val="21"/>
        </w:rPr>
        <w:t>3</w:t>
      </w:r>
      <w:r>
        <w:rPr>
          <w:rFonts w:hint="eastAsia" w:ascii="宋体" w:hAnsi="宋体"/>
          <w:bCs/>
          <w:szCs w:val="21"/>
        </w:rPr>
        <w:t>、</w:t>
      </w:r>
      <w:r>
        <w:rPr>
          <w:rFonts w:hint="eastAsia" w:ascii="宋体" w:hAnsi="宋体"/>
          <w:b/>
          <w:bCs/>
          <w:szCs w:val="21"/>
        </w:rPr>
        <w:t>“采购需求条款偏离表”需加盖</w:t>
      </w:r>
      <w:r>
        <w:rPr>
          <w:rFonts w:ascii="宋体" w:hAnsi="宋体"/>
          <w:b/>
          <w:szCs w:val="21"/>
        </w:rPr>
        <w:t>单位公章</w:t>
      </w:r>
      <w:r>
        <w:rPr>
          <w:rFonts w:hint="eastAsia" w:ascii="宋体" w:hAnsi="宋体"/>
          <w:b/>
          <w:szCs w:val="21"/>
        </w:rPr>
        <w:t>。</w:t>
      </w:r>
    </w:p>
    <w:p>
      <w:pPr>
        <w:rPr>
          <w:rFonts w:ascii="宋体" w:hAnsi="宋体"/>
          <w:bCs/>
          <w:szCs w:val="21"/>
        </w:rPr>
      </w:pPr>
      <w:r>
        <w:rPr>
          <w:rFonts w:ascii="宋体" w:hAnsi="宋体"/>
          <w:bCs/>
          <w:szCs w:val="21"/>
        </w:rPr>
        <w:t>4、正偏离（优于</w:t>
      </w:r>
      <w:r>
        <w:rPr>
          <w:rFonts w:hint="eastAsia" w:ascii="宋体" w:hAnsi="宋体"/>
          <w:bCs/>
          <w:szCs w:val="21"/>
        </w:rPr>
        <w:t>招募文件</w:t>
      </w:r>
      <w:r>
        <w:rPr>
          <w:rFonts w:ascii="宋体" w:hAnsi="宋体"/>
          <w:bCs/>
          <w:szCs w:val="21"/>
        </w:rPr>
        <w:t>要求），无偏离（"等于"</w:t>
      </w:r>
      <w:r>
        <w:rPr>
          <w:rFonts w:hint="eastAsia" w:ascii="宋体" w:hAnsi="宋体"/>
          <w:bCs/>
          <w:szCs w:val="21"/>
        </w:rPr>
        <w:t>招募文件</w:t>
      </w:r>
      <w:r>
        <w:rPr>
          <w:rFonts w:ascii="宋体" w:hAnsi="宋体"/>
          <w:bCs/>
          <w:szCs w:val="21"/>
        </w:rPr>
        <w:t>要求），负偏离（低于</w:t>
      </w:r>
      <w:r>
        <w:rPr>
          <w:rFonts w:hint="eastAsia" w:ascii="宋体" w:hAnsi="宋体"/>
          <w:bCs/>
          <w:szCs w:val="21"/>
        </w:rPr>
        <w:t>招募文件</w:t>
      </w:r>
      <w:r>
        <w:rPr>
          <w:rFonts w:ascii="宋体" w:hAnsi="宋体"/>
          <w:bCs/>
          <w:szCs w:val="21"/>
        </w:rPr>
        <w:t>要求）。投标人正偏离的，需在说明一栏给出详细的文字说明。</w:t>
      </w:r>
    </w:p>
    <w:p>
      <w:pPr>
        <w:rPr>
          <w:rFonts w:ascii="宋体" w:hAnsi="宋体"/>
          <w:bCs/>
          <w:szCs w:val="21"/>
        </w:rPr>
      </w:pPr>
    </w:p>
    <w:p>
      <w:pPr>
        <w:pStyle w:val="4"/>
        <w:spacing w:line="240" w:lineRule="auto"/>
        <w:jc w:val="right"/>
        <w:rPr>
          <w:rFonts w:ascii="宋体" w:hAnsi="宋体" w:eastAsia="宋体"/>
          <w:sz w:val="21"/>
          <w:szCs w:val="21"/>
          <w:u w:val="single"/>
        </w:rPr>
      </w:pPr>
      <w:r>
        <w:rPr>
          <w:rFonts w:hint="eastAsia" w:ascii="宋体" w:hAnsi="宋体" w:eastAsia="宋体"/>
          <w:sz w:val="21"/>
          <w:szCs w:val="21"/>
        </w:rPr>
        <w:t>投标人名称：</w:t>
      </w:r>
      <w:r>
        <w:rPr>
          <w:rFonts w:ascii="宋体" w:hAnsi="宋体" w:eastAsia="宋体"/>
          <w:sz w:val="21"/>
          <w:szCs w:val="21"/>
          <w:u w:val="single"/>
        </w:rPr>
        <w:t xml:space="preserve">        （盖章）</w:t>
      </w:r>
    </w:p>
    <w:p>
      <w:pPr>
        <w:rPr>
          <w:rFonts w:ascii="宋体" w:hAnsi="宋体"/>
          <w:bCs/>
          <w:szCs w:val="21"/>
        </w:rPr>
      </w:pPr>
    </w:p>
    <w:p>
      <w:pPr>
        <w:pStyle w:val="4"/>
        <w:spacing w:line="240" w:lineRule="auto"/>
        <w:jc w:val="right"/>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widowControl/>
        <w:jc w:val="left"/>
        <w:rPr>
          <w:rFonts w:ascii="宋体" w:hAnsi="宋体"/>
          <w:kern w:val="0"/>
          <w:szCs w:val="21"/>
        </w:rPr>
      </w:pPr>
      <w:r>
        <w:rPr>
          <w:rFonts w:ascii="宋体" w:hAnsi="宋体"/>
          <w:szCs w:val="21"/>
        </w:rPr>
        <w:br w:type="page"/>
      </w:r>
    </w:p>
    <w:p>
      <w:pPr>
        <w:pStyle w:val="38"/>
        <w:numPr>
          <w:ilvl w:val="0"/>
          <w:numId w:val="15"/>
        </w:numPr>
        <w:tabs>
          <w:tab w:val="left" w:pos="588"/>
        </w:tabs>
        <w:snapToGrid w:val="0"/>
        <w:spacing w:before="120" w:after="120" w:line="440" w:lineRule="exact"/>
        <w:jc w:val="left"/>
        <w:rPr>
          <w:rFonts w:ascii="宋体" w:hAnsi="宋体"/>
          <w:sz w:val="24"/>
        </w:rPr>
      </w:pPr>
      <w:bookmarkStart w:id="722" w:name="_Toc26416"/>
      <w:bookmarkStart w:id="723" w:name="_Toc56432244"/>
      <w:bookmarkStart w:id="724" w:name="_Toc19736"/>
      <w:bookmarkStart w:id="725" w:name="_Toc13150"/>
      <w:r>
        <w:rPr>
          <w:rFonts w:hint="eastAsia" w:ascii="宋体" w:hAnsi="宋体"/>
          <w:sz w:val="24"/>
        </w:rPr>
        <w:t>公章对投标专用章授权说明（如有）</w:t>
      </w:r>
      <w:bookmarkEnd w:id="722"/>
      <w:bookmarkEnd w:id="723"/>
      <w:bookmarkEnd w:id="724"/>
      <w:bookmarkEnd w:id="725"/>
    </w:p>
    <w:p>
      <w:pPr>
        <w:rPr>
          <w:rFonts w:ascii="宋体" w:hAnsi="宋体"/>
          <w:b/>
          <w:bCs/>
          <w:sz w:val="24"/>
        </w:rPr>
      </w:pPr>
    </w:p>
    <w:p>
      <w:pPr>
        <w:adjustRightInd w:val="0"/>
        <w:snapToGrid w:val="0"/>
        <w:spacing w:line="440" w:lineRule="exact"/>
        <w:jc w:val="left"/>
        <w:rPr>
          <w:rFonts w:ascii="宋体" w:hAnsi="宋体" w:cs="宋体"/>
          <w:szCs w:val="21"/>
        </w:rPr>
      </w:pPr>
      <w:r>
        <w:rPr>
          <w:rFonts w:hint="eastAsia" w:ascii="宋体" w:hAnsi="宋体" w:cs="宋体"/>
          <w:szCs w:val="21"/>
        </w:rPr>
        <w:t>致：</w:t>
      </w:r>
      <w:r>
        <w:rPr>
          <w:rFonts w:ascii="宋体" w:hAnsi="宋体" w:cs="宋体"/>
          <w:szCs w:val="21"/>
          <w:u w:val="single"/>
        </w:rPr>
        <w:t xml:space="preserve">    （</w:t>
      </w:r>
      <w:r>
        <w:rPr>
          <w:rFonts w:hint="eastAsia" w:ascii="宋体" w:hAnsi="宋体" w:cs="宋体"/>
          <w:szCs w:val="21"/>
          <w:u w:val="single"/>
        </w:rPr>
        <w:t>招标人</w:t>
      </w:r>
      <w:r>
        <w:rPr>
          <w:rFonts w:ascii="宋体" w:hAnsi="宋体" w:cs="宋体"/>
          <w:szCs w:val="21"/>
          <w:u w:val="single"/>
        </w:rPr>
        <w:t xml:space="preserve">名称）        </w:t>
      </w:r>
      <w:r>
        <w:rPr>
          <w:rFonts w:ascii="宋体" w:hAnsi="宋体" w:cs="宋体"/>
          <w:szCs w:val="21"/>
        </w:rPr>
        <w:t>：</w:t>
      </w:r>
    </w:p>
    <w:p>
      <w:pPr>
        <w:spacing w:line="360" w:lineRule="auto"/>
        <w:ind w:firstLine="420" w:firstLineChars="200"/>
      </w:pPr>
      <w:r>
        <w:rPr>
          <w:rFonts w:hint="eastAsia"/>
          <w:u w:val="single"/>
        </w:rPr>
        <w:t>（投标单位）</w:t>
      </w:r>
      <w:r>
        <w:rPr>
          <w:rFonts w:hint="eastAsia"/>
        </w:rPr>
        <w:t>，是中华人民共和国依法登记注册的合法企业，注册地址：</w:t>
      </w:r>
      <w:r>
        <w:rPr>
          <w:u w:val="single"/>
        </w:rPr>
        <w:t xml:space="preserve">          </w:t>
      </w:r>
      <w:r>
        <w:rPr>
          <w:rFonts w:hint="eastAsia"/>
        </w:rPr>
        <w:t>，法定代表人：</w:t>
      </w:r>
      <w:r>
        <w:t>__________</w:t>
      </w:r>
      <w:r>
        <w:rPr>
          <w:rFonts w:hint="eastAsia"/>
        </w:rPr>
        <w:t>。</w:t>
      </w:r>
    </w:p>
    <w:p>
      <w:pPr>
        <w:spacing w:line="360" w:lineRule="auto"/>
        <w:ind w:firstLine="420" w:firstLineChars="200"/>
      </w:pPr>
      <w:r>
        <w:rPr>
          <w:rFonts w:hint="eastAsia"/>
        </w:rPr>
        <w:t>在贵单位采购项目：</w:t>
      </w:r>
      <w:r>
        <w:t>_____________________</w:t>
      </w:r>
      <w:r>
        <w:rPr>
          <w:rFonts w:hint="eastAsia"/>
        </w:rPr>
        <w:t>，招标代理编号：</w:t>
      </w:r>
      <w:r>
        <w:t>___________</w:t>
      </w:r>
      <w:r>
        <w:rPr>
          <w:rFonts w:hint="eastAsia"/>
        </w:rPr>
        <w:t>，投标单位针对以上招投标项目活动，在此作如下说明： </w:t>
      </w:r>
    </w:p>
    <w:p>
      <w:pPr>
        <w:spacing w:line="360" w:lineRule="auto"/>
        <w:ind w:firstLine="420" w:firstLineChars="200"/>
      </w:pPr>
      <w:r>
        <w:rPr>
          <w:rFonts w:hint="eastAsia"/>
        </w:rPr>
        <w:t>在此次招投标中，投标单位所使用的“投标专用章”与投标单位公章具有同等的法律效力，投标单位对所使用“投标专用章”的行为和相应责任予以完全承认。特此说明。</w:t>
      </w:r>
    </w:p>
    <w:p>
      <w:pPr>
        <w:spacing w:line="360" w:lineRule="auto"/>
        <w:ind w:firstLine="4638" w:firstLineChars="2200"/>
        <w:rPr>
          <w:b/>
        </w:rPr>
      </w:pPr>
      <w:r>
        <w:rPr>
          <w:rFonts w:hint="eastAsia"/>
          <w:b/>
        </w:rPr>
        <w:t>投标单位（单位公章）：</w:t>
      </w:r>
    </w:p>
    <w:p>
      <w:pPr>
        <w:spacing w:line="360" w:lineRule="auto"/>
        <w:ind w:firstLine="4620" w:firstLineChars="2200"/>
      </w:pPr>
      <w:r>
        <w:rPr>
          <w:rFonts w:hint="eastAsia"/>
        </w:rPr>
        <w:t>法定代表人签字或盖章：</w:t>
      </w:r>
    </w:p>
    <w:p>
      <w:pPr>
        <w:spacing w:line="360" w:lineRule="auto"/>
        <w:ind w:firstLine="4620" w:firstLineChars="2200"/>
      </w:pPr>
      <w:r>
        <w:rPr>
          <w:rFonts w:hint="eastAsia"/>
        </w:rPr>
        <w:t>日</w:t>
      </w:r>
      <w:r>
        <w:t xml:space="preserve"> </w:t>
      </w:r>
      <w:r>
        <w:rPr>
          <w:rFonts w:hint="eastAsia"/>
        </w:rPr>
        <w:t>期：</w:t>
      </w:r>
      <w:r>
        <w:t xml:space="preserve">    </w:t>
      </w:r>
      <w:r>
        <w:rPr>
          <w:rFonts w:hint="eastAsia"/>
        </w:rPr>
        <w:t>年</w:t>
      </w:r>
      <w:r>
        <w:t xml:space="preserve">   </w:t>
      </w:r>
      <w:r>
        <w:rPr>
          <w:rFonts w:hint="eastAsia"/>
        </w:rPr>
        <w:t>月</w:t>
      </w:r>
      <w:r>
        <w:t xml:space="preserve">  </w:t>
      </w:r>
      <w:r>
        <w:rPr>
          <w:rFonts w:hint="eastAsia"/>
        </w:rPr>
        <w:t>日</w:t>
      </w:r>
    </w:p>
    <w:p>
      <w:pPr>
        <w:spacing w:line="360" w:lineRule="auto"/>
      </w:pPr>
      <w:r>
        <w:rPr>
          <w:rFonts w:hint="eastAsia"/>
        </w:rPr>
        <w:t>附：</w:t>
      </w:r>
    </w:p>
    <w:p>
      <w:pPr>
        <w:spacing w:line="360" w:lineRule="auto"/>
      </w:pPr>
      <w:r>
        <w:rPr>
          <w:rFonts w:hint="eastAsia" w:ascii="宋体" w:hAnsi="宋体"/>
          <w:b/>
          <w:szCs w:val="21"/>
        </w:rPr>
        <w:t>同时</w:t>
      </w:r>
      <w:r>
        <w:rPr>
          <w:rFonts w:hint="eastAsia"/>
          <w:b/>
        </w:rPr>
        <w:t>提供投标专用章在公安、工商等部门的备案手续复印件（加盖单位公章）</w:t>
      </w:r>
    </w:p>
    <w:p>
      <w:pPr>
        <w:spacing w:line="360" w:lineRule="auto"/>
      </w:pPr>
      <w:r>
        <w:rPr>
          <w:rFonts w:hint="eastAsia"/>
        </w:rPr>
        <w:t>投标单位公章（印模）</w:t>
      </w:r>
      <w:r>
        <w:t xml:space="preserve">                             </w:t>
      </w:r>
      <w:r>
        <w:rPr>
          <w:rFonts w:hint="eastAsia"/>
        </w:rPr>
        <w:t>投标单位投标专用章（印模）</w:t>
      </w:r>
      <w:r>
        <mc:AlternateContent>
          <mc:Choice Requires="wps">
            <w:drawing>
              <wp:anchor distT="0" distB="0" distL="114300" distR="114300" simplePos="0" relativeHeight="251664384" behindDoc="0" locked="0" layoutInCell="1" allowOverlap="1">
                <wp:simplePos x="0" y="0"/>
                <wp:positionH relativeFrom="column">
                  <wp:posOffset>2937510</wp:posOffset>
                </wp:positionH>
                <wp:positionV relativeFrom="paragraph">
                  <wp:posOffset>267335</wp:posOffset>
                </wp:positionV>
                <wp:extent cx="2665730" cy="1966595"/>
                <wp:effectExtent l="6350" t="6350" r="20320" b="8255"/>
                <wp:wrapNone/>
                <wp:docPr id="7" name="矩形 8"/>
                <wp:cNvGraphicFramePr/>
                <a:graphic xmlns:a="http://schemas.openxmlformats.org/drawingml/2006/main">
                  <a:graphicData uri="http://schemas.microsoft.com/office/word/2010/wordprocessingShape">
                    <wps:wsp>
                      <wps:cNvSpPr/>
                      <wps:spPr>
                        <a:xfrm>
                          <a:off x="0" y="0"/>
                          <a:ext cx="2665730" cy="1966595"/>
                        </a:xfrm>
                        <a:prstGeom prst="rect">
                          <a:avLst/>
                        </a:prstGeom>
                        <a:noFill/>
                        <a:ln w="12700" cap="flat" cmpd="sng">
                          <a:solidFill>
                            <a:srgbClr val="41719C"/>
                          </a:solidFill>
                          <a:prstDash val="solid"/>
                          <a:miter/>
                          <a:headEnd type="none" w="med" len="med"/>
                          <a:tailEnd type="none" w="med" len="med"/>
                        </a:ln>
                        <a:effectLst/>
                      </wps:spPr>
                      <wps:txbx>
                        <w:txbxContent>
                          <w:p>
                            <w:pPr>
                              <w:jc w:val="center"/>
                            </w:pPr>
                          </w:p>
                        </w:txbxContent>
                      </wps:txbx>
                      <wps:bodyPr anchor="ctr" anchorCtr="0" upright="1"/>
                    </wps:wsp>
                  </a:graphicData>
                </a:graphic>
              </wp:anchor>
            </w:drawing>
          </mc:Choice>
          <mc:Fallback>
            <w:pict>
              <v:rect id="矩形 8" o:spid="_x0000_s1026" o:spt="1" style="position:absolute;left:0pt;margin-left:231.3pt;margin-top:21.05pt;height:154.85pt;width:209.9pt;z-index:251664384;v-text-anchor:middle;mso-width-relative:page;mso-height-relative:page;" filled="f" stroked="t" coordsize="21600,21600" o:gfxdata="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7pcWnbAAAACgEAAA8AAAAA&#10;AAAAAQAgAAAAIgAAAGRycy9kb3ducmV2LnhtbFBLAQIUABQAAAAIAIdO4kDNDw7DEQIAACsEAAAO&#10;AAAAAAAAAAEAIAAAACoBAABkcnMvZTJvRG9jLnhtbFBLBQYAAAAABgAGAFkBAACtBQAAAAA=&#10;">
                <v:fill on="f" focussize="0,0"/>
                <v:stroke weight="1pt" color="#41719C"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267335</wp:posOffset>
                </wp:positionV>
                <wp:extent cx="2380615" cy="1966595"/>
                <wp:effectExtent l="6350" t="6350" r="26035" b="8255"/>
                <wp:wrapNone/>
                <wp:docPr id="6" name="矩形 7"/>
                <wp:cNvGraphicFramePr/>
                <a:graphic xmlns:a="http://schemas.openxmlformats.org/drawingml/2006/main">
                  <a:graphicData uri="http://schemas.microsoft.com/office/word/2010/wordprocessingShape">
                    <wps:wsp>
                      <wps:cNvSpPr/>
                      <wps:spPr>
                        <a:xfrm>
                          <a:off x="0" y="0"/>
                          <a:ext cx="2380615" cy="1966595"/>
                        </a:xfrm>
                        <a:prstGeom prst="rect">
                          <a:avLst/>
                        </a:prstGeom>
                        <a:noFill/>
                        <a:ln w="12700" cap="flat" cmpd="sng">
                          <a:solidFill>
                            <a:srgbClr val="41719C"/>
                          </a:solidFill>
                          <a:prstDash val="solid"/>
                          <a:miter/>
                          <a:headEnd type="none" w="med" len="med"/>
                          <a:tailEnd type="none" w="med" len="med"/>
                        </a:ln>
                        <a:effectLst/>
                      </wps:spPr>
                      <wps:txbx>
                        <w:txbxContent>
                          <w:p>
                            <w:pPr>
                              <w:jc w:val="center"/>
                            </w:pPr>
                          </w:p>
                        </w:txbxContent>
                      </wps:txbx>
                      <wps:bodyPr anchor="ctr" anchorCtr="0" upright="1"/>
                    </wps:wsp>
                  </a:graphicData>
                </a:graphic>
              </wp:anchor>
            </w:drawing>
          </mc:Choice>
          <mc:Fallback>
            <w:pict>
              <v:rect id="矩形 7" o:spid="_x0000_s1026" o:spt="1" style="position:absolute;left:0pt;margin-left:-3.05pt;margin-top:21.05pt;height:154.85pt;width:187.45pt;z-index:251663360;v-text-anchor:middle;mso-width-relative:page;mso-height-relative:page;" filled="f" stroked="t" coordsize="21600,21600" o:gfxdata="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WD0E2gAAAAkBAAAPAAAA&#10;AAAAAAEAIAAAACIAAABkcnMvZG93bnJldi54bWxQSwECFAAUAAAACACHTuJAifcCTBMCAAArBAAA&#10;DgAAAAAAAAABACAAAAApAQAAZHJzL2Uyb0RvYy54bWxQSwUGAAAAAAYABgBZAQAArgUAAAAA&#10;">
                <v:fill on="f" focussize="0,0"/>
                <v:stroke weight="1pt" color="#41719C" joinstyle="miter"/>
                <v:imagedata o:title=""/>
                <o:lock v:ext="edit" aspectratio="f"/>
                <v:textbox>
                  <w:txbxContent>
                    <w:p>
                      <w:pPr>
                        <w:jc w:val="center"/>
                      </w:pPr>
                    </w:p>
                  </w:txbxContent>
                </v:textbox>
              </v:rect>
            </w:pict>
          </mc:Fallback>
        </mc:AlternateContent>
      </w:r>
    </w:p>
    <w:p>
      <w:pPr>
        <w:spacing w:line="360" w:lineRule="auto"/>
      </w:pPr>
    </w:p>
    <w:p>
      <w:pPr>
        <w:pStyle w:val="4"/>
        <w:spacing w:line="360" w:lineRule="auto"/>
        <w:rPr>
          <w:rFonts w:ascii="仿宋_GB2312" w:hAnsi="宋体" w:eastAsia="仿宋_GB2312"/>
          <w:bCs/>
          <w:szCs w:val="21"/>
        </w:rPr>
      </w:pPr>
    </w:p>
    <w:p>
      <w:pPr>
        <w:spacing w:line="360" w:lineRule="auto"/>
        <w:rPr>
          <w:kern w:val="0"/>
        </w:rPr>
      </w:pPr>
    </w:p>
    <w:p>
      <w:pPr>
        <w:spacing w:line="360" w:lineRule="auto"/>
        <w:ind w:left="2879" w:leftChars="1371"/>
        <w:jc w:val="right"/>
        <w:rPr>
          <w:rFonts w:ascii="宋体" w:hAnsi="宋体"/>
          <w:sz w:val="24"/>
        </w:rPr>
      </w:pPr>
    </w:p>
    <w:p>
      <w:pPr>
        <w:widowControl/>
        <w:jc w:val="left"/>
        <w:rPr>
          <w:rFonts w:ascii="宋体" w:hAnsi="宋体" w:cs="宋体"/>
          <w:szCs w:val="21"/>
        </w:rPr>
      </w:pPr>
      <w:r>
        <w:br w:type="page"/>
      </w:r>
    </w:p>
    <w:p>
      <w:pPr>
        <w:pStyle w:val="38"/>
        <w:numPr>
          <w:ilvl w:val="0"/>
          <w:numId w:val="15"/>
        </w:numPr>
        <w:tabs>
          <w:tab w:val="left" w:pos="588"/>
        </w:tabs>
        <w:snapToGrid w:val="0"/>
        <w:spacing w:before="120" w:after="120" w:line="440" w:lineRule="exact"/>
        <w:jc w:val="left"/>
        <w:rPr>
          <w:rFonts w:ascii="宋体" w:hAnsi="宋体"/>
          <w:sz w:val="24"/>
          <w:szCs w:val="24"/>
        </w:rPr>
      </w:pPr>
      <w:bookmarkStart w:id="726" w:name="_Toc2178"/>
      <w:bookmarkStart w:id="727" w:name="_Toc5431"/>
      <w:bookmarkStart w:id="728" w:name="_Toc1651914"/>
      <w:r>
        <w:rPr>
          <w:rFonts w:hint="eastAsia" w:ascii="宋体" w:hAnsi="宋体"/>
          <w:sz w:val="24"/>
          <w:szCs w:val="24"/>
        </w:rPr>
        <w:t>企业人员规模及专业能力表</w:t>
      </w:r>
      <w:bookmarkEnd w:id="726"/>
      <w:bookmarkEnd w:id="727"/>
    </w:p>
    <w:p>
      <w:pPr>
        <w:spacing w:line="360" w:lineRule="auto"/>
        <w:rPr>
          <w:rFonts w:asciiTheme="minorEastAsia" w:hAnsiTheme="minorEastAsia"/>
        </w:rPr>
      </w:pPr>
      <w:r>
        <w:rPr>
          <w:rFonts w:hint="eastAsia" w:asciiTheme="minorEastAsia" w:hAnsiTheme="minorEastAsia"/>
        </w:rPr>
        <w:t>投标人名称：</w:t>
      </w:r>
      <w:r>
        <w:rPr>
          <w:rFonts w:asciiTheme="minorEastAsia" w:hAnsiTheme="minorEastAsia"/>
        </w:rPr>
        <w:t xml:space="preserve">                                                </w:t>
      </w:r>
      <w:r>
        <w:rPr>
          <w:rFonts w:hint="eastAsia" w:asciiTheme="minorEastAsia" w:hAnsiTheme="minorEastAsia"/>
        </w:rPr>
        <w:t>招标代理编号：</w:t>
      </w:r>
    </w:p>
    <w:p>
      <w:pPr>
        <w:spacing w:line="360" w:lineRule="auto"/>
        <w:rPr>
          <w:rFonts w:asciiTheme="minorEastAsia" w:hAnsiTheme="minorEastAsia"/>
          <w:b/>
          <w:bCs/>
          <w:sz w:val="28"/>
          <w:szCs w:val="36"/>
        </w:rPr>
      </w:pPr>
      <w:r>
        <w:rPr>
          <w:rFonts w:asciiTheme="minorEastAsia" w:hAnsiTheme="minorEastAsia"/>
          <w:b/>
          <w:bCs/>
          <w:sz w:val="28"/>
          <w:szCs w:val="36"/>
        </w:rPr>
        <w:t>1、团队成员情况表</w:t>
      </w:r>
    </w:p>
    <w:tbl>
      <w:tblPr>
        <w:tblStyle w:val="41"/>
        <w:tblW w:w="85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173"/>
        <w:gridCol w:w="977"/>
        <w:gridCol w:w="1175"/>
        <w:gridCol w:w="873"/>
        <w:gridCol w:w="1778"/>
        <w:gridCol w:w="15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77" w:type="dxa"/>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rPr>
            </w:pPr>
            <w:r>
              <w:rPr>
                <w:rFonts w:hint="eastAsia" w:asciiTheme="minorEastAsia" w:hAnsiTheme="minorEastAsia"/>
              </w:rPr>
              <w:t>序号</w:t>
            </w:r>
          </w:p>
        </w:tc>
        <w:tc>
          <w:tcPr>
            <w:tcW w:w="1173" w:type="dxa"/>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rPr>
            </w:pPr>
            <w:r>
              <w:rPr>
                <w:rFonts w:hint="eastAsia" w:asciiTheme="minorEastAsia" w:hAnsiTheme="minorEastAsia"/>
              </w:rPr>
              <w:t>姓名</w:t>
            </w:r>
          </w:p>
        </w:tc>
        <w:tc>
          <w:tcPr>
            <w:tcW w:w="977" w:type="dxa"/>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rPr>
            </w:pPr>
            <w:r>
              <w:rPr>
                <w:rFonts w:hint="eastAsia" w:asciiTheme="minorEastAsia" w:hAnsiTheme="minorEastAsia"/>
              </w:rPr>
              <w:t>性别</w:t>
            </w:r>
          </w:p>
        </w:tc>
        <w:tc>
          <w:tcPr>
            <w:tcW w:w="1175" w:type="dxa"/>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rPr>
            </w:pPr>
            <w:r>
              <w:rPr>
                <w:rFonts w:hint="eastAsia" w:asciiTheme="minorEastAsia" w:hAnsiTheme="minorEastAsia"/>
              </w:rPr>
              <w:t>年龄</w:t>
            </w:r>
          </w:p>
        </w:tc>
        <w:tc>
          <w:tcPr>
            <w:tcW w:w="873" w:type="dxa"/>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rPr>
            </w:pPr>
            <w:r>
              <w:rPr>
                <w:rFonts w:hint="eastAsia" w:asciiTheme="minorEastAsia" w:hAnsiTheme="minorEastAsia"/>
              </w:rPr>
              <w:t>学历</w:t>
            </w:r>
          </w:p>
        </w:tc>
        <w:tc>
          <w:tcPr>
            <w:tcW w:w="1778" w:type="dxa"/>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rPr>
            </w:pPr>
            <w:r>
              <w:rPr>
                <w:rFonts w:hint="eastAsia" w:cs="Arial" w:asciiTheme="minorEastAsia" w:hAnsiTheme="minorEastAsia"/>
                <w:szCs w:val="21"/>
              </w:rPr>
              <w:t>参与过的同类</w:t>
            </w:r>
            <w:r>
              <w:rPr>
                <w:rFonts w:cs="Arial" w:asciiTheme="minorEastAsia" w:hAnsiTheme="minorEastAsia"/>
                <w:szCs w:val="21"/>
              </w:rPr>
              <w:t>项目</w:t>
            </w:r>
            <w:r>
              <w:rPr>
                <w:rFonts w:hint="eastAsia" w:cs="Arial" w:asciiTheme="minorEastAsia" w:hAnsiTheme="minorEastAsia"/>
                <w:szCs w:val="21"/>
              </w:rPr>
              <w:t>名称</w:t>
            </w:r>
          </w:p>
        </w:tc>
        <w:tc>
          <w:tcPr>
            <w:tcW w:w="1570" w:type="dxa"/>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rPr>
            </w:pPr>
            <w:r>
              <w:rPr>
                <w:rFonts w:hint="eastAsia" w:asciiTheme="minorEastAsia" w:hAnsiTheme="minorEastAsia"/>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7" w:type="dxa"/>
            <w:tcBorders>
              <w:top w:val="double" w:color="auto" w:sz="4" w:space="0"/>
            </w:tcBorders>
            <w:vAlign w:val="center"/>
          </w:tcPr>
          <w:p>
            <w:pPr>
              <w:spacing w:line="400" w:lineRule="exact"/>
              <w:jc w:val="center"/>
              <w:rPr>
                <w:rFonts w:asciiTheme="minorEastAsia" w:hAnsiTheme="minorEastAsia"/>
              </w:rPr>
            </w:pPr>
          </w:p>
        </w:tc>
        <w:tc>
          <w:tcPr>
            <w:tcW w:w="1173" w:type="dxa"/>
            <w:tcBorders>
              <w:top w:val="double" w:color="auto" w:sz="4" w:space="0"/>
            </w:tcBorders>
            <w:vAlign w:val="center"/>
          </w:tcPr>
          <w:p>
            <w:pPr>
              <w:spacing w:line="400" w:lineRule="exact"/>
              <w:jc w:val="center"/>
              <w:rPr>
                <w:rFonts w:asciiTheme="minorEastAsia" w:hAnsiTheme="minorEastAsia"/>
              </w:rPr>
            </w:pPr>
          </w:p>
        </w:tc>
        <w:tc>
          <w:tcPr>
            <w:tcW w:w="977" w:type="dxa"/>
            <w:tcBorders>
              <w:top w:val="double" w:color="auto" w:sz="4" w:space="0"/>
            </w:tcBorders>
            <w:vAlign w:val="center"/>
          </w:tcPr>
          <w:p>
            <w:pPr>
              <w:spacing w:line="400" w:lineRule="exact"/>
              <w:jc w:val="center"/>
              <w:rPr>
                <w:rFonts w:asciiTheme="minorEastAsia" w:hAnsiTheme="minorEastAsia"/>
              </w:rPr>
            </w:pPr>
          </w:p>
        </w:tc>
        <w:tc>
          <w:tcPr>
            <w:tcW w:w="1175" w:type="dxa"/>
            <w:tcBorders>
              <w:top w:val="double" w:color="auto" w:sz="4" w:space="0"/>
            </w:tcBorders>
            <w:vAlign w:val="center"/>
          </w:tcPr>
          <w:p>
            <w:pPr>
              <w:spacing w:line="400" w:lineRule="exact"/>
              <w:jc w:val="center"/>
              <w:rPr>
                <w:rFonts w:asciiTheme="minorEastAsia" w:hAnsiTheme="minorEastAsia"/>
              </w:rPr>
            </w:pPr>
          </w:p>
        </w:tc>
        <w:tc>
          <w:tcPr>
            <w:tcW w:w="873" w:type="dxa"/>
            <w:tcBorders>
              <w:top w:val="double" w:color="auto" w:sz="4" w:space="0"/>
            </w:tcBorders>
            <w:vAlign w:val="center"/>
          </w:tcPr>
          <w:p>
            <w:pPr>
              <w:spacing w:line="400" w:lineRule="exact"/>
              <w:jc w:val="center"/>
              <w:rPr>
                <w:rFonts w:asciiTheme="minorEastAsia" w:hAnsiTheme="minorEastAsia"/>
              </w:rPr>
            </w:pPr>
          </w:p>
        </w:tc>
        <w:tc>
          <w:tcPr>
            <w:tcW w:w="1778" w:type="dxa"/>
            <w:tcBorders>
              <w:top w:val="double" w:color="auto" w:sz="4" w:space="0"/>
            </w:tcBorders>
            <w:vAlign w:val="center"/>
          </w:tcPr>
          <w:p>
            <w:pPr>
              <w:spacing w:line="400" w:lineRule="exact"/>
              <w:jc w:val="center"/>
              <w:rPr>
                <w:rFonts w:asciiTheme="minorEastAsia" w:hAnsiTheme="minorEastAsia"/>
              </w:rPr>
            </w:pPr>
          </w:p>
        </w:tc>
        <w:tc>
          <w:tcPr>
            <w:tcW w:w="1570" w:type="dxa"/>
            <w:tcBorders>
              <w:top w:val="double" w:color="auto" w:sz="4" w:space="0"/>
            </w:tcBorders>
          </w:tcPr>
          <w:p>
            <w:pPr>
              <w:spacing w:line="400" w:lineRule="exact"/>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7" w:type="dxa"/>
            <w:vAlign w:val="center"/>
          </w:tcPr>
          <w:p>
            <w:pPr>
              <w:spacing w:line="400" w:lineRule="exact"/>
              <w:jc w:val="center"/>
              <w:rPr>
                <w:rFonts w:asciiTheme="minorEastAsia" w:hAnsiTheme="minorEastAsia"/>
              </w:rPr>
            </w:pPr>
          </w:p>
        </w:tc>
        <w:tc>
          <w:tcPr>
            <w:tcW w:w="1173" w:type="dxa"/>
            <w:vAlign w:val="center"/>
          </w:tcPr>
          <w:p>
            <w:pPr>
              <w:spacing w:line="400" w:lineRule="exact"/>
              <w:jc w:val="center"/>
              <w:rPr>
                <w:rFonts w:asciiTheme="minorEastAsia" w:hAnsiTheme="minorEastAsia"/>
              </w:rPr>
            </w:pPr>
          </w:p>
        </w:tc>
        <w:tc>
          <w:tcPr>
            <w:tcW w:w="977" w:type="dxa"/>
            <w:vAlign w:val="center"/>
          </w:tcPr>
          <w:p>
            <w:pPr>
              <w:spacing w:line="400" w:lineRule="exact"/>
              <w:jc w:val="center"/>
              <w:rPr>
                <w:rFonts w:asciiTheme="minorEastAsia" w:hAnsiTheme="minorEastAsia"/>
              </w:rPr>
            </w:pPr>
          </w:p>
        </w:tc>
        <w:tc>
          <w:tcPr>
            <w:tcW w:w="1175" w:type="dxa"/>
            <w:vAlign w:val="center"/>
          </w:tcPr>
          <w:p>
            <w:pPr>
              <w:spacing w:line="400" w:lineRule="exact"/>
              <w:jc w:val="center"/>
              <w:rPr>
                <w:rFonts w:asciiTheme="minorEastAsia" w:hAnsiTheme="minorEastAsia"/>
              </w:rPr>
            </w:pPr>
          </w:p>
        </w:tc>
        <w:tc>
          <w:tcPr>
            <w:tcW w:w="873" w:type="dxa"/>
            <w:vAlign w:val="center"/>
          </w:tcPr>
          <w:p>
            <w:pPr>
              <w:spacing w:line="400" w:lineRule="exact"/>
              <w:jc w:val="center"/>
              <w:rPr>
                <w:rFonts w:asciiTheme="minorEastAsia" w:hAnsiTheme="minorEastAsia"/>
              </w:rPr>
            </w:pPr>
          </w:p>
        </w:tc>
        <w:tc>
          <w:tcPr>
            <w:tcW w:w="1778" w:type="dxa"/>
            <w:vAlign w:val="center"/>
          </w:tcPr>
          <w:p>
            <w:pPr>
              <w:spacing w:line="400" w:lineRule="exact"/>
              <w:jc w:val="center"/>
              <w:rPr>
                <w:rFonts w:asciiTheme="minorEastAsia" w:hAnsiTheme="minorEastAsia"/>
              </w:rPr>
            </w:pPr>
          </w:p>
        </w:tc>
        <w:tc>
          <w:tcPr>
            <w:tcW w:w="1570" w:type="dxa"/>
          </w:tcPr>
          <w:p>
            <w:pPr>
              <w:spacing w:line="400" w:lineRule="exact"/>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7" w:type="dxa"/>
            <w:vAlign w:val="center"/>
          </w:tcPr>
          <w:p>
            <w:pPr>
              <w:spacing w:line="400" w:lineRule="exact"/>
              <w:jc w:val="center"/>
              <w:rPr>
                <w:rFonts w:asciiTheme="minorEastAsia" w:hAnsiTheme="minorEastAsia"/>
              </w:rPr>
            </w:pPr>
          </w:p>
        </w:tc>
        <w:tc>
          <w:tcPr>
            <w:tcW w:w="1173" w:type="dxa"/>
            <w:vAlign w:val="center"/>
          </w:tcPr>
          <w:p>
            <w:pPr>
              <w:spacing w:line="400" w:lineRule="exact"/>
              <w:jc w:val="center"/>
              <w:rPr>
                <w:rFonts w:asciiTheme="minorEastAsia" w:hAnsiTheme="minorEastAsia"/>
              </w:rPr>
            </w:pPr>
          </w:p>
        </w:tc>
        <w:tc>
          <w:tcPr>
            <w:tcW w:w="977" w:type="dxa"/>
            <w:vAlign w:val="center"/>
          </w:tcPr>
          <w:p>
            <w:pPr>
              <w:spacing w:line="400" w:lineRule="exact"/>
              <w:jc w:val="center"/>
              <w:rPr>
                <w:rFonts w:asciiTheme="minorEastAsia" w:hAnsiTheme="minorEastAsia"/>
              </w:rPr>
            </w:pPr>
          </w:p>
        </w:tc>
        <w:tc>
          <w:tcPr>
            <w:tcW w:w="1175" w:type="dxa"/>
            <w:vAlign w:val="center"/>
          </w:tcPr>
          <w:p>
            <w:pPr>
              <w:spacing w:line="400" w:lineRule="exact"/>
              <w:jc w:val="center"/>
              <w:rPr>
                <w:rFonts w:asciiTheme="minorEastAsia" w:hAnsiTheme="minorEastAsia"/>
              </w:rPr>
            </w:pPr>
          </w:p>
        </w:tc>
        <w:tc>
          <w:tcPr>
            <w:tcW w:w="873" w:type="dxa"/>
            <w:vAlign w:val="center"/>
          </w:tcPr>
          <w:p>
            <w:pPr>
              <w:spacing w:line="400" w:lineRule="exact"/>
              <w:jc w:val="center"/>
              <w:rPr>
                <w:rFonts w:asciiTheme="minorEastAsia" w:hAnsiTheme="minorEastAsia"/>
              </w:rPr>
            </w:pPr>
          </w:p>
        </w:tc>
        <w:tc>
          <w:tcPr>
            <w:tcW w:w="1778" w:type="dxa"/>
            <w:vAlign w:val="center"/>
          </w:tcPr>
          <w:p>
            <w:pPr>
              <w:spacing w:line="400" w:lineRule="exact"/>
              <w:jc w:val="center"/>
              <w:rPr>
                <w:rFonts w:asciiTheme="minorEastAsia" w:hAnsiTheme="minorEastAsia"/>
              </w:rPr>
            </w:pPr>
          </w:p>
        </w:tc>
        <w:tc>
          <w:tcPr>
            <w:tcW w:w="1570" w:type="dxa"/>
          </w:tcPr>
          <w:p>
            <w:pPr>
              <w:spacing w:line="400" w:lineRule="exact"/>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7" w:type="dxa"/>
            <w:vAlign w:val="center"/>
          </w:tcPr>
          <w:p>
            <w:pPr>
              <w:spacing w:line="400" w:lineRule="exact"/>
              <w:jc w:val="center"/>
              <w:rPr>
                <w:rFonts w:asciiTheme="minorEastAsia" w:hAnsiTheme="minorEastAsia"/>
              </w:rPr>
            </w:pPr>
          </w:p>
        </w:tc>
        <w:tc>
          <w:tcPr>
            <w:tcW w:w="1173" w:type="dxa"/>
            <w:vAlign w:val="center"/>
          </w:tcPr>
          <w:p>
            <w:pPr>
              <w:spacing w:line="400" w:lineRule="exact"/>
              <w:jc w:val="center"/>
              <w:rPr>
                <w:rFonts w:asciiTheme="minorEastAsia" w:hAnsiTheme="minorEastAsia"/>
              </w:rPr>
            </w:pPr>
          </w:p>
        </w:tc>
        <w:tc>
          <w:tcPr>
            <w:tcW w:w="977" w:type="dxa"/>
            <w:vAlign w:val="center"/>
          </w:tcPr>
          <w:p>
            <w:pPr>
              <w:spacing w:line="400" w:lineRule="exact"/>
              <w:jc w:val="center"/>
              <w:rPr>
                <w:rFonts w:asciiTheme="minorEastAsia" w:hAnsiTheme="minorEastAsia"/>
              </w:rPr>
            </w:pPr>
          </w:p>
        </w:tc>
        <w:tc>
          <w:tcPr>
            <w:tcW w:w="1175" w:type="dxa"/>
            <w:vAlign w:val="center"/>
          </w:tcPr>
          <w:p>
            <w:pPr>
              <w:spacing w:line="400" w:lineRule="exact"/>
              <w:jc w:val="center"/>
              <w:rPr>
                <w:rFonts w:asciiTheme="minorEastAsia" w:hAnsiTheme="minorEastAsia"/>
              </w:rPr>
            </w:pPr>
          </w:p>
        </w:tc>
        <w:tc>
          <w:tcPr>
            <w:tcW w:w="873" w:type="dxa"/>
            <w:vAlign w:val="center"/>
          </w:tcPr>
          <w:p>
            <w:pPr>
              <w:spacing w:line="400" w:lineRule="exact"/>
              <w:jc w:val="center"/>
              <w:rPr>
                <w:rFonts w:asciiTheme="minorEastAsia" w:hAnsiTheme="minorEastAsia"/>
              </w:rPr>
            </w:pPr>
          </w:p>
        </w:tc>
        <w:tc>
          <w:tcPr>
            <w:tcW w:w="1778" w:type="dxa"/>
            <w:vAlign w:val="center"/>
          </w:tcPr>
          <w:p>
            <w:pPr>
              <w:spacing w:line="400" w:lineRule="exact"/>
              <w:jc w:val="center"/>
              <w:rPr>
                <w:rFonts w:asciiTheme="minorEastAsia" w:hAnsiTheme="minorEastAsia"/>
              </w:rPr>
            </w:pPr>
          </w:p>
        </w:tc>
        <w:tc>
          <w:tcPr>
            <w:tcW w:w="1570" w:type="dxa"/>
          </w:tcPr>
          <w:p>
            <w:pPr>
              <w:spacing w:line="400" w:lineRule="exact"/>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7" w:type="dxa"/>
            <w:vAlign w:val="center"/>
          </w:tcPr>
          <w:p>
            <w:pPr>
              <w:spacing w:line="400" w:lineRule="exact"/>
              <w:jc w:val="center"/>
              <w:rPr>
                <w:rFonts w:asciiTheme="minorEastAsia" w:hAnsiTheme="minorEastAsia"/>
              </w:rPr>
            </w:pPr>
          </w:p>
        </w:tc>
        <w:tc>
          <w:tcPr>
            <w:tcW w:w="1173" w:type="dxa"/>
            <w:vAlign w:val="center"/>
          </w:tcPr>
          <w:p>
            <w:pPr>
              <w:spacing w:line="400" w:lineRule="exact"/>
              <w:jc w:val="center"/>
              <w:rPr>
                <w:rFonts w:asciiTheme="minorEastAsia" w:hAnsiTheme="minorEastAsia"/>
              </w:rPr>
            </w:pPr>
          </w:p>
        </w:tc>
        <w:tc>
          <w:tcPr>
            <w:tcW w:w="977" w:type="dxa"/>
            <w:vAlign w:val="center"/>
          </w:tcPr>
          <w:p>
            <w:pPr>
              <w:spacing w:line="400" w:lineRule="exact"/>
              <w:jc w:val="center"/>
              <w:rPr>
                <w:rFonts w:asciiTheme="minorEastAsia" w:hAnsiTheme="minorEastAsia"/>
              </w:rPr>
            </w:pPr>
          </w:p>
        </w:tc>
        <w:tc>
          <w:tcPr>
            <w:tcW w:w="1175" w:type="dxa"/>
            <w:vAlign w:val="center"/>
          </w:tcPr>
          <w:p>
            <w:pPr>
              <w:spacing w:line="400" w:lineRule="exact"/>
              <w:jc w:val="center"/>
              <w:rPr>
                <w:rFonts w:asciiTheme="minorEastAsia" w:hAnsiTheme="minorEastAsia"/>
              </w:rPr>
            </w:pPr>
          </w:p>
        </w:tc>
        <w:tc>
          <w:tcPr>
            <w:tcW w:w="873" w:type="dxa"/>
            <w:vAlign w:val="center"/>
          </w:tcPr>
          <w:p>
            <w:pPr>
              <w:spacing w:line="400" w:lineRule="exact"/>
              <w:jc w:val="center"/>
              <w:rPr>
                <w:rFonts w:asciiTheme="minorEastAsia" w:hAnsiTheme="minorEastAsia"/>
              </w:rPr>
            </w:pPr>
          </w:p>
        </w:tc>
        <w:tc>
          <w:tcPr>
            <w:tcW w:w="1778" w:type="dxa"/>
            <w:vAlign w:val="center"/>
          </w:tcPr>
          <w:p>
            <w:pPr>
              <w:spacing w:line="400" w:lineRule="exact"/>
              <w:jc w:val="center"/>
              <w:rPr>
                <w:rFonts w:asciiTheme="minorEastAsia" w:hAnsiTheme="minorEastAsia"/>
              </w:rPr>
            </w:pPr>
          </w:p>
        </w:tc>
        <w:tc>
          <w:tcPr>
            <w:tcW w:w="1570" w:type="dxa"/>
          </w:tcPr>
          <w:p>
            <w:pPr>
              <w:spacing w:line="400" w:lineRule="exact"/>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7" w:type="dxa"/>
            <w:vAlign w:val="center"/>
          </w:tcPr>
          <w:p>
            <w:pPr>
              <w:spacing w:line="400" w:lineRule="exact"/>
              <w:jc w:val="center"/>
              <w:rPr>
                <w:rFonts w:asciiTheme="minorEastAsia" w:hAnsiTheme="minorEastAsia"/>
              </w:rPr>
            </w:pPr>
          </w:p>
        </w:tc>
        <w:tc>
          <w:tcPr>
            <w:tcW w:w="1173" w:type="dxa"/>
            <w:vAlign w:val="center"/>
          </w:tcPr>
          <w:p>
            <w:pPr>
              <w:spacing w:line="400" w:lineRule="exact"/>
              <w:jc w:val="center"/>
              <w:rPr>
                <w:rFonts w:asciiTheme="minorEastAsia" w:hAnsiTheme="minorEastAsia"/>
              </w:rPr>
            </w:pPr>
          </w:p>
        </w:tc>
        <w:tc>
          <w:tcPr>
            <w:tcW w:w="977" w:type="dxa"/>
            <w:vAlign w:val="center"/>
          </w:tcPr>
          <w:p>
            <w:pPr>
              <w:spacing w:line="400" w:lineRule="exact"/>
              <w:jc w:val="center"/>
              <w:rPr>
                <w:rFonts w:asciiTheme="minorEastAsia" w:hAnsiTheme="minorEastAsia"/>
              </w:rPr>
            </w:pPr>
          </w:p>
        </w:tc>
        <w:tc>
          <w:tcPr>
            <w:tcW w:w="1175" w:type="dxa"/>
            <w:vAlign w:val="center"/>
          </w:tcPr>
          <w:p>
            <w:pPr>
              <w:spacing w:line="400" w:lineRule="exact"/>
              <w:jc w:val="center"/>
              <w:rPr>
                <w:rFonts w:asciiTheme="minorEastAsia" w:hAnsiTheme="minorEastAsia"/>
              </w:rPr>
            </w:pPr>
          </w:p>
        </w:tc>
        <w:tc>
          <w:tcPr>
            <w:tcW w:w="873" w:type="dxa"/>
            <w:vAlign w:val="center"/>
          </w:tcPr>
          <w:p>
            <w:pPr>
              <w:spacing w:line="400" w:lineRule="exact"/>
              <w:jc w:val="center"/>
              <w:rPr>
                <w:rFonts w:asciiTheme="minorEastAsia" w:hAnsiTheme="minorEastAsia"/>
              </w:rPr>
            </w:pPr>
          </w:p>
        </w:tc>
        <w:tc>
          <w:tcPr>
            <w:tcW w:w="1778" w:type="dxa"/>
            <w:vAlign w:val="center"/>
          </w:tcPr>
          <w:p>
            <w:pPr>
              <w:spacing w:line="400" w:lineRule="exact"/>
              <w:jc w:val="center"/>
              <w:rPr>
                <w:rFonts w:asciiTheme="minorEastAsia" w:hAnsiTheme="minorEastAsia"/>
              </w:rPr>
            </w:pPr>
          </w:p>
        </w:tc>
        <w:tc>
          <w:tcPr>
            <w:tcW w:w="1570" w:type="dxa"/>
          </w:tcPr>
          <w:p>
            <w:pPr>
              <w:spacing w:line="400" w:lineRule="exact"/>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7" w:type="dxa"/>
            <w:vAlign w:val="center"/>
          </w:tcPr>
          <w:p>
            <w:pPr>
              <w:spacing w:line="400" w:lineRule="exact"/>
              <w:jc w:val="center"/>
              <w:rPr>
                <w:rFonts w:asciiTheme="minorEastAsia" w:hAnsiTheme="minorEastAsia"/>
              </w:rPr>
            </w:pPr>
          </w:p>
        </w:tc>
        <w:tc>
          <w:tcPr>
            <w:tcW w:w="1173" w:type="dxa"/>
            <w:vAlign w:val="center"/>
          </w:tcPr>
          <w:p>
            <w:pPr>
              <w:spacing w:line="400" w:lineRule="exact"/>
              <w:jc w:val="center"/>
              <w:rPr>
                <w:rFonts w:asciiTheme="minorEastAsia" w:hAnsiTheme="minorEastAsia"/>
              </w:rPr>
            </w:pPr>
          </w:p>
        </w:tc>
        <w:tc>
          <w:tcPr>
            <w:tcW w:w="977" w:type="dxa"/>
            <w:vAlign w:val="center"/>
          </w:tcPr>
          <w:p>
            <w:pPr>
              <w:spacing w:line="400" w:lineRule="exact"/>
              <w:jc w:val="center"/>
              <w:rPr>
                <w:rFonts w:asciiTheme="minorEastAsia" w:hAnsiTheme="minorEastAsia"/>
              </w:rPr>
            </w:pPr>
          </w:p>
        </w:tc>
        <w:tc>
          <w:tcPr>
            <w:tcW w:w="1175" w:type="dxa"/>
            <w:vAlign w:val="center"/>
          </w:tcPr>
          <w:p>
            <w:pPr>
              <w:spacing w:line="400" w:lineRule="exact"/>
              <w:jc w:val="center"/>
              <w:rPr>
                <w:rFonts w:asciiTheme="minorEastAsia" w:hAnsiTheme="minorEastAsia"/>
              </w:rPr>
            </w:pPr>
          </w:p>
        </w:tc>
        <w:tc>
          <w:tcPr>
            <w:tcW w:w="873" w:type="dxa"/>
            <w:vAlign w:val="center"/>
          </w:tcPr>
          <w:p>
            <w:pPr>
              <w:spacing w:line="400" w:lineRule="exact"/>
              <w:jc w:val="center"/>
              <w:rPr>
                <w:rFonts w:asciiTheme="minorEastAsia" w:hAnsiTheme="minorEastAsia"/>
              </w:rPr>
            </w:pPr>
          </w:p>
        </w:tc>
        <w:tc>
          <w:tcPr>
            <w:tcW w:w="1778" w:type="dxa"/>
            <w:vAlign w:val="center"/>
          </w:tcPr>
          <w:p>
            <w:pPr>
              <w:spacing w:line="400" w:lineRule="exact"/>
              <w:jc w:val="center"/>
              <w:rPr>
                <w:rFonts w:asciiTheme="minorEastAsia" w:hAnsiTheme="minorEastAsia"/>
              </w:rPr>
            </w:pPr>
          </w:p>
        </w:tc>
        <w:tc>
          <w:tcPr>
            <w:tcW w:w="1570" w:type="dxa"/>
          </w:tcPr>
          <w:p>
            <w:pPr>
              <w:spacing w:line="400" w:lineRule="exact"/>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7" w:type="dxa"/>
            <w:vAlign w:val="center"/>
          </w:tcPr>
          <w:p>
            <w:pPr>
              <w:spacing w:line="400" w:lineRule="exact"/>
              <w:jc w:val="center"/>
              <w:rPr>
                <w:rFonts w:asciiTheme="minorEastAsia" w:hAnsiTheme="minorEastAsia"/>
              </w:rPr>
            </w:pPr>
          </w:p>
        </w:tc>
        <w:tc>
          <w:tcPr>
            <w:tcW w:w="1173" w:type="dxa"/>
            <w:vAlign w:val="center"/>
          </w:tcPr>
          <w:p>
            <w:pPr>
              <w:spacing w:line="400" w:lineRule="exact"/>
              <w:jc w:val="center"/>
              <w:rPr>
                <w:rFonts w:asciiTheme="minorEastAsia" w:hAnsiTheme="minorEastAsia"/>
              </w:rPr>
            </w:pPr>
          </w:p>
        </w:tc>
        <w:tc>
          <w:tcPr>
            <w:tcW w:w="977" w:type="dxa"/>
            <w:vAlign w:val="center"/>
          </w:tcPr>
          <w:p>
            <w:pPr>
              <w:spacing w:line="400" w:lineRule="exact"/>
              <w:jc w:val="center"/>
              <w:rPr>
                <w:rFonts w:asciiTheme="minorEastAsia" w:hAnsiTheme="minorEastAsia"/>
              </w:rPr>
            </w:pPr>
          </w:p>
        </w:tc>
        <w:tc>
          <w:tcPr>
            <w:tcW w:w="1175" w:type="dxa"/>
            <w:vAlign w:val="center"/>
          </w:tcPr>
          <w:p>
            <w:pPr>
              <w:spacing w:line="400" w:lineRule="exact"/>
              <w:jc w:val="center"/>
              <w:rPr>
                <w:rFonts w:asciiTheme="minorEastAsia" w:hAnsiTheme="minorEastAsia"/>
              </w:rPr>
            </w:pPr>
          </w:p>
        </w:tc>
        <w:tc>
          <w:tcPr>
            <w:tcW w:w="873" w:type="dxa"/>
            <w:vAlign w:val="center"/>
          </w:tcPr>
          <w:p>
            <w:pPr>
              <w:spacing w:line="400" w:lineRule="exact"/>
              <w:jc w:val="center"/>
              <w:rPr>
                <w:rFonts w:asciiTheme="minorEastAsia" w:hAnsiTheme="minorEastAsia"/>
              </w:rPr>
            </w:pPr>
          </w:p>
        </w:tc>
        <w:tc>
          <w:tcPr>
            <w:tcW w:w="1778" w:type="dxa"/>
            <w:vAlign w:val="center"/>
          </w:tcPr>
          <w:p>
            <w:pPr>
              <w:spacing w:line="400" w:lineRule="exact"/>
              <w:jc w:val="center"/>
              <w:rPr>
                <w:rFonts w:asciiTheme="minorEastAsia" w:hAnsiTheme="minorEastAsia"/>
              </w:rPr>
            </w:pPr>
          </w:p>
        </w:tc>
        <w:tc>
          <w:tcPr>
            <w:tcW w:w="1570" w:type="dxa"/>
          </w:tcPr>
          <w:p>
            <w:pPr>
              <w:spacing w:line="400" w:lineRule="exact"/>
              <w:jc w:val="center"/>
              <w:rPr>
                <w:rFonts w:asciiTheme="minorEastAsia" w:hAnsiTheme="minorEastAsia"/>
              </w:rPr>
            </w:pPr>
          </w:p>
        </w:tc>
      </w:tr>
    </w:tbl>
    <w:p>
      <w:pPr>
        <w:spacing w:line="500" w:lineRule="exact"/>
        <w:rPr>
          <w:rFonts w:asciiTheme="minorEastAsia" w:hAnsiTheme="minorEastAsia"/>
          <w:b/>
          <w:bCs/>
          <w:u w:val="double"/>
        </w:rPr>
      </w:pPr>
      <w:r>
        <w:rPr>
          <w:rFonts w:hint="eastAsia" w:asciiTheme="minorEastAsia" w:hAnsiTheme="minorEastAsia"/>
          <w:b/>
          <w:bCs/>
        </w:rPr>
        <w:t>注：</w:t>
      </w:r>
      <w:r>
        <w:rPr>
          <w:rFonts w:hint="eastAsia" w:asciiTheme="minorEastAsia" w:hAnsiTheme="minorEastAsia"/>
          <w:b/>
          <w:bCs/>
          <w:u w:val="double"/>
        </w:rPr>
        <w:t>投标人需提供申请人近三个月内任意一个月缴纳社保的证明，社保证明需体现员工数量并且有政府社保管理部门印章，未提供或不满足要求的不得分。（以商务评分项要求为准）。</w:t>
      </w:r>
    </w:p>
    <w:p>
      <w:pPr>
        <w:spacing w:line="500" w:lineRule="exact"/>
        <w:jc w:val="right"/>
        <w:rPr>
          <w:rFonts w:asciiTheme="minorEastAsia" w:hAnsiTheme="minorEastAsia"/>
        </w:rPr>
      </w:pPr>
      <w:r>
        <w:rPr>
          <w:rFonts w:hint="eastAsia" w:asciiTheme="minorEastAsia" w:hAnsiTheme="minorEastAsia"/>
        </w:rPr>
        <w:t>投标人全称（盖章）：</w:t>
      </w:r>
    </w:p>
    <w:p>
      <w:pPr>
        <w:spacing w:line="500" w:lineRule="exact"/>
        <w:jc w:val="right"/>
        <w:rPr>
          <w:rFonts w:asciiTheme="minorEastAsia" w:hAnsiTheme="minorEastAsia"/>
        </w:rPr>
      </w:pPr>
      <w:r>
        <w:rPr>
          <w:rFonts w:hint="eastAsia" w:asciiTheme="minorEastAsia" w:hAnsiTheme="minorEastAsia"/>
        </w:rPr>
        <w:t>投标人授权代表</w:t>
      </w:r>
      <w:r>
        <w:rPr>
          <w:rFonts w:hint="eastAsia" w:asciiTheme="minorEastAsia" w:hAnsiTheme="minorEastAsia"/>
          <w:spacing w:val="4"/>
        </w:rPr>
        <w:t>（签字或盖章）</w:t>
      </w:r>
      <w:r>
        <w:rPr>
          <w:rFonts w:hint="eastAsia" w:asciiTheme="minorEastAsia" w:hAnsiTheme="minorEastAsia"/>
        </w:rPr>
        <w:t>：</w:t>
      </w:r>
    </w:p>
    <w:p>
      <w:pPr>
        <w:widowControl/>
        <w:jc w:val="right"/>
        <w:rPr>
          <w:rFonts w:asciiTheme="minorEastAsia" w:hAnsiTheme="minorEastAsia"/>
        </w:rPr>
      </w:pPr>
      <w:r>
        <w:rPr>
          <w:rFonts w:hint="eastAsia" w:asciiTheme="minorEastAsia" w:hAnsiTheme="minorEastAsia"/>
        </w:rPr>
        <w:t>日</w:t>
      </w:r>
      <w:r>
        <w:rPr>
          <w:rFonts w:asciiTheme="minorEastAsia" w:hAnsiTheme="minorEastAsia"/>
        </w:rPr>
        <w:t xml:space="preserve">    </w:t>
      </w:r>
      <w:r>
        <w:rPr>
          <w:rFonts w:hint="eastAsia" w:asciiTheme="minorEastAsia" w:hAnsiTheme="minorEastAsia"/>
        </w:rPr>
        <w:t>期：</w:t>
      </w:r>
      <w:r>
        <w:rPr>
          <w:rFonts w:asciiTheme="minorEastAsia" w:hAnsiTheme="minorEastAsia"/>
        </w:rPr>
        <w:t xml:space="preserve">     </w:t>
      </w:r>
      <w:r>
        <w:rPr>
          <w:rFonts w:hint="eastAsia" w:asciiTheme="minorEastAsia" w:hAnsiTheme="minorEastAsia"/>
        </w:rPr>
        <w:t>年</w:t>
      </w:r>
      <w:r>
        <w:rPr>
          <w:rFonts w:asciiTheme="minorEastAsia" w:hAnsiTheme="minorEastAsia"/>
        </w:rPr>
        <w:t xml:space="preserve">   </w:t>
      </w:r>
      <w:r>
        <w:rPr>
          <w:rFonts w:hint="eastAsia" w:asciiTheme="minorEastAsia" w:hAnsiTheme="minorEastAsia"/>
        </w:rPr>
        <w:t>月</w:t>
      </w:r>
      <w:r>
        <w:rPr>
          <w:rFonts w:asciiTheme="minorEastAsia" w:hAnsiTheme="minorEastAsia"/>
        </w:rPr>
        <w:t xml:space="preserve">   </w:t>
      </w:r>
      <w:r>
        <w:rPr>
          <w:rFonts w:hint="eastAsia" w:asciiTheme="minorEastAsia" w:hAnsiTheme="minorEastAsia"/>
        </w:rPr>
        <w:t>日</w:t>
      </w:r>
    </w:p>
    <w:p>
      <w:pPr>
        <w:widowControl/>
        <w:jc w:val="right"/>
        <w:rPr>
          <w:rFonts w:asciiTheme="minorEastAsia" w:hAnsiTheme="minorEastAsia"/>
        </w:rPr>
      </w:pPr>
    </w:p>
    <w:p>
      <w:pPr>
        <w:rPr>
          <w:rFonts w:ascii="宋体" w:hAnsi="宋体"/>
          <w:sz w:val="24"/>
        </w:rPr>
      </w:pPr>
      <w:bookmarkStart w:id="729" w:name="_Toc56432246"/>
      <w:r>
        <w:rPr>
          <w:rFonts w:ascii="宋体" w:hAnsi="宋体"/>
          <w:sz w:val="24"/>
        </w:rPr>
        <w:br w:type="page"/>
      </w:r>
    </w:p>
    <w:bookmarkEnd w:id="728"/>
    <w:bookmarkEnd w:id="729"/>
    <w:p>
      <w:pPr>
        <w:pStyle w:val="38"/>
        <w:numPr>
          <w:ilvl w:val="0"/>
          <w:numId w:val="15"/>
        </w:numPr>
        <w:tabs>
          <w:tab w:val="left" w:pos="588"/>
        </w:tabs>
        <w:snapToGrid w:val="0"/>
        <w:spacing w:before="120" w:after="120" w:line="440" w:lineRule="exact"/>
        <w:jc w:val="left"/>
        <w:rPr>
          <w:rFonts w:ascii="宋体" w:hAnsi="宋体"/>
          <w:sz w:val="24"/>
          <w:szCs w:val="24"/>
        </w:rPr>
      </w:pPr>
      <w:bookmarkStart w:id="730" w:name="_Toc21869"/>
      <w:r>
        <w:rPr>
          <w:rFonts w:hint="eastAsia" w:ascii="宋体" w:hAnsi="宋体"/>
          <w:sz w:val="24"/>
          <w:szCs w:val="24"/>
        </w:rPr>
        <w:t>企业资质、认证证书（若有）</w:t>
      </w:r>
      <w:bookmarkEnd w:id="730"/>
    </w:p>
    <w:tbl>
      <w:tblPr>
        <w:tblStyle w:val="41"/>
        <w:tblW w:w="85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651"/>
        <w:gridCol w:w="2665"/>
        <w:gridCol w:w="21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87" w:type="dxa"/>
            <w:tcBorders>
              <w:top w:val="single" w:color="auto" w:sz="4" w:space="0"/>
              <w:left w:val="single" w:color="auto" w:sz="4" w:space="0"/>
              <w:bottom w:val="single" w:color="auto" w:sz="4" w:space="0"/>
            </w:tcBorders>
            <w:shd w:val="clear" w:color="auto" w:fill="EEECE1"/>
            <w:vAlign w:val="center"/>
          </w:tcPr>
          <w:p>
            <w:pPr>
              <w:spacing w:line="400" w:lineRule="exact"/>
              <w:jc w:val="center"/>
              <w:rPr>
                <w:rFonts w:asciiTheme="minorEastAsia" w:hAnsiTheme="minorEastAsia"/>
              </w:rPr>
            </w:pPr>
            <w:r>
              <w:rPr>
                <w:rFonts w:hint="eastAsia" w:asciiTheme="minorEastAsia" w:hAnsiTheme="minorEastAsia"/>
              </w:rPr>
              <w:t>序号</w:t>
            </w:r>
          </w:p>
        </w:tc>
        <w:tc>
          <w:tcPr>
            <w:tcW w:w="2651" w:type="dxa"/>
            <w:tcBorders>
              <w:top w:val="single" w:color="auto" w:sz="4" w:space="0"/>
              <w:bottom w:val="single" w:color="auto" w:sz="4" w:space="0"/>
            </w:tcBorders>
            <w:shd w:val="clear" w:color="auto" w:fill="EEECE1"/>
            <w:vAlign w:val="center"/>
          </w:tcPr>
          <w:p>
            <w:pPr>
              <w:spacing w:line="400" w:lineRule="exact"/>
              <w:jc w:val="center"/>
              <w:rPr>
                <w:rFonts w:asciiTheme="minorEastAsia" w:hAnsiTheme="minorEastAsia"/>
              </w:rPr>
            </w:pPr>
            <w:r>
              <w:rPr>
                <w:rFonts w:hint="eastAsia" w:asciiTheme="minorEastAsia" w:hAnsiTheme="minorEastAsia"/>
              </w:rPr>
              <w:t>企业资质、认证证书</w:t>
            </w:r>
          </w:p>
        </w:tc>
        <w:tc>
          <w:tcPr>
            <w:tcW w:w="2665" w:type="dxa"/>
            <w:tcBorders>
              <w:top w:val="single" w:color="auto" w:sz="4" w:space="0"/>
              <w:bottom w:val="single" w:color="auto" w:sz="4" w:space="0"/>
            </w:tcBorders>
            <w:shd w:val="clear" w:color="auto" w:fill="EEECE1"/>
            <w:vAlign w:val="center"/>
          </w:tcPr>
          <w:p>
            <w:pPr>
              <w:spacing w:line="400" w:lineRule="exact"/>
              <w:jc w:val="center"/>
              <w:rPr>
                <w:rFonts w:asciiTheme="minorEastAsia" w:hAnsiTheme="minorEastAsia"/>
              </w:rPr>
            </w:pPr>
            <w:r>
              <w:rPr>
                <w:rFonts w:hint="eastAsia" w:asciiTheme="minorEastAsia" w:hAnsiTheme="minorEastAsia"/>
              </w:rPr>
              <w:t>证书获取时间</w:t>
            </w:r>
          </w:p>
        </w:tc>
        <w:tc>
          <w:tcPr>
            <w:tcW w:w="2122" w:type="dxa"/>
            <w:tcBorders>
              <w:top w:val="single" w:color="auto" w:sz="4" w:space="0"/>
              <w:bottom w:val="single" w:color="auto" w:sz="4" w:space="0"/>
              <w:right w:val="single" w:color="auto" w:sz="4" w:space="0"/>
            </w:tcBorders>
            <w:shd w:val="clear" w:color="auto" w:fill="EEECE1"/>
            <w:vAlign w:val="center"/>
          </w:tcPr>
          <w:p>
            <w:pPr>
              <w:spacing w:line="400" w:lineRule="exact"/>
              <w:jc w:val="center"/>
              <w:rPr>
                <w:rFonts w:asciiTheme="minorEastAsia" w:hAnsiTheme="minorEastAsia"/>
              </w:rPr>
            </w:pPr>
            <w:r>
              <w:rPr>
                <w:rFonts w:hint="eastAsia" w:ascii="Verdana" w:hAnsi="Verdana"/>
                <w:szCs w:val="21"/>
              </w:rPr>
              <w:t>投标申请文件对应页码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asciiTheme="minorEastAsia" w:hAnsiTheme="minorEastAsia"/>
              </w:rPr>
            </w:pPr>
          </w:p>
        </w:tc>
        <w:tc>
          <w:tcPr>
            <w:tcW w:w="2651" w:type="dxa"/>
            <w:tcBorders>
              <w:top w:val="single" w:color="auto" w:sz="4" w:space="0"/>
              <w:bottom w:val="single" w:color="auto" w:sz="4" w:space="0"/>
            </w:tcBorders>
            <w:vAlign w:val="center"/>
          </w:tcPr>
          <w:p>
            <w:pPr>
              <w:spacing w:line="400" w:lineRule="exact"/>
              <w:jc w:val="center"/>
              <w:rPr>
                <w:rFonts w:asciiTheme="minorEastAsia" w:hAnsiTheme="minorEastAsia"/>
              </w:rPr>
            </w:pPr>
          </w:p>
        </w:tc>
        <w:tc>
          <w:tcPr>
            <w:tcW w:w="2665" w:type="dxa"/>
            <w:tcBorders>
              <w:top w:val="single" w:color="auto" w:sz="4" w:space="0"/>
              <w:bottom w:val="single" w:color="auto" w:sz="4" w:space="0"/>
            </w:tcBorders>
            <w:vAlign w:val="center"/>
          </w:tcPr>
          <w:p>
            <w:pPr>
              <w:spacing w:line="400" w:lineRule="exact"/>
              <w:jc w:val="center"/>
              <w:rPr>
                <w:rFonts w:asciiTheme="minorEastAsia" w:hAnsiTheme="minorEastAsia"/>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asciiTheme="minorEastAsia" w:hAnsiTheme="minorEastAsia"/>
              </w:rPr>
            </w:pPr>
          </w:p>
        </w:tc>
        <w:tc>
          <w:tcPr>
            <w:tcW w:w="2651" w:type="dxa"/>
            <w:tcBorders>
              <w:top w:val="single" w:color="auto" w:sz="4" w:space="0"/>
              <w:bottom w:val="single" w:color="auto" w:sz="4" w:space="0"/>
            </w:tcBorders>
            <w:vAlign w:val="center"/>
          </w:tcPr>
          <w:p>
            <w:pPr>
              <w:spacing w:line="400" w:lineRule="exact"/>
              <w:jc w:val="center"/>
              <w:rPr>
                <w:rFonts w:asciiTheme="minorEastAsia" w:hAnsiTheme="minorEastAsia"/>
              </w:rPr>
            </w:pPr>
          </w:p>
        </w:tc>
        <w:tc>
          <w:tcPr>
            <w:tcW w:w="2665" w:type="dxa"/>
            <w:tcBorders>
              <w:top w:val="single" w:color="auto" w:sz="4" w:space="0"/>
              <w:bottom w:val="single" w:color="auto" w:sz="4" w:space="0"/>
            </w:tcBorders>
            <w:vAlign w:val="center"/>
          </w:tcPr>
          <w:p>
            <w:pPr>
              <w:spacing w:line="400" w:lineRule="exact"/>
              <w:jc w:val="center"/>
              <w:rPr>
                <w:rFonts w:asciiTheme="minorEastAsia" w:hAnsiTheme="minorEastAsia"/>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asciiTheme="minorEastAsia" w:hAnsiTheme="minorEastAsia"/>
              </w:rPr>
            </w:pPr>
          </w:p>
        </w:tc>
        <w:tc>
          <w:tcPr>
            <w:tcW w:w="2651" w:type="dxa"/>
            <w:tcBorders>
              <w:top w:val="single" w:color="auto" w:sz="4" w:space="0"/>
              <w:bottom w:val="single" w:color="auto" w:sz="4" w:space="0"/>
            </w:tcBorders>
            <w:vAlign w:val="center"/>
          </w:tcPr>
          <w:p>
            <w:pPr>
              <w:spacing w:line="400" w:lineRule="exact"/>
              <w:jc w:val="center"/>
              <w:rPr>
                <w:rFonts w:asciiTheme="minorEastAsia" w:hAnsiTheme="minorEastAsia"/>
              </w:rPr>
            </w:pPr>
          </w:p>
        </w:tc>
        <w:tc>
          <w:tcPr>
            <w:tcW w:w="2665" w:type="dxa"/>
            <w:tcBorders>
              <w:top w:val="single" w:color="auto" w:sz="4" w:space="0"/>
              <w:bottom w:val="single" w:color="auto" w:sz="4" w:space="0"/>
            </w:tcBorders>
            <w:vAlign w:val="center"/>
          </w:tcPr>
          <w:p>
            <w:pPr>
              <w:spacing w:line="400" w:lineRule="exact"/>
              <w:jc w:val="center"/>
              <w:rPr>
                <w:rFonts w:asciiTheme="minorEastAsia" w:hAnsiTheme="minorEastAsia"/>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rPr>
            </w:pPr>
          </w:p>
        </w:tc>
      </w:tr>
    </w:tbl>
    <w:p>
      <w:pPr>
        <w:ind w:firstLine="420" w:firstLineChars="200"/>
      </w:pPr>
      <w:r>
        <w:rPr>
          <w:rFonts w:hint="eastAsia"/>
        </w:rPr>
        <w:t>注：1、须提供相关证书证明材料复印件。</w:t>
      </w:r>
    </w:p>
    <w:p>
      <w:pPr>
        <w:ind w:firstLine="420" w:firstLineChars="200"/>
      </w:pPr>
    </w:p>
    <w:p>
      <w:pPr>
        <w:ind w:firstLine="420" w:firstLineChars="200"/>
      </w:pPr>
    </w:p>
    <w:bookmarkEnd w:id="713"/>
    <w:p>
      <w:pPr>
        <w:rPr>
          <w:rFonts w:ascii="宋体" w:hAnsi="宋体"/>
          <w:b/>
        </w:rPr>
      </w:pPr>
      <w:bookmarkStart w:id="731" w:name="_Toc32536"/>
      <w:bookmarkStart w:id="732" w:name="_Toc18931"/>
      <w:bookmarkStart w:id="733" w:name="_Toc56432248"/>
      <w:bookmarkStart w:id="734" w:name="_Toc1651920"/>
      <w:bookmarkStart w:id="735" w:name="_Toc475472692"/>
      <w:r>
        <w:rPr>
          <w:rFonts w:hint="eastAsia" w:ascii="宋体" w:hAnsi="宋体"/>
          <w:b/>
        </w:rPr>
        <w:br w:type="page"/>
      </w:r>
    </w:p>
    <w:p>
      <w:pPr>
        <w:pStyle w:val="38"/>
        <w:numPr>
          <w:ilvl w:val="0"/>
          <w:numId w:val="15"/>
        </w:numPr>
        <w:tabs>
          <w:tab w:val="left" w:pos="588"/>
        </w:tabs>
        <w:snapToGrid w:val="0"/>
        <w:spacing w:before="120" w:after="120" w:line="440" w:lineRule="exact"/>
        <w:jc w:val="left"/>
        <w:rPr>
          <w:rFonts w:ascii="宋体" w:hAnsi="宋体"/>
          <w:sz w:val="24"/>
          <w:szCs w:val="24"/>
        </w:rPr>
      </w:pPr>
      <w:bookmarkStart w:id="736" w:name="_Toc18070"/>
      <w:r>
        <w:rPr>
          <w:rFonts w:hint="eastAsia" w:ascii="宋体" w:hAnsi="宋体"/>
          <w:sz w:val="24"/>
          <w:szCs w:val="24"/>
        </w:rPr>
        <w:t>售后服务响应承诺函</w:t>
      </w:r>
      <w:bookmarkEnd w:id="736"/>
    </w:p>
    <w:p>
      <w:pPr>
        <w:pStyle w:val="19"/>
        <w:ind w:firstLine="562"/>
        <w:jc w:val="center"/>
        <w:rPr>
          <w:b/>
          <w:szCs w:val="22"/>
        </w:rPr>
      </w:pPr>
      <w:r>
        <w:rPr>
          <w:rFonts w:hint="eastAsia"/>
          <w:b/>
          <w:szCs w:val="22"/>
        </w:rPr>
        <w:t>承诺函</w:t>
      </w:r>
    </w:p>
    <w:p>
      <w:pPr>
        <w:pStyle w:val="19"/>
        <w:spacing w:line="360" w:lineRule="auto"/>
        <w:ind w:firstLine="482"/>
        <w:rPr>
          <w:rFonts w:ascii="宋体" w:hAnsi="宋体"/>
          <w:sz w:val="21"/>
          <w:szCs w:val="21"/>
          <w:u w:val="single"/>
        </w:rPr>
      </w:pPr>
      <w:r>
        <w:rPr>
          <w:rFonts w:hint="eastAsia" w:ascii="宋体" w:hAnsi="宋体"/>
          <w:sz w:val="21"/>
          <w:szCs w:val="21"/>
          <w:u w:val="single"/>
        </w:rPr>
        <w:t>XXXXXX有限公司（招标人名称）：</w:t>
      </w:r>
    </w:p>
    <w:p>
      <w:pPr>
        <w:shd w:val="clear" w:color="auto" w:fill="FFFFFF" w:themeFill="background1"/>
        <w:spacing w:before="156" w:beforeLines="50" w:line="360" w:lineRule="auto"/>
        <w:ind w:firstLine="420" w:firstLineChars="200"/>
        <w:rPr>
          <w:rFonts w:ascii="宋体" w:hAnsi="宋体" w:cs="宋体"/>
          <w:szCs w:val="21"/>
        </w:rPr>
      </w:pPr>
      <w:r>
        <w:rPr>
          <w:rFonts w:hint="eastAsia" w:ascii="宋体" w:hAnsi="宋体"/>
          <w:szCs w:val="21"/>
        </w:rPr>
        <w:t>我司参与XXXXXXXXXXXXXXXX项目</w:t>
      </w:r>
      <w:r>
        <w:rPr>
          <w:rFonts w:hint="eastAsia" w:ascii="宋体" w:hAnsi="宋体" w:cs="宋体"/>
          <w:szCs w:val="21"/>
        </w:rPr>
        <w:t>（项目编号：XXXXXXXXXXX）的投标，承诺如下：</w:t>
      </w:r>
    </w:p>
    <w:p>
      <w:pPr>
        <w:shd w:val="clear" w:color="auto" w:fill="FFFFFF" w:themeFill="background1"/>
        <w:spacing w:before="156" w:beforeLines="50" w:line="360" w:lineRule="auto"/>
        <w:ind w:firstLine="420" w:firstLineChars="200"/>
        <w:rPr>
          <w:rFonts w:ascii="宋体" w:hAnsi="宋体" w:cs="宋体"/>
          <w:szCs w:val="21"/>
        </w:rPr>
      </w:pPr>
      <w:r>
        <w:rPr>
          <w:rFonts w:hint="eastAsia" w:ascii="宋体" w:hAnsi="宋体" w:cs="宋体"/>
          <w:szCs w:val="21"/>
        </w:rPr>
        <w:t>在遇到应急状况、设备故障或缺陷时能迅速响应，及时提供完善的解决方案及所需的备品备件，且能派足够的技术人员同时到达现场协助客户并解决问题。承诺售后服务响应及实施时间在</w:t>
      </w:r>
      <w:r>
        <w:rPr>
          <w:rFonts w:hint="eastAsia" w:ascii="宋体" w:hAnsi="宋体" w:cs="宋体"/>
          <w:szCs w:val="21"/>
          <w:u w:val="single"/>
        </w:rPr>
        <w:t xml:space="preserve">     </w:t>
      </w:r>
      <w:r>
        <w:rPr>
          <w:rFonts w:hint="eastAsia" w:ascii="宋体" w:hAnsi="宋体" w:cs="宋体"/>
          <w:szCs w:val="21"/>
        </w:rPr>
        <w:t>小时内。</w:t>
      </w:r>
    </w:p>
    <w:p>
      <w:pPr>
        <w:pStyle w:val="19"/>
        <w:spacing w:line="360" w:lineRule="auto"/>
        <w:ind w:firstLine="482"/>
        <w:jc w:val="right"/>
        <w:rPr>
          <w:rFonts w:ascii="宋体" w:hAnsi="宋体" w:cs="宋体"/>
          <w:sz w:val="21"/>
          <w:szCs w:val="21"/>
        </w:rPr>
      </w:pPr>
      <w:r>
        <w:rPr>
          <w:rFonts w:hint="eastAsia" w:ascii="宋体" w:hAnsi="宋体" w:cs="宋体"/>
          <w:sz w:val="21"/>
          <w:szCs w:val="21"/>
        </w:rPr>
        <w:t>供应商名称：</w:t>
      </w:r>
    </w:p>
    <w:p>
      <w:pPr>
        <w:pStyle w:val="19"/>
        <w:spacing w:line="360" w:lineRule="auto"/>
        <w:ind w:firstLine="482"/>
        <w:jc w:val="right"/>
        <w:rPr>
          <w:rFonts w:ascii="宋体" w:hAnsi="宋体" w:cs="宋体"/>
          <w:sz w:val="21"/>
          <w:szCs w:val="21"/>
        </w:rPr>
      </w:pPr>
      <w:r>
        <w:rPr>
          <w:rFonts w:hint="eastAsia" w:ascii="宋体" w:hAnsi="宋体" w:cs="宋体"/>
          <w:sz w:val="21"/>
          <w:szCs w:val="21"/>
        </w:rPr>
        <w:t>（盖章）</w:t>
      </w:r>
    </w:p>
    <w:p>
      <w:pPr>
        <w:pStyle w:val="19"/>
        <w:wordWrap w:val="0"/>
        <w:spacing w:line="360" w:lineRule="auto"/>
        <w:ind w:firstLine="482"/>
        <w:jc w:val="right"/>
        <w:rPr>
          <w:rFonts w:ascii="宋体" w:hAnsi="宋体" w:cs="宋体"/>
        </w:rPr>
      </w:pPr>
      <w:r>
        <w:rPr>
          <w:rFonts w:hint="eastAsia" w:ascii="宋体" w:hAnsi="宋体" w:cs="宋体"/>
          <w:sz w:val="21"/>
          <w:szCs w:val="21"/>
        </w:rPr>
        <w:t>年  月  日</w:t>
      </w:r>
    </w:p>
    <w:p>
      <w:pPr>
        <w:rPr>
          <w:rFonts w:ascii="宋体" w:hAnsi="宋体"/>
          <w:sz w:val="24"/>
        </w:rPr>
      </w:pPr>
      <w:r>
        <w:rPr>
          <w:rFonts w:ascii="宋体" w:hAnsi="宋体"/>
          <w:sz w:val="24"/>
        </w:rPr>
        <w:br w:type="page"/>
      </w:r>
    </w:p>
    <w:p>
      <w:pPr>
        <w:pStyle w:val="38"/>
        <w:numPr>
          <w:ilvl w:val="0"/>
          <w:numId w:val="15"/>
        </w:numPr>
        <w:tabs>
          <w:tab w:val="left" w:pos="588"/>
        </w:tabs>
        <w:snapToGrid w:val="0"/>
        <w:spacing w:before="120" w:after="120" w:line="440" w:lineRule="exact"/>
        <w:jc w:val="left"/>
        <w:rPr>
          <w:rFonts w:ascii="宋体" w:hAnsi="宋体"/>
          <w:sz w:val="24"/>
          <w:szCs w:val="24"/>
        </w:rPr>
      </w:pPr>
      <w:bookmarkStart w:id="737" w:name="_Toc27564"/>
      <w:r>
        <w:rPr>
          <w:rFonts w:ascii="宋体" w:hAnsi="宋体"/>
          <w:sz w:val="24"/>
          <w:szCs w:val="24"/>
        </w:rPr>
        <w:t>服务方案</w:t>
      </w:r>
      <w:bookmarkEnd w:id="731"/>
      <w:bookmarkEnd w:id="732"/>
      <w:bookmarkEnd w:id="737"/>
    </w:p>
    <w:bookmarkEnd w:id="733"/>
    <w:p>
      <w:pPr>
        <w:numPr>
          <w:ilvl w:val="0"/>
          <w:numId w:val="20"/>
        </w:numPr>
        <w:rPr>
          <w:rFonts w:ascii="宋体" w:hAnsi="宋体"/>
          <w:szCs w:val="21"/>
        </w:rPr>
      </w:pPr>
      <w:r>
        <w:rPr>
          <w:rFonts w:hint="eastAsia" w:ascii="宋体" w:hAnsi="宋体"/>
          <w:szCs w:val="21"/>
        </w:rPr>
        <w:t>实施进度计划和风控保障</w:t>
      </w:r>
    </w:p>
    <w:p>
      <w:pPr>
        <w:numPr>
          <w:ilvl w:val="0"/>
          <w:numId w:val="20"/>
        </w:numPr>
        <w:rPr>
          <w:rFonts w:ascii="宋体" w:hAnsi="宋体"/>
          <w:szCs w:val="21"/>
        </w:rPr>
      </w:pPr>
      <w:r>
        <w:rPr>
          <w:rFonts w:hint="eastAsia" w:ascii="宋体" w:hAnsi="宋体"/>
          <w:szCs w:val="21"/>
        </w:rPr>
        <w:t>服务质量保证措施</w:t>
      </w:r>
    </w:p>
    <w:p>
      <w:pPr>
        <w:numPr>
          <w:ilvl w:val="0"/>
          <w:numId w:val="20"/>
        </w:numPr>
        <w:rPr>
          <w:rFonts w:hint="eastAsia" w:ascii="宋体" w:hAnsi="宋体" w:eastAsia="宋体" w:cs="Times New Roman"/>
          <w:kern w:val="2"/>
          <w:sz w:val="21"/>
          <w:szCs w:val="21"/>
          <w:lang w:val="en-US" w:eastAsia="zh-CN" w:bidi="ar-SA"/>
        </w:rPr>
      </w:pPr>
      <w:r>
        <w:rPr>
          <w:rFonts w:hint="eastAsia" w:ascii="宋体" w:hAnsi="宋体"/>
          <w:szCs w:val="21"/>
        </w:rPr>
        <w:t>项目安全防护及应急方案</w:t>
      </w:r>
    </w:p>
    <w:p>
      <w:pPr>
        <w:numPr>
          <w:ilvl w:val="0"/>
          <w:numId w:val="20"/>
        </w:numPr>
        <w:rPr>
          <w:rFonts w:ascii="宋体" w:hAnsi="宋体"/>
          <w:szCs w:val="21"/>
        </w:rPr>
      </w:pPr>
      <w:r>
        <w:rPr>
          <w:rFonts w:hint="eastAsia" w:ascii="宋体" w:hAnsi="宋体" w:eastAsia="宋体" w:cs="Times New Roman"/>
          <w:kern w:val="2"/>
          <w:sz w:val="21"/>
          <w:szCs w:val="21"/>
          <w:lang w:val="en-US" w:eastAsia="zh-CN" w:bidi="ar-SA"/>
        </w:rPr>
        <w:t>物料制作及配送能力承诺</w:t>
      </w:r>
    </w:p>
    <w:p>
      <w:pPr>
        <w:numPr>
          <w:ilvl w:val="0"/>
          <w:numId w:val="20"/>
        </w:numPr>
        <w:rPr>
          <w:rFonts w:ascii="宋体" w:hAnsi="宋体"/>
          <w:szCs w:val="21"/>
        </w:rPr>
      </w:pPr>
      <w:r>
        <w:rPr>
          <w:rFonts w:hint="eastAsia" w:ascii="宋体" w:hAnsi="宋体"/>
          <w:szCs w:val="21"/>
        </w:rPr>
        <w:t>质保期服务方案</w:t>
      </w:r>
    </w:p>
    <w:p>
      <w:pPr>
        <w:rPr>
          <w:rFonts w:ascii="宋体" w:hAnsi="宋体"/>
          <w:sz w:val="24"/>
        </w:rPr>
      </w:pPr>
      <w:bookmarkStart w:id="738" w:name="_Toc1651925"/>
      <w:bookmarkStart w:id="739" w:name="_Toc2828"/>
      <w:bookmarkStart w:id="740" w:name="_Toc56432256"/>
      <w:bookmarkStart w:id="741" w:name="_Toc5120"/>
      <w:r>
        <w:rPr>
          <w:rFonts w:hint="eastAsia" w:ascii="宋体" w:hAnsi="宋体"/>
          <w:sz w:val="24"/>
        </w:rPr>
        <w:br w:type="page"/>
      </w:r>
    </w:p>
    <w:bookmarkEnd w:id="738"/>
    <w:bookmarkEnd w:id="739"/>
    <w:bookmarkEnd w:id="740"/>
    <w:bookmarkEnd w:id="741"/>
    <w:p>
      <w:pPr>
        <w:rPr>
          <w:rFonts w:ascii="宋体" w:hAnsi="宋体"/>
          <w:sz w:val="22"/>
        </w:rPr>
      </w:pPr>
      <w:bookmarkStart w:id="742" w:name="_Toc1651926"/>
    </w:p>
    <w:p>
      <w:pPr>
        <w:pStyle w:val="38"/>
        <w:numPr>
          <w:ilvl w:val="0"/>
          <w:numId w:val="15"/>
        </w:numPr>
        <w:tabs>
          <w:tab w:val="left" w:pos="588"/>
        </w:tabs>
        <w:snapToGrid w:val="0"/>
        <w:spacing w:before="120" w:after="120" w:line="440" w:lineRule="exact"/>
        <w:jc w:val="left"/>
        <w:rPr>
          <w:rFonts w:ascii="宋体" w:hAnsi="宋体"/>
          <w:sz w:val="24"/>
          <w:szCs w:val="24"/>
        </w:rPr>
      </w:pPr>
      <w:bookmarkStart w:id="743" w:name="_Toc17761"/>
      <w:bookmarkStart w:id="744" w:name="_Toc56432257"/>
      <w:bookmarkStart w:id="745" w:name="_Toc23630"/>
      <w:bookmarkStart w:id="746" w:name="_Toc10473"/>
      <w:r>
        <w:rPr>
          <w:rFonts w:hint="eastAsia" w:ascii="宋体" w:hAnsi="宋体"/>
          <w:sz w:val="24"/>
          <w:szCs w:val="24"/>
        </w:rPr>
        <w:t>投标保证金汇款凭证</w:t>
      </w:r>
      <w:bookmarkEnd w:id="742"/>
      <w:bookmarkEnd w:id="743"/>
      <w:bookmarkEnd w:id="744"/>
      <w:bookmarkEnd w:id="745"/>
      <w:bookmarkEnd w:id="746"/>
    </w:p>
    <w:p>
      <w:r>
        <w:rPr>
          <w:rFonts w:hint="eastAsia"/>
        </w:rPr>
        <w:t>清晰的投标保证金付款凭证</w:t>
      </w:r>
    </w:p>
    <w:p>
      <w:pPr>
        <w:rPr>
          <w:rFonts w:ascii="宋体" w:hAnsi="宋体"/>
          <w:sz w:val="24"/>
        </w:rPr>
      </w:pPr>
      <w:r>
        <w:rPr>
          <w:rFonts w:ascii="宋体" w:hAnsi="宋体"/>
          <w:sz w:val="24"/>
        </w:rPr>
        <w:br w:type="page"/>
      </w:r>
    </w:p>
    <w:p>
      <w:pPr>
        <w:pStyle w:val="38"/>
        <w:numPr>
          <w:ilvl w:val="0"/>
          <w:numId w:val="15"/>
        </w:numPr>
        <w:tabs>
          <w:tab w:val="left" w:pos="588"/>
        </w:tabs>
        <w:snapToGrid w:val="0"/>
        <w:spacing w:before="120" w:after="120" w:line="440" w:lineRule="exact"/>
        <w:jc w:val="left"/>
        <w:rPr>
          <w:rFonts w:ascii="宋体" w:hAnsi="宋体"/>
          <w:sz w:val="24"/>
          <w:szCs w:val="24"/>
        </w:rPr>
      </w:pPr>
      <w:bookmarkStart w:id="747" w:name="_Toc27848"/>
      <w:bookmarkStart w:id="748" w:name="_Toc26913"/>
      <w:bookmarkStart w:id="749" w:name="_Toc31071"/>
      <w:bookmarkStart w:id="750" w:name="_Toc56432251"/>
      <w:r>
        <w:rPr>
          <w:rFonts w:hint="eastAsia" w:ascii="宋体" w:hAnsi="宋体"/>
          <w:sz w:val="24"/>
          <w:szCs w:val="24"/>
        </w:rPr>
        <w:t>招募文件</w:t>
      </w:r>
      <w:r>
        <w:rPr>
          <w:rFonts w:ascii="宋体" w:hAnsi="宋体"/>
          <w:sz w:val="24"/>
          <w:szCs w:val="24"/>
        </w:rPr>
        <w:t>中明确要求投标人提供的其他相关文件</w:t>
      </w:r>
      <w:bookmarkEnd w:id="734"/>
      <w:bookmarkEnd w:id="735"/>
      <w:bookmarkEnd w:id="747"/>
      <w:bookmarkEnd w:id="748"/>
      <w:bookmarkEnd w:id="749"/>
      <w:bookmarkEnd w:id="750"/>
    </w:p>
    <w:p>
      <w:pPr>
        <w:numPr>
          <w:ilvl w:val="0"/>
          <w:numId w:val="21"/>
        </w:numPr>
        <w:spacing w:line="360" w:lineRule="auto"/>
        <w:rPr>
          <w:szCs w:val="21"/>
        </w:rPr>
      </w:pPr>
      <w:r>
        <w:rPr>
          <w:rFonts w:hint="eastAsia" w:ascii="宋体" w:hAnsi="宋体"/>
          <w:szCs w:val="21"/>
        </w:rPr>
        <w:t>服务团队无犯罪记录承诺函</w:t>
      </w:r>
    </w:p>
    <w:p>
      <w:pPr>
        <w:numPr>
          <w:ilvl w:val="255"/>
          <w:numId w:val="0"/>
        </w:numPr>
        <w:spacing w:line="360" w:lineRule="auto"/>
        <w:jc w:val="left"/>
        <w:rPr>
          <w:rFonts w:ascii="宋体" w:hAnsi="宋体"/>
          <w:szCs w:val="21"/>
        </w:rPr>
      </w:pPr>
      <w:r>
        <w:rPr>
          <w:rFonts w:hint="eastAsia" w:ascii="宋体" w:hAnsi="宋体"/>
          <w:szCs w:val="21"/>
        </w:rPr>
        <w:t>致：XXXXXX有限公司：</w:t>
      </w:r>
    </w:p>
    <w:p>
      <w:pPr>
        <w:numPr>
          <w:ilvl w:val="255"/>
          <w:numId w:val="0"/>
        </w:numPr>
        <w:spacing w:line="360" w:lineRule="auto"/>
        <w:ind w:firstLine="840" w:firstLineChars="400"/>
        <w:jc w:val="left"/>
        <w:rPr>
          <w:rFonts w:ascii="宋体" w:hAnsi="宋体"/>
          <w:szCs w:val="21"/>
        </w:rPr>
      </w:pPr>
      <w:r>
        <w:rPr>
          <w:rFonts w:hint="eastAsia" w:ascii="宋体" w:hAnsi="宋体"/>
          <w:szCs w:val="21"/>
          <w:u w:val="single"/>
        </w:rPr>
        <w:t>（投标人名称）</w:t>
      </w:r>
      <w:r>
        <w:rPr>
          <w:rFonts w:hint="eastAsia" w:ascii="宋体" w:hAnsi="宋体"/>
          <w:szCs w:val="21"/>
        </w:rPr>
        <w:t>（以下称“我方”）参与XXXXXXXXXXXXXXX项目</w:t>
      </w:r>
      <w:r>
        <w:rPr>
          <w:rFonts w:ascii="宋体" w:hAnsi="宋体"/>
          <w:szCs w:val="21"/>
        </w:rPr>
        <w:t>的投标，现针对我司提供的服务团队人员承诺如下：</w:t>
      </w:r>
    </w:p>
    <w:p>
      <w:pPr>
        <w:numPr>
          <w:ilvl w:val="255"/>
          <w:numId w:val="0"/>
        </w:numPr>
        <w:spacing w:line="360" w:lineRule="auto"/>
        <w:ind w:firstLine="840" w:firstLineChars="400"/>
        <w:jc w:val="left"/>
        <w:rPr>
          <w:rFonts w:ascii="宋体" w:hAnsi="宋体"/>
          <w:szCs w:val="21"/>
        </w:rPr>
      </w:pPr>
      <w:r>
        <w:rPr>
          <w:rFonts w:hint="eastAsia" w:ascii="宋体" w:hAnsi="宋体"/>
          <w:szCs w:val="21"/>
        </w:rPr>
        <w:t>我司所提供的项目服务团队成员符合以下要求：</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1）具有中华人民共和国国籍，拥护中华人民共和国宪法。</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2）遵纪守法，具有良好的品行。</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3）政治可靠</w:t>
      </w:r>
      <w:r>
        <w:rPr>
          <w:rFonts w:hint="eastAsia" w:ascii="宋体" w:hAnsi="宋体"/>
          <w:szCs w:val="21"/>
        </w:rPr>
        <w:t>，具有良好的政治素质。</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4）所有成员均无以下情况：曾因犯罪受过刑事处罚的，受处分期间或正在接受审计、纪律审查、司法侦查的。</w:t>
      </w:r>
    </w:p>
    <w:p>
      <w:pPr>
        <w:spacing w:line="360" w:lineRule="auto"/>
        <w:ind w:firstLine="2835" w:firstLineChars="1350"/>
        <w:rPr>
          <w:rFonts w:ascii="宋体" w:hAnsi="宋体"/>
          <w:szCs w:val="21"/>
        </w:rPr>
      </w:pPr>
      <w:r>
        <w:rPr>
          <w:rFonts w:ascii="宋体" w:hAnsi="宋体"/>
          <w:szCs w:val="21"/>
        </w:rPr>
        <w:t>投标人</w:t>
      </w:r>
      <w:r>
        <w:rPr>
          <w:rFonts w:hint="eastAsia" w:ascii="宋体" w:hAnsi="宋体"/>
          <w:szCs w:val="21"/>
        </w:rPr>
        <w:t>名称</w:t>
      </w:r>
      <w:r>
        <w:rPr>
          <w:rFonts w:ascii="宋体" w:hAnsi="宋体"/>
          <w:szCs w:val="21"/>
        </w:rPr>
        <w:t>：</w:t>
      </w:r>
      <w:r>
        <w:rPr>
          <w:rFonts w:ascii="宋体" w:hAnsi="宋体"/>
          <w:szCs w:val="21"/>
          <w:u w:val="single"/>
        </w:rPr>
        <w:t xml:space="preserve">                     </w:t>
      </w:r>
      <w:r>
        <w:rPr>
          <w:rFonts w:ascii="宋体" w:hAnsi="宋体"/>
          <w:szCs w:val="21"/>
        </w:rPr>
        <w:t>（盖单位公章）</w:t>
      </w:r>
    </w:p>
    <w:p>
      <w:pPr>
        <w:topLinePunct/>
        <w:spacing w:line="360" w:lineRule="auto"/>
        <w:jc w:val="right"/>
        <w:rPr>
          <w:rFonts w:ascii="宋体" w:hAnsi="宋体"/>
          <w:szCs w:val="21"/>
        </w:rPr>
      </w:pPr>
      <w:r>
        <w:rPr>
          <w:rFonts w:hint="eastAsia" w:ascii="宋体" w:hAnsi="宋体"/>
          <w:szCs w:val="21"/>
        </w:rPr>
        <w:t>日期：</w:t>
      </w:r>
      <w:r>
        <w:rPr>
          <w:rFonts w:ascii="宋体" w:hAnsi="宋体"/>
          <w:szCs w:val="21"/>
        </w:rPr>
        <w:t>XX年XX月XX日</w:t>
      </w:r>
    </w:p>
    <w:p>
      <w:pPr>
        <w:pStyle w:val="19"/>
        <w:rPr>
          <w:rFonts w:ascii="宋体" w:hAnsi="宋体"/>
          <w:szCs w:val="21"/>
        </w:rPr>
      </w:pPr>
    </w:p>
    <w:p>
      <w:pPr>
        <w:pStyle w:val="19"/>
        <w:rPr>
          <w:rFonts w:ascii="宋体" w:hAnsi="宋体"/>
          <w:szCs w:val="21"/>
        </w:rPr>
      </w:pPr>
    </w:p>
    <w:p>
      <w:pPr>
        <w:rPr>
          <w:rFonts w:ascii="宋体" w:hAnsi="宋体"/>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仿宋"/>
    <w:panose1 w:val="020B0604020202020204"/>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ˎ̥">
    <w:altName w:val="Microsoft YaHei UI"/>
    <w:panose1 w:val="020B0604020202020204"/>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东文宋体">
    <w:altName w:val="宋体"/>
    <w:panose1 w:val="00000000000000000000"/>
    <w:charset w:val="00"/>
    <w:family w:val="auto"/>
    <w:pitch w:val="default"/>
    <w:sig w:usb0="00000000" w:usb1="00000000" w:usb2="00000000" w:usb3="00000000" w:csb0="00000000" w:csb1="00000000"/>
  </w:font>
  <w:font w:name="Wingdings 2">
    <w:panose1 w:val="05020102010507070707"/>
    <w:charset w:val="00"/>
    <w:family w:val="decorative"/>
    <w:pitch w:val="default"/>
    <w:sig w:usb0="00000000" w:usb1="00000000" w:usb2="00000000" w:usb3="00000000" w:csb0="80000000" w:csb1="00000000"/>
  </w:font>
  <w:font w:name="文泉驿微米黑">
    <w:altName w:val="黑体"/>
    <w:panose1 w:val="020B0606030804020204"/>
    <w:charset w:val="86"/>
    <w:family w:val="auto"/>
    <w:pitch w:val="default"/>
    <w:sig w:usb0="00000000" w:usb1="00000000" w:usb2="00800036" w:usb3="00000000" w:csb0="603E019F" w:csb1="DFD7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28"/>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w:t>
        </w:r>
        <w:r>
          <w:rPr>
            <w:rFonts w:ascii="宋体" w:hAnsi="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6687946"/>
    </w:sdtPr>
    <w:sdtContent>
      <w:p>
        <w:pPr>
          <w:pStyle w:val="28"/>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w:t>
        </w:r>
        <w:r>
          <w:rPr>
            <w:rFonts w:ascii="宋体" w:hAnsi="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2587626"/>
    </w:sdtPr>
    <w:sdtContent>
      <w:p>
        <w:pPr>
          <w:pStyle w:val="28"/>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23</w:t>
        </w:r>
        <w:r>
          <w:rPr>
            <w:rFonts w:ascii="宋体" w:hAnsi="宋体"/>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7153583"/>
    </w:sdtPr>
    <w:sdtContent>
      <w:p>
        <w:pPr>
          <w:pStyle w:val="28"/>
          <w:jc w:val="center"/>
        </w:pPr>
        <w:r>
          <w:fldChar w:fldCharType="begin"/>
        </w:r>
        <w:r>
          <w:instrText xml:space="preserve">PAGE   \* MERGEFORMAT</w:instrText>
        </w:r>
        <w:r>
          <w:fldChar w:fldCharType="separate"/>
        </w:r>
        <w:r>
          <w:rPr>
            <w:lang w:val="zh-CN"/>
          </w:rPr>
          <w:t>4</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8280D"/>
    <w:multiLevelType w:val="singleLevel"/>
    <w:tmpl w:val="8728280D"/>
    <w:lvl w:ilvl="0" w:tentative="0">
      <w:start w:val="4"/>
      <w:numFmt w:val="chineseCounting"/>
      <w:suff w:val="nothing"/>
      <w:lvlText w:val="（%1）"/>
      <w:lvlJc w:val="left"/>
      <w:rPr>
        <w:rFonts w:hint="eastAsia"/>
      </w:rPr>
    </w:lvl>
  </w:abstractNum>
  <w:abstractNum w:abstractNumId="1">
    <w:nsid w:val="AC75B9EC"/>
    <w:multiLevelType w:val="singleLevel"/>
    <w:tmpl w:val="AC75B9EC"/>
    <w:lvl w:ilvl="0" w:tentative="0">
      <w:start w:val="1"/>
      <w:numFmt w:val="decimal"/>
      <w:suff w:val="nothing"/>
      <w:lvlText w:val="%1、"/>
      <w:lvlJc w:val="left"/>
    </w:lvl>
  </w:abstractNum>
  <w:abstractNum w:abstractNumId="2">
    <w:nsid w:val="C461DB73"/>
    <w:multiLevelType w:val="singleLevel"/>
    <w:tmpl w:val="C461DB73"/>
    <w:lvl w:ilvl="0" w:tentative="0">
      <w:start w:val="1"/>
      <w:numFmt w:val="decimal"/>
      <w:lvlText w:val="%1."/>
      <w:lvlJc w:val="left"/>
      <w:pPr>
        <w:ind w:left="425" w:hanging="425"/>
      </w:pPr>
      <w:rPr>
        <w:rFonts w:hint="default"/>
      </w:rPr>
    </w:lvl>
  </w:abstractNum>
  <w:abstractNum w:abstractNumId="3">
    <w:nsid w:val="C82E69E2"/>
    <w:multiLevelType w:val="singleLevel"/>
    <w:tmpl w:val="C82E69E2"/>
    <w:lvl w:ilvl="0" w:tentative="0">
      <w:start w:val="1"/>
      <w:numFmt w:val="decimal"/>
      <w:suff w:val="nothing"/>
      <w:lvlText w:val="（%1）"/>
      <w:lvlJc w:val="left"/>
    </w:lvl>
  </w:abstractNum>
  <w:abstractNum w:abstractNumId="4">
    <w:nsid w:val="013151E9"/>
    <w:multiLevelType w:val="multilevel"/>
    <w:tmpl w:val="013151E9"/>
    <w:lvl w:ilvl="0" w:tentative="0">
      <w:start w:val="1"/>
      <w:numFmt w:val="decimal"/>
      <w:lvlText w:val="%1."/>
      <w:lvlJc w:val="left"/>
      <w:pPr>
        <w:ind w:left="425" w:hanging="425"/>
      </w:pPr>
      <w:rPr>
        <w:rFonts w:hint="eastAsia"/>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5CC020D"/>
    <w:multiLevelType w:val="multilevel"/>
    <w:tmpl w:val="05CC020D"/>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3571934"/>
    <w:multiLevelType w:val="singleLevel"/>
    <w:tmpl w:val="13571934"/>
    <w:lvl w:ilvl="0" w:tentative="0">
      <w:start w:val="1"/>
      <w:numFmt w:val="decimal"/>
      <w:suff w:val="nothing"/>
      <w:lvlText w:val="（%1）"/>
      <w:lvlJc w:val="left"/>
    </w:lvl>
  </w:abstractNum>
  <w:abstractNum w:abstractNumId="8">
    <w:nsid w:val="154A6C66"/>
    <w:multiLevelType w:val="multilevel"/>
    <w:tmpl w:val="154A6C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AABC7B8"/>
    <w:multiLevelType w:val="singleLevel"/>
    <w:tmpl w:val="1AABC7B8"/>
    <w:lvl w:ilvl="0" w:tentative="0">
      <w:start w:val="2"/>
      <w:numFmt w:val="chineseCounting"/>
      <w:suff w:val="nothing"/>
      <w:lvlText w:val="（%1）"/>
      <w:lvlJc w:val="left"/>
      <w:rPr>
        <w:rFonts w:hint="eastAsia"/>
      </w:rPr>
    </w:lvl>
  </w:abstractNum>
  <w:abstractNum w:abstractNumId="10">
    <w:nsid w:val="3DDF5A31"/>
    <w:multiLevelType w:val="multilevel"/>
    <w:tmpl w:val="3DDF5A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AC775F4"/>
    <w:multiLevelType w:val="multilevel"/>
    <w:tmpl w:val="4AC775F4"/>
    <w:lvl w:ilvl="0" w:tentative="0">
      <w:start w:val="1"/>
      <w:numFmt w:val="decimal"/>
      <w:lvlText w:val="%1."/>
      <w:lvlJc w:val="left"/>
      <w:pPr>
        <w:ind w:left="425" w:hanging="425"/>
      </w:pPr>
      <w:rPr>
        <w:rFonts w:hint="eastAsia" w:ascii="宋体" w:hAnsi="宋体" w:eastAsia="宋体"/>
        <w:b/>
        <w:sz w:val="28"/>
      </w:rPr>
    </w:lvl>
    <w:lvl w:ilvl="1" w:tentative="0">
      <w:start w:val="1"/>
      <w:numFmt w:val="decimal"/>
      <w:lvlText w:val="%1.%2"/>
      <w:lvlJc w:val="left"/>
      <w:pPr>
        <w:ind w:left="850" w:hanging="425"/>
      </w:pPr>
      <w:rPr>
        <w:rFonts w:hint="eastAsia" w:eastAsia="宋体"/>
        <w:b/>
        <w:i w:val="0"/>
        <w:sz w:val="24"/>
      </w:rPr>
    </w:lvl>
    <w:lvl w:ilvl="2" w:tentative="0">
      <w:start w:val="1"/>
      <w:numFmt w:val="decimal"/>
      <w:lvlText w:val="%1.%2.%3"/>
      <w:lvlJc w:val="left"/>
      <w:pPr>
        <w:ind w:left="1275" w:hanging="425"/>
      </w:pPr>
      <w:rPr>
        <w:rFonts w:hint="eastAsia" w:eastAsia="宋体"/>
        <w:b w:val="0"/>
        <w:i w:val="0"/>
        <w:sz w:val="21"/>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12">
    <w:nsid w:val="63DE7ADE"/>
    <w:multiLevelType w:val="multilevel"/>
    <w:tmpl w:val="63DE7ADE"/>
    <w:lvl w:ilvl="0" w:tentative="0">
      <w:start w:val="1"/>
      <w:numFmt w:val="decimal"/>
      <w:lvlText w:val="%1."/>
      <w:lvlJc w:val="left"/>
      <w:pPr>
        <w:ind w:left="567"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64FB4BFD"/>
    <w:multiLevelType w:val="multilevel"/>
    <w:tmpl w:val="64FB4BF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41"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E6F60E7"/>
    <w:multiLevelType w:val="multilevel"/>
    <w:tmpl w:val="6E6F60E7"/>
    <w:lvl w:ilvl="0" w:tentative="0">
      <w:start w:val="1"/>
      <w:numFmt w:val="decimal"/>
      <w:lvlText w:val="2.3.5.%1"/>
      <w:lvlJc w:val="left"/>
      <w:pPr>
        <w:tabs>
          <w:tab w:val="left" w:pos="1440"/>
        </w:tabs>
        <w:ind w:left="0" w:firstLine="0"/>
      </w:pPr>
      <w:rPr>
        <w:rFonts w:hint="eastAsia"/>
        <w:b/>
        <w:i w:val="0"/>
        <w:sz w:val="36"/>
      </w:rPr>
    </w:lvl>
    <w:lvl w:ilvl="1" w:tentative="0">
      <w:start w:val="1"/>
      <w:numFmt w:val="decimal"/>
      <w:lvlText w:val="第 %2 章 "/>
      <w:lvlJc w:val="left"/>
      <w:pPr>
        <w:tabs>
          <w:tab w:val="left" w:pos="1932"/>
        </w:tabs>
        <w:ind w:left="852" w:firstLine="0"/>
      </w:pPr>
      <w:rPr>
        <w:rFonts w:hint="eastAsia" w:eastAsia="黑体"/>
        <w:b/>
        <w:i w:val="0"/>
        <w:sz w:val="30"/>
      </w:rPr>
    </w:lvl>
    <w:lvl w:ilvl="2" w:tentative="0">
      <w:start w:val="1"/>
      <w:numFmt w:val="decimal"/>
      <w:pStyle w:val="148"/>
      <w:lvlText w:val="%2.%3"/>
      <w:lvlJc w:val="left"/>
      <w:pPr>
        <w:tabs>
          <w:tab w:val="left" w:pos="2880"/>
        </w:tabs>
        <w:ind w:left="2160" w:firstLine="0"/>
      </w:pPr>
      <w:rPr>
        <w:rFonts w:hint="default" w:ascii="Times New Roman" w:hAnsi="Times New Roman" w:eastAsia="黑体" w:cs="Times New Roman"/>
        <w:b/>
        <w:i w:val="0"/>
        <w:sz w:val="28"/>
      </w:rPr>
    </w:lvl>
    <w:lvl w:ilvl="3" w:tentative="0">
      <w:start w:val="1"/>
      <w:numFmt w:val="decimal"/>
      <w:lvlText w:val="%2.%3.%4"/>
      <w:lvlJc w:val="left"/>
      <w:pPr>
        <w:tabs>
          <w:tab w:val="left" w:pos="720"/>
        </w:tabs>
        <w:ind w:left="0" w:firstLine="0"/>
      </w:pPr>
      <w:rPr>
        <w:rFonts w:hint="default" w:ascii="Times New Roman" w:hAnsi="Times New Roman" w:eastAsia="黑体" w:cs="Times New Roman"/>
        <w:b/>
        <w:i w:val="0"/>
        <w:sz w:val="24"/>
        <w:lang w:val="en-US"/>
      </w:rPr>
    </w:lvl>
    <w:lvl w:ilvl="4" w:tentative="0">
      <w:start w:val="1"/>
      <w:numFmt w:val="decimal"/>
      <w:lvlText w:val="%2.%3.%4.%5"/>
      <w:lvlJc w:val="left"/>
      <w:pPr>
        <w:tabs>
          <w:tab w:val="left" w:pos="1080"/>
        </w:tabs>
        <w:ind w:left="0" w:firstLine="0"/>
      </w:pPr>
      <w:rPr>
        <w:rFonts w:hint="eastAsia" w:eastAsia="宋体"/>
        <w:b/>
        <w:i w:val="0"/>
        <w:sz w:val="24"/>
      </w:rPr>
    </w:lvl>
    <w:lvl w:ilvl="5" w:tentative="0">
      <w:start w:val="1"/>
      <w:numFmt w:val="decimal"/>
      <w:lvlText w:val="%2.%3.%4.%5.%6"/>
      <w:lvlJc w:val="left"/>
      <w:pPr>
        <w:tabs>
          <w:tab w:val="left" w:pos="1440"/>
        </w:tabs>
        <w:ind w:left="0" w:firstLine="0"/>
      </w:pPr>
      <w:rPr>
        <w:rFonts w:hint="eastAsia"/>
      </w:rPr>
    </w:lvl>
    <w:lvl w:ilvl="6" w:tentative="0">
      <w:start w:val="1"/>
      <w:numFmt w:val="decimal"/>
      <w:lvlText w:val="%2.%3.%4.%5.%6.%7"/>
      <w:lvlJc w:val="left"/>
      <w:pPr>
        <w:tabs>
          <w:tab w:val="left" w:pos="1800"/>
        </w:tabs>
        <w:ind w:left="0" w:firstLine="0"/>
      </w:pPr>
      <w:rPr>
        <w:rFonts w:hint="eastAsia"/>
      </w:rPr>
    </w:lvl>
    <w:lvl w:ilvl="7" w:tentative="0">
      <w:start w:val="1"/>
      <w:numFmt w:val="decimal"/>
      <w:lvlText w:val="%2.%3.%4.%5.%6.%7.%8"/>
      <w:lvlJc w:val="left"/>
      <w:pPr>
        <w:tabs>
          <w:tab w:val="left" w:pos="1800"/>
        </w:tabs>
        <w:ind w:left="0" w:firstLine="0"/>
      </w:pPr>
      <w:rPr>
        <w:rFonts w:hint="eastAsia"/>
      </w:rPr>
    </w:lvl>
    <w:lvl w:ilvl="8" w:tentative="0">
      <w:start w:val="1"/>
      <w:numFmt w:val="decimal"/>
      <w:lvlText w:val="%2.%3.%4.%5.%6.%7.%8.%9"/>
      <w:lvlJc w:val="left"/>
      <w:pPr>
        <w:tabs>
          <w:tab w:val="left" w:pos="2160"/>
        </w:tabs>
        <w:ind w:left="0" w:firstLine="0"/>
      </w:pPr>
      <w:rPr>
        <w:rFonts w:hint="eastAsia"/>
      </w:rPr>
    </w:lvl>
  </w:abstractNum>
  <w:abstractNum w:abstractNumId="16">
    <w:nsid w:val="739B461F"/>
    <w:multiLevelType w:val="singleLevel"/>
    <w:tmpl w:val="739B461F"/>
    <w:lvl w:ilvl="0" w:tentative="0">
      <w:start w:val="1"/>
      <w:numFmt w:val="decimal"/>
      <w:lvlText w:val="%1."/>
      <w:lvlJc w:val="left"/>
      <w:pPr>
        <w:ind w:left="425" w:hanging="425"/>
      </w:pPr>
      <w:rPr>
        <w:rFonts w:hint="default"/>
      </w:rPr>
    </w:lvl>
  </w:abstractNum>
  <w:abstractNum w:abstractNumId="17">
    <w:nsid w:val="75F46A0E"/>
    <w:multiLevelType w:val="multilevel"/>
    <w:tmpl w:val="75F46A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7413C4D"/>
    <w:multiLevelType w:val="multilevel"/>
    <w:tmpl w:val="77413C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8ABFC61"/>
    <w:multiLevelType w:val="singleLevel"/>
    <w:tmpl w:val="78ABFC61"/>
    <w:lvl w:ilvl="0" w:tentative="0">
      <w:start w:val="1"/>
      <w:numFmt w:val="chineseCounting"/>
      <w:suff w:val="nothing"/>
      <w:lvlText w:val="（%1）"/>
      <w:lvlJc w:val="left"/>
      <w:rPr>
        <w:rFonts w:hint="eastAsia"/>
      </w:rPr>
    </w:lvl>
  </w:abstractNum>
  <w:abstractNum w:abstractNumId="20">
    <w:nsid w:val="7DD2A97F"/>
    <w:multiLevelType w:val="singleLevel"/>
    <w:tmpl w:val="7DD2A97F"/>
    <w:lvl w:ilvl="0" w:tentative="0">
      <w:start w:val="1"/>
      <w:numFmt w:val="chineseCounting"/>
      <w:suff w:val="nothing"/>
      <w:lvlText w:val="（%1）"/>
      <w:lvlJc w:val="left"/>
      <w:rPr>
        <w:rFonts w:hint="eastAsia"/>
      </w:rPr>
    </w:lvl>
  </w:abstractNum>
  <w:num w:numId="1">
    <w:abstractNumId w:val="15"/>
  </w:num>
  <w:num w:numId="2">
    <w:abstractNumId w:val="17"/>
  </w:num>
  <w:num w:numId="3">
    <w:abstractNumId w:val="10"/>
  </w:num>
  <w:num w:numId="4">
    <w:abstractNumId w:val="11"/>
  </w:num>
  <w:num w:numId="5">
    <w:abstractNumId w:val="8"/>
  </w:num>
  <w:num w:numId="6">
    <w:abstractNumId w:val="18"/>
  </w:num>
  <w:num w:numId="7">
    <w:abstractNumId w:val="13"/>
  </w:num>
  <w:num w:numId="8">
    <w:abstractNumId w:val="20"/>
  </w:num>
  <w:num w:numId="9">
    <w:abstractNumId w:val="5"/>
  </w:num>
  <w:num w:numId="10">
    <w:abstractNumId w:val="0"/>
  </w:num>
  <w:num w:numId="11">
    <w:abstractNumId w:val="1"/>
  </w:num>
  <w:num w:numId="12">
    <w:abstractNumId w:val="19"/>
  </w:num>
  <w:num w:numId="13">
    <w:abstractNumId w:val="9"/>
  </w:num>
  <w:num w:numId="14">
    <w:abstractNumId w:val="4"/>
  </w:num>
  <w:num w:numId="15">
    <w:abstractNumId w:val="12"/>
  </w:num>
  <w:num w:numId="16">
    <w:abstractNumId w:val="14"/>
  </w:num>
  <w:num w:numId="17">
    <w:abstractNumId w:val="6"/>
  </w:num>
  <w:num w:numId="18">
    <w:abstractNumId w:val="16"/>
  </w:num>
  <w:num w:numId="19">
    <w:abstractNumId w:val="2"/>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5OGU3NDI3YmQzNDUyYTAwYTkyYzVlZDRkYjRmYzUifQ=="/>
    <w:docVar w:name="KSO_WPS_MARK_KEY" w:val="fc447fea-95e2-44e5-b4c2-5bb7b9a77834"/>
  </w:docVars>
  <w:rsids>
    <w:rsidRoot w:val="006D1E24"/>
    <w:rsid w:val="00000937"/>
    <w:rsid w:val="0000160A"/>
    <w:rsid w:val="00001D14"/>
    <w:rsid w:val="000034D2"/>
    <w:rsid w:val="00004907"/>
    <w:rsid w:val="00005295"/>
    <w:rsid w:val="00005869"/>
    <w:rsid w:val="0000597B"/>
    <w:rsid w:val="00006FC6"/>
    <w:rsid w:val="00010968"/>
    <w:rsid w:val="0001147D"/>
    <w:rsid w:val="0001194C"/>
    <w:rsid w:val="000124DB"/>
    <w:rsid w:val="00013089"/>
    <w:rsid w:val="00013768"/>
    <w:rsid w:val="000160B5"/>
    <w:rsid w:val="0001622F"/>
    <w:rsid w:val="00016B34"/>
    <w:rsid w:val="00016CB3"/>
    <w:rsid w:val="000170B1"/>
    <w:rsid w:val="000209C2"/>
    <w:rsid w:val="00020D9C"/>
    <w:rsid w:val="0002129D"/>
    <w:rsid w:val="00021317"/>
    <w:rsid w:val="00021A02"/>
    <w:rsid w:val="00021A11"/>
    <w:rsid w:val="00021A6A"/>
    <w:rsid w:val="00022786"/>
    <w:rsid w:val="00022C0A"/>
    <w:rsid w:val="000233AE"/>
    <w:rsid w:val="0002398D"/>
    <w:rsid w:val="0002403D"/>
    <w:rsid w:val="000240BD"/>
    <w:rsid w:val="00024E09"/>
    <w:rsid w:val="00027253"/>
    <w:rsid w:val="00027794"/>
    <w:rsid w:val="00027BA3"/>
    <w:rsid w:val="00030009"/>
    <w:rsid w:val="0003018F"/>
    <w:rsid w:val="00031090"/>
    <w:rsid w:val="000314B1"/>
    <w:rsid w:val="00033025"/>
    <w:rsid w:val="00033ED9"/>
    <w:rsid w:val="00034D5C"/>
    <w:rsid w:val="00036202"/>
    <w:rsid w:val="0003775A"/>
    <w:rsid w:val="00041066"/>
    <w:rsid w:val="0004206C"/>
    <w:rsid w:val="0004255D"/>
    <w:rsid w:val="00042C2B"/>
    <w:rsid w:val="0004440A"/>
    <w:rsid w:val="000445C6"/>
    <w:rsid w:val="00044F4F"/>
    <w:rsid w:val="00047CB9"/>
    <w:rsid w:val="00047E9C"/>
    <w:rsid w:val="000516A9"/>
    <w:rsid w:val="00051CBD"/>
    <w:rsid w:val="00053276"/>
    <w:rsid w:val="00054844"/>
    <w:rsid w:val="00055D7F"/>
    <w:rsid w:val="000560BC"/>
    <w:rsid w:val="000579F1"/>
    <w:rsid w:val="00057DF5"/>
    <w:rsid w:val="00057EE3"/>
    <w:rsid w:val="00060384"/>
    <w:rsid w:val="00060985"/>
    <w:rsid w:val="00060A8B"/>
    <w:rsid w:val="00060AEF"/>
    <w:rsid w:val="00061B23"/>
    <w:rsid w:val="00062473"/>
    <w:rsid w:val="00062A74"/>
    <w:rsid w:val="00062F4A"/>
    <w:rsid w:val="00063079"/>
    <w:rsid w:val="00064630"/>
    <w:rsid w:val="00064CCA"/>
    <w:rsid w:val="00065FCA"/>
    <w:rsid w:val="00066687"/>
    <w:rsid w:val="000676BC"/>
    <w:rsid w:val="0006789B"/>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750"/>
    <w:rsid w:val="000835FA"/>
    <w:rsid w:val="000846CA"/>
    <w:rsid w:val="000856CB"/>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3D14"/>
    <w:rsid w:val="000A4808"/>
    <w:rsid w:val="000A4F8D"/>
    <w:rsid w:val="000A5194"/>
    <w:rsid w:val="000A6B60"/>
    <w:rsid w:val="000A71E6"/>
    <w:rsid w:val="000B0B41"/>
    <w:rsid w:val="000B16C1"/>
    <w:rsid w:val="000B256E"/>
    <w:rsid w:val="000B262F"/>
    <w:rsid w:val="000B4277"/>
    <w:rsid w:val="000B49A3"/>
    <w:rsid w:val="000B55EC"/>
    <w:rsid w:val="000B6EB8"/>
    <w:rsid w:val="000B731B"/>
    <w:rsid w:val="000C0284"/>
    <w:rsid w:val="000C04F4"/>
    <w:rsid w:val="000C09BF"/>
    <w:rsid w:val="000C0E81"/>
    <w:rsid w:val="000C111F"/>
    <w:rsid w:val="000C1A26"/>
    <w:rsid w:val="000C1E9B"/>
    <w:rsid w:val="000C2F6A"/>
    <w:rsid w:val="000C3138"/>
    <w:rsid w:val="000C37EF"/>
    <w:rsid w:val="000C3D1F"/>
    <w:rsid w:val="000C3E63"/>
    <w:rsid w:val="000C44DA"/>
    <w:rsid w:val="000C4C17"/>
    <w:rsid w:val="000C5446"/>
    <w:rsid w:val="000D02B7"/>
    <w:rsid w:val="000D08CC"/>
    <w:rsid w:val="000D090B"/>
    <w:rsid w:val="000D0F64"/>
    <w:rsid w:val="000D1E52"/>
    <w:rsid w:val="000D2C2A"/>
    <w:rsid w:val="000D4214"/>
    <w:rsid w:val="000D43D9"/>
    <w:rsid w:val="000D74EC"/>
    <w:rsid w:val="000D7AC4"/>
    <w:rsid w:val="000E0247"/>
    <w:rsid w:val="000E045B"/>
    <w:rsid w:val="000E098F"/>
    <w:rsid w:val="000E1C06"/>
    <w:rsid w:val="000E1DFA"/>
    <w:rsid w:val="000E220A"/>
    <w:rsid w:val="000E2523"/>
    <w:rsid w:val="000E28EF"/>
    <w:rsid w:val="000E2DD2"/>
    <w:rsid w:val="000E4B58"/>
    <w:rsid w:val="000E5B94"/>
    <w:rsid w:val="000E5F8C"/>
    <w:rsid w:val="000E6427"/>
    <w:rsid w:val="000E649C"/>
    <w:rsid w:val="000E65C0"/>
    <w:rsid w:val="000E68A1"/>
    <w:rsid w:val="000E6CB7"/>
    <w:rsid w:val="000E78D4"/>
    <w:rsid w:val="000F0346"/>
    <w:rsid w:val="000F1501"/>
    <w:rsid w:val="000F1B76"/>
    <w:rsid w:val="000F4585"/>
    <w:rsid w:val="000F6AD7"/>
    <w:rsid w:val="000F6C5A"/>
    <w:rsid w:val="001003DA"/>
    <w:rsid w:val="001006B1"/>
    <w:rsid w:val="00100F7D"/>
    <w:rsid w:val="00102BE9"/>
    <w:rsid w:val="00102CC8"/>
    <w:rsid w:val="00104246"/>
    <w:rsid w:val="00104542"/>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2700"/>
    <w:rsid w:val="00122ED6"/>
    <w:rsid w:val="00123DD0"/>
    <w:rsid w:val="00124FFB"/>
    <w:rsid w:val="00125EC5"/>
    <w:rsid w:val="00126C0B"/>
    <w:rsid w:val="001306E5"/>
    <w:rsid w:val="00130D49"/>
    <w:rsid w:val="00132D5B"/>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23B"/>
    <w:rsid w:val="001564B8"/>
    <w:rsid w:val="00156AD9"/>
    <w:rsid w:val="00157E10"/>
    <w:rsid w:val="00162177"/>
    <w:rsid w:val="001627EE"/>
    <w:rsid w:val="00163CA6"/>
    <w:rsid w:val="00166761"/>
    <w:rsid w:val="001672F8"/>
    <w:rsid w:val="00167FF3"/>
    <w:rsid w:val="00170760"/>
    <w:rsid w:val="001712B8"/>
    <w:rsid w:val="001739AA"/>
    <w:rsid w:val="00173C41"/>
    <w:rsid w:val="00174AD1"/>
    <w:rsid w:val="00174CD7"/>
    <w:rsid w:val="00174F8F"/>
    <w:rsid w:val="00175880"/>
    <w:rsid w:val="00176386"/>
    <w:rsid w:val="00176E83"/>
    <w:rsid w:val="00176F7E"/>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2A5E"/>
    <w:rsid w:val="001A4CC4"/>
    <w:rsid w:val="001A5BFE"/>
    <w:rsid w:val="001A607F"/>
    <w:rsid w:val="001A7549"/>
    <w:rsid w:val="001A7B9F"/>
    <w:rsid w:val="001A7C37"/>
    <w:rsid w:val="001B0424"/>
    <w:rsid w:val="001B109E"/>
    <w:rsid w:val="001B1E47"/>
    <w:rsid w:val="001B2099"/>
    <w:rsid w:val="001B2883"/>
    <w:rsid w:val="001B2AC2"/>
    <w:rsid w:val="001B2B07"/>
    <w:rsid w:val="001B3F0F"/>
    <w:rsid w:val="001B57D1"/>
    <w:rsid w:val="001B5B09"/>
    <w:rsid w:val="001B641A"/>
    <w:rsid w:val="001B66D2"/>
    <w:rsid w:val="001B79BF"/>
    <w:rsid w:val="001C03ED"/>
    <w:rsid w:val="001C162C"/>
    <w:rsid w:val="001C17D9"/>
    <w:rsid w:val="001C189C"/>
    <w:rsid w:val="001C1A61"/>
    <w:rsid w:val="001C1E3D"/>
    <w:rsid w:val="001C228D"/>
    <w:rsid w:val="001C2359"/>
    <w:rsid w:val="001C2649"/>
    <w:rsid w:val="001C2B03"/>
    <w:rsid w:val="001C3630"/>
    <w:rsid w:val="001C374D"/>
    <w:rsid w:val="001C3F5C"/>
    <w:rsid w:val="001C412B"/>
    <w:rsid w:val="001C4386"/>
    <w:rsid w:val="001C5001"/>
    <w:rsid w:val="001C5464"/>
    <w:rsid w:val="001C560E"/>
    <w:rsid w:val="001C59FC"/>
    <w:rsid w:val="001C5D49"/>
    <w:rsid w:val="001C7B94"/>
    <w:rsid w:val="001D0369"/>
    <w:rsid w:val="001D0D90"/>
    <w:rsid w:val="001D0D9F"/>
    <w:rsid w:val="001D0DDC"/>
    <w:rsid w:val="001D1275"/>
    <w:rsid w:val="001D1D9C"/>
    <w:rsid w:val="001D201F"/>
    <w:rsid w:val="001D3099"/>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E7D"/>
    <w:rsid w:val="001E3F05"/>
    <w:rsid w:val="001E4B1F"/>
    <w:rsid w:val="001E5650"/>
    <w:rsid w:val="001E640A"/>
    <w:rsid w:val="001E66A9"/>
    <w:rsid w:val="001E7596"/>
    <w:rsid w:val="001E7788"/>
    <w:rsid w:val="001F07E9"/>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5DA1"/>
    <w:rsid w:val="00206268"/>
    <w:rsid w:val="00207A8F"/>
    <w:rsid w:val="00207C31"/>
    <w:rsid w:val="00207C73"/>
    <w:rsid w:val="00210392"/>
    <w:rsid w:val="0021081A"/>
    <w:rsid w:val="002109CC"/>
    <w:rsid w:val="00210EED"/>
    <w:rsid w:val="00210FE3"/>
    <w:rsid w:val="00211BFA"/>
    <w:rsid w:val="002125A4"/>
    <w:rsid w:val="00213454"/>
    <w:rsid w:val="00213470"/>
    <w:rsid w:val="002166C1"/>
    <w:rsid w:val="00217911"/>
    <w:rsid w:val="00217BF5"/>
    <w:rsid w:val="00217C16"/>
    <w:rsid w:val="0022246C"/>
    <w:rsid w:val="00222817"/>
    <w:rsid w:val="00224C6B"/>
    <w:rsid w:val="002255BE"/>
    <w:rsid w:val="002265E2"/>
    <w:rsid w:val="00227847"/>
    <w:rsid w:val="00227F7C"/>
    <w:rsid w:val="00230F6A"/>
    <w:rsid w:val="00230FFD"/>
    <w:rsid w:val="002315C9"/>
    <w:rsid w:val="00231C47"/>
    <w:rsid w:val="00232E61"/>
    <w:rsid w:val="00233045"/>
    <w:rsid w:val="00233E6B"/>
    <w:rsid w:val="00234542"/>
    <w:rsid w:val="0023497C"/>
    <w:rsid w:val="00234EA4"/>
    <w:rsid w:val="0023604B"/>
    <w:rsid w:val="002369FE"/>
    <w:rsid w:val="00237DDB"/>
    <w:rsid w:val="00242938"/>
    <w:rsid w:val="00243101"/>
    <w:rsid w:val="002434D9"/>
    <w:rsid w:val="0024422F"/>
    <w:rsid w:val="00246597"/>
    <w:rsid w:val="00247E71"/>
    <w:rsid w:val="00250108"/>
    <w:rsid w:val="00250163"/>
    <w:rsid w:val="00251F31"/>
    <w:rsid w:val="002533A7"/>
    <w:rsid w:val="00254C4F"/>
    <w:rsid w:val="00254CB1"/>
    <w:rsid w:val="00254DD5"/>
    <w:rsid w:val="002569D6"/>
    <w:rsid w:val="0025745F"/>
    <w:rsid w:val="00257670"/>
    <w:rsid w:val="00257772"/>
    <w:rsid w:val="00257BA4"/>
    <w:rsid w:val="00257D77"/>
    <w:rsid w:val="00260CC4"/>
    <w:rsid w:val="00261B96"/>
    <w:rsid w:val="00261C39"/>
    <w:rsid w:val="00261D39"/>
    <w:rsid w:val="00263504"/>
    <w:rsid w:val="00263D8B"/>
    <w:rsid w:val="00264853"/>
    <w:rsid w:val="002649EF"/>
    <w:rsid w:val="00264F8F"/>
    <w:rsid w:val="00265137"/>
    <w:rsid w:val="002653E4"/>
    <w:rsid w:val="0026596A"/>
    <w:rsid w:val="00265D3C"/>
    <w:rsid w:val="00266376"/>
    <w:rsid w:val="0026656B"/>
    <w:rsid w:val="00266DAC"/>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2972"/>
    <w:rsid w:val="002830EC"/>
    <w:rsid w:val="0028403A"/>
    <w:rsid w:val="002854FF"/>
    <w:rsid w:val="002857E7"/>
    <w:rsid w:val="0028594B"/>
    <w:rsid w:val="00286425"/>
    <w:rsid w:val="002864CD"/>
    <w:rsid w:val="00287A8C"/>
    <w:rsid w:val="00287C4F"/>
    <w:rsid w:val="00287F56"/>
    <w:rsid w:val="002911F1"/>
    <w:rsid w:val="0029151D"/>
    <w:rsid w:val="00291EFA"/>
    <w:rsid w:val="00292157"/>
    <w:rsid w:val="00292689"/>
    <w:rsid w:val="00293222"/>
    <w:rsid w:val="002933A4"/>
    <w:rsid w:val="00293652"/>
    <w:rsid w:val="00293C7A"/>
    <w:rsid w:val="00294025"/>
    <w:rsid w:val="00294153"/>
    <w:rsid w:val="00294F3F"/>
    <w:rsid w:val="00295D81"/>
    <w:rsid w:val="00296112"/>
    <w:rsid w:val="00296535"/>
    <w:rsid w:val="00297635"/>
    <w:rsid w:val="002A0120"/>
    <w:rsid w:val="002A411E"/>
    <w:rsid w:val="002A4BF5"/>
    <w:rsid w:val="002A50BE"/>
    <w:rsid w:val="002A5F03"/>
    <w:rsid w:val="002A5F70"/>
    <w:rsid w:val="002A6DBF"/>
    <w:rsid w:val="002A6E2F"/>
    <w:rsid w:val="002A6F11"/>
    <w:rsid w:val="002A7107"/>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564D"/>
    <w:rsid w:val="002C5E1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1A4E"/>
    <w:rsid w:val="002E2131"/>
    <w:rsid w:val="002E2446"/>
    <w:rsid w:val="002E2A86"/>
    <w:rsid w:val="002E3181"/>
    <w:rsid w:val="002E31E7"/>
    <w:rsid w:val="002E32AA"/>
    <w:rsid w:val="002E398E"/>
    <w:rsid w:val="002E3D8B"/>
    <w:rsid w:val="002E46B7"/>
    <w:rsid w:val="002E5528"/>
    <w:rsid w:val="002E55B4"/>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63B8"/>
    <w:rsid w:val="002F67EF"/>
    <w:rsid w:val="002F6854"/>
    <w:rsid w:val="002F6CEC"/>
    <w:rsid w:val="002F758B"/>
    <w:rsid w:val="002F7B43"/>
    <w:rsid w:val="00300CCB"/>
    <w:rsid w:val="003019EF"/>
    <w:rsid w:val="00303312"/>
    <w:rsid w:val="00303B14"/>
    <w:rsid w:val="0030400F"/>
    <w:rsid w:val="00304B7C"/>
    <w:rsid w:val="003051BE"/>
    <w:rsid w:val="00305E5F"/>
    <w:rsid w:val="00306195"/>
    <w:rsid w:val="00306EB1"/>
    <w:rsid w:val="00307F24"/>
    <w:rsid w:val="00310C54"/>
    <w:rsid w:val="00311579"/>
    <w:rsid w:val="003116CF"/>
    <w:rsid w:val="00312E67"/>
    <w:rsid w:val="00313178"/>
    <w:rsid w:val="00313C13"/>
    <w:rsid w:val="0031454E"/>
    <w:rsid w:val="00314673"/>
    <w:rsid w:val="003151A7"/>
    <w:rsid w:val="0031612A"/>
    <w:rsid w:val="0031700A"/>
    <w:rsid w:val="0031734A"/>
    <w:rsid w:val="00317B40"/>
    <w:rsid w:val="00320956"/>
    <w:rsid w:val="003221CE"/>
    <w:rsid w:val="00322665"/>
    <w:rsid w:val="00322D96"/>
    <w:rsid w:val="0032418D"/>
    <w:rsid w:val="003243E1"/>
    <w:rsid w:val="0032552A"/>
    <w:rsid w:val="00325834"/>
    <w:rsid w:val="00326DB4"/>
    <w:rsid w:val="00330A21"/>
    <w:rsid w:val="00331C2B"/>
    <w:rsid w:val="00331E14"/>
    <w:rsid w:val="003330C2"/>
    <w:rsid w:val="00333A44"/>
    <w:rsid w:val="00335852"/>
    <w:rsid w:val="00336072"/>
    <w:rsid w:val="00337135"/>
    <w:rsid w:val="00337BFB"/>
    <w:rsid w:val="0034044C"/>
    <w:rsid w:val="003416B1"/>
    <w:rsid w:val="003424C5"/>
    <w:rsid w:val="00342C93"/>
    <w:rsid w:val="00342D42"/>
    <w:rsid w:val="00343DAF"/>
    <w:rsid w:val="00343FD9"/>
    <w:rsid w:val="00344BCE"/>
    <w:rsid w:val="003456D0"/>
    <w:rsid w:val="00345EF8"/>
    <w:rsid w:val="003469D9"/>
    <w:rsid w:val="00346D3F"/>
    <w:rsid w:val="00347031"/>
    <w:rsid w:val="0035050E"/>
    <w:rsid w:val="00350628"/>
    <w:rsid w:val="00350963"/>
    <w:rsid w:val="0035366E"/>
    <w:rsid w:val="00355398"/>
    <w:rsid w:val="0035687C"/>
    <w:rsid w:val="00356B01"/>
    <w:rsid w:val="00356F98"/>
    <w:rsid w:val="00357AC3"/>
    <w:rsid w:val="00361C00"/>
    <w:rsid w:val="00361EDB"/>
    <w:rsid w:val="003620DF"/>
    <w:rsid w:val="003627D2"/>
    <w:rsid w:val="00363D4F"/>
    <w:rsid w:val="0036458A"/>
    <w:rsid w:val="00367944"/>
    <w:rsid w:val="003707B6"/>
    <w:rsid w:val="00370B66"/>
    <w:rsid w:val="00370FFF"/>
    <w:rsid w:val="00372139"/>
    <w:rsid w:val="00372779"/>
    <w:rsid w:val="00372D5B"/>
    <w:rsid w:val="0037342B"/>
    <w:rsid w:val="00373F68"/>
    <w:rsid w:val="003744A2"/>
    <w:rsid w:val="0037478D"/>
    <w:rsid w:val="00375A09"/>
    <w:rsid w:val="00381A65"/>
    <w:rsid w:val="00381BC0"/>
    <w:rsid w:val="00381F10"/>
    <w:rsid w:val="00382D7B"/>
    <w:rsid w:val="0038375C"/>
    <w:rsid w:val="00385016"/>
    <w:rsid w:val="003850A8"/>
    <w:rsid w:val="00385140"/>
    <w:rsid w:val="00385730"/>
    <w:rsid w:val="00386842"/>
    <w:rsid w:val="003869B6"/>
    <w:rsid w:val="00386F7B"/>
    <w:rsid w:val="00387AB5"/>
    <w:rsid w:val="00387E4C"/>
    <w:rsid w:val="00387FCF"/>
    <w:rsid w:val="0039040B"/>
    <w:rsid w:val="00390BDE"/>
    <w:rsid w:val="00391035"/>
    <w:rsid w:val="00391474"/>
    <w:rsid w:val="003918C6"/>
    <w:rsid w:val="00392F4F"/>
    <w:rsid w:val="003935C5"/>
    <w:rsid w:val="00394DFC"/>
    <w:rsid w:val="00396D2D"/>
    <w:rsid w:val="00397815"/>
    <w:rsid w:val="00397BE2"/>
    <w:rsid w:val="003A006E"/>
    <w:rsid w:val="003A119C"/>
    <w:rsid w:val="003A12E8"/>
    <w:rsid w:val="003A166E"/>
    <w:rsid w:val="003A1F65"/>
    <w:rsid w:val="003A2C04"/>
    <w:rsid w:val="003A2C0F"/>
    <w:rsid w:val="003A2D7F"/>
    <w:rsid w:val="003A3719"/>
    <w:rsid w:val="003A3C89"/>
    <w:rsid w:val="003A500C"/>
    <w:rsid w:val="003A62D8"/>
    <w:rsid w:val="003A71C4"/>
    <w:rsid w:val="003B09CC"/>
    <w:rsid w:val="003B1BFF"/>
    <w:rsid w:val="003B3325"/>
    <w:rsid w:val="003B3418"/>
    <w:rsid w:val="003B34FF"/>
    <w:rsid w:val="003B3C91"/>
    <w:rsid w:val="003B3CC3"/>
    <w:rsid w:val="003B6288"/>
    <w:rsid w:val="003B654E"/>
    <w:rsid w:val="003B7A52"/>
    <w:rsid w:val="003C0EF7"/>
    <w:rsid w:val="003C169D"/>
    <w:rsid w:val="003C169E"/>
    <w:rsid w:val="003C1BD2"/>
    <w:rsid w:val="003C2639"/>
    <w:rsid w:val="003C32CB"/>
    <w:rsid w:val="003C3666"/>
    <w:rsid w:val="003C3983"/>
    <w:rsid w:val="003C4255"/>
    <w:rsid w:val="003C4FC0"/>
    <w:rsid w:val="003C51A7"/>
    <w:rsid w:val="003C5CE8"/>
    <w:rsid w:val="003C5EDB"/>
    <w:rsid w:val="003C6389"/>
    <w:rsid w:val="003C6727"/>
    <w:rsid w:val="003C74B6"/>
    <w:rsid w:val="003C7B23"/>
    <w:rsid w:val="003D0802"/>
    <w:rsid w:val="003D149E"/>
    <w:rsid w:val="003D247C"/>
    <w:rsid w:val="003D2EE1"/>
    <w:rsid w:val="003D7616"/>
    <w:rsid w:val="003D7FD8"/>
    <w:rsid w:val="003E1168"/>
    <w:rsid w:val="003E2D43"/>
    <w:rsid w:val="003E32C0"/>
    <w:rsid w:val="003E5604"/>
    <w:rsid w:val="003E5DAE"/>
    <w:rsid w:val="003E6406"/>
    <w:rsid w:val="003E6D78"/>
    <w:rsid w:val="003E717C"/>
    <w:rsid w:val="003E7A8A"/>
    <w:rsid w:val="003E7E3A"/>
    <w:rsid w:val="003F00CD"/>
    <w:rsid w:val="003F0418"/>
    <w:rsid w:val="003F0C44"/>
    <w:rsid w:val="003F1B43"/>
    <w:rsid w:val="003F227F"/>
    <w:rsid w:val="003F2AF9"/>
    <w:rsid w:val="003F311F"/>
    <w:rsid w:val="003F3580"/>
    <w:rsid w:val="003F360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A1"/>
    <w:rsid w:val="00404ABE"/>
    <w:rsid w:val="004062F8"/>
    <w:rsid w:val="00407F26"/>
    <w:rsid w:val="004112EF"/>
    <w:rsid w:val="004121C5"/>
    <w:rsid w:val="00412D47"/>
    <w:rsid w:val="0041494B"/>
    <w:rsid w:val="00414E5D"/>
    <w:rsid w:val="004159C7"/>
    <w:rsid w:val="004165A9"/>
    <w:rsid w:val="00416AF9"/>
    <w:rsid w:val="00420FA4"/>
    <w:rsid w:val="00421449"/>
    <w:rsid w:val="0042197E"/>
    <w:rsid w:val="00422D64"/>
    <w:rsid w:val="00423465"/>
    <w:rsid w:val="00423DB6"/>
    <w:rsid w:val="00423DCE"/>
    <w:rsid w:val="00424495"/>
    <w:rsid w:val="00425096"/>
    <w:rsid w:val="004250FC"/>
    <w:rsid w:val="00425128"/>
    <w:rsid w:val="00425CE3"/>
    <w:rsid w:val="00426094"/>
    <w:rsid w:val="0042656E"/>
    <w:rsid w:val="00426B48"/>
    <w:rsid w:val="00426CB9"/>
    <w:rsid w:val="004277D7"/>
    <w:rsid w:val="004307EB"/>
    <w:rsid w:val="00431EED"/>
    <w:rsid w:val="00432010"/>
    <w:rsid w:val="00432214"/>
    <w:rsid w:val="00432F0C"/>
    <w:rsid w:val="00433686"/>
    <w:rsid w:val="00434F05"/>
    <w:rsid w:val="004352D7"/>
    <w:rsid w:val="00436072"/>
    <w:rsid w:val="004362FE"/>
    <w:rsid w:val="00437C38"/>
    <w:rsid w:val="00440381"/>
    <w:rsid w:val="00440853"/>
    <w:rsid w:val="00441824"/>
    <w:rsid w:val="004423F0"/>
    <w:rsid w:val="00443218"/>
    <w:rsid w:val="00443826"/>
    <w:rsid w:val="004458B1"/>
    <w:rsid w:val="00446E59"/>
    <w:rsid w:val="0044758F"/>
    <w:rsid w:val="00450DE0"/>
    <w:rsid w:val="00450FDB"/>
    <w:rsid w:val="0045173E"/>
    <w:rsid w:val="00451C55"/>
    <w:rsid w:val="00452340"/>
    <w:rsid w:val="00452403"/>
    <w:rsid w:val="00452A98"/>
    <w:rsid w:val="00453834"/>
    <w:rsid w:val="00454D2C"/>
    <w:rsid w:val="0045530D"/>
    <w:rsid w:val="004554D6"/>
    <w:rsid w:val="00456845"/>
    <w:rsid w:val="00456C5A"/>
    <w:rsid w:val="00456CE8"/>
    <w:rsid w:val="0045728D"/>
    <w:rsid w:val="00457F1E"/>
    <w:rsid w:val="0046099A"/>
    <w:rsid w:val="0046130B"/>
    <w:rsid w:val="004613BF"/>
    <w:rsid w:val="004615E7"/>
    <w:rsid w:val="004619CB"/>
    <w:rsid w:val="00461A4C"/>
    <w:rsid w:val="004629BF"/>
    <w:rsid w:val="00462CE0"/>
    <w:rsid w:val="00463CF7"/>
    <w:rsid w:val="00463D6C"/>
    <w:rsid w:val="0046422B"/>
    <w:rsid w:val="0046483A"/>
    <w:rsid w:val="00464A94"/>
    <w:rsid w:val="00464BED"/>
    <w:rsid w:val="0046568F"/>
    <w:rsid w:val="00465707"/>
    <w:rsid w:val="00465C58"/>
    <w:rsid w:val="00465F14"/>
    <w:rsid w:val="0046735C"/>
    <w:rsid w:val="004706A5"/>
    <w:rsid w:val="00470BBF"/>
    <w:rsid w:val="00470DFB"/>
    <w:rsid w:val="00472611"/>
    <w:rsid w:val="0047319A"/>
    <w:rsid w:val="004732B5"/>
    <w:rsid w:val="00474A74"/>
    <w:rsid w:val="00482891"/>
    <w:rsid w:val="00482B1F"/>
    <w:rsid w:val="00482F9B"/>
    <w:rsid w:val="00483139"/>
    <w:rsid w:val="00483BB5"/>
    <w:rsid w:val="00484A5B"/>
    <w:rsid w:val="00484C32"/>
    <w:rsid w:val="00484D35"/>
    <w:rsid w:val="00485149"/>
    <w:rsid w:val="00485FDC"/>
    <w:rsid w:val="00486247"/>
    <w:rsid w:val="00486C53"/>
    <w:rsid w:val="0048715D"/>
    <w:rsid w:val="004876D5"/>
    <w:rsid w:val="004905DE"/>
    <w:rsid w:val="004908F9"/>
    <w:rsid w:val="0049098E"/>
    <w:rsid w:val="0049133B"/>
    <w:rsid w:val="00492A9C"/>
    <w:rsid w:val="00492BFC"/>
    <w:rsid w:val="00493539"/>
    <w:rsid w:val="00494DEE"/>
    <w:rsid w:val="004951C8"/>
    <w:rsid w:val="004954AA"/>
    <w:rsid w:val="00495667"/>
    <w:rsid w:val="00497D45"/>
    <w:rsid w:val="004A02D3"/>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8C4"/>
    <w:rsid w:val="004C3A03"/>
    <w:rsid w:val="004C3BF4"/>
    <w:rsid w:val="004C4628"/>
    <w:rsid w:val="004C48E2"/>
    <w:rsid w:val="004C57EB"/>
    <w:rsid w:val="004C57EF"/>
    <w:rsid w:val="004C7964"/>
    <w:rsid w:val="004D07CA"/>
    <w:rsid w:val="004D13C1"/>
    <w:rsid w:val="004D1552"/>
    <w:rsid w:val="004D1731"/>
    <w:rsid w:val="004D2272"/>
    <w:rsid w:val="004D22F4"/>
    <w:rsid w:val="004D27D7"/>
    <w:rsid w:val="004D3245"/>
    <w:rsid w:val="004D3285"/>
    <w:rsid w:val="004D3651"/>
    <w:rsid w:val="004D3927"/>
    <w:rsid w:val="004D42BF"/>
    <w:rsid w:val="004D4BD2"/>
    <w:rsid w:val="004D4BFE"/>
    <w:rsid w:val="004D602F"/>
    <w:rsid w:val="004D69AC"/>
    <w:rsid w:val="004D7C71"/>
    <w:rsid w:val="004D7C84"/>
    <w:rsid w:val="004E033D"/>
    <w:rsid w:val="004E0925"/>
    <w:rsid w:val="004E0F59"/>
    <w:rsid w:val="004E1496"/>
    <w:rsid w:val="004E18C8"/>
    <w:rsid w:val="004E1970"/>
    <w:rsid w:val="004E21C6"/>
    <w:rsid w:val="004E24FF"/>
    <w:rsid w:val="004E3223"/>
    <w:rsid w:val="004E49BC"/>
    <w:rsid w:val="004E6E5B"/>
    <w:rsid w:val="004E70C5"/>
    <w:rsid w:val="004E7D6B"/>
    <w:rsid w:val="004F0F17"/>
    <w:rsid w:val="004F11B4"/>
    <w:rsid w:val="004F1C32"/>
    <w:rsid w:val="004F549E"/>
    <w:rsid w:val="004F5728"/>
    <w:rsid w:val="004F57F0"/>
    <w:rsid w:val="004F5BEE"/>
    <w:rsid w:val="004F6437"/>
    <w:rsid w:val="004F65F8"/>
    <w:rsid w:val="004F6CC5"/>
    <w:rsid w:val="00501229"/>
    <w:rsid w:val="005014EC"/>
    <w:rsid w:val="005018E0"/>
    <w:rsid w:val="00502DF9"/>
    <w:rsid w:val="00503230"/>
    <w:rsid w:val="00505CD4"/>
    <w:rsid w:val="00507658"/>
    <w:rsid w:val="00512167"/>
    <w:rsid w:val="0051241B"/>
    <w:rsid w:val="00512735"/>
    <w:rsid w:val="00513163"/>
    <w:rsid w:val="00514234"/>
    <w:rsid w:val="00514297"/>
    <w:rsid w:val="00514617"/>
    <w:rsid w:val="005154CA"/>
    <w:rsid w:val="00515C1E"/>
    <w:rsid w:val="00515EB1"/>
    <w:rsid w:val="005165FB"/>
    <w:rsid w:val="00516EDF"/>
    <w:rsid w:val="00516FE7"/>
    <w:rsid w:val="00517B5D"/>
    <w:rsid w:val="00520559"/>
    <w:rsid w:val="00520659"/>
    <w:rsid w:val="00522064"/>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0AD"/>
    <w:rsid w:val="00542212"/>
    <w:rsid w:val="00542516"/>
    <w:rsid w:val="0054294C"/>
    <w:rsid w:val="00542A7E"/>
    <w:rsid w:val="00543CA0"/>
    <w:rsid w:val="00543E79"/>
    <w:rsid w:val="00544CFA"/>
    <w:rsid w:val="005465C9"/>
    <w:rsid w:val="005473AE"/>
    <w:rsid w:val="0054749A"/>
    <w:rsid w:val="00550E53"/>
    <w:rsid w:val="00550FB1"/>
    <w:rsid w:val="005514A7"/>
    <w:rsid w:val="00552292"/>
    <w:rsid w:val="00552AB9"/>
    <w:rsid w:val="00553505"/>
    <w:rsid w:val="00554475"/>
    <w:rsid w:val="005547C4"/>
    <w:rsid w:val="00555E86"/>
    <w:rsid w:val="00555F21"/>
    <w:rsid w:val="005567FD"/>
    <w:rsid w:val="0056030C"/>
    <w:rsid w:val="005605AE"/>
    <w:rsid w:val="0056080C"/>
    <w:rsid w:val="00560D74"/>
    <w:rsid w:val="00560E96"/>
    <w:rsid w:val="00561EBB"/>
    <w:rsid w:val="00562124"/>
    <w:rsid w:val="005628C9"/>
    <w:rsid w:val="005632CF"/>
    <w:rsid w:val="0056360F"/>
    <w:rsid w:val="00563B14"/>
    <w:rsid w:val="00564925"/>
    <w:rsid w:val="00564D16"/>
    <w:rsid w:val="00565324"/>
    <w:rsid w:val="00565391"/>
    <w:rsid w:val="00566849"/>
    <w:rsid w:val="005677A4"/>
    <w:rsid w:val="0056789E"/>
    <w:rsid w:val="00567CC0"/>
    <w:rsid w:val="00567F63"/>
    <w:rsid w:val="00571214"/>
    <w:rsid w:val="0057201B"/>
    <w:rsid w:val="00572308"/>
    <w:rsid w:val="0057232D"/>
    <w:rsid w:val="005729DE"/>
    <w:rsid w:val="00572AE9"/>
    <w:rsid w:val="00572BCA"/>
    <w:rsid w:val="00573490"/>
    <w:rsid w:val="005738E9"/>
    <w:rsid w:val="005739E4"/>
    <w:rsid w:val="0057400A"/>
    <w:rsid w:val="00575101"/>
    <w:rsid w:val="005771F3"/>
    <w:rsid w:val="0057736F"/>
    <w:rsid w:val="005774C5"/>
    <w:rsid w:val="00577690"/>
    <w:rsid w:val="005809A2"/>
    <w:rsid w:val="00580D19"/>
    <w:rsid w:val="0058173A"/>
    <w:rsid w:val="00581A41"/>
    <w:rsid w:val="00581B14"/>
    <w:rsid w:val="0058259F"/>
    <w:rsid w:val="0058372C"/>
    <w:rsid w:val="00583873"/>
    <w:rsid w:val="00583ADB"/>
    <w:rsid w:val="00583FB6"/>
    <w:rsid w:val="005849F1"/>
    <w:rsid w:val="00584C9C"/>
    <w:rsid w:val="00584D54"/>
    <w:rsid w:val="00584F2B"/>
    <w:rsid w:val="00585F9E"/>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4590"/>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A09"/>
    <w:rsid w:val="005B5B1D"/>
    <w:rsid w:val="005B5D99"/>
    <w:rsid w:val="005B65E5"/>
    <w:rsid w:val="005B667D"/>
    <w:rsid w:val="005B6BB6"/>
    <w:rsid w:val="005C0710"/>
    <w:rsid w:val="005C1766"/>
    <w:rsid w:val="005C377E"/>
    <w:rsid w:val="005C3928"/>
    <w:rsid w:val="005C4D56"/>
    <w:rsid w:val="005C55D3"/>
    <w:rsid w:val="005C584A"/>
    <w:rsid w:val="005C5B43"/>
    <w:rsid w:val="005C5D21"/>
    <w:rsid w:val="005C5DF9"/>
    <w:rsid w:val="005C5E79"/>
    <w:rsid w:val="005C689F"/>
    <w:rsid w:val="005C7045"/>
    <w:rsid w:val="005C7472"/>
    <w:rsid w:val="005C7874"/>
    <w:rsid w:val="005D06E1"/>
    <w:rsid w:val="005D0E48"/>
    <w:rsid w:val="005D13BE"/>
    <w:rsid w:val="005D26BE"/>
    <w:rsid w:val="005D3114"/>
    <w:rsid w:val="005D335D"/>
    <w:rsid w:val="005D3821"/>
    <w:rsid w:val="005D38A9"/>
    <w:rsid w:val="005D4C85"/>
    <w:rsid w:val="005D4ED8"/>
    <w:rsid w:val="005D4F96"/>
    <w:rsid w:val="005D5404"/>
    <w:rsid w:val="005D59AD"/>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26D"/>
    <w:rsid w:val="005E3394"/>
    <w:rsid w:val="005E40D8"/>
    <w:rsid w:val="005E4FEE"/>
    <w:rsid w:val="005E5131"/>
    <w:rsid w:val="005E6798"/>
    <w:rsid w:val="005E68C1"/>
    <w:rsid w:val="005E7C2F"/>
    <w:rsid w:val="005F002C"/>
    <w:rsid w:val="005F0B8D"/>
    <w:rsid w:val="005F1BA7"/>
    <w:rsid w:val="005F20F9"/>
    <w:rsid w:val="005F216C"/>
    <w:rsid w:val="005F23ED"/>
    <w:rsid w:val="005F2F82"/>
    <w:rsid w:val="005F3889"/>
    <w:rsid w:val="005F466F"/>
    <w:rsid w:val="005F4BAA"/>
    <w:rsid w:val="005F4F0C"/>
    <w:rsid w:val="005F5026"/>
    <w:rsid w:val="005F57B9"/>
    <w:rsid w:val="005F60B4"/>
    <w:rsid w:val="005F612F"/>
    <w:rsid w:val="005F6314"/>
    <w:rsid w:val="005F7249"/>
    <w:rsid w:val="005F728F"/>
    <w:rsid w:val="005F77A0"/>
    <w:rsid w:val="00601C5D"/>
    <w:rsid w:val="0060299F"/>
    <w:rsid w:val="006034F5"/>
    <w:rsid w:val="006041B3"/>
    <w:rsid w:val="0060594D"/>
    <w:rsid w:val="00606456"/>
    <w:rsid w:val="00606804"/>
    <w:rsid w:val="00606B8B"/>
    <w:rsid w:val="006107B3"/>
    <w:rsid w:val="00610E5B"/>
    <w:rsid w:val="00611573"/>
    <w:rsid w:val="00611C60"/>
    <w:rsid w:val="00611CC4"/>
    <w:rsid w:val="00611F8D"/>
    <w:rsid w:val="00612801"/>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7CB"/>
    <w:rsid w:val="00621A1D"/>
    <w:rsid w:val="00621C45"/>
    <w:rsid w:val="00624503"/>
    <w:rsid w:val="00624C79"/>
    <w:rsid w:val="00625629"/>
    <w:rsid w:val="006256CE"/>
    <w:rsid w:val="00625C11"/>
    <w:rsid w:val="00627DB9"/>
    <w:rsid w:val="006300D3"/>
    <w:rsid w:val="00630224"/>
    <w:rsid w:val="00631C8B"/>
    <w:rsid w:val="00631CAC"/>
    <w:rsid w:val="00631E05"/>
    <w:rsid w:val="006325A2"/>
    <w:rsid w:val="006330C0"/>
    <w:rsid w:val="006336B2"/>
    <w:rsid w:val="00633E3E"/>
    <w:rsid w:val="00635155"/>
    <w:rsid w:val="00637451"/>
    <w:rsid w:val="00637613"/>
    <w:rsid w:val="00637FAB"/>
    <w:rsid w:val="00640B13"/>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05F7"/>
    <w:rsid w:val="006514E7"/>
    <w:rsid w:val="00651C60"/>
    <w:rsid w:val="006558F9"/>
    <w:rsid w:val="00656749"/>
    <w:rsid w:val="00656F1A"/>
    <w:rsid w:val="00660400"/>
    <w:rsid w:val="006610FF"/>
    <w:rsid w:val="0066130A"/>
    <w:rsid w:val="00661B94"/>
    <w:rsid w:val="00662671"/>
    <w:rsid w:val="00662BFA"/>
    <w:rsid w:val="00662F8A"/>
    <w:rsid w:val="00663DCA"/>
    <w:rsid w:val="0066477D"/>
    <w:rsid w:val="00664F6A"/>
    <w:rsid w:val="00665735"/>
    <w:rsid w:val="00665D2F"/>
    <w:rsid w:val="00666445"/>
    <w:rsid w:val="00666475"/>
    <w:rsid w:val="00666734"/>
    <w:rsid w:val="00666B01"/>
    <w:rsid w:val="00666D04"/>
    <w:rsid w:val="00667214"/>
    <w:rsid w:val="006675EC"/>
    <w:rsid w:val="00667E25"/>
    <w:rsid w:val="0067082B"/>
    <w:rsid w:val="0067206D"/>
    <w:rsid w:val="006731E3"/>
    <w:rsid w:val="00675619"/>
    <w:rsid w:val="0067638A"/>
    <w:rsid w:val="006765AB"/>
    <w:rsid w:val="00677E41"/>
    <w:rsid w:val="00680BB9"/>
    <w:rsid w:val="00680D0B"/>
    <w:rsid w:val="00680EBD"/>
    <w:rsid w:val="0068278C"/>
    <w:rsid w:val="006830D4"/>
    <w:rsid w:val="00683ED3"/>
    <w:rsid w:val="00685D83"/>
    <w:rsid w:val="006868C0"/>
    <w:rsid w:val="00686D3C"/>
    <w:rsid w:val="00687244"/>
    <w:rsid w:val="00687EDF"/>
    <w:rsid w:val="006912DA"/>
    <w:rsid w:val="006915A9"/>
    <w:rsid w:val="00692529"/>
    <w:rsid w:val="00692DA8"/>
    <w:rsid w:val="00693415"/>
    <w:rsid w:val="00693F49"/>
    <w:rsid w:val="00694AAE"/>
    <w:rsid w:val="006958FA"/>
    <w:rsid w:val="00695A73"/>
    <w:rsid w:val="00695BE5"/>
    <w:rsid w:val="0069643C"/>
    <w:rsid w:val="006979BF"/>
    <w:rsid w:val="00697E9A"/>
    <w:rsid w:val="006A05E2"/>
    <w:rsid w:val="006A0B6D"/>
    <w:rsid w:val="006A0B75"/>
    <w:rsid w:val="006A1B5A"/>
    <w:rsid w:val="006A281F"/>
    <w:rsid w:val="006A2C2D"/>
    <w:rsid w:val="006A4251"/>
    <w:rsid w:val="006A44A0"/>
    <w:rsid w:val="006A5B08"/>
    <w:rsid w:val="006A61E8"/>
    <w:rsid w:val="006A66F8"/>
    <w:rsid w:val="006A6AB0"/>
    <w:rsid w:val="006A700D"/>
    <w:rsid w:val="006A7706"/>
    <w:rsid w:val="006A77A9"/>
    <w:rsid w:val="006B1612"/>
    <w:rsid w:val="006B2F38"/>
    <w:rsid w:val="006B45C6"/>
    <w:rsid w:val="006B4BFA"/>
    <w:rsid w:val="006B5212"/>
    <w:rsid w:val="006B548E"/>
    <w:rsid w:val="006B6131"/>
    <w:rsid w:val="006B7EE6"/>
    <w:rsid w:val="006C070D"/>
    <w:rsid w:val="006C0DDA"/>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715"/>
    <w:rsid w:val="006D4B1F"/>
    <w:rsid w:val="006D6C33"/>
    <w:rsid w:val="006D73B0"/>
    <w:rsid w:val="006D763D"/>
    <w:rsid w:val="006E0CE4"/>
    <w:rsid w:val="006E1E5E"/>
    <w:rsid w:val="006E4787"/>
    <w:rsid w:val="006E4FF8"/>
    <w:rsid w:val="006E5A5C"/>
    <w:rsid w:val="006E6538"/>
    <w:rsid w:val="006E6625"/>
    <w:rsid w:val="006F0AEC"/>
    <w:rsid w:val="006F1779"/>
    <w:rsid w:val="006F19F8"/>
    <w:rsid w:val="006F1DA7"/>
    <w:rsid w:val="006F2060"/>
    <w:rsid w:val="006F2801"/>
    <w:rsid w:val="006F3050"/>
    <w:rsid w:val="006F3722"/>
    <w:rsid w:val="006F3B3B"/>
    <w:rsid w:val="006F4D5F"/>
    <w:rsid w:val="006F5741"/>
    <w:rsid w:val="006F6795"/>
    <w:rsid w:val="006F702F"/>
    <w:rsid w:val="006F787A"/>
    <w:rsid w:val="006F79E9"/>
    <w:rsid w:val="00701E8C"/>
    <w:rsid w:val="00702627"/>
    <w:rsid w:val="00702B0D"/>
    <w:rsid w:val="00704F0D"/>
    <w:rsid w:val="00705425"/>
    <w:rsid w:val="0070651A"/>
    <w:rsid w:val="007076CD"/>
    <w:rsid w:val="00707F17"/>
    <w:rsid w:val="00710157"/>
    <w:rsid w:val="00711072"/>
    <w:rsid w:val="00711513"/>
    <w:rsid w:val="007116E4"/>
    <w:rsid w:val="007117C8"/>
    <w:rsid w:val="00711852"/>
    <w:rsid w:val="00712655"/>
    <w:rsid w:val="00712674"/>
    <w:rsid w:val="00713189"/>
    <w:rsid w:val="00714423"/>
    <w:rsid w:val="00714A2F"/>
    <w:rsid w:val="00714CAB"/>
    <w:rsid w:val="00714DD9"/>
    <w:rsid w:val="00714F6F"/>
    <w:rsid w:val="00715132"/>
    <w:rsid w:val="007156F5"/>
    <w:rsid w:val="00715F54"/>
    <w:rsid w:val="007168F6"/>
    <w:rsid w:val="007179FE"/>
    <w:rsid w:val="00717A58"/>
    <w:rsid w:val="007207A0"/>
    <w:rsid w:val="007218C3"/>
    <w:rsid w:val="007228F4"/>
    <w:rsid w:val="007241FC"/>
    <w:rsid w:val="007243F8"/>
    <w:rsid w:val="00724945"/>
    <w:rsid w:val="00725462"/>
    <w:rsid w:val="00726492"/>
    <w:rsid w:val="0072687B"/>
    <w:rsid w:val="00730BE3"/>
    <w:rsid w:val="00732D8D"/>
    <w:rsid w:val="0073308E"/>
    <w:rsid w:val="007341CF"/>
    <w:rsid w:val="0073456F"/>
    <w:rsid w:val="00735EB9"/>
    <w:rsid w:val="00737467"/>
    <w:rsid w:val="00737B4B"/>
    <w:rsid w:val="00737F97"/>
    <w:rsid w:val="00740236"/>
    <w:rsid w:val="00741DD5"/>
    <w:rsid w:val="00743CFC"/>
    <w:rsid w:val="00743F5A"/>
    <w:rsid w:val="00746026"/>
    <w:rsid w:val="00746EE9"/>
    <w:rsid w:val="0074762E"/>
    <w:rsid w:val="0075038D"/>
    <w:rsid w:val="007510C1"/>
    <w:rsid w:val="007511E9"/>
    <w:rsid w:val="00751AE2"/>
    <w:rsid w:val="00751C15"/>
    <w:rsid w:val="00752B7D"/>
    <w:rsid w:val="00753151"/>
    <w:rsid w:val="00753505"/>
    <w:rsid w:val="0075432D"/>
    <w:rsid w:val="007547BB"/>
    <w:rsid w:val="007556E0"/>
    <w:rsid w:val="0075594E"/>
    <w:rsid w:val="00757AF5"/>
    <w:rsid w:val="00757CA4"/>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3781"/>
    <w:rsid w:val="007744AD"/>
    <w:rsid w:val="0077458F"/>
    <w:rsid w:val="007746A1"/>
    <w:rsid w:val="00774C21"/>
    <w:rsid w:val="00777C0A"/>
    <w:rsid w:val="007814E9"/>
    <w:rsid w:val="007815E6"/>
    <w:rsid w:val="007817B6"/>
    <w:rsid w:val="0078188A"/>
    <w:rsid w:val="00782DB8"/>
    <w:rsid w:val="00782FEE"/>
    <w:rsid w:val="007832E9"/>
    <w:rsid w:val="00784770"/>
    <w:rsid w:val="00785084"/>
    <w:rsid w:val="00786348"/>
    <w:rsid w:val="00786D9E"/>
    <w:rsid w:val="007877AB"/>
    <w:rsid w:val="007877D5"/>
    <w:rsid w:val="00790047"/>
    <w:rsid w:val="007910F7"/>
    <w:rsid w:val="00791622"/>
    <w:rsid w:val="00791A34"/>
    <w:rsid w:val="00791CFD"/>
    <w:rsid w:val="00791E69"/>
    <w:rsid w:val="007929B4"/>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A7FCB"/>
    <w:rsid w:val="007B0491"/>
    <w:rsid w:val="007B057B"/>
    <w:rsid w:val="007B0BAC"/>
    <w:rsid w:val="007B0F68"/>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A3F"/>
    <w:rsid w:val="007C4C1C"/>
    <w:rsid w:val="007C5755"/>
    <w:rsid w:val="007C7480"/>
    <w:rsid w:val="007D254F"/>
    <w:rsid w:val="007D38DB"/>
    <w:rsid w:val="007D411F"/>
    <w:rsid w:val="007D43F3"/>
    <w:rsid w:val="007D4699"/>
    <w:rsid w:val="007D55FF"/>
    <w:rsid w:val="007D6736"/>
    <w:rsid w:val="007D702C"/>
    <w:rsid w:val="007D70E5"/>
    <w:rsid w:val="007D7152"/>
    <w:rsid w:val="007D772E"/>
    <w:rsid w:val="007E05A9"/>
    <w:rsid w:val="007E0769"/>
    <w:rsid w:val="007E07B6"/>
    <w:rsid w:val="007E0A86"/>
    <w:rsid w:val="007E0CA3"/>
    <w:rsid w:val="007E12E8"/>
    <w:rsid w:val="007E1A8D"/>
    <w:rsid w:val="007E262A"/>
    <w:rsid w:val="007E2B79"/>
    <w:rsid w:val="007E3150"/>
    <w:rsid w:val="007E51A5"/>
    <w:rsid w:val="007E7E11"/>
    <w:rsid w:val="007F0F41"/>
    <w:rsid w:val="007F169F"/>
    <w:rsid w:val="007F306F"/>
    <w:rsid w:val="007F3375"/>
    <w:rsid w:val="007F6722"/>
    <w:rsid w:val="007F6996"/>
    <w:rsid w:val="007F7554"/>
    <w:rsid w:val="0080007B"/>
    <w:rsid w:val="00800580"/>
    <w:rsid w:val="008009FF"/>
    <w:rsid w:val="0080180B"/>
    <w:rsid w:val="0080185D"/>
    <w:rsid w:val="00801B42"/>
    <w:rsid w:val="0080277F"/>
    <w:rsid w:val="00802FD2"/>
    <w:rsid w:val="008035E3"/>
    <w:rsid w:val="00803645"/>
    <w:rsid w:val="00805C93"/>
    <w:rsid w:val="0080646B"/>
    <w:rsid w:val="008072D4"/>
    <w:rsid w:val="00807B0E"/>
    <w:rsid w:val="00807BCD"/>
    <w:rsid w:val="00810316"/>
    <w:rsid w:val="00810C97"/>
    <w:rsid w:val="00810E84"/>
    <w:rsid w:val="00813087"/>
    <w:rsid w:val="00813C16"/>
    <w:rsid w:val="00815244"/>
    <w:rsid w:val="00815B1A"/>
    <w:rsid w:val="008163A1"/>
    <w:rsid w:val="00816614"/>
    <w:rsid w:val="00816620"/>
    <w:rsid w:val="0081732F"/>
    <w:rsid w:val="008173AA"/>
    <w:rsid w:val="00820758"/>
    <w:rsid w:val="00821B06"/>
    <w:rsid w:val="008227B9"/>
    <w:rsid w:val="00822871"/>
    <w:rsid w:val="00823BA6"/>
    <w:rsid w:val="00823BF8"/>
    <w:rsid w:val="00824B53"/>
    <w:rsid w:val="00825EB1"/>
    <w:rsid w:val="00825F17"/>
    <w:rsid w:val="0082728A"/>
    <w:rsid w:val="00830214"/>
    <w:rsid w:val="00830B76"/>
    <w:rsid w:val="008312B8"/>
    <w:rsid w:val="00832641"/>
    <w:rsid w:val="00832C2E"/>
    <w:rsid w:val="00832E46"/>
    <w:rsid w:val="00833425"/>
    <w:rsid w:val="0083474E"/>
    <w:rsid w:val="00837ECC"/>
    <w:rsid w:val="00840B52"/>
    <w:rsid w:val="00840EA0"/>
    <w:rsid w:val="0084207A"/>
    <w:rsid w:val="008420EB"/>
    <w:rsid w:val="008428D4"/>
    <w:rsid w:val="00843D83"/>
    <w:rsid w:val="00844633"/>
    <w:rsid w:val="0084528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33B2"/>
    <w:rsid w:val="0085545F"/>
    <w:rsid w:val="00855AC3"/>
    <w:rsid w:val="00855DD4"/>
    <w:rsid w:val="00855FA8"/>
    <w:rsid w:val="0085627B"/>
    <w:rsid w:val="0086008B"/>
    <w:rsid w:val="00860BFC"/>
    <w:rsid w:val="00860C7B"/>
    <w:rsid w:val="008611FF"/>
    <w:rsid w:val="00861638"/>
    <w:rsid w:val="00861FB6"/>
    <w:rsid w:val="008629B6"/>
    <w:rsid w:val="00863311"/>
    <w:rsid w:val="00864B0D"/>
    <w:rsid w:val="00866FEA"/>
    <w:rsid w:val="00870002"/>
    <w:rsid w:val="00870F1D"/>
    <w:rsid w:val="008717BD"/>
    <w:rsid w:val="00871F69"/>
    <w:rsid w:val="008722E5"/>
    <w:rsid w:val="0087275B"/>
    <w:rsid w:val="00873FFF"/>
    <w:rsid w:val="008741E8"/>
    <w:rsid w:val="00874B24"/>
    <w:rsid w:val="00874B8A"/>
    <w:rsid w:val="008754EB"/>
    <w:rsid w:val="00875676"/>
    <w:rsid w:val="00875D54"/>
    <w:rsid w:val="00875F68"/>
    <w:rsid w:val="0087618B"/>
    <w:rsid w:val="0087730E"/>
    <w:rsid w:val="008778A2"/>
    <w:rsid w:val="008779E9"/>
    <w:rsid w:val="0088000D"/>
    <w:rsid w:val="00880BE2"/>
    <w:rsid w:val="00880DBE"/>
    <w:rsid w:val="00880FE3"/>
    <w:rsid w:val="00881074"/>
    <w:rsid w:val="008816BF"/>
    <w:rsid w:val="0088341A"/>
    <w:rsid w:val="008837BA"/>
    <w:rsid w:val="00884775"/>
    <w:rsid w:val="008849BF"/>
    <w:rsid w:val="008878CB"/>
    <w:rsid w:val="00887E8A"/>
    <w:rsid w:val="00887F75"/>
    <w:rsid w:val="00890BCD"/>
    <w:rsid w:val="008927D5"/>
    <w:rsid w:val="008932A8"/>
    <w:rsid w:val="00893678"/>
    <w:rsid w:val="00894693"/>
    <w:rsid w:val="00895F3F"/>
    <w:rsid w:val="0089678B"/>
    <w:rsid w:val="008972F7"/>
    <w:rsid w:val="0089787D"/>
    <w:rsid w:val="00897DAC"/>
    <w:rsid w:val="00897F13"/>
    <w:rsid w:val="00897F65"/>
    <w:rsid w:val="008A1733"/>
    <w:rsid w:val="008A1D39"/>
    <w:rsid w:val="008A1E16"/>
    <w:rsid w:val="008A2629"/>
    <w:rsid w:val="008A26F8"/>
    <w:rsid w:val="008A39C4"/>
    <w:rsid w:val="008A4CE7"/>
    <w:rsid w:val="008A5A51"/>
    <w:rsid w:val="008A6502"/>
    <w:rsid w:val="008B18FD"/>
    <w:rsid w:val="008B206D"/>
    <w:rsid w:val="008B2B8D"/>
    <w:rsid w:val="008B3FE6"/>
    <w:rsid w:val="008B4311"/>
    <w:rsid w:val="008B431E"/>
    <w:rsid w:val="008B4FEB"/>
    <w:rsid w:val="008B5708"/>
    <w:rsid w:val="008B5EF5"/>
    <w:rsid w:val="008B6145"/>
    <w:rsid w:val="008B7FE5"/>
    <w:rsid w:val="008C0C67"/>
    <w:rsid w:val="008C111D"/>
    <w:rsid w:val="008C178B"/>
    <w:rsid w:val="008C1BC7"/>
    <w:rsid w:val="008C2A4D"/>
    <w:rsid w:val="008C37BA"/>
    <w:rsid w:val="008C3840"/>
    <w:rsid w:val="008C70AE"/>
    <w:rsid w:val="008C7266"/>
    <w:rsid w:val="008C75BE"/>
    <w:rsid w:val="008C781C"/>
    <w:rsid w:val="008C7855"/>
    <w:rsid w:val="008D0081"/>
    <w:rsid w:val="008D03E0"/>
    <w:rsid w:val="008D0E03"/>
    <w:rsid w:val="008D1946"/>
    <w:rsid w:val="008D1CF6"/>
    <w:rsid w:val="008D2353"/>
    <w:rsid w:val="008D3078"/>
    <w:rsid w:val="008D3A42"/>
    <w:rsid w:val="008D48C8"/>
    <w:rsid w:val="008D5679"/>
    <w:rsid w:val="008D5A1D"/>
    <w:rsid w:val="008D5C77"/>
    <w:rsid w:val="008E0010"/>
    <w:rsid w:val="008E00EE"/>
    <w:rsid w:val="008E0C4F"/>
    <w:rsid w:val="008E1082"/>
    <w:rsid w:val="008E1562"/>
    <w:rsid w:val="008E2F98"/>
    <w:rsid w:val="008E32C0"/>
    <w:rsid w:val="008E3586"/>
    <w:rsid w:val="008E3BE6"/>
    <w:rsid w:val="008E3EE4"/>
    <w:rsid w:val="008E3F6F"/>
    <w:rsid w:val="008E4538"/>
    <w:rsid w:val="008E4874"/>
    <w:rsid w:val="008E49D5"/>
    <w:rsid w:val="008E58DE"/>
    <w:rsid w:val="008E5E74"/>
    <w:rsid w:val="008F004B"/>
    <w:rsid w:val="008F4E02"/>
    <w:rsid w:val="008F56EC"/>
    <w:rsid w:val="008F5B84"/>
    <w:rsid w:val="008F697F"/>
    <w:rsid w:val="008F777C"/>
    <w:rsid w:val="00900307"/>
    <w:rsid w:val="0090060E"/>
    <w:rsid w:val="00901B48"/>
    <w:rsid w:val="00902408"/>
    <w:rsid w:val="00903041"/>
    <w:rsid w:val="00903101"/>
    <w:rsid w:val="00905185"/>
    <w:rsid w:val="00905370"/>
    <w:rsid w:val="00906503"/>
    <w:rsid w:val="00907680"/>
    <w:rsid w:val="009077E8"/>
    <w:rsid w:val="009077FF"/>
    <w:rsid w:val="009103C1"/>
    <w:rsid w:val="00911BA0"/>
    <w:rsid w:val="00911D21"/>
    <w:rsid w:val="00914503"/>
    <w:rsid w:val="00916C5B"/>
    <w:rsid w:val="00916E62"/>
    <w:rsid w:val="0092084A"/>
    <w:rsid w:val="00921E2A"/>
    <w:rsid w:val="00921E50"/>
    <w:rsid w:val="0092333A"/>
    <w:rsid w:val="009233C8"/>
    <w:rsid w:val="0092350F"/>
    <w:rsid w:val="0092382C"/>
    <w:rsid w:val="009254F1"/>
    <w:rsid w:val="00925D45"/>
    <w:rsid w:val="00925D89"/>
    <w:rsid w:val="0092762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0D99"/>
    <w:rsid w:val="00941D0C"/>
    <w:rsid w:val="00943DA6"/>
    <w:rsid w:val="00945F08"/>
    <w:rsid w:val="0094774A"/>
    <w:rsid w:val="00950C71"/>
    <w:rsid w:val="00951230"/>
    <w:rsid w:val="00952287"/>
    <w:rsid w:val="00952C61"/>
    <w:rsid w:val="00952E75"/>
    <w:rsid w:val="00953518"/>
    <w:rsid w:val="00955CE1"/>
    <w:rsid w:val="00956633"/>
    <w:rsid w:val="00956D35"/>
    <w:rsid w:val="00957742"/>
    <w:rsid w:val="00957C81"/>
    <w:rsid w:val="00962957"/>
    <w:rsid w:val="00962FAF"/>
    <w:rsid w:val="00963822"/>
    <w:rsid w:val="00963E4D"/>
    <w:rsid w:val="00963ED1"/>
    <w:rsid w:val="00965D3C"/>
    <w:rsid w:val="00965DEC"/>
    <w:rsid w:val="0096602C"/>
    <w:rsid w:val="00966182"/>
    <w:rsid w:val="009661FA"/>
    <w:rsid w:val="00966853"/>
    <w:rsid w:val="00966B34"/>
    <w:rsid w:val="00970D3C"/>
    <w:rsid w:val="00971B9D"/>
    <w:rsid w:val="00971CA4"/>
    <w:rsid w:val="009727C5"/>
    <w:rsid w:val="00972928"/>
    <w:rsid w:val="00974FE6"/>
    <w:rsid w:val="00975F09"/>
    <w:rsid w:val="00976D44"/>
    <w:rsid w:val="0098063F"/>
    <w:rsid w:val="00980F02"/>
    <w:rsid w:val="0098201D"/>
    <w:rsid w:val="0098258C"/>
    <w:rsid w:val="009827CB"/>
    <w:rsid w:val="0098340C"/>
    <w:rsid w:val="00983518"/>
    <w:rsid w:val="00983604"/>
    <w:rsid w:val="009838B2"/>
    <w:rsid w:val="009839C4"/>
    <w:rsid w:val="00984F6F"/>
    <w:rsid w:val="009853D3"/>
    <w:rsid w:val="0098572E"/>
    <w:rsid w:val="009863D3"/>
    <w:rsid w:val="00986813"/>
    <w:rsid w:val="0098690A"/>
    <w:rsid w:val="0098733C"/>
    <w:rsid w:val="009873DC"/>
    <w:rsid w:val="009876B2"/>
    <w:rsid w:val="00991447"/>
    <w:rsid w:val="009917AE"/>
    <w:rsid w:val="00991FA2"/>
    <w:rsid w:val="00992E4A"/>
    <w:rsid w:val="00992FA8"/>
    <w:rsid w:val="00993858"/>
    <w:rsid w:val="00993FA5"/>
    <w:rsid w:val="00994596"/>
    <w:rsid w:val="0099463C"/>
    <w:rsid w:val="009946B9"/>
    <w:rsid w:val="00994D79"/>
    <w:rsid w:val="00995B69"/>
    <w:rsid w:val="0099603A"/>
    <w:rsid w:val="009972B7"/>
    <w:rsid w:val="009A0DAC"/>
    <w:rsid w:val="009A0F50"/>
    <w:rsid w:val="009A1129"/>
    <w:rsid w:val="009A184D"/>
    <w:rsid w:val="009A2F08"/>
    <w:rsid w:val="009A31D4"/>
    <w:rsid w:val="009A43F5"/>
    <w:rsid w:val="009A47FB"/>
    <w:rsid w:val="009A5DB0"/>
    <w:rsid w:val="009A61B8"/>
    <w:rsid w:val="009A6F8A"/>
    <w:rsid w:val="009A70FF"/>
    <w:rsid w:val="009A7438"/>
    <w:rsid w:val="009B0C1E"/>
    <w:rsid w:val="009B1E34"/>
    <w:rsid w:val="009B2760"/>
    <w:rsid w:val="009B33ED"/>
    <w:rsid w:val="009B3539"/>
    <w:rsid w:val="009B3775"/>
    <w:rsid w:val="009B409E"/>
    <w:rsid w:val="009B435E"/>
    <w:rsid w:val="009B4749"/>
    <w:rsid w:val="009B5947"/>
    <w:rsid w:val="009B6748"/>
    <w:rsid w:val="009C0737"/>
    <w:rsid w:val="009C0BC2"/>
    <w:rsid w:val="009C1319"/>
    <w:rsid w:val="009C1B32"/>
    <w:rsid w:val="009C26A7"/>
    <w:rsid w:val="009C2E4B"/>
    <w:rsid w:val="009C37E7"/>
    <w:rsid w:val="009C436E"/>
    <w:rsid w:val="009C446B"/>
    <w:rsid w:val="009C4750"/>
    <w:rsid w:val="009C60D0"/>
    <w:rsid w:val="009C654E"/>
    <w:rsid w:val="009C6D08"/>
    <w:rsid w:val="009C6D90"/>
    <w:rsid w:val="009C7E11"/>
    <w:rsid w:val="009D0301"/>
    <w:rsid w:val="009D0828"/>
    <w:rsid w:val="009D0AF9"/>
    <w:rsid w:val="009D1C07"/>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55A"/>
    <w:rsid w:val="009F1A10"/>
    <w:rsid w:val="009F1F93"/>
    <w:rsid w:val="009F2931"/>
    <w:rsid w:val="009F2A36"/>
    <w:rsid w:val="009F2C5C"/>
    <w:rsid w:val="009F2DF8"/>
    <w:rsid w:val="009F34D1"/>
    <w:rsid w:val="009F4A4D"/>
    <w:rsid w:val="009F4EF4"/>
    <w:rsid w:val="009F5E3B"/>
    <w:rsid w:val="009F60E9"/>
    <w:rsid w:val="009F6275"/>
    <w:rsid w:val="009F7F8B"/>
    <w:rsid w:val="00A00023"/>
    <w:rsid w:val="00A003E6"/>
    <w:rsid w:val="00A01134"/>
    <w:rsid w:val="00A027A8"/>
    <w:rsid w:val="00A03872"/>
    <w:rsid w:val="00A03EAC"/>
    <w:rsid w:val="00A05C83"/>
    <w:rsid w:val="00A05EB1"/>
    <w:rsid w:val="00A06708"/>
    <w:rsid w:val="00A0760D"/>
    <w:rsid w:val="00A077D4"/>
    <w:rsid w:val="00A0789E"/>
    <w:rsid w:val="00A10D29"/>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1C1F"/>
    <w:rsid w:val="00A22B78"/>
    <w:rsid w:val="00A238D7"/>
    <w:rsid w:val="00A24095"/>
    <w:rsid w:val="00A240BB"/>
    <w:rsid w:val="00A24819"/>
    <w:rsid w:val="00A24B66"/>
    <w:rsid w:val="00A24ECF"/>
    <w:rsid w:val="00A25EDF"/>
    <w:rsid w:val="00A26F33"/>
    <w:rsid w:val="00A2705E"/>
    <w:rsid w:val="00A3024E"/>
    <w:rsid w:val="00A30C14"/>
    <w:rsid w:val="00A30FAC"/>
    <w:rsid w:val="00A3195D"/>
    <w:rsid w:val="00A31A42"/>
    <w:rsid w:val="00A321DA"/>
    <w:rsid w:val="00A3278D"/>
    <w:rsid w:val="00A327EA"/>
    <w:rsid w:val="00A3280E"/>
    <w:rsid w:val="00A339BF"/>
    <w:rsid w:val="00A3504D"/>
    <w:rsid w:val="00A356D5"/>
    <w:rsid w:val="00A35CBC"/>
    <w:rsid w:val="00A3700C"/>
    <w:rsid w:val="00A37A44"/>
    <w:rsid w:val="00A40440"/>
    <w:rsid w:val="00A41475"/>
    <w:rsid w:val="00A44BCB"/>
    <w:rsid w:val="00A44F6D"/>
    <w:rsid w:val="00A45888"/>
    <w:rsid w:val="00A46D78"/>
    <w:rsid w:val="00A47B91"/>
    <w:rsid w:val="00A50242"/>
    <w:rsid w:val="00A50C0C"/>
    <w:rsid w:val="00A50EB0"/>
    <w:rsid w:val="00A5116D"/>
    <w:rsid w:val="00A514C2"/>
    <w:rsid w:val="00A5164F"/>
    <w:rsid w:val="00A51D6E"/>
    <w:rsid w:val="00A52642"/>
    <w:rsid w:val="00A526BC"/>
    <w:rsid w:val="00A52FDF"/>
    <w:rsid w:val="00A54402"/>
    <w:rsid w:val="00A54998"/>
    <w:rsid w:val="00A54A05"/>
    <w:rsid w:val="00A54ED3"/>
    <w:rsid w:val="00A60A03"/>
    <w:rsid w:val="00A613AC"/>
    <w:rsid w:val="00A62061"/>
    <w:rsid w:val="00A62B95"/>
    <w:rsid w:val="00A6371D"/>
    <w:rsid w:val="00A65011"/>
    <w:rsid w:val="00A6565C"/>
    <w:rsid w:val="00A659D5"/>
    <w:rsid w:val="00A6603F"/>
    <w:rsid w:val="00A66FA9"/>
    <w:rsid w:val="00A708C4"/>
    <w:rsid w:val="00A70DC6"/>
    <w:rsid w:val="00A70DC8"/>
    <w:rsid w:val="00A7289A"/>
    <w:rsid w:val="00A73942"/>
    <w:rsid w:val="00A73B0D"/>
    <w:rsid w:val="00A73B72"/>
    <w:rsid w:val="00A748C4"/>
    <w:rsid w:val="00A74ADB"/>
    <w:rsid w:val="00A758DA"/>
    <w:rsid w:val="00A76420"/>
    <w:rsid w:val="00A76ECE"/>
    <w:rsid w:val="00A81304"/>
    <w:rsid w:val="00A83162"/>
    <w:rsid w:val="00A83D1B"/>
    <w:rsid w:val="00A84359"/>
    <w:rsid w:val="00A84B9D"/>
    <w:rsid w:val="00A85FA5"/>
    <w:rsid w:val="00A8604B"/>
    <w:rsid w:val="00A86199"/>
    <w:rsid w:val="00A865B3"/>
    <w:rsid w:val="00A86B2C"/>
    <w:rsid w:val="00A87960"/>
    <w:rsid w:val="00A87F74"/>
    <w:rsid w:val="00A925C1"/>
    <w:rsid w:val="00A92884"/>
    <w:rsid w:val="00A931DC"/>
    <w:rsid w:val="00A94598"/>
    <w:rsid w:val="00A94C32"/>
    <w:rsid w:val="00A960E3"/>
    <w:rsid w:val="00A96D39"/>
    <w:rsid w:val="00AA07A1"/>
    <w:rsid w:val="00AA0CA1"/>
    <w:rsid w:val="00AA144F"/>
    <w:rsid w:val="00AA1554"/>
    <w:rsid w:val="00AA209C"/>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3EDB"/>
    <w:rsid w:val="00AB47A2"/>
    <w:rsid w:val="00AB5164"/>
    <w:rsid w:val="00AB56D8"/>
    <w:rsid w:val="00AB5CBB"/>
    <w:rsid w:val="00AB693A"/>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8C5"/>
    <w:rsid w:val="00AD1D93"/>
    <w:rsid w:val="00AD354A"/>
    <w:rsid w:val="00AD392E"/>
    <w:rsid w:val="00AD401E"/>
    <w:rsid w:val="00AD43B2"/>
    <w:rsid w:val="00AD4488"/>
    <w:rsid w:val="00AD501A"/>
    <w:rsid w:val="00AD5EDA"/>
    <w:rsid w:val="00AD67FC"/>
    <w:rsid w:val="00AD7B26"/>
    <w:rsid w:val="00AD7D63"/>
    <w:rsid w:val="00AD7D70"/>
    <w:rsid w:val="00AE0207"/>
    <w:rsid w:val="00AE0D0F"/>
    <w:rsid w:val="00AE1BAA"/>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6711"/>
    <w:rsid w:val="00AF7017"/>
    <w:rsid w:val="00AF76EC"/>
    <w:rsid w:val="00AF7BCF"/>
    <w:rsid w:val="00AF7D5B"/>
    <w:rsid w:val="00B004FA"/>
    <w:rsid w:val="00B00D84"/>
    <w:rsid w:val="00B00EA8"/>
    <w:rsid w:val="00B029E7"/>
    <w:rsid w:val="00B02BDA"/>
    <w:rsid w:val="00B02C8C"/>
    <w:rsid w:val="00B02F92"/>
    <w:rsid w:val="00B032A1"/>
    <w:rsid w:val="00B04192"/>
    <w:rsid w:val="00B04F08"/>
    <w:rsid w:val="00B06B80"/>
    <w:rsid w:val="00B077CC"/>
    <w:rsid w:val="00B07FB7"/>
    <w:rsid w:val="00B1038B"/>
    <w:rsid w:val="00B1092D"/>
    <w:rsid w:val="00B11232"/>
    <w:rsid w:val="00B11587"/>
    <w:rsid w:val="00B11A67"/>
    <w:rsid w:val="00B12648"/>
    <w:rsid w:val="00B13203"/>
    <w:rsid w:val="00B13CB7"/>
    <w:rsid w:val="00B13DFA"/>
    <w:rsid w:val="00B15480"/>
    <w:rsid w:val="00B15580"/>
    <w:rsid w:val="00B15768"/>
    <w:rsid w:val="00B15ACE"/>
    <w:rsid w:val="00B16686"/>
    <w:rsid w:val="00B17C93"/>
    <w:rsid w:val="00B17CF1"/>
    <w:rsid w:val="00B20DE6"/>
    <w:rsid w:val="00B21C42"/>
    <w:rsid w:val="00B222E0"/>
    <w:rsid w:val="00B22685"/>
    <w:rsid w:val="00B23364"/>
    <w:rsid w:val="00B2362D"/>
    <w:rsid w:val="00B23EA6"/>
    <w:rsid w:val="00B24183"/>
    <w:rsid w:val="00B249FB"/>
    <w:rsid w:val="00B24C1D"/>
    <w:rsid w:val="00B2525B"/>
    <w:rsid w:val="00B25905"/>
    <w:rsid w:val="00B27B02"/>
    <w:rsid w:val="00B305FA"/>
    <w:rsid w:val="00B30A50"/>
    <w:rsid w:val="00B31BDC"/>
    <w:rsid w:val="00B31F4F"/>
    <w:rsid w:val="00B33CC1"/>
    <w:rsid w:val="00B33D5B"/>
    <w:rsid w:val="00B33EDC"/>
    <w:rsid w:val="00B3411C"/>
    <w:rsid w:val="00B341D2"/>
    <w:rsid w:val="00B342EB"/>
    <w:rsid w:val="00B34320"/>
    <w:rsid w:val="00B35E7A"/>
    <w:rsid w:val="00B3659D"/>
    <w:rsid w:val="00B37948"/>
    <w:rsid w:val="00B405CE"/>
    <w:rsid w:val="00B42701"/>
    <w:rsid w:val="00B43E52"/>
    <w:rsid w:val="00B448F1"/>
    <w:rsid w:val="00B45217"/>
    <w:rsid w:val="00B46456"/>
    <w:rsid w:val="00B464A3"/>
    <w:rsid w:val="00B46DB4"/>
    <w:rsid w:val="00B4723C"/>
    <w:rsid w:val="00B50005"/>
    <w:rsid w:val="00B511F9"/>
    <w:rsid w:val="00B52EB1"/>
    <w:rsid w:val="00B53C37"/>
    <w:rsid w:val="00B53FB6"/>
    <w:rsid w:val="00B54425"/>
    <w:rsid w:val="00B54BA5"/>
    <w:rsid w:val="00B550DB"/>
    <w:rsid w:val="00B55476"/>
    <w:rsid w:val="00B555B8"/>
    <w:rsid w:val="00B56479"/>
    <w:rsid w:val="00B578BD"/>
    <w:rsid w:val="00B57FC2"/>
    <w:rsid w:val="00B606C1"/>
    <w:rsid w:val="00B607F1"/>
    <w:rsid w:val="00B614B8"/>
    <w:rsid w:val="00B61E6B"/>
    <w:rsid w:val="00B628CF"/>
    <w:rsid w:val="00B6403A"/>
    <w:rsid w:val="00B6416B"/>
    <w:rsid w:val="00B64A0F"/>
    <w:rsid w:val="00B6581E"/>
    <w:rsid w:val="00B65A77"/>
    <w:rsid w:val="00B65D23"/>
    <w:rsid w:val="00B66093"/>
    <w:rsid w:val="00B668A7"/>
    <w:rsid w:val="00B66BD4"/>
    <w:rsid w:val="00B67910"/>
    <w:rsid w:val="00B70F37"/>
    <w:rsid w:val="00B712C7"/>
    <w:rsid w:val="00B71D6D"/>
    <w:rsid w:val="00B72274"/>
    <w:rsid w:val="00B727C3"/>
    <w:rsid w:val="00B72935"/>
    <w:rsid w:val="00B74869"/>
    <w:rsid w:val="00B75177"/>
    <w:rsid w:val="00B75A97"/>
    <w:rsid w:val="00B75DB6"/>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069"/>
    <w:rsid w:val="00B937BD"/>
    <w:rsid w:val="00B93FC6"/>
    <w:rsid w:val="00B9448A"/>
    <w:rsid w:val="00B953A0"/>
    <w:rsid w:val="00B959E5"/>
    <w:rsid w:val="00B96D4B"/>
    <w:rsid w:val="00B97A37"/>
    <w:rsid w:val="00BA038C"/>
    <w:rsid w:val="00BA049A"/>
    <w:rsid w:val="00BA0B0F"/>
    <w:rsid w:val="00BA260F"/>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4392"/>
    <w:rsid w:val="00BD2655"/>
    <w:rsid w:val="00BD3614"/>
    <w:rsid w:val="00BD49A3"/>
    <w:rsid w:val="00BD6921"/>
    <w:rsid w:val="00BD73CB"/>
    <w:rsid w:val="00BD7441"/>
    <w:rsid w:val="00BD7E4F"/>
    <w:rsid w:val="00BE0793"/>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3BA8"/>
    <w:rsid w:val="00BF57DC"/>
    <w:rsid w:val="00BF580F"/>
    <w:rsid w:val="00BF6218"/>
    <w:rsid w:val="00BF6455"/>
    <w:rsid w:val="00BF7A38"/>
    <w:rsid w:val="00C00EB6"/>
    <w:rsid w:val="00C011F7"/>
    <w:rsid w:val="00C017D3"/>
    <w:rsid w:val="00C0187E"/>
    <w:rsid w:val="00C018EF"/>
    <w:rsid w:val="00C01D62"/>
    <w:rsid w:val="00C0357B"/>
    <w:rsid w:val="00C04680"/>
    <w:rsid w:val="00C04AC0"/>
    <w:rsid w:val="00C057FD"/>
    <w:rsid w:val="00C05B0D"/>
    <w:rsid w:val="00C07AC6"/>
    <w:rsid w:val="00C10007"/>
    <w:rsid w:val="00C10682"/>
    <w:rsid w:val="00C10A73"/>
    <w:rsid w:val="00C1202B"/>
    <w:rsid w:val="00C12155"/>
    <w:rsid w:val="00C12723"/>
    <w:rsid w:val="00C12A84"/>
    <w:rsid w:val="00C12D62"/>
    <w:rsid w:val="00C131DB"/>
    <w:rsid w:val="00C138CF"/>
    <w:rsid w:val="00C1455E"/>
    <w:rsid w:val="00C15CF0"/>
    <w:rsid w:val="00C17208"/>
    <w:rsid w:val="00C17D62"/>
    <w:rsid w:val="00C2016C"/>
    <w:rsid w:val="00C22172"/>
    <w:rsid w:val="00C228D1"/>
    <w:rsid w:val="00C2356D"/>
    <w:rsid w:val="00C2375F"/>
    <w:rsid w:val="00C23B89"/>
    <w:rsid w:val="00C2471B"/>
    <w:rsid w:val="00C249E9"/>
    <w:rsid w:val="00C24E26"/>
    <w:rsid w:val="00C25075"/>
    <w:rsid w:val="00C2513F"/>
    <w:rsid w:val="00C251EA"/>
    <w:rsid w:val="00C257C1"/>
    <w:rsid w:val="00C267AF"/>
    <w:rsid w:val="00C26CB0"/>
    <w:rsid w:val="00C2738A"/>
    <w:rsid w:val="00C31337"/>
    <w:rsid w:val="00C31B6E"/>
    <w:rsid w:val="00C33550"/>
    <w:rsid w:val="00C33810"/>
    <w:rsid w:val="00C33A8B"/>
    <w:rsid w:val="00C350EB"/>
    <w:rsid w:val="00C356ED"/>
    <w:rsid w:val="00C35ECE"/>
    <w:rsid w:val="00C40F7C"/>
    <w:rsid w:val="00C41D3C"/>
    <w:rsid w:val="00C43FE2"/>
    <w:rsid w:val="00C4439C"/>
    <w:rsid w:val="00C4654C"/>
    <w:rsid w:val="00C466B2"/>
    <w:rsid w:val="00C46E3F"/>
    <w:rsid w:val="00C47153"/>
    <w:rsid w:val="00C4789D"/>
    <w:rsid w:val="00C47A25"/>
    <w:rsid w:val="00C511C4"/>
    <w:rsid w:val="00C52262"/>
    <w:rsid w:val="00C53E65"/>
    <w:rsid w:val="00C53F57"/>
    <w:rsid w:val="00C55321"/>
    <w:rsid w:val="00C55E81"/>
    <w:rsid w:val="00C561AE"/>
    <w:rsid w:val="00C569DF"/>
    <w:rsid w:val="00C57ACB"/>
    <w:rsid w:val="00C57DF4"/>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129"/>
    <w:rsid w:val="00C8392C"/>
    <w:rsid w:val="00C8504B"/>
    <w:rsid w:val="00C855D9"/>
    <w:rsid w:val="00C87453"/>
    <w:rsid w:val="00C90BDF"/>
    <w:rsid w:val="00C91390"/>
    <w:rsid w:val="00C92FA0"/>
    <w:rsid w:val="00C94864"/>
    <w:rsid w:val="00C94AB6"/>
    <w:rsid w:val="00C95BFA"/>
    <w:rsid w:val="00C97552"/>
    <w:rsid w:val="00C97925"/>
    <w:rsid w:val="00CA05D2"/>
    <w:rsid w:val="00CA1669"/>
    <w:rsid w:val="00CA17DD"/>
    <w:rsid w:val="00CA2E38"/>
    <w:rsid w:val="00CA2E53"/>
    <w:rsid w:val="00CA441A"/>
    <w:rsid w:val="00CA4BB3"/>
    <w:rsid w:val="00CA5C62"/>
    <w:rsid w:val="00CA61E5"/>
    <w:rsid w:val="00CA6243"/>
    <w:rsid w:val="00CA6FB0"/>
    <w:rsid w:val="00CA70A7"/>
    <w:rsid w:val="00CA71BC"/>
    <w:rsid w:val="00CA7501"/>
    <w:rsid w:val="00CB0191"/>
    <w:rsid w:val="00CB0E6B"/>
    <w:rsid w:val="00CB109F"/>
    <w:rsid w:val="00CB1484"/>
    <w:rsid w:val="00CB1A96"/>
    <w:rsid w:val="00CB1DD0"/>
    <w:rsid w:val="00CB28CF"/>
    <w:rsid w:val="00CB5C83"/>
    <w:rsid w:val="00CB5FE5"/>
    <w:rsid w:val="00CB69F2"/>
    <w:rsid w:val="00CB6DE0"/>
    <w:rsid w:val="00CB6F03"/>
    <w:rsid w:val="00CB7445"/>
    <w:rsid w:val="00CC02EB"/>
    <w:rsid w:val="00CC0981"/>
    <w:rsid w:val="00CC1C16"/>
    <w:rsid w:val="00CC20F9"/>
    <w:rsid w:val="00CC2798"/>
    <w:rsid w:val="00CC48A5"/>
    <w:rsid w:val="00CC6075"/>
    <w:rsid w:val="00CC6640"/>
    <w:rsid w:val="00CC6781"/>
    <w:rsid w:val="00CC6A16"/>
    <w:rsid w:val="00CC7467"/>
    <w:rsid w:val="00CD0552"/>
    <w:rsid w:val="00CD0E17"/>
    <w:rsid w:val="00CD1FCB"/>
    <w:rsid w:val="00CD2DE0"/>
    <w:rsid w:val="00CD31BA"/>
    <w:rsid w:val="00CD3BC0"/>
    <w:rsid w:val="00CD5967"/>
    <w:rsid w:val="00CE25F0"/>
    <w:rsid w:val="00CE299A"/>
    <w:rsid w:val="00CE2CEE"/>
    <w:rsid w:val="00CE31C3"/>
    <w:rsid w:val="00CE336C"/>
    <w:rsid w:val="00CE41B5"/>
    <w:rsid w:val="00CE420C"/>
    <w:rsid w:val="00CE4D9B"/>
    <w:rsid w:val="00CE5A8C"/>
    <w:rsid w:val="00CE5ABD"/>
    <w:rsid w:val="00CE61C7"/>
    <w:rsid w:val="00CE634F"/>
    <w:rsid w:val="00CE69F2"/>
    <w:rsid w:val="00CE706E"/>
    <w:rsid w:val="00CF00D4"/>
    <w:rsid w:val="00CF071E"/>
    <w:rsid w:val="00CF0727"/>
    <w:rsid w:val="00CF1F05"/>
    <w:rsid w:val="00CF2712"/>
    <w:rsid w:val="00CF36EF"/>
    <w:rsid w:val="00CF3761"/>
    <w:rsid w:val="00CF39D2"/>
    <w:rsid w:val="00CF3C2A"/>
    <w:rsid w:val="00CF4BC2"/>
    <w:rsid w:val="00CF4DAF"/>
    <w:rsid w:val="00CF4E71"/>
    <w:rsid w:val="00CF55A0"/>
    <w:rsid w:val="00CF5FB9"/>
    <w:rsid w:val="00CF6DD8"/>
    <w:rsid w:val="00CF7D8C"/>
    <w:rsid w:val="00D00E7A"/>
    <w:rsid w:val="00D0113F"/>
    <w:rsid w:val="00D01BC1"/>
    <w:rsid w:val="00D02C3A"/>
    <w:rsid w:val="00D0457F"/>
    <w:rsid w:val="00D05260"/>
    <w:rsid w:val="00D055E9"/>
    <w:rsid w:val="00D05D79"/>
    <w:rsid w:val="00D05E22"/>
    <w:rsid w:val="00D06433"/>
    <w:rsid w:val="00D06B19"/>
    <w:rsid w:val="00D06F1A"/>
    <w:rsid w:val="00D077AE"/>
    <w:rsid w:val="00D078C8"/>
    <w:rsid w:val="00D10552"/>
    <w:rsid w:val="00D1056B"/>
    <w:rsid w:val="00D10F74"/>
    <w:rsid w:val="00D12A4E"/>
    <w:rsid w:val="00D12AF4"/>
    <w:rsid w:val="00D13E87"/>
    <w:rsid w:val="00D1412D"/>
    <w:rsid w:val="00D14875"/>
    <w:rsid w:val="00D14CEE"/>
    <w:rsid w:val="00D15F70"/>
    <w:rsid w:val="00D16979"/>
    <w:rsid w:val="00D16BAC"/>
    <w:rsid w:val="00D17477"/>
    <w:rsid w:val="00D178E8"/>
    <w:rsid w:val="00D200E4"/>
    <w:rsid w:val="00D2193A"/>
    <w:rsid w:val="00D21A57"/>
    <w:rsid w:val="00D230A6"/>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0CDE"/>
    <w:rsid w:val="00D31049"/>
    <w:rsid w:val="00D31464"/>
    <w:rsid w:val="00D3325F"/>
    <w:rsid w:val="00D346D4"/>
    <w:rsid w:val="00D3584A"/>
    <w:rsid w:val="00D35CF8"/>
    <w:rsid w:val="00D36070"/>
    <w:rsid w:val="00D36514"/>
    <w:rsid w:val="00D36C7D"/>
    <w:rsid w:val="00D36FBF"/>
    <w:rsid w:val="00D40444"/>
    <w:rsid w:val="00D4076B"/>
    <w:rsid w:val="00D40D44"/>
    <w:rsid w:val="00D425D7"/>
    <w:rsid w:val="00D43824"/>
    <w:rsid w:val="00D4393B"/>
    <w:rsid w:val="00D43AD9"/>
    <w:rsid w:val="00D44CBE"/>
    <w:rsid w:val="00D44D13"/>
    <w:rsid w:val="00D44D2A"/>
    <w:rsid w:val="00D44FAC"/>
    <w:rsid w:val="00D45617"/>
    <w:rsid w:val="00D47E9A"/>
    <w:rsid w:val="00D50023"/>
    <w:rsid w:val="00D5014D"/>
    <w:rsid w:val="00D510DA"/>
    <w:rsid w:val="00D51109"/>
    <w:rsid w:val="00D52AF0"/>
    <w:rsid w:val="00D52E3B"/>
    <w:rsid w:val="00D53511"/>
    <w:rsid w:val="00D54A61"/>
    <w:rsid w:val="00D5535D"/>
    <w:rsid w:val="00D57460"/>
    <w:rsid w:val="00D57AD2"/>
    <w:rsid w:val="00D60656"/>
    <w:rsid w:val="00D6111F"/>
    <w:rsid w:val="00D61791"/>
    <w:rsid w:val="00D61EEA"/>
    <w:rsid w:val="00D627F2"/>
    <w:rsid w:val="00D62B98"/>
    <w:rsid w:val="00D62CEE"/>
    <w:rsid w:val="00D63E3C"/>
    <w:rsid w:val="00D63F85"/>
    <w:rsid w:val="00D6546D"/>
    <w:rsid w:val="00D65B14"/>
    <w:rsid w:val="00D65D0D"/>
    <w:rsid w:val="00D66C40"/>
    <w:rsid w:val="00D70D57"/>
    <w:rsid w:val="00D71A2C"/>
    <w:rsid w:val="00D71E2A"/>
    <w:rsid w:val="00D72483"/>
    <w:rsid w:val="00D727D8"/>
    <w:rsid w:val="00D73B08"/>
    <w:rsid w:val="00D74CBB"/>
    <w:rsid w:val="00D751EB"/>
    <w:rsid w:val="00D75E7A"/>
    <w:rsid w:val="00D76D9A"/>
    <w:rsid w:val="00D77249"/>
    <w:rsid w:val="00D77377"/>
    <w:rsid w:val="00D773C1"/>
    <w:rsid w:val="00D77A92"/>
    <w:rsid w:val="00D77B92"/>
    <w:rsid w:val="00D80FD0"/>
    <w:rsid w:val="00D8104F"/>
    <w:rsid w:val="00D81C77"/>
    <w:rsid w:val="00D81EEC"/>
    <w:rsid w:val="00D8268E"/>
    <w:rsid w:val="00D829CE"/>
    <w:rsid w:val="00D82D0A"/>
    <w:rsid w:val="00D833A5"/>
    <w:rsid w:val="00D84085"/>
    <w:rsid w:val="00D857A8"/>
    <w:rsid w:val="00D8693A"/>
    <w:rsid w:val="00D86977"/>
    <w:rsid w:val="00D86F0F"/>
    <w:rsid w:val="00D87F16"/>
    <w:rsid w:val="00D91433"/>
    <w:rsid w:val="00D91A13"/>
    <w:rsid w:val="00D9288B"/>
    <w:rsid w:val="00D9307E"/>
    <w:rsid w:val="00D95526"/>
    <w:rsid w:val="00D96A88"/>
    <w:rsid w:val="00D96C52"/>
    <w:rsid w:val="00D974F6"/>
    <w:rsid w:val="00D9750E"/>
    <w:rsid w:val="00D976E6"/>
    <w:rsid w:val="00DA0534"/>
    <w:rsid w:val="00DA1831"/>
    <w:rsid w:val="00DA1A45"/>
    <w:rsid w:val="00DA267B"/>
    <w:rsid w:val="00DA45E9"/>
    <w:rsid w:val="00DA53D2"/>
    <w:rsid w:val="00DA560D"/>
    <w:rsid w:val="00DA70B4"/>
    <w:rsid w:val="00DA7B7F"/>
    <w:rsid w:val="00DA7CA8"/>
    <w:rsid w:val="00DA7F6C"/>
    <w:rsid w:val="00DB1CE4"/>
    <w:rsid w:val="00DB2BC7"/>
    <w:rsid w:val="00DB2DE0"/>
    <w:rsid w:val="00DB312B"/>
    <w:rsid w:val="00DB337C"/>
    <w:rsid w:val="00DB5593"/>
    <w:rsid w:val="00DB6102"/>
    <w:rsid w:val="00DB6BF1"/>
    <w:rsid w:val="00DB6CE4"/>
    <w:rsid w:val="00DB6D48"/>
    <w:rsid w:val="00DB7D9F"/>
    <w:rsid w:val="00DC057F"/>
    <w:rsid w:val="00DC0740"/>
    <w:rsid w:val="00DC12A4"/>
    <w:rsid w:val="00DC131E"/>
    <w:rsid w:val="00DC2E29"/>
    <w:rsid w:val="00DC4216"/>
    <w:rsid w:val="00DC44CB"/>
    <w:rsid w:val="00DC44E3"/>
    <w:rsid w:val="00DC5946"/>
    <w:rsid w:val="00DC5A3D"/>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D745C"/>
    <w:rsid w:val="00DE0680"/>
    <w:rsid w:val="00DE18A6"/>
    <w:rsid w:val="00DE2140"/>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238"/>
    <w:rsid w:val="00DF6A02"/>
    <w:rsid w:val="00E00252"/>
    <w:rsid w:val="00E003DE"/>
    <w:rsid w:val="00E01EFE"/>
    <w:rsid w:val="00E033EB"/>
    <w:rsid w:val="00E05429"/>
    <w:rsid w:val="00E05491"/>
    <w:rsid w:val="00E05A24"/>
    <w:rsid w:val="00E05B06"/>
    <w:rsid w:val="00E06598"/>
    <w:rsid w:val="00E067A6"/>
    <w:rsid w:val="00E1015E"/>
    <w:rsid w:val="00E10D3C"/>
    <w:rsid w:val="00E11988"/>
    <w:rsid w:val="00E12476"/>
    <w:rsid w:val="00E128C3"/>
    <w:rsid w:val="00E12ECC"/>
    <w:rsid w:val="00E138AF"/>
    <w:rsid w:val="00E14266"/>
    <w:rsid w:val="00E15243"/>
    <w:rsid w:val="00E15833"/>
    <w:rsid w:val="00E161D2"/>
    <w:rsid w:val="00E169F4"/>
    <w:rsid w:val="00E16F9E"/>
    <w:rsid w:val="00E174DA"/>
    <w:rsid w:val="00E21E6F"/>
    <w:rsid w:val="00E22899"/>
    <w:rsid w:val="00E228B8"/>
    <w:rsid w:val="00E23D0C"/>
    <w:rsid w:val="00E23E50"/>
    <w:rsid w:val="00E25382"/>
    <w:rsid w:val="00E253E0"/>
    <w:rsid w:val="00E259E7"/>
    <w:rsid w:val="00E262E2"/>
    <w:rsid w:val="00E27E5B"/>
    <w:rsid w:val="00E30389"/>
    <w:rsid w:val="00E30500"/>
    <w:rsid w:val="00E30E0B"/>
    <w:rsid w:val="00E32226"/>
    <w:rsid w:val="00E328B1"/>
    <w:rsid w:val="00E342F9"/>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4CB"/>
    <w:rsid w:val="00E527D1"/>
    <w:rsid w:val="00E52D91"/>
    <w:rsid w:val="00E545E4"/>
    <w:rsid w:val="00E54F9F"/>
    <w:rsid w:val="00E54FC8"/>
    <w:rsid w:val="00E5539D"/>
    <w:rsid w:val="00E553F4"/>
    <w:rsid w:val="00E555BF"/>
    <w:rsid w:val="00E55A02"/>
    <w:rsid w:val="00E600CA"/>
    <w:rsid w:val="00E60AA3"/>
    <w:rsid w:val="00E61D18"/>
    <w:rsid w:val="00E61EC7"/>
    <w:rsid w:val="00E62302"/>
    <w:rsid w:val="00E6275C"/>
    <w:rsid w:val="00E63CF3"/>
    <w:rsid w:val="00E64101"/>
    <w:rsid w:val="00E642E3"/>
    <w:rsid w:val="00E647C6"/>
    <w:rsid w:val="00E64A75"/>
    <w:rsid w:val="00E6516A"/>
    <w:rsid w:val="00E65CA7"/>
    <w:rsid w:val="00E66CB8"/>
    <w:rsid w:val="00E67565"/>
    <w:rsid w:val="00E67E9F"/>
    <w:rsid w:val="00E67F84"/>
    <w:rsid w:val="00E70EA2"/>
    <w:rsid w:val="00E715FF"/>
    <w:rsid w:val="00E71B79"/>
    <w:rsid w:val="00E72CEC"/>
    <w:rsid w:val="00E73CC1"/>
    <w:rsid w:val="00E74706"/>
    <w:rsid w:val="00E75736"/>
    <w:rsid w:val="00E75F05"/>
    <w:rsid w:val="00E76617"/>
    <w:rsid w:val="00E76ADB"/>
    <w:rsid w:val="00E76BAC"/>
    <w:rsid w:val="00E76C13"/>
    <w:rsid w:val="00E76EC2"/>
    <w:rsid w:val="00E76FA4"/>
    <w:rsid w:val="00E7794A"/>
    <w:rsid w:val="00E8015D"/>
    <w:rsid w:val="00E80D27"/>
    <w:rsid w:val="00E83653"/>
    <w:rsid w:val="00E83EA1"/>
    <w:rsid w:val="00E83FAA"/>
    <w:rsid w:val="00E8473F"/>
    <w:rsid w:val="00E85BEA"/>
    <w:rsid w:val="00E85D29"/>
    <w:rsid w:val="00E8697F"/>
    <w:rsid w:val="00E87698"/>
    <w:rsid w:val="00E877B4"/>
    <w:rsid w:val="00E87FDA"/>
    <w:rsid w:val="00E90004"/>
    <w:rsid w:val="00E9098E"/>
    <w:rsid w:val="00E90D5D"/>
    <w:rsid w:val="00E912A3"/>
    <w:rsid w:val="00E91E2D"/>
    <w:rsid w:val="00E945FB"/>
    <w:rsid w:val="00E951A6"/>
    <w:rsid w:val="00E95839"/>
    <w:rsid w:val="00E97396"/>
    <w:rsid w:val="00EA039B"/>
    <w:rsid w:val="00EA0E55"/>
    <w:rsid w:val="00EA1279"/>
    <w:rsid w:val="00EA1457"/>
    <w:rsid w:val="00EA30A6"/>
    <w:rsid w:val="00EA3FAA"/>
    <w:rsid w:val="00EA4E24"/>
    <w:rsid w:val="00EA66E1"/>
    <w:rsid w:val="00EA69B6"/>
    <w:rsid w:val="00EA6CC1"/>
    <w:rsid w:val="00EB1364"/>
    <w:rsid w:val="00EB15F0"/>
    <w:rsid w:val="00EB17DA"/>
    <w:rsid w:val="00EB273D"/>
    <w:rsid w:val="00EB2D26"/>
    <w:rsid w:val="00EB306E"/>
    <w:rsid w:val="00EB48A8"/>
    <w:rsid w:val="00EB4D67"/>
    <w:rsid w:val="00EB563B"/>
    <w:rsid w:val="00EB5E79"/>
    <w:rsid w:val="00EB67CA"/>
    <w:rsid w:val="00EB77FA"/>
    <w:rsid w:val="00EC01A9"/>
    <w:rsid w:val="00EC08AF"/>
    <w:rsid w:val="00EC0AF6"/>
    <w:rsid w:val="00EC1B83"/>
    <w:rsid w:val="00EC1F59"/>
    <w:rsid w:val="00EC30C4"/>
    <w:rsid w:val="00EC30CC"/>
    <w:rsid w:val="00EC3688"/>
    <w:rsid w:val="00EC59F0"/>
    <w:rsid w:val="00EC5E85"/>
    <w:rsid w:val="00EC604A"/>
    <w:rsid w:val="00EC61D9"/>
    <w:rsid w:val="00EC7317"/>
    <w:rsid w:val="00EC7E71"/>
    <w:rsid w:val="00EC7F4C"/>
    <w:rsid w:val="00ED0647"/>
    <w:rsid w:val="00ED0A2D"/>
    <w:rsid w:val="00ED1B8E"/>
    <w:rsid w:val="00ED21E7"/>
    <w:rsid w:val="00ED22AE"/>
    <w:rsid w:val="00ED2F89"/>
    <w:rsid w:val="00ED2FCF"/>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19A"/>
    <w:rsid w:val="00F05298"/>
    <w:rsid w:val="00F05C14"/>
    <w:rsid w:val="00F06ABC"/>
    <w:rsid w:val="00F07504"/>
    <w:rsid w:val="00F07567"/>
    <w:rsid w:val="00F10354"/>
    <w:rsid w:val="00F1115C"/>
    <w:rsid w:val="00F153C6"/>
    <w:rsid w:val="00F155BD"/>
    <w:rsid w:val="00F15659"/>
    <w:rsid w:val="00F16857"/>
    <w:rsid w:val="00F16D7B"/>
    <w:rsid w:val="00F17FD3"/>
    <w:rsid w:val="00F20261"/>
    <w:rsid w:val="00F20689"/>
    <w:rsid w:val="00F20AD1"/>
    <w:rsid w:val="00F20DC5"/>
    <w:rsid w:val="00F2131D"/>
    <w:rsid w:val="00F215D2"/>
    <w:rsid w:val="00F217D4"/>
    <w:rsid w:val="00F2259D"/>
    <w:rsid w:val="00F2262D"/>
    <w:rsid w:val="00F2273E"/>
    <w:rsid w:val="00F22AE3"/>
    <w:rsid w:val="00F23F7D"/>
    <w:rsid w:val="00F26306"/>
    <w:rsid w:val="00F27207"/>
    <w:rsid w:val="00F3060C"/>
    <w:rsid w:val="00F31372"/>
    <w:rsid w:val="00F3188B"/>
    <w:rsid w:val="00F320CE"/>
    <w:rsid w:val="00F32296"/>
    <w:rsid w:val="00F32638"/>
    <w:rsid w:val="00F33854"/>
    <w:rsid w:val="00F33CC0"/>
    <w:rsid w:val="00F34141"/>
    <w:rsid w:val="00F346A3"/>
    <w:rsid w:val="00F34BBE"/>
    <w:rsid w:val="00F34FE0"/>
    <w:rsid w:val="00F35B6D"/>
    <w:rsid w:val="00F36A15"/>
    <w:rsid w:val="00F377DC"/>
    <w:rsid w:val="00F40B5B"/>
    <w:rsid w:val="00F4121F"/>
    <w:rsid w:val="00F417CB"/>
    <w:rsid w:val="00F41B4C"/>
    <w:rsid w:val="00F41BF6"/>
    <w:rsid w:val="00F41CA6"/>
    <w:rsid w:val="00F427ED"/>
    <w:rsid w:val="00F427FC"/>
    <w:rsid w:val="00F42B59"/>
    <w:rsid w:val="00F4340B"/>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56832"/>
    <w:rsid w:val="00F6005E"/>
    <w:rsid w:val="00F6189B"/>
    <w:rsid w:val="00F63C70"/>
    <w:rsid w:val="00F64154"/>
    <w:rsid w:val="00F64945"/>
    <w:rsid w:val="00F64D4C"/>
    <w:rsid w:val="00F6549B"/>
    <w:rsid w:val="00F65C9D"/>
    <w:rsid w:val="00F65F20"/>
    <w:rsid w:val="00F66494"/>
    <w:rsid w:val="00F664B2"/>
    <w:rsid w:val="00F700E3"/>
    <w:rsid w:val="00F702DD"/>
    <w:rsid w:val="00F703AD"/>
    <w:rsid w:val="00F7120A"/>
    <w:rsid w:val="00F715CF"/>
    <w:rsid w:val="00F71E0C"/>
    <w:rsid w:val="00F720E2"/>
    <w:rsid w:val="00F736CB"/>
    <w:rsid w:val="00F73FAA"/>
    <w:rsid w:val="00F74E71"/>
    <w:rsid w:val="00F75D23"/>
    <w:rsid w:val="00F767DF"/>
    <w:rsid w:val="00F76C94"/>
    <w:rsid w:val="00F76CDC"/>
    <w:rsid w:val="00F8315C"/>
    <w:rsid w:val="00F84219"/>
    <w:rsid w:val="00F84A72"/>
    <w:rsid w:val="00F8506F"/>
    <w:rsid w:val="00F854C8"/>
    <w:rsid w:val="00F8594D"/>
    <w:rsid w:val="00F86012"/>
    <w:rsid w:val="00F8643A"/>
    <w:rsid w:val="00F866A8"/>
    <w:rsid w:val="00F87E20"/>
    <w:rsid w:val="00F91887"/>
    <w:rsid w:val="00F91BD8"/>
    <w:rsid w:val="00F92E71"/>
    <w:rsid w:val="00F9319F"/>
    <w:rsid w:val="00F935A4"/>
    <w:rsid w:val="00F938B4"/>
    <w:rsid w:val="00F94247"/>
    <w:rsid w:val="00F9437D"/>
    <w:rsid w:val="00F946D9"/>
    <w:rsid w:val="00F94C14"/>
    <w:rsid w:val="00F94F37"/>
    <w:rsid w:val="00F94FFE"/>
    <w:rsid w:val="00F96A56"/>
    <w:rsid w:val="00F96DA8"/>
    <w:rsid w:val="00FA0183"/>
    <w:rsid w:val="00FA14C0"/>
    <w:rsid w:val="00FA153E"/>
    <w:rsid w:val="00FA178E"/>
    <w:rsid w:val="00FA278D"/>
    <w:rsid w:val="00FA3154"/>
    <w:rsid w:val="00FA320E"/>
    <w:rsid w:val="00FA537A"/>
    <w:rsid w:val="00FA597D"/>
    <w:rsid w:val="00FA5F16"/>
    <w:rsid w:val="00FA74C5"/>
    <w:rsid w:val="00FA79C7"/>
    <w:rsid w:val="00FA7CDB"/>
    <w:rsid w:val="00FB1E63"/>
    <w:rsid w:val="00FB32C2"/>
    <w:rsid w:val="00FB38AF"/>
    <w:rsid w:val="00FB5225"/>
    <w:rsid w:val="00FB5B3F"/>
    <w:rsid w:val="00FB5CD0"/>
    <w:rsid w:val="00FB63C7"/>
    <w:rsid w:val="00FB71C4"/>
    <w:rsid w:val="00FB7358"/>
    <w:rsid w:val="00FB7A3C"/>
    <w:rsid w:val="00FB7D1A"/>
    <w:rsid w:val="00FC0C89"/>
    <w:rsid w:val="00FC1EC1"/>
    <w:rsid w:val="00FC22A6"/>
    <w:rsid w:val="00FC3C97"/>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6F0"/>
    <w:rsid w:val="00FE1755"/>
    <w:rsid w:val="00FE1819"/>
    <w:rsid w:val="00FE1B91"/>
    <w:rsid w:val="00FE1DB5"/>
    <w:rsid w:val="00FE28B8"/>
    <w:rsid w:val="00FE2B7D"/>
    <w:rsid w:val="00FE39BB"/>
    <w:rsid w:val="00FE3AFF"/>
    <w:rsid w:val="00FE3B8D"/>
    <w:rsid w:val="00FE4E08"/>
    <w:rsid w:val="00FE5B21"/>
    <w:rsid w:val="00FE5DDF"/>
    <w:rsid w:val="00FE5FEB"/>
    <w:rsid w:val="00FE6B12"/>
    <w:rsid w:val="00FE780D"/>
    <w:rsid w:val="00FE7D09"/>
    <w:rsid w:val="00FF424C"/>
    <w:rsid w:val="00FF4DE0"/>
    <w:rsid w:val="00FF636D"/>
    <w:rsid w:val="00FF64F2"/>
    <w:rsid w:val="00FF6C7B"/>
    <w:rsid w:val="00FF748B"/>
    <w:rsid w:val="01031673"/>
    <w:rsid w:val="011E1432"/>
    <w:rsid w:val="0131023C"/>
    <w:rsid w:val="015123B9"/>
    <w:rsid w:val="015869D5"/>
    <w:rsid w:val="015A2F9D"/>
    <w:rsid w:val="016B2414"/>
    <w:rsid w:val="016E2E7C"/>
    <w:rsid w:val="019B6E5B"/>
    <w:rsid w:val="01A572C2"/>
    <w:rsid w:val="01AA7E2D"/>
    <w:rsid w:val="0223372C"/>
    <w:rsid w:val="024E7BB8"/>
    <w:rsid w:val="02511F45"/>
    <w:rsid w:val="02724107"/>
    <w:rsid w:val="028642E4"/>
    <w:rsid w:val="02873BB9"/>
    <w:rsid w:val="028B00DF"/>
    <w:rsid w:val="02970C7B"/>
    <w:rsid w:val="02A12EA7"/>
    <w:rsid w:val="03134554"/>
    <w:rsid w:val="032D42D6"/>
    <w:rsid w:val="035175F7"/>
    <w:rsid w:val="036411A9"/>
    <w:rsid w:val="036909A2"/>
    <w:rsid w:val="03770B2F"/>
    <w:rsid w:val="037E62D4"/>
    <w:rsid w:val="039C3860"/>
    <w:rsid w:val="03B32626"/>
    <w:rsid w:val="03B64756"/>
    <w:rsid w:val="03BA3F5A"/>
    <w:rsid w:val="03C30C20"/>
    <w:rsid w:val="03C44E26"/>
    <w:rsid w:val="03CE65B3"/>
    <w:rsid w:val="03D56A1F"/>
    <w:rsid w:val="03E2545A"/>
    <w:rsid w:val="04325B3B"/>
    <w:rsid w:val="0434727C"/>
    <w:rsid w:val="04351B1E"/>
    <w:rsid w:val="044847DB"/>
    <w:rsid w:val="044E4D07"/>
    <w:rsid w:val="04553F6E"/>
    <w:rsid w:val="045C0CD5"/>
    <w:rsid w:val="046819F2"/>
    <w:rsid w:val="04893C18"/>
    <w:rsid w:val="048E4E2C"/>
    <w:rsid w:val="04920992"/>
    <w:rsid w:val="04A520D3"/>
    <w:rsid w:val="04E36052"/>
    <w:rsid w:val="052846E7"/>
    <w:rsid w:val="055F2BD0"/>
    <w:rsid w:val="057743B8"/>
    <w:rsid w:val="05812923"/>
    <w:rsid w:val="05876C93"/>
    <w:rsid w:val="05CE051B"/>
    <w:rsid w:val="05D2339D"/>
    <w:rsid w:val="05F186D1"/>
    <w:rsid w:val="05F53D8C"/>
    <w:rsid w:val="061C162C"/>
    <w:rsid w:val="061C7244"/>
    <w:rsid w:val="067B1F1D"/>
    <w:rsid w:val="0687687D"/>
    <w:rsid w:val="06C602DA"/>
    <w:rsid w:val="06D37364"/>
    <w:rsid w:val="06FF4665"/>
    <w:rsid w:val="07042C67"/>
    <w:rsid w:val="071E3095"/>
    <w:rsid w:val="07240178"/>
    <w:rsid w:val="073A3B94"/>
    <w:rsid w:val="074B0754"/>
    <w:rsid w:val="07517424"/>
    <w:rsid w:val="078C5B39"/>
    <w:rsid w:val="07967F77"/>
    <w:rsid w:val="07BA496F"/>
    <w:rsid w:val="07D62247"/>
    <w:rsid w:val="07D7585B"/>
    <w:rsid w:val="07EA70C4"/>
    <w:rsid w:val="07FE3355"/>
    <w:rsid w:val="08141E16"/>
    <w:rsid w:val="083C630F"/>
    <w:rsid w:val="0842770C"/>
    <w:rsid w:val="0880670A"/>
    <w:rsid w:val="088B0886"/>
    <w:rsid w:val="08B4685D"/>
    <w:rsid w:val="08C25FDC"/>
    <w:rsid w:val="08F905C3"/>
    <w:rsid w:val="09302EAD"/>
    <w:rsid w:val="09372EA4"/>
    <w:rsid w:val="09907E26"/>
    <w:rsid w:val="09991DF2"/>
    <w:rsid w:val="09EF276F"/>
    <w:rsid w:val="0A1042DF"/>
    <w:rsid w:val="0A200B7B"/>
    <w:rsid w:val="0A305AF7"/>
    <w:rsid w:val="0A3D0E73"/>
    <w:rsid w:val="0A424527"/>
    <w:rsid w:val="0A5C254C"/>
    <w:rsid w:val="0A8D0153"/>
    <w:rsid w:val="0AB045B2"/>
    <w:rsid w:val="0AC576BE"/>
    <w:rsid w:val="0AEF24C8"/>
    <w:rsid w:val="0B071D3B"/>
    <w:rsid w:val="0B166F91"/>
    <w:rsid w:val="0B362BF0"/>
    <w:rsid w:val="0B3949AA"/>
    <w:rsid w:val="0B4E46AE"/>
    <w:rsid w:val="0B660459"/>
    <w:rsid w:val="0B7571FB"/>
    <w:rsid w:val="0B8C1EB1"/>
    <w:rsid w:val="0B9E71AD"/>
    <w:rsid w:val="0BFE5104"/>
    <w:rsid w:val="0C4371EB"/>
    <w:rsid w:val="0C4B4CC5"/>
    <w:rsid w:val="0C4F1BEB"/>
    <w:rsid w:val="0C6002A2"/>
    <w:rsid w:val="0C7F00FE"/>
    <w:rsid w:val="0C803340"/>
    <w:rsid w:val="0CBD3E54"/>
    <w:rsid w:val="0CE11D04"/>
    <w:rsid w:val="0CE403CA"/>
    <w:rsid w:val="0CE6418D"/>
    <w:rsid w:val="0D062F14"/>
    <w:rsid w:val="0D2A6F7D"/>
    <w:rsid w:val="0D58687D"/>
    <w:rsid w:val="0D66338C"/>
    <w:rsid w:val="0D892ADE"/>
    <w:rsid w:val="0DA60AB5"/>
    <w:rsid w:val="0DAA0122"/>
    <w:rsid w:val="0DAB6479"/>
    <w:rsid w:val="0DAD20B0"/>
    <w:rsid w:val="0DBF4B4E"/>
    <w:rsid w:val="0DD405FA"/>
    <w:rsid w:val="0E2B27FF"/>
    <w:rsid w:val="0E441DCC"/>
    <w:rsid w:val="0E881B10"/>
    <w:rsid w:val="0E903DF5"/>
    <w:rsid w:val="0EAF1D62"/>
    <w:rsid w:val="0EB43F87"/>
    <w:rsid w:val="0ED571CA"/>
    <w:rsid w:val="0EDB49B2"/>
    <w:rsid w:val="0EE859DF"/>
    <w:rsid w:val="0EEE3A8A"/>
    <w:rsid w:val="0EFB31F6"/>
    <w:rsid w:val="0F1738A1"/>
    <w:rsid w:val="0F53554E"/>
    <w:rsid w:val="0F653D3B"/>
    <w:rsid w:val="0F7C18C3"/>
    <w:rsid w:val="0F8A0EB4"/>
    <w:rsid w:val="0FA320A3"/>
    <w:rsid w:val="0FB16810"/>
    <w:rsid w:val="0FB83603"/>
    <w:rsid w:val="0FC301A2"/>
    <w:rsid w:val="0FCA18CA"/>
    <w:rsid w:val="0FFD2EF2"/>
    <w:rsid w:val="1002151F"/>
    <w:rsid w:val="1004704F"/>
    <w:rsid w:val="10136DD4"/>
    <w:rsid w:val="102B2AA8"/>
    <w:rsid w:val="10714446"/>
    <w:rsid w:val="107E447F"/>
    <w:rsid w:val="107E671F"/>
    <w:rsid w:val="1087050F"/>
    <w:rsid w:val="108856CC"/>
    <w:rsid w:val="10B03A48"/>
    <w:rsid w:val="10E94F7C"/>
    <w:rsid w:val="10F60887"/>
    <w:rsid w:val="110C4F82"/>
    <w:rsid w:val="11294667"/>
    <w:rsid w:val="115E5409"/>
    <w:rsid w:val="11673B0C"/>
    <w:rsid w:val="117453FC"/>
    <w:rsid w:val="11765524"/>
    <w:rsid w:val="11837FF2"/>
    <w:rsid w:val="11904724"/>
    <w:rsid w:val="119D520D"/>
    <w:rsid w:val="11A45C3D"/>
    <w:rsid w:val="11B70C95"/>
    <w:rsid w:val="11C25DB7"/>
    <w:rsid w:val="11E55183"/>
    <w:rsid w:val="11F4097D"/>
    <w:rsid w:val="121D7032"/>
    <w:rsid w:val="12274A70"/>
    <w:rsid w:val="122A7657"/>
    <w:rsid w:val="12356E14"/>
    <w:rsid w:val="124401BA"/>
    <w:rsid w:val="127A1044"/>
    <w:rsid w:val="12B46C9C"/>
    <w:rsid w:val="12BF1861"/>
    <w:rsid w:val="12D22C2E"/>
    <w:rsid w:val="13000B05"/>
    <w:rsid w:val="136C166A"/>
    <w:rsid w:val="13816517"/>
    <w:rsid w:val="138676EA"/>
    <w:rsid w:val="13881016"/>
    <w:rsid w:val="13915A4C"/>
    <w:rsid w:val="13995A49"/>
    <w:rsid w:val="13AC7923"/>
    <w:rsid w:val="13BC5284"/>
    <w:rsid w:val="13DA751F"/>
    <w:rsid w:val="13E65DFE"/>
    <w:rsid w:val="13F0766E"/>
    <w:rsid w:val="140B289C"/>
    <w:rsid w:val="141F1EA3"/>
    <w:rsid w:val="14277A2E"/>
    <w:rsid w:val="14363DC9"/>
    <w:rsid w:val="144E4638"/>
    <w:rsid w:val="145A16C6"/>
    <w:rsid w:val="1481490C"/>
    <w:rsid w:val="14A42B3E"/>
    <w:rsid w:val="14B3232E"/>
    <w:rsid w:val="14BE034F"/>
    <w:rsid w:val="14C03686"/>
    <w:rsid w:val="15556A44"/>
    <w:rsid w:val="15570834"/>
    <w:rsid w:val="156D7617"/>
    <w:rsid w:val="15782045"/>
    <w:rsid w:val="158B7A09"/>
    <w:rsid w:val="159854FE"/>
    <w:rsid w:val="15AC7944"/>
    <w:rsid w:val="15AF35F5"/>
    <w:rsid w:val="15EF2486"/>
    <w:rsid w:val="15FE489C"/>
    <w:rsid w:val="15FF3C1D"/>
    <w:rsid w:val="16137402"/>
    <w:rsid w:val="161F4683"/>
    <w:rsid w:val="16303747"/>
    <w:rsid w:val="163B5B8B"/>
    <w:rsid w:val="16491459"/>
    <w:rsid w:val="165135EF"/>
    <w:rsid w:val="165C75B9"/>
    <w:rsid w:val="167116DE"/>
    <w:rsid w:val="167D4E04"/>
    <w:rsid w:val="167D7483"/>
    <w:rsid w:val="16B52C7E"/>
    <w:rsid w:val="16D3646B"/>
    <w:rsid w:val="17017F86"/>
    <w:rsid w:val="17086DB0"/>
    <w:rsid w:val="175D1792"/>
    <w:rsid w:val="177E673D"/>
    <w:rsid w:val="17B02D5B"/>
    <w:rsid w:val="17D276F8"/>
    <w:rsid w:val="17E1714A"/>
    <w:rsid w:val="17F27F0E"/>
    <w:rsid w:val="182F73A4"/>
    <w:rsid w:val="184A3AAF"/>
    <w:rsid w:val="1859722A"/>
    <w:rsid w:val="18622083"/>
    <w:rsid w:val="187D5CFC"/>
    <w:rsid w:val="188361BF"/>
    <w:rsid w:val="188F5579"/>
    <w:rsid w:val="18DA0EB5"/>
    <w:rsid w:val="18E4227A"/>
    <w:rsid w:val="18F77CFC"/>
    <w:rsid w:val="190475D2"/>
    <w:rsid w:val="19477264"/>
    <w:rsid w:val="195E21C5"/>
    <w:rsid w:val="19636CD6"/>
    <w:rsid w:val="19A42F63"/>
    <w:rsid w:val="19AA43DE"/>
    <w:rsid w:val="19C433BE"/>
    <w:rsid w:val="19C46D56"/>
    <w:rsid w:val="19D90D46"/>
    <w:rsid w:val="19E40189"/>
    <w:rsid w:val="19E53D51"/>
    <w:rsid w:val="19F23FD0"/>
    <w:rsid w:val="19F4792E"/>
    <w:rsid w:val="1A0E783C"/>
    <w:rsid w:val="1A2024D1"/>
    <w:rsid w:val="1A271AB1"/>
    <w:rsid w:val="1A4A3848"/>
    <w:rsid w:val="1A806DCA"/>
    <w:rsid w:val="1AB06439"/>
    <w:rsid w:val="1AB10FCD"/>
    <w:rsid w:val="1AC21DD8"/>
    <w:rsid w:val="1AC4057E"/>
    <w:rsid w:val="1ACE4F42"/>
    <w:rsid w:val="1AE53164"/>
    <w:rsid w:val="1AF648B5"/>
    <w:rsid w:val="1AFD0547"/>
    <w:rsid w:val="1B0D6A37"/>
    <w:rsid w:val="1B101C96"/>
    <w:rsid w:val="1B231BC3"/>
    <w:rsid w:val="1B372A94"/>
    <w:rsid w:val="1B3939DF"/>
    <w:rsid w:val="1B3B1C95"/>
    <w:rsid w:val="1B3D6B5B"/>
    <w:rsid w:val="1B681214"/>
    <w:rsid w:val="1B744A16"/>
    <w:rsid w:val="1B8B2B71"/>
    <w:rsid w:val="1BAD66BE"/>
    <w:rsid w:val="1BBC1952"/>
    <w:rsid w:val="1BCD2FE1"/>
    <w:rsid w:val="1BDA3F76"/>
    <w:rsid w:val="1BE36C4D"/>
    <w:rsid w:val="1C1425F4"/>
    <w:rsid w:val="1C1C5CEC"/>
    <w:rsid w:val="1C444B9D"/>
    <w:rsid w:val="1C566F8A"/>
    <w:rsid w:val="1C5706D9"/>
    <w:rsid w:val="1C676ADD"/>
    <w:rsid w:val="1C683FD1"/>
    <w:rsid w:val="1C6B3B8C"/>
    <w:rsid w:val="1CD8293A"/>
    <w:rsid w:val="1CD96BE2"/>
    <w:rsid w:val="1CDF3ACD"/>
    <w:rsid w:val="1CF22A2E"/>
    <w:rsid w:val="1CF45F16"/>
    <w:rsid w:val="1CFA6621"/>
    <w:rsid w:val="1D2812AE"/>
    <w:rsid w:val="1D390769"/>
    <w:rsid w:val="1D4D5877"/>
    <w:rsid w:val="1D542179"/>
    <w:rsid w:val="1D590B44"/>
    <w:rsid w:val="1DDC7B43"/>
    <w:rsid w:val="1DE76741"/>
    <w:rsid w:val="1DEC58AA"/>
    <w:rsid w:val="1DEC9A83"/>
    <w:rsid w:val="1DF97943"/>
    <w:rsid w:val="1E1D5A5B"/>
    <w:rsid w:val="1E40554C"/>
    <w:rsid w:val="1E454BFC"/>
    <w:rsid w:val="1E4D32E3"/>
    <w:rsid w:val="1E5C118E"/>
    <w:rsid w:val="1E5E3272"/>
    <w:rsid w:val="1E875225"/>
    <w:rsid w:val="1E965458"/>
    <w:rsid w:val="1EAE123E"/>
    <w:rsid w:val="1EB97598"/>
    <w:rsid w:val="1EDFAF4E"/>
    <w:rsid w:val="1EE75CB3"/>
    <w:rsid w:val="1EEA12C4"/>
    <w:rsid w:val="1F07796A"/>
    <w:rsid w:val="1F421A23"/>
    <w:rsid w:val="1F525822"/>
    <w:rsid w:val="1F54662A"/>
    <w:rsid w:val="1F675DEB"/>
    <w:rsid w:val="1F7A75EA"/>
    <w:rsid w:val="1FA56B94"/>
    <w:rsid w:val="1FF57F5C"/>
    <w:rsid w:val="200D07E9"/>
    <w:rsid w:val="201B00B0"/>
    <w:rsid w:val="20401B1F"/>
    <w:rsid w:val="20571A9E"/>
    <w:rsid w:val="205A2AE6"/>
    <w:rsid w:val="20825C93"/>
    <w:rsid w:val="2098273B"/>
    <w:rsid w:val="20AA0BD6"/>
    <w:rsid w:val="20BF70D3"/>
    <w:rsid w:val="20D44126"/>
    <w:rsid w:val="210970DF"/>
    <w:rsid w:val="212207B1"/>
    <w:rsid w:val="21343C17"/>
    <w:rsid w:val="214159E8"/>
    <w:rsid w:val="215C64E4"/>
    <w:rsid w:val="217D645B"/>
    <w:rsid w:val="21920158"/>
    <w:rsid w:val="21A734D8"/>
    <w:rsid w:val="21AE40F9"/>
    <w:rsid w:val="21E30AD6"/>
    <w:rsid w:val="2226668C"/>
    <w:rsid w:val="22B04D29"/>
    <w:rsid w:val="22C55CCE"/>
    <w:rsid w:val="22EE12A9"/>
    <w:rsid w:val="22F10571"/>
    <w:rsid w:val="23046E34"/>
    <w:rsid w:val="2306028A"/>
    <w:rsid w:val="233A315C"/>
    <w:rsid w:val="234F5BD5"/>
    <w:rsid w:val="2358717F"/>
    <w:rsid w:val="236D2D45"/>
    <w:rsid w:val="239E30F5"/>
    <w:rsid w:val="23C034B8"/>
    <w:rsid w:val="23CA4AEC"/>
    <w:rsid w:val="23CD1943"/>
    <w:rsid w:val="23DC2E61"/>
    <w:rsid w:val="23F30E20"/>
    <w:rsid w:val="24036136"/>
    <w:rsid w:val="240C6A31"/>
    <w:rsid w:val="2435301D"/>
    <w:rsid w:val="244828D1"/>
    <w:rsid w:val="245022C2"/>
    <w:rsid w:val="245E4322"/>
    <w:rsid w:val="24AC7471"/>
    <w:rsid w:val="24BC7A49"/>
    <w:rsid w:val="24D92454"/>
    <w:rsid w:val="24EB799F"/>
    <w:rsid w:val="252A07EB"/>
    <w:rsid w:val="25302686"/>
    <w:rsid w:val="2535371B"/>
    <w:rsid w:val="2541096E"/>
    <w:rsid w:val="25450FC9"/>
    <w:rsid w:val="254A6A83"/>
    <w:rsid w:val="2553100E"/>
    <w:rsid w:val="25CB11E0"/>
    <w:rsid w:val="25D54FCA"/>
    <w:rsid w:val="25D6438C"/>
    <w:rsid w:val="25E46AA9"/>
    <w:rsid w:val="262E464A"/>
    <w:rsid w:val="26301CEE"/>
    <w:rsid w:val="26526108"/>
    <w:rsid w:val="267454C1"/>
    <w:rsid w:val="26BC535F"/>
    <w:rsid w:val="26C97A99"/>
    <w:rsid w:val="26D94183"/>
    <w:rsid w:val="26EF0A4D"/>
    <w:rsid w:val="26FD297B"/>
    <w:rsid w:val="271250C5"/>
    <w:rsid w:val="272F17CB"/>
    <w:rsid w:val="27315DD3"/>
    <w:rsid w:val="27940A30"/>
    <w:rsid w:val="279D33B3"/>
    <w:rsid w:val="27A14A22"/>
    <w:rsid w:val="27A977C5"/>
    <w:rsid w:val="27AB1508"/>
    <w:rsid w:val="27C46D46"/>
    <w:rsid w:val="27C546B8"/>
    <w:rsid w:val="27D05536"/>
    <w:rsid w:val="27DB70FD"/>
    <w:rsid w:val="28131A9F"/>
    <w:rsid w:val="28390822"/>
    <w:rsid w:val="284212E0"/>
    <w:rsid w:val="28536568"/>
    <w:rsid w:val="286237F6"/>
    <w:rsid w:val="28795BCE"/>
    <w:rsid w:val="289664D5"/>
    <w:rsid w:val="28B135BA"/>
    <w:rsid w:val="28B409B4"/>
    <w:rsid w:val="28D24539"/>
    <w:rsid w:val="28D728F5"/>
    <w:rsid w:val="28DA5725"/>
    <w:rsid w:val="2947366F"/>
    <w:rsid w:val="29657743"/>
    <w:rsid w:val="29A9603F"/>
    <w:rsid w:val="29B6081C"/>
    <w:rsid w:val="29E001BB"/>
    <w:rsid w:val="2A092A3C"/>
    <w:rsid w:val="2A2C58AE"/>
    <w:rsid w:val="2A577D69"/>
    <w:rsid w:val="2A9F5945"/>
    <w:rsid w:val="2AA00F59"/>
    <w:rsid w:val="2AAD35BF"/>
    <w:rsid w:val="2AD920D9"/>
    <w:rsid w:val="2AEB73E7"/>
    <w:rsid w:val="2AF619F1"/>
    <w:rsid w:val="2B316E5E"/>
    <w:rsid w:val="2B4D3F86"/>
    <w:rsid w:val="2B6A7885"/>
    <w:rsid w:val="2BC57D4F"/>
    <w:rsid w:val="2BE41B4A"/>
    <w:rsid w:val="2BF00B4C"/>
    <w:rsid w:val="2C0F33DE"/>
    <w:rsid w:val="2C107959"/>
    <w:rsid w:val="2C1125C1"/>
    <w:rsid w:val="2C137599"/>
    <w:rsid w:val="2C265BD4"/>
    <w:rsid w:val="2C5F332D"/>
    <w:rsid w:val="2C9A52DB"/>
    <w:rsid w:val="2C9C4C7A"/>
    <w:rsid w:val="2CA220FE"/>
    <w:rsid w:val="2CD234CF"/>
    <w:rsid w:val="2CF00429"/>
    <w:rsid w:val="2D1C25B9"/>
    <w:rsid w:val="2D224814"/>
    <w:rsid w:val="2D230973"/>
    <w:rsid w:val="2D290A26"/>
    <w:rsid w:val="2D2D2ACF"/>
    <w:rsid w:val="2D3B1ABA"/>
    <w:rsid w:val="2D3D2E98"/>
    <w:rsid w:val="2D571433"/>
    <w:rsid w:val="2D635E3E"/>
    <w:rsid w:val="2D7D3127"/>
    <w:rsid w:val="2D9139BA"/>
    <w:rsid w:val="2D937732"/>
    <w:rsid w:val="2D961DC4"/>
    <w:rsid w:val="2D995012"/>
    <w:rsid w:val="2DAC4350"/>
    <w:rsid w:val="2DD15CD3"/>
    <w:rsid w:val="2DD77B0B"/>
    <w:rsid w:val="2DFC2FBC"/>
    <w:rsid w:val="2E0A72C8"/>
    <w:rsid w:val="2E167AB8"/>
    <w:rsid w:val="2E416E2A"/>
    <w:rsid w:val="2E6D24D3"/>
    <w:rsid w:val="2E7B70DC"/>
    <w:rsid w:val="2E80764D"/>
    <w:rsid w:val="2E84707B"/>
    <w:rsid w:val="2EDD5573"/>
    <w:rsid w:val="2F032745"/>
    <w:rsid w:val="2F3F11F4"/>
    <w:rsid w:val="2F49335F"/>
    <w:rsid w:val="2F6D3490"/>
    <w:rsid w:val="2F8C200A"/>
    <w:rsid w:val="2F9024D5"/>
    <w:rsid w:val="2F996B56"/>
    <w:rsid w:val="2FA72901"/>
    <w:rsid w:val="2FAE1404"/>
    <w:rsid w:val="2FAE2AF9"/>
    <w:rsid w:val="2FCA7E7D"/>
    <w:rsid w:val="2FF84ACE"/>
    <w:rsid w:val="2FF94CAC"/>
    <w:rsid w:val="30137EAD"/>
    <w:rsid w:val="301B6F89"/>
    <w:rsid w:val="30234019"/>
    <w:rsid w:val="303346F3"/>
    <w:rsid w:val="30422D49"/>
    <w:rsid w:val="30696528"/>
    <w:rsid w:val="30945E61"/>
    <w:rsid w:val="309D1F6A"/>
    <w:rsid w:val="30C0478E"/>
    <w:rsid w:val="30C45EC8"/>
    <w:rsid w:val="30C9249B"/>
    <w:rsid w:val="30D00355"/>
    <w:rsid w:val="30D914BC"/>
    <w:rsid w:val="30E772EF"/>
    <w:rsid w:val="30F4754C"/>
    <w:rsid w:val="310B5831"/>
    <w:rsid w:val="312F5073"/>
    <w:rsid w:val="3172701E"/>
    <w:rsid w:val="317C672F"/>
    <w:rsid w:val="318F1CB4"/>
    <w:rsid w:val="31A67308"/>
    <w:rsid w:val="31BB1DAB"/>
    <w:rsid w:val="31CD7699"/>
    <w:rsid w:val="31DE2CF2"/>
    <w:rsid w:val="31F356C6"/>
    <w:rsid w:val="31F76D40"/>
    <w:rsid w:val="320F2A7B"/>
    <w:rsid w:val="32155122"/>
    <w:rsid w:val="324C3F04"/>
    <w:rsid w:val="32663757"/>
    <w:rsid w:val="328021DE"/>
    <w:rsid w:val="328107C5"/>
    <w:rsid w:val="328323C6"/>
    <w:rsid w:val="3286219E"/>
    <w:rsid w:val="328F6795"/>
    <w:rsid w:val="329E098B"/>
    <w:rsid w:val="32BC205E"/>
    <w:rsid w:val="330C208C"/>
    <w:rsid w:val="33605DDA"/>
    <w:rsid w:val="337A0A4C"/>
    <w:rsid w:val="337D24B6"/>
    <w:rsid w:val="33863EA5"/>
    <w:rsid w:val="33884A8E"/>
    <w:rsid w:val="33AC21EB"/>
    <w:rsid w:val="33AF4AFC"/>
    <w:rsid w:val="33B049E3"/>
    <w:rsid w:val="33C226CB"/>
    <w:rsid w:val="33E42A56"/>
    <w:rsid w:val="33F6582B"/>
    <w:rsid w:val="341A77C9"/>
    <w:rsid w:val="343D65FA"/>
    <w:rsid w:val="345362A0"/>
    <w:rsid w:val="345C0152"/>
    <w:rsid w:val="348C32D1"/>
    <w:rsid w:val="34A16E8F"/>
    <w:rsid w:val="34C92ADD"/>
    <w:rsid w:val="34CD04D9"/>
    <w:rsid w:val="34DA1B5C"/>
    <w:rsid w:val="35104918"/>
    <w:rsid w:val="351C0EE5"/>
    <w:rsid w:val="3545073D"/>
    <w:rsid w:val="356E5B3C"/>
    <w:rsid w:val="359D0A22"/>
    <w:rsid w:val="35F917E7"/>
    <w:rsid w:val="360B4F40"/>
    <w:rsid w:val="3610620E"/>
    <w:rsid w:val="363B3D8B"/>
    <w:rsid w:val="368F749F"/>
    <w:rsid w:val="36AF433D"/>
    <w:rsid w:val="36B43330"/>
    <w:rsid w:val="36B83537"/>
    <w:rsid w:val="36CB1BFE"/>
    <w:rsid w:val="36F723C4"/>
    <w:rsid w:val="36FC6348"/>
    <w:rsid w:val="370074BA"/>
    <w:rsid w:val="371A6C37"/>
    <w:rsid w:val="376B4C00"/>
    <w:rsid w:val="376D3D8A"/>
    <w:rsid w:val="37742ACB"/>
    <w:rsid w:val="377F85F7"/>
    <w:rsid w:val="378C1D64"/>
    <w:rsid w:val="3796167F"/>
    <w:rsid w:val="37A23169"/>
    <w:rsid w:val="37A313FC"/>
    <w:rsid w:val="37A773C5"/>
    <w:rsid w:val="37C67E4C"/>
    <w:rsid w:val="37D10366"/>
    <w:rsid w:val="37DF2259"/>
    <w:rsid w:val="383D7513"/>
    <w:rsid w:val="384001AE"/>
    <w:rsid w:val="38482EC7"/>
    <w:rsid w:val="384B4DED"/>
    <w:rsid w:val="38610C01"/>
    <w:rsid w:val="38634262"/>
    <w:rsid w:val="386C7793"/>
    <w:rsid w:val="387C7014"/>
    <w:rsid w:val="38E01351"/>
    <w:rsid w:val="391D07F7"/>
    <w:rsid w:val="391E4825"/>
    <w:rsid w:val="39361621"/>
    <w:rsid w:val="3938417A"/>
    <w:rsid w:val="39411685"/>
    <w:rsid w:val="39472380"/>
    <w:rsid w:val="3985593A"/>
    <w:rsid w:val="39A03481"/>
    <w:rsid w:val="39A056AF"/>
    <w:rsid w:val="39A607ED"/>
    <w:rsid w:val="39D6196D"/>
    <w:rsid w:val="39EF0B23"/>
    <w:rsid w:val="3A0A5A94"/>
    <w:rsid w:val="3A0E6C6E"/>
    <w:rsid w:val="3A2122C5"/>
    <w:rsid w:val="3A2908E1"/>
    <w:rsid w:val="3A2E75F3"/>
    <w:rsid w:val="3A3A3961"/>
    <w:rsid w:val="3A3DCE49"/>
    <w:rsid w:val="3A534FED"/>
    <w:rsid w:val="3A5E059F"/>
    <w:rsid w:val="3A842849"/>
    <w:rsid w:val="3AC56A51"/>
    <w:rsid w:val="3ACA050B"/>
    <w:rsid w:val="3AF51D2E"/>
    <w:rsid w:val="3B023329"/>
    <w:rsid w:val="3B0502BE"/>
    <w:rsid w:val="3B181B89"/>
    <w:rsid w:val="3B1E672F"/>
    <w:rsid w:val="3B3D10BF"/>
    <w:rsid w:val="3B5D4EDB"/>
    <w:rsid w:val="3B7C7A57"/>
    <w:rsid w:val="3B7E1C20"/>
    <w:rsid w:val="3B7F431D"/>
    <w:rsid w:val="3B7F5CF5"/>
    <w:rsid w:val="3B8B3A23"/>
    <w:rsid w:val="3B990D34"/>
    <w:rsid w:val="3B9D5C20"/>
    <w:rsid w:val="3BE05853"/>
    <w:rsid w:val="3C213FF7"/>
    <w:rsid w:val="3C28373B"/>
    <w:rsid w:val="3C30419D"/>
    <w:rsid w:val="3C3834BC"/>
    <w:rsid w:val="3C616837"/>
    <w:rsid w:val="3C8C1F1C"/>
    <w:rsid w:val="3CE24B4C"/>
    <w:rsid w:val="3D344362"/>
    <w:rsid w:val="3D73A09B"/>
    <w:rsid w:val="3D8F4E1F"/>
    <w:rsid w:val="3DDE3401"/>
    <w:rsid w:val="3DE61358"/>
    <w:rsid w:val="3E025257"/>
    <w:rsid w:val="3E361522"/>
    <w:rsid w:val="3E3F2FCA"/>
    <w:rsid w:val="3E522CF1"/>
    <w:rsid w:val="3E7569E0"/>
    <w:rsid w:val="3E8A2508"/>
    <w:rsid w:val="3E8B1C22"/>
    <w:rsid w:val="3E8B2BA8"/>
    <w:rsid w:val="3E916CCD"/>
    <w:rsid w:val="3E973F44"/>
    <w:rsid w:val="3EAC3B39"/>
    <w:rsid w:val="3EE86984"/>
    <w:rsid w:val="3EEB0A50"/>
    <w:rsid w:val="3EF54430"/>
    <w:rsid w:val="3F11417D"/>
    <w:rsid w:val="3F19380F"/>
    <w:rsid w:val="3F1B309B"/>
    <w:rsid w:val="3F3361BD"/>
    <w:rsid w:val="3F3436FB"/>
    <w:rsid w:val="3F512FA9"/>
    <w:rsid w:val="3F6648D9"/>
    <w:rsid w:val="3F731171"/>
    <w:rsid w:val="3F755890"/>
    <w:rsid w:val="3F9C4EB3"/>
    <w:rsid w:val="3FD6525C"/>
    <w:rsid w:val="3FE33CB2"/>
    <w:rsid w:val="3FEF8F70"/>
    <w:rsid w:val="3FFB78CF"/>
    <w:rsid w:val="400242A3"/>
    <w:rsid w:val="402A221D"/>
    <w:rsid w:val="402C1320"/>
    <w:rsid w:val="40362FE4"/>
    <w:rsid w:val="403D52DB"/>
    <w:rsid w:val="4044666A"/>
    <w:rsid w:val="4065721A"/>
    <w:rsid w:val="406867FC"/>
    <w:rsid w:val="40733E91"/>
    <w:rsid w:val="40766E08"/>
    <w:rsid w:val="408E5B37"/>
    <w:rsid w:val="40964C20"/>
    <w:rsid w:val="40B83554"/>
    <w:rsid w:val="40DF029B"/>
    <w:rsid w:val="40E3580A"/>
    <w:rsid w:val="40E373B2"/>
    <w:rsid w:val="40E65973"/>
    <w:rsid w:val="40F45458"/>
    <w:rsid w:val="40FD63BF"/>
    <w:rsid w:val="411419D0"/>
    <w:rsid w:val="41384C8F"/>
    <w:rsid w:val="415B010F"/>
    <w:rsid w:val="416D20C1"/>
    <w:rsid w:val="41744039"/>
    <w:rsid w:val="41B27C52"/>
    <w:rsid w:val="4220325F"/>
    <w:rsid w:val="422122E3"/>
    <w:rsid w:val="422E7232"/>
    <w:rsid w:val="423A62C2"/>
    <w:rsid w:val="427C6750"/>
    <w:rsid w:val="427D3EE8"/>
    <w:rsid w:val="42845443"/>
    <w:rsid w:val="428A71F0"/>
    <w:rsid w:val="4294306C"/>
    <w:rsid w:val="42AD5460"/>
    <w:rsid w:val="42BA6C0A"/>
    <w:rsid w:val="42C910A8"/>
    <w:rsid w:val="42E64558"/>
    <w:rsid w:val="42F564A0"/>
    <w:rsid w:val="430E5500"/>
    <w:rsid w:val="43153834"/>
    <w:rsid w:val="43226E7B"/>
    <w:rsid w:val="43284021"/>
    <w:rsid w:val="434370AD"/>
    <w:rsid w:val="434F77FF"/>
    <w:rsid w:val="43570DAA"/>
    <w:rsid w:val="436C03B1"/>
    <w:rsid w:val="437C064B"/>
    <w:rsid w:val="43880F63"/>
    <w:rsid w:val="43950263"/>
    <w:rsid w:val="43964FA2"/>
    <w:rsid w:val="43B41D58"/>
    <w:rsid w:val="43C053B1"/>
    <w:rsid w:val="43CA157C"/>
    <w:rsid w:val="43DD12AF"/>
    <w:rsid w:val="43ED19E8"/>
    <w:rsid w:val="44134942"/>
    <w:rsid w:val="443C5B8E"/>
    <w:rsid w:val="445E5941"/>
    <w:rsid w:val="448771F8"/>
    <w:rsid w:val="44BC72E2"/>
    <w:rsid w:val="44E956C1"/>
    <w:rsid w:val="44E95A32"/>
    <w:rsid w:val="44EE7AE3"/>
    <w:rsid w:val="45035553"/>
    <w:rsid w:val="451516AF"/>
    <w:rsid w:val="451929A3"/>
    <w:rsid w:val="45237196"/>
    <w:rsid w:val="454C34AC"/>
    <w:rsid w:val="45833790"/>
    <w:rsid w:val="45894D4F"/>
    <w:rsid w:val="45902473"/>
    <w:rsid w:val="45AD1687"/>
    <w:rsid w:val="45AF66F3"/>
    <w:rsid w:val="45F020BA"/>
    <w:rsid w:val="45F67B77"/>
    <w:rsid w:val="460B5680"/>
    <w:rsid w:val="461940F5"/>
    <w:rsid w:val="461F261F"/>
    <w:rsid w:val="462342BB"/>
    <w:rsid w:val="462F3918"/>
    <w:rsid w:val="463D180C"/>
    <w:rsid w:val="465157C7"/>
    <w:rsid w:val="46745679"/>
    <w:rsid w:val="46753A21"/>
    <w:rsid w:val="467606D5"/>
    <w:rsid w:val="46805F22"/>
    <w:rsid w:val="46A43BC1"/>
    <w:rsid w:val="46B300A5"/>
    <w:rsid w:val="46BF2EEE"/>
    <w:rsid w:val="46D22C21"/>
    <w:rsid w:val="46F7136A"/>
    <w:rsid w:val="46FC2FED"/>
    <w:rsid w:val="4703102D"/>
    <w:rsid w:val="47250B0D"/>
    <w:rsid w:val="474D7F2E"/>
    <w:rsid w:val="47665118"/>
    <w:rsid w:val="476A6995"/>
    <w:rsid w:val="479D0FD1"/>
    <w:rsid w:val="47B41034"/>
    <w:rsid w:val="47BE7ECB"/>
    <w:rsid w:val="47DD590B"/>
    <w:rsid w:val="47E063AC"/>
    <w:rsid w:val="47EE579B"/>
    <w:rsid w:val="481351B0"/>
    <w:rsid w:val="48540955"/>
    <w:rsid w:val="48622A3D"/>
    <w:rsid w:val="4867497F"/>
    <w:rsid w:val="48780BE2"/>
    <w:rsid w:val="487E577F"/>
    <w:rsid w:val="48857B56"/>
    <w:rsid w:val="48893866"/>
    <w:rsid w:val="4889437B"/>
    <w:rsid w:val="48A40D33"/>
    <w:rsid w:val="48A44C18"/>
    <w:rsid w:val="48BB6798"/>
    <w:rsid w:val="48C12F4D"/>
    <w:rsid w:val="48CC36A0"/>
    <w:rsid w:val="49055967"/>
    <w:rsid w:val="49071B2A"/>
    <w:rsid w:val="490B2684"/>
    <w:rsid w:val="491054AA"/>
    <w:rsid w:val="491A508E"/>
    <w:rsid w:val="491D3EFC"/>
    <w:rsid w:val="494E592A"/>
    <w:rsid w:val="49A97E09"/>
    <w:rsid w:val="49E7590E"/>
    <w:rsid w:val="49EE1919"/>
    <w:rsid w:val="49F92273"/>
    <w:rsid w:val="4A037229"/>
    <w:rsid w:val="4A0E394E"/>
    <w:rsid w:val="4A14355C"/>
    <w:rsid w:val="4A3D1F42"/>
    <w:rsid w:val="4A4143DB"/>
    <w:rsid w:val="4A523EC6"/>
    <w:rsid w:val="4A7364C9"/>
    <w:rsid w:val="4A8600EE"/>
    <w:rsid w:val="4A962857"/>
    <w:rsid w:val="4AAA0E60"/>
    <w:rsid w:val="4AC07235"/>
    <w:rsid w:val="4AEA6C89"/>
    <w:rsid w:val="4AEC533E"/>
    <w:rsid w:val="4B3D39E3"/>
    <w:rsid w:val="4B402DCD"/>
    <w:rsid w:val="4B5E0F27"/>
    <w:rsid w:val="4B9832C2"/>
    <w:rsid w:val="4BB83532"/>
    <w:rsid w:val="4BBB7F87"/>
    <w:rsid w:val="4BE54CF1"/>
    <w:rsid w:val="4BF432B8"/>
    <w:rsid w:val="4C0203D7"/>
    <w:rsid w:val="4C1C0305"/>
    <w:rsid w:val="4C2265CD"/>
    <w:rsid w:val="4C3A5D98"/>
    <w:rsid w:val="4C3D2C67"/>
    <w:rsid w:val="4C4D2D4A"/>
    <w:rsid w:val="4C5639AD"/>
    <w:rsid w:val="4C7D362F"/>
    <w:rsid w:val="4C8011B4"/>
    <w:rsid w:val="4CA31E28"/>
    <w:rsid w:val="4CAF7561"/>
    <w:rsid w:val="4CB24CBD"/>
    <w:rsid w:val="4CB7107B"/>
    <w:rsid w:val="4CBB7E1C"/>
    <w:rsid w:val="4D19252D"/>
    <w:rsid w:val="4D1E48AF"/>
    <w:rsid w:val="4D761E2D"/>
    <w:rsid w:val="4D762CFD"/>
    <w:rsid w:val="4E130248"/>
    <w:rsid w:val="4E1A4EAE"/>
    <w:rsid w:val="4E235B10"/>
    <w:rsid w:val="4E302DA4"/>
    <w:rsid w:val="4E9D63E1"/>
    <w:rsid w:val="4EBB0345"/>
    <w:rsid w:val="4ECC7EDB"/>
    <w:rsid w:val="4EF8745C"/>
    <w:rsid w:val="4EFA3E33"/>
    <w:rsid w:val="4F304989"/>
    <w:rsid w:val="4F741450"/>
    <w:rsid w:val="4F8E54C1"/>
    <w:rsid w:val="4F8E5B53"/>
    <w:rsid w:val="4F9D683E"/>
    <w:rsid w:val="4FA47EEA"/>
    <w:rsid w:val="4FAD6032"/>
    <w:rsid w:val="4FFC486B"/>
    <w:rsid w:val="50184E3E"/>
    <w:rsid w:val="50456365"/>
    <w:rsid w:val="5052030E"/>
    <w:rsid w:val="505521CD"/>
    <w:rsid w:val="506A24CB"/>
    <w:rsid w:val="50D9170F"/>
    <w:rsid w:val="51010497"/>
    <w:rsid w:val="510C6D30"/>
    <w:rsid w:val="511E6A63"/>
    <w:rsid w:val="51251E41"/>
    <w:rsid w:val="514900B1"/>
    <w:rsid w:val="515208AC"/>
    <w:rsid w:val="51563B0F"/>
    <w:rsid w:val="518C7706"/>
    <w:rsid w:val="518F6B2F"/>
    <w:rsid w:val="51A63CB5"/>
    <w:rsid w:val="51C16649"/>
    <w:rsid w:val="51C56629"/>
    <w:rsid w:val="51EC3A61"/>
    <w:rsid w:val="523F1387"/>
    <w:rsid w:val="52484CBE"/>
    <w:rsid w:val="52575082"/>
    <w:rsid w:val="529A2CB9"/>
    <w:rsid w:val="52AC13C7"/>
    <w:rsid w:val="52B7373D"/>
    <w:rsid w:val="52D244AD"/>
    <w:rsid w:val="52D844E6"/>
    <w:rsid w:val="52DB26BC"/>
    <w:rsid w:val="52E75D08"/>
    <w:rsid w:val="52FA2008"/>
    <w:rsid w:val="53072C41"/>
    <w:rsid w:val="53472D43"/>
    <w:rsid w:val="534E25FD"/>
    <w:rsid w:val="537E7E86"/>
    <w:rsid w:val="53802D48"/>
    <w:rsid w:val="53803F22"/>
    <w:rsid w:val="53972375"/>
    <w:rsid w:val="54275FF2"/>
    <w:rsid w:val="543640C4"/>
    <w:rsid w:val="543A0058"/>
    <w:rsid w:val="54617393"/>
    <w:rsid w:val="546B1DEB"/>
    <w:rsid w:val="54884F56"/>
    <w:rsid w:val="54B9117B"/>
    <w:rsid w:val="55061CE8"/>
    <w:rsid w:val="551A298B"/>
    <w:rsid w:val="555F21B0"/>
    <w:rsid w:val="5574111B"/>
    <w:rsid w:val="557B10EC"/>
    <w:rsid w:val="55823A64"/>
    <w:rsid w:val="559B4E77"/>
    <w:rsid w:val="559F7783"/>
    <w:rsid w:val="55BF2AC6"/>
    <w:rsid w:val="55C904F4"/>
    <w:rsid w:val="55D31C6A"/>
    <w:rsid w:val="55E036B6"/>
    <w:rsid w:val="55E17DAE"/>
    <w:rsid w:val="56066443"/>
    <w:rsid w:val="5616253F"/>
    <w:rsid w:val="564B3B0F"/>
    <w:rsid w:val="566F44BB"/>
    <w:rsid w:val="56A81994"/>
    <w:rsid w:val="56C360E3"/>
    <w:rsid w:val="56CA56C3"/>
    <w:rsid w:val="56D27821"/>
    <w:rsid w:val="56DF6C36"/>
    <w:rsid w:val="56EE4CE0"/>
    <w:rsid w:val="56FA0813"/>
    <w:rsid w:val="56FB4CB8"/>
    <w:rsid w:val="56FD550F"/>
    <w:rsid w:val="570353E5"/>
    <w:rsid w:val="57460AC2"/>
    <w:rsid w:val="57672288"/>
    <w:rsid w:val="57B16F91"/>
    <w:rsid w:val="57DB22E6"/>
    <w:rsid w:val="57E50A2C"/>
    <w:rsid w:val="57F84BA0"/>
    <w:rsid w:val="58435433"/>
    <w:rsid w:val="58471D07"/>
    <w:rsid w:val="585D1018"/>
    <w:rsid w:val="58746757"/>
    <w:rsid w:val="5875165E"/>
    <w:rsid w:val="5885204F"/>
    <w:rsid w:val="58A36D31"/>
    <w:rsid w:val="58BB08ED"/>
    <w:rsid w:val="58BF437A"/>
    <w:rsid w:val="59043705"/>
    <w:rsid w:val="59070F51"/>
    <w:rsid w:val="591E5B38"/>
    <w:rsid w:val="591F1946"/>
    <w:rsid w:val="593503BB"/>
    <w:rsid w:val="593B1080"/>
    <w:rsid w:val="594124FF"/>
    <w:rsid w:val="594B2301"/>
    <w:rsid w:val="596D0588"/>
    <w:rsid w:val="59961C59"/>
    <w:rsid w:val="5A0E57DC"/>
    <w:rsid w:val="5A146C55"/>
    <w:rsid w:val="5A4712A3"/>
    <w:rsid w:val="5A783781"/>
    <w:rsid w:val="5A7A6B08"/>
    <w:rsid w:val="5A8B6F17"/>
    <w:rsid w:val="5AEA3A86"/>
    <w:rsid w:val="5B0942E0"/>
    <w:rsid w:val="5B1000D8"/>
    <w:rsid w:val="5B123B5B"/>
    <w:rsid w:val="5B1C348B"/>
    <w:rsid w:val="5B2568B5"/>
    <w:rsid w:val="5B57B184"/>
    <w:rsid w:val="5B5F1652"/>
    <w:rsid w:val="5B621759"/>
    <w:rsid w:val="5B6323FC"/>
    <w:rsid w:val="5B973483"/>
    <w:rsid w:val="5BBD57F6"/>
    <w:rsid w:val="5BD333AC"/>
    <w:rsid w:val="5BF30816"/>
    <w:rsid w:val="5BF84A80"/>
    <w:rsid w:val="5C082D93"/>
    <w:rsid w:val="5C3D3EC6"/>
    <w:rsid w:val="5C7A0B5D"/>
    <w:rsid w:val="5C8046D0"/>
    <w:rsid w:val="5CA64744"/>
    <w:rsid w:val="5CB049AB"/>
    <w:rsid w:val="5CC93458"/>
    <w:rsid w:val="5CE31760"/>
    <w:rsid w:val="5D041FB4"/>
    <w:rsid w:val="5D047455"/>
    <w:rsid w:val="5D0536BD"/>
    <w:rsid w:val="5D6B1282"/>
    <w:rsid w:val="5DCC7F73"/>
    <w:rsid w:val="5DE52DE2"/>
    <w:rsid w:val="5DF83818"/>
    <w:rsid w:val="5E1FBD2C"/>
    <w:rsid w:val="5E2B3502"/>
    <w:rsid w:val="5E5A46B1"/>
    <w:rsid w:val="5E5B259F"/>
    <w:rsid w:val="5EAE7D77"/>
    <w:rsid w:val="5ECB5C87"/>
    <w:rsid w:val="5ED54B93"/>
    <w:rsid w:val="5EDC3512"/>
    <w:rsid w:val="5F1131A2"/>
    <w:rsid w:val="5F2D4A41"/>
    <w:rsid w:val="5F3202A9"/>
    <w:rsid w:val="5F3C79EC"/>
    <w:rsid w:val="5F435D62"/>
    <w:rsid w:val="5F6D55CC"/>
    <w:rsid w:val="5F7C7657"/>
    <w:rsid w:val="5F8A1E93"/>
    <w:rsid w:val="5F8C4A5F"/>
    <w:rsid w:val="5F954394"/>
    <w:rsid w:val="5F963E59"/>
    <w:rsid w:val="5F9745B0"/>
    <w:rsid w:val="5FAA7CB5"/>
    <w:rsid w:val="5FB24F46"/>
    <w:rsid w:val="5FC16BA1"/>
    <w:rsid w:val="5FCF0583"/>
    <w:rsid w:val="5FEA7E02"/>
    <w:rsid w:val="5FEF52B2"/>
    <w:rsid w:val="5FF98581"/>
    <w:rsid w:val="5FFEFAAF"/>
    <w:rsid w:val="600A2A58"/>
    <w:rsid w:val="600A6B30"/>
    <w:rsid w:val="6025396A"/>
    <w:rsid w:val="603A0EE5"/>
    <w:rsid w:val="60413A17"/>
    <w:rsid w:val="605A3989"/>
    <w:rsid w:val="60B57EE1"/>
    <w:rsid w:val="60B84EE7"/>
    <w:rsid w:val="60BB7E2A"/>
    <w:rsid w:val="6116361C"/>
    <w:rsid w:val="61556215"/>
    <w:rsid w:val="615A17F1"/>
    <w:rsid w:val="61624857"/>
    <w:rsid w:val="61883264"/>
    <w:rsid w:val="61AB4343"/>
    <w:rsid w:val="61C12720"/>
    <w:rsid w:val="61C75E9E"/>
    <w:rsid w:val="61CA776D"/>
    <w:rsid w:val="6223037D"/>
    <w:rsid w:val="62606AC0"/>
    <w:rsid w:val="62712E97"/>
    <w:rsid w:val="62725EA2"/>
    <w:rsid w:val="62AE50A5"/>
    <w:rsid w:val="62CE02E9"/>
    <w:rsid w:val="62DB02C5"/>
    <w:rsid w:val="62E13C90"/>
    <w:rsid w:val="62E14864"/>
    <w:rsid w:val="62E278F0"/>
    <w:rsid w:val="6305308B"/>
    <w:rsid w:val="63420E44"/>
    <w:rsid w:val="634F4748"/>
    <w:rsid w:val="635D2B8F"/>
    <w:rsid w:val="639E19B2"/>
    <w:rsid w:val="63A92B04"/>
    <w:rsid w:val="63AD058D"/>
    <w:rsid w:val="63E213BE"/>
    <w:rsid w:val="6410048D"/>
    <w:rsid w:val="641A755E"/>
    <w:rsid w:val="64846806"/>
    <w:rsid w:val="64891552"/>
    <w:rsid w:val="64942F87"/>
    <w:rsid w:val="64A50AA5"/>
    <w:rsid w:val="64A97036"/>
    <w:rsid w:val="64C07F0B"/>
    <w:rsid w:val="64C60513"/>
    <w:rsid w:val="64F6698C"/>
    <w:rsid w:val="65146AB2"/>
    <w:rsid w:val="65402FF4"/>
    <w:rsid w:val="654E7056"/>
    <w:rsid w:val="65673DF2"/>
    <w:rsid w:val="657C687A"/>
    <w:rsid w:val="65965811"/>
    <w:rsid w:val="65B5656A"/>
    <w:rsid w:val="65CB3E5D"/>
    <w:rsid w:val="65D73942"/>
    <w:rsid w:val="65DB7995"/>
    <w:rsid w:val="65E96215"/>
    <w:rsid w:val="661D24AB"/>
    <w:rsid w:val="6621763B"/>
    <w:rsid w:val="663A5C95"/>
    <w:rsid w:val="66577AE6"/>
    <w:rsid w:val="666201D0"/>
    <w:rsid w:val="666530F7"/>
    <w:rsid w:val="6686712D"/>
    <w:rsid w:val="66A41664"/>
    <w:rsid w:val="66A67B24"/>
    <w:rsid w:val="66C60B7F"/>
    <w:rsid w:val="66C664AB"/>
    <w:rsid w:val="66DA13AF"/>
    <w:rsid w:val="66DF3E29"/>
    <w:rsid w:val="67020FD3"/>
    <w:rsid w:val="67064B36"/>
    <w:rsid w:val="67302D72"/>
    <w:rsid w:val="673F3E2C"/>
    <w:rsid w:val="674E6179"/>
    <w:rsid w:val="67530EA0"/>
    <w:rsid w:val="677683B7"/>
    <w:rsid w:val="677D0530"/>
    <w:rsid w:val="678021DF"/>
    <w:rsid w:val="6784541A"/>
    <w:rsid w:val="678E4F5D"/>
    <w:rsid w:val="67A02363"/>
    <w:rsid w:val="67A07D7A"/>
    <w:rsid w:val="67A17048"/>
    <w:rsid w:val="67A81B24"/>
    <w:rsid w:val="67B35234"/>
    <w:rsid w:val="67C37D5D"/>
    <w:rsid w:val="67D93482"/>
    <w:rsid w:val="67DE5B76"/>
    <w:rsid w:val="67F43681"/>
    <w:rsid w:val="67FC34BB"/>
    <w:rsid w:val="681442AE"/>
    <w:rsid w:val="681F736B"/>
    <w:rsid w:val="68334494"/>
    <w:rsid w:val="68335FDC"/>
    <w:rsid w:val="68406237"/>
    <w:rsid w:val="68572B2F"/>
    <w:rsid w:val="686434FE"/>
    <w:rsid w:val="68795E76"/>
    <w:rsid w:val="689B0F57"/>
    <w:rsid w:val="689B63E2"/>
    <w:rsid w:val="68BF68A9"/>
    <w:rsid w:val="68D32C1E"/>
    <w:rsid w:val="68E96ECE"/>
    <w:rsid w:val="68F75543"/>
    <w:rsid w:val="691E3ADB"/>
    <w:rsid w:val="692D31F0"/>
    <w:rsid w:val="6939794C"/>
    <w:rsid w:val="696D6A24"/>
    <w:rsid w:val="698A2A90"/>
    <w:rsid w:val="6997573B"/>
    <w:rsid w:val="69C02956"/>
    <w:rsid w:val="69D20584"/>
    <w:rsid w:val="6A131E06"/>
    <w:rsid w:val="6A2D5507"/>
    <w:rsid w:val="6A303637"/>
    <w:rsid w:val="6A3A4C5F"/>
    <w:rsid w:val="6A3E3C80"/>
    <w:rsid w:val="6A471166"/>
    <w:rsid w:val="6A4E61B3"/>
    <w:rsid w:val="6A62644C"/>
    <w:rsid w:val="6A652063"/>
    <w:rsid w:val="6A67063F"/>
    <w:rsid w:val="6A76CF52"/>
    <w:rsid w:val="6A9A3630"/>
    <w:rsid w:val="6AD97C6D"/>
    <w:rsid w:val="6AE21ACF"/>
    <w:rsid w:val="6AEC1C54"/>
    <w:rsid w:val="6B064B96"/>
    <w:rsid w:val="6B100FDF"/>
    <w:rsid w:val="6B120F8F"/>
    <w:rsid w:val="6B22293E"/>
    <w:rsid w:val="6B2F7D93"/>
    <w:rsid w:val="6B431148"/>
    <w:rsid w:val="6B454371"/>
    <w:rsid w:val="6B670611"/>
    <w:rsid w:val="6B6712DB"/>
    <w:rsid w:val="6B715CB5"/>
    <w:rsid w:val="6B7357E7"/>
    <w:rsid w:val="6B8E7B60"/>
    <w:rsid w:val="6B900247"/>
    <w:rsid w:val="6BB32611"/>
    <w:rsid w:val="6BD6020E"/>
    <w:rsid w:val="6BD927AE"/>
    <w:rsid w:val="6BE63ECC"/>
    <w:rsid w:val="6BE96194"/>
    <w:rsid w:val="6C0C17E7"/>
    <w:rsid w:val="6C1D1A10"/>
    <w:rsid w:val="6C3118E9"/>
    <w:rsid w:val="6C474C68"/>
    <w:rsid w:val="6C4C227F"/>
    <w:rsid w:val="6C523D39"/>
    <w:rsid w:val="6C6B28EF"/>
    <w:rsid w:val="6C953C26"/>
    <w:rsid w:val="6C9674AB"/>
    <w:rsid w:val="6CA11A0F"/>
    <w:rsid w:val="6CB627B8"/>
    <w:rsid w:val="6CBA06A2"/>
    <w:rsid w:val="6CD550F7"/>
    <w:rsid w:val="6CDF1345"/>
    <w:rsid w:val="6CDF3200"/>
    <w:rsid w:val="6CE8644B"/>
    <w:rsid w:val="6CEB1A97"/>
    <w:rsid w:val="6CFA617E"/>
    <w:rsid w:val="6D0A1257"/>
    <w:rsid w:val="6D1159A2"/>
    <w:rsid w:val="6D1B2A1B"/>
    <w:rsid w:val="6D3F74CE"/>
    <w:rsid w:val="6D455012"/>
    <w:rsid w:val="6D4B0377"/>
    <w:rsid w:val="6D4F64CA"/>
    <w:rsid w:val="6D605399"/>
    <w:rsid w:val="6D755510"/>
    <w:rsid w:val="6DB84C76"/>
    <w:rsid w:val="6DB93944"/>
    <w:rsid w:val="6DCF434C"/>
    <w:rsid w:val="6DE85FD7"/>
    <w:rsid w:val="6DEA03C6"/>
    <w:rsid w:val="6E0E5A3E"/>
    <w:rsid w:val="6E2711F5"/>
    <w:rsid w:val="6E4E5C51"/>
    <w:rsid w:val="6E94FD4E"/>
    <w:rsid w:val="6EA3225C"/>
    <w:rsid w:val="6EA463A2"/>
    <w:rsid w:val="6EB75D36"/>
    <w:rsid w:val="6ED1430D"/>
    <w:rsid w:val="6EF66205"/>
    <w:rsid w:val="6EF71015"/>
    <w:rsid w:val="6F021CD7"/>
    <w:rsid w:val="6F343BCA"/>
    <w:rsid w:val="6F575F18"/>
    <w:rsid w:val="6F5B358B"/>
    <w:rsid w:val="6F772898"/>
    <w:rsid w:val="6F96850C"/>
    <w:rsid w:val="6FA97CBF"/>
    <w:rsid w:val="6FBC1F17"/>
    <w:rsid w:val="6FF1744A"/>
    <w:rsid w:val="6FFC8EAB"/>
    <w:rsid w:val="6FFFE70C"/>
    <w:rsid w:val="700C1556"/>
    <w:rsid w:val="700F4FBB"/>
    <w:rsid w:val="70620BD3"/>
    <w:rsid w:val="707556A3"/>
    <w:rsid w:val="70891654"/>
    <w:rsid w:val="70904F00"/>
    <w:rsid w:val="709D1958"/>
    <w:rsid w:val="70B04F4F"/>
    <w:rsid w:val="70B7060E"/>
    <w:rsid w:val="70C8281B"/>
    <w:rsid w:val="70C86012"/>
    <w:rsid w:val="70E279D6"/>
    <w:rsid w:val="710111C0"/>
    <w:rsid w:val="710D4940"/>
    <w:rsid w:val="71186BD3"/>
    <w:rsid w:val="711B149B"/>
    <w:rsid w:val="715700E9"/>
    <w:rsid w:val="71615A69"/>
    <w:rsid w:val="71AA030C"/>
    <w:rsid w:val="71D42B9B"/>
    <w:rsid w:val="71D451F0"/>
    <w:rsid w:val="71DB02E2"/>
    <w:rsid w:val="71DE386E"/>
    <w:rsid w:val="72054B6E"/>
    <w:rsid w:val="721647D0"/>
    <w:rsid w:val="722263E9"/>
    <w:rsid w:val="7231619E"/>
    <w:rsid w:val="724B6D21"/>
    <w:rsid w:val="726F3674"/>
    <w:rsid w:val="72796507"/>
    <w:rsid w:val="728E701B"/>
    <w:rsid w:val="72925A66"/>
    <w:rsid w:val="729279B1"/>
    <w:rsid w:val="72B05B8A"/>
    <w:rsid w:val="72BF552A"/>
    <w:rsid w:val="72D37256"/>
    <w:rsid w:val="72E96A79"/>
    <w:rsid w:val="72EC0317"/>
    <w:rsid w:val="731B5CAB"/>
    <w:rsid w:val="731F2A10"/>
    <w:rsid w:val="732771E1"/>
    <w:rsid w:val="73290765"/>
    <w:rsid w:val="73794114"/>
    <w:rsid w:val="73883560"/>
    <w:rsid w:val="738A2DE8"/>
    <w:rsid w:val="73993FFB"/>
    <w:rsid w:val="73A72705"/>
    <w:rsid w:val="73BF13E8"/>
    <w:rsid w:val="73CA5245"/>
    <w:rsid w:val="73CF54FE"/>
    <w:rsid w:val="73D75975"/>
    <w:rsid w:val="740022F2"/>
    <w:rsid w:val="74012145"/>
    <w:rsid w:val="7416564C"/>
    <w:rsid w:val="74285D81"/>
    <w:rsid w:val="74416441"/>
    <w:rsid w:val="747D61D5"/>
    <w:rsid w:val="74C236B0"/>
    <w:rsid w:val="74C81746"/>
    <w:rsid w:val="74DC173A"/>
    <w:rsid w:val="74E91185"/>
    <w:rsid w:val="751A5610"/>
    <w:rsid w:val="751C3CCD"/>
    <w:rsid w:val="75273484"/>
    <w:rsid w:val="752B5AB4"/>
    <w:rsid w:val="752EE423"/>
    <w:rsid w:val="75447961"/>
    <w:rsid w:val="757F36C5"/>
    <w:rsid w:val="759E27DA"/>
    <w:rsid w:val="75B13CF6"/>
    <w:rsid w:val="75BE186C"/>
    <w:rsid w:val="75DAA420"/>
    <w:rsid w:val="75F50690"/>
    <w:rsid w:val="75F95225"/>
    <w:rsid w:val="76061119"/>
    <w:rsid w:val="760D0A6E"/>
    <w:rsid w:val="76387F19"/>
    <w:rsid w:val="764566BC"/>
    <w:rsid w:val="765244C3"/>
    <w:rsid w:val="769B452E"/>
    <w:rsid w:val="76AA3287"/>
    <w:rsid w:val="76D33CC8"/>
    <w:rsid w:val="76E01F41"/>
    <w:rsid w:val="76EA1012"/>
    <w:rsid w:val="76F23C43"/>
    <w:rsid w:val="77091498"/>
    <w:rsid w:val="773539F4"/>
    <w:rsid w:val="77395ACF"/>
    <w:rsid w:val="773B0084"/>
    <w:rsid w:val="77440722"/>
    <w:rsid w:val="776A0596"/>
    <w:rsid w:val="777E0893"/>
    <w:rsid w:val="77CD691B"/>
    <w:rsid w:val="77D74F58"/>
    <w:rsid w:val="77D97B87"/>
    <w:rsid w:val="77E054E8"/>
    <w:rsid w:val="77ECA3E2"/>
    <w:rsid w:val="77F22A44"/>
    <w:rsid w:val="77FE2FC7"/>
    <w:rsid w:val="780530EF"/>
    <w:rsid w:val="780E7319"/>
    <w:rsid w:val="7816554F"/>
    <w:rsid w:val="78316DBD"/>
    <w:rsid w:val="784F738D"/>
    <w:rsid w:val="788334CC"/>
    <w:rsid w:val="789B25C4"/>
    <w:rsid w:val="78C161E2"/>
    <w:rsid w:val="78C625DB"/>
    <w:rsid w:val="78D34AB8"/>
    <w:rsid w:val="78E95998"/>
    <w:rsid w:val="78F40B19"/>
    <w:rsid w:val="78FE38F8"/>
    <w:rsid w:val="790931EB"/>
    <w:rsid w:val="791E11CD"/>
    <w:rsid w:val="7945606C"/>
    <w:rsid w:val="7956473D"/>
    <w:rsid w:val="795C1CE8"/>
    <w:rsid w:val="795F1843"/>
    <w:rsid w:val="796D21F3"/>
    <w:rsid w:val="797439F5"/>
    <w:rsid w:val="797A7BCD"/>
    <w:rsid w:val="799F60E4"/>
    <w:rsid w:val="79D43BE1"/>
    <w:rsid w:val="79EF5E1E"/>
    <w:rsid w:val="79FC3536"/>
    <w:rsid w:val="7A0D129F"/>
    <w:rsid w:val="7A0D5743"/>
    <w:rsid w:val="7A1D0296"/>
    <w:rsid w:val="7A1D5443"/>
    <w:rsid w:val="7A2F1E3C"/>
    <w:rsid w:val="7A305DAE"/>
    <w:rsid w:val="7A317BB9"/>
    <w:rsid w:val="7A396538"/>
    <w:rsid w:val="7A47390F"/>
    <w:rsid w:val="7A60326D"/>
    <w:rsid w:val="7A835A05"/>
    <w:rsid w:val="7A870711"/>
    <w:rsid w:val="7AB47064"/>
    <w:rsid w:val="7AB91427"/>
    <w:rsid w:val="7AF44B97"/>
    <w:rsid w:val="7B306C2F"/>
    <w:rsid w:val="7BBD4F42"/>
    <w:rsid w:val="7BBDDAF0"/>
    <w:rsid w:val="7BC02843"/>
    <w:rsid w:val="7BFB4E3F"/>
    <w:rsid w:val="7C225B08"/>
    <w:rsid w:val="7C273CDA"/>
    <w:rsid w:val="7C3265BA"/>
    <w:rsid w:val="7C36A8BC"/>
    <w:rsid w:val="7C3E42E6"/>
    <w:rsid w:val="7C535A68"/>
    <w:rsid w:val="7C815F74"/>
    <w:rsid w:val="7C831B17"/>
    <w:rsid w:val="7C923CDE"/>
    <w:rsid w:val="7CB76B22"/>
    <w:rsid w:val="7CC7607D"/>
    <w:rsid w:val="7CCF596F"/>
    <w:rsid w:val="7CD65A9A"/>
    <w:rsid w:val="7CE65DD7"/>
    <w:rsid w:val="7CE73AD5"/>
    <w:rsid w:val="7D1A3E96"/>
    <w:rsid w:val="7D294122"/>
    <w:rsid w:val="7D586CD5"/>
    <w:rsid w:val="7D615DB9"/>
    <w:rsid w:val="7D6301D4"/>
    <w:rsid w:val="7D792FD6"/>
    <w:rsid w:val="7D8306B2"/>
    <w:rsid w:val="7D8E0EDD"/>
    <w:rsid w:val="7DA3099F"/>
    <w:rsid w:val="7DF696FE"/>
    <w:rsid w:val="7DFF7D24"/>
    <w:rsid w:val="7E7D2889"/>
    <w:rsid w:val="7E821C80"/>
    <w:rsid w:val="7EA74C91"/>
    <w:rsid w:val="7EA77352"/>
    <w:rsid w:val="7ECB5997"/>
    <w:rsid w:val="7EEA1BAF"/>
    <w:rsid w:val="7EEF521D"/>
    <w:rsid w:val="7EEF9A6F"/>
    <w:rsid w:val="7F22122D"/>
    <w:rsid w:val="7F2A517E"/>
    <w:rsid w:val="7F462CB6"/>
    <w:rsid w:val="7F5F2709"/>
    <w:rsid w:val="7F61195A"/>
    <w:rsid w:val="7F693A59"/>
    <w:rsid w:val="7F761695"/>
    <w:rsid w:val="7F7B3B0F"/>
    <w:rsid w:val="7F7FEBE6"/>
    <w:rsid w:val="7F97E66E"/>
    <w:rsid w:val="7F9F58D6"/>
    <w:rsid w:val="7FAF0E0F"/>
    <w:rsid w:val="7FB26FEB"/>
    <w:rsid w:val="7FB67552"/>
    <w:rsid w:val="7FB977D3"/>
    <w:rsid w:val="7FBD72C3"/>
    <w:rsid w:val="7FBF6A29"/>
    <w:rsid w:val="7FBF7BD0"/>
    <w:rsid w:val="7FE1E17D"/>
    <w:rsid w:val="7FEC023B"/>
    <w:rsid w:val="7FEDD3E5"/>
    <w:rsid w:val="7FEFCC8E"/>
    <w:rsid w:val="7FFC4290"/>
    <w:rsid w:val="7FFF334A"/>
    <w:rsid w:val="8BF7D6FB"/>
    <w:rsid w:val="8FD14F4A"/>
    <w:rsid w:val="9BDD6B49"/>
    <w:rsid w:val="A7DF36AB"/>
    <w:rsid w:val="A8DF0A62"/>
    <w:rsid w:val="A93FE687"/>
    <w:rsid w:val="AADF5445"/>
    <w:rsid w:val="ACED2564"/>
    <w:rsid w:val="AFF643D7"/>
    <w:rsid w:val="B7FD8F24"/>
    <w:rsid w:val="BAFF3E58"/>
    <w:rsid w:val="BCB35638"/>
    <w:rsid w:val="BCCF6467"/>
    <w:rsid w:val="BDFD82AF"/>
    <w:rsid w:val="BFBD08CF"/>
    <w:rsid w:val="BFEE48A2"/>
    <w:rsid w:val="CDFE2331"/>
    <w:rsid w:val="D5BF61B5"/>
    <w:rsid w:val="DBE626D1"/>
    <w:rsid w:val="DED62258"/>
    <w:rsid w:val="DEF34F3F"/>
    <w:rsid w:val="DFAE3685"/>
    <w:rsid w:val="DFF9F571"/>
    <w:rsid w:val="E3CF9AA0"/>
    <w:rsid w:val="E519A92C"/>
    <w:rsid w:val="E7BBC4E0"/>
    <w:rsid w:val="E7FB6575"/>
    <w:rsid w:val="EDFFA6DC"/>
    <w:rsid w:val="EFDF28BA"/>
    <w:rsid w:val="EFFC1D3A"/>
    <w:rsid w:val="F6FEA8B4"/>
    <w:rsid w:val="F777C8DF"/>
    <w:rsid w:val="F7DF438F"/>
    <w:rsid w:val="FAA1266B"/>
    <w:rsid w:val="FAE49CD5"/>
    <w:rsid w:val="FAEB893C"/>
    <w:rsid w:val="FB79DE49"/>
    <w:rsid w:val="FBCFA242"/>
    <w:rsid w:val="FD5AEBD7"/>
    <w:rsid w:val="FD8C743D"/>
    <w:rsid w:val="FEBF37AF"/>
    <w:rsid w:val="FF47C38E"/>
    <w:rsid w:val="FFA70237"/>
    <w:rsid w:val="FFB445A6"/>
    <w:rsid w:val="FFDEEC5A"/>
    <w:rsid w:val="FFF6FAC1"/>
    <w:rsid w:val="FFFF9C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link w:val="51"/>
    <w:qFormat/>
    <w:uiPriority w:val="0"/>
    <w:pPr>
      <w:keepNext/>
      <w:keepLines/>
      <w:spacing w:before="340" w:after="330" w:line="578" w:lineRule="auto"/>
      <w:outlineLvl w:val="0"/>
    </w:pPr>
    <w:rPr>
      <w:b/>
      <w:bCs/>
      <w:kern w:val="44"/>
      <w:sz w:val="44"/>
      <w:szCs w:val="44"/>
    </w:rPr>
  </w:style>
  <w:style w:type="paragraph" w:styleId="7">
    <w:name w:val="heading 2"/>
    <w:basedOn w:val="1"/>
    <w:next w:val="4"/>
    <w:link w:val="52"/>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64"/>
    <w:qFormat/>
    <w:uiPriority w:val="0"/>
    <w:pPr>
      <w:autoSpaceDE w:val="0"/>
      <w:autoSpaceDN w:val="0"/>
      <w:adjustRightInd w:val="0"/>
      <w:spacing w:before="120" w:after="120" w:line="416" w:lineRule="atLeast"/>
      <w:outlineLvl w:val="2"/>
    </w:pPr>
    <w:rPr>
      <w:rFonts w:ascii="黑体"/>
      <w:kern w:val="0"/>
      <w:sz w:val="28"/>
      <w:szCs w:val="20"/>
    </w:rPr>
  </w:style>
  <w:style w:type="paragraph" w:styleId="8">
    <w:name w:val="heading 4"/>
    <w:basedOn w:val="1"/>
    <w:next w:val="1"/>
    <w:link w:val="55"/>
    <w:qFormat/>
    <w:uiPriority w:val="0"/>
    <w:pPr>
      <w:keepNext/>
      <w:outlineLvl w:val="3"/>
    </w:pPr>
    <w:rPr>
      <w:sz w:val="28"/>
      <w:szCs w:val="20"/>
    </w:rPr>
  </w:style>
  <w:style w:type="paragraph" w:styleId="9">
    <w:name w:val="heading 5"/>
    <w:basedOn w:val="1"/>
    <w:next w:val="1"/>
    <w:link w:val="56"/>
    <w:qFormat/>
    <w:uiPriority w:val="0"/>
    <w:pPr>
      <w:keepNext/>
      <w:keepLines/>
      <w:spacing w:before="280" w:after="290" w:line="376" w:lineRule="auto"/>
      <w:outlineLvl w:val="4"/>
    </w:pPr>
    <w:rPr>
      <w:b/>
      <w:bCs/>
      <w:sz w:val="28"/>
      <w:szCs w:val="28"/>
    </w:rPr>
  </w:style>
  <w:style w:type="paragraph" w:styleId="10">
    <w:name w:val="heading 6"/>
    <w:basedOn w:val="1"/>
    <w:next w:val="1"/>
    <w:link w:val="57"/>
    <w:qFormat/>
    <w:uiPriority w:val="0"/>
    <w:pPr>
      <w:keepNext/>
      <w:keepLines/>
      <w:spacing w:before="240" w:after="64" w:line="320" w:lineRule="auto"/>
      <w:outlineLvl w:val="5"/>
    </w:pPr>
    <w:rPr>
      <w:rFonts w:ascii="Arial" w:hAnsi="Arial" w:eastAsia="黑体"/>
      <w:b/>
      <w:bCs/>
      <w:sz w:val="24"/>
    </w:rPr>
  </w:style>
  <w:style w:type="paragraph" w:styleId="11">
    <w:name w:val="heading 7"/>
    <w:basedOn w:val="1"/>
    <w:next w:val="1"/>
    <w:link w:val="58"/>
    <w:qFormat/>
    <w:uiPriority w:val="0"/>
    <w:pPr>
      <w:keepNext/>
      <w:keepLines/>
      <w:spacing w:before="240" w:after="64" w:line="320" w:lineRule="auto"/>
      <w:outlineLvl w:val="6"/>
    </w:pPr>
    <w:rPr>
      <w:b/>
      <w:bCs/>
      <w:sz w:val="24"/>
    </w:rPr>
  </w:style>
  <w:style w:type="paragraph" w:styleId="12">
    <w:name w:val="heading 8"/>
    <w:basedOn w:val="1"/>
    <w:next w:val="1"/>
    <w:link w:val="59"/>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
    <w:link w:val="60"/>
    <w:qFormat/>
    <w:uiPriority w:val="0"/>
    <w:pPr>
      <w:keepNext/>
      <w:keepLines/>
      <w:spacing w:before="240" w:after="64" w:line="320"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after="0"/>
      <w:ind w:left="0" w:firstLine="420" w:firstLineChars="200"/>
    </w:pPr>
    <w:rPr>
      <w:rFonts w:ascii="Times New Roman" w:eastAsia="仿宋体"/>
      <w:sz w:val="32"/>
      <w:szCs w:val="32"/>
    </w:rPr>
  </w:style>
  <w:style w:type="paragraph" w:styleId="3">
    <w:name w:val="Body Text Indent"/>
    <w:basedOn w:val="1"/>
    <w:next w:val="4"/>
    <w:link w:val="66"/>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4">
    <w:name w:val="Normal Indent"/>
    <w:basedOn w:val="1"/>
    <w:next w:val="1"/>
    <w:link w:val="53"/>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toc 7"/>
    <w:basedOn w:val="1"/>
    <w:next w:val="1"/>
    <w:unhideWhenUsed/>
    <w:qFormat/>
    <w:uiPriority w:val="39"/>
    <w:pPr>
      <w:ind w:left="2520" w:leftChars="1200"/>
    </w:pPr>
    <w:rPr>
      <w:rFonts w:ascii="Calibri" w:hAnsi="Calibri"/>
      <w:szCs w:val="22"/>
    </w:rPr>
  </w:style>
  <w:style w:type="paragraph" w:styleId="15">
    <w:name w:val="table of authorities"/>
    <w:basedOn w:val="1"/>
    <w:next w:val="1"/>
    <w:unhideWhenUsed/>
    <w:qFormat/>
    <w:uiPriority w:val="99"/>
    <w:pPr>
      <w:ind w:left="420" w:leftChars="200"/>
    </w:pPr>
  </w:style>
  <w:style w:type="paragraph" w:styleId="16">
    <w:name w:val="Document Map"/>
    <w:basedOn w:val="1"/>
    <w:link w:val="63"/>
    <w:semiHidden/>
    <w:qFormat/>
    <w:uiPriority w:val="0"/>
    <w:rPr>
      <w:rFonts w:ascii="宋体"/>
      <w:sz w:val="18"/>
      <w:szCs w:val="18"/>
    </w:rPr>
  </w:style>
  <w:style w:type="paragraph" w:styleId="17">
    <w:name w:val="annotation text"/>
    <w:basedOn w:val="1"/>
    <w:link w:val="61"/>
    <w:unhideWhenUsed/>
    <w:qFormat/>
    <w:uiPriority w:val="99"/>
    <w:pPr>
      <w:jc w:val="left"/>
    </w:pPr>
  </w:style>
  <w:style w:type="paragraph" w:styleId="18">
    <w:name w:val="Body Text 3"/>
    <w:basedOn w:val="1"/>
    <w:link w:val="64"/>
    <w:unhideWhenUsed/>
    <w:qFormat/>
    <w:uiPriority w:val="99"/>
    <w:pPr>
      <w:spacing w:after="120"/>
    </w:pPr>
    <w:rPr>
      <w:sz w:val="16"/>
      <w:szCs w:val="16"/>
    </w:rPr>
  </w:style>
  <w:style w:type="paragraph" w:styleId="19">
    <w:name w:val="Body Text"/>
    <w:basedOn w:val="1"/>
    <w:link w:val="65"/>
    <w:qFormat/>
    <w:uiPriority w:val="99"/>
    <w:rPr>
      <w:sz w:val="28"/>
      <w:szCs w:val="20"/>
    </w:rPr>
  </w:style>
  <w:style w:type="paragraph" w:styleId="20">
    <w:name w:val="List 2"/>
    <w:basedOn w:val="1"/>
    <w:qFormat/>
    <w:uiPriority w:val="0"/>
    <w:pPr>
      <w:ind w:left="100" w:leftChars="200" w:hanging="200" w:hangingChars="200"/>
    </w:pPr>
  </w:style>
  <w:style w:type="paragraph" w:styleId="21">
    <w:name w:val="toc 5"/>
    <w:basedOn w:val="1"/>
    <w:next w:val="1"/>
    <w:unhideWhenUsed/>
    <w:qFormat/>
    <w:uiPriority w:val="39"/>
    <w:pPr>
      <w:ind w:left="1680" w:leftChars="800"/>
    </w:pPr>
    <w:rPr>
      <w:rFonts w:ascii="Calibri" w:hAnsi="Calibri"/>
      <w:szCs w:val="22"/>
    </w:rPr>
  </w:style>
  <w:style w:type="paragraph" w:styleId="22">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3">
    <w:name w:val="Plain Text"/>
    <w:basedOn w:val="1"/>
    <w:link w:val="67"/>
    <w:qFormat/>
    <w:uiPriority w:val="0"/>
    <w:rPr>
      <w:rFonts w:ascii="宋体" w:hAnsi="Courier New"/>
      <w:szCs w:val="20"/>
    </w:rPr>
  </w:style>
  <w:style w:type="paragraph" w:styleId="24">
    <w:name w:val="toc 8"/>
    <w:basedOn w:val="1"/>
    <w:next w:val="1"/>
    <w:unhideWhenUsed/>
    <w:qFormat/>
    <w:uiPriority w:val="39"/>
    <w:pPr>
      <w:ind w:left="2940" w:leftChars="1400"/>
    </w:pPr>
    <w:rPr>
      <w:rFonts w:ascii="Calibri" w:hAnsi="Calibri"/>
      <w:szCs w:val="22"/>
    </w:rPr>
  </w:style>
  <w:style w:type="paragraph" w:styleId="25">
    <w:name w:val="Date"/>
    <w:basedOn w:val="1"/>
    <w:next w:val="1"/>
    <w:link w:val="68"/>
    <w:qFormat/>
    <w:uiPriority w:val="0"/>
    <w:pPr>
      <w:ind w:left="100" w:leftChars="2500"/>
    </w:pPr>
    <w:rPr>
      <w:szCs w:val="20"/>
    </w:rPr>
  </w:style>
  <w:style w:type="paragraph" w:styleId="26">
    <w:name w:val="Body Text Indent 2"/>
    <w:basedOn w:val="1"/>
    <w:link w:val="69"/>
    <w:qFormat/>
    <w:uiPriority w:val="0"/>
    <w:pPr>
      <w:spacing w:line="480" w:lineRule="auto"/>
      <w:ind w:firstLine="480" w:firstLineChars="200"/>
    </w:pPr>
    <w:rPr>
      <w:rFonts w:ascii="仿宋_GB2312" w:hAnsi="宋体" w:eastAsia="仿宋_GB2312"/>
      <w:sz w:val="24"/>
    </w:rPr>
  </w:style>
  <w:style w:type="paragraph" w:styleId="27">
    <w:name w:val="Balloon Text"/>
    <w:basedOn w:val="1"/>
    <w:link w:val="70"/>
    <w:unhideWhenUsed/>
    <w:qFormat/>
    <w:uiPriority w:val="0"/>
    <w:rPr>
      <w:sz w:val="18"/>
      <w:szCs w:val="18"/>
    </w:rPr>
  </w:style>
  <w:style w:type="paragraph" w:styleId="28">
    <w:name w:val="footer"/>
    <w:basedOn w:val="1"/>
    <w:link w:val="71"/>
    <w:unhideWhenUsed/>
    <w:qFormat/>
    <w:uiPriority w:val="0"/>
    <w:pPr>
      <w:tabs>
        <w:tab w:val="center" w:pos="4153"/>
        <w:tab w:val="right" w:pos="8306"/>
      </w:tabs>
      <w:snapToGrid w:val="0"/>
      <w:jc w:val="left"/>
    </w:pPr>
    <w:rPr>
      <w:sz w:val="18"/>
      <w:szCs w:val="18"/>
    </w:rPr>
  </w:style>
  <w:style w:type="paragraph" w:styleId="29">
    <w:name w:val="header"/>
    <w:basedOn w:val="1"/>
    <w:link w:val="72"/>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31">
    <w:name w:val="toc 4"/>
    <w:basedOn w:val="1"/>
    <w:next w:val="1"/>
    <w:unhideWhenUsed/>
    <w:qFormat/>
    <w:uiPriority w:val="39"/>
    <w:pPr>
      <w:ind w:left="1260" w:leftChars="600"/>
    </w:pPr>
    <w:rPr>
      <w:rFonts w:ascii="Calibri" w:hAnsi="Calibri"/>
      <w:szCs w:val="22"/>
    </w:rPr>
  </w:style>
  <w:style w:type="paragraph" w:styleId="32">
    <w:name w:val="Subtitle"/>
    <w:basedOn w:val="1"/>
    <w:next w:val="1"/>
    <w:link w:val="73"/>
    <w:qFormat/>
    <w:uiPriority w:val="0"/>
    <w:pPr>
      <w:spacing w:before="240" w:after="60" w:line="312" w:lineRule="auto"/>
      <w:jc w:val="center"/>
      <w:outlineLvl w:val="1"/>
    </w:pPr>
    <w:rPr>
      <w:rFonts w:ascii="Cambria" w:hAnsi="Cambria" w:cs="黑体"/>
      <w:b/>
      <w:bCs/>
      <w:kern w:val="28"/>
      <w:sz w:val="32"/>
      <w:szCs w:val="32"/>
    </w:rPr>
  </w:style>
  <w:style w:type="paragraph" w:styleId="33">
    <w:name w:val="toc 6"/>
    <w:basedOn w:val="1"/>
    <w:next w:val="1"/>
    <w:unhideWhenUsed/>
    <w:qFormat/>
    <w:uiPriority w:val="39"/>
    <w:pPr>
      <w:ind w:left="2100" w:leftChars="1000"/>
    </w:pPr>
    <w:rPr>
      <w:rFonts w:ascii="Calibri" w:hAnsi="Calibri"/>
      <w:szCs w:val="22"/>
    </w:rPr>
  </w:style>
  <w:style w:type="paragraph" w:styleId="34">
    <w:name w:val="Body Text Indent 3"/>
    <w:basedOn w:val="1"/>
    <w:link w:val="74"/>
    <w:qFormat/>
    <w:uiPriority w:val="0"/>
    <w:pPr>
      <w:spacing w:after="120" w:line="360" w:lineRule="atLeast"/>
      <w:ind w:firstLine="720" w:firstLineChars="300"/>
    </w:pPr>
    <w:rPr>
      <w:sz w:val="24"/>
      <w:szCs w:val="20"/>
    </w:rPr>
  </w:style>
  <w:style w:type="paragraph" w:styleId="35">
    <w:name w:val="toc 2"/>
    <w:basedOn w:val="1"/>
    <w:next w:val="1"/>
    <w:qFormat/>
    <w:uiPriority w:val="39"/>
    <w:pPr>
      <w:tabs>
        <w:tab w:val="left" w:pos="567"/>
        <w:tab w:val="right" w:leader="dot" w:pos="8505"/>
        <w:tab w:val="right" w:leader="dot" w:pos="9628"/>
      </w:tabs>
      <w:spacing w:line="440" w:lineRule="exact"/>
    </w:pPr>
  </w:style>
  <w:style w:type="paragraph" w:styleId="36">
    <w:name w:val="toc 9"/>
    <w:basedOn w:val="1"/>
    <w:next w:val="1"/>
    <w:unhideWhenUsed/>
    <w:qFormat/>
    <w:uiPriority w:val="39"/>
    <w:pPr>
      <w:ind w:left="3360" w:leftChars="1600"/>
    </w:pPr>
    <w:rPr>
      <w:rFonts w:ascii="Calibri" w:hAnsi="Calibri"/>
      <w:szCs w:val="22"/>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next w:val="1"/>
    <w:link w:val="75"/>
    <w:qFormat/>
    <w:uiPriority w:val="0"/>
    <w:pPr>
      <w:spacing w:before="240" w:after="60"/>
      <w:jc w:val="center"/>
      <w:outlineLvl w:val="0"/>
    </w:pPr>
    <w:rPr>
      <w:rFonts w:ascii="Cambria" w:hAnsi="Cambria"/>
      <w:b/>
      <w:bCs/>
      <w:sz w:val="32"/>
      <w:szCs w:val="32"/>
    </w:rPr>
  </w:style>
  <w:style w:type="paragraph" w:styleId="39">
    <w:name w:val="annotation subject"/>
    <w:basedOn w:val="17"/>
    <w:next w:val="17"/>
    <w:link w:val="62"/>
    <w:semiHidden/>
    <w:qFormat/>
    <w:uiPriority w:val="0"/>
    <w:rPr>
      <w:b/>
      <w:bCs/>
      <w:szCs w:val="20"/>
    </w:rPr>
  </w:style>
  <w:style w:type="paragraph" w:styleId="40">
    <w:name w:val="Body Text First Indent"/>
    <w:basedOn w:val="19"/>
    <w:next w:val="33"/>
    <w:qFormat/>
    <w:uiPriority w:val="0"/>
    <w:pPr>
      <w:framePr w:wrap="around" w:vAnchor="margin" w:hAnchor="text" w:y="1"/>
      <w:spacing w:after="120"/>
      <w:ind w:firstLine="420"/>
    </w:pPr>
    <w:rPr>
      <w:rFonts w:eastAsia="Arial Unicode MS" w:cs="Arial Unicode MS"/>
      <w:color w:val="000000"/>
      <w:sz w:val="21"/>
      <w:szCs w:val="21"/>
      <w:u w:color="000000"/>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qFormat/>
    <w:uiPriority w:val="22"/>
    <w:rPr>
      <w:b/>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Hyperlink"/>
    <w:qFormat/>
    <w:uiPriority w:val="99"/>
    <w:rPr>
      <w:color w:val="0000FF"/>
      <w:u w:val="single"/>
    </w:rPr>
  </w:style>
  <w:style w:type="character" w:styleId="48">
    <w:name w:val="annotation reference"/>
    <w:basedOn w:val="43"/>
    <w:qFormat/>
    <w:uiPriority w:val="0"/>
    <w:rPr>
      <w:sz w:val="21"/>
      <w:szCs w:val="21"/>
    </w:rPr>
  </w:style>
  <w:style w:type="paragraph" w:customStyle="1" w:styleId="49">
    <w:name w:val="标书正文1"/>
    <w:basedOn w:val="1"/>
    <w:qFormat/>
    <w:uiPriority w:val="0"/>
    <w:pPr>
      <w:spacing w:line="520" w:lineRule="exact"/>
      <w:ind w:firstLine="640" w:firstLineChars="200"/>
    </w:pPr>
  </w:style>
  <w:style w:type="paragraph" w:customStyle="1" w:styleId="50">
    <w:name w:val="标题 60"/>
    <w:basedOn w:val="10"/>
    <w:qFormat/>
    <w:uiPriority w:val="0"/>
    <w:pPr>
      <w:spacing w:line="319" w:lineRule="auto"/>
      <w:ind w:firstLine="200" w:firstLineChars="200"/>
    </w:pPr>
    <w:rPr>
      <w:b w:val="0"/>
      <w:bCs w:val="0"/>
    </w:rPr>
  </w:style>
  <w:style w:type="character" w:customStyle="1" w:styleId="51">
    <w:name w:val="标题 1 字符"/>
    <w:basedOn w:val="43"/>
    <w:link w:val="5"/>
    <w:qFormat/>
    <w:uiPriority w:val="0"/>
    <w:rPr>
      <w:rFonts w:ascii="Times New Roman" w:hAnsi="Times New Roman" w:eastAsia="宋体" w:cs="Times New Roman"/>
      <w:b/>
      <w:bCs/>
      <w:kern w:val="44"/>
      <w:sz w:val="44"/>
      <w:szCs w:val="44"/>
    </w:rPr>
  </w:style>
  <w:style w:type="character" w:customStyle="1" w:styleId="52">
    <w:name w:val="标题 2 字符"/>
    <w:basedOn w:val="43"/>
    <w:link w:val="7"/>
    <w:qFormat/>
    <w:uiPriority w:val="0"/>
    <w:rPr>
      <w:rFonts w:ascii="Arial" w:hAnsi="Arial" w:eastAsia="黑体"/>
      <w:b/>
      <w:bCs/>
      <w:kern w:val="2"/>
      <w:sz w:val="32"/>
      <w:szCs w:val="32"/>
    </w:rPr>
  </w:style>
  <w:style w:type="character" w:customStyle="1" w:styleId="53">
    <w:name w:val="正文缩进 字符"/>
    <w:link w:val="4"/>
    <w:qFormat/>
    <w:uiPriority w:val="0"/>
    <w:rPr>
      <w:rFonts w:ascii="楷体_GB2312" w:eastAsia="楷体_GB2312"/>
      <w:sz w:val="28"/>
    </w:rPr>
  </w:style>
  <w:style w:type="character" w:customStyle="1" w:styleId="54">
    <w:name w:val="标题 3 字符"/>
    <w:basedOn w:val="43"/>
    <w:qFormat/>
    <w:uiPriority w:val="0"/>
    <w:rPr>
      <w:rFonts w:ascii="黑体" w:eastAsia="黑体"/>
      <w:sz w:val="28"/>
    </w:rPr>
  </w:style>
  <w:style w:type="character" w:customStyle="1" w:styleId="55">
    <w:name w:val="标题 4 字符"/>
    <w:basedOn w:val="43"/>
    <w:link w:val="8"/>
    <w:qFormat/>
    <w:uiPriority w:val="0"/>
    <w:rPr>
      <w:rFonts w:ascii="Times New Roman" w:hAnsi="Times New Roman" w:eastAsia="宋体" w:cs="Times New Roman"/>
      <w:sz w:val="28"/>
      <w:szCs w:val="20"/>
    </w:rPr>
  </w:style>
  <w:style w:type="character" w:customStyle="1" w:styleId="56">
    <w:name w:val="标题 5 字符"/>
    <w:basedOn w:val="43"/>
    <w:link w:val="9"/>
    <w:qFormat/>
    <w:uiPriority w:val="0"/>
    <w:rPr>
      <w:rFonts w:ascii="Times New Roman" w:hAnsi="Times New Roman" w:eastAsia="宋体" w:cs="Times New Roman"/>
      <w:b/>
      <w:bCs/>
      <w:sz w:val="28"/>
      <w:szCs w:val="28"/>
    </w:rPr>
  </w:style>
  <w:style w:type="character" w:customStyle="1" w:styleId="57">
    <w:name w:val="标题 6 字符"/>
    <w:basedOn w:val="43"/>
    <w:link w:val="10"/>
    <w:qFormat/>
    <w:uiPriority w:val="0"/>
    <w:rPr>
      <w:rFonts w:ascii="Arial" w:hAnsi="Arial" w:eastAsia="黑体" w:cs="Times New Roman"/>
      <w:b/>
      <w:bCs/>
      <w:sz w:val="24"/>
      <w:szCs w:val="24"/>
    </w:rPr>
  </w:style>
  <w:style w:type="character" w:customStyle="1" w:styleId="58">
    <w:name w:val="标题 7 字符"/>
    <w:basedOn w:val="43"/>
    <w:link w:val="11"/>
    <w:qFormat/>
    <w:uiPriority w:val="0"/>
    <w:rPr>
      <w:rFonts w:ascii="Times New Roman" w:hAnsi="Times New Roman" w:eastAsia="宋体" w:cs="Times New Roman"/>
      <w:b/>
      <w:bCs/>
      <w:sz w:val="24"/>
      <w:szCs w:val="24"/>
    </w:rPr>
  </w:style>
  <w:style w:type="character" w:customStyle="1" w:styleId="59">
    <w:name w:val="标题 8 字符"/>
    <w:basedOn w:val="43"/>
    <w:link w:val="12"/>
    <w:qFormat/>
    <w:uiPriority w:val="0"/>
    <w:rPr>
      <w:rFonts w:ascii="Arial" w:hAnsi="Arial" w:eastAsia="黑体" w:cs="Times New Roman"/>
      <w:sz w:val="24"/>
      <w:szCs w:val="24"/>
    </w:rPr>
  </w:style>
  <w:style w:type="character" w:customStyle="1" w:styleId="60">
    <w:name w:val="标题 9 字符"/>
    <w:basedOn w:val="43"/>
    <w:link w:val="13"/>
    <w:qFormat/>
    <w:uiPriority w:val="0"/>
    <w:rPr>
      <w:rFonts w:ascii="Arial" w:hAnsi="Arial" w:eastAsia="黑体" w:cs="Times New Roman"/>
      <w:szCs w:val="21"/>
    </w:rPr>
  </w:style>
  <w:style w:type="character" w:customStyle="1" w:styleId="61">
    <w:name w:val="批注文字 字符"/>
    <w:basedOn w:val="43"/>
    <w:link w:val="17"/>
    <w:qFormat/>
    <w:uiPriority w:val="99"/>
    <w:rPr>
      <w:rFonts w:ascii="Times New Roman" w:hAnsi="Times New Roman" w:eastAsia="宋体" w:cs="Times New Roman"/>
      <w:szCs w:val="24"/>
    </w:rPr>
  </w:style>
  <w:style w:type="character" w:customStyle="1" w:styleId="62">
    <w:name w:val="批注主题 字符"/>
    <w:basedOn w:val="61"/>
    <w:link w:val="39"/>
    <w:semiHidden/>
    <w:qFormat/>
    <w:uiPriority w:val="0"/>
    <w:rPr>
      <w:rFonts w:ascii="Times New Roman" w:hAnsi="Times New Roman" w:eastAsia="宋体" w:cs="Times New Roman"/>
      <w:b/>
      <w:bCs/>
      <w:szCs w:val="20"/>
    </w:rPr>
  </w:style>
  <w:style w:type="character" w:customStyle="1" w:styleId="63">
    <w:name w:val="文档结构图 字符"/>
    <w:basedOn w:val="43"/>
    <w:link w:val="16"/>
    <w:semiHidden/>
    <w:qFormat/>
    <w:uiPriority w:val="0"/>
    <w:rPr>
      <w:rFonts w:ascii="宋体" w:hAnsi="Times New Roman" w:eastAsia="宋体" w:cs="Times New Roman"/>
      <w:sz w:val="18"/>
      <w:szCs w:val="18"/>
    </w:rPr>
  </w:style>
  <w:style w:type="character" w:customStyle="1" w:styleId="64">
    <w:name w:val="正文文本 3 字符"/>
    <w:basedOn w:val="43"/>
    <w:link w:val="18"/>
    <w:semiHidden/>
    <w:qFormat/>
    <w:uiPriority w:val="99"/>
    <w:rPr>
      <w:rFonts w:ascii="Times New Roman" w:hAnsi="Times New Roman" w:eastAsia="宋体" w:cs="Times New Roman"/>
      <w:sz w:val="16"/>
      <w:szCs w:val="16"/>
    </w:rPr>
  </w:style>
  <w:style w:type="character" w:customStyle="1" w:styleId="65">
    <w:name w:val="正文文本 字符"/>
    <w:basedOn w:val="43"/>
    <w:link w:val="19"/>
    <w:qFormat/>
    <w:uiPriority w:val="99"/>
    <w:rPr>
      <w:rFonts w:ascii="Times New Roman" w:hAnsi="Times New Roman" w:eastAsia="宋体" w:cs="Times New Roman"/>
      <w:sz w:val="28"/>
      <w:szCs w:val="20"/>
    </w:rPr>
  </w:style>
  <w:style w:type="character" w:customStyle="1" w:styleId="66">
    <w:name w:val="正文文本缩进 字符"/>
    <w:basedOn w:val="43"/>
    <w:link w:val="3"/>
    <w:qFormat/>
    <w:uiPriority w:val="0"/>
    <w:rPr>
      <w:rFonts w:ascii="楷体_GB2312" w:hAnsi="Times New Roman" w:eastAsia="楷体_GB2312" w:cs="Times New Roman"/>
      <w:kern w:val="0"/>
      <w:sz w:val="28"/>
      <w:szCs w:val="20"/>
    </w:rPr>
  </w:style>
  <w:style w:type="character" w:customStyle="1" w:styleId="67">
    <w:name w:val="纯文本 字符"/>
    <w:basedOn w:val="43"/>
    <w:link w:val="23"/>
    <w:qFormat/>
    <w:uiPriority w:val="0"/>
    <w:rPr>
      <w:rFonts w:ascii="宋体" w:hAnsi="Courier New" w:eastAsia="宋体" w:cs="Times New Roman"/>
      <w:szCs w:val="20"/>
    </w:rPr>
  </w:style>
  <w:style w:type="character" w:customStyle="1" w:styleId="68">
    <w:name w:val="日期 字符"/>
    <w:basedOn w:val="43"/>
    <w:link w:val="25"/>
    <w:qFormat/>
    <w:uiPriority w:val="0"/>
    <w:rPr>
      <w:rFonts w:ascii="Times New Roman" w:hAnsi="Times New Roman" w:eastAsia="宋体" w:cs="Times New Roman"/>
      <w:szCs w:val="20"/>
    </w:rPr>
  </w:style>
  <w:style w:type="character" w:customStyle="1" w:styleId="69">
    <w:name w:val="正文文本缩进 2 字符"/>
    <w:basedOn w:val="43"/>
    <w:link w:val="26"/>
    <w:qFormat/>
    <w:uiPriority w:val="0"/>
    <w:rPr>
      <w:rFonts w:ascii="仿宋_GB2312" w:hAnsi="宋体" w:eastAsia="仿宋_GB2312" w:cs="Times New Roman"/>
      <w:sz w:val="24"/>
      <w:szCs w:val="24"/>
    </w:rPr>
  </w:style>
  <w:style w:type="character" w:customStyle="1" w:styleId="70">
    <w:name w:val="批注框文本 字符"/>
    <w:basedOn w:val="43"/>
    <w:link w:val="27"/>
    <w:semiHidden/>
    <w:qFormat/>
    <w:uiPriority w:val="0"/>
    <w:rPr>
      <w:rFonts w:ascii="Times New Roman" w:hAnsi="Times New Roman" w:eastAsia="宋体" w:cs="Times New Roman"/>
      <w:sz w:val="18"/>
      <w:szCs w:val="18"/>
    </w:rPr>
  </w:style>
  <w:style w:type="character" w:customStyle="1" w:styleId="71">
    <w:name w:val="页脚 字符"/>
    <w:basedOn w:val="43"/>
    <w:link w:val="28"/>
    <w:qFormat/>
    <w:uiPriority w:val="0"/>
    <w:rPr>
      <w:rFonts w:ascii="Times New Roman" w:hAnsi="Times New Roman" w:eastAsia="宋体" w:cs="Times New Roman"/>
      <w:sz w:val="18"/>
      <w:szCs w:val="18"/>
    </w:rPr>
  </w:style>
  <w:style w:type="character" w:customStyle="1" w:styleId="72">
    <w:name w:val="页眉 字符"/>
    <w:basedOn w:val="43"/>
    <w:link w:val="29"/>
    <w:qFormat/>
    <w:uiPriority w:val="0"/>
    <w:rPr>
      <w:rFonts w:ascii="Times New Roman" w:hAnsi="Times New Roman" w:eastAsia="宋体" w:cs="Times New Roman"/>
      <w:sz w:val="18"/>
      <w:szCs w:val="18"/>
    </w:rPr>
  </w:style>
  <w:style w:type="character" w:customStyle="1" w:styleId="73">
    <w:name w:val="副标题 字符"/>
    <w:basedOn w:val="43"/>
    <w:link w:val="32"/>
    <w:qFormat/>
    <w:uiPriority w:val="0"/>
    <w:rPr>
      <w:rFonts w:ascii="Cambria" w:hAnsi="Cambria" w:eastAsia="宋体" w:cs="黑体"/>
      <w:b/>
      <w:bCs/>
      <w:kern w:val="28"/>
      <w:sz w:val="32"/>
      <w:szCs w:val="32"/>
    </w:rPr>
  </w:style>
  <w:style w:type="character" w:customStyle="1" w:styleId="74">
    <w:name w:val="正文文本缩进 3 字符"/>
    <w:basedOn w:val="43"/>
    <w:link w:val="34"/>
    <w:qFormat/>
    <w:uiPriority w:val="0"/>
    <w:rPr>
      <w:rFonts w:ascii="Times New Roman" w:hAnsi="Times New Roman" w:eastAsia="宋体" w:cs="Times New Roman"/>
      <w:sz w:val="24"/>
      <w:szCs w:val="20"/>
    </w:rPr>
  </w:style>
  <w:style w:type="character" w:customStyle="1" w:styleId="75">
    <w:name w:val="标题 字符"/>
    <w:basedOn w:val="43"/>
    <w:link w:val="38"/>
    <w:qFormat/>
    <w:uiPriority w:val="0"/>
    <w:rPr>
      <w:rFonts w:ascii="Cambria" w:hAnsi="Cambria" w:eastAsia="宋体" w:cs="Times New Roman"/>
      <w:b/>
      <w:bCs/>
      <w:sz w:val="32"/>
      <w:szCs w:val="32"/>
    </w:rPr>
  </w:style>
  <w:style w:type="paragraph" w:customStyle="1" w:styleId="76">
    <w:name w:val="bt1bt1"/>
    <w:basedOn w:val="5"/>
    <w:qFormat/>
    <w:uiPriority w:val="0"/>
    <w:pPr>
      <w:spacing w:line="240" w:lineRule="auto"/>
      <w:jc w:val="center"/>
    </w:pPr>
    <w:rPr>
      <w:rFonts w:eastAsia="黑体"/>
      <w:b w:val="0"/>
      <w:sz w:val="36"/>
      <w:szCs w:val="36"/>
    </w:rPr>
  </w:style>
  <w:style w:type="paragraph" w:customStyle="1" w:styleId="77">
    <w:name w:val="列出段落1"/>
    <w:basedOn w:val="1"/>
    <w:link w:val="78"/>
    <w:unhideWhenUsed/>
    <w:qFormat/>
    <w:uiPriority w:val="0"/>
    <w:pPr>
      <w:ind w:firstLine="420" w:firstLineChars="200"/>
    </w:pPr>
  </w:style>
  <w:style w:type="character" w:customStyle="1" w:styleId="78">
    <w:name w:val="列表段落 字符"/>
    <w:link w:val="77"/>
    <w:qFormat/>
    <w:uiPriority w:val="0"/>
    <w:rPr>
      <w:rFonts w:ascii="Times New Roman" w:hAnsi="Times New Roman" w:eastAsia="宋体" w:cs="Times New Roman"/>
      <w:szCs w:val="24"/>
    </w:rPr>
  </w:style>
  <w:style w:type="paragraph" w:customStyle="1" w:styleId="79">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0">
    <w:name w:val="TOC 标题11"/>
    <w:basedOn w:val="5"/>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1">
    <w:name w:val="_Style 36"/>
    <w:basedOn w:val="1"/>
    <w:qFormat/>
    <w:uiPriority w:val="34"/>
    <w:pPr>
      <w:ind w:firstLine="420" w:firstLineChars="200"/>
    </w:pPr>
    <w:rPr>
      <w:szCs w:val="20"/>
    </w:rPr>
  </w:style>
  <w:style w:type="paragraph" w:customStyle="1" w:styleId="82">
    <w:name w:val="Char Char Char Char Char Char Char Char Char Char Char Char Char"/>
    <w:basedOn w:val="16"/>
    <w:qFormat/>
    <w:uiPriority w:val="0"/>
    <w:pPr>
      <w:shd w:val="clear" w:color="auto" w:fill="000080"/>
    </w:pPr>
    <w:rPr>
      <w:rFonts w:ascii="Tahoma" w:hAnsi="Tahoma"/>
      <w:sz w:val="24"/>
      <w:szCs w:val="24"/>
    </w:rPr>
  </w:style>
  <w:style w:type="paragraph" w:customStyle="1" w:styleId="8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5">
    <w:name w:val="新定义正文"/>
    <w:basedOn w:val="1"/>
    <w:qFormat/>
    <w:uiPriority w:val="0"/>
    <w:pPr>
      <w:widowControl/>
    </w:pPr>
    <w:rPr>
      <w:color w:val="000000"/>
      <w:szCs w:val="21"/>
    </w:rPr>
  </w:style>
  <w:style w:type="paragraph" w:customStyle="1" w:styleId="86">
    <w:name w:val="节"/>
    <w:basedOn w:val="7"/>
    <w:qFormat/>
    <w:uiPriority w:val="0"/>
    <w:pPr>
      <w:tabs>
        <w:tab w:val="left" w:pos="432"/>
        <w:tab w:val="left" w:pos="576"/>
      </w:tabs>
      <w:spacing w:line="240" w:lineRule="auto"/>
    </w:pPr>
    <w:rPr>
      <w:rFonts w:ascii="黑体"/>
      <w:b w:val="0"/>
      <w:sz w:val="28"/>
      <w:szCs w:val="28"/>
    </w:rPr>
  </w:style>
  <w:style w:type="paragraph" w:customStyle="1" w:styleId="87">
    <w:name w:val="TOC 标题2"/>
    <w:basedOn w:val="5"/>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8">
    <w:name w:val="列出段落11"/>
    <w:basedOn w:val="1"/>
    <w:qFormat/>
    <w:uiPriority w:val="34"/>
    <w:pPr>
      <w:ind w:firstLine="420" w:firstLineChars="200"/>
    </w:pPr>
    <w:rPr>
      <w:szCs w:val="20"/>
    </w:rPr>
  </w:style>
  <w:style w:type="paragraph" w:customStyle="1" w:styleId="8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90">
    <w:name w:val="Char Char1"/>
    <w:qFormat/>
    <w:uiPriority w:val="0"/>
    <w:rPr>
      <w:rFonts w:ascii="楷体_GB2312" w:eastAsia="楷体_GB2312"/>
      <w:sz w:val="28"/>
    </w:rPr>
  </w:style>
  <w:style w:type="character" w:customStyle="1" w:styleId="91">
    <w:name w:val="Char Char"/>
    <w:qFormat/>
    <w:uiPriority w:val="0"/>
    <w:rPr>
      <w:rFonts w:ascii="宋体"/>
      <w:kern w:val="2"/>
      <w:sz w:val="18"/>
      <w:szCs w:val="18"/>
    </w:rPr>
  </w:style>
  <w:style w:type="paragraph" w:customStyle="1" w:styleId="9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93">
    <w:name w:val="样式 标题 3 + (中文) 黑体 小四 非加粗 段前: 7.8 磅 段后: 0 磅 行距: 固定值 20 磅"/>
    <w:basedOn w:val="6"/>
    <w:qFormat/>
    <w:uiPriority w:val="0"/>
    <w:pPr>
      <w:autoSpaceDE/>
      <w:autoSpaceDN/>
      <w:adjustRightInd/>
      <w:spacing w:before="0" w:after="0" w:line="400" w:lineRule="exact"/>
    </w:pPr>
    <w:rPr>
      <w:rFonts w:ascii="Times New Roman" w:cs="宋体"/>
      <w:kern w:val="2"/>
      <w:sz w:val="24"/>
    </w:rPr>
  </w:style>
  <w:style w:type="character" w:customStyle="1" w:styleId="94">
    <w:name w:val="批注文字 Char1"/>
    <w:qFormat/>
    <w:uiPriority w:val="99"/>
    <w:rPr>
      <w:kern w:val="2"/>
      <w:sz w:val="21"/>
    </w:rPr>
  </w:style>
  <w:style w:type="paragraph" w:customStyle="1" w:styleId="95">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96">
    <w:name w:val="p0"/>
    <w:basedOn w:val="1"/>
    <w:qFormat/>
    <w:uiPriority w:val="0"/>
    <w:rPr>
      <w:szCs w:val="20"/>
    </w:rPr>
  </w:style>
  <w:style w:type="paragraph" w:customStyle="1" w:styleId="97">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8">
    <w:name w:val="normaltextrun"/>
    <w:basedOn w:val="43"/>
    <w:qFormat/>
    <w:uiPriority w:val="0"/>
  </w:style>
  <w:style w:type="character" w:customStyle="1" w:styleId="99">
    <w:name w:val="eop"/>
    <w:basedOn w:val="43"/>
    <w:qFormat/>
    <w:uiPriority w:val="0"/>
  </w:style>
  <w:style w:type="character" w:customStyle="1" w:styleId="100">
    <w:name w:val="列出段落 Char"/>
    <w:qFormat/>
    <w:uiPriority w:val="34"/>
    <w:rPr>
      <w:kern w:val="2"/>
      <w:sz w:val="21"/>
      <w:szCs w:val="24"/>
    </w:rPr>
  </w:style>
  <w:style w:type="character" w:customStyle="1" w:styleId="101">
    <w:name w:val="未处理的提及1"/>
    <w:basedOn w:val="43"/>
    <w:unhideWhenUsed/>
    <w:qFormat/>
    <w:uiPriority w:val="99"/>
    <w:rPr>
      <w:color w:val="605E5C"/>
      <w:shd w:val="clear" w:color="auto" w:fill="E1DFDD"/>
    </w:rPr>
  </w:style>
  <w:style w:type="paragraph" w:customStyle="1" w:styleId="1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04">
    <w:name w:val="文一 Char"/>
    <w:link w:val="105"/>
    <w:qFormat/>
    <w:locked/>
    <w:uiPriority w:val="0"/>
    <w:rPr>
      <w:spacing w:val="4"/>
      <w:sz w:val="24"/>
      <w:szCs w:val="24"/>
    </w:rPr>
  </w:style>
  <w:style w:type="paragraph" w:customStyle="1" w:styleId="105">
    <w:name w:val="文一"/>
    <w:basedOn w:val="1"/>
    <w:link w:val="104"/>
    <w:qFormat/>
    <w:uiPriority w:val="0"/>
    <w:pPr>
      <w:topLinePunct/>
      <w:adjustRightInd w:val="0"/>
      <w:snapToGrid w:val="0"/>
      <w:spacing w:line="360" w:lineRule="auto"/>
      <w:ind w:firstLine="200" w:firstLineChars="200"/>
    </w:pPr>
    <w:rPr>
      <w:spacing w:val="4"/>
      <w:kern w:val="0"/>
      <w:sz w:val="24"/>
    </w:rPr>
  </w:style>
  <w:style w:type="character" w:customStyle="1" w:styleId="106">
    <w:name w:val="未处理的提及2"/>
    <w:basedOn w:val="43"/>
    <w:unhideWhenUsed/>
    <w:qFormat/>
    <w:uiPriority w:val="99"/>
    <w:rPr>
      <w:color w:val="605E5C"/>
      <w:shd w:val="clear" w:color="auto" w:fill="E1DFDD"/>
    </w:rPr>
  </w:style>
  <w:style w:type="character" w:customStyle="1" w:styleId="107">
    <w:name w:val="p141"/>
    <w:qFormat/>
    <w:uiPriority w:val="0"/>
    <w:rPr>
      <w:sz w:val="21"/>
      <w:szCs w:val="21"/>
    </w:rPr>
  </w:style>
  <w:style w:type="paragraph" w:customStyle="1" w:styleId="108">
    <w:name w:val="列表段落1"/>
    <w:basedOn w:val="1"/>
    <w:unhideWhenUsed/>
    <w:qFormat/>
    <w:uiPriority w:val="34"/>
    <w:pPr>
      <w:ind w:firstLine="420" w:firstLineChars="200"/>
    </w:pPr>
  </w:style>
  <w:style w:type="paragraph" w:customStyle="1" w:styleId="10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10">
    <w:name w:val="段"/>
    <w:link w:val="11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11">
    <w:name w:val="段 Char"/>
    <w:link w:val="110"/>
    <w:qFormat/>
    <w:uiPriority w:val="0"/>
    <w:rPr>
      <w:rFonts w:ascii="宋体"/>
      <w:sz w:val="21"/>
    </w:rPr>
  </w:style>
  <w:style w:type="paragraph" w:customStyle="1" w:styleId="112">
    <w:name w:val="列出段落2"/>
    <w:basedOn w:val="1"/>
    <w:unhideWhenUsed/>
    <w:qFormat/>
    <w:uiPriority w:val="34"/>
    <w:pPr>
      <w:ind w:firstLine="420" w:firstLineChars="200"/>
    </w:pPr>
  </w:style>
  <w:style w:type="table" w:customStyle="1" w:styleId="113">
    <w:name w:val="网格型1"/>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
    <w:name w:val="网格型2"/>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H正_1"/>
    <w:basedOn w:val="116"/>
    <w:qFormat/>
    <w:uiPriority w:val="0"/>
    <w:pPr>
      <w:spacing w:after="0" w:line="420" w:lineRule="auto"/>
      <w:ind w:firstLine="200" w:firstLineChars="200"/>
      <w:jc w:val="left"/>
    </w:pPr>
    <w:rPr>
      <w:bCs/>
      <w:spacing w:val="0"/>
      <w:kern w:val="2"/>
      <w:szCs w:val="24"/>
    </w:rPr>
  </w:style>
  <w:style w:type="paragraph" w:customStyle="1" w:styleId="116">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7">
    <w:name w:val="H标_1"/>
    <w:basedOn w:val="118"/>
    <w:qFormat/>
    <w:uiPriority w:val="0"/>
    <w:pPr>
      <w:keepNext/>
      <w:keepLines/>
      <w:tabs>
        <w:tab w:val="left" w:pos="1300"/>
        <w:tab w:val="left" w:pos="1440"/>
        <w:tab w:val="left" w:pos="1932"/>
        <w:tab w:val="left" w:pos="6184"/>
      </w:tabs>
    </w:pPr>
    <w:rPr>
      <w:sz w:val="32"/>
    </w:rPr>
  </w:style>
  <w:style w:type="paragraph" w:customStyle="1" w:styleId="118">
    <w:name w:val="标题 1_0"/>
    <w:basedOn w:val="116"/>
    <w:next w:val="119"/>
    <w:qFormat/>
    <w:uiPriority w:val="0"/>
    <w:pPr>
      <w:pageBreakBefore/>
      <w:spacing w:before="120" w:after="60"/>
      <w:ind w:firstLine="0"/>
      <w:jc w:val="center"/>
      <w:outlineLvl w:val="0"/>
    </w:pPr>
    <w:rPr>
      <w:rFonts w:eastAsia="黑体"/>
      <w:b/>
      <w:sz w:val="36"/>
    </w:rPr>
  </w:style>
  <w:style w:type="paragraph" w:customStyle="1" w:styleId="119">
    <w:name w:val="方案正文"/>
    <w:basedOn w:val="116"/>
    <w:qFormat/>
    <w:uiPriority w:val="0"/>
    <w:pPr>
      <w:ind w:firstLine="200" w:firstLineChars="200"/>
    </w:pPr>
    <w:rPr>
      <w:bCs/>
    </w:rPr>
  </w:style>
  <w:style w:type="paragraph" w:customStyle="1" w:styleId="120">
    <w:name w:val="H表_1"/>
    <w:basedOn w:val="121"/>
    <w:qFormat/>
    <w:uiPriority w:val="0"/>
    <w:pPr>
      <w:widowControl/>
      <w:spacing w:line="240" w:lineRule="auto"/>
      <w:jc w:val="center"/>
    </w:pPr>
    <w:rPr>
      <w:rFonts w:ascii="宋体" w:hAnsi="宋体"/>
      <w:kern w:val="0"/>
      <w:sz w:val="20"/>
      <w:szCs w:val="20"/>
    </w:rPr>
  </w:style>
  <w:style w:type="paragraph" w:customStyle="1" w:styleId="121">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22">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23">
    <w:name w:val="文本"/>
    <w:basedOn w:val="116"/>
    <w:qFormat/>
    <w:uiPriority w:val="0"/>
    <w:pPr>
      <w:spacing w:after="0"/>
      <w:ind w:firstLine="420" w:firstLineChars="200"/>
      <w:jc w:val="left"/>
    </w:pPr>
    <w:rPr>
      <w:rFonts w:ascii="宋体" w:hAnsi="宋体"/>
      <w:spacing w:val="0"/>
      <w:kern w:val="2"/>
      <w:sz w:val="21"/>
      <w:szCs w:val="22"/>
    </w:rPr>
  </w:style>
  <w:style w:type="paragraph" w:customStyle="1" w:styleId="124">
    <w:name w:val="Table Paragraph"/>
    <w:basedOn w:val="122"/>
    <w:qFormat/>
    <w:uiPriority w:val="1"/>
    <w:pPr>
      <w:wordWrap/>
      <w:spacing w:line="240" w:lineRule="auto"/>
      <w:jc w:val="left"/>
    </w:pPr>
    <w:rPr>
      <w:rFonts w:ascii="等线" w:hAnsi="等线" w:eastAsia="等线"/>
      <w:kern w:val="0"/>
      <w:sz w:val="22"/>
      <w:lang w:eastAsia="en-US"/>
    </w:rPr>
  </w:style>
  <w:style w:type="paragraph" w:customStyle="1" w:styleId="125">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H表正"/>
    <w:basedOn w:val="116"/>
    <w:qFormat/>
    <w:uiPriority w:val="0"/>
    <w:pPr>
      <w:widowControl/>
      <w:spacing w:after="0" w:line="240" w:lineRule="auto"/>
      <w:ind w:firstLine="0"/>
    </w:pPr>
    <w:rPr>
      <w:rFonts w:ascii="宋体" w:hAnsi="宋体"/>
      <w:color w:val="000000"/>
      <w:spacing w:val="0"/>
      <w:sz w:val="21"/>
      <w:szCs w:val="21"/>
    </w:rPr>
  </w:style>
  <w:style w:type="paragraph" w:customStyle="1" w:styleId="128">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9">
    <w:name w:val="正文缩进_0"/>
    <w:basedOn w:val="121"/>
    <w:qFormat/>
    <w:uiPriority w:val="0"/>
    <w:pPr>
      <w:wordWrap/>
      <w:autoSpaceDE w:val="0"/>
      <w:autoSpaceDN w:val="0"/>
      <w:spacing w:line="360" w:lineRule="auto"/>
      <w:ind w:left="181" w:firstLine="420"/>
    </w:pPr>
    <w:rPr>
      <w:kern w:val="0"/>
      <w:sz w:val="24"/>
      <w:szCs w:val="20"/>
    </w:rPr>
  </w:style>
  <w:style w:type="paragraph" w:customStyle="1" w:styleId="130">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正文缩进_1"/>
    <w:basedOn w:val="116"/>
    <w:qFormat/>
    <w:uiPriority w:val="0"/>
    <w:pPr>
      <w:spacing w:before="60" w:after="60"/>
      <w:ind w:firstLine="420"/>
    </w:pPr>
    <w:rPr>
      <w:rFonts w:ascii="宋体"/>
      <w:color w:val="000000"/>
      <w:spacing w:val="0"/>
      <w:kern w:val="2"/>
    </w:rPr>
  </w:style>
  <w:style w:type="paragraph" w:customStyle="1" w:styleId="132">
    <w:name w:val="正文首行缩进1"/>
    <w:basedOn w:val="133"/>
    <w:qFormat/>
    <w:uiPriority w:val="0"/>
    <w:pPr>
      <w:spacing w:after="60" w:line="400" w:lineRule="exact"/>
      <w:ind w:firstLine="476"/>
    </w:pPr>
    <w:rPr>
      <w:kern w:val="2"/>
    </w:rPr>
  </w:style>
  <w:style w:type="paragraph" w:customStyle="1" w:styleId="133">
    <w:name w:val="正文文本_0"/>
    <w:basedOn w:val="116"/>
    <w:qFormat/>
    <w:uiPriority w:val="99"/>
  </w:style>
  <w:style w:type="paragraph" w:customStyle="1" w:styleId="134">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5">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7">
    <w:name w:val="列出段落_1"/>
    <w:basedOn w:val="138"/>
    <w:qFormat/>
    <w:uiPriority w:val="0"/>
    <w:pPr>
      <w:ind w:firstLine="420" w:firstLineChars="200"/>
    </w:pPr>
    <w:rPr>
      <w:rFonts w:ascii="Times New Roman" w:hAnsi="Times New Roman"/>
      <w:sz w:val="20"/>
      <w:szCs w:val="24"/>
    </w:rPr>
  </w:style>
  <w:style w:type="paragraph" w:customStyle="1" w:styleId="138">
    <w:name w:val="正文_1_2"/>
    <w:qFormat/>
    <w:uiPriority w:val="0"/>
    <w:rPr>
      <w:rFonts w:ascii="Calibri" w:hAnsi="Calibri" w:eastAsia="宋体" w:cs="Times New Roman"/>
      <w:sz w:val="21"/>
      <w:lang w:val="en-US" w:eastAsia="zh-CN" w:bidi="ar-SA"/>
    </w:rPr>
  </w:style>
  <w:style w:type="paragraph" w:customStyle="1" w:styleId="139">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0">
    <w:name w:val="列出段落_0"/>
    <w:basedOn w:val="138"/>
    <w:qFormat/>
    <w:uiPriority w:val="0"/>
    <w:pPr>
      <w:ind w:firstLine="420" w:firstLineChars="200"/>
    </w:pPr>
    <w:rPr>
      <w:rFonts w:ascii="Times New Roman" w:hAnsi="Times New Roman"/>
      <w:sz w:val="20"/>
      <w:szCs w:val="24"/>
    </w:rPr>
  </w:style>
  <w:style w:type="paragraph" w:customStyle="1" w:styleId="141">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2">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43">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4">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45">
    <w:name w:val="列出段落3"/>
    <w:basedOn w:val="1"/>
    <w:unhideWhenUsed/>
    <w:qFormat/>
    <w:uiPriority w:val="99"/>
    <w:pPr>
      <w:ind w:firstLine="420" w:firstLineChars="200"/>
    </w:pPr>
  </w:style>
  <w:style w:type="paragraph" w:customStyle="1" w:styleId="146">
    <w:name w:val="列出段落4"/>
    <w:basedOn w:val="1"/>
    <w:unhideWhenUsed/>
    <w:qFormat/>
    <w:uiPriority w:val="99"/>
    <w:pPr>
      <w:ind w:firstLine="420" w:firstLineChars="200"/>
    </w:pPr>
  </w:style>
  <w:style w:type="paragraph" w:customStyle="1" w:styleId="147">
    <w:name w:val="符号列表"/>
    <w:basedOn w:val="1"/>
    <w:next w:val="77"/>
    <w:qFormat/>
    <w:uiPriority w:val="34"/>
    <w:pPr>
      <w:spacing w:line="500" w:lineRule="exact"/>
      <w:ind w:firstLine="480" w:firstLineChars="200"/>
    </w:pPr>
    <w:rPr>
      <w:rFonts w:eastAsia="仿宋_GB2312"/>
      <w:sz w:val="24"/>
      <w:szCs w:val="20"/>
    </w:rPr>
  </w:style>
  <w:style w:type="paragraph" w:customStyle="1" w:styleId="148">
    <w:name w:val="标题 3_0"/>
    <w:basedOn w:val="118"/>
    <w:next w:val="119"/>
    <w:qFormat/>
    <w:uiPriority w:val="0"/>
    <w:pPr>
      <w:pageBreakBefore w:val="0"/>
      <w:numPr>
        <w:ilvl w:val="2"/>
        <w:numId w:val="1"/>
      </w:numPr>
      <w:spacing w:before="60" w:line="240" w:lineRule="auto"/>
      <w:jc w:val="left"/>
      <w:outlineLvl w:val="2"/>
    </w:pPr>
    <w:rPr>
      <w:rFonts w:ascii="Calibri" w:hAnsi="Calibri"/>
      <w:spacing w:val="0"/>
      <w:kern w:val="2"/>
      <w:sz w:val="28"/>
      <w:szCs w:val="24"/>
      <w:lang w:val="zh-CN"/>
    </w:rPr>
  </w:style>
  <w:style w:type="paragraph" w:customStyle="1" w:styleId="149">
    <w:name w:val="列项●（二级）"/>
    <w:qFormat/>
    <w:uiPriority w:val="0"/>
    <w:pPr>
      <w:tabs>
        <w:tab w:val="left" w:pos="425"/>
        <w:tab w:val="left" w:pos="760"/>
        <w:tab w:val="left" w:pos="840"/>
      </w:tabs>
      <w:ind w:left="425" w:hanging="425"/>
      <w:jc w:val="both"/>
    </w:pPr>
    <w:rPr>
      <w:rFonts w:ascii="宋体" w:hAnsiTheme="minorHAnsi" w:eastAsiaTheme="minorEastAsia" w:cstheme="minorBidi"/>
      <w:sz w:val="21"/>
      <w:szCs w:val="22"/>
      <w:lang w:val="en-US" w:eastAsia="zh-CN" w:bidi="ar-SA"/>
    </w:rPr>
  </w:style>
  <w:style w:type="paragraph" w:customStyle="1" w:styleId="150">
    <w:name w:val="正文缩进1"/>
    <w:basedOn w:val="116"/>
    <w:qFormat/>
    <w:uiPriority w:val="0"/>
    <w:pPr>
      <w:autoSpaceDE w:val="0"/>
      <w:autoSpaceDN w:val="0"/>
      <w:spacing w:after="0" w:line="240" w:lineRule="auto"/>
      <w:ind w:left="181" w:firstLine="420"/>
    </w:pPr>
    <w:rPr>
      <w:rFonts w:ascii="Calibri" w:hAnsi="Calibri"/>
      <w:spacing w:val="0"/>
      <w:kern w:val="2"/>
      <w:sz w:val="21"/>
      <w:szCs w:val="24"/>
    </w:rPr>
  </w:style>
  <w:style w:type="paragraph" w:customStyle="1" w:styleId="151">
    <w:name w:val="正文缩进11"/>
    <w:basedOn w:val="116"/>
    <w:qFormat/>
    <w:uiPriority w:val="0"/>
    <w:pPr>
      <w:autoSpaceDE w:val="0"/>
      <w:autoSpaceDN w:val="0"/>
      <w:spacing w:after="0" w:line="240" w:lineRule="auto"/>
      <w:ind w:left="181" w:firstLine="420"/>
    </w:pPr>
    <w:rPr>
      <w:rFonts w:ascii="Calibri" w:hAnsi="Calibri"/>
      <w:spacing w:val="0"/>
      <w:kern w:val="2"/>
      <w:sz w:val="21"/>
      <w:szCs w:val="24"/>
    </w:rPr>
  </w:style>
  <w:style w:type="paragraph" w:customStyle="1" w:styleId="152">
    <w:name w:val="列出段落5"/>
    <w:basedOn w:val="1"/>
    <w:unhideWhenUsed/>
    <w:qFormat/>
    <w:uiPriority w:val="99"/>
    <w:pPr>
      <w:ind w:firstLine="420" w:firstLineChars="200"/>
    </w:pPr>
  </w:style>
  <w:style w:type="paragraph" w:customStyle="1" w:styleId="153">
    <w:name w:val="列出段落6"/>
    <w:basedOn w:val="1"/>
    <w:unhideWhenUsed/>
    <w:qFormat/>
    <w:uiPriority w:val="99"/>
    <w:pPr>
      <w:ind w:firstLine="420" w:firstLineChars="200"/>
    </w:pPr>
  </w:style>
  <w:style w:type="paragraph" w:customStyle="1" w:styleId="154">
    <w:name w:val="修订6"/>
    <w:hidden/>
    <w:unhideWhenUsed/>
    <w:qFormat/>
    <w:uiPriority w:val="99"/>
    <w:rPr>
      <w:rFonts w:ascii="Times New Roman" w:hAnsi="Times New Roman" w:eastAsia="宋体" w:cs="Times New Roman"/>
      <w:kern w:val="2"/>
      <w:sz w:val="21"/>
      <w:szCs w:val="24"/>
      <w:lang w:val="en-US" w:eastAsia="zh-CN" w:bidi="ar-SA"/>
    </w:rPr>
  </w:style>
  <w:style w:type="paragraph" w:styleId="155">
    <w:name w:val="List Paragraph"/>
    <w:basedOn w:val="1"/>
    <w:unhideWhenUsed/>
    <w:qFormat/>
    <w:uiPriority w:val="0"/>
    <w:pPr>
      <w:ind w:firstLine="420" w:firstLineChars="200"/>
    </w:pPr>
  </w:style>
  <w:style w:type="paragraph" w:customStyle="1" w:styleId="156">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5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58">
    <w:name w:val="s11"/>
    <w:qFormat/>
    <w:uiPriority w:val="0"/>
    <w:rPr>
      <w:rFonts w:ascii="ˎ̥" w:hAnsi="ˎ̥" w:cs="宋体"/>
      <w:b/>
      <w:color w:val="51585D"/>
      <w:kern w:val="0"/>
      <w:sz w:val="24"/>
      <w:szCs w:val="18"/>
    </w:rPr>
  </w:style>
  <w:style w:type="character" w:customStyle="1" w:styleId="159">
    <w:name w:val="s41"/>
    <w:basedOn w:val="43"/>
    <w:qFormat/>
    <w:uiPriority w:val="0"/>
    <w:rPr>
      <w:rFonts w:ascii="ˎ̥" w:hAnsi="ˎ̥" w:cs="宋体"/>
      <w:color w:val="51585D"/>
      <w:kern w:val="0"/>
      <w:sz w:val="24"/>
      <w:szCs w:val="18"/>
    </w:rPr>
  </w:style>
  <w:style w:type="paragraph" w:customStyle="1" w:styleId="16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61">
    <w:name w:val="p7"/>
    <w:basedOn w:val="1"/>
    <w:qFormat/>
    <w:uiPriority w:val="0"/>
    <w:pPr>
      <w:spacing w:before="100" w:after="100"/>
      <w:ind w:left="420" w:hanging="420"/>
      <w:jc w:val="left"/>
    </w:pPr>
    <w:rPr>
      <w:rFonts w:ascii="微软雅黑" w:hAnsi="微软雅黑" w:eastAsia="微软雅黑"/>
      <w:kern w:val="0"/>
      <w:sz w:val="32"/>
      <w:szCs w:val="32"/>
    </w:rPr>
  </w:style>
  <w:style w:type="paragraph" w:customStyle="1" w:styleId="162">
    <w:name w:val="缺省文本"/>
    <w:basedOn w:val="1"/>
    <w:qFormat/>
    <w:uiPriority w:val="0"/>
    <w:pPr>
      <w:autoSpaceDE w:val="0"/>
      <w:autoSpaceDN w:val="0"/>
      <w:adjustRightInd w:val="0"/>
      <w:jc w:val="left"/>
    </w:pPr>
    <w:rPr>
      <w:kern w:val="0"/>
      <w:sz w:val="24"/>
    </w:rPr>
  </w:style>
  <w:style w:type="character" w:customStyle="1" w:styleId="163">
    <w:name w:val="无"/>
    <w:qFormat/>
    <w:uiPriority w:val="0"/>
  </w:style>
  <w:style w:type="character" w:customStyle="1" w:styleId="164">
    <w:name w:val="标题 3 字符1"/>
    <w:link w:val="6"/>
    <w:qFormat/>
    <w:uiPriority w:val="0"/>
    <w:rPr>
      <w:b/>
    </w:rPr>
  </w:style>
  <w:style w:type="character" w:customStyle="1" w:styleId="165">
    <w:name w:val="font51"/>
    <w:basedOn w:val="43"/>
    <w:qFormat/>
    <w:uiPriority w:val="0"/>
    <w:rPr>
      <w:rFonts w:hint="eastAsia" w:ascii="宋体" w:hAnsi="宋体" w:eastAsia="宋体" w:cs="宋体"/>
      <w:color w:val="000000"/>
      <w:sz w:val="22"/>
      <w:szCs w:val="22"/>
      <w:u w:val="none"/>
      <w:vertAlign w:val="superscript"/>
    </w:rPr>
  </w:style>
  <w:style w:type="character" w:customStyle="1" w:styleId="166">
    <w:name w:val="p141_0"/>
    <w:qFormat/>
    <w:uiPriority w:val="0"/>
    <w:rPr>
      <w:rFonts w:ascii="Calibri" w:hAnsi="Calibri"/>
      <w:sz w:val="21"/>
      <w:szCs w:val="21"/>
    </w:rPr>
  </w:style>
  <w:style w:type="character" w:customStyle="1" w:styleId="167">
    <w:name w:val="ca-2"/>
    <w:basedOn w:val="43"/>
    <w:qFormat/>
    <w:uiPriority w:val="0"/>
  </w:style>
  <w:style w:type="paragraph" w:customStyle="1" w:styleId="168">
    <w:name w:val="合同条款A"/>
    <w:basedOn w:val="1"/>
    <w:qFormat/>
    <w:uiPriority w:val="0"/>
    <w:pPr>
      <w:tabs>
        <w:tab w:val="left" w:pos="567"/>
      </w:tabs>
      <w:spacing w:after="240"/>
      <w:ind w:left="567" w:hanging="567"/>
      <w:outlineLvl w:val="0"/>
    </w:pPr>
    <w:rPr>
      <w:rFonts w:ascii="黑体" w:eastAsia="黑体"/>
      <w:b/>
      <w:szCs w:val="20"/>
    </w:rPr>
  </w:style>
  <w:style w:type="paragraph" w:customStyle="1" w:styleId="169">
    <w:name w:val="正文（政数局）"/>
    <w:basedOn w:val="1"/>
    <w:qFormat/>
    <w:uiPriority w:val="0"/>
    <w:pPr>
      <w:spacing w:line="400" w:lineRule="exact"/>
      <w:ind w:firstLine="200" w:firstLineChars="200"/>
      <w:contextualSpacing/>
    </w:pPr>
    <w:rPr>
      <w:rFonts w:ascii="仿宋_GB2312" w:hAnsi="仿宋_GB2312" w:eastAsia="仿宋_GB2312" w:cs="仿宋_GB2312"/>
      <w:sz w:val="24"/>
    </w:rPr>
  </w:style>
  <w:style w:type="paragraph" w:customStyle="1" w:styleId="170">
    <w:name w:val="pa-1"/>
    <w:basedOn w:val="1"/>
    <w:qFormat/>
    <w:uiPriority w:val="0"/>
    <w:pPr>
      <w:widowControl/>
      <w:spacing w:before="100" w:beforeAutospacing="1" w:after="100" w:afterAutospacing="1"/>
      <w:jc w:val="left"/>
    </w:pPr>
    <w:rPr>
      <w:rFonts w:ascii="宋体" w:hAnsi="宋体"/>
      <w:kern w:val="0"/>
      <w:sz w:val="24"/>
    </w:rPr>
  </w:style>
  <w:style w:type="character" w:customStyle="1" w:styleId="171">
    <w:name w:val="16"/>
    <w:basedOn w:val="4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64</Pages>
  <Words>31264</Words>
  <Characters>33009</Characters>
  <Lines>271</Lines>
  <Paragraphs>76</Paragraphs>
  <TotalTime>7</TotalTime>
  <ScaleCrop>false</ScaleCrop>
  <LinksUpToDate>false</LinksUpToDate>
  <CharactersWithSpaces>34596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2021-05-22T14:52:00Z</dcterms:created>
  <dc:creator>MIIT</dc:creator>
  <cp:lastModifiedBy>caiwxi</cp:lastModifiedBy>
  <cp:lastPrinted>2024-05-08T16:23:00Z</cp:lastPrinted>
  <dcterms:modified xsi:type="dcterms:W3CDTF">2024-08-28T07:47:50Z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8734B3A34BB9D89CF091CE669B14E71B_43</vt:lpwstr>
  </property>
</Properties>
</file>