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仿宋_GB2312" w:eastAsia="仿宋_GB2312"/>
          <w:color w:val="auto"/>
          <w:sz w:val="28"/>
          <w:szCs w:val="28"/>
          <w:highlight w:val="none"/>
        </w:rPr>
      </w:pPr>
    </w:p>
    <w:p>
      <w:pPr>
        <w:rPr>
          <w:rFonts w:ascii="宋体" w:hAnsi="宋体" w:cs="宋体"/>
          <w:b/>
          <w:bCs/>
          <w:color w:val="auto"/>
          <w:sz w:val="28"/>
          <w:szCs w:val="28"/>
          <w:highlight w:val="none"/>
          <w:u w:val="single"/>
        </w:rPr>
      </w:pPr>
      <w:r>
        <w:rPr>
          <w:rFonts w:hint="eastAsia" w:ascii="宋体" w:hAnsi="宋体" w:cs="宋体"/>
          <w:b/>
          <w:bCs/>
          <w:color w:val="auto"/>
          <w:sz w:val="28"/>
          <w:szCs w:val="28"/>
          <w:highlight w:val="none"/>
        </w:rPr>
        <w:t>项目名称：</w:t>
      </w:r>
      <w:bookmarkStart w:id="0" w:name="OLE_LINK7"/>
      <w:r>
        <w:rPr>
          <w:rFonts w:hint="eastAsia" w:ascii="宋体" w:hAnsi="宋体" w:cs="宋体"/>
          <w:b/>
          <w:bCs/>
          <w:color w:val="auto"/>
          <w:sz w:val="28"/>
          <w:szCs w:val="28"/>
          <w:highlight w:val="none"/>
          <w:u w:val="single"/>
          <w:lang w:val="en-US" w:eastAsia="zh-CN"/>
        </w:rPr>
        <w:t>2024年度</w:t>
      </w:r>
      <w:r>
        <w:rPr>
          <w:rFonts w:hint="eastAsia" w:ascii="宋体" w:hAnsi="宋体" w:cs="宋体"/>
          <w:b/>
          <w:bCs/>
          <w:color w:val="auto"/>
          <w:sz w:val="28"/>
          <w:szCs w:val="28"/>
          <w:highlight w:val="none"/>
          <w:u w:val="single"/>
        </w:rPr>
        <w:t>南方优品纸箱采购</w:t>
      </w:r>
      <w:bookmarkEnd w:id="0"/>
    </w:p>
    <w:p>
      <w:pPr>
        <w:rPr>
          <w:rFonts w:hint="eastAsia" w:ascii="宋体" w:hAnsi="宋体" w:cs="宋体"/>
          <w:b/>
          <w:bCs/>
          <w:color w:val="auto"/>
          <w:sz w:val="28"/>
          <w:szCs w:val="28"/>
          <w:highlight w:val="none"/>
          <w:u w:val="single"/>
        </w:rPr>
      </w:pPr>
      <w:r>
        <w:rPr>
          <w:rFonts w:hint="eastAsia" w:ascii="宋体" w:hAnsi="宋体" w:cs="宋体"/>
          <w:b/>
          <w:bCs/>
          <w:color w:val="auto"/>
          <w:sz w:val="28"/>
          <w:szCs w:val="28"/>
          <w:highlight w:val="none"/>
        </w:rPr>
        <w:t>项目编号：</w:t>
      </w:r>
      <w:r>
        <w:rPr>
          <w:rFonts w:hint="eastAsia" w:ascii="宋体" w:hAnsi="宋体" w:eastAsia="宋体" w:cs="宋体"/>
          <w:b/>
          <w:bCs/>
          <w:color w:val="auto"/>
          <w:sz w:val="28"/>
          <w:szCs w:val="28"/>
          <w:highlight w:val="none"/>
          <w:u w:val="single"/>
          <w:lang w:val="en-US" w:eastAsia="zh-CN"/>
        </w:rPr>
        <w:t>ZB202405</w:t>
      </w:r>
    </w:p>
    <w:p>
      <w:pPr>
        <w:spacing w:line="360" w:lineRule="auto"/>
        <w:rPr>
          <w:color w:val="auto"/>
          <w:sz w:val="28"/>
          <w:szCs w:val="28"/>
          <w:highlight w:val="none"/>
        </w:rPr>
      </w:pPr>
    </w:p>
    <w:p>
      <w:pPr>
        <w:spacing w:line="360" w:lineRule="auto"/>
        <w:rPr>
          <w:color w:val="auto"/>
          <w:sz w:val="28"/>
          <w:szCs w:val="28"/>
          <w:highlight w:val="none"/>
        </w:rPr>
      </w:pPr>
    </w:p>
    <w:p>
      <w:pPr>
        <w:spacing w:line="360" w:lineRule="auto"/>
        <w:rPr>
          <w:color w:val="auto"/>
          <w:sz w:val="28"/>
          <w:szCs w:val="28"/>
          <w:highlight w:val="none"/>
        </w:rPr>
      </w:pPr>
    </w:p>
    <w:p>
      <w:pPr>
        <w:spacing w:line="360" w:lineRule="auto"/>
        <w:rPr>
          <w:color w:val="auto"/>
          <w:sz w:val="28"/>
          <w:szCs w:val="28"/>
          <w:highlight w:val="none"/>
        </w:rPr>
      </w:pPr>
    </w:p>
    <w:p>
      <w:pPr>
        <w:spacing w:line="360" w:lineRule="auto"/>
        <w:rPr>
          <w:color w:val="auto"/>
          <w:sz w:val="28"/>
          <w:szCs w:val="28"/>
          <w:highlight w:val="none"/>
        </w:rPr>
      </w:pPr>
    </w:p>
    <w:p>
      <w:pPr>
        <w:spacing w:line="360" w:lineRule="auto"/>
        <w:rPr>
          <w:color w:val="auto"/>
          <w:sz w:val="32"/>
          <w:szCs w:val="32"/>
          <w:highlight w:val="none"/>
        </w:rPr>
      </w:pPr>
    </w:p>
    <w:p>
      <w:pPr>
        <w:spacing w:line="360" w:lineRule="auto"/>
        <w:jc w:val="center"/>
        <w:rPr>
          <w:rFonts w:ascii="黑体" w:eastAsia="黑体"/>
          <w:color w:val="auto"/>
          <w:sz w:val="48"/>
          <w:szCs w:val="48"/>
          <w:highlight w:val="none"/>
        </w:rPr>
      </w:pPr>
      <w:r>
        <w:rPr>
          <w:rFonts w:hint="eastAsia" w:ascii="黑体" w:eastAsia="黑体"/>
          <w:color w:val="auto"/>
          <w:sz w:val="48"/>
          <w:szCs w:val="48"/>
          <w:highlight w:val="none"/>
        </w:rPr>
        <w:t>招标文件</w:t>
      </w:r>
    </w:p>
    <w:p>
      <w:pPr>
        <w:spacing w:line="360" w:lineRule="auto"/>
        <w:rPr>
          <w:color w:val="auto"/>
          <w:sz w:val="22"/>
          <w:szCs w:val="28"/>
          <w:highlight w:val="none"/>
        </w:rPr>
      </w:pPr>
    </w:p>
    <w:p>
      <w:pPr>
        <w:spacing w:line="360" w:lineRule="auto"/>
        <w:rPr>
          <w:color w:val="auto"/>
          <w:sz w:val="22"/>
          <w:szCs w:val="28"/>
          <w:highlight w:val="none"/>
        </w:rPr>
      </w:pPr>
    </w:p>
    <w:p>
      <w:pPr>
        <w:spacing w:line="360" w:lineRule="auto"/>
        <w:rPr>
          <w:color w:val="auto"/>
          <w:sz w:val="22"/>
          <w:szCs w:val="28"/>
          <w:highlight w:val="none"/>
        </w:rPr>
      </w:pPr>
    </w:p>
    <w:p>
      <w:pPr>
        <w:spacing w:line="360" w:lineRule="auto"/>
        <w:rPr>
          <w:color w:val="auto"/>
          <w:sz w:val="22"/>
          <w:szCs w:val="28"/>
          <w:highlight w:val="none"/>
        </w:rPr>
      </w:pPr>
    </w:p>
    <w:p>
      <w:pPr>
        <w:spacing w:line="360" w:lineRule="auto"/>
        <w:rPr>
          <w:color w:val="auto"/>
          <w:highlight w:val="none"/>
        </w:rPr>
      </w:pPr>
    </w:p>
    <w:p>
      <w:pPr>
        <w:spacing w:line="360" w:lineRule="auto"/>
        <w:rPr>
          <w:color w:val="auto"/>
          <w:highlight w:val="none"/>
        </w:rPr>
      </w:pPr>
    </w:p>
    <w:p>
      <w:pPr>
        <w:spacing w:line="360" w:lineRule="auto"/>
        <w:rPr>
          <w:color w:val="auto"/>
          <w:highlight w:val="none"/>
        </w:rPr>
      </w:pPr>
      <w:r>
        <w:rPr>
          <w:color w:val="auto"/>
          <w:highlight w:val="none"/>
        </w:rPr>
        <w:t xml:space="preserve"> </w:t>
      </w:r>
    </w:p>
    <w:p>
      <w:pPr>
        <w:spacing w:line="360" w:lineRule="auto"/>
        <w:rPr>
          <w:color w:val="auto"/>
          <w:highlight w:val="none"/>
        </w:rPr>
      </w:pPr>
    </w:p>
    <w:p>
      <w:pPr>
        <w:spacing w:line="360" w:lineRule="auto"/>
        <w:rPr>
          <w:color w:val="auto"/>
          <w:highlight w:val="none"/>
        </w:rPr>
      </w:pPr>
    </w:p>
    <w:p>
      <w:pPr>
        <w:spacing w:line="360" w:lineRule="auto"/>
        <w:jc w:val="center"/>
        <w:rPr>
          <w:rFonts w:hint="eastAsia" w:ascii="宋体" w:hAnsi="宋体"/>
          <w:b/>
          <w:color w:val="auto"/>
          <w:sz w:val="28"/>
          <w:szCs w:val="28"/>
          <w:highlight w:val="none"/>
        </w:rPr>
      </w:pPr>
    </w:p>
    <w:p>
      <w:pPr>
        <w:spacing w:line="360" w:lineRule="auto"/>
        <w:jc w:val="center"/>
        <w:rPr>
          <w:rFonts w:hint="eastAsia" w:ascii="宋体" w:hAnsi="宋体" w:eastAsia="宋体"/>
          <w:b/>
          <w:color w:val="auto"/>
          <w:sz w:val="28"/>
          <w:szCs w:val="28"/>
          <w:highlight w:val="none"/>
        </w:rPr>
      </w:pPr>
      <w:r>
        <w:rPr>
          <w:rFonts w:hint="eastAsia" w:ascii="宋体" w:hAnsi="宋体" w:eastAsia="宋体"/>
          <w:b/>
          <w:color w:val="auto"/>
          <w:sz w:val="28"/>
          <w:szCs w:val="28"/>
          <w:highlight w:val="none"/>
          <w:u w:val="none"/>
        </w:rPr>
        <w:t>广东省南方传媒发行物流有限公司</w:t>
      </w:r>
    </w:p>
    <w:p>
      <w:pPr>
        <w:spacing w:line="360" w:lineRule="auto"/>
        <w:jc w:val="center"/>
        <w:rPr>
          <w:rFonts w:hint="eastAsia" w:ascii="宋体" w:hAnsi="宋体" w:cs="宋体"/>
          <w:bCs w:val="0"/>
          <w:color w:val="auto"/>
          <w:kern w:val="2"/>
          <w:sz w:val="32"/>
          <w:szCs w:val="32"/>
          <w:highlight w:val="none"/>
        </w:rPr>
      </w:pPr>
      <w:r>
        <w:rPr>
          <w:rFonts w:hint="eastAsia" w:ascii="宋体" w:hAnsi="宋体" w:eastAsia="宋体"/>
          <w:b/>
          <w:color w:val="auto"/>
          <w:sz w:val="28"/>
          <w:szCs w:val="28"/>
          <w:highlight w:val="none"/>
          <w:u w:val="single"/>
        </w:rPr>
        <w:t>202</w:t>
      </w:r>
      <w:r>
        <w:rPr>
          <w:rFonts w:hint="eastAsia" w:ascii="宋体" w:hAnsi="宋体" w:eastAsia="宋体"/>
          <w:b/>
          <w:color w:val="auto"/>
          <w:sz w:val="28"/>
          <w:szCs w:val="28"/>
          <w:highlight w:val="none"/>
          <w:u w:val="single"/>
          <w:lang w:val="en-US" w:eastAsia="zh-CN"/>
        </w:rPr>
        <w:t>4</w:t>
      </w:r>
      <w:r>
        <w:rPr>
          <w:rFonts w:hint="eastAsia" w:ascii="宋体" w:hAnsi="宋体" w:eastAsia="宋体"/>
          <w:b/>
          <w:color w:val="auto"/>
          <w:sz w:val="28"/>
          <w:szCs w:val="28"/>
          <w:highlight w:val="none"/>
        </w:rPr>
        <w:t>年</w:t>
      </w:r>
      <w:r>
        <w:rPr>
          <w:rFonts w:hint="eastAsia" w:ascii="宋体" w:hAnsi="宋体" w:eastAsia="宋体"/>
          <w:b/>
          <w:color w:val="auto"/>
          <w:sz w:val="28"/>
          <w:szCs w:val="28"/>
          <w:highlight w:val="none"/>
          <w:u w:val="single"/>
          <w:lang w:val="en-US" w:eastAsia="zh-CN"/>
        </w:rPr>
        <w:t>4</w:t>
      </w:r>
      <w:r>
        <w:rPr>
          <w:rFonts w:hint="eastAsia" w:ascii="宋体" w:hAnsi="宋体" w:eastAsia="宋体"/>
          <w:b/>
          <w:color w:val="auto"/>
          <w:sz w:val="28"/>
          <w:szCs w:val="28"/>
          <w:highlight w:val="none"/>
        </w:rPr>
        <w:t>月</w:t>
      </w:r>
      <w:bookmarkStart w:id="1" w:name="_Toc19929"/>
      <w:bookmarkStart w:id="2" w:name="_Toc3338"/>
      <w:bookmarkStart w:id="3" w:name="_Toc29810"/>
      <w:bookmarkStart w:id="4" w:name="_Toc21429"/>
      <w:bookmarkStart w:id="5" w:name="_Toc465864141"/>
      <w:bookmarkStart w:id="6" w:name="_Toc29887"/>
      <w:bookmarkStart w:id="7" w:name="_Toc8949"/>
      <w:bookmarkStart w:id="8" w:name="_Toc28234"/>
      <w:bookmarkStart w:id="9" w:name="_Toc10910"/>
      <w:bookmarkStart w:id="10" w:name="_Toc21116"/>
      <w:bookmarkStart w:id="11" w:name="_Toc11838"/>
      <w:bookmarkStart w:id="12" w:name="_Toc30566"/>
      <w:bookmarkStart w:id="13" w:name="_Toc1153"/>
      <w:bookmarkStart w:id="14" w:name="_Toc28295"/>
      <w:bookmarkStart w:id="15" w:name="_Toc31262"/>
      <w:bookmarkStart w:id="16" w:name="_Toc6300"/>
      <w:bookmarkStart w:id="17" w:name="_Toc24084"/>
      <w:bookmarkStart w:id="18" w:name="_Toc18235"/>
      <w:bookmarkStart w:id="19" w:name="_Toc8684"/>
      <w:bookmarkStart w:id="20" w:name="_Toc30195"/>
      <w:bookmarkStart w:id="21" w:name="_Toc30528"/>
      <w:bookmarkStart w:id="22" w:name="_Toc246996900"/>
      <w:bookmarkStart w:id="23" w:name="_Toc144974479"/>
      <w:bookmarkStart w:id="24" w:name="_Toc246996157"/>
      <w:bookmarkStart w:id="25" w:name="_Toc247085671"/>
      <w:bookmarkStart w:id="26" w:name="_Toc152042287"/>
      <w:bookmarkStart w:id="27" w:name="_Toc179632527"/>
      <w:bookmarkStart w:id="28" w:name="_Toc247096243"/>
      <w:bookmarkStart w:id="29" w:name="_Toc436215708"/>
      <w:bookmarkStart w:id="30" w:name="_Toc435178351"/>
      <w:bookmarkStart w:id="31" w:name="_Toc152045511"/>
      <w:bookmarkStart w:id="32" w:name="_Toc496601918"/>
    </w:p>
    <w:p>
      <w:pPr>
        <w:pStyle w:val="5"/>
        <w:spacing w:line="560" w:lineRule="exact"/>
        <w:ind w:firstLine="3213" w:firstLineChars="1000"/>
        <w:jc w:val="both"/>
        <w:rPr>
          <w:rFonts w:hint="eastAsia" w:ascii="宋体" w:hAnsi="宋体" w:cs="宋体"/>
          <w:bCs w:val="0"/>
          <w:color w:val="auto"/>
          <w:kern w:val="2"/>
          <w:sz w:val="32"/>
          <w:szCs w:val="32"/>
          <w:highlight w:val="none"/>
        </w:rPr>
      </w:pPr>
      <w:bookmarkStart w:id="33" w:name="_Toc27418"/>
      <w:bookmarkStart w:id="34" w:name="_Toc15851"/>
    </w:p>
    <w:p>
      <w:pPr>
        <w:pStyle w:val="5"/>
        <w:spacing w:line="560" w:lineRule="exact"/>
        <w:ind w:firstLine="3213" w:firstLineChars="1000"/>
        <w:jc w:val="both"/>
        <w:rPr>
          <w:rFonts w:hint="eastAsia" w:ascii="宋体" w:hAnsi="宋体" w:cs="宋体"/>
          <w:bCs w:val="0"/>
          <w:color w:val="auto"/>
          <w:kern w:val="2"/>
          <w:sz w:val="32"/>
          <w:szCs w:val="32"/>
          <w:highlight w:val="none"/>
        </w:rPr>
      </w:pPr>
      <w:r>
        <w:rPr>
          <w:rFonts w:hint="eastAsia" w:ascii="宋体" w:hAnsi="宋体" w:cs="宋体"/>
          <w:bCs w:val="0"/>
          <w:color w:val="auto"/>
          <w:kern w:val="2"/>
          <w:sz w:val="32"/>
          <w:szCs w:val="32"/>
          <w:highlight w:val="none"/>
        </w:rPr>
        <w:t>目   录</w:t>
      </w:r>
      <w:bookmarkEnd w:id="1"/>
      <w:bookmarkEnd w:id="2"/>
      <w:bookmarkEnd w:id="3"/>
      <w:bookmarkEnd w:id="4"/>
      <w:bookmarkEnd w:id="5"/>
      <w:bookmarkEnd w:id="6"/>
      <w:bookmarkEnd w:id="7"/>
      <w:bookmarkEnd w:id="8"/>
      <w:bookmarkEnd w:id="33"/>
      <w:bookmarkEnd w:id="34"/>
    </w:p>
    <w:p>
      <w:pPr>
        <w:pStyle w:val="28"/>
        <w:tabs>
          <w:tab w:val="right" w:leader="dot" w:pos="8306"/>
        </w:tabs>
        <w:spacing w:line="300" w:lineRule="exact"/>
        <w:rPr>
          <w:rFonts w:ascii="宋体" w:hAnsi="宋体" w:cs="宋体"/>
          <w:bCs w:val="0"/>
          <w:i w:val="0"/>
          <w:iCs w:val="0"/>
          <w:caps w:val="0"/>
          <w:color w:val="auto"/>
          <w:highlight w:val="none"/>
        </w:rPr>
      </w:pPr>
      <w:r>
        <w:rPr>
          <w:i w:val="0"/>
          <w:iCs w:val="0"/>
          <w:color w:val="auto"/>
          <w:highlight w:val="none"/>
        </w:rPr>
        <w:fldChar w:fldCharType="begin"/>
      </w:r>
      <w:r>
        <w:rPr>
          <w:i w:val="0"/>
          <w:iCs w:val="0"/>
          <w:color w:val="auto"/>
          <w:highlight w:val="none"/>
        </w:rPr>
        <w:instrText xml:space="preserve"> HYPERLINK \l "_Toc212" </w:instrText>
      </w:r>
      <w:r>
        <w:rPr>
          <w:i w:val="0"/>
          <w:iCs w:val="0"/>
          <w:color w:val="auto"/>
          <w:highlight w:val="none"/>
        </w:rPr>
        <w:fldChar w:fldCharType="separate"/>
      </w:r>
      <w:r>
        <w:rPr>
          <w:rFonts w:hint="eastAsia" w:ascii="宋体" w:hAnsi="宋体" w:cs="宋体"/>
          <w:i w:val="0"/>
          <w:iCs w:val="0"/>
          <w:color w:val="auto"/>
          <w:highlight w:val="none"/>
        </w:rPr>
        <w:t>招标文件</w:t>
      </w:r>
      <w:r>
        <w:rPr>
          <w:rFonts w:hint="eastAsia" w:ascii="宋体" w:hAnsi="宋体" w:cs="宋体"/>
          <w:i w:val="0"/>
          <w:iCs w:val="0"/>
          <w:color w:val="auto"/>
          <w:highlight w:val="none"/>
        </w:rPr>
        <w:tab/>
      </w:r>
      <w:r>
        <w:rPr>
          <w:rFonts w:hint="eastAsia" w:ascii="宋体" w:hAnsi="宋体" w:cs="宋体"/>
          <w:i w:val="0"/>
          <w:iCs w:val="0"/>
          <w:color w:val="auto"/>
          <w:highlight w:val="none"/>
        </w:rPr>
        <w:fldChar w:fldCharType="end"/>
      </w:r>
      <w:r>
        <w:rPr>
          <w:rFonts w:hint="eastAsia" w:ascii="宋体" w:hAnsi="宋体" w:cs="宋体"/>
          <w:i w:val="0"/>
          <w:iCs w:val="0"/>
          <w:color w:val="auto"/>
          <w:highlight w:val="none"/>
        </w:rPr>
        <w:t>1</w:t>
      </w:r>
    </w:p>
    <w:p>
      <w:pPr>
        <w:pStyle w:val="28"/>
        <w:tabs>
          <w:tab w:val="right" w:leader="dot" w:pos="8312"/>
        </w:tabs>
        <w:rPr>
          <w:color w:val="auto"/>
          <w:highlight w:val="none"/>
        </w:rPr>
      </w:pPr>
      <w:r>
        <w:rPr>
          <w:rFonts w:hint="eastAsia" w:ascii="宋体" w:hAnsi="宋体" w:cs="宋体"/>
          <w:i w:val="0"/>
          <w:iCs w:val="0"/>
          <w:caps w:val="0"/>
          <w:color w:val="auto"/>
          <w:highlight w:val="none"/>
        </w:rPr>
        <w:fldChar w:fldCharType="begin"/>
      </w:r>
      <w:r>
        <w:rPr>
          <w:rFonts w:hint="eastAsia" w:ascii="宋体" w:hAnsi="宋体" w:cs="宋体"/>
          <w:i w:val="0"/>
          <w:iCs w:val="0"/>
          <w:caps w:val="0"/>
          <w:color w:val="auto"/>
          <w:highlight w:val="none"/>
        </w:rPr>
        <w:instrText xml:space="preserve"> TOC \o "1-3" \h \z \u </w:instrText>
      </w:r>
      <w:r>
        <w:rPr>
          <w:rFonts w:hint="eastAsia" w:ascii="宋体" w:hAnsi="宋体" w:cs="宋体"/>
          <w:i w:val="0"/>
          <w:iCs w:val="0"/>
          <w:caps w:val="0"/>
          <w:color w:val="auto"/>
          <w:highlight w:val="none"/>
        </w:rPr>
        <w:fldChar w:fldCharType="separate"/>
      </w: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_Toc27418 </w:instrText>
      </w:r>
      <w:r>
        <w:rPr>
          <w:rFonts w:hint="eastAsia" w:ascii="宋体" w:hAnsi="宋体" w:cs="宋体"/>
          <w:i w:val="0"/>
          <w:iCs w:val="0"/>
          <w:caps/>
          <w:color w:val="auto"/>
          <w:kern w:val="2"/>
          <w:szCs w:val="20"/>
          <w:highlight w:val="none"/>
        </w:rPr>
        <w:fldChar w:fldCharType="separate"/>
      </w:r>
      <w:r>
        <w:rPr>
          <w:rFonts w:hint="eastAsia" w:ascii="宋体" w:hAnsi="宋体" w:cs="宋体"/>
          <w:bCs w:val="0"/>
          <w:color w:val="auto"/>
          <w:kern w:val="2"/>
          <w:szCs w:val="32"/>
          <w:highlight w:val="none"/>
        </w:rPr>
        <w:t>目   录</w:t>
      </w:r>
      <w:r>
        <w:rPr>
          <w:color w:val="auto"/>
          <w:highlight w:val="none"/>
        </w:rPr>
        <w:tab/>
      </w:r>
      <w:r>
        <w:rPr>
          <w:color w:val="auto"/>
          <w:highlight w:val="none"/>
        </w:rPr>
        <w:fldChar w:fldCharType="begin"/>
      </w:r>
      <w:r>
        <w:rPr>
          <w:color w:val="auto"/>
          <w:highlight w:val="none"/>
        </w:rPr>
        <w:instrText xml:space="preserve"> PAGEREF _Toc27418 \h </w:instrText>
      </w:r>
      <w:r>
        <w:rPr>
          <w:color w:val="auto"/>
          <w:highlight w:val="none"/>
        </w:rPr>
        <w:fldChar w:fldCharType="separate"/>
      </w:r>
      <w:r>
        <w:rPr>
          <w:color w:val="auto"/>
          <w:highlight w:val="none"/>
        </w:rPr>
        <w:t>2</w:t>
      </w:r>
      <w:r>
        <w:rPr>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8"/>
        <w:tabs>
          <w:tab w:val="right" w:leader="dot" w:pos="8312"/>
        </w:tabs>
        <w:rPr>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_Toc23165 </w:instrText>
      </w:r>
      <w:r>
        <w:rPr>
          <w:rFonts w:hint="eastAsia" w:ascii="宋体" w:hAnsi="宋体" w:cs="宋体"/>
          <w:i w:val="0"/>
          <w:iCs w:val="0"/>
          <w:caps/>
          <w:color w:val="auto"/>
          <w:kern w:val="2"/>
          <w:szCs w:val="20"/>
          <w:highlight w:val="none"/>
        </w:rPr>
        <w:fldChar w:fldCharType="separate"/>
      </w:r>
      <w:r>
        <w:rPr>
          <w:rFonts w:hint="eastAsia" w:ascii="宋体" w:hAnsi="宋体"/>
          <w:color w:val="auto"/>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_Toc23165 \h </w:instrText>
      </w:r>
      <w:r>
        <w:rPr>
          <w:color w:val="auto"/>
          <w:highlight w:val="none"/>
        </w:rPr>
        <w:fldChar w:fldCharType="separate"/>
      </w:r>
      <w:r>
        <w:rPr>
          <w:color w:val="auto"/>
          <w:highlight w:val="none"/>
        </w:rPr>
        <w:t>4</w:t>
      </w:r>
      <w:r>
        <w:rPr>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_Toc10848 </w:instrText>
      </w:r>
      <w:r>
        <w:rPr>
          <w:rFonts w:hint="eastAsia" w:ascii="宋体" w:hAnsi="宋体" w:cs="宋体"/>
          <w:i w:val="0"/>
          <w:iCs w:val="0"/>
          <w:caps/>
          <w:color w:val="auto"/>
          <w:kern w:val="2"/>
          <w:szCs w:val="20"/>
          <w:highlight w:val="none"/>
        </w:rPr>
        <w:fldChar w:fldCharType="separate"/>
      </w:r>
      <w:r>
        <w:rPr>
          <w:i w:val="0"/>
          <w:iCs w:val="0"/>
          <w:color w:val="auto"/>
          <w:highlight w:val="none"/>
        </w:rPr>
        <w:t>1. 招标条件</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_Toc10848 \h </w:instrText>
      </w:r>
      <w:r>
        <w:rPr>
          <w:i w:val="0"/>
          <w:iCs w:val="0"/>
          <w:color w:val="auto"/>
          <w:highlight w:val="none"/>
        </w:rPr>
        <w:fldChar w:fldCharType="separate"/>
      </w:r>
      <w:r>
        <w:rPr>
          <w:i w:val="0"/>
          <w:iCs w:val="0"/>
          <w:color w:val="auto"/>
          <w:highlight w:val="none"/>
        </w:rPr>
        <w:t>4</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_Toc20991 </w:instrText>
      </w:r>
      <w:r>
        <w:rPr>
          <w:rFonts w:hint="eastAsia" w:ascii="宋体" w:hAnsi="宋体" w:cs="宋体"/>
          <w:i w:val="0"/>
          <w:iCs w:val="0"/>
          <w:caps/>
          <w:color w:val="auto"/>
          <w:kern w:val="2"/>
          <w:szCs w:val="20"/>
          <w:highlight w:val="none"/>
        </w:rPr>
        <w:fldChar w:fldCharType="separate"/>
      </w:r>
      <w:r>
        <w:rPr>
          <w:i w:val="0"/>
          <w:iCs w:val="0"/>
          <w:color w:val="auto"/>
          <w:highlight w:val="none"/>
        </w:rPr>
        <w:t>2. 项目概况</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_Toc20991 \h </w:instrText>
      </w:r>
      <w:r>
        <w:rPr>
          <w:i w:val="0"/>
          <w:iCs w:val="0"/>
          <w:color w:val="auto"/>
          <w:highlight w:val="none"/>
        </w:rPr>
        <w:fldChar w:fldCharType="separate"/>
      </w:r>
      <w:r>
        <w:rPr>
          <w:i w:val="0"/>
          <w:iCs w:val="0"/>
          <w:color w:val="auto"/>
          <w:highlight w:val="none"/>
        </w:rPr>
        <w:t>4</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_Toc254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w:t>
      </w:r>
      <w:r>
        <w:rPr>
          <w:i w:val="0"/>
          <w:iCs w:val="0"/>
          <w:color w:val="auto"/>
          <w:highlight w:val="none"/>
        </w:rPr>
        <w:t xml:space="preserve">. </w:t>
      </w:r>
      <w:r>
        <w:rPr>
          <w:rFonts w:hint="eastAsia"/>
          <w:i w:val="0"/>
          <w:iCs w:val="0"/>
          <w:color w:val="auto"/>
          <w:highlight w:val="none"/>
        </w:rPr>
        <w:t>投标人资格要求</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_Toc254 \h </w:instrText>
      </w:r>
      <w:r>
        <w:rPr>
          <w:i w:val="0"/>
          <w:iCs w:val="0"/>
          <w:color w:val="auto"/>
          <w:highlight w:val="none"/>
        </w:rPr>
        <w:fldChar w:fldCharType="separate"/>
      </w:r>
      <w:r>
        <w:rPr>
          <w:i w:val="0"/>
          <w:iCs w:val="0"/>
          <w:color w:val="auto"/>
          <w:highlight w:val="none"/>
        </w:rPr>
        <w:t>4</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_Toc32608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4. 招标文件的获取</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_Toc32608 \h </w:instrText>
      </w:r>
      <w:r>
        <w:rPr>
          <w:i w:val="0"/>
          <w:iCs w:val="0"/>
          <w:color w:val="auto"/>
          <w:highlight w:val="none"/>
        </w:rPr>
        <w:fldChar w:fldCharType="separate"/>
      </w:r>
      <w:r>
        <w:rPr>
          <w:i w:val="0"/>
          <w:iCs w:val="0"/>
          <w:color w:val="auto"/>
          <w:highlight w:val="none"/>
        </w:rPr>
        <w:t>5</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_Toc11080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5</w:t>
      </w:r>
      <w:r>
        <w:rPr>
          <w:i w:val="0"/>
          <w:iCs w:val="0"/>
          <w:color w:val="auto"/>
          <w:highlight w:val="none"/>
        </w:rPr>
        <w:t>.</w:t>
      </w:r>
      <w:r>
        <w:rPr>
          <w:rFonts w:hint="eastAsia"/>
          <w:i w:val="0"/>
          <w:iCs w:val="0"/>
          <w:color w:val="auto"/>
          <w:highlight w:val="none"/>
        </w:rPr>
        <w:t>投标文件递交</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_Toc11080 \h </w:instrText>
      </w:r>
      <w:r>
        <w:rPr>
          <w:i w:val="0"/>
          <w:iCs w:val="0"/>
          <w:color w:val="auto"/>
          <w:highlight w:val="none"/>
        </w:rPr>
        <w:fldChar w:fldCharType="separate"/>
      </w:r>
      <w:r>
        <w:rPr>
          <w:i w:val="0"/>
          <w:iCs w:val="0"/>
          <w:color w:val="auto"/>
          <w:highlight w:val="none"/>
        </w:rPr>
        <w:t>5</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_Toc5847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6. 开标时间与地点</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_Toc5847 \h </w:instrText>
      </w:r>
      <w:r>
        <w:rPr>
          <w:i w:val="0"/>
          <w:iCs w:val="0"/>
          <w:color w:val="auto"/>
          <w:highlight w:val="none"/>
        </w:rPr>
        <w:fldChar w:fldCharType="separate"/>
      </w:r>
      <w:r>
        <w:rPr>
          <w:i w:val="0"/>
          <w:iCs w:val="0"/>
          <w:color w:val="auto"/>
          <w:highlight w:val="none"/>
        </w:rPr>
        <w:t>6</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_Toc6411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7. 发布公告的媒介</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_Toc6411 \h </w:instrText>
      </w:r>
      <w:r>
        <w:rPr>
          <w:i w:val="0"/>
          <w:iCs w:val="0"/>
          <w:color w:val="auto"/>
          <w:highlight w:val="none"/>
        </w:rPr>
        <w:fldChar w:fldCharType="separate"/>
      </w:r>
      <w:r>
        <w:rPr>
          <w:i w:val="0"/>
          <w:iCs w:val="0"/>
          <w:color w:val="auto"/>
          <w:highlight w:val="none"/>
        </w:rPr>
        <w:t>6</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_Toc19386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8</w:t>
      </w:r>
      <w:r>
        <w:rPr>
          <w:i w:val="0"/>
          <w:iCs w:val="0"/>
          <w:color w:val="auto"/>
          <w:highlight w:val="none"/>
        </w:rPr>
        <w:t>. 联系方式</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_Toc19386 \h </w:instrText>
      </w:r>
      <w:r>
        <w:rPr>
          <w:i w:val="0"/>
          <w:iCs w:val="0"/>
          <w:color w:val="auto"/>
          <w:highlight w:val="none"/>
        </w:rPr>
        <w:fldChar w:fldCharType="separate"/>
      </w:r>
      <w:r>
        <w:rPr>
          <w:i w:val="0"/>
          <w:iCs w:val="0"/>
          <w:color w:val="auto"/>
          <w:highlight w:val="none"/>
        </w:rPr>
        <w:t>6</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_Toc12280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附件：投标登记表</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_Toc12280 \h </w:instrText>
      </w:r>
      <w:r>
        <w:rPr>
          <w:i w:val="0"/>
          <w:iCs w:val="0"/>
          <w:color w:val="auto"/>
          <w:highlight w:val="none"/>
        </w:rPr>
        <w:fldChar w:fldCharType="separate"/>
      </w:r>
      <w:r>
        <w:rPr>
          <w:i w:val="0"/>
          <w:iCs w:val="0"/>
          <w:color w:val="auto"/>
          <w:highlight w:val="none"/>
        </w:rPr>
        <w:t>7</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_Toc21964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投标登记表</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_Toc21964 \h </w:instrText>
      </w:r>
      <w:r>
        <w:rPr>
          <w:i w:val="0"/>
          <w:iCs w:val="0"/>
          <w:color w:val="auto"/>
          <w:highlight w:val="none"/>
        </w:rPr>
        <w:fldChar w:fldCharType="separate"/>
      </w:r>
      <w:r>
        <w:rPr>
          <w:i w:val="0"/>
          <w:iCs w:val="0"/>
          <w:color w:val="auto"/>
          <w:highlight w:val="none"/>
        </w:rPr>
        <w:t>7</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8"/>
        <w:tabs>
          <w:tab w:val="right" w:leader="dot" w:pos="8312"/>
        </w:tabs>
        <w:rPr>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_Toc22099 </w:instrText>
      </w:r>
      <w:r>
        <w:rPr>
          <w:rFonts w:hint="eastAsia" w:ascii="宋体" w:hAnsi="宋体" w:cs="宋体"/>
          <w:i w:val="0"/>
          <w:iCs w:val="0"/>
          <w:caps/>
          <w:color w:val="auto"/>
          <w:kern w:val="2"/>
          <w:szCs w:val="20"/>
          <w:highlight w:val="none"/>
        </w:rPr>
        <w:fldChar w:fldCharType="separate"/>
      </w:r>
      <w:r>
        <w:rPr>
          <w:rFonts w:hint="eastAsia"/>
          <w:color w:val="auto"/>
          <w:highlight w:val="none"/>
        </w:rPr>
        <w:t>第二章 投标人须知</w:t>
      </w:r>
      <w:r>
        <w:rPr>
          <w:color w:val="auto"/>
          <w:highlight w:val="none"/>
        </w:rPr>
        <w:tab/>
      </w:r>
      <w:r>
        <w:rPr>
          <w:color w:val="auto"/>
          <w:highlight w:val="none"/>
        </w:rPr>
        <w:fldChar w:fldCharType="begin"/>
      </w:r>
      <w:r>
        <w:rPr>
          <w:color w:val="auto"/>
          <w:highlight w:val="none"/>
        </w:rPr>
        <w:instrText xml:space="preserve"> PAGEREF _Toc22099 \h </w:instrText>
      </w:r>
      <w:r>
        <w:rPr>
          <w:color w:val="auto"/>
          <w:highlight w:val="none"/>
        </w:rPr>
        <w:fldChar w:fldCharType="separate"/>
      </w:r>
      <w:r>
        <w:rPr>
          <w:color w:val="auto"/>
          <w:highlight w:val="none"/>
        </w:rPr>
        <w:t>8</w:t>
      </w:r>
      <w:r>
        <w:rPr>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_Toc419 </w:instrText>
      </w:r>
      <w:r>
        <w:rPr>
          <w:rFonts w:hint="eastAsia" w:ascii="宋体" w:hAnsi="宋体" w:cs="宋体"/>
          <w:i w:val="0"/>
          <w:iCs w:val="0"/>
          <w:caps/>
          <w:color w:val="auto"/>
          <w:kern w:val="2"/>
          <w:szCs w:val="20"/>
          <w:highlight w:val="none"/>
        </w:rPr>
        <w:fldChar w:fldCharType="separate"/>
      </w:r>
      <w:r>
        <w:rPr>
          <w:rFonts w:hint="eastAsia"/>
          <w:color w:val="auto"/>
          <w:highlight w:val="none"/>
        </w:rPr>
        <w:t>投标人须知前附表</w:t>
      </w:r>
      <w:r>
        <w:rPr>
          <w:color w:val="auto"/>
          <w:highlight w:val="none"/>
        </w:rPr>
        <w:tab/>
      </w:r>
      <w:r>
        <w:rPr>
          <w:color w:val="auto"/>
          <w:highlight w:val="none"/>
        </w:rPr>
        <w:fldChar w:fldCharType="begin"/>
      </w:r>
      <w:r>
        <w:rPr>
          <w:color w:val="auto"/>
          <w:highlight w:val="none"/>
        </w:rPr>
        <w:instrText xml:space="preserve"> PAGEREF _Toc419 \h </w:instrText>
      </w:r>
      <w:r>
        <w:rPr>
          <w:color w:val="auto"/>
          <w:highlight w:val="none"/>
        </w:rPr>
        <w:fldChar w:fldCharType="separate"/>
      </w:r>
      <w:r>
        <w:rPr>
          <w:color w:val="auto"/>
          <w:highlight w:val="none"/>
        </w:rPr>
        <w:t>8</w:t>
      </w:r>
      <w:r>
        <w:rPr>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_Toc12345 </w:instrText>
      </w:r>
      <w:r>
        <w:rPr>
          <w:rFonts w:hint="eastAsia" w:ascii="宋体" w:hAnsi="宋体" w:cs="宋体"/>
          <w:i w:val="0"/>
          <w:iCs w:val="0"/>
          <w:caps/>
          <w:color w:val="auto"/>
          <w:kern w:val="2"/>
          <w:szCs w:val="20"/>
          <w:highlight w:val="none"/>
        </w:rPr>
        <w:fldChar w:fldCharType="separate"/>
      </w:r>
      <w:r>
        <w:rPr>
          <w:rFonts w:hint="eastAsia"/>
          <w:color w:val="auto"/>
          <w:highlight w:val="none"/>
        </w:rPr>
        <w:t>1. 总则</w:t>
      </w:r>
      <w:r>
        <w:rPr>
          <w:color w:val="auto"/>
          <w:highlight w:val="none"/>
        </w:rPr>
        <w:tab/>
      </w:r>
      <w:r>
        <w:rPr>
          <w:color w:val="auto"/>
          <w:highlight w:val="none"/>
        </w:rPr>
        <w:fldChar w:fldCharType="begin"/>
      </w:r>
      <w:r>
        <w:rPr>
          <w:color w:val="auto"/>
          <w:highlight w:val="none"/>
        </w:rPr>
        <w:instrText xml:space="preserve"> PAGEREF _Toc12345 \h </w:instrText>
      </w:r>
      <w:r>
        <w:rPr>
          <w:color w:val="auto"/>
          <w:highlight w:val="none"/>
        </w:rPr>
        <w:fldChar w:fldCharType="separate"/>
      </w:r>
      <w:r>
        <w:rPr>
          <w:color w:val="auto"/>
          <w:highlight w:val="none"/>
        </w:rPr>
        <w:t>10</w:t>
      </w:r>
      <w:r>
        <w:rPr>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_Toc11611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1.1 项目概况</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_Toc11611 \h </w:instrText>
      </w:r>
      <w:r>
        <w:rPr>
          <w:i w:val="0"/>
          <w:iCs w:val="0"/>
          <w:color w:val="auto"/>
          <w:highlight w:val="none"/>
        </w:rPr>
        <w:fldChar w:fldCharType="separate"/>
      </w:r>
      <w:r>
        <w:rPr>
          <w:i w:val="0"/>
          <w:iCs w:val="0"/>
          <w:color w:val="auto"/>
          <w:highlight w:val="none"/>
        </w:rPr>
        <w:t>10</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_Toc3064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1.2 资金来源和落实情况</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_Toc3064 \h </w:instrText>
      </w:r>
      <w:r>
        <w:rPr>
          <w:i w:val="0"/>
          <w:iCs w:val="0"/>
          <w:color w:val="auto"/>
          <w:highlight w:val="none"/>
        </w:rPr>
        <w:fldChar w:fldCharType="separate"/>
      </w:r>
      <w:r>
        <w:rPr>
          <w:i w:val="0"/>
          <w:iCs w:val="0"/>
          <w:color w:val="auto"/>
          <w:highlight w:val="none"/>
        </w:rPr>
        <w:t>10</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_Toc23560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1.3 招标质量要求</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_Toc23560 \h </w:instrText>
      </w:r>
      <w:r>
        <w:rPr>
          <w:i w:val="0"/>
          <w:iCs w:val="0"/>
          <w:color w:val="auto"/>
          <w:highlight w:val="none"/>
        </w:rPr>
        <w:fldChar w:fldCharType="separate"/>
      </w:r>
      <w:r>
        <w:rPr>
          <w:i w:val="0"/>
          <w:iCs w:val="0"/>
          <w:color w:val="auto"/>
          <w:highlight w:val="none"/>
        </w:rPr>
        <w:t>10</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_Toc7761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1.4 合格投标人</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_Toc7761 \h </w:instrText>
      </w:r>
      <w:r>
        <w:rPr>
          <w:i w:val="0"/>
          <w:iCs w:val="0"/>
          <w:color w:val="auto"/>
          <w:highlight w:val="none"/>
        </w:rPr>
        <w:fldChar w:fldCharType="separate"/>
      </w:r>
      <w:r>
        <w:rPr>
          <w:i w:val="0"/>
          <w:iCs w:val="0"/>
          <w:color w:val="auto"/>
          <w:highlight w:val="none"/>
        </w:rPr>
        <w:t>10</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_Toc7547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1.5 费用承担</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_Toc7547 \h </w:instrText>
      </w:r>
      <w:r>
        <w:rPr>
          <w:i w:val="0"/>
          <w:iCs w:val="0"/>
          <w:color w:val="auto"/>
          <w:highlight w:val="none"/>
        </w:rPr>
        <w:fldChar w:fldCharType="separate"/>
      </w:r>
      <w:r>
        <w:rPr>
          <w:i w:val="0"/>
          <w:iCs w:val="0"/>
          <w:color w:val="auto"/>
          <w:highlight w:val="none"/>
        </w:rPr>
        <w:t>11</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_Toc30108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1.6 保密</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_Toc30108 \h </w:instrText>
      </w:r>
      <w:r>
        <w:rPr>
          <w:i w:val="0"/>
          <w:iCs w:val="0"/>
          <w:color w:val="auto"/>
          <w:highlight w:val="none"/>
        </w:rPr>
        <w:fldChar w:fldCharType="separate"/>
      </w:r>
      <w:r>
        <w:rPr>
          <w:i w:val="0"/>
          <w:iCs w:val="0"/>
          <w:color w:val="auto"/>
          <w:highlight w:val="none"/>
        </w:rPr>
        <w:t>11</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_Toc13648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1.7 语言文字</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_Toc13648 \h </w:instrText>
      </w:r>
      <w:r>
        <w:rPr>
          <w:i w:val="0"/>
          <w:iCs w:val="0"/>
          <w:color w:val="auto"/>
          <w:highlight w:val="none"/>
        </w:rPr>
        <w:fldChar w:fldCharType="separate"/>
      </w:r>
      <w:r>
        <w:rPr>
          <w:i w:val="0"/>
          <w:iCs w:val="0"/>
          <w:color w:val="auto"/>
          <w:highlight w:val="none"/>
        </w:rPr>
        <w:t>11</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_Toc797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1.8 计量单位</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_Toc797 \h </w:instrText>
      </w:r>
      <w:r>
        <w:rPr>
          <w:i w:val="0"/>
          <w:iCs w:val="0"/>
          <w:color w:val="auto"/>
          <w:highlight w:val="none"/>
        </w:rPr>
        <w:fldChar w:fldCharType="separate"/>
      </w:r>
      <w:r>
        <w:rPr>
          <w:i w:val="0"/>
          <w:iCs w:val="0"/>
          <w:color w:val="auto"/>
          <w:highlight w:val="none"/>
        </w:rPr>
        <w:t>11</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_Toc874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2. 招标文件</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_Toc874 \h </w:instrText>
      </w:r>
      <w:r>
        <w:rPr>
          <w:i w:val="0"/>
          <w:iCs w:val="0"/>
          <w:color w:val="auto"/>
          <w:highlight w:val="none"/>
        </w:rPr>
        <w:fldChar w:fldCharType="separate"/>
      </w:r>
      <w:r>
        <w:rPr>
          <w:i w:val="0"/>
          <w:iCs w:val="0"/>
          <w:color w:val="auto"/>
          <w:highlight w:val="none"/>
        </w:rPr>
        <w:t>11</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_Toc21528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2.1 招标文件的组成</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_Toc21528 \h </w:instrText>
      </w:r>
      <w:r>
        <w:rPr>
          <w:i w:val="0"/>
          <w:iCs w:val="0"/>
          <w:color w:val="auto"/>
          <w:highlight w:val="none"/>
        </w:rPr>
        <w:fldChar w:fldCharType="separate"/>
      </w:r>
      <w:r>
        <w:rPr>
          <w:i w:val="0"/>
          <w:iCs w:val="0"/>
          <w:color w:val="auto"/>
          <w:highlight w:val="none"/>
        </w:rPr>
        <w:t>11</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_Toc319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2.2 招标文件的澄清</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_Toc319 \h </w:instrText>
      </w:r>
      <w:r>
        <w:rPr>
          <w:i w:val="0"/>
          <w:iCs w:val="0"/>
          <w:color w:val="auto"/>
          <w:highlight w:val="none"/>
        </w:rPr>
        <w:fldChar w:fldCharType="separate"/>
      </w:r>
      <w:r>
        <w:rPr>
          <w:i w:val="0"/>
          <w:iCs w:val="0"/>
          <w:color w:val="auto"/>
          <w:highlight w:val="none"/>
        </w:rPr>
        <w:t>12</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_Toc8288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2.3 招标文件的修改</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_Toc8288 \h </w:instrText>
      </w:r>
      <w:r>
        <w:rPr>
          <w:i w:val="0"/>
          <w:iCs w:val="0"/>
          <w:color w:val="auto"/>
          <w:highlight w:val="none"/>
        </w:rPr>
        <w:fldChar w:fldCharType="separate"/>
      </w:r>
      <w:r>
        <w:rPr>
          <w:i w:val="0"/>
          <w:iCs w:val="0"/>
          <w:color w:val="auto"/>
          <w:highlight w:val="none"/>
        </w:rPr>
        <w:t>12</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_Toc683 </w:instrText>
      </w:r>
      <w:r>
        <w:rPr>
          <w:rFonts w:hint="eastAsia" w:ascii="宋体" w:hAnsi="宋体" w:cs="宋体"/>
          <w:i w:val="0"/>
          <w:iCs w:val="0"/>
          <w:caps/>
          <w:color w:val="auto"/>
          <w:kern w:val="2"/>
          <w:szCs w:val="20"/>
          <w:highlight w:val="none"/>
        </w:rPr>
        <w:fldChar w:fldCharType="separate"/>
      </w:r>
      <w:r>
        <w:rPr>
          <w:i w:val="0"/>
          <w:iCs w:val="0"/>
          <w:color w:val="auto"/>
          <w:highlight w:val="none"/>
        </w:rPr>
        <w:t>2.4 招标文件的异议</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_Toc683 \h </w:instrText>
      </w:r>
      <w:r>
        <w:rPr>
          <w:i w:val="0"/>
          <w:iCs w:val="0"/>
          <w:color w:val="auto"/>
          <w:highlight w:val="none"/>
        </w:rPr>
        <w:fldChar w:fldCharType="separate"/>
      </w:r>
      <w:r>
        <w:rPr>
          <w:i w:val="0"/>
          <w:iCs w:val="0"/>
          <w:color w:val="auto"/>
          <w:highlight w:val="none"/>
        </w:rPr>
        <w:t>13</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_Toc17009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 投标文件</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_Toc17009 \h </w:instrText>
      </w:r>
      <w:r>
        <w:rPr>
          <w:i w:val="0"/>
          <w:iCs w:val="0"/>
          <w:color w:val="auto"/>
          <w:highlight w:val="none"/>
        </w:rPr>
        <w:fldChar w:fldCharType="separate"/>
      </w:r>
      <w:r>
        <w:rPr>
          <w:i w:val="0"/>
          <w:iCs w:val="0"/>
          <w:color w:val="auto"/>
          <w:highlight w:val="none"/>
        </w:rPr>
        <w:t>13</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_Toc7707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3.1 投标文件的组成</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_Toc7707 \h </w:instrText>
      </w:r>
      <w:r>
        <w:rPr>
          <w:i w:val="0"/>
          <w:iCs w:val="0"/>
          <w:color w:val="auto"/>
          <w:highlight w:val="none"/>
        </w:rPr>
        <w:fldChar w:fldCharType="separate"/>
      </w:r>
      <w:r>
        <w:rPr>
          <w:i w:val="0"/>
          <w:iCs w:val="0"/>
          <w:color w:val="auto"/>
          <w:highlight w:val="none"/>
        </w:rPr>
        <w:t>13</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_Toc3419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3.2 投标报价</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_Toc3419 \h </w:instrText>
      </w:r>
      <w:r>
        <w:rPr>
          <w:i w:val="0"/>
          <w:iCs w:val="0"/>
          <w:color w:val="auto"/>
          <w:highlight w:val="none"/>
        </w:rPr>
        <w:fldChar w:fldCharType="separate"/>
      </w:r>
      <w:r>
        <w:rPr>
          <w:i w:val="0"/>
          <w:iCs w:val="0"/>
          <w:color w:val="auto"/>
          <w:highlight w:val="none"/>
        </w:rPr>
        <w:t>13</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_Toc32592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3.3 投标有效期</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_Toc32592 \h </w:instrText>
      </w:r>
      <w:r>
        <w:rPr>
          <w:i w:val="0"/>
          <w:iCs w:val="0"/>
          <w:color w:val="auto"/>
          <w:highlight w:val="none"/>
        </w:rPr>
        <w:fldChar w:fldCharType="separate"/>
      </w:r>
      <w:r>
        <w:rPr>
          <w:i w:val="0"/>
          <w:iCs w:val="0"/>
          <w:color w:val="auto"/>
          <w:highlight w:val="none"/>
        </w:rPr>
        <w:t>13</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_Toc16654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3.4 投标保证金</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_Toc16654 \h </w:instrText>
      </w:r>
      <w:r>
        <w:rPr>
          <w:i w:val="0"/>
          <w:iCs w:val="0"/>
          <w:color w:val="auto"/>
          <w:highlight w:val="none"/>
        </w:rPr>
        <w:fldChar w:fldCharType="separate"/>
      </w:r>
      <w:r>
        <w:rPr>
          <w:i w:val="0"/>
          <w:iCs w:val="0"/>
          <w:color w:val="auto"/>
          <w:highlight w:val="none"/>
        </w:rPr>
        <w:t>14</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_Toc414 </w:instrText>
      </w:r>
      <w:r>
        <w:rPr>
          <w:rFonts w:hint="eastAsia" w:ascii="宋体" w:hAnsi="宋体" w:cs="宋体"/>
          <w:i w:val="0"/>
          <w:iCs w:val="0"/>
          <w:caps/>
          <w:color w:val="auto"/>
          <w:kern w:val="2"/>
          <w:szCs w:val="20"/>
          <w:highlight w:val="none"/>
        </w:rPr>
        <w:fldChar w:fldCharType="separate"/>
      </w:r>
      <w:r>
        <w:rPr>
          <w:i w:val="0"/>
          <w:iCs w:val="0"/>
          <w:color w:val="auto"/>
          <w:highlight w:val="none"/>
        </w:rPr>
        <w:t>3.5 资格审查资料</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_Toc414 \h </w:instrText>
      </w:r>
      <w:r>
        <w:rPr>
          <w:i w:val="0"/>
          <w:iCs w:val="0"/>
          <w:color w:val="auto"/>
          <w:highlight w:val="none"/>
        </w:rPr>
        <w:fldChar w:fldCharType="separate"/>
      </w:r>
      <w:r>
        <w:rPr>
          <w:i w:val="0"/>
          <w:iCs w:val="0"/>
          <w:color w:val="auto"/>
          <w:highlight w:val="none"/>
        </w:rPr>
        <w:t>14</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_Toc3445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3.6投标文件的编制和数量</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_Toc3445 \h </w:instrText>
      </w:r>
      <w:r>
        <w:rPr>
          <w:i w:val="0"/>
          <w:iCs w:val="0"/>
          <w:color w:val="auto"/>
          <w:highlight w:val="none"/>
        </w:rPr>
        <w:fldChar w:fldCharType="separate"/>
      </w:r>
      <w:r>
        <w:rPr>
          <w:i w:val="0"/>
          <w:iCs w:val="0"/>
          <w:color w:val="auto"/>
          <w:highlight w:val="none"/>
        </w:rPr>
        <w:t>15</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_Toc25872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4. 投标</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_Toc25872 \h </w:instrText>
      </w:r>
      <w:r>
        <w:rPr>
          <w:i w:val="0"/>
          <w:iCs w:val="0"/>
          <w:color w:val="auto"/>
          <w:highlight w:val="none"/>
        </w:rPr>
        <w:fldChar w:fldCharType="separate"/>
      </w:r>
      <w:r>
        <w:rPr>
          <w:i w:val="0"/>
          <w:iCs w:val="0"/>
          <w:color w:val="auto"/>
          <w:highlight w:val="none"/>
        </w:rPr>
        <w:t>15</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_Toc460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4.1 投标文件的密封和标记</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_Toc460 \h </w:instrText>
      </w:r>
      <w:r>
        <w:rPr>
          <w:i w:val="0"/>
          <w:iCs w:val="0"/>
          <w:color w:val="auto"/>
          <w:highlight w:val="none"/>
        </w:rPr>
        <w:fldChar w:fldCharType="separate"/>
      </w:r>
      <w:r>
        <w:rPr>
          <w:i w:val="0"/>
          <w:iCs w:val="0"/>
          <w:color w:val="auto"/>
          <w:highlight w:val="none"/>
        </w:rPr>
        <w:t>15</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_Toc16925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4.2 投标文件的递交</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_Toc16925 \h </w:instrText>
      </w:r>
      <w:r>
        <w:rPr>
          <w:i w:val="0"/>
          <w:iCs w:val="0"/>
          <w:color w:val="auto"/>
          <w:highlight w:val="none"/>
        </w:rPr>
        <w:fldChar w:fldCharType="separate"/>
      </w:r>
      <w:r>
        <w:rPr>
          <w:i w:val="0"/>
          <w:iCs w:val="0"/>
          <w:color w:val="auto"/>
          <w:highlight w:val="none"/>
        </w:rPr>
        <w:t>16</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_Toc31245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4.3 投标文件的修改与撤回</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_Toc31245 \h </w:instrText>
      </w:r>
      <w:r>
        <w:rPr>
          <w:i w:val="0"/>
          <w:iCs w:val="0"/>
          <w:color w:val="auto"/>
          <w:highlight w:val="none"/>
        </w:rPr>
        <w:fldChar w:fldCharType="separate"/>
      </w:r>
      <w:r>
        <w:rPr>
          <w:i w:val="0"/>
          <w:iCs w:val="0"/>
          <w:color w:val="auto"/>
          <w:highlight w:val="none"/>
        </w:rPr>
        <w:t>16</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_Toc29253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5. 开标</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_Toc29253 \h </w:instrText>
      </w:r>
      <w:r>
        <w:rPr>
          <w:i w:val="0"/>
          <w:iCs w:val="0"/>
          <w:color w:val="auto"/>
          <w:highlight w:val="none"/>
        </w:rPr>
        <w:fldChar w:fldCharType="separate"/>
      </w:r>
      <w:r>
        <w:rPr>
          <w:i w:val="0"/>
          <w:iCs w:val="0"/>
          <w:color w:val="auto"/>
          <w:highlight w:val="none"/>
        </w:rPr>
        <w:t>16</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_Toc18805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5.1 开标时间和地点</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_Toc18805 \h </w:instrText>
      </w:r>
      <w:r>
        <w:rPr>
          <w:i w:val="0"/>
          <w:iCs w:val="0"/>
          <w:color w:val="auto"/>
          <w:highlight w:val="none"/>
        </w:rPr>
        <w:fldChar w:fldCharType="separate"/>
      </w:r>
      <w:r>
        <w:rPr>
          <w:i w:val="0"/>
          <w:iCs w:val="0"/>
          <w:color w:val="auto"/>
          <w:highlight w:val="none"/>
        </w:rPr>
        <w:t>16</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_Toc25734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5.2 开标程序</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_Toc25734 \h </w:instrText>
      </w:r>
      <w:r>
        <w:rPr>
          <w:i w:val="0"/>
          <w:iCs w:val="0"/>
          <w:color w:val="auto"/>
          <w:highlight w:val="none"/>
        </w:rPr>
        <w:fldChar w:fldCharType="separate"/>
      </w:r>
      <w:r>
        <w:rPr>
          <w:i w:val="0"/>
          <w:iCs w:val="0"/>
          <w:color w:val="auto"/>
          <w:highlight w:val="none"/>
        </w:rPr>
        <w:t>16</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_Toc20705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5.3开标异议</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_Toc20705 \h </w:instrText>
      </w:r>
      <w:r>
        <w:rPr>
          <w:i w:val="0"/>
          <w:iCs w:val="0"/>
          <w:color w:val="auto"/>
          <w:highlight w:val="none"/>
        </w:rPr>
        <w:fldChar w:fldCharType="separate"/>
      </w:r>
      <w:r>
        <w:rPr>
          <w:i w:val="0"/>
          <w:iCs w:val="0"/>
          <w:color w:val="auto"/>
          <w:highlight w:val="none"/>
        </w:rPr>
        <w:t>17</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_Toc13531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6.评标</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_Toc13531 \h </w:instrText>
      </w:r>
      <w:r>
        <w:rPr>
          <w:i w:val="0"/>
          <w:iCs w:val="0"/>
          <w:color w:val="auto"/>
          <w:highlight w:val="none"/>
        </w:rPr>
        <w:fldChar w:fldCharType="separate"/>
      </w:r>
      <w:r>
        <w:rPr>
          <w:i w:val="0"/>
          <w:iCs w:val="0"/>
          <w:color w:val="auto"/>
          <w:highlight w:val="none"/>
        </w:rPr>
        <w:t>17</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_Toc10429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6.1 评标委员会</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_Toc10429 \h </w:instrText>
      </w:r>
      <w:r>
        <w:rPr>
          <w:i w:val="0"/>
          <w:iCs w:val="0"/>
          <w:color w:val="auto"/>
          <w:highlight w:val="none"/>
        </w:rPr>
        <w:fldChar w:fldCharType="separate"/>
      </w:r>
      <w:r>
        <w:rPr>
          <w:i w:val="0"/>
          <w:iCs w:val="0"/>
          <w:color w:val="auto"/>
          <w:highlight w:val="none"/>
        </w:rPr>
        <w:t>17</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_Toc23762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6.2 评标原则</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_Toc23762 \h </w:instrText>
      </w:r>
      <w:r>
        <w:rPr>
          <w:i w:val="0"/>
          <w:iCs w:val="0"/>
          <w:color w:val="auto"/>
          <w:highlight w:val="none"/>
        </w:rPr>
        <w:fldChar w:fldCharType="separate"/>
      </w:r>
      <w:r>
        <w:rPr>
          <w:i w:val="0"/>
          <w:iCs w:val="0"/>
          <w:color w:val="auto"/>
          <w:highlight w:val="none"/>
        </w:rPr>
        <w:t>17</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_Toc981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6.3 评标</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_Toc981 \h </w:instrText>
      </w:r>
      <w:r>
        <w:rPr>
          <w:i w:val="0"/>
          <w:iCs w:val="0"/>
          <w:color w:val="auto"/>
          <w:highlight w:val="none"/>
        </w:rPr>
        <w:fldChar w:fldCharType="separate"/>
      </w:r>
      <w:r>
        <w:rPr>
          <w:i w:val="0"/>
          <w:iCs w:val="0"/>
          <w:color w:val="auto"/>
          <w:highlight w:val="none"/>
        </w:rPr>
        <w:t>18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_Toc11701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7. 合同授予</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_Toc11701 \h </w:instrText>
      </w:r>
      <w:r>
        <w:rPr>
          <w:i w:val="0"/>
          <w:iCs w:val="0"/>
          <w:color w:val="auto"/>
          <w:highlight w:val="none"/>
        </w:rPr>
        <w:fldChar w:fldCharType="separate"/>
      </w:r>
      <w:r>
        <w:rPr>
          <w:i w:val="0"/>
          <w:iCs w:val="0"/>
          <w:color w:val="auto"/>
          <w:highlight w:val="none"/>
        </w:rPr>
        <w:t>18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_Toc22858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7.1 定标方式</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_Toc22858 \h </w:instrText>
      </w:r>
      <w:r>
        <w:rPr>
          <w:i w:val="0"/>
          <w:iCs w:val="0"/>
          <w:color w:val="auto"/>
          <w:highlight w:val="none"/>
        </w:rPr>
        <w:fldChar w:fldCharType="separate"/>
      </w:r>
      <w:r>
        <w:rPr>
          <w:i w:val="0"/>
          <w:iCs w:val="0"/>
          <w:color w:val="auto"/>
          <w:highlight w:val="none"/>
        </w:rPr>
        <w:t>18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_Toc2331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7.2 中标候选人公示</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_Toc2331 \h </w:instrText>
      </w:r>
      <w:r>
        <w:rPr>
          <w:i w:val="0"/>
          <w:iCs w:val="0"/>
          <w:color w:val="auto"/>
          <w:highlight w:val="none"/>
        </w:rPr>
        <w:fldChar w:fldCharType="separate"/>
      </w:r>
      <w:r>
        <w:rPr>
          <w:i w:val="0"/>
          <w:iCs w:val="0"/>
          <w:color w:val="auto"/>
          <w:highlight w:val="none"/>
        </w:rPr>
        <w:t>18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_Toc5997 </w:instrText>
      </w:r>
      <w:r>
        <w:rPr>
          <w:rFonts w:hint="eastAsia" w:ascii="宋体" w:hAnsi="宋体" w:cs="宋体"/>
          <w:i w:val="0"/>
          <w:iCs w:val="0"/>
          <w:caps/>
          <w:color w:val="auto"/>
          <w:kern w:val="2"/>
          <w:szCs w:val="20"/>
          <w:highlight w:val="none"/>
        </w:rPr>
        <w:fldChar w:fldCharType="separate"/>
      </w:r>
      <w:r>
        <w:rPr>
          <w:i w:val="0"/>
          <w:iCs w:val="0"/>
          <w:color w:val="auto"/>
          <w:highlight w:val="none"/>
        </w:rPr>
        <w:t>7.2 评标结果异议</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_Toc5997 \h </w:instrText>
      </w:r>
      <w:r>
        <w:rPr>
          <w:i w:val="0"/>
          <w:iCs w:val="0"/>
          <w:color w:val="auto"/>
          <w:highlight w:val="none"/>
        </w:rPr>
        <w:fldChar w:fldCharType="separate"/>
      </w:r>
      <w:r>
        <w:rPr>
          <w:i w:val="0"/>
          <w:iCs w:val="0"/>
          <w:color w:val="auto"/>
          <w:highlight w:val="none"/>
        </w:rPr>
        <w:t>18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_Toc13016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7.3中标候选人履约能力审查</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_Toc13016 \h </w:instrText>
      </w:r>
      <w:r>
        <w:rPr>
          <w:i w:val="0"/>
          <w:iCs w:val="0"/>
          <w:color w:val="auto"/>
          <w:highlight w:val="none"/>
        </w:rPr>
        <w:fldChar w:fldCharType="separate"/>
      </w:r>
      <w:r>
        <w:rPr>
          <w:i w:val="0"/>
          <w:iCs w:val="0"/>
          <w:color w:val="auto"/>
          <w:highlight w:val="none"/>
        </w:rPr>
        <w:t>18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_Toc28254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7.4 中标通知</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_Toc28254 \h </w:instrText>
      </w:r>
      <w:r>
        <w:rPr>
          <w:i w:val="0"/>
          <w:iCs w:val="0"/>
          <w:color w:val="auto"/>
          <w:highlight w:val="none"/>
        </w:rPr>
        <w:fldChar w:fldCharType="separate"/>
      </w:r>
      <w:r>
        <w:rPr>
          <w:i w:val="0"/>
          <w:iCs w:val="0"/>
          <w:color w:val="auto"/>
          <w:highlight w:val="none"/>
        </w:rPr>
        <w:t>18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_Toc12205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7.5 签订合同</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_Toc12205 \h </w:instrText>
      </w:r>
      <w:r>
        <w:rPr>
          <w:i w:val="0"/>
          <w:iCs w:val="0"/>
          <w:color w:val="auto"/>
          <w:highlight w:val="none"/>
        </w:rPr>
        <w:fldChar w:fldCharType="separate"/>
      </w:r>
      <w:r>
        <w:rPr>
          <w:i w:val="0"/>
          <w:iCs w:val="0"/>
          <w:color w:val="auto"/>
          <w:highlight w:val="none"/>
        </w:rPr>
        <w:t>18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_Toc30865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8. 纪律和监督</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_Toc30865 \h </w:instrText>
      </w:r>
      <w:r>
        <w:rPr>
          <w:i w:val="0"/>
          <w:iCs w:val="0"/>
          <w:color w:val="auto"/>
          <w:highlight w:val="none"/>
        </w:rPr>
        <w:fldChar w:fldCharType="separate"/>
      </w:r>
      <w:r>
        <w:rPr>
          <w:i w:val="0"/>
          <w:iCs w:val="0"/>
          <w:color w:val="auto"/>
          <w:highlight w:val="none"/>
        </w:rPr>
        <w:t>19</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_Toc30901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8.1 对招标人的纪律要求</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_Toc30901 \h </w:instrText>
      </w:r>
      <w:r>
        <w:rPr>
          <w:i w:val="0"/>
          <w:iCs w:val="0"/>
          <w:color w:val="auto"/>
          <w:highlight w:val="none"/>
        </w:rPr>
        <w:fldChar w:fldCharType="separate"/>
      </w:r>
      <w:r>
        <w:rPr>
          <w:i w:val="0"/>
          <w:iCs w:val="0"/>
          <w:color w:val="auto"/>
          <w:highlight w:val="none"/>
        </w:rPr>
        <w:t>19</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_Toc9055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8.2 对投标人的纪律要求</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_Toc9055 \h </w:instrText>
      </w:r>
      <w:r>
        <w:rPr>
          <w:i w:val="0"/>
          <w:iCs w:val="0"/>
          <w:color w:val="auto"/>
          <w:highlight w:val="none"/>
        </w:rPr>
        <w:fldChar w:fldCharType="separate"/>
      </w:r>
      <w:r>
        <w:rPr>
          <w:i w:val="0"/>
          <w:iCs w:val="0"/>
          <w:color w:val="auto"/>
          <w:highlight w:val="none"/>
        </w:rPr>
        <w:t>19</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_Toc24461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8.3 对评标委员会成员的纪律要求</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_Toc24461 \h </w:instrText>
      </w:r>
      <w:r>
        <w:rPr>
          <w:i w:val="0"/>
          <w:iCs w:val="0"/>
          <w:color w:val="auto"/>
          <w:highlight w:val="none"/>
        </w:rPr>
        <w:fldChar w:fldCharType="separate"/>
      </w:r>
      <w:r>
        <w:rPr>
          <w:i w:val="0"/>
          <w:iCs w:val="0"/>
          <w:color w:val="auto"/>
          <w:highlight w:val="none"/>
        </w:rPr>
        <w:t>19</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_Toc5168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8.4 对与评标活动有关的工作人员的纪律要求</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_Toc5168 \h </w:instrText>
      </w:r>
      <w:r>
        <w:rPr>
          <w:i w:val="0"/>
          <w:iCs w:val="0"/>
          <w:color w:val="auto"/>
          <w:highlight w:val="none"/>
        </w:rPr>
        <w:fldChar w:fldCharType="separate"/>
      </w:r>
      <w:r>
        <w:rPr>
          <w:i w:val="0"/>
          <w:iCs w:val="0"/>
          <w:color w:val="auto"/>
          <w:highlight w:val="none"/>
        </w:rPr>
        <w:t>19</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_Toc8625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8.5 廉政监督</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_Toc8625 \h </w:instrText>
      </w:r>
      <w:r>
        <w:rPr>
          <w:i w:val="0"/>
          <w:iCs w:val="0"/>
          <w:color w:val="auto"/>
          <w:highlight w:val="none"/>
        </w:rPr>
        <w:fldChar w:fldCharType="separate"/>
      </w:r>
      <w:r>
        <w:rPr>
          <w:i w:val="0"/>
          <w:iCs w:val="0"/>
          <w:color w:val="auto"/>
          <w:highlight w:val="none"/>
        </w:rPr>
        <w:t>20</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_Toc548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附件一：开标记录表</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_Toc548 \h </w:instrText>
      </w:r>
      <w:r>
        <w:rPr>
          <w:i w:val="0"/>
          <w:iCs w:val="0"/>
          <w:color w:val="auto"/>
          <w:highlight w:val="none"/>
        </w:rPr>
        <w:fldChar w:fldCharType="separate"/>
      </w:r>
      <w:r>
        <w:rPr>
          <w:i w:val="0"/>
          <w:iCs w:val="0"/>
          <w:color w:val="auto"/>
          <w:highlight w:val="none"/>
        </w:rPr>
        <w:t>- 21 -</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8"/>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_Toc25692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第三章 评标办法（综合评估法）</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_Toc25692 \h </w:instrText>
      </w:r>
      <w:r>
        <w:rPr>
          <w:i w:val="0"/>
          <w:iCs w:val="0"/>
          <w:color w:val="auto"/>
          <w:highlight w:val="none"/>
        </w:rPr>
        <w:fldChar w:fldCharType="separate"/>
      </w:r>
      <w:r>
        <w:rPr>
          <w:i w:val="0"/>
          <w:iCs w:val="0"/>
          <w:color w:val="auto"/>
          <w:highlight w:val="none"/>
        </w:rPr>
        <w:t>- 22 -</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_Toc6062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 评标方法</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_Toc6062 \h </w:instrText>
      </w:r>
      <w:r>
        <w:rPr>
          <w:i w:val="0"/>
          <w:iCs w:val="0"/>
          <w:color w:val="auto"/>
          <w:highlight w:val="none"/>
        </w:rPr>
        <w:fldChar w:fldCharType="separate"/>
      </w:r>
      <w:r>
        <w:rPr>
          <w:i w:val="0"/>
          <w:iCs w:val="0"/>
          <w:color w:val="auto"/>
          <w:highlight w:val="none"/>
        </w:rPr>
        <w:t>- 22 -</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_Toc436 </w:instrText>
      </w:r>
      <w:r>
        <w:rPr>
          <w:rFonts w:hint="eastAsia" w:ascii="宋体" w:hAnsi="宋体" w:cs="宋体"/>
          <w:i w:val="0"/>
          <w:iCs w:val="0"/>
          <w:caps/>
          <w:color w:val="auto"/>
          <w:kern w:val="2"/>
          <w:szCs w:val="20"/>
          <w:highlight w:val="none"/>
        </w:rPr>
        <w:fldChar w:fldCharType="separate"/>
      </w:r>
      <w:r>
        <w:rPr>
          <w:i w:val="0"/>
          <w:iCs w:val="0"/>
          <w:color w:val="auto"/>
          <w:highlight w:val="none"/>
        </w:rPr>
        <w:t>2. 评审标准</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_Toc436 \h </w:instrText>
      </w:r>
      <w:r>
        <w:rPr>
          <w:i w:val="0"/>
          <w:iCs w:val="0"/>
          <w:color w:val="auto"/>
          <w:highlight w:val="none"/>
        </w:rPr>
        <w:fldChar w:fldCharType="separate"/>
      </w:r>
      <w:r>
        <w:rPr>
          <w:i w:val="0"/>
          <w:iCs w:val="0"/>
          <w:color w:val="auto"/>
          <w:highlight w:val="none"/>
        </w:rPr>
        <w:t>- 22 -</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_Toc16861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 评标程序</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_Toc16861 \h </w:instrText>
      </w:r>
      <w:r>
        <w:rPr>
          <w:i w:val="0"/>
          <w:iCs w:val="0"/>
          <w:color w:val="auto"/>
          <w:highlight w:val="none"/>
        </w:rPr>
        <w:fldChar w:fldCharType="separate"/>
      </w:r>
      <w:r>
        <w:rPr>
          <w:i w:val="0"/>
          <w:iCs w:val="0"/>
          <w:color w:val="auto"/>
          <w:highlight w:val="none"/>
        </w:rPr>
        <w:t>- 22 -</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8"/>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_Toc23729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第</w:t>
      </w:r>
      <w:r>
        <w:rPr>
          <w:rFonts w:hint="eastAsia"/>
          <w:i w:val="0"/>
          <w:iCs w:val="0"/>
          <w:color w:val="auto"/>
          <w:highlight w:val="none"/>
          <w:lang w:eastAsia="zh-CN"/>
        </w:rPr>
        <w:t>五</w:t>
      </w:r>
      <w:r>
        <w:rPr>
          <w:rFonts w:hint="eastAsia"/>
          <w:i w:val="0"/>
          <w:iCs w:val="0"/>
          <w:color w:val="auto"/>
          <w:highlight w:val="none"/>
        </w:rPr>
        <w:t>章 项目要求</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_Toc23729 \h </w:instrText>
      </w:r>
      <w:r>
        <w:rPr>
          <w:i w:val="0"/>
          <w:iCs w:val="0"/>
          <w:color w:val="auto"/>
          <w:highlight w:val="none"/>
        </w:rPr>
        <w:fldChar w:fldCharType="separate"/>
      </w:r>
      <w:r>
        <w:rPr>
          <w:i w:val="0"/>
          <w:iCs w:val="0"/>
          <w:color w:val="auto"/>
          <w:highlight w:val="none"/>
        </w:rPr>
        <w:t>- 29 -</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8"/>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_Toc13773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第</w:t>
      </w:r>
      <w:r>
        <w:rPr>
          <w:rFonts w:hint="eastAsia"/>
          <w:i w:val="0"/>
          <w:iCs w:val="0"/>
          <w:color w:val="auto"/>
          <w:highlight w:val="none"/>
          <w:lang w:eastAsia="zh-CN"/>
        </w:rPr>
        <w:t>六</w:t>
      </w:r>
      <w:r>
        <w:rPr>
          <w:rFonts w:hint="eastAsia"/>
          <w:i w:val="0"/>
          <w:iCs w:val="0"/>
          <w:color w:val="auto"/>
          <w:highlight w:val="none"/>
        </w:rPr>
        <w:t>章  投标文件格式</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_Toc13773 \h </w:instrText>
      </w:r>
      <w:r>
        <w:rPr>
          <w:i w:val="0"/>
          <w:iCs w:val="0"/>
          <w:color w:val="auto"/>
          <w:highlight w:val="none"/>
        </w:rPr>
        <w:fldChar w:fldCharType="separate"/>
      </w:r>
      <w:r>
        <w:rPr>
          <w:i w:val="0"/>
          <w:iCs w:val="0"/>
          <w:color w:val="auto"/>
          <w:highlight w:val="none"/>
        </w:rPr>
        <w:t>31</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_Toc32625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投标文件目录</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_Toc32625 \h </w:instrText>
      </w:r>
      <w:r>
        <w:rPr>
          <w:i w:val="0"/>
          <w:iCs w:val="0"/>
          <w:color w:val="auto"/>
          <w:highlight w:val="none"/>
        </w:rPr>
        <w:fldChar w:fldCharType="separate"/>
      </w:r>
      <w:r>
        <w:rPr>
          <w:i w:val="0"/>
          <w:iCs w:val="0"/>
          <w:color w:val="auto"/>
          <w:highlight w:val="none"/>
        </w:rPr>
        <w:t>32</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_Toc14343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w:t>
      </w:r>
      <w:r>
        <w:rPr>
          <w:i w:val="0"/>
          <w:iCs w:val="0"/>
          <w:color w:val="auto"/>
          <w:highlight w:val="none"/>
        </w:rPr>
        <w:t>投标函</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_Toc14343 \h </w:instrText>
      </w:r>
      <w:r>
        <w:rPr>
          <w:i w:val="0"/>
          <w:iCs w:val="0"/>
          <w:color w:val="auto"/>
          <w:highlight w:val="none"/>
        </w:rPr>
        <w:fldChar w:fldCharType="separate"/>
      </w:r>
      <w:r>
        <w:rPr>
          <w:i w:val="0"/>
          <w:iCs w:val="0"/>
          <w:color w:val="auto"/>
          <w:highlight w:val="none"/>
        </w:rPr>
        <w:t>34</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_Toc20595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2、</w:t>
      </w:r>
      <w:r>
        <w:rPr>
          <w:i w:val="0"/>
          <w:iCs w:val="0"/>
          <w:color w:val="auto"/>
          <w:highlight w:val="none"/>
        </w:rPr>
        <w:t>法定代表人证明</w:t>
      </w:r>
      <w:r>
        <w:rPr>
          <w:rFonts w:hint="eastAsia"/>
          <w:i w:val="0"/>
          <w:iCs w:val="0"/>
          <w:color w:val="auto"/>
          <w:highlight w:val="none"/>
        </w:rPr>
        <w:t>书</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_Toc20595 \h </w:instrText>
      </w:r>
      <w:r>
        <w:rPr>
          <w:i w:val="0"/>
          <w:iCs w:val="0"/>
          <w:color w:val="auto"/>
          <w:highlight w:val="none"/>
        </w:rPr>
        <w:fldChar w:fldCharType="separate"/>
      </w:r>
      <w:r>
        <w:rPr>
          <w:i w:val="0"/>
          <w:iCs w:val="0"/>
          <w:color w:val="auto"/>
          <w:highlight w:val="none"/>
        </w:rPr>
        <w:t>35</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_Toc30872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w:t>
      </w:r>
      <w:r>
        <w:rPr>
          <w:i w:val="0"/>
          <w:iCs w:val="0"/>
          <w:color w:val="auto"/>
          <w:highlight w:val="none"/>
        </w:rPr>
        <w:t>授权委托书</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_Toc30872 \h </w:instrText>
      </w:r>
      <w:r>
        <w:rPr>
          <w:i w:val="0"/>
          <w:iCs w:val="0"/>
          <w:color w:val="auto"/>
          <w:highlight w:val="none"/>
        </w:rPr>
        <w:fldChar w:fldCharType="separate"/>
      </w:r>
      <w:r>
        <w:rPr>
          <w:i w:val="0"/>
          <w:iCs w:val="0"/>
          <w:color w:val="auto"/>
          <w:highlight w:val="none"/>
        </w:rPr>
        <w:t>36</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_Toc17440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4、法定代表人授权书</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_Toc17440 \h </w:instrText>
      </w:r>
      <w:r>
        <w:rPr>
          <w:i w:val="0"/>
          <w:iCs w:val="0"/>
          <w:color w:val="auto"/>
          <w:highlight w:val="none"/>
        </w:rPr>
        <w:fldChar w:fldCharType="separate"/>
      </w:r>
      <w:r>
        <w:rPr>
          <w:i w:val="0"/>
          <w:iCs w:val="0"/>
          <w:color w:val="auto"/>
          <w:highlight w:val="none"/>
        </w:rPr>
        <w:t>37</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_Toc3346 </w:instrText>
      </w:r>
      <w:r>
        <w:rPr>
          <w:rFonts w:hint="eastAsia" w:ascii="宋体" w:hAnsi="宋体" w:cs="宋体"/>
          <w:i w:val="0"/>
          <w:iCs w:val="0"/>
          <w:caps/>
          <w:color w:val="auto"/>
          <w:kern w:val="2"/>
          <w:szCs w:val="20"/>
          <w:highlight w:val="none"/>
        </w:rPr>
        <w:fldChar w:fldCharType="separate"/>
      </w:r>
      <w:r>
        <w:rPr>
          <w:bCs w:val="0"/>
          <w:i w:val="0"/>
          <w:iCs w:val="0"/>
          <w:color w:val="auto"/>
          <w:szCs w:val="28"/>
          <w:highlight w:val="none"/>
        </w:rPr>
        <w:t>（总公司授权分公司投标时使用）</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_Toc3346 \h </w:instrText>
      </w:r>
      <w:r>
        <w:rPr>
          <w:i w:val="0"/>
          <w:iCs w:val="0"/>
          <w:color w:val="auto"/>
          <w:highlight w:val="none"/>
        </w:rPr>
        <w:fldChar w:fldCharType="separate"/>
      </w:r>
      <w:r>
        <w:rPr>
          <w:i w:val="0"/>
          <w:iCs w:val="0"/>
          <w:color w:val="auto"/>
          <w:highlight w:val="none"/>
        </w:rPr>
        <w:t>37</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_Toc2380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5、分公司负责人授权书</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_Toc2380 \h </w:instrText>
      </w:r>
      <w:r>
        <w:rPr>
          <w:i w:val="0"/>
          <w:iCs w:val="0"/>
          <w:color w:val="auto"/>
          <w:highlight w:val="none"/>
        </w:rPr>
        <w:fldChar w:fldCharType="separate"/>
      </w:r>
      <w:r>
        <w:rPr>
          <w:i w:val="0"/>
          <w:iCs w:val="0"/>
          <w:color w:val="auto"/>
          <w:highlight w:val="none"/>
        </w:rPr>
        <w:t>38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_Toc16991 </w:instrText>
      </w:r>
      <w:r>
        <w:rPr>
          <w:rFonts w:hint="eastAsia" w:ascii="宋体" w:hAnsi="宋体" w:cs="宋体"/>
          <w:i w:val="0"/>
          <w:iCs w:val="0"/>
          <w:caps/>
          <w:color w:val="auto"/>
          <w:kern w:val="2"/>
          <w:szCs w:val="20"/>
          <w:highlight w:val="none"/>
        </w:rPr>
        <w:fldChar w:fldCharType="separate"/>
      </w:r>
      <w:r>
        <w:rPr>
          <w:rFonts w:hint="eastAsia"/>
          <w:bCs w:val="0"/>
          <w:i w:val="0"/>
          <w:iCs w:val="0"/>
          <w:color w:val="auto"/>
          <w:szCs w:val="28"/>
          <w:highlight w:val="none"/>
        </w:rPr>
        <w:t>（总公司授权分公司投标时使用）</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_Toc16991 \h </w:instrText>
      </w:r>
      <w:r>
        <w:rPr>
          <w:i w:val="0"/>
          <w:iCs w:val="0"/>
          <w:color w:val="auto"/>
          <w:highlight w:val="none"/>
        </w:rPr>
        <w:fldChar w:fldCharType="separate"/>
      </w:r>
      <w:r>
        <w:rPr>
          <w:i w:val="0"/>
          <w:iCs w:val="0"/>
          <w:color w:val="auto"/>
          <w:highlight w:val="none"/>
        </w:rPr>
        <w:t>38</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_Toc13588 </w:instrText>
      </w:r>
      <w:r>
        <w:rPr>
          <w:rFonts w:hint="eastAsia" w:ascii="宋体" w:hAnsi="宋体" w:cs="宋体"/>
          <w:i w:val="0"/>
          <w:iCs w:val="0"/>
          <w:caps/>
          <w:color w:val="auto"/>
          <w:kern w:val="2"/>
          <w:szCs w:val="20"/>
          <w:highlight w:val="none"/>
        </w:rPr>
        <w:fldChar w:fldCharType="separate"/>
      </w:r>
      <w:r>
        <w:rPr>
          <w:rFonts w:hint="eastAsia"/>
          <w:i w:val="0"/>
          <w:iCs w:val="0"/>
          <w:color w:val="auto"/>
          <w:szCs w:val="21"/>
          <w:highlight w:val="none"/>
        </w:rPr>
        <w:t>二、投标书</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_Toc13588 \h </w:instrText>
      </w:r>
      <w:r>
        <w:rPr>
          <w:i w:val="0"/>
          <w:iCs w:val="0"/>
          <w:color w:val="auto"/>
          <w:highlight w:val="none"/>
        </w:rPr>
        <w:fldChar w:fldCharType="separate"/>
      </w:r>
      <w:r>
        <w:rPr>
          <w:i w:val="0"/>
          <w:iCs w:val="0"/>
          <w:color w:val="auto"/>
          <w:highlight w:val="none"/>
        </w:rPr>
        <w:t>39</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_Toc19862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1、标书款及投标保证金缴纳凭证（银行转账证明）</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_Toc19862 \h </w:instrText>
      </w:r>
      <w:r>
        <w:rPr>
          <w:i w:val="0"/>
          <w:iCs w:val="0"/>
          <w:color w:val="auto"/>
          <w:highlight w:val="none"/>
        </w:rPr>
        <w:fldChar w:fldCharType="separate"/>
      </w:r>
      <w:r>
        <w:rPr>
          <w:i w:val="0"/>
          <w:iCs w:val="0"/>
          <w:color w:val="auto"/>
          <w:highlight w:val="none"/>
        </w:rPr>
        <w:t>39</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_Toc4832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2、退</w:t>
      </w:r>
      <w:r>
        <w:rPr>
          <w:i w:val="0"/>
          <w:iCs w:val="0"/>
          <w:color w:val="auto"/>
          <w:highlight w:val="none"/>
        </w:rPr>
        <w:t>投标保证金</w:t>
      </w:r>
      <w:r>
        <w:rPr>
          <w:rFonts w:hint="eastAsia"/>
          <w:i w:val="0"/>
          <w:iCs w:val="0"/>
          <w:color w:val="auto"/>
          <w:highlight w:val="none"/>
        </w:rPr>
        <w:t>说明</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_Toc4832 \h </w:instrText>
      </w:r>
      <w:r>
        <w:rPr>
          <w:i w:val="0"/>
          <w:iCs w:val="0"/>
          <w:color w:val="auto"/>
          <w:highlight w:val="none"/>
        </w:rPr>
        <w:fldChar w:fldCharType="separate"/>
      </w:r>
      <w:r>
        <w:rPr>
          <w:i w:val="0"/>
          <w:iCs w:val="0"/>
          <w:color w:val="auto"/>
          <w:highlight w:val="none"/>
        </w:rPr>
        <w:t>39</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_Toc13445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3、投标报价表（格式见附</w:t>
      </w:r>
      <w:r>
        <w:rPr>
          <w:rFonts w:hint="eastAsia"/>
          <w:i w:val="0"/>
          <w:iCs w:val="0"/>
          <w:color w:val="auto"/>
          <w:highlight w:val="none"/>
          <w:lang w:eastAsia="zh-CN"/>
        </w:rPr>
        <w:t>件</w:t>
      </w:r>
      <w:r>
        <w:rPr>
          <w:rFonts w:hint="eastAsia"/>
          <w:i w:val="0"/>
          <w:iCs w:val="0"/>
          <w:color w:val="auto"/>
          <w:highlight w:val="none"/>
          <w:lang w:val="en-US" w:eastAsia="zh-CN"/>
        </w:rPr>
        <w:t>2</w:t>
      </w:r>
      <w:r>
        <w:rPr>
          <w:rFonts w:hint="eastAsia"/>
          <w:i w:val="0"/>
          <w:iCs w:val="0"/>
          <w:color w:val="auto"/>
          <w:highlight w:val="none"/>
        </w:rPr>
        <w:t>）</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_Toc13445 \h </w:instrText>
      </w:r>
      <w:r>
        <w:rPr>
          <w:i w:val="0"/>
          <w:iCs w:val="0"/>
          <w:color w:val="auto"/>
          <w:highlight w:val="none"/>
        </w:rPr>
        <w:fldChar w:fldCharType="separate"/>
      </w:r>
      <w:r>
        <w:rPr>
          <w:i w:val="0"/>
          <w:iCs w:val="0"/>
          <w:color w:val="auto"/>
          <w:highlight w:val="none"/>
        </w:rPr>
        <w:t>40</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20"/>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_Toc24889 </w:instrText>
      </w:r>
      <w:r>
        <w:rPr>
          <w:rFonts w:hint="eastAsia" w:ascii="宋体" w:hAnsi="宋体" w:cs="宋体"/>
          <w:i w:val="0"/>
          <w:iCs w:val="0"/>
          <w:caps/>
          <w:color w:val="auto"/>
          <w:kern w:val="2"/>
          <w:szCs w:val="20"/>
          <w:highlight w:val="none"/>
        </w:rPr>
        <w:fldChar w:fldCharType="separate"/>
      </w:r>
      <w:r>
        <w:rPr>
          <w:rFonts w:hint="eastAsia"/>
          <w:i w:val="0"/>
          <w:iCs w:val="0"/>
          <w:color w:val="auto"/>
          <w:highlight w:val="none"/>
        </w:rPr>
        <w:t>4、企业简介表（</w:t>
      </w:r>
      <w:r>
        <w:rPr>
          <w:rFonts w:hint="eastAsia" w:ascii="宋体" w:hAnsi="宋体" w:cs="宋体"/>
          <w:i w:val="0"/>
          <w:iCs w:val="0"/>
          <w:color w:val="auto"/>
          <w:szCs w:val="21"/>
          <w:highlight w:val="none"/>
        </w:rPr>
        <w:t>简要介绍企业规模、财务状况情况等资料</w:t>
      </w:r>
      <w:r>
        <w:rPr>
          <w:rFonts w:hint="eastAsia"/>
          <w:i w:val="0"/>
          <w:iCs w:val="0"/>
          <w:color w:val="auto"/>
          <w:highlight w:val="none"/>
        </w:rPr>
        <w:t>）</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_Toc24889 \h </w:instrText>
      </w:r>
      <w:r>
        <w:rPr>
          <w:i w:val="0"/>
          <w:iCs w:val="0"/>
          <w:color w:val="auto"/>
          <w:highlight w:val="none"/>
        </w:rPr>
        <w:fldChar w:fldCharType="separate"/>
      </w:r>
      <w:r>
        <w:rPr>
          <w:i w:val="0"/>
          <w:iCs w:val="0"/>
          <w:color w:val="auto"/>
          <w:highlight w:val="none"/>
        </w:rPr>
        <w:t>40</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i w:val="0"/>
          <w:iCs w:val="0"/>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_Toc13215 </w:instrText>
      </w:r>
      <w:r>
        <w:rPr>
          <w:rFonts w:hint="eastAsia" w:ascii="宋体" w:hAnsi="宋体" w:cs="宋体"/>
          <w:i w:val="0"/>
          <w:iCs w:val="0"/>
          <w:caps/>
          <w:color w:val="auto"/>
          <w:kern w:val="2"/>
          <w:szCs w:val="20"/>
          <w:highlight w:val="none"/>
        </w:rPr>
        <w:fldChar w:fldCharType="separate"/>
      </w:r>
      <w:r>
        <w:rPr>
          <w:rFonts w:hint="eastAsia" w:ascii="宋体" w:hAnsi="宋体" w:eastAsia="宋体"/>
          <w:i w:val="0"/>
          <w:iCs w:val="0"/>
          <w:color w:val="auto"/>
          <w:highlight w:val="none"/>
        </w:rPr>
        <w:t>5、近三年同类项目业绩情况一览表</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_Toc13215 \h </w:instrText>
      </w:r>
      <w:r>
        <w:rPr>
          <w:i w:val="0"/>
          <w:iCs w:val="0"/>
          <w:color w:val="auto"/>
          <w:highlight w:val="none"/>
        </w:rPr>
        <w:fldChar w:fldCharType="separate"/>
      </w:r>
      <w:r>
        <w:rPr>
          <w:i w:val="0"/>
          <w:iCs w:val="0"/>
          <w:color w:val="auto"/>
          <w:highlight w:val="none"/>
        </w:rPr>
        <w:t>41</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36"/>
        <w:tabs>
          <w:tab w:val="right" w:leader="dot" w:pos="8312"/>
        </w:tabs>
        <w:rPr>
          <w:color w:val="auto"/>
          <w:highlight w:val="none"/>
        </w:rPr>
      </w:pPr>
      <w:r>
        <w:rPr>
          <w:rFonts w:hint="eastAsia" w:ascii="宋体" w:hAnsi="宋体" w:cs="宋体"/>
          <w:i w:val="0"/>
          <w:iCs w:val="0"/>
          <w:caps/>
          <w:color w:val="auto"/>
          <w:kern w:val="2"/>
          <w:szCs w:val="20"/>
          <w:highlight w:val="none"/>
        </w:rPr>
        <w:fldChar w:fldCharType="begin"/>
      </w:r>
      <w:r>
        <w:rPr>
          <w:rFonts w:hint="eastAsia" w:ascii="宋体" w:hAnsi="宋体" w:cs="宋体"/>
          <w:i w:val="0"/>
          <w:iCs w:val="0"/>
          <w:caps/>
          <w:color w:val="auto"/>
          <w:kern w:val="2"/>
          <w:szCs w:val="20"/>
          <w:highlight w:val="none"/>
        </w:rPr>
        <w:instrText xml:space="preserve"> HYPERLINK \l _Toc19095 </w:instrText>
      </w:r>
      <w:r>
        <w:rPr>
          <w:rFonts w:hint="eastAsia" w:ascii="宋体" w:hAnsi="宋体" w:cs="宋体"/>
          <w:i w:val="0"/>
          <w:iCs w:val="0"/>
          <w:caps/>
          <w:color w:val="auto"/>
          <w:kern w:val="2"/>
          <w:szCs w:val="20"/>
          <w:highlight w:val="none"/>
        </w:rPr>
        <w:fldChar w:fldCharType="separate"/>
      </w:r>
      <w:r>
        <w:rPr>
          <w:rFonts w:hint="eastAsia" w:ascii="宋体" w:hAnsi="宋体" w:eastAsia="宋体"/>
          <w:i w:val="0"/>
          <w:iCs w:val="0"/>
          <w:color w:val="auto"/>
          <w:highlight w:val="none"/>
          <w:lang w:val="en-US" w:eastAsia="zh-CN"/>
        </w:rPr>
        <w:t>6</w:t>
      </w:r>
      <w:r>
        <w:rPr>
          <w:rFonts w:hint="eastAsia" w:ascii="宋体" w:hAnsi="宋体" w:eastAsia="宋体"/>
          <w:i w:val="0"/>
          <w:iCs w:val="0"/>
          <w:color w:val="auto"/>
          <w:highlight w:val="none"/>
        </w:rPr>
        <w:t>、本项目人员配置表</w:t>
      </w:r>
      <w:r>
        <w:rPr>
          <w:i w:val="0"/>
          <w:iCs w:val="0"/>
          <w:color w:val="auto"/>
          <w:highlight w:val="none"/>
        </w:rPr>
        <w:tab/>
      </w:r>
      <w:r>
        <w:rPr>
          <w:i w:val="0"/>
          <w:iCs w:val="0"/>
          <w:color w:val="auto"/>
          <w:highlight w:val="none"/>
        </w:rPr>
        <w:fldChar w:fldCharType="begin"/>
      </w:r>
      <w:r>
        <w:rPr>
          <w:i w:val="0"/>
          <w:iCs w:val="0"/>
          <w:color w:val="auto"/>
          <w:highlight w:val="none"/>
        </w:rPr>
        <w:instrText xml:space="preserve"> PAGEREF _Toc19095 \h </w:instrText>
      </w:r>
      <w:r>
        <w:rPr>
          <w:i w:val="0"/>
          <w:iCs w:val="0"/>
          <w:color w:val="auto"/>
          <w:highlight w:val="none"/>
        </w:rPr>
        <w:fldChar w:fldCharType="separate"/>
      </w:r>
      <w:r>
        <w:rPr>
          <w:i w:val="0"/>
          <w:iCs w:val="0"/>
          <w:color w:val="auto"/>
          <w:highlight w:val="none"/>
        </w:rPr>
        <w:t>42</w:t>
      </w:r>
      <w:r>
        <w:rPr>
          <w:i w:val="0"/>
          <w:iCs w:val="0"/>
          <w:color w:val="auto"/>
          <w:highlight w:val="none"/>
        </w:rPr>
        <w:fldChar w:fldCharType="end"/>
      </w:r>
      <w:r>
        <w:rPr>
          <w:rFonts w:hint="eastAsia" w:ascii="宋体" w:hAnsi="宋体" w:cs="宋体"/>
          <w:i w:val="0"/>
          <w:iCs w:val="0"/>
          <w:caps/>
          <w:color w:val="auto"/>
          <w:kern w:val="2"/>
          <w:szCs w:val="20"/>
          <w:highlight w:val="none"/>
        </w:rPr>
        <w:fldChar w:fldCharType="end"/>
      </w:r>
    </w:p>
    <w:p>
      <w:pPr>
        <w:pStyle w:val="5"/>
        <w:spacing w:line="300" w:lineRule="exact"/>
        <w:jc w:val="center"/>
        <w:rPr>
          <w:rFonts w:hint="eastAsia" w:ascii="宋体" w:hAnsi="宋体" w:cs="宋体"/>
          <w:i w:val="0"/>
          <w:iCs w:val="0"/>
          <w:caps/>
          <w:color w:val="auto"/>
          <w:kern w:val="2"/>
          <w:sz w:val="20"/>
          <w:szCs w:val="20"/>
          <w:highlight w:val="none"/>
        </w:rPr>
      </w:pPr>
      <w:r>
        <w:rPr>
          <w:rFonts w:hint="eastAsia" w:ascii="宋体" w:hAnsi="宋体" w:cs="宋体"/>
          <w:i w:val="0"/>
          <w:iCs w:val="0"/>
          <w:caps/>
          <w:color w:val="auto"/>
          <w:kern w:val="2"/>
          <w:sz w:val="20"/>
          <w:szCs w:val="20"/>
          <w:highlight w:val="none"/>
        </w:rPr>
        <w:fldChar w:fldCharType="end"/>
      </w:r>
      <w:bookmarkEnd w:id="9"/>
      <w:bookmarkEnd w:id="10"/>
      <w:bookmarkEnd w:id="11"/>
      <w:bookmarkEnd w:id="12"/>
      <w:bookmarkEnd w:id="13"/>
      <w:bookmarkEnd w:id="14"/>
      <w:bookmarkEnd w:id="15"/>
      <w:bookmarkEnd w:id="16"/>
      <w:bookmarkEnd w:id="17"/>
      <w:bookmarkEnd w:id="18"/>
      <w:bookmarkEnd w:id="19"/>
      <w:bookmarkEnd w:id="20"/>
      <w:bookmarkEnd w:id="21"/>
      <w:bookmarkStart w:id="35" w:name="_Toc3295"/>
      <w:bookmarkStart w:id="36" w:name="_Toc2785"/>
      <w:bookmarkStart w:id="37" w:name="_Toc4881"/>
      <w:bookmarkStart w:id="38" w:name="_Toc23747"/>
      <w:bookmarkStart w:id="39" w:name="_Toc15775"/>
      <w:bookmarkStart w:id="40" w:name="_Toc6926"/>
      <w:bookmarkStart w:id="41" w:name="_Toc12315"/>
      <w:bookmarkStart w:id="42" w:name="_Toc13500"/>
      <w:bookmarkStart w:id="43" w:name="_Toc9063"/>
      <w:bookmarkStart w:id="44" w:name="_Toc13586"/>
      <w:bookmarkStart w:id="45" w:name="_Toc5947"/>
      <w:bookmarkStart w:id="46" w:name="_Toc22711"/>
      <w:bookmarkStart w:id="47" w:name="_Toc5982"/>
      <w:bookmarkStart w:id="48" w:name="_Toc11059"/>
      <w:bookmarkStart w:id="49" w:name="_Toc14058"/>
      <w:bookmarkStart w:id="50" w:name="_Toc5289"/>
      <w:bookmarkStart w:id="51" w:name="_Toc311"/>
      <w:bookmarkStart w:id="52" w:name="_Toc8450"/>
      <w:bookmarkStart w:id="53" w:name="_Toc24740"/>
      <w:bookmarkStart w:id="54" w:name="_Toc31265"/>
      <w:bookmarkStart w:id="55" w:name="_Toc24226"/>
      <w:bookmarkStart w:id="56" w:name="_Toc16646"/>
      <w:bookmarkStart w:id="57" w:name="_Toc24130"/>
    </w:p>
    <w:p>
      <w:pPr>
        <w:pStyle w:val="5"/>
        <w:spacing w:beforeLines="0" w:afterLines="0" w:line="360" w:lineRule="auto"/>
        <w:jc w:val="center"/>
        <w:rPr>
          <w:rFonts w:hint="eastAsia" w:ascii="宋体" w:hAnsi="宋体"/>
          <w:color w:val="auto"/>
          <w:highlight w:val="none"/>
        </w:rPr>
      </w:pPr>
      <w:bookmarkStart w:id="58" w:name="_Toc23165"/>
      <w:bookmarkStart w:id="59" w:name="_Toc26007"/>
      <w:r>
        <w:rPr>
          <w:rFonts w:hint="eastAsia" w:ascii="宋体" w:hAnsi="宋体"/>
          <w:color w:val="auto"/>
          <w:highlight w:val="none"/>
        </w:rPr>
        <w:t xml:space="preserve">第一章 </w:t>
      </w:r>
      <w:bookmarkEnd w:id="22"/>
      <w:bookmarkEnd w:id="23"/>
      <w:bookmarkEnd w:id="24"/>
      <w:bookmarkEnd w:id="25"/>
      <w:bookmarkEnd w:id="26"/>
      <w:bookmarkEnd w:id="27"/>
      <w:bookmarkEnd w:id="28"/>
      <w:bookmarkEnd w:id="29"/>
      <w:bookmarkEnd w:id="30"/>
      <w:bookmarkEnd w:id="31"/>
      <w:r>
        <w:rPr>
          <w:rFonts w:hint="eastAsia" w:ascii="宋体" w:hAnsi="宋体"/>
          <w:color w:val="auto"/>
          <w:highlight w:val="none"/>
        </w:rPr>
        <w:t>招标公告</w:t>
      </w:r>
      <w:bookmarkEnd w:id="32"/>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6"/>
        <w:spacing w:line="360" w:lineRule="auto"/>
        <w:rPr>
          <w:color w:val="auto"/>
          <w:highlight w:val="none"/>
        </w:rPr>
      </w:pPr>
      <w:bookmarkStart w:id="60" w:name="_Toc23372"/>
      <w:bookmarkStart w:id="61" w:name="_Toc20331"/>
      <w:bookmarkStart w:id="62" w:name="_Toc25677"/>
      <w:bookmarkStart w:id="63" w:name="_Toc436215709"/>
      <w:bookmarkStart w:id="64" w:name="_Toc435178352"/>
      <w:bookmarkStart w:id="65" w:name="_Toc4594"/>
      <w:bookmarkStart w:id="66" w:name="_Toc144974480"/>
      <w:bookmarkStart w:id="67" w:name="_Toc7506"/>
      <w:bookmarkStart w:id="68" w:name="_Toc2023"/>
      <w:bookmarkStart w:id="69" w:name="_Toc32654"/>
      <w:bookmarkStart w:id="70" w:name="_Toc21899"/>
      <w:bookmarkStart w:id="71" w:name="_Toc32747"/>
      <w:bookmarkStart w:id="72" w:name="_Toc25797"/>
      <w:bookmarkStart w:id="73" w:name="_Toc247085672"/>
      <w:bookmarkStart w:id="74" w:name="_Toc496601919"/>
      <w:bookmarkStart w:id="75" w:name="_Toc152042288"/>
      <w:bookmarkStart w:id="76" w:name="_Toc179632528"/>
      <w:bookmarkStart w:id="77" w:name="_Toc9093"/>
      <w:bookmarkStart w:id="78" w:name="_Toc1226"/>
      <w:bookmarkStart w:id="79" w:name="_Toc8828"/>
      <w:bookmarkStart w:id="80" w:name="_Toc10848"/>
      <w:bookmarkStart w:id="81" w:name="_Toc26159"/>
      <w:bookmarkStart w:id="82" w:name="_Toc29342"/>
      <w:bookmarkStart w:id="83" w:name="_Toc246996901"/>
      <w:bookmarkStart w:id="84" w:name="_Toc11571"/>
      <w:bookmarkStart w:id="85" w:name="_Toc18702"/>
      <w:bookmarkStart w:id="86" w:name="_Toc246996158"/>
      <w:bookmarkStart w:id="87" w:name="_Toc24635"/>
      <w:bookmarkStart w:id="88" w:name="_Toc6903"/>
      <w:bookmarkStart w:id="89" w:name="_Toc11145"/>
      <w:bookmarkStart w:id="90" w:name="_Toc5258"/>
      <w:bookmarkStart w:id="91" w:name="_Toc21219"/>
      <w:bookmarkStart w:id="92" w:name="_Toc152045512"/>
      <w:bookmarkStart w:id="93" w:name="_Toc24117"/>
      <w:bookmarkStart w:id="94" w:name="_Toc21858"/>
      <w:r>
        <w:rPr>
          <w:color w:val="auto"/>
          <w:highlight w:val="none"/>
        </w:rPr>
        <w:t>1. 招标条件</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pPr>
        <w:spacing w:line="360" w:lineRule="auto"/>
        <w:ind w:firstLine="420" w:firstLineChars="200"/>
        <w:rPr>
          <w:color w:val="auto"/>
          <w:szCs w:val="21"/>
          <w:highlight w:val="none"/>
          <w:u w:val="single"/>
        </w:rPr>
      </w:pPr>
      <w:r>
        <w:rPr>
          <w:color w:val="auto"/>
          <w:szCs w:val="21"/>
          <w:highlight w:val="none"/>
        </w:rPr>
        <w:t>本招标项目</w:t>
      </w:r>
      <w:r>
        <w:rPr>
          <w:rFonts w:hint="eastAsia"/>
          <w:color w:val="auto"/>
          <w:szCs w:val="21"/>
          <w:highlight w:val="none"/>
          <w:u w:val="single"/>
          <w:lang w:val="en-US" w:eastAsia="zh-CN"/>
        </w:rPr>
        <w:t>2024年度</w:t>
      </w:r>
      <w:r>
        <w:rPr>
          <w:rFonts w:hint="eastAsia"/>
          <w:color w:val="auto"/>
          <w:szCs w:val="21"/>
          <w:highlight w:val="none"/>
          <w:u w:val="single"/>
        </w:rPr>
        <w:t>南方优品纸箱采购（项目编号：ZB202</w:t>
      </w:r>
      <w:r>
        <w:rPr>
          <w:rFonts w:hint="eastAsia"/>
          <w:color w:val="auto"/>
          <w:szCs w:val="21"/>
          <w:highlight w:val="none"/>
          <w:u w:val="single"/>
          <w:lang w:val="en-US" w:eastAsia="zh-CN"/>
        </w:rPr>
        <w:t>405</w:t>
      </w:r>
      <w:r>
        <w:rPr>
          <w:rFonts w:hint="eastAsia"/>
          <w:color w:val="auto"/>
          <w:szCs w:val="21"/>
          <w:highlight w:val="none"/>
          <w:u w:val="single"/>
        </w:rPr>
        <w:t>）</w:t>
      </w:r>
      <w:r>
        <w:rPr>
          <w:color w:val="auto"/>
          <w:szCs w:val="21"/>
          <w:highlight w:val="none"/>
        </w:rPr>
        <w:t>由</w:t>
      </w:r>
      <w:r>
        <w:rPr>
          <w:rFonts w:hint="eastAsia"/>
          <w:color w:val="auto"/>
          <w:szCs w:val="21"/>
          <w:highlight w:val="none"/>
          <w:u w:val="single"/>
        </w:rPr>
        <w:t>广东省南方传媒发行物流有限公司</w:t>
      </w:r>
      <w:r>
        <w:rPr>
          <w:rFonts w:hint="eastAsia"/>
          <w:color w:val="auto"/>
          <w:szCs w:val="21"/>
          <w:highlight w:val="none"/>
        </w:rPr>
        <w:t>进行招标事宜。</w:t>
      </w:r>
      <w:r>
        <w:rPr>
          <w:color w:val="auto"/>
          <w:szCs w:val="21"/>
          <w:highlight w:val="none"/>
        </w:rPr>
        <w:t>项目已具备招标条件，现对该项目进行公开招标。</w:t>
      </w:r>
    </w:p>
    <w:p>
      <w:pPr>
        <w:pStyle w:val="6"/>
        <w:spacing w:line="360" w:lineRule="auto"/>
        <w:rPr>
          <w:color w:val="auto"/>
          <w:highlight w:val="none"/>
        </w:rPr>
      </w:pPr>
      <w:bookmarkStart w:id="95" w:name="_Toc3752"/>
      <w:bookmarkStart w:id="96" w:name="_Toc32056"/>
      <w:bookmarkStart w:id="97" w:name="_Toc20570"/>
      <w:bookmarkStart w:id="98" w:name="_Toc15186"/>
      <w:bookmarkStart w:id="99" w:name="_Toc16006"/>
      <w:bookmarkStart w:id="100" w:name="_Toc13429"/>
      <w:bookmarkStart w:id="101" w:name="_Toc29331"/>
      <w:bookmarkStart w:id="102" w:name="_Toc10951"/>
      <w:bookmarkStart w:id="103" w:name="_Toc8274"/>
      <w:bookmarkStart w:id="104" w:name="_Toc12429"/>
      <w:bookmarkStart w:id="105" w:name="_Toc32350"/>
      <w:bookmarkStart w:id="106" w:name="_Toc3323"/>
      <w:bookmarkStart w:id="107" w:name="_Toc18183"/>
      <w:bookmarkStart w:id="108" w:name="_Toc17065"/>
      <w:bookmarkStart w:id="109" w:name="_Toc20991"/>
      <w:bookmarkStart w:id="110" w:name="_Toc30191"/>
      <w:bookmarkStart w:id="111" w:name="_Toc2090"/>
      <w:bookmarkStart w:id="112" w:name="_Toc24768"/>
      <w:bookmarkStart w:id="113" w:name="_Toc15238"/>
      <w:bookmarkStart w:id="114" w:name="_Toc10145"/>
      <w:bookmarkStart w:id="115" w:name="_Toc15488"/>
      <w:bookmarkStart w:id="116" w:name="_Toc15749"/>
      <w:bookmarkStart w:id="117" w:name="_Toc29494"/>
      <w:bookmarkStart w:id="118" w:name="_Toc15085"/>
      <w:bookmarkStart w:id="119" w:name="_Toc24767"/>
      <w:bookmarkStart w:id="120" w:name="_Toc152042289"/>
      <w:bookmarkStart w:id="121" w:name="_Toc246996159"/>
      <w:bookmarkStart w:id="122" w:name="_Toc435178353"/>
      <w:bookmarkStart w:id="123" w:name="_Toc179632529"/>
      <w:bookmarkStart w:id="124" w:name="_Toc436215710"/>
      <w:bookmarkStart w:id="125" w:name="_Toc496601920"/>
      <w:bookmarkStart w:id="126" w:name="_Toc246996902"/>
      <w:bookmarkStart w:id="127" w:name="_Toc9622"/>
      <w:bookmarkStart w:id="128" w:name="_Toc247085673"/>
      <w:bookmarkStart w:id="129" w:name="_Toc144974481"/>
      <w:bookmarkStart w:id="130" w:name="_Toc152045513"/>
      <w:r>
        <w:rPr>
          <w:color w:val="auto"/>
          <w:highlight w:val="none"/>
        </w:rPr>
        <w:t>2. 项目概况</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topLinePunct/>
        <w:spacing w:line="360" w:lineRule="auto"/>
        <w:ind w:firstLine="420"/>
        <w:textAlignment w:val="baseline"/>
        <w:rPr>
          <w:rFonts w:ascii="宋体" w:hAnsi="宋体"/>
          <w:color w:val="auto"/>
          <w:highlight w:val="none"/>
        </w:rPr>
      </w:pPr>
      <w:r>
        <w:rPr>
          <w:rFonts w:hint="eastAsia" w:ascii="宋体" w:hAnsi="宋体"/>
          <w:color w:val="auto"/>
          <w:highlight w:val="none"/>
        </w:rPr>
        <w:t>2.1项目概要</w:t>
      </w:r>
    </w:p>
    <w:p>
      <w:pPr>
        <w:topLinePunct/>
        <w:spacing w:line="360" w:lineRule="auto"/>
        <w:ind w:firstLine="420"/>
        <w:textAlignment w:val="baseline"/>
        <w:rPr>
          <w:color w:val="auto"/>
          <w:szCs w:val="21"/>
          <w:highlight w:val="none"/>
        </w:rPr>
      </w:pPr>
      <w:r>
        <w:rPr>
          <w:rFonts w:hint="eastAsia"/>
          <w:color w:val="auto"/>
          <w:szCs w:val="21"/>
          <w:highlight w:val="none"/>
        </w:rPr>
        <w:t>因业务需要，需采购一批纸箱（印制南方优品LOGO，详见附件1），预估所需数量为</w:t>
      </w:r>
      <w:r>
        <w:rPr>
          <w:rFonts w:hint="eastAsia"/>
          <w:color w:val="auto"/>
          <w:szCs w:val="21"/>
          <w:highlight w:val="none"/>
          <w:lang w:val="en-US" w:eastAsia="zh-CN"/>
        </w:rPr>
        <w:t>27.15</w:t>
      </w:r>
      <w:r>
        <w:rPr>
          <w:rFonts w:hint="eastAsia"/>
          <w:color w:val="auto"/>
          <w:szCs w:val="21"/>
          <w:highlight w:val="none"/>
        </w:rPr>
        <w:t>万个，分批送货，实际采购量会随业务量有所浮动，统一按实际采购量结算，实际采购总量不超过预估采购总数量，相关规格及数量详见第五章投标报价。</w:t>
      </w:r>
    </w:p>
    <w:p>
      <w:pPr>
        <w:spacing w:line="360" w:lineRule="auto"/>
        <w:ind w:firstLine="420" w:firstLineChars="200"/>
        <w:rPr>
          <w:rFonts w:hint="eastAsia" w:ascii="Times New Roman" w:hAnsi="Times New Roman"/>
          <w:color w:val="auto"/>
          <w:szCs w:val="21"/>
          <w:highlight w:val="none"/>
        </w:rPr>
      </w:pPr>
      <w:r>
        <w:rPr>
          <w:rFonts w:hint="eastAsia" w:ascii="宋体" w:hAnsi="宋体"/>
          <w:color w:val="auto"/>
          <w:highlight w:val="none"/>
        </w:rPr>
        <w:t>2.2</w:t>
      </w:r>
      <w:r>
        <w:rPr>
          <w:rFonts w:hint="eastAsia" w:ascii="宋体" w:hAnsi="宋体" w:eastAsia="宋体" w:cs="宋体"/>
          <w:color w:val="auto"/>
          <w:highlight w:val="none"/>
        </w:rPr>
        <w:t>本项目合同期</w:t>
      </w:r>
      <w:r>
        <w:rPr>
          <w:rFonts w:hint="eastAsia" w:ascii="宋体" w:hAnsi="宋体" w:eastAsia="宋体" w:cs="宋体"/>
          <w:color w:val="auto"/>
          <w:highlight w:val="none"/>
          <w:lang w:val="en-US" w:eastAsia="zh-CN"/>
        </w:rPr>
        <w:t>18个月（</w:t>
      </w:r>
      <w:r>
        <w:rPr>
          <w:rFonts w:hint="eastAsia" w:ascii="宋体" w:hAnsi="宋体" w:eastAsia="宋体" w:cs="宋体"/>
          <w:color w:val="auto"/>
          <w:szCs w:val="21"/>
          <w:highlight w:val="none"/>
        </w:rPr>
        <w:t>自签订合同之日</w:t>
      </w:r>
      <w:r>
        <w:rPr>
          <w:rFonts w:hint="eastAsia" w:ascii="宋体" w:hAnsi="宋体" w:eastAsia="宋体" w:cs="宋体"/>
          <w:color w:val="auto"/>
          <w:szCs w:val="21"/>
          <w:highlight w:val="none"/>
          <w:lang w:eastAsia="zh-CN"/>
        </w:rPr>
        <w:t>计起），</w:t>
      </w:r>
      <w:r>
        <w:rPr>
          <w:rFonts w:hint="eastAsia" w:ascii="Times New Roman" w:hAnsi="Times New Roman" w:eastAsia="宋体" w:cs="Times New Roman"/>
          <w:i w:val="0"/>
          <w:caps w:val="0"/>
          <w:color w:val="auto"/>
          <w:spacing w:val="0"/>
          <w:sz w:val="21"/>
          <w:szCs w:val="21"/>
          <w:highlight w:val="none"/>
          <w:shd w:val="clear"/>
        </w:rPr>
        <w:t>合同有效期内如采购费用达到合同采购总额上限则合作即告终止。</w:t>
      </w:r>
    </w:p>
    <w:p>
      <w:pPr>
        <w:topLinePunct/>
        <w:spacing w:line="360" w:lineRule="auto"/>
        <w:ind w:firstLine="420" w:firstLineChars="0"/>
        <w:jc w:val="left"/>
        <w:textAlignment w:val="baseline"/>
        <w:rPr>
          <w:rFonts w:hint="eastAsia" w:ascii="Times New Roman" w:hAnsi="Times New Roman"/>
          <w:color w:val="auto"/>
          <w:szCs w:val="21"/>
          <w:highlight w:val="none"/>
        </w:rPr>
      </w:pPr>
      <w:r>
        <w:rPr>
          <w:rFonts w:hint="eastAsia" w:ascii="Times New Roman" w:hAnsi="Times New Roman"/>
          <w:color w:val="auto"/>
          <w:szCs w:val="21"/>
          <w:highlight w:val="none"/>
        </w:rPr>
        <w:t>2.3</w:t>
      </w:r>
      <w:r>
        <w:rPr>
          <w:rFonts w:hint="eastAsia"/>
          <w:color w:val="auto"/>
          <w:szCs w:val="21"/>
          <w:highlight w:val="none"/>
        </w:rPr>
        <w:t>送货地点：</w:t>
      </w:r>
      <w:r>
        <w:rPr>
          <w:rFonts w:hint="eastAsia" w:ascii="Times New Roman" w:hAnsi="Times New Roman" w:eastAsia="宋体" w:cs="Times New Roman"/>
          <w:color w:val="auto"/>
          <w:szCs w:val="21"/>
          <w:highlight w:val="none"/>
        </w:rPr>
        <w:t>送货范围在珠三角，</w:t>
      </w:r>
      <w:r>
        <w:rPr>
          <w:rFonts w:hint="eastAsia" w:ascii="Times New Roman" w:hAnsi="Times New Roman" w:cs="Times New Roman"/>
          <w:color w:val="auto"/>
          <w:szCs w:val="21"/>
          <w:highlight w:val="none"/>
        </w:rPr>
        <w:t>地点</w:t>
      </w:r>
      <w:r>
        <w:rPr>
          <w:rFonts w:hint="eastAsia" w:ascii="Times New Roman" w:hAnsi="Times New Roman" w:cs="Times New Roman"/>
          <w:color w:val="auto"/>
          <w:szCs w:val="21"/>
          <w:highlight w:val="none"/>
          <w:lang w:eastAsia="zh-CN"/>
        </w:rPr>
        <w:t>包括</w:t>
      </w:r>
      <w:r>
        <w:rPr>
          <w:rFonts w:hint="eastAsia" w:ascii="Times New Roman" w:hAnsi="Times New Roman" w:eastAsia="宋体" w:cs="Times New Roman"/>
          <w:color w:val="auto"/>
          <w:szCs w:val="21"/>
          <w:highlight w:val="none"/>
        </w:rPr>
        <w:t>佛山市南海区里水镇里和北路8号南方报业传媒集团产业基地、广东省东莞市凤岗镇龙平西路雁田红石桥宏基工业园南方报业粤东分印中心</w:t>
      </w:r>
      <w:r>
        <w:rPr>
          <w:rFonts w:hint="eastAsia" w:ascii="Times New Roman" w:hAnsi="Times New Roman" w:eastAsia="宋体" w:cs="Times New Roman"/>
          <w:color w:val="auto"/>
          <w:szCs w:val="21"/>
          <w:highlight w:val="none"/>
          <w:lang w:eastAsia="zh-CN"/>
        </w:rPr>
        <w:t>或</w:t>
      </w:r>
      <w:r>
        <w:rPr>
          <w:rFonts w:hint="eastAsia" w:ascii="Times New Roman" w:hAnsi="Times New Roman" w:cs="Times New Roman"/>
          <w:color w:val="auto"/>
          <w:szCs w:val="21"/>
          <w:highlight w:val="none"/>
          <w:lang w:eastAsia="zh-CN"/>
        </w:rPr>
        <w:t>广东省南方传媒发行物流有限公司</w:t>
      </w:r>
      <w:r>
        <w:rPr>
          <w:rFonts w:hint="eastAsia" w:ascii="Times New Roman" w:hAnsi="Times New Roman" w:eastAsia="宋体" w:cs="Times New Roman"/>
          <w:color w:val="auto"/>
          <w:szCs w:val="21"/>
          <w:highlight w:val="none"/>
          <w:lang w:eastAsia="zh-CN"/>
        </w:rPr>
        <w:t>指定的第三方合作仓储配仓库地点</w:t>
      </w:r>
      <w:r>
        <w:rPr>
          <w:rFonts w:hint="eastAsia" w:ascii="Times New Roman" w:hAnsi="Times New Roman" w:eastAsia="宋体" w:cs="Times New Roman"/>
          <w:color w:val="auto"/>
          <w:szCs w:val="21"/>
          <w:highlight w:val="none"/>
        </w:rPr>
        <w:t>等</w:t>
      </w:r>
      <w:r>
        <w:rPr>
          <w:rFonts w:hint="eastAsia" w:ascii="Times New Roman" w:hAnsi="Times New Roman" w:cs="Times New Roman"/>
          <w:color w:val="auto"/>
          <w:szCs w:val="21"/>
          <w:highlight w:val="none"/>
          <w:lang w:eastAsia="zh-CN"/>
        </w:rPr>
        <w:t>（以广州、佛山、</w:t>
      </w:r>
      <w:r>
        <w:rPr>
          <w:rFonts w:hint="eastAsia" w:cs="Times New Roman"/>
          <w:color w:val="auto"/>
          <w:szCs w:val="21"/>
          <w:highlight w:val="none"/>
          <w:lang w:eastAsia="zh-CN"/>
        </w:rPr>
        <w:t>深圳、</w:t>
      </w:r>
      <w:r>
        <w:rPr>
          <w:rFonts w:hint="eastAsia" w:ascii="Times New Roman" w:hAnsi="Times New Roman" w:cs="Times New Roman"/>
          <w:color w:val="auto"/>
          <w:szCs w:val="21"/>
          <w:highlight w:val="none"/>
          <w:lang w:eastAsia="zh-CN"/>
        </w:rPr>
        <w:t>东莞区域为主）。</w:t>
      </w:r>
      <w:r>
        <w:rPr>
          <w:rFonts w:hint="eastAsia" w:ascii="Times New Roman" w:hAnsi="Times New Roman" w:eastAsia="宋体" w:cs="Times New Roman"/>
          <w:color w:val="auto"/>
          <w:szCs w:val="21"/>
          <w:highlight w:val="none"/>
        </w:rPr>
        <w:t>具体信息详见招标文件，欢迎合格的投标人前来参与。</w:t>
      </w:r>
    </w:p>
    <w:bookmarkEnd w:id="120"/>
    <w:bookmarkEnd w:id="121"/>
    <w:bookmarkEnd w:id="122"/>
    <w:bookmarkEnd w:id="123"/>
    <w:bookmarkEnd w:id="124"/>
    <w:bookmarkEnd w:id="125"/>
    <w:bookmarkEnd w:id="126"/>
    <w:bookmarkEnd w:id="127"/>
    <w:bookmarkEnd w:id="128"/>
    <w:bookmarkEnd w:id="129"/>
    <w:bookmarkEnd w:id="130"/>
    <w:p>
      <w:pPr>
        <w:pStyle w:val="6"/>
        <w:spacing w:line="360" w:lineRule="auto"/>
        <w:rPr>
          <w:color w:val="auto"/>
          <w:highlight w:val="none"/>
        </w:rPr>
      </w:pPr>
      <w:bookmarkStart w:id="131" w:name="_Toc3486"/>
      <w:bookmarkStart w:id="132" w:name="_Toc3341"/>
      <w:bookmarkStart w:id="133" w:name="_Toc254"/>
      <w:bookmarkStart w:id="134" w:name="_Toc28096"/>
      <w:bookmarkStart w:id="135" w:name="_Toc10017"/>
      <w:bookmarkStart w:id="136" w:name="_Toc32331"/>
      <w:r>
        <w:rPr>
          <w:rFonts w:hint="eastAsia"/>
          <w:color w:val="auto"/>
          <w:highlight w:val="none"/>
        </w:rPr>
        <w:t>3</w:t>
      </w:r>
      <w:r>
        <w:rPr>
          <w:color w:val="auto"/>
          <w:highlight w:val="none"/>
        </w:rPr>
        <w:t xml:space="preserve">. </w:t>
      </w:r>
      <w:r>
        <w:rPr>
          <w:rFonts w:hint="eastAsia"/>
          <w:color w:val="auto"/>
          <w:highlight w:val="none"/>
        </w:rPr>
        <w:t>投标人资格要求</w:t>
      </w:r>
      <w:bookmarkEnd w:id="131"/>
      <w:bookmarkEnd w:id="132"/>
      <w:bookmarkEnd w:id="133"/>
      <w:bookmarkEnd w:id="134"/>
      <w:bookmarkEnd w:id="135"/>
      <w:bookmarkEnd w:id="136"/>
    </w:p>
    <w:p>
      <w:pPr>
        <w:topLinePunct/>
        <w:spacing w:line="360" w:lineRule="auto"/>
        <w:ind w:firstLine="420" w:firstLineChars="200"/>
        <w:textAlignment w:val="baseline"/>
        <w:rPr>
          <w:rFonts w:ascii="宋体" w:hAnsi="宋体"/>
          <w:color w:val="auto"/>
          <w:highlight w:val="none"/>
        </w:rPr>
      </w:pPr>
      <w:bookmarkStart w:id="137" w:name="_Toc436215712"/>
      <w:bookmarkStart w:id="138" w:name="_Toc435178355"/>
      <w:bookmarkStart w:id="139" w:name="_Toc179632530"/>
      <w:bookmarkStart w:id="140" w:name="_Toc152042290"/>
      <w:bookmarkStart w:id="141" w:name="_Toc152045514"/>
      <w:bookmarkStart w:id="142" w:name="_Toc247085674"/>
      <w:bookmarkStart w:id="143" w:name="_Toc144974482"/>
      <w:bookmarkStart w:id="144" w:name="_Toc246996903"/>
      <w:bookmarkStart w:id="145" w:name="_Toc246996160"/>
      <w:r>
        <w:rPr>
          <w:rFonts w:hint="eastAsia" w:ascii="宋体" w:hAnsi="宋体"/>
          <w:color w:val="auto"/>
          <w:highlight w:val="none"/>
        </w:rPr>
        <w:t>3.1</w:t>
      </w:r>
      <w:r>
        <w:rPr>
          <w:rFonts w:ascii="宋体" w:hAnsi="宋体"/>
          <w:color w:val="auto"/>
          <w:highlight w:val="none"/>
        </w:rPr>
        <w:t>在中华人民共和国境内注册的具有独立承担民事责任能力的法人</w:t>
      </w:r>
      <w:r>
        <w:rPr>
          <w:rFonts w:hint="eastAsia" w:ascii="宋体" w:hAnsi="宋体"/>
          <w:color w:val="auto"/>
          <w:highlight w:val="none"/>
        </w:rPr>
        <w:t>或其他组织（分公司投标须总公司授权）；</w:t>
      </w:r>
    </w:p>
    <w:p>
      <w:pPr>
        <w:pStyle w:val="3"/>
        <w:spacing w:after="0" w:line="360" w:lineRule="auto"/>
        <w:ind w:firstLine="420" w:firstLineChars="200"/>
        <w:rPr>
          <w:rFonts w:hint="eastAsia" w:ascii="宋体" w:hAnsi="宋体"/>
          <w:color w:val="auto"/>
          <w:highlight w:val="none"/>
        </w:rPr>
      </w:pPr>
      <w:r>
        <w:rPr>
          <w:rFonts w:hint="eastAsia" w:ascii="宋体" w:hAnsi="宋体"/>
          <w:color w:val="auto"/>
          <w:highlight w:val="none"/>
        </w:rPr>
        <w:t>3.2投标人在“信用中国”网站（www.creditchina.gov.cn）、中国政府采购网（www.ccgp.gov.cn）没有被列入失信被执行人或重大税收违法案件当事人名单或政府采购严重违法失信行为记录名单（以投标截止日当天在“信用中国”网站（www.creditchina.gov.cn）及中国政府采购网(www.ccgp.gov.cn)查询结果为准，如相关失信记录已失效，投标人需提供相关证明资料）；</w:t>
      </w:r>
    </w:p>
    <w:p>
      <w:pPr>
        <w:pStyle w:val="4"/>
        <w:ind w:firstLine="420" w:firstLineChars="200"/>
        <w:rPr>
          <w:rFonts w:hint="eastAsia" w:ascii="宋体" w:hAnsi="宋体" w:eastAsia="宋体"/>
          <w:b w:val="0"/>
          <w:bCs w:val="0"/>
          <w:color w:val="auto"/>
          <w:sz w:val="21"/>
          <w:szCs w:val="24"/>
          <w:highlight w:val="none"/>
        </w:rPr>
      </w:pPr>
      <w:r>
        <w:rPr>
          <w:rFonts w:hint="eastAsia" w:ascii="宋体" w:hAnsi="宋体" w:eastAsia="宋体"/>
          <w:b w:val="0"/>
          <w:bCs w:val="0"/>
          <w:color w:val="auto"/>
          <w:sz w:val="21"/>
          <w:szCs w:val="24"/>
          <w:highlight w:val="none"/>
          <w:lang w:val="en-US" w:eastAsia="zh-CN"/>
        </w:rPr>
        <w:t>3.3</w:t>
      </w:r>
      <w:r>
        <w:rPr>
          <w:rFonts w:hint="eastAsia" w:ascii="宋体" w:hAnsi="宋体" w:eastAsia="宋体"/>
          <w:b w:val="0"/>
          <w:bCs w:val="0"/>
          <w:color w:val="auto"/>
          <w:sz w:val="21"/>
          <w:szCs w:val="24"/>
          <w:highlight w:val="none"/>
          <w:lang w:eastAsia="zh-CN"/>
        </w:rPr>
        <w:t>厂家证明或经销商证明（代理商或经销商须提供厂家授权）；</w:t>
      </w:r>
    </w:p>
    <w:p>
      <w:pPr>
        <w:pStyle w:val="3"/>
        <w:spacing w:after="0" w:line="360" w:lineRule="auto"/>
        <w:ind w:firstLine="420" w:firstLineChars="200"/>
        <w:rPr>
          <w:rFonts w:ascii="宋体" w:hAnsi="宋体"/>
          <w:color w:val="auto"/>
          <w:highlight w:val="none"/>
        </w:rPr>
      </w:pPr>
      <w:r>
        <w:rPr>
          <w:rFonts w:hint="eastAsia" w:ascii="宋体" w:hAnsi="宋体"/>
          <w:color w:val="auto"/>
          <w:highlight w:val="none"/>
        </w:rPr>
        <w:t>3.</w:t>
      </w:r>
      <w:r>
        <w:rPr>
          <w:rFonts w:hint="eastAsia" w:ascii="宋体" w:hAnsi="宋体"/>
          <w:color w:val="auto"/>
          <w:highlight w:val="none"/>
          <w:lang w:val="en-US" w:eastAsia="zh-CN"/>
        </w:rPr>
        <w:t>4</w:t>
      </w:r>
      <w:r>
        <w:rPr>
          <w:rFonts w:hint="eastAsia" w:ascii="宋体" w:hAnsi="宋体"/>
          <w:color w:val="auto"/>
          <w:highlight w:val="none"/>
        </w:rPr>
        <w:t>本项目不接受联合体投标。</w:t>
      </w:r>
    </w:p>
    <w:bookmarkEnd w:id="137"/>
    <w:bookmarkEnd w:id="138"/>
    <w:p>
      <w:pPr>
        <w:pStyle w:val="6"/>
        <w:wordWrap w:val="0"/>
        <w:spacing w:line="360" w:lineRule="auto"/>
        <w:rPr>
          <w:rFonts w:hint="eastAsia" w:eastAsia="黑体"/>
          <w:color w:val="auto"/>
          <w:highlight w:val="none"/>
          <w:lang w:eastAsia="zh-CN"/>
        </w:rPr>
      </w:pPr>
      <w:bookmarkStart w:id="146" w:name="_Toc496601923"/>
      <w:bookmarkStart w:id="147" w:name="_Toc435178357"/>
      <w:bookmarkStart w:id="148" w:name="_Toc436215714"/>
      <w:bookmarkStart w:id="149" w:name="_Toc24474"/>
      <w:bookmarkStart w:id="150" w:name="_Toc28302"/>
      <w:bookmarkStart w:id="151" w:name="_Toc16829"/>
      <w:bookmarkStart w:id="152" w:name="_Toc32034"/>
      <w:bookmarkStart w:id="153" w:name="_Toc12316"/>
      <w:bookmarkStart w:id="154" w:name="_Toc31961"/>
      <w:bookmarkStart w:id="155" w:name="_Toc31009"/>
      <w:bookmarkStart w:id="156" w:name="_Toc17064"/>
      <w:bookmarkStart w:id="157" w:name="_Toc31133"/>
      <w:bookmarkStart w:id="158" w:name="_Toc20065"/>
      <w:bookmarkStart w:id="159" w:name="_Toc30262"/>
      <w:bookmarkStart w:id="160" w:name="_Toc19546"/>
      <w:bookmarkStart w:id="161" w:name="_Toc32608"/>
      <w:bookmarkStart w:id="162" w:name="_Toc30617"/>
      <w:bookmarkStart w:id="163" w:name="_Toc20374"/>
      <w:bookmarkStart w:id="164" w:name="_Toc22833"/>
      <w:bookmarkStart w:id="165" w:name="_Toc21890"/>
      <w:bookmarkStart w:id="166" w:name="_Toc29213"/>
      <w:bookmarkStart w:id="167" w:name="_Toc21998"/>
      <w:bookmarkStart w:id="168" w:name="_Toc16202"/>
      <w:bookmarkStart w:id="169" w:name="_Toc13595"/>
      <w:bookmarkStart w:id="170" w:name="_Toc17533"/>
      <w:bookmarkStart w:id="171" w:name="_Toc25619"/>
      <w:bookmarkStart w:id="172" w:name="_Toc18677"/>
      <w:bookmarkStart w:id="173" w:name="_Toc25487"/>
      <w:r>
        <w:rPr>
          <w:rFonts w:hint="eastAsia"/>
          <w:color w:val="auto"/>
          <w:highlight w:val="none"/>
        </w:rPr>
        <w:t xml:space="preserve">4. </w:t>
      </w:r>
      <w:bookmarkEnd w:id="146"/>
      <w:bookmarkEnd w:id="147"/>
      <w:bookmarkEnd w:id="148"/>
      <w:r>
        <w:rPr>
          <w:rFonts w:hint="eastAsia"/>
          <w:color w:val="auto"/>
          <w:highlight w:val="none"/>
        </w:rPr>
        <w:t>招标文件的获取</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pPr>
        <w:tabs>
          <w:tab w:val="left" w:pos="360"/>
        </w:tabs>
        <w:wordWrap w:val="0"/>
        <w:spacing w:line="360" w:lineRule="auto"/>
        <w:ind w:firstLine="420" w:firstLineChars="200"/>
        <w:rPr>
          <w:color w:val="auto"/>
          <w:szCs w:val="21"/>
          <w:highlight w:val="none"/>
        </w:rPr>
      </w:pPr>
      <w:r>
        <w:rPr>
          <w:rFonts w:hint="eastAsia"/>
          <w:color w:val="auto"/>
          <w:szCs w:val="21"/>
          <w:highlight w:val="none"/>
        </w:rPr>
        <w:t>符合资格的投标人应登录招标人网站</w:t>
      </w:r>
      <w:r>
        <w:rPr>
          <w:rFonts w:ascii="宋体" w:hAnsi="宋体" w:cs="宋体"/>
          <w:color w:val="auto"/>
          <w:kern w:val="0"/>
          <w:szCs w:val="21"/>
          <w:highlight w:val="none"/>
        </w:rPr>
        <w:t>（https://zbtb.southcn.com/node_9381c01914）</w:t>
      </w:r>
      <w:r>
        <w:rPr>
          <w:rFonts w:hint="eastAsia"/>
          <w:color w:val="auto"/>
          <w:szCs w:val="21"/>
          <w:highlight w:val="none"/>
        </w:rPr>
        <w:t>下载电子招标文件。</w:t>
      </w:r>
    </w:p>
    <w:p>
      <w:pPr>
        <w:numPr>
          <w:ilvl w:val="0"/>
          <w:numId w:val="1"/>
        </w:numPr>
        <w:tabs>
          <w:tab w:val="left" w:pos="360"/>
        </w:tabs>
        <w:spacing w:line="360" w:lineRule="auto"/>
        <w:ind w:left="0" w:firstLine="426"/>
        <w:rPr>
          <w:color w:val="auto"/>
          <w:szCs w:val="21"/>
          <w:highlight w:val="none"/>
        </w:rPr>
      </w:pPr>
      <w:r>
        <w:rPr>
          <w:rFonts w:hint="eastAsia"/>
          <w:color w:val="auto"/>
          <w:szCs w:val="21"/>
          <w:highlight w:val="none"/>
        </w:rPr>
        <w:t>标书款缴纳：投标人应以自有对公账户将标书款（</w:t>
      </w:r>
      <w:r>
        <w:rPr>
          <w:color w:val="auto"/>
          <w:szCs w:val="21"/>
          <w:highlight w:val="none"/>
        </w:rPr>
        <w:t>招标文件每套售价</w:t>
      </w:r>
      <w:r>
        <w:rPr>
          <w:color w:val="auto"/>
          <w:szCs w:val="21"/>
          <w:highlight w:val="none"/>
          <w:u w:val="single"/>
        </w:rPr>
        <w:t xml:space="preserve"> </w:t>
      </w:r>
      <w:r>
        <w:rPr>
          <w:rFonts w:hint="eastAsia"/>
          <w:color w:val="auto"/>
          <w:szCs w:val="21"/>
          <w:highlight w:val="none"/>
          <w:u w:val="single"/>
        </w:rPr>
        <w:t xml:space="preserve">150 </w:t>
      </w:r>
      <w:r>
        <w:rPr>
          <w:color w:val="auto"/>
          <w:szCs w:val="21"/>
          <w:highlight w:val="none"/>
        </w:rPr>
        <w:t>元，售后不退</w:t>
      </w:r>
      <w:r>
        <w:rPr>
          <w:rFonts w:hint="eastAsia"/>
          <w:color w:val="auto"/>
          <w:szCs w:val="21"/>
          <w:highlight w:val="none"/>
        </w:rPr>
        <w:t>）转账至以下招标人账户。汇款时，需在汇款单备注栏添加“ZB202</w:t>
      </w:r>
      <w:r>
        <w:rPr>
          <w:rFonts w:hint="eastAsia"/>
          <w:color w:val="auto"/>
          <w:szCs w:val="21"/>
          <w:highlight w:val="none"/>
          <w:lang w:val="en-US" w:eastAsia="zh-CN"/>
        </w:rPr>
        <w:t>405</w:t>
      </w:r>
      <w:r>
        <w:rPr>
          <w:rFonts w:hint="eastAsia" w:ascii="Times New Roman" w:hAnsi="Times New Roman" w:cs="Times New Roman"/>
          <w:color w:val="auto"/>
          <w:szCs w:val="21"/>
          <w:highlight w:val="none"/>
        </w:rPr>
        <w:t>、</w:t>
      </w:r>
      <w:r>
        <w:rPr>
          <w:rFonts w:hint="eastAsia"/>
          <w:color w:val="auto"/>
          <w:szCs w:val="21"/>
          <w:highlight w:val="none"/>
        </w:rPr>
        <w:t>纳税人识别号（或统一社会信用代码）”</w:t>
      </w:r>
      <w:r>
        <w:rPr>
          <w:rFonts w:hint="eastAsia" w:asciiTheme="minorEastAsia" w:hAnsiTheme="minorEastAsia" w:eastAsiaTheme="minorEastAsia" w:cstheme="minorEastAsia"/>
          <w:b/>
          <w:color w:val="auto"/>
          <w:szCs w:val="21"/>
          <w:highlight w:val="none"/>
        </w:rPr>
        <w:t>（请确保备注内容填写完整，否则有可能对投标人的报名造成影响）</w:t>
      </w:r>
      <w:r>
        <w:rPr>
          <w:rFonts w:hint="eastAsia"/>
          <w:color w:val="auto"/>
          <w:szCs w:val="21"/>
          <w:highlight w:val="none"/>
        </w:rPr>
        <w:t xml:space="preserve">。  </w:t>
      </w:r>
    </w:p>
    <w:p>
      <w:pPr>
        <w:numPr>
          <w:ilvl w:val="255"/>
          <w:numId w:val="0"/>
        </w:numPr>
        <w:tabs>
          <w:tab w:val="left" w:pos="360"/>
        </w:tabs>
        <w:spacing w:line="360" w:lineRule="auto"/>
        <w:rPr>
          <w:color w:val="auto"/>
          <w:szCs w:val="21"/>
          <w:highlight w:val="none"/>
        </w:rPr>
      </w:pPr>
      <w:r>
        <w:rPr>
          <w:rFonts w:hint="eastAsia"/>
          <w:color w:val="auto"/>
          <w:szCs w:val="21"/>
          <w:highlight w:val="none"/>
        </w:rPr>
        <w:t xml:space="preserve">  4.2 招标人账户： </w:t>
      </w:r>
    </w:p>
    <w:p>
      <w:pPr>
        <w:spacing w:line="360" w:lineRule="auto"/>
        <w:ind w:left="399" w:leftChars="190"/>
        <w:rPr>
          <w:color w:val="auto"/>
          <w:szCs w:val="21"/>
          <w:highlight w:val="none"/>
        </w:rPr>
      </w:pPr>
      <w:r>
        <w:rPr>
          <w:rFonts w:hint="eastAsia"/>
          <w:color w:val="auto"/>
          <w:szCs w:val="21"/>
          <w:highlight w:val="none"/>
        </w:rPr>
        <w:t xml:space="preserve">单 位：广东省南方传媒发行物流有限公司 </w:t>
      </w:r>
    </w:p>
    <w:p>
      <w:pPr>
        <w:tabs>
          <w:tab w:val="left" w:pos="360"/>
        </w:tabs>
        <w:spacing w:line="360" w:lineRule="auto"/>
        <w:ind w:firstLine="420"/>
        <w:rPr>
          <w:color w:val="auto"/>
          <w:szCs w:val="21"/>
          <w:highlight w:val="none"/>
        </w:rPr>
      </w:pPr>
      <w:r>
        <w:rPr>
          <w:rFonts w:hint="eastAsia"/>
          <w:color w:val="auto"/>
          <w:szCs w:val="21"/>
          <w:highlight w:val="none"/>
        </w:rPr>
        <w:t xml:space="preserve">开 户 行：中国农业银行广州五羊新城支行 </w:t>
      </w:r>
    </w:p>
    <w:p>
      <w:pPr>
        <w:tabs>
          <w:tab w:val="left" w:pos="360"/>
        </w:tabs>
        <w:spacing w:line="360" w:lineRule="auto"/>
        <w:ind w:firstLine="420"/>
        <w:rPr>
          <w:color w:val="auto"/>
          <w:szCs w:val="21"/>
          <w:highlight w:val="none"/>
        </w:rPr>
      </w:pPr>
      <w:r>
        <w:rPr>
          <w:rFonts w:hint="eastAsia"/>
          <w:color w:val="auto"/>
          <w:szCs w:val="21"/>
          <w:highlight w:val="none"/>
        </w:rPr>
        <w:t>账 号：44030401040003075</w:t>
      </w:r>
    </w:p>
    <w:p>
      <w:pPr>
        <w:pStyle w:val="3"/>
        <w:spacing w:line="560" w:lineRule="exact"/>
        <w:ind w:firstLine="420" w:firstLineChars="200"/>
        <w:rPr>
          <w:color w:val="auto"/>
          <w:szCs w:val="21"/>
          <w:highlight w:val="none"/>
        </w:rPr>
      </w:pPr>
      <w:r>
        <w:rPr>
          <w:rFonts w:hint="eastAsia"/>
          <w:color w:val="auto"/>
          <w:szCs w:val="21"/>
          <w:highlight w:val="none"/>
        </w:rPr>
        <w:t>投标人应在递交投标文件截止后以邮件形式向招标人财务部申请领取发票，发票以快递或者邮件形式发送。申请领取发票时，投标人必须向招标人财务部提供公司名称及纳税人识别号（或统一社会信用代码），否则发票无法开具。</w:t>
      </w:r>
    </w:p>
    <w:p>
      <w:pPr>
        <w:tabs>
          <w:tab w:val="left" w:pos="360"/>
        </w:tabs>
        <w:spacing w:line="360" w:lineRule="auto"/>
        <w:ind w:firstLine="420"/>
        <w:rPr>
          <w:color w:val="auto"/>
          <w:szCs w:val="21"/>
          <w:highlight w:val="none"/>
        </w:rPr>
      </w:pPr>
      <w:r>
        <w:rPr>
          <w:rFonts w:hint="eastAsia"/>
          <w:color w:val="auto"/>
          <w:szCs w:val="21"/>
          <w:highlight w:val="none"/>
        </w:rPr>
        <w:t xml:space="preserve">4.3 报名预登记：填写投标登记表（格式见本招标文件第一章附表）并加盖法人公章，连同标书款汇款凭证，扫描成PDF格式文件发送至招标方邮箱。招标方邮箱： </w:t>
      </w:r>
      <w:r>
        <w:rPr>
          <w:rFonts w:hint="eastAsia" w:ascii="宋体" w:hAnsi="宋体"/>
          <w:color w:val="auto"/>
          <w:highlight w:val="none"/>
          <w:u w:val="single"/>
        </w:rPr>
        <w:t>fxwlcg@nfmedia.com。</w:t>
      </w:r>
      <w:r>
        <w:rPr>
          <w:color w:val="auto"/>
          <w:szCs w:val="21"/>
          <w:highlight w:val="none"/>
          <w:u w:val="single"/>
        </w:rPr>
        <w:t xml:space="preserve">   </w:t>
      </w:r>
      <w:r>
        <w:rPr>
          <w:color w:val="auto"/>
          <w:szCs w:val="21"/>
          <w:highlight w:val="none"/>
        </w:rPr>
        <w:t xml:space="preserve">  </w:t>
      </w:r>
    </w:p>
    <w:p>
      <w:pPr>
        <w:pStyle w:val="2"/>
        <w:rPr>
          <w:color w:val="auto"/>
          <w:szCs w:val="21"/>
          <w:highlight w:val="none"/>
        </w:rPr>
      </w:pPr>
    </w:p>
    <w:p>
      <w:pPr>
        <w:pStyle w:val="6"/>
        <w:spacing w:line="460" w:lineRule="exact"/>
        <w:rPr>
          <w:rFonts w:hint="eastAsia" w:ascii="宋体" w:hAnsi="宋体" w:eastAsia="宋体" w:cs="宋体"/>
          <w:lang w:val="en-US" w:eastAsia="zh-CN"/>
        </w:rPr>
      </w:pPr>
      <w:r>
        <w:rPr>
          <w:rFonts w:hint="eastAsia" w:ascii="宋体" w:hAnsi="宋体" w:eastAsia="宋体" w:cs="宋体"/>
          <w:lang w:val="en-US" w:eastAsia="zh-CN"/>
        </w:rPr>
        <w:t>5.投标保证金的缴纳</w:t>
      </w:r>
    </w:p>
    <w:p>
      <w:pPr>
        <w:spacing w:line="46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5.1 投标保证金</w:t>
      </w:r>
      <w:r>
        <w:rPr>
          <w:rFonts w:hint="eastAsia" w:ascii="宋体" w:hAnsi="宋体" w:cs="宋体"/>
          <w:sz w:val="21"/>
          <w:szCs w:val="21"/>
          <w:u w:val="single"/>
          <w:lang w:val="en-US" w:eastAsia="zh-CN"/>
        </w:rPr>
        <w:t xml:space="preserve">  ￥10000  </w:t>
      </w:r>
      <w:r>
        <w:rPr>
          <w:rFonts w:hint="eastAsia" w:ascii="宋体" w:hAnsi="宋体" w:cs="宋体"/>
          <w:sz w:val="21"/>
          <w:szCs w:val="21"/>
          <w:lang w:val="en-US" w:eastAsia="zh-CN"/>
        </w:rPr>
        <w:t xml:space="preserve"> 元(大写：壹万元整），所有投标人必须缴纳，否则，其报价文件无效。</w:t>
      </w:r>
    </w:p>
    <w:p>
      <w:pPr>
        <w:spacing w:line="46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5.2 缴纳方式：</w:t>
      </w:r>
    </w:p>
    <w:p>
      <w:pPr>
        <w:spacing w:line="46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5.2.1可汇款至招标人如下账户。汇款时，需在汇款单备注栏添加本项目的项目编号，例如 “投标保证金ZB202405”。  </w:t>
      </w:r>
    </w:p>
    <w:p>
      <w:pPr>
        <w:spacing w:line="460" w:lineRule="exact"/>
        <w:ind w:left="479" w:leftChars="228" w:firstLine="0" w:firstLineChars="0"/>
        <w:rPr>
          <w:rFonts w:hint="eastAsia" w:ascii="宋体" w:hAnsi="宋体" w:cs="宋体"/>
          <w:sz w:val="21"/>
          <w:szCs w:val="21"/>
          <w:lang w:val="en-US" w:eastAsia="zh-CN"/>
        </w:rPr>
      </w:pPr>
      <w:r>
        <w:rPr>
          <w:rFonts w:hint="eastAsia" w:ascii="宋体" w:hAnsi="宋体" w:cs="宋体"/>
          <w:sz w:val="21"/>
          <w:szCs w:val="21"/>
          <w:lang w:val="en-US" w:eastAsia="zh-CN"/>
        </w:rPr>
        <w:t>招标人开户银行： </w:t>
      </w:r>
      <w:r>
        <w:rPr>
          <w:rFonts w:hint="eastAsia" w:ascii="宋体" w:hAnsi="宋体" w:cs="宋体"/>
          <w:sz w:val="21"/>
          <w:szCs w:val="21"/>
          <w:lang w:val="en-US" w:eastAsia="zh-CN"/>
        </w:rPr>
        <w:br w:type="textWrapping"/>
      </w:r>
      <w:r>
        <w:rPr>
          <w:rFonts w:hint="eastAsia" w:ascii="宋体" w:hAnsi="宋体" w:cs="宋体"/>
          <w:sz w:val="21"/>
          <w:szCs w:val="21"/>
          <w:lang w:val="en-US" w:eastAsia="zh-CN"/>
        </w:rPr>
        <w:t xml:space="preserve">单 位：广东省南方传媒发行物流有限公司 </w:t>
      </w:r>
    </w:p>
    <w:p>
      <w:pPr>
        <w:spacing w:line="46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 xml:space="preserve">开 户 行：中国农业银行广州五羊新城支行  </w:t>
      </w:r>
    </w:p>
    <w:p>
      <w:pPr>
        <w:spacing w:line="460" w:lineRule="exact"/>
        <w:ind w:firstLine="420" w:firstLineChars="200"/>
        <w:rPr>
          <w:rFonts w:hint="eastAsia" w:ascii="宋体" w:hAnsi="宋体" w:cs="宋体"/>
          <w:sz w:val="21"/>
          <w:szCs w:val="21"/>
          <w:lang w:val="en-US" w:eastAsia="zh-CN"/>
        </w:rPr>
      </w:pPr>
      <w:r>
        <w:rPr>
          <w:rFonts w:hint="eastAsia" w:ascii="宋体" w:hAnsi="宋体" w:cs="宋体"/>
          <w:sz w:val="21"/>
          <w:szCs w:val="21"/>
          <w:lang w:val="en-US" w:eastAsia="zh-CN"/>
        </w:rPr>
        <w:t>账 号：44030401040003075</w:t>
      </w:r>
    </w:p>
    <w:p>
      <w:pPr>
        <w:pStyle w:val="2"/>
        <w:rPr>
          <w:rFonts w:hint="eastAsia" w:ascii="宋体" w:hAnsi="宋体" w:cs="宋体"/>
          <w:color w:val="auto"/>
          <w:szCs w:val="21"/>
          <w:highlight w:val="none"/>
        </w:rPr>
      </w:pPr>
    </w:p>
    <w:p>
      <w:pPr>
        <w:pStyle w:val="6"/>
        <w:spacing w:line="360" w:lineRule="auto"/>
        <w:rPr>
          <w:color w:val="auto"/>
          <w:highlight w:val="none"/>
        </w:rPr>
      </w:pPr>
      <w:bookmarkStart w:id="174" w:name="_Toc31616"/>
      <w:bookmarkStart w:id="175" w:name="_Toc4296"/>
      <w:bookmarkStart w:id="176" w:name="_Toc9322"/>
      <w:bookmarkStart w:id="177" w:name="_Toc435178359"/>
      <w:bookmarkStart w:id="178" w:name="_Toc21877"/>
      <w:bookmarkStart w:id="179" w:name="_Toc15529"/>
      <w:bookmarkStart w:id="180" w:name="_Toc4194"/>
      <w:bookmarkStart w:id="181" w:name="_Toc10536"/>
      <w:bookmarkStart w:id="182" w:name="_Toc17426"/>
      <w:bookmarkStart w:id="183" w:name="_Toc436215716"/>
      <w:bookmarkStart w:id="184" w:name="_Toc7724"/>
      <w:bookmarkStart w:id="185" w:name="_Toc31066"/>
      <w:bookmarkStart w:id="186" w:name="_Toc29363"/>
      <w:bookmarkStart w:id="187" w:name="_Toc11080"/>
      <w:bookmarkStart w:id="188" w:name="_Toc496601925"/>
      <w:bookmarkStart w:id="189" w:name="_Toc20983"/>
      <w:bookmarkStart w:id="190" w:name="_Toc7939"/>
      <w:bookmarkStart w:id="191" w:name="_Toc29063"/>
      <w:bookmarkStart w:id="192" w:name="_Toc26558"/>
      <w:bookmarkStart w:id="193" w:name="_Toc22295"/>
      <w:bookmarkStart w:id="194" w:name="_Toc1944"/>
      <w:bookmarkStart w:id="195" w:name="_Toc1162"/>
      <w:bookmarkStart w:id="196" w:name="_Toc15281"/>
      <w:bookmarkStart w:id="197" w:name="_Toc10467"/>
      <w:bookmarkStart w:id="198" w:name="_Toc22931"/>
      <w:bookmarkStart w:id="199" w:name="_Toc24516"/>
      <w:bookmarkStart w:id="200" w:name="_Toc2564"/>
      <w:bookmarkStart w:id="201" w:name="_Toc719"/>
      <w:r>
        <w:rPr>
          <w:rFonts w:hint="eastAsia"/>
          <w:color w:val="auto"/>
          <w:highlight w:val="none"/>
          <w:lang w:val="en-US" w:eastAsia="zh-CN"/>
        </w:rPr>
        <w:t>6</w:t>
      </w:r>
      <w:r>
        <w:rPr>
          <w:color w:val="auto"/>
          <w:highlight w:val="none"/>
        </w:rPr>
        <w:t>.</w:t>
      </w:r>
      <w:r>
        <w:rPr>
          <w:rFonts w:hint="eastAsia"/>
          <w:color w:val="auto"/>
          <w:highlight w:val="none"/>
        </w:rPr>
        <w:t>投标文件递交</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Start w:id="202" w:name="OLE_LINK8"/>
    </w:p>
    <w:p>
      <w:pPr>
        <w:autoSpaceDE w:val="0"/>
        <w:autoSpaceDN w:val="0"/>
        <w:adjustRightInd w:val="0"/>
        <w:spacing w:line="540" w:lineRule="exact"/>
        <w:ind w:firstLine="420" w:firstLineChars="200"/>
        <w:jc w:val="left"/>
        <w:rPr>
          <w:rFonts w:ascii="宋体" w:hAnsi="宋体"/>
          <w:color w:val="auto"/>
          <w:szCs w:val="21"/>
          <w:highlight w:val="none"/>
        </w:rPr>
      </w:pPr>
      <w:r>
        <w:rPr>
          <w:rFonts w:hint="eastAsia" w:ascii="宋体" w:hAnsi="宋体"/>
          <w:color w:val="auto"/>
          <w:szCs w:val="21"/>
          <w:highlight w:val="none"/>
          <w:lang w:val="en-US" w:eastAsia="zh-CN"/>
        </w:rPr>
        <w:t>6</w:t>
      </w:r>
      <w:r>
        <w:rPr>
          <w:rFonts w:hint="eastAsia" w:ascii="宋体" w:hAnsi="宋体"/>
          <w:color w:val="auto"/>
          <w:szCs w:val="21"/>
          <w:highlight w:val="none"/>
        </w:rPr>
        <w:t xml:space="preserve">.1 </w:t>
      </w:r>
      <w:r>
        <w:rPr>
          <w:rFonts w:hint="eastAsia" w:ascii="宋体" w:hAnsi="宋体"/>
          <w:color w:val="auto"/>
          <w:szCs w:val="21"/>
          <w:highlight w:val="none"/>
          <w:lang w:eastAsia="zh-CN"/>
        </w:rPr>
        <w:t>投标</w:t>
      </w:r>
      <w:r>
        <w:rPr>
          <w:rFonts w:hint="eastAsia" w:ascii="宋体" w:hAnsi="宋体"/>
          <w:color w:val="auto"/>
          <w:szCs w:val="21"/>
          <w:highlight w:val="none"/>
        </w:rPr>
        <w:t>文件</w:t>
      </w:r>
      <w:r>
        <w:rPr>
          <w:rFonts w:hint="eastAsia" w:ascii="宋体" w:hAnsi="宋体" w:cs="宋体"/>
          <w:color w:val="auto"/>
          <w:kern w:val="0"/>
          <w:szCs w:val="21"/>
          <w:highlight w:val="none"/>
        </w:rPr>
        <w:t>递交</w:t>
      </w:r>
      <w:r>
        <w:rPr>
          <w:rFonts w:ascii="宋体" w:hAnsi="宋体" w:cs="宋体"/>
          <w:color w:val="auto"/>
          <w:kern w:val="0"/>
          <w:szCs w:val="21"/>
          <w:highlight w:val="none"/>
        </w:rPr>
        <w:t>截止时间</w:t>
      </w:r>
      <w:r>
        <w:rPr>
          <w:rFonts w:hint="eastAsia" w:ascii="宋体" w:hAnsi="宋体" w:cs="宋体"/>
          <w:color w:val="auto"/>
          <w:kern w:val="0"/>
          <w:szCs w:val="21"/>
          <w:highlight w:val="none"/>
        </w:rPr>
        <w:t>（即</w:t>
      </w:r>
      <w:r>
        <w:rPr>
          <w:rFonts w:hint="eastAsia" w:ascii="宋体" w:hAnsi="宋体" w:cs="宋体"/>
          <w:color w:val="auto"/>
          <w:kern w:val="0"/>
          <w:szCs w:val="21"/>
          <w:highlight w:val="none"/>
          <w:lang w:eastAsia="zh-CN"/>
        </w:rPr>
        <w:t>参选</w:t>
      </w:r>
      <w:r>
        <w:rPr>
          <w:rFonts w:hint="eastAsia" w:ascii="宋体" w:hAnsi="宋体" w:cs="宋体"/>
          <w:color w:val="auto"/>
          <w:kern w:val="0"/>
          <w:szCs w:val="21"/>
          <w:highlight w:val="none"/>
        </w:rPr>
        <w:t>截止时间）：</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4</w:t>
      </w:r>
      <w:r>
        <w:rPr>
          <w:rFonts w:hint="eastAsia" w:ascii="宋体" w:hAnsi="宋体"/>
          <w:color w:val="auto"/>
          <w:szCs w:val="21"/>
          <w:highlight w:val="none"/>
          <w:u w:val="single"/>
        </w:rPr>
        <w:t>年</w:t>
      </w:r>
      <w:r>
        <w:rPr>
          <w:rFonts w:hint="eastAsia" w:ascii="宋体" w:hAnsi="宋体"/>
          <w:color w:val="auto"/>
          <w:szCs w:val="21"/>
          <w:highlight w:val="none"/>
          <w:u w:val="single"/>
          <w:lang w:val="en-US" w:eastAsia="zh-CN"/>
        </w:rPr>
        <w:t>5</w:t>
      </w:r>
      <w:r>
        <w:rPr>
          <w:rFonts w:hint="eastAsia" w:ascii="宋体" w:hAnsi="宋体"/>
          <w:color w:val="auto"/>
          <w:szCs w:val="21"/>
          <w:highlight w:val="none"/>
          <w:u w:val="single"/>
        </w:rPr>
        <w:t>月</w:t>
      </w:r>
      <w:r>
        <w:rPr>
          <w:rFonts w:hint="eastAsia" w:ascii="宋体" w:hAnsi="宋体"/>
          <w:color w:val="auto"/>
          <w:szCs w:val="21"/>
          <w:highlight w:val="none"/>
          <w:u w:val="single"/>
          <w:lang w:val="en-US" w:eastAsia="zh-CN"/>
        </w:rPr>
        <w:t>20</w:t>
      </w:r>
      <w:r>
        <w:rPr>
          <w:rFonts w:hint="eastAsia" w:ascii="宋体" w:hAnsi="宋体"/>
          <w:color w:val="auto"/>
          <w:szCs w:val="21"/>
          <w:highlight w:val="none"/>
          <w:u w:val="single"/>
        </w:rPr>
        <w:t>日1</w:t>
      </w:r>
      <w:r>
        <w:rPr>
          <w:rFonts w:hint="eastAsia" w:ascii="宋体" w:hAnsi="宋体"/>
          <w:color w:val="auto"/>
          <w:szCs w:val="21"/>
          <w:highlight w:val="none"/>
          <w:u w:val="single"/>
          <w:lang w:val="en-US" w:eastAsia="zh-CN"/>
        </w:rPr>
        <w:t>4</w:t>
      </w:r>
      <w:r>
        <w:rPr>
          <w:rFonts w:hint="eastAsia" w:ascii="宋体" w:hAnsi="宋体"/>
          <w:color w:val="auto"/>
          <w:szCs w:val="21"/>
          <w:highlight w:val="none"/>
          <w:u w:val="single"/>
        </w:rPr>
        <w:t>时00分，地点</w:t>
      </w:r>
      <w:r>
        <w:rPr>
          <w:rFonts w:hint="eastAsia" w:ascii="宋体" w:hAnsi="宋体"/>
          <w:color w:val="auto"/>
          <w:szCs w:val="21"/>
          <w:highlight w:val="none"/>
        </w:rPr>
        <w:t>为</w:t>
      </w:r>
      <w:r>
        <w:rPr>
          <w:rFonts w:hint="eastAsia" w:ascii="宋体" w:hAnsi="宋体" w:cs="宋体"/>
          <w:color w:val="auto"/>
          <w:szCs w:val="21"/>
          <w:highlight w:val="none"/>
        </w:rPr>
        <w:t>广州市黄埔区黄埔大道东888号南方智媒大厦南塔20楼</w:t>
      </w:r>
      <w:r>
        <w:rPr>
          <w:rFonts w:hint="eastAsia" w:ascii="宋体" w:hAnsi="宋体"/>
          <w:color w:val="auto"/>
          <w:szCs w:val="21"/>
          <w:highlight w:val="none"/>
        </w:rPr>
        <w:t>。</w:t>
      </w:r>
    </w:p>
    <w:p>
      <w:pPr>
        <w:autoSpaceDE w:val="0"/>
        <w:autoSpaceDN w:val="0"/>
        <w:adjustRightInd w:val="0"/>
        <w:spacing w:line="50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 xml:space="preserve">.2 </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文件递交方式：现场或快递形式；收件人：官小姐；电话：020-83002718</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lang w:val="en-US" w:eastAsia="zh-CN"/>
        </w:rPr>
        <w:t>13763355750</w:t>
      </w:r>
      <w:r>
        <w:rPr>
          <w:rFonts w:hint="eastAsia" w:ascii="宋体" w:hAnsi="宋体" w:cs="宋体"/>
          <w:color w:val="auto"/>
          <w:kern w:val="0"/>
          <w:szCs w:val="21"/>
          <w:highlight w:val="none"/>
        </w:rPr>
        <w:t>。</w:t>
      </w:r>
    </w:p>
    <w:p>
      <w:pPr>
        <w:autoSpaceDE w:val="0"/>
        <w:autoSpaceDN w:val="0"/>
        <w:adjustRightInd w:val="0"/>
        <w:spacing w:line="50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 xml:space="preserve">.3 </w:t>
      </w:r>
      <w:r>
        <w:rPr>
          <w:rFonts w:hint="eastAsia" w:ascii="宋体" w:hAnsi="宋体" w:cs="宋体"/>
          <w:color w:val="auto"/>
          <w:kern w:val="0"/>
          <w:szCs w:val="21"/>
          <w:highlight w:val="none"/>
          <w:lang w:eastAsia="zh-CN"/>
        </w:rPr>
        <w:t>投标</w:t>
      </w:r>
      <w:r>
        <w:rPr>
          <w:rFonts w:hint="eastAsia" w:ascii="宋体" w:hAnsi="宋体" w:cs="宋体"/>
          <w:color w:val="auto"/>
          <w:kern w:val="0"/>
          <w:szCs w:val="21"/>
          <w:highlight w:val="none"/>
        </w:rPr>
        <w:t>文件递交时间为：</w:t>
      </w:r>
      <w:r>
        <w:rPr>
          <w:rFonts w:hint="eastAsia" w:ascii="宋体" w:hAnsi="宋体" w:cs="宋体"/>
          <w:color w:val="auto"/>
          <w:szCs w:val="21"/>
          <w:highlight w:val="none"/>
          <w:u w:val="single"/>
        </w:rPr>
        <w:t>202</w:t>
      </w:r>
      <w:r>
        <w:rPr>
          <w:rFonts w:hint="eastAsia" w:ascii="宋体" w:hAnsi="宋体" w:cs="宋体"/>
          <w:color w:val="auto"/>
          <w:szCs w:val="21"/>
          <w:highlight w:val="none"/>
          <w:u w:val="single"/>
          <w:lang w:val="en-US" w:eastAsia="zh-CN"/>
        </w:rPr>
        <w:t>4</w:t>
      </w:r>
      <w:r>
        <w:rPr>
          <w:rFonts w:hint="eastAsia" w:ascii="宋体" w:hAnsi="宋体" w:cs="宋体"/>
          <w:color w:val="auto"/>
          <w:szCs w:val="21"/>
          <w:highlight w:val="none"/>
          <w:u w:val="single"/>
        </w:rPr>
        <w:t>年</w:t>
      </w:r>
      <w:r>
        <w:rPr>
          <w:rFonts w:hint="eastAsia" w:ascii="宋体" w:hAnsi="宋体" w:cs="宋体"/>
          <w:color w:val="auto"/>
          <w:szCs w:val="21"/>
          <w:highlight w:val="none"/>
          <w:u w:val="single"/>
          <w:lang w:val="en-US" w:eastAsia="zh-CN"/>
        </w:rPr>
        <w:t>4</w:t>
      </w:r>
      <w:r>
        <w:rPr>
          <w:rFonts w:hint="eastAsia" w:ascii="宋体" w:hAnsi="宋体" w:cs="宋体"/>
          <w:color w:val="auto"/>
          <w:szCs w:val="21"/>
          <w:highlight w:val="none"/>
          <w:u w:val="single"/>
        </w:rPr>
        <w:t>月</w:t>
      </w:r>
      <w:r>
        <w:rPr>
          <w:rFonts w:hint="eastAsia" w:ascii="宋体" w:hAnsi="宋体" w:cs="宋体"/>
          <w:color w:val="auto"/>
          <w:szCs w:val="21"/>
          <w:highlight w:val="none"/>
          <w:u w:val="single"/>
          <w:lang w:val="en-US" w:eastAsia="zh-CN"/>
        </w:rPr>
        <w:t>30</w:t>
      </w:r>
      <w:r>
        <w:rPr>
          <w:rFonts w:hint="eastAsia" w:ascii="宋体" w:hAnsi="宋体" w:cs="宋体"/>
          <w:color w:val="auto"/>
          <w:szCs w:val="21"/>
          <w:highlight w:val="none"/>
          <w:u w:val="single"/>
        </w:rPr>
        <w:t>日</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时00分至202</w:t>
      </w:r>
      <w:r>
        <w:rPr>
          <w:rFonts w:hint="eastAsia" w:ascii="宋体" w:hAnsi="宋体" w:cs="宋体"/>
          <w:color w:val="auto"/>
          <w:szCs w:val="21"/>
          <w:highlight w:val="none"/>
          <w:u w:val="single"/>
          <w:lang w:val="en-US" w:eastAsia="zh-CN"/>
        </w:rPr>
        <w:t>4</w:t>
      </w:r>
      <w:r>
        <w:rPr>
          <w:rFonts w:hint="eastAsia" w:ascii="宋体" w:hAnsi="宋体" w:cs="宋体"/>
          <w:color w:val="auto"/>
          <w:szCs w:val="21"/>
          <w:highlight w:val="none"/>
          <w:u w:val="single"/>
        </w:rPr>
        <w:t>年</w:t>
      </w:r>
      <w:r>
        <w:rPr>
          <w:rFonts w:hint="eastAsia" w:ascii="宋体" w:hAnsi="宋体" w:cs="宋体"/>
          <w:color w:val="auto"/>
          <w:szCs w:val="21"/>
          <w:highlight w:val="none"/>
          <w:u w:val="single"/>
          <w:lang w:val="en-US" w:eastAsia="zh-CN"/>
        </w:rPr>
        <w:t>5</w:t>
      </w:r>
      <w:r>
        <w:rPr>
          <w:rFonts w:hint="eastAsia" w:ascii="宋体" w:hAnsi="宋体" w:cs="宋体"/>
          <w:color w:val="auto"/>
          <w:szCs w:val="21"/>
          <w:highlight w:val="none"/>
          <w:u w:val="single"/>
        </w:rPr>
        <w:t>月</w:t>
      </w:r>
      <w:r>
        <w:rPr>
          <w:rFonts w:hint="eastAsia" w:ascii="宋体" w:hAnsi="宋体" w:cs="宋体"/>
          <w:color w:val="auto"/>
          <w:szCs w:val="21"/>
          <w:highlight w:val="none"/>
          <w:u w:val="single"/>
          <w:lang w:val="en-US" w:eastAsia="zh-CN"/>
        </w:rPr>
        <w:t>20</w:t>
      </w:r>
      <w:r>
        <w:rPr>
          <w:rFonts w:hint="eastAsia" w:ascii="宋体" w:hAnsi="宋体" w:cs="宋体"/>
          <w:color w:val="auto"/>
          <w:szCs w:val="21"/>
          <w:highlight w:val="none"/>
          <w:u w:val="single"/>
        </w:rPr>
        <w:t>日</w:t>
      </w:r>
      <w:r>
        <w:rPr>
          <w:rFonts w:hint="eastAsia" w:ascii="宋体" w:hAnsi="宋体" w:cs="宋体"/>
          <w:color w:val="auto"/>
          <w:szCs w:val="21"/>
          <w:highlight w:val="none"/>
          <w:u w:val="single"/>
          <w:lang w:val="en-US" w:eastAsia="zh-CN"/>
        </w:rPr>
        <w:t>14</w:t>
      </w:r>
      <w:r>
        <w:rPr>
          <w:rFonts w:hint="eastAsia" w:ascii="宋体" w:hAnsi="宋体" w:cs="宋体"/>
          <w:color w:val="auto"/>
          <w:szCs w:val="21"/>
          <w:highlight w:val="none"/>
          <w:u w:val="single"/>
        </w:rPr>
        <w:t>时00分</w:t>
      </w:r>
      <w:r>
        <w:rPr>
          <w:rFonts w:hint="eastAsia"/>
          <w:color w:val="auto"/>
          <w:szCs w:val="21"/>
          <w:highlight w:val="none"/>
          <w:u w:val="single"/>
        </w:rPr>
        <w:t xml:space="preserve">。 </w:t>
      </w:r>
    </w:p>
    <w:p>
      <w:pPr>
        <w:pStyle w:val="100"/>
        <w:adjustRightInd w:val="0"/>
        <w:snapToGrid w:val="0"/>
        <w:spacing w:line="500" w:lineRule="exact"/>
        <w:rPr>
          <w:rFonts w:hint="eastAsia" w:ascii="宋体" w:hAnsi="宋体"/>
          <w:bCs/>
          <w:color w:val="auto"/>
          <w:szCs w:val="21"/>
          <w:highlight w:val="none"/>
        </w:rPr>
      </w:pPr>
      <w:r>
        <w:rPr>
          <w:rFonts w:hint="eastAsia" w:ascii="宋体" w:hAnsi="宋体"/>
          <w:bCs/>
          <w:color w:val="auto"/>
          <w:szCs w:val="21"/>
          <w:highlight w:val="none"/>
          <w:lang w:val="en-US" w:eastAsia="zh-CN"/>
        </w:rPr>
        <w:t>6</w:t>
      </w:r>
      <w:r>
        <w:rPr>
          <w:rFonts w:hint="eastAsia" w:ascii="宋体" w:hAnsi="宋体"/>
          <w:bCs/>
          <w:color w:val="auto"/>
          <w:szCs w:val="21"/>
          <w:highlight w:val="none"/>
        </w:rPr>
        <w:t>.4出现以下情形之一时，采购人不予接收</w:t>
      </w:r>
      <w:r>
        <w:rPr>
          <w:rFonts w:hint="eastAsia" w:ascii="宋体" w:hAnsi="宋体"/>
          <w:bCs/>
          <w:color w:val="auto"/>
          <w:szCs w:val="21"/>
          <w:highlight w:val="none"/>
          <w:lang w:eastAsia="zh-CN"/>
        </w:rPr>
        <w:t>投标</w:t>
      </w:r>
      <w:r>
        <w:rPr>
          <w:rFonts w:hint="eastAsia" w:ascii="宋体" w:hAnsi="宋体"/>
          <w:bCs/>
          <w:color w:val="auto"/>
          <w:szCs w:val="21"/>
          <w:highlight w:val="none"/>
        </w:rPr>
        <w:t>文件：</w:t>
      </w:r>
    </w:p>
    <w:p>
      <w:pPr>
        <w:autoSpaceDE w:val="0"/>
        <w:autoSpaceDN w:val="0"/>
        <w:adjustRightInd w:val="0"/>
        <w:spacing w:line="500" w:lineRule="exact"/>
        <w:ind w:firstLine="420" w:firstLineChars="200"/>
        <w:jc w:val="left"/>
        <w:rPr>
          <w:rFonts w:hint="eastAsia" w:ascii="宋体" w:hAnsi="宋体" w:cs="宋体"/>
          <w:color w:val="auto"/>
          <w:kern w:val="0"/>
          <w:szCs w:val="21"/>
          <w:highlight w:val="none"/>
        </w:rPr>
      </w:pPr>
      <w:r>
        <w:rPr>
          <w:rFonts w:hint="eastAsia" w:ascii="宋体" w:hAnsi="宋体"/>
          <w:bCs/>
          <w:color w:val="auto"/>
          <w:szCs w:val="21"/>
          <w:highlight w:val="none"/>
          <w:lang w:val="en-US" w:eastAsia="zh-CN"/>
        </w:rPr>
        <w:t>6</w:t>
      </w:r>
      <w:r>
        <w:rPr>
          <w:rFonts w:hint="eastAsia" w:ascii="宋体" w:hAnsi="宋体"/>
          <w:bCs/>
          <w:color w:val="auto"/>
          <w:szCs w:val="21"/>
          <w:highlight w:val="none"/>
        </w:rPr>
        <w:t>.4．1逾期送达（如邮寄的以</w:t>
      </w:r>
      <w:r>
        <w:rPr>
          <w:rFonts w:hint="eastAsia" w:ascii="宋体" w:hAnsi="宋体"/>
          <w:bCs/>
          <w:color w:val="auto"/>
          <w:szCs w:val="21"/>
          <w:highlight w:val="none"/>
          <w:lang w:eastAsia="zh-CN"/>
        </w:rPr>
        <w:t>招标</w:t>
      </w:r>
      <w:r>
        <w:rPr>
          <w:rFonts w:hint="eastAsia" w:ascii="宋体" w:hAnsi="宋体"/>
          <w:bCs/>
          <w:color w:val="auto"/>
          <w:szCs w:val="21"/>
          <w:highlight w:val="none"/>
        </w:rPr>
        <w:t>人实际签收时间为准，快递柜签收的不予认可）或者未送达指定地点的；</w:t>
      </w:r>
    </w:p>
    <w:p>
      <w:pPr>
        <w:autoSpaceDE w:val="0"/>
        <w:autoSpaceDN w:val="0"/>
        <w:adjustRightInd w:val="0"/>
        <w:spacing w:line="500" w:lineRule="exact"/>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.4.2</w:t>
      </w:r>
      <w:r>
        <w:rPr>
          <w:rFonts w:ascii="宋体" w:hAnsi="宋体" w:cs="宋体"/>
          <w:color w:val="auto"/>
          <w:kern w:val="0"/>
          <w:szCs w:val="21"/>
          <w:highlight w:val="none"/>
        </w:rPr>
        <w:t>不按照</w:t>
      </w:r>
      <w:r>
        <w:rPr>
          <w:rFonts w:hint="eastAsia" w:ascii="宋体" w:hAnsi="宋体" w:cs="宋体"/>
          <w:color w:val="auto"/>
          <w:kern w:val="0"/>
          <w:szCs w:val="21"/>
          <w:highlight w:val="none"/>
          <w:lang w:eastAsia="zh-CN"/>
        </w:rPr>
        <w:t>招标</w:t>
      </w:r>
      <w:r>
        <w:rPr>
          <w:rFonts w:ascii="宋体" w:hAnsi="宋体" w:cs="宋体"/>
          <w:color w:val="auto"/>
          <w:kern w:val="0"/>
          <w:szCs w:val="21"/>
          <w:highlight w:val="none"/>
        </w:rPr>
        <w:t>文件要求密封的</w:t>
      </w:r>
      <w:r>
        <w:rPr>
          <w:rFonts w:hint="eastAsia" w:ascii="宋体" w:hAnsi="宋体" w:cs="宋体"/>
          <w:color w:val="auto"/>
          <w:kern w:val="0"/>
          <w:szCs w:val="21"/>
          <w:highlight w:val="none"/>
        </w:rPr>
        <w:t>参选</w:t>
      </w:r>
      <w:r>
        <w:rPr>
          <w:rFonts w:ascii="宋体" w:hAnsi="宋体" w:cs="宋体"/>
          <w:color w:val="auto"/>
          <w:kern w:val="0"/>
          <w:szCs w:val="21"/>
          <w:highlight w:val="none"/>
        </w:rPr>
        <w:t>文件，</w:t>
      </w:r>
      <w:r>
        <w:rPr>
          <w:rFonts w:hint="eastAsia" w:ascii="宋体" w:hAnsi="宋体" w:cs="宋体"/>
          <w:color w:val="auto"/>
          <w:kern w:val="0"/>
          <w:szCs w:val="21"/>
          <w:highlight w:val="none"/>
          <w:lang w:eastAsia="zh-CN"/>
        </w:rPr>
        <w:t>招标</w:t>
      </w:r>
      <w:r>
        <w:rPr>
          <w:rFonts w:ascii="宋体" w:hAnsi="宋体" w:cs="宋体"/>
          <w:color w:val="auto"/>
          <w:kern w:val="0"/>
          <w:szCs w:val="21"/>
          <w:highlight w:val="none"/>
        </w:rPr>
        <w:t>人将予以拒收。</w:t>
      </w:r>
    </w:p>
    <w:p>
      <w:pPr>
        <w:autoSpaceDE w:val="0"/>
        <w:autoSpaceDN w:val="0"/>
        <w:adjustRightInd w:val="0"/>
        <w:spacing w:line="500" w:lineRule="exact"/>
        <w:ind w:firstLine="420" w:firstLineChars="200"/>
        <w:jc w:val="left"/>
        <w:rPr>
          <w:rFonts w:hint="eastAsia"/>
          <w:color w:val="auto"/>
          <w:szCs w:val="21"/>
          <w:highlight w:val="none"/>
        </w:rPr>
      </w:pPr>
      <w:r>
        <w:rPr>
          <w:rFonts w:hint="eastAsia"/>
          <w:color w:val="auto"/>
          <w:szCs w:val="21"/>
          <w:highlight w:val="none"/>
          <w:lang w:val="en-US" w:eastAsia="zh-CN"/>
        </w:rPr>
        <w:t>6</w:t>
      </w:r>
      <w:r>
        <w:rPr>
          <w:rFonts w:hint="eastAsia"/>
          <w:color w:val="auto"/>
          <w:szCs w:val="21"/>
          <w:highlight w:val="none"/>
        </w:rPr>
        <w:t>.4.3 于</w:t>
      </w:r>
      <w:r>
        <w:rPr>
          <w:rFonts w:hint="eastAsia" w:ascii="宋体" w:hAnsi="宋体"/>
          <w:color w:val="auto"/>
          <w:szCs w:val="21"/>
          <w:highlight w:val="none"/>
          <w:u w:val="single"/>
        </w:rPr>
        <w:t>202</w:t>
      </w:r>
      <w:r>
        <w:rPr>
          <w:rFonts w:hint="eastAsia" w:ascii="宋体" w:hAnsi="宋体"/>
          <w:color w:val="auto"/>
          <w:szCs w:val="21"/>
          <w:highlight w:val="none"/>
          <w:u w:val="single"/>
          <w:lang w:val="en-US" w:eastAsia="zh-CN"/>
        </w:rPr>
        <w:t>4</w:t>
      </w:r>
      <w:r>
        <w:rPr>
          <w:rFonts w:hint="eastAsia" w:ascii="宋体" w:hAnsi="宋体"/>
          <w:color w:val="auto"/>
          <w:szCs w:val="21"/>
          <w:highlight w:val="none"/>
          <w:u w:val="single"/>
        </w:rPr>
        <w:t>年</w:t>
      </w:r>
      <w:r>
        <w:rPr>
          <w:rFonts w:hint="eastAsia" w:ascii="宋体" w:hAnsi="宋体"/>
          <w:color w:val="auto"/>
          <w:szCs w:val="21"/>
          <w:highlight w:val="none"/>
          <w:u w:val="single"/>
          <w:lang w:val="en-US" w:eastAsia="zh-CN"/>
        </w:rPr>
        <w:t>5</w:t>
      </w:r>
      <w:r>
        <w:rPr>
          <w:rFonts w:hint="eastAsia" w:ascii="宋体" w:hAnsi="宋体"/>
          <w:color w:val="auto"/>
          <w:szCs w:val="21"/>
          <w:highlight w:val="none"/>
          <w:u w:val="single"/>
        </w:rPr>
        <w:t>月</w:t>
      </w:r>
      <w:r>
        <w:rPr>
          <w:rFonts w:hint="eastAsia" w:ascii="宋体" w:hAnsi="宋体"/>
          <w:color w:val="auto"/>
          <w:szCs w:val="21"/>
          <w:highlight w:val="none"/>
          <w:u w:val="single"/>
          <w:lang w:val="en-US" w:eastAsia="zh-CN"/>
        </w:rPr>
        <w:t>20</w:t>
      </w:r>
      <w:r>
        <w:rPr>
          <w:rFonts w:hint="eastAsia" w:ascii="宋体" w:hAnsi="宋体"/>
          <w:color w:val="auto"/>
          <w:szCs w:val="21"/>
          <w:highlight w:val="none"/>
          <w:u w:val="single"/>
        </w:rPr>
        <w:t>日1</w:t>
      </w:r>
      <w:r>
        <w:rPr>
          <w:rFonts w:hint="eastAsia" w:ascii="宋体" w:hAnsi="宋体"/>
          <w:color w:val="auto"/>
          <w:szCs w:val="21"/>
          <w:highlight w:val="none"/>
          <w:u w:val="single"/>
          <w:lang w:val="en-US" w:eastAsia="zh-CN"/>
        </w:rPr>
        <w:t>4</w:t>
      </w:r>
      <w:r>
        <w:rPr>
          <w:rFonts w:hint="eastAsia" w:ascii="宋体" w:hAnsi="宋体"/>
          <w:color w:val="auto"/>
          <w:szCs w:val="21"/>
          <w:highlight w:val="none"/>
          <w:u w:val="single"/>
        </w:rPr>
        <w:t>时00分</w:t>
      </w:r>
      <w:r>
        <w:rPr>
          <w:rFonts w:hint="eastAsia"/>
          <w:color w:val="auto"/>
          <w:szCs w:val="21"/>
          <w:highlight w:val="none"/>
        </w:rPr>
        <w:t>后逾期到达的，</w:t>
      </w:r>
      <w:r>
        <w:rPr>
          <w:rFonts w:hint="eastAsia"/>
          <w:color w:val="auto"/>
          <w:szCs w:val="21"/>
          <w:highlight w:val="none"/>
          <w:lang w:eastAsia="zh-CN"/>
        </w:rPr>
        <w:t>招标</w:t>
      </w:r>
      <w:r>
        <w:rPr>
          <w:rFonts w:hint="eastAsia"/>
          <w:color w:val="auto"/>
          <w:szCs w:val="21"/>
          <w:highlight w:val="none"/>
        </w:rPr>
        <w:t>人代表有权拒收参选文件。</w:t>
      </w:r>
    </w:p>
    <w:p>
      <w:pPr>
        <w:pStyle w:val="6"/>
        <w:spacing w:line="360" w:lineRule="auto"/>
        <w:rPr>
          <w:color w:val="auto"/>
          <w:highlight w:val="none"/>
        </w:rPr>
      </w:pPr>
      <w:bookmarkStart w:id="203" w:name="_Toc3893"/>
      <w:bookmarkStart w:id="204" w:name="_Toc27540"/>
      <w:bookmarkStart w:id="205" w:name="_Toc27922"/>
      <w:bookmarkStart w:id="206" w:name="_Toc17954"/>
      <w:bookmarkStart w:id="207" w:name="_Toc11644"/>
      <w:bookmarkStart w:id="208" w:name="_Toc16910"/>
      <w:bookmarkStart w:id="209" w:name="_Toc3805"/>
      <w:bookmarkStart w:id="210" w:name="_Toc14319"/>
      <w:bookmarkStart w:id="211" w:name="_Toc5847"/>
      <w:bookmarkStart w:id="212" w:name="_Toc496601926"/>
      <w:bookmarkStart w:id="213" w:name="_Toc20797"/>
      <w:bookmarkStart w:id="214" w:name="_Toc27105"/>
      <w:bookmarkStart w:id="215" w:name="_Toc10670"/>
      <w:bookmarkStart w:id="216" w:name="_Toc6455"/>
      <w:bookmarkStart w:id="217" w:name="_Toc8532"/>
      <w:bookmarkStart w:id="218" w:name="_Toc23538"/>
      <w:bookmarkStart w:id="219" w:name="_Toc6220"/>
      <w:bookmarkStart w:id="220" w:name="_Toc23393"/>
      <w:bookmarkStart w:id="221" w:name="_Toc31013"/>
      <w:bookmarkStart w:id="222" w:name="_Toc8070"/>
      <w:bookmarkStart w:id="223" w:name="_Toc24827"/>
      <w:bookmarkStart w:id="224" w:name="_Toc11756"/>
      <w:bookmarkStart w:id="225" w:name="_Toc16136"/>
      <w:bookmarkStart w:id="226" w:name="_Toc14263"/>
      <w:bookmarkStart w:id="227" w:name="_Toc10388"/>
      <w:bookmarkStart w:id="228" w:name="_Toc7472"/>
      <w:r>
        <w:rPr>
          <w:rFonts w:hint="eastAsia"/>
          <w:color w:val="auto"/>
          <w:highlight w:val="none"/>
          <w:lang w:val="en-US" w:eastAsia="zh-CN"/>
        </w:rPr>
        <w:t>7</w:t>
      </w:r>
      <w:r>
        <w:rPr>
          <w:rFonts w:hint="eastAsia"/>
          <w:color w:val="auto"/>
          <w:highlight w:val="none"/>
        </w:rPr>
        <w:t>. 开标时间与地点</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pPr>
        <w:autoSpaceDE w:val="0"/>
        <w:autoSpaceDN w:val="0"/>
        <w:adjustRightInd w:val="0"/>
        <w:spacing w:line="500" w:lineRule="exact"/>
        <w:ind w:firstLine="420" w:firstLineChars="200"/>
        <w:jc w:val="left"/>
        <w:rPr>
          <w:rFonts w:hint="default"/>
          <w:color w:val="auto"/>
          <w:highlight w:val="none"/>
          <w:lang w:val="en-US" w:eastAsia="zh-CN"/>
        </w:rPr>
      </w:pPr>
      <w:r>
        <w:rPr>
          <w:rFonts w:hint="eastAsia"/>
          <w:color w:val="auto"/>
          <w:highlight w:val="none"/>
          <w:lang w:val="en-US" w:eastAsia="zh-CN"/>
        </w:rPr>
        <w:t>7</w:t>
      </w:r>
      <w:r>
        <w:rPr>
          <w:rFonts w:hint="eastAsia"/>
          <w:color w:val="auto"/>
          <w:highlight w:val="none"/>
        </w:rPr>
        <w:t>.1</w:t>
      </w:r>
      <w:r>
        <w:rPr>
          <w:rFonts w:hint="eastAsia"/>
          <w:color w:val="auto"/>
          <w:highlight w:val="none"/>
          <w:lang w:val="en-US" w:eastAsia="zh-CN"/>
        </w:rPr>
        <w:t xml:space="preserve"> 本项目公开开标。</w:t>
      </w:r>
    </w:p>
    <w:p>
      <w:pPr>
        <w:autoSpaceDE w:val="0"/>
        <w:autoSpaceDN w:val="0"/>
        <w:adjustRightInd w:val="0"/>
        <w:spacing w:line="500" w:lineRule="exact"/>
        <w:ind w:firstLine="420" w:firstLineChars="200"/>
        <w:jc w:val="left"/>
        <w:rPr>
          <w:rFonts w:hint="eastAsia"/>
          <w:color w:val="auto"/>
          <w:highlight w:val="none"/>
        </w:rPr>
      </w:pPr>
      <w:r>
        <w:rPr>
          <w:rFonts w:hint="eastAsia"/>
          <w:color w:val="auto"/>
          <w:highlight w:val="none"/>
          <w:lang w:val="en-US" w:eastAsia="zh-CN"/>
        </w:rPr>
        <w:t xml:space="preserve">7.2 </w:t>
      </w:r>
      <w:r>
        <w:rPr>
          <w:rFonts w:hint="eastAsia"/>
          <w:color w:val="auto"/>
          <w:highlight w:val="none"/>
        </w:rPr>
        <w:t>开标时间：2024年</w:t>
      </w:r>
      <w:r>
        <w:rPr>
          <w:rFonts w:hint="eastAsia"/>
          <w:color w:val="auto"/>
          <w:highlight w:val="none"/>
          <w:lang w:val="en-US" w:eastAsia="zh-CN"/>
        </w:rPr>
        <w:t>5</w:t>
      </w:r>
      <w:r>
        <w:rPr>
          <w:rFonts w:hint="eastAsia"/>
          <w:color w:val="auto"/>
          <w:highlight w:val="none"/>
        </w:rPr>
        <w:t>月</w:t>
      </w:r>
      <w:r>
        <w:rPr>
          <w:rFonts w:hint="eastAsia"/>
          <w:color w:val="auto"/>
          <w:highlight w:val="none"/>
          <w:lang w:val="en-US" w:eastAsia="zh-CN"/>
        </w:rPr>
        <w:t>20</w:t>
      </w:r>
      <w:r>
        <w:rPr>
          <w:rFonts w:hint="eastAsia"/>
          <w:color w:val="auto"/>
          <w:highlight w:val="none"/>
        </w:rPr>
        <w:t>日1</w:t>
      </w:r>
      <w:r>
        <w:rPr>
          <w:rFonts w:hint="eastAsia"/>
          <w:color w:val="auto"/>
          <w:highlight w:val="none"/>
          <w:lang w:val="en-US" w:eastAsia="zh-CN"/>
        </w:rPr>
        <w:t>4</w:t>
      </w:r>
      <w:r>
        <w:rPr>
          <w:rFonts w:hint="eastAsia"/>
          <w:color w:val="auto"/>
          <w:highlight w:val="none"/>
        </w:rPr>
        <w:t>时00分(同投标截止时间）。</w:t>
      </w:r>
    </w:p>
    <w:p>
      <w:pPr>
        <w:autoSpaceDE w:val="0"/>
        <w:autoSpaceDN w:val="0"/>
        <w:adjustRightInd w:val="0"/>
        <w:spacing w:line="500" w:lineRule="exact"/>
        <w:ind w:firstLine="420" w:firstLineChars="200"/>
        <w:jc w:val="left"/>
        <w:rPr>
          <w:rFonts w:hint="eastAsia" w:ascii="宋体" w:hAnsi="宋体" w:cs="宋体"/>
          <w:color w:val="auto"/>
          <w:kern w:val="0"/>
          <w:szCs w:val="21"/>
          <w:highlight w:val="none"/>
        </w:rPr>
      </w:pP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 xml:space="preserve">3 </w:t>
      </w:r>
      <w:r>
        <w:rPr>
          <w:rFonts w:hint="eastAsia"/>
          <w:color w:val="auto"/>
          <w:highlight w:val="none"/>
        </w:rPr>
        <w:t>开标地点：广州市黄埔区黄埔大道东888号南方智媒大厦南塔20楼。</w:t>
      </w:r>
    </w:p>
    <w:bookmarkEnd w:id="139"/>
    <w:bookmarkEnd w:id="140"/>
    <w:bookmarkEnd w:id="141"/>
    <w:bookmarkEnd w:id="142"/>
    <w:bookmarkEnd w:id="143"/>
    <w:bookmarkEnd w:id="144"/>
    <w:bookmarkEnd w:id="145"/>
    <w:bookmarkEnd w:id="202"/>
    <w:p>
      <w:pPr>
        <w:pStyle w:val="6"/>
        <w:wordWrap w:val="0"/>
        <w:spacing w:line="360" w:lineRule="auto"/>
        <w:rPr>
          <w:rFonts w:hint="eastAsia"/>
          <w:color w:val="auto"/>
          <w:highlight w:val="none"/>
        </w:rPr>
      </w:pPr>
      <w:bookmarkStart w:id="229" w:name="_Toc20074"/>
      <w:bookmarkStart w:id="230" w:name="_Toc28687"/>
      <w:bookmarkStart w:id="231" w:name="_Toc157499355"/>
      <w:bookmarkStart w:id="232" w:name="_Toc21275"/>
      <w:bookmarkStart w:id="233" w:name="_Toc4970"/>
      <w:bookmarkStart w:id="234" w:name="_Toc19129"/>
      <w:bookmarkStart w:id="235" w:name="_Toc32370"/>
      <w:bookmarkStart w:id="236" w:name="_Toc9183"/>
      <w:bookmarkStart w:id="237" w:name="_Toc25327"/>
      <w:bookmarkStart w:id="238" w:name="_Toc4081"/>
      <w:bookmarkStart w:id="239" w:name="_Toc11830"/>
      <w:bookmarkStart w:id="240" w:name="_Toc20459"/>
      <w:bookmarkStart w:id="241" w:name="_Toc6411"/>
      <w:bookmarkStart w:id="242" w:name="_Toc17909"/>
      <w:bookmarkStart w:id="243" w:name="_Toc9639"/>
      <w:bookmarkStart w:id="244" w:name="_Toc435178360"/>
      <w:bookmarkStart w:id="245" w:name="_Toc5251"/>
      <w:bookmarkStart w:id="246" w:name="_Toc6710"/>
      <w:bookmarkStart w:id="247" w:name="_Toc9384"/>
      <w:bookmarkStart w:id="248" w:name="_Toc22542"/>
      <w:bookmarkStart w:id="249" w:name="_Toc246996906"/>
      <w:bookmarkStart w:id="250" w:name="_Toc1343"/>
      <w:bookmarkStart w:id="251" w:name="_Toc20089"/>
      <w:bookmarkStart w:id="252" w:name="_Toc1760"/>
      <w:bookmarkStart w:id="253" w:name="_Toc247085677"/>
      <w:bookmarkStart w:id="254" w:name="_Toc14885"/>
      <w:bookmarkStart w:id="255" w:name="_Toc27892"/>
      <w:bookmarkStart w:id="256" w:name="_Toc179632533"/>
      <w:bookmarkStart w:id="257" w:name="_Toc246996163"/>
      <w:bookmarkStart w:id="258" w:name="_Toc10286"/>
      <w:bookmarkStart w:id="259" w:name="_Toc25377"/>
      <w:bookmarkStart w:id="260" w:name="_Toc496601927"/>
      <w:bookmarkStart w:id="261" w:name="_Toc436215717"/>
      <w:r>
        <w:rPr>
          <w:rFonts w:hint="eastAsia"/>
          <w:color w:val="auto"/>
          <w:highlight w:val="none"/>
          <w:lang w:val="en-US" w:eastAsia="zh-CN"/>
        </w:rPr>
        <w:t>8</w:t>
      </w:r>
      <w:r>
        <w:rPr>
          <w:rFonts w:hint="eastAsia"/>
          <w:color w:val="auto"/>
          <w:highlight w:val="none"/>
        </w:rPr>
        <w:t>. 发布公告的媒介</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pPr>
        <w:pStyle w:val="6"/>
        <w:wordWrap w:val="0"/>
        <w:spacing w:line="360" w:lineRule="auto"/>
        <w:ind w:firstLine="420" w:firstLineChars="200"/>
        <w:rPr>
          <w:rFonts w:hint="eastAsia" w:ascii="Times New Roman" w:hAnsi="Times New Roman" w:eastAsia="宋体" w:cs="Times New Roman"/>
          <w:b w:val="0"/>
          <w:bCs w:val="0"/>
          <w:color w:val="auto"/>
          <w:kern w:val="2"/>
          <w:sz w:val="21"/>
          <w:szCs w:val="24"/>
          <w:highlight w:val="none"/>
          <w:lang w:val="en-US" w:eastAsia="zh-CN" w:bidi="ar"/>
        </w:rPr>
      </w:pPr>
      <w:r>
        <w:rPr>
          <w:rFonts w:hint="eastAsia" w:ascii="Times New Roman" w:hAnsi="Times New Roman" w:eastAsia="宋体" w:cs="Times New Roman"/>
          <w:b w:val="0"/>
          <w:bCs w:val="0"/>
          <w:color w:val="auto"/>
          <w:kern w:val="2"/>
          <w:sz w:val="21"/>
          <w:szCs w:val="24"/>
          <w:highlight w:val="none"/>
          <w:lang w:val="en-US" w:eastAsia="zh-CN" w:bidi="ar"/>
        </w:rPr>
        <w:t>本次招标公告同时在南方日报、中国招标投标公共服务平台、招标人门户网站（https://zbtb.southcn.com/node_9381c01914）、南方传媒发行物流官方微信公众号上发布，其他媒体转载无效。</w:t>
      </w:r>
    </w:p>
    <w:p>
      <w:pPr>
        <w:pStyle w:val="6"/>
        <w:spacing w:line="360" w:lineRule="auto"/>
        <w:rPr>
          <w:color w:val="auto"/>
          <w:highlight w:val="none"/>
        </w:rPr>
      </w:pPr>
      <w:bookmarkStart w:id="262" w:name="_Toc25128"/>
      <w:bookmarkStart w:id="263" w:name="_Toc20763"/>
      <w:bookmarkStart w:id="264" w:name="_Toc283"/>
      <w:bookmarkStart w:id="265" w:name="_Toc475"/>
      <w:bookmarkStart w:id="266" w:name="_Toc11443"/>
      <w:bookmarkStart w:id="267" w:name="_Toc4069"/>
      <w:bookmarkStart w:id="268" w:name="_Toc1729"/>
      <w:bookmarkStart w:id="269" w:name="_Toc15699"/>
      <w:bookmarkStart w:id="270" w:name="_Toc144974485"/>
      <w:bookmarkStart w:id="271" w:name="_Toc5539"/>
      <w:bookmarkStart w:id="272" w:name="_Toc4990"/>
      <w:bookmarkStart w:id="273" w:name="_Toc19386"/>
      <w:bookmarkStart w:id="274" w:name="_Toc21907"/>
      <w:bookmarkStart w:id="275" w:name="_Toc12119"/>
      <w:bookmarkStart w:id="276" w:name="_Toc23412"/>
      <w:bookmarkStart w:id="277" w:name="_Toc152045517"/>
      <w:bookmarkStart w:id="278" w:name="_Toc496601928"/>
      <w:bookmarkStart w:id="279" w:name="_Toc2493"/>
      <w:bookmarkStart w:id="280" w:name="_Toc9845"/>
      <w:bookmarkStart w:id="281" w:name="_Toc246996164"/>
      <w:bookmarkStart w:id="282" w:name="_Toc1614"/>
      <w:bookmarkStart w:id="283" w:name="_Toc179632534"/>
      <w:bookmarkStart w:id="284" w:name="_Toc997"/>
      <w:bookmarkStart w:id="285" w:name="_Toc13469"/>
      <w:bookmarkStart w:id="286" w:name="_Toc436215718"/>
      <w:bookmarkStart w:id="287" w:name="_Toc13942"/>
      <w:bookmarkStart w:id="288" w:name="_Toc247085678"/>
      <w:bookmarkStart w:id="289" w:name="_Toc1849"/>
      <w:bookmarkStart w:id="290" w:name="_Toc14463"/>
      <w:bookmarkStart w:id="291" w:name="_Toc23897"/>
      <w:bookmarkStart w:id="292" w:name="_Toc435178361"/>
      <w:bookmarkStart w:id="293" w:name="_Toc26569"/>
      <w:bookmarkStart w:id="294" w:name="_Toc27871"/>
      <w:bookmarkStart w:id="295" w:name="_Toc246996907"/>
      <w:bookmarkStart w:id="296" w:name="_Toc152042293"/>
      <w:r>
        <w:rPr>
          <w:rFonts w:hint="eastAsia"/>
          <w:color w:val="auto"/>
          <w:highlight w:val="none"/>
          <w:lang w:val="en-US" w:eastAsia="zh-CN"/>
        </w:rPr>
        <w:t>9</w:t>
      </w:r>
      <w:r>
        <w:rPr>
          <w:color w:val="auto"/>
          <w:highlight w:val="none"/>
        </w:rPr>
        <w:t>. 联系方式</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pPr>
        <w:topLinePunct/>
        <w:spacing w:line="360" w:lineRule="auto"/>
        <w:ind w:firstLine="420" w:firstLineChars="200"/>
        <w:rPr>
          <w:color w:val="auto"/>
          <w:szCs w:val="21"/>
          <w:highlight w:val="none"/>
        </w:rPr>
      </w:pPr>
      <w:r>
        <w:rPr>
          <w:color w:val="auto"/>
          <w:szCs w:val="21"/>
          <w:highlight w:val="none"/>
        </w:rPr>
        <w:t>招 标 人：</w:t>
      </w:r>
      <w:r>
        <w:rPr>
          <w:rFonts w:hint="eastAsia"/>
          <w:color w:val="auto"/>
          <w:szCs w:val="21"/>
          <w:highlight w:val="none"/>
          <w:u w:val="single"/>
        </w:rPr>
        <w:t>广东省南方传媒发行物流有限公司</w:t>
      </w:r>
      <w:r>
        <w:rPr>
          <w:color w:val="auto"/>
          <w:szCs w:val="21"/>
          <w:highlight w:val="none"/>
        </w:rPr>
        <w:t xml:space="preserve">         </w:t>
      </w:r>
    </w:p>
    <w:p>
      <w:pPr>
        <w:topLinePunct/>
        <w:spacing w:line="360" w:lineRule="auto"/>
        <w:ind w:firstLine="420" w:firstLineChars="200"/>
        <w:rPr>
          <w:color w:val="auto"/>
          <w:szCs w:val="21"/>
          <w:highlight w:val="none"/>
        </w:rPr>
      </w:pPr>
      <w:r>
        <w:rPr>
          <w:color w:val="auto"/>
          <w:szCs w:val="21"/>
          <w:highlight w:val="none"/>
        </w:rPr>
        <w:t>地    址：</w:t>
      </w:r>
      <w:r>
        <w:rPr>
          <w:rFonts w:hint="eastAsia" w:ascii="宋体" w:hAnsi="宋体" w:cs="宋体"/>
          <w:color w:val="auto"/>
          <w:szCs w:val="21"/>
          <w:highlight w:val="none"/>
          <w:u w:val="single"/>
        </w:rPr>
        <w:t>广州市黄埔区黄埔大道东888号南方智媒大厦南塔20楼</w:t>
      </w:r>
      <w:r>
        <w:rPr>
          <w:rFonts w:hint="eastAsia" w:ascii="宋体" w:hAnsi="宋体" w:cs="宋体"/>
          <w:color w:val="auto"/>
          <w:szCs w:val="21"/>
          <w:highlight w:val="none"/>
        </w:rPr>
        <w:tab/>
      </w:r>
      <w:r>
        <w:rPr>
          <w:rFonts w:hint="eastAsia"/>
          <w:color w:val="auto"/>
          <w:szCs w:val="21"/>
          <w:highlight w:val="none"/>
        </w:rPr>
        <w:t xml:space="preserve"> </w:t>
      </w:r>
      <w:r>
        <w:rPr>
          <w:color w:val="auto"/>
          <w:szCs w:val="21"/>
          <w:highlight w:val="none"/>
        </w:rPr>
        <w:t xml:space="preserve">    </w:t>
      </w:r>
    </w:p>
    <w:p>
      <w:pPr>
        <w:topLinePunct/>
        <w:spacing w:line="360" w:lineRule="auto"/>
        <w:ind w:firstLine="420" w:firstLineChars="200"/>
        <w:rPr>
          <w:color w:val="auto"/>
          <w:szCs w:val="21"/>
          <w:highlight w:val="none"/>
        </w:rPr>
      </w:pPr>
      <w:r>
        <w:rPr>
          <w:color w:val="auto"/>
          <w:szCs w:val="21"/>
          <w:highlight w:val="none"/>
        </w:rPr>
        <w:t>邮    编：</w:t>
      </w:r>
      <w:r>
        <w:rPr>
          <w:color w:val="auto"/>
          <w:szCs w:val="21"/>
          <w:highlight w:val="none"/>
          <w:u w:val="single"/>
        </w:rPr>
        <w:t xml:space="preserve"> </w:t>
      </w:r>
      <w:r>
        <w:rPr>
          <w:rFonts w:hint="eastAsia"/>
          <w:color w:val="auto"/>
          <w:szCs w:val="21"/>
          <w:highlight w:val="none"/>
          <w:u w:val="single"/>
        </w:rPr>
        <w:t>510601</w:t>
      </w:r>
      <w:r>
        <w:rPr>
          <w:color w:val="auto"/>
          <w:szCs w:val="21"/>
          <w:highlight w:val="none"/>
          <w:u w:val="single"/>
        </w:rPr>
        <w:t xml:space="preserve">           </w:t>
      </w:r>
      <w:r>
        <w:rPr>
          <w:color w:val="auto"/>
          <w:szCs w:val="21"/>
          <w:highlight w:val="none"/>
        </w:rPr>
        <w:t xml:space="preserve">        </w:t>
      </w:r>
    </w:p>
    <w:p>
      <w:pPr>
        <w:topLinePunct/>
        <w:spacing w:line="360" w:lineRule="auto"/>
        <w:ind w:firstLine="420" w:firstLineChars="200"/>
        <w:rPr>
          <w:color w:val="auto"/>
          <w:szCs w:val="21"/>
          <w:highlight w:val="none"/>
        </w:rPr>
      </w:pPr>
      <w:r>
        <w:rPr>
          <w:color w:val="auto"/>
          <w:szCs w:val="21"/>
          <w:highlight w:val="none"/>
        </w:rPr>
        <w:t>联 系 人：</w:t>
      </w:r>
      <w:r>
        <w:rPr>
          <w:rFonts w:hint="eastAsia"/>
          <w:color w:val="auto"/>
          <w:szCs w:val="21"/>
          <w:highlight w:val="none"/>
          <w:u w:val="single"/>
        </w:rPr>
        <w:t xml:space="preserve">官小姐、孙小姐     </w:t>
      </w:r>
      <w:r>
        <w:rPr>
          <w:color w:val="auto"/>
          <w:szCs w:val="21"/>
          <w:highlight w:val="none"/>
          <w:u w:val="single"/>
        </w:rPr>
        <w:t xml:space="preserve">  </w:t>
      </w:r>
      <w:r>
        <w:rPr>
          <w:color w:val="auto"/>
          <w:szCs w:val="21"/>
          <w:highlight w:val="none"/>
        </w:rPr>
        <w:t xml:space="preserve">    </w:t>
      </w:r>
    </w:p>
    <w:p>
      <w:pPr>
        <w:topLinePunct/>
        <w:spacing w:line="360" w:lineRule="auto"/>
        <w:ind w:firstLine="420" w:firstLineChars="200"/>
        <w:rPr>
          <w:rFonts w:ascii="宋体" w:hAnsi="宋体" w:cs="宋体"/>
          <w:color w:val="auto"/>
          <w:szCs w:val="21"/>
          <w:highlight w:val="none"/>
          <w:u w:val="single"/>
        </w:rPr>
      </w:pPr>
      <w:r>
        <w:rPr>
          <w:color w:val="auto"/>
          <w:szCs w:val="21"/>
          <w:highlight w:val="none"/>
        </w:rPr>
        <w:t>电    话：</w:t>
      </w:r>
      <w:r>
        <w:rPr>
          <w:color w:val="auto"/>
          <w:szCs w:val="21"/>
          <w:highlight w:val="none"/>
          <w:u w:val="single"/>
        </w:rPr>
        <w:t xml:space="preserve"> </w:t>
      </w:r>
      <w:r>
        <w:rPr>
          <w:rFonts w:hint="eastAsia" w:ascii="宋体" w:hAnsi="宋体" w:cs="宋体"/>
          <w:color w:val="auto"/>
          <w:szCs w:val="21"/>
          <w:highlight w:val="none"/>
          <w:u w:val="single"/>
        </w:rPr>
        <w:t>020-83002718、020-83004093</w:t>
      </w:r>
    </w:p>
    <w:p>
      <w:pPr>
        <w:topLinePunct/>
        <w:spacing w:line="360" w:lineRule="auto"/>
        <w:ind w:firstLine="420" w:firstLineChars="200"/>
        <w:rPr>
          <w:color w:val="auto"/>
          <w:szCs w:val="21"/>
          <w:highlight w:val="none"/>
        </w:rPr>
      </w:pPr>
      <w:r>
        <w:rPr>
          <w:color w:val="auto"/>
          <w:szCs w:val="21"/>
          <w:highlight w:val="none"/>
        </w:rPr>
        <w:t>电子邮件：</w:t>
      </w:r>
      <w:r>
        <w:rPr>
          <w:color w:val="auto"/>
          <w:szCs w:val="21"/>
          <w:highlight w:val="none"/>
          <w:u w:val="single"/>
        </w:rPr>
        <w:t xml:space="preserve"> </w:t>
      </w:r>
      <w:r>
        <w:rPr>
          <w:rFonts w:hint="eastAsia" w:ascii="宋体" w:hAnsi="宋体"/>
          <w:color w:val="auto"/>
          <w:highlight w:val="none"/>
          <w:u w:val="single"/>
        </w:rPr>
        <w:t>fxwlcg@nfmedia.com</w:t>
      </w:r>
      <w:r>
        <w:rPr>
          <w:color w:val="auto"/>
          <w:szCs w:val="21"/>
          <w:highlight w:val="none"/>
          <w:u w:val="single"/>
        </w:rPr>
        <w:t xml:space="preserve">   </w:t>
      </w:r>
      <w:r>
        <w:rPr>
          <w:color w:val="auto"/>
          <w:szCs w:val="21"/>
          <w:highlight w:val="none"/>
        </w:rPr>
        <w:t xml:space="preserve">    </w:t>
      </w:r>
    </w:p>
    <w:p>
      <w:pPr>
        <w:topLinePunct/>
        <w:spacing w:line="360" w:lineRule="auto"/>
        <w:ind w:firstLine="420" w:firstLineChars="200"/>
        <w:rPr>
          <w:color w:val="auto"/>
          <w:szCs w:val="21"/>
          <w:highlight w:val="none"/>
        </w:rPr>
      </w:pPr>
      <w:r>
        <w:rPr>
          <w:color w:val="auto"/>
          <w:szCs w:val="21"/>
          <w:highlight w:val="none"/>
        </w:rPr>
        <w:t>网    址：</w:t>
      </w:r>
      <w:r>
        <w:rPr>
          <w:rFonts w:ascii="宋体" w:hAnsi="宋体" w:cs="宋体"/>
          <w:color w:val="auto"/>
          <w:kern w:val="0"/>
          <w:szCs w:val="21"/>
          <w:highlight w:val="none"/>
          <w:u w:val="single"/>
        </w:rPr>
        <w:t>https://zbtb.southcn.com/node_9381c01914</w:t>
      </w:r>
      <w:r>
        <w:rPr>
          <w:color w:val="auto"/>
          <w:szCs w:val="21"/>
          <w:highlight w:val="none"/>
        </w:rPr>
        <w:t xml:space="preserve">      </w:t>
      </w:r>
    </w:p>
    <w:p>
      <w:pPr>
        <w:topLinePunct/>
        <w:spacing w:line="360" w:lineRule="auto"/>
        <w:ind w:firstLine="420" w:firstLineChars="200"/>
        <w:rPr>
          <w:color w:val="auto"/>
          <w:szCs w:val="21"/>
          <w:highlight w:val="none"/>
        </w:rPr>
      </w:pPr>
      <w:r>
        <w:rPr>
          <w:color w:val="auto"/>
          <w:szCs w:val="21"/>
          <w:highlight w:val="none"/>
        </w:rPr>
        <w:t>开户银行：</w:t>
      </w:r>
      <w:r>
        <w:rPr>
          <w:color w:val="auto"/>
          <w:szCs w:val="21"/>
          <w:highlight w:val="none"/>
          <w:u w:val="single"/>
        </w:rPr>
        <w:t xml:space="preserve"> </w:t>
      </w:r>
      <w:r>
        <w:rPr>
          <w:rFonts w:hint="eastAsia"/>
          <w:color w:val="auto"/>
          <w:szCs w:val="21"/>
          <w:highlight w:val="none"/>
          <w:u w:val="single"/>
        </w:rPr>
        <w:t>中国农业银行广州五羊新城支行</w:t>
      </w:r>
      <w:r>
        <w:rPr>
          <w:color w:val="auto"/>
          <w:szCs w:val="21"/>
          <w:highlight w:val="none"/>
        </w:rPr>
        <w:t xml:space="preserve">       </w:t>
      </w:r>
    </w:p>
    <w:p>
      <w:pPr>
        <w:spacing w:line="360" w:lineRule="auto"/>
        <w:ind w:firstLine="420" w:firstLineChars="200"/>
        <w:rPr>
          <w:rFonts w:hint="eastAsia"/>
          <w:color w:val="auto"/>
          <w:szCs w:val="21"/>
          <w:highlight w:val="none"/>
        </w:rPr>
      </w:pPr>
      <w:r>
        <w:rPr>
          <w:rFonts w:hint="eastAsia"/>
          <w:color w:val="auto"/>
          <w:szCs w:val="21"/>
          <w:highlight w:val="none"/>
        </w:rPr>
        <w:t>账</w:t>
      </w:r>
      <w:r>
        <w:rPr>
          <w:color w:val="auto"/>
          <w:szCs w:val="21"/>
          <w:highlight w:val="none"/>
        </w:rPr>
        <w:t xml:space="preserve">    号：</w:t>
      </w:r>
      <w:r>
        <w:rPr>
          <w:color w:val="auto"/>
          <w:szCs w:val="21"/>
          <w:highlight w:val="none"/>
          <w:u w:val="single"/>
        </w:rPr>
        <w:t xml:space="preserve"> </w:t>
      </w:r>
      <w:r>
        <w:rPr>
          <w:rFonts w:hint="eastAsia"/>
          <w:color w:val="auto"/>
          <w:szCs w:val="21"/>
          <w:highlight w:val="none"/>
          <w:u w:val="single"/>
        </w:rPr>
        <w:t>44030401040003075</w:t>
      </w:r>
      <w:r>
        <w:rPr>
          <w:color w:val="auto"/>
          <w:szCs w:val="21"/>
          <w:highlight w:val="none"/>
        </w:rPr>
        <w:t xml:space="preserve">     </w:t>
      </w:r>
      <w:r>
        <w:rPr>
          <w:rFonts w:hint="eastAsia"/>
          <w:color w:val="auto"/>
          <w:szCs w:val="21"/>
          <w:highlight w:val="none"/>
        </w:rPr>
        <w:t xml:space="preserve">     </w:t>
      </w:r>
    </w:p>
    <w:p>
      <w:pPr>
        <w:pStyle w:val="2"/>
        <w:rPr>
          <w:color w:val="auto"/>
          <w:highlight w:val="none"/>
        </w:rPr>
      </w:pPr>
    </w:p>
    <w:p>
      <w:pPr>
        <w:spacing w:line="360" w:lineRule="auto"/>
        <w:ind w:firstLine="420" w:firstLineChars="200"/>
        <w:jc w:val="right"/>
        <w:rPr>
          <w:color w:val="auto"/>
          <w:szCs w:val="21"/>
          <w:highlight w:val="none"/>
        </w:rPr>
      </w:pPr>
      <w:r>
        <w:rPr>
          <w:rFonts w:hint="eastAsia"/>
          <w:color w:val="auto"/>
          <w:szCs w:val="21"/>
          <w:highlight w:val="none"/>
        </w:rPr>
        <w:t xml:space="preserve">    202</w:t>
      </w:r>
      <w:r>
        <w:rPr>
          <w:rFonts w:hint="eastAsia"/>
          <w:color w:val="auto"/>
          <w:szCs w:val="21"/>
          <w:highlight w:val="none"/>
          <w:lang w:val="en-US" w:eastAsia="zh-CN"/>
        </w:rPr>
        <w:t>4</w:t>
      </w:r>
      <w:r>
        <w:rPr>
          <w:color w:val="auto"/>
          <w:szCs w:val="21"/>
          <w:highlight w:val="none"/>
        </w:rPr>
        <w:t>年</w:t>
      </w:r>
      <w:r>
        <w:rPr>
          <w:rFonts w:hint="eastAsia"/>
          <w:color w:val="auto"/>
          <w:szCs w:val="21"/>
          <w:highlight w:val="none"/>
          <w:lang w:val="en-US" w:eastAsia="zh-CN"/>
        </w:rPr>
        <w:t>4</w:t>
      </w:r>
      <w:r>
        <w:rPr>
          <w:color w:val="auto"/>
          <w:szCs w:val="21"/>
          <w:highlight w:val="none"/>
        </w:rPr>
        <w:t>月</w:t>
      </w:r>
      <w:r>
        <w:rPr>
          <w:rFonts w:hint="eastAsia"/>
          <w:color w:val="auto"/>
          <w:szCs w:val="21"/>
          <w:highlight w:val="none"/>
          <w:lang w:val="en-US" w:eastAsia="zh-CN"/>
        </w:rPr>
        <w:t>30</w:t>
      </w:r>
      <w:r>
        <w:rPr>
          <w:color w:val="auto"/>
          <w:szCs w:val="21"/>
          <w:highlight w:val="none"/>
        </w:rPr>
        <w:t>日</w:t>
      </w:r>
    </w:p>
    <w:p>
      <w:pPr>
        <w:pStyle w:val="7"/>
        <w:rPr>
          <w:color w:val="auto"/>
          <w:highlight w:val="none"/>
        </w:rPr>
      </w:pPr>
      <w:bookmarkStart w:id="297" w:name="_Toc25270"/>
      <w:bookmarkStart w:id="298" w:name="_Toc25648"/>
      <w:bookmarkStart w:id="299" w:name="_Toc26927"/>
      <w:bookmarkStart w:id="300" w:name="_Toc8637"/>
      <w:bookmarkStart w:id="301" w:name="_Toc11898"/>
      <w:bookmarkStart w:id="302" w:name="_Toc15627"/>
      <w:bookmarkStart w:id="303" w:name="_Toc496601929"/>
      <w:bookmarkStart w:id="304" w:name="_Toc1546"/>
      <w:bookmarkStart w:id="305" w:name="_Toc17430"/>
      <w:bookmarkStart w:id="306" w:name="_Toc9017"/>
      <w:bookmarkStart w:id="307" w:name="_Toc22531"/>
      <w:bookmarkStart w:id="308" w:name="_Toc247085687"/>
      <w:bookmarkStart w:id="309" w:name="_Toc6294"/>
      <w:bookmarkStart w:id="310" w:name="_Toc246996916"/>
      <w:bookmarkStart w:id="311" w:name="_Toc7555"/>
      <w:bookmarkStart w:id="312" w:name="_Toc3504"/>
      <w:bookmarkStart w:id="313" w:name="_Toc435178364"/>
      <w:bookmarkStart w:id="314" w:name="_Toc496601931"/>
      <w:bookmarkStart w:id="315" w:name="_Toc152045527"/>
      <w:bookmarkStart w:id="316" w:name="_Toc19395"/>
      <w:bookmarkStart w:id="317" w:name="_Toc30519"/>
      <w:bookmarkStart w:id="318" w:name="_Toc16304"/>
      <w:bookmarkStart w:id="319" w:name="_Toc24852"/>
      <w:bookmarkStart w:id="320" w:name="_Toc179632544"/>
      <w:bookmarkStart w:id="321" w:name="_Toc24093"/>
      <w:bookmarkStart w:id="322" w:name="_Toc436215721"/>
      <w:bookmarkStart w:id="323" w:name="_Toc29177"/>
      <w:bookmarkStart w:id="324" w:name="_Toc11215"/>
      <w:bookmarkStart w:id="325" w:name="_Toc22981"/>
      <w:bookmarkStart w:id="326" w:name="_Toc246996173"/>
      <w:bookmarkStart w:id="327" w:name="_Toc13223"/>
      <w:bookmarkStart w:id="328" w:name="_Toc152042303"/>
      <w:bookmarkStart w:id="329" w:name="_Toc24976"/>
      <w:bookmarkStart w:id="330" w:name="_Toc10112"/>
      <w:bookmarkStart w:id="331" w:name="_Toc2198"/>
      <w:bookmarkStart w:id="332" w:name="_Toc12851"/>
      <w:bookmarkStart w:id="333" w:name="_Toc8781"/>
      <w:bookmarkStart w:id="334" w:name="_Toc144974495"/>
      <w:bookmarkStart w:id="335" w:name="_Toc14320"/>
    </w:p>
    <w:p>
      <w:pPr>
        <w:pStyle w:val="7"/>
        <w:rPr>
          <w:color w:val="auto"/>
          <w:highlight w:val="none"/>
        </w:rPr>
      </w:pPr>
    </w:p>
    <w:p>
      <w:pPr>
        <w:rPr>
          <w:color w:val="auto"/>
          <w:highlight w:val="none"/>
        </w:rPr>
      </w:pPr>
    </w:p>
    <w:p>
      <w:pPr>
        <w:pStyle w:val="3"/>
        <w:rPr>
          <w:color w:val="auto"/>
          <w:highlight w:val="none"/>
        </w:rPr>
      </w:pPr>
    </w:p>
    <w:p>
      <w:pPr>
        <w:pStyle w:val="4"/>
        <w:rPr>
          <w:color w:val="auto"/>
          <w:highlight w:val="none"/>
        </w:rPr>
      </w:pPr>
    </w:p>
    <w:p>
      <w:pPr>
        <w:rPr>
          <w:color w:val="auto"/>
          <w:highlight w:val="none"/>
        </w:rPr>
      </w:pPr>
    </w:p>
    <w:p>
      <w:pPr>
        <w:pStyle w:val="7"/>
        <w:rPr>
          <w:color w:val="auto"/>
          <w:highlight w:val="none"/>
        </w:rPr>
      </w:pPr>
      <w:bookmarkStart w:id="336" w:name="_Toc25697"/>
      <w:bookmarkStart w:id="337" w:name="_Toc28170"/>
      <w:bookmarkStart w:id="338" w:name="_Toc5164"/>
      <w:bookmarkStart w:id="339" w:name="_Toc25977"/>
      <w:bookmarkStart w:id="340" w:name="_Toc7357"/>
      <w:bookmarkStart w:id="341" w:name="_Toc12280"/>
      <w:r>
        <w:rPr>
          <w:rFonts w:hint="eastAsia"/>
          <w:color w:val="auto"/>
          <w:highlight w:val="none"/>
        </w:rPr>
        <w:t>附件：投标登记表</w:t>
      </w:r>
      <w:bookmarkEnd w:id="297"/>
      <w:bookmarkEnd w:id="298"/>
      <w:bookmarkEnd w:id="299"/>
      <w:bookmarkEnd w:id="300"/>
      <w:bookmarkEnd w:id="301"/>
      <w:bookmarkEnd w:id="302"/>
      <w:bookmarkEnd w:id="303"/>
      <w:bookmarkEnd w:id="304"/>
      <w:bookmarkEnd w:id="305"/>
      <w:bookmarkEnd w:id="306"/>
      <w:bookmarkEnd w:id="336"/>
      <w:bookmarkEnd w:id="337"/>
      <w:bookmarkEnd w:id="338"/>
      <w:bookmarkEnd w:id="339"/>
      <w:bookmarkEnd w:id="340"/>
      <w:bookmarkEnd w:id="341"/>
    </w:p>
    <w:p>
      <w:pPr>
        <w:pStyle w:val="7"/>
        <w:jc w:val="center"/>
        <w:rPr>
          <w:color w:val="auto"/>
          <w:highlight w:val="none"/>
        </w:rPr>
      </w:pPr>
      <w:bookmarkStart w:id="342" w:name="_Toc13961"/>
      <w:bookmarkStart w:id="343" w:name="_Toc370403120"/>
      <w:bookmarkStart w:id="344" w:name="_Toc20238"/>
      <w:bookmarkStart w:id="345" w:name="_Toc435178363"/>
      <w:bookmarkStart w:id="346" w:name="_Toc437351808"/>
      <w:bookmarkStart w:id="347" w:name="_Toc390852122"/>
      <w:bookmarkStart w:id="348" w:name="_Toc10431"/>
      <w:bookmarkStart w:id="349" w:name="_Toc433812703"/>
      <w:bookmarkStart w:id="350" w:name="_Toc8045"/>
      <w:bookmarkStart w:id="351" w:name="_Toc496601930"/>
      <w:bookmarkStart w:id="352" w:name="_Toc436215720"/>
      <w:bookmarkStart w:id="353" w:name="_Toc23909"/>
      <w:bookmarkStart w:id="354" w:name="_Toc2716"/>
      <w:bookmarkStart w:id="355" w:name="_Toc387136949"/>
      <w:bookmarkStart w:id="356" w:name="_Toc437348603"/>
      <w:bookmarkStart w:id="357" w:name="_Toc370404319"/>
      <w:bookmarkStart w:id="358" w:name="_Toc21964"/>
      <w:bookmarkStart w:id="359" w:name="_Toc19842"/>
      <w:bookmarkStart w:id="360" w:name="_Toc18074"/>
      <w:bookmarkStart w:id="361" w:name="_Toc11726"/>
      <w:bookmarkStart w:id="362" w:name="_Toc437351949"/>
      <w:bookmarkStart w:id="363" w:name="_Toc6911"/>
      <w:bookmarkStart w:id="364" w:name="_Toc436212715"/>
      <w:bookmarkStart w:id="365" w:name="_Toc514745769"/>
      <w:bookmarkStart w:id="366" w:name="_Toc5760"/>
      <w:bookmarkStart w:id="367" w:name="_Toc421608092"/>
      <w:bookmarkStart w:id="368" w:name="_Toc32452"/>
      <w:bookmarkStart w:id="369" w:name="_Toc426113934"/>
      <w:bookmarkStart w:id="370" w:name="_Toc9037"/>
      <w:bookmarkStart w:id="371" w:name="_Toc30737"/>
      <w:bookmarkStart w:id="372" w:name="_Toc431226068"/>
      <w:r>
        <w:rPr>
          <w:rFonts w:hint="eastAsia"/>
          <w:color w:val="auto"/>
          <w:highlight w:val="none"/>
        </w:rPr>
        <w:t>投标登记表</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pPr>
        <w:pStyle w:val="91"/>
        <w:spacing w:line="360" w:lineRule="auto"/>
        <w:rPr>
          <w:color w:val="auto"/>
          <w:szCs w:val="21"/>
          <w:highlight w:val="none"/>
        </w:rPr>
      </w:pPr>
      <w:r>
        <w:rPr>
          <w:rFonts w:hint="eastAsia"/>
          <w:color w:val="auto"/>
          <w:szCs w:val="21"/>
          <w:highlight w:val="none"/>
        </w:rPr>
        <w:t>广东省南方传媒发行物流有限公司：</w:t>
      </w:r>
    </w:p>
    <w:p>
      <w:pPr>
        <w:spacing w:line="360" w:lineRule="auto"/>
        <w:ind w:firstLine="420"/>
        <w:rPr>
          <w:color w:val="auto"/>
          <w:szCs w:val="21"/>
          <w:highlight w:val="none"/>
        </w:rPr>
      </w:pPr>
      <w:r>
        <w:rPr>
          <w:rFonts w:hint="eastAsia" w:ascii="黑体" w:eastAsia="黑体"/>
          <w:color w:val="auto"/>
          <w:szCs w:val="28"/>
          <w:highlight w:val="none"/>
        </w:rPr>
        <w:t xml:space="preserve">  </w:t>
      </w:r>
      <w:r>
        <w:rPr>
          <w:rFonts w:hint="eastAsia"/>
          <w:color w:val="auto"/>
          <w:szCs w:val="21"/>
          <w:highlight w:val="none"/>
        </w:rPr>
        <w:t>我公司已认真阅读本项目招标公告及相关资料，并确信已完全符合招标公告所列的条件和要求，愿以积极认真的态度参与投标，投标登记资料如下：</w:t>
      </w:r>
    </w:p>
    <w:p>
      <w:pPr>
        <w:spacing w:line="360" w:lineRule="auto"/>
        <w:rPr>
          <w:color w:val="auto"/>
          <w:szCs w:val="21"/>
          <w:highlight w:val="none"/>
        </w:rPr>
      </w:pPr>
    </w:p>
    <w:tbl>
      <w:tblPr>
        <w:tblStyle w:val="41"/>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448" w:type="dxa"/>
            <w:vAlign w:val="center"/>
          </w:tcPr>
          <w:p>
            <w:pPr>
              <w:spacing w:line="360" w:lineRule="auto"/>
              <w:rPr>
                <w:color w:val="auto"/>
                <w:szCs w:val="30"/>
                <w:highlight w:val="none"/>
              </w:rPr>
            </w:pPr>
            <w:r>
              <w:rPr>
                <w:rFonts w:hint="eastAsia"/>
                <w:color w:val="auto"/>
                <w:szCs w:val="30"/>
                <w:highlight w:val="none"/>
              </w:rPr>
              <w:t>项目编号</w:t>
            </w:r>
          </w:p>
        </w:tc>
        <w:tc>
          <w:tcPr>
            <w:tcW w:w="6074" w:type="dxa"/>
            <w:vAlign w:val="center"/>
          </w:tcPr>
          <w:p>
            <w:pPr>
              <w:spacing w:line="360" w:lineRule="auto"/>
              <w:rPr>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vAlign w:val="center"/>
          </w:tcPr>
          <w:p>
            <w:pPr>
              <w:spacing w:line="360" w:lineRule="auto"/>
              <w:rPr>
                <w:color w:val="auto"/>
                <w:szCs w:val="30"/>
                <w:highlight w:val="none"/>
              </w:rPr>
            </w:pPr>
            <w:r>
              <w:rPr>
                <w:rFonts w:hint="eastAsia"/>
                <w:color w:val="auto"/>
                <w:szCs w:val="30"/>
                <w:highlight w:val="none"/>
              </w:rPr>
              <w:t>项目名称</w:t>
            </w:r>
          </w:p>
        </w:tc>
        <w:tc>
          <w:tcPr>
            <w:tcW w:w="6074" w:type="dxa"/>
            <w:vAlign w:val="center"/>
          </w:tcPr>
          <w:p>
            <w:pPr>
              <w:spacing w:line="360" w:lineRule="auto"/>
              <w:rPr>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vAlign w:val="center"/>
          </w:tcPr>
          <w:p>
            <w:pPr>
              <w:spacing w:line="360" w:lineRule="auto"/>
              <w:rPr>
                <w:color w:val="auto"/>
                <w:szCs w:val="30"/>
                <w:highlight w:val="none"/>
              </w:rPr>
            </w:pPr>
            <w:r>
              <w:rPr>
                <w:rFonts w:hint="eastAsia"/>
                <w:color w:val="auto"/>
                <w:szCs w:val="30"/>
                <w:highlight w:val="none"/>
              </w:rPr>
              <w:t>投标人全称</w:t>
            </w:r>
          </w:p>
        </w:tc>
        <w:tc>
          <w:tcPr>
            <w:tcW w:w="6074" w:type="dxa"/>
            <w:vAlign w:val="center"/>
          </w:tcPr>
          <w:p>
            <w:pPr>
              <w:spacing w:line="360" w:lineRule="auto"/>
              <w:rPr>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vAlign w:val="center"/>
          </w:tcPr>
          <w:p>
            <w:pPr>
              <w:spacing w:line="360" w:lineRule="auto"/>
              <w:rPr>
                <w:color w:val="auto"/>
                <w:szCs w:val="30"/>
                <w:highlight w:val="none"/>
              </w:rPr>
            </w:pPr>
            <w:r>
              <w:rPr>
                <w:rFonts w:hint="eastAsia"/>
                <w:color w:val="auto"/>
                <w:szCs w:val="21"/>
                <w:highlight w:val="none"/>
              </w:rPr>
              <w:t>纳税人识别号（或统一社会信用代码）</w:t>
            </w:r>
          </w:p>
        </w:tc>
        <w:tc>
          <w:tcPr>
            <w:tcW w:w="6074" w:type="dxa"/>
            <w:vAlign w:val="center"/>
          </w:tcPr>
          <w:p>
            <w:pPr>
              <w:spacing w:line="360" w:lineRule="auto"/>
              <w:rPr>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vAlign w:val="center"/>
          </w:tcPr>
          <w:p>
            <w:pPr>
              <w:spacing w:line="360" w:lineRule="auto"/>
              <w:rPr>
                <w:color w:val="auto"/>
                <w:szCs w:val="30"/>
                <w:highlight w:val="none"/>
              </w:rPr>
            </w:pPr>
            <w:r>
              <w:rPr>
                <w:rFonts w:hint="eastAsia"/>
                <w:color w:val="auto"/>
                <w:szCs w:val="30"/>
                <w:highlight w:val="none"/>
              </w:rPr>
              <w:t>联系人</w:t>
            </w:r>
          </w:p>
        </w:tc>
        <w:tc>
          <w:tcPr>
            <w:tcW w:w="6074" w:type="dxa"/>
            <w:vAlign w:val="center"/>
          </w:tcPr>
          <w:p>
            <w:pPr>
              <w:spacing w:line="360" w:lineRule="auto"/>
              <w:rPr>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448" w:type="dxa"/>
            <w:vAlign w:val="center"/>
          </w:tcPr>
          <w:p>
            <w:pPr>
              <w:spacing w:line="360" w:lineRule="auto"/>
              <w:rPr>
                <w:color w:val="auto"/>
                <w:szCs w:val="30"/>
                <w:highlight w:val="none"/>
              </w:rPr>
            </w:pPr>
            <w:r>
              <w:rPr>
                <w:rFonts w:hint="eastAsia"/>
                <w:color w:val="auto"/>
                <w:szCs w:val="30"/>
                <w:highlight w:val="none"/>
              </w:rPr>
              <w:t>联系电话</w:t>
            </w:r>
          </w:p>
        </w:tc>
        <w:tc>
          <w:tcPr>
            <w:tcW w:w="6074" w:type="dxa"/>
            <w:vAlign w:val="center"/>
          </w:tcPr>
          <w:p>
            <w:pPr>
              <w:spacing w:line="360" w:lineRule="auto"/>
              <w:rPr>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448" w:type="dxa"/>
            <w:vAlign w:val="center"/>
          </w:tcPr>
          <w:p>
            <w:pPr>
              <w:spacing w:line="360" w:lineRule="auto"/>
              <w:rPr>
                <w:color w:val="auto"/>
                <w:szCs w:val="30"/>
                <w:highlight w:val="none"/>
              </w:rPr>
            </w:pPr>
            <w:r>
              <w:rPr>
                <w:rFonts w:hint="eastAsia"/>
                <w:color w:val="auto"/>
                <w:szCs w:val="30"/>
                <w:highlight w:val="none"/>
              </w:rPr>
              <w:t>电子邮箱</w:t>
            </w:r>
          </w:p>
        </w:tc>
        <w:tc>
          <w:tcPr>
            <w:tcW w:w="6074" w:type="dxa"/>
            <w:vAlign w:val="center"/>
          </w:tcPr>
          <w:p>
            <w:pPr>
              <w:spacing w:line="360" w:lineRule="auto"/>
              <w:rPr>
                <w:color w:val="auto"/>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448" w:type="dxa"/>
            <w:vAlign w:val="center"/>
          </w:tcPr>
          <w:p>
            <w:pPr>
              <w:spacing w:line="360" w:lineRule="auto"/>
              <w:rPr>
                <w:color w:val="auto"/>
                <w:szCs w:val="30"/>
                <w:highlight w:val="none"/>
              </w:rPr>
            </w:pPr>
            <w:r>
              <w:rPr>
                <w:rFonts w:hint="eastAsia"/>
                <w:color w:val="auto"/>
                <w:szCs w:val="30"/>
                <w:highlight w:val="none"/>
              </w:rPr>
              <w:t>手机</w:t>
            </w:r>
          </w:p>
        </w:tc>
        <w:tc>
          <w:tcPr>
            <w:tcW w:w="6074" w:type="dxa"/>
            <w:vAlign w:val="center"/>
          </w:tcPr>
          <w:p>
            <w:pPr>
              <w:spacing w:line="360" w:lineRule="auto"/>
              <w:rPr>
                <w:color w:val="auto"/>
                <w:szCs w:val="30"/>
                <w:highlight w:val="none"/>
              </w:rPr>
            </w:pPr>
          </w:p>
        </w:tc>
      </w:tr>
    </w:tbl>
    <w:p>
      <w:pPr>
        <w:spacing w:line="360" w:lineRule="auto"/>
        <w:ind w:firstLine="5985" w:firstLineChars="2850"/>
        <w:rPr>
          <w:color w:val="auto"/>
          <w:szCs w:val="30"/>
          <w:highlight w:val="none"/>
        </w:rPr>
      </w:pPr>
      <w:r>
        <w:rPr>
          <w:rFonts w:hint="eastAsia"/>
          <w:color w:val="auto"/>
          <w:szCs w:val="30"/>
          <w:highlight w:val="none"/>
        </w:rPr>
        <w:t>投标人（盖章）：</w:t>
      </w:r>
    </w:p>
    <w:p>
      <w:pPr>
        <w:spacing w:line="360" w:lineRule="auto"/>
        <w:ind w:firstLine="5880" w:firstLineChars="2800"/>
        <w:rPr>
          <w:color w:val="auto"/>
          <w:szCs w:val="30"/>
          <w:highlight w:val="none"/>
        </w:rPr>
      </w:pPr>
    </w:p>
    <w:p>
      <w:pPr>
        <w:spacing w:line="360" w:lineRule="auto"/>
        <w:ind w:firstLine="5880" w:firstLineChars="2800"/>
        <w:rPr>
          <w:color w:val="auto"/>
          <w:szCs w:val="30"/>
          <w:highlight w:val="none"/>
        </w:rPr>
      </w:pPr>
      <w:r>
        <w:rPr>
          <w:rFonts w:hint="eastAsia"/>
          <w:color w:val="auto"/>
          <w:szCs w:val="30"/>
          <w:highlight w:val="none"/>
        </w:rPr>
        <w:t xml:space="preserve"> 年   月   日</w:t>
      </w:r>
    </w:p>
    <w:p>
      <w:pPr>
        <w:pStyle w:val="4"/>
        <w:rPr>
          <w:color w:val="auto"/>
          <w:highlight w:val="none"/>
        </w:rPr>
      </w:pPr>
    </w:p>
    <w:p>
      <w:pPr>
        <w:rPr>
          <w:color w:val="auto"/>
          <w:highlight w:val="none"/>
        </w:rPr>
      </w:pPr>
    </w:p>
    <w:p>
      <w:pPr>
        <w:pStyle w:val="5"/>
        <w:jc w:val="center"/>
        <w:rPr>
          <w:color w:val="auto"/>
          <w:highlight w:val="none"/>
        </w:rPr>
      </w:pPr>
      <w:bookmarkStart w:id="2459" w:name="_GoBack"/>
      <w:bookmarkEnd w:id="2459"/>
      <w:bookmarkStart w:id="373" w:name="_Toc15339"/>
      <w:bookmarkStart w:id="374" w:name="_Toc22546"/>
      <w:bookmarkStart w:id="375" w:name="_Toc22099"/>
      <w:bookmarkStart w:id="376" w:name="_Toc2200"/>
      <w:bookmarkStart w:id="377" w:name="_Toc7766"/>
      <w:bookmarkStart w:id="378" w:name="_Toc28448"/>
      <w:r>
        <w:rPr>
          <w:rFonts w:hint="eastAsia"/>
          <w:color w:val="auto"/>
          <w:highlight w:val="none"/>
        </w:rPr>
        <w:t>第二章 投标人须知</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73"/>
      <w:bookmarkEnd w:id="374"/>
      <w:bookmarkEnd w:id="375"/>
      <w:bookmarkEnd w:id="376"/>
      <w:bookmarkEnd w:id="377"/>
      <w:bookmarkEnd w:id="378"/>
    </w:p>
    <w:p>
      <w:pPr>
        <w:pStyle w:val="6"/>
        <w:rPr>
          <w:color w:val="auto"/>
          <w:highlight w:val="none"/>
        </w:rPr>
      </w:pPr>
      <w:bookmarkStart w:id="379" w:name="_Toc12842"/>
      <w:bookmarkStart w:id="380" w:name="_Toc24591"/>
      <w:bookmarkStart w:id="381" w:name="_Toc1166"/>
      <w:bookmarkStart w:id="382" w:name="_Toc435178365"/>
      <w:bookmarkStart w:id="383" w:name="_Toc27429"/>
      <w:bookmarkStart w:id="384" w:name="_Toc7974"/>
      <w:bookmarkStart w:id="385" w:name="_Toc152042304"/>
      <w:bookmarkStart w:id="386" w:name="_Toc246996917"/>
      <w:bookmarkStart w:id="387" w:name="_Toc11731"/>
      <w:bookmarkStart w:id="388" w:name="_Toc21568"/>
      <w:bookmarkStart w:id="389" w:name="_Toc247085688"/>
      <w:bookmarkStart w:id="390" w:name="_Toc144974496"/>
      <w:bookmarkStart w:id="391" w:name="_Toc30229"/>
      <w:bookmarkStart w:id="392" w:name="_Toc8365"/>
      <w:bookmarkStart w:id="393" w:name="_Toc22968"/>
      <w:bookmarkStart w:id="394" w:name="_Toc17667"/>
      <w:bookmarkStart w:id="395" w:name="_Toc18990"/>
      <w:bookmarkStart w:id="396" w:name="_Toc9715"/>
      <w:bookmarkStart w:id="397" w:name="_Toc152045528"/>
      <w:bookmarkStart w:id="398" w:name="_Toc496601932"/>
      <w:bookmarkStart w:id="399" w:name="_Toc179632545"/>
      <w:bookmarkStart w:id="400" w:name="_Toc68"/>
      <w:bookmarkStart w:id="401" w:name="_Toc246996174"/>
      <w:bookmarkStart w:id="402" w:name="_Toc419"/>
      <w:bookmarkStart w:id="403" w:name="_Toc16844"/>
      <w:bookmarkStart w:id="404" w:name="_Toc9372"/>
      <w:bookmarkStart w:id="405" w:name="_Toc14079"/>
      <w:bookmarkStart w:id="406" w:name="_Toc12448"/>
      <w:bookmarkStart w:id="407" w:name="_Toc3134"/>
      <w:bookmarkStart w:id="408" w:name="_Toc3291"/>
      <w:bookmarkStart w:id="409" w:name="_Toc25768"/>
      <w:bookmarkStart w:id="410" w:name="_Toc27276"/>
      <w:bookmarkStart w:id="411" w:name="_Toc23952"/>
      <w:bookmarkStart w:id="412" w:name="_Toc436215722"/>
      <w:bookmarkStart w:id="413" w:name="_Toc17714"/>
      <w:r>
        <w:rPr>
          <w:rFonts w:hint="eastAsia"/>
          <w:color w:val="auto"/>
          <w:highlight w:val="none"/>
        </w:rPr>
        <w:t>投标人须知前附表</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bl>
      <w:tblPr>
        <w:tblStyle w:val="41"/>
        <w:tblW w:w="8340" w:type="dxa"/>
        <w:tblInd w:w="0" w:type="dxa"/>
        <w:tblLayout w:type="fixed"/>
        <w:tblCellMar>
          <w:top w:w="0" w:type="dxa"/>
          <w:left w:w="108" w:type="dxa"/>
          <w:bottom w:w="0" w:type="dxa"/>
          <w:right w:w="108" w:type="dxa"/>
        </w:tblCellMar>
      </w:tblPr>
      <w:tblGrid>
        <w:gridCol w:w="2412"/>
        <w:gridCol w:w="5928"/>
      </w:tblGrid>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Cs w:val="21"/>
                <w:highlight w:val="none"/>
              </w:rPr>
            </w:pPr>
            <w:r>
              <w:rPr>
                <w:b/>
                <w:color w:val="auto"/>
                <w:szCs w:val="21"/>
                <w:highlight w:val="none"/>
              </w:rPr>
              <w:t>条  款  名  称</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Cs w:val="21"/>
                <w:highlight w:val="none"/>
              </w:rPr>
            </w:pPr>
            <w:r>
              <w:rPr>
                <w:b/>
                <w:color w:val="auto"/>
                <w:szCs w:val="21"/>
                <w:highlight w:val="none"/>
              </w:rPr>
              <w:t xml:space="preserve"> 内  容</w:t>
            </w:r>
          </w:p>
        </w:tc>
      </w:tr>
      <w:tr>
        <w:tblPrEx>
          <w:tblCellMar>
            <w:top w:w="0" w:type="dxa"/>
            <w:left w:w="108" w:type="dxa"/>
            <w:bottom w:w="0" w:type="dxa"/>
            <w:right w:w="108" w:type="dxa"/>
          </w:tblCellMar>
        </w:tblPrEx>
        <w:trPr>
          <w:trHeight w:val="1755"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招标人</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olor w:val="auto"/>
                <w:szCs w:val="21"/>
                <w:highlight w:val="none"/>
              </w:rPr>
            </w:pPr>
            <w:r>
              <w:rPr>
                <w:rFonts w:ascii="宋体" w:hAnsi="宋体"/>
                <w:color w:val="auto"/>
                <w:szCs w:val="21"/>
                <w:highlight w:val="none"/>
              </w:rPr>
              <w:t>名称：</w:t>
            </w:r>
            <w:r>
              <w:rPr>
                <w:rFonts w:hint="eastAsia" w:ascii="宋体" w:hAnsi="宋体"/>
                <w:color w:val="auto"/>
                <w:szCs w:val="21"/>
                <w:highlight w:val="none"/>
              </w:rPr>
              <w:t>广东省南方传媒发行物流有限公司</w:t>
            </w:r>
          </w:p>
          <w:p>
            <w:pPr>
              <w:spacing w:line="360" w:lineRule="auto"/>
              <w:rPr>
                <w:rFonts w:hint="eastAsia" w:ascii="宋体" w:hAnsi="宋体"/>
                <w:color w:val="auto"/>
                <w:highlight w:val="none"/>
              </w:rPr>
            </w:pPr>
            <w:r>
              <w:rPr>
                <w:rFonts w:ascii="宋体" w:hAnsi="宋体"/>
                <w:color w:val="auto"/>
                <w:szCs w:val="21"/>
                <w:highlight w:val="none"/>
              </w:rPr>
              <w:t>地址：</w:t>
            </w:r>
            <w:r>
              <w:rPr>
                <w:rFonts w:hint="eastAsia" w:ascii="宋体" w:hAnsi="宋体" w:cs="宋体"/>
                <w:color w:val="auto"/>
                <w:szCs w:val="21"/>
                <w:highlight w:val="none"/>
                <w:u w:val="single"/>
              </w:rPr>
              <w:t>广州市黄埔区黄埔大道东888号南方智媒大厦南塔20楼</w:t>
            </w:r>
          </w:p>
          <w:p>
            <w:pPr>
              <w:spacing w:line="360" w:lineRule="auto"/>
              <w:rPr>
                <w:rFonts w:hint="eastAsia" w:ascii="宋体" w:hAnsi="宋体"/>
                <w:color w:val="auto"/>
                <w:szCs w:val="21"/>
                <w:highlight w:val="none"/>
              </w:rPr>
            </w:pPr>
            <w:r>
              <w:rPr>
                <w:rFonts w:ascii="宋体" w:hAnsi="宋体"/>
                <w:color w:val="auto"/>
                <w:szCs w:val="21"/>
                <w:highlight w:val="none"/>
              </w:rPr>
              <w:t>联系人：</w:t>
            </w:r>
            <w:r>
              <w:rPr>
                <w:rFonts w:hint="eastAsia"/>
                <w:color w:val="auto"/>
                <w:szCs w:val="21"/>
                <w:highlight w:val="none"/>
                <w:u w:val="single"/>
              </w:rPr>
              <w:t>官小姐、孙小姐</w:t>
            </w:r>
            <w:r>
              <w:rPr>
                <w:rFonts w:hint="eastAsia" w:ascii="宋体" w:hAnsi="宋体"/>
                <w:color w:val="auto"/>
                <w:szCs w:val="21"/>
                <w:highlight w:val="none"/>
                <w:u w:val="single"/>
              </w:rPr>
              <w:t xml:space="preserve">   </w:t>
            </w:r>
          </w:p>
          <w:p>
            <w:pPr>
              <w:topLinePunct/>
              <w:spacing w:line="360" w:lineRule="auto"/>
              <w:jc w:val="left"/>
              <w:rPr>
                <w:color w:val="auto"/>
                <w:szCs w:val="21"/>
                <w:highlight w:val="none"/>
              </w:rPr>
            </w:pPr>
            <w:r>
              <w:rPr>
                <w:rFonts w:ascii="宋体" w:hAnsi="宋体"/>
                <w:color w:val="auto"/>
                <w:szCs w:val="21"/>
                <w:highlight w:val="none"/>
              </w:rPr>
              <w:t>电话：</w:t>
            </w:r>
            <w:r>
              <w:rPr>
                <w:rFonts w:hint="eastAsia" w:ascii="宋体" w:hAnsi="宋体" w:cs="宋体"/>
                <w:color w:val="auto"/>
                <w:szCs w:val="21"/>
                <w:highlight w:val="none"/>
                <w:u w:val="single"/>
              </w:rPr>
              <w:t>020-83002718</w:t>
            </w:r>
            <w:r>
              <w:rPr>
                <w:rFonts w:hint="eastAsia" w:ascii="宋体" w:hAnsi="宋体"/>
                <w:color w:val="auto"/>
                <w:szCs w:val="21"/>
                <w:highlight w:val="none"/>
                <w:u w:val="single"/>
              </w:rPr>
              <w:t xml:space="preserve"> </w:t>
            </w:r>
            <w:r>
              <w:rPr>
                <w:rFonts w:hint="eastAsia" w:ascii="宋体" w:hAnsi="宋体"/>
                <w:color w:val="auto"/>
                <w:highlight w:val="none"/>
                <w:lang w:eastAsia="zh-CN"/>
              </w:rPr>
              <w:t>、</w:t>
            </w:r>
            <w:r>
              <w:rPr>
                <w:rFonts w:hint="eastAsia" w:ascii="宋体" w:hAnsi="宋体"/>
                <w:color w:val="auto"/>
                <w:highlight w:val="none"/>
              </w:rPr>
              <w:t>020-83004093</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项目名称</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ascii="宋体" w:hAnsi="宋体"/>
                <w:color w:val="auto"/>
                <w:szCs w:val="21"/>
                <w:highlight w:val="none"/>
                <w:lang w:val="en-US" w:eastAsia="zh-CN"/>
              </w:rPr>
              <w:t>2024年度</w:t>
            </w:r>
            <w:r>
              <w:rPr>
                <w:rFonts w:ascii="宋体" w:hAnsi="宋体"/>
                <w:color w:val="auto"/>
                <w:szCs w:val="21"/>
                <w:highlight w:val="none"/>
              </w:rPr>
              <w:t>南方优品纸箱采购</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投标人资</w:t>
            </w:r>
            <w:r>
              <w:rPr>
                <w:rFonts w:hint="eastAsia"/>
                <w:color w:val="auto"/>
                <w:szCs w:val="21"/>
                <w:highlight w:val="none"/>
              </w:rPr>
              <w:t>格要求</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color w:val="auto"/>
                <w:szCs w:val="21"/>
                <w:highlight w:val="none"/>
              </w:rPr>
              <w:t>见招标公告投标人资格要求。</w:t>
            </w:r>
          </w:p>
        </w:tc>
      </w:tr>
      <w:tr>
        <w:tblPrEx>
          <w:tblCellMar>
            <w:top w:w="0" w:type="dxa"/>
            <w:left w:w="108" w:type="dxa"/>
            <w:bottom w:w="0" w:type="dxa"/>
            <w:right w:w="108" w:type="dxa"/>
          </w:tblCellMar>
        </w:tblPrEx>
        <w:trPr>
          <w:trHeight w:val="1755"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投标人提出问题的截止时间</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highlight w:val="none"/>
              </w:rPr>
            </w:pPr>
            <w:r>
              <w:rPr>
                <w:rFonts w:hint="eastAsia" w:ascii="宋体" w:hAnsi="宋体"/>
                <w:color w:val="auto"/>
                <w:highlight w:val="none"/>
              </w:rPr>
              <w:t>疑问提交截止时间</w:t>
            </w:r>
            <w:r>
              <w:rPr>
                <w:rFonts w:hint="eastAsia" w:ascii="宋体" w:hAnsi="宋体"/>
                <w:b/>
                <w:bCs/>
                <w:color w:val="auto"/>
                <w:highlight w:val="none"/>
              </w:rPr>
              <w:t>：</w:t>
            </w:r>
            <w:r>
              <w:rPr>
                <w:rFonts w:hint="eastAsia" w:ascii="宋体" w:hAnsi="宋体"/>
                <w:color w:val="auto"/>
                <w:highlight w:val="none"/>
                <w:u w:val="single"/>
              </w:rPr>
              <w:t>投标截止前3天。</w:t>
            </w:r>
          </w:p>
          <w:p>
            <w:pPr>
              <w:spacing w:line="360" w:lineRule="auto"/>
              <w:rPr>
                <w:rFonts w:ascii="宋体" w:hAnsi="宋体"/>
                <w:color w:val="auto"/>
                <w:highlight w:val="none"/>
              </w:rPr>
            </w:pPr>
            <w:r>
              <w:rPr>
                <w:rFonts w:hint="eastAsia" w:ascii="宋体" w:hAnsi="宋体"/>
                <w:color w:val="auto"/>
                <w:highlight w:val="none"/>
              </w:rPr>
              <w:t>提交疑问方式：发送电子邮件</w:t>
            </w:r>
          </w:p>
          <w:p>
            <w:pPr>
              <w:spacing w:line="360" w:lineRule="auto"/>
              <w:rPr>
                <w:rFonts w:ascii="宋体" w:hAnsi="宋体"/>
                <w:color w:val="auto"/>
                <w:highlight w:val="none"/>
              </w:rPr>
            </w:pPr>
            <w:r>
              <w:rPr>
                <w:rFonts w:hint="eastAsia" w:ascii="宋体" w:hAnsi="宋体"/>
                <w:color w:val="auto"/>
                <w:highlight w:val="none"/>
              </w:rPr>
              <w:t>文件格式要求：PDF格式</w:t>
            </w:r>
          </w:p>
          <w:p>
            <w:pPr>
              <w:spacing w:line="360" w:lineRule="auto"/>
              <w:rPr>
                <w:color w:val="auto"/>
                <w:szCs w:val="21"/>
                <w:highlight w:val="none"/>
              </w:rPr>
            </w:pPr>
            <w:r>
              <w:rPr>
                <w:rFonts w:hint="eastAsia" w:ascii="宋体" w:hAnsi="宋体"/>
                <w:color w:val="auto"/>
                <w:highlight w:val="none"/>
              </w:rPr>
              <w:t>招标人邮箱：</w:t>
            </w:r>
            <w:r>
              <w:rPr>
                <w:rFonts w:hint="eastAsia" w:ascii="宋体" w:hAnsi="宋体"/>
                <w:color w:val="auto"/>
                <w:highlight w:val="none"/>
                <w:u w:val="single"/>
              </w:rPr>
              <w:t>fxwlcg@nfmedia.com</w:t>
            </w:r>
            <w:r>
              <w:rPr>
                <w:rFonts w:ascii="宋体" w:hAnsi="宋体"/>
                <w:color w:val="auto"/>
                <w:szCs w:val="21"/>
                <w:highlight w:val="none"/>
                <w:u w:val="single"/>
              </w:rPr>
              <w:t xml:space="preserve"> </w:t>
            </w:r>
          </w:p>
        </w:tc>
      </w:tr>
      <w:tr>
        <w:tblPrEx>
          <w:tblCellMar>
            <w:top w:w="0" w:type="dxa"/>
            <w:left w:w="108" w:type="dxa"/>
            <w:bottom w:w="0" w:type="dxa"/>
            <w:right w:w="108" w:type="dxa"/>
          </w:tblCellMar>
        </w:tblPrEx>
        <w:trPr>
          <w:trHeight w:val="883"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招标人澄清</w:t>
            </w:r>
            <w:r>
              <w:rPr>
                <w:rFonts w:hint="eastAsia"/>
                <w:color w:val="auto"/>
                <w:szCs w:val="21"/>
                <w:highlight w:val="none"/>
              </w:rPr>
              <w:t>/修改</w:t>
            </w:r>
            <w:r>
              <w:rPr>
                <w:color w:val="auto"/>
                <w:szCs w:val="21"/>
                <w:highlight w:val="none"/>
              </w:rPr>
              <w:t>招标文件的截止时间</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highlight w:val="none"/>
              </w:rPr>
            </w:pPr>
            <w:r>
              <w:rPr>
                <w:rFonts w:hint="eastAsia" w:ascii="宋体" w:hAnsi="宋体"/>
                <w:color w:val="auto"/>
                <w:highlight w:val="none"/>
              </w:rPr>
              <w:t>招标人澄清、修改或答疑期限：在投标截止日期前3 天；</w:t>
            </w:r>
          </w:p>
          <w:p>
            <w:pPr>
              <w:spacing w:line="360" w:lineRule="auto"/>
              <w:rPr>
                <w:rFonts w:ascii="宋体" w:hAnsi="宋体"/>
                <w:color w:val="auto"/>
                <w:highlight w:val="none"/>
              </w:rPr>
            </w:pPr>
            <w:r>
              <w:rPr>
                <w:rFonts w:hint="eastAsia" w:ascii="宋体" w:hAnsi="宋体"/>
                <w:color w:val="auto"/>
                <w:highlight w:val="none"/>
              </w:rPr>
              <w:t>招标人澄清、修改或答疑方式：线上答疑,</w:t>
            </w:r>
            <w:r>
              <w:rPr>
                <w:rFonts w:hint="eastAsia" w:ascii="宋体" w:cs="宋体"/>
                <w:color w:val="auto"/>
                <w:kern w:val="0"/>
                <w:szCs w:val="21"/>
                <w:highlight w:val="none"/>
                <w:lang w:val="zh-CN"/>
              </w:rPr>
              <w:t>请投标人留意投标人网站</w:t>
            </w:r>
            <w:r>
              <w:rPr>
                <w:rFonts w:hint="eastAsia" w:ascii="宋体" w:hAnsi="宋体"/>
                <w:b/>
                <w:bCs/>
                <w:color w:val="auto"/>
                <w:highlight w:val="none"/>
              </w:rPr>
              <w:t>。</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投标截止时间</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color w:val="auto"/>
                <w:szCs w:val="21"/>
                <w:highlight w:val="none"/>
              </w:rPr>
              <w:t>202</w:t>
            </w:r>
            <w:r>
              <w:rPr>
                <w:rFonts w:hint="eastAsia"/>
                <w:color w:val="auto"/>
                <w:szCs w:val="21"/>
                <w:highlight w:val="none"/>
                <w:lang w:val="en-US" w:eastAsia="zh-CN"/>
              </w:rPr>
              <w:t>4</w:t>
            </w:r>
            <w:r>
              <w:rPr>
                <w:rFonts w:hint="eastAsia"/>
                <w:color w:val="auto"/>
                <w:szCs w:val="21"/>
                <w:highlight w:val="none"/>
              </w:rPr>
              <w:t>年</w:t>
            </w:r>
            <w:r>
              <w:rPr>
                <w:rFonts w:hint="eastAsia"/>
                <w:color w:val="auto"/>
                <w:szCs w:val="21"/>
                <w:highlight w:val="none"/>
                <w:lang w:val="en-US" w:eastAsia="zh-CN"/>
              </w:rPr>
              <w:t>5</w:t>
            </w:r>
            <w:r>
              <w:rPr>
                <w:rFonts w:hint="eastAsia"/>
                <w:color w:val="auto"/>
                <w:szCs w:val="21"/>
                <w:highlight w:val="none"/>
              </w:rPr>
              <w:t>月</w:t>
            </w:r>
            <w:r>
              <w:rPr>
                <w:rFonts w:hint="eastAsia"/>
                <w:color w:val="auto"/>
                <w:szCs w:val="21"/>
                <w:highlight w:val="none"/>
                <w:lang w:val="en-US" w:eastAsia="zh-CN"/>
              </w:rPr>
              <w:t>20</w:t>
            </w:r>
            <w:r>
              <w:rPr>
                <w:rFonts w:hint="eastAsia"/>
                <w:color w:val="auto"/>
                <w:szCs w:val="21"/>
                <w:highlight w:val="none"/>
              </w:rPr>
              <w:t>日下午1</w:t>
            </w:r>
            <w:r>
              <w:rPr>
                <w:rFonts w:hint="eastAsia"/>
                <w:color w:val="auto"/>
                <w:szCs w:val="21"/>
                <w:highlight w:val="none"/>
                <w:lang w:val="en-US" w:eastAsia="zh-CN"/>
              </w:rPr>
              <w:t>4</w:t>
            </w:r>
            <w:r>
              <w:rPr>
                <w:rFonts w:hint="eastAsia"/>
                <w:color w:val="auto"/>
                <w:szCs w:val="21"/>
                <w:highlight w:val="none"/>
              </w:rPr>
              <w:t>时</w:t>
            </w:r>
          </w:p>
        </w:tc>
      </w:tr>
      <w:tr>
        <w:tblPrEx>
          <w:tblCellMar>
            <w:top w:w="0" w:type="dxa"/>
            <w:left w:w="108" w:type="dxa"/>
            <w:bottom w:w="0" w:type="dxa"/>
            <w:right w:w="108" w:type="dxa"/>
          </w:tblCellMar>
        </w:tblPrEx>
        <w:trPr>
          <w:trHeight w:val="537" w:hRule="atLeast"/>
        </w:trPr>
        <w:tc>
          <w:tcPr>
            <w:tcW w:w="2412" w:type="dxa"/>
            <w:tcBorders>
              <w:top w:val="single" w:color="auto" w:sz="4" w:space="0"/>
              <w:left w:val="single" w:color="auto" w:sz="4" w:space="0"/>
              <w:bottom w:val="single" w:color="auto" w:sz="4" w:space="0"/>
              <w:right w:val="single" w:color="auto" w:sz="4" w:space="0"/>
            </w:tcBorders>
            <w:vAlign w:val="center"/>
          </w:tcPr>
          <w:p>
            <w:pPr>
              <w:pStyle w:val="3"/>
              <w:spacing w:line="360" w:lineRule="auto"/>
              <w:jc w:val="center"/>
              <w:rPr>
                <w:color w:val="auto"/>
                <w:szCs w:val="21"/>
                <w:highlight w:val="none"/>
              </w:rPr>
            </w:pPr>
            <w:r>
              <w:rPr>
                <w:rFonts w:hint="eastAsia"/>
                <w:color w:val="auto"/>
                <w:highlight w:val="none"/>
              </w:rPr>
              <w:t>线上答疑</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highlight w:val="none"/>
              </w:rPr>
            </w:pPr>
            <w:r>
              <w:rPr>
                <w:color w:val="auto"/>
                <w:highlight w:val="none"/>
              </w:rPr>
              <w:sym w:font="Wingdings 2" w:char="0052"/>
            </w:r>
            <w:r>
              <w:rPr>
                <w:color w:val="auto"/>
                <w:highlight w:val="none"/>
              </w:rPr>
              <w:t>不组织</w:t>
            </w:r>
          </w:p>
          <w:p>
            <w:pPr>
              <w:spacing w:line="360" w:lineRule="auto"/>
              <w:rPr>
                <w:color w:val="auto"/>
                <w:highlight w:val="none"/>
              </w:rPr>
            </w:pPr>
            <w:r>
              <w:rPr>
                <w:color w:val="auto"/>
                <w:highlight w:val="none"/>
              </w:rPr>
              <w:sym w:font="Wingdings 2" w:char="00A3"/>
            </w:r>
            <w:r>
              <w:rPr>
                <w:color w:val="auto"/>
                <w:highlight w:val="none"/>
              </w:rPr>
              <w:t>组织</w:t>
            </w:r>
            <w:r>
              <w:rPr>
                <w:rFonts w:hint="eastAsia"/>
                <w:color w:val="auto"/>
                <w:highlight w:val="none"/>
              </w:rPr>
              <w:t>。</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highlight w:val="none"/>
              </w:rPr>
              <w:t>投标报价的其他要求</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cs="宋体"/>
                <w:color w:val="auto"/>
                <w:kern w:val="0"/>
                <w:szCs w:val="21"/>
                <w:highlight w:val="none"/>
                <w:lang w:val="zh-CN"/>
              </w:rPr>
            </w:pPr>
            <w:r>
              <w:rPr>
                <w:rFonts w:hint="eastAsia" w:ascii="宋体" w:cs="宋体"/>
                <w:color w:val="auto"/>
                <w:kern w:val="0"/>
                <w:szCs w:val="21"/>
                <w:highlight w:val="none"/>
                <w:lang w:val="zh-CN"/>
              </w:rPr>
              <w:t>无</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投标有效期</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color w:val="auto"/>
                <w:szCs w:val="21"/>
                <w:highlight w:val="none"/>
              </w:rPr>
              <w:t>90天(从参选截止之日计起）</w:t>
            </w:r>
          </w:p>
        </w:tc>
      </w:tr>
      <w:tr>
        <w:tblPrEx>
          <w:tblCellMar>
            <w:top w:w="0" w:type="dxa"/>
            <w:left w:w="108" w:type="dxa"/>
            <w:bottom w:w="0" w:type="dxa"/>
            <w:right w:w="108" w:type="dxa"/>
          </w:tblCellMar>
        </w:tblPrEx>
        <w:trPr>
          <w:trHeight w:val="1028"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投标保证金</w:t>
            </w:r>
          </w:p>
        </w:tc>
        <w:tc>
          <w:tcPr>
            <w:tcW w:w="5928" w:type="dxa"/>
            <w:tcBorders>
              <w:top w:val="single" w:color="auto" w:sz="4" w:space="0"/>
              <w:left w:val="single" w:color="auto" w:sz="4" w:space="0"/>
              <w:bottom w:val="single" w:color="auto" w:sz="4" w:space="0"/>
              <w:right w:val="single" w:color="auto" w:sz="4" w:space="0"/>
            </w:tcBorders>
            <w:vAlign w:val="center"/>
          </w:tcPr>
          <w:p>
            <w:pPr>
              <w:pStyle w:val="16"/>
              <w:topLinePunct/>
              <w:spacing w:line="360" w:lineRule="auto"/>
              <w:rPr>
                <w:rFonts w:ascii="Times New Roman"/>
                <w:color w:val="auto"/>
                <w:sz w:val="21"/>
                <w:szCs w:val="21"/>
                <w:highlight w:val="none"/>
              </w:rPr>
            </w:pPr>
            <w:r>
              <w:rPr>
                <w:rFonts w:ascii="Times New Roman"/>
                <w:color w:val="auto"/>
                <w:sz w:val="32"/>
                <w:szCs w:val="32"/>
                <w:highlight w:val="none"/>
              </w:rPr>
              <w:t>□</w:t>
            </w:r>
            <w:r>
              <w:rPr>
                <w:rFonts w:hint="eastAsia" w:ascii="Times New Roman"/>
                <w:color w:val="auto"/>
                <w:sz w:val="21"/>
                <w:szCs w:val="21"/>
                <w:highlight w:val="none"/>
              </w:rPr>
              <w:t>不要求递交投标保证金</w:t>
            </w:r>
          </w:p>
          <w:p>
            <w:pPr>
              <w:spacing w:line="360" w:lineRule="auto"/>
              <w:rPr>
                <w:color w:val="auto"/>
                <w:szCs w:val="21"/>
                <w:highlight w:val="none"/>
              </w:rPr>
            </w:pPr>
            <w:r>
              <w:rPr>
                <w:rFonts w:ascii="宋体" w:hAnsi="宋体"/>
                <w:b/>
                <w:color w:val="auto"/>
                <w:highlight w:val="none"/>
              </w:rPr>
              <w:fldChar w:fldCharType="begin"/>
            </w:r>
            <w:r>
              <w:rPr>
                <w:rFonts w:ascii="宋体" w:hAnsi="宋体"/>
                <w:b/>
                <w:color w:val="auto"/>
                <w:highlight w:val="none"/>
              </w:rPr>
              <w:instrText xml:space="preserve"> eq \o\ac(□,</w:instrText>
            </w:r>
            <w:r>
              <w:rPr>
                <w:rFonts w:hint="eastAsia" w:ascii="宋体" w:hAnsi="宋体"/>
                <w:b/>
                <w:color w:val="auto"/>
                <w:position w:val="2"/>
                <w:highlight w:val="none"/>
              </w:rPr>
              <w:instrText xml:space="preserve">√</w:instrText>
            </w:r>
            <w:r>
              <w:rPr>
                <w:rFonts w:ascii="宋体" w:hAnsi="宋体"/>
                <w:b/>
                <w:color w:val="auto"/>
                <w:highlight w:val="none"/>
              </w:rPr>
              <w:instrText xml:space="preserve">)</w:instrText>
            </w:r>
            <w:r>
              <w:rPr>
                <w:rFonts w:ascii="宋体" w:hAnsi="宋体"/>
                <w:b/>
                <w:color w:val="auto"/>
                <w:highlight w:val="none"/>
              </w:rPr>
              <w:fldChar w:fldCharType="end"/>
            </w:r>
            <w:r>
              <w:rPr>
                <w:rFonts w:hint="eastAsia"/>
                <w:color w:val="auto"/>
                <w:szCs w:val="21"/>
                <w:highlight w:val="none"/>
              </w:rPr>
              <w:t>要求递交投标保证金</w:t>
            </w:r>
          </w:p>
          <w:p>
            <w:pPr>
              <w:spacing w:line="360" w:lineRule="auto"/>
              <w:rPr>
                <w:color w:val="auto"/>
                <w:szCs w:val="21"/>
                <w:highlight w:val="none"/>
              </w:rPr>
            </w:pPr>
            <w:r>
              <w:rPr>
                <w:rFonts w:hint="eastAsia"/>
                <w:color w:val="auto"/>
                <w:szCs w:val="21"/>
                <w:highlight w:val="none"/>
              </w:rPr>
              <w:t>投标保证金的</w:t>
            </w:r>
            <w:r>
              <w:rPr>
                <w:color w:val="auto"/>
                <w:szCs w:val="21"/>
                <w:highlight w:val="none"/>
              </w:rPr>
              <w:t>形式：</w:t>
            </w:r>
            <w:r>
              <w:rPr>
                <w:rFonts w:hint="eastAsia"/>
                <w:color w:val="auto"/>
                <w:szCs w:val="21"/>
                <w:highlight w:val="none"/>
              </w:rPr>
              <w:t>银行转账，应在投标文件递交截止时间之前到达招标人保证金账户。保证金必须由投标人自有对公账户转出，不允许代缴，不接受银行柜台缴纳现金方式。</w:t>
            </w:r>
          </w:p>
          <w:p>
            <w:pPr>
              <w:spacing w:line="360" w:lineRule="auto"/>
              <w:ind w:firstLine="420" w:firstLineChars="200"/>
              <w:rPr>
                <w:color w:val="auto"/>
                <w:szCs w:val="21"/>
                <w:highlight w:val="none"/>
              </w:rPr>
            </w:pPr>
            <w:r>
              <w:rPr>
                <w:rFonts w:hint="eastAsia"/>
                <w:color w:val="auto"/>
                <w:szCs w:val="21"/>
                <w:highlight w:val="none"/>
              </w:rPr>
              <w:t>投标保证金的</w:t>
            </w:r>
            <w:r>
              <w:rPr>
                <w:color w:val="auto"/>
                <w:szCs w:val="21"/>
                <w:highlight w:val="none"/>
              </w:rPr>
              <w:t>金额：</w:t>
            </w:r>
            <w:r>
              <w:rPr>
                <w:rFonts w:hint="eastAsia"/>
                <w:color w:val="auto"/>
                <w:szCs w:val="21"/>
                <w:highlight w:val="none"/>
              </w:rPr>
              <w:t>￥10000.00元（大写：壹万元整）</w:t>
            </w:r>
          </w:p>
          <w:p>
            <w:pPr>
              <w:tabs>
                <w:tab w:val="left" w:pos="360"/>
              </w:tabs>
              <w:spacing w:line="360" w:lineRule="auto"/>
              <w:ind w:firstLine="420"/>
              <w:rPr>
                <w:color w:val="auto"/>
                <w:szCs w:val="21"/>
                <w:highlight w:val="none"/>
              </w:rPr>
            </w:pPr>
            <w:r>
              <w:rPr>
                <w:rFonts w:hint="eastAsia"/>
                <w:color w:val="auto"/>
                <w:szCs w:val="21"/>
                <w:highlight w:val="none"/>
              </w:rPr>
              <w:t xml:space="preserve">招标人账户： </w:t>
            </w:r>
          </w:p>
          <w:p>
            <w:pPr>
              <w:spacing w:line="360" w:lineRule="auto"/>
              <w:ind w:left="399" w:leftChars="190"/>
              <w:rPr>
                <w:color w:val="auto"/>
                <w:szCs w:val="21"/>
                <w:highlight w:val="none"/>
              </w:rPr>
            </w:pPr>
            <w:r>
              <w:rPr>
                <w:rFonts w:hint="eastAsia"/>
                <w:color w:val="auto"/>
                <w:szCs w:val="21"/>
                <w:highlight w:val="none"/>
              </w:rPr>
              <w:t xml:space="preserve">单 位：广东省南方传媒发行物流有限公司 </w:t>
            </w:r>
          </w:p>
          <w:p>
            <w:pPr>
              <w:tabs>
                <w:tab w:val="left" w:pos="360"/>
              </w:tabs>
              <w:spacing w:line="360" w:lineRule="auto"/>
              <w:ind w:firstLine="420"/>
              <w:rPr>
                <w:color w:val="auto"/>
                <w:szCs w:val="21"/>
                <w:highlight w:val="none"/>
              </w:rPr>
            </w:pPr>
            <w:r>
              <w:rPr>
                <w:rFonts w:hint="eastAsia"/>
                <w:color w:val="auto"/>
                <w:szCs w:val="21"/>
                <w:highlight w:val="none"/>
              </w:rPr>
              <w:t xml:space="preserve">开 户 行：中国农业银行广州五羊新城支行 </w:t>
            </w:r>
          </w:p>
          <w:p>
            <w:pPr>
              <w:tabs>
                <w:tab w:val="left" w:pos="360"/>
              </w:tabs>
              <w:spacing w:line="360" w:lineRule="auto"/>
              <w:ind w:firstLine="420"/>
              <w:rPr>
                <w:color w:val="auto"/>
                <w:highlight w:val="none"/>
              </w:rPr>
            </w:pPr>
            <w:r>
              <w:rPr>
                <w:rFonts w:hint="eastAsia"/>
                <w:color w:val="auto"/>
                <w:szCs w:val="21"/>
                <w:highlight w:val="none"/>
              </w:rPr>
              <w:t>账 号：44030401040003075</w:t>
            </w:r>
          </w:p>
          <w:p>
            <w:pPr>
              <w:pStyle w:val="2"/>
              <w:spacing w:after="0" w:line="360" w:lineRule="auto"/>
              <w:ind w:firstLineChars="200"/>
              <w:rPr>
                <w:color w:val="auto"/>
                <w:szCs w:val="21"/>
                <w:highlight w:val="none"/>
              </w:rPr>
            </w:pPr>
            <w:r>
              <w:rPr>
                <w:rFonts w:hint="eastAsia"/>
                <w:color w:val="auto"/>
                <w:szCs w:val="21"/>
                <w:highlight w:val="none"/>
              </w:rPr>
              <w:t>投标人汇投标保证金时，需在填写汇款备注栏时添加 “项目编号ZB20</w:t>
            </w:r>
            <w:r>
              <w:rPr>
                <w:rFonts w:hint="eastAsia"/>
                <w:color w:val="auto"/>
                <w:szCs w:val="21"/>
                <w:highlight w:val="none"/>
                <w:lang w:val="en-US" w:eastAsia="zh-CN"/>
              </w:rPr>
              <w:t>2405</w:t>
            </w:r>
            <w:r>
              <w:rPr>
                <w:rFonts w:hint="eastAsia"/>
                <w:color w:val="auto"/>
                <w:szCs w:val="21"/>
                <w:highlight w:val="none"/>
              </w:rPr>
              <w:t>+投标保证金”。</w:t>
            </w:r>
            <w:r>
              <w:rPr>
                <w:rStyle w:val="65"/>
                <w:rFonts w:hint="eastAsia"/>
                <w:color w:val="auto"/>
                <w:szCs w:val="21"/>
                <w:highlight w:val="none"/>
              </w:rPr>
              <w:t> </w:t>
            </w:r>
          </w:p>
        </w:tc>
      </w:tr>
      <w:tr>
        <w:tblPrEx>
          <w:tblCellMar>
            <w:top w:w="0" w:type="dxa"/>
            <w:left w:w="108" w:type="dxa"/>
            <w:bottom w:w="0" w:type="dxa"/>
            <w:right w:w="108" w:type="dxa"/>
          </w:tblCellMar>
        </w:tblPrEx>
        <w:trPr>
          <w:trHeight w:val="883"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资格审查资料的特殊要求</w:t>
            </w:r>
          </w:p>
        </w:tc>
        <w:tc>
          <w:tcPr>
            <w:tcW w:w="592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hAnsi="宋体" w:cs="宋体"/>
                <w:color w:val="auto"/>
                <w:kern w:val="0"/>
                <w:szCs w:val="21"/>
                <w:highlight w:val="none"/>
              </w:rPr>
            </w:pPr>
            <w:r>
              <w:rPr>
                <w:rFonts w:hAnsi="宋体"/>
                <w:b/>
                <w:color w:val="auto"/>
                <w:highlight w:val="none"/>
              </w:rPr>
              <w:fldChar w:fldCharType="begin"/>
            </w:r>
            <w:r>
              <w:rPr>
                <w:rFonts w:hAnsi="宋体"/>
                <w:b/>
                <w:color w:val="auto"/>
                <w:highlight w:val="none"/>
              </w:rPr>
              <w:instrText xml:space="preserve"> eq \o\ac(□,</w:instrText>
            </w:r>
            <w:r>
              <w:rPr>
                <w:rFonts w:hint="eastAsia" w:hAnsi="宋体"/>
                <w:b/>
                <w:color w:val="auto"/>
                <w:position w:val="2"/>
                <w:highlight w:val="none"/>
              </w:rPr>
              <w:instrText xml:space="preserve">√</w:instrText>
            </w:r>
            <w:r>
              <w:rPr>
                <w:rFonts w:hAnsi="宋体"/>
                <w:b/>
                <w:color w:val="auto"/>
                <w:highlight w:val="none"/>
              </w:rPr>
              <w:instrText xml:space="preserve">)</w:instrText>
            </w:r>
            <w:r>
              <w:rPr>
                <w:rFonts w:hAnsi="宋体"/>
                <w:b/>
                <w:color w:val="auto"/>
                <w:highlight w:val="none"/>
              </w:rPr>
              <w:fldChar w:fldCharType="end"/>
            </w:r>
            <w:r>
              <w:rPr>
                <w:rFonts w:ascii="宋体" w:hAnsi="宋体" w:cs="宋体"/>
                <w:color w:val="auto"/>
                <w:kern w:val="0"/>
                <w:szCs w:val="21"/>
                <w:highlight w:val="none"/>
              </w:rPr>
              <w:t>无</w:t>
            </w:r>
          </w:p>
          <w:p>
            <w:pPr>
              <w:pStyle w:val="16"/>
              <w:topLinePunct/>
              <w:spacing w:line="360" w:lineRule="auto"/>
              <w:rPr>
                <w:rFonts w:ascii="Times New Roman"/>
                <w:color w:val="auto"/>
                <w:sz w:val="32"/>
                <w:szCs w:val="32"/>
                <w:highlight w:val="none"/>
              </w:rPr>
            </w:pPr>
            <w:r>
              <w:rPr>
                <w:color w:val="auto"/>
                <w:sz w:val="32"/>
                <w:szCs w:val="32"/>
                <w:highlight w:val="none"/>
              </w:rPr>
              <w:t>□</w:t>
            </w:r>
            <w:r>
              <w:rPr>
                <w:rFonts w:hAnsi="宋体" w:cs="宋体"/>
                <w:color w:val="auto"/>
                <w:kern w:val="0"/>
                <w:sz w:val="21"/>
                <w:szCs w:val="21"/>
                <w:highlight w:val="none"/>
              </w:rPr>
              <w:t>有，具体要求：</w:t>
            </w:r>
          </w:p>
        </w:tc>
      </w:tr>
      <w:tr>
        <w:tblPrEx>
          <w:tblCellMar>
            <w:top w:w="0" w:type="dxa"/>
            <w:left w:w="108" w:type="dxa"/>
            <w:bottom w:w="0" w:type="dxa"/>
            <w:right w:w="108" w:type="dxa"/>
          </w:tblCellMar>
        </w:tblPrEx>
        <w:trPr>
          <w:trHeight w:val="1028" w:hRule="atLeast"/>
        </w:trPr>
        <w:tc>
          <w:tcPr>
            <w:tcW w:w="241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color w:val="auto"/>
                <w:szCs w:val="21"/>
                <w:highlight w:val="none"/>
              </w:rPr>
            </w:pPr>
            <w:r>
              <w:rPr>
                <w:rFonts w:ascii="宋体" w:hAnsi="宋体" w:cs="宋体"/>
                <w:color w:val="auto"/>
                <w:kern w:val="0"/>
                <w:szCs w:val="21"/>
                <w:highlight w:val="none"/>
              </w:rPr>
              <w:t>是否允许递交备选投标方案</w:t>
            </w:r>
          </w:p>
        </w:tc>
        <w:tc>
          <w:tcPr>
            <w:tcW w:w="592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rPr>
                <w:color w:val="auto"/>
                <w:kern w:val="0"/>
                <w:szCs w:val="21"/>
                <w:highlight w:val="none"/>
              </w:rPr>
            </w:pPr>
            <w:r>
              <w:rPr>
                <w:rFonts w:hAnsi="宋体"/>
                <w:b/>
                <w:color w:val="auto"/>
                <w:highlight w:val="none"/>
              </w:rPr>
              <w:fldChar w:fldCharType="begin"/>
            </w:r>
            <w:r>
              <w:rPr>
                <w:rFonts w:hAnsi="宋体"/>
                <w:b/>
                <w:color w:val="auto"/>
                <w:highlight w:val="none"/>
              </w:rPr>
              <w:instrText xml:space="preserve"> eq \o\ac(□,</w:instrText>
            </w:r>
            <w:r>
              <w:rPr>
                <w:rFonts w:hint="eastAsia" w:hAnsi="宋体"/>
                <w:b/>
                <w:color w:val="auto"/>
                <w:position w:val="2"/>
                <w:highlight w:val="none"/>
              </w:rPr>
              <w:instrText xml:space="preserve">√</w:instrText>
            </w:r>
            <w:r>
              <w:rPr>
                <w:rFonts w:hAnsi="宋体"/>
                <w:b/>
                <w:color w:val="auto"/>
                <w:highlight w:val="none"/>
              </w:rPr>
              <w:instrText xml:space="preserve">)</w:instrText>
            </w:r>
            <w:r>
              <w:rPr>
                <w:rFonts w:hAnsi="宋体"/>
                <w:b/>
                <w:color w:val="auto"/>
                <w:highlight w:val="none"/>
              </w:rPr>
              <w:fldChar w:fldCharType="end"/>
            </w:r>
            <w:r>
              <w:rPr>
                <w:color w:val="auto"/>
                <w:kern w:val="0"/>
                <w:szCs w:val="21"/>
                <w:highlight w:val="none"/>
              </w:rPr>
              <w:t>不允许</w:t>
            </w:r>
          </w:p>
          <w:p>
            <w:pPr>
              <w:autoSpaceDE w:val="0"/>
              <w:autoSpaceDN w:val="0"/>
              <w:adjustRightInd w:val="0"/>
              <w:spacing w:line="360" w:lineRule="auto"/>
              <w:jc w:val="left"/>
              <w:rPr>
                <w:color w:val="auto"/>
                <w:kern w:val="0"/>
                <w:szCs w:val="21"/>
                <w:highlight w:val="none"/>
              </w:rPr>
            </w:pPr>
            <w:r>
              <w:rPr>
                <w:color w:val="auto"/>
                <w:sz w:val="32"/>
                <w:szCs w:val="32"/>
                <w:highlight w:val="none"/>
              </w:rPr>
              <w:t>□</w:t>
            </w:r>
            <w:r>
              <w:rPr>
                <w:rFonts w:hint="eastAsia"/>
                <w:color w:val="auto"/>
                <w:kern w:val="0"/>
                <w:szCs w:val="21"/>
                <w:highlight w:val="none"/>
              </w:rPr>
              <w:t>允许</w:t>
            </w:r>
          </w:p>
        </w:tc>
      </w:tr>
      <w:tr>
        <w:tblPrEx>
          <w:tblCellMar>
            <w:top w:w="0" w:type="dxa"/>
            <w:left w:w="108" w:type="dxa"/>
            <w:bottom w:w="0" w:type="dxa"/>
            <w:right w:w="108" w:type="dxa"/>
          </w:tblCellMar>
        </w:tblPrEx>
        <w:trPr>
          <w:trHeight w:val="883"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投标文件数量</w:t>
            </w:r>
          </w:p>
        </w:tc>
        <w:tc>
          <w:tcPr>
            <w:tcW w:w="5928" w:type="dxa"/>
            <w:tcBorders>
              <w:top w:val="single" w:color="auto" w:sz="4" w:space="0"/>
              <w:left w:val="single" w:color="auto" w:sz="4" w:space="0"/>
              <w:bottom w:val="single" w:color="auto" w:sz="4" w:space="0"/>
              <w:right w:val="single" w:color="auto" w:sz="4" w:space="0"/>
            </w:tcBorders>
            <w:vAlign w:val="center"/>
          </w:tcPr>
          <w:p>
            <w:pPr>
              <w:pStyle w:val="16"/>
              <w:topLinePunct/>
              <w:spacing w:line="360" w:lineRule="auto"/>
              <w:rPr>
                <w:rFonts w:ascii="Times New Roman"/>
                <w:color w:val="auto"/>
                <w:sz w:val="21"/>
                <w:szCs w:val="21"/>
                <w:highlight w:val="none"/>
              </w:rPr>
            </w:pPr>
            <w:r>
              <w:rPr>
                <w:rFonts w:hint="eastAsia" w:ascii="Times New Roman"/>
                <w:color w:val="auto"/>
                <w:sz w:val="21"/>
                <w:szCs w:val="21"/>
                <w:highlight w:val="none"/>
              </w:rPr>
              <w:t>投标文件正本一份, 副本一份，电子文档一份（电子版报价文件以U盘随附拷贝给招标人）。正本和副本的封面上应清楚地标记“正本”或“副本”的字样。当副本和正本不一致时，以正本为准。</w:t>
            </w:r>
          </w:p>
        </w:tc>
      </w:tr>
      <w:tr>
        <w:tblPrEx>
          <w:tblCellMar>
            <w:top w:w="0" w:type="dxa"/>
            <w:left w:w="108" w:type="dxa"/>
            <w:bottom w:w="0" w:type="dxa"/>
            <w:right w:w="108" w:type="dxa"/>
          </w:tblCellMar>
        </w:tblPrEx>
        <w:trPr>
          <w:trHeight w:val="1548"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auto"/>
                <w:szCs w:val="21"/>
                <w:highlight w:val="none"/>
              </w:rPr>
            </w:pPr>
            <w:r>
              <w:rPr>
                <w:rFonts w:ascii="宋体" w:hAnsi="宋体"/>
                <w:color w:val="auto"/>
                <w:szCs w:val="21"/>
                <w:highlight w:val="none"/>
              </w:rPr>
              <w:t>装订要求</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auto"/>
                <w:highlight w:val="none"/>
              </w:rPr>
            </w:pPr>
            <w:r>
              <w:rPr>
                <w:rFonts w:hint="eastAsia" w:ascii="宋体" w:hAnsi="宋体"/>
                <w:color w:val="auto"/>
                <w:highlight w:val="none"/>
              </w:rPr>
              <w:t>统一A4印刷本(纸张大小超过A4纸的折叠成A4纸的规格)，纸质封面，使用书式装订，不得用活页装订。投标文件正本副本、电子文件（如有）一起包封为一包。</w:t>
            </w:r>
          </w:p>
        </w:tc>
      </w:tr>
      <w:tr>
        <w:tblPrEx>
          <w:tblCellMar>
            <w:top w:w="0" w:type="dxa"/>
            <w:left w:w="108" w:type="dxa"/>
            <w:bottom w:w="0" w:type="dxa"/>
            <w:right w:w="108" w:type="dxa"/>
          </w:tblCellMar>
        </w:tblPrEx>
        <w:trPr>
          <w:trHeight w:val="2192"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封套上</w:t>
            </w:r>
            <w:r>
              <w:rPr>
                <w:rFonts w:hint="eastAsia"/>
                <w:color w:val="auto"/>
                <w:szCs w:val="21"/>
                <w:highlight w:val="none"/>
              </w:rPr>
              <w:t>应载明的信息</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color w:val="auto"/>
                <w:szCs w:val="21"/>
                <w:highlight w:val="none"/>
              </w:rPr>
              <w:t>招标人名称：</w:t>
            </w:r>
          </w:p>
          <w:p>
            <w:pPr>
              <w:spacing w:line="360" w:lineRule="auto"/>
              <w:rPr>
                <w:color w:val="auto"/>
                <w:highlight w:val="none"/>
              </w:rPr>
            </w:pPr>
            <w:r>
              <w:rPr>
                <w:color w:val="auto"/>
                <w:highlight w:val="none"/>
              </w:rPr>
              <w:t>项目名称</w:t>
            </w:r>
            <w:r>
              <w:rPr>
                <w:rFonts w:hint="eastAsia"/>
                <w:color w:val="auto"/>
                <w:highlight w:val="none"/>
              </w:rPr>
              <w:t>（</w:t>
            </w:r>
            <w:r>
              <w:rPr>
                <w:color w:val="auto"/>
                <w:highlight w:val="none"/>
              </w:rPr>
              <w:t>投标文件</w:t>
            </w:r>
            <w:r>
              <w:rPr>
                <w:rFonts w:hint="eastAsia"/>
                <w:color w:val="auto"/>
                <w:highlight w:val="none"/>
              </w:rPr>
              <w:t xml:space="preserve">）：     </w:t>
            </w:r>
          </w:p>
          <w:p>
            <w:pPr>
              <w:spacing w:line="360" w:lineRule="auto"/>
              <w:rPr>
                <w:color w:val="auto"/>
                <w:highlight w:val="none"/>
              </w:rPr>
            </w:pPr>
            <w:r>
              <w:rPr>
                <w:rFonts w:hint="eastAsia"/>
                <w:color w:val="auto"/>
                <w:highlight w:val="none"/>
              </w:rPr>
              <w:t>项目编号：</w:t>
            </w:r>
          </w:p>
          <w:p>
            <w:pPr>
              <w:pStyle w:val="2"/>
              <w:spacing w:after="0" w:line="360" w:lineRule="auto"/>
              <w:ind w:firstLine="0" w:firstLineChars="0"/>
              <w:rPr>
                <w:rFonts w:ascii="宋体" w:hAnsi="宋体"/>
                <w:color w:val="auto"/>
                <w:highlight w:val="none"/>
              </w:rPr>
            </w:pPr>
            <w:r>
              <w:rPr>
                <w:rFonts w:hint="eastAsia" w:ascii="宋体" w:hAnsi="宋体"/>
                <w:color w:val="auto"/>
                <w:highlight w:val="none"/>
              </w:rPr>
              <w:t>投标人名称：</w:t>
            </w:r>
          </w:p>
          <w:p>
            <w:pPr>
              <w:spacing w:line="360" w:lineRule="auto"/>
              <w:rPr>
                <w:color w:val="auto"/>
                <w:szCs w:val="21"/>
                <w:highlight w:val="none"/>
              </w:rPr>
            </w:pPr>
            <w:r>
              <w:rPr>
                <w:rFonts w:hint="eastAsia"/>
                <w:color w:val="auto"/>
                <w:highlight w:val="none"/>
              </w:rPr>
              <w:t>投标人地址：</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递交投标文件地点</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ascii="宋体" w:hAnsi="宋体" w:cs="宋体"/>
                <w:color w:val="auto"/>
                <w:szCs w:val="21"/>
                <w:highlight w:val="none"/>
                <w:u w:val="none"/>
              </w:rPr>
              <w:t>广州市黄埔区黄埔大道东888号南方智媒大厦南塔20楼</w:t>
            </w:r>
          </w:p>
        </w:tc>
      </w:tr>
      <w:tr>
        <w:tblPrEx>
          <w:tblCellMar>
            <w:top w:w="0" w:type="dxa"/>
            <w:left w:w="108" w:type="dxa"/>
            <w:bottom w:w="0" w:type="dxa"/>
            <w:right w:w="108" w:type="dxa"/>
          </w:tblCellMar>
        </w:tblPrEx>
        <w:trPr>
          <w:trHeight w:val="1173"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是否退还投标文件</w:t>
            </w:r>
          </w:p>
        </w:tc>
        <w:tc>
          <w:tcPr>
            <w:tcW w:w="5928" w:type="dxa"/>
            <w:tcBorders>
              <w:top w:val="single" w:color="auto" w:sz="4" w:space="0"/>
              <w:left w:val="single" w:color="auto" w:sz="4" w:space="0"/>
              <w:bottom w:val="single" w:color="auto" w:sz="4" w:space="0"/>
              <w:right w:val="single" w:color="auto" w:sz="4" w:space="0"/>
            </w:tcBorders>
            <w:vAlign w:val="center"/>
          </w:tcPr>
          <w:p>
            <w:pPr>
              <w:pStyle w:val="16"/>
              <w:topLinePunct/>
              <w:spacing w:line="360" w:lineRule="auto"/>
              <w:rPr>
                <w:rFonts w:ascii="Times New Roman"/>
                <w:color w:val="auto"/>
                <w:sz w:val="21"/>
                <w:szCs w:val="21"/>
                <w:highlight w:val="none"/>
              </w:rPr>
            </w:pPr>
            <w:r>
              <w:rPr>
                <w:rFonts w:hAnsi="宋体"/>
                <w:b/>
                <w:color w:val="auto"/>
                <w:highlight w:val="none"/>
              </w:rPr>
              <w:fldChar w:fldCharType="begin"/>
            </w:r>
            <w:r>
              <w:rPr>
                <w:rFonts w:hAnsi="宋体"/>
                <w:b/>
                <w:color w:val="auto"/>
                <w:highlight w:val="none"/>
              </w:rPr>
              <w:instrText xml:space="preserve"> eq \o\ac(□,</w:instrText>
            </w:r>
            <w:r>
              <w:rPr>
                <w:rFonts w:hint="eastAsia" w:hAnsi="宋体"/>
                <w:b/>
                <w:color w:val="auto"/>
                <w:position w:val="2"/>
                <w:highlight w:val="none"/>
              </w:rPr>
              <w:instrText xml:space="preserve">√</w:instrText>
            </w:r>
            <w:r>
              <w:rPr>
                <w:rFonts w:hAnsi="宋体"/>
                <w:b/>
                <w:color w:val="auto"/>
                <w:highlight w:val="none"/>
              </w:rPr>
              <w:instrText xml:space="preserve">)</w:instrText>
            </w:r>
            <w:r>
              <w:rPr>
                <w:rFonts w:hAnsi="宋体"/>
                <w:b/>
                <w:color w:val="auto"/>
                <w:highlight w:val="none"/>
              </w:rPr>
              <w:fldChar w:fldCharType="end"/>
            </w:r>
            <w:r>
              <w:rPr>
                <w:rFonts w:hint="eastAsia" w:ascii="Times New Roman"/>
                <w:color w:val="auto"/>
                <w:sz w:val="21"/>
                <w:szCs w:val="21"/>
                <w:highlight w:val="none"/>
              </w:rPr>
              <w:t>否</w:t>
            </w:r>
          </w:p>
          <w:p>
            <w:pPr>
              <w:spacing w:line="360" w:lineRule="auto"/>
              <w:rPr>
                <w:color w:val="auto"/>
                <w:szCs w:val="21"/>
                <w:highlight w:val="none"/>
              </w:rPr>
            </w:pPr>
            <w:r>
              <w:rPr>
                <w:color w:val="auto"/>
                <w:sz w:val="32"/>
                <w:szCs w:val="32"/>
                <w:highlight w:val="none"/>
              </w:rPr>
              <w:t>□</w:t>
            </w:r>
            <w:r>
              <w:rPr>
                <w:rFonts w:hint="eastAsia"/>
                <w:color w:val="auto"/>
                <w:szCs w:val="21"/>
                <w:highlight w:val="none"/>
              </w:rPr>
              <w:t>是</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imes New Roman" w:hAnsi="Times New Roman" w:eastAsia="宋体" w:cs="Times New Roman"/>
                <w:color w:val="000000" w:themeColor="text1"/>
                <w:kern w:val="2"/>
                <w:sz w:val="21"/>
                <w:szCs w:val="21"/>
                <w:highlight w:val="none"/>
                <w:lang w:val="zh-CN" w:eastAsia="zh-CN" w:bidi="ar-SA"/>
              </w:rPr>
            </w:pPr>
            <w:r>
              <w:rPr>
                <w:rFonts w:hint="eastAsia"/>
                <w:color w:val="000000" w:themeColor="text1"/>
                <w:szCs w:val="21"/>
                <w:highlight w:val="none"/>
              </w:rPr>
              <w:t>开标时间和地点</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000000" w:themeColor="text1"/>
                <w:szCs w:val="21"/>
                <w:highlight w:val="none"/>
              </w:rPr>
            </w:pPr>
            <w:r>
              <w:rPr>
                <w:color w:val="000000" w:themeColor="text1"/>
                <w:szCs w:val="21"/>
                <w:highlight w:val="none"/>
              </w:rPr>
              <w:t>开标时间</w:t>
            </w:r>
            <w:r>
              <w:rPr>
                <w:rFonts w:hint="eastAsia"/>
                <w:color w:val="000000" w:themeColor="text1"/>
                <w:szCs w:val="21"/>
                <w:highlight w:val="none"/>
              </w:rPr>
              <w:t>：20</w:t>
            </w:r>
            <w:r>
              <w:rPr>
                <w:rFonts w:hint="eastAsia"/>
                <w:color w:val="000000" w:themeColor="text1"/>
                <w:szCs w:val="21"/>
                <w:highlight w:val="none"/>
                <w:lang w:val="en-US" w:eastAsia="zh-CN"/>
              </w:rPr>
              <w:t>24</w:t>
            </w:r>
            <w:r>
              <w:rPr>
                <w:rFonts w:hint="eastAsia"/>
                <w:color w:val="000000" w:themeColor="text1"/>
                <w:szCs w:val="21"/>
                <w:highlight w:val="none"/>
              </w:rPr>
              <w:t>年</w:t>
            </w:r>
            <w:r>
              <w:rPr>
                <w:rFonts w:hint="eastAsia"/>
                <w:color w:val="000000" w:themeColor="text1"/>
                <w:szCs w:val="21"/>
                <w:highlight w:val="none"/>
                <w:lang w:val="en-US" w:eastAsia="zh-CN"/>
              </w:rPr>
              <w:t>5</w:t>
            </w:r>
            <w:r>
              <w:rPr>
                <w:rFonts w:hint="eastAsia"/>
                <w:color w:val="000000" w:themeColor="text1"/>
                <w:szCs w:val="21"/>
                <w:highlight w:val="none"/>
              </w:rPr>
              <w:t>月</w:t>
            </w:r>
            <w:r>
              <w:rPr>
                <w:rFonts w:hint="eastAsia"/>
                <w:color w:val="000000" w:themeColor="text1"/>
                <w:szCs w:val="21"/>
                <w:highlight w:val="none"/>
                <w:lang w:val="en-US" w:eastAsia="zh-CN"/>
              </w:rPr>
              <w:t>20</w:t>
            </w:r>
            <w:r>
              <w:rPr>
                <w:rFonts w:hint="eastAsia"/>
                <w:color w:val="000000" w:themeColor="text1"/>
                <w:szCs w:val="21"/>
                <w:highlight w:val="none"/>
              </w:rPr>
              <w:t>日1</w:t>
            </w:r>
            <w:r>
              <w:rPr>
                <w:rFonts w:hint="eastAsia"/>
                <w:color w:val="000000" w:themeColor="text1"/>
                <w:szCs w:val="21"/>
                <w:highlight w:val="none"/>
                <w:lang w:val="en-US" w:eastAsia="zh-CN"/>
              </w:rPr>
              <w:t>4</w:t>
            </w:r>
            <w:r>
              <w:rPr>
                <w:rFonts w:hint="eastAsia"/>
                <w:color w:val="000000" w:themeColor="text1"/>
                <w:szCs w:val="21"/>
                <w:highlight w:val="none"/>
              </w:rPr>
              <w:t>时</w:t>
            </w:r>
          </w:p>
          <w:p>
            <w:pPr>
              <w:spacing w:line="360" w:lineRule="auto"/>
              <w:rPr>
                <w:rFonts w:hint="eastAsia" w:ascii="Times New Roman" w:hAnsi="Times New Roman" w:eastAsia="宋体" w:cs="Times New Roman"/>
                <w:color w:val="000000" w:themeColor="text1"/>
                <w:kern w:val="2"/>
                <w:sz w:val="21"/>
                <w:szCs w:val="21"/>
                <w:highlight w:val="none"/>
                <w:lang w:val="en-US" w:eastAsia="zh-CN" w:bidi="ar-SA"/>
              </w:rPr>
            </w:pPr>
            <w:r>
              <w:rPr>
                <w:rFonts w:hint="eastAsia"/>
                <w:color w:val="000000" w:themeColor="text1"/>
                <w:szCs w:val="21"/>
                <w:highlight w:val="none"/>
              </w:rPr>
              <w:t>开标</w:t>
            </w:r>
            <w:r>
              <w:rPr>
                <w:color w:val="000000" w:themeColor="text1"/>
                <w:szCs w:val="21"/>
                <w:highlight w:val="none"/>
              </w:rPr>
              <w:t>地点</w:t>
            </w:r>
            <w:r>
              <w:rPr>
                <w:rFonts w:hint="eastAsia"/>
                <w:color w:val="000000" w:themeColor="text1"/>
                <w:szCs w:val="21"/>
                <w:highlight w:val="none"/>
              </w:rPr>
              <w:t>：</w:t>
            </w:r>
            <w:r>
              <w:rPr>
                <w:rFonts w:hint="eastAsia" w:ascii="宋体" w:hAnsi="宋体" w:cs="宋体"/>
                <w:color w:val="auto"/>
                <w:szCs w:val="21"/>
                <w:highlight w:val="none"/>
                <w:u w:val="none"/>
              </w:rPr>
              <w:t>广州市黄埔区黄埔大道东888号南方智媒大厦南塔20楼</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Times New Roman" w:hAnsi="Times New Roman" w:eastAsia="宋体" w:cs="Times New Roman"/>
                <w:color w:val="000000" w:themeColor="text1"/>
                <w:kern w:val="2"/>
                <w:sz w:val="21"/>
                <w:szCs w:val="21"/>
                <w:highlight w:val="none"/>
                <w:lang w:val="zh-CN" w:eastAsia="zh-CN" w:bidi="ar-SA"/>
              </w:rPr>
            </w:pPr>
            <w:r>
              <w:rPr>
                <w:rFonts w:hint="eastAsia"/>
                <w:color w:val="000000" w:themeColor="text1"/>
                <w:szCs w:val="21"/>
                <w:highlight w:val="none"/>
              </w:rPr>
              <w:t>现场述标</w:t>
            </w:r>
          </w:p>
        </w:tc>
        <w:tc>
          <w:tcPr>
            <w:tcW w:w="592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left"/>
              <w:rPr>
                <w:color w:val="000000" w:themeColor="text1"/>
                <w:szCs w:val="21"/>
                <w:highlight w:val="none"/>
              </w:rPr>
            </w:pPr>
            <w:r>
              <w:rPr>
                <w:rFonts w:hint="eastAsia"/>
                <w:color w:val="000000" w:themeColor="text1"/>
                <w:szCs w:val="21"/>
                <w:highlight w:val="none"/>
              </w:rPr>
              <w:fldChar w:fldCharType="begin"/>
            </w:r>
            <w:r>
              <w:rPr>
                <w:rFonts w:hint="eastAsia"/>
                <w:color w:val="000000" w:themeColor="text1"/>
                <w:szCs w:val="21"/>
                <w:highlight w:val="none"/>
              </w:rPr>
              <w:instrText xml:space="preserve"> eq \o\ac(□,√,√)</w:instrText>
            </w:r>
            <w:r>
              <w:rPr>
                <w:rFonts w:hint="eastAsia"/>
                <w:color w:val="000000" w:themeColor="text1"/>
                <w:szCs w:val="21"/>
                <w:highlight w:val="none"/>
              </w:rPr>
              <w:fldChar w:fldCharType="end"/>
            </w:r>
            <w:r>
              <w:rPr>
                <w:rFonts w:hint="eastAsia"/>
                <w:color w:val="000000" w:themeColor="text1"/>
                <w:szCs w:val="21"/>
                <w:highlight w:val="none"/>
              </w:rPr>
              <w:t>不</w:t>
            </w:r>
            <w:r>
              <w:rPr>
                <w:rFonts w:hint="eastAsia"/>
                <w:color w:val="000000" w:themeColor="text1"/>
                <w:kern w:val="0"/>
                <w:szCs w:val="21"/>
                <w:highlight w:val="none"/>
              </w:rPr>
              <w:t>述标</w:t>
            </w:r>
          </w:p>
          <w:p>
            <w:pPr>
              <w:spacing w:line="360" w:lineRule="auto"/>
              <w:jc w:val="left"/>
              <w:rPr>
                <w:rFonts w:hint="eastAsia" w:ascii="Times New Roman" w:hAnsi="Times New Roman" w:eastAsia="宋体" w:cs="Times New Roman"/>
                <w:color w:val="000000" w:themeColor="text1"/>
                <w:kern w:val="2"/>
                <w:sz w:val="21"/>
                <w:szCs w:val="21"/>
                <w:highlight w:val="none"/>
                <w:lang w:val="en-US" w:eastAsia="zh-CN" w:bidi="ar-SA"/>
              </w:rPr>
            </w:pPr>
            <w:r>
              <w:rPr>
                <w:color w:val="000000" w:themeColor="text1"/>
                <w:sz w:val="32"/>
                <w:szCs w:val="32"/>
                <w:highlight w:val="none"/>
              </w:rPr>
              <w:t>□</w:t>
            </w:r>
            <w:r>
              <w:rPr>
                <w:rFonts w:hint="eastAsia"/>
                <w:color w:val="000000" w:themeColor="text1"/>
                <w:szCs w:val="21"/>
                <w:highlight w:val="none"/>
              </w:rPr>
              <w:t>述标，述标时间：由招标人电话通知。</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ascii="宋体" w:cs="宋体"/>
                <w:color w:val="auto"/>
                <w:kern w:val="0"/>
                <w:szCs w:val="21"/>
                <w:highlight w:val="none"/>
                <w:lang w:val="zh-CN"/>
              </w:rPr>
              <w:t>评标委员会组成</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color w:val="auto"/>
                <w:szCs w:val="21"/>
                <w:highlight w:val="none"/>
              </w:rPr>
              <w:t>由招标人自行组建评标委员会</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ascii="宋体" w:cs="宋体"/>
                <w:color w:val="auto"/>
                <w:kern w:val="0"/>
                <w:szCs w:val="21"/>
                <w:highlight w:val="none"/>
                <w:lang w:val="zh-CN"/>
              </w:rPr>
              <w:t>资格审查方式</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color w:val="auto"/>
                <w:szCs w:val="21"/>
                <w:highlight w:val="none"/>
              </w:rPr>
              <w:t>资格后审</w:t>
            </w:r>
          </w:p>
        </w:tc>
      </w:tr>
      <w:tr>
        <w:tblPrEx>
          <w:tblCellMar>
            <w:top w:w="0" w:type="dxa"/>
            <w:left w:w="108" w:type="dxa"/>
            <w:bottom w:w="0" w:type="dxa"/>
            <w:right w:w="108" w:type="dxa"/>
          </w:tblCellMar>
        </w:tblPrEx>
        <w:trPr>
          <w:trHeight w:val="446"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评标办法</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color w:val="auto"/>
                <w:szCs w:val="21"/>
                <w:highlight w:val="none"/>
              </w:rPr>
              <w:t>综合评估法，推荐1名中标候选人</w:t>
            </w:r>
          </w:p>
        </w:tc>
      </w:tr>
      <w:tr>
        <w:tblPrEx>
          <w:tblCellMar>
            <w:top w:w="0" w:type="dxa"/>
            <w:left w:w="108" w:type="dxa"/>
            <w:bottom w:w="0" w:type="dxa"/>
            <w:right w:w="108" w:type="dxa"/>
          </w:tblCellMar>
        </w:tblPrEx>
        <w:trPr>
          <w:trHeight w:val="590" w:hRule="atLeast"/>
        </w:trPr>
        <w:tc>
          <w:tcPr>
            <w:tcW w:w="241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中标候选人公示媒介</w:t>
            </w:r>
          </w:p>
        </w:tc>
        <w:tc>
          <w:tcPr>
            <w:tcW w:w="5928"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 w:val="32"/>
                <w:szCs w:val="32"/>
                <w:highlight w:val="none"/>
              </w:rPr>
            </w:pPr>
            <w:r>
              <w:rPr>
                <w:rFonts w:ascii="宋体" w:hAnsi="宋体" w:cs="宋体"/>
                <w:color w:val="auto"/>
                <w:kern w:val="0"/>
                <w:szCs w:val="21"/>
                <w:highlight w:val="none"/>
              </w:rPr>
              <w:t>https://zbtb.southcn.com/node_9381c01914</w:t>
            </w:r>
          </w:p>
        </w:tc>
      </w:tr>
    </w:tbl>
    <w:p>
      <w:pPr>
        <w:pStyle w:val="6"/>
        <w:spacing w:line="360" w:lineRule="auto"/>
        <w:rPr>
          <w:color w:val="auto"/>
          <w:highlight w:val="none"/>
        </w:rPr>
      </w:pPr>
      <w:bookmarkStart w:id="414" w:name="_Toc15974"/>
      <w:bookmarkStart w:id="415" w:name="_Toc883"/>
      <w:bookmarkStart w:id="416" w:name="_Toc14722"/>
      <w:bookmarkStart w:id="417" w:name="_Toc6400"/>
      <w:bookmarkStart w:id="418" w:name="_Toc436215723"/>
      <w:bookmarkStart w:id="419" w:name="_Toc152042305"/>
      <w:bookmarkStart w:id="420" w:name="_Toc30772"/>
      <w:bookmarkStart w:id="421" w:name="_Toc246996175"/>
      <w:bookmarkStart w:id="422" w:name="_Toc9853"/>
      <w:bookmarkStart w:id="423" w:name="_Toc15675"/>
      <w:bookmarkStart w:id="424" w:name="_Toc8755"/>
      <w:bookmarkStart w:id="425" w:name="_Toc8941"/>
      <w:bookmarkStart w:id="426" w:name="_Toc435178366"/>
      <w:bookmarkStart w:id="427" w:name="_Toc13659"/>
      <w:bookmarkStart w:id="428" w:name="_Toc12951"/>
      <w:bookmarkStart w:id="429" w:name="_Toc14688"/>
      <w:bookmarkStart w:id="430" w:name="_Toc5049"/>
      <w:bookmarkStart w:id="431" w:name="_Toc25467"/>
      <w:bookmarkStart w:id="432" w:name="_Toc247085689"/>
      <w:bookmarkStart w:id="433" w:name="_Toc9077"/>
      <w:bookmarkStart w:id="434" w:name="_Toc12345"/>
      <w:bookmarkStart w:id="435" w:name="_Toc246996918"/>
      <w:bookmarkStart w:id="436" w:name="_Toc17700"/>
      <w:bookmarkStart w:id="437" w:name="_Toc10044"/>
      <w:bookmarkStart w:id="438" w:name="_Toc7677"/>
      <w:bookmarkStart w:id="439" w:name="_Toc27682"/>
      <w:bookmarkStart w:id="440" w:name="_Toc19977"/>
      <w:bookmarkStart w:id="441" w:name="_Toc152045529"/>
      <w:bookmarkStart w:id="442" w:name="_Toc19791"/>
      <w:bookmarkStart w:id="443" w:name="_Toc496601933"/>
      <w:bookmarkStart w:id="444" w:name="_Toc30600"/>
      <w:bookmarkStart w:id="445" w:name="_Toc144974497"/>
      <w:bookmarkStart w:id="446" w:name="_Toc4264"/>
      <w:bookmarkStart w:id="447" w:name="_Toc26238"/>
      <w:bookmarkStart w:id="448" w:name="_Toc179632546"/>
      <w:r>
        <w:rPr>
          <w:rFonts w:hint="eastAsia"/>
          <w:color w:val="auto"/>
          <w:highlight w:val="none"/>
        </w:rPr>
        <w:t>1. 总则</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pPr>
        <w:pStyle w:val="7"/>
        <w:rPr>
          <w:color w:val="auto"/>
          <w:highlight w:val="none"/>
        </w:rPr>
      </w:pPr>
      <w:bookmarkStart w:id="449" w:name="_Toc435178367"/>
      <w:bookmarkStart w:id="450" w:name="_Toc247085690"/>
      <w:bookmarkStart w:id="451" w:name="_Toc15911"/>
      <w:bookmarkStart w:id="452" w:name="_Toc179632547"/>
      <w:bookmarkStart w:id="453" w:name="_Toc246996919"/>
      <w:bookmarkStart w:id="454" w:name="_Toc436215724"/>
      <w:bookmarkStart w:id="455" w:name="_Toc18608"/>
      <w:bookmarkStart w:id="456" w:name="_Toc5804"/>
      <w:bookmarkStart w:id="457" w:name="_Toc3610"/>
      <w:bookmarkStart w:id="458" w:name="_Toc27025"/>
      <w:bookmarkStart w:id="459" w:name="_Toc11611"/>
      <w:bookmarkStart w:id="460" w:name="_Toc496601934"/>
      <w:bookmarkStart w:id="461" w:name="_Toc19537"/>
      <w:bookmarkStart w:id="462" w:name="_Toc26504"/>
      <w:bookmarkStart w:id="463" w:name="_Toc24665"/>
      <w:bookmarkStart w:id="464" w:name="_Toc14050"/>
      <w:bookmarkStart w:id="465" w:name="_Toc152042306"/>
      <w:bookmarkStart w:id="466" w:name="_Toc250"/>
      <w:bookmarkStart w:id="467" w:name="_Toc29516"/>
      <w:bookmarkStart w:id="468" w:name="_Toc28470"/>
      <w:bookmarkStart w:id="469" w:name="_Toc96"/>
      <w:bookmarkStart w:id="470" w:name="_Toc11544"/>
      <w:bookmarkStart w:id="471" w:name="_Toc23504"/>
      <w:bookmarkStart w:id="472" w:name="_Toc9300"/>
      <w:bookmarkStart w:id="473" w:name="_Toc391"/>
      <w:bookmarkStart w:id="474" w:name="_Toc21206"/>
      <w:bookmarkStart w:id="475" w:name="_Toc13191"/>
      <w:bookmarkStart w:id="476" w:name="_Toc24607"/>
      <w:bookmarkStart w:id="477" w:name="_Toc246996176"/>
      <w:bookmarkStart w:id="478" w:name="_Toc26039"/>
      <w:bookmarkStart w:id="479" w:name="_Toc5812"/>
      <w:bookmarkStart w:id="480" w:name="_Toc144974498"/>
      <w:bookmarkStart w:id="481" w:name="_Toc2028"/>
      <w:bookmarkStart w:id="482" w:name="_Toc21754"/>
      <w:bookmarkStart w:id="483" w:name="_Toc152045530"/>
      <w:r>
        <w:rPr>
          <w:rFonts w:hint="eastAsia"/>
          <w:color w:val="auto"/>
          <w:highlight w:val="none"/>
        </w:rPr>
        <w:t>1.1 项目概况</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pPr>
        <w:spacing w:line="360" w:lineRule="auto"/>
        <w:ind w:firstLine="420" w:firstLineChars="200"/>
        <w:rPr>
          <w:color w:val="auto"/>
          <w:highlight w:val="none"/>
        </w:rPr>
      </w:pPr>
      <w:r>
        <w:rPr>
          <w:rFonts w:hint="eastAsia"/>
          <w:color w:val="auto"/>
          <w:highlight w:val="none"/>
        </w:rPr>
        <w:t>1.1.1参照《中华人民共和国招标投标法》等有关规定，本招标项目已具备招标条件，现对本项目进行招标。</w:t>
      </w:r>
    </w:p>
    <w:p>
      <w:pPr>
        <w:spacing w:line="360" w:lineRule="auto"/>
        <w:ind w:firstLine="420" w:firstLineChars="200"/>
        <w:rPr>
          <w:color w:val="auto"/>
          <w:highlight w:val="none"/>
        </w:rPr>
      </w:pPr>
      <w:r>
        <w:rPr>
          <w:rFonts w:hint="eastAsia"/>
          <w:color w:val="auto"/>
          <w:highlight w:val="none"/>
        </w:rPr>
        <w:t>1.1.2 本招标项目招标人：</w:t>
      </w:r>
      <w:r>
        <w:rPr>
          <w:rFonts w:hint="eastAsia"/>
          <w:color w:val="auto"/>
          <w:szCs w:val="21"/>
          <w:highlight w:val="none"/>
        </w:rPr>
        <w:t>广东省南方传媒发行物流有限公司</w:t>
      </w:r>
      <w:r>
        <w:rPr>
          <w:rFonts w:hint="eastAsia"/>
          <w:color w:val="auto"/>
          <w:highlight w:val="none"/>
        </w:rPr>
        <w:t>。</w:t>
      </w:r>
    </w:p>
    <w:p>
      <w:pPr>
        <w:spacing w:line="360" w:lineRule="auto"/>
        <w:ind w:firstLine="420" w:firstLineChars="200"/>
        <w:rPr>
          <w:color w:val="auto"/>
          <w:highlight w:val="none"/>
        </w:rPr>
      </w:pPr>
      <w:r>
        <w:rPr>
          <w:rFonts w:hint="eastAsia"/>
          <w:color w:val="auto"/>
          <w:highlight w:val="none"/>
        </w:rPr>
        <w:t>1.1.3 本招标项目名称：</w:t>
      </w:r>
      <w:r>
        <w:rPr>
          <w:rFonts w:hint="eastAsia"/>
          <w:color w:val="auto"/>
          <w:szCs w:val="21"/>
          <w:highlight w:val="none"/>
          <w:lang w:val="en-US" w:eastAsia="zh-CN"/>
        </w:rPr>
        <w:t>2024年度</w:t>
      </w:r>
      <w:r>
        <w:rPr>
          <w:rFonts w:hint="eastAsia"/>
          <w:color w:val="auto"/>
          <w:szCs w:val="21"/>
          <w:highlight w:val="none"/>
        </w:rPr>
        <w:t>南方优品纸箱采购</w:t>
      </w:r>
      <w:r>
        <w:rPr>
          <w:rFonts w:hint="eastAsia"/>
          <w:color w:val="auto"/>
          <w:highlight w:val="none"/>
        </w:rPr>
        <w:t>。</w:t>
      </w:r>
    </w:p>
    <w:p>
      <w:pPr>
        <w:spacing w:line="360" w:lineRule="auto"/>
        <w:ind w:firstLine="420" w:firstLineChars="200"/>
        <w:rPr>
          <w:color w:val="auto"/>
          <w:highlight w:val="none"/>
        </w:rPr>
      </w:pPr>
      <w:r>
        <w:rPr>
          <w:rFonts w:hint="eastAsia"/>
          <w:color w:val="auto"/>
          <w:highlight w:val="none"/>
        </w:rPr>
        <w:t>1.1.4 本招标项目商务和技术要求：见本招标文件第四章合同主要条款和第六章项目要求。</w:t>
      </w:r>
    </w:p>
    <w:p>
      <w:pPr>
        <w:pStyle w:val="7"/>
        <w:rPr>
          <w:color w:val="auto"/>
          <w:highlight w:val="none"/>
        </w:rPr>
      </w:pPr>
      <w:bookmarkStart w:id="484" w:name="_Toc209"/>
      <w:bookmarkStart w:id="485" w:name="_Toc26963"/>
      <w:bookmarkStart w:id="486" w:name="_Toc27689"/>
      <w:bookmarkStart w:id="487" w:name="_Toc144974499"/>
      <w:bookmarkStart w:id="488" w:name="_Toc14932"/>
      <w:bookmarkStart w:id="489" w:name="_Toc17292"/>
      <w:bookmarkStart w:id="490" w:name="_Toc3591"/>
      <w:bookmarkStart w:id="491" w:name="_Toc15817"/>
      <w:bookmarkStart w:id="492" w:name="_Toc3668"/>
      <w:bookmarkStart w:id="493" w:name="_Toc152045531"/>
      <w:bookmarkStart w:id="494" w:name="_Toc5124"/>
      <w:bookmarkStart w:id="495" w:name="_Toc7335"/>
      <w:bookmarkStart w:id="496" w:name="_Toc10700"/>
      <w:bookmarkStart w:id="497" w:name="_Toc29403"/>
      <w:bookmarkStart w:id="498" w:name="_Toc16883"/>
      <w:bookmarkStart w:id="499" w:name="_Toc496601935"/>
      <w:bookmarkStart w:id="500" w:name="_Toc152042307"/>
      <w:bookmarkStart w:id="501" w:name="_Toc3064"/>
      <w:bookmarkStart w:id="502" w:name="_Toc16187"/>
      <w:bookmarkStart w:id="503" w:name="_Toc15754"/>
      <w:bookmarkStart w:id="504" w:name="_Toc246996177"/>
      <w:bookmarkStart w:id="505" w:name="_Toc247085691"/>
      <w:bookmarkStart w:id="506" w:name="_Toc29085"/>
      <w:bookmarkStart w:id="507" w:name="_Toc436215725"/>
      <w:bookmarkStart w:id="508" w:name="_Toc179632548"/>
      <w:bookmarkStart w:id="509" w:name="_Toc15901"/>
      <w:bookmarkStart w:id="510" w:name="_Toc19996"/>
      <w:bookmarkStart w:id="511" w:name="_Toc14926"/>
      <w:bookmarkStart w:id="512" w:name="_Toc10976"/>
      <w:bookmarkStart w:id="513" w:name="_Toc24324"/>
      <w:bookmarkStart w:id="514" w:name="_Toc187"/>
      <w:bookmarkStart w:id="515" w:name="_Toc3490"/>
      <w:bookmarkStart w:id="516" w:name="_Toc26606"/>
      <w:bookmarkStart w:id="517" w:name="_Toc246996920"/>
      <w:bookmarkStart w:id="518" w:name="_Toc435178368"/>
      <w:r>
        <w:rPr>
          <w:rFonts w:hint="eastAsia"/>
          <w:color w:val="auto"/>
          <w:highlight w:val="none"/>
        </w:rPr>
        <w:t>1.2 资金来源和落实情况</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pPr>
        <w:spacing w:line="360" w:lineRule="auto"/>
        <w:ind w:firstLine="420" w:firstLineChars="200"/>
        <w:rPr>
          <w:color w:val="auto"/>
          <w:highlight w:val="none"/>
        </w:rPr>
      </w:pPr>
      <w:r>
        <w:rPr>
          <w:rFonts w:hint="eastAsia"/>
          <w:color w:val="auto"/>
          <w:highlight w:val="none"/>
        </w:rPr>
        <w:t>1.2.1 本招标项目的资金来源：自筹。</w:t>
      </w:r>
    </w:p>
    <w:p>
      <w:pPr>
        <w:spacing w:line="360" w:lineRule="auto"/>
        <w:ind w:firstLine="420" w:firstLineChars="200"/>
        <w:rPr>
          <w:color w:val="auto"/>
          <w:highlight w:val="none"/>
        </w:rPr>
      </w:pPr>
      <w:r>
        <w:rPr>
          <w:rFonts w:hint="eastAsia"/>
          <w:color w:val="auto"/>
          <w:highlight w:val="none"/>
        </w:rPr>
        <w:t>1.2.2 本招标项目的资金落实情况：已落实。</w:t>
      </w:r>
    </w:p>
    <w:p>
      <w:pPr>
        <w:pStyle w:val="7"/>
        <w:rPr>
          <w:color w:val="auto"/>
          <w:highlight w:val="none"/>
        </w:rPr>
      </w:pPr>
      <w:bookmarkStart w:id="519" w:name="_Toc496601936"/>
      <w:bookmarkStart w:id="520" w:name="_Toc8856"/>
      <w:bookmarkStart w:id="521" w:name="_Toc246996178"/>
      <w:bookmarkStart w:id="522" w:name="_Toc11875"/>
      <w:bookmarkStart w:id="523" w:name="_Toc6921"/>
      <w:bookmarkStart w:id="524" w:name="_Toc9257"/>
      <w:bookmarkStart w:id="525" w:name="_Toc28312"/>
      <w:bookmarkStart w:id="526" w:name="_Toc23818"/>
      <w:bookmarkStart w:id="527" w:name="_Toc179632549"/>
      <w:bookmarkStart w:id="528" w:name="_Toc2267"/>
      <w:bookmarkStart w:id="529" w:name="_Toc152045532"/>
      <w:bookmarkStart w:id="530" w:name="_Toc17336"/>
      <w:bookmarkStart w:id="531" w:name="_Toc435178369"/>
      <w:bookmarkStart w:id="532" w:name="_Toc247085692"/>
      <w:bookmarkStart w:id="533" w:name="_Toc144974500"/>
      <w:bookmarkStart w:id="534" w:name="_Toc25134"/>
      <w:bookmarkStart w:id="535" w:name="_Toc436215726"/>
      <w:bookmarkStart w:id="536" w:name="_Toc3326"/>
      <w:bookmarkStart w:id="537" w:name="_Toc22404"/>
      <w:bookmarkStart w:id="538" w:name="_Toc31912"/>
      <w:bookmarkStart w:id="539" w:name="_Toc246996921"/>
      <w:bookmarkStart w:id="540" w:name="_Toc18821"/>
      <w:bookmarkStart w:id="541" w:name="_Toc332"/>
      <w:bookmarkStart w:id="542" w:name="_Toc23560"/>
      <w:bookmarkStart w:id="543" w:name="_Toc1468"/>
      <w:bookmarkStart w:id="544" w:name="_Toc20234"/>
      <w:bookmarkStart w:id="545" w:name="_Toc2702"/>
      <w:bookmarkStart w:id="546" w:name="_Toc10278"/>
      <w:bookmarkStart w:id="547" w:name="_Toc152042308"/>
      <w:bookmarkStart w:id="548" w:name="_Toc19241"/>
      <w:bookmarkStart w:id="549" w:name="_Toc6797"/>
      <w:bookmarkStart w:id="550" w:name="_Toc7224"/>
      <w:bookmarkStart w:id="551" w:name="_Toc27273"/>
      <w:bookmarkStart w:id="552" w:name="_Toc23489"/>
      <w:bookmarkStart w:id="553" w:name="_Toc9543"/>
      <w:r>
        <w:rPr>
          <w:rFonts w:hint="eastAsia"/>
          <w:color w:val="auto"/>
          <w:highlight w:val="none"/>
        </w:rPr>
        <w:t>1.3 招标质量要求</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pPr>
        <w:spacing w:line="360" w:lineRule="auto"/>
        <w:ind w:firstLine="420" w:firstLineChars="200"/>
        <w:rPr>
          <w:color w:val="auto"/>
          <w:highlight w:val="none"/>
        </w:rPr>
      </w:pPr>
      <w:r>
        <w:rPr>
          <w:rFonts w:hint="eastAsia"/>
          <w:color w:val="auto"/>
          <w:highlight w:val="none"/>
        </w:rPr>
        <w:t>1.3.1 本招标项目的质量要求：见本招标文件第四章合同主要条款和第六章项目要求。</w:t>
      </w:r>
    </w:p>
    <w:p>
      <w:pPr>
        <w:pStyle w:val="7"/>
        <w:rPr>
          <w:color w:val="auto"/>
          <w:highlight w:val="none"/>
        </w:rPr>
      </w:pPr>
      <w:bookmarkStart w:id="554" w:name="_Toc247085693"/>
      <w:bookmarkStart w:id="555" w:name="_Toc246996179"/>
      <w:bookmarkStart w:id="556" w:name="_Toc436215727"/>
      <w:bookmarkStart w:id="557" w:name="_Toc144974502"/>
      <w:bookmarkStart w:id="558" w:name="_Toc152042310"/>
      <w:bookmarkStart w:id="559" w:name="_Toc152045534"/>
      <w:bookmarkStart w:id="560" w:name="_Toc246996922"/>
      <w:bookmarkStart w:id="561" w:name="_Toc435178370"/>
      <w:bookmarkStart w:id="562" w:name="_Toc179632551"/>
      <w:bookmarkStart w:id="563" w:name="_Toc7055"/>
      <w:bookmarkStart w:id="564" w:name="_Toc6087"/>
      <w:bookmarkStart w:id="565" w:name="_Toc20334"/>
      <w:bookmarkStart w:id="566" w:name="_Toc14870"/>
      <w:bookmarkStart w:id="567" w:name="_Toc22688"/>
      <w:bookmarkStart w:id="568" w:name="_Toc9552"/>
      <w:bookmarkStart w:id="569" w:name="_Toc27693"/>
      <w:bookmarkStart w:id="570" w:name="_Toc15334"/>
      <w:bookmarkStart w:id="571" w:name="_Toc27338"/>
      <w:bookmarkStart w:id="572" w:name="_Toc6481"/>
      <w:bookmarkStart w:id="573" w:name="_Toc24471"/>
      <w:bookmarkStart w:id="574" w:name="_Toc2845"/>
      <w:bookmarkStart w:id="575" w:name="_Toc25067"/>
      <w:bookmarkStart w:id="576" w:name="_Toc26674"/>
      <w:bookmarkStart w:id="577" w:name="_Toc29779"/>
      <w:bookmarkStart w:id="578" w:name="_Toc15164"/>
      <w:bookmarkStart w:id="579" w:name="_Toc2049"/>
      <w:bookmarkStart w:id="580" w:name="_Toc29181"/>
      <w:bookmarkStart w:id="581" w:name="_Toc19422"/>
      <w:bookmarkStart w:id="582" w:name="_Toc7576"/>
      <w:bookmarkStart w:id="583" w:name="_Toc28577"/>
      <w:bookmarkStart w:id="584" w:name="_Toc496601937"/>
      <w:bookmarkStart w:id="585" w:name="_Toc26510"/>
      <w:bookmarkStart w:id="586" w:name="_Toc16022"/>
      <w:bookmarkStart w:id="587" w:name="_Toc4340"/>
      <w:bookmarkStart w:id="588" w:name="_Toc7761"/>
      <w:r>
        <w:rPr>
          <w:rFonts w:hint="eastAsia"/>
          <w:color w:val="auto"/>
          <w:highlight w:val="none"/>
        </w:rPr>
        <w:t xml:space="preserve">1.4 </w:t>
      </w:r>
      <w:bookmarkEnd w:id="554"/>
      <w:bookmarkEnd w:id="555"/>
      <w:bookmarkEnd w:id="556"/>
      <w:bookmarkEnd w:id="557"/>
      <w:bookmarkEnd w:id="558"/>
      <w:bookmarkEnd w:id="559"/>
      <w:bookmarkEnd w:id="560"/>
      <w:bookmarkEnd w:id="561"/>
      <w:bookmarkEnd w:id="562"/>
      <w:r>
        <w:rPr>
          <w:rFonts w:hint="eastAsia"/>
          <w:color w:val="auto"/>
          <w:highlight w:val="none"/>
        </w:rPr>
        <w:t>合格投标人</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pPr>
        <w:spacing w:line="360" w:lineRule="auto"/>
        <w:ind w:firstLine="359" w:firstLineChars="171"/>
        <w:rPr>
          <w:color w:val="auto"/>
          <w:highlight w:val="none"/>
        </w:rPr>
      </w:pPr>
      <w:r>
        <w:rPr>
          <w:rFonts w:hint="eastAsia"/>
          <w:color w:val="auto"/>
          <w:highlight w:val="none"/>
        </w:rPr>
        <w:t>1.4.1 投标人应具备承担本项目要求的资格、能力和信誉。</w:t>
      </w:r>
    </w:p>
    <w:p>
      <w:pPr>
        <w:spacing w:line="360" w:lineRule="auto"/>
        <w:ind w:firstLine="359" w:firstLineChars="171"/>
        <w:rPr>
          <w:color w:val="auto"/>
          <w:highlight w:val="none"/>
        </w:rPr>
      </w:pPr>
      <w:r>
        <w:rPr>
          <w:rFonts w:hint="eastAsia"/>
          <w:color w:val="auto"/>
          <w:highlight w:val="none"/>
        </w:rPr>
        <w:t>（1）投标人资格要求：见投标人须知前附表；</w:t>
      </w:r>
    </w:p>
    <w:p>
      <w:pPr>
        <w:spacing w:line="360" w:lineRule="auto"/>
        <w:ind w:firstLine="359" w:firstLineChars="171"/>
        <w:rPr>
          <w:color w:val="auto"/>
          <w:highlight w:val="none"/>
        </w:rPr>
      </w:pPr>
      <w:r>
        <w:rPr>
          <w:rFonts w:hint="eastAsia"/>
          <w:color w:val="auto"/>
          <w:highlight w:val="none"/>
        </w:rPr>
        <w:t>1.4.2 投标人不得存在下列情形之一：</w:t>
      </w:r>
    </w:p>
    <w:p>
      <w:pPr>
        <w:spacing w:line="360" w:lineRule="auto"/>
        <w:ind w:firstLine="359" w:firstLineChars="171"/>
        <w:rPr>
          <w:color w:val="auto"/>
          <w:highlight w:val="none"/>
        </w:rPr>
      </w:pPr>
      <w:bookmarkStart w:id="589" w:name="_Toc246996180"/>
      <w:bookmarkStart w:id="590" w:name="_Toc435178371"/>
      <w:bookmarkStart w:id="591" w:name="_Toc246996923"/>
      <w:bookmarkStart w:id="592" w:name="_Toc247085694"/>
      <w:bookmarkStart w:id="593" w:name="_Toc152045535"/>
      <w:bookmarkStart w:id="594" w:name="_Toc152042311"/>
      <w:bookmarkStart w:id="595" w:name="_Toc496601938"/>
      <w:bookmarkStart w:id="596" w:name="_Toc436215728"/>
      <w:bookmarkStart w:id="597" w:name="_Toc179632552"/>
      <w:bookmarkStart w:id="598" w:name="_Toc144974503"/>
      <w:r>
        <w:rPr>
          <w:rFonts w:hint="eastAsia"/>
          <w:color w:val="auto"/>
          <w:highlight w:val="none"/>
        </w:rPr>
        <w:t>（1）</w:t>
      </w:r>
      <w:r>
        <w:rPr>
          <w:color w:val="auto"/>
          <w:highlight w:val="none"/>
        </w:rPr>
        <w:t>与招标人存在利害关系且可能影响招标公正性；</w:t>
      </w:r>
    </w:p>
    <w:p>
      <w:pPr>
        <w:spacing w:line="360" w:lineRule="auto"/>
        <w:ind w:firstLine="359" w:firstLineChars="171"/>
        <w:rPr>
          <w:color w:val="auto"/>
          <w:highlight w:val="none"/>
        </w:rPr>
      </w:pPr>
      <w:r>
        <w:rPr>
          <w:rFonts w:hint="eastAsia"/>
          <w:color w:val="auto"/>
          <w:highlight w:val="none"/>
        </w:rPr>
        <w:t>（2）</w:t>
      </w:r>
      <w:r>
        <w:rPr>
          <w:color w:val="auto"/>
          <w:highlight w:val="none"/>
        </w:rPr>
        <w:t>与本招标项目的其他投标人为同一个单位负责人；</w:t>
      </w:r>
    </w:p>
    <w:p>
      <w:pPr>
        <w:spacing w:line="360" w:lineRule="auto"/>
        <w:ind w:firstLine="359" w:firstLineChars="171"/>
        <w:rPr>
          <w:color w:val="auto"/>
          <w:highlight w:val="none"/>
        </w:rPr>
      </w:pPr>
      <w:r>
        <w:rPr>
          <w:rFonts w:hint="eastAsia"/>
          <w:color w:val="auto"/>
          <w:highlight w:val="none"/>
        </w:rPr>
        <w:t>（3）</w:t>
      </w:r>
      <w:r>
        <w:rPr>
          <w:color w:val="auto"/>
          <w:highlight w:val="none"/>
        </w:rPr>
        <w:t>与本招标项目的其他投标人存在控股、管理关系；</w:t>
      </w:r>
    </w:p>
    <w:p>
      <w:pPr>
        <w:spacing w:line="360" w:lineRule="auto"/>
        <w:ind w:firstLine="359" w:firstLineChars="171"/>
        <w:rPr>
          <w:color w:val="auto"/>
          <w:highlight w:val="none"/>
        </w:rPr>
      </w:pPr>
      <w:r>
        <w:rPr>
          <w:rFonts w:hint="eastAsia"/>
          <w:color w:val="auto"/>
          <w:highlight w:val="none"/>
        </w:rPr>
        <w:t>（4）</w:t>
      </w:r>
      <w:r>
        <w:rPr>
          <w:color w:val="auto"/>
          <w:highlight w:val="none"/>
        </w:rPr>
        <w:t>被依法暂停或者取消投标资格；</w:t>
      </w:r>
    </w:p>
    <w:p>
      <w:pPr>
        <w:spacing w:line="360" w:lineRule="auto"/>
        <w:ind w:firstLine="359" w:firstLineChars="171"/>
        <w:rPr>
          <w:color w:val="auto"/>
          <w:highlight w:val="none"/>
        </w:rPr>
      </w:pPr>
      <w:r>
        <w:rPr>
          <w:rFonts w:hint="eastAsia"/>
          <w:color w:val="auto"/>
          <w:highlight w:val="none"/>
        </w:rPr>
        <w:t>（5）</w:t>
      </w:r>
      <w:r>
        <w:rPr>
          <w:color w:val="auto"/>
          <w:highlight w:val="none"/>
        </w:rPr>
        <w:t>被责令停产停业、暂扣或者吊销许可证、暂扣或者吊销执照；</w:t>
      </w:r>
    </w:p>
    <w:p>
      <w:pPr>
        <w:spacing w:line="360" w:lineRule="auto"/>
        <w:ind w:firstLine="359" w:firstLineChars="171"/>
        <w:rPr>
          <w:color w:val="auto"/>
          <w:highlight w:val="none"/>
        </w:rPr>
      </w:pPr>
      <w:r>
        <w:rPr>
          <w:rFonts w:hint="eastAsia"/>
          <w:color w:val="auto"/>
          <w:highlight w:val="none"/>
        </w:rPr>
        <w:t>（6）</w:t>
      </w:r>
      <w:r>
        <w:rPr>
          <w:color w:val="auto"/>
          <w:highlight w:val="none"/>
        </w:rPr>
        <w:t>进入清算程序，或被宣告破产，或其他丧失履约能力的情形；</w:t>
      </w:r>
    </w:p>
    <w:p>
      <w:pPr>
        <w:spacing w:line="360" w:lineRule="auto"/>
        <w:ind w:firstLine="359" w:firstLineChars="171"/>
        <w:rPr>
          <w:color w:val="auto"/>
          <w:highlight w:val="none"/>
        </w:rPr>
      </w:pPr>
      <w:r>
        <w:rPr>
          <w:rFonts w:hint="eastAsia"/>
          <w:color w:val="auto"/>
          <w:highlight w:val="none"/>
        </w:rPr>
        <w:t>（7）</w:t>
      </w:r>
      <w:r>
        <w:rPr>
          <w:color w:val="auto"/>
          <w:highlight w:val="none"/>
        </w:rPr>
        <w:t>在最近三年内发生重大产品质量问题（以相关行业主管部门的行政处罚决定或司法机关出具的有关法律文书为准）；</w:t>
      </w:r>
    </w:p>
    <w:p>
      <w:pPr>
        <w:spacing w:line="360" w:lineRule="auto"/>
        <w:ind w:firstLine="359" w:firstLineChars="171"/>
        <w:rPr>
          <w:color w:val="auto"/>
          <w:highlight w:val="none"/>
        </w:rPr>
      </w:pPr>
      <w:r>
        <w:rPr>
          <w:rFonts w:hint="eastAsia"/>
          <w:color w:val="auto"/>
          <w:highlight w:val="none"/>
        </w:rPr>
        <w:t>（8）</w:t>
      </w:r>
      <w:r>
        <w:rPr>
          <w:color w:val="auto"/>
          <w:highlight w:val="none"/>
        </w:rPr>
        <w:t>被工商行政管理机关在全国企业信用信息公示系统中列入严重违法失信企业名单；</w:t>
      </w:r>
    </w:p>
    <w:p>
      <w:pPr>
        <w:spacing w:line="360" w:lineRule="auto"/>
        <w:ind w:firstLine="359" w:firstLineChars="171"/>
        <w:rPr>
          <w:color w:val="auto"/>
          <w:highlight w:val="none"/>
        </w:rPr>
      </w:pPr>
      <w:r>
        <w:rPr>
          <w:rFonts w:hint="eastAsia"/>
          <w:color w:val="auto"/>
          <w:highlight w:val="none"/>
        </w:rPr>
        <w:t>（9）</w:t>
      </w:r>
      <w:r>
        <w:rPr>
          <w:color w:val="auto"/>
          <w:highlight w:val="none"/>
        </w:rPr>
        <w:t>被最高人民法院在“信用中国”网站（www.creditchina.gov.cn）或各级信用信息共享平台中列入失信被执行人名单；</w:t>
      </w:r>
    </w:p>
    <w:p>
      <w:pPr>
        <w:spacing w:line="360" w:lineRule="auto"/>
        <w:ind w:firstLine="359" w:firstLineChars="171"/>
        <w:rPr>
          <w:color w:val="auto"/>
          <w:highlight w:val="none"/>
        </w:rPr>
      </w:pPr>
      <w:r>
        <w:rPr>
          <w:rFonts w:hint="eastAsia"/>
          <w:color w:val="auto"/>
          <w:highlight w:val="none"/>
        </w:rPr>
        <w:t>（10）</w:t>
      </w:r>
      <w:r>
        <w:rPr>
          <w:color w:val="auto"/>
          <w:highlight w:val="none"/>
        </w:rPr>
        <w:t>在近三年内投标人或其法定代表人、拟委任的项目负责人有行贿犯罪行为的（以检察机关职务犯罪预防部门出具的查询结果为准）；</w:t>
      </w:r>
    </w:p>
    <w:p>
      <w:pPr>
        <w:spacing w:line="360" w:lineRule="auto"/>
        <w:ind w:firstLine="359" w:firstLineChars="171"/>
        <w:rPr>
          <w:color w:val="auto"/>
          <w:highlight w:val="none"/>
        </w:rPr>
      </w:pPr>
      <w:r>
        <w:rPr>
          <w:rFonts w:hint="eastAsia"/>
          <w:color w:val="auto"/>
          <w:highlight w:val="none"/>
        </w:rPr>
        <w:t>（11）</w:t>
      </w:r>
      <w:r>
        <w:rPr>
          <w:color w:val="auto"/>
          <w:highlight w:val="none"/>
        </w:rPr>
        <w:t>法律法规或投标人须知前附表规定的其他情形。</w:t>
      </w:r>
    </w:p>
    <w:p>
      <w:pPr>
        <w:pStyle w:val="7"/>
        <w:rPr>
          <w:color w:val="auto"/>
          <w:highlight w:val="none"/>
        </w:rPr>
      </w:pPr>
      <w:bookmarkStart w:id="599" w:name="_Toc10960"/>
      <w:bookmarkStart w:id="600" w:name="_Toc2816"/>
      <w:bookmarkStart w:id="601" w:name="_Toc26182"/>
      <w:bookmarkStart w:id="602" w:name="_Toc2306"/>
      <w:bookmarkStart w:id="603" w:name="_Toc12679"/>
      <w:bookmarkStart w:id="604" w:name="_Toc8697"/>
      <w:bookmarkStart w:id="605" w:name="_Toc19271"/>
      <w:bookmarkStart w:id="606" w:name="_Toc16923"/>
      <w:bookmarkStart w:id="607" w:name="_Toc21608"/>
      <w:bookmarkStart w:id="608" w:name="_Toc1728"/>
      <w:bookmarkStart w:id="609" w:name="_Toc16770"/>
      <w:bookmarkStart w:id="610" w:name="_Toc18184"/>
      <w:bookmarkStart w:id="611" w:name="_Toc3027"/>
      <w:bookmarkStart w:id="612" w:name="_Toc31020"/>
      <w:bookmarkStart w:id="613" w:name="_Toc24810"/>
      <w:bookmarkStart w:id="614" w:name="_Toc25049"/>
      <w:bookmarkStart w:id="615" w:name="_Toc17966"/>
      <w:bookmarkStart w:id="616" w:name="_Toc8989"/>
      <w:bookmarkStart w:id="617" w:name="_Toc23516"/>
      <w:bookmarkStart w:id="618" w:name="_Toc7547"/>
      <w:bookmarkStart w:id="619" w:name="_Toc12705"/>
      <w:bookmarkStart w:id="620" w:name="_Toc31834"/>
      <w:bookmarkStart w:id="621" w:name="_Toc3373"/>
      <w:bookmarkStart w:id="622" w:name="_Toc14725"/>
      <w:bookmarkStart w:id="623" w:name="_Toc31906"/>
      <w:r>
        <w:rPr>
          <w:rFonts w:hint="eastAsia"/>
          <w:color w:val="auto"/>
          <w:highlight w:val="none"/>
        </w:rPr>
        <w:t>1.5 费用承担</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pPr>
        <w:spacing w:line="360" w:lineRule="auto"/>
        <w:ind w:firstLine="420" w:firstLineChars="200"/>
        <w:rPr>
          <w:color w:val="auto"/>
          <w:highlight w:val="none"/>
        </w:rPr>
      </w:pPr>
      <w:r>
        <w:rPr>
          <w:rFonts w:hint="eastAsia"/>
          <w:color w:val="auto"/>
          <w:highlight w:val="none"/>
        </w:rPr>
        <w:t>投标人准备和参加投标活动发生的费用自理。</w:t>
      </w:r>
    </w:p>
    <w:p>
      <w:pPr>
        <w:pStyle w:val="7"/>
        <w:rPr>
          <w:color w:val="auto"/>
          <w:highlight w:val="none"/>
        </w:rPr>
      </w:pPr>
      <w:bookmarkStart w:id="624" w:name="_Toc19321"/>
      <w:bookmarkStart w:id="625" w:name="_Toc144974504"/>
      <w:bookmarkStart w:id="626" w:name="_Toc5861"/>
      <w:bookmarkStart w:id="627" w:name="_Toc435178372"/>
      <w:bookmarkStart w:id="628" w:name="_Toc5312"/>
      <w:bookmarkStart w:id="629" w:name="_Toc31569"/>
      <w:bookmarkStart w:id="630" w:name="_Toc11915"/>
      <w:bookmarkStart w:id="631" w:name="_Toc247085695"/>
      <w:bookmarkStart w:id="632" w:name="_Toc246996181"/>
      <w:bookmarkStart w:id="633" w:name="_Toc25138"/>
      <w:bookmarkStart w:id="634" w:name="_Toc29353"/>
      <w:bookmarkStart w:id="635" w:name="_Toc30108"/>
      <w:bookmarkStart w:id="636" w:name="_Toc152045536"/>
      <w:bookmarkStart w:id="637" w:name="_Toc496601939"/>
      <w:bookmarkStart w:id="638" w:name="_Toc10593"/>
      <w:bookmarkStart w:id="639" w:name="_Toc30060"/>
      <w:bookmarkStart w:id="640" w:name="_Toc20368"/>
      <w:bookmarkStart w:id="641" w:name="_Toc12522"/>
      <w:bookmarkStart w:id="642" w:name="_Toc179632553"/>
      <w:bookmarkStart w:id="643" w:name="_Toc19356"/>
      <w:bookmarkStart w:id="644" w:name="_Toc10974"/>
      <w:bookmarkStart w:id="645" w:name="_Toc436215729"/>
      <w:bookmarkStart w:id="646" w:name="_Toc246996924"/>
      <w:bookmarkStart w:id="647" w:name="_Toc29046"/>
      <w:bookmarkStart w:id="648" w:name="_Toc23777"/>
      <w:bookmarkStart w:id="649" w:name="_Toc152042312"/>
      <w:bookmarkStart w:id="650" w:name="_Toc22280"/>
      <w:bookmarkStart w:id="651" w:name="_Toc27005"/>
      <w:bookmarkStart w:id="652" w:name="_Toc23585"/>
      <w:bookmarkStart w:id="653" w:name="_Toc710"/>
      <w:bookmarkStart w:id="654" w:name="_Toc1332"/>
      <w:bookmarkStart w:id="655" w:name="_Toc22517"/>
      <w:bookmarkStart w:id="656" w:name="_Toc27956"/>
      <w:bookmarkStart w:id="657" w:name="_Toc26576"/>
      <w:bookmarkStart w:id="658" w:name="_Toc11163"/>
      <w:r>
        <w:rPr>
          <w:rFonts w:hint="eastAsia"/>
          <w:color w:val="auto"/>
          <w:highlight w:val="none"/>
        </w:rPr>
        <w:t>1.6 保密</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pPr>
        <w:spacing w:line="360" w:lineRule="auto"/>
        <w:ind w:firstLine="420" w:firstLineChars="200"/>
        <w:rPr>
          <w:color w:val="auto"/>
          <w:highlight w:val="none"/>
        </w:rPr>
      </w:pPr>
      <w:r>
        <w:rPr>
          <w:rFonts w:hint="eastAsia"/>
          <w:color w:val="auto"/>
          <w:highlight w:val="none"/>
        </w:rPr>
        <w:t xml:space="preserve">参与招标投标活动的各方应对招标文件和投标文件中的商业和技术等秘密保密，违者应对由此造成的后果承担法律责任。 </w:t>
      </w:r>
    </w:p>
    <w:p>
      <w:pPr>
        <w:pStyle w:val="7"/>
        <w:rPr>
          <w:color w:val="auto"/>
          <w:highlight w:val="none"/>
        </w:rPr>
      </w:pPr>
      <w:bookmarkStart w:id="659" w:name="_Toc144974505"/>
      <w:bookmarkStart w:id="660" w:name="_Toc19900"/>
      <w:bookmarkStart w:id="661" w:name="_Toc11318"/>
      <w:bookmarkStart w:id="662" w:name="_Toc17668"/>
      <w:bookmarkStart w:id="663" w:name="_Toc5098"/>
      <w:bookmarkStart w:id="664" w:name="_Toc246996182"/>
      <w:bookmarkStart w:id="665" w:name="_Toc436215730"/>
      <w:bookmarkStart w:id="666" w:name="_Toc11097"/>
      <w:bookmarkStart w:id="667" w:name="_Toc11675"/>
      <w:bookmarkStart w:id="668" w:name="_Toc8442"/>
      <w:bookmarkStart w:id="669" w:name="_Toc5640"/>
      <w:bookmarkStart w:id="670" w:name="_Toc3878"/>
      <w:bookmarkStart w:id="671" w:name="_Toc11725"/>
      <w:bookmarkStart w:id="672" w:name="_Toc32218"/>
      <w:bookmarkStart w:id="673" w:name="_Toc11566"/>
      <w:bookmarkStart w:id="674" w:name="_Toc4398"/>
      <w:bookmarkStart w:id="675" w:name="_Toc4099"/>
      <w:bookmarkStart w:id="676" w:name="_Toc13648"/>
      <w:bookmarkStart w:id="677" w:name="_Toc179632554"/>
      <w:bookmarkStart w:id="678" w:name="_Toc9175"/>
      <w:bookmarkStart w:id="679" w:name="_Toc246996925"/>
      <w:bookmarkStart w:id="680" w:name="_Toc435178373"/>
      <w:bookmarkStart w:id="681" w:name="_Toc247085696"/>
      <w:bookmarkStart w:id="682" w:name="_Toc496601940"/>
      <w:bookmarkStart w:id="683" w:name="_Toc30440"/>
      <w:bookmarkStart w:id="684" w:name="_Toc27769"/>
      <w:bookmarkStart w:id="685" w:name="_Toc10407"/>
      <w:bookmarkStart w:id="686" w:name="_Toc16182"/>
      <w:bookmarkStart w:id="687" w:name="_Toc10714"/>
      <w:bookmarkStart w:id="688" w:name="_Toc9169"/>
      <w:bookmarkStart w:id="689" w:name="_Toc29786"/>
      <w:bookmarkStart w:id="690" w:name="_Toc152042313"/>
      <w:bookmarkStart w:id="691" w:name="_Toc152045537"/>
      <w:bookmarkStart w:id="692" w:name="_Toc8860"/>
      <w:bookmarkStart w:id="693" w:name="_Toc11124"/>
      <w:r>
        <w:rPr>
          <w:rFonts w:hint="eastAsia"/>
          <w:color w:val="auto"/>
          <w:highlight w:val="none"/>
        </w:rPr>
        <w:t>1.7 语言</w:t>
      </w:r>
      <w:bookmarkEnd w:id="659"/>
      <w:r>
        <w:rPr>
          <w:rFonts w:hint="eastAsia"/>
          <w:color w:val="auto"/>
          <w:highlight w:val="none"/>
        </w:rPr>
        <w:t>文字</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pPr>
        <w:spacing w:line="360" w:lineRule="auto"/>
        <w:ind w:firstLine="420" w:firstLineChars="200"/>
        <w:rPr>
          <w:color w:val="auto"/>
          <w:highlight w:val="none"/>
        </w:rPr>
      </w:pPr>
      <w:bookmarkStart w:id="694" w:name="_Toc246996183"/>
      <w:bookmarkStart w:id="695" w:name="_Toc246996926"/>
      <w:bookmarkStart w:id="696" w:name="_Toc152045538"/>
      <w:bookmarkStart w:id="697" w:name="_Toc179632555"/>
      <w:bookmarkStart w:id="698" w:name="_Toc144974506"/>
      <w:bookmarkStart w:id="699" w:name="_Toc247085697"/>
      <w:bookmarkStart w:id="700" w:name="_Toc152042314"/>
      <w:r>
        <w:rPr>
          <w:rFonts w:hint="eastAsia"/>
          <w:color w:val="auto"/>
          <w:highlight w:val="none"/>
        </w:rPr>
        <w:t>招标投标文件使用的语言文字为中文。专用术语使用外文的，应附有中文注释。</w:t>
      </w:r>
    </w:p>
    <w:p>
      <w:pPr>
        <w:pStyle w:val="7"/>
        <w:rPr>
          <w:color w:val="auto"/>
          <w:highlight w:val="none"/>
        </w:rPr>
      </w:pPr>
      <w:bookmarkStart w:id="701" w:name="_Toc6887"/>
      <w:bookmarkStart w:id="702" w:name="_Toc5671"/>
      <w:bookmarkStart w:id="703" w:name="_Toc22644"/>
      <w:bookmarkStart w:id="704" w:name="_Toc436215731"/>
      <w:bookmarkStart w:id="705" w:name="_Toc797"/>
      <w:bookmarkStart w:id="706" w:name="_Toc24116"/>
      <w:bookmarkStart w:id="707" w:name="_Toc7129"/>
      <w:bookmarkStart w:id="708" w:name="_Toc17860"/>
      <w:bookmarkStart w:id="709" w:name="_Toc435178374"/>
      <w:bookmarkStart w:id="710" w:name="_Toc17984"/>
      <w:bookmarkStart w:id="711" w:name="_Toc14208"/>
      <w:bookmarkStart w:id="712" w:name="_Toc13465"/>
      <w:bookmarkStart w:id="713" w:name="_Toc1197"/>
      <w:bookmarkStart w:id="714" w:name="_Toc8208"/>
      <w:bookmarkStart w:id="715" w:name="_Toc5471"/>
      <w:bookmarkStart w:id="716" w:name="_Toc30725"/>
      <w:bookmarkStart w:id="717" w:name="_Toc29249"/>
      <w:bookmarkStart w:id="718" w:name="_Toc7496"/>
      <w:bookmarkStart w:id="719" w:name="_Toc25498"/>
      <w:bookmarkStart w:id="720" w:name="_Toc17324"/>
      <w:bookmarkStart w:id="721" w:name="_Toc30027"/>
      <w:bookmarkStart w:id="722" w:name="_Toc5362"/>
      <w:bookmarkStart w:id="723" w:name="_Toc1513"/>
      <w:bookmarkStart w:id="724" w:name="_Toc496601941"/>
      <w:bookmarkStart w:id="725" w:name="_Toc21046"/>
      <w:bookmarkStart w:id="726" w:name="_Toc25062"/>
      <w:bookmarkStart w:id="727" w:name="_Toc22005"/>
      <w:bookmarkStart w:id="728" w:name="_Toc2334"/>
      <w:r>
        <w:rPr>
          <w:rFonts w:hint="eastAsia"/>
          <w:color w:val="auto"/>
          <w:highlight w:val="none"/>
        </w:rPr>
        <w:t>1.8 计量单位</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pPr>
        <w:spacing w:line="360" w:lineRule="auto"/>
        <w:ind w:firstLine="420" w:firstLineChars="200"/>
        <w:rPr>
          <w:color w:val="auto"/>
          <w:highlight w:val="none"/>
        </w:rPr>
      </w:pPr>
      <w:r>
        <w:rPr>
          <w:rFonts w:hint="eastAsia"/>
          <w:color w:val="auto"/>
          <w:highlight w:val="none"/>
        </w:rPr>
        <w:t>所有计量均采用中华人民共和国法定计量单位。</w:t>
      </w:r>
    </w:p>
    <w:p>
      <w:pPr>
        <w:pStyle w:val="6"/>
        <w:spacing w:line="360" w:lineRule="auto"/>
        <w:rPr>
          <w:color w:val="auto"/>
          <w:highlight w:val="none"/>
        </w:rPr>
      </w:pPr>
      <w:bookmarkStart w:id="729" w:name="_Toc6319"/>
      <w:bookmarkStart w:id="730" w:name="_Toc3037"/>
      <w:bookmarkStart w:id="731" w:name="_Toc152045542"/>
      <w:bookmarkStart w:id="732" w:name="_Toc8797"/>
      <w:bookmarkStart w:id="733" w:name="_Toc246996930"/>
      <w:bookmarkStart w:id="734" w:name="_Toc133"/>
      <w:bookmarkStart w:id="735" w:name="_Toc436215733"/>
      <w:bookmarkStart w:id="736" w:name="_Toc7511"/>
      <w:bookmarkStart w:id="737" w:name="_Toc16429"/>
      <w:bookmarkStart w:id="738" w:name="_Toc1659"/>
      <w:bookmarkStart w:id="739" w:name="_Toc496601942"/>
      <w:bookmarkStart w:id="740" w:name="_Toc5351"/>
      <w:bookmarkStart w:id="741" w:name="_Toc26675"/>
      <w:bookmarkStart w:id="742" w:name="_Toc435178375"/>
      <w:bookmarkStart w:id="743" w:name="_Toc1374"/>
      <w:bookmarkStart w:id="744" w:name="_Toc12259"/>
      <w:bookmarkStart w:id="745" w:name="_Toc2780"/>
      <w:bookmarkStart w:id="746" w:name="_Toc2673"/>
      <w:bookmarkStart w:id="747" w:name="_Toc8575"/>
      <w:bookmarkStart w:id="748" w:name="_Toc1705"/>
      <w:bookmarkStart w:id="749" w:name="_Toc26059"/>
      <w:bookmarkStart w:id="750" w:name="_Toc179632560"/>
      <w:bookmarkStart w:id="751" w:name="_Toc4575"/>
      <w:bookmarkStart w:id="752" w:name="_Toc24163"/>
      <w:bookmarkStart w:id="753" w:name="_Toc21295"/>
      <w:bookmarkStart w:id="754" w:name="_Toc14740"/>
      <w:bookmarkStart w:id="755" w:name="_Toc28001"/>
      <w:bookmarkStart w:id="756" w:name="_Toc15814"/>
      <w:bookmarkStart w:id="757" w:name="_Toc152042318"/>
      <w:bookmarkStart w:id="758" w:name="_Toc246996187"/>
      <w:bookmarkStart w:id="759" w:name="_Toc17171"/>
      <w:bookmarkStart w:id="760" w:name="_Toc144974510"/>
      <w:bookmarkStart w:id="761" w:name="_Toc247085701"/>
      <w:bookmarkStart w:id="762" w:name="_Toc26040"/>
      <w:bookmarkStart w:id="763" w:name="_Toc874"/>
      <w:r>
        <w:rPr>
          <w:rFonts w:hint="eastAsia"/>
          <w:color w:val="auto"/>
          <w:highlight w:val="none"/>
        </w:rPr>
        <w:t>2. 招标文件</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pPr>
        <w:pStyle w:val="7"/>
        <w:rPr>
          <w:color w:val="auto"/>
          <w:highlight w:val="none"/>
        </w:rPr>
      </w:pPr>
      <w:bookmarkStart w:id="764" w:name="_Toc144974511"/>
      <w:bookmarkStart w:id="765" w:name="_Toc3405"/>
      <w:bookmarkStart w:id="766" w:name="_Toc16641"/>
      <w:bookmarkStart w:id="767" w:name="_Toc15908"/>
      <w:bookmarkStart w:id="768" w:name="_Toc14036"/>
      <w:bookmarkStart w:id="769" w:name="_Toc26169"/>
      <w:bookmarkStart w:id="770" w:name="_Toc247085702"/>
      <w:bookmarkStart w:id="771" w:name="_Toc436215734"/>
      <w:bookmarkStart w:id="772" w:name="_Toc152042319"/>
      <w:bookmarkStart w:id="773" w:name="_Toc7550"/>
      <w:bookmarkStart w:id="774" w:name="_Toc435178376"/>
      <w:bookmarkStart w:id="775" w:name="_Toc13576"/>
      <w:bookmarkStart w:id="776" w:name="_Toc1398"/>
      <w:bookmarkStart w:id="777" w:name="_Toc27684"/>
      <w:bookmarkStart w:id="778" w:name="_Toc10295"/>
      <w:bookmarkStart w:id="779" w:name="_Toc30113"/>
      <w:bookmarkStart w:id="780" w:name="_Toc5062"/>
      <w:bookmarkStart w:id="781" w:name="_Toc3918"/>
      <w:bookmarkStart w:id="782" w:name="_Toc32634"/>
      <w:bookmarkStart w:id="783" w:name="_Toc23929"/>
      <w:bookmarkStart w:id="784" w:name="_Toc246996931"/>
      <w:bookmarkStart w:id="785" w:name="_Toc32081"/>
      <w:bookmarkStart w:id="786" w:name="_Toc4175"/>
      <w:bookmarkStart w:id="787" w:name="_Toc12455"/>
      <w:bookmarkStart w:id="788" w:name="_Toc246996188"/>
      <w:bookmarkStart w:id="789" w:name="_Toc21528"/>
      <w:bookmarkStart w:id="790" w:name="_Toc496601943"/>
      <w:bookmarkStart w:id="791" w:name="_Toc14400"/>
      <w:bookmarkStart w:id="792" w:name="_Toc179632561"/>
      <w:bookmarkStart w:id="793" w:name="_Toc26330"/>
      <w:bookmarkStart w:id="794" w:name="_Toc152045543"/>
      <w:bookmarkStart w:id="795" w:name="_Toc20435"/>
      <w:bookmarkStart w:id="796" w:name="_Toc3391"/>
      <w:bookmarkStart w:id="797" w:name="_Toc18946"/>
      <w:bookmarkStart w:id="798" w:name="_Toc16249"/>
      <w:r>
        <w:rPr>
          <w:rFonts w:hint="eastAsia"/>
          <w:color w:val="auto"/>
          <w:highlight w:val="none"/>
        </w:rPr>
        <w:t>2.1 招标文件的组成</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pPr>
        <w:spacing w:line="360" w:lineRule="auto"/>
        <w:rPr>
          <w:color w:val="auto"/>
          <w:highlight w:val="none"/>
        </w:rPr>
      </w:pPr>
      <w:r>
        <w:rPr>
          <w:rFonts w:hint="eastAsia"/>
          <w:color w:val="auto"/>
          <w:highlight w:val="none"/>
        </w:rPr>
        <w:t>　　2.1.1 本招标文件包括：</w:t>
      </w:r>
    </w:p>
    <w:p>
      <w:pPr>
        <w:spacing w:line="360" w:lineRule="auto"/>
        <w:ind w:firstLine="359" w:firstLineChars="171"/>
        <w:rPr>
          <w:color w:val="auto"/>
          <w:highlight w:val="none"/>
        </w:rPr>
      </w:pPr>
      <w:r>
        <w:rPr>
          <w:rFonts w:hint="eastAsia"/>
          <w:color w:val="auto"/>
          <w:highlight w:val="none"/>
        </w:rPr>
        <w:t>（1）招标公告；</w:t>
      </w:r>
    </w:p>
    <w:p>
      <w:pPr>
        <w:spacing w:line="360" w:lineRule="auto"/>
        <w:ind w:firstLine="359" w:firstLineChars="171"/>
        <w:rPr>
          <w:color w:val="auto"/>
          <w:highlight w:val="none"/>
        </w:rPr>
      </w:pPr>
      <w:r>
        <w:rPr>
          <w:rFonts w:hint="eastAsia"/>
          <w:color w:val="auto"/>
          <w:highlight w:val="none"/>
        </w:rPr>
        <w:t>（2）投标人须知；</w:t>
      </w:r>
    </w:p>
    <w:p>
      <w:pPr>
        <w:spacing w:line="360" w:lineRule="auto"/>
        <w:ind w:firstLine="359" w:firstLineChars="171"/>
        <w:rPr>
          <w:color w:val="auto"/>
          <w:highlight w:val="none"/>
        </w:rPr>
      </w:pPr>
      <w:r>
        <w:rPr>
          <w:rFonts w:hint="eastAsia"/>
          <w:color w:val="auto"/>
          <w:highlight w:val="none"/>
        </w:rPr>
        <w:t>（3）评标办法；</w:t>
      </w:r>
    </w:p>
    <w:p>
      <w:pPr>
        <w:spacing w:line="360" w:lineRule="auto"/>
        <w:ind w:firstLine="359" w:firstLineChars="171"/>
        <w:rPr>
          <w:color w:val="auto"/>
          <w:highlight w:val="none"/>
        </w:rPr>
      </w:pPr>
      <w:r>
        <w:rPr>
          <w:rFonts w:hint="eastAsia"/>
          <w:color w:val="auto"/>
          <w:highlight w:val="none"/>
        </w:rPr>
        <w:t>（4）合同主要条款；</w:t>
      </w:r>
    </w:p>
    <w:p>
      <w:pPr>
        <w:spacing w:line="360" w:lineRule="auto"/>
        <w:ind w:firstLine="359" w:firstLineChars="171"/>
        <w:rPr>
          <w:color w:val="auto"/>
          <w:highlight w:val="none"/>
        </w:rPr>
      </w:pPr>
      <w:r>
        <w:rPr>
          <w:rFonts w:hint="eastAsia"/>
          <w:color w:val="auto"/>
          <w:highlight w:val="none"/>
        </w:rPr>
        <w:t xml:space="preserve">（5）投标报价； </w:t>
      </w:r>
    </w:p>
    <w:p>
      <w:pPr>
        <w:spacing w:line="360" w:lineRule="auto"/>
        <w:ind w:firstLine="359" w:firstLineChars="171"/>
        <w:rPr>
          <w:color w:val="auto"/>
          <w:highlight w:val="none"/>
        </w:rPr>
      </w:pPr>
      <w:r>
        <w:rPr>
          <w:rFonts w:hint="eastAsia"/>
          <w:color w:val="auto"/>
          <w:highlight w:val="none"/>
        </w:rPr>
        <w:t xml:space="preserve">（6）项目要求； </w:t>
      </w:r>
    </w:p>
    <w:p>
      <w:pPr>
        <w:spacing w:line="360" w:lineRule="auto"/>
        <w:ind w:firstLine="359" w:firstLineChars="171"/>
        <w:rPr>
          <w:color w:val="auto"/>
          <w:highlight w:val="none"/>
        </w:rPr>
      </w:pPr>
      <w:r>
        <w:rPr>
          <w:rFonts w:hint="eastAsia"/>
          <w:color w:val="auto"/>
          <w:highlight w:val="none"/>
        </w:rPr>
        <w:t>（7）投标文件格式。</w:t>
      </w:r>
    </w:p>
    <w:p>
      <w:pPr>
        <w:spacing w:line="360" w:lineRule="auto"/>
        <w:ind w:firstLine="420" w:firstLineChars="200"/>
        <w:rPr>
          <w:color w:val="auto"/>
          <w:highlight w:val="none"/>
        </w:rPr>
      </w:pPr>
      <w:r>
        <w:rPr>
          <w:rFonts w:hint="eastAsia"/>
          <w:color w:val="auto"/>
          <w:highlight w:val="none"/>
        </w:rPr>
        <w:t>2.1.2 根据本章第2.2款和第2.3款对招标文件所作的澄清、修改、答复，构成招标文件的组成部分。</w:t>
      </w:r>
    </w:p>
    <w:p>
      <w:pPr>
        <w:pStyle w:val="7"/>
        <w:rPr>
          <w:color w:val="auto"/>
          <w:highlight w:val="none"/>
        </w:rPr>
      </w:pPr>
      <w:bookmarkStart w:id="799" w:name="_Toc21365"/>
      <w:bookmarkStart w:id="800" w:name="_Toc436215735"/>
      <w:bookmarkStart w:id="801" w:name="_Toc179632562"/>
      <w:bookmarkStart w:id="802" w:name="_Toc246996932"/>
      <w:bookmarkStart w:id="803" w:name="_Toc246996189"/>
      <w:bookmarkStart w:id="804" w:name="_Toc247085703"/>
      <w:bookmarkStart w:id="805" w:name="_Toc435178377"/>
      <w:bookmarkStart w:id="806" w:name="_Toc14821"/>
      <w:bookmarkStart w:id="807" w:name="_Toc20537"/>
      <w:bookmarkStart w:id="808" w:name="_Toc23258"/>
      <w:bookmarkStart w:id="809" w:name="_Toc26883"/>
      <w:bookmarkStart w:id="810" w:name="_Toc17849"/>
      <w:bookmarkStart w:id="811" w:name="_Toc4315"/>
      <w:bookmarkStart w:id="812" w:name="_Toc4976"/>
      <w:bookmarkStart w:id="813" w:name="_Toc152045544"/>
      <w:bookmarkStart w:id="814" w:name="_Toc23044"/>
      <w:bookmarkStart w:id="815" w:name="_Toc9519"/>
      <w:bookmarkStart w:id="816" w:name="_Toc8151"/>
      <w:bookmarkStart w:id="817" w:name="_Toc7115"/>
      <w:bookmarkStart w:id="818" w:name="_Toc152042320"/>
      <w:bookmarkStart w:id="819" w:name="_Toc28183"/>
      <w:bookmarkStart w:id="820" w:name="_Toc6417"/>
      <w:bookmarkStart w:id="821" w:name="_Toc31136"/>
      <w:bookmarkStart w:id="822" w:name="_Toc23425"/>
      <w:bookmarkStart w:id="823" w:name="_Toc29658"/>
      <w:bookmarkStart w:id="824" w:name="_Toc18510"/>
      <w:bookmarkStart w:id="825" w:name="_Toc30797"/>
      <w:bookmarkStart w:id="826" w:name="_Toc9669"/>
      <w:bookmarkStart w:id="827" w:name="_Toc27737"/>
      <w:bookmarkStart w:id="828" w:name="_Toc144974512"/>
      <w:bookmarkStart w:id="829" w:name="_Toc11543"/>
      <w:bookmarkStart w:id="830" w:name="_Toc319"/>
      <w:bookmarkStart w:id="831" w:name="_Toc496601944"/>
      <w:bookmarkStart w:id="832" w:name="_Toc4753"/>
      <w:bookmarkStart w:id="833" w:name="_Toc25604"/>
      <w:r>
        <w:rPr>
          <w:rFonts w:hint="eastAsia"/>
          <w:color w:val="auto"/>
          <w:highlight w:val="none"/>
        </w:rPr>
        <w:t>2.2 招标文件的澄清</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Pr>
          <w:rFonts w:hint="eastAsia"/>
          <w:color w:val="auto"/>
          <w:highlight w:val="none"/>
        </w:rPr>
        <w:t xml:space="preserve"> </w:t>
      </w:r>
    </w:p>
    <w:p>
      <w:pPr>
        <w:spacing w:line="360" w:lineRule="auto"/>
        <w:ind w:firstLine="420" w:firstLineChars="200"/>
        <w:rPr>
          <w:color w:val="auto"/>
          <w:highlight w:val="none"/>
        </w:rPr>
      </w:pPr>
      <w:r>
        <w:rPr>
          <w:rFonts w:hint="eastAsia"/>
          <w:color w:val="auto"/>
          <w:highlight w:val="none"/>
        </w:rPr>
        <w:t>2.2.1 投标人应仔细阅读和检查招标文件的全部内容。</w:t>
      </w:r>
      <w:r>
        <w:rPr>
          <w:rFonts w:hint="eastAsia" w:ascii="宋体" w:hAnsi="宋体"/>
          <w:color w:val="auto"/>
          <w:szCs w:val="21"/>
          <w:highlight w:val="none"/>
        </w:rPr>
        <w:t>如发现缺页或附件不全，应及时向招标人提出，以便补齐。</w:t>
      </w:r>
      <w:r>
        <w:rPr>
          <w:rFonts w:hint="eastAsia"/>
          <w:color w:val="auto"/>
          <w:highlight w:val="none"/>
        </w:rPr>
        <w:t>如有疑问，应在投标人须知前附表规定的时间前发送电子邮件给招标人（提交疑问的文件需加盖企业公章，并以PDF的格式发送），要求招标人对招标文件予以澄清。</w:t>
      </w:r>
      <w:r>
        <w:rPr>
          <w:rFonts w:hint="eastAsia" w:ascii="宋体" w:hAnsi="宋体"/>
          <w:color w:val="auto"/>
          <w:highlight w:val="none"/>
        </w:rPr>
        <w:t>发送电子邮件地址和时间见</w:t>
      </w:r>
      <w:r>
        <w:rPr>
          <w:rFonts w:hint="eastAsia"/>
          <w:color w:val="auto"/>
          <w:highlight w:val="none"/>
        </w:rPr>
        <w:t>投标人须知前附表</w:t>
      </w:r>
      <w:r>
        <w:rPr>
          <w:rFonts w:hint="eastAsia" w:ascii="宋体" w:hAnsi="宋体"/>
          <w:color w:val="auto"/>
          <w:highlight w:val="none"/>
        </w:rPr>
        <w:t>。</w:t>
      </w:r>
    </w:p>
    <w:p>
      <w:pPr>
        <w:spacing w:line="360" w:lineRule="auto"/>
        <w:ind w:firstLine="420" w:firstLineChars="200"/>
        <w:rPr>
          <w:rFonts w:ascii="仿宋_GB2312" w:hAnsi="仿宋_GB2312" w:eastAsia="仿宋_GB2312"/>
          <w:color w:val="auto"/>
          <w:sz w:val="32"/>
          <w:szCs w:val="32"/>
          <w:highlight w:val="none"/>
        </w:rPr>
      </w:pPr>
      <w:r>
        <w:rPr>
          <w:rFonts w:hint="eastAsia"/>
          <w:color w:val="auto"/>
          <w:highlight w:val="none"/>
        </w:rPr>
        <w:t>2.2.2招标文件的澄清将通过招标人的网站统一公布。招标人将在投标截止期3日前通过招标人网站（</w:t>
      </w:r>
      <w:r>
        <w:rPr>
          <w:rFonts w:ascii="宋体" w:hAnsi="宋体" w:cs="宋体"/>
          <w:color w:val="auto"/>
          <w:kern w:val="0"/>
          <w:szCs w:val="21"/>
          <w:highlight w:val="none"/>
        </w:rPr>
        <w:t>https://zbtb.southcn.com/node_9381c01914</w:t>
      </w:r>
      <w:r>
        <w:rPr>
          <w:rFonts w:hint="eastAsia"/>
          <w:color w:val="auto"/>
          <w:highlight w:val="none"/>
        </w:rPr>
        <w:t>）答复给所有投标人，但不指明澄清问题的来源。如果澄清发出的时间距投标人须知前附表规定的投标截止时间不足3天，并且澄清内容影响投标文件编制的，将相应延长投标截止时间。</w:t>
      </w:r>
      <w:r>
        <w:rPr>
          <w:rFonts w:hint="eastAsia" w:ascii="仿宋_GB2312" w:hAnsi="仿宋_GB2312" w:eastAsia="仿宋_GB2312"/>
          <w:color w:val="auto"/>
          <w:sz w:val="32"/>
          <w:szCs w:val="32"/>
          <w:highlight w:val="none"/>
        </w:rPr>
        <w:t xml:space="preserve"> </w:t>
      </w:r>
    </w:p>
    <w:p>
      <w:pPr>
        <w:pStyle w:val="2"/>
        <w:spacing w:after="0" w:line="360" w:lineRule="auto"/>
        <w:ind w:firstLineChars="200"/>
        <w:rPr>
          <w:rFonts w:ascii="宋体" w:hAnsi="宋体"/>
          <w:color w:val="auto"/>
          <w:highlight w:val="none"/>
        </w:rPr>
      </w:pPr>
      <w:r>
        <w:rPr>
          <w:rFonts w:hint="eastAsia"/>
          <w:color w:val="auto"/>
          <w:highlight w:val="none"/>
        </w:rPr>
        <w:t>2.2.3澄清</w:t>
      </w:r>
      <w:r>
        <w:rPr>
          <w:rFonts w:hint="eastAsia" w:ascii="宋体" w:hAnsi="宋体"/>
          <w:color w:val="auto"/>
          <w:highlight w:val="none"/>
        </w:rPr>
        <w:t>内容一经在招标人网站上发布，视作已发布给所有投标人</w:t>
      </w:r>
      <w:r>
        <w:rPr>
          <w:rFonts w:hint="eastAsia"/>
          <w:bCs/>
          <w:color w:val="auto"/>
          <w:highlight w:val="none"/>
        </w:rPr>
        <w:t>。</w:t>
      </w:r>
      <w:r>
        <w:rPr>
          <w:rFonts w:hint="eastAsia"/>
          <w:color w:val="auto"/>
          <w:highlight w:val="none"/>
        </w:rPr>
        <w:t>澄清</w:t>
      </w:r>
      <w:r>
        <w:rPr>
          <w:rFonts w:hint="eastAsia"/>
          <w:bCs/>
          <w:color w:val="auto"/>
          <w:highlight w:val="none"/>
        </w:rPr>
        <w:t>文件将作为招标文件的一部分，</w:t>
      </w:r>
      <w:r>
        <w:rPr>
          <w:rFonts w:hint="eastAsia" w:ascii="宋体" w:hAnsi="宋体"/>
          <w:color w:val="auto"/>
          <w:highlight w:val="none"/>
        </w:rPr>
        <w:t>视为签订合同和项目结算的依据。</w:t>
      </w:r>
    </w:p>
    <w:p>
      <w:pPr>
        <w:pStyle w:val="2"/>
        <w:spacing w:after="0" w:line="360" w:lineRule="auto"/>
        <w:ind w:firstLineChars="200"/>
        <w:rPr>
          <w:rFonts w:ascii="宋体" w:hAnsi="宋体"/>
          <w:color w:val="auto"/>
          <w:highlight w:val="none"/>
        </w:rPr>
      </w:pPr>
      <w:r>
        <w:rPr>
          <w:color w:val="auto"/>
          <w:kern w:val="0"/>
          <w:szCs w:val="21"/>
          <w:highlight w:val="none"/>
        </w:rPr>
        <w:t xml:space="preserve">2.2.4 </w:t>
      </w:r>
      <w:r>
        <w:rPr>
          <w:rFonts w:ascii="宋体" w:hAnsi="宋体" w:cs="宋体"/>
          <w:color w:val="auto"/>
          <w:kern w:val="0"/>
          <w:szCs w:val="21"/>
          <w:highlight w:val="none"/>
        </w:rPr>
        <w:t>除非招标人认为确有必要答复，否则，招标人有权拒绝回复投标人在本章第</w:t>
      </w:r>
      <w:r>
        <w:rPr>
          <w:color w:val="auto"/>
          <w:kern w:val="0"/>
          <w:szCs w:val="21"/>
          <w:highlight w:val="none"/>
        </w:rPr>
        <w:t>2.2.1</w:t>
      </w:r>
      <w:r>
        <w:rPr>
          <w:rFonts w:ascii="宋体" w:hAnsi="宋体" w:cs="宋体"/>
          <w:color w:val="auto"/>
          <w:kern w:val="0"/>
          <w:szCs w:val="21"/>
          <w:highlight w:val="none"/>
        </w:rPr>
        <w:t>项规定的时间后的任何澄清要求。</w:t>
      </w:r>
    </w:p>
    <w:p>
      <w:pPr>
        <w:pStyle w:val="7"/>
        <w:rPr>
          <w:color w:val="auto"/>
          <w:highlight w:val="none"/>
        </w:rPr>
      </w:pPr>
      <w:bookmarkStart w:id="834" w:name="_Toc152045545"/>
      <w:bookmarkStart w:id="835" w:name="_Toc31964"/>
      <w:bookmarkStart w:id="836" w:name="_Toc10352"/>
      <w:bookmarkStart w:id="837" w:name="_Toc17355"/>
      <w:bookmarkStart w:id="838" w:name="_Toc15065"/>
      <w:bookmarkStart w:id="839" w:name="_Toc6497"/>
      <w:bookmarkStart w:id="840" w:name="_Toc25208"/>
      <w:bookmarkStart w:id="841" w:name="_Toc21038"/>
      <w:bookmarkStart w:id="842" w:name="_Toc14495"/>
      <w:bookmarkStart w:id="843" w:name="_Toc247085704"/>
      <w:bookmarkStart w:id="844" w:name="_Toc32701"/>
      <w:bookmarkStart w:id="845" w:name="_Toc152042321"/>
      <w:bookmarkStart w:id="846" w:name="_Toc19299"/>
      <w:bookmarkStart w:id="847" w:name="_Toc23192"/>
      <w:bookmarkStart w:id="848" w:name="_Toc5711"/>
      <w:bookmarkStart w:id="849" w:name="_Toc10780"/>
      <w:bookmarkStart w:id="850" w:name="_Toc5846"/>
      <w:bookmarkStart w:id="851" w:name="_Toc496601945"/>
      <w:bookmarkStart w:id="852" w:name="_Toc9449"/>
      <w:bookmarkStart w:id="853" w:name="_Toc21136"/>
      <w:bookmarkStart w:id="854" w:name="_Toc246996933"/>
      <w:bookmarkStart w:id="855" w:name="_Toc21167"/>
      <w:bookmarkStart w:id="856" w:name="_Toc436215736"/>
      <w:bookmarkStart w:id="857" w:name="_Toc435178378"/>
      <w:bookmarkStart w:id="858" w:name="_Toc8288"/>
      <w:bookmarkStart w:id="859" w:name="_Toc13364"/>
      <w:bookmarkStart w:id="860" w:name="_Toc246996190"/>
      <w:bookmarkStart w:id="861" w:name="_Toc5264"/>
      <w:bookmarkStart w:id="862" w:name="_Toc16378"/>
      <w:bookmarkStart w:id="863" w:name="_Toc23380"/>
      <w:bookmarkStart w:id="864" w:name="_Toc179632563"/>
      <w:bookmarkStart w:id="865" w:name="_Toc144974513"/>
      <w:bookmarkStart w:id="866" w:name="_Toc30983"/>
      <w:bookmarkStart w:id="867" w:name="_Toc29015"/>
      <w:bookmarkStart w:id="868" w:name="_Toc16908"/>
      <w:r>
        <w:rPr>
          <w:rFonts w:hint="eastAsia"/>
          <w:color w:val="auto"/>
          <w:highlight w:val="none"/>
        </w:rPr>
        <w:t>2.3 招标文件的修改</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pPr>
        <w:spacing w:line="360" w:lineRule="auto"/>
        <w:ind w:firstLine="420" w:firstLineChars="200"/>
        <w:rPr>
          <w:color w:val="auto"/>
          <w:highlight w:val="none"/>
        </w:rPr>
      </w:pPr>
      <w:bookmarkStart w:id="869" w:name="_Toc152045546"/>
      <w:bookmarkStart w:id="870" w:name="_Toc247085705"/>
      <w:bookmarkStart w:id="871" w:name="_Toc144974514"/>
      <w:bookmarkStart w:id="872" w:name="_Toc246996191"/>
      <w:bookmarkStart w:id="873" w:name="_Toc246996934"/>
      <w:bookmarkStart w:id="874" w:name="_Toc179632564"/>
      <w:bookmarkStart w:id="875" w:name="_Toc152042322"/>
      <w:r>
        <w:rPr>
          <w:rFonts w:hint="eastAsia"/>
          <w:color w:val="auto"/>
          <w:highlight w:val="none"/>
        </w:rPr>
        <w:t>2.3.1招标人可以通过招标人网站统一发布修改招标文件的内容。但如果修改招标文件的时间距投标截止时间不足3天，并且修改内容影响投标文件编制的，将相应延长投标截止时间。</w:t>
      </w:r>
    </w:p>
    <w:p>
      <w:pPr>
        <w:spacing w:line="360" w:lineRule="auto"/>
        <w:ind w:firstLine="420" w:firstLineChars="200"/>
        <w:rPr>
          <w:rFonts w:ascii="宋体" w:hAnsi="宋体"/>
          <w:color w:val="auto"/>
          <w:highlight w:val="none"/>
        </w:rPr>
      </w:pPr>
      <w:r>
        <w:rPr>
          <w:rFonts w:hint="eastAsia"/>
          <w:color w:val="auto"/>
          <w:highlight w:val="none"/>
        </w:rPr>
        <w:t>2.3.2修改</w:t>
      </w:r>
      <w:r>
        <w:rPr>
          <w:rFonts w:hint="eastAsia" w:ascii="宋体" w:hAnsi="宋体"/>
          <w:color w:val="auto"/>
          <w:highlight w:val="none"/>
        </w:rPr>
        <w:t>内容一经在招标人网站上发布，视作已发布给所有投标人</w:t>
      </w:r>
      <w:r>
        <w:rPr>
          <w:rFonts w:hint="eastAsia"/>
          <w:bCs/>
          <w:color w:val="auto"/>
          <w:highlight w:val="none"/>
        </w:rPr>
        <w:t>。</w:t>
      </w:r>
      <w:r>
        <w:rPr>
          <w:rFonts w:hint="eastAsia"/>
          <w:color w:val="auto"/>
          <w:highlight w:val="none"/>
        </w:rPr>
        <w:t>修改的</w:t>
      </w:r>
      <w:r>
        <w:rPr>
          <w:rFonts w:hint="eastAsia"/>
          <w:bCs/>
          <w:color w:val="auto"/>
          <w:highlight w:val="none"/>
        </w:rPr>
        <w:t>文件将作为招标文件的一部分，</w:t>
      </w:r>
      <w:r>
        <w:rPr>
          <w:rFonts w:hint="eastAsia" w:ascii="宋体" w:hAnsi="宋体"/>
          <w:color w:val="auto"/>
          <w:highlight w:val="none"/>
        </w:rPr>
        <w:t>视为签订合同和项目结算的依据。</w:t>
      </w:r>
    </w:p>
    <w:p>
      <w:pPr>
        <w:pStyle w:val="7"/>
        <w:rPr>
          <w:color w:val="auto"/>
          <w:highlight w:val="none"/>
        </w:rPr>
      </w:pPr>
      <w:bookmarkStart w:id="876" w:name="_Toc26636"/>
      <w:bookmarkStart w:id="877" w:name="_Toc19471"/>
      <w:bookmarkStart w:id="878" w:name="_Toc18534"/>
      <w:bookmarkStart w:id="879" w:name="_Toc1591"/>
      <w:bookmarkStart w:id="880" w:name="_Toc15358"/>
      <w:bookmarkStart w:id="881" w:name="_Toc1422"/>
      <w:bookmarkStart w:id="882" w:name="_Toc1579"/>
      <w:bookmarkStart w:id="883" w:name="_Toc2865"/>
      <w:bookmarkStart w:id="884" w:name="_Toc4857"/>
      <w:bookmarkStart w:id="885" w:name="_Toc6204"/>
      <w:bookmarkStart w:id="886" w:name="_Toc683"/>
      <w:bookmarkStart w:id="887" w:name="_Toc30180"/>
      <w:bookmarkStart w:id="888" w:name="_Toc22034"/>
      <w:bookmarkStart w:id="889" w:name="_Toc28644"/>
      <w:bookmarkStart w:id="890" w:name="_Toc23008"/>
      <w:bookmarkStart w:id="891" w:name="_Toc22515"/>
      <w:bookmarkStart w:id="892" w:name="_Toc30544"/>
      <w:bookmarkStart w:id="893" w:name="_Toc28839"/>
      <w:bookmarkStart w:id="894" w:name="_Toc27236"/>
      <w:bookmarkStart w:id="895" w:name="_Toc5591"/>
      <w:bookmarkStart w:id="896" w:name="_Toc5543"/>
      <w:bookmarkStart w:id="897" w:name="_Toc32694"/>
      <w:bookmarkStart w:id="898" w:name="_Toc31917"/>
      <w:bookmarkStart w:id="899" w:name="_Toc11564"/>
      <w:bookmarkStart w:id="900" w:name="_Toc27269"/>
      <w:r>
        <w:rPr>
          <w:color w:val="auto"/>
          <w:highlight w:val="none"/>
        </w:rPr>
        <w:t>2.4 招标文件的异议</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 xml:space="preserve">2.4.1 </w:t>
      </w:r>
      <w:r>
        <w:rPr>
          <w:rFonts w:ascii="宋体" w:hAnsi="宋体" w:cs="宋体"/>
          <w:color w:val="auto"/>
          <w:kern w:val="0"/>
          <w:szCs w:val="21"/>
          <w:highlight w:val="none"/>
        </w:rPr>
        <w:t>投标人或者其他利害关系人对招标文件有异议的，应当在投标截止时间</w:t>
      </w:r>
      <w:r>
        <w:rPr>
          <w:color w:val="auto"/>
          <w:kern w:val="0"/>
          <w:szCs w:val="21"/>
          <w:highlight w:val="none"/>
        </w:rPr>
        <w:t>10</w:t>
      </w:r>
      <w:r>
        <w:rPr>
          <w:rFonts w:ascii="宋体" w:hAnsi="宋体" w:cs="宋体"/>
          <w:color w:val="auto"/>
          <w:kern w:val="0"/>
          <w:szCs w:val="21"/>
          <w:highlight w:val="none"/>
        </w:rPr>
        <w:t>日前以书面形式提出。</w:t>
      </w:r>
    </w:p>
    <w:p>
      <w:pPr>
        <w:spacing w:line="360" w:lineRule="auto"/>
        <w:ind w:firstLine="420" w:firstLineChars="200"/>
        <w:rPr>
          <w:color w:val="auto"/>
          <w:highlight w:val="none"/>
        </w:rPr>
      </w:pPr>
      <w:r>
        <w:rPr>
          <w:rFonts w:hint="eastAsia" w:ascii="宋体" w:hAnsi="宋体" w:cs="宋体"/>
          <w:color w:val="auto"/>
          <w:kern w:val="0"/>
          <w:szCs w:val="21"/>
          <w:highlight w:val="none"/>
        </w:rPr>
        <w:t>2.4.2对</w:t>
      </w:r>
      <w:r>
        <w:rPr>
          <w:rFonts w:hint="eastAsia"/>
          <w:color w:val="auto"/>
          <w:highlight w:val="none"/>
        </w:rPr>
        <w:t>招标文件的异议答复</w:t>
      </w:r>
      <w:r>
        <w:rPr>
          <w:rFonts w:hint="eastAsia"/>
          <w:color w:val="auto"/>
          <w:highlight w:val="none"/>
          <w:lang w:eastAsia="zh-CN"/>
        </w:rPr>
        <w:t>将</w:t>
      </w:r>
      <w:r>
        <w:rPr>
          <w:rFonts w:hint="eastAsia"/>
          <w:color w:val="auto"/>
          <w:highlight w:val="none"/>
        </w:rPr>
        <w:t>通过招标人的网站统一公布，答复</w:t>
      </w:r>
      <w:r>
        <w:rPr>
          <w:rFonts w:hint="eastAsia" w:ascii="宋体" w:hAnsi="宋体"/>
          <w:color w:val="auto"/>
          <w:highlight w:val="none"/>
        </w:rPr>
        <w:t>内容一经在招标人网站上发布，视作已发布给所有投标人</w:t>
      </w:r>
      <w:r>
        <w:rPr>
          <w:rFonts w:hint="eastAsia"/>
          <w:bCs/>
          <w:color w:val="auto"/>
          <w:highlight w:val="none"/>
        </w:rPr>
        <w:t>。</w:t>
      </w:r>
      <w:r>
        <w:rPr>
          <w:rFonts w:hint="eastAsia"/>
          <w:color w:val="auto"/>
          <w:highlight w:val="none"/>
        </w:rPr>
        <w:t>答复</w:t>
      </w:r>
      <w:r>
        <w:rPr>
          <w:rFonts w:hint="eastAsia"/>
          <w:bCs/>
          <w:color w:val="auto"/>
          <w:highlight w:val="none"/>
        </w:rPr>
        <w:t>文件将作为招标文件的一部分，</w:t>
      </w:r>
      <w:r>
        <w:rPr>
          <w:rFonts w:hint="eastAsia" w:ascii="宋体" w:hAnsi="宋体"/>
          <w:color w:val="auto"/>
          <w:highlight w:val="none"/>
        </w:rPr>
        <w:t>视为签订合同和项目结算的依据。</w:t>
      </w:r>
    </w:p>
    <w:p>
      <w:pPr>
        <w:pStyle w:val="6"/>
        <w:spacing w:line="360" w:lineRule="auto"/>
        <w:rPr>
          <w:color w:val="auto"/>
          <w:highlight w:val="none"/>
        </w:rPr>
      </w:pPr>
      <w:bookmarkStart w:id="901" w:name="_Toc1836"/>
      <w:bookmarkStart w:id="902" w:name="_Toc21128"/>
      <w:bookmarkStart w:id="903" w:name="_Toc25401"/>
      <w:bookmarkStart w:id="904" w:name="_Toc496601946"/>
      <w:bookmarkStart w:id="905" w:name="_Toc22190"/>
      <w:bookmarkStart w:id="906" w:name="_Toc17009"/>
      <w:bookmarkStart w:id="907" w:name="_Toc19198"/>
      <w:bookmarkStart w:id="908" w:name="_Toc3356"/>
      <w:bookmarkStart w:id="909" w:name="_Toc7269"/>
      <w:bookmarkStart w:id="910" w:name="_Toc18644"/>
      <w:bookmarkStart w:id="911" w:name="_Toc8980"/>
      <w:bookmarkStart w:id="912" w:name="_Toc23221"/>
      <w:bookmarkStart w:id="913" w:name="_Toc20981"/>
      <w:bookmarkStart w:id="914" w:name="_Toc9518"/>
      <w:bookmarkStart w:id="915" w:name="_Toc31674"/>
      <w:bookmarkStart w:id="916" w:name="_Toc11353"/>
      <w:bookmarkStart w:id="917" w:name="_Toc25698"/>
      <w:bookmarkStart w:id="918" w:name="_Toc25145"/>
      <w:bookmarkStart w:id="919" w:name="_Toc30716"/>
      <w:bookmarkStart w:id="920" w:name="_Toc17592"/>
      <w:bookmarkStart w:id="921" w:name="_Toc436215737"/>
      <w:bookmarkStart w:id="922" w:name="_Toc19158"/>
      <w:bookmarkStart w:id="923" w:name="_Toc6907"/>
      <w:bookmarkStart w:id="924" w:name="_Toc435178379"/>
      <w:bookmarkStart w:id="925" w:name="_Toc31802"/>
      <w:bookmarkStart w:id="926" w:name="_Toc32019"/>
      <w:bookmarkStart w:id="927" w:name="_Toc1886"/>
      <w:bookmarkStart w:id="928" w:name="_Toc31510"/>
      <w:r>
        <w:rPr>
          <w:rFonts w:hint="eastAsia"/>
          <w:color w:val="auto"/>
          <w:highlight w:val="none"/>
        </w:rPr>
        <w:t>3. 投标文件</w:t>
      </w:r>
      <w:bookmarkEnd w:id="869"/>
      <w:bookmarkEnd w:id="870"/>
      <w:bookmarkEnd w:id="871"/>
      <w:bookmarkEnd w:id="872"/>
      <w:bookmarkEnd w:id="873"/>
      <w:bookmarkEnd w:id="874"/>
      <w:bookmarkEnd w:id="875"/>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pPr>
        <w:pStyle w:val="7"/>
        <w:rPr>
          <w:color w:val="auto"/>
          <w:highlight w:val="none"/>
        </w:rPr>
      </w:pPr>
      <w:bookmarkStart w:id="929" w:name="_Toc435178380"/>
      <w:bookmarkStart w:id="930" w:name="_Toc152042323"/>
      <w:bookmarkStart w:id="931" w:name="_Toc246996935"/>
      <w:bookmarkStart w:id="932" w:name="_Toc436215738"/>
      <w:bookmarkStart w:id="933" w:name="_Toc246996192"/>
      <w:bookmarkStart w:id="934" w:name="_Toc247085706"/>
      <w:bookmarkStart w:id="935" w:name="_Toc144974515"/>
      <w:bookmarkStart w:id="936" w:name="_Toc152045547"/>
      <w:bookmarkStart w:id="937" w:name="_Toc179632565"/>
      <w:bookmarkStart w:id="938" w:name="_Toc23273"/>
      <w:bookmarkStart w:id="939" w:name="_Toc1022"/>
      <w:bookmarkStart w:id="940" w:name="_Toc16134"/>
      <w:bookmarkStart w:id="941" w:name="_Toc29216"/>
      <w:bookmarkStart w:id="942" w:name="_Toc28060"/>
      <w:bookmarkStart w:id="943" w:name="_Toc12765"/>
      <w:bookmarkStart w:id="944" w:name="_Toc7773"/>
      <w:bookmarkStart w:id="945" w:name="_Toc28517"/>
      <w:bookmarkStart w:id="946" w:name="_Toc23758"/>
      <w:bookmarkStart w:id="947" w:name="_Toc1130"/>
      <w:bookmarkStart w:id="948" w:name="_Toc6786"/>
      <w:bookmarkStart w:id="949" w:name="_Toc32077"/>
      <w:bookmarkStart w:id="950" w:name="_Toc12703"/>
      <w:bookmarkStart w:id="951" w:name="_Toc11096"/>
      <w:bookmarkStart w:id="952" w:name="_Toc29687"/>
      <w:bookmarkStart w:id="953" w:name="_Toc7707"/>
      <w:bookmarkStart w:id="954" w:name="_Toc18679"/>
      <w:bookmarkStart w:id="955" w:name="_Toc2763"/>
      <w:bookmarkStart w:id="956" w:name="_Toc19203"/>
      <w:bookmarkStart w:id="957" w:name="_Toc14107"/>
      <w:bookmarkStart w:id="958" w:name="_Toc19109"/>
      <w:bookmarkStart w:id="959" w:name="_Toc22739"/>
      <w:bookmarkStart w:id="960" w:name="_Toc7551"/>
      <w:bookmarkStart w:id="961" w:name="_Toc4353"/>
      <w:bookmarkStart w:id="962" w:name="_Toc9067"/>
      <w:bookmarkStart w:id="963" w:name="_Toc496601947"/>
      <w:r>
        <w:rPr>
          <w:rFonts w:hint="eastAsia"/>
          <w:color w:val="auto"/>
          <w:highlight w:val="none"/>
        </w:rPr>
        <w:t>3.1 投标文件</w:t>
      </w:r>
      <w:bookmarkEnd w:id="929"/>
      <w:bookmarkEnd w:id="930"/>
      <w:bookmarkEnd w:id="931"/>
      <w:bookmarkEnd w:id="932"/>
      <w:bookmarkEnd w:id="933"/>
      <w:bookmarkEnd w:id="934"/>
      <w:bookmarkEnd w:id="935"/>
      <w:bookmarkEnd w:id="936"/>
      <w:bookmarkEnd w:id="937"/>
      <w:r>
        <w:rPr>
          <w:rFonts w:hint="eastAsia"/>
          <w:color w:val="auto"/>
          <w:highlight w:val="none"/>
        </w:rPr>
        <w:t>的组成</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pPr>
        <w:spacing w:line="360" w:lineRule="auto"/>
        <w:ind w:firstLine="424" w:firstLineChars="202"/>
        <w:rPr>
          <w:color w:val="auto"/>
          <w:highlight w:val="none"/>
        </w:rPr>
      </w:pPr>
      <w:r>
        <w:rPr>
          <w:rFonts w:hint="eastAsia"/>
          <w:color w:val="auto"/>
          <w:highlight w:val="none"/>
        </w:rPr>
        <w:t>3.1.1 具体要求详见本招标文件第</w:t>
      </w:r>
      <w:r>
        <w:rPr>
          <w:rFonts w:hint="eastAsia"/>
          <w:color w:val="auto"/>
          <w:highlight w:val="none"/>
          <w:lang w:eastAsia="zh-CN"/>
        </w:rPr>
        <w:t>六</w:t>
      </w:r>
      <w:r>
        <w:rPr>
          <w:rFonts w:hint="eastAsia"/>
          <w:color w:val="auto"/>
          <w:highlight w:val="none"/>
        </w:rPr>
        <w:t>章。</w:t>
      </w:r>
    </w:p>
    <w:p>
      <w:pPr>
        <w:pStyle w:val="95"/>
        <w:ind w:firstLine="424" w:firstLineChars="202"/>
        <w:rPr>
          <w:color w:val="auto"/>
          <w:highlight w:val="none"/>
        </w:rPr>
      </w:pPr>
      <w:r>
        <w:rPr>
          <w:rFonts w:hint="eastAsia" w:ascii="Times New Roman" w:hAnsi="Times New Roman" w:cs="Times New Roman"/>
          <w:color w:val="auto"/>
          <w:kern w:val="2"/>
          <w:sz w:val="21"/>
          <w:highlight w:val="none"/>
        </w:rPr>
        <w:t xml:space="preserve">3.1.2 </w:t>
      </w:r>
      <w:r>
        <w:rPr>
          <w:rFonts w:ascii="Times New Roman" w:hAnsi="Times New Roman" w:cs="Times New Roman"/>
          <w:color w:val="auto"/>
          <w:kern w:val="2"/>
          <w:sz w:val="21"/>
          <w:highlight w:val="none"/>
        </w:rPr>
        <w:t>投标人在评标过程中作出的符合法律法规和招标文件规定的澄清确认，构成投标文件的组成部分。</w:t>
      </w:r>
    </w:p>
    <w:p>
      <w:pPr>
        <w:pStyle w:val="7"/>
        <w:rPr>
          <w:rFonts w:ascii="宋体" w:hAnsi="宋体"/>
          <w:color w:val="auto"/>
          <w:sz w:val="21"/>
          <w:szCs w:val="21"/>
          <w:highlight w:val="none"/>
        </w:rPr>
      </w:pPr>
      <w:bookmarkStart w:id="964" w:name="_Toc496601948"/>
      <w:bookmarkStart w:id="965" w:name="_Toc247085707"/>
      <w:bookmarkStart w:id="966" w:name="_Toc7913"/>
      <w:bookmarkStart w:id="967" w:name="_Toc21657"/>
      <w:bookmarkStart w:id="968" w:name="_Toc19045"/>
      <w:bookmarkStart w:id="969" w:name="_Toc27782"/>
      <w:bookmarkStart w:id="970" w:name="_Toc21454"/>
      <w:bookmarkStart w:id="971" w:name="_Toc9172"/>
      <w:bookmarkStart w:id="972" w:name="_Toc14867"/>
      <w:bookmarkStart w:id="973" w:name="_Toc246996936"/>
      <w:bookmarkStart w:id="974" w:name="_Toc179632566"/>
      <w:bookmarkStart w:id="975" w:name="_Toc2870"/>
      <w:bookmarkStart w:id="976" w:name="_Toc246996193"/>
      <w:bookmarkStart w:id="977" w:name="_Toc24190"/>
      <w:bookmarkStart w:id="978" w:name="_Toc28102"/>
      <w:bookmarkStart w:id="979" w:name="_Toc15510"/>
      <w:bookmarkStart w:id="980" w:name="_Toc144974516"/>
      <w:bookmarkStart w:id="981" w:name="_Toc3419"/>
      <w:bookmarkStart w:id="982" w:name="_Toc526"/>
      <w:bookmarkStart w:id="983" w:name="_Toc13523"/>
      <w:bookmarkStart w:id="984" w:name="_Toc436215739"/>
      <w:bookmarkStart w:id="985" w:name="_Toc435178381"/>
      <w:bookmarkStart w:id="986" w:name="_Toc25183"/>
      <w:bookmarkStart w:id="987" w:name="_Toc28862"/>
      <w:bookmarkStart w:id="988" w:name="_Toc152045548"/>
      <w:bookmarkStart w:id="989" w:name="_Toc16994"/>
      <w:bookmarkStart w:id="990" w:name="_Toc8652"/>
      <w:bookmarkStart w:id="991" w:name="_Toc137"/>
      <w:bookmarkStart w:id="992" w:name="_Toc21576"/>
      <w:bookmarkStart w:id="993" w:name="_Toc27166"/>
      <w:bookmarkStart w:id="994" w:name="_Toc32702"/>
      <w:bookmarkStart w:id="995" w:name="_Toc7999"/>
      <w:bookmarkStart w:id="996" w:name="_Toc152042324"/>
      <w:bookmarkStart w:id="997" w:name="_Toc850"/>
      <w:bookmarkStart w:id="998" w:name="_Toc30079"/>
      <w:r>
        <w:rPr>
          <w:rFonts w:hint="eastAsia"/>
          <w:color w:val="auto"/>
          <w:highlight w:val="none"/>
        </w:rPr>
        <w:t>3.2 投标报价</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pPr>
        <w:spacing w:line="360" w:lineRule="auto"/>
        <w:ind w:firstLine="420" w:firstLineChars="200"/>
        <w:rPr>
          <w:color w:val="auto"/>
          <w:highlight w:val="none"/>
        </w:rPr>
      </w:pPr>
      <w:r>
        <w:rPr>
          <w:rFonts w:hint="eastAsia"/>
          <w:color w:val="auto"/>
          <w:highlight w:val="none"/>
        </w:rPr>
        <w:t xml:space="preserve">3.2.1 </w:t>
      </w:r>
      <w:r>
        <w:rPr>
          <w:color w:val="auto"/>
          <w:highlight w:val="none"/>
        </w:rPr>
        <w:t>投标报价应包括国家规定的增值税税金，除投标人须知前附表另有规定外，增值税税金按一般计税方法计算。</w:t>
      </w:r>
      <w:r>
        <w:rPr>
          <w:rFonts w:hint="eastAsia"/>
          <w:color w:val="auto"/>
          <w:highlight w:val="none"/>
        </w:rPr>
        <w:t>投标人应按第五章“投标报价”的要求填写相应表格。</w:t>
      </w:r>
    </w:p>
    <w:p>
      <w:pPr>
        <w:spacing w:line="360" w:lineRule="auto"/>
        <w:ind w:firstLine="420" w:firstLineChars="200"/>
        <w:rPr>
          <w:color w:val="auto"/>
          <w:highlight w:val="none"/>
        </w:rPr>
      </w:pPr>
      <w:bookmarkStart w:id="999" w:name="_Toc152042325"/>
      <w:bookmarkStart w:id="1000" w:name="_Toc144974517"/>
      <w:bookmarkStart w:id="1001" w:name="_Toc179632567"/>
      <w:bookmarkStart w:id="1002" w:name="_Toc152045549"/>
      <w:r>
        <w:rPr>
          <w:rFonts w:hint="eastAsia"/>
          <w:color w:val="auto"/>
          <w:highlight w:val="none"/>
        </w:rPr>
        <w:t>3.2.2 招标人设有最高投标限价的，投标人的投标报价不得超过最高投标限价，最高投标限价在投标人须知前附表中载明。</w:t>
      </w:r>
    </w:p>
    <w:p>
      <w:pPr>
        <w:spacing w:line="360" w:lineRule="auto"/>
        <w:ind w:firstLine="420" w:firstLineChars="200"/>
        <w:rPr>
          <w:color w:val="auto"/>
          <w:highlight w:val="none"/>
        </w:rPr>
      </w:pPr>
      <w:r>
        <w:rPr>
          <w:color w:val="auto"/>
          <w:highlight w:val="none"/>
        </w:rPr>
        <w:t>3.2.</w:t>
      </w:r>
      <w:r>
        <w:rPr>
          <w:rFonts w:hint="eastAsia"/>
          <w:color w:val="auto"/>
          <w:highlight w:val="none"/>
        </w:rPr>
        <w:t>3</w:t>
      </w:r>
      <w:r>
        <w:rPr>
          <w:color w:val="auto"/>
          <w:highlight w:val="none"/>
        </w:rPr>
        <w:t xml:space="preserve"> 投标人应充分了解该项目的总体情况以及影响投标报价的其他要素。</w:t>
      </w:r>
    </w:p>
    <w:p>
      <w:pPr>
        <w:spacing w:line="360" w:lineRule="auto"/>
        <w:ind w:firstLine="420" w:firstLineChars="200"/>
        <w:rPr>
          <w:color w:val="auto"/>
          <w:highlight w:val="none"/>
        </w:rPr>
      </w:pPr>
      <w:r>
        <w:rPr>
          <w:color w:val="auto"/>
          <w:highlight w:val="none"/>
        </w:rPr>
        <w:t>3.2.</w:t>
      </w:r>
      <w:r>
        <w:rPr>
          <w:rFonts w:hint="eastAsia"/>
          <w:color w:val="auto"/>
          <w:highlight w:val="none"/>
        </w:rPr>
        <w:t>4</w:t>
      </w:r>
      <w:r>
        <w:rPr>
          <w:rFonts w:ascii="宋体" w:hAnsi="宋体" w:cs="宋体"/>
          <w:color w:val="auto"/>
          <w:kern w:val="0"/>
          <w:szCs w:val="21"/>
          <w:highlight w:val="none"/>
        </w:rPr>
        <w:t>投标报价有算术错误及其他错误的</w:t>
      </w:r>
      <w:r>
        <w:rPr>
          <w:rFonts w:hint="eastAsia" w:ascii="宋体" w:hAnsi="宋体" w:cs="宋体"/>
          <w:color w:val="auto"/>
          <w:kern w:val="0"/>
          <w:szCs w:val="21"/>
          <w:highlight w:val="none"/>
        </w:rPr>
        <w:t>，修正方式详见本招标文件第三章3.1.3条款。</w:t>
      </w:r>
    </w:p>
    <w:p>
      <w:pPr>
        <w:spacing w:line="360" w:lineRule="auto"/>
        <w:ind w:firstLine="420" w:firstLineChars="200"/>
        <w:rPr>
          <w:color w:val="auto"/>
          <w:highlight w:val="none"/>
        </w:rPr>
      </w:pPr>
      <w:r>
        <w:rPr>
          <w:color w:val="auto"/>
          <w:highlight w:val="none"/>
        </w:rPr>
        <w:t>3.2.</w:t>
      </w:r>
      <w:r>
        <w:rPr>
          <w:rFonts w:hint="eastAsia"/>
          <w:color w:val="auto"/>
          <w:highlight w:val="none"/>
        </w:rPr>
        <w:t>4</w:t>
      </w:r>
      <w:r>
        <w:rPr>
          <w:color w:val="auto"/>
          <w:highlight w:val="none"/>
        </w:rPr>
        <w:t>投标报价的其他要求见投标人须知前附表。</w:t>
      </w:r>
    </w:p>
    <w:p>
      <w:pPr>
        <w:pStyle w:val="7"/>
        <w:rPr>
          <w:color w:val="auto"/>
          <w:highlight w:val="none"/>
        </w:rPr>
      </w:pPr>
      <w:bookmarkStart w:id="1003" w:name="_Toc4728"/>
      <w:bookmarkStart w:id="1004" w:name="_Toc20364"/>
      <w:bookmarkStart w:id="1005" w:name="_Toc29804"/>
      <w:bookmarkStart w:id="1006" w:name="_Toc496601949"/>
      <w:bookmarkStart w:id="1007" w:name="_Toc7216"/>
      <w:bookmarkStart w:id="1008" w:name="_Toc32112"/>
      <w:bookmarkStart w:id="1009" w:name="_Toc3099"/>
      <w:bookmarkStart w:id="1010" w:name="_Toc3512"/>
      <w:bookmarkStart w:id="1011" w:name="_Toc21757"/>
      <w:bookmarkStart w:id="1012" w:name="_Toc11682"/>
      <w:bookmarkStart w:id="1013" w:name="_Toc28575"/>
      <w:bookmarkStart w:id="1014" w:name="_Toc25647"/>
      <w:bookmarkStart w:id="1015" w:name="_Toc246996194"/>
      <w:bookmarkStart w:id="1016" w:name="_Toc32592"/>
      <w:bookmarkStart w:id="1017" w:name="_Toc10620"/>
      <w:bookmarkStart w:id="1018" w:name="_Toc4313"/>
      <w:bookmarkStart w:id="1019" w:name="_Toc435178382"/>
      <w:bookmarkStart w:id="1020" w:name="_Toc26049"/>
      <w:bookmarkStart w:id="1021" w:name="_Toc2188"/>
      <w:bookmarkStart w:id="1022" w:name="_Toc21126"/>
      <w:bookmarkStart w:id="1023" w:name="_Toc22491"/>
      <w:bookmarkStart w:id="1024" w:name="_Toc28235"/>
      <w:bookmarkStart w:id="1025" w:name="_Toc5666"/>
      <w:bookmarkStart w:id="1026" w:name="_Toc12766"/>
      <w:bookmarkStart w:id="1027" w:name="_Toc246996937"/>
      <w:bookmarkStart w:id="1028" w:name="_Toc247085708"/>
      <w:bookmarkStart w:id="1029" w:name="_Toc16838"/>
      <w:bookmarkStart w:id="1030" w:name="_Toc7334"/>
      <w:bookmarkStart w:id="1031" w:name="_Toc31963"/>
      <w:bookmarkStart w:id="1032" w:name="_Toc7431"/>
      <w:bookmarkStart w:id="1033" w:name="_Toc436215740"/>
      <w:r>
        <w:rPr>
          <w:rFonts w:hint="eastAsia"/>
          <w:color w:val="auto"/>
          <w:highlight w:val="none"/>
        </w:rPr>
        <w:t>3.3 投标有效期</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pPr>
        <w:spacing w:line="360" w:lineRule="auto"/>
        <w:ind w:firstLine="420" w:firstLineChars="200"/>
        <w:rPr>
          <w:color w:val="auto"/>
          <w:highlight w:val="none"/>
        </w:rPr>
      </w:pPr>
      <w:r>
        <w:rPr>
          <w:rFonts w:hint="eastAsia"/>
          <w:color w:val="auto"/>
          <w:highlight w:val="none"/>
        </w:rPr>
        <w:t>3.3.1 除投标人须知前附表另有规定外，投标有效期为90天。</w:t>
      </w:r>
    </w:p>
    <w:p>
      <w:pPr>
        <w:spacing w:line="360" w:lineRule="auto"/>
        <w:ind w:firstLine="420" w:firstLineChars="200"/>
        <w:rPr>
          <w:color w:val="auto"/>
          <w:highlight w:val="none"/>
        </w:rPr>
      </w:pPr>
      <w:r>
        <w:rPr>
          <w:rFonts w:hint="eastAsia"/>
          <w:color w:val="auto"/>
          <w:highlight w:val="none"/>
        </w:rPr>
        <w:t>3.3.2在投标有效期内，投标人撤销或修改其投标文件的，应承担招标文件和法律规定的责任。</w:t>
      </w:r>
    </w:p>
    <w:p>
      <w:pPr>
        <w:spacing w:line="360" w:lineRule="auto"/>
        <w:ind w:firstLine="420" w:firstLineChars="200"/>
        <w:rPr>
          <w:color w:val="auto"/>
          <w:highlight w:val="none"/>
        </w:rPr>
      </w:pPr>
      <w:r>
        <w:rPr>
          <w:rFonts w:hint="eastAsia"/>
          <w:color w:val="auto"/>
          <w:highlight w:val="none"/>
        </w:rPr>
        <w:t>3.3.3出现特殊情况需要延长投标有效期的，招标人将通过招标人网站统一公告，公告</w:t>
      </w:r>
      <w:r>
        <w:rPr>
          <w:rFonts w:hint="eastAsia" w:ascii="宋体" w:hAnsi="宋体"/>
          <w:color w:val="auto"/>
          <w:highlight w:val="none"/>
        </w:rPr>
        <w:t>内容一经在招标人网站上发布，视作已发布给所有投标人</w:t>
      </w:r>
      <w:r>
        <w:rPr>
          <w:rFonts w:hint="eastAsia"/>
          <w:color w:val="auto"/>
          <w:highlight w:val="none"/>
        </w:rPr>
        <w:t>。投标人同意延长的，应相应延长其投标保证金的有效期，但不得要求或被允许修改或撤销其投标文件；投标人拒绝延长的，其投标失效，但投标人有权收回其投标保证金。</w:t>
      </w:r>
    </w:p>
    <w:p>
      <w:pPr>
        <w:pStyle w:val="7"/>
        <w:rPr>
          <w:color w:val="auto"/>
          <w:highlight w:val="none"/>
        </w:rPr>
      </w:pPr>
      <w:bookmarkStart w:id="1034" w:name="_Toc5126"/>
      <w:bookmarkStart w:id="1035" w:name="_Toc435178383"/>
      <w:bookmarkStart w:id="1036" w:name="_Toc25315"/>
      <w:bookmarkStart w:id="1037" w:name="_Toc32570"/>
      <w:bookmarkStart w:id="1038" w:name="_Toc31637"/>
      <w:bookmarkStart w:id="1039" w:name="_Toc23712"/>
      <w:bookmarkStart w:id="1040" w:name="_Toc20865"/>
      <w:bookmarkStart w:id="1041" w:name="_Toc436215741"/>
      <w:bookmarkStart w:id="1042" w:name="_Toc246996195"/>
      <w:bookmarkStart w:id="1043" w:name="_Toc25880"/>
      <w:bookmarkStart w:id="1044" w:name="_Toc18269"/>
      <w:bookmarkStart w:id="1045" w:name="_Toc15729"/>
      <w:bookmarkStart w:id="1046" w:name="_Toc29555"/>
      <w:bookmarkStart w:id="1047" w:name="_Toc496601950"/>
      <w:bookmarkStart w:id="1048" w:name="_Toc10022"/>
      <w:bookmarkStart w:id="1049" w:name="_Toc26429"/>
      <w:bookmarkStart w:id="1050" w:name="_Toc16654"/>
      <w:bookmarkStart w:id="1051" w:name="_Toc25590"/>
      <w:bookmarkStart w:id="1052" w:name="_Toc152045550"/>
      <w:bookmarkStart w:id="1053" w:name="_Toc13475"/>
      <w:bookmarkStart w:id="1054" w:name="_Toc247085709"/>
      <w:bookmarkStart w:id="1055" w:name="_Toc5094"/>
      <w:bookmarkStart w:id="1056" w:name="_Toc25228"/>
      <w:bookmarkStart w:id="1057" w:name="_Toc11980"/>
      <w:bookmarkStart w:id="1058" w:name="_Toc5709"/>
      <w:bookmarkStart w:id="1059" w:name="_Toc15279"/>
      <w:bookmarkStart w:id="1060" w:name="_Toc9513"/>
      <w:bookmarkStart w:id="1061" w:name="_Toc26027"/>
      <w:bookmarkStart w:id="1062" w:name="_Toc179632568"/>
      <w:bookmarkStart w:id="1063" w:name="_Toc21477"/>
      <w:bookmarkStart w:id="1064" w:name="_Toc13644"/>
      <w:bookmarkStart w:id="1065" w:name="_Toc144974518"/>
      <w:bookmarkStart w:id="1066" w:name="_Toc19666"/>
      <w:bookmarkStart w:id="1067" w:name="_Toc152042326"/>
      <w:bookmarkStart w:id="1068" w:name="_Toc246996938"/>
      <w:r>
        <w:rPr>
          <w:rFonts w:hint="eastAsia"/>
          <w:color w:val="auto"/>
          <w:highlight w:val="none"/>
        </w:rPr>
        <w:t>3.4 投标保证金</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pPr>
        <w:spacing w:line="360" w:lineRule="auto"/>
        <w:ind w:firstLine="420" w:firstLineChars="200"/>
        <w:rPr>
          <w:color w:val="auto"/>
          <w:highlight w:val="none"/>
        </w:rPr>
      </w:pPr>
      <w:bookmarkStart w:id="1069" w:name="_Toc152045552"/>
      <w:bookmarkStart w:id="1070" w:name="_Toc246996939"/>
      <w:bookmarkStart w:id="1071" w:name="_Toc152042328"/>
      <w:bookmarkStart w:id="1072" w:name="_Toc246996196"/>
      <w:bookmarkStart w:id="1073" w:name="_Toc247085710"/>
      <w:bookmarkStart w:id="1074" w:name="_Toc144974520"/>
      <w:bookmarkStart w:id="1075" w:name="_Toc179632570"/>
      <w:r>
        <w:rPr>
          <w:rFonts w:hint="eastAsia"/>
          <w:color w:val="auto"/>
          <w:highlight w:val="none"/>
        </w:rPr>
        <w:t>3.4.1 投标人须知前附表规定递交投标保证金的，投标人在递交投标文件的同时，应按投标人须知前附表规定的金额、形式和</w:t>
      </w:r>
      <w:r>
        <w:rPr>
          <w:rFonts w:hint="eastAsia"/>
          <w:color w:val="auto"/>
          <w:highlight w:val="none"/>
          <w:lang w:eastAsia="zh-CN"/>
        </w:rPr>
        <w:t>第六章</w:t>
      </w:r>
      <w:r>
        <w:rPr>
          <w:rFonts w:hint="eastAsia"/>
          <w:color w:val="auto"/>
          <w:highlight w:val="none"/>
        </w:rPr>
        <w:t>“投标文件格式”规定的或者事先经过招标人认可的投标保证金格式递交投标保证金，并作为其投标文件的组成部分。</w:t>
      </w:r>
      <w:r>
        <w:rPr>
          <w:color w:val="auto"/>
          <w:highlight w:val="none"/>
        </w:rPr>
        <w:t>联合体投标的，其投标保证金可以由牵头人递交，并应符合投标人须知前附表的规定。</w:t>
      </w:r>
    </w:p>
    <w:p>
      <w:pPr>
        <w:pStyle w:val="2"/>
        <w:spacing w:after="0" w:line="360" w:lineRule="auto"/>
        <w:ind w:firstLineChars="200"/>
        <w:rPr>
          <w:rFonts w:ascii="宋体" w:hAnsi="宋体"/>
          <w:color w:val="auto"/>
          <w:highlight w:val="none"/>
        </w:rPr>
      </w:pPr>
      <w:r>
        <w:rPr>
          <w:rFonts w:hint="eastAsia"/>
          <w:color w:val="auto"/>
          <w:highlight w:val="none"/>
        </w:rPr>
        <w:t>招标人开户</w:t>
      </w:r>
      <w:r>
        <w:rPr>
          <w:rFonts w:hint="eastAsia" w:ascii="宋体" w:hAnsi="宋体"/>
          <w:color w:val="auto"/>
          <w:highlight w:val="none"/>
        </w:rPr>
        <w:t>银行：</w:t>
      </w:r>
    </w:p>
    <w:p>
      <w:pPr>
        <w:spacing w:line="360" w:lineRule="auto"/>
        <w:ind w:left="399" w:leftChars="190"/>
        <w:rPr>
          <w:color w:val="auto"/>
          <w:szCs w:val="21"/>
          <w:highlight w:val="none"/>
        </w:rPr>
      </w:pPr>
      <w:r>
        <w:rPr>
          <w:rFonts w:hint="eastAsia"/>
          <w:color w:val="auto"/>
          <w:szCs w:val="21"/>
          <w:highlight w:val="none"/>
        </w:rPr>
        <w:t xml:space="preserve">单 位：广东省南方传媒发行物流有限公司 </w:t>
      </w:r>
    </w:p>
    <w:p>
      <w:pPr>
        <w:tabs>
          <w:tab w:val="left" w:pos="360"/>
        </w:tabs>
        <w:spacing w:line="360" w:lineRule="auto"/>
        <w:ind w:firstLine="420"/>
        <w:rPr>
          <w:color w:val="auto"/>
          <w:szCs w:val="21"/>
          <w:highlight w:val="none"/>
        </w:rPr>
      </w:pPr>
      <w:r>
        <w:rPr>
          <w:rFonts w:hint="eastAsia"/>
          <w:color w:val="auto"/>
          <w:szCs w:val="21"/>
          <w:highlight w:val="none"/>
        </w:rPr>
        <w:t xml:space="preserve">开 户 行：中国农业银行广州五羊新城支行 </w:t>
      </w:r>
    </w:p>
    <w:p>
      <w:pPr>
        <w:tabs>
          <w:tab w:val="left" w:pos="360"/>
        </w:tabs>
        <w:spacing w:line="360" w:lineRule="auto"/>
        <w:ind w:firstLine="420"/>
        <w:rPr>
          <w:color w:val="auto"/>
          <w:highlight w:val="none"/>
        </w:rPr>
      </w:pPr>
      <w:r>
        <w:rPr>
          <w:rFonts w:hint="eastAsia"/>
          <w:color w:val="auto"/>
          <w:szCs w:val="21"/>
          <w:highlight w:val="none"/>
        </w:rPr>
        <w:t>账 号：44030401040003075</w:t>
      </w:r>
    </w:p>
    <w:p>
      <w:pPr>
        <w:pStyle w:val="2"/>
        <w:spacing w:after="0" w:line="360" w:lineRule="auto"/>
        <w:ind w:firstLineChars="200"/>
        <w:rPr>
          <w:rFonts w:ascii="宋体" w:hAnsi="宋体"/>
          <w:b/>
          <w:color w:val="auto"/>
          <w:highlight w:val="none"/>
        </w:rPr>
      </w:pPr>
      <w:r>
        <w:rPr>
          <w:rFonts w:hint="eastAsia" w:ascii="宋体" w:hAnsi="宋体"/>
          <w:color w:val="auto"/>
          <w:highlight w:val="none"/>
        </w:rPr>
        <w:t>标书款及保证金到账咨询电话：</w:t>
      </w:r>
      <w:r>
        <w:rPr>
          <w:rFonts w:hint="eastAsia" w:ascii="Times New Roman" w:hAnsi="Times New Roman" w:eastAsia="宋体" w:cs="Times New Roman"/>
          <w:color w:val="auto"/>
          <w:sz w:val="21"/>
          <w:szCs w:val="21"/>
          <w:highlight w:val="none"/>
        </w:rPr>
        <w:t>020-87379445</w:t>
      </w:r>
      <w:r>
        <w:rPr>
          <w:rFonts w:hint="eastAsia" w:ascii="Times New Roman" w:hAnsi="Times New Roman"/>
          <w:color w:val="auto"/>
          <w:szCs w:val="21"/>
          <w:highlight w:val="none"/>
        </w:rPr>
        <w:t>，</w:t>
      </w:r>
      <w:r>
        <w:rPr>
          <w:rFonts w:hint="eastAsia" w:ascii="宋体" w:hAnsi="宋体"/>
          <w:color w:val="auto"/>
          <w:highlight w:val="none"/>
          <w:lang w:eastAsia="zh-CN"/>
        </w:rPr>
        <w:t>龙先生</w:t>
      </w:r>
      <w:r>
        <w:rPr>
          <w:rFonts w:hint="eastAsia" w:ascii="宋体" w:hAnsi="宋体"/>
          <w:color w:val="auto"/>
          <w:highlight w:val="none"/>
        </w:rPr>
        <w:t>；</w:t>
      </w:r>
    </w:p>
    <w:p>
      <w:pPr>
        <w:pStyle w:val="2"/>
        <w:spacing w:after="0" w:line="360" w:lineRule="auto"/>
        <w:ind w:firstLine="422" w:firstLineChars="200"/>
        <w:rPr>
          <w:rFonts w:ascii="宋体" w:hAnsi="宋体"/>
          <w:b/>
          <w:color w:val="auto"/>
          <w:highlight w:val="none"/>
        </w:rPr>
      </w:pPr>
      <w:r>
        <w:rPr>
          <w:rFonts w:hint="eastAsia"/>
          <w:b/>
          <w:color w:val="auto"/>
          <w:szCs w:val="21"/>
          <w:highlight w:val="none"/>
        </w:rPr>
        <w:t>投标人汇投标保证金时，需在填写汇款备注栏时添加 “</w:t>
      </w:r>
      <w:r>
        <w:rPr>
          <w:rFonts w:hint="eastAsia"/>
          <w:b/>
          <w:color w:val="auto"/>
          <w:szCs w:val="21"/>
          <w:highlight w:val="none"/>
          <w:lang w:val="en-US" w:eastAsia="zh-CN"/>
        </w:rPr>
        <w:t>2024年度</w:t>
      </w:r>
      <w:r>
        <w:rPr>
          <w:rFonts w:hint="eastAsia"/>
          <w:b/>
          <w:color w:val="auto"/>
          <w:szCs w:val="21"/>
          <w:highlight w:val="none"/>
        </w:rPr>
        <w:t>南方优品纸箱采购项目投标保证金”。</w:t>
      </w:r>
    </w:p>
    <w:p>
      <w:pPr>
        <w:spacing w:line="360" w:lineRule="auto"/>
        <w:ind w:firstLine="420" w:firstLineChars="200"/>
        <w:rPr>
          <w:color w:val="auto"/>
          <w:highlight w:val="none"/>
        </w:rPr>
      </w:pPr>
      <w:r>
        <w:rPr>
          <w:rFonts w:hint="eastAsia"/>
          <w:color w:val="auto"/>
          <w:highlight w:val="none"/>
        </w:rPr>
        <w:t>3.4.2 投标人不按本章第3.4.1项要求提交投标保证金的，评标委员会将否决其投标。</w:t>
      </w:r>
    </w:p>
    <w:p>
      <w:pPr>
        <w:pStyle w:val="2"/>
        <w:spacing w:after="0" w:line="360" w:lineRule="auto"/>
        <w:ind w:firstLineChars="200"/>
        <w:rPr>
          <w:color w:val="auto"/>
          <w:highlight w:val="none"/>
        </w:rPr>
      </w:pPr>
      <w:r>
        <w:rPr>
          <w:rFonts w:hint="eastAsia"/>
          <w:color w:val="auto"/>
          <w:highlight w:val="none"/>
        </w:rPr>
        <w:t>3.4.3 如无质疑或投诉，未中标的投标保证金将在中标公示期结束后10日内退还（不计算银行利息）；如有质疑或投诉，将在质疑和投诉处理完毕后10日内退还（不计算银行利息）。</w:t>
      </w:r>
    </w:p>
    <w:p>
      <w:pPr>
        <w:pStyle w:val="2"/>
        <w:spacing w:after="0" w:line="360" w:lineRule="auto"/>
        <w:ind w:firstLineChars="200"/>
        <w:rPr>
          <w:color w:val="auto"/>
          <w:highlight w:val="none"/>
        </w:rPr>
      </w:pPr>
      <w:r>
        <w:rPr>
          <w:rFonts w:hint="eastAsia"/>
          <w:color w:val="auto"/>
          <w:highlight w:val="none"/>
        </w:rPr>
        <w:t>3.4.4中标人的投标保证金，在签署合同并按要求提供了履约保证后（如有要求）予以退还（不计算银行利息）。</w:t>
      </w:r>
    </w:p>
    <w:p>
      <w:pPr>
        <w:spacing w:line="360" w:lineRule="auto"/>
        <w:ind w:firstLine="420" w:firstLineChars="200"/>
        <w:rPr>
          <w:color w:val="auto"/>
          <w:highlight w:val="none"/>
        </w:rPr>
      </w:pPr>
      <w:r>
        <w:rPr>
          <w:rFonts w:hint="eastAsia"/>
          <w:color w:val="auto"/>
          <w:highlight w:val="none"/>
        </w:rPr>
        <w:t xml:space="preserve">3.4.5 有下列情形之一的，投标保证金将不予退还： </w:t>
      </w:r>
    </w:p>
    <w:p>
      <w:pPr>
        <w:spacing w:line="360" w:lineRule="auto"/>
        <w:ind w:firstLine="420" w:firstLineChars="200"/>
        <w:rPr>
          <w:color w:val="auto"/>
          <w:highlight w:val="none"/>
        </w:rPr>
      </w:pPr>
      <w:r>
        <w:rPr>
          <w:rFonts w:hint="eastAsia"/>
          <w:color w:val="auto"/>
          <w:highlight w:val="none"/>
        </w:rPr>
        <w:t>（1）投标人在规定的投标有效期内撤销或修改其投标文件；</w:t>
      </w:r>
    </w:p>
    <w:p>
      <w:pPr>
        <w:spacing w:line="360" w:lineRule="auto"/>
        <w:ind w:firstLine="420" w:firstLineChars="200"/>
        <w:rPr>
          <w:color w:val="auto"/>
          <w:highlight w:val="none"/>
        </w:rPr>
      </w:pPr>
      <w:r>
        <w:rPr>
          <w:rFonts w:hint="eastAsia"/>
          <w:color w:val="auto"/>
          <w:highlight w:val="none"/>
        </w:rPr>
        <w:t>（2）中标人在收到中标通知书后，无正当理由拒签合同协议书或未按招标文件规定提交履约担保。</w:t>
      </w:r>
    </w:p>
    <w:bookmarkEnd w:id="1069"/>
    <w:bookmarkEnd w:id="1070"/>
    <w:bookmarkEnd w:id="1071"/>
    <w:bookmarkEnd w:id="1072"/>
    <w:bookmarkEnd w:id="1073"/>
    <w:bookmarkEnd w:id="1074"/>
    <w:bookmarkEnd w:id="1075"/>
    <w:p>
      <w:pPr>
        <w:pStyle w:val="7"/>
        <w:rPr>
          <w:color w:val="auto"/>
          <w:highlight w:val="none"/>
        </w:rPr>
      </w:pPr>
      <w:bookmarkStart w:id="1076" w:name="_Toc19477"/>
      <w:bookmarkStart w:id="1077" w:name="_Toc5213"/>
      <w:bookmarkStart w:id="1078" w:name="_Toc14372"/>
      <w:bookmarkStart w:id="1079" w:name="_Toc28941"/>
      <w:bookmarkStart w:id="1080" w:name="_Toc19606"/>
      <w:bookmarkStart w:id="1081" w:name="_Toc14703"/>
      <w:bookmarkStart w:id="1082" w:name="_Toc27846"/>
      <w:bookmarkStart w:id="1083" w:name="_Toc18293"/>
      <w:bookmarkStart w:id="1084" w:name="_Toc27746"/>
      <w:bookmarkStart w:id="1085" w:name="_Toc16069"/>
      <w:bookmarkStart w:id="1086" w:name="_Toc5629"/>
      <w:bookmarkStart w:id="1087" w:name="_Toc12253"/>
      <w:bookmarkStart w:id="1088" w:name="_Toc27730"/>
      <w:bookmarkStart w:id="1089" w:name="_Toc18141"/>
      <w:bookmarkStart w:id="1090" w:name="_Toc32678"/>
      <w:bookmarkStart w:id="1091" w:name="_Toc30693"/>
      <w:bookmarkStart w:id="1092" w:name="_Toc29655"/>
      <w:bookmarkStart w:id="1093" w:name="_Toc12615"/>
      <w:bookmarkStart w:id="1094" w:name="_Toc13331"/>
      <w:bookmarkStart w:id="1095" w:name="_Toc11282"/>
      <w:bookmarkStart w:id="1096" w:name="_Toc6007"/>
      <w:bookmarkStart w:id="1097" w:name="_Toc28627"/>
      <w:bookmarkStart w:id="1098" w:name="_Toc8773"/>
      <w:bookmarkStart w:id="1099" w:name="_Toc17650"/>
      <w:bookmarkStart w:id="1100" w:name="_Toc414"/>
      <w:bookmarkStart w:id="1101" w:name="_Toc435178384"/>
      <w:bookmarkStart w:id="1102" w:name="_Toc436215742"/>
      <w:bookmarkStart w:id="1103" w:name="_Toc496601951"/>
      <w:bookmarkStart w:id="1104" w:name="_Toc246996197"/>
      <w:bookmarkStart w:id="1105" w:name="_Toc179632571"/>
      <w:bookmarkStart w:id="1106" w:name="_Toc152045553"/>
      <w:bookmarkStart w:id="1107" w:name="_Toc152042329"/>
      <w:bookmarkStart w:id="1108" w:name="_Toc246996940"/>
      <w:bookmarkStart w:id="1109" w:name="_Toc247085711"/>
      <w:bookmarkStart w:id="1110" w:name="_Toc144974521"/>
      <w:r>
        <w:rPr>
          <w:color w:val="auto"/>
          <w:highlight w:val="none"/>
        </w:rPr>
        <w:t>3.5 资格审查资料</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pPr>
        <w:spacing w:line="360" w:lineRule="auto"/>
        <w:ind w:firstLine="420" w:firstLineChars="200"/>
        <w:rPr>
          <w:color w:val="auto"/>
          <w:highlight w:val="none"/>
        </w:rPr>
      </w:pPr>
      <w:r>
        <w:rPr>
          <w:color w:val="auto"/>
          <w:highlight w:val="none"/>
        </w:rPr>
        <w:t>除投标人须知前附表另有规定外，投标人应按下列规定提供资格审查资料，以证明其满足本章第1.4款规定的资质要求。</w:t>
      </w:r>
    </w:p>
    <w:p>
      <w:pPr>
        <w:spacing w:line="360" w:lineRule="auto"/>
        <w:ind w:firstLine="420" w:firstLineChars="200"/>
        <w:rPr>
          <w:color w:val="auto"/>
          <w:highlight w:val="none"/>
        </w:rPr>
      </w:pPr>
      <w:r>
        <w:rPr>
          <w:color w:val="auto"/>
          <w:highlight w:val="none"/>
        </w:rPr>
        <w:t>3.5.1应附投标人资格或者资质证书副本</w:t>
      </w:r>
      <w:r>
        <w:rPr>
          <w:rFonts w:hint="eastAsia"/>
          <w:color w:val="auto"/>
          <w:highlight w:val="none"/>
        </w:rPr>
        <w:t>以及</w:t>
      </w:r>
      <w:r>
        <w:rPr>
          <w:color w:val="auto"/>
          <w:highlight w:val="none"/>
        </w:rPr>
        <w:t>：</w:t>
      </w:r>
    </w:p>
    <w:p>
      <w:pPr>
        <w:spacing w:line="360" w:lineRule="auto"/>
        <w:ind w:firstLine="420" w:firstLineChars="200"/>
        <w:rPr>
          <w:color w:val="auto"/>
          <w:highlight w:val="none"/>
        </w:rPr>
      </w:pPr>
      <w:r>
        <w:rPr>
          <w:color w:val="auto"/>
          <w:highlight w:val="none"/>
        </w:rPr>
        <w:t>（1）投标人为企业的，应提交营业执照和组织机构代码证的复印件（按照“三证合一”或“五证合一”登记制度进行登记的，可仅提供营业执照复印件）；</w:t>
      </w:r>
    </w:p>
    <w:p>
      <w:pPr>
        <w:spacing w:line="360" w:lineRule="auto"/>
        <w:ind w:firstLine="420" w:firstLineChars="200"/>
        <w:rPr>
          <w:color w:val="auto"/>
          <w:highlight w:val="none"/>
        </w:rPr>
      </w:pPr>
      <w:r>
        <w:rPr>
          <w:color w:val="auto"/>
          <w:highlight w:val="none"/>
        </w:rPr>
        <w:t>（2）投标人为依法允许经营的事业单位的，应提交事业单位法人证书和组织机构代码证的复印件。</w:t>
      </w:r>
    </w:p>
    <w:p>
      <w:pPr>
        <w:pStyle w:val="7"/>
        <w:rPr>
          <w:color w:val="auto"/>
          <w:highlight w:val="none"/>
        </w:rPr>
      </w:pPr>
      <w:bookmarkStart w:id="1111" w:name="_Toc947"/>
      <w:bookmarkStart w:id="1112" w:name="_Toc16514"/>
      <w:bookmarkStart w:id="1113" w:name="_Toc31727"/>
      <w:bookmarkStart w:id="1114" w:name="_Toc7163"/>
      <w:bookmarkStart w:id="1115" w:name="_Toc9054"/>
      <w:bookmarkStart w:id="1116" w:name="_Toc1867"/>
      <w:bookmarkStart w:id="1117" w:name="_Toc19725"/>
      <w:bookmarkStart w:id="1118" w:name="_Toc28811"/>
      <w:bookmarkStart w:id="1119" w:name="_Toc15152"/>
      <w:bookmarkStart w:id="1120" w:name="_Toc21482"/>
      <w:bookmarkStart w:id="1121" w:name="_Toc3445"/>
      <w:bookmarkStart w:id="1122" w:name="_Toc12214"/>
      <w:bookmarkStart w:id="1123" w:name="_Toc8026"/>
      <w:bookmarkStart w:id="1124" w:name="_Toc20696"/>
      <w:bookmarkStart w:id="1125" w:name="_Toc18836"/>
      <w:bookmarkStart w:id="1126" w:name="_Toc21500"/>
      <w:bookmarkStart w:id="1127" w:name="_Toc12784"/>
      <w:bookmarkStart w:id="1128" w:name="_Toc9378"/>
      <w:bookmarkStart w:id="1129" w:name="_Toc26463"/>
      <w:bookmarkStart w:id="1130" w:name="_Toc16036"/>
      <w:bookmarkStart w:id="1131" w:name="_Toc29500"/>
      <w:bookmarkStart w:id="1132" w:name="_Toc28997"/>
      <w:bookmarkStart w:id="1133" w:name="_Toc31178"/>
      <w:bookmarkStart w:id="1134" w:name="_Toc2573"/>
      <w:bookmarkStart w:id="1135" w:name="_Toc31517"/>
      <w:r>
        <w:rPr>
          <w:rFonts w:hint="eastAsia"/>
          <w:color w:val="auto"/>
          <w:highlight w:val="none"/>
        </w:rPr>
        <w:t>3.6投标文件的编制</w:t>
      </w:r>
      <w:bookmarkEnd w:id="1101"/>
      <w:bookmarkEnd w:id="1102"/>
      <w:r>
        <w:rPr>
          <w:rFonts w:hint="eastAsia"/>
          <w:color w:val="auto"/>
          <w:highlight w:val="none"/>
        </w:rPr>
        <w:t>和数量</w:t>
      </w:r>
      <w:bookmarkEnd w:id="1103"/>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bookmarkEnd w:id="1104"/>
    <w:bookmarkEnd w:id="1105"/>
    <w:bookmarkEnd w:id="1106"/>
    <w:bookmarkEnd w:id="1107"/>
    <w:bookmarkEnd w:id="1108"/>
    <w:bookmarkEnd w:id="1109"/>
    <w:bookmarkEnd w:id="1110"/>
    <w:p>
      <w:pPr>
        <w:spacing w:line="360" w:lineRule="auto"/>
        <w:ind w:firstLine="420" w:firstLineChars="200"/>
        <w:rPr>
          <w:color w:val="auto"/>
          <w:highlight w:val="none"/>
        </w:rPr>
      </w:pPr>
      <w:bookmarkStart w:id="1136" w:name="_Toc246996942"/>
      <w:bookmarkStart w:id="1137" w:name="_Toc179632573"/>
      <w:bookmarkStart w:id="1138" w:name="_Toc246996199"/>
      <w:bookmarkStart w:id="1139" w:name="_Toc144974523"/>
      <w:bookmarkStart w:id="1140" w:name="_Toc247085713"/>
      <w:bookmarkStart w:id="1141" w:name="_Toc152042331"/>
      <w:bookmarkStart w:id="1142" w:name="_Toc152045555"/>
      <w:r>
        <w:rPr>
          <w:rFonts w:hint="eastAsia"/>
          <w:color w:val="auto"/>
          <w:highlight w:val="none"/>
        </w:rPr>
        <w:t>3.6.1投标文件应按</w:t>
      </w:r>
      <w:r>
        <w:rPr>
          <w:rFonts w:hint="eastAsia"/>
          <w:color w:val="auto"/>
          <w:highlight w:val="none"/>
          <w:lang w:eastAsia="zh-CN"/>
        </w:rPr>
        <w:t>第六章</w:t>
      </w:r>
      <w:r>
        <w:rPr>
          <w:rFonts w:hint="eastAsia"/>
          <w:color w:val="auto"/>
          <w:highlight w:val="none"/>
        </w:rPr>
        <w:t>“投标文件格式”进行编写，如有必要，可以增加附页，作为投标文件的组成部分。其中，投标函在满足招标文件实质性要求的基础上，可以提出比招标文件要求更有利于招标人的承诺。</w:t>
      </w:r>
    </w:p>
    <w:p>
      <w:pPr>
        <w:spacing w:line="360" w:lineRule="auto"/>
        <w:ind w:firstLine="420" w:firstLineChars="200"/>
        <w:rPr>
          <w:color w:val="auto"/>
          <w:highlight w:val="none"/>
        </w:rPr>
      </w:pPr>
      <w:r>
        <w:rPr>
          <w:rFonts w:hint="eastAsia"/>
          <w:color w:val="auto"/>
          <w:highlight w:val="none"/>
        </w:rPr>
        <w:t>3.6.2</w:t>
      </w:r>
      <w:r>
        <w:rPr>
          <w:color w:val="auto"/>
          <w:highlight w:val="none"/>
        </w:rPr>
        <w:t>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Pr>
          <w:rFonts w:hint="eastAsia"/>
          <w:color w:val="auto"/>
          <w:highlight w:val="none"/>
          <w:lang w:eastAsia="zh-CN"/>
        </w:rPr>
        <w:t>第六章</w:t>
      </w:r>
      <w:r>
        <w:rPr>
          <w:color w:val="auto"/>
          <w:highlight w:val="none"/>
        </w:rPr>
        <w:t>“投标文件格式”的要求。投标文件应尽量避免涂改、行间插字或删除。如果出现上述情况，改动之处应由投标人的法定代表人（单位负责人）或其授权的代理人签字或盖单位章。</w:t>
      </w:r>
    </w:p>
    <w:p>
      <w:pPr>
        <w:spacing w:line="360" w:lineRule="auto"/>
        <w:ind w:firstLine="420" w:firstLineChars="200"/>
        <w:rPr>
          <w:color w:val="auto"/>
          <w:highlight w:val="none"/>
        </w:rPr>
      </w:pPr>
      <w:r>
        <w:rPr>
          <w:rFonts w:hint="eastAsia"/>
          <w:color w:val="auto"/>
          <w:highlight w:val="none"/>
        </w:rPr>
        <w:t>3.6.3 投标文件正本一份, 副本一份，电子文档一份。正本和副本的封面上应清楚地标记“正本”或“副本”的字样。</w:t>
      </w:r>
      <w:r>
        <w:rPr>
          <w:color w:val="auto"/>
          <w:highlight w:val="none"/>
        </w:rPr>
        <w:t>投标人应根据投标人须知前附表要求提供电子版文件。当副本和正本不一致或电子版文件和纸质正本文件不一致时，以纸质正本文件为准。</w:t>
      </w:r>
    </w:p>
    <w:p>
      <w:pPr>
        <w:spacing w:line="360" w:lineRule="auto"/>
        <w:ind w:firstLine="420" w:firstLineChars="200"/>
        <w:rPr>
          <w:color w:val="auto"/>
          <w:highlight w:val="none"/>
        </w:rPr>
      </w:pPr>
      <w:r>
        <w:rPr>
          <w:rFonts w:hint="eastAsia"/>
          <w:color w:val="auto"/>
          <w:highlight w:val="none"/>
        </w:rPr>
        <w:t>3.6.4 投标文件的正本与副本应分别装订成册，统一A4印刷本(纸张大小超过A4纸的折叠成A4纸的规格)，纸质封面，使用书式装订，不得用活页装订。</w:t>
      </w:r>
    </w:p>
    <w:p>
      <w:pPr>
        <w:pStyle w:val="6"/>
        <w:spacing w:line="360" w:lineRule="auto"/>
        <w:rPr>
          <w:color w:val="auto"/>
          <w:highlight w:val="none"/>
        </w:rPr>
      </w:pPr>
      <w:bookmarkStart w:id="1143" w:name="_Toc28849"/>
      <w:bookmarkStart w:id="1144" w:name="_Toc24393"/>
      <w:bookmarkStart w:id="1145" w:name="_Toc31366"/>
      <w:bookmarkStart w:id="1146" w:name="_Toc20018"/>
      <w:bookmarkStart w:id="1147" w:name="_Toc16983"/>
      <w:bookmarkStart w:id="1148" w:name="_Toc19202"/>
      <w:bookmarkStart w:id="1149" w:name="_Toc436215743"/>
      <w:bookmarkStart w:id="1150" w:name="_Toc435178385"/>
      <w:bookmarkStart w:id="1151" w:name="_Toc25872"/>
      <w:bookmarkStart w:id="1152" w:name="_Toc26051"/>
      <w:bookmarkStart w:id="1153" w:name="_Toc9294"/>
      <w:bookmarkStart w:id="1154" w:name="_Toc17225"/>
      <w:bookmarkStart w:id="1155" w:name="_Toc17856"/>
      <w:bookmarkStart w:id="1156" w:name="_Toc24152"/>
      <w:bookmarkStart w:id="1157" w:name="_Toc13501"/>
      <w:bookmarkStart w:id="1158" w:name="_Toc17257"/>
      <w:bookmarkStart w:id="1159" w:name="_Toc3276"/>
      <w:bookmarkStart w:id="1160" w:name="_Toc14054"/>
      <w:bookmarkStart w:id="1161" w:name="_Toc20997"/>
      <w:bookmarkStart w:id="1162" w:name="_Toc26319"/>
      <w:bookmarkStart w:id="1163" w:name="_Toc21003"/>
      <w:bookmarkStart w:id="1164" w:name="_Toc16346"/>
      <w:bookmarkStart w:id="1165" w:name="_Toc13559"/>
      <w:bookmarkStart w:id="1166" w:name="_Toc4546"/>
      <w:bookmarkStart w:id="1167" w:name="_Toc496601952"/>
      <w:bookmarkStart w:id="1168" w:name="_Toc1558"/>
      <w:bookmarkStart w:id="1169" w:name="_Toc25238"/>
      <w:bookmarkStart w:id="1170" w:name="_Toc5765"/>
      <w:r>
        <w:rPr>
          <w:rFonts w:hint="eastAsia"/>
          <w:color w:val="auto"/>
          <w:highlight w:val="none"/>
        </w:rPr>
        <w:t>4. 投标</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pPr>
        <w:pStyle w:val="7"/>
        <w:rPr>
          <w:color w:val="auto"/>
          <w:highlight w:val="none"/>
        </w:rPr>
      </w:pPr>
      <w:bookmarkStart w:id="1171" w:name="_Toc2539"/>
      <w:bookmarkStart w:id="1172" w:name="_Toc4751"/>
      <w:bookmarkStart w:id="1173" w:name="_Toc8600"/>
      <w:bookmarkStart w:id="1174" w:name="_Toc32719"/>
      <w:bookmarkStart w:id="1175" w:name="_Toc246996200"/>
      <w:bookmarkStart w:id="1176" w:name="_Toc436215744"/>
      <w:bookmarkStart w:id="1177" w:name="_Toc152042332"/>
      <w:bookmarkStart w:id="1178" w:name="_Toc12515"/>
      <w:bookmarkStart w:id="1179" w:name="_Toc26435"/>
      <w:bookmarkStart w:id="1180" w:name="_Toc31657"/>
      <w:bookmarkStart w:id="1181" w:name="_Toc32514"/>
      <w:bookmarkStart w:id="1182" w:name="_Toc496601953"/>
      <w:bookmarkStart w:id="1183" w:name="_Toc435178386"/>
      <w:bookmarkStart w:id="1184" w:name="_Toc3278"/>
      <w:bookmarkStart w:id="1185" w:name="_Toc11191"/>
      <w:bookmarkStart w:id="1186" w:name="_Toc13164"/>
      <w:bookmarkStart w:id="1187" w:name="_Toc460"/>
      <w:bookmarkStart w:id="1188" w:name="_Toc4994"/>
      <w:bookmarkStart w:id="1189" w:name="_Toc26663"/>
      <w:bookmarkStart w:id="1190" w:name="_Toc246996943"/>
      <w:bookmarkStart w:id="1191" w:name="_Toc17753"/>
      <w:bookmarkStart w:id="1192" w:name="_Toc17946"/>
      <w:bookmarkStart w:id="1193" w:name="_Toc27215"/>
      <w:bookmarkStart w:id="1194" w:name="_Toc152045556"/>
      <w:bookmarkStart w:id="1195" w:name="_Toc247085714"/>
      <w:bookmarkStart w:id="1196" w:name="_Toc9028"/>
      <w:bookmarkStart w:id="1197" w:name="_Toc16357"/>
      <w:bookmarkStart w:id="1198" w:name="_Toc17983"/>
      <w:bookmarkStart w:id="1199" w:name="_Toc2823"/>
      <w:bookmarkStart w:id="1200" w:name="_Toc13987"/>
      <w:bookmarkStart w:id="1201" w:name="_Toc179632574"/>
      <w:bookmarkStart w:id="1202" w:name="_Toc8359"/>
      <w:bookmarkStart w:id="1203" w:name="_Toc23459"/>
      <w:bookmarkStart w:id="1204" w:name="_Toc144974524"/>
      <w:bookmarkStart w:id="1205" w:name="_Toc7957"/>
      <w:r>
        <w:rPr>
          <w:rFonts w:hint="eastAsia"/>
          <w:color w:val="auto"/>
          <w:highlight w:val="none"/>
        </w:rPr>
        <w:t>4.1 投标文件的密封和标记</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pPr>
        <w:spacing w:line="360" w:lineRule="auto"/>
        <w:ind w:firstLine="420" w:firstLineChars="200"/>
        <w:rPr>
          <w:color w:val="auto"/>
          <w:highlight w:val="none"/>
        </w:rPr>
      </w:pPr>
      <w:bookmarkStart w:id="1206" w:name="_Toc152045557"/>
      <w:bookmarkStart w:id="1207" w:name="_Toc247085715"/>
      <w:bookmarkStart w:id="1208" w:name="_Toc246996201"/>
      <w:bookmarkStart w:id="1209" w:name="_Toc144974525"/>
      <w:bookmarkStart w:id="1210" w:name="_Toc246996944"/>
      <w:bookmarkStart w:id="1211" w:name="_Toc179632575"/>
      <w:bookmarkStart w:id="1212" w:name="_Toc152042333"/>
      <w:r>
        <w:rPr>
          <w:rFonts w:hint="eastAsia"/>
          <w:color w:val="auto"/>
          <w:highlight w:val="none"/>
        </w:rPr>
        <w:t>4.1.1 投标文件应进行包装、加贴封条，并在封套的封口处加盖投标人单位章。</w:t>
      </w:r>
    </w:p>
    <w:p>
      <w:pPr>
        <w:spacing w:line="360" w:lineRule="auto"/>
        <w:ind w:firstLine="420" w:firstLineChars="200"/>
        <w:rPr>
          <w:color w:val="auto"/>
          <w:highlight w:val="none"/>
        </w:rPr>
      </w:pPr>
      <w:r>
        <w:rPr>
          <w:rFonts w:hint="eastAsia"/>
          <w:color w:val="auto"/>
          <w:highlight w:val="none"/>
        </w:rPr>
        <w:t>4.1.2 投标文件封套上应写明的内容见投标人须知前附表。</w:t>
      </w:r>
    </w:p>
    <w:p>
      <w:pPr>
        <w:spacing w:line="360" w:lineRule="auto"/>
        <w:ind w:firstLine="420" w:firstLineChars="200"/>
        <w:rPr>
          <w:color w:val="auto"/>
          <w:highlight w:val="none"/>
        </w:rPr>
      </w:pPr>
      <w:r>
        <w:rPr>
          <w:rFonts w:hint="eastAsia"/>
          <w:color w:val="auto"/>
          <w:highlight w:val="none"/>
        </w:rPr>
        <w:t>4.1.3 未按本章第4.1.1项或第4.1.2项要求密封和加写标记的投标文件，招标人应予拒收。</w:t>
      </w:r>
    </w:p>
    <w:p>
      <w:pPr>
        <w:pStyle w:val="7"/>
        <w:rPr>
          <w:color w:val="auto"/>
          <w:highlight w:val="none"/>
        </w:rPr>
      </w:pPr>
      <w:bookmarkStart w:id="1213" w:name="_Toc435178387"/>
      <w:bookmarkStart w:id="1214" w:name="_Toc27494"/>
      <w:bookmarkStart w:id="1215" w:name="_Toc7021"/>
      <w:bookmarkStart w:id="1216" w:name="_Toc32604"/>
      <w:bookmarkStart w:id="1217" w:name="_Toc29436"/>
      <w:bookmarkStart w:id="1218" w:name="_Toc25569"/>
      <w:bookmarkStart w:id="1219" w:name="_Toc15318"/>
      <w:bookmarkStart w:id="1220" w:name="_Toc15795"/>
      <w:bookmarkStart w:id="1221" w:name="_Toc2248"/>
      <w:bookmarkStart w:id="1222" w:name="_Toc8038"/>
      <w:bookmarkStart w:id="1223" w:name="_Toc15026"/>
      <w:bookmarkStart w:id="1224" w:name="_Toc20249"/>
      <w:bookmarkStart w:id="1225" w:name="_Toc3324"/>
      <w:bookmarkStart w:id="1226" w:name="_Toc11519"/>
      <w:bookmarkStart w:id="1227" w:name="_Toc30129"/>
      <w:bookmarkStart w:id="1228" w:name="_Toc496601954"/>
      <w:bookmarkStart w:id="1229" w:name="_Toc2125"/>
      <w:bookmarkStart w:id="1230" w:name="_Toc436215745"/>
      <w:bookmarkStart w:id="1231" w:name="_Toc6867"/>
      <w:bookmarkStart w:id="1232" w:name="_Toc2580"/>
      <w:bookmarkStart w:id="1233" w:name="_Toc31597"/>
      <w:bookmarkStart w:id="1234" w:name="_Toc29575"/>
      <w:bookmarkStart w:id="1235" w:name="_Toc4132"/>
      <w:bookmarkStart w:id="1236" w:name="_Toc31556"/>
      <w:bookmarkStart w:id="1237" w:name="_Toc8237"/>
      <w:bookmarkStart w:id="1238" w:name="_Toc28341"/>
      <w:bookmarkStart w:id="1239" w:name="_Toc21727"/>
      <w:bookmarkStart w:id="1240" w:name="_Toc16925"/>
      <w:r>
        <w:rPr>
          <w:rFonts w:hint="eastAsia"/>
          <w:color w:val="auto"/>
          <w:highlight w:val="none"/>
        </w:rPr>
        <w:t>4.2 投标文件的递交</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pPr>
        <w:spacing w:line="360" w:lineRule="auto"/>
        <w:ind w:firstLine="420" w:firstLineChars="200"/>
        <w:rPr>
          <w:color w:val="auto"/>
          <w:highlight w:val="none"/>
        </w:rPr>
      </w:pPr>
      <w:r>
        <w:rPr>
          <w:rFonts w:hint="eastAsia"/>
          <w:color w:val="auto"/>
          <w:highlight w:val="none"/>
        </w:rPr>
        <w:t>4.2.1 投标人应在投标截止时间前递交投标文件。</w:t>
      </w:r>
    </w:p>
    <w:p>
      <w:pPr>
        <w:spacing w:line="360" w:lineRule="auto"/>
        <w:ind w:firstLine="420" w:firstLineChars="200"/>
        <w:rPr>
          <w:color w:val="auto"/>
          <w:highlight w:val="none"/>
        </w:rPr>
      </w:pPr>
      <w:r>
        <w:rPr>
          <w:rFonts w:hint="eastAsia"/>
          <w:color w:val="auto"/>
          <w:highlight w:val="none"/>
        </w:rPr>
        <w:t>4.2.2 投标人递交投标文件的地点：见投标人须知前附表。</w:t>
      </w:r>
    </w:p>
    <w:p>
      <w:pPr>
        <w:spacing w:line="360" w:lineRule="auto"/>
        <w:ind w:firstLine="420" w:firstLineChars="200"/>
        <w:rPr>
          <w:color w:val="auto"/>
          <w:highlight w:val="none"/>
        </w:rPr>
      </w:pPr>
      <w:r>
        <w:rPr>
          <w:rFonts w:hint="eastAsia"/>
          <w:color w:val="auto"/>
          <w:highlight w:val="none"/>
        </w:rPr>
        <w:t>4.2.3 除投标人须知前附表另有规定外，投标人所递交的投标文件不予退还。</w:t>
      </w:r>
    </w:p>
    <w:p>
      <w:pPr>
        <w:spacing w:line="360" w:lineRule="auto"/>
        <w:ind w:firstLine="420" w:firstLineChars="200"/>
        <w:rPr>
          <w:color w:val="auto"/>
          <w:highlight w:val="none"/>
        </w:rPr>
      </w:pPr>
      <w:r>
        <w:rPr>
          <w:rFonts w:hint="eastAsia"/>
          <w:color w:val="auto"/>
          <w:highlight w:val="none"/>
        </w:rPr>
        <w:t>4.2.4 招标人将拒绝以下情况的投标文件：</w:t>
      </w:r>
    </w:p>
    <w:p>
      <w:pPr>
        <w:numPr>
          <w:ilvl w:val="255"/>
          <w:numId w:val="0"/>
        </w:numPr>
        <w:spacing w:line="360" w:lineRule="auto"/>
        <w:ind w:left="851"/>
        <w:rPr>
          <w:color w:val="auto"/>
          <w:highlight w:val="none"/>
        </w:rPr>
      </w:pPr>
      <w:r>
        <w:rPr>
          <w:rFonts w:hint="eastAsia"/>
          <w:color w:val="auto"/>
          <w:highlight w:val="none"/>
        </w:rPr>
        <w:t>（1）逾期送达的或者未送达指定地点的投标文件。</w:t>
      </w:r>
    </w:p>
    <w:p>
      <w:pPr>
        <w:numPr>
          <w:ilvl w:val="255"/>
          <w:numId w:val="0"/>
        </w:numPr>
        <w:spacing w:line="360" w:lineRule="auto"/>
        <w:ind w:left="851"/>
        <w:rPr>
          <w:color w:val="auto"/>
          <w:highlight w:val="none"/>
        </w:rPr>
      </w:pPr>
      <w:r>
        <w:rPr>
          <w:rFonts w:hint="eastAsia"/>
          <w:color w:val="auto"/>
          <w:highlight w:val="none"/>
        </w:rPr>
        <w:t>（2）没有按本章第4.1项要求密封的投标文件。</w:t>
      </w:r>
    </w:p>
    <w:p>
      <w:pPr>
        <w:pStyle w:val="7"/>
        <w:rPr>
          <w:color w:val="auto"/>
          <w:highlight w:val="none"/>
        </w:rPr>
      </w:pPr>
      <w:bookmarkStart w:id="1241" w:name="_Toc32308"/>
      <w:bookmarkStart w:id="1242" w:name="_Toc23568"/>
      <w:bookmarkStart w:id="1243" w:name="_Toc13136"/>
      <w:bookmarkStart w:id="1244" w:name="_Toc9295"/>
      <w:bookmarkStart w:id="1245" w:name="_Toc144974526"/>
      <w:bookmarkStart w:id="1246" w:name="_Toc24395"/>
      <w:bookmarkStart w:id="1247" w:name="_Toc27296"/>
      <w:bookmarkStart w:id="1248" w:name="_Toc13610"/>
      <w:bookmarkStart w:id="1249" w:name="_Toc246996945"/>
      <w:bookmarkStart w:id="1250" w:name="_Toc9103"/>
      <w:bookmarkStart w:id="1251" w:name="_Toc28932"/>
      <w:bookmarkStart w:id="1252" w:name="_Toc1756"/>
      <w:bookmarkStart w:id="1253" w:name="_Toc246996202"/>
      <w:bookmarkStart w:id="1254" w:name="_Toc10324"/>
      <w:bookmarkStart w:id="1255" w:name="_Toc179632576"/>
      <w:bookmarkStart w:id="1256" w:name="_Toc435178388"/>
      <w:bookmarkStart w:id="1257" w:name="_Toc436215746"/>
      <w:bookmarkStart w:id="1258" w:name="_Toc152045558"/>
      <w:bookmarkStart w:id="1259" w:name="_Toc496601955"/>
      <w:bookmarkStart w:id="1260" w:name="_Toc7855"/>
      <w:bookmarkStart w:id="1261" w:name="_Toc17309"/>
      <w:bookmarkStart w:id="1262" w:name="_Toc9306"/>
      <w:bookmarkStart w:id="1263" w:name="_Toc27428"/>
      <w:bookmarkStart w:id="1264" w:name="_Toc5979"/>
      <w:bookmarkStart w:id="1265" w:name="_Toc29989"/>
      <w:bookmarkStart w:id="1266" w:name="_Toc247085716"/>
      <w:bookmarkStart w:id="1267" w:name="_Toc152042334"/>
      <w:bookmarkStart w:id="1268" w:name="_Toc10926"/>
      <w:bookmarkStart w:id="1269" w:name="_Toc3821"/>
      <w:bookmarkStart w:id="1270" w:name="_Toc15499"/>
      <w:bookmarkStart w:id="1271" w:name="_Toc26546"/>
      <w:bookmarkStart w:id="1272" w:name="_Toc10478"/>
      <w:bookmarkStart w:id="1273" w:name="_Toc28970"/>
      <w:bookmarkStart w:id="1274" w:name="_Toc30659"/>
      <w:bookmarkStart w:id="1275" w:name="_Toc31245"/>
      <w:r>
        <w:rPr>
          <w:rFonts w:hint="eastAsia"/>
          <w:color w:val="auto"/>
          <w:highlight w:val="none"/>
        </w:rPr>
        <w:t>4.3 投标文件的修改与撤回</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pPr>
        <w:spacing w:line="360" w:lineRule="auto"/>
        <w:ind w:firstLine="420" w:firstLineChars="200"/>
        <w:rPr>
          <w:color w:val="auto"/>
          <w:highlight w:val="none"/>
        </w:rPr>
      </w:pPr>
      <w:r>
        <w:rPr>
          <w:rFonts w:hint="eastAsia"/>
          <w:color w:val="auto"/>
          <w:highlight w:val="none"/>
        </w:rPr>
        <w:t>4.3.1 在投标截止时间前，投标人可以修改或撤回已递交的投标文件，但应以书面形式通知招标人。</w:t>
      </w:r>
    </w:p>
    <w:p>
      <w:pPr>
        <w:spacing w:line="360" w:lineRule="auto"/>
        <w:ind w:firstLine="420" w:firstLineChars="200"/>
        <w:rPr>
          <w:color w:val="auto"/>
          <w:highlight w:val="none"/>
        </w:rPr>
      </w:pPr>
      <w:r>
        <w:rPr>
          <w:rFonts w:hint="eastAsia"/>
          <w:color w:val="auto"/>
          <w:highlight w:val="none"/>
        </w:rPr>
        <w:t>4.3.2 投标人补充、修改的内容或撤回已递交投标文件的书面通知应按照要求签字或盖章。招标人收到书面通知后，向投标人出具签收凭证。</w:t>
      </w:r>
    </w:p>
    <w:p>
      <w:pPr>
        <w:spacing w:line="360" w:lineRule="auto"/>
        <w:ind w:firstLine="420" w:firstLineChars="200"/>
        <w:rPr>
          <w:color w:val="auto"/>
          <w:highlight w:val="none"/>
        </w:rPr>
      </w:pPr>
      <w:r>
        <w:rPr>
          <w:rFonts w:hint="eastAsia"/>
          <w:color w:val="auto"/>
          <w:highlight w:val="none"/>
        </w:rPr>
        <w:t xml:space="preserve">4.3.3 投标人在投标截止时间前撤回投标文件的，招标人自收到投标人书面撤回通知之日起10日内退还已收取的投标保证金，但因投标人自身原因导致无法及时退还的除外。投标人在投标截止时间后修改或撤回投标文件的，投标保证金予以没收。 </w:t>
      </w:r>
    </w:p>
    <w:p>
      <w:pPr>
        <w:spacing w:line="360" w:lineRule="auto"/>
        <w:ind w:firstLine="420" w:firstLineChars="200"/>
        <w:rPr>
          <w:color w:val="auto"/>
          <w:highlight w:val="none"/>
        </w:rPr>
      </w:pPr>
      <w:r>
        <w:rPr>
          <w:rFonts w:hint="eastAsia"/>
          <w:color w:val="auto"/>
          <w:highlight w:val="none"/>
        </w:rPr>
        <w:t>4.3.4补充、修改的内容为投标文件的组成部分。修改的投标文件应按照本章第3条、第4条规定进行编制、密封、标记和递交，并标明“修改”字样。</w:t>
      </w:r>
    </w:p>
    <w:p>
      <w:pPr>
        <w:pStyle w:val="6"/>
        <w:spacing w:line="360" w:lineRule="auto"/>
        <w:rPr>
          <w:color w:val="auto"/>
          <w:highlight w:val="none"/>
        </w:rPr>
      </w:pPr>
      <w:bookmarkStart w:id="1276" w:name="_Toc152042335"/>
      <w:bookmarkStart w:id="1277" w:name="_Toc32261"/>
      <w:bookmarkStart w:id="1278" w:name="_Toc18912"/>
      <w:bookmarkStart w:id="1279" w:name="_Toc3246"/>
      <w:bookmarkStart w:id="1280" w:name="_Toc28532"/>
      <w:bookmarkStart w:id="1281" w:name="_Toc22875"/>
      <w:bookmarkStart w:id="1282" w:name="_Toc29253"/>
      <w:bookmarkStart w:id="1283" w:name="_Toc21946"/>
      <w:bookmarkStart w:id="1284" w:name="_Toc21986"/>
      <w:bookmarkStart w:id="1285" w:name="_Toc23970"/>
      <w:bookmarkStart w:id="1286" w:name="_Toc179632577"/>
      <w:bookmarkStart w:id="1287" w:name="_Toc247085717"/>
      <w:bookmarkStart w:id="1288" w:name="_Toc496601956"/>
      <w:bookmarkStart w:id="1289" w:name="_Toc28140"/>
      <w:bookmarkStart w:id="1290" w:name="_Toc246996946"/>
      <w:bookmarkStart w:id="1291" w:name="_Toc435178389"/>
      <w:bookmarkStart w:id="1292" w:name="_Toc26958"/>
      <w:bookmarkStart w:id="1293" w:name="_Toc25458"/>
      <w:bookmarkStart w:id="1294" w:name="_Toc144974527"/>
      <w:bookmarkStart w:id="1295" w:name="_Toc31944"/>
      <w:bookmarkStart w:id="1296" w:name="_Toc246996203"/>
      <w:bookmarkStart w:id="1297" w:name="_Toc26114"/>
      <w:bookmarkStart w:id="1298" w:name="_Toc30351"/>
      <w:bookmarkStart w:id="1299" w:name="_Toc4799"/>
      <w:bookmarkStart w:id="1300" w:name="_Toc12278"/>
      <w:bookmarkStart w:id="1301" w:name="_Toc11985"/>
      <w:bookmarkStart w:id="1302" w:name="_Toc4375"/>
      <w:bookmarkStart w:id="1303" w:name="_Toc436215747"/>
      <w:bookmarkStart w:id="1304" w:name="_Toc17428"/>
      <w:bookmarkStart w:id="1305" w:name="_Toc14231"/>
      <w:bookmarkStart w:id="1306" w:name="_Toc18825"/>
      <w:bookmarkStart w:id="1307" w:name="_Toc31983"/>
      <w:bookmarkStart w:id="1308" w:name="_Toc6415"/>
      <w:bookmarkStart w:id="1309" w:name="_Toc152045559"/>
      <w:bookmarkStart w:id="1310" w:name="_Toc2369"/>
      <w:r>
        <w:rPr>
          <w:rFonts w:hint="eastAsia"/>
          <w:color w:val="auto"/>
          <w:highlight w:val="none"/>
        </w:rPr>
        <w:t>5. 开标</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pPr>
        <w:pStyle w:val="7"/>
        <w:rPr>
          <w:color w:val="auto"/>
          <w:highlight w:val="none"/>
        </w:rPr>
      </w:pPr>
      <w:bookmarkStart w:id="1311" w:name="_Toc18805"/>
      <w:bookmarkStart w:id="1312" w:name="_Toc179632578"/>
      <w:bookmarkStart w:id="1313" w:name="_Toc23990"/>
      <w:bookmarkStart w:id="1314" w:name="_Toc2123"/>
      <w:bookmarkStart w:id="1315" w:name="_Toc246996947"/>
      <w:bookmarkStart w:id="1316" w:name="_Toc21358"/>
      <w:bookmarkStart w:id="1317" w:name="_Toc18203"/>
      <w:bookmarkStart w:id="1318" w:name="_Toc5246"/>
      <w:bookmarkStart w:id="1319" w:name="_Toc22998"/>
      <w:bookmarkStart w:id="1320" w:name="_Toc23951"/>
      <w:bookmarkStart w:id="1321" w:name="_Toc32143"/>
      <w:bookmarkStart w:id="1322" w:name="_Toc14685"/>
      <w:bookmarkStart w:id="1323" w:name="_Toc11942"/>
      <w:bookmarkStart w:id="1324" w:name="_Toc496601957"/>
      <w:bookmarkStart w:id="1325" w:name="_Toc1163"/>
      <w:bookmarkStart w:id="1326" w:name="_Toc18182"/>
      <w:bookmarkStart w:id="1327" w:name="_Toc14201"/>
      <w:bookmarkStart w:id="1328" w:name="_Toc13681"/>
      <w:bookmarkStart w:id="1329" w:name="_Toc436215748"/>
      <w:bookmarkStart w:id="1330" w:name="_Toc7665"/>
      <w:bookmarkStart w:id="1331" w:name="_Toc10396"/>
      <w:bookmarkStart w:id="1332" w:name="_Toc31620"/>
      <w:bookmarkStart w:id="1333" w:name="_Toc1514"/>
      <w:bookmarkStart w:id="1334" w:name="_Toc24446"/>
      <w:bookmarkStart w:id="1335" w:name="_Toc8418"/>
      <w:bookmarkStart w:id="1336" w:name="_Toc152042336"/>
      <w:bookmarkStart w:id="1337" w:name="_Toc26158"/>
      <w:bookmarkStart w:id="1338" w:name="_Toc18053"/>
      <w:bookmarkStart w:id="1339" w:name="_Toc4446"/>
      <w:bookmarkStart w:id="1340" w:name="_Toc246996204"/>
      <w:bookmarkStart w:id="1341" w:name="_Toc3809"/>
      <w:bookmarkStart w:id="1342" w:name="_Toc144974528"/>
      <w:bookmarkStart w:id="1343" w:name="_Toc247085718"/>
      <w:bookmarkStart w:id="1344" w:name="_Toc435178390"/>
      <w:bookmarkStart w:id="1345" w:name="_Toc152045560"/>
      <w:r>
        <w:rPr>
          <w:rFonts w:hint="eastAsia"/>
          <w:color w:val="auto"/>
          <w:highlight w:val="none"/>
        </w:rPr>
        <w:t>5.1 开标时间和地点</w:t>
      </w:r>
      <w:bookmarkEnd w:id="1311"/>
    </w:p>
    <w:p>
      <w:pPr>
        <w:spacing w:line="360" w:lineRule="auto"/>
        <w:ind w:firstLine="420" w:firstLineChars="200"/>
        <w:rPr>
          <w:color w:val="auto"/>
          <w:highlight w:val="none"/>
        </w:rPr>
      </w:pPr>
      <w:r>
        <w:rPr>
          <w:rFonts w:hint="eastAsia"/>
          <w:color w:val="auto"/>
          <w:highlight w:val="none"/>
        </w:rPr>
        <w:t>招标人在投标人须知前附表规定的投标截止时间和地点公开开标，并邀请所有投标人参加。</w:t>
      </w:r>
    </w:p>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Pr>
        <w:pStyle w:val="7"/>
        <w:rPr>
          <w:color w:val="auto"/>
          <w:highlight w:val="none"/>
        </w:rPr>
      </w:pPr>
      <w:bookmarkStart w:id="1346" w:name="_Toc25734"/>
      <w:bookmarkStart w:id="1347" w:name="_Toc7339"/>
      <w:bookmarkStart w:id="1348" w:name="_Toc144974529"/>
      <w:bookmarkStart w:id="1349" w:name="_Toc8658"/>
      <w:bookmarkStart w:id="1350" w:name="_Toc19912"/>
      <w:bookmarkStart w:id="1351" w:name="_Toc31000"/>
      <w:bookmarkStart w:id="1352" w:name="_Toc152045561"/>
      <w:bookmarkStart w:id="1353" w:name="_Toc31494"/>
      <w:bookmarkStart w:id="1354" w:name="_Toc13046"/>
      <w:bookmarkStart w:id="1355" w:name="_Toc6085"/>
      <w:bookmarkStart w:id="1356" w:name="_Toc29888"/>
      <w:bookmarkStart w:id="1357" w:name="_Toc1890"/>
      <w:bookmarkStart w:id="1358" w:name="_Toc246996948"/>
      <w:bookmarkStart w:id="1359" w:name="_Toc16742"/>
      <w:bookmarkStart w:id="1360" w:name="_Toc24133"/>
      <w:bookmarkStart w:id="1361" w:name="_Toc14494"/>
      <w:bookmarkStart w:id="1362" w:name="_Toc152042337"/>
      <w:bookmarkStart w:id="1363" w:name="_Toc14774"/>
      <w:bookmarkStart w:id="1364" w:name="_Toc11820"/>
      <w:bookmarkStart w:id="1365" w:name="_Toc9928"/>
      <w:bookmarkStart w:id="1366" w:name="_Toc30938"/>
      <w:bookmarkStart w:id="1367" w:name="_Toc29840"/>
      <w:bookmarkStart w:id="1368" w:name="_Toc179632579"/>
      <w:bookmarkStart w:id="1369" w:name="_Toc9816"/>
      <w:bookmarkStart w:id="1370" w:name="_Toc6648"/>
      <w:bookmarkStart w:id="1371" w:name="_Toc16119"/>
      <w:bookmarkStart w:id="1372" w:name="_Toc246996205"/>
      <w:bookmarkStart w:id="1373" w:name="_Toc247085719"/>
      <w:bookmarkStart w:id="1374" w:name="_Toc436215749"/>
      <w:bookmarkStart w:id="1375" w:name="_Toc15620"/>
      <w:bookmarkStart w:id="1376" w:name="_Toc12252"/>
      <w:bookmarkStart w:id="1377" w:name="_Toc32705"/>
      <w:bookmarkStart w:id="1378" w:name="_Toc8659"/>
      <w:bookmarkStart w:id="1379" w:name="_Toc435178391"/>
      <w:bookmarkStart w:id="1380" w:name="_Toc496601958"/>
      <w:r>
        <w:rPr>
          <w:rFonts w:hint="eastAsia"/>
          <w:color w:val="auto"/>
          <w:highlight w:val="none"/>
        </w:rPr>
        <w:t>5.2 开标程序</w:t>
      </w:r>
      <w:bookmarkEnd w:id="1346"/>
    </w:p>
    <w:p>
      <w:pPr>
        <w:spacing w:line="360" w:lineRule="auto"/>
        <w:ind w:firstLine="420" w:firstLineChars="200"/>
        <w:rPr>
          <w:color w:val="auto"/>
          <w:highlight w:val="none"/>
        </w:rPr>
      </w:pPr>
      <w:r>
        <w:rPr>
          <w:rFonts w:hint="eastAsia"/>
          <w:color w:val="auto"/>
          <w:highlight w:val="none"/>
        </w:rPr>
        <w:t>主持人按下列程序进行开标：</w:t>
      </w:r>
    </w:p>
    <w:p>
      <w:pPr>
        <w:spacing w:line="360" w:lineRule="auto"/>
        <w:ind w:firstLine="359" w:firstLineChars="171"/>
        <w:rPr>
          <w:color w:val="auto"/>
          <w:highlight w:val="none"/>
        </w:rPr>
      </w:pPr>
      <w:r>
        <w:rPr>
          <w:rFonts w:hint="eastAsia"/>
          <w:color w:val="auto"/>
          <w:highlight w:val="none"/>
        </w:rPr>
        <w:t>（1）宣布开标纪律；</w:t>
      </w:r>
    </w:p>
    <w:p>
      <w:pPr>
        <w:spacing w:line="360" w:lineRule="auto"/>
        <w:ind w:firstLine="359" w:firstLineChars="171"/>
        <w:rPr>
          <w:color w:val="auto"/>
          <w:highlight w:val="none"/>
        </w:rPr>
      </w:pPr>
      <w:r>
        <w:rPr>
          <w:rFonts w:hint="eastAsia"/>
          <w:color w:val="auto"/>
          <w:highlight w:val="none"/>
        </w:rPr>
        <w:t>（2）公布在投标截止时间前递交投标文件的投标人名称；</w:t>
      </w:r>
    </w:p>
    <w:p>
      <w:pPr>
        <w:spacing w:line="360" w:lineRule="auto"/>
        <w:ind w:firstLine="359" w:firstLineChars="171"/>
        <w:rPr>
          <w:color w:val="auto"/>
          <w:highlight w:val="none"/>
        </w:rPr>
      </w:pPr>
      <w:r>
        <w:rPr>
          <w:rFonts w:hint="eastAsia"/>
          <w:color w:val="auto"/>
          <w:highlight w:val="none"/>
        </w:rPr>
        <w:t>（4）由投标人推选的代表检查投标文件的密封情况；</w:t>
      </w:r>
    </w:p>
    <w:p>
      <w:pPr>
        <w:spacing w:line="360" w:lineRule="auto"/>
        <w:ind w:firstLine="359" w:firstLineChars="171"/>
        <w:rPr>
          <w:color w:val="auto"/>
          <w:highlight w:val="none"/>
        </w:rPr>
      </w:pPr>
      <w:r>
        <w:rPr>
          <w:rFonts w:hint="eastAsia"/>
          <w:color w:val="auto"/>
          <w:highlight w:val="none"/>
        </w:rPr>
        <w:t>（5）由招标人工作人员当众拆封，宣布投标人名称、标书款和投标保证金的递交情况、投标报价和招标文件规定的需要宣布的其他内容，并记录在案；</w:t>
      </w:r>
    </w:p>
    <w:p>
      <w:pPr>
        <w:spacing w:line="360" w:lineRule="auto"/>
        <w:ind w:firstLine="359" w:firstLineChars="171"/>
        <w:rPr>
          <w:color w:val="auto"/>
          <w:highlight w:val="none"/>
        </w:rPr>
      </w:pPr>
      <w:r>
        <w:rPr>
          <w:rFonts w:hint="eastAsia"/>
          <w:color w:val="auto"/>
          <w:highlight w:val="none"/>
        </w:rPr>
        <w:t>（6）投标人代表、招标人代表、监标人、记录人等有关人员在开标记录上签字确认；投标人未参加开标的，视同认可开标结果。</w:t>
      </w:r>
    </w:p>
    <w:p>
      <w:pPr>
        <w:spacing w:line="360" w:lineRule="auto"/>
        <w:ind w:firstLine="359" w:firstLineChars="171"/>
        <w:rPr>
          <w:color w:val="auto"/>
          <w:highlight w:val="none"/>
        </w:rPr>
      </w:pPr>
      <w:r>
        <w:rPr>
          <w:rFonts w:hint="eastAsia"/>
          <w:color w:val="auto"/>
          <w:highlight w:val="none"/>
        </w:rPr>
        <w:t>（7）开标结束。</w:t>
      </w:r>
    </w:p>
    <w:p>
      <w:pPr>
        <w:pStyle w:val="7"/>
        <w:rPr>
          <w:color w:val="auto"/>
          <w:highlight w:val="none"/>
        </w:rPr>
      </w:pPr>
      <w:bookmarkStart w:id="1381" w:name="_Toc11368"/>
      <w:bookmarkStart w:id="1382" w:name="_Toc14584"/>
      <w:bookmarkStart w:id="1383" w:name="_Toc20705"/>
      <w:bookmarkStart w:id="1384" w:name="_Toc23843"/>
      <w:bookmarkStart w:id="1385" w:name="_Toc436215751"/>
      <w:bookmarkStart w:id="1386" w:name="_Toc22565"/>
      <w:bookmarkStart w:id="1387" w:name="_Toc27294"/>
      <w:bookmarkStart w:id="1388" w:name="_Toc496601959"/>
      <w:bookmarkStart w:id="1389" w:name="_Toc28898"/>
      <w:bookmarkStart w:id="1390" w:name="_Toc7861"/>
      <w:bookmarkStart w:id="1391" w:name="_Toc10584"/>
      <w:bookmarkStart w:id="1392" w:name="_Toc2029"/>
      <w:bookmarkStart w:id="1393" w:name="_Toc10250"/>
      <w:bookmarkStart w:id="1394" w:name="_Toc4385"/>
      <w:bookmarkStart w:id="1395" w:name="_Toc21233"/>
      <w:bookmarkStart w:id="1396" w:name="_Toc2801"/>
      <w:bookmarkStart w:id="1397" w:name="_Toc435178393"/>
      <w:bookmarkStart w:id="1398" w:name="_Toc3224"/>
      <w:bookmarkStart w:id="1399" w:name="_Toc25544"/>
      <w:bookmarkStart w:id="1400" w:name="_Toc28051"/>
      <w:bookmarkStart w:id="1401" w:name="_Toc1914"/>
      <w:bookmarkStart w:id="1402" w:name="_Toc6803"/>
      <w:bookmarkStart w:id="1403" w:name="_Toc7498"/>
      <w:bookmarkStart w:id="1404" w:name="_Toc28119"/>
      <w:r>
        <w:rPr>
          <w:rFonts w:hint="eastAsia"/>
          <w:color w:val="auto"/>
          <w:highlight w:val="none"/>
        </w:rPr>
        <w:t>5.3开标异议</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p>
      <w:pPr>
        <w:spacing w:line="360" w:lineRule="auto"/>
        <w:ind w:firstLine="359" w:firstLineChars="171"/>
        <w:rPr>
          <w:color w:val="auto"/>
          <w:highlight w:val="none"/>
        </w:rPr>
      </w:pPr>
      <w:r>
        <w:rPr>
          <w:rFonts w:hint="eastAsia"/>
          <w:color w:val="auto"/>
          <w:highlight w:val="none"/>
        </w:rPr>
        <w:t>投标人对开标有异议的，应当在开标现场提出，招标人当场作出答复，并制作记录。</w:t>
      </w:r>
    </w:p>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pPr>
        <w:rPr>
          <w:rFonts w:ascii="ˎ̥" w:hAnsi="ˎ̥" w:cs="宋体"/>
          <w:color w:val="auto"/>
          <w:kern w:val="0"/>
          <w:sz w:val="24"/>
          <w:szCs w:val="18"/>
          <w:highlight w:val="none"/>
        </w:rPr>
      </w:pPr>
      <w:bookmarkStart w:id="1405" w:name="_Toc20562"/>
      <w:bookmarkStart w:id="1406" w:name="_Toc435178395"/>
      <w:bookmarkStart w:id="1407" w:name="_Toc1616"/>
      <w:bookmarkStart w:id="1408" w:name="_Toc14327"/>
      <w:bookmarkStart w:id="1409" w:name="_Toc4451"/>
      <w:bookmarkStart w:id="1410" w:name="_Toc21610"/>
      <w:bookmarkStart w:id="1411" w:name="_Toc496601960"/>
      <w:bookmarkStart w:id="1412" w:name="_Toc13306"/>
      <w:bookmarkStart w:id="1413" w:name="_Toc2775"/>
      <w:bookmarkStart w:id="1414" w:name="_Toc9099"/>
      <w:bookmarkStart w:id="1415" w:name="_Toc436215753"/>
      <w:bookmarkStart w:id="1416" w:name="_Toc19942"/>
      <w:bookmarkStart w:id="1417" w:name="_Toc15845"/>
      <w:bookmarkStart w:id="1418" w:name="_Toc24463"/>
      <w:bookmarkStart w:id="1419" w:name="_Toc3191"/>
      <w:bookmarkStart w:id="1420" w:name="_Toc22701"/>
    </w:p>
    <w:p>
      <w:pPr>
        <w:pStyle w:val="6"/>
        <w:spacing w:line="360" w:lineRule="auto"/>
        <w:rPr>
          <w:color w:val="auto"/>
          <w:highlight w:val="none"/>
        </w:rPr>
      </w:pPr>
      <w:bookmarkStart w:id="1421" w:name="_Toc26949"/>
      <w:bookmarkStart w:id="1422" w:name="_Toc16893"/>
      <w:bookmarkStart w:id="1423" w:name="_Toc28098"/>
      <w:bookmarkStart w:id="1424" w:name="_Toc3005"/>
      <w:bookmarkStart w:id="1425" w:name="_Toc7712"/>
      <w:bookmarkStart w:id="1426" w:name="_Toc21162"/>
      <w:bookmarkStart w:id="1427" w:name="_Toc5059"/>
      <w:bookmarkStart w:id="1428" w:name="_Toc13531"/>
      <w:bookmarkStart w:id="1429" w:name="_Toc22878"/>
      <w:bookmarkStart w:id="1430" w:name="_Toc32521"/>
      <w:bookmarkStart w:id="1431" w:name="_Toc18902"/>
      <w:bookmarkStart w:id="1432" w:name="_Toc6380"/>
      <w:r>
        <w:rPr>
          <w:rFonts w:hint="eastAsia"/>
          <w:color w:val="auto"/>
          <w:highlight w:val="none"/>
        </w:rPr>
        <w:t>6.评标</w:t>
      </w:r>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p>
    <w:p>
      <w:pPr>
        <w:pStyle w:val="7"/>
        <w:rPr>
          <w:color w:val="auto"/>
          <w:highlight w:val="none"/>
        </w:rPr>
      </w:pPr>
      <w:bookmarkStart w:id="1433" w:name="_Toc27234"/>
      <w:bookmarkStart w:id="1434" w:name="_Toc31523"/>
      <w:bookmarkStart w:id="1435" w:name="_Toc17662"/>
      <w:bookmarkStart w:id="1436" w:name="_Toc1283"/>
      <w:bookmarkStart w:id="1437" w:name="_Toc22194"/>
      <w:bookmarkStart w:id="1438" w:name="_Toc16344"/>
      <w:bookmarkStart w:id="1439" w:name="_Toc32697"/>
      <w:bookmarkStart w:id="1440" w:name="_Toc25333"/>
      <w:bookmarkStart w:id="1441" w:name="_Toc17576"/>
      <w:bookmarkStart w:id="1442" w:name="_Toc7136"/>
      <w:bookmarkStart w:id="1443" w:name="_Toc5080"/>
      <w:bookmarkStart w:id="1444" w:name="_Toc14472"/>
      <w:bookmarkStart w:id="1445" w:name="_Toc1245"/>
      <w:bookmarkStart w:id="1446" w:name="_Toc435178396"/>
      <w:bookmarkStart w:id="1447" w:name="_Toc13106"/>
      <w:bookmarkStart w:id="1448" w:name="_Toc496601961"/>
      <w:bookmarkStart w:id="1449" w:name="_Toc26111"/>
      <w:bookmarkStart w:id="1450" w:name="_Toc10429"/>
      <w:bookmarkStart w:id="1451" w:name="_Toc10171"/>
      <w:bookmarkStart w:id="1452" w:name="_Toc27694"/>
      <w:bookmarkStart w:id="1453" w:name="_Toc31036"/>
      <w:bookmarkStart w:id="1454" w:name="_Toc21725"/>
      <w:bookmarkStart w:id="1455" w:name="_Toc13964"/>
      <w:bookmarkStart w:id="1456" w:name="_Toc24356"/>
      <w:bookmarkStart w:id="1457" w:name="_Toc436215754"/>
      <w:bookmarkStart w:id="1458" w:name="_Toc12991"/>
      <w:bookmarkStart w:id="1459" w:name="_Toc9272"/>
      <w:bookmarkStart w:id="1460" w:name="_Toc32003"/>
      <w:r>
        <w:rPr>
          <w:rFonts w:hint="eastAsia"/>
          <w:color w:val="auto"/>
          <w:highlight w:val="none"/>
        </w:rPr>
        <w:t>6.1 评标委员会</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pPr>
        <w:spacing w:line="360" w:lineRule="auto"/>
        <w:ind w:firstLine="420" w:firstLineChars="200"/>
        <w:rPr>
          <w:color w:val="auto"/>
          <w:highlight w:val="none"/>
        </w:rPr>
      </w:pPr>
      <w:r>
        <w:rPr>
          <w:rFonts w:hint="eastAsia"/>
          <w:color w:val="auto"/>
          <w:highlight w:val="none"/>
        </w:rPr>
        <w:t>6.1.1评标由招标人自行组建的评标委员会负责。</w:t>
      </w:r>
    </w:p>
    <w:p>
      <w:pPr>
        <w:spacing w:line="360" w:lineRule="auto"/>
        <w:ind w:firstLine="420" w:firstLineChars="200"/>
        <w:rPr>
          <w:color w:val="auto"/>
          <w:highlight w:val="none"/>
        </w:rPr>
      </w:pPr>
      <w:r>
        <w:rPr>
          <w:rFonts w:hint="eastAsia"/>
          <w:color w:val="auto"/>
          <w:highlight w:val="none"/>
        </w:rPr>
        <w:t>6.1.2 评标委员会成员有下列情形之一的，应当回避：</w:t>
      </w:r>
    </w:p>
    <w:p>
      <w:pPr>
        <w:spacing w:line="360" w:lineRule="auto"/>
        <w:ind w:firstLine="359" w:firstLineChars="171"/>
        <w:rPr>
          <w:color w:val="auto"/>
          <w:highlight w:val="none"/>
        </w:rPr>
      </w:pPr>
      <w:r>
        <w:rPr>
          <w:rFonts w:hint="eastAsia"/>
          <w:color w:val="auto"/>
          <w:highlight w:val="none"/>
        </w:rPr>
        <w:t>（1）投标人或投标人主要负责人的近亲属；</w:t>
      </w:r>
    </w:p>
    <w:p>
      <w:pPr>
        <w:spacing w:line="360" w:lineRule="auto"/>
        <w:ind w:firstLine="359" w:firstLineChars="171"/>
        <w:rPr>
          <w:color w:val="auto"/>
          <w:highlight w:val="none"/>
        </w:rPr>
      </w:pPr>
      <w:r>
        <w:rPr>
          <w:rFonts w:hint="eastAsia"/>
          <w:color w:val="auto"/>
          <w:highlight w:val="none"/>
        </w:rPr>
        <w:t>（2）监督部门的人员；</w:t>
      </w:r>
    </w:p>
    <w:p>
      <w:pPr>
        <w:spacing w:line="360" w:lineRule="auto"/>
        <w:ind w:firstLine="359" w:firstLineChars="171"/>
        <w:rPr>
          <w:color w:val="auto"/>
          <w:highlight w:val="none"/>
        </w:rPr>
      </w:pPr>
      <w:r>
        <w:rPr>
          <w:rFonts w:hint="eastAsia"/>
          <w:color w:val="auto"/>
          <w:highlight w:val="none"/>
        </w:rPr>
        <w:t>（3）</w:t>
      </w:r>
      <w:r>
        <w:rPr>
          <w:color w:val="auto"/>
          <w:highlight w:val="none"/>
        </w:rPr>
        <w:t>与投标人有经济利益关系，可能影响对投标公正评审的；</w:t>
      </w:r>
    </w:p>
    <w:p>
      <w:pPr>
        <w:spacing w:line="360" w:lineRule="auto"/>
        <w:ind w:firstLine="359" w:firstLineChars="171"/>
        <w:rPr>
          <w:color w:val="auto"/>
          <w:highlight w:val="none"/>
        </w:rPr>
      </w:pPr>
      <w:r>
        <w:rPr>
          <w:rFonts w:hint="eastAsia"/>
          <w:color w:val="auto"/>
          <w:highlight w:val="none"/>
        </w:rPr>
        <w:t>（4）曾因在招标、评标以及其他与招标投标有关活动中从事违法行为而受过行政处罚或刑事处罚的；</w:t>
      </w:r>
    </w:p>
    <w:p>
      <w:pPr>
        <w:spacing w:line="360" w:lineRule="auto"/>
        <w:ind w:firstLine="359" w:firstLineChars="171"/>
        <w:rPr>
          <w:color w:val="auto"/>
          <w:highlight w:val="none"/>
        </w:rPr>
      </w:pPr>
      <w:r>
        <w:rPr>
          <w:rFonts w:hint="eastAsia"/>
          <w:color w:val="auto"/>
          <w:highlight w:val="none"/>
        </w:rPr>
        <w:t>（5）与投标人有其他利害关系。</w:t>
      </w:r>
    </w:p>
    <w:p>
      <w:pPr>
        <w:spacing w:line="360" w:lineRule="auto"/>
        <w:ind w:firstLine="420" w:firstLineChars="200"/>
        <w:rPr>
          <w:color w:val="auto"/>
          <w:highlight w:val="none"/>
        </w:rPr>
      </w:pPr>
      <w:r>
        <w:rPr>
          <w:rFonts w:hint="eastAsia"/>
          <w:color w:val="auto"/>
          <w:highlight w:val="none"/>
        </w:rPr>
        <w:t>6.1.3</w:t>
      </w:r>
      <w:r>
        <w:rPr>
          <w:color w:val="auto"/>
          <w:highlight w:val="none"/>
        </w:rPr>
        <w:t>评标过程中，评标委员会成员有回避事由、擅离职守或者因健康等原因不能继续评标的，招标人有权更换。被更换的评标委员会成员作出的评审结论无效，由更换后的评标委员会成员重新进行评审。</w:t>
      </w:r>
    </w:p>
    <w:p>
      <w:pPr>
        <w:pStyle w:val="7"/>
        <w:rPr>
          <w:color w:val="auto"/>
          <w:highlight w:val="none"/>
        </w:rPr>
      </w:pPr>
      <w:bookmarkStart w:id="1461" w:name="_Toc5039"/>
      <w:bookmarkStart w:id="1462" w:name="_Toc26822"/>
      <w:bookmarkStart w:id="1463" w:name="_Toc29689"/>
      <w:bookmarkStart w:id="1464" w:name="_Toc496601962"/>
      <w:bookmarkStart w:id="1465" w:name="_Toc28466"/>
      <w:bookmarkStart w:id="1466" w:name="_Toc18148"/>
      <w:bookmarkStart w:id="1467" w:name="_Toc18986"/>
      <w:bookmarkStart w:id="1468" w:name="_Toc3691"/>
      <w:bookmarkStart w:id="1469" w:name="_Toc4852"/>
      <w:bookmarkStart w:id="1470" w:name="_Toc12073"/>
      <w:bookmarkStart w:id="1471" w:name="_Toc23762"/>
      <w:bookmarkStart w:id="1472" w:name="_Toc26811"/>
      <w:bookmarkStart w:id="1473" w:name="_Toc23750"/>
      <w:bookmarkStart w:id="1474" w:name="_Toc28310"/>
      <w:bookmarkStart w:id="1475" w:name="_Toc1337"/>
      <w:bookmarkStart w:id="1476" w:name="_Toc436215755"/>
      <w:bookmarkStart w:id="1477" w:name="_Toc435178397"/>
      <w:bookmarkStart w:id="1478" w:name="_Toc11670"/>
      <w:bookmarkStart w:id="1479" w:name="_Toc27045"/>
      <w:bookmarkStart w:id="1480" w:name="_Toc185"/>
      <w:bookmarkStart w:id="1481" w:name="_Toc16256"/>
      <w:bookmarkStart w:id="1482" w:name="_Toc1300"/>
      <w:bookmarkStart w:id="1483" w:name="_Toc20024"/>
      <w:bookmarkStart w:id="1484" w:name="_Toc2154"/>
      <w:bookmarkStart w:id="1485" w:name="_Toc9329"/>
      <w:bookmarkStart w:id="1486" w:name="_Toc28682"/>
      <w:bookmarkStart w:id="1487" w:name="_Toc18775"/>
      <w:bookmarkStart w:id="1488" w:name="_Toc7387"/>
      <w:r>
        <w:rPr>
          <w:rFonts w:hint="eastAsia"/>
          <w:color w:val="auto"/>
          <w:highlight w:val="none"/>
        </w:rPr>
        <w:t>6.2 评标原则</w:t>
      </w:r>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p>
    <w:p>
      <w:pPr>
        <w:spacing w:line="360" w:lineRule="auto"/>
        <w:ind w:firstLine="420" w:firstLineChars="200"/>
        <w:rPr>
          <w:color w:val="auto"/>
          <w:highlight w:val="none"/>
        </w:rPr>
      </w:pPr>
      <w:r>
        <w:rPr>
          <w:rFonts w:hint="eastAsia"/>
          <w:color w:val="auto"/>
          <w:highlight w:val="none"/>
        </w:rPr>
        <w:t>评标活动遵循公平、公正、科学和择优的原则。</w:t>
      </w:r>
    </w:p>
    <w:p>
      <w:pPr>
        <w:pStyle w:val="7"/>
        <w:rPr>
          <w:color w:val="auto"/>
          <w:highlight w:val="none"/>
        </w:rPr>
      </w:pPr>
      <w:bookmarkStart w:id="1489" w:name="_Toc16097"/>
      <w:bookmarkStart w:id="1490" w:name="_Toc7923"/>
      <w:bookmarkStart w:id="1491" w:name="_Toc18827"/>
      <w:bookmarkStart w:id="1492" w:name="_Toc16836"/>
      <w:bookmarkStart w:id="1493" w:name="_Toc21824"/>
      <w:bookmarkStart w:id="1494" w:name="_Toc496601963"/>
      <w:bookmarkStart w:id="1495" w:name="_Toc9451"/>
      <w:bookmarkStart w:id="1496" w:name="_Toc32738"/>
      <w:bookmarkStart w:id="1497" w:name="_Toc12923"/>
      <w:bookmarkStart w:id="1498" w:name="_Toc4160"/>
      <w:bookmarkStart w:id="1499" w:name="_Toc1893"/>
      <w:bookmarkStart w:id="1500" w:name="_Toc556"/>
      <w:bookmarkStart w:id="1501" w:name="_Toc9829"/>
      <w:bookmarkStart w:id="1502" w:name="_Toc4936"/>
      <w:bookmarkStart w:id="1503" w:name="_Toc26956"/>
      <w:bookmarkStart w:id="1504" w:name="_Toc10552"/>
      <w:bookmarkStart w:id="1505" w:name="_Toc21736"/>
      <w:bookmarkStart w:id="1506" w:name="_Toc5310"/>
      <w:bookmarkStart w:id="1507" w:name="_Toc981"/>
      <w:bookmarkStart w:id="1508" w:name="_Toc19783"/>
      <w:bookmarkStart w:id="1509" w:name="_Toc1887"/>
      <w:bookmarkStart w:id="1510" w:name="_Toc8084"/>
      <w:bookmarkStart w:id="1511" w:name="_Toc436215756"/>
      <w:bookmarkStart w:id="1512" w:name="_Toc11908"/>
      <w:bookmarkStart w:id="1513" w:name="_Toc17843"/>
      <w:bookmarkStart w:id="1514" w:name="_Toc9827"/>
      <w:bookmarkStart w:id="1515" w:name="_Toc435178398"/>
      <w:bookmarkStart w:id="1516" w:name="_Toc21463"/>
      <w:r>
        <w:rPr>
          <w:rFonts w:hint="eastAsia"/>
          <w:color w:val="auto"/>
          <w:highlight w:val="none"/>
        </w:rPr>
        <w:t>6.3 评标</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pPr>
        <w:spacing w:line="360" w:lineRule="auto"/>
        <w:ind w:firstLine="420" w:firstLineChars="200"/>
        <w:rPr>
          <w:color w:val="auto"/>
          <w:highlight w:val="none"/>
        </w:rPr>
      </w:pPr>
      <w:r>
        <w:rPr>
          <w:rFonts w:hint="eastAsia"/>
          <w:color w:val="auto"/>
          <w:highlight w:val="none"/>
        </w:rPr>
        <w:t>评标委员会按照第三章“评标办法”规定的方法、评审因素、标准和程序对投标文件进行评审。第三章“评标办法”没有规定的方法、评审因素和标准，不作为评标依据。</w:t>
      </w:r>
    </w:p>
    <w:p>
      <w:pPr>
        <w:pStyle w:val="6"/>
        <w:spacing w:line="360" w:lineRule="auto"/>
        <w:rPr>
          <w:color w:val="auto"/>
          <w:highlight w:val="none"/>
        </w:rPr>
      </w:pPr>
      <w:bookmarkStart w:id="1517" w:name="_Toc24458"/>
      <w:bookmarkStart w:id="1518" w:name="_Toc17201"/>
      <w:bookmarkStart w:id="1519" w:name="_Toc22155"/>
      <w:bookmarkStart w:id="1520" w:name="_Toc436215757"/>
      <w:bookmarkStart w:id="1521" w:name="_Toc25169"/>
      <w:bookmarkStart w:id="1522" w:name="_Toc20645"/>
      <w:bookmarkStart w:id="1523" w:name="_Toc23674"/>
      <w:bookmarkStart w:id="1524" w:name="_Toc5494"/>
      <w:bookmarkStart w:id="1525" w:name="_Toc24448"/>
      <w:bookmarkStart w:id="1526" w:name="_Toc30353"/>
      <w:bookmarkStart w:id="1527" w:name="_Toc11084"/>
      <w:bookmarkStart w:id="1528" w:name="_Toc435178399"/>
      <w:bookmarkStart w:id="1529" w:name="_Toc1078"/>
      <w:bookmarkStart w:id="1530" w:name="_Toc6861"/>
      <w:bookmarkStart w:id="1531" w:name="_Toc15404"/>
      <w:bookmarkStart w:id="1532" w:name="_Toc5598"/>
      <w:bookmarkStart w:id="1533" w:name="_Toc26363"/>
      <w:bookmarkStart w:id="1534" w:name="_Toc21269"/>
      <w:bookmarkStart w:id="1535" w:name="_Toc15346"/>
      <w:bookmarkStart w:id="1536" w:name="_Toc4169"/>
      <w:bookmarkStart w:id="1537" w:name="_Toc496601964"/>
      <w:bookmarkStart w:id="1538" w:name="_Toc11086"/>
      <w:bookmarkStart w:id="1539" w:name="_Toc11701"/>
      <w:bookmarkStart w:id="1540" w:name="_Toc21348"/>
      <w:bookmarkStart w:id="1541" w:name="_Toc32679"/>
      <w:bookmarkStart w:id="1542" w:name="_Toc21513"/>
      <w:bookmarkStart w:id="1543" w:name="_Toc30117"/>
      <w:bookmarkStart w:id="1544" w:name="_Toc19046"/>
      <w:r>
        <w:rPr>
          <w:rFonts w:hint="eastAsia"/>
          <w:color w:val="auto"/>
          <w:highlight w:val="none"/>
        </w:rPr>
        <w:t>7. 合同授予</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pPr>
        <w:pStyle w:val="7"/>
        <w:rPr>
          <w:color w:val="auto"/>
          <w:highlight w:val="none"/>
        </w:rPr>
      </w:pPr>
      <w:bookmarkStart w:id="1545" w:name="_Toc31402"/>
      <w:bookmarkStart w:id="1546" w:name="_Toc26218"/>
      <w:bookmarkStart w:id="1547" w:name="_Toc7139"/>
      <w:bookmarkStart w:id="1548" w:name="_Toc10241"/>
      <w:bookmarkStart w:id="1549" w:name="_Toc6212"/>
      <w:bookmarkStart w:id="1550" w:name="_Toc435178400"/>
      <w:bookmarkStart w:id="1551" w:name="_Toc496601965"/>
      <w:bookmarkStart w:id="1552" w:name="_Toc15536"/>
      <w:bookmarkStart w:id="1553" w:name="_Toc12899"/>
      <w:bookmarkStart w:id="1554" w:name="_Toc20844"/>
      <w:bookmarkStart w:id="1555" w:name="_Toc20942"/>
      <w:bookmarkStart w:id="1556" w:name="_Toc3744"/>
      <w:bookmarkStart w:id="1557" w:name="_Toc2414"/>
      <w:bookmarkStart w:id="1558" w:name="_Toc19324"/>
      <w:bookmarkStart w:id="1559" w:name="_Toc11843"/>
      <w:bookmarkStart w:id="1560" w:name="_Toc13725"/>
      <w:bookmarkStart w:id="1561" w:name="_Toc32066"/>
      <w:bookmarkStart w:id="1562" w:name="_Toc10908"/>
      <w:bookmarkStart w:id="1563" w:name="_Toc421"/>
      <w:bookmarkStart w:id="1564" w:name="_Toc25055"/>
      <w:bookmarkStart w:id="1565" w:name="_Toc24615"/>
      <w:bookmarkStart w:id="1566" w:name="_Toc32247"/>
      <w:bookmarkStart w:id="1567" w:name="_Toc436215758"/>
      <w:bookmarkStart w:id="1568" w:name="_Toc22011"/>
      <w:bookmarkStart w:id="1569" w:name="_Toc19548"/>
      <w:bookmarkStart w:id="1570" w:name="_Toc22858"/>
      <w:bookmarkStart w:id="1571" w:name="_Toc465"/>
      <w:bookmarkStart w:id="1572" w:name="_Toc21175"/>
      <w:r>
        <w:rPr>
          <w:rFonts w:hint="eastAsia"/>
          <w:color w:val="auto"/>
          <w:highlight w:val="none"/>
        </w:rPr>
        <w:t>7.1 定标方式</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pPr>
        <w:pStyle w:val="2"/>
        <w:spacing w:after="0" w:line="360" w:lineRule="auto"/>
        <w:ind w:firstLineChars="200"/>
        <w:rPr>
          <w:color w:val="auto"/>
          <w:highlight w:val="none"/>
        </w:rPr>
      </w:pPr>
      <w:r>
        <w:rPr>
          <w:rFonts w:hint="eastAsia"/>
          <w:color w:val="auto"/>
          <w:highlight w:val="none"/>
        </w:rPr>
        <w:t>招标人依据评标委员会推荐的中标候选人确定中标人。</w:t>
      </w:r>
    </w:p>
    <w:p>
      <w:pPr>
        <w:pStyle w:val="7"/>
        <w:rPr>
          <w:color w:val="auto"/>
          <w:highlight w:val="none"/>
        </w:rPr>
      </w:pPr>
      <w:bookmarkStart w:id="1573" w:name="_Toc496601966"/>
      <w:bookmarkStart w:id="1574" w:name="_Toc6010"/>
      <w:bookmarkStart w:id="1575" w:name="_Toc12382"/>
      <w:bookmarkStart w:id="1576" w:name="_Toc14065"/>
      <w:bookmarkStart w:id="1577" w:name="_Toc435178401"/>
      <w:bookmarkStart w:id="1578" w:name="_Toc10601"/>
      <w:bookmarkStart w:id="1579" w:name="_Toc12184"/>
      <w:bookmarkStart w:id="1580" w:name="_Toc21670"/>
      <w:bookmarkStart w:id="1581" w:name="_Toc32552"/>
      <w:bookmarkStart w:id="1582" w:name="_Toc3123"/>
      <w:bookmarkStart w:id="1583" w:name="_Toc28476"/>
      <w:bookmarkStart w:id="1584" w:name="_Toc9748"/>
      <w:bookmarkStart w:id="1585" w:name="_Toc20875"/>
      <w:bookmarkStart w:id="1586" w:name="_Toc2331"/>
      <w:bookmarkStart w:id="1587" w:name="_Toc17840"/>
      <w:bookmarkStart w:id="1588" w:name="_Toc22097"/>
      <w:bookmarkStart w:id="1589" w:name="_Toc3635"/>
      <w:bookmarkStart w:id="1590" w:name="_Toc19058"/>
      <w:bookmarkStart w:id="1591" w:name="_Toc31630"/>
      <w:bookmarkStart w:id="1592" w:name="_Toc25378"/>
      <w:bookmarkStart w:id="1593" w:name="_Toc17117"/>
      <w:bookmarkStart w:id="1594" w:name="_Toc12335"/>
      <w:bookmarkStart w:id="1595" w:name="_Toc16042"/>
      <w:bookmarkStart w:id="1596" w:name="_Toc30903"/>
      <w:bookmarkStart w:id="1597" w:name="_Toc31165"/>
      <w:bookmarkStart w:id="1598" w:name="_Toc11347"/>
      <w:bookmarkStart w:id="1599" w:name="_Toc4802"/>
      <w:bookmarkStart w:id="1600" w:name="_Toc436215759"/>
      <w:r>
        <w:rPr>
          <w:rFonts w:hint="eastAsia"/>
          <w:color w:val="auto"/>
          <w:highlight w:val="none"/>
        </w:rPr>
        <w:t>7.2 中标候选人公示</w:t>
      </w:r>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pPr>
        <w:spacing w:line="360" w:lineRule="auto"/>
        <w:ind w:firstLine="420" w:firstLineChars="200"/>
        <w:rPr>
          <w:color w:val="auto"/>
          <w:kern w:val="0"/>
          <w:sz w:val="24"/>
          <w:highlight w:val="none"/>
        </w:rPr>
      </w:pPr>
      <w:r>
        <w:rPr>
          <w:rFonts w:hint="eastAsia"/>
          <w:color w:val="auto"/>
          <w:highlight w:val="none"/>
        </w:rPr>
        <w:t>招标人在投标人须知前附表规定的媒介公示中标候选人，公示期3个工作日。</w:t>
      </w:r>
    </w:p>
    <w:p>
      <w:pPr>
        <w:pStyle w:val="7"/>
        <w:rPr>
          <w:color w:val="auto"/>
          <w:highlight w:val="none"/>
        </w:rPr>
      </w:pPr>
      <w:bookmarkStart w:id="1601" w:name="_Toc8230"/>
      <w:bookmarkStart w:id="1602" w:name="_Toc32436"/>
      <w:bookmarkStart w:id="1603" w:name="_Toc32433"/>
      <w:bookmarkStart w:id="1604" w:name="_Toc12009"/>
      <w:bookmarkStart w:id="1605" w:name="_Toc19582"/>
      <w:bookmarkStart w:id="1606" w:name="_Toc20123"/>
      <w:bookmarkStart w:id="1607" w:name="_Toc21298"/>
      <w:bookmarkStart w:id="1608" w:name="_Toc16638"/>
      <w:bookmarkStart w:id="1609" w:name="_Toc21319"/>
      <w:bookmarkStart w:id="1610" w:name="_Toc30779"/>
      <w:bookmarkStart w:id="1611" w:name="_Toc32655"/>
      <w:bookmarkStart w:id="1612" w:name="_Toc5761"/>
      <w:bookmarkStart w:id="1613" w:name="_Toc30336"/>
      <w:bookmarkStart w:id="1614" w:name="_Toc21445"/>
      <w:bookmarkStart w:id="1615" w:name="_Toc9749"/>
      <w:bookmarkStart w:id="1616" w:name="_Toc7471"/>
      <w:bookmarkStart w:id="1617" w:name="_Toc28275"/>
      <w:bookmarkStart w:id="1618" w:name="_Toc13337"/>
      <w:bookmarkStart w:id="1619" w:name="_Toc7253"/>
      <w:bookmarkStart w:id="1620" w:name="_Toc14127"/>
      <w:bookmarkStart w:id="1621" w:name="_Toc1146"/>
      <w:bookmarkStart w:id="1622" w:name="_Toc6377"/>
      <w:bookmarkStart w:id="1623" w:name="_Toc2661"/>
      <w:bookmarkStart w:id="1624" w:name="_Toc5997"/>
      <w:bookmarkStart w:id="1625" w:name="_Toc1159"/>
      <w:r>
        <w:rPr>
          <w:color w:val="auto"/>
          <w:highlight w:val="none"/>
        </w:rPr>
        <w:t>7.2 评标结果异议</w:t>
      </w:r>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pPr>
        <w:spacing w:line="360" w:lineRule="auto"/>
        <w:ind w:firstLine="420" w:firstLineChars="200"/>
        <w:rPr>
          <w:rFonts w:ascii="宋体" w:hAnsi="宋体" w:cs="宋体"/>
          <w:color w:val="auto"/>
          <w:kern w:val="0"/>
          <w:szCs w:val="21"/>
          <w:highlight w:val="none"/>
        </w:rPr>
      </w:pPr>
      <w:r>
        <w:rPr>
          <w:rFonts w:ascii="宋体" w:hAnsi="宋体" w:cs="宋体"/>
          <w:color w:val="auto"/>
          <w:kern w:val="0"/>
          <w:szCs w:val="21"/>
          <w:highlight w:val="none"/>
        </w:rPr>
        <w:t>投标人或者其他利害关系人对评标结果有异议的，应当在中标候选人公示期间提出。作出答复前，将暂停招标投标活动。</w:t>
      </w:r>
    </w:p>
    <w:p>
      <w:pPr>
        <w:pStyle w:val="7"/>
        <w:rPr>
          <w:color w:val="auto"/>
          <w:highlight w:val="none"/>
        </w:rPr>
      </w:pPr>
      <w:bookmarkStart w:id="1626" w:name="_Toc31367"/>
      <w:bookmarkStart w:id="1627" w:name="_Toc23824"/>
      <w:bookmarkStart w:id="1628" w:name="_Toc15739"/>
      <w:bookmarkStart w:id="1629" w:name="_Toc15953"/>
      <w:bookmarkStart w:id="1630" w:name="_Toc24549"/>
      <w:bookmarkStart w:id="1631" w:name="_Toc3624"/>
      <w:bookmarkStart w:id="1632" w:name="_Toc21737"/>
      <w:bookmarkStart w:id="1633" w:name="_Toc27631"/>
      <w:bookmarkStart w:id="1634" w:name="_Toc25206"/>
      <w:bookmarkStart w:id="1635" w:name="_Toc17531"/>
      <w:bookmarkStart w:id="1636" w:name="_Toc10298"/>
      <w:bookmarkStart w:id="1637" w:name="_Toc8476"/>
      <w:bookmarkStart w:id="1638" w:name="_Toc10659"/>
      <w:bookmarkStart w:id="1639" w:name="_Toc13016"/>
      <w:bookmarkStart w:id="1640" w:name="_Toc11997"/>
      <w:bookmarkStart w:id="1641" w:name="_Toc16411"/>
      <w:bookmarkStart w:id="1642" w:name="_Toc2024"/>
      <w:bookmarkStart w:id="1643" w:name="_Toc7370"/>
      <w:bookmarkStart w:id="1644" w:name="_Toc6621"/>
      <w:bookmarkStart w:id="1645" w:name="_Toc13124"/>
      <w:bookmarkStart w:id="1646" w:name="_Toc20029"/>
      <w:bookmarkStart w:id="1647" w:name="_Toc25407"/>
      <w:bookmarkStart w:id="1648" w:name="_Toc1852"/>
      <w:bookmarkStart w:id="1649" w:name="_Toc2884"/>
      <w:bookmarkStart w:id="1650" w:name="_Toc32648"/>
      <w:r>
        <w:rPr>
          <w:rFonts w:hint="eastAsia"/>
          <w:color w:val="auto"/>
          <w:highlight w:val="none"/>
        </w:rPr>
        <w:t>7.3中标候选人履约能力审查</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r>
        <w:rPr>
          <w:rFonts w:hint="eastAsia"/>
          <w:color w:val="auto"/>
          <w:highlight w:val="none"/>
        </w:rPr>
        <w:t xml:space="preserve"> </w:t>
      </w:r>
    </w:p>
    <w:p>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中标候选人的经营、财务状况发生较大变化或存在违法行为，招标人认为可能影响其履约能力的，将在发出中标通知书前提请原评委员会按照招标文件规定的标准和方法进行审查确认</w:t>
      </w:r>
      <w:bookmarkStart w:id="1651" w:name="_Toc435178402"/>
      <w:bookmarkStart w:id="1652" w:name="_Toc436215760"/>
      <w:bookmarkStart w:id="1653" w:name="_Toc496601967"/>
      <w:r>
        <w:rPr>
          <w:rFonts w:hint="eastAsia" w:ascii="宋体" w:hAnsi="宋体" w:cs="宋体"/>
          <w:color w:val="auto"/>
          <w:kern w:val="0"/>
          <w:szCs w:val="21"/>
          <w:highlight w:val="none"/>
        </w:rPr>
        <w:t>。</w:t>
      </w:r>
    </w:p>
    <w:p>
      <w:pPr>
        <w:pStyle w:val="7"/>
        <w:rPr>
          <w:color w:val="auto"/>
          <w:highlight w:val="none"/>
        </w:rPr>
      </w:pPr>
      <w:bookmarkStart w:id="1654" w:name="_Toc840"/>
      <w:bookmarkStart w:id="1655" w:name="_Toc15670"/>
      <w:bookmarkStart w:id="1656" w:name="_Toc32354"/>
      <w:bookmarkStart w:id="1657" w:name="_Toc1716"/>
      <w:bookmarkStart w:id="1658" w:name="_Toc31670"/>
      <w:bookmarkStart w:id="1659" w:name="_Toc32169"/>
      <w:bookmarkStart w:id="1660" w:name="_Toc1553"/>
      <w:bookmarkStart w:id="1661" w:name="_Toc13625"/>
      <w:bookmarkStart w:id="1662" w:name="_Toc28254"/>
      <w:bookmarkStart w:id="1663" w:name="_Toc7035"/>
      <w:bookmarkStart w:id="1664" w:name="_Toc13257"/>
      <w:bookmarkStart w:id="1665" w:name="_Toc29910"/>
      <w:bookmarkStart w:id="1666" w:name="_Toc22634"/>
      <w:bookmarkStart w:id="1667" w:name="_Toc30775"/>
      <w:bookmarkStart w:id="1668" w:name="_Toc7962"/>
      <w:bookmarkStart w:id="1669" w:name="_Toc15688"/>
      <w:bookmarkStart w:id="1670" w:name="_Toc32275"/>
      <w:bookmarkStart w:id="1671" w:name="_Toc1700"/>
      <w:bookmarkStart w:id="1672" w:name="_Toc480"/>
      <w:bookmarkStart w:id="1673" w:name="_Toc20848"/>
      <w:bookmarkStart w:id="1674" w:name="_Toc7753"/>
      <w:bookmarkStart w:id="1675" w:name="_Toc1921"/>
      <w:bookmarkStart w:id="1676" w:name="_Toc6745"/>
      <w:bookmarkStart w:id="1677" w:name="_Toc3210"/>
      <w:bookmarkStart w:id="1678" w:name="_Toc18899"/>
      <w:r>
        <w:rPr>
          <w:rFonts w:hint="eastAsia"/>
          <w:color w:val="auto"/>
          <w:highlight w:val="none"/>
        </w:rPr>
        <w:t>7.4 中标通知</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p>
    <w:p>
      <w:pPr>
        <w:spacing w:line="360" w:lineRule="auto"/>
        <w:ind w:firstLine="420" w:firstLineChars="200"/>
        <w:rPr>
          <w:color w:val="auto"/>
          <w:highlight w:val="none"/>
        </w:rPr>
      </w:pPr>
      <w:r>
        <w:rPr>
          <w:rFonts w:hint="eastAsia"/>
          <w:color w:val="auto"/>
          <w:highlight w:val="none"/>
        </w:rPr>
        <w:t>在本章第3.3款规定的投标有效期内，招标人以书面形式向中标人发出中标通知书。</w:t>
      </w:r>
    </w:p>
    <w:p>
      <w:pPr>
        <w:pStyle w:val="7"/>
        <w:rPr>
          <w:color w:val="auto"/>
          <w:highlight w:val="none"/>
        </w:rPr>
      </w:pPr>
      <w:bookmarkStart w:id="1679" w:name="_Toc20003"/>
      <w:bookmarkStart w:id="1680" w:name="_Toc6580"/>
      <w:bookmarkStart w:id="1681" w:name="_Toc436215761"/>
      <w:bookmarkStart w:id="1682" w:name="_Toc30297"/>
      <w:bookmarkStart w:id="1683" w:name="_Toc10920"/>
      <w:bookmarkStart w:id="1684" w:name="_Toc546"/>
      <w:bookmarkStart w:id="1685" w:name="_Toc19139"/>
      <w:bookmarkStart w:id="1686" w:name="_Toc7982"/>
      <w:bookmarkStart w:id="1687" w:name="_Toc18672"/>
      <w:bookmarkStart w:id="1688" w:name="_Toc435178403"/>
      <w:bookmarkStart w:id="1689" w:name="_Toc1493"/>
      <w:bookmarkStart w:id="1690" w:name="_Toc10733"/>
      <w:bookmarkStart w:id="1691" w:name="_Toc28368"/>
      <w:bookmarkStart w:id="1692" w:name="_Toc15477"/>
      <w:bookmarkStart w:id="1693" w:name="_Toc31291"/>
      <w:bookmarkStart w:id="1694" w:name="_Toc6591"/>
      <w:bookmarkStart w:id="1695" w:name="_Toc28130"/>
      <w:bookmarkStart w:id="1696" w:name="_Toc9657"/>
      <w:bookmarkStart w:id="1697" w:name="_Toc26680"/>
      <w:bookmarkStart w:id="1698" w:name="_Toc1143"/>
      <w:bookmarkStart w:id="1699" w:name="_Toc32699"/>
      <w:bookmarkStart w:id="1700" w:name="_Toc5273"/>
      <w:bookmarkStart w:id="1701" w:name="_Toc23084"/>
      <w:bookmarkStart w:id="1702" w:name="_Toc26608"/>
      <w:bookmarkStart w:id="1703" w:name="_Toc9737"/>
      <w:bookmarkStart w:id="1704" w:name="_Toc30799"/>
      <w:bookmarkStart w:id="1705" w:name="_Toc12205"/>
      <w:bookmarkStart w:id="1706" w:name="_Toc496601968"/>
      <w:r>
        <w:rPr>
          <w:rFonts w:hint="eastAsia"/>
          <w:color w:val="auto"/>
          <w:highlight w:val="none"/>
        </w:rPr>
        <w:t>7.5 签订合同</w:t>
      </w:r>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pPr>
        <w:spacing w:line="360" w:lineRule="auto"/>
        <w:ind w:firstLine="420" w:firstLineChars="200"/>
        <w:rPr>
          <w:color w:val="auto"/>
          <w:highlight w:val="none"/>
        </w:rPr>
      </w:pPr>
      <w:r>
        <w:rPr>
          <w:rFonts w:hint="eastAsia"/>
          <w:color w:val="auto"/>
          <w:highlight w:val="none"/>
        </w:rPr>
        <w:t>7.4.1招标人和中标人应当自中标通知书发出之日起30天内，根据招标文件和中标人的投标文件订立书面合同。</w:t>
      </w:r>
      <w:r>
        <w:rPr>
          <w:color w:val="auto"/>
          <w:highlight w:val="none"/>
        </w:rPr>
        <w:t>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spacing w:line="360" w:lineRule="auto"/>
        <w:ind w:firstLine="420" w:firstLineChars="200"/>
        <w:rPr>
          <w:color w:val="auto"/>
          <w:highlight w:val="none"/>
        </w:rPr>
      </w:pPr>
      <w:r>
        <w:rPr>
          <w:rFonts w:hint="eastAsia"/>
          <w:color w:val="auto"/>
          <w:highlight w:val="none"/>
        </w:rPr>
        <w:t>7.4.2 发出中标通知书后，招标人无正当理由拒签合同的，招标人向中标人退还投标保证金；给中标人造成损失的，还应当赔偿损失。</w:t>
      </w:r>
    </w:p>
    <w:p>
      <w:pPr>
        <w:spacing w:line="360" w:lineRule="auto"/>
        <w:ind w:firstLine="420" w:firstLineChars="200"/>
        <w:rPr>
          <w:color w:val="auto"/>
          <w:highlight w:val="none"/>
        </w:rPr>
      </w:pPr>
      <w:r>
        <w:rPr>
          <w:color w:val="auto"/>
          <w:highlight w:val="none"/>
        </w:rPr>
        <w:t>7.7.</w:t>
      </w:r>
      <w:r>
        <w:rPr>
          <w:rFonts w:hint="eastAsia"/>
          <w:color w:val="auto"/>
          <w:highlight w:val="none"/>
        </w:rPr>
        <w:t>3</w:t>
      </w:r>
      <w:r>
        <w:rPr>
          <w:color w:val="auto"/>
          <w:highlight w:val="none"/>
        </w:rPr>
        <w:t xml:space="preserve"> 发出中标通知书后，招标人无正当理由拒签合同，或者在签订合同时向中标人提出附加条件的，招标人向中标人退还投标保证金；给中标人造成损失的，还应当赔偿损失。</w:t>
      </w:r>
    </w:p>
    <w:p>
      <w:pPr>
        <w:spacing w:line="360" w:lineRule="auto"/>
        <w:ind w:firstLine="420" w:firstLineChars="200"/>
        <w:rPr>
          <w:color w:val="auto"/>
          <w:highlight w:val="none"/>
        </w:rPr>
      </w:pPr>
      <w:r>
        <w:rPr>
          <w:color w:val="auto"/>
          <w:highlight w:val="none"/>
        </w:rPr>
        <w:t>7.7.</w:t>
      </w:r>
      <w:r>
        <w:rPr>
          <w:rFonts w:hint="eastAsia"/>
          <w:color w:val="auto"/>
          <w:highlight w:val="none"/>
        </w:rPr>
        <w:t>4若项目允许联合体投标，</w:t>
      </w:r>
      <w:r>
        <w:rPr>
          <w:color w:val="auto"/>
          <w:highlight w:val="none"/>
        </w:rPr>
        <w:t>联合体中标的，联合体各方应当共同与招标人签订合同，就中标项目向招标人承担连带责任。</w:t>
      </w:r>
    </w:p>
    <w:p>
      <w:pPr>
        <w:pStyle w:val="6"/>
        <w:spacing w:line="360" w:lineRule="auto"/>
        <w:rPr>
          <w:color w:val="auto"/>
          <w:highlight w:val="none"/>
        </w:rPr>
      </w:pPr>
      <w:bookmarkStart w:id="1707" w:name="_Toc13939"/>
      <w:bookmarkStart w:id="1708" w:name="_Toc26878"/>
      <w:bookmarkStart w:id="1709" w:name="_Toc9578"/>
      <w:bookmarkStart w:id="1710" w:name="_Toc6045"/>
      <w:bookmarkStart w:id="1711" w:name="_Toc24186"/>
      <w:bookmarkStart w:id="1712" w:name="_Toc16852"/>
      <w:bookmarkStart w:id="1713" w:name="_Toc435178404"/>
      <w:bookmarkStart w:id="1714" w:name="_Toc12894"/>
      <w:bookmarkStart w:id="1715" w:name="_Toc20795"/>
      <w:bookmarkStart w:id="1716" w:name="_Toc6457"/>
      <w:bookmarkStart w:id="1717" w:name="_Toc21915"/>
      <w:bookmarkStart w:id="1718" w:name="_Toc22141"/>
      <w:bookmarkStart w:id="1719" w:name="_Toc18796"/>
      <w:bookmarkStart w:id="1720" w:name="_Toc24708"/>
      <w:bookmarkStart w:id="1721" w:name="_Toc31503"/>
      <w:bookmarkStart w:id="1722" w:name="_Toc21542"/>
      <w:bookmarkStart w:id="1723" w:name="_Toc436215762"/>
      <w:bookmarkStart w:id="1724" w:name="_Toc4727"/>
      <w:bookmarkStart w:id="1725" w:name="_Toc14811"/>
      <w:bookmarkStart w:id="1726" w:name="_Toc11338"/>
      <w:bookmarkStart w:id="1727" w:name="_Toc6434"/>
      <w:bookmarkStart w:id="1728" w:name="_Toc9960"/>
      <w:bookmarkStart w:id="1729" w:name="_Toc9060"/>
      <w:bookmarkStart w:id="1730" w:name="_Toc12669"/>
      <w:bookmarkStart w:id="1731" w:name="_Toc28342"/>
      <w:bookmarkStart w:id="1732" w:name="_Toc16568"/>
      <w:bookmarkStart w:id="1733" w:name="_Toc30865"/>
      <w:bookmarkStart w:id="1734" w:name="_Toc496601969"/>
      <w:r>
        <w:rPr>
          <w:rFonts w:hint="eastAsia"/>
          <w:color w:val="auto"/>
          <w:highlight w:val="none"/>
        </w:rPr>
        <w:t>8. 纪律和监督</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p>
    <w:p>
      <w:pPr>
        <w:pStyle w:val="7"/>
        <w:rPr>
          <w:color w:val="auto"/>
          <w:highlight w:val="none"/>
        </w:rPr>
      </w:pPr>
      <w:bookmarkStart w:id="1735" w:name="_Toc880"/>
      <w:bookmarkStart w:id="1736" w:name="_Toc23979"/>
      <w:bookmarkStart w:id="1737" w:name="_Toc31482"/>
      <w:bookmarkStart w:id="1738" w:name="_Toc18718"/>
      <w:bookmarkStart w:id="1739" w:name="_Toc21792"/>
      <w:bookmarkStart w:id="1740" w:name="_Toc30901"/>
      <w:bookmarkStart w:id="1741" w:name="_Toc20953"/>
      <w:bookmarkStart w:id="1742" w:name="_Toc1687"/>
      <w:bookmarkStart w:id="1743" w:name="_Toc16093"/>
      <w:bookmarkStart w:id="1744" w:name="_Toc496601970"/>
      <w:bookmarkStart w:id="1745" w:name="_Toc7606"/>
      <w:bookmarkStart w:id="1746" w:name="_Toc32413"/>
      <w:bookmarkStart w:id="1747" w:name="_Toc23409"/>
      <w:bookmarkStart w:id="1748" w:name="_Toc15935"/>
      <w:bookmarkStart w:id="1749" w:name="_Toc29603"/>
      <w:bookmarkStart w:id="1750" w:name="_Toc12403"/>
      <w:bookmarkStart w:id="1751" w:name="_Toc435178405"/>
      <w:bookmarkStart w:id="1752" w:name="_Toc27704"/>
      <w:bookmarkStart w:id="1753" w:name="_Toc436215763"/>
      <w:bookmarkStart w:id="1754" w:name="_Toc22969"/>
      <w:bookmarkStart w:id="1755" w:name="_Toc5161"/>
      <w:bookmarkStart w:id="1756" w:name="_Toc3280"/>
      <w:bookmarkStart w:id="1757" w:name="_Toc24096"/>
      <w:bookmarkStart w:id="1758" w:name="_Toc31493"/>
      <w:bookmarkStart w:id="1759" w:name="_Toc30774"/>
      <w:bookmarkStart w:id="1760" w:name="_Toc11199"/>
      <w:bookmarkStart w:id="1761" w:name="_Toc2110"/>
      <w:bookmarkStart w:id="1762" w:name="_Toc908"/>
      <w:r>
        <w:rPr>
          <w:rFonts w:hint="eastAsia"/>
          <w:color w:val="auto"/>
          <w:highlight w:val="none"/>
        </w:rPr>
        <w:t>8.1 对招标人的纪律要求</w:t>
      </w:r>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p>
    <w:p>
      <w:pPr>
        <w:spacing w:line="360" w:lineRule="auto"/>
        <w:ind w:firstLine="420" w:firstLineChars="200"/>
        <w:rPr>
          <w:color w:val="auto"/>
          <w:highlight w:val="none"/>
        </w:rPr>
      </w:pPr>
      <w:r>
        <w:rPr>
          <w:rFonts w:hint="eastAsia"/>
          <w:color w:val="auto"/>
          <w:highlight w:val="none"/>
        </w:rPr>
        <w:t>招标人不得泄漏招标投标活动中应当保密的情况和资料，</w:t>
      </w:r>
      <w:r>
        <w:rPr>
          <w:color w:val="auto"/>
          <w:highlight w:val="none"/>
        </w:rPr>
        <w:t>不得与投标人串通损害国家利益、社会公共利益或者他人合法权益。</w:t>
      </w:r>
    </w:p>
    <w:p>
      <w:pPr>
        <w:pStyle w:val="7"/>
        <w:rPr>
          <w:color w:val="auto"/>
          <w:highlight w:val="none"/>
        </w:rPr>
      </w:pPr>
      <w:bookmarkStart w:id="1763" w:name="_Toc435178406"/>
      <w:bookmarkStart w:id="1764" w:name="_Toc496601971"/>
      <w:bookmarkStart w:id="1765" w:name="_Toc436215764"/>
      <w:bookmarkStart w:id="1766" w:name="_Toc9055"/>
      <w:bookmarkStart w:id="1767" w:name="_Toc26530"/>
      <w:bookmarkStart w:id="1768" w:name="_Toc14215"/>
      <w:bookmarkStart w:id="1769" w:name="_Toc17401"/>
      <w:bookmarkStart w:id="1770" w:name="_Toc3671"/>
      <w:bookmarkStart w:id="1771" w:name="_Toc1438"/>
      <w:bookmarkStart w:id="1772" w:name="_Toc21155"/>
      <w:bookmarkStart w:id="1773" w:name="_Toc32683"/>
      <w:bookmarkStart w:id="1774" w:name="_Toc5186"/>
      <w:bookmarkStart w:id="1775" w:name="_Toc16658"/>
      <w:bookmarkStart w:id="1776" w:name="_Toc12567"/>
      <w:bookmarkStart w:id="1777" w:name="_Toc24063"/>
      <w:bookmarkStart w:id="1778" w:name="_Toc1177"/>
      <w:bookmarkStart w:id="1779" w:name="_Toc10574"/>
      <w:bookmarkStart w:id="1780" w:name="_Toc14310"/>
      <w:bookmarkStart w:id="1781" w:name="_Toc18527"/>
      <w:bookmarkStart w:id="1782" w:name="_Toc31054"/>
      <w:bookmarkStart w:id="1783" w:name="_Toc26065"/>
      <w:bookmarkStart w:id="1784" w:name="_Toc9497"/>
      <w:bookmarkStart w:id="1785" w:name="_Toc24380"/>
      <w:bookmarkStart w:id="1786" w:name="_Toc6682"/>
      <w:bookmarkStart w:id="1787" w:name="_Toc24838"/>
      <w:bookmarkStart w:id="1788" w:name="_Toc8366"/>
      <w:bookmarkStart w:id="1789" w:name="_Toc22907"/>
      <w:bookmarkStart w:id="1790" w:name="_Toc3230"/>
      <w:r>
        <w:rPr>
          <w:rFonts w:hint="eastAsia"/>
          <w:color w:val="auto"/>
          <w:highlight w:val="none"/>
        </w:rPr>
        <w:t>8.2 对投标人的</w:t>
      </w:r>
      <w:bookmarkEnd w:id="1763"/>
      <w:bookmarkEnd w:id="1764"/>
      <w:bookmarkEnd w:id="1765"/>
      <w:r>
        <w:rPr>
          <w:rFonts w:hint="eastAsia"/>
          <w:color w:val="auto"/>
          <w:highlight w:val="none"/>
        </w:rPr>
        <w:t>纪律要求</w:t>
      </w:r>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p>
    <w:p>
      <w:pPr>
        <w:spacing w:line="360" w:lineRule="auto"/>
        <w:ind w:firstLine="420" w:firstLineChars="200"/>
        <w:rPr>
          <w:color w:val="auto"/>
          <w:highlight w:val="none"/>
        </w:rPr>
      </w:pPr>
      <w:r>
        <w:rPr>
          <w:rFonts w:hint="eastAsia"/>
          <w:color w:val="auto"/>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7"/>
        <w:rPr>
          <w:color w:val="auto"/>
          <w:highlight w:val="none"/>
        </w:rPr>
      </w:pPr>
      <w:bookmarkStart w:id="1791" w:name="_Toc436215765"/>
      <w:bookmarkStart w:id="1792" w:name="_Toc496601972"/>
      <w:bookmarkStart w:id="1793" w:name="_Toc435178407"/>
      <w:bookmarkStart w:id="1794" w:name="_Toc24277"/>
      <w:bookmarkStart w:id="1795" w:name="_Toc2819"/>
      <w:bookmarkStart w:id="1796" w:name="_Toc31709"/>
      <w:bookmarkStart w:id="1797" w:name="_Toc13318"/>
      <w:bookmarkStart w:id="1798" w:name="_Toc32237"/>
      <w:bookmarkStart w:id="1799" w:name="_Toc6505"/>
      <w:bookmarkStart w:id="1800" w:name="_Toc6740"/>
      <w:bookmarkStart w:id="1801" w:name="_Toc23637"/>
      <w:bookmarkStart w:id="1802" w:name="_Toc13149"/>
      <w:bookmarkStart w:id="1803" w:name="_Toc8114"/>
      <w:bookmarkStart w:id="1804" w:name="_Toc22685"/>
      <w:bookmarkStart w:id="1805" w:name="_Toc4889"/>
      <w:bookmarkStart w:id="1806" w:name="_Toc6777"/>
      <w:bookmarkStart w:id="1807" w:name="_Toc18910"/>
      <w:bookmarkStart w:id="1808" w:name="_Toc3623"/>
      <w:bookmarkStart w:id="1809" w:name="_Toc29686"/>
      <w:bookmarkStart w:id="1810" w:name="_Toc24461"/>
      <w:bookmarkStart w:id="1811" w:name="_Toc82"/>
      <w:bookmarkStart w:id="1812" w:name="_Toc15732"/>
      <w:bookmarkStart w:id="1813" w:name="_Toc7687"/>
      <w:bookmarkStart w:id="1814" w:name="_Toc4726"/>
      <w:bookmarkStart w:id="1815" w:name="_Toc24042"/>
      <w:bookmarkStart w:id="1816" w:name="_Toc17073"/>
      <w:bookmarkStart w:id="1817" w:name="_Toc5058"/>
      <w:bookmarkStart w:id="1818" w:name="_Toc9211"/>
      <w:r>
        <w:rPr>
          <w:rFonts w:hint="eastAsia"/>
          <w:color w:val="auto"/>
          <w:highlight w:val="none"/>
        </w:rPr>
        <w:t>8.3 对评标委员会成员的</w:t>
      </w:r>
      <w:bookmarkEnd w:id="1791"/>
      <w:bookmarkEnd w:id="1792"/>
      <w:bookmarkEnd w:id="1793"/>
      <w:r>
        <w:rPr>
          <w:rFonts w:hint="eastAsia"/>
          <w:color w:val="auto"/>
          <w:highlight w:val="none"/>
        </w:rPr>
        <w:t>纪律要求</w:t>
      </w:r>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p>
    <w:p>
      <w:pPr>
        <w:pStyle w:val="2"/>
        <w:spacing w:after="0" w:line="360" w:lineRule="auto"/>
        <w:ind w:firstLineChars="200"/>
        <w:rPr>
          <w:color w:val="auto"/>
          <w:highlight w:val="none"/>
        </w:rPr>
      </w:pPr>
      <w:r>
        <w:rPr>
          <w:rFonts w:hint="eastAsia"/>
          <w:color w:val="auto"/>
          <w:highlight w:val="none"/>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标准进行评标。</w:t>
      </w:r>
    </w:p>
    <w:p>
      <w:pPr>
        <w:pStyle w:val="7"/>
        <w:rPr>
          <w:color w:val="auto"/>
          <w:highlight w:val="none"/>
        </w:rPr>
      </w:pPr>
      <w:bookmarkStart w:id="1819" w:name="_Toc436215766"/>
      <w:bookmarkStart w:id="1820" w:name="_Toc435178408"/>
      <w:bookmarkStart w:id="1821" w:name="_Toc496601973"/>
      <w:bookmarkStart w:id="1822" w:name="_Toc13937"/>
      <w:bookmarkStart w:id="1823" w:name="_Toc4266"/>
      <w:bookmarkStart w:id="1824" w:name="_Toc25500"/>
      <w:bookmarkStart w:id="1825" w:name="_Toc14003"/>
      <w:bookmarkStart w:id="1826" w:name="_Toc2209"/>
      <w:bookmarkStart w:id="1827" w:name="_Toc12990"/>
      <w:bookmarkStart w:id="1828" w:name="_Toc30962"/>
      <w:bookmarkStart w:id="1829" w:name="_Toc11763"/>
      <w:bookmarkStart w:id="1830" w:name="_Toc17562"/>
      <w:bookmarkStart w:id="1831" w:name="_Toc16332"/>
      <w:bookmarkStart w:id="1832" w:name="_Toc24484"/>
      <w:bookmarkStart w:id="1833" w:name="_Toc21437"/>
      <w:bookmarkStart w:id="1834" w:name="_Toc10973"/>
      <w:bookmarkStart w:id="1835" w:name="_Toc5168"/>
      <w:bookmarkStart w:id="1836" w:name="_Toc4784"/>
      <w:bookmarkStart w:id="1837" w:name="_Toc25290"/>
      <w:bookmarkStart w:id="1838" w:name="_Toc9479"/>
      <w:bookmarkStart w:id="1839" w:name="_Toc31689"/>
      <w:bookmarkStart w:id="1840" w:name="_Toc2317"/>
      <w:bookmarkStart w:id="1841" w:name="_Toc28815"/>
      <w:bookmarkStart w:id="1842" w:name="_Toc16190"/>
      <w:bookmarkStart w:id="1843" w:name="_Toc25861"/>
      <w:bookmarkStart w:id="1844" w:name="_Toc8352"/>
      <w:bookmarkStart w:id="1845" w:name="_Toc29126"/>
      <w:bookmarkStart w:id="1846" w:name="_Toc21720"/>
      <w:r>
        <w:rPr>
          <w:rFonts w:hint="eastAsia"/>
          <w:color w:val="auto"/>
          <w:highlight w:val="none"/>
        </w:rPr>
        <w:t>8.4 对与评标活动有关的工作人员的</w:t>
      </w:r>
      <w:bookmarkEnd w:id="1819"/>
      <w:bookmarkEnd w:id="1820"/>
      <w:bookmarkEnd w:id="1821"/>
      <w:r>
        <w:rPr>
          <w:rFonts w:hint="eastAsia"/>
          <w:color w:val="auto"/>
          <w:highlight w:val="none"/>
        </w:rPr>
        <w:t>纪律要求</w:t>
      </w:r>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p>
    <w:p>
      <w:pPr>
        <w:pStyle w:val="2"/>
        <w:spacing w:after="0" w:line="360" w:lineRule="auto"/>
        <w:ind w:firstLineChars="200"/>
        <w:rPr>
          <w:color w:val="auto"/>
          <w:highlight w:val="none"/>
        </w:rPr>
      </w:pPr>
      <w:r>
        <w:rPr>
          <w:rFonts w:hint="eastAsia"/>
          <w:color w:val="auto"/>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pStyle w:val="7"/>
        <w:rPr>
          <w:color w:val="auto"/>
          <w:highlight w:val="none"/>
        </w:rPr>
      </w:pPr>
      <w:bookmarkStart w:id="1847" w:name="_Toc10075"/>
      <w:bookmarkStart w:id="1848" w:name="_Toc26566"/>
      <w:bookmarkStart w:id="1849" w:name="_Toc12909"/>
      <w:bookmarkStart w:id="1850" w:name="_Toc5883"/>
      <w:bookmarkStart w:id="1851" w:name="_Toc25909"/>
      <w:bookmarkStart w:id="1852" w:name="_Toc24541"/>
      <w:bookmarkStart w:id="1853" w:name="_Toc496601974"/>
      <w:bookmarkStart w:id="1854" w:name="_Toc436215767"/>
      <w:bookmarkStart w:id="1855" w:name="_Toc11890"/>
      <w:bookmarkStart w:id="1856" w:name="_Toc9662"/>
      <w:bookmarkStart w:id="1857" w:name="_Toc435178409"/>
      <w:bookmarkStart w:id="1858" w:name="_Toc8782"/>
      <w:bookmarkStart w:id="1859" w:name="_Toc22862"/>
      <w:bookmarkStart w:id="1860" w:name="_Toc5757"/>
      <w:bookmarkStart w:id="1861" w:name="_Toc8649"/>
      <w:bookmarkStart w:id="1862" w:name="_Toc32489"/>
      <w:bookmarkStart w:id="1863" w:name="_Toc1462"/>
      <w:bookmarkStart w:id="1864" w:name="_Toc7066"/>
      <w:bookmarkStart w:id="1865" w:name="_Toc12437"/>
      <w:bookmarkStart w:id="1866" w:name="_Toc15653"/>
      <w:bookmarkStart w:id="1867" w:name="_Toc200"/>
      <w:bookmarkStart w:id="1868" w:name="_Toc17029"/>
      <w:bookmarkStart w:id="1869" w:name="_Toc5092"/>
      <w:bookmarkStart w:id="1870" w:name="_Toc9655"/>
      <w:bookmarkStart w:id="1871" w:name="_Toc13749"/>
      <w:bookmarkStart w:id="1872" w:name="_Toc8625"/>
      <w:bookmarkStart w:id="1873" w:name="_Toc19103"/>
      <w:bookmarkStart w:id="1874" w:name="_Toc6506"/>
      <w:r>
        <w:rPr>
          <w:rFonts w:hint="eastAsia"/>
          <w:color w:val="auto"/>
          <w:highlight w:val="none"/>
        </w:rPr>
        <w:t xml:space="preserve">8.5 </w:t>
      </w:r>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r>
        <w:rPr>
          <w:rFonts w:hint="eastAsia"/>
          <w:color w:val="auto"/>
          <w:highlight w:val="none"/>
        </w:rPr>
        <w:t>廉政监督</w:t>
      </w:r>
      <w:bookmarkEnd w:id="1866"/>
      <w:bookmarkEnd w:id="1867"/>
      <w:bookmarkEnd w:id="1868"/>
      <w:bookmarkEnd w:id="1869"/>
      <w:bookmarkEnd w:id="1870"/>
      <w:bookmarkEnd w:id="1871"/>
      <w:bookmarkEnd w:id="1872"/>
      <w:bookmarkEnd w:id="1873"/>
      <w:bookmarkEnd w:id="1874"/>
    </w:p>
    <w:p>
      <w:pPr>
        <w:spacing w:line="360" w:lineRule="auto"/>
        <w:ind w:firstLine="420" w:firstLineChars="200"/>
        <w:rPr>
          <w:color w:val="auto"/>
          <w:highlight w:val="none"/>
        </w:rPr>
      </w:pPr>
      <w:r>
        <w:rPr>
          <w:rFonts w:hint="eastAsia"/>
          <w:color w:val="auto"/>
          <w:highlight w:val="none"/>
        </w:rPr>
        <w:t>8.5.1投标人和其他利害关系人认为本次招标活动违反法律、法规和规章规定的，或有违廉洁自律的，有权向招标人监督部门反映。</w:t>
      </w:r>
    </w:p>
    <w:p>
      <w:pPr>
        <w:spacing w:line="360" w:lineRule="auto"/>
        <w:ind w:firstLine="420" w:firstLineChars="200"/>
        <w:rPr>
          <w:rFonts w:hint="eastAsia" w:ascii="宋体" w:hAnsi="宋体"/>
          <w:color w:val="auto"/>
          <w:szCs w:val="21"/>
          <w:highlight w:val="none"/>
        </w:rPr>
      </w:pPr>
      <w:r>
        <w:rPr>
          <w:rFonts w:hint="eastAsia"/>
          <w:color w:val="auto"/>
          <w:highlight w:val="none"/>
        </w:rPr>
        <w:t>8.5.2 投诉受理部门：</w:t>
      </w:r>
      <w:r>
        <w:rPr>
          <w:rFonts w:hint="eastAsia" w:ascii="宋体" w:hAnsi="宋体"/>
          <w:color w:val="auto"/>
          <w:szCs w:val="21"/>
          <w:highlight w:val="none"/>
        </w:rPr>
        <w:t>南方报业传媒集团招标办</w:t>
      </w:r>
    </w:p>
    <w:p>
      <w:pPr>
        <w:tabs>
          <w:tab w:val="left" w:pos="851"/>
        </w:tabs>
        <w:autoSpaceDE w:val="0"/>
        <w:autoSpaceDN w:val="0"/>
        <w:spacing w:line="360" w:lineRule="auto"/>
        <w:ind w:right="34" w:firstLine="420" w:firstLineChars="200"/>
        <w:rPr>
          <w:rFonts w:hint="eastAsia" w:ascii="宋体" w:hAnsi="宋体"/>
          <w:color w:val="auto"/>
          <w:szCs w:val="21"/>
          <w:highlight w:val="none"/>
        </w:rPr>
      </w:pPr>
      <w:r>
        <w:rPr>
          <w:rFonts w:hint="eastAsia" w:ascii="宋体" w:hAnsi="宋体"/>
          <w:color w:val="auto"/>
          <w:szCs w:val="21"/>
          <w:highlight w:val="none"/>
        </w:rPr>
        <w:t>地  址：广州大道中289号南方报业传媒集团1号楼20楼</w:t>
      </w:r>
    </w:p>
    <w:p>
      <w:pPr>
        <w:tabs>
          <w:tab w:val="left" w:pos="851"/>
        </w:tabs>
        <w:autoSpaceDE w:val="0"/>
        <w:autoSpaceDN w:val="0"/>
        <w:spacing w:line="360" w:lineRule="auto"/>
        <w:ind w:right="34" w:firstLine="420" w:firstLineChars="200"/>
        <w:rPr>
          <w:rFonts w:hint="eastAsia" w:ascii="宋体" w:hAnsi="宋体"/>
          <w:color w:val="auto"/>
          <w:szCs w:val="21"/>
          <w:highlight w:val="none"/>
        </w:rPr>
      </w:pPr>
      <w:r>
        <w:rPr>
          <w:rFonts w:hint="eastAsia" w:ascii="宋体" w:hAnsi="宋体"/>
          <w:color w:val="auto"/>
          <w:szCs w:val="21"/>
          <w:highlight w:val="none"/>
        </w:rPr>
        <w:t xml:space="preserve">电  话：020-83002023 </w:t>
      </w:r>
    </w:p>
    <w:p>
      <w:pPr>
        <w:tabs>
          <w:tab w:val="left" w:pos="851"/>
        </w:tabs>
        <w:autoSpaceDE w:val="0"/>
        <w:autoSpaceDN w:val="0"/>
        <w:adjustRightInd w:val="0"/>
        <w:snapToGrid w:val="0"/>
        <w:spacing w:line="360" w:lineRule="auto"/>
        <w:ind w:right="34" w:firstLine="420"/>
        <w:rPr>
          <w:rFonts w:hint="eastAsia" w:ascii="宋体" w:hAnsi="宋体"/>
          <w:color w:val="auto"/>
          <w:szCs w:val="21"/>
          <w:highlight w:val="none"/>
        </w:rPr>
      </w:pPr>
      <w:r>
        <w:rPr>
          <w:rFonts w:hint="eastAsia" w:ascii="宋体" w:hAnsi="宋体"/>
          <w:color w:val="auto"/>
          <w:szCs w:val="21"/>
          <w:highlight w:val="none"/>
        </w:rPr>
        <w:t>电  邮：</w:t>
      </w:r>
      <w:r>
        <w:rPr>
          <w:rFonts w:hint="eastAsia" w:ascii="宋体" w:hAnsi="宋体"/>
          <w:color w:val="auto"/>
          <w:szCs w:val="21"/>
          <w:highlight w:val="none"/>
        </w:rPr>
        <w:fldChar w:fldCharType="begin"/>
      </w:r>
      <w:r>
        <w:rPr>
          <w:rFonts w:hint="eastAsia" w:ascii="宋体" w:hAnsi="宋体"/>
          <w:color w:val="auto"/>
          <w:szCs w:val="21"/>
          <w:highlight w:val="none"/>
        </w:rPr>
        <w:instrText xml:space="preserve"> HYPERLINK "mailto:lzjd@nfmedia.com" </w:instrText>
      </w:r>
      <w:r>
        <w:rPr>
          <w:rFonts w:hint="eastAsia" w:ascii="宋体" w:hAnsi="宋体"/>
          <w:color w:val="auto"/>
          <w:szCs w:val="21"/>
          <w:highlight w:val="none"/>
        </w:rPr>
        <w:fldChar w:fldCharType="separate"/>
      </w:r>
      <w:r>
        <w:rPr>
          <w:rFonts w:hint="eastAsia" w:ascii="宋体" w:hAnsi="宋体"/>
          <w:color w:val="auto"/>
          <w:szCs w:val="21"/>
          <w:highlight w:val="none"/>
        </w:rPr>
        <w:t>nfzbtb@nfmedia.com</w:t>
      </w:r>
      <w:r>
        <w:rPr>
          <w:rFonts w:hint="eastAsia" w:ascii="宋体" w:hAnsi="宋体"/>
          <w:color w:val="auto"/>
          <w:szCs w:val="21"/>
          <w:highlight w:val="none"/>
        </w:rPr>
        <w:fldChar w:fldCharType="end"/>
      </w:r>
    </w:p>
    <w:p>
      <w:pPr>
        <w:tabs>
          <w:tab w:val="left" w:pos="851"/>
        </w:tabs>
        <w:autoSpaceDE w:val="0"/>
        <w:autoSpaceDN w:val="0"/>
        <w:adjustRightInd w:val="0"/>
        <w:snapToGrid w:val="0"/>
        <w:ind w:right="34" w:firstLine="420"/>
        <w:rPr>
          <w:rFonts w:hint="eastAsia" w:ascii="宋体" w:hAnsi="宋体"/>
          <w:color w:val="auto"/>
          <w:highlight w:val="none"/>
        </w:rPr>
      </w:pPr>
      <w:r>
        <w:rPr>
          <w:rFonts w:hint="eastAsia" w:ascii="宋体" w:hAnsi="宋体"/>
          <w:color w:val="auto"/>
          <w:szCs w:val="21"/>
          <w:highlight w:val="none"/>
        </w:rPr>
        <w:t>邮  编：510601</w:t>
      </w:r>
    </w:p>
    <w:p>
      <w:pPr>
        <w:pStyle w:val="6"/>
        <w:spacing w:line="360" w:lineRule="auto"/>
        <w:rPr>
          <w:color w:val="auto"/>
          <w:highlight w:val="none"/>
        </w:rPr>
        <w:sectPr>
          <w:footerReference r:id="rId3" w:type="default"/>
          <w:pgSz w:w="11906" w:h="16838"/>
          <w:pgMar w:top="1100" w:right="1797" w:bottom="703" w:left="1797" w:header="851" w:footer="992" w:gutter="0"/>
          <w:pgNumType w:start="1"/>
          <w:cols w:space="720" w:num="1"/>
          <w:docGrid w:type="lines" w:linePitch="312" w:charSpace="0"/>
        </w:sectPr>
      </w:pPr>
      <w:bookmarkStart w:id="1875" w:name="_Toc436212763"/>
      <w:bookmarkStart w:id="1876" w:name="_Toc247085739"/>
      <w:bookmarkStart w:id="1877" w:name="_Toc179632599"/>
      <w:bookmarkStart w:id="1878" w:name="_Toc152042358"/>
      <w:bookmarkStart w:id="1879" w:name="_Toc3703"/>
      <w:bookmarkStart w:id="1880" w:name="_Toc152045581"/>
      <w:bookmarkStart w:id="1881" w:name="_Toc435178410"/>
      <w:bookmarkStart w:id="1882" w:name="_Toc144974548"/>
      <w:bookmarkStart w:id="1883" w:name="_Toc436215768"/>
    </w:p>
    <w:p>
      <w:pPr>
        <w:pStyle w:val="6"/>
        <w:spacing w:line="360" w:lineRule="auto"/>
        <w:rPr>
          <w:color w:val="auto"/>
          <w:highlight w:val="none"/>
        </w:rPr>
      </w:pPr>
      <w:bookmarkStart w:id="1884" w:name="_Toc31421"/>
      <w:bookmarkStart w:id="1885" w:name="_Toc24138"/>
      <w:bookmarkStart w:id="1886" w:name="_Toc15007"/>
      <w:bookmarkStart w:id="1887" w:name="_Toc6984"/>
      <w:bookmarkStart w:id="1888" w:name="_Toc28174"/>
      <w:bookmarkStart w:id="1889" w:name="_Toc13533"/>
      <w:bookmarkStart w:id="1890" w:name="_Toc3492"/>
      <w:bookmarkStart w:id="1891" w:name="_Toc14468"/>
      <w:bookmarkStart w:id="1892" w:name="_Toc29880"/>
      <w:bookmarkStart w:id="1893" w:name="_Toc5706"/>
      <w:bookmarkStart w:id="1894" w:name="_Toc548"/>
      <w:bookmarkStart w:id="1895" w:name="_Toc29649"/>
      <w:bookmarkStart w:id="1896" w:name="_Toc18572"/>
      <w:bookmarkStart w:id="1897" w:name="_Toc4188"/>
      <w:bookmarkStart w:id="1898" w:name="_Toc2863"/>
      <w:bookmarkStart w:id="1899" w:name="_Toc11747"/>
      <w:bookmarkStart w:id="1900" w:name="_Toc496601975"/>
      <w:bookmarkStart w:id="1901" w:name="_Toc14179"/>
      <w:bookmarkStart w:id="1902" w:name="_Toc23882"/>
      <w:bookmarkStart w:id="1903" w:name="_Toc17365"/>
      <w:bookmarkStart w:id="1904" w:name="_Toc31530"/>
      <w:bookmarkStart w:id="1905" w:name="_Toc15170"/>
      <w:bookmarkStart w:id="1906" w:name="_Toc3340"/>
      <w:bookmarkStart w:id="1907" w:name="_Toc23784"/>
      <w:bookmarkStart w:id="1908" w:name="_Toc14365"/>
      <w:bookmarkStart w:id="1909" w:name="_Toc25200"/>
      <w:r>
        <w:rPr>
          <w:rFonts w:hint="eastAsia"/>
          <w:color w:val="auto"/>
          <w:highlight w:val="none"/>
        </w:rPr>
        <w:t>附件一：开标记录表</w:t>
      </w:r>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p>
    <w:p>
      <w:pPr>
        <w:spacing w:line="360" w:lineRule="auto"/>
        <w:jc w:val="center"/>
        <w:rPr>
          <w:rFonts w:ascii="黑体" w:eastAsia="黑体"/>
          <w:color w:val="auto"/>
          <w:sz w:val="28"/>
          <w:szCs w:val="28"/>
          <w:highlight w:val="none"/>
        </w:rPr>
      </w:pPr>
      <w:r>
        <w:rPr>
          <w:rFonts w:hint="eastAsia" w:ascii="黑体" w:eastAsia="黑体"/>
          <w:color w:val="auto"/>
          <w:sz w:val="28"/>
          <w:szCs w:val="28"/>
          <w:highlight w:val="none"/>
          <w:u w:val="single"/>
          <w:lang w:val="en-US" w:eastAsia="zh-CN"/>
        </w:rPr>
        <w:t>2024年度</w:t>
      </w:r>
      <w:r>
        <w:rPr>
          <w:rFonts w:hint="eastAsia" w:ascii="黑体" w:eastAsia="黑体"/>
          <w:color w:val="auto"/>
          <w:sz w:val="28"/>
          <w:szCs w:val="28"/>
          <w:highlight w:val="none"/>
          <w:u w:val="single"/>
        </w:rPr>
        <w:t>南方优品纸箱采购项目</w:t>
      </w:r>
      <w:r>
        <w:rPr>
          <w:rFonts w:hint="eastAsia" w:ascii="黑体" w:eastAsia="黑体"/>
          <w:color w:val="auto"/>
          <w:sz w:val="28"/>
          <w:szCs w:val="28"/>
          <w:highlight w:val="none"/>
        </w:rPr>
        <w:t>开标记录表</w:t>
      </w:r>
    </w:p>
    <w:p>
      <w:pPr>
        <w:spacing w:line="360" w:lineRule="auto"/>
        <w:rPr>
          <w:color w:val="auto"/>
          <w:highlight w:val="none"/>
        </w:rPr>
      </w:pPr>
      <w:r>
        <w:rPr>
          <w:rFonts w:hint="eastAsia" w:eastAsia="黑体"/>
          <w:color w:val="auto"/>
          <w:szCs w:val="21"/>
          <w:highlight w:val="none"/>
        </w:rPr>
        <w:t>开标时间：</w:t>
      </w:r>
      <w:r>
        <w:rPr>
          <w:rFonts w:hint="eastAsia" w:ascii="黑体" w:eastAsia="黑体"/>
          <w:color w:val="auto"/>
          <w:sz w:val="28"/>
          <w:szCs w:val="28"/>
          <w:highlight w:val="none"/>
          <w:u w:val="single"/>
        </w:rPr>
        <w:t xml:space="preserve">    </w:t>
      </w:r>
      <w:r>
        <w:rPr>
          <w:rFonts w:hint="eastAsia" w:eastAsia="黑体"/>
          <w:color w:val="auto"/>
          <w:szCs w:val="21"/>
          <w:highlight w:val="none"/>
        </w:rPr>
        <w:t>年</w:t>
      </w:r>
      <w:r>
        <w:rPr>
          <w:rFonts w:hint="eastAsia" w:ascii="黑体" w:eastAsia="黑体"/>
          <w:color w:val="auto"/>
          <w:sz w:val="28"/>
          <w:szCs w:val="28"/>
          <w:highlight w:val="none"/>
          <w:u w:val="single"/>
        </w:rPr>
        <w:t xml:space="preserve">    </w:t>
      </w:r>
      <w:r>
        <w:rPr>
          <w:rFonts w:hint="eastAsia" w:eastAsia="黑体"/>
          <w:color w:val="auto"/>
          <w:szCs w:val="21"/>
          <w:highlight w:val="none"/>
        </w:rPr>
        <w:t>月</w:t>
      </w:r>
      <w:r>
        <w:rPr>
          <w:rFonts w:hint="eastAsia" w:ascii="黑体" w:eastAsia="黑体"/>
          <w:color w:val="auto"/>
          <w:sz w:val="28"/>
          <w:szCs w:val="28"/>
          <w:highlight w:val="none"/>
          <w:u w:val="single"/>
        </w:rPr>
        <w:t xml:space="preserve">    </w:t>
      </w:r>
      <w:r>
        <w:rPr>
          <w:rFonts w:hint="eastAsia" w:eastAsia="黑体"/>
          <w:color w:val="auto"/>
          <w:szCs w:val="21"/>
          <w:highlight w:val="none"/>
        </w:rPr>
        <w:t>日</w:t>
      </w:r>
      <w:r>
        <w:rPr>
          <w:rFonts w:hint="eastAsia" w:ascii="黑体" w:eastAsia="黑体"/>
          <w:color w:val="auto"/>
          <w:sz w:val="28"/>
          <w:szCs w:val="28"/>
          <w:highlight w:val="none"/>
          <w:u w:val="single"/>
        </w:rPr>
        <w:t xml:space="preserve">    </w:t>
      </w:r>
      <w:r>
        <w:rPr>
          <w:rFonts w:hint="eastAsia" w:eastAsia="黑体"/>
          <w:color w:val="auto"/>
          <w:szCs w:val="21"/>
          <w:highlight w:val="none"/>
        </w:rPr>
        <w:t>时</w:t>
      </w:r>
      <w:r>
        <w:rPr>
          <w:rFonts w:hint="eastAsia" w:ascii="黑体" w:eastAsia="黑体"/>
          <w:color w:val="auto"/>
          <w:sz w:val="28"/>
          <w:szCs w:val="28"/>
          <w:highlight w:val="none"/>
          <w:u w:val="single"/>
        </w:rPr>
        <w:t xml:space="preserve">    </w:t>
      </w:r>
      <w:r>
        <w:rPr>
          <w:rFonts w:hint="eastAsia" w:eastAsia="黑体"/>
          <w:color w:val="auto"/>
          <w:szCs w:val="21"/>
          <w:highlight w:val="none"/>
        </w:rPr>
        <w:t>分     开标地点：</w:t>
      </w:r>
      <w:r>
        <w:rPr>
          <w:rFonts w:hint="eastAsia" w:eastAsia="黑体"/>
          <w:color w:val="auto"/>
          <w:szCs w:val="21"/>
          <w:highlight w:val="none"/>
          <w:u w:val="single"/>
        </w:rPr>
        <w:t xml:space="preserve">       .        </w:t>
      </w:r>
    </w:p>
    <w:tbl>
      <w:tblPr>
        <w:tblStyle w:val="41"/>
        <w:tblW w:w="8478" w:type="dxa"/>
        <w:tblInd w:w="0" w:type="dxa"/>
        <w:tblLayout w:type="fixed"/>
        <w:tblCellMar>
          <w:top w:w="0" w:type="dxa"/>
          <w:left w:w="108" w:type="dxa"/>
          <w:bottom w:w="0" w:type="dxa"/>
          <w:right w:w="108" w:type="dxa"/>
        </w:tblCellMar>
      </w:tblPr>
      <w:tblGrid>
        <w:gridCol w:w="632"/>
        <w:gridCol w:w="985"/>
        <w:gridCol w:w="756"/>
        <w:gridCol w:w="1350"/>
        <w:gridCol w:w="1080"/>
        <w:gridCol w:w="810"/>
        <w:gridCol w:w="915"/>
        <w:gridCol w:w="975"/>
        <w:gridCol w:w="975"/>
      </w:tblGrid>
      <w:tr>
        <w:tblPrEx>
          <w:tblCellMar>
            <w:top w:w="0" w:type="dxa"/>
            <w:left w:w="108" w:type="dxa"/>
            <w:bottom w:w="0" w:type="dxa"/>
            <w:right w:w="108" w:type="dxa"/>
          </w:tblCellMar>
        </w:tblPrEx>
        <w:trPr>
          <w:trHeight w:val="90" w:hRule="atLeast"/>
        </w:trPr>
        <w:tc>
          <w:tcPr>
            <w:tcW w:w="632" w:type="dxa"/>
            <w:tcBorders>
              <w:top w:val="single" w:color="auto" w:sz="4" w:space="0"/>
              <w:left w:val="single" w:color="auto" w:sz="4" w:space="0"/>
              <w:right w:val="single" w:color="auto" w:sz="4" w:space="0"/>
            </w:tcBorders>
            <w:vAlign w:val="center"/>
          </w:tcPr>
          <w:p>
            <w:pPr>
              <w:spacing w:line="360" w:lineRule="auto"/>
              <w:jc w:val="center"/>
              <w:rPr>
                <w:rFonts w:eastAsia="黑体"/>
                <w:color w:val="auto"/>
                <w:szCs w:val="21"/>
                <w:highlight w:val="none"/>
              </w:rPr>
            </w:pPr>
            <w:r>
              <w:rPr>
                <w:rFonts w:eastAsia="黑体"/>
                <w:color w:val="auto"/>
                <w:szCs w:val="21"/>
                <w:highlight w:val="none"/>
              </w:rPr>
              <w:t>序号</w:t>
            </w:r>
          </w:p>
        </w:tc>
        <w:tc>
          <w:tcPr>
            <w:tcW w:w="985" w:type="dxa"/>
            <w:tcBorders>
              <w:top w:val="single" w:color="auto" w:sz="4" w:space="0"/>
              <w:left w:val="single" w:color="auto" w:sz="4" w:space="0"/>
              <w:right w:val="single" w:color="auto" w:sz="4" w:space="0"/>
            </w:tcBorders>
            <w:vAlign w:val="center"/>
          </w:tcPr>
          <w:p>
            <w:pPr>
              <w:spacing w:line="360" w:lineRule="auto"/>
              <w:jc w:val="center"/>
              <w:rPr>
                <w:rFonts w:eastAsia="黑体"/>
                <w:color w:val="auto"/>
                <w:szCs w:val="21"/>
                <w:highlight w:val="none"/>
              </w:rPr>
            </w:pPr>
            <w:r>
              <w:rPr>
                <w:rFonts w:eastAsia="黑体"/>
                <w:color w:val="auto"/>
                <w:szCs w:val="21"/>
                <w:highlight w:val="none"/>
              </w:rPr>
              <w:t>投标人</w:t>
            </w:r>
          </w:p>
        </w:tc>
        <w:tc>
          <w:tcPr>
            <w:tcW w:w="756" w:type="dxa"/>
            <w:tcBorders>
              <w:top w:val="single" w:color="auto" w:sz="4" w:space="0"/>
              <w:left w:val="single" w:color="auto" w:sz="4" w:space="0"/>
              <w:right w:val="single" w:color="auto" w:sz="4" w:space="0"/>
            </w:tcBorders>
            <w:vAlign w:val="center"/>
          </w:tcPr>
          <w:p>
            <w:pPr>
              <w:spacing w:line="360" w:lineRule="auto"/>
              <w:jc w:val="center"/>
              <w:rPr>
                <w:rFonts w:eastAsia="黑体"/>
                <w:color w:val="auto"/>
                <w:szCs w:val="21"/>
                <w:highlight w:val="none"/>
              </w:rPr>
            </w:pPr>
            <w:r>
              <w:rPr>
                <w:rFonts w:eastAsia="黑体"/>
                <w:color w:val="auto"/>
                <w:szCs w:val="21"/>
                <w:highlight w:val="none"/>
              </w:rPr>
              <w:t>密封情况</w:t>
            </w:r>
          </w:p>
        </w:tc>
        <w:tc>
          <w:tcPr>
            <w:tcW w:w="1350" w:type="dxa"/>
            <w:tcBorders>
              <w:top w:val="single" w:color="auto" w:sz="4" w:space="0"/>
              <w:left w:val="single" w:color="auto" w:sz="4" w:space="0"/>
              <w:right w:val="single" w:color="auto" w:sz="4" w:space="0"/>
            </w:tcBorders>
            <w:vAlign w:val="center"/>
          </w:tcPr>
          <w:p>
            <w:pPr>
              <w:spacing w:line="360" w:lineRule="auto"/>
              <w:jc w:val="center"/>
              <w:rPr>
                <w:rFonts w:eastAsia="黑体"/>
                <w:color w:val="auto"/>
                <w:szCs w:val="21"/>
                <w:highlight w:val="none"/>
              </w:rPr>
            </w:pPr>
            <w:r>
              <w:rPr>
                <w:rFonts w:hint="eastAsia" w:eastAsia="黑体"/>
                <w:color w:val="auto"/>
                <w:szCs w:val="21"/>
                <w:highlight w:val="none"/>
              </w:rPr>
              <w:t>是否已交</w:t>
            </w:r>
            <w:r>
              <w:rPr>
                <w:rFonts w:eastAsia="黑体"/>
                <w:color w:val="auto"/>
                <w:szCs w:val="21"/>
                <w:highlight w:val="none"/>
              </w:rPr>
              <w:t>投标保证金</w:t>
            </w:r>
          </w:p>
        </w:tc>
        <w:tc>
          <w:tcPr>
            <w:tcW w:w="1080" w:type="dxa"/>
            <w:tcBorders>
              <w:top w:val="single" w:color="auto" w:sz="4" w:space="0"/>
              <w:left w:val="single" w:color="auto" w:sz="4" w:space="0"/>
              <w:right w:val="single" w:color="auto" w:sz="4" w:space="0"/>
            </w:tcBorders>
            <w:vAlign w:val="center"/>
          </w:tcPr>
          <w:p>
            <w:pPr>
              <w:spacing w:line="360" w:lineRule="auto"/>
              <w:jc w:val="center"/>
              <w:rPr>
                <w:rFonts w:eastAsia="黑体"/>
                <w:color w:val="auto"/>
                <w:szCs w:val="21"/>
                <w:highlight w:val="none"/>
              </w:rPr>
            </w:pPr>
            <w:r>
              <w:rPr>
                <w:rFonts w:hint="eastAsia" w:eastAsia="黑体"/>
                <w:color w:val="auto"/>
                <w:szCs w:val="21"/>
                <w:highlight w:val="none"/>
              </w:rPr>
              <w:t>是否已交标书款</w:t>
            </w:r>
          </w:p>
        </w:tc>
        <w:tc>
          <w:tcPr>
            <w:tcW w:w="810" w:type="dxa"/>
            <w:tcBorders>
              <w:top w:val="single" w:color="auto" w:sz="4" w:space="0"/>
              <w:left w:val="single" w:color="auto" w:sz="4" w:space="0"/>
              <w:right w:val="single" w:color="auto" w:sz="4" w:space="0"/>
            </w:tcBorders>
            <w:vAlign w:val="center"/>
          </w:tcPr>
          <w:p>
            <w:pPr>
              <w:spacing w:line="360" w:lineRule="auto"/>
              <w:jc w:val="center"/>
              <w:rPr>
                <w:rFonts w:eastAsia="黑体"/>
                <w:color w:val="auto"/>
                <w:szCs w:val="21"/>
                <w:highlight w:val="none"/>
              </w:rPr>
            </w:pPr>
            <w:r>
              <w:rPr>
                <w:rFonts w:hint="eastAsia" w:eastAsia="黑体"/>
                <w:color w:val="auto"/>
                <w:szCs w:val="21"/>
                <w:highlight w:val="none"/>
              </w:rPr>
              <w:t>是否提交样品</w:t>
            </w:r>
          </w:p>
        </w:tc>
        <w:tc>
          <w:tcPr>
            <w:tcW w:w="915" w:type="dxa"/>
            <w:tcBorders>
              <w:top w:val="single" w:color="auto" w:sz="4" w:space="0"/>
              <w:left w:val="single" w:color="auto" w:sz="4" w:space="0"/>
              <w:right w:val="single" w:color="auto" w:sz="4" w:space="0"/>
            </w:tcBorders>
            <w:vAlign w:val="center"/>
          </w:tcPr>
          <w:p>
            <w:pPr>
              <w:spacing w:line="360" w:lineRule="auto"/>
              <w:jc w:val="center"/>
              <w:rPr>
                <w:rFonts w:eastAsia="黑体"/>
                <w:color w:val="auto"/>
                <w:szCs w:val="21"/>
                <w:highlight w:val="none"/>
              </w:rPr>
            </w:pPr>
            <w:r>
              <w:rPr>
                <w:rFonts w:eastAsia="黑体"/>
                <w:color w:val="auto"/>
                <w:szCs w:val="21"/>
                <w:highlight w:val="none"/>
              </w:rPr>
              <w:t>投标报价（元）</w:t>
            </w:r>
          </w:p>
        </w:tc>
        <w:tc>
          <w:tcPr>
            <w:tcW w:w="975" w:type="dxa"/>
            <w:tcBorders>
              <w:top w:val="single" w:color="auto" w:sz="4" w:space="0"/>
              <w:left w:val="single" w:color="auto" w:sz="4" w:space="0"/>
              <w:right w:val="single" w:color="auto" w:sz="4" w:space="0"/>
            </w:tcBorders>
            <w:vAlign w:val="center"/>
          </w:tcPr>
          <w:p>
            <w:pPr>
              <w:spacing w:line="360" w:lineRule="auto"/>
              <w:jc w:val="center"/>
              <w:rPr>
                <w:rFonts w:eastAsia="黑体"/>
                <w:color w:val="auto"/>
                <w:szCs w:val="21"/>
                <w:highlight w:val="none"/>
              </w:rPr>
            </w:pPr>
            <w:r>
              <w:rPr>
                <w:rFonts w:hint="eastAsia" w:eastAsia="黑体"/>
                <w:color w:val="auto"/>
                <w:szCs w:val="21"/>
                <w:highlight w:val="none"/>
              </w:rPr>
              <w:t>投标报价所含增值税税率</w:t>
            </w:r>
          </w:p>
        </w:tc>
        <w:tc>
          <w:tcPr>
            <w:tcW w:w="975" w:type="dxa"/>
            <w:tcBorders>
              <w:top w:val="single" w:color="auto" w:sz="4" w:space="0"/>
              <w:left w:val="single" w:color="auto" w:sz="4" w:space="0"/>
              <w:right w:val="single" w:color="auto" w:sz="4" w:space="0"/>
            </w:tcBorders>
            <w:vAlign w:val="center"/>
          </w:tcPr>
          <w:p>
            <w:pPr>
              <w:spacing w:line="360" w:lineRule="auto"/>
              <w:jc w:val="center"/>
              <w:rPr>
                <w:rFonts w:hint="eastAsia" w:eastAsia="黑体"/>
                <w:color w:val="auto"/>
                <w:szCs w:val="21"/>
                <w:highlight w:val="none"/>
                <w:lang w:eastAsia="zh-CN"/>
              </w:rPr>
            </w:pPr>
            <w:r>
              <w:rPr>
                <w:rFonts w:hint="eastAsia" w:eastAsia="黑体"/>
                <w:color w:val="auto"/>
                <w:szCs w:val="21"/>
                <w:highlight w:val="none"/>
                <w:lang w:eastAsia="zh-CN"/>
              </w:rPr>
              <w:t>签名</w:t>
            </w: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tcPr>
          <w:p>
            <w:pPr>
              <w:spacing w:line="360" w:lineRule="auto"/>
              <w:jc w:val="center"/>
              <w:rPr>
                <w:color w:val="auto"/>
                <w:szCs w:val="21"/>
                <w:highlight w:val="none"/>
                <w:u w:val="singl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u w:val="singl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u w:val="singl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u w:val="singl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u w:val="singl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u w:val="singl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u w:val="singl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u w:val="singl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r>
        <w:tblPrEx>
          <w:tblCellMar>
            <w:top w:w="0" w:type="dxa"/>
            <w:left w:w="108" w:type="dxa"/>
            <w:bottom w:w="0" w:type="dxa"/>
            <w:right w:w="108" w:type="dxa"/>
          </w:tblCellMar>
        </w:tblPrEx>
        <w:tc>
          <w:tcPr>
            <w:tcW w:w="632"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8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756"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35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810"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1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u w:val="singl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c>
          <w:tcPr>
            <w:tcW w:w="975" w:type="dxa"/>
            <w:tcBorders>
              <w:top w:val="single" w:color="auto" w:sz="4" w:space="0"/>
              <w:left w:val="single" w:color="auto" w:sz="4" w:space="0"/>
              <w:bottom w:val="single" w:color="auto" w:sz="4" w:space="0"/>
              <w:right w:val="single" w:color="auto" w:sz="4" w:space="0"/>
            </w:tcBorders>
          </w:tcPr>
          <w:p>
            <w:pPr>
              <w:spacing w:line="360" w:lineRule="auto"/>
              <w:jc w:val="left"/>
              <w:rPr>
                <w:color w:val="auto"/>
                <w:szCs w:val="21"/>
                <w:highlight w:val="none"/>
              </w:rPr>
            </w:pPr>
          </w:p>
        </w:tc>
      </w:tr>
    </w:tbl>
    <w:p>
      <w:pPr>
        <w:spacing w:line="360" w:lineRule="auto"/>
        <w:rPr>
          <w:color w:val="auto"/>
          <w:highlight w:val="none"/>
        </w:rPr>
      </w:pPr>
    </w:p>
    <w:p>
      <w:pPr>
        <w:spacing w:line="360" w:lineRule="auto"/>
        <w:rPr>
          <w:color w:val="auto"/>
          <w:highlight w:val="none"/>
          <w:u w:val="single"/>
        </w:rPr>
      </w:pPr>
      <w:r>
        <w:rPr>
          <w:rFonts w:hint="eastAsia"/>
          <w:color w:val="auto"/>
          <w:highlight w:val="none"/>
        </w:rPr>
        <w:t>招标人代表：</w:t>
      </w:r>
      <w:r>
        <w:rPr>
          <w:rFonts w:hint="eastAsia"/>
          <w:color w:val="auto"/>
          <w:highlight w:val="none"/>
          <w:u w:val="single"/>
        </w:rPr>
        <w:t xml:space="preserve">         </w:t>
      </w:r>
      <w:r>
        <w:rPr>
          <w:rFonts w:hint="eastAsia"/>
          <w:color w:val="auto"/>
          <w:highlight w:val="none"/>
        </w:rPr>
        <w:t>投标人代表：</w:t>
      </w:r>
      <w:r>
        <w:rPr>
          <w:rFonts w:hint="eastAsia"/>
          <w:color w:val="auto"/>
          <w:highlight w:val="none"/>
          <w:u w:val="single"/>
        </w:rPr>
        <w:t xml:space="preserve">          </w:t>
      </w:r>
      <w:r>
        <w:rPr>
          <w:rFonts w:hint="eastAsia"/>
          <w:color w:val="auto"/>
          <w:highlight w:val="none"/>
        </w:rPr>
        <w:t xml:space="preserve"> 记录人：</w:t>
      </w:r>
      <w:r>
        <w:rPr>
          <w:rFonts w:hint="eastAsia"/>
          <w:color w:val="auto"/>
          <w:highlight w:val="none"/>
          <w:u w:val="single"/>
        </w:rPr>
        <w:t xml:space="preserve">         </w:t>
      </w:r>
      <w:r>
        <w:rPr>
          <w:rFonts w:hint="eastAsia"/>
          <w:color w:val="auto"/>
          <w:highlight w:val="none"/>
        </w:rPr>
        <w:t xml:space="preserve"> 监标人：</w:t>
      </w:r>
      <w:r>
        <w:rPr>
          <w:rFonts w:hint="eastAsia"/>
          <w:color w:val="auto"/>
          <w:highlight w:val="none"/>
          <w:u w:val="single"/>
        </w:rPr>
        <w:t xml:space="preserve">            .</w:t>
      </w:r>
    </w:p>
    <w:p>
      <w:pPr>
        <w:pStyle w:val="6"/>
        <w:spacing w:line="360" w:lineRule="auto"/>
        <w:rPr>
          <w:color w:val="auto"/>
          <w:highlight w:val="none"/>
        </w:rPr>
      </w:pPr>
    </w:p>
    <w:p>
      <w:pPr>
        <w:pStyle w:val="84"/>
        <w:rPr>
          <w:color w:val="auto"/>
          <w:highlight w:val="none"/>
        </w:rPr>
      </w:pPr>
      <w:bookmarkStart w:id="1910" w:name="_Toc422925643"/>
      <w:bookmarkStart w:id="1911" w:name="_Toc402880882"/>
      <w:bookmarkStart w:id="1912" w:name="_Toc436215775"/>
      <w:bookmarkStart w:id="1913" w:name="_Toc435178417"/>
    </w:p>
    <w:p>
      <w:pPr>
        <w:pStyle w:val="5"/>
        <w:spacing w:line="360" w:lineRule="auto"/>
        <w:jc w:val="center"/>
        <w:rPr>
          <w:rFonts w:eastAsia="黑体"/>
          <w:color w:val="auto"/>
          <w:kern w:val="2"/>
          <w:sz w:val="32"/>
          <w:szCs w:val="32"/>
          <w:highlight w:val="none"/>
        </w:rPr>
      </w:pPr>
      <w:r>
        <w:rPr>
          <w:color w:val="auto"/>
          <w:highlight w:val="none"/>
        </w:rPr>
        <w:br w:type="page"/>
      </w:r>
      <w:bookmarkStart w:id="1914" w:name="_Toc8402"/>
      <w:bookmarkStart w:id="1915" w:name="_Toc10428"/>
      <w:bookmarkStart w:id="1916" w:name="_Toc18593"/>
      <w:bookmarkStart w:id="1917" w:name="_Toc27630"/>
      <w:bookmarkStart w:id="1918" w:name="_Toc27498"/>
      <w:bookmarkStart w:id="1919" w:name="_Toc496601976"/>
      <w:bookmarkStart w:id="1920" w:name="_Toc22057"/>
      <w:bookmarkStart w:id="1921" w:name="_Toc8138"/>
      <w:bookmarkStart w:id="1922" w:name="_Toc9621"/>
      <w:bookmarkStart w:id="1923" w:name="_Toc720"/>
      <w:bookmarkStart w:id="1924" w:name="_Toc21644"/>
      <w:bookmarkStart w:id="1925" w:name="_Toc65"/>
      <w:bookmarkStart w:id="1926" w:name="_Toc16337"/>
      <w:bookmarkStart w:id="1927" w:name="_Toc22621"/>
      <w:bookmarkStart w:id="1928" w:name="_Toc21236"/>
      <w:bookmarkStart w:id="1929" w:name="_Toc26350"/>
      <w:bookmarkStart w:id="1930" w:name="_Toc22879"/>
      <w:bookmarkStart w:id="1931" w:name="_Toc31688"/>
      <w:bookmarkStart w:id="1932" w:name="_Toc21635"/>
      <w:bookmarkStart w:id="1933" w:name="_Toc7435"/>
      <w:bookmarkStart w:id="1934" w:name="_Toc14165"/>
      <w:bookmarkStart w:id="1935" w:name="_Toc25692"/>
      <w:bookmarkStart w:id="1936" w:name="_Toc25397"/>
      <w:bookmarkStart w:id="1937" w:name="_Toc18617"/>
      <w:bookmarkStart w:id="1938" w:name="_Toc15090"/>
      <w:bookmarkStart w:id="1939" w:name="_Toc10569"/>
      <w:bookmarkStart w:id="1940" w:name="_Toc496601982"/>
      <w:bookmarkStart w:id="1941" w:name="_Toc24293"/>
      <w:r>
        <w:rPr>
          <w:rFonts w:hint="eastAsia"/>
          <w:color w:val="auto"/>
          <w:highlight w:val="none"/>
        </w:rPr>
        <w:t>第三章 评标办法（综合评估法）</w:t>
      </w:r>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pPr>
        <w:pStyle w:val="6"/>
        <w:spacing w:before="20" w:after="20" w:line="360" w:lineRule="auto"/>
        <w:rPr>
          <w:color w:val="auto"/>
          <w:highlight w:val="none"/>
        </w:rPr>
      </w:pPr>
      <w:bookmarkStart w:id="1942" w:name="_Toc7588"/>
      <w:bookmarkStart w:id="1943" w:name="_Toc17602"/>
      <w:bookmarkStart w:id="1944" w:name="_Toc28711"/>
      <w:bookmarkStart w:id="1945" w:name="_Toc4740"/>
      <w:bookmarkStart w:id="1946" w:name="_Toc25611"/>
      <w:bookmarkStart w:id="1947" w:name="_Toc11831"/>
      <w:bookmarkStart w:id="1948" w:name="_Toc1888"/>
      <w:bookmarkStart w:id="1949" w:name="_Toc15074"/>
      <w:bookmarkStart w:id="1950" w:name="_Toc30719"/>
      <w:bookmarkStart w:id="1951" w:name="_Toc9619"/>
      <w:bookmarkStart w:id="1952" w:name="_Toc28166"/>
      <w:bookmarkStart w:id="1953" w:name="_Toc31659"/>
      <w:bookmarkStart w:id="1954" w:name="_Toc579"/>
      <w:bookmarkStart w:id="1955" w:name="_Toc6325"/>
      <w:bookmarkStart w:id="1956" w:name="_Toc6062"/>
      <w:bookmarkStart w:id="1957" w:name="_Toc496601983"/>
      <w:bookmarkStart w:id="1958" w:name="_Toc32598"/>
      <w:bookmarkStart w:id="1959" w:name="_Toc28669"/>
      <w:bookmarkStart w:id="1960" w:name="_Toc13592"/>
      <w:bookmarkStart w:id="1961" w:name="_Toc19219"/>
      <w:bookmarkStart w:id="1962" w:name="_Toc15131"/>
      <w:bookmarkStart w:id="1963" w:name="_Toc4665"/>
      <w:bookmarkStart w:id="1964" w:name="_Toc32302"/>
      <w:bookmarkStart w:id="1965" w:name="_Toc32475"/>
      <w:bookmarkStart w:id="1966" w:name="_Toc496601977"/>
      <w:bookmarkStart w:id="1967" w:name="_Toc10747"/>
      <w:bookmarkStart w:id="1968" w:name="_Toc20099"/>
      <w:bookmarkStart w:id="1969" w:name="_Toc28671"/>
      <w:bookmarkStart w:id="1970" w:name="_Toc422925640"/>
      <w:bookmarkStart w:id="1971" w:name="_Toc436215772"/>
      <w:bookmarkStart w:id="1972" w:name="_Toc435178414"/>
      <w:r>
        <w:rPr>
          <w:rFonts w:hint="eastAsia"/>
          <w:color w:val="auto"/>
          <w:highlight w:val="none"/>
        </w:rPr>
        <w:t>1. 评标方法</w:t>
      </w:r>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p>
    <w:p>
      <w:pPr>
        <w:spacing w:line="360" w:lineRule="auto"/>
        <w:ind w:firstLine="424" w:firstLineChars="202"/>
        <w:rPr>
          <w:color w:val="auto"/>
          <w:highlight w:val="none"/>
        </w:rPr>
      </w:pPr>
      <w:bookmarkStart w:id="1973" w:name="_Toc496601978"/>
      <w:bookmarkStart w:id="1974" w:name="_Toc496601984"/>
      <w:r>
        <w:rPr>
          <w:rFonts w:hint="eastAsia"/>
          <w:color w:val="auto"/>
          <w:highlight w:val="none"/>
        </w:rPr>
        <w:t xml:space="preserve">1.1 </w:t>
      </w:r>
      <w:r>
        <w:rPr>
          <w:color w:val="auto"/>
          <w:highlight w:val="none"/>
        </w:rPr>
        <w:t>本次评标采用综合评估法。评标委员会对满足招标文件实质性要求的投标文件，按照本章第2.2款规定的评分标准进行打分，并按得分由高到低顺序推荐中标候选人，但投标报价低于其成本的除外。综合评分相等时，</w:t>
      </w:r>
      <w:r>
        <w:rPr>
          <w:rFonts w:hint="eastAsia"/>
          <w:color w:val="auto"/>
          <w:highlight w:val="none"/>
        </w:rPr>
        <w:t>按投标报价由低至高</w:t>
      </w:r>
      <w:r>
        <w:rPr>
          <w:color w:val="auto"/>
          <w:highlight w:val="none"/>
        </w:rPr>
        <w:t>确定</w:t>
      </w:r>
      <w:r>
        <w:rPr>
          <w:rFonts w:hint="eastAsia"/>
          <w:color w:val="auto"/>
          <w:highlight w:val="none"/>
        </w:rPr>
        <w:t>排序的先后，投标报价也相同时，则由评委投票确定排序的先后</w:t>
      </w:r>
      <w:r>
        <w:rPr>
          <w:color w:val="auto"/>
          <w:highlight w:val="none"/>
        </w:rPr>
        <w:t>。</w:t>
      </w:r>
    </w:p>
    <w:bookmarkEnd w:id="1973"/>
    <w:p>
      <w:pPr>
        <w:spacing w:line="360" w:lineRule="auto"/>
        <w:ind w:left="426"/>
        <w:rPr>
          <w:color w:val="auto"/>
          <w:highlight w:val="none"/>
        </w:rPr>
      </w:pPr>
      <w:r>
        <w:rPr>
          <w:rFonts w:hint="eastAsia"/>
          <w:color w:val="auto"/>
          <w:highlight w:val="none"/>
        </w:rPr>
        <w:t>1.2 只有通过初步评审的有效投标人方有资格进入后续评审环节。</w:t>
      </w:r>
    </w:p>
    <w:p>
      <w:pPr>
        <w:pStyle w:val="6"/>
        <w:spacing w:before="20" w:after="20" w:line="360" w:lineRule="auto"/>
        <w:rPr>
          <w:color w:val="auto"/>
          <w:highlight w:val="none"/>
        </w:rPr>
      </w:pPr>
      <w:bookmarkStart w:id="1975" w:name="_Toc13281"/>
      <w:bookmarkStart w:id="1976" w:name="_Toc29758"/>
      <w:bookmarkStart w:id="1977" w:name="_Toc19022"/>
      <w:bookmarkStart w:id="1978" w:name="_Toc436"/>
      <w:bookmarkStart w:id="1979" w:name="_Toc2279"/>
      <w:bookmarkStart w:id="1980" w:name="_Toc29932"/>
      <w:bookmarkStart w:id="1981" w:name="_Toc4459"/>
      <w:bookmarkStart w:id="1982" w:name="_Toc18137"/>
      <w:bookmarkStart w:id="1983" w:name="_Toc29498"/>
      <w:bookmarkStart w:id="1984" w:name="_Toc7343"/>
      <w:bookmarkStart w:id="1985" w:name="_Toc20628"/>
      <w:bookmarkStart w:id="1986" w:name="_Toc32211"/>
      <w:bookmarkStart w:id="1987" w:name="_Toc24153"/>
      <w:bookmarkStart w:id="1988" w:name="_Toc15569"/>
      <w:bookmarkStart w:id="1989" w:name="_Toc22889"/>
      <w:bookmarkStart w:id="1990" w:name="_Toc1814"/>
      <w:bookmarkStart w:id="1991" w:name="_Toc4181"/>
      <w:bookmarkStart w:id="1992" w:name="_Toc29730"/>
      <w:bookmarkStart w:id="1993" w:name="_Toc14650"/>
      <w:bookmarkStart w:id="1994" w:name="_Toc31445"/>
      <w:bookmarkStart w:id="1995" w:name="_Toc30894"/>
      <w:bookmarkStart w:id="1996" w:name="_Toc17191"/>
      <w:bookmarkStart w:id="1997" w:name="_Toc24841"/>
      <w:bookmarkStart w:id="1998" w:name="_Toc24824"/>
      <w:r>
        <w:rPr>
          <w:color w:val="auto"/>
          <w:highlight w:val="none"/>
        </w:rPr>
        <w:t>2. 评审标准</w:t>
      </w:r>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p>
    <w:p>
      <w:pPr>
        <w:numPr>
          <w:ilvl w:val="0"/>
          <w:numId w:val="2"/>
        </w:numPr>
        <w:spacing w:line="400" w:lineRule="exact"/>
        <w:ind w:left="0" w:firstLine="426"/>
        <w:rPr>
          <w:color w:val="auto"/>
          <w:highlight w:val="none"/>
        </w:rPr>
      </w:pPr>
      <w:r>
        <w:rPr>
          <w:color w:val="auto"/>
          <w:highlight w:val="none"/>
        </w:rPr>
        <w:t>初步评审标准</w:t>
      </w:r>
    </w:p>
    <w:p>
      <w:pPr>
        <w:autoSpaceDE w:val="0"/>
        <w:autoSpaceDN w:val="0"/>
        <w:adjustRightInd w:val="0"/>
        <w:spacing w:line="400" w:lineRule="exact"/>
        <w:ind w:firstLine="420" w:firstLineChars="200"/>
        <w:jc w:val="left"/>
        <w:rPr>
          <w:rFonts w:ascii="宋体" w:hAnsi="宋体" w:cs="宋体"/>
          <w:color w:val="auto"/>
          <w:kern w:val="0"/>
          <w:szCs w:val="21"/>
          <w:highlight w:val="none"/>
        </w:rPr>
      </w:pPr>
      <w:r>
        <w:rPr>
          <w:color w:val="auto"/>
          <w:kern w:val="0"/>
          <w:szCs w:val="21"/>
          <w:highlight w:val="none"/>
        </w:rPr>
        <w:t>2.1.</w:t>
      </w:r>
      <w:r>
        <w:rPr>
          <w:rFonts w:hint="eastAsia"/>
          <w:color w:val="auto"/>
          <w:kern w:val="0"/>
          <w:szCs w:val="21"/>
          <w:highlight w:val="none"/>
        </w:rPr>
        <w:t>1</w:t>
      </w:r>
      <w:r>
        <w:rPr>
          <w:color w:val="auto"/>
          <w:kern w:val="0"/>
          <w:szCs w:val="21"/>
          <w:highlight w:val="none"/>
        </w:rPr>
        <w:t xml:space="preserve"> </w:t>
      </w:r>
      <w:r>
        <w:rPr>
          <w:rFonts w:ascii="宋体" w:hAnsi="宋体" w:cs="宋体"/>
          <w:color w:val="auto"/>
          <w:kern w:val="0"/>
          <w:szCs w:val="21"/>
          <w:highlight w:val="none"/>
        </w:rPr>
        <w:t>资格性评审标准：见</w:t>
      </w:r>
      <w:r>
        <w:rPr>
          <w:rFonts w:hint="eastAsia" w:ascii="宋体" w:hAnsi="宋体" w:cs="宋体"/>
          <w:color w:val="auto"/>
          <w:kern w:val="0"/>
          <w:szCs w:val="21"/>
          <w:highlight w:val="none"/>
        </w:rPr>
        <w:t>附表一；</w:t>
      </w:r>
    </w:p>
    <w:p>
      <w:pPr>
        <w:autoSpaceDE w:val="0"/>
        <w:autoSpaceDN w:val="0"/>
        <w:adjustRightInd w:val="0"/>
        <w:spacing w:line="400" w:lineRule="exact"/>
        <w:ind w:firstLine="420" w:firstLineChars="200"/>
        <w:jc w:val="left"/>
        <w:rPr>
          <w:rFonts w:ascii="宋体" w:hAnsi="宋体" w:cs="宋体"/>
          <w:color w:val="auto"/>
          <w:kern w:val="0"/>
          <w:szCs w:val="21"/>
          <w:highlight w:val="none"/>
        </w:rPr>
      </w:pPr>
      <w:r>
        <w:rPr>
          <w:color w:val="auto"/>
          <w:kern w:val="0"/>
          <w:szCs w:val="21"/>
          <w:highlight w:val="none"/>
        </w:rPr>
        <w:t>2.1.</w:t>
      </w:r>
      <w:r>
        <w:rPr>
          <w:rFonts w:hint="eastAsia"/>
          <w:color w:val="auto"/>
          <w:kern w:val="0"/>
          <w:szCs w:val="21"/>
          <w:highlight w:val="none"/>
        </w:rPr>
        <w:t>2</w:t>
      </w:r>
      <w:r>
        <w:rPr>
          <w:color w:val="auto"/>
          <w:kern w:val="0"/>
          <w:szCs w:val="21"/>
          <w:highlight w:val="none"/>
        </w:rPr>
        <w:t xml:space="preserve"> </w:t>
      </w:r>
      <w:r>
        <w:rPr>
          <w:rFonts w:hint="eastAsia" w:ascii="宋体" w:hAnsi="宋体" w:cs="宋体"/>
          <w:color w:val="auto"/>
          <w:kern w:val="0"/>
          <w:szCs w:val="21"/>
          <w:highlight w:val="none"/>
        </w:rPr>
        <w:t>有效</w:t>
      </w:r>
      <w:r>
        <w:rPr>
          <w:rFonts w:ascii="宋体" w:hAnsi="宋体" w:cs="宋体"/>
          <w:color w:val="auto"/>
          <w:kern w:val="0"/>
          <w:szCs w:val="21"/>
          <w:highlight w:val="none"/>
        </w:rPr>
        <w:t>性评审标准：见</w:t>
      </w:r>
      <w:r>
        <w:rPr>
          <w:rFonts w:hint="eastAsia" w:ascii="宋体" w:hAnsi="宋体" w:cs="宋体"/>
          <w:color w:val="auto"/>
          <w:kern w:val="0"/>
          <w:szCs w:val="21"/>
          <w:highlight w:val="none"/>
        </w:rPr>
        <w:t>附表一</w:t>
      </w:r>
      <w:r>
        <w:rPr>
          <w:rFonts w:ascii="宋体" w:hAnsi="宋体" w:cs="宋体"/>
          <w:color w:val="auto"/>
          <w:kern w:val="0"/>
          <w:szCs w:val="21"/>
          <w:highlight w:val="none"/>
        </w:rPr>
        <w:t>。</w:t>
      </w:r>
    </w:p>
    <w:p>
      <w:pPr>
        <w:numPr>
          <w:ilvl w:val="255"/>
          <w:numId w:val="0"/>
        </w:numPr>
        <w:spacing w:line="400" w:lineRule="exact"/>
        <w:jc w:val="left"/>
        <w:rPr>
          <w:color w:val="auto"/>
          <w:kern w:val="0"/>
          <w:szCs w:val="21"/>
          <w:highlight w:val="none"/>
        </w:rPr>
      </w:pPr>
      <w:r>
        <w:rPr>
          <w:rFonts w:hint="eastAsia"/>
          <w:color w:val="auto"/>
          <w:highlight w:val="none"/>
        </w:rPr>
        <w:t xml:space="preserve">    2.2  </w:t>
      </w:r>
      <w:r>
        <w:rPr>
          <w:color w:val="auto"/>
          <w:highlight w:val="none"/>
        </w:rPr>
        <w:t>分值构成与评分标准</w:t>
      </w:r>
      <w:r>
        <w:rPr>
          <w:rFonts w:hint="eastAsia"/>
          <w:color w:val="auto"/>
          <w:highlight w:val="none"/>
        </w:rPr>
        <w:t>：</w:t>
      </w:r>
      <w:r>
        <w:rPr>
          <w:rFonts w:ascii="宋体" w:hAnsi="宋体" w:cs="宋体"/>
          <w:color w:val="auto"/>
          <w:kern w:val="0"/>
          <w:szCs w:val="21"/>
          <w:highlight w:val="none"/>
        </w:rPr>
        <w:t>见</w:t>
      </w:r>
      <w:r>
        <w:rPr>
          <w:rFonts w:hint="eastAsia" w:ascii="宋体" w:hAnsi="宋体" w:cs="宋体"/>
          <w:color w:val="auto"/>
          <w:kern w:val="0"/>
          <w:szCs w:val="21"/>
          <w:highlight w:val="none"/>
        </w:rPr>
        <w:t>附表二。</w:t>
      </w:r>
    </w:p>
    <w:p>
      <w:pPr>
        <w:pStyle w:val="6"/>
        <w:spacing w:before="20" w:after="20" w:line="360" w:lineRule="auto"/>
        <w:rPr>
          <w:color w:val="auto"/>
          <w:highlight w:val="none"/>
        </w:rPr>
      </w:pPr>
      <w:bookmarkStart w:id="1999" w:name="_Toc1587"/>
      <w:bookmarkStart w:id="2000" w:name="_Toc28861"/>
      <w:bookmarkStart w:id="2001" w:name="_Toc15205"/>
      <w:bookmarkStart w:id="2002" w:name="_Toc19713"/>
      <w:bookmarkStart w:id="2003" w:name="_Toc12087"/>
      <w:bookmarkStart w:id="2004" w:name="_Toc14402"/>
      <w:bookmarkStart w:id="2005" w:name="_Toc31159"/>
      <w:bookmarkStart w:id="2006" w:name="_Toc28420"/>
      <w:bookmarkStart w:id="2007" w:name="_Toc4510"/>
      <w:bookmarkStart w:id="2008" w:name="_Toc12934"/>
      <w:bookmarkStart w:id="2009" w:name="_Toc12063"/>
      <w:bookmarkStart w:id="2010" w:name="_Toc24828"/>
      <w:bookmarkStart w:id="2011" w:name="_Toc16861"/>
      <w:bookmarkStart w:id="2012" w:name="_Toc7173"/>
      <w:bookmarkStart w:id="2013" w:name="_Toc26630"/>
      <w:bookmarkStart w:id="2014" w:name="_Toc4905"/>
      <w:bookmarkStart w:id="2015" w:name="_Toc11691"/>
      <w:bookmarkStart w:id="2016" w:name="_Toc25350"/>
      <w:bookmarkStart w:id="2017" w:name="_Toc23171"/>
      <w:bookmarkStart w:id="2018" w:name="_Toc28217"/>
      <w:r>
        <w:rPr>
          <w:rFonts w:hint="eastAsia"/>
          <w:color w:val="auto"/>
          <w:highlight w:val="none"/>
        </w:rPr>
        <w:t>3. 评标程序</w:t>
      </w:r>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p>
    <w:p>
      <w:pPr>
        <w:numPr>
          <w:ilvl w:val="0"/>
          <w:numId w:val="3"/>
        </w:numPr>
        <w:spacing w:line="360" w:lineRule="auto"/>
        <w:ind w:left="0" w:firstLine="426"/>
        <w:rPr>
          <w:color w:val="auto"/>
          <w:highlight w:val="none"/>
        </w:rPr>
      </w:pPr>
      <w:r>
        <w:rPr>
          <w:rFonts w:hint="eastAsia"/>
          <w:color w:val="auto"/>
          <w:highlight w:val="none"/>
        </w:rPr>
        <w:t>初步评审：</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color w:val="auto"/>
          <w:kern w:val="0"/>
          <w:szCs w:val="21"/>
          <w:highlight w:val="none"/>
        </w:rPr>
        <w:t>3.1.1</w:t>
      </w:r>
      <w:r>
        <w:rPr>
          <w:rFonts w:hint="eastAsia"/>
          <w:color w:val="auto"/>
          <w:kern w:val="0"/>
          <w:szCs w:val="21"/>
          <w:highlight w:val="none"/>
        </w:rPr>
        <w:t xml:space="preserve"> </w:t>
      </w:r>
      <w:r>
        <w:rPr>
          <w:rFonts w:ascii="宋体" w:hAnsi="宋体" w:cs="宋体"/>
          <w:color w:val="auto"/>
          <w:kern w:val="0"/>
          <w:szCs w:val="21"/>
          <w:highlight w:val="none"/>
        </w:rPr>
        <w:t>评标委员会依据本章第</w:t>
      </w:r>
      <w:r>
        <w:rPr>
          <w:color w:val="auto"/>
          <w:kern w:val="0"/>
          <w:szCs w:val="21"/>
          <w:highlight w:val="none"/>
        </w:rPr>
        <w:t>2.1</w:t>
      </w:r>
      <w:r>
        <w:rPr>
          <w:rFonts w:ascii="宋体" w:hAnsi="宋体" w:cs="宋体"/>
          <w:color w:val="auto"/>
          <w:kern w:val="0"/>
          <w:szCs w:val="21"/>
          <w:highlight w:val="none"/>
        </w:rPr>
        <w:t>款规定的标准</w:t>
      </w:r>
      <w:r>
        <w:rPr>
          <w:rFonts w:hint="eastAsia" w:ascii="宋体" w:hAnsi="宋体" w:cs="宋体"/>
          <w:color w:val="auto"/>
          <w:kern w:val="0"/>
          <w:szCs w:val="21"/>
          <w:highlight w:val="none"/>
        </w:rPr>
        <w:t>，先</w:t>
      </w:r>
      <w:r>
        <w:rPr>
          <w:rFonts w:ascii="宋体" w:hAnsi="宋体" w:cs="宋体"/>
          <w:color w:val="auto"/>
          <w:kern w:val="0"/>
          <w:szCs w:val="21"/>
          <w:highlight w:val="none"/>
        </w:rPr>
        <w:t>对投标文件进行初步</w:t>
      </w:r>
      <w:r>
        <w:rPr>
          <w:rFonts w:hint="eastAsia" w:ascii="宋体" w:hAnsi="宋体" w:cs="宋体"/>
          <w:color w:val="auto"/>
          <w:kern w:val="0"/>
          <w:szCs w:val="21"/>
          <w:highlight w:val="none"/>
        </w:rPr>
        <w:t>审查</w:t>
      </w:r>
      <w:r>
        <w:rPr>
          <w:rFonts w:ascii="宋体" w:hAnsi="宋体" w:cs="宋体"/>
          <w:color w:val="auto"/>
          <w:kern w:val="0"/>
          <w:szCs w:val="21"/>
          <w:highlight w:val="none"/>
        </w:rPr>
        <w:t>。</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color w:val="auto"/>
          <w:kern w:val="0"/>
          <w:szCs w:val="21"/>
          <w:highlight w:val="none"/>
        </w:rPr>
        <w:t xml:space="preserve">3.1.2 </w:t>
      </w:r>
      <w:r>
        <w:rPr>
          <w:rFonts w:ascii="宋体" w:hAnsi="宋体" w:cs="宋体"/>
          <w:color w:val="auto"/>
          <w:kern w:val="0"/>
          <w:szCs w:val="21"/>
          <w:highlight w:val="none"/>
        </w:rPr>
        <w:t>投标人有以下情形之一的，评标委员会应当否决其投标：</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ascii="宋体" w:hAnsi="宋体" w:cs="宋体"/>
          <w:color w:val="auto"/>
          <w:kern w:val="0"/>
          <w:szCs w:val="21"/>
          <w:highlight w:val="none"/>
        </w:rPr>
        <w:t>（</w:t>
      </w:r>
      <w:r>
        <w:rPr>
          <w:color w:val="auto"/>
          <w:kern w:val="0"/>
          <w:szCs w:val="21"/>
          <w:highlight w:val="none"/>
        </w:rPr>
        <w:t>1</w:t>
      </w:r>
      <w:r>
        <w:rPr>
          <w:rFonts w:ascii="宋体" w:hAnsi="宋体" w:cs="宋体"/>
          <w:color w:val="auto"/>
          <w:kern w:val="0"/>
          <w:szCs w:val="21"/>
          <w:highlight w:val="none"/>
        </w:rPr>
        <w:t>）投标文件没有对招标文件的实质性要求和条件作出响应，或者对招标文件的偏差超出招标文件规定的偏差范围或最高项数；</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ascii="宋体" w:hAnsi="宋体" w:cs="宋体"/>
          <w:color w:val="auto"/>
          <w:kern w:val="0"/>
          <w:szCs w:val="21"/>
          <w:highlight w:val="none"/>
        </w:rPr>
        <w:t>（</w:t>
      </w:r>
      <w:r>
        <w:rPr>
          <w:color w:val="auto"/>
          <w:kern w:val="0"/>
          <w:szCs w:val="21"/>
          <w:highlight w:val="none"/>
        </w:rPr>
        <w:t>2</w:t>
      </w:r>
      <w:r>
        <w:rPr>
          <w:rFonts w:ascii="宋体" w:hAnsi="宋体" w:cs="宋体"/>
          <w:color w:val="auto"/>
          <w:kern w:val="0"/>
          <w:szCs w:val="21"/>
          <w:highlight w:val="none"/>
        </w:rPr>
        <w:t>）有串通投标、弄虚作假、行贿等违法行为。</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color w:val="auto"/>
          <w:kern w:val="0"/>
          <w:szCs w:val="21"/>
          <w:highlight w:val="none"/>
        </w:rPr>
        <w:t xml:space="preserve">3.1.3 </w:t>
      </w:r>
      <w:r>
        <w:rPr>
          <w:rFonts w:ascii="宋体" w:hAnsi="宋体" w:cs="宋体"/>
          <w:color w:val="auto"/>
          <w:kern w:val="0"/>
          <w:szCs w:val="21"/>
          <w:highlight w:val="none"/>
        </w:rPr>
        <w:t>投标报价有算术错误及其他错误的，评标委员会按以下原则对投标报价进行修正：</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ascii="宋体" w:hAnsi="宋体" w:cs="宋体"/>
          <w:color w:val="auto"/>
          <w:kern w:val="0"/>
          <w:szCs w:val="21"/>
          <w:highlight w:val="none"/>
        </w:rPr>
        <w:t>（</w:t>
      </w:r>
      <w:r>
        <w:rPr>
          <w:color w:val="auto"/>
          <w:kern w:val="0"/>
          <w:szCs w:val="21"/>
          <w:highlight w:val="none"/>
        </w:rPr>
        <w:t>1</w:t>
      </w:r>
      <w:r>
        <w:rPr>
          <w:rFonts w:ascii="宋体" w:hAnsi="宋体" w:cs="宋体"/>
          <w:color w:val="auto"/>
          <w:kern w:val="0"/>
          <w:szCs w:val="21"/>
          <w:highlight w:val="none"/>
        </w:rPr>
        <w:t>）</w:t>
      </w:r>
      <w:r>
        <w:rPr>
          <w:rFonts w:hint="eastAsia" w:ascii="宋体" w:hAnsi="宋体" w:cs="宋体"/>
          <w:color w:val="auto"/>
          <w:kern w:val="0"/>
          <w:szCs w:val="21"/>
          <w:highlight w:val="none"/>
        </w:rPr>
        <w:t>投标文件中开标一览表（报价表）内容与投标文件中相应内容不一致的，以开标一览表（报价表）为准。</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ascii="宋体" w:hAnsi="宋体" w:cs="宋体"/>
          <w:color w:val="auto"/>
          <w:kern w:val="0"/>
          <w:szCs w:val="21"/>
          <w:highlight w:val="none"/>
        </w:rPr>
        <w:t>（</w:t>
      </w:r>
      <w:r>
        <w:rPr>
          <w:color w:val="auto"/>
          <w:kern w:val="0"/>
          <w:szCs w:val="21"/>
          <w:highlight w:val="none"/>
        </w:rPr>
        <w:t>2</w:t>
      </w:r>
      <w:r>
        <w:rPr>
          <w:rFonts w:ascii="宋体" w:hAnsi="宋体" w:cs="宋体"/>
          <w:color w:val="auto"/>
          <w:kern w:val="0"/>
          <w:szCs w:val="21"/>
          <w:highlight w:val="none"/>
        </w:rPr>
        <w:t>）投标文件中的大写金额与小写金额不一致的，以大写金额为准；</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ascii="宋体" w:hAnsi="宋体" w:cs="宋体"/>
          <w:color w:val="auto"/>
          <w:kern w:val="0"/>
          <w:szCs w:val="21"/>
          <w:highlight w:val="none"/>
        </w:rPr>
        <w:t>（</w:t>
      </w:r>
      <w:r>
        <w:rPr>
          <w:color w:val="auto"/>
          <w:kern w:val="0"/>
          <w:szCs w:val="21"/>
          <w:highlight w:val="none"/>
        </w:rPr>
        <w:t>3</w:t>
      </w:r>
      <w:r>
        <w:rPr>
          <w:rFonts w:ascii="宋体" w:hAnsi="宋体" w:cs="宋体"/>
          <w:color w:val="auto"/>
          <w:kern w:val="0"/>
          <w:szCs w:val="21"/>
          <w:highlight w:val="none"/>
        </w:rPr>
        <w:t>）总价金额与单价金额不一致的，以单价金额为准，但单价金额小数点有明显错误的除外；</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ascii="宋体" w:hAnsi="宋体" w:cs="宋体"/>
          <w:color w:val="auto"/>
          <w:kern w:val="0"/>
          <w:szCs w:val="21"/>
          <w:highlight w:val="none"/>
        </w:rPr>
        <w:t>（</w:t>
      </w:r>
      <w:r>
        <w:rPr>
          <w:color w:val="auto"/>
          <w:kern w:val="0"/>
          <w:szCs w:val="21"/>
          <w:highlight w:val="none"/>
        </w:rPr>
        <w:t>4</w:t>
      </w:r>
      <w:r>
        <w:rPr>
          <w:rFonts w:ascii="宋体" w:hAnsi="宋体" w:cs="宋体"/>
          <w:color w:val="auto"/>
          <w:kern w:val="0"/>
          <w:szCs w:val="21"/>
          <w:highlight w:val="none"/>
        </w:rPr>
        <w:t>）投标报价为各分项报价金额之和，投标报价与分项报价的合价不一致的，应以各分项合价累计数为准，修正投标报价；</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rFonts w:ascii="宋体" w:hAnsi="宋体" w:cs="宋体"/>
          <w:color w:val="auto"/>
          <w:kern w:val="0"/>
          <w:szCs w:val="21"/>
          <w:highlight w:val="none"/>
        </w:rPr>
        <w:t>（</w:t>
      </w:r>
      <w:r>
        <w:rPr>
          <w:rFonts w:hint="eastAsia"/>
          <w:color w:val="auto"/>
          <w:kern w:val="0"/>
          <w:szCs w:val="21"/>
          <w:highlight w:val="none"/>
        </w:rPr>
        <w:t>5</w:t>
      </w:r>
      <w:r>
        <w:rPr>
          <w:rFonts w:ascii="宋体" w:hAnsi="宋体" w:cs="宋体"/>
          <w:color w:val="auto"/>
          <w:kern w:val="0"/>
          <w:szCs w:val="21"/>
          <w:highlight w:val="none"/>
        </w:rPr>
        <w:t>）如果分项报价中存在缺漏项，则视为缺漏项价格已包含在其他分项报价之中。</w:t>
      </w:r>
    </w:p>
    <w:p>
      <w:pPr>
        <w:numPr>
          <w:ilvl w:val="0"/>
          <w:numId w:val="3"/>
        </w:numPr>
        <w:spacing w:line="360" w:lineRule="auto"/>
        <w:ind w:left="0" w:firstLine="426"/>
        <w:rPr>
          <w:color w:val="auto"/>
          <w:highlight w:val="none"/>
        </w:rPr>
      </w:pPr>
      <w:r>
        <w:rPr>
          <w:rFonts w:hint="eastAsia"/>
          <w:color w:val="auto"/>
          <w:highlight w:val="none"/>
        </w:rPr>
        <w:t>详细评审</w:t>
      </w:r>
    </w:p>
    <w:p>
      <w:pPr>
        <w:numPr>
          <w:ilvl w:val="0"/>
          <w:numId w:val="4"/>
        </w:numPr>
        <w:tabs>
          <w:tab w:val="left" w:pos="1134"/>
        </w:tabs>
        <w:spacing w:line="360" w:lineRule="auto"/>
        <w:ind w:left="0" w:firstLine="567"/>
        <w:rPr>
          <w:color w:val="auto"/>
          <w:highlight w:val="none"/>
        </w:rPr>
      </w:pPr>
      <w:r>
        <w:rPr>
          <w:rFonts w:hint="eastAsia"/>
          <w:color w:val="auto"/>
          <w:highlight w:val="none"/>
        </w:rPr>
        <w:t>按照本办法附表二《分值构成及评分标准》，评委对每个投标人的投标文件进行评价，并汇总每个投标人的得分。</w:t>
      </w:r>
    </w:p>
    <w:p>
      <w:pPr>
        <w:numPr>
          <w:ilvl w:val="0"/>
          <w:numId w:val="4"/>
        </w:numPr>
        <w:tabs>
          <w:tab w:val="left" w:pos="1134"/>
        </w:tabs>
        <w:spacing w:line="360" w:lineRule="auto"/>
        <w:ind w:left="0" w:firstLine="567"/>
        <w:rPr>
          <w:color w:val="auto"/>
          <w:highlight w:val="none"/>
        </w:rPr>
      </w:pPr>
      <w:r>
        <w:rPr>
          <w:color w:val="auto"/>
          <w:highlight w:val="none"/>
        </w:rPr>
        <w:t>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p>
    <w:p>
      <w:pPr>
        <w:numPr>
          <w:ilvl w:val="0"/>
          <w:numId w:val="3"/>
        </w:numPr>
        <w:spacing w:line="360" w:lineRule="auto"/>
        <w:ind w:left="0" w:firstLine="426"/>
        <w:rPr>
          <w:color w:val="auto"/>
          <w:highlight w:val="none"/>
        </w:rPr>
      </w:pPr>
      <w:r>
        <w:rPr>
          <w:color w:val="auto"/>
          <w:highlight w:val="none"/>
        </w:rPr>
        <w:t>投标文件的澄清</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color w:val="auto"/>
          <w:kern w:val="0"/>
          <w:szCs w:val="21"/>
          <w:highlight w:val="none"/>
        </w:rPr>
        <w:t xml:space="preserve">3.3.1 </w:t>
      </w:r>
      <w:r>
        <w:rPr>
          <w:rFonts w:ascii="宋体" w:hAnsi="宋体" w:cs="宋体"/>
          <w:color w:val="auto"/>
          <w:kern w:val="0"/>
          <w:szCs w:val="21"/>
          <w:highlight w:val="none"/>
        </w:rPr>
        <w:t>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pPr>
        <w:autoSpaceDE w:val="0"/>
        <w:autoSpaceDN w:val="0"/>
        <w:adjustRightInd w:val="0"/>
        <w:spacing w:line="360" w:lineRule="auto"/>
        <w:ind w:firstLine="567" w:firstLineChars="270"/>
        <w:jc w:val="left"/>
        <w:rPr>
          <w:rFonts w:ascii="宋体" w:hAnsi="宋体" w:cs="宋体"/>
          <w:color w:val="auto"/>
          <w:kern w:val="0"/>
          <w:szCs w:val="21"/>
          <w:highlight w:val="none"/>
        </w:rPr>
      </w:pPr>
      <w:r>
        <w:rPr>
          <w:color w:val="auto"/>
          <w:kern w:val="0"/>
          <w:szCs w:val="21"/>
          <w:highlight w:val="none"/>
        </w:rPr>
        <w:t xml:space="preserve">3.3.2 </w:t>
      </w:r>
      <w:r>
        <w:rPr>
          <w:rFonts w:ascii="宋体" w:hAnsi="宋体" w:cs="宋体"/>
          <w:color w:val="auto"/>
          <w:kern w:val="0"/>
          <w:szCs w:val="21"/>
          <w:highlight w:val="none"/>
        </w:rPr>
        <w:t>澄清、说明或补正不得超出投标文件的范围且不得改变投标文件的实质性内容，并构成投标文件的组成部分。</w:t>
      </w:r>
    </w:p>
    <w:p>
      <w:pPr>
        <w:tabs>
          <w:tab w:val="left" w:pos="993"/>
        </w:tabs>
        <w:spacing w:line="360" w:lineRule="auto"/>
        <w:ind w:firstLine="567" w:firstLineChars="270"/>
        <w:rPr>
          <w:color w:val="auto"/>
          <w:highlight w:val="none"/>
        </w:rPr>
      </w:pPr>
      <w:r>
        <w:rPr>
          <w:color w:val="auto"/>
          <w:kern w:val="0"/>
          <w:szCs w:val="21"/>
          <w:highlight w:val="none"/>
        </w:rPr>
        <w:t xml:space="preserve">3.3.3 </w:t>
      </w:r>
      <w:r>
        <w:rPr>
          <w:rFonts w:ascii="宋体" w:hAnsi="宋体" w:cs="宋体"/>
          <w:color w:val="auto"/>
          <w:kern w:val="0"/>
          <w:szCs w:val="21"/>
          <w:highlight w:val="none"/>
        </w:rPr>
        <w:t>评标委员会对投标人提交的澄清、说明或补正有疑问的，可以要求投标人进一步澄清、说明或补正，直至满足评标委员会的要求。</w:t>
      </w:r>
    </w:p>
    <w:p>
      <w:pPr>
        <w:numPr>
          <w:ilvl w:val="0"/>
          <w:numId w:val="3"/>
        </w:numPr>
        <w:spacing w:line="360" w:lineRule="auto"/>
        <w:ind w:left="0" w:firstLine="426"/>
        <w:rPr>
          <w:color w:val="auto"/>
          <w:highlight w:val="none"/>
        </w:rPr>
      </w:pPr>
      <w:r>
        <w:rPr>
          <w:rFonts w:hint="eastAsia"/>
          <w:color w:val="auto"/>
          <w:highlight w:val="none"/>
        </w:rPr>
        <w:t>汇总排序：每一分项去掉评委中的1个最高分，再去掉评委中的1个最低分，其余评委评分的算术平均值即为该投标人的各分项得分。将各分项得分相加得出评审总得分（评审总得分分值按四舍五入原则精确到小数点后两位），评标结果按照总得分从高到低排序。</w:t>
      </w:r>
      <w:r>
        <w:rPr>
          <w:color w:val="auto"/>
          <w:highlight w:val="none"/>
        </w:rPr>
        <w:t>综合评分相等时，以投标报价低的优先；投标报价也相等的，</w:t>
      </w:r>
      <w:r>
        <w:rPr>
          <w:rFonts w:hint="eastAsia"/>
          <w:color w:val="auto"/>
          <w:highlight w:val="none"/>
        </w:rPr>
        <w:t>由评标委员会投票</w:t>
      </w:r>
      <w:r>
        <w:rPr>
          <w:color w:val="auto"/>
          <w:highlight w:val="none"/>
        </w:rPr>
        <w:t>确定</w:t>
      </w:r>
      <w:r>
        <w:rPr>
          <w:rFonts w:hint="eastAsia"/>
          <w:color w:val="auto"/>
          <w:highlight w:val="none"/>
        </w:rPr>
        <w:t>排序先后。</w:t>
      </w:r>
    </w:p>
    <w:p>
      <w:pPr>
        <w:numPr>
          <w:ilvl w:val="0"/>
          <w:numId w:val="3"/>
        </w:numPr>
        <w:spacing w:line="360" w:lineRule="auto"/>
        <w:ind w:left="0" w:firstLine="426"/>
        <w:rPr>
          <w:color w:val="auto"/>
          <w:highlight w:val="none"/>
        </w:rPr>
      </w:pPr>
      <w:r>
        <w:rPr>
          <w:rFonts w:hint="eastAsia"/>
          <w:color w:val="auto"/>
          <w:highlight w:val="none"/>
        </w:rPr>
        <w:t>推荐中标候选人：评标委员会推荐得分排名第一的投标人为中标候选人，并撰写评标报告。</w:t>
      </w:r>
    </w:p>
    <w:bookmarkEnd w:id="1974"/>
    <w:bookmarkEnd w:id="1995"/>
    <w:bookmarkEnd w:id="1996"/>
    <w:bookmarkEnd w:id="1997"/>
    <w:bookmarkEnd w:id="1998"/>
    <w:p>
      <w:pPr>
        <w:pStyle w:val="6"/>
        <w:spacing w:before="20" w:after="20" w:line="360" w:lineRule="auto"/>
        <w:rPr>
          <w:color w:val="auto"/>
          <w:highlight w:val="none"/>
        </w:rPr>
      </w:pPr>
    </w:p>
    <w:p>
      <w:pPr>
        <w:pStyle w:val="6"/>
        <w:spacing w:before="20" w:after="20" w:line="360" w:lineRule="auto"/>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bookmarkEnd w:id="1966"/>
    <w:bookmarkEnd w:id="1967"/>
    <w:bookmarkEnd w:id="1968"/>
    <w:bookmarkEnd w:id="1969"/>
    <w:bookmarkEnd w:id="1970"/>
    <w:bookmarkEnd w:id="1971"/>
    <w:bookmarkEnd w:id="1972"/>
    <w:p>
      <w:pPr>
        <w:spacing w:line="360" w:lineRule="auto"/>
        <w:rPr>
          <w:color w:val="auto"/>
          <w:highlight w:val="none"/>
        </w:rPr>
      </w:pPr>
      <w:bookmarkStart w:id="2019" w:name="_Toc435178416"/>
      <w:bookmarkStart w:id="2020" w:name="_Toc436215774"/>
      <w:bookmarkStart w:id="2021" w:name="_Toc422925642"/>
    </w:p>
    <w:p>
      <w:pPr>
        <w:pStyle w:val="3"/>
        <w:rPr>
          <w:color w:val="auto"/>
          <w:highlight w:val="none"/>
        </w:rPr>
      </w:pPr>
    </w:p>
    <w:p>
      <w:pPr>
        <w:pStyle w:val="3"/>
        <w:rPr>
          <w:color w:val="auto"/>
          <w:highlight w:val="none"/>
        </w:rPr>
      </w:pPr>
    </w:p>
    <w:p>
      <w:pPr>
        <w:pStyle w:val="3"/>
        <w:rPr>
          <w:color w:val="auto"/>
          <w:highlight w:val="none"/>
        </w:rPr>
      </w:pPr>
    </w:p>
    <w:p>
      <w:pPr>
        <w:pStyle w:val="3"/>
        <w:rPr>
          <w:color w:val="auto"/>
          <w:highlight w:val="none"/>
        </w:rPr>
      </w:pPr>
    </w:p>
    <w:p>
      <w:pPr>
        <w:pStyle w:val="3"/>
        <w:rPr>
          <w:color w:val="auto"/>
          <w:highlight w:val="none"/>
        </w:rPr>
      </w:pPr>
    </w:p>
    <w:p>
      <w:pPr>
        <w:pStyle w:val="3"/>
        <w:rPr>
          <w:color w:val="auto"/>
          <w:highlight w:val="none"/>
        </w:rPr>
      </w:pPr>
    </w:p>
    <w:p>
      <w:pPr>
        <w:pStyle w:val="4"/>
        <w:rPr>
          <w:color w:val="auto"/>
          <w:highlight w:val="none"/>
        </w:rPr>
      </w:pPr>
    </w:p>
    <w:p>
      <w:pPr>
        <w:spacing w:line="360" w:lineRule="auto"/>
        <w:rPr>
          <w:color w:val="auto"/>
          <w:highlight w:val="none"/>
        </w:rPr>
      </w:pPr>
    </w:p>
    <w:bookmarkEnd w:id="2019"/>
    <w:bookmarkEnd w:id="2020"/>
    <w:bookmarkEnd w:id="2021"/>
    <w:p>
      <w:pPr>
        <w:spacing w:line="360" w:lineRule="auto"/>
        <w:rPr>
          <w:rFonts w:ascii="宋体" w:hAnsi="宋体" w:cs="宋体"/>
          <w:b/>
          <w:bCs/>
          <w:color w:val="auto"/>
          <w:kern w:val="0"/>
          <w:sz w:val="32"/>
          <w:szCs w:val="32"/>
          <w:highlight w:val="none"/>
        </w:rPr>
      </w:pPr>
      <w:bookmarkStart w:id="2022" w:name="_Toc24289"/>
      <w:bookmarkStart w:id="2023" w:name="_Toc377652628"/>
      <w:bookmarkStart w:id="2024" w:name="_Toc10967"/>
      <w:bookmarkStart w:id="2025" w:name="_Toc14288"/>
      <w:bookmarkStart w:id="2026" w:name="_Toc17161"/>
      <w:bookmarkStart w:id="2027" w:name="_Toc496601980"/>
      <w:bookmarkStart w:id="2028" w:name="_Toc378253562"/>
      <w:r>
        <w:rPr>
          <w:rFonts w:hint="eastAsia" w:ascii="宋体" w:hAnsi="宋体" w:cs="宋体"/>
          <w:b/>
          <w:bCs/>
          <w:color w:val="auto"/>
          <w:kern w:val="0"/>
          <w:sz w:val="32"/>
          <w:szCs w:val="32"/>
          <w:highlight w:val="none"/>
        </w:rPr>
        <w:t>附表一：《资格性和有效性审查表》</w:t>
      </w:r>
      <w:bookmarkEnd w:id="2022"/>
      <w:bookmarkEnd w:id="2023"/>
      <w:bookmarkEnd w:id="2024"/>
      <w:bookmarkEnd w:id="2025"/>
      <w:bookmarkEnd w:id="2026"/>
      <w:bookmarkEnd w:id="2027"/>
      <w:bookmarkEnd w:id="2028"/>
    </w:p>
    <w:tbl>
      <w:tblPr>
        <w:tblStyle w:val="41"/>
        <w:tblW w:w="8820" w:type="dxa"/>
        <w:tblInd w:w="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387"/>
        <w:gridCol w:w="1593"/>
        <w:gridCol w:w="2160"/>
        <w:gridCol w:w="4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c>
          <w:tcPr>
            <w:tcW w:w="1980" w:type="dxa"/>
            <w:gridSpan w:val="2"/>
            <w:tcBorders>
              <w:top w:val="single" w:color="auto" w:sz="4" w:space="0"/>
              <w:bottom w:val="single" w:color="auto" w:sz="4" w:space="0"/>
              <w:right w:val="single" w:color="auto" w:sz="4" w:space="0"/>
            </w:tcBorders>
            <w:vAlign w:val="center"/>
          </w:tcPr>
          <w:p>
            <w:pPr>
              <w:spacing w:line="360" w:lineRule="auto"/>
              <w:jc w:val="center"/>
              <w:rPr>
                <w:b/>
                <w:color w:val="auto"/>
                <w:sz w:val="24"/>
                <w:highlight w:val="none"/>
              </w:rPr>
            </w:pPr>
            <w:r>
              <w:rPr>
                <w:b/>
                <w:color w:val="auto"/>
                <w:sz w:val="24"/>
                <w:highlight w:val="none"/>
              </w:rPr>
              <w:t>条款号</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 w:val="24"/>
                <w:highlight w:val="none"/>
              </w:rPr>
            </w:pPr>
            <w:r>
              <w:rPr>
                <w:rFonts w:hint="eastAsia"/>
                <w:b/>
                <w:color w:val="auto"/>
                <w:sz w:val="24"/>
                <w:highlight w:val="none"/>
              </w:rPr>
              <w:t>审查项目</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b/>
                <w:color w:val="auto"/>
                <w:sz w:val="24"/>
                <w:highlight w:val="none"/>
              </w:rPr>
            </w:pPr>
            <w:r>
              <w:rPr>
                <w:rFonts w:hint="eastAsia"/>
                <w:b/>
                <w:color w:val="auto"/>
                <w:sz w:val="24"/>
                <w:highlight w:val="none"/>
              </w:rPr>
              <w:t>审查</w:t>
            </w:r>
            <w:r>
              <w:rPr>
                <w:b/>
                <w:color w:val="auto"/>
                <w:sz w:val="24"/>
                <w:highlight w:val="none"/>
              </w:rPr>
              <w:t>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515" w:hRule="atLeast"/>
        </w:trPr>
        <w:tc>
          <w:tcPr>
            <w:tcW w:w="1980" w:type="dxa"/>
            <w:gridSpan w:val="2"/>
            <w:tcBorders>
              <w:top w:val="single" w:color="auto" w:sz="4" w:space="0"/>
              <w:bottom w:val="single" w:color="auto" w:sz="4" w:space="0"/>
              <w:right w:val="single" w:color="auto" w:sz="4" w:space="0"/>
            </w:tcBorders>
            <w:vAlign w:val="center"/>
          </w:tcPr>
          <w:p>
            <w:pPr>
              <w:spacing w:line="360" w:lineRule="auto"/>
              <w:jc w:val="center"/>
              <w:rPr>
                <w:b/>
                <w:color w:val="auto"/>
                <w:szCs w:val="21"/>
                <w:highlight w:val="none"/>
              </w:rPr>
            </w:pPr>
            <w:r>
              <w:rPr>
                <w:rFonts w:hint="eastAsia"/>
                <w:color w:val="auto"/>
                <w:szCs w:val="21"/>
                <w:highlight w:val="none"/>
              </w:rPr>
              <w:t>资格性审查</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投标人资格要求</w:t>
            </w:r>
          </w:p>
        </w:tc>
        <w:tc>
          <w:tcPr>
            <w:tcW w:w="4680" w:type="dxa"/>
            <w:tcBorders>
              <w:top w:val="single" w:color="auto" w:sz="4" w:space="0"/>
              <w:left w:val="single" w:color="auto" w:sz="4" w:space="0"/>
              <w:bottom w:val="single" w:color="auto" w:sz="4" w:space="0"/>
              <w:right w:val="single" w:color="auto" w:sz="4" w:space="0"/>
            </w:tcBorders>
            <w:vAlign w:val="center"/>
          </w:tcPr>
          <w:p>
            <w:pPr>
              <w:topLinePunct/>
              <w:spacing w:line="360" w:lineRule="auto"/>
              <w:textAlignment w:val="baseline"/>
              <w:rPr>
                <w:color w:val="auto"/>
                <w:szCs w:val="21"/>
                <w:highlight w:val="none"/>
              </w:rPr>
            </w:pPr>
            <w:r>
              <w:rPr>
                <w:rFonts w:hint="eastAsia" w:ascii="宋体" w:hAnsi="宋体"/>
                <w:color w:val="auto"/>
                <w:highlight w:val="none"/>
              </w:rPr>
              <w:t>符合第一章投标人资格要求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Pr>
        <w:tc>
          <w:tcPr>
            <w:tcW w:w="387" w:type="dxa"/>
            <w:vMerge w:val="restart"/>
            <w:tcBorders>
              <w:top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有效性审查</w:t>
            </w:r>
          </w:p>
        </w:tc>
        <w:tc>
          <w:tcPr>
            <w:tcW w:w="1593" w:type="dxa"/>
            <w:vMerge w:val="restart"/>
            <w:tcBorders>
              <w:top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形式评审标准</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投标人名称</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color w:val="auto"/>
                <w:szCs w:val="21"/>
                <w:highlight w:val="none"/>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Pr>
        <w:tc>
          <w:tcPr>
            <w:tcW w:w="387" w:type="dxa"/>
            <w:vMerge w:val="continue"/>
            <w:tcBorders>
              <w:right w:val="single" w:color="auto" w:sz="4" w:space="0"/>
            </w:tcBorders>
            <w:vAlign w:val="center"/>
          </w:tcPr>
          <w:p>
            <w:pPr>
              <w:spacing w:line="360" w:lineRule="auto"/>
              <w:jc w:val="center"/>
              <w:rPr>
                <w:color w:val="auto"/>
                <w:szCs w:val="21"/>
                <w:highlight w:val="none"/>
              </w:rPr>
            </w:pPr>
          </w:p>
        </w:tc>
        <w:tc>
          <w:tcPr>
            <w:tcW w:w="1593" w:type="dxa"/>
            <w:vMerge w:val="continue"/>
            <w:tcBorders>
              <w:right w:val="single" w:color="auto" w:sz="4" w:space="0"/>
            </w:tcBorders>
            <w:vAlign w:val="center"/>
          </w:tcPr>
          <w:p>
            <w:pPr>
              <w:spacing w:line="360" w:lineRule="auto"/>
              <w:jc w:val="center"/>
              <w:rPr>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法定代表人证明书</w:t>
            </w:r>
          </w:p>
          <w:p>
            <w:pPr>
              <w:spacing w:line="360" w:lineRule="auto"/>
              <w:jc w:val="center"/>
              <w:rPr>
                <w:color w:val="auto"/>
                <w:szCs w:val="21"/>
                <w:highlight w:val="none"/>
              </w:rPr>
            </w:pPr>
            <w:r>
              <w:rPr>
                <w:rFonts w:hint="eastAsia"/>
                <w:color w:val="auto"/>
                <w:szCs w:val="21"/>
                <w:highlight w:val="none"/>
              </w:rPr>
              <w:t>及授权委托书</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color w:val="auto"/>
                <w:szCs w:val="21"/>
                <w:highlight w:val="none"/>
              </w:rPr>
              <w:t>按投标文件第</w:t>
            </w:r>
            <w:r>
              <w:rPr>
                <w:rFonts w:hint="eastAsia"/>
                <w:color w:val="auto"/>
                <w:szCs w:val="21"/>
                <w:highlight w:val="none"/>
                <w:lang w:eastAsia="zh-CN"/>
              </w:rPr>
              <w:t>六</w:t>
            </w:r>
            <w:r>
              <w:rPr>
                <w:rFonts w:hint="eastAsia"/>
                <w:color w:val="auto"/>
                <w:szCs w:val="21"/>
                <w:highlight w:val="none"/>
              </w:rPr>
              <w:t>章格式要求填写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568" w:hRule="atLeast"/>
        </w:trPr>
        <w:tc>
          <w:tcPr>
            <w:tcW w:w="387" w:type="dxa"/>
            <w:vMerge w:val="continue"/>
            <w:tcBorders>
              <w:right w:val="single" w:color="auto" w:sz="4" w:space="0"/>
            </w:tcBorders>
            <w:vAlign w:val="center"/>
          </w:tcPr>
          <w:p>
            <w:pPr>
              <w:spacing w:line="360" w:lineRule="auto"/>
              <w:jc w:val="center"/>
              <w:rPr>
                <w:color w:val="auto"/>
                <w:szCs w:val="21"/>
                <w:highlight w:val="none"/>
              </w:rPr>
            </w:pPr>
          </w:p>
        </w:tc>
        <w:tc>
          <w:tcPr>
            <w:tcW w:w="1593" w:type="dxa"/>
            <w:vMerge w:val="continue"/>
            <w:tcBorders>
              <w:right w:val="single" w:color="auto" w:sz="4" w:space="0"/>
            </w:tcBorders>
            <w:vAlign w:val="center"/>
          </w:tcPr>
          <w:p>
            <w:pPr>
              <w:spacing w:line="360" w:lineRule="auto"/>
              <w:jc w:val="center"/>
              <w:rPr>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投标函签字盖章</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eastAsia="宋体"/>
                <w:color w:val="auto"/>
                <w:szCs w:val="21"/>
                <w:highlight w:val="none"/>
                <w:lang w:eastAsia="zh-CN"/>
              </w:rPr>
            </w:pPr>
            <w:r>
              <w:rPr>
                <w:color w:val="auto"/>
                <w:szCs w:val="21"/>
                <w:highlight w:val="none"/>
              </w:rPr>
              <w:t>有法定代表人或其委托代理人签字</w:t>
            </w:r>
            <w:r>
              <w:rPr>
                <w:rFonts w:hint="eastAsia"/>
                <w:color w:val="auto"/>
                <w:szCs w:val="21"/>
                <w:highlight w:val="none"/>
                <w:lang w:eastAsia="zh-CN"/>
              </w:rPr>
              <w:t>（</w:t>
            </w:r>
            <w:r>
              <w:rPr>
                <w:color w:val="auto"/>
                <w:szCs w:val="21"/>
                <w:highlight w:val="none"/>
              </w:rPr>
              <w:t>加盖单位章</w:t>
            </w:r>
            <w:r>
              <w:rPr>
                <w:rFonts w:hint="eastAsia"/>
                <w:color w:val="auto"/>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Pr>
        <w:tc>
          <w:tcPr>
            <w:tcW w:w="387" w:type="dxa"/>
            <w:vMerge w:val="continue"/>
            <w:tcBorders>
              <w:right w:val="single" w:color="auto" w:sz="4" w:space="0"/>
            </w:tcBorders>
            <w:vAlign w:val="center"/>
          </w:tcPr>
          <w:p>
            <w:pPr>
              <w:spacing w:line="360" w:lineRule="auto"/>
              <w:jc w:val="center"/>
              <w:rPr>
                <w:color w:val="auto"/>
                <w:szCs w:val="21"/>
                <w:highlight w:val="none"/>
              </w:rPr>
            </w:pPr>
          </w:p>
        </w:tc>
        <w:tc>
          <w:tcPr>
            <w:tcW w:w="1593" w:type="dxa"/>
            <w:vMerge w:val="continue"/>
            <w:tcBorders>
              <w:right w:val="single" w:color="auto" w:sz="4" w:space="0"/>
            </w:tcBorders>
            <w:vAlign w:val="center"/>
          </w:tcPr>
          <w:p>
            <w:pPr>
              <w:spacing w:line="360" w:lineRule="auto"/>
              <w:jc w:val="center"/>
              <w:rPr>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报价唯一</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color w:val="auto"/>
                <w:szCs w:val="21"/>
                <w:highlight w:val="none"/>
              </w:rPr>
              <w:t>只能有一个有效报价</w:t>
            </w:r>
            <w:r>
              <w:rPr>
                <w:rFonts w:hint="eastAsia"/>
                <w:color w:val="auto"/>
                <w:szCs w:val="21"/>
                <w:highlight w:val="none"/>
              </w:rPr>
              <w:t>，</w:t>
            </w:r>
            <w:r>
              <w:rPr>
                <w:rFonts w:hint="eastAsia" w:ascii="宋体" w:hAnsi="宋体" w:cs="宋体"/>
                <w:color w:val="auto"/>
                <w:szCs w:val="21"/>
                <w:highlight w:val="none"/>
              </w:rPr>
              <w:t>招标文件要求提交备选报价的除外。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Height w:val="90" w:hRule="atLeast"/>
        </w:trPr>
        <w:tc>
          <w:tcPr>
            <w:tcW w:w="387" w:type="dxa"/>
            <w:vMerge w:val="continue"/>
            <w:tcBorders>
              <w:right w:val="single" w:color="auto" w:sz="4" w:space="0"/>
            </w:tcBorders>
            <w:vAlign w:val="center"/>
          </w:tcPr>
          <w:p>
            <w:pPr>
              <w:spacing w:line="360" w:lineRule="auto"/>
              <w:jc w:val="center"/>
              <w:rPr>
                <w:color w:val="auto"/>
                <w:szCs w:val="21"/>
                <w:highlight w:val="none"/>
              </w:rPr>
            </w:pPr>
          </w:p>
        </w:tc>
        <w:tc>
          <w:tcPr>
            <w:tcW w:w="1593" w:type="dxa"/>
            <w:vMerge w:val="restart"/>
            <w:tcBorders>
              <w:top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响应性评审标准</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投标报价</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color w:val="auto"/>
                <w:szCs w:val="21"/>
                <w:highlight w:val="none"/>
              </w:rPr>
              <w:t>符合第二章“投标人须知”第</w:t>
            </w:r>
            <w:r>
              <w:rPr>
                <w:rFonts w:hint="eastAsia"/>
                <w:color w:val="auto"/>
                <w:szCs w:val="21"/>
                <w:highlight w:val="none"/>
              </w:rPr>
              <w:t>3</w:t>
            </w:r>
            <w:r>
              <w:rPr>
                <w:color w:val="auto"/>
                <w:szCs w:val="21"/>
                <w:highlight w:val="none"/>
              </w:rPr>
              <w:t>.</w:t>
            </w:r>
            <w:r>
              <w:rPr>
                <w:rFonts w:hint="eastAsia"/>
                <w:color w:val="auto"/>
                <w:szCs w:val="21"/>
                <w:highlight w:val="none"/>
              </w:rPr>
              <w:t>2</w:t>
            </w:r>
            <w:r>
              <w:rPr>
                <w:color w:val="auto"/>
                <w:szCs w:val="21"/>
                <w:highlight w:val="none"/>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Pr>
        <w:tc>
          <w:tcPr>
            <w:tcW w:w="387" w:type="dxa"/>
            <w:vMerge w:val="continue"/>
            <w:tcBorders>
              <w:right w:val="single" w:color="auto" w:sz="4" w:space="0"/>
            </w:tcBorders>
            <w:vAlign w:val="center"/>
          </w:tcPr>
          <w:p>
            <w:pPr>
              <w:spacing w:line="360" w:lineRule="auto"/>
              <w:jc w:val="center"/>
              <w:rPr>
                <w:color w:val="auto"/>
                <w:szCs w:val="21"/>
                <w:highlight w:val="none"/>
              </w:rPr>
            </w:pPr>
          </w:p>
        </w:tc>
        <w:tc>
          <w:tcPr>
            <w:tcW w:w="1593" w:type="dxa"/>
            <w:vMerge w:val="continue"/>
            <w:tcBorders>
              <w:right w:val="single" w:color="auto" w:sz="4" w:space="0"/>
            </w:tcBorders>
            <w:vAlign w:val="center"/>
          </w:tcPr>
          <w:p>
            <w:pPr>
              <w:spacing w:line="360" w:lineRule="auto"/>
              <w:jc w:val="center"/>
              <w:rPr>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投标有效期</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color w:val="auto"/>
                <w:szCs w:val="21"/>
                <w:highlight w:val="none"/>
              </w:rPr>
              <w:t>符合第二章“投标人须知”第</w:t>
            </w:r>
            <w:r>
              <w:rPr>
                <w:rFonts w:hint="eastAsia"/>
                <w:color w:val="auto"/>
                <w:szCs w:val="21"/>
                <w:highlight w:val="none"/>
              </w:rPr>
              <w:t>3</w:t>
            </w:r>
            <w:r>
              <w:rPr>
                <w:color w:val="auto"/>
                <w:szCs w:val="21"/>
                <w:highlight w:val="none"/>
              </w:rPr>
              <w:t>.3.</w:t>
            </w:r>
            <w:r>
              <w:rPr>
                <w:rFonts w:hint="eastAsia"/>
                <w:color w:val="auto"/>
                <w:szCs w:val="21"/>
                <w:highlight w:val="none"/>
              </w:rPr>
              <w:t>1</w:t>
            </w:r>
            <w:r>
              <w:rPr>
                <w:color w:val="auto"/>
                <w:szCs w:val="21"/>
                <w:highlight w:val="none"/>
              </w:rPr>
              <w:t>项规</w:t>
            </w:r>
            <w:r>
              <w:rPr>
                <w:rFonts w:hint="eastAsia"/>
                <w:color w:val="auto"/>
                <w:szCs w:val="21"/>
                <w:highlight w:val="none"/>
              </w:rPr>
              <w:t>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Pr>
        <w:tc>
          <w:tcPr>
            <w:tcW w:w="387" w:type="dxa"/>
            <w:vMerge w:val="continue"/>
            <w:tcBorders>
              <w:right w:val="single" w:color="auto" w:sz="4" w:space="0"/>
            </w:tcBorders>
            <w:vAlign w:val="center"/>
          </w:tcPr>
          <w:p>
            <w:pPr>
              <w:spacing w:line="360" w:lineRule="auto"/>
              <w:jc w:val="center"/>
              <w:rPr>
                <w:color w:val="auto"/>
                <w:szCs w:val="21"/>
                <w:highlight w:val="none"/>
              </w:rPr>
            </w:pPr>
          </w:p>
        </w:tc>
        <w:tc>
          <w:tcPr>
            <w:tcW w:w="1593" w:type="dxa"/>
            <w:vMerge w:val="continue"/>
            <w:tcBorders>
              <w:right w:val="single" w:color="auto" w:sz="4" w:space="0"/>
            </w:tcBorders>
            <w:vAlign w:val="center"/>
          </w:tcPr>
          <w:p>
            <w:pPr>
              <w:spacing w:line="360" w:lineRule="auto"/>
              <w:jc w:val="center"/>
              <w:rPr>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color w:val="auto"/>
                <w:szCs w:val="21"/>
                <w:highlight w:val="none"/>
              </w:rPr>
              <w:t>投标保证金</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color w:val="auto"/>
                <w:szCs w:val="21"/>
                <w:highlight w:val="none"/>
              </w:rPr>
              <w:t>符合第二章“投标人须知”第3.4</w:t>
            </w:r>
            <w:r>
              <w:rPr>
                <w:rFonts w:hint="eastAsia"/>
                <w:color w:val="auto"/>
                <w:szCs w:val="21"/>
                <w:highlight w:val="none"/>
              </w:rPr>
              <w:t>.1项</w:t>
            </w:r>
            <w:r>
              <w:rPr>
                <w:color w:val="auto"/>
                <w:szCs w:val="21"/>
                <w:highlight w:val="none"/>
              </w:rPr>
              <w:t>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cantSplit/>
        </w:trPr>
        <w:tc>
          <w:tcPr>
            <w:tcW w:w="387" w:type="dxa"/>
            <w:vMerge w:val="continue"/>
            <w:tcBorders>
              <w:right w:val="single" w:color="auto" w:sz="4" w:space="0"/>
            </w:tcBorders>
            <w:vAlign w:val="center"/>
          </w:tcPr>
          <w:p>
            <w:pPr>
              <w:spacing w:line="360" w:lineRule="auto"/>
              <w:jc w:val="center"/>
              <w:rPr>
                <w:color w:val="auto"/>
                <w:szCs w:val="21"/>
                <w:highlight w:val="none"/>
              </w:rPr>
            </w:pPr>
          </w:p>
        </w:tc>
        <w:tc>
          <w:tcPr>
            <w:tcW w:w="1593" w:type="dxa"/>
            <w:vMerge w:val="continue"/>
            <w:tcBorders>
              <w:right w:val="single" w:color="auto" w:sz="4" w:space="0"/>
            </w:tcBorders>
            <w:vAlign w:val="center"/>
          </w:tcPr>
          <w:p>
            <w:pPr>
              <w:spacing w:line="360" w:lineRule="auto"/>
              <w:jc w:val="center"/>
              <w:rPr>
                <w:color w:val="auto"/>
                <w:szCs w:val="21"/>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color w:val="auto"/>
                <w:szCs w:val="21"/>
                <w:highlight w:val="none"/>
              </w:rPr>
            </w:pPr>
            <w:r>
              <w:rPr>
                <w:rFonts w:hint="eastAsia"/>
                <w:color w:val="auto"/>
                <w:szCs w:val="21"/>
                <w:highlight w:val="none"/>
              </w:rPr>
              <w:t>实质性响应</w:t>
            </w:r>
          </w:p>
        </w:tc>
        <w:tc>
          <w:tcPr>
            <w:tcW w:w="4680" w:type="dxa"/>
            <w:tcBorders>
              <w:top w:val="single" w:color="auto" w:sz="4" w:space="0"/>
              <w:left w:val="single" w:color="auto" w:sz="4" w:space="0"/>
              <w:bottom w:val="single" w:color="auto" w:sz="4" w:space="0"/>
              <w:right w:val="single" w:color="auto" w:sz="4" w:space="0"/>
            </w:tcBorders>
            <w:vAlign w:val="center"/>
          </w:tcPr>
          <w:p>
            <w:pPr>
              <w:spacing w:line="360" w:lineRule="auto"/>
              <w:rPr>
                <w:color w:val="auto"/>
                <w:szCs w:val="21"/>
                <w:highlight w:val="none"/>
              </w:rPr>
            </w:pPr>
            <w:r>
              <w:rPr>
                <w:rFonts w:hint="eastAsia"/>
                <w:color w:val="auto"/>
                <w:szCs w:val="21"/>
                <w:highlight w:val="none"/>
              </w:rPr>
              <w:t>没有</w:t>
            </w:r>
            <w:r>
              <w:rPr>
                <w:rFonts w:hint="eastAsia"/>
                <w:color w:val="auto"/>
                <w:szCs w:val="21"/>
                <w:highlight w:val="none"/>
                <w:lang w:eastAsia="zh-CN"/>
              </w:rPr>
              <w:t>★</w:t>
            </w:r>
            <w:r>
              <w:rPr>
                <w:color w:val="auto"/>
                <w:szCs w:val="21"/>
                <w:highlight w:val="none"/>
              </w:rPr>
              <w:t>条款不满足，也没有</w:t>
            </w:r>
            <w:r>
              <w:rPr>
                <w:rFonts w:hint="eastAsia"/>
                <w:color w:val="auto"/>
                <w:szCs w:val="21"/>
                <w:highlight w:val="none"/>
              </w:rPr>
              <w:t>其他未实质性响应</w:t>
            </w:r>
            <w:r>
              <w:rPr>
                <w:color w:val="auto"/>
                <w:szCs w:val="21"/>
                <w:highlight w:val="none"/>
              </w:rPr>
              <w:t>招标</w:t>
            </w:r>
            <w:r>
              <w:rPr>
                <w:rFonts w:hint="eastAsia"/>
                <w:color w:val="auto"/>
                <w:szCs w:val="21"/>
                <w:highlight w:val="none"/>
              </w:rPr>
              <w:t>文件要求的</w:t>
            </w:r>
            <w:r>
              <w:rPr>
                <w:color w:val="auto"/>
                <w:szCs w:val="21"/>
                <w:highlight w:val="none"/>
              </w:rPr>
              <w:t>。</w:t>
            </w:r>
          </w:p>
        </w:tc>
      </w:tr>
    </w:tbl>
    <w:p>
      <w:pPr>
        <w:pStyle w:val="84"/>
        <w:rPr>
          <w:color w:val="auto"/>
          <w:kern w:val="0"/>
          <w:highlight w:val="none"/>
        </w:rPr>
      </w:pPr>
      <w:bookmarkStart w:id="2029" w:name="_Toc31210"/>
    </w:p>
    <w:bookmarkEnd w:id="1910"/>
    <w:bookmarkEnd w:id="1911"/>
    <w:bookmarkEnd w:id="1912"/>
    <w:bookmarkEnd w:id="1913"/>
    <w:bookmarkEnd w:id="1940"/>
    <w:bookmarkEnd w:id="1941"/>
    <w:bookmarkEnd w:id="2029"/>
    <w:p>
      <w:pPr>
        <w:spacing w:after="100" w:afterAutospacing="1" w:line="500" w:lineRule="exact"/>
        <w:ind w:right="-286" w:rightChars="-136"/>
        <w:rPr>
          <w:rFonts w:ascii="仿宋_GB2312" w:eastAsia="仿宋_GB2312"/>
          <w:color w:val="auto"/>
          <w:sz w:val="28"/>
          <w:szCs w:val="28"/>
          <w:highlight w:val="none"/>
        </w:rPr>
      </w:pPr>
      <w:bookmarkStart w:id="2030" w:name="_Toc435178418"/>
      <w:bookmarkStart w:id="2031" w:name="_Toc422925644"/>
      <w:bookmarkStart w:id="2032" w:name="_Toc436215776"/>
    </w:p>
    <w:p>
      <w:pPr>
        <w:pStyle w:val="3"/>
        <w:rPr>
          <w:rFonts w:ascii="仿宋_GB2312" w:eastAsia="仿宋_GB2312"/>
          <w:color w:val="auto"/>
          <w:sz w:val="28"/>
          <w:szCs w:val="28"/>
          <w:highlight w:val="none"/>
        </w:rPr>
      </w:pPr>
    </w:p>
    <w:p>
      <w:pPr>
        <w:pStyle w:val="4"/>
        <w:rPr>
          <w:color w:val="auto"/>
          <w:highlight w:val="none"/>
        </w:rPr>
      </w:pPr>
    </w:p>
    <w:p>
      <w:pPr>
        <w:pStyle w:val="3"/>
        <w:rPr>
          <w:rFonts w:ascii="仿宋_GB2312" w:eastAsia="仿宋_GB2312"/>
          <w:color w:val="auto"/>
          <w:sz w:val="28"/>
          <w:szCs w:val="28"/>
          <w:highlight w:val="none"/>
        </w:rPr>
      </w:pPr>
    </w:p>
    <w:p>
      <w:pPr>
        <w:pStyle w:val="4"/>
        <w:rPr>
          <w:rFonts w:ascii="仿宋_GB2312" w:eastAsia="仿宋_GB2312"/>
          <w:color w:val="auto"/>
          <w:highlight w:val="none"/>
        </w:rPr>
      </w:pPr>
    </w:p>
    <w:p>
      <w:pPr>
        <w:rPr>
          <w:rFonts w:ascii="仿宋_GB2312" w:eastAsia="仿宋_GB2312"/>
          <w:color w:val="auto"/>
          <w:sz w:val="28"/>
          <w:szCs w:val="28"/>
          <w:highlight w:val="none"/>
        </w:rPr>
      </w:pPr>
    </w:p>
    <w:p>
      <w:pPr>
        <w:pStyle w:val="3"/>
        <w:rPr>
          <w:color w:val="auto"/>
          <w:highlight w:val="none"/>
        </w:rPr>
      </w:pPr>
    </w:p>
    <w:p>
      <w:pPr>
        <w:pStyle w:val="3"/>
        <w:rPr>
          <w:rFonts w:ascii="仿宋_GB2312" w:eastAsia="仿宋_GB2312"/>
          <w:color w:val="auto"/>
          <w:sz w:val="28"/>
          <w:szCs w:val="28"/>
          <w:highlight w:val="none"/>
        </w:rPr>
      </w:pPr>
    </w:p>
    <w:p>
      <w:pPr>
        <w:spacing w:line="360" w:lineRule="auto"/>
        <w:rPr>
          <w:rFonts w:ascii="仿宋_GB2312"/>
          <w:color w:val="auto"/>
          <w:sz w:val="28"/>
          <w:szCs w:val="28"/>
          <w:highlight w:val="none"/>
        </w:rPr>
      </w:pPr>
      <w:r>
        <w:rPr>
          <w:rFonts w:hint="eastAsia" w:ascii="宋体" w:hAnsi="宋体" w:cs="宋体"/>
          <w:b/>
          <w:bCs/>
          <w:color w:val="auto"/>
          <w:kern w:val="0"/>
          <w:sz w:val="32"/>
          <w:szCs w:val="32"/>
          <w:highlight w:val="none"/>
        </w:rPr>
        <w:t>附表二：《分值构成及评分标准》</w:t>
      </w:r>
    </w:p>
    <w:tbl>
      <w:tblPr>
        <w:tblStyle w:val="41"/>
        <w:tblpPr w:leftFromText="180" w:rightFromText="180" w:vertAnchor="page" w:horzAnchor="page" w:tblpX="1989" w:tblpY="2073"/>
        <w:tblW w:w="8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5"/>
        <w:gridCol w:w="6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1145" w:type="dxa"/>
            <w:tcBorders>
              <w:bottom w:val="single" w:color="auto" w:sz="4" w:space="0"/>
            </w:tcBorders>
            <w:vAlign w:val="center"/>
          </w:tcPr>
          <w:p>
            <w:pPr>
              <w:spacing w:line="240" w:lineRule="exact"/>
              <w:ind w:firstLine="211" w:firstLineChars="100"/>
              <w:rPr>
                <w:rFonts w:ascii="宋体" w:hAnsi="宋体"/>
                <w:b/>
                <w:bCs/>
                <w:color w:val="auto"/>
                <w:highlight w:val="none"/>
              </w:rPr>
            </w:pPr>
            <w:r>
              <w:rPr>
                <w:rFonts w:hint="eastAsia" w:ascii="宋体" w:hAnsi="宋体"/>
                <w:b/>
                <w:bCs/>
                <w:color w:val="auto"/>
                <w:highlight w:val="none"/>
              </w:rPr>
              <w:t>附表二</w:t>
            </w:r>
          </w:p>
        </w:tc>
        <w:tc>
          <w:tcPr>
            <w:tcW w:w="6947" w:type="dxa"/>
            <w:tcBorders>
              <w:bottom w:val="single" w:color="auto" w:sz="4" w:space="0"/>
            </w:tcBorders>
            <w:vAlign w:val="center"/>
          </w:tcPr>
          <w:p>
            <w:pPr>
              <w:spacing w:line="240" w:lineRule="exact"/>
              <w:ind w:firstLine="723" w:firstLineChars="300"/>
              <w:rPr>
                <w:b/>
                <w:bCs/>
                <w:color w:val="auto"/>
                <w:sz w:val="24"/>
                <w:highlight w:val="none"/>
              </w:rPr>
            </w:pPr>
            <w:r>
              <w:rPr>
                <w:rFonts w:hint="eastAsia"/>
                <w:b/>
                <w:bCs/>
                <w:color w:val="auto"/>
                <w:sz w:val="24"/>
                <w:highlight w:val="none"/>
                <w:lang w:val="en-US" w:eastAsia="zh-CN"/>
              </w:rPr>
              <w:t>2024年度</w:t>
            </w:r>
            <w:r>
              <w:rPr>
                <w:rFonts w:hint="eastAsia"/>
                <w:b/>
                <w:bCs/>
                <w:color w:val="auto"/>
                <w:sz w:val="24"/>
                <w:highlight w:val="none"/>
              </w:rPr>
              <w:t>南方优品纸箱招标采购评</w:t>
            </w:r>
            <w:r>
              <w:rPr>
                <w:rFonts w:hint="eastAsia"/>
                <w:b/>
                <w:bCs/>
                <w:color w:val="auto"/>
                <w:sz w:val="24"/>
                <w:highlight w:val="none"/>
                <w:lang w:eastAsia="zh-CN"/>
              </w:rPr>
              <w:t>分</w:t>
            </w:r>
            <w:r>
              <w:rPr>
                <w:rFonts w:hint="eastAsia"/>
                <w:b/>
                <w:bCs/>
                <w:color w:val="auto"/>
                <w:sz w:val="24"/>
                <w:highlight w:val="none"/>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1145" w:type="dxa"/>
            <w:tcBorders>
              <w:bottom w:val="single" w:color="auto" w:sz="4" w:space="0"/>
            </w:tcBorders>
            <w:vAlign w:val="center"/>
          </w:tcPr>
          <w:p>
            <w:pPr>
              <w:spacing w:line="240" w:lineRule="exact"/>
              <w:jc w:val="center"/>
              <w:rPr>
                <w:rFonts w:ascii="宋体" w:hAnsi="宋体"/>
                <w:b/>
                <w:bCs/>
                <w:color w:val="auto"/>
                <w:highlight w:val="none"/>
              </w:rPr>
            </w:pPr>
            <w:r>
              <w:rPr>
                <w:rFonts w:hint="eastAsia" w:ascii="宋体" w:hAnsi="宋体"/>
                <w:b/>
                <w:bCs/>
                <w:color w:val="auto"/>
                <w:highlight w:val="none"/>
              </w:rPr>
              <w:t>分项</w:t>
            </w:r>
          </w:p>
          <w:p>
            <w:pPr>
              <w:spacing w:line="240" w:lineRule="exact"/>
              <w:jc w:val="center"/>
              <w:rPr>
                <w:rFonts w:ascii="宋体" w:hAnsi="宋体"/>
                <w:b/>
                <w:bCs/>
                <w:color w:val="auto"/>
                <w:highlight w:val="none"/>
              </w:rPr>
            </w:pPr>
            <w:r>
              <w:rPr>
                <w:rFonts w:hint="eastAsia" w:ascii="宋体" w:hAnsi="宋体"/>
                <w:b/>
                <w:bCs/>
                <w:color w:val="auto"/>
                <w:highlight w:val="none"/>
              </w:rPr>
              <w:t>内容</w:t>
            </w:r>
          </w:p>
        </w:tc>
        <w:tc>
          <w:tcPr>
            <w:tcW w:w="6947" w:type="dxa"/>
            <w:tcBorders>
              <w:bottom w:val="single" w:color="auto" w:sz="4" w:space="0"/>
            </w:tcBorders>
            <w:vAlign w:val="center"/>
          </w:tcPr>
          <w:p>
            <w:pPr>
              <w:spacing w:line="240" w:lineRule="exact"/>
              <w:jc w:val="center"/>
              <w:rPr>
                <w:rFonts w:ascii="黑体" w:hAnsi="宋体" w:eastAsia="黑体"/>
                <w:b/>
                <w:bCs/>
                <w:color w:val="auto"/>
                <w:highlight w:val="none"/>
              </w:rPr>
            </w:pPr>
            <w:r>
              <w:rPr>
                <w:rFonts w:hint="eastAsia" w:ascii="宋体" w:hAnsi="宋体"/>
                <w:b/>
                <w:bCs/>
                <w:color w:val="auto"/>
                <w:highlight w:val="none"/>
              </w:rPr>
              <w:t>评 分 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8092" w:type="dxa"/>
            <w:gridSpan w:val="2"/>
            <w:vAlign w:val="center"/>
          </w:tcPr>
          <w:p>
            <w:pPr>
              <w:spacing w:line="360" w:lineRule="auto"/>
              <w:rPr>
                <w:color w:val="auto"/>
                <w:highlight w:val="none"/>
              </w:rPr>
            </w:pPr>
            <w:r>
              <w:rPr>
                <w:rFonts w:hint="eastAsia" w:ascii="宋体" w:hAnsi="宋体"/>
                <w:b/>
                <w:bCs/>
                <w:color w:val="auto"/>
                <w:highlight w:val="none"/>
              </w:rPr>
              <w:t>1.公司</w:t>
            </w:r>
            <w:r>
              <w:rPr>
                <w:rFonts w:hint="eastAsia" w:ascii="宋体" w:hAnsi="宋体"/>
                <w:b/>
                <w:bCs/>
                <w:color w:val="auto"/>
                <w:highlight w:val="none"/>
                <w:lang w:eastAsia="zh-CN"/>
              </w:rPr>
              <w:t>企业实力</w:t>
            </w:r>
            <w:r>
              <w:rPr>
                <w:rFonts w:hint="eastAsia" w:ascii="宋体" w:hAnsi="宋体"/>
                <w:b/>
                <w:bCs/>
                <w:color w:val="auto"/>
                <w:highlight w:val="none"/>
              </w:rPr>
              <w:t>（分值 ：3分）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2" w:hRule="atLeast"/>
          <w:jc w:val="center"/>
        </w:trPr>
        <w:tc>
          <w:tcPr>
            <w:tcW w:w="1145" w:type="dxa"/>
            <w:vAlign w:val="center"/>
          </w:tcPr>
          <w:p>
            <w:pPr>
              <w:spacing w:line="360" w:lineRule="auto"/>
              <w:rPr>
                <w:rFonts w:hint="default" w:ascii="宋体" w:hAnsi="宋体" w:eastAsia="宋体"/>
                <w:color w:val="auto"/>
                <w:highlight w:val="none"/>
                <w:lang w:val="en-US" w:eastAsia="zh-CN"/>
              </w:rPr>
            </w:pPr>
            <w:r>
              <w:rPr>
                <w:rFonts w:hint="eastAsia" w:ascii="宋体" w:hAnsi="宋体"/>
                <w:color w:val="auto"/>
                <w:highlight w:val="none"/>
                <w:lang w:val="en-US" w:eastAsia="zh-CN"/>
              </w:rPr>
              <w:t>企业实力</w:t>
            </w:r>
          </w:p>
        </w:tc>
        <w:tc>
          <w:tcPr>
            <w:tcW w:w="6947" w:type="dxa"/>
            <w:vAlign w:val="center"/>
          </w:tcPr>
          <w:p>
            <w:pPr>
              <w:spacing w:line="320" w:lineRule="exact"/>
              <w:jc w:val="left"/>
              <w:rPr>
                <w:rFonts w:hint="eastAsia"/>
                <w:color w:val="auto"/>
                <w:szCs w:val="21"/>
                <w:highlight w:val="none"/>
              </w:rPr>
            </w:pPr>
            <w:r>
              <w:rPr>
                <w:rFonts w:hint="eastAsia"/>
                <w:color w:val="auto"/>
                <w:szCs w:val="21"/>
                <w:highlight w:val="none"/>
              </w:rPr>
              <w:t>投标人</w:t>
            </w:r>
            <w:r>
              <w:rPr>
                <w:rFonts w:hint="eastAsia"/>
                <w:color w:val="auto"/>
                <w:szCs w:val="21"/>
                <w:highlight w:val="none"/>
                <w:lang w:eastAsia="zh-CN"/>
              </w:rPr>
              <w:t>具有有效的质量管理体系认证、职业健康安全管理体系认证、环境管理体系认证的，每提供一个证书，得</w:t>
            </w:r>
            <w:r>
              <w:rPr>
                <w:rFonts w:hint="eastAsia"/>
                <w:color w:val="auto"/>
                <w:szCs w:val="21"/>
                <w:highlight w:val="none"/>
                <w:lang w:val="en-US" w:eastAsia="zh-CN"/>
              </w:rPr>
              <w:t>1分。本项最多得3分，不提供不得分。</w:t>
            </w:r>
          </w:p>
          <w:p>
            <w:pPr>
              <w:spacing w:line="320" w:lineRule="exact"/>
              <w:jc w:val="left"/>
              <w:rPr>
                <w:color w:val="auto"/>
                <w:highlight w:val="none"/>
              </w:rPr>
            </w:pPr>
            <w:r>
              <w:rPr>
                <w:rFonts w:hint="eastAsia"/>
                <w:color w:val="auto"/>
                <w:szCs w:val="21"/>
                <w:highlight w:val="none"/>
              </w:rPr>
              <w:t>注：须提供</w:t>
            </w:r>
            <w:r>
              <w:rPr>
                <w:rFonts w:hint="eastAsia"/>
                <w:color w:val="auto"/>
                <w:szCs w:val="21"/>
                <w:highlight w:val="none"/>
                <w:lang w:eastAsia="zh-CN"/>
              </w:rPr>
              <w:t>证书复印件</w:t>
            </w:r>
            <w:r>
              <w:rPr>
                <w:rFonts w:hint="eastAsia"/>
                <w:color w:val="auto"/>
                <w:szCs w:val="21"/>
                <w:highlight w:val="none"/>
              </w:rPr>
              <w:t>作为证明，否则视为无效证明材料，不得分。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4" w:hRule="atLeast"/>
          <w:jc w:val="center"/>
        </w:trPr>
        <w:tc>
          <w:tcPr>
            <w:tcW w:w="8092" w:type="dxa"/>
            <w:gridSpan w:val="2"/>
          </w:tcPr>
          <w:p>
            <w:pPr>
              <w:spacing w:line="360" w:lineRule="auto"/>
              <w:jc w:val="left"/>
              <w:rPr>
                <w:color w:val="auto"/>
                <w:highlight w:val="none"/>
              </w:rPr>
            </w:pPr>
            <w:r>
              <w:rPr>
                <w:rFonts w:hint="eastAsia" w:ascii="宋体" w:hAnsi="宋体"/>
                <w:b/>
                <w:bCs/>
                <w:color w:val="auto"/>
                <w:highlight w:val="none"/>
              </w:rPr>
              <w:t>2.</w:t>
            </w:r>
            <w:r>
              <w:rPr>
                <w:rFonts w:hint="eastAsia" w:ascii="宋体" w:hAnsi="宋体"/>
                <w:b/>
                <w:bCs/>
                <w:color w:val="auto"/>
                <w:szCs w:val="21"/>
                <w:highlight w:val="none"/>
              </w:rPr>
              <w:t>同类业绩（分值：7分）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45" w:type="dxa"/>
            <w:vAlign w:val="center"/>
          </w:tcPr>
          <w:p>
            <w:pPr>
              <w:spacing w:line="360" w:lineRule="auto"/>
              <w:rPr>
                <w:rFonts w:ascii="宋体" w:hAnsi="宋体"/>
                <w:color w:val="auto"/>
                <w:highlight w:val="none"/>
              </w:rPr>
            </w:pPr>
            <w:r>
              <w:rPr>
                <w:rFonts w:hint="eastAsia" w:ascii="宋体" w:hAnsi="宋体"/>
                <w:color w:val="auto"/>
                <w:szCs w:val="21"/>
                <w:highlight w:val="none"/>
              </w:rPr>
              <w:t>同类业绩</w:t>
            </w:r>
          </w:p>
        </w:tc>
        <w:tc>
          <w:tcPr>
            <w:tcW w:w="6947" w:type="dxa"/>
            <w:vAlign w:val="center"/>
          </w:tcPr>
          <w:p>
            <w:pPr>
              <w:spacing w:line="320" w:lineRule="exact"/>
              <w:jc w:val="left"/>
              <w:rPr>
                <w:rFonts w:hint="eastAsia"/>
                <w:color w:val="auto"/>
                <w:szCs w:val="21"/>
                <w:highlight w:val="none"/>
              </w:rPr>
            </w:pPr>
            <w:r>
              <w:rPr>
                <w:rFonts w:hint="eastAsia"/>
                <w:color w:val="auto"/>
                <w:szCs w:val="21"/>
                <w:highlight w:val="none"/>
              </w:rPr>
              <w:t>从20</w:t>
            </w:r>
            <w:r>
              <w:rPr>
                <w:rFonts w:hint="eastAsia"/>
                <w:color w:val="auto"/>
                <w:szCs w:val="21"/>
                <w:highlight w:val="none"/>
                <w:lang w:val="en-US" w:eastAsia="zh-CN"/>
              </w:rPr>
              <w:t>21</w:t>
            </w:r>
            <w:r>
              <w:rPr>
                <w:rFonts w:hint="eastAsia"/>
                <w:color w:val="auto"/>
                <w:szCs w:val="21"/>
                <w:highlight w:val="none"/>
              </w:rPr>
              <w:t>年1月1日至今，投标人独立承接的单个合同金额为10万元及以上的类似项目，每提供一个项目案例业绩经验，得1分。本项最多得7分。</w:t>
            </w:r>
          </w:p>
          <w:p>
            <w:pPr>
              <w:spacing w:line="320" w:lineRule="exact"/>
              <w:jc w:val="left"/>
              <w:rPr>
                <w:color w:val="auto"/>
                <w:highlight w:val="none"/>
              </w:rPr>
            </w:pPr>
            <w:r>
              <w:rPr>
                <w:rFonts w:hint="eastAsia"/>
                <w:color w:val="auto"/>
                <w:szCs w:val="21"/>
                <w:highlight w:val="none"/>
              </w:rPr>
              <w:t>注：须提供合同关键页作为证明，日期以合同签订时间为准</w:t>
            </w:r>
            <w:r>
              <w:rPr>
                <w:rFonts w:hint="eastAsia"/>
                <w:color w:val="auto"/>
                <w:szCs w:val="21"/>
                <w:highlight w:val="none"/>
                <w:lang w:eastAsia="zh-CN"/>
              </w:rPr>
              <w:t>，</w:t>
            </w:r>
            <w:r>
              <w:rPr>
                <w:rFonts w:hint="eastAsia"/>
                <w:color w:val="auto"/>
                <w:szCs w:val="21"/>
                <w:highlight w:val="none"/>
              </w:rPr>
              <w:t>否则视为无效证明材料，不得分。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8092" w:type="dxa"/>
            <w:gridSpan w:val="2"/>
            <w:vAlign w:val="center"/>
          </w:tcPr>
          <w:p>
            <w:pPr>
              <w:spacing w:line="360" w:lineRule="auto"/>
              <w:rPr>
                <w:rFonts w:ascii="宋体" w:hAnsi="宋体"/>
                <w:color w:val="auto"/>
                <w:highlight w:val="none"/>
              </w:rPr>
            </w:pPr>
            <w:r>
              <w:rPr>
                <w:rFonts w:hint="eastAsia" w:ascii="宋体" w:hAnsi="宋体"/>
                <w:b/>
                <w:bCs/>
                <w:color w:val="auto"/>
                <w:highlight w:val="none"/>
              </w:rPr>
              <w:t>3.</w:t>
            </w:r>
            <w:r>
              <w:rPr>
                <w:rFonts w:hint="eastAsia" w:ascii="宋体" w:hAnsi="宋体"/>
                <w:b/>
                <w:bCs/>
                <w:color w:val="auto"/>
                <w:highlight w:val="none"/>
                <w:lang w:eastAsia="zh-CN"/>
              </w:rPr>
              <w:t>采购服务方案</w:t>
            </w:r>
            <w:r>
              <w:rPr>
                <w:rFonts w:hint="eastAsia" w:ascii="宋体" w:hAnsi="宋体"/>
                <w:b/>
                <w:bCs/>
                <w:color w:val="auto"/>
                <w:highlight w:val="none"/>
              </w:rPr>
              <w:t>（分值：10分）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atLeast"/>
          <w:jc w:val="center"/>
        </w:trPr>
        <w:tc>
          <w:tcPr>
            <w:tcW w:w="1145" w:type="dxa"/>
            <w:vAlign w:val="center"/>
          </w:tcPr>
          <w:p>
            <w:pPr>
              <w:spacing w:line="360" w:lineRule="auto"/>
              <w:jc w:val="left"/>
              <w:rPr>
                <w:rFonts w:hint="eastAsia" w:eastAsia="宋体"/>
                <w:color w:val="auto"/>
                <w:sz w:val="24"/>
                <w:highlight w:val="none"/>
                <w:lang w:eastAsia="zh-CN"/>
              </w:rPr>
            </w:pPr>
            <w:r>
              <w:rPr>
                <w:rFonts w:hint="eastAsia"/>
                <w:color w:val="auto"/>
                <w:szCs w:val="21"/>
                <w:highlight w:val="none"/>
                <w:lang w:eastAsia="zh-CN"/>
              </w:rPr>
              <w:t>采购服务方案</w:t>
            </w:r>
          </w:p>
        </w:tc>
        <w:tc>
          <w:tcPr>
            <w:tcW w:w="6947" w:type="dxa"/>
            <w:vAlign w:val="center"/>
          </w:tcPr>
          <w:p>
            <w:pPr>
              <w:spacing w:line="320" w:lineRule="exact"/>
              <w:jc w:val="left"/>
              <w:rPr>
                <w:rFonts w:hint="eastAsia"/>
                <w:color w:val="auto"/>
                <w:szCs w:val="21"/>
                <w:highlight w:val="none"/>
              </w:rPr>
            </w:pPr>
            <w:r>
              <w:rPr>
                <w:rFonts w:hint="eastAsia"/>
                <w:color w:val="auto"/>
                <w:szCs w:val="21"/>
                <w:highlight w:val="none"/>
                <w:lang w:eastAsia="zh-CN"/>
              </w:rPr>
              <w:t>结合本项目实际情况，根据投标人提供的整体服务方案（包括质量保证措施、送货时间、专人全程跟踪、服务承诺、售后服务、应急预案方案及措施、其他增值服务等）情况进行评分</w:t>
            </w:r>
            <w:r>
              <w:rPr>
                <w:rFonts w:hint="eastAsia"/>
                <w:color w:val="auto"/>
                <w:szCs w:val="21"/>
                <w:highlight w:val="none"/>
              </w:rPr>
              <w:t>。</w:t>
            </w:r>
          </w:p>
          <w:p>
            <w:pPr>
              <w:spacing w:line="320" w:lineRule="exact"/>
              <w:jc w:val="left"/>
              <w:rPr>
                <w:rFonts w:hint="eastAsia"/>
                <w:color w:val="auto"/>
                <w:sz w:val="21"/>
                <w:highlight w:val="none"/>
              </w:rPr>
            </w:pPr>
            <w:r>
              <w:rPr>
                <w:rFonts w:hint="eastAsia"/>
                <w:color w:val="auto"/>
                <w:sz w:val="21"/>
                <w:highlight w:val="none"/>
              </w:rPr>
              <w:t>（1）服务方案内容详尽完整、流程安排实施性强，</w:t>
            </w:r>
            <w:r>
              <w:rPr>
                <w:rFonts w:hint="eastAsia"/>
                <w:color w:val="auto"/>
                <w:sz w:val="21"/>
                <w:highlight w:val="none"/>
                <w:lang w:eastAsia="zh-CN"/>
              </w:rPr>
              <w:t>质量保证措施、售后服务标准及应急预案方案、措施详尽完整，送货时效响应性、配备专人全程跟踪方案保障性强，</w:t>
            </w:r>
            <w:r>
              <w:rPr>
                <w:rFonts w:hint="eastAsia"/>
                <w:color w:val="auto"/>
                <w:sz w:val="21"/>
                <w:highlight w:val="none"/>
              </w:rPr>
              <w:t>得</w:t>
            </w:r>
            <w:r>
              <w:rPr>
                <w:rFonts w:hint="eastAsia"/>
                <w:color w:val="auto"/>
                <w:sz w:val="21"/>
                <w:highlight w:val="none"/>
                <w:lang w:val="en-US" w:eastAsia="zh-CN"/>
              </w:rPr>
              <w:t>10</w:t>
            </w:r>
            <w:r>
              <w:rPr>
                <w:rFonts w:hint="eastAsia"/>
                <w:color w:val="auto"/>
                <w:sz w:val="21"/>
                <w:highlight w:val="none"/>
              </w:rPr>
              <w:t>分；</w:t>
            </w:r>
          </w:p>
          <w:p>
            <w:pPr>
              <w:spacing w:line="320" w:lineRule="exact"/>
              <w:jc w:val="left"/>
              <w:rPr>
                <w:rFonts w:hint="eastAsia"/>
                <w:color w:val="auto"/>
                <w:sz w:val="21"/>
                <w:highlight w:val="none"/>
              </w:rPr>
            </w:pPr>
            <w:r>
              <w:rPr>
                <w:rFonts w:hint="eastAsia"/>
                <w:color w:val="auto"/>
                <w:sz w:val="21"/>
                <w:highlight w:val="none"/>
              </w:rPr>
              <w:t>（2）服务方案内容、流程安排实施性较合理，</w:t>
            </w:r>
            <w:r>
              <w:rPr>
                <w:rFonts w:hint="eastAsia"/>
                <w:color w:val="auto"/>
                <w:sz w:val="21"/>
                <w:highlight w:val="none"/>
                <w:lang w:eastAsia="zh-CN"/>
              </w:rPr>
              <w:t>质量保证措施、售后服务标准及应急预案方案较详尽完整，送货时效响应性、配备专人全程跟踪方案保障性较强，</w:t>
            </w:r>
            <w:r>
              <w:rPr>
                <w:rFonts w:hint="eastAsia"/>
                <w:color w:val="auto"/>
                <w:sz w:val="21"/>
                <w:highlight w:val="none"/>
              </w:rPr>
              <w:t>得</w:t>
            </w:r>
            <w:r>
              <w:rPr>
                <w:rFonts w:hint="eastAsia"/>
                <w:color w:val="auto"/>
                <w:sz w:val="21"/>
                <w:highlight w:val="none"/>
                <w:lang w:val="en-US" w:eastAsia="zh-CN"/>
              </w:rPr>
              <w:t>7</w:t>
            </w:r>
            <w:r>
              <w:rPr>
                <w:rFonts w:hint="eastAsia"/>
                <w:color w:val="auto"/>
                <w:sz w:val="21"/>
                <w:highlight w:val="none"/>
              </w:rPr>
              <w:t xml:space="preserve">分； </w:t>
            </w:r>
          </w:p>
          <w:p>
            <w:pPr>
              <w:spacing w:line="320" w:lineRule="exact"/>
              <w:jc w:val="left"/>
              <w:rPr>
                <w:rFonts w:hint="eastAsia"/>
                <w:color w:val="auto"/>
                <w:sz w:val="21"/>
                <w:highlight w:val="none"/>
                <w:lang w:eastAsia="zh-CN"/>
              </w:rPr>
            </w:pPr>
            <w:r>
              <w:rPr>
                <w:rFonts w:hint="eastAsia"/>
                <w:color w:val="auto"/>
                <w:sz w:val="21"/>
                <w:highlight w:val="none"/>
              </w:rPr>
              <w:t>（3）服务方案内容、流程安排实施性</w:t>
            </w:r>
            <w:r>
              <w:rPr>
                <w:rFonts w:hint="eastAsia"/>
                <w:color w:val="auto"/>
                <w:sz w:val="21"/>
                <w:highlight w:val="none"/>
                <w:lang w:eastAsia="zh-CN"/>
              </w:rPr>
              <w:t>、质量保证措施、送货时效响应性、配备专人全程跟踪方案及售后服务标准、应急预案方案措施一般，</w:t>
            </w:r>
            <w:r>
              <w:rPr>
                <w:rFonts w:hint="eastAsia"/>
                <w:color w:val="auto"/>
                <w:sz w:val="21"/>
                <w:highlight w:val="none"/>
              </w:rPr>
              <w:t>得</w:t>
            </w:r>
            <w:r>
              <w:rPr>
                <w:rFonts w:hint="eastAsia"/>
                <w:color w:val="auto"/>
                <w:sz w:val="21"/>
                <w:highlight w:val="none"/>
                <w:lang w:val="en-US" w:eastAsia="zh-CN"/>
              </w:rPr>
              <w:t>4</w:t>
            </w:r>
            <w:r>
              <w:rPr>
                <w:rFonts w:hint="eastAsia"/>
                <w:color w:val="auto"/>
                <w:sz w:val="21"/>
                <w:highlight w:val="none"/>
              </w:rPr>
              <w:t>分</w:t>
            </w:r>
            <w:r>
              <w:rPr>
                <w:rFonts w:hint="eastAsia"/>
                <w:color w:val="auto"/>
                <w:sz w:val="21"/>
                <w:highlight w:val="none"/>
                <w:lang w:eastAsia="zh-CN"/>
              </w:rPr>
              <w:t>；</w:t>
            </w:r>
          </w:p>
          <w:p>
            <w:pPr>
              <w:spacing w:line="320" w:lineRule="exact"/>
              <w:jc w:val="left"/>
              <w:rPr>
                <w:rFonts w:hint="eastAsia"/>
                <w:color w:val="auto"/>
                <w:sz w:val="21"/>
                <w:highlight w:val="none"/>
                <w:lang w:eastAsia="zh-CN"/>
              </w:rPr>
            </w:pPr>
            <w:r>
              <w:rPr>
                <w:rFonts w:hint="eastAsia"/>
                <w:color w:val="auto"/>
                <w:sz w:val="21"/>
                <w:highlight w:val="none"/>
              </w:rPr>
              <w:t>（4）服务方案内容、流程安排实施性</w:t>
            </w:r>
            <w:r>
              <w:rPr>
                <w:rFonts w:hint="eastAsia"/>
                <w:color w:val="auto"/>
                <w:sz w:val="21"/>
                <w:highlight w:val="none"/>
                <w:lang w:eastAsia="zh-CN"/>
              </w:rPr>
              <w:t>较差</w:t>
            </w:r>
            <w:r>
              <w:rPr>
                <w:rFonts w:hint="eastAsia"/>
                <w:color w:val="auto"/>
                <w:sz w:val="21"/>
                <w:highlight w:val="none"/>
              </w:rPr>
              <w:t>，</w:t>
            </w:r>
            <w:r>
              <w:rPr>
                <w:rFonts w:hint="eastAsia"/>
                <w:color w:val="auto"/>
                <w:sz w:val="21"/>
                <w:highlight w:val="none"/>
                <w:lang w:eastAsia="zh-CN"/>
              </w:rPr>
              <w:t>质量保证措施、送货时效响应性、配备专人全程跟踪方案、售后服务标准及应急预案方案措施较差，</w:t>
            </w:r>
            <w:r>
              <w:rPr>
                <w:rFonts w:hint="eastAsia"/>
                <w:color w:val="auto"/>
                <w:sz w:val="21"/>
                <w:highlight w:val="none"/>
              </w:rPr>
              <w:t>得</w:t>
            </w:r>
            <w:r>
              <w:rPr>
                <w:rFonts w:hint="eastAsia"/>
                <w:color w:val="auto"/>
                <w:sz w:val="21"/>
                <w:highlight w:val="none"/>
                <w:lang w:val="en-US" w:eastAsia="zh-CN"/>
              </w:rPr>
              <w:t>2</w:t>
            </w:r>
            <w:r>
              <w:rPr>
                <w:rFonts w:hint="eastAsia"/>
                <w:color w:val="auto"/>
                <w:sz w:val="21"/>
                <w:highlight w:val="none"/>
              </w:rPr>
              <w:t>分</w:t>
            </w:r>
            <w:r>
              <w:rPr>
                <w:rFonts w:hint="eastAsia"/>
                <w:color w:val="auto"/>
                <w:sz w:val="21"/>
                <w:highlight w:val="none"/>
                <w:lang w:eastAsia="zh-CN"/>
              </w:rPr>
              <w:t>；</w:t>
            </w:r>
          </w:p>
          <w:p>
            <w:pPr>
              <w:spacing w:line="320" w:lineRule="exact"/>
              <w:jc w:val="left"/>
              <w:rPr>
                <w:color w:val="auto"/>
                <w:sz w:val="24"/>
                <w:highlight w:val="none"/>
              </w:rPr>
            </w:pPr>
            <w:r>
              <w:rPr>
                <w:rFonts w:hint="eastAsia"/>
                <w:color w:val="auto"/>
                <w:sz w:val="21"/>
                <w:highlight w:val="none"/>
              </w:rPr>
              <w:t>（5）不提供的不得分。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8092" w:type="dxa"/>
            <w:gridSpan w:val="2"/>
            <w:vAlign w:val="center"/>
          </w:tcPr>
          <w:p>
            <w:pPr>
              <w:spacing w:line="360" w:lineRule="auto"/>
              <w:rPr>
                <w:rFonts w:ascii="宋体" w:hAnsi="宋体"/>
                <w:color w:val="auto"/>
                <w:highlight w:val="none"/>
              </w:rPr>
            </w:pPr>
            <w:r>
              <w:rPr>
                <w:rFonts w:hint="eastAsia" w:ascii="宋体" w:hAnsi="宋体"/>
                <w:b/>
                <w:bCs/>
                <w:color w:val="auto"/>
                <w:highlight w:val="none"/>
              </w:rPr>
              <w:t>4.投标报价（分值：45分）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9" w:hRule="atLeast"/>
          <w:jc w:val="center"/>
        </w:trPr>
        <w:tc>
          <w:tcPr>
            <w:tcW w:w="1145" w:type="dxa"/>
            <w:vAlign w:val="center"/>
          </w:tcPr>
          <w:p>
            <w:pPr>
              <w:spacing w:line="360" w:lineRule="auto"/>
              <w:jc w:val="left"/>
              <w:rPr>
                <w:color w:val="auto"/>
                <w:sz w:val="24"/>
                <w:highlight w:val="none"/>
              </w:rPr>
            </w:pPr>
            <w:r>
              <w:rPr>
                <w:rFonts w:hint="eastAsia"/>
                <w:color w:val="auto"/>
                <w:szCs w:val="21"/>
                <w:highlight w:val="none"/>
              </w:rPr>
              <w:t>投标报价</w:t>
            </w:r>
          </w:p>
        </w:tc>
        <w:tc>
          <w:tcPr>
            <w:tcW w:w="6947" w:type="dxa"/>
            <w:vAlign w:val="center"/>
          </w:tcPr>
          <w:p>
            <w:pPr>
              <w:rPr>
                <w:rFonts w:hint="eastAsia"/>
                <w:b/>
                <w:bCs/>
                <w:color w:val="auto"/>
                <w:sz w:val="24"/>
                <w:highlight w:val="none"/>
              </w:rPr>
            </w:pPr>
            <w:r>
              <w:rPr>
                <w:rFonts w:hint="eastAsia"/>
                <w:color w:val="auto"/>
                <w:szCs w:val="21"/>
                <w:highlight w:val="none"/>
              </w:rPr>
              <w:t>在有效投标文件中，取投标报价最低的为基准价，投标报价得分计算公式如下：投标报价得分＝（基准价÷投标报价）×45。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8092" w:type="dxa"/>
            <w:gridSpan w:val="2"/>
            <w:vAlign w:val="center"/>
          </w:tcPr>
          <w:p>
            <w:pPr>
              <w:tabs>
                <w:tab w:val="left" w:pos="1081"/>
              </w:tabs>
              <w:spacing w:line="360" w:lineRule="auto"/>
              <w:rPr>
                <w:color w:val="auto"/>
                <w:sz w:val="24"/>
                <w:highlight w:val="none"/>
              </w:rPr>
            </w:pPr>
            <w:r>
              <w:rPr>
                <w:rFonts w:hint="eastAsia"/>
                <w:color w:val="auto"/>
                <w:sz w:val="24"/>
                <w:highlight w:val="none"/>
              </w:rPr>
              <w:t>5.</w:t>
            </w:r>
            <w:r>
              <w:rPr>
                <w:rFonts w:hint="eastAsia" w:ascii="宋体" w:hAnsi="宋体"/>
                <w:b/>
                <w:bCs/>
                <w:color w:val="auto"/>
                <w:highlight w:val="none"/>
              </w:rPr>
              <w:t>投标产品质量（35分）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4" w:hRule="atLeast"/>
          <w:jc w:val="center"/>
        </w:trPr>
        <w:tc>
          <w:tcPr>
            <w:tcW w:w="1145" w:type="dxa"/>
            <w:vAlign w:val="center"/>
          </w:tcPr>
          <w:p>
            <w:pPr>
              <w:spacing w:line="360" w:lineRule="auto"/>
              <w:jc w:val="left"/>
              <w:rPr>
                <w:color w:val="auto"/>
                <w:sz w:val="24"/>
                <w:highlight w:val="none"/>
              </w:rPr>
            </w:pPr>
            <w:r>
              <w:rPr>
                <w:rFonts w:hint="eastAsia" w:ascii="宋体" w:hAnsi="宋体"/>
                <w:color w:val="auto"/>
                <w:highlight w:val="none"/>
              </w:rPr>
              <w:t>投标产品质量</w:t>
            </w:r>
          </w:p>
        </w:tc>
        <w:tc>
          <w:tcPr>
            <w:tcW w:w="6947" w:type="dxa"/>
            <w:vAlign w:val="center"/>
          </w:tcPr>
          <w:p>
            <w:pPr>
              <w:spacing w:line="320" w:lineRule="exact"/>
              <w:jc w:val="left"/>
              <w:rPr>
                <w:rFonts w:hint="eastAsia" w:ascii="Times New Roman" w:hAnsi="Times New Roman"/>
                <w:color w:val="auto"/>
                <w:highlight w:val="none"/>
                <w:lang w:eastAsia="zh-CN"/>
              </w:rPr>
            </w:pPr>
            <w:r>
              <w:rPr>
                <w:rFonts w:hint="eastAsia"/>
                <w:color w:val="auto"/>
                <w:highlight w:val="none"/>
              </w:rPr>
              <w:t>考查、对比各投标人投标样品的产品质量，</w:t>
            </w:r>
            <w:r>
              <w:rPr>
                <w:rFonts w:hint="eastAsia"/>
                <w:color w:val="auto"/>
                <w:highlight w:val="none"/>
                <w:lang w:eastAsia="zh-CN"/>
              </w:rPr>
              <w:t>综合</w:t>
            </w:r>
            <w:r>
              <w:rPr>
                <w:rFonts w:hint="eastAsia" w:ascii="Times New Roman" w:hAnsi="Times New Roman"/>
                <w:color w:val="auto"/>
                <w:highlight w:val="none"/>
              </w:rPr>
              <w:t>产品材质</w:t>
            </w:r>
            <w:r>
              <w:rPr>
                <w:rFonts w:hint="eastAsia" w:ascii="Times New Roman" w:hAnsi="Times New Roman"/>
                <w:color w:val="auto"/>
                <w:highlight w:val="none"/>
                <w:lang w:eastAsia="zh-CN"/>
              </w:rPr>
              <w:t>、</w:t>
            </w:r>
            <w:r>
              <w:rPr>
                <w:rFonts w:hint="eastAsia" w:ascii="Times New Roman" w:hAnsi="Times New Roman"/>
                <w:color w:val="auto"/>
                <w:highlight w:val="none"/>
              </w:rPr>
              <w:t>外观平整度/硬度</w:t>
            </w:r>
            <w:r>
              <w:rPr>
                <w:rFonts w:hint="eastAsia" w:ascii="Times New Roman" w:hAnsi="Times New Roman"/>
                <w:color w:val="auto"/>
                <w:highlight w:val="none"/>
                <w:lang w:eastAsia="zh-CN"/>
              </w:rPr>
              <w:t>、印刷</w:t>
            </w:r>
            <w:r>
              <w:rPr>
                <w:rFonts w:hint="eastAsia" w:ascii="Times New Roman" w:hAnsi="Times New Roman"/>
                <w:color w:val="auto"/>
                <w:highlight w:val="none"/>
              </w:rPr>
              <w:t>效果</w:t>
            </w:r>
            <w:r>
              <w:rPr>
                <w:rFonts w:hint="eastAsia" w:ascii="Times New Roman" w:hAnsi="Times New Roman"/>
                <w:color w:val="auto"/>
                <w:highlight w:val="none"/>
                <w:lang w:eastAsia="zh-CN"/>
              </w:rPr>
              <w:t>和</w:t>
            </w:r>
            <w:r>
              <w:rPr>
                <w:rFonts w:hint="eastAsia" w:ascii="Times New Roman" w:hAnsi="Times New Roman"/>
                <w:color w:val="auto"/>
                <w:highlight w:val="none"/>
              </w:rPr>
              <w:t>承重</w:t>
            </w:r>
            <w:r>
              <w:rPr>
                <w:rFonts w:hint="eastAsia" w:ascii="Times New Roman" w:hAnsi="Times New Roman"/>
                <w:color w:val="auto"/>
                <w:highlight w:val="none"/>
                <w:lang w:eastAsia="zh-CN"/>
              </w:rPr>
              <w:t>情况等</w:t>
            </w:r>
            <w:r>
              <w:rPr>
                <w:rFonts w:hint="eastAsia" w:ascii="Times New Roman" w:hAnsi="Times New Roman"/>
                <w:color w:val="auto"/>
                <w:highlight w:val="none"/>
              </w:rPr>
              <w:t>测试结果</w:t>
            </w:r>
            <w:r>
              <w:rPr>
                <w:rFonts w:hint="eastAsia" w:ascii="Times New Roman" w:hAnsi="Times New Roman"/>
                <w:color w:val="auto"/>
                <w:highlight w:val="none"/>
                <w:lang w:eastAsia="zh-CN"/>
              </w:rPr>
              <w:t>进行</w:t>
            </w:r>
            <w:r>
              <w:rPr>
                <w:rFonts w:hint="eastAsia" w:ascii="Times New Roman" w:hAnsi="Times New Roman"/>
                <w:color w:val="auto"/>
                <w:highlight w:val="none"/>
              </w:rPr>
              <w:t>评分</w:t>
            </w:r>
            <w:r>
              <w:rPr>
                <w:rFonts w:hint="eastAsia" w:ascii="Times New Roman" w:hAnsi="Times New Roman"/>
                <w:color w:val="auto"/>
                <w:highlight w:val="none"/>
                <w:lang w:eastAsia="zh-CN"/>
              </w:rPr>
              <w:t>。</w:t>
            </w:r>
          </w:p>
          <w:p>
            <w:pPr>
              <w:spacing w:line="320" w:lineRule="exact"/>
              <w:jc w:val="left"/>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材质、外观平整度/硬度、印刷效果和承重较优，得35分；</w:t>
            </w:r>
          </w:p>
          <w:p>
            <w:pPr>
              <w:spacing w:line="320" w:lineRule="exact"/>
              <w:jc w:val="left"/>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材质、外观平整度/硬度、印刷效果和承重良好，得30分；</w:t>
            </w:r>
          </w:p>
          <w:p>
            <w:pPr>
              <w:spacing w:line="320" w:lineRule="exact"/>
              <w:jc w:val="left"/>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材质、外观平整度/硬度、印刷效果和承重中等，得20分；</w:t>
            </w:r>
          </w:p>
          <w:p>
            <w:pPr>
              <w:spacing w:line="320" w:lineRule="exact"/>
              <w:jc w:val="left"/>
              <w:rPr>
                <w:rFonts w:hint="eastAsia" w:ascii="Times New Roman" w:hAnsi="Times New Roman"/>
                <w:color w:val="auto"/>
                <w:highlight w:val="none"/>
                <w:lang w:val="en-US" w:eastAsia="zh-CN"/>
              </w:rPr>
            </w:pPr>
            <w:r>
              <w:rPr>
                <w:rFonts w:hint="eastAsia" w:ascii="Times New Roman" w:hAnsi="Times New Roman"/>
                <w:color w:val="auto"/>
                <w:highlight w:val="none"/>
                <w:lang w:val="en-US" w:eastAsia="zh-CN"/>
              </w:rPr>
              <w:t>材质、外观平整度/硬度、印刷效果和承重一般，得10分；</w:t>
            </w:r>
          </w:p>
          <w:p>
            <w:pPr>
              <w:spacing w:line="320" w:lineRule="exact"/>
              <w:jc w:val="left"/>
              <w:rPr>
                <w:color w:val="auto"/>
                <w:highlight w:val="none"/>
              </w:rPr>
            </w:pPr>
            <w:r>
              <w:rPr>
                <w:rFonts w:hint="eastAsia" w:ascii="Times New Roman" w:hAnsi="Times New Roman"/>
                <w:color w:val="auto"/>
                <w:highlight w:val="none"/>
                <w:lang w:val="en-US" w:eastAsia="zh-CN"/>
              </w:rPr>
              <w:t>材质、外观平整度/硬度、印刷效果和承重差，得0分；</w:t>
            </w:r>
          </w:p>
        </w:tc>
      </w:tr>
    </w:tbl>
    <w:p>
      <w:pPr>
        <w:pStyle w:val="2"/>
        <w:ind w:firstLine="442"/>
        <w:rPr>
          <w:b/>
          <w:bCs/>
          <w:color w:val="auto"/>
          <w:kern w:val="44"/>
          <w:sz w:val="44"/>
          <w:szCs w:val="44"/>
          <w:highlight w:val="none"/>
        </w:rPr>
      </w:pPr>
    </w:p>
    <w:p>
      <w:pPr>
        <w:numPr>
          <w:ilvl w:val="255"/>
          <w:numId w:val="0"/>
        </w:numPr>
        <w:spacing w:line="360" w:lineRule="auto"/>
        <w:jc w:val="both"/>
        <w:rPr>
          <w:rFonts w:hint="eastAsia"/>
          <w:b/>
          <w:bCs/>
          <w:color w:val="auto"/>
          <w:kern w:val="44"/>
          <w:sz w:val="44"/>
          <w:szCs w:val="44"/>
          <w:highlight w:val="none"/>
        </w:rPr>
      </w:pPr>
    </w:p>
    <w:p>
      <w:pPr>
        <w:numPr>
          <w:ilvl w:val="255"/>
          <w:numId w:val="0"/>
        </w:numPr>
        <w:spacing w:line="360" w:lineRule="auto"/>
        <w:ind w:firstLine="0" w:firstLineChars="0"/>
        <w:jc w:val="center"/>
        <w:rPr>
          <w:b/>
          <w:bCs/>
          <w:color w:val="auto"/>
          <w:kern w:val="44"/>
          <w:sz w:val="44"/>
          <w:szCs w:val="44"/>
          <w:highlight w:val="none"/>
        </w:rPr>
      </w:pPr>
      <w:r>
        <w:rPr>
          <w:rFonts w:hint="eastAsia"/>
          <w:b/>
          <w:bCs/>
          <w:color w:val="auto"/>
          <w:kern w:val="44"/>
          <w:sz w:val="44"/>
          <w:szCs w:val="44"/>
          <w:highlight w:val="none"/>
        </w:rPr>
        <w:t xml:space="preserve">第四章 </w:t>
      </w:r>
      <w:r>
        <w:rPr>
          <w:rFonts w:hint="eastAsia"/>
          <w:b/>
          <w:bCs/>
          <w:color w:val="auto"/>
          <w:kern w:val="44"/>
          <w:sz w:val="44"/>
          <w:szCs w:val="44"/>
          <w:highlight w:val="none"/>
          <w:lang w:eastAsia="zh-CN"/>
        </w:rPr>
        <w:t>南方优品纸箱采购</w:t>
      </w:r>
      <w:r>
        <w:rPr>
          <w:rFonts w:hint="eastAsia"/>
          <w:b/>
          <w:bCs/>
          <w:color w:val="auto"/>
          <w:kern w:val="44"/>
          <w:sz w:val="44"/>
          <w:szCs w:val="44"/>
          <w:highlight w:val="none"/>
        </w:rPr>
        <w:t>合同</w:t>
      </w:r>
    </w:p>
    <w:p>
      <w:pPr>
        <w:spacing w:line="360" w:lineRule="exact"/>
        <w:ind w:firstLine="562" w:firstLineChars="200"/>
        <w:rPr>
          <w:rFonts w:ascii="宋体" w:hAnsi="宋体" w:cs="宋体"/>
          <w:b/>
          <w:color w:val="auto"/>
          <w:sz w:val="28"/>
          <w:szCs w:val="28"/>
          <w:highlight w:val="none"/>
        </w:rPr>
      </w:pPr>
    </w:p>
    <w:p>
      <w:pPr>
        <w:spacing w:line="36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甲方（需方）：广东省南方传媒发行物流有限公司</w:t>
      </w:r>
    </w:p>
    <w:p>
      <w:pPr>
        <w:spacing w:line="360" w:lineRule="exact"/>
        <w:ind w:firstLine="422" w:firstLineChars="200"/>
        <w:rPr>
          <w:rFonts w:ascii="宋体" w:hAnsi="宋体" w:cs="宋体"/>
          <w:b/>
          <w:color w:val="auto"/>
          <w:szCs w:val="21"/>
          <w:highlight w:val="none"/>
          <w:u w:val="single"/>
        </w:rPr>
      </w:pPr>
      <w:r>
        <w:rPr>
          <w:rFonts w:hint="eastAsia" w:ascii="宋体" w:hAnsi="宋体" w:cs="宋体"/>
          <w:b/>
          <w:color w:val="auto"/>
          <w:szCs w:val="21"/>
          <w:highlight w:val="none"/>
        </w:rPr>
        <w:t>乙方（供方）：</w:t>
      </w:r>
      <w:r>
        <w:rPr>
          <w:rFonts w:hint="eastAsia" w:ascii="宋体" w:hAnsi="宋体" w:cs="宋体"/>
          <w:b/>
          <w:color w:val="auto"/>
          <w:szCs w:val="21"/>
          <w:highlight w:val="none"/>
          <w:u w:val="single"/>
        </w:rPr>
        <w:t xml:space="preserve"> </w:t>
      </w:r>
      <w:r>
        <w:rPr>
          <w:rFonts w:hint="eastAsia" w:ascii="宋体" w:hAnsi="宋体" w:cs="宋体"/>
          <w:b/>
          <w:color w:val="auto"/>
          <w:szCs w:val="21"/>
          <w:highlight w:val="none"/>
          <w:u w:val="single"/>
          <w:lang w:val="en-US" w:eastAsia="zh-CN"/>
        </w:rPr>
        <w:t xml:space="preserve">                  </w:t>
      </w:r>
      <w:r>
        <w:rPr>
          <w:rFonts w:hint="eastAsia" w:ascii="宋体" w:hAnsi="宋体" w:cs="宋体"/>
          <w:b/>
          <w:color w:val="auto"/>
          <w:szCs w:val="21"/>
          <w:highlight w:val="none"/>
          <w:u w:val="single"/>
        </w:rPr>
        <w:t xml:space="preserve">  </w:t>
      </w:r>
    </w:p>
    <w:p>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依照《中华人民共和国民法典》及其他有关法律、法规的规定，遵循平等、自愿、公平和诚实信用的原则，双方就</w:t>
      </w:r>
      <w:r>
        <w:rPr>
          <w:rFonts w:hint="eastAsia" w:ascii="宋体" w:hAnsi="宋体" w:cs="宋体"/>
          <w:color w:val="auto"/>
          <w:szCs w:val="21"/>
          <w:highlight w:val="none"/>
          <w:u w:val="single"/>
        </w:rPr>
        <w:t>南方优品纸箱</w:t>
      </w:r>
      <w:r>
        <w:rPr>
          <w:rFonts w:hint="eastAsia" w:ascii="宋体" w:hAnsi="宋体" w:cs="宋体"/>
          <w:color w:val="auto"/>
          <w:szCs w:val="21"/>
          <w:highlight w:val="none"/>
        </w:rPr>
        <w:t>采购项目协商一致，订立本合同。具体如下：</w:t>
      </w:r>
    </w:p>
    <w:p>
      <w:pPr>
        <w:numPr>
          <w:ilvl w:val="0"/>
          <w:numId w:val="5"/>
        </w:numPr>
        <w:spacing w:line="360" w:lineRule="exact"/>
        <w:ind w:firstLine="422" w:firstLineChars="200"/>
        <w:rPr>
          <w:rFonts w:ascii="宋体" w:hAnsi="宋体" w:cs="宋体"/>
          <w:b/>
          <w:color w:val="auto"/>
          <w:szCs w:val="21"/>
          <w:highlight w:val="none"/>
        </w:rPr>
      </w:pPr>
      <w:r>
        <w:rPr>
          <w:rFonts w:hint="eastAsia" w:ascii="宋体" w:hAnsi="宋体" w:cs="宋体"/>
          <w:b/>
          <w:color w:val="auto"/>
          <w:szCs w:val="21"/>
          <w:highlight w:val="none"/>
        </w:rPr>
        <w:t>南方优品纸箱定制要求及价格</w:t>
      </w:r>
    </w:p>
    <w:tbl>
      <w:tblPr>
        <w:tblStyle w:val="41"/>
        <w:tblW w:w="8833" w:type="dxa"/>
        <w:tblInd w:w="-88" w:type="dxa"/>
        <w:tblLayout w:type="fixed"/>
        <w:tblCellMar>
          <w:top w:w="0" w:type="dxa"/>
          <w:left w:w="0" w:type="dxa"/>
          <w:bottom w:w="0" w:type="dxa"/>
          <w:right w:w="0" w:type="dxa"/>
        </w:tblCellMar>
      </w:tblPr>
      <w:tblGrid>
        <w:gridCol w:w="572"/>
        <w:gridCol w:w="1457"/>
        <w:gridCol w:w="1769"/>
        <w:gridCol w:w="2033"/>
        <w:gridCol w:w="994"/>
        <w:gridCol w:w="1016"/>
        <w:gridCol w:w="992"/>
      </w:tblGrid>
      <w:tr>
        <w:tblPrEx>
          <w:tblCellMar>
            <w:top w:w="0" w:type="dxa"/>
            <w:left w:w="0" w:type="dxa"/>
            <w:bottom w:w="0" w:type="dxa"/>
            <w:right w:w="0" w:type="dxa"/>
          </w:tblCellMar>
        </w:tblPrEx>
        <w:trPr>
          <w:trHeight w:val="576" w:hRule="atLeast"/>
        </w:trPr>
        <w:tc>
          <w:tcPr>
            <w:tcW w:w="5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57"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物资名称</w:t>
            </w:r>
          </w:p>
        </w:tc>
        <w:tc>
          <w:tcPr>
            <w:tcW w:w="17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尺寸规格</w:t>
            </w:r>
          </w:p>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（长*宽*高）</w:t>
            </w:r>
          </w:p>
        </w:tc>
        <w:tc>
          <w:tcPr>
            <w:tcW w:w="203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材质要求</w:t>
            </w:r>
          </w:p>
        </w:tc>
        <w:tc>
          <w:tcPr>
            <w:tcW w:w="99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所需数量(个）</w:t>
            </w:r>
          </w:p>
        </w:tc>
        <w:tc>
          <w:tcPr>
            <w:tcW w:w="101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单价（元）</w:t>
            </w:r>
          </w:p>
        </w:tc>
        <w:tc>
          <w:tcPr>
            <w:tcW w:w="99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ind w:left="229" w:leftChars="109"/>
              <w:textAlignment w:val="center"/>
              <w:rPr>
                <w:rFonts w:ascii="宋体" w:hAnsi="宋体" w:cs="宋体"/>
                <w:color w:val="auto"/>
                <w:szCs w:val="21"/>
                <w:highlight w:val="none"/>
              </w:rPr>
            </w:pPr>
            <w:r>
              <w:rPr>
                <w:rFonts w:hint="eastAsia" w:ascii="宋体" w:hAnsi="宋体" w:cs="宋体"/>
                <w:color w:val="auto"/>
                <w:szCs w:val="21"/>
                <w:highlight w:val="none"/>
              </w:rPr>
              <w:t>总金额（元）</w:t>
            </w:r>
          </w:p>
        </w:tc>
      </w:tr>
      <w:tr>
        <w:tblPrEx>
          <w:tblCellMar>
            <w:top w:w="0" w:type="dxa"/>
            <w:left w:w="0" w:type="dxa"/>
            <w:bottom w:w="0" w:type="dxa"/>
            <w:right w:w="0" w:type="dxa"/>
          </w:tblCellMar>
        </w:tblPrEx>
        <w:trPr>
          <w:trHeight w:val="1500" w:hRule="atLeast"/>
        </w:trPr>
        <w:tc>
          <w:tcPr>
            <w:tcW w:w="572"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1</w:t>
            </w:r>
          </w:p>
        </w:tc>
        <w:tc>
          <w:tcPr>
            <w:tcW w:w="1457" w:type="dxa"/>
            <w:tcBorders>
              <w:top w:val="single" w:color="auto" w:sz="4" w:space="0"/>
              <w:left w:val="single" w:color="auto" w:sz="4" w:space="0"/>
              <w:bottom w:val="single" w:color="000000" w:sz="4" w:space="0"/>
              <w:right w:val="single" w:color="000000" w:sz="4" w:space="0"/>
            </w:tcBorders>
            <w:noWrap/>
            <w:tcMar>
              <w:top w:w="15" w:type="dxa"/>
              <w:left w:w="15" w:type="dxa"/>
              <w:right w:w="15" w:type="dxa"/>
            </w:tcMar>
            <w:vAlign w:val="center"/>
          </w:tcPr>
          <w:p>
            <w:pPr>
              <w:jc w:val="left"/>
              <w:textAlignment w:val="center"/>
              <w:rPr>
                <w:rFonts w:ascii="宋体" w:hAnsi="宋体" w:cs="宋体"/>
                <w:color w:val="auto"/>
                <w:szCs w:val="21"/>
                <w:highlight w:val="none"/>
              </w:rPr>
            </w:pPr>
            <w:r>
              <w:rPr>
                <w:rFonts w:hint="eastAsia" w:ascii="宋体" w:hAnsi="宋体" w:cs="宋体"/>
                <w:color w:val="auto"/>
                <w:szCs w:val="21"/>
                <w:highlight w:val="none"/>
              </w:rPr>
              <w:t>南方优品纸箱</w:t>
            </w:r>
          </w:p>
        </w:tc>
        <w:tc>
          <w:tcPr>
            <w:tcW w:w="1769"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450*380*400mm</w:t>
            </w:r>
          </w:p>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（大号）</w:t>
            </w:r>
          </w:p>
        </w:tc>
        <w:tc>
          <w:tcPr>
            <w:tcW w:w="2033" w:type="dxa"/>
            <w:tcBorders>
              <w:top w:val="single" w:color="auto" w:sz="4" w:space="0"/>
              <w:left w:val="single" w:color="000000" w:sz="4" w:space="0"/>
              <w:right w:val="single" w:color="000000" w:sz="4" w:space="0"/>
            </w:tcBorders>
            <w:noWrap w:val="0"/>
            <w:tcMar>
              <w:top w:w="15" w:type="dxa"/>
              <w:left w:w="15" w:type="dxa"/>
              <w:right w:w="15" w:type="dxa"/>
            </w:tcMar>
            <w:vAlign w:val="center"/>
          </w:tcPr>
          <w:p>
            <w:pPr>
              <w:jc w:val="left"/>
              <w:textAlignment w:val="center"/>
              <w:rPr>
                <w:rFonts w:ascii="宋体" w:hAnsi="宋体" w:cs="宋体"/>
                <w:color w:val="auto"/>
                <w:szCs w:val="21"/>
                <w:highlight w:val="none"/>
              </w:rPr>
            </w:pPr>
            <w:r>
              <w:rPr>
                <w:rFonts w:hint="eastAsia" w:ascii="宋体" w:hAnsi="宋体" w:cs="宋体"/>
                <w:color w:val="auto"/>
                <w:szCs w:val="21"/>
                <w:highlight w:val="none"/>
              </w:rPr>
              <w:t>1.纸箱厚度：五层;</w:t>
            </w:r>
          </w:p>
          <w:p>
            <w:pPr>
              <w:jc w:val="left"/>
              <w:textAlignment w:val="center"/>
              <w:rPr>
                <w:rFonts w:ascii="宋体" w:hAnsi="宋体" w:cs="宋体"/>
                <w:color w:val="auto"/>
                <w:szCs w:val="21"/>
                <w:highlight w:val="none"/>
              </w:rPr>
            </w:pPr>
            <w:r>
              <w:rPr>
                <w:rFonts w:hint="eastAsia" w:ascii="宋体" w:hAnsi="宋体" w:cs="宋体"/>
                <w:color w:val="auto"/>
                <w:szCs w:val="21"/>
                <w:highlight w:val="none"/>
              </w:rPr>
              <w:t>2.材质：面底纸160G优质牛卡、加强芯140G；中间芯纸70G;</w:t>
            </w:r>
          </w:p>
          <w:p>
            <w:pPr>
              <w:jc w:val="left"/>
              <w:textAlignment w:val="center"/>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lang w:eastAsia="zh-CN"/>
              </w:rPr>
              <w:t>三</w:t>
            </w:r>
            <w:r>
              <w:rPr>
                <w:rFonts w:hint="eastAsia" w:ascii="宋体" w:hAnsi="宋体" w:cs="宋体"/>
                <w:color w:val="auto"/>
                <w:szCs w:val="21"/>
                <w:highlight w:val="none"/>
              </w:rPr>
              <w:t>色四面印刷</w:t>
            </w:r>
          </w:p>
        </w:tc>
        <w:tc>
          <w:tcPr>
            <w:tcW w:w="994"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96500</w:t>
            </w:r>
          </w:p>
        </w:tc>
        <w:tc>
          <w:tcPr>
            <w:tcW w:w="1016" w:type="dxa"/>
            <w:tcBorders>
              <w:top w:val="single" w:color="auto"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textAlignment w:val="center"/>
              <w:rPr>
                <w:rFonts w:hint="default" w:ascii="宋体" w:hAnsi="宋体" w:eastAsia="宋体" w:cs="宋体"/>
                <w:color w:val="auto"/>
                <w:szCs w:val="21"/>
                <w:highlight w:val="none"/>
                <w:lang w:val="en-US" w:eastAsia="zh-CN"/>
              </w:rPr>
            </w:pPr>
          </w:p>
        </w:tc>
        <w:tc>
          <w:tcPr>
            <w:tcW w:w="992" w:type="dxa"/>
            <w:tcBorders>
              <w:top w:val="single" w:color="auto"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textAlignment w:val="center"/>
              <w:rPr>
                <w:rFonts w:hint="default" w:ascii="宋体" w:hAnsi="宋体" w:eastAsia="宋体" w:cs="宋体"/>
                <w:color w:val="auto"/>
                <w:szCs w:val="21"/>
                <w:highlight w:val="none"/>
                <w:lang w:val="en-US" w:eastAsia="zh-CN"/>
              </w:rPr>
            </w:pPr>
          </w:p>
        </w:tc>
      </w:tr>
      <w:tr>
        <w:tblPrEx>
          <w:tblCellMar>
            <w:top w:w="0" w:type="dxa"/>
            <w:left w:w="0" w:type="dxa"/>
            <w:bottom w:w="0" w:type="dxa"/>
            <w:right w:w="0" w:type="dxa"/>
          </w:tblCellMar>
        </w:tblPrEx>
        <w:trPr>
          <w:trHeight w:val="1137" w:hRule="atLeast"/>
        </w:trPr>
        <w:tc>
          <w:tcPr>
            <w:tcW w:w="572"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2</w:t>
            </w:r>
          </w:p>
        </w:tc>
        <w:tc>
          <w:tcPr>
            <w:tcW w:w="1457"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pPr>
              <w:jc w:val="left"/>
              <w:textAlignment w:val="center"/>
              <w:rPr>
                <w:rFonts w:ascii="宋体" w:hAnsi="宋体" w:cs="宋体"/>
                <w:color w:val="auto"/>
                <w:szCs w:val="21"/>
                <w:highlight w:val="none"/>
              </w:rPr>
            </w:pPr>
            <w:r>
              <w:rPr>
                <w:rFonts w:hint="eastAsia" w:ascii="宋体" w:hAnsi="宋体" w:cs="宋体"/>
                <w:color w:val="auto"/>
                <w:szCs w:val="21"/>
                <w:highlight w:val="none"/>
              </w:rPr>
              <w:t>南方优品纸箱</w:t>
            </w:r>
          </w:p>
        </w:tc>
        <w:tc>
          <w:tcPr>
            <w:tcW w:w="17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宋体" w:hAnsi="宋体" w:cs="宋体"/>
                <w:color w:val="auto"/>
                <w:szCs w:val="21"/>
                <w:highlight w:val="none"/>
                <w:lang w:bidi="ar"/>
              </w:rPr>
            </w:pPr>
            <w:r>
              <w:rPr>
                <w:rFonts w:hint="eastAsia" w:ascii="宋体" w:hAnsi="宋体" w:cs="宋体"/>
                <w:color w:val="auto"/>
                <w:szCs w:val="21"/>
                <w:highlight w:val="none"/>
                <w:lang w:bidi="ar"/>
              </w:rPr>
              <w:t>340*320*420mm</w:t>
            </w:r>
          </w:p>
          <w:p>
            <w:pPr>
              <w:widowControl/>
              <w:jc w:val="center"/>
              <w:textAlignment w:val="center"/>
              <w:rPr>
                <w:rFonts w:ascii="仿宋" w:hAnsi="仿宋" w:eastAsia="仿宋" w:cs="仿宋"/>
                <w:color w:val="auto"/>
                <w:sz w:val="24"/>
                <w:highlight w:val="none"/>
              </w:rPr>
            </w:pPr>
            <w:r>
              <w:rPr>
                <w:rFonts w:hint="eastAsia" w:ascii="宋体" w:hAnsi="宋体" w:cs="宋体"/>
                <w:color w:val="auto"/>
                <w:szCs w:val="21"/>
                <w:highlight w:val="none"/>
                <w:lang w:bidi="ar"/>
              </w:rPr>
              <w:t>（中号）</w:t>
            </w:r>
          </w:p>
        </w:tc>
        <w:tc>
          <w:tcPr>
            <w:tcW w:w="2033"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left"/>
              <w:textAlignment w:val="center"/>
              <w:rPr>
                <w:rFonts w:ascii="宋体" w:hAnsi="宋体" w:cs="宋体"/>
                <w:color w:val="auto"/>
                <w:szCs w:val="21"/>
                <w:highlight w:val="none"/>
              </w:rPr>
            </w:pPr>
            <w:r>
              <w:rPr>
                <w:rFonts w:hint="eastAsia" w:ascii="宋体" w:hAnsi="宋体" w:cs="宋体"/>
                <w:color w:val="auto"/>
                <w:szCs w:val="21"/>
                <w:highlight w:val="none"/>
              </w:rPr>
              <w:t>1.纸箱厚度：五层;</w:t>
            </w:r>
          </w:p>
          <w:p>
            <w:pPr>
              <w:jc w:val="left"/>
              <w:textAlignment w:val="center"/>
              <w:rPr>
                <w:rFonts w:ascii="宋体" w:hAnsi="宋体" w:cs="宋体"/>
                <w:color w:val="auto"/>
                <w:szCs w:val="21"/>
                <w:highlight w:val="none"/>
              </w:rPr>
            </w:pPr>
            <w:r>
              <w:rPr>
                <w:rFonts w:hint="eastAsia" w:ascii="宋体" w:hAnsi="宋体" w:cs="宋体"/>
                <w:color w:val="auto"/>
                <w:szCs w:val="21"/>
                <w:highlight w:val="none"/>
              </w:rPr>
              <w:t>2.材质：面底纸160G优质牛卡、加强芯140G；中间芯纸70G;</w:t>
            </w:r>
          </w:p>
          <w:p>
            <w:pPr>
              <w:jc w:val="left"/>
              <w:textAlignment w:val="center"/>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lang w:eastAsia="zh-CN"/>
              </w:rPr>
              <w:t>三</w:t>
            </w:r>
            <w:r>
              <w:rPr>
                <w:rFonts w:hint="eastAsia" w:ascii="宋体" w:hAnsi="宋体" w:cs="宋体"/>
                <w:color w:val="auto"/>
                <w:szCs w:val="21"/>
                <w:highlight w:val="none"/>
              </w:rPr>
              <w:t>色四面印刷</w:t>
            </w:r>
          </w:p>
        </w:tc>
        <w:tc>
          <w:tcPr>
            <w:tcW w:w="99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90000</w:t>
            </w:r>
          </w:p>
        </w:tc>
        <w:tc>
          <w:tcPr>
            <w:tcW w:w="101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textAlignment w:val="center"/>
              <w:rPr>
                <w:rFonts w:hint="default" w:ascii="宋体" w:hAnsi="宋体" w:eastAsia="宋体" w:cs="宋体"/>
                <w:color w:val="auto"/>
                <w:szCs w:val="21"/>
                <w:highlight w:val="none"/>
                <w:lang w:val="en-US" w:eastAsia="zh-CN"/>
              </w:rPr>
            </w:pPr>
          </w:p>
        </w:tc>
        <w:tc>
          <w:tcPr>
            <w:tcW w:w="992"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jc w:val="center"/>
              <w:textAlignment w:val="center"/>
              <w:rPr>
                <w:rFonts w:hint="default" w:ascii="宋体" w:hAnsi="宋体" w:eastAsia="宋体" w:cs="宋体"/>
                <w:color w:val="auto"/>
                <w:szCs w:val="21"/>
                <w:highlight w:val="none"/>
                <w:lang w:val="en-US" w:eastAsia="zh-CN"/>
              </w:rPr>
            </w:pPr>
          </w:p>
        </w:tc>
      </w:tr>
      <w:tr>
        <w:tblPrEx>
          <w:tblCellMar>
            <w:top w:w="0" w:type="dxa"/>
            <w:left w:w="0" w:type="dxa"/>
            <w:bottom w:w="0" w:type="dxa"/>
            <w:right w:w="0" w:type="dxa"/>
          </w:tblCellMar>
        </w:tblPrEx>
        <w:trPr>
          <w:trHeight w:val="1561" w:hRule="atLeast"/>
        </w:trPr>
        <w:tc>
          <w:tcPr>
            <w:tcW w:w="572"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3</w:t>
            </w:r>
          </w:p>
        </w:tc>
        <w:tc>
          <w:tcPr>
            <w:tcW w:w="1457" w:type="dxa"/>
            <w:tcBorders>
              <w:top w:val="single" w:color="000000" w:sz="4" w:space="0"/>
              <w:left w:val="single" w:color="auto" w:sz="4" w:space="0"/>
              <w:bottom w:val="single" w:color="auto" w:sz="4" w:space="0"/>
              <w:right w:val="single" w:color="000000" w:sz="4" w:space="0"/>
            </w:tcBorders>
            <w:noWrap/>
            <w:tcMar>
              <w:top w:w="15" w:type="dxa"/>
              <w:left w:w="15" w:type="dxa"/>
              <w:right w:w="15" w:type="dxa"/>
            </w:tcMar>
            <w:vAlign w:val="center"/>
          </w:tcPr>
          <w:p>
            <w:pPr>
              <w:jc w:val="left"/>
              <w:textAlignment w:val="center"/>
              <w:rPr>
                <w:rFonts w:ascii="宋体" w:hAnsi="宋体" w:cs="宋体"/>
                <w:color w:val="auto"/>
                <w:szCs w:val="21"/>
                <w:highlight w:val="none"/>
              </w:rPr>
            </w:pPr>
            <w:r>
              <w:rPr>
                <w:rFonts w:hint="eastAsia" w:ascii="宋体" w:hAnsi="宋体" w:cs="宋体"/>
                <w:color w:val="auto"/>
                <w:szCs w:val="21"/>
                <w:highlight w:val="none"/>
              </w:rPr>
              <w:t>南方优品纸箱</w:t>
            </w:r>
          </w:p>
        </w:tc>
        <w:tc>
          <w:tcPr>
            <w:tcW w:w="17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lang w:bidi="ar"/>
              </w:rPr>
              <w:t>460*320*245mm</w:t>
            </w:r>
            <w:r>
              <w:rPr>
                <w:rFonts w:hint="eastAsia" w:ascii="宋体" w:hAnsi="宋体" w:cs="宋体"/>
                <w:color w:val="auto"/>
                <w:szCs w:val="21"/>
                <w:highlight w:val="none"/>
                <w:lang w:bidi="ar"/>
              </w:rPr>
              <w:br w:type="textWrapping"/>
            </w:r>
            <w:r>
              <w:rPr>
                <w:rFonts w:hint="eastAsia" w:ascii="宋体" w:hAnsi="宋体" w:cs="宋体"/>
                <w:color w:val="auto"/>
                <w:szCs w:val="21"/>
                <w:highlight w:val="none"/>
                <w:lang w:bidi="ar"/>
              </w:rPr>
              <w:t>（小号）</w:t>
            </w:r>
          </w:p>
        </w:tc>
        <w:tc>
          <w:tcPr>
            <w:tcW w:w="203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left"/>
              <w:textAlignment w:val="center"/>
              <w:rPr>
                <w:rFonts w:ascii="宋体" w:hAnsi="宋体" w:cs="宋体"/>
                <w:color w:val="auto"/>
                <w:szCs w:val="21"/>
                <w:highlight w:val="none"/>
              </w:rPr>
            </w:pPr>
            <w:r>
              <w:rPr>
                <w:rFonts w:hint="eastAsia" w:ascii="宋体" w:hAnsi="宋体" w:cs="宋体"/>
                <w:color w:val="auto"/>
                <w:szCs w:val="21"/>
                <w:highlight w:val="none"/>
              </w:rPr>
              <w:t>1.纸箱厚度：五层;</w:t>
            </w:r>
          </w:p>
          <w:p>
            <w:pPr>
              <w:jc w:val="left"/>
              <w:textAlignment w:val="center"/>
              <w:rPr>
                <w:rFonts w:ascii="宋体" w:hAnsi="宋体" w:cs="宋体"/>
                <w:color w:val="auto"/>
                <w:szCs w:val="21"/>
                <w:highlight w:val="none"/>
              </w:rPr>
            </w:pPr>
            <w:r>
              <w:rPr>
                <w:rFonts w:hint="eastAsia" w:ascii="宋体" w:hAnsi="宋体" w:cs="宋体"/>
                <w:color w:val="auto"/>
                <w:szCs w:val="21"/>
                <w:highlight w:val="none"/>
              </w:rPr>
              <w:t>2.材质：面底纸160G优质牛卡、加强芯140G；中间芯纸70G;</w:t>
            </w:r>
          </w:p>
          <w:p>
            <w:pPr>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lang w:eastAsia="zh-CN"/>
              </w:rPr>
              <w:t>三</w:t>
            </w:r>
            <w:r>
              <w:rPr>
                <w:rFonts w:hint="eastAsia" w:ascii="宋体" w:hAnsi="宋体" w:cs="宋体"/>
                <w:color w:val="auto"/>
                <w:szCs w:val="21"/>
                <w:highlight w:val="none"/>
              </w:rPr>
              <w:t>色四面印刷</w:t>
            </w:r>
          </w:p>
        </w:tc>
        <w:tc>
          <w:tcPr>
            <w:tcW w:w="99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45000</w:t>
            </w:r>
          </w:p>
        </w:tc>
        <w:tc>
          <w:tcPr>
            <w:tcW w:w="1016"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jc w:val="center"/>
              <w:textAlignment w:val="center"/>
              <w:rPr>
                <w:rFonts w:hint="default" w:ascii="宋体" w:hAnsi="宋体" w:eastAsia="宋体" w:cs="宋体"/>
                <w:color w:val="auto"/>
                <w:szCs w:val="21"/>
                <w:highlight w:val="none"/>
                <w:lang w:val="en-US" w:eastAsia="zh-CN"/>
              </w:rPr>
            </w:pPr>
          </w:p>
        </w:tc>
        <w:tc>
          <w:tcPr>
            <w:tcW w:w="992"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jc w:val="center"/>
              <w:textAlignment w:val="center"/>
              <w:rPr>
                <w:rFonts w:hint="default" w:ascii="宋体" w:hAnsi="宋体" w:eastAsia="宋体" w:cs="宋体"/>
                <w:color w:val="auto"/>
                <w:szCs w:val="21"/>
                <w:highlight w:val="none"/>
                <w:lang w:val="en-US" w:eastAsia="zh-CN"/>
              </w:rPr>
            </w:pPr>
          </w:p>
        </w:tc>
      </w:tr>
      <w:tr>
        <w:tblPrEx>
          <w:tblCellMar>
            <w:top w:w="0" w:type="dxa"/>
            <w:left w:w="0" w:type="dxa"/>
            <w:bottom w:w="0" w:type="dxa"/>
            <w:right w:w="0" w:type="dxa"/>
          </w:tblCellMar>
        </w:tblPrEx>
        <w:trPr>
          <w:trHeight w:val="1096" w:hRule="atLeast"/>
        </w:trPr>
        <w:tc>
          <w:tcPr>
            <w:tcW w:w="572"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4</w:t>
            </w:r>
          </w:p>
        </w:tc>
        <w:tc>
          <w:tcPr>
            <w:tcW w:w="1457" w:type="dxa"/>
            <w:tcBorders>
              <w:top w:val="single" w:color="000000" w:sz="4" w:space="0"/>
              <w:left w:val="single" w:color="auto" w:sz="4" w:space="0"/>
              <w:bottom w:val="single" w:color="auto" w:sz="4" w:space="0"/>
              <w:right w:val="single" w:color="000000" w:sz="4" w:space="0"/>
            </w:tcBorders>
            <w:noWrap/>
            <w:tcMar>
              <w:top w:w="15" w:type="dxa"/>
              <w:left w:w="15" w:type="dxa"/>
              <w:right w:w="15" w:type="dxa"/>
            </w:tcMar>
            <w:vAlign w:val="center"/>
          </w:tcPr>
          <w:p>
            <w:pPr>
              <w:jc w:val="left"/>
              <w:textAlignment w:val="center"/>
              <w:rPr>
                <w:rFonts w:ascii="宋体" w:hAnsi="宋体" w:cs="宋体"/>
                <w:color w:val="auto"/>
                <w:szCs w:val="21"/>
                <w:highlight w:val="none"/>
              </w:rPr>
            </w:pPr>
            <w:r>
              <w:rPr>
                <w:rFonts w:hint="eastAsia" w:ascii="宋体" w:hAnsi="宋体" w:cs="宋体"/>
                <w:color w:val="auto"/>
                <w:szCs w:val="21"/>
                <w:highlight w:val="none"/>
              </w:rPr>
              <w:t>南方优品纸箱</w:t>
            </w:r>
          </w:p>
        </w:tc>
        <w:tc>
          <w:tcPr>
            <w:tcW w:w="17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430*210*270mm</w:t>
            </w:r>
          </w:p>
          <w:p>
            <w:pPr>
              <w:jc w:val="center"/>
              <w:textAlignment w:val="center"/>
              <w:rPr>
                <w:rFonts w:ascii="宋体" w:hAnsi="宋体" w:cs="宋体"/>
                <w:color w:val="auto"/>
                <w:szCs w:val="21"/>
                <w:highlight w:val="none"/>
              </w:rPr>
            </w:pPr>
            <w:r>
              <w:rPr>
                <w:rFonts w:hint="eastAsia" w:ascii="宋体" w:hAnsi="宋体" w:cs="宋体"/>
                <w:color w:val="auto"/>
                <w:szCs w:val="21"/>
                <w:highlight w:val="none"/>
              </w:rPr>
              <w:t>（特小号）</w:t>
            </w:r>
          </w:p>
        </w:tc>
        <w:tc>
          <w:tcPr>
            <w:tcW w:w="203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left"/>
              <w:textAlignment w:val="center"/>
              <w:rPr>
                <w:rFonts w:ascii="宋体" w:hAnsi="宋体" w:cs="宋体"/>
                <w:color w:val="auto"/>
                <w:szCs w:val="21"/>
                <w:highlight w:val="none"/>
              </w:rPr>
            </w:pPr>
            <w:r>
              <w:rPr>
                <w:rFonts w:hint="eastAsia" w:ascii="宋体" w:hAnsi="宋体" w:cs="宋体"/>
                <w:color w:val="auto"/>
                <w:szCs w:val="21"/>
                <w:highlight w:val="none"/>
              </w:rPr>
              <w:t>1.纸箱厚度：五层;</w:t>
            </w:r>
          </w:p>
          <w:p>
            <w:pPr>
              <w:jc w:val="left"/>
              <w:textAlignment w:val="center"/>
              <w:rPr>
                <w:rFonts w:ascii="宋体" w:hAnsi="宋体" w:cs="宋体"/>
                <w:color w:val="auto"/>
                <w:szCs w:val="21"/>
                <w:highlight w:val="none"/>
              </w:rPr>
            </w:pPr>
            <w:r>
              <w:rPr>
                <w:rFonts w:hint="eastAsia" w:ascii="宋体" w:hAnsi="宋体" w:cs="宋体"/>
                <w:color w:val="auto"/>
                <w:szCs w:val="21"/>
                <w:highlight w:val="none"/>
              </w:rPr>
              <w:t>2.材质：面底纸160G优质牛卡、加强芯140G；中间芯纸70G;</w:t>
            </w:r>
          </w:p>
          <w:p>
            <w:pPr>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lang w:eastAsia="zh-CN"/>
              </w:rPr>
              <w:t>三</w:t>
            </w:r>
            <w:r>
              <w:rPr>
                <w:rFonts w:hint="eastAsia" w:ascii="宋体" w:hAnsi="宋体" w:cs="宋体"/>
                <w:color w:val="auto"/>
                <w:szCs w:val="21"/>
                <w:highlight w:val="none"/>
              </w:rPr>
              <w:t>色四面印刷</w:t>
            </w:r>
          </w:p>
        </w:tc>
        <w:tc>
          <w:tcPr>
            <w:tcW w:w="99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bidi="ar"/>
              </w:rPr>
              <w:t>4</w:t>
            </w:r>
            <w:r>
              <w:rPr>
                <w:rFonts w:hint="eastAsia" w:ascii="宋体" w:hAnsi="宋体" w:cs="宋体"/>
                <w:i w:val="0"/>
                <w:iCs w:val="0"/>
                <w:color w:val="auto"/>
                <w:kern w:val="0"/>
                <w:sz w:val="24"/>
                <w:szCs w:val="24"/>
                <w:highlight w:val="none"/>
                <w:u w:val="none"/>
                <w:lang w:val="en-US" w:eastAsia="zh-CN" w:bidi="ar"/>
              </w:rPr>
              <w:t>0</w:t>
            </w:r>
            <w:r>
              <w:rPr>
                <w:rFonts w:hint="eastAsia" w:ascii="宋体" w:hAnsi="宋体" w:eastAsia="宋体" w:cs="宋体"/>
                <w:i w:val="0"/>
                <w:iCs w:val="0"/>
                <w:color w:val="auto"/>
                <w:kern w:val="0"/>
                <w:sz w:val="24"/>
                <w:szCs w:val="24"/>
                <w:highlight w:val="none"/>
                <w:u w:val="none"/>
                <w:lang w:val="en-US" w:eastAsia="zh-CN" w:bidi="ar"/>
              </w:rPr>
              <w:t>000</w:t>
            </w:r>
          </w:p>
        </w:tc>
        <w:tc>
          <w:tcPr>
            <w:tcW w:w="1016"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pPr>
              <w:jc w:val="center"/>
              <w:textAlignment w:val="center"/>
              <w:rPr>
                <w:rFonts w:hint="default" w:ascii="宋体" w:hAnsi="宋体" w:eastAsia="宋体" w:cs="宋体"/>
                <w:color w:val="auto"/>
                <w:szCs w:val="21"/>
                <w:highlight w:val="none"/>
                <w:lang w:val="en-US" w:eastAsia="zh-CN"/>
              </w:rPr>
            </w:pPr>
          </w:p>
        </w:tc>
        <w:tc>
          <w:tcPr>
            <w:tcW w:w="992"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jc w:val="center"/>
              <w:textAlignment w:val="center"/>
              <w:rPr>
                <w:rFonts w:hint="default" w:ascii="宋体" w:hAnsi="宋体" w:eastAsia="宋体" w:cs="宋体"/>
                <w:color w:val="auto"/>
                <w:szCs w:val="21"/>
                <w:highlight w:val="none"/>
                <w:lang w:val="en-US" w:eastAsia="zh-CN"/>
              </w:rPr>
            </w:pPr>
          </w:p>
        </w:tc>
      </w:tr>
      <w:tr>
        <w:tblPrEx>
          <w:tblCellMar>
            <w:top w:w="0" w:type="dxa"/>
            <w:left w:w="0" w:type="dxa"/>
            <w:bottom w:w="0" w:type="dxa"/>
            <w:right w:w="0" w:type="dxa"/>
          </w:tblCellMar>
        </w:tblPrEx>
        <w:trPr>
          <w:trHeight w:val="602" w:hRule="atLeast"/>
        </w:trPr>
        <w:tc>
          <w:tcPr>
            <w:tcW w:w="8833" w:type="dxa"/>
            <w:gridSpan w:val="7"/>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textAlignment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合计人民币小写金额：（</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）元；大写金额：</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eastAsia="zh-CN"/>
              </w:rPr>
              <w:t>（含</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rPr>
              <w:t>增值税专用发票</w:t>
            </w:r>
            <w:r>
              <w:rPr>
                <w:rFonts w:hint="eastAsia" w:ascii="宋体" w:hAnsi="宋体" w:cs="宋体"/>
                <w:color w:val="auto"/>
                <w:szCs w:val="21"/>
                <w:highlight w:val="none"/>
                <w:lang w:eastAsia="zh-CN"/>
              </w:rPr>
              <w:t>）。</w:t>
            </w:r>
          </w:p>
        </w:tc>
      </w:tr>
      <w:tr>
        <w:tblPrEx>
          <w:tblCellMar>
            <w:top w:w="0" w:type="dxa"/>
            <w:left w:w="0" w:type="dxa"/>
            <w:bottom w:w="0" w:type="dxa"/>
            <w:right w:w="0" w:type="dxa"/>
          </w:tblCellMar>
        </w:tblPrEx>
        <w:trPr>
          <w:trHeight w:val="614" w:hRule="atLeast"/>
        </w:trPr>
        <w:tc>
          <w:tcPr>
            <w:tcW w:w="8833" w:type="dxa"/>
            <w:gridSpan w:val="7"/>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2"/>
              <w:ind w:firstLine="0" w:firstLineChars="0"/>
              <w:rPr>
                <w:rFonts w:hint="eastAsia" w:ascii="宋体" w:hAnsi="宋体" w:cs="宋体"/>
                <w:color w:val="auto"/>
                <w:szCs w:val="21"/>
                <w:highlight w:val="none"/>
              </w:rPr>
            </w:pPr>
            <w:r>
              <w:rPr>
                <w:rFonts w:hint="eastAsia" w:ascii="宋体" w:hAnsi="宋体" w:cs="宋体"/>
                <w:color w:val="auto"/>
                <w:szCs w:val="21"/>
                <w:highlight w:val="none"/>
              </w:rPr>
              <w:t>备注：1、采购数量为预估量，以实际采购量为准；</w:t>
            </w:r>
          </w:p>
          <w:p>
            <w:pPr>
              <w:pStyle w:val="2"/>
              <w:spacing w:after="100" w:afterAutospacing="1" w:line="360" w:lineRule="auto"/>
              <w:ind w:firstLine="630" w:firstLineChars="300"/>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分批送货，每批次原则上不少于3000个</w:t>
            </w:r>
            <w:r>
              <w:rPr>
                <w:rFonts w:hint="eastAsia" w:ascii="宋体" w:hAnsi="宋体" w:cs="宋体"/>
                <w:color w:val="auto"/>
                <w:szCs w:val="21"/>
                <w:highlight w:val="none"/>
                <w:lang w:eastAsia="zh-CN"/>
              </w:rPr>
              <w:t>，并</w:t>
            </w:r>
            <w:r>
              <w:rPr>
                <w:rFonts w:hint="eastAsia" w:ascii="宋体" w:hAnsi="宋体" w:cs="宋体"/>
                <w:bCs/>
                <w:color w:val="auto"/>
                <w:szCs w:val="21"/>
                <w:highlight w:val="none"/>
                <w:lang w:val="en-US" w:eastAsia="zh-CN"/>
              </w:rPr>
              <w:t>提供卸货服务</w:t>
            </w:r>
            <w:r>
              <w:rPr>
                <w:rFonts w:hint="eastAsia" w:ascii="宋体" w:hAnsi="宋体" w:cs="宋体"/>
                <w:color w:val="auto"/>
                <w:szCs w:val="21"/>
                <w:highlight w:val="none"/>
              </w:rPr>
              <w:t>；</w:t>
            </w:r>
          </w:p>
          <w:p>
            <w:pPr>
              <w:pStyle w:val="2"/>
              <w:spacing w:after="100" w:afterAutospacing="1" w:line="360" w:lineRule="auto"/>
              <w:ind w:firstLine="630" w:firstLineChars="300"/>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与加工承揽有关的费用：包括但不限于税费、运输费、包装费等伴随服务的费用，已包含在报价中。</w:t>
            </w:r>
            <w:r>
              <w:rPr>
                <w:rFonts w:hint="eastAsia" w:ascii="宋体" w:hAnsi="宋体" w:cs="宋体"/>
                <w:color w:val="auto"/>
                <w:szCs w:val="21"/>
                <w:highlight w:val="none"/>
                <w:lang w:eastAsia="zh-CN"/>
              </w:rPr>
              <w:t>甲方</w:t>
            </w:r>
            <w:r>
              <w:rPr>
                <w:rFonts w:hint="eastAsia" w:ascii="宋体" w:hAnsi="宋体" w:cs="宋体"/>
                <w:color w:val="auto"/>
                <w:szCs w:val="21"/>
                <w:highlight w:val="none"/>
              </w:rPr>
              <w:t>无需向</w:t>
            </w:r>
            <w:r>
              <w:rPr>
                <w:rFonts w:hint="eastAsia" w:ascii="宋体" w:hAnsi="宋体" w:cs="宋体"/>
                <w:color w:val="auto"/>
                <w:szCs w:val="21"/>
                <w:highlight w:val="none"/>
                <w:lang w:eastAsia="zh-CN"/>
              </w:rPr>
              <w:t>乙方</w:t>
            </w:r>
            <w:r>
              <w:rPr>
                <w:rFonts w:hint="eastAsia" w:ascii="宋体" w:hAnsi="宋体" w:cs="宋体"/>
                <w:color w:val="auto"/>
                <w:szCs w:val="21"/>
                <w:highlight w:val="none"/>
              </w:rPr>
              <w:t>支付任何其他费用。</w:t>
            </w:r>
          </w:p>
          <w:p>
            <w:pPr>
              <w:pStyle w:val="2"/>
              <w:ind w:firstLine="630" w:firstLineChars="300"/>
              <w:rPr>
                <w:rFonts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乙方承诺接受甲方框架合同管理模式，乙方明确知晓本合同标的并非确定发生的，因此本合同金额并不作为甲方向乙方做出的具体项目承诺，如甲方在合同有效期内未采购或未足额采购，不构成甲方违约，乙方不得追究甲方违约责任。</w:t>
            </w:r>
          </w:p>
        </w:tc>
      </w:tr>
    </w:tbl>
    <w:p>
      <w:pPr>
        <w:spacing w:line="360" w:lineRule="exact"/>
        <w:rPr>
          <w:rFonts w:ascii="宋体" w:hAnsi="宋体" w:cs="宋体"/>
          <w:b/>
          <w:color w:val="auto"/>
          <w:szCs w:val="21"/>
          <w:highlight w:val="none"/>
        </w:rPr>
      </w:pPr>
    </w:p>
    <w:p>
      <w:pPr>
        <w:spacing w:line="36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二、质量标准</w:t>
      </w:r>
    </w:p>
    <w:p>
      <w:pPr>
        <w:widowControl/>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1、乙方向甲方提供的纸箱必须符合国家、行业相关标准及双方协定要求。同时，生产销售的纸箱必须具备产品生产许可证及产品合格检验报告等材料。</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2、乙方向甲方制作定制的纸箱必须符合合同约定的规格、材质。合同签订后，乙方根据甲方要求先制作样版，甲方签名确认后，凭确认的样版验货。</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3、因纸箱质量问题发生争议，由广州市商检部门进行质量鉴定。纸箱符合质量标准的，鉴定费用由甲方承担；不符合质量标准的，鉴定费由乙方承担。</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4、质保期6个月(国家规定或纸箱生产厂家承诺的质保期超过 6个月的，按较长的期限执行)，自甲方对纸箱验收合格之日起算。</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5、纸箱出现任何非使用方人为造成质量问题的，乙方须免费更换存在质量问题的纸箱，并免费提供上门回收、更换等服务。</w:t>
      </w:r>
    </w:p>
    <w:p>
      <w:pPr>
        <w:spacing w:line="36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三、纸箱的包装与运输</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1、包装要求：根据国家及行业通用方式进行包装，双方另有约定的，从其约定。</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2、每次送货数量原则上不低于3000个</w:t>
      </w:r>
      <w:r>
        <w:rPr>
          <w:rFonts w:hint="eastAsia" w:ascii="宋体" w:hAnsi="宋体" w:cs="宋体"/>
          <w:color w:val="auto"/>
          <w:szCs w:val="21"/>
          <w:highlight w:val="none"/>
          <w:lang w:eastAsia="zh-CN"/>
        </w:rPr>
        <w:t>，并</w:t>
      </w:r>
      <w:r>
        <w:rPr>
          <w:rFonts w:hint="eastAsia" w:ascii="宋体" w:hAnsi="宋体" w:cs="宋体"/>
          <w:bCs/>
          <w:color w:val="auto"/>
          <w:szCs w:val="21"/>
          <w:highlight w:val="none"/>
          <w:lang w:val="en-US" w:eastAsia="zh-CN"/>
        </w:rPr>
        <w:t>提供卸货服务。</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3、运输方式：由乙方负责将纸箱运送至甲方指定地点，并由乙方承担运费及运输风险。在纸箱交付验收前所出现的数量减少、毁损、灭失、变质等情形或风险而造成损失的，由乙方承担。</w:t>
      </w:r>
    </w:p>
    <w:p>
      <w:pPr>
        <w:spacing w:line="36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四、交货时间及地点</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合同签订后，乙方接到甲方订单后按订单要求4个日历天内将货物送至</w:t>
      </w:r>
      <w:r>
        <w:rPr>
          <w:rFonts w:hint="eastAsia" w:ascii="宋体" w:hAnsi="宋体" w:cs="宋体"/>
          <w:color w:val="auto"/>
          <w:szCs w:val="21"/>
          <w:highlight w:val="none"/>
          <w:lang w:eastAsia="zh-CN"/>
        </w:rPr>
        <w:t>甲方指定</w:t>
      </w:r>
      <w:r>
        <w:rPr>
          <w:rFonts w:hint="eastAsia" w:ascii="宋体" w:hAnsi="宋体" w:eastAsia="宋体" w:cs="宋体"/>
          <w:color w:val="auto"/>
          <w:szCs w:val="21"/>
          <w:highlight w:val="none"/>
        </w:rPr>
        <w:t>珠三角</w:t>
      </w:r>
      <w:r>
        <w:rPr>
          <w:rFonts w:hint="eastAsia" w:ascii="宋体" w:hAnsi="宋体" w:cs="宋体"/>
          <w:color w:val="auto"/>
          <w:szCs w:val="21"/>
          <w:highlight w:val="none"/>
          <w:lang w:eastAsia="zh-CN"/>
        </w:rPr>
        <w:t>范围</w:t>
      </w:r>
      <w:r>
        <w:rPr>
          <w:rFonts w:hint="eastAsia" w:ascii="宋体" w:hAnsi="宋体" w:eastAsia="宋体" w:cs="宋体"/>
          <w:color w:val="auto"/>
          <w:szCs w:val="21"/>
          <w:highlight w:val="none"/>
        </w:rPr>
        <w:t>，</w:t>
      </w:r>
      <w:r>
        <w:rPr>
          <w:rFonts w:hint="eastAsia" w:ascii="宋体" w:hAnsi="宋体" w:cs="宋体"/>
          <w:color w:val="auto"/>
          <w:szCs w:val="21"/>
          <w:highlight w:val="none"/>
        </w:rPr>
        <w:t>地点</w:t>
      </w:r>
      <w:r>
        <w:rPr>
          <w:rFonts w:hint="eastAsia" w:ascii="宋体" w:hAnsi="宋体" w:cs="宋体"/>
          <w:color w:val="auto"/>
          <w:szCs w:val="21"/>
          <w:highlight w:val="none"/>
          <w:lang w:eastAsia="zh-CN"/>
        </w:rPr>
        <w:t>包括</w:t>
      </w:r>
      <w:r>
        <w:rPr>
          <w:rFonts w:hint="eastAsia" w:ascii="宋体" w:hAnsi="宋体" w:eastAsia="宋体" w:cs="宋体"/>
          <w:color w:val="auto"/>
          <w:szCs w:val="21"/>
          <w:highlight w:val="none"/>
        </w:rPr>
        <w:t>佛山市南海区里水镇里和北路8号南方报业传媒集团产业基地、广东省东莞市凤岗镇龙平西路雁田红石桥宏基工业园南方报业粤东分印中心</w:t>
      </w:r>
      <w:r>
        <w:rPr>
          <w:rFonts w:hint="eastAsia" w:ascii="宋体" w:hAnsi="宋体" w:eastAsia="宋体" w:cs="宋体"/>
          <w:color w:val="auto"/>
          <w:szCs w:val="21"/>
          <w:highlight w:val="none"/>
          <w:lang w:eastAsia="zh-CN"/>
        </w:rPr>
        <w:t>或甲方指定的第三方合作仓储配仓库地点</w:t>
      </w:r>
      <w:r>
        <w:rPr>
          <w:rFonts w:hint="eastAsia" w:ascii="宋体" w:hAnsi="宋体" w:eastAsia="宋体" w:cs="宋体"/>
          <w:color w:val="auto"/>
          <w:szCs w:val="21"/>
          <w:highlight w:val="none"/>
        </w:rPr>
        <w:t>等</w:t>
      </w:r>
      <w:r>
        <w:rPr>
          <w:rFonts w:hint="eastAsia" w:ascii="宋体" w:hAnsi="宋体" w:cs="宋体"/>
          <w:color w:val="auto"/>
          <w:szCs w:val="21"/>
          <w:highlight w:val="none"/>
          <w:lang w:eastAsia="zh-CN"/>
        </w:rPr>
        <w:t>（以广州、佛山、深圳、东莞区域为主）</w:t>
      </w:r>
      <w:r>
        <w:rPr>
          <w:rFonts w:hint="eastAsia" w:ascii="宋体" w:hAnsi="宋体" w:eastAsia="宋体" w:cs="宋体"/>
          <w:color w:val="auto"/>
          <w:highlight w:val="none"/>
        </w:rPr>
        <w:t>。</w:t>
      </w:r>
    </w:p>
    <w:p>
      <w:pPr>
        <w:spacing w:line="36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五、验收方式及异议</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1、纸箱送抵甲方指定地点后，甲方现场组织抽检。</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甲方将随时抽查乙方提供的纸箱质量，如果发现不符合本合同质量标准要求的，并经一次退换后仍不能达到合同规定的质量标准的，甲方有权要求退回该部分货款，并由乙方赔偿甲方因纸箱质量问题而受到的经济损失。</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3、甲方有权要求参与乙方的现场制作过程，但须提前与乙方协商并得到同意后方可参与监控。</w:t>
      </w:r>
    </w:p>
    <w:p>
      <w:pPr>
        <w:spacing w:line="36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六、结算方式</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按采购订单记载的实际价款结算。每批次订单在甲方全部验收合格且收到乙方交付的合法有效的</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%增值税专用发票后1</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个工作日内支付货款。</w:t>
      </w:r>
    </w:p>
    <w:p>
      <w:pPr>
        <w:spacing w:line="36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七、违约责任</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若因甲方原因延迟交货的，责任由甲方负责；乙方未能按合同规定时间交货的，每延迟一日，乙方须每日向甲方支付该批货款总额的1%作为逾期交货违约金；延迟交货超过10日的，甲方有权解除合同，责任由乙方负责，乙方须赔偿因此给甲方造成的损失。双方约定分批次采购交付纸箱的，其中一批次乙方迟延交货或交货质量不符合约定的，甲方有权仅解除该批次订单，不影响其他批次订单的履行。</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合同期内到货，甲方验收合格后未按合同规定的日期和要求付款的，自合同规定的付款日期之次日到实际付款日，按未付款金额的每日0.1%向乙方支付逾期付款违约金，逾期超过10天付款，乙方有权收回纸箱，责任由甲方负责。</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3、由于纸箱质量不合格，甲方同意使用的或者乙方违反本合同的其它义务，乙方须向甲方支付该批货款总额的10%作为违约金。</w:t>
      </w:r>
    </w:p>
    <w:p>
      <w:pPr>
        <w:spacing w:line="36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八、其它</w:t>
      </w:r>
    </w:p>
    <w:p>
      <w:pPr>
        <w:spacing w:line="360" w:lineRule="auto"/>
        <w:ind w:left="420" w:leftChars="200" w:firstLine="0" w:firstLineChars="0"/>
        <w:rPr>
          <w:rFonts w:hint="eastAsia" w:ascii="Times New Roman" w:hAnsi="Times New Roman"/>
          <w:color w:val="auto"/>
          <w:szCs w:val="21"/>
          <w:highlight w:val="none"/>
        </w:rPr>
      </w:pPr>
      <w:r>
        <w:rPr>
          <w:rFonts w:hint="eastAsia" w:ascii="宋体" w:hAnsi="宋体" w:cs="宋体"/>
          <w:color w:val="auto"/>
          <w:szCs w:val="21"/>
          <w:highlight w:val="none"/>
        </w:rPr>
        <w:t>1、本合同自双方签字盖章之日生效，</w:t>
      </w:r>
      <w:r>
        <w:rPr>
          <w:rFonts w:hint="eastAsia" w:ascii="宋体" w:hAnsi="宋体" w:cs="宋体"/>
          <w:color w:val="auto"/>
          <w:szCs w:val="21"/>
          <w:highlight w:val="none"/>
          <w:lang w:eastAsia="zh-CN"/>
        </w:rPr>
        <w:t>有效期为</w:t>
      </w:r>
      <w:r>
        <w:rPr>
          <w:rFonts w:hint="eastAsia" w:ascii="宋体" w:hAnsi="宋体" w:cs="宋体"/>
          <w:color w:val="auto"/>
          <w:szCs w:val="21"/>
          <w:highlight w:val="none"/>
          <w:lang w:val="en-US" w:eastAsia="zh-CN"/>
        </w:rPr>
        <w:t>202</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年</w:t>
      </w:r>
      <w:r>
        <w:rPr>
          <w:rFonts w:hint="eastAsia" w:ascii="宋体" w:hAnsi="宋体" w:cs="宋体"/>
          <w:color w:val="auto"/>
          <w:szCs w:val="21"/>
          <w:highlight w:val="none"/>
          <w:u w:val="single"/>
          <w:lang w:val="en-US" w:eastAsia="zh-CN"/>
        </w:rPr>
        <w:t xml:space="preserve">   月   日至</w:t>
      </w:r>
      <w:r>
        <w:rPr>
          <w:rFonts w:hint="eastAsia" w:ascii="宋体" w:hAnsi="宋体" w:cs="宋体"/>
          <w:color w:val="auto"/>
          <w:szCs w:val="21"/>
          <w:highlight w:val="none"/>
          <w:lang w:val="en-US" w:eastAsia="zh-CN"/>
        </w:rPr>
        <w:t>202</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年</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月</w:t>
      </w:r>
      <w:r>
        <w:rPr>
          <w:rFonts w:hint="eastAsia" w:ascii="宋体" w:hAnsi="宋体" w:cs="宋体"/>
          <w:color w:val="auto"/>
          <w:szCs w:val="21"/>
          <w:highlight w:val="none"/>
          <w:u w:val="single"/>
          <w:lang w:val="en-US" w:eastAsia="zh-CN"/>
        </w:rPr>
        <w:t xml:space="preserve">  日，</w:t>
      </w:r>
      <w:r>
        <w:rPr>
          <w:rFonts w:hint="eastAsia" w:ascii="Times New Roman" w:hAnsi="Times New Roman" w:eastAsia="宋体" w:cs="Times New Roman"/>
          <w:i w:val="0"/>
          <w:caps w:val="0"/>
          <w:color w:val="auto"/>
          <w:spacing w:val="0"/>
          <w:sz w:val="21"/>
          <w:szCs w:val="21"/>
          <w:highlight w:val="none"/>
          <w:shd w:val="clear" w:color="auto" w:fill="auto"/>
        </w:rPr>
        <w:t>合同有效期内如采购费用达到合同采购总额上限则合作即告终止。</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2、双方因履行本合同发生争议的，双方应友好协商解决；协商不成的，应向甲方所在地人民法院提起诉讼。</w:t>
      </w:r>
    </w:p>
    <w:p>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3、本合同一式</w:t>
      </w:r>
      <w:r>
        <w:rPr>
          <w:rFonts w:hint="eastAsia" w:ascii="宋体" w:hAnsi="宋体" w:cs="宋体"/>
          <w:color w:val="auto"/>
          <w:szCs w:val="21"/>
          <w:highlight w:val="none"/>
          <w:lang w:eastAsia="zh-CN"/>
        </w:rPr>
        <w:t>两</w:t>
      </w:r>
      <w:r>
        <w:rPr>
          <w:rFonts w:hint="eastAsia" w:ascii="宋体" w:hAnsi="宋体" w:cs="宋体"/>
          <w:color w:val="auto"/>
          <w:szCs w:val="21"/>
          <w:highlight w:val="none"/>
        </w:rPr>
        <w:t>份，甲方执</w:t>
      </w:r>
      <w:r>
        <w:rPr>
          <w:rFonts w:hint="eastAsia" w:ascii="宋体" w:hAnsi="宋体" w:cs="宋体"/>
          <w:color w:val="auto"/>
          <w:szCs w:val="21"/>
          <w:highlight w:val="none"/>
          <w:lang w:eastAsia="zh-CN"/>
        </w:rPr>
        <w:t>一</w:t>
      </w:r>
      <w:r>
        <w:rPr>
          <w:rFonts w:hint="eastAsia" w:ascii="宋体" w:hAnsi="宋体" w:cs="宋体"/>
          <w:color w:val="auto"/>
          <w:szCs w:val="21"/>
          <w:highlight w:val="none"/>
        </w:rPr>
        <w:t>份，乙方执一份，具同等法律效力，合同自双方签字盖章后生效。</w:t>
      </w:r>
    </w:p>
    <w:p>
      <w:pPr>
        <w:spacing w:line="400" w:lineRule="exact"/>
        <w:ind w:firstLine="422" w:firstLineChars="200"/>
        <w:jc w:val="center"/>
        <w:rPr>
          <w:rFonts w:ascii="宋体" w:hAnsi="宋体" w:cs="宋体"/>
          <w:b/>
          <w:color w:val="auto"/>
          <w:szCs w:val="21"/>
          <w:highlight w:val="none"/>
        </w:rPr>
      </w:pPr>
    </w:p>
    <w:p>
      <w:pPr>
        <w:spacing w:line="400" w:lineRule="exact"/>
        <w:ind w:firstLine="422" w:firstLineChars="200"/>
        <w:jc w:val="center"/>
        <w:rPr>
          <w:rFonts w:ascii="宋体" w:hAnsi="宋体" w:cs="宋体"/>
          <w:b/>
          <w:color w:val="auto"/>
          <w:szCs w:val="21"/>
          <w:highlight w:val="none"/>
        </w:rPr>
      </w:pPr>
      <w:r>
        <w:rPr>
          <w:rFonts w:hint="eastAsia" w:ascii="宋体" w:hAnsi="宋体" w:cs="宋体"/>
          <w:b/>
          <w:color w:val="auto"/>
          <w:szCs w:val="21"/>
          <w:highlight w:val="none"/>
        </w:rPr>
        <w:t>【以下无正文】</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甲方：（盖章）广东省南方传媒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乙方：（盖章）</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发行物流有限公司</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地址：广州市</w:t>
      </w:r>
      <w:r>
        <w:rPr>
          <w:rFonts w:hint="eastAsia" w:ascii="宋体" w:hAnsi="宋体" w:cs="宋体"/>
          <w:color w:val="auto"/>
          <w:szCs w:val="21"/>
          <w:highlight w:val="none"/>
          <w:lang w:eastAsia="zh-CN"/>
        </w:rPr>
        <w:t>黄埔区黄埔大道东</w:t>
      </w:r>
      <w:r>
        <w:rPr>
          <w:rFonts w:hint="eastAsia" w:ascii="宋体" w:hAnsi="宋体" w:cs="宋体"/>
          <w:color w:val="auto"/>
          <w:szCs w:val="21"/>
          <w:highlight w:val="none"/>
          <w:lang w:val="en-US" w:eastAsia="zh-CN"/>
        </w:rPr>
        <w:t>888号</w:t>
      </w:r>
      <w:r>
        <w:rPr>
          <w:rFonts w:hint="eastAsia" w:ascii="宋体" w:hAnsi="宋体" w:cs="宋体"/>
          <w:color w:val="auto"/>
          <w:szCs w:val="21"/>
          <w:highlight w:val="none"/>
        </w:rPr>
        <w:t xml:space="preserve">      地址：</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电话：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电话：</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开户银行：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开户银行：</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账号：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账号：</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传真：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传真：</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授权代表签字：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授权代表签字：</w:t>
      </w:r>
    </w:p>
    <w:p>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日期：202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 xml:space="preserve">年   月   日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日期：202</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年  月   日</w:t>
      </w:r>
    </w:p>
    <w:p>
      <w:pPr>
        <w:rPr>
          <w:color w:val="auto"/>
          <w:highlight w:val="none"/>
        </w:rPr>
      </w:pPr>
    </w:p>
    <w:bookmarkEnd w:id="2030"/>
    <w:bookmarkEnd w:id="2031"/>
    <w:bookmarkEnd w:id="2032"/>
    <w:p>
      <w:pPr>
        <w:pStyle w:val="5"/>
        <w:numPr>
          <w:ilvl w:val="255"/>
          <w:numId w:val="0"/>
        </w:numPr>
        <w:spacing w:line="360" w:lineRule="auto"/>
        <w:jc w:val="center"/>
        <w:rPr>
          <w:rFonts w:hint="eastAsia"/>
          <w:color w:val="auto"/>
          <w:highlight w:val="none"/>
        </w:rPr>
      </w:pPr>
      <w:bookmarkStart w:id="2033" w:name="_Toc1009"/>
      <w:bookmarkStart w:id="2034" w:name="_Toc28820"/>
      <w:bookmarkStart w:id="2035" w:name="_Toc2640"/>
      <w:bookmarkStart w:id="2036" w:name="_Toc6519"/>
      <w:bookmarkStart w:id="2037" w:name="_Toc22365"/>
      <w:bookmarkStart w:id="2038" w:name="_Toc4553"/>
      <w:bookmarkStart w:id="2039" w:name="_Toc31106"/>
      <w:bookmarkStart w:id="2040" w:name="_Toc21917"/>
      <w:bookmarkStart w:id="2041" w:name="_Toc10657"/>
      <w:bookmarkStart w:id="2042" w:name="_Toc16703"/>
      <w:bookmarkStart w:id="2043" w:name="_Toc11525"/>
      <w:bookmarkStart w:id="2044" w:name="_Toc16095"/>
      <w:bookmarkStart w:id="2045" w:name="_Toc12730"/>
      <w:bookmarkStart w:id="2046" w:name="_Toc12607"/>
      <w:bookmarkStart w:id="2047" w:name="_Toc30029"/>
      <w:bookmarkStart w:id="2048" w:name="_Toc12175"/>
      <w:bookmarkStart w:id="2049" w:name="_Toc28045"/>
      <w:bookmarkStart w:id="2050" w:name="_Toc3347"/>
      <w:bookmarkStart w:id="2051" w:name="_Toc25052"/>
      <w:bookmarkStart w:id="2052" w:name="_Toc31562"/>
      <w:bookmarkStart w:id="2053" w:name="_Toc14850"/>
      <w:bookmarkStart w:id="2054" w:name="_Toc435178421"/>
      <w:bookmarkStart w:id="2055" w:name="_Toc422925647"/>
      <w:bookmarkStart w:id="2056" w:name="_Toc436215779"/>
    </w:p>
    <w:p>
      <w:pPr>
        <w:rPr>
          <w:rFonts w:hint="eastAsia"/>
          <w:color w:val="auto"/>
          <w:highlight w:val="none"/>
        </w:rPr>
      </w:pPr>
    </w:p>
    <w:p>
      <w:pPr>
        <w:pStyle w:val="5"/>
        <w:numPr>
          <w:ilvl w:val="255"/>
          <w:numId w:val="0"/>
        </w:numPr>
        <w:spacing w:line="360" w:lineRule="auto"/>
        <w:jc w:val="center"/>
        <w:rPr>
          <w:color w:val="auto"/>
          <w:highlight w:val="none"/>
        </w:rPr>
      </w:pPr>
      <w:bookmarkStart w:id="2057" w:name="_Toc23729"/>
      <w:r>
        <w:rPr>
          <w:rFonts w:hint="eastAsia"/>
          <w:color w:val="auto"/>
          <w:highlight w:val="none"/>
        </w:rPr>
        <w:t>第</w:t>
      </w:r>
      <w:r>
        <w:rPr>
          <w:rFonts w:hint="eastAsia"/>
          <w:color w:val="auto"/>
          <w:highlight w:val="none"/>
          <w:lang w:eastAsia="zh-CN"/>
        </w:rPr>
        <w:t>五</w:t>
      </w:r>
      <w:r>
        <w:rPr>
          <w:rFonts w:hint="eastAsia"/>
          <w:color w:val="auto"/>
          <w:highlight w:val="none"/>
        </w:rPr>
        <w:t>章 项目要求</w:t>
      </w:r>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7"/>
      <w:bookmarkStart w:id="2058" w:name="_Toc15045"/>
      <w:bookmarkEnd w:id="2058"/>
    </w:p>
    <w:p>
      <w:pPr>
        <w:spacing w:after="100" w:afterAutospacing="1" w:line="360" w:lineRule="auto"/>
        <w:rPr>
          <w:rFonts w:ascii="宋体" w:hAnsi="宋体" w:cs="宋体"/>
          <w:bCs/>
          <w:color w:val="auto"/>
          <w:szCs w:val="21"/>
          <w:highlight w:val="none"/>
        </w:rPr>
      </w:pPr>
      <w:r>
        <w:rPr>
          <w:rFonts w:hint="eastAsia" w:ascii="宋体" w:hAnsi="宋体" w:cs="宋体"/>
          <w:bCs/>
          <w:color w:val="auto"/>
          <w:szCs w:val="21"/>
          <w:highlight w:val="none"/>
        </w:rPr>
        <w:t>1、南方优品纸箱设计图详见本招标文件附件</w:t>
      </w:r>
      <w:r>
        <w:rPr>
          <w:rFonts w:hint="eastAsia" w:ascii="宋体" w:hAnsi="宋体" w:cs="宋体"/>
          <w:bCs/>
          <w:color w:val="auto"/>
          <w:szCs w:val="21"/>
          <w:highlight w:val="none"/>
          <w:lang w:val="en-US" w:eastAsia="zh-CN"/>
        </w:rPr>
        <w:t>1</w:t>
      </w:r>
      <w:r>
        <w:rPr>
          <w:rFonts w:hint="eastAsia" w:ascii="宋体" w:hAnsi="宋体" w:cs="宋体"/>
          <w:bCs/>
          <w:color w:val="auto"/>
          <w:szCs w:val="21"/>
          <w:highlight w:val="none"/>
        </w:rPr>
        <w:t>。</w:t>
      </w:r>
    </w:p>
    <w:p>
      <w:pPr>
        <w:spacing w:after="100" w:afterAutospacing="1" w:line="360" w:lineRule="auto"/>
        <w:rPr>
          <w:rFonts w:ascii="宋体" w:hAnsi="宋体" w:cs="宋体"/>
          <w:bCs/>
          <w:color w:val="auto"/>
          <w:szCs w:val="21"/>
          <w:highlight w:val="none"/>
        </w:rPr>
      </w:pPr>
      <w:r>
        <w:rPr>
          <w:rFonts w:hint="eastAsia" w:ascii="宋体" w:hAnsi="宋体" w:cs="宋体"/>
          <w:bCs/>
          <w:color w:val="auto"/>
          <w:szCs w:val="21"/>
          <w:highlight w:val="none"/>
        </w:rPr>
        <w:t>2、南方优品纸箱各尺寸规格预估采购量</w:t>
      </w:r>
      <w:r>
        <w:rPr>
          <w:rFonts w:hint="eastAsia" w:ascii="宋体" w:hAnsi="宋体" w:cs="宋体"/>
          <w:bCs/>
          <w:color w:val="auto"/>
          <w:szCs w:val="21"/>
          <w:highlight w:val="none"/>
          <w:lang w:eastAsia="zh-CN"/>
        </w:rPr>
        <w:t>详见附件</w:t>
      </w:r>
      <w:r>
        <w:rPr>
          <w:rFonts w:hint="eastAsia" w:ascii="宋体" w:hAnsi="宋体" w:cs="宋体"/>
          <w:bCs/>
          <w:color w:val="auto"/>
          <w:szCs w:val="21"/>
          <w:highlight w:val="none"/>
          <w:lang w:val="en-US" w:eastAsia="zh-CN"/>
        </w:rPr>
        <w:t>2</w:t>
      </w:r>
      <w:r>
        <w:rPr>
          <w:rFonts w:hint="eastAsia" w:ascii="宋体" w:hAnsi="宋体" w:cs="宋体"/>
          <w:bCs/>
          <w:color w:val="auto"/>
          <w:szCs w:val="21"/>
          <w:highlight w:val="none"/>
        </w:rPr>
        <w:t>投标报价表，具体采购量以招标人实际需求为准。</w:t>
      </w:r>
    </w:p>
    <w:p>
      <w:pPr>
        <w:spacing w:after="100" w:afterAutospacing="1" w:line="360" w:lineRule="auto"/>
        <w:rPr>
          <w:rFonts w:hint="default" w:ascii="宋体" w:hAnsi="宋体" w:eastAsia="宋体" w:cs="宋体"/>
          <w:bCs/>
          <w:color w:val="auto"/>
          <w:szCs w:val="21"/>
          <w:highlight w:val="none"/>
          <w:lang w:val="en-US" w:eastAsia="zh-CN"/>
        </w:rPr>
      </w:pPr>
      <w:r>
        <w:rPr>
          <w:rFonts w:hint="eastAsia" w:ascii="宋体" w:hAnsi="宋体" w:cs="宋体"/>
          <w:bCs/>
          <w:color w:val="auto"/>
          <w:szCs w:val="21"/>
          <w:highlight w:val="none"/>
        </w:rPr>
        <w:t>3、南方优品纸箱须按招标人要求分批次送货，原则上每次送货数量不少于3000个</w:t>
      </w:r>
      <w:r>
        <w:rPr>
          <w:rFonts w:hint="eastAsia" w:ascii="宋体" w:hAnsi="宋体" w:cs="宋体"/>
          <w:bCs/>
          <w:color w:val="auto"/>
          <w:szCs w:val="21"/>
          <w:highlight w:val="none"/>
          <w:lang w:eastAsia="zh-CN"/>
        </w:rPr>
        <w:t>，</w:t>
      </w:r>
      <w:r>
        <w:rPr>
          <w:rFonts w:hint="eastAsia" w:ascii="宋体" w:hAnsi="宋体" w:cs="宋体"/>
          <w:bCs/>
          <w:color w:val="auto"/>
          <w:szCs w:val="21"/>
          <w:highlight w:val="none"/>
          <w:lang w:val="en-US" w:eastAsia="zh-CN"/>
        </w:rPr>
        <w:t>并提供卸货服务。</w:t>
      </w:r>
    </w:p>
    <w:p>
      <w:pPr>
        <w:spacing w:after="100" w:afterAutospacing="1" w:line="360" w:lineRule="auto"/>
        <w:rPr>
          <w:rFonts w:ascii="宋体" w:hAnsi="宋体" w:cs="宋体"/>
          <w:bCs/>
          <w:color w:val="auto"/>
          <w:szCs w:val="21"/>
          <w:highlight w:val="none"/>
        </w:rPr>
      </w:pPr>
      <w:r>
        <w:rPr>
          <w:rFonts w:hint="eastAsia" w:ascii="微软雅黑" w:hAnsi="微软雅黑" w:eastAsia="微软雅黑" w:cs="微软雅黑"/>
          <w:bCs/>
          <w:color w:val="auto"/>
          <w:szCs w:val="21"/>
          <w:highlight w:val="none"/>
          <w:lang w:eastAsia="zh-CN"/>
        </w:rPr>
        <w:t>★</w:t>
      </w:r>
      <w:r>
        <w:rPr>
          <w:rFonts w:hint="eastAsia" w:ascii="宋体" w:hAnsi="宋体" w:cs="宋体"/>
          <w:bCs/>
          <w:color w:val="auto"/>
          <w:szCs w:val="21"/>
          <w:highlight w:val="none"/>
        </w:rPr>
        <w:t>4、招标人提供南方优品纸箱样品，投标人</w:t>
      </w:r>
      <w:r>
        <w:rPr>
          <w:rFonts w:hint="eastAsia" w:ascii="宋体" w:hAnsi="宋体" w:cs="宋体"/>
          <w:bCs w:val="0"/>
          <w:color w:val="auto"/>
          <w:szCs w:val="21"/>
          <w:highlight w:val="none"/>
        </w:rPr>
        <w:t>可于</w:t>
      </w:r>
      <w:r>
        <w:rPr>
          <w:rFonts w:hint="eastAsia" w:ascii="宋体" w:hAnsi="宋体" w:eastAsia="宋体" w:cs="宋体"/>
          <w:i w:val="0"/>
          <w:iCs w:val="0"/>
          <w:caps w:val="0"/>
          <w:color w:val="auto"/>
          <w:spacing w:val="0"/>
          <w:sz w:val="21"/>
          <w:szCs w:val="21"/>
          <w:highlight w:val="none"/>
          <w:u w:val="none"/>
          <w:shd w:val="clear" w:color="auto" w:fill="auto"/>
          <w:lang w:val="en-US" w:eastAsia="zh-CN"/>
        </w:rPr>
        <w:t>202</w:t>
      </w:r>
      <w:r>
        <w:rPr>
          <w:rFonts w:hint="eastAsia" w:ascii="宋体" w:hAnsi="宋体" w:cs="宋体"/>
          <w:i w:val="0"/>
          <w:iCs w:val="0"/>
          <w:caps w:val="0"/>
          <w:color w:val="auto"/>
          <w:spacing w:val="0"/>
          <w:sz w:val="21"/>
          <w:szCs w:val="21"/>
          <w:highlight w:val="none"/>
          <w:u w:val="none"/>
          <w:shd w:val="clear"/>
          <w:lang w:val="en-US" w:eastAsia="zh-CN"/>
        </w:rPr>
        <w:t>4</w:t>
      </w:r>
      <w:r>
        <w:rPr>
          <w:rFonts w:hint="eastAsia" w:ascii="宋体" w:hAnsi="宋体" w:eastAsia="宋体" w:cs="宋体"/>
          <w:i w:val="0"/>
          <w:iCs w:val="0"/>
          <w:caps w:val="0"/>
          <w:color w:val="auto"/>
          <w:spacing w:val="0"/>
          <w:sz w:val="21"/>
          <w:szCs w:val="21"/>
          <w:highlight w:val="none"/>
          <w:u w:val="none"/>
          <w:shd w:val="clear" w:color="auto" w:fill="auto"/>
          <w:lang w:val="en-US" w:eastAsia="zh-CN"/>
        </w:rPr>
        <w:t>年</w:t>
      </w:r>
      <w:r>
        <w:rPr>
          <w:rFonts w:hint="eastAsia" w:ascii="宋体" w:hAnsi="宋体" w:cs="宋体"/>
          <w:i w:val="0"/>
          <w:iCs w:val="0"/>
          <w:caps w:val="0"/>
          <w:color w:val="auto"/>
          <w:spacing w:val="0"/>
          <w:sz w:val="21"/>
          <w:szCs w:val="21"/>
          <w:highlight w:val="none"/>
          <w:u w:val="none"/>
          <w:shd w:val="clear"/>
          <w:lang w:val="en-US" w:eastAsia="zh-CN"/>
        </w:rPr>
        <w:t>5</w:t>
      </w:r>
      <w:r>
        <w:rPr>
          <w:rFonts w:hint="eastAsia" w:ascii="宋体" w:hAnsi="宋体" w:eastAsia="宋体" w:cs="宋体"/>
          <w:i w:val="0"/>
          <w:iCs w:val="0"/>
          <w:caps w:val="0"/>
          <w:color w:val="auto"/>
          <w:spacing w:val="0"/>
          <w:sz w:val="21"/>
          <w:szCs w:val="21"/>
          <w:highlight w:val="none"/>
          <w:u w:val="none"/>
          <w:shd w:val="clear" w:color="auto" w:fill="auto"/>
          <w:lang w:val="en-US" w:eastAsia="zh-CN"/>
        </w:rPr>
        <w:t>月</w:t>
      </w:r>
      <w:r>
        <w:rPr>
          <w:rFonts w:hint="eastAsia" w:ascii="宋体" w:hAnsi="宋体" w:cs="宋体"/>
          <w:i w:val="0"/>
          <w:iCs w:val="0"/>
          <w:caps w:val="0"/>
          <w:color w:val="auto"/>
          <w:spacing w:val="0"/>
          <w:sz w:val="21"/>
          <w:szCs w:val="21"/>
          <w:highlight w:val="none"/>
          <w:u w:val="none"/>
          <w:shd w:val="clear" w:color="auto" w:fill="auto"/>
          <w:lang w:val="en-US" w:eastAsia="zh-CN"/>
        </w:rPr>
        <w:t>9</w:t>
      </w:r>
      <w:r>
        <w:rPr>
          <w:rFonts w:hint="eastAsia" w:ascii="宋体" w:hAnsi="宋体" w:eastAsia="宋体" w:cs="宋体"/>
          <w:i w:val="0"/>
          <w:iCs w:val="0"/>
          <w:caps w:val="0"/>
          <w:color w:val="auto"/>
          <w:spacing w:val="0"/>
          <w:sz w:val="21"/>
          <w:szCs w:val="21"/>
          <w:highlight w:val="none"/>
          <w:u w:val="none"/>
          <w:shd w:val="clear" w:color="auto" w:fill="auto"/>
          <w:lang w:val="en-US" w:eastAsia="zh-CN"/>
        </w:rPr>
        <w:t>日下午13:30—16:30</w:t>
      </w:r>
      <w:r>
        <w:rPr>
          <w:rFonts w:hint="eastAsia" w:ascii="宋体" w:hAnsi="宋体" w:cs="宋体"/>
          <w:bCs w:val="0"/>
          <w:color w:val="auto"/>
          <w:szCs w:val="21"/>
          <w:highlight w:val="none"/>
        </w:rPr>
        <w:t>前（须工作日）到（</w:t>
      </w:r>
      <w:r>
        <w:rPr>
          <w:rFonts w:hint="eastAsia" w:ascii="宋体" w:hAnsi="宋体" w:cs="宋体"/>
          <w:color w:val="auto"/>
          <w:szCs w:val="21"/>
          <w:highlight w:val="none"/>
        </w:rPr>
        <w:t>广州市</w:t>
      </w:r>
      <w:r>
        <w:rPr>
          <w:rFonts w:hint="eastAsia" w:ascii="宋体" w:hAnsi="宋体" w:cs="宋体"/>
          <w:color w:val="auto"/>
          <w:szCs w:val="21"/>
          <w:highlight w:val="none"/>
          <w:lang w:eastAsia="zh-CN"/>
        </w:rPr>
        <w:t>黄埔区黄埔大道东</w:t>
      </w:r>
      <w:r>
        <w:rPr>
          <w:rFonts w:hint="eastAsia" w:ascii="宋体" w:hAnsi="宋体" w:cs="宋体"/>
          <w:color w:val="auto"/>
          <w:szCs w:val="21"/>
          <w:highlight w:val="none"/>
          <w:lang w:val="en-US" w:eastAsia="zh-CN"/>
        </w:rPr>
        <w:t>888号</w:t>
      </w:r>
      <w:r>
        <w:rPr>
          <w:rFonts w:hint="eastAsia" w:ascii="宋体" w:hAnsi="宋体" w:cs="宋体"/>
          <w:bCs/>
          <w:color w:val="auto"/>
          <w:szCs w:val="21"/>
          <w:highlight w:val="none"/>
          <w:lang w:eastAsia="zh-CN"/>
        </w:rPr>
        <w:t>南方智媒大厦</w:t>
      </w:r>
      <w:r>
        <w:rPr>
          <w:rFonts w:hint="eastAsia" w:ascii="宋体" w:hAnsi="宋体" w:cs="宋体"/>
          <w:bCs/>
          <w:color w:val="auto"/>
          <w:szCs w:val="21"/>
          <w:highlight w:val="none"/>
          <w:lang w:val="en-US" w:eastAsia="zh-CN"/>
        </w:rPr>
        <w:t>20楼</w:t>
      </w:r>
      <w:r>
        <w:rPr>
          <w:rFonts w:hint="eastAsia" w:ascii="宋体" w:hAnsi="宋体" w:cs="宋体"/>
          <w:bCs/>
          <w:color w:val="auto"/>
          <w:szCs w:val="21"/>
          <w:highlight w:val="none"/>
        </w:rPr>
        <w:t>）查看招标样品，若投标人不查看样品则视为已充分了解招标人的要求。</w:t>
      </w:r>
    </w:p>
    <w:p>
      <w:pPr>
        <w:spacing w:after="100" w:afterAutospacing="1" w:line="360" w:lineRule="auto"/>
        <w:rPr>
          <w:rFonts w:ascii="宋体" w:hAnsi="宋体" w:cs="宋体"/>
          <w:bCs/>
          <w:color w:val="auto"/>
          <w:szCs w:val="21"/>
          <w:highlight w:val="none"/>
        </w:rPr>
      </w:pPr>
      <w:r>
        <w:rPr>
          <w:rFonts w:hint="eastAsia" w:ascii="微软雅黑" w:hAnsi="微软雅黑" w:eastAsia="微软雅黑" w:cs="微软雅黑"/>
          <w:bCs/>
          <w:color w:val="auto"/>
          <w:szCs w:val="21"/>
          <w:highlight w:val="none"/>
          <w:lang w:eastAsia="zh-CN"/>
        </w:rPr>
        <w:t>★</w:t>
      </w:r>
      <w:r>
        <w:rPr>
          <w:rFonts w:hint="eastAsia" w:ascii="宋体" w:hAnsi="宋体" w:cs="宋体"/>
          <w:bCs/>
          <w:color w:val="auto"/>
          <w:szCs w:val="21"/>
          <w:highlight w:val="none"/>
        </w:rPr>
        <w:t>（1）投标人必须提供四种规格的样品（每种规格提供一个样品），样品须注明公司名称、品种及规格（保证标识不易脱落），且投标人所提供的样品品质不能低于招标人提供的样品品质，否则视为投标文件无效。投标人提供样品产生的费用由投标人承担，样品不予退还。</w:t>
      </w:r>
    </w:p>
    <w:p>
      <w:pPr>
        <w:spacing w:after="100" w:afterAutospacing="1" w:line="360" w:lineRule="auto"/>
        <w:rPr>
          <w:rFonts w:ascii="宋体" w:hAnsi="宋体" w:cs="宋体"/>
          <w:bCs/>
          <w:color w:val="auto"/>
          <w:szCs w:val="21"/>
          <w:highlight w:val="none"/>
        </w:rPr>
      </w:pPr>
      <w:r>
        <w:rPr>
          <w:rFonts w:hint="eastAsia" w:ascii="微软雅黑" w:hAnsi="微软雅黑" w:eastAsia="微软雅黑" w:cs="微软雅黑"/>
          <w:bCs/>
          <w:color w:val="auto"/>
          <w:szCs w:val="21"/>
          <w:highlight w:val="none"/>
          <w:lang w:eastAsia="zh-CN"/>
        </w:rPr>
        <w:t>★</w:t>
      </w:r>
      <w:r>
        <w:rPr>
          <w:rFonts w:hint="eastAsia" w:ascii="宋体" w:hAnsi="宋体" w:cs="宋体"/>
          <w:bCs/>
          <w:color w:val="auto"/>
          <w:szCs w:val="21"/>
          <w:highlight w:val="none"/>
        </w:rPr>
        <w:t>（2）投标人提供的样品须于</w:t>
      </w:r>
      <w:r>
        <w:rPr>
          <w:rFonts w:hint="eastAsia" w:ascii="宋体" w:hAnsi="宋体" w:cs="宋体"/>
          <w:bCs/>
          <w:color w:val="auto"/>
          <w:szCs w:val="21"/>
          <w:highlight w:val="none"/>
          <w:lang w:val="en-US" w:eastAsia="zh-CN"/>
        </w:rPr>
        <w:t>*</w:t>
      </w:r>
      <w:r>
        <w:rPr>
          <w:rFonts w:hint="eastAsia" w:ascii="宋体" w:hAnsi="宋体" w:cs="宋体"/>
          <w:bCs/>
          <w:color w:val="auto"/>
          <w:szCs w:val="21"/>
          <w:highlight w:val="none"/>
        </w:rPr>
        <w:t>月</w:t>
      </w:r>
      <w:r>
        <w:rPr>
          <w:rFonts w:hint="eastAsia" w:ascii="宋体" w:hAnsi="宋体" w:cs="宋体"/>
          <w:bCs/>
          <w:color w:val="auto"/>
          <w:szCs w:val="21"/>
          <w:highlight w:val="none"/>
          <w:lang w:val="en-US" w:eastAsia="zh-CN"/>
        </w:rPr>
        <w:t>*</w:t>
      </w:r>
      <w:r>
        <w:rPr>
          <w:rFonts w:hint="eastAsia" w:ascii="宋体" w:hAnsi="宋体" w:cs="宋体"/>
          <w:bCs/>
          <w:color w:val="auto"/>
          <w:szCs w:val="21"/>
          <w:highlight w:val="none"/>
        </w:rPr>
        <w:t>日</w:t>
      </w:r>
      <w:r>
        <w:rPr>
          <w:rFonts w:hint="eastAsia" w:ascii="宋体" w:hAnsi="宋体" w:cs="宋体"/>
          <w:bCs/>
          <w:color w:val="auto"/>
          <w:szCs w:val="21"/>
          <w:highlight w:val="none"/>
          <w:lang w:val="en-US" w:eastAsia="zh-CN"/>
        </w:rPr>
        <w:t>*</w:t>
      </w:r>
      <w:r>
        <w:rPr>
          <w:rFonts w:hint="eastAsia" w:ascii="宋体" w:hAnsi="宋体" w:cs="宋体"/>
          <w:bCs/>
          <w:color w:val="auto"/>
          <w:szCs w:val="21"/>
          <w:highlight w:val="none"/>
        </w:rPr>
        <w:t>时前送达或快递到我司，地址：</w:t>
      </w:r>
      <w:r>
        <w:rPr>
          <w:rFonts w:hint="eastAsia" w:ascii="宋体" w:hAnsi="宋体" w:cs="宋体"/>
          <w:color w:val="auto"/>
          <w:szCs w:val="21"/>
          <w:highlight w:val="none"/>
        </w:rPr>
        <w:t>广州市</w:t>
      </w:r>
      <w:r>
        <w:rPr>
          <w:rFonts w:hint="eastAsia" w:ascii="宋体" w:hAnsi="宋体" w:cs="宋体"/>
          <w:color w:val="auto"/>
          <w:szCs w:val="21"/>
          <w:highlight w:val="none"/>
          <w:lang w:eastAsia="zh-CN"/>
        </w:rPr>
        <w:t>黄埔区黄埔大道东</w:t>
      </w:r>
      <w:r>
        <w:rPr>
          <w:rFonts w:hint="eastAsia" w:ascii="宋体" w:hAnsi="宋体" w:cs="宋体"/>
          <w:color w:val="auto"/>
          <w:szCs w:val="21"/>
          <w:highlight w:val="none"/>
          <w:lang w:val="en-US" w:eastAsia="zh-CN"/>
        </w:rPr>
        <w:t>888号</w:t>
      </w:r>
      <w:r>
        <w:rPr>
          <w:rFonts w:hint="eastAsia" w:ascii="宋体" w:hAnsi="宋体" w:cs="宋体"/>
          <w:bCs/>
          <w:color w:val="auto"/>
          <w:szCs w:val="21"/>
          <w:highlight w:val="none"/>
          <w:lang w:eastAsia="zh-CN"/>
        </w:rPr>
        <w:t>南方智媒大厦</w:t>
      </w:r>
      <w:r>
        <w:rPr>
          <w:rFonts w:hint="eastAsia" w:ascii="宋体" w:hAnsi="宋体" w:cs="宋体"/>
          <w:bCs/>
          <w:color w:val="auto"/>
          <w:szCs w:val="21"/>
          <w:highlight w:val="none"/>
          <w:lang w:val="en-US" w:eastAsia="zh-CN"/>
        </w:rPr>
        <w:t>20楼</w:t>
      </w:r>
      <w:r>
        <w:rPr>
          <w:rFonts w:hint="eastAsia" w:ascii="宋体" w:hAnsi="宋体" w:cs="宋体"/>
          <w:bCs/>
          <w:color w:val="auto"/>
          <w:szCs w:val="21"/>
          <w:highlight w:val="none"/>
        </w:rPr>
        <w:t>；联系人：官小姐；电话13763355750。</w:t>
      </w:r>
    </w:p>
    <w:p>
      <w:pPr>
        <w:spacing w:after="100" w:afterAutospacing="1" w:line="360" w:lineRule="auto"/>
        <w:rPr>
          <w:color w:val="auto"/>
          <w:highlight w:val="none"/>
        </w:rPr>
      </w:pPr>
      <w:r>
        <w:rPr>
          <w:rFonts w:hint="eastAsia" w:ascii="微软雅黑" w:hAnsi="微软雅黑" w:eastAsia="微软雅黑" w:cs="微软雅黑"/>
          <w:bCs/>
          <w:color w:val="auto"/>
          <w:szCs w:val="21"/>
          <w:highlight w:val="none"/>
          <w:lang w:eastAsia="zh-CN"/>
        </w:rPr>
        <w:t>★</w:t>
      </w:r>
      <w:r>
        <w:rPr>
          <w:rFonts w:hint="eastAsia" w:ascii="宋体" w:hAnsi="宋体" w:cs="宋体"/>
          <w:bCs/>
          <w:color w:val="auto"/>
          <w:szCs w:val="21"/>
          <w:highlight w:val="none"/>
        </w:rPr>
        <w:t>(3)投标人一旦中标，其生产交货的产品品质不能低于招标样品且须提供产品合格检验报告，否则招标人不予接收。</w:t>
      </w:r>
    </w:p>
    <w:p>
      <w:pPr>
        <w:spacing w:after="100" w:afterAutospacing="1" w:line="360" w:lineRule="auto"/>
        <w:rPr>
          <w:rFonts w:ascii="宋体" w:hAnsi="宋体" w:cs="宋体"/>
          <w:bCs/>
          <w:color w:val="auto"/>
          <w:szCs w:val="21"/>
          <w:highlight w:val="none"/>
        </w:rPr>
      </w:pPr>
      <w:r>
        <w:rPr>
          <w:rFonts w:hint="eastAsia" w:ascii="微软雅黑" w:hAnsi="微软雅黑" w:eastAsia="微软雅黑" w:cs="微软雅黑"/>
          <w:bCs/>
          <w:color w:val="auto"/>
          <w:szCs w:val="21"/>
          <w:highlight w:val="none"/>
          <w:lang w:eastAsia="zh-CN"/>
        </w:rPr>
        <w:t>★</w:t>
      </w:r>
      <w:r>
        <w:rPr>
          <w:rFonts w:hint="eastAsia" w:ascii="宋体" w:hAnsi="宋体" w:cs="宋体"/>
          <w:bCs/>
          <w:color w:val="auto"/>
          <w:szCs w:val="21"/>
          <w:highlight w:val="none"/>
        </w:rPr>
        <w:t>5、投标人必须提供各规格尺寸的样品，不提供样品视为投标文件无效。</w:t>
      </w:r>
    </w:p>
    <w:p>
      <w:pPr>
        <w:spacing w:after="100" w:afterAutospacing="1" w:line="360" w:lineRule="auto"/>
        <w:rPr>
          <w:rFonts w:ascii="宋体" w:hAnsi="宋体" w:cs="宋体"/>
          <w:bCs/>
          <w:color w:val="auto"/>
          <w:szCs w:val="21"/>
          <w:highlight w:val="none"/>
        </w:rPr>
        <w:sectPr>
          <w:headerReference r:id="rId4" w:type="default"/>
          <w:footerReference r:id="rId5" w:type="default"/>
          <w:footerReference r:id="rId6" w:type="even"/>
          <w:pgSz w:w="11906" w:h="16838"/>
          <w:pgMar w:top="1440" w:right="1800" w:bottom="1440" w:left="1800" w:header="851" w:footer="992" w:gutter="0"/>
          <w:pgNumType w:fmt="numberInDash"/>
          <w:cols w:space="720" w:num="1"/>
          <w:docGrid w:linePitch="312" w:charSpace="0"/>
        </w:sectPr>
      </w:pPr>
      <w:r>
        <w:rPr>
          <w:rFonts w:hint="eastAsia" w:ascii="宋体" w:hAnsi="宋体" w:cs="宋体"/>
          <w:bCs/>
          <w:color w:val="auto"/>
          <w:szCs w:val="21"/>
          <w:highlight w:val="none"/>
        </w:rPr>
        <w:t>6、其他要求详见本招标文件第四章“合同条款”。</w:t>
      </w:r>
    </w:p>
    <w:bookmarkEnd w:id="2054"/>
    <w:bookmarkEnd w:id="2055"/>
    <w:bookmarkEnd w:id="2056"/>
    <w:p>
      <w:pPr>
        <w:jc w:val="left"/>
        <w:rPr>
          <w:color w:val="auto"/>
          <w:highlight w:val="none"/>
        </w:rPr>
      </w:pPr>
      <w:bookmarkStart w:id="2059" w:name="_Toc422925648"/>
      <w:bookmarkStart w:id="2060" w:name="_Toc179632806"/>
      <w:bookmarkStart w:id="2061" w:name="_Toc152045786"/>
      <w:bookmarkStart w:id="2062" w:name="_Toc246997097"/>
      <w:bookmarkStart w:id="2063" w:name="_Toc144974855"/>
      <w:bookmarkStart w:id="2064" w:name="_Toc246996354"/>
      <w:bookmarkStart w:id="2065" w:name="_Toc247085872"/>
      <w:bookmarkStart w:id="2066" w:name="_Toc436215780"/>
      <w:bookmarkStart w:id="2067" w:name="_Toc435178422"/>
      <w:bookmarkStart w:id="2068" w:name="_Toc152042575"/>
    </w:p>
    <w:p>
      <w:pPr>
        <w:pStyle w:val="5"/>
        <w:spacing w:line="360" w:lineRule="auto"/>
        <w:rPr>
          <w:color w:val="auto"/>
          <w:highlight w:val="none"/>
        </w:rPr>
      </w:pPr>
      <w:bookmarkStart w:id="2069" w:name="_Toc496601990"/>
    </w:p>
    <w:p>
      <w:pPr>
        <w:pStyle w:val="5"/>
        <w:spacing w:line="360" w:lineRule="auto"/>
        <w:jc w:val="center"/>
        <w:rPr>
          <w:color w:val="auto"/>
          <w:highlight w:val="none"/>
        </w:rPr>
      </w:pPr>
      <w:bookmarkStart w:id="2070" w:name="_Toc5668"/>
      <w:bookmarkStart w:id="2071" w:name="_Toc32499"/>
      <w:bookmarkStart w:id="2072" w:name="_Toc24329"/>
      <w:bookmarkStart w:id="2073" w:name="_Toc24210"/>
      <w:bookmarkStart w:id="2074" w:name="_Toc24410"/>
      <w:bookmarkStart w:id="2075" w:name="_Toc11494"/>
      <w:bookmarkStart w:id="2076" w:name="_Toc19684"/>
      <w:bookmarkStart w:id="2077" w:name="_Toc26950"/>
      <w:bookmarkStart w:id="2078" w:name="_Toc30762"/>
      <w:bookmarkStart w:id="2079" w:name="_Toc6761"/>
      <w:bookmarkStart w:id="2080" w:name="_Toc824"/>
      <w:bookmarkStart w:id="2081" w:name="_Toc10998"/>
      <w:bookmarkStart w:id="2082" w:name="_Toc5027"/>
      <w:bookmarkStart w:id="2083" w:name="_Toc32044"/>
      <w:bookmarkStart w:id="2084" w:name="_Toc18231"/>
      <w:bookmarkStart w:id="2085" w:name="_Toc4880"/>
      <w:bookmarkStart w:id="2086" w:name="_Toc9795"/>
      <w:bookmarkStart w:id="2087" w:name="_Toc16521"/>
      <w:bookmarkStart w:id="2088" w:name="_Toc3687"/>
      <w:bookmarkStart w:id="2089" w:name="_Toc13773"/>
      <w:bookmarkStart w:id="2090" w:name="_Toc13007"/>
      <w:bookmarkStart w:id="2091" w:name="_Toc4334"/>
      <w:bookmarkStart w:id="2092" w:name="_Toc9340"/>
      <w:bookmarkStart w:id="2093" w:name="_Toc8866"/>
      <w:bookmarkStart w:id="2094" w:name="_Toc26357"/>
      <w:r>
        <w:rPr>
          <w:rFonts w:hint="eastAsia"/>
          <w:color w:val="auto"/>
          <w:highlight w:val="none"/>
        </w:rPr>
        <w:t>第</w:t>
      </w:r>
      <w:r>
        <w:rPr>
          <w:rFonts w:hint="eastAsia"/>
          <w:color w:val="auto"/>
          <w:highlight w:val="none"/>
          <w:lang w:eastAsia="zh-CN"/>
        </w:rPr>
        <w:t>六</w:t>
      </w:r>
      <w:r>
        <w:rPr>
          <w:rFonts w:hint="eastAsia"/>
          <w:color w:val="auto"/>
          <w:highlight w:val="none"/>
        </w:rPr>
        <w:t>章  投标文件格式</w:t>
      </w:r>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p>
    <w:p>
      <w:pPr>
        <w:spacing w:line="360" w:lineRule="auto"/>
        <w:rPr>
          <w:color w:val="auto"/>
          <w:highlight w:val="none"/>
        </w:rPr>
      </w:pPr>
    </w:p>
    <w:p>
      <w:pPr>
        <w:spacing w:line="360" w:lineRule="auto"/>
        <w:rPr>
          <w:rFonts w:eastAsia="黑体"/>
          <w:color w:val="auto"/>
          <w:sz w:val="20"/>
          <w:szCs w:val="20"/>
          <w:highlight w:val="none"/>
        </w:rPr>
      </w:pPr>
    </w:p>
    <w:p>
      <w:pPr>
        <w:spacing w:line="360" w:lineRule="auto"/>
        <w:jc w:val="center"/>
        <w:rPr>
          <w:rFonts w:eastAsia="黑体"/>
          <w:color w:val="auto"/>
          <w:sz w:val="20"/>
          <w:szCs w:val="20"/>
          <w:highlight w:val="none"/>
        </w:rPr>
      </w:pPr>
      <w:r>
        <w:rPr>
          <w:rFonts w:hint="eastAsia" w:eastAsia="黑体"/>
          <w:color w:val="auto"/>
          <w:sz w:val="28"/>
          <w:szCs w:val="28"/>
          <w:highlight w:val="none"/>
          <w:u w:val="single"/>
        </w:rPr>
        <w:t xml:space="preserve">                </w:t>
      </w:r>
      <w:r>
        <w:rPr>
          <w:rFonts w:eastAsia="黑体"/>
          <w:color w:val="auto"/>
          <w:sz w:val="28"/>
          <w:szCs w:val="28"/>
          <w:highlight w:val="none"/>
        </w:rPr>
        <w:t>（项目名称）</w:t>
      </w:r>
    </w:p>
    <w:p>
      <w:pPr>
        <w:spacing w:line="360" w:lineRule="auto"/>
        <w:jc w:val="center"/>
        <w:rPr>
          <w:rFonts w:eastAsia="黑体"/>
          <w:color w:val="auto"/>
          <w:sz w:val="20"/>
          <w:szCs w:val="20"/>
          <w:highlight w:val="none"/>
        </w:rPr>
      </w:pPr>
    </w:p>
    <w:p>
      <w:pPr>
        <w:spacing w:line="360" w:lineRule="auto"/>
        <w:rPr>
          <w:rFonts w:eastAsia="黑体"/>
          <w:color w:val="auto"/>
          <w:sz w:val="20"/>
          <w:szCs w:val="20"/>
          <w:highlight w:val="none"/>
        </w:rPr>
      </w:pPr>
    </w:p>
    <w:p>
      <w:pPr>
        <w:spacing w:line="360" w:lineRule="auto"/>
        <w:jc w:val="center"/>
        <w:rPr>
          <w:rFonts w:eastAsia="黑体"/>
          <w:color w:val="auto"/>
          <w:sz w:val="44"/>
          <w:szCs w:val="44"/>
          <w:highlight w:val="none"/>
        </w:rPr>
      </w:pPr>
      <w:r>
        <w:rPr>
          <w:rFonts w:eastAsia="黑体"/>
          <w:color w:val="auto"/>
          <w:sz w:val="44"/>
          <w:szCs w:val="44"/>
          <w:highlight w:val="none"/>
        </w:rPr>
        <w:t>投  标  文  件</w:t>
      </w:r>
    </w:p>
    <w:p>
      <w:pPr>
        <w:spacing w:line="360" w:lineRule="auto"/>
        <w:rPr>
          <w:rFonts w:eastAsia="黑体"/>
          <w:color w:val="auto"/>
          <w:sz w:val="28"/>
          <w:szCs w:val="28"/>
          <w:highlight w:val="none"/>
        </w:rPr>
      </w:pPr>
    </w:p>
    <w:p>
      <w:pPr>
        <w:spacing w:line="360" w:lineRule="auto"/>
        <w:rPr>
          <w:rFonts w:eastAsia="黑体"/>
          <w:color w:val="auto"/>
          <w:sz w:val="28"/>
          <w:szCs w:val="28"/>
          <w:highlight w:val="none"/>
        </w:rPr>
      </w:pPr>
    </w:p>
    <w:p>
      <w:pPr>
        <w:spacing w:line="360" w:lineRule="auto"/>
        <w:rPr>
          <w:rFonts w:eastAsia="黑体"/>
          <w:color w:val="auto"/>
          <w:sz w:val="28"/>
          <w:szCs w:val="28"/>
          <w:highlight w:val="none"/>
        </w:rPr>
      </w:pPr>
    </w:p>
    <w:p>
      <w:pPr>
        <w:spacing w:line="360" w:lineRule="auto"/>
        <w:rPr>
          <w:rFonts w:eastAsia="黑体"/>
          <w:color w:val="auto"/>
          <w:sz w:val="28"/>
          <w:szCs w:val="28"/>
          <w:highlight w:val="none"/>
        </w:rPr>
      </w:pPr>
    </w:p>
    <w:p>
      <w:pPr>
        <w:spacing w:line="360" w:lineRule="auto"/>
        <w:rPr>
          <w:rFonts w:eastAsia="黑体"/>
          <w:color w:val="auto"/>
          <w:sz w:val="28"/>
          <w:szCs w:val="28"/>
          <w:highlight w:val="none"/>
        </w:rPr>
      </w:pPr>
    </w:p>
    <w:p>
      <w:pPr>
        <w:spacing w:line="360" w:lineRule="auto"/>
        <w:jc w:val="center"/>
        <w:rPr>
          <w:rFonts w:eastAsia="黑体"/>
          <w:color w:val="auto"/>
          <w:sz w:val="28"/>
          <w:szCs w:val="28"/>
          <w:highlight w:val="none"/>
          <w:u w:val="single"/>
        </w:rPr>
      </w:pPr>
      <w:r>
        <w:rPr>
          <w:rFonts w:eastAsia="黑体"/>
          <w:color w:val="auto"/>
          <w:sz w:val="28"/>
          <w:szCs w:val="28"/>
          <w:highlight w:val="none"/>
        </w:rPr>
        <w:t>投标人：</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（盖单位章）</w:t>
      </w:r>
    </w:p>
    <w:p>
      <w:pPr>
        <w:spacing w:line="360" w:lineRule="auto"/>
        <w:jc w:val="center"/>
        <w:rPr>
          <w:rFonts w:eastAsia="黑体"/>
          <w:color w:val="auto"/>
          <w:sz w:val="28"/>
          <w:szCs w:val="28"/>
          <w:highlight w:val="none"/>
        </w:rPr>
      </w:pPr>
      <w:r>
        <w:rPr>
          <w:rFonts w:eastAsia="黑体"/>
          <w:color w:val="auto"/>
          <w:sz w:val="28"/>
          <w:szCs w:val="28"/>
          <w:highlight w:val="none"/>
        </w:rPr>
        <w:t>法定代表人或其委托代理人：</w:t>
      </w:r>
      <w:r>
        <w:rPr>
          <w:rFonts w:eastAsia="黑体"/>
          <w:color w:val="auto"/>
          <w:sz w:val="28"/>
          <w:szCs w:val="28"/>
          <w:highlight w:val="none"/>
          <w:u w:val="single"/>
        </w:rPr>
        <w:t xml:space="preserve">                </w:t>
      </w:r>
      <w:r>
        <w:rPr>
          <w:rFonts w:eastAsia="黑体"/>
          <w:color w:val="auto"/>
          <w:sz w:val="28"/>
          <w:szCs w:val="28"/>
          <w:highlight w:val="none"/>
        </w:rPr>
        <w:t>（签字）</w:t>
      </w:r>
    </w:p>
    <w:p>
      <w:pPr>
        <w:spacing w:line="360" w:lineRule="auto"/>
        <w:jc w:val="center"/>
        <w:rPr>
          <w:rFonts w:eastAsia="黑体"/>
          <w:color w:val="auto"/>
          <w:sz w:val="28"/>
          <w:szCs w:val="28"/>
          <w:highlight w:val="none"/>
        </w:rPr>
      </w:pPr>
      <w:r>
        <w:rPr>
          <w:rFonts w:eastAsia="黑体"/>
          <w:color w:val="auto"/>
          <w:sz w:val="28"/>
          <w:szCs w:val="28"/>
          <w:highlight w:val="none"/>
          <w:u w:val="single"/>
        </w:rPr>
        <w:t xml:space="preserve">        </w:t>
      </w:r>
      <w:r>
        <w:rPr>
          <w:rFonts w:eastAsia="黑体"/>
          <w:color w:val="auto"/>
          <w:sz w:val="28"/>
          <w:szCs w:val="28"/>
          <w:highlight w:val="none"/>
        </w:rPr>
        <w:t>年</w:t>
      </w:r>
      <w:r>
        <w:rPr>
          <w:rFonts w:eastAsia="黑体"/>
          <w:color w:val="auto"/>
          <w:sz w:val="28"/>
          <w:szCs w:val="28"/>
          <w:highlight w:val="none"/>
          <w:u w:val="single"/>
        </w:rPr>
        <w:t xml:space="preserve">        </w:t>
      </w:r>
      <w:r>
        <w:rPr>
          <w:rFonts w:eastAsia="黑体"/>
          <w:color w:val="auto"/>
          <w:sz w:val="28"/>
          <w:szCs w:val="28"/>
          <w:highlight w:val="none"/>
        </w:rPr>
        <w:t>月</w:t>
      </w:r>
      <w:r>
        <w:rPr>
          <w:rFonts w:eastAsia="黑体"/>
          <w:color w:val="auto"/>
          <w:sz w:val="28"/>
          <w:szCs w:val="28"/>
          <w:highlight w:val="none"/>
          <w:u w:val="single"/>
        </w:rPr>
        <w:t xml:space="preserve">        </w:t>
      </w:r>
      <w:r>
        <w:rPr>
          <w:rFonts w:eastAsia="黑体"/>
          <w:color w:val="auto"/>
          <w:sz w:val="28"/>
          <w:szCs w:val="28"/>
          <w:highlight w:val="none"/>
        </w:rPr>
        <w:t>日</w:t>
      </w:r>
    </w:p>
    <w:p>
      <w:pPr>
        <w:pStyle w:val="6"/>
        <w:spacing w:line="360" w:lineRule="auto"/>
        <w:jc w:val="center"/>
        <w:rPr>
          <w:color w:val="auto"/>
          <w:highlight w:val="none"/>
        </w:rPr>
        <w:sectPr>
          <w:pgSz w:w="11906" w:h="16838"/>
          <w:pgMar w:top="1100" w:right="1797" w:bottom="703" w:left="1797" w:header="851" w:footer="992" w:gutter="0"/>
          <w:cols w:space="720" w:num="1"/>
          <w:docGrid w:type="lines" w:linePitch="312" w:charSpace="0"/>
        </w:sectPr>
      </w:pPr>
      <w:bookmarkStart w:id="2095" w:name="_Toc246996355"/>
      <w:bookmarkStart w:id="2096" w:name="_Toc152045787"/>
      <w:bookmarkStart w:id="2097" w:name="_Toc435178423"/>
      <w:bookmarkStart w:id="2098" w:name="_Toc422925649"/>
      <w:bookmarkStart w:id="2099" w:name="_Toc144974856"/>
      <w:bookmarkStart w:id="2100" w:name="_Toc179632807"/>
      <w:bookmarkStart w:id="2101" w:name="_Toc246997098"/>
      <w:bookmarkStart w:id="2102" w:name="_Toc247085873"/>
      <w:bookmarkStart w:id="2103" w:name="_Toc152042576"/>
      <w:bookmarkStart w:id="2104" w:name="_Toc436215781"/>
    </w:p>
    <w:p>
      <w:pPr>
        <w:pStyle w:val="6"/>
        <w:spacing w:line="360" w:lineRule="auto"/>
        <w:jc w:val="center"/>
        <w:rPr>
          <w:color w:val="auto"/>
          <w:highlight w:val="none"/>
        </w:rPr>
      </w:pPr>
      <w:bookmarkStart w:id="2105" w:name="_Toc23496"/>
      <w:bookmarkStart w:id="2106" w:name="_Toc15125"/>
      <w:bookmarkStart w:id="2107" w:name="_Toc2082"/>
      <w:bookmarkStart w:id="2108" w:name="_Toc17745"/>
      <w:bookmarkStart w:id="2109" w:name="_Toc23680"/>
      <w:bookmarkStart w:id="2110" w:name="_Toc30705"/>
      <w:bookmarkStart w:id="2111" w:name="_Toc18278"/>
      <w:bookmarkStart w:id="2112" w:name="_Toc18683"/>
      <w:bookmarkStart w:id="2113" w:name="_Toc22604"/>
      <w:bookmarkStart w:id="2114" w:name="_Toc20042"/>
      <w:bookmarkStart w:id="2115" w:name="_Toc3264"/>
      <w:bookmarkStart w:id="2116" w:name="_Toc5145"/>
      <w:bookmarkStart w:id="2117" w:name="_Toc28508"/>
      <w:bookmarkStart w:id="2118" w:name="_Toc18400"/>
      <w:bookmarkStart w:id="2119" w:name="_Toc27744"/>
      <w:bookmarkStart w:id="2120" w:name="_Toc11017"/>
      <w:bookmarkStart w:id="2121" w:name="_Toc11024"/>
      <w:bookmarkStart w:id="2122" w:name="_Toc496601991"/>
    </w:p>
    <w:p>
      <w:pPr>
        <w:pStyle w:val="6"/>
        <w:spacing w:line="360" w:lineRule="auto"/>
        <w:jc w:val="center"/>
        <w:rPr>
          <w:color w:val="auto"/>
          <w:highlight w:val="none"/>
        </w:rPr>
      </w:pPr>
      <w:bookmarkStart w:id="2123" w:name="_Toc10034"/>
      <w:bookmarkStart w:id="2124" w:name="_Toc26562"/>
      <w:bookmarkStart w:id="2125" w:name="_Toc30194"/>
      <w:bookmarkStart w:id="2126" w:name="_Toc30953"/>
      <w:bookmarkStart w:id="2127" w:name="_Toc5236"/>
      <w:bookmarkStart w:id="2128" w:name="_Toc10647"/>
      <w:bookmarkStart w:id="2129" w:name="_Toc12086"/>
      <w:bookmarkStart w:id="2130" w:name="_Toc32625"/>
      <w:r>
        <w:rPr>
          <w:rFonts w:hint="eastAsia"/>
          <w:color w:val="auto"/>
          <w:highlight w:val="none"/>
        </w:rPr>
        <w:t>投标文件目录</w:t>
      </w:r>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p>
    <w:p>
      <w:pPr>
        <w:spacing w:line="360" w:lineRule="auto"/>
        <w:rPr>
          <w:b/>
          <w:color w:val="auto"/>
          <w:szCs w:val="21"/>
          <w:highlight w:val="none"/>
        </w:rPr>
      </w:pPr>
      <w:r>
        <w:rPr>
          <w:rFonts w:hint="eastAsia"/>
          <w:b/>
          <w:color w:val="auto"/>
          <w:szCs w:val="21"/>
          <w:highlight w:val="none"/>
        </w:rPr>
        <w:t>一、资格审查文件</w:t>
      </w:r>
    </w:p>
    <w:p>
      <w:pPr>
        <w:spacing w:line="360" w:lineRule="auto"/>
        <w:rPr>
          <w:rFonts w:ascii="宋体" w:hAnsi="宋体" w:cs="宋体"/>
          <w:color w:val="auto"/>
          <w:szCs w:val="21"/>
          <w:highlight w:val="none"/>
        </w:rPr>
      </w:pPr>
      <w:r>
        <w:rPr>
          <w:rFonts w:hint="eastAsia" w:ascii="宋体" w:hAnsi="宋体" w:cs="宋体"/>
          <w:color w:val="auto"/>
          <w:szCs w:val="21"/>
          <w:highlight w:val="none"/>
        </w:rPr>
        <w:t>1.投标函（格式附后）；</w:t>
      </w:r>
    </w:p>
    <w:p>
      <w:pPr>
        <w:spacing w:line="360" w:lineRule="auto"/>
        <w:rPr>
          <w:rFonts w:ascii="宋体" w:hAnsi="宋体" w:cs="宋体"/>
          <w:color w:val="auto"/>
          <w:szCs w:val="21"/>
          <w:highlight w:val="none"/>
        </w:rPr>
      </w:pPr>
      <w:r>
        <w:rPr>
          <w:rFonts w:hint="eastAsia" w:ascii="宋体" w:hAnsi="宋体" w:cs="宋体"/>
          <w:color w:val="auto"/>
          <w:szCs w:val="21"/>
          <w:highlight w:val="none"/>
        </w:rPr>
        <w:t>2.法定代表人证明书（格式附后）；</w:t>
      </w:r>
    </w:p>
    <w:p>
      <w:pPr>
        <w:spacing w:line="360" w:lineRule="auto"/>
        <w:rPr>
          <w:rFonts w:ascii="宋体" w:hAnsi="宋体" w:cs="宋体"/>
          <w:color w:val="auto"/>
          <w:szCs w:val="21"/>
          <w:highlight w:val="none"/>
        </w:rPr>
      </w:pPr>
      <w:r>
        <w:rPr>
          <w:rFonts w:hint="eastAsia" w:ascii="宋体" w:hAnsi="宋体" w:cs="宋体"/>
          <w:color w:val="auto"/>
          <w:szCs w:val="21"/>
          <w:highlight w:val="none"/>
        </w:rPr>
        <w:t>3.授权委托书（格式附后）；</w:t>
      </w:r>
    </w:p>
    <w:p>
      <w:pPr>
        <w:spacing w:line="360" w:lineRule="auto"/>
        <w:rPr>
          <w:rFonts w:ascii="宋体" w:hAnsi="宋体" w:cs="宋体"/>
          <w:color w:val="auto"/>
          <w:szCs w:val="21"/>
          <w:highlight w:val="none"/>
        </w:rPr>
      </w:pPr>
      <w:r>
        <w:rPr>
          <w:rFonts w:hint="eastAsia"/>
          <w:color w:val="auto"/>
          <w:highlight w:val="none"/>
        </w:rPr>
        <w:t>4.法定代表人授权书</w:t>
      </w:r>
      <w:r>
        <w:rPr>
          <w:rFonts w:hint="eastAsia" w:ascii="宋体" w:hAnsi="宋体" w:cs="宋体"/>
          <w:color w:val="auto"/>
          <w:szCs w:val="21"/>
          <w:highlight w:val="none"/>
        </w:rPr>
        <w:t>（格式附后，总公司授权分公司投标时使用）；</w:t>
      </w:r>
    </w:p>
    <w:p>
      <w:pPr>
        <w:spacing w:line="360" w:lineRule="auto"/>
        <w:rPr>
          <w:color w:val="auto"/>
          <w:highlight w:val="none"/>
        </w:rPr>
      </w:pPr>
      <w:r>
        <w:rPr>
          <w:rFonts w:hint="eastAsia"/>
          <w:color w:val="auto"/>
          <w:highlight w:val="none"/>
        </w:rPr>
        <w:t>5.分公司负责人授权书</w:t>
      </w:r>
      <w:r>
        <w:rPr>
          <w:rFonts w:hint="eastAsia" w:ascii="宋体" w:hAnsi="宋体" w:cs="宋体"/>
          <w:color w:val="auto"/>
          <w:szCs w:val="21"/>
          <w:highlight w:val="none"/>
        </w:rPr>
        <w:t>（格式附后，总公司授权分公司投标时使用）；</w:t>
      </w:r>
    </w:p>
    <w:p>
      <w:pPr>
        <w:spacing w:line="360" w:lineRule="auto"/>
        <w:rPr>
          <w:rFonts w:ascii="宋体" w:hAnsi="宋体" w:cs="宋体"/>
          <w:color w:val="auto"/>
          <w:szCs w:val="21"/>
          <w:highlight w:val="none"/>
        </w:rPr>
      </w:pPr>
      <w:r>
        <w:rPr>
          <w:rFonts w:hint="eastAsia" w:ascii="宋体" w:hAnsi="宋体" w:cs="宋体"/>
          <w:color w:val="auto"/>
          <w:szCs w:val="21"/>
          <w:highlight w:val="none"/>
        </w:rPr>
        <w:t>6.</w:t>
      </w:r>
      <w:r>
        <w:rPr>
          <w:rFonts w:hint="eastAsia" w:ascii="微软雅黑" w:hAnsi="微软雅黑" w:eastAsia="微软雅黑" w:cs="微软雅黑"/>
          <w:color w:val="auto"/>
          <w:szCs w:val="21"/>
          <w:highlight w:val="none"/>
          <w:lang w:eastAsia="zh-CN"/>
        </w:rPr>
        <w:t>★</w:t>
      </w:r>
      <w:r>
        <w:rPr>
          <w:rFonts w:hint="eastAsia" w:ascii="宋体" w:hAnsi="宋体" w:cs="宋体"/>
          <w:color w:val="auto"/>
          <w:szCs w:val="21"/>
          <w:highlight w:val="none"/>
        </w:rPr>
        <w:t>投标人资格要求文件（如下文件须复印件加盖法人公章）：</w:t>
      </w:r>
    </w:p>
    <w:p>
      <w:pPr>
        <w:spacing w:line="360" w:lineRule="auto"/>
        <w:rPr>
          <w:rFonts w:ascii="宋体" w:hAnsi="宋体" w:cs="宋体"/>
          <w:color w:val="auto"/>
          <w:szCs w:val="21"/>
          <w:highlight w:val="none"/>
        </w:rPr>
      </w:pPr>
      <w:r>
        <w:rPr>
          <w:rFonts w:hint="eastAsia" w:ascii="宋体" w:hAnsi="宋体" w:cs="宋体"/>
          <w:color w:val="auto"/>
          <w:szCs w:val="21"/>
          <w:highlight w:val="none"/>
        </w:rPr>
        <w:t>（1）有效的企业法人营业执照（或事业法人登记证）副本复印件等证明资料。</w:t>
      </w:r>
    </w:p>
    <w:p>
      <w:pPr>
        <w:spacing w:line="360" w:lineRule="auto"/>
        <w:rPr>
          <w:color w:val="auto"/>
          <w:highlight w:val="none"/>
        </w:rPr>
      </w:pPr>
      <w:r>
        <w:rPr>
          <w:rFonts w:hint="eastAsia"/>
          <w:color w:val="auto"/>
          <w:highlight w:val="none"/>
        </w:rPr>
        <w:t>（2）厂家证明或经销商证明（代理商或经销商须提供厂家授权）。</w:t>
      </w:r>
    </w:p>
    <w:p>
      <w:pPr>
        <w:spacing w:line="360" w:lineRule="auto"/>
        <w:rPr>
          <w:b/>
          <w:color w:val="auto"/>
          <w:szCs w:val="21"/>
          <w:highlight w:val="none"/>
        </w:rPr>
      </w:pPr>
      <w:r>
        <w:rPr>
          <w:rFonts w:hint="eastAsia"/>
          <w:b/>
          <w:color w:val="auto"/>
          <w:szCs w:val="21"/>
          <w:highlight w:val="none"/>
        </w:rPr>
        <w:t>二、投标书</w:t>
      </w:r>
    </w:p>
    <w:p>
      <w:pPr>
        <w:spacing w:line="360" w:lineRule="auto"/>
        <w:rPr>
          <w:rFonts w:ascii="宋体" w:hAnsi="宋体" w:cs="宋体"/>
          <w:color w:val="auto"/>
          <w:szCs w:val="21"/>
          <w:highlight w:val="none"/>
        </w:rPr>
      </w:pPr>
      <w:r>
        <w:rPr>
          <w:rFonts w:hint="eastAsia" w:ascii="宋体" w:hAnsi="宋体" w:cs="宋体"/>
          <w:color w:val="auto"/>
          <w:szCs w:val="21"/>
          <w:highlight w:val="none"/>
        </w:rPr>
        <w:t>1.标书款及投标保证金缴纳凭证（银行转账证明）；</w:t>
      </w:r>
    </w:p>
    <w:p>
      <w:pPr>
        <w:spacing w:line="360" w:lineRule="auto"/>
        <w:rPr>
          <w:rFonts w:ascii="宋体" w:hAnsi="宋体" w:cs="宋体"/>
          <w:color w:val="auto"/>
          <w:szCs w:val="21"/>
          <w:highlight w:val="none"/>
        </w:rPr>
      </w:pPr>
      <w:r>
        <w:rPr>
          <w:rFonts w:hint="eastAsia" w:ascii="宋体" w:hAnsi="宋体" w:cs="宋体"/>
          <w:color w:val="auto"/>
          <w:szCs w:val="21"/>
          <w:highlight w:val="none"/>
        </w:rPr>
        <w:t>2.退投标保证金说明（格式附后）；</w:t>
      </w:r>
    </w:p>
    <w:p>
      <w:pPr>
        <w:spacing w:line="360" w:lineRule="auto"/>
        <w:rPr>
          <w:rFonts w:ascii="宋体" w:hAnsi="宋体" w:cs="宋体"/>
          <w:color w:val="auto"/>
          <w:szCs w:val="21"/>
          <w:highlight w:val="none"/>
        </w:rPr>
      </w:pPr>
      <w:r>
        <w:rPr>
          <w:rFonts w:hint="eastAsia" w:ascii="宋体" w:hAnsi="宋体" w:cs="宋体"/>
          <w:color w:val="auto"/>
          <w:szCs w:val="21"/>
          <w:highlight w:val="none"/>
        </w:rPr>
        <w:t>3.投标报价表（</w:t>
      </w:r>
      <w:r>
        <w:rPr>
          <w:rFonts w:hint="eastAsia" w:ascii="宋体" w:hAnsi="宋体" w:cs="宋体"/>
          <w:color w:val="auto"/>
          <w:szCs w:val="21"/>
          <w:highlight w:val="none"/>
          <w:lang w:eastAsia="zh-CN"/>
        </w:rPr>
        <w:t>详见附件</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投标报价表）；</w:t>
      </w:r>
    </w:p>
    <w:p>
      <w:pPr>
        <w:spacing w:line="360" w:lineRule="auto"/>
        <w:rPr>
          <w:rFonts w:ascii="宋体" w:hAnsi="宋体" w:cs="宋体"/>
          <w:color w:val="auto"/>
          <w:szCs w:val="21"/>
          <w:highlight w:val="none"/>
        </w:rPr>
      </w:pPr>
      <w:r>
        <w:rPr>
          <w:rFonts w:hint="eastAsia" w:ascii="宋体" w:hAnsi="宋体" w:cs="宋体"/>
          <w:color w:val="auto"/>
          <w:szCs w:val="21"/>
          <w:highlight w:val="none"/>
        </w:rPr>
        <w:t>4.企业简介表（简要介绍企业规模、财务状况情况等资料）；</w:t>
      </w:r>
    </w:p>
    <w:p>
      <w:pPr>
        <w:spacing w:line="360" w:lineRule="auto"/>
        <w:rPr>
          <w:rFonts w:ascii="宋体" w:hAnsi="宋体" w:cs="宋体"/>
          <w:color w:val="auto"/>
          <w:szCs w:val="21"/>
          <w:highlight w:val="none"/>
        </w:rPr>
      </w:pPr>
      <w:r>
        <w:rPr>
          <w:rFonts w:hint="eastAsia" w:ascii="宋体" w:hAnsi="宋体" w:cs="宋体"/>
          <w:color w:val="auto"/>
          <w:szCs w:val="21"/>
          <w:highlight w:val="none"/>
        </w:rPr>
        <w:t>5.近三年类似项目情况表（格式附后）；</w:t>
      </w:r>
    </w:p>
    <w:p>
      <w:pPr>
        <w:spacing w:after="0" w:line="360" w:lineRule="auto"/>
        <w:rPr>
          <w:rFonts w:hint="eastAsia"/>
          <w:color w:val="auto"/>
          <w:highlight w:val="none"/>
        </w:rPr>
      </w:pPr>
      <w:r>
        <w:rPr>
          <w:rFonts w:hint="eastAsia" w:ascii="宋体" w:hAnsi="宋体" w:cs="宋体"/>
          <w:color w:val="auto"/>
          <w:szCs w:val="21"/>
          <w:highlight w:val="none"/>
        </w:rPr>
        <w:t>6.</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投标样品（投标人必须提供四种规格的样品（每种规格提供一个样品），样品须注明公司名称、品种及规格（保证标识不易脱落），且投标人所提供的样品品质不能低于招标人提供的样品品质，否则视为投标文件无效。投标样品作为投标文件的一部分，招标结束后由招标人自行处理）</w:t>
      </w:r>
      <w:r>
        <w:rPr>
          <w:rFonts w:hint="eastAsia" w:ascii="宋体" w:hAnsi="宋体" w:eastAsia="宋体" w:cs="宋体"/>
          <w:color w:val="auto"/>
          <w:szCs w:val="21"/>
          <w:highlight w:val="none"/>
          <w:lang w:eastAsia="zh-CN"/>
        </w:rPr>
        <w:t>。</w:t>
      </w:r>
    </w:p>
    <w:p>
      <w:pPr>
        <w:spacing w:line="360" w:lineRule="auto"/>
        <w:rPr>
          <w:rFonts w:ascii="宋体" w:hAnsi="宋体" w:cs="宋体"/>
          <w:color w:val="auto"/>
          <w:szCs w:val="21"/>
          <w:highlight w:val="none"/>
        </w:rPr>
      </w:pP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.其他补充资料（投标人可自行提供或不提供）。</w:t>
      </w:r>
    </w:p>
    <w:p>
      <w:pPr>
        <w:spacing w:line="360" w:lineRule="auto"/>
        <w:rPr>
          <w:rFonts w:ascii="宋体" w:hAnsi="宋体"/>
          <w:color w:val="auto"/>
          <w:szCs w:val="21"/>
          <w:highlight w:val="none"/>
        </w:rPr>
      </w:pPr>
      <w:r>
        <w:rPr>
          <w:rFonts w:hint="eastAsia" w:ascii="宋体" w:hAnsi="宋体"/>
          <w:b/>
          <w:color w:val="auto"/>
          <w:szCs w:val="21"/>
          <w:highlight w:val="none"/>
        </w:rPr>
        <w:t>说明：</w:t>
      </w:r>
      <w:r>
        <w:rPr>
          <w:rFonts w:hint="eastAsia" w:ascii="宋体" w:hAnsi="宋体" w:cs="宋体"/>
          <w:color w:val="auto"/>
          <w:kern w:val="0"/>
          <w:szCs w:val="21"/>
          <w:highlight w:val="none"/>
        </w:rPr>
        <w:t>投标人在投标文件中不得提供虚假材料，若经招标人发现查实有虚假材料的，将没收投标人的投标保证金，中标的，还将取消其中标资格。</w:t>
      </w:r>
    </w:p>
    <w:p>
      <w:pPr>
        <w:spacing w:line="360" w:lineRule="auto"/>
        <w:rPr>
          <w:rFonts w:ascii="宋体"/>
          <w:color w:val="auto"/>
          <w:highlight w:val="none"/>
        </w:rPr>
      </w:pPr>
    </w:p>
    <w:p>
      <w:pPr>
        <w:spacing w:line="360" w:lineRule="auto"/>
        <w:rPr>
          <w:rFonts w:hint="eastAsia" w:ascii="宋体"/>
          <w:color w:val="auto"/>
          <w:highlight w:val="none"/>
        </w:rPr>
      </w:pPr>
      <w:r>
        <w:rPr>
          <w:rFonts w:hint="eastAsia" w:ascii="宋体"/>
          <w:color w:val="auto"/>
          <w:highlight w:val="none"/>
        </w:rPr>
        <w:t xml:space="preserve">  </w:t>
      </w:r>
    </w:p>
    <w:p>
      <w:pPr>
        <w:pStyle w:val="2"/>
        <w:rPr>
          <w:rFonts w:hint="eastAsia" w:ascii="宋体"/>
          <w:color w:val="auto"/>
          <w:highlight w:val="none"/>
        </w:rPr>
      </w:pPr>
    </w:p>
    <w:p>
      <w:pPr>
        <w:pStyle w:val="2"/>
        <w:rPr>
          <w:rFonts w:hint="eastAsia" w:ascii="宋体"/>
          <w:color w:val="auto"/>
          <w:highlight w:val="none"/>
        </w:rPr>
      </w:pPr>
    </w:p>
    <w:p>
      <w:pPr>
        <w:ind w:left="52" w:leftChars="-171" w:hanging="411" w:hangingChars="128"/>
        <w:jc w:val="center"/>
        <w:rPr>
          <w:rFonts w:ascii="宋体" w:hAnsi="宋体" w:cs="宋体"/>
          <w:b/>
          <w:bCs/>
          <w:color w:val="auto"/>
          <w:sz w:val="24"/>
          <w:szCs w:val="28"/>
          <w:highlight w:val="none"/>
        </w:rPr>
      </w:pPr>
      <w:r>
        <w:rPr>
          <w:rFonts w:hint="eastAsia" w:ascii="Arial" w:hAnsi="Arial" w:eastAsia="黑体"/>
          <w:b/>
          <w:bCs/>
          <w:color w:val="auto"/>
          <w:sz w:val="32"/>
          <w:szCs w:val="21"/>
          <w:highlight w:val="none"/>
        </w:rPr>
        <w:t>一、评分因素索引表</w:t>
      </w:r>
    </w:p>
    <w:p>
      <w:pPr>
        <w:rPr>
          <w:rFonts w:hint="default" w:ascii="宋体" w:hAnsi="宋体" w:eastAsia="宋体" w:cs="宋体"/>
          <w:b/>
          <w:bCs/>
          <w:color w:val="auto"/>
          <w:szCs w:val="21"/>
          <w:highlight w:val="none"/>
          <w:lang w:val="en-US"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2024年度</w:t>
      </w:r>
      <w:r>
        <w:rPr>
          <w:rFonts w:hint="eastAsia" w:ascii="宋体" w:hAnsi="宋体" w:cs="宋体"/>
          <w:color w:val="auto"/>
          <w:szCs w:val="21"/>
          <w:highlight w:val="none"/>
          <w:u w:val="single"/>
        </w:rPr>
        <w:t xml:space="preserve">南方优品纸箱招标采购  </w:t>
      </w:r>
      <w:r>
        <w:rPr>
          <w:rFonts w:hint="eastAsia" w:ascii="宋体" w:hAnsi="宋体" w:cs="宋体"/>
          <w:color w:val="auto"/>
          <w:szCs w:val="21"/>
          <w:highlight w:val="none"/>
        </w:rPr>
        <w:t xml:space="preserve">         项目编号：</w:t>
      </w:r>
      <w:r>
        <w:rPr>
          <w:rFonts w:hint="eastAsia" w:ascii="宋体" w:hAnsi="宋体" w:cs="宋体"/>
          <w:color w:val="auto"/>
          <w:szCs w:val="21"/>
          <w:highlight w:val="none"/>
          <w:u w:val="single"/>
        </w:rPr>
        <w:t>ZB20</w:t>
      </w:r>
      <w:r>
        <w:rPr>
          <w:rFonts w:hint="eastAsia" w:ascii="宋体" w:hAnsi="宋体" w:cs="宋体"/>
          <w:color w:val="auto"/>
          <w:szCs w:val="21"/>
          <w:highlight w:val="none"/>
          <w:u w:val="single"/>
          <w:lang w:val="en-US" w:eastAsia="zh-CN"/>
        </w:rPr>
        <w:t>2405</w:t>
      </w:r>
    </w:p>
    <w:tbl>
      <w:tblPr>
        <w:tblStyle w:val="41"/>
        <w:tblW w:w="89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6023"/>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1202" w:type="dxa"/>
            <w:tcBorders>
              <w:top w:val="single" w:color="auto" w:sz="4" w:space="0"/>
              <w:left w:val="single" w:color="auto" w:sz="4" w:space="0"/>
              <w:bottom w:val="single" w:color="auto" w:sz="4" w:space="0"/>
              <w:right w:val="single" w:color="auto" w:sz="4" w:space="0"/>
            </w:tcBorders>
            <w:vAlign w:val="center"/>
          </w:tcPr>
          <w:p>
            <w:pPr>
              <w:pStyle w:val="93"/>
              <w:keepNext w:val="0"/>
              <w:adjustRightInd/>
              <w:spacing w:before="0" w:after="0" w:line="240" w:lineRule="auto"/>
              <w:rPr>
                <w:rFonts w:ascii="宋体" w:hAnsi="宋体" w:cs="宋体"/>
                <w:b/>
                <w:bCs/>
                <w:color w:val="auto"/>
                <w:spacing w:val="0"/>
                <w:kern w:val="2"/>
                <w:sz w:val="21"/>
                <w:szCs w:val="21"/>
                <w:highlight w:val="none"/>
              </w:rPr>
            </w:pPr>
            <w:r>
              <w:rPr>
                <w:rFonts w:hint="eastAsia" w:ascii="宋体" w:hAnsi="宋体" w:cs="宋体"/>
                <w:b/>
                <w:bCs/>
                <w:color w:val="auto"/>
                <w:spacing w:val="0"/>
                <w:kern w:val="2"/>
                <w:sz w:val="21"/>
                <w:szCs w:val="21"/>
                <w:highlight w:val="none"/>
              </w:rPr>
              <w:t>行序</w:t>
            </w:r>
          </w:p>
        </w:tc>
        <w:tc>
          <w:tcPr>
            <w:tcW w:w="6023" w:type="dxa"/>
            <w:tcBorders>
              <w:top w:val="single" w:color="auto" w:sz="4" w:space="0"/>
              <w:left w:val="single" w:color="auto" w:sz="4" w:space="0"/>
              <w:bottom w:val="single" w:color="auto" w:sz="4" w:space="0"/>
              <w:right w:val="single" w:color="auto" w:sz="4" w:space="0"/>
            </w:tcBorders>
            <w:vAlign w:val="center"/>
          </w:tcPr>
          <w:p>
            <w:pPr>
              <w:pStyle w:val="93"/>
              <w:keepNext w:val="0"/>
              <w:adjustRightInd/>
              <w:spacing w:before="0" w:after="0" w:line="240" w:lineRule="auto"/>
              <w:rPr>
                <w:rFonts w:ascii="宋体" w:hAnsi="宋体" w:cs="宋体"/>
                <w:b/>
                <w:bCs/>
                <w:color w:val="auto"/>
                <w:spacing w:val="0"/>
                <w:kern w:val="2"/>
                <w:sz w:val="21"/>
                <w:szCs w:val="21"/>
                <w:highlight w:val="none"/>
              </w:rPr>
            </w:pPr>
            <w:r>
              <w:rPr>
                <w:rFonts w:hint="eastAsia" w:ascii="宋体" w:hAnsi="宋体" w:cs="宋体"/>
                <w:b/>
                <w:bCs/>
                <w:color w:val="auto"/>
                <w:spacing w:val="0"/>
                <w:kern w:val="2"/>
                <w:sz w:val="21"/>
                <w:szCs w:val="21"/>
                <w:highlight w:val="none"/>
              </w:rPr>
              <w:t>评审项</w:t>
            </w:r>
          </w:p>
        </w:tc>
        <w:tc>
          <w:tcPr>
            <w:tcW w:w="1725" w:type="dxa"/>
            <w:tcBorders>
              <w:top w:val="single" w:color="auto" w:sz="4" w:space="0"/>
              <w:left w:val="single" w:color="auto" w:sz="4" w:space="0"/>
              <w:bottom w:val="single" w:color="auto" w:sz="4" w:space="0"/>
              <w:right w:val="single" w:color="auto" w:sz="4" w:space="0"/>
            </w:tcBorders>
            <w:vAlign w:val="center"/>
          </w:tcPr>
          <w:p>
            <w:pPr>
              <w:pStyle w:val="93"/>
              <w:keepNext w:val="0"/>
              <w:adjustRightInd/>
              <w:spacing w:before="0" w:after="0" w:line="240" w:lineRule="auto"/>
              <w:rPr>
                <w:rFonts w:ascii="宋体" w:hAnsi="宋体" w:cs="宋体"/>
                <w:b/>
                <w:bCs/>
                <w:color w:val="auto"/>
                <w:spacing w:val="0"/>
                <w:kern w:val="2"/>
                <w:sz w:val="21"/>
                <w:szCs w:val="21"/>
                <w:highlight w:val="none"/>
              </w:rPr>
            </w:pPr>
            <w:r>
              <w:rPr>
                <w:rFonts w:hint="eastAsia" w:ascii="宋体" w:hAnsi="宋体" w:cs="宋体"/>
                <w:b/>
                <w:bCs/>
                <w:color w:val="auto"/>
                <w:spacing w:val="0"/>
                <w:kern w:val="2"/>
                <w:sz w:val="21"/>
                <w:szCs w:val="21"/>
                <w:highlight w:val="none"/>
              </w:rPr>
              <w:t>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02" w:type="dxa"/>
            <w:tcBorders>
              <w:top w:val="single" w:color="auto" w:sz="4" w:space="0"/>
              <w:left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lang w:val="en-US" w:eastAsia="zh-CN"/>
              </w:rPr>
              <w:t>1</w:t>
            </w:r>
          </w:p>
        </w:tc>
        <w:tc>
          <w:tcPr>
            <w:tcW w:w="60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88" w:lineRule="auto"/>
              <w:rPr>
                <w:rFonts w:ascii="宋体" w:hAnsi="宋体" w:cs="宋体"/>
                <w:color w:val="auto"/>
                <w:szCs w:val="21"/>
                <w:highlight w:val="none"/>
              </w:rPr>
            </w:pPr>
            <w:r>
              <w:rPr>
                <w:rFonts w:hint="eastAsia" w:ascii="宋体" w:hAnsi="宋体" w:cs="Calibri"/>
                <w:color w:val="auto"/>
                <w:szCs w:val="21"/>
                <w:highlight w:val="none"/>
                <w:lang w:eastAsia="zh-CN"/>
              </w:rPr>
              <w:t>企业实力</w:t>
            </w:r>
          </w:p>
        </w:tc>
        <w:tc>
          <w:tcPr>
            <w:tcW w:w="1725" w:type="dxa"/>
            <w:tcBorders>
              <w:top w:val="single" w:color="auto" w:sz="4" w:space="0"/>
              <w:left w:val="single" w:color="auto" w:sz="4" w:space="0"/>
              <w:bottom w:val="single" w:color="auto" w:sz="4" w:space="0"/>
              <w:right w:val="single" w:color="auto" w:sz="4" w:space="0"/>
            </w:tcBorders>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见投标文件</w:t>
            </w:r>
          </w:p>
          <w:p>
            <w:pPr>
              <w:pStyle w:val="30"/>
              <w:jc w:val="center"/>
              <w:rPr>
                <w:rFonts w:ascii="宋体" w:hAnsi="宋体" w:cs="宋体"/>
                <w:color w:val="auto"/>
                <w:szCs w:val="21"/>
                <w:highlight w:val="none"/>
              </w:rPr>
            </w:pPr>
            <w:r>
              <w:rPr>
                <w:rFonts w:hint="eastAsia" w:ascii="宋体" w:hAnsi="宋体" w:cs="宋体"/>
                <w:color w:val="auto"/>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202"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6023" w:type="dxa"/>
            <w:tcBorders>
              <w:top w:val="single" w:color="auto" w:sz="4" w:space="0"/>
              <w:left w:val="single" w:color="auto" w:sz="4" w:space="0"/>
              <w:bottom w:val="single" w:color="auto" w:sz="4" w:space="0"/>
              <w:right w:val="single" w:color="auto" w:sz="4" w:space="0"/>
            </w:tcBorders>
            <w:vAlign w:val="center"/>
          </w:tcPr>
          <w:p>
            <w:pPr>
              <w:spacing w:line="380" w:lineRule="exact"/>
              <w:ind w:left="15" w:leftChars="7" w:right="120" w:rightChars="57"/>
              <w:rPr>
                <w:rFonts w:hint="eastAsia" w:ascii="宋体" w:hAnsi="宋体" w:eastAsia="宋体" w:cs="Calibri"/>
                <w:color w:val="auto"/>
                <w:szCs w:val="21"/>
                <w:highlight w:val="none"/>
                <w:lang w:eastAsia="zh-CN"/>
              </w:rPr>
            </w:pPr>
            <w:r>
              <w:rPr>
                <w:rFonts w:hint="eastAsia" w:ascii="宋体" w:hAnsi="宋体" w:cs="Calibri"/>
                <w:color w:val="auto"/>
                <w:szCs w:val="21"/>
                <w:highlight w:val="none"/>
                <w:lang w:eastAsia="zh-CN"/>
              </w:rPr>
              <w:t>同类业绩</w:t>
            </w:r>
          </w:p>
        </w:tc>
        <w:tc>
          <w:tcPr>
            <w:tcW w:w="1725" w:type="dxa"/>
            <w:tcBorders>
              <w:top w:val="single" w:color="auto" w:sz="4" w:space="0"/>
              <w:left w:val="single" w:color="auto" w:sz="4" w:space="0"/>
              <w:bottom w:val="single" w:color="auto" w:sz="4" w:space="0"/>
              <w:right w:val="single" w:color="auto" w:sz="4" w:space="0"/>
            </w:tcBorders>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见投标文件</w:t>
            </w:r>
          </w:p>
          <w:p>
            <w:pPr>
              <w:pStyle w:val="30"/>
              <w:jc w:val="center"/>
              <w:rPr>
                <w:rFonts w:hint="eastAsia" w:ascii="宋体" w:hAnsi="宋体" w:cs="宋体"/>
                <w:color w:val="auto"/>
                <w:szCs w:val="21"/>
                <w:highlight w:val="none"/>
              </w:rPr>
            </w:pPr>
            <w:r>
              <w:rPr>
                <w:rFonts w:hint="eastAsia" w:ascii="宋体" w:hAnsi="宋体" w:cs="宋体"/>
                <w:color w:val="auto"/>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202"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6023" w:type="dxa"/>
            <w:tcBorders>
              <w:top w:val="single" w:color="auto" w:sz="4" w:space="0"/>
              <w:left w:val="single" w:color="auto" w:sz="4" w:space="0"/>
              <w:bottom w:val="single" w:color="auto" w:sz="4" w:space="0"/>
              <w:right w:val="single" w:color="auto" w:sz="4" w:space="0"/>
            </w:tcBorders>
            <w:vAlign w:val="center"/>
          </w:tcPr>
          <w:p>
            <w:pPr>
              <w:spacing w:line="380" w:lineRule="exact"/>
              <w:ind w:left="15" w:leftChars="7" w:right="120" w:rightChars="57"/>
              <w:rPr>
                <w:rFonts w:hint="eastAsia" w:ascii="宋体" w:hAnsi="宋体" w:eastAsia="宋体" w:cs="Calibri"/>
                <w:color w:val="auto"/>
                <w:szCs w:val="21"/>
                <w:highlight w:val="none"/>
                <w:lang w:eastAsia="zh-CN"/>
              </w:rPr>
            </w:pPr>
            <w:r>
              <w:rPr>
                <w:rFonts w:hint="eastAsia" w:ascii="宋体" w:hAnsi="宋体" w:cs="Calibri"/>
                <w:color w:val="auto"/>
                <w:szCs w:val="21"/>
                <w:highlight w:val="none"/>
                <w:lang w:eastAsia="zh-CN"/>
              </w:rPr>
              <w:t>采购服务方案</w:t>
            </w:r>
          </w:p>
        </w:tc>
        <w:tc>
          <w:tcPr>
            <w:tcW w:w="1725" w:type="dxa"/>
            <w:tcBorders>
              <w:top w:val="single" w:color="auto" w:sz="4" w:space="0"/>
              <w:left w:val="single" w:color="auto" w:sz="4" w:space="0"/>
              <w:bottom w:val="single" w:color="auto" w:sz="4" w:space="0"/>
              <w:right w:val="single" w:color="auto" w:sz="4" w:space="0"/>
            </w:tcBorders>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见投标文件</w:t>
            </w:r>
          </w:p>
          <w:p>
            <w:pPr>
              <w:pStyle w:val="30"/>
              <w:jc w:val="center"/>
              <w:rPr>
                <w:rFonts w:hint="eastAsia" w:ascii="宋体" w:hAnsi="宋体" w:cs="宋体"/>
                <w:color w:val="auto"/>
                <w:szCs w:val="21"/>
                <w:highlight w:val="none"/>
              </w:rPr>
            </w:pPr>
            <w:r>
              <w:rPr>
                <w:rFonts w:hint="eastAsia" w:ascii="宋体" w:hAnsi="宋体" w:cs="宋体"/>
                <w:color w:val="auto"/>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02" w:type="dxa"/>
            <w:tcBorders>
              <w:top w:val="single" w:color="auto" w:sz="4" w:space="0"/>
              <w:left w:val="single" w:color="auto" w:sz="4" w:space="0"/>
              <w:right w:val="single" w:color="auto" w:sz="4" w:space="0"/>
            </w:tcBorders>
            <w:vAlign w:val="center"/>
          </w:tcPr>
          <w:p>
            <w:pPr>
              <w:jc w:val="center"/>
              <w:rPr>
                <w:rFonts w:ascii="宋体" w:hAnsi="宋体" w:cs="宋体"/>
                <w:color w:val="auto"/>
                <w:szCs w:val="21"/>
                <w:highlight w:val="none"/>
              </w:rPr>
            </w:pPr>
            <w:r>
              <w:rPr>
                <w:rFonts w:hint="eastAsia" w:ascii="宋体" w:hAnsi="宋体" w:cs="宋体"/>
                <w:color w:val="auto"/>
                <w:szCs w:val="21"/>
                <w:highlight w:val="none"/>
                <w:lang w:val="en-US" w:eastAsia="zh-CN"/>
              </w:rPr>
              <w:t>4</w:t>
            </w:r>
          </w:p>
        </w:tc>
        <w:tc>
          <w:tcPr>
            <w:tcW w:w="6023" w:type="dxa"/>
            <w:tcBorders>
              <w:top w:val="single" w:color="auto" w:sz="4" w:space="0"/>
              <w:left w:val="single" w:color="auto" w:sz="4" w:space="0"/>
              <w:bottom w:val="single" w:color="auto" w:sz="4" w:space="0"/>
              <w:right w:val="single" w:color="auto" w:sz="4" w:space="0"/>
            </w:tcBorders>
            <w:vAlign w:val="center"/>
          </w:tcPr>
          <w:p>
            <w:pPr>
              <w:spacing w:line="380" w:lineRule="exact"/>
              <w:ind w:left="15" w:leftChars="7" w:right="120" w:rightChars="57"/>
              <w:rPr>
                <w:rFonts w:ascii="宋体" w:hAnsi="宋体" w:cs="宋体"/>
                <w:color w:val="auto"/>
                <w:szCs w:val="21"/>
                <w:highlight w:val="none"/>
              </w:rPr>
            </w:pPr>
            <w:r>
              <w:rPr>
                <w:rFonts w:hint="eastAsia" w:ascii="宋体" w:hAnsi="宋体" w:cs="Calibri"/>
                <w:color w:val="auto"/>
                <w:szCs w:val="21"/>
                <w:highlight w:val="none"/>
                <w:lang w:eastAsia="zh-CN"/>
              </w:rPr>
              <w:t>投标报价</w:t>
            </w:r>
          </w:p>
        </w:tc>
        <w:tc>
          <w:tcPr>
            <w:tcW w:w="1725" w:type="dxa"/>
            <w:tcBorders>
              <w:top w:val="single" w:color="auto" w:sz="4" w:space="0"/>
              <w:left w:val="single" w:color="auto" w:sz="4" w:space="0"/>
              <w:bottom w:val="single" w:color="auto" w:sz="4" w:space="0"/>
              <w:right w:val="single" w:color="auto" w:sz="4" w:space="0"/>
            </w:tcBorders>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见投标文件</w:t>
            </w:r>
          </w:p>
          <w:p>
            <w:pPr>
              <w:pStyle w:val="30"/>
              <w:jc w:val="center"/>
              <w:rPr>
                <w:rFonts w:ascii="宋体" w:hAnsi="宋体" w:cs="宋体"/>
                <w:color w:val="auto"/>
                <w:szCs w:val="21"/>
                <w:highlight w:val="none"/>
              </w:rPr>
            </w:pPr>
            <w:r>
              <w:rPr>
                <w:rFonts w:hint="eastAsia" w:ascii="宋体" w:hAnsi="宋体" w:cs="宋体"/>
                <w:color w:val="auto"/>
                <w:szCs w:val="21"/>
                <w:highlight w:val="none"/>
              </w:rPr>
              <w:t>第（  ）页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0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60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产品质量</w:t>
            </w:r>
          </w:p>
        </w:tc>
        <w:tc>
          <w:tcPr>
            <w:tcW w:w="1725" w:type="dxa"/>
            <w:tcBorders>
              <w:top w:val="single" w:color="auto" w:sz="4" w:space="0"/>
              <w:left w:val="single" w:color="auto" w:sz="4" w:space="0"/>
              <w:bottom w:val="single" w:color="auto" w:sz="4" w:space="0"/>
              <w:right w:val="single" w:color="auto" w:sz="4" w:space="0"/>
            </w:tcBorders>
            <w:vAlign w:val="center"/>
          </w:tcPr>
          <w:p>
            <w:pPr>
              <w:pStyle w:val="30"/>
              <w:jc w:val="center"/>
              <w:rPr>
                <w:rFonts w:ascii="宋体" w:hAnsi="宋体" w:cs="宋体"/>
                <w:color w:val="auto"/>
                <w:szCs w:val="21"/>
                <w:highlight w:val="none"/>
              </w:rPr>
            </w:pPr>
            <w:r>
              <w:rPr>
                <w:rFonts w:hint="eastAsia" w:ascii="宋体" w:hAnsi="宋体" w:cs="宋体"/>
                <w:color w:val="auto"/>
                <w:szCs w:val="21"/>
                <w:highlight w:val="none"/>
              </w:rPr>
              <w:t>见投标文件</w:t>
            </w:r>
          </w:p>
          <w:p>
            <w:pPr>
              <w:pStyle w:val="30"/>
              <w:jc w:val="center"/>
              <w:rPr>
                <w:rFonts w:ascii="宋体" w:hAnsi="宋体" w:cs="宋体"/>
                <w:color w:val="auto"/>
                <w:szCs w:val="21"/>
                <w:highlight w:val="none"/>
              </w:rPr>
            </w:pPr>
            <w:r>
              <w:rPr>
                <w:rFonts w:hint="eastAsia" w:ascii="宋体" w:hAnsi="宋体" w:cs="宋体"/>
                <w:color w:val="auto"/>
                <w:szCs w:val="21"/>
                <w:highlight w:val="none"/>
              </w:rPr>
              <w:t>第（  ）页</w:t>
            </w:r>
          </w:p>
        </w:tc>
      </w:tr>
    </w:tbl>
    <w:p>
      <w:pPr>
        <w:jc w:val="center"/>
        <w:rPr>
          <w:rFonts w:ascii="宋体" w:hAnsi="宋体" w:cs="宋体"/>
          <w:b/>
          <w:bCs/>
          <w:color w:val="auto"/>
          <w:szCs w:val="21"/>
          <w:highlight w:val="none"/>
        </w:rPr>
      </w:pPr>
    </w:p>
    <w:p>
      <w:pPr>
        <w:adjustRightInd w:val="0"/>
        <w:snapToGrid w:val="0"/>
        <w:spacing w:line="300" w:lineRule="auto"/>
        <w:rPr>
          <w:rFonts w:ascii="宋体" w:hAnsi="宋体" w:cs="宋体"/>
          <w:color w:val="auto"/>
          <w:szCs w:val="21"/>
          <w:highlight w:val="none"/>
          <w:u w:val="single"/>
        </w:rPr>
      </w:pPr>
      <w:r>
        <w:rPr>
          <w:rFonts w:hint="eastAsia" w:ascii="宋体" w:hAnsi="宋体" w:cs="宋体"/>
          <w:color w:val="auto"/>
          <w:szCs w:val="21"/>
          <w:highlight w:val="none"/>
        </w:rPr>
        <w:t>投标人名称（盖章）：</w:t>
      </w:r>
      <w:r>
        <w:rPr>
          <w:rFonts w:hint="eastAsia" w:ascii="宋体" w:hAnsi="宋体" w:cs="宋体"/>
          <w:color w:val="auto"/>
          <w:szCs w:val="21"/>
          <w:highlight w:val="none"/>
          <w:u w:val="single"/>
        </w:rPr>
        <w:t xml:space="preserve">                        </w:t>
      </w:r>
    </w:p>
    <w:p>
      <w:pPr>
        <w:adjustRightInd w:val="0"/>
        <w:snapToGrid w:val="0"/>
        <w:spacing w:line="300" w:lineRule="auto"/>
        <w:rPr>
          <w:rFonts w:ascii="宋体" w:hAnsi="宋体" w:cs="宋体"/>
          <w:color w:val="auto"/>
          <w:szCs w:val="21"/>
          <w:highlight w:val="none"/>
          <w:u w:val="single"/>
        </w:rPr>
      </w:pPr>
      <w:r>
        <w:rPr>
          <w:rFonts w:hint="eastAsia" w:ascii="宋体" w:hAnsi="宋体" w:cs="宋体"/>
          <w:color w:val="auto"/>
          <w:szCs w:val="21"/>
          <w:highlight w:val="none"/>
        </w:rPr>
        <w:t>投标人法定代表人（或其授权代表）（签字）：</w:t>
      </w:r>
      <w:r>
        <w:rPr>
          <w:rFonts w:hint="eastAsia" w:ascii="宋体" w:hAnsi="宋体" w:cs="宋体"/>
          <w:color w:val="auto"/>
          <w:szCs w:val="21"/>
          <w:highlight w:val="none"/>
          <w:u w:val="single"/>
        </w:rPr>
        <w:t xml:space="preserve">                   </w:t>
      </w:r>
    </w:p>
    <w:p>
      <w:pPr>
        <w:pStyle w:val="3"/>
        <w:rPr>
          <w:rFonts w:ascii="宋体" w:hAnsi="宋体" w:cs="宋体"/>
          <w:color w:val="auto"/>
          <w:szCs w:val="21"/>
          <w:highlight w:val="none"/>
        </w:rPr>
      </w:pPr>
      <w:r>
        <w:rPr>
          <w:rFonts w:hint="eastAsia" w:ascii="宋体" w:hAnsi="宋体" w:cs="宋体"/>
          <w:color w:val="auto"/>
          <w:szCs w:val="21"/>
          <w:highlight w:val="none"/>
        </w:rPr>
        <w:t>日期：   年   月   日</w:t>
      </w:r>
    </w:p>
    <w:p>
      <w:pPr>
        <w:rPr>
          <w:rFonts w:ascii="宋体" w:hAnsi="宋体"/>
          <w:b/>
          <w:bCs/>
          <w:color w:val="auto"/>
          <w:highlight w:val="none"/>
        </w:rPr>
      </w:pPr>
    </w:p>
    <w:p>
      <w:pPr>
        <w:pStyle w:val="3"/>
        <w:rPr>
          <w:rFonts w:ascii="宋体"/>
          <w:color w:val="auto"/>
          <w:highlight w:val="none"/>
        </w:rPr>
      </w:pPr>
    </w:p>
    <w:p>
      <w:pPr>
        <w:pStyle w:val="3"/>
        <w:rPr>
          <w:rFonts w:ascii="宋体"/>
          <w:color w:val="auto"/>
          <w:highlight w:val="none"/>
        </w:rPr>
      </w:pPr>
    </w:p>
    <w:p>
      <w:pPr>
        <w:pStyle w:val="3"/>
        <w:rPr>
          <w:rFonts w:ascii="宋体"/>
          <w:color w:val="auto"/>
          <w:highlight w:val="none"/>
        </w:rPr>
      </w:pPr>
    </w:p>
    <w:p>
      <w:pPr>
        <w:pStyle w:val="3"/>
        <w:rPr>
          <w:rFonts w:ascii="宋体"/>
          <w:color w:val="auto"/>
          <w:highlight w:val="none"/>
        </w:rPr>
      </w:pPr>
    </w:p>
    <w:p>
      <w:pPr>
        <w:pStyle w:val="4"/>
        <w:rPr>
          <w:rFonts w:ascii="宋体"/>
          <w:color w:val="auto"/>
          <w:highlight w:val="none"/>
        </w:rPr>
      </w:pPr>
    </w:p>
    <w:p>
      <w:pPr>
        <w:rPr>
          <w:rFonts w:ascii="宋体"/>
          <w:color w:val="auto"/>
          <w:highlight w:val="none"/>
        </w:rPr>
      </w:pPr>
    </w:p>
    <w:p>
      <w:pPr>
        <w:pStyle w:val="2"/>
        <w:rPr>
          <w:rFonts w:ascii="宋体"/>
          <w:color w:val="auto"/>
          <w:highlight w:val="none"/>
        </w:rPr>
      </w:pPr>
    </w:p>
    <w:p>
      <w:pPr>
        <w:pStyle w:val="2"/>
        <w:rPr>
          <w:rFonts w:ascii="宋体"/>
          <w:color w:val="auto"/>
          <w:highlight w:val="none"/>
        </w:rPr>
      </w:pPr>
    </w:p>
    <w:p>
      <w:pPr>
        <w:pStyle w:val="2"/>
        <w:rPr>
          <w:rFonts w:ascii="宋体"/>
          <w:color w:val="auto"/>
          <w:highlight w:val="none"/>
        </w:rPr>
      </w:pPr>
    </w:p>
    <w:p>
      <w:pPr>
        <w:pStyle w:val="2"/>
        <w:rPr>
          <w:rFonts w:ascii="宋体"/>
          <w:color w:val="auto"/>
          <w:highlight w:val="none"/>
        </w:rPr>
      </w:pPr>
    </w:p>
    <w:p>
      <w:pPr>
        <w:pStyle w:val="3"/>
        <w:rPr>
          <w:rFonts w:ascii="宋体"/>
          <w:color w:val="auto"/>
          <w:highlight w:val="none"/>
        </w:rPr>
      </w:pPr>
    </w:p>
    <w:p>
      <w:pPr>
        <w:pStyle w:val="3"/>
        <w:rPr>
          <w:rFonts w:ascii="宋体"/>
          <w:color w:val="auto"/>
          <w:highlight w:val="none"/>
        </w:rPr>
      </w:pPr>
    </w:p>
    <w:p>
      <w:pPr>
        <w:pStyle w:val="3"/>
        <w:rPr>
          <w:rFonts w:ascii="宋体"/>
          <w:color w:val="auto"/>
          <w:highlight w:val="none"/>
        </w:rPr>
      </w:pPr>
    </w:p>
    <w:p>
      <w:pPr>
        <w:pStyle w:val="3"/>
        <w:rPr>
          <w:rFonts w:ascii="宋体"/>
          <w:color w:val="auto"/>
          <w:highlight w:val="none"/>
        </w:rPr>
      </w:pPr>
    </w:p>
    <w:p>
      <w:pPr>
        <w:pStyle w:val="3"/>
        <w:rPr>
          <w:rFonts w:ascii="宋体"/>
          <w:color w:val="auto"/>
          <w:highlight w:val="none"/>
        </w:rPr>
      </w:pPr>
    </w:p>
    <w:p>
      <w:pPr>
        <w:pStyle w:val="3"/>
        <w:rPr>
          <w:rFonts w:ascii="宋体"/>
          <w:color w:val="auto"/>
          <w:highlight w:val="none"/>
        </w:rPr>
      </w:pPr>
    </w:p>
    <w:p>
      <w:pPr>
        <w:pStyle w:val="3"/>
        <w:rPr>
          <w:rFonts w:ascii="宋体" w:hAnsi="宋体"/>
          <w:b/>
          <w:bCs/>
          <w:color w:val="auto"/>
          <w:highlight w:val="none"/>
        </w:rPr>
      </w:pPr>
    </w:p>
    <w:p>
      <w:pPr>
        <w:rPr>
          <w:color w:val="auto"/>
          <w:highlight w:val="none"/>
        </w:rPr>
      </w:pPr>
      <w:r>
        <w:rPr>
          <w:rFonts w:hint="eastAsia" w:ascii="宋体" w:hAnsi="宋体"/>
          <w:b/>
          <w:bCs/>
          <w:color w:val="auto"/>
          <w:highlight w:val="none"/>
        </w:rPr>
        <w:t>以下文本为本招标文件要求的格式：</w:t>
      </w:r>
    </w:p>
    <w:p>
      <w:pPr>
        <w:rPr>
          <w:color w:val="auto"/>
          <w:highlight w:val="none"/>
        </w:rPr>
      </w:pPr>
    </w:p>
    <w:p>
      <w:pPr>
        <w:spacing w:line="440" w:lineRule="exact"/>
        <w:rPr>
          <w:rFonts w:ascii="Arial" w:hAnsi="Arial" w:eastAsia="黑体"/>
          <w:b/>
          <w:bCs/>
          <w:color w:val="auto"/>
          <w:sz w:val="32"/>
          <w:szCs w:val="21"/>
          <w:highlight w:val="none"/>
        </w:rPr>
      </w:pPr>
      <w:bookmarkStart w:id="2131" w:name="_Toc29975"/>
      <w:bookmarkStart w:id="2132" w:name="_Toc19747"/>
      <w:bookmarkStart w:id="2133" w:name="_Toc14859"/>
      <w:bookmarkStart w:id="2134" w:name="_Toc20920"/>
      <w:bookmarkStart w:id="2135" w:name="_Toc28261"/>
      <w:bookmarkStart w:id="2136" w:name="_Toc7218"/>
      <w:bookmarkStart w:id="2137" w:name="_Toc17100"/>
      <w:bookmarkStart w:id="2138" w:name="_Toc3662"/>
      <w:r>
        <w:rPr>
          <w:rFonts w:hint="eastAsia" w:ascii="Arial" w:hAnsi="Arial" w:eastAsia="黑体"/>
          <w:b/>
          <w:bCs/>
          <w:color w:val="auto"/>
          <w:sz w:val="32"/>
          <w:szCs w:val="21"/>
          <w:highlight w:val="none"/>
        </w:rPr>
        <w:t>一、资格审查文件</w:t>
      </w:r>
      <w:bookmarkEnd w:id="2131"/>
      <w:bookmarkEnd w:id="2132"/>
      <w:bookmarkEnd w:id="2133"/>
      <w:bookmarkEnd w:id="2134"/>
      <w:bookmarkEnd w:id="2135"/>
      <w:bookmarkEnd w:id="2136"/>
      <w:bookmarkEnd w:id="2137"/>
      <w:bookmarkEnd w:id="2138"/>
    </w:p>
    <w:p>
      <w:pPr>
        <w:pStyle w:val="7"/>
        <w:spacing w:line="440" w:lineRule="exact"/>
        <w:jc w:val="center"/>
        <w:rPr>
          <w:color w:val="auto"/>
          <w:highlight w:val="none"/>
        </w:rPr>
      </w:pPr>
      <w:bookmarkStart w:id="2139" w:name="_Toc18155"/>
      <w:bookmarkStart w:id="2140" w:name="_Toc23816"/>
      <w:bookmarkStart w:id="2141" w:name="_Toc23443"/>
      <w:bookmarkStart w:id="2142" w:name="_Toc25803"/>
      <w:bookmarkStart w:id="2143" w:name="_Toc5131"/>
      <w:bookmarkStart w:id="2144" w:name="_Toc14820"/>
      <w:bookmarkStart w:id="2145" w:name="_Toc27952"/>
      <w:bookmarkStart w:id="2146" w:name="_Toc14343"/>
      <w:bookmarkStart w:id="2147" w:name="_Toc9891"/>
      <w:bookmarkStart w:id="2148" w:name="_Toc5555"/>
      <w:bookmarkStart w:id="2149" w:name="_Toc30571"/>
      <w:bookmarkStart w:id="2150" w:name="_Toc19011"/>
      <w:bookmarkStart w:id="2151" w:name="_Toc17436"/>
      <w:bookmarkStart w:id="2152" w:name="_Toc23793"/>
      <w:bookmarkStart w:id="2153" w:name="_Toc17672"/>
      <w:bookmarkStart w:id="2154" w:name="_Toc6037"/>
      <w:bookmarkStart w:id="2155" w:name="_Toc31521"/>
      <w:bookmarkStart w:id="2156" w:name="_Toc22377"/>
      <w:bookmarkStart w:id="2157" w:name="_Toc27567"/>
      <w:bookmarkStart w:id="2158" w:name="_Toc7728"/>
      <w:bookmarkStart w:id="2159" w:name="_Toc19272"/>
      <w:bookmarkStart w:id="2160" w:name="_Toc18947"/>
      <w:bookmarkStart w:id="2161" w:name="_Toc14776"/>
      <w:bookmarkStart w:id="2162" w:name="_Toc4701"/>
      <w:bookmarkStart w:id="2163" w:name="_Toc4659"/>
      <w:r>
        <w:rPr>
          <w:rFonts w:hint="eastAsia"/>
          <w:color w:val="auto"/>
          <w:highlight w:val="none"/>
        </w:rPr>
        <w:t>1、</w:t>
      </w:r>
      <w:r>
        <w:rPr>
          <w:color w:val="auto"/>
          <w:highlight w:val="none"/>
        </w:rPr>
        <w:t>投标函</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p>
    <w:p>
      <w:pPr>
        <w:spacing w:line="440" w:lineRule="exact"/>
        <w:rPr>
          <w:color w:val="auto"/>
          <w:szCs w:val="21"/>
          <w:highlight w:val="none"/>
        </w:rPr>
      </w:pPr>
      <w:r>
        <w:rPr>
          <w:color w:val="auto"/>
          <w:szCs w:val="21"/>
          <w:highlight w:val="none"/>
          <w:u w:val="single"/>
        </w:rPr>
        <w:t xml:space="preserve">                        </w:t>
      </w:r>
      <w:r>
        <w:rPr>
          <w:color w:val="auto"/>
          <w:szCs w:val="21"/>
          <w:highlight w:val="none"/>
        </w:rPr>
        <w:t>（招标人名称）：</w:t>
      </w:r>
    </w:p>
    <w:p>
      <w:pPr>
        <w:spacing w:line="440" w:lineRule="exact"/>
        <w:ind w:firstLine="420" w:firstLineChars="200"/>
        <w:rPr>
          <w:color w:val="auto"/>
          <w:szCs w:val="21"/>
          <w:highlight w:val="none"/>
        </w:rPr>
      </w:pPr>
      <w:r>
        <w:rPr>
          <w:color w:val="auto"/>
          <w:szCs w:val="21"/>
          <w:highlight w:val="none"/>
        </w:rPr>
        <w:t>1．我方已仔细研究了</w:t>
      </w:r>
      <w:r>
        <w:rPr>
          <w:color w:val="auto"/>
          <w:szCs w:val="21"/>
          <w:highlight w:val="none"/>
          <w:u w:val="single"/>
        </w:rPr>
        <w:t xml:space="preserve">          </w:t>
      </w:r>
      <w:r>
        <w:rPr>
          <w:color w:val="auto"/>
          <w:szCs w:val="21"/>
          <w:highlight w:val="none"/>
        </w:rPr>
        <w:t>（项目名称）招标文件的全部内容，愿意以</w:t>
      </w:r>
      <w:r>
        <w:rPr>
          <w:rFonts w:hint="eastAsia"/>
          <w:color w:val="auto"/>
          <w:szCs w:val="21"/>
          <w:highlight w:val="none"/>
        </w:rPr>
        <w:t>招标文件规定的内容进行投标</w:t>
      </w:r>
      <w:r>
        <w:rPr>
          <w:color w:val="auto"/>
          <w:szCs w:val="21"/>
          <w:highlight w:val="none"/>
        </w:rPr>
        <w:t>，按合同约定实施和完成</w:t>
      </w:r>
      <w:r>
        <w:rPr>
          <w:rFonts w:hint="eastAsia"/>
          <w:color w:val="auto"/>
          <w:szCs w:val="21"/>
          <w:highlight w:val="none"/>
        </w:rPr>
        <w:t>项目内容</w:t>
      </w:r>
      <w:r>
        <w:rPr>
          <w:color w:val="auto"/>
          <w:szCs w:val="21"/>
          <w:highlight w:val="none"/>
        </w:rPr>
        <w:t>，质量达到</w:t>
      </w:r>
      <w:r>
        <w:rPr>
          <w:color w:val="auto"/>
          <w:szCs w:val="21"/>
          <w:highlight w:val="none"/>
          <w:u w:val="single"/>
        </w:rPr>
        <w:t xml:space="preserve">           </w:t>
      </w:r>
      <w:r>
        <w:rPr>
          <w:color w:val="auto"/>
          <w:szCs w:val="21"/>
          <w:highlight w:val="none"/>
        </w:rPr>
        <w:t>。</w:t>
      </w:r>
    </w:p>
    <w:p>
      <w:pPr>
        <w:spacing w:line="440" w:lineRule="exact"/>
        <w:ind w:firstLine="420" w:firstLineChars="200"/>
        <w:rPr>
          <w:color w:val="auto"/>
          <w:szCs w:val="21"/>
          <w:highlight w:val="none"/>
        </w:rPr>
      </w:pPr>
      <w:r>
        <w:rPr>
          <w:color w:val="auto"/>
          <w:szCs w:val="21"/>
          <w:highlight w:val="none"/>
        </w:rPr>
        <w:t>2．我方承诺</w:t>
      </w:r>
      <w:r>
        <w:rPr>
          <w:rFonts w:hint="eastAsia"/>
          <w:color w:val="auto"/>
          <w:szCs w:val="21"/>
          <w:highlight w:val="none"/>
        </w:rPr>
        <w:t>同意并按照招标文件的约定进行投标事宜，</w:t>
      </w:r>
      <w:r>
        <w:rPr>
          <w:color w:val="auto"/>
          <w:szCs w:val="21"/>
          <w:highlight w:val="none"/>
        </w:rPr>
        <w:t>在</w:t>
      </w:r>
      <w:r>
        <w:rPr>
          <w:rFonts w:hint="eastAsia"/>
          <w:color w:val="auto"/>
          <w:szCs w:val="21"/>
          <w:highlight w:val="none"/>
        </w:rPr>
        <w:t>招标文件规定的</w:t>
      </w:r>
      <w:r>
        <w:rPr>
          <w:color w:val="auto"/>
          <w:szCs w:val="21"/>
          <w:highlight w:val="none"/>
        </w:rPr>
        <w:t>投标有效期内不修改、撤销投标文件。</w:t>
      </w:r>
      <w:r>
        <w:rPr>
          <w:rFonts w:hint="eastAsia"/>
          <w:color w:val="auto"/>
          <w:szCs w:val="21"/>
          <w:highlight w:val="none"/>
        </w:rPr>
        <w:t>本投标文件的投标有效期为</w:t>
      </w:r>
      <w:r>
        <w:rPr>
          <w:rFonts w:hint="eastAsia" w:ascii="宋体" w:hAnsi="宋体" w:cs="宋体"/>
          <w:color w:val="auto"/>
          <w:szCs w:val="21"/>
          <w:highlight w:val="none"/>
        </w:rPr>
        <w:t>投标文件递交截止时间起90天。</w:t>
      </w:r>
    </w:p>
    <w:p>
      <w:pPr>
        <w:spacing w:line="440" w:lineRule="exact"/>
        <w:ind w:firstLine="420" w:firstLineChars="200"/>
        <w:rPr>
          <w:color w:val="auto"/>
          <w:szCs w:val="21"/>
          <w:highlight w:val="none"/>
        </w:rPr>
      </w:pPr>
      <w:r>
        <w:rPr>
          <w:rFonts w:hint="eastAsia"/>
          <w:color w:val="auto"/>
          <w:szCs w:val="21"/>
          <w:highlight w:val="none"/>
        </w:rPr>
        <w:t>3．</w:t>
      </w:r>
      <w:r>
        <w:rPr>
          <w:color w:val="auto"/>
          <w:szCs w:val="21"/>
          <w:highlight w:val="none"/>
        </w:rPr>
        <w:t>我方</w:t>
      </w:r>
      <w:r>
        <w:rPr>
          <w:rFonts w:hint="eastAsia"/>
          <w:color w:val="auto"/>
          <w:szCs w:val="21"/>
          <w:highlight w:val="none"/>
        </w:rPr>
        <w:t>保证在本项目投标中不与其他单位围标、串标，不出让投标资格，不向招标人或评标委员会成员行贿。</w:t>
      </w:r>
    </w:p>
    <w:p>
      <w:pPr>
        <w:spacing w:line="440" w:lineRule="exact"/>
        <w:ind w:firstLine="420" w:firstLineChars="200"/>
        <w:rPr>
          <w:color w:val="auto"/>
          <w:szCs w:val="21"/>
          <w:highlight w:val="none"/>
        </w:rPr>
      </w:pPr>
      <w:r>
        <w:rPr>
          <w:rFonts w:hint="eastAsia"/>
          <w:color w:val="auto"/>
          <w:szCs w:val="21"/>
          <w:highlight w:val="none"/>
        </w:rPr>
        <w:t>4．近三年内投标人在与招标人的合作过程当中不存在骗取中标或者不履行合约的行为，且近三年内在经营活动中没有重大违法记录。</w:t>
      </w:r>
    </w:p>
    <w:p>
      <w:pPr>
        <w:spacing w:line="440" w:lineRule="exact"/>
        <w:ind w:firstLine="420" w:firstLineChars="200"/>
        <w:rPr>
          <w:color w:val="auto"/>
          <w:szCs w:val="21"/>
          <w:highlight w:val="none"/>
        </w:rPr>
      </w:pPr>
      <w:r>
        <w:rPr>
          <w:rFonts w:hint="eastAsia"/>
          <w:color w:val="auto"/>
          <w:szCs w:val="21"/>
          <w:highlight w:val="none"/>
        </w:rPr>
        <w:t>5．我方没有处于被责令停业的状态；没有处于被行政主管部门取消投标资格的处罚期内；没有处于财产被接管、冻结、破产的状态；在投标资格审查截止日期前两年内没有行政主管部门已书面认定的重大质量问题；在人民检察院行贿犯罪档案查询结果中，我方没有在投标资格审查截止时间前两年内被人民法院判决犯有行贿罪的记录。</w:t>
      </w:r>
    </w:p>
    <w:p>
      <w:pPr>
        <w:spacing w:line="440" w:lineRule="exact"/>
        <w:ind w:firstLine="420" w:firstLineChars="200"/>
        <w:rPr>
          <w:color w:val="auto"/>
          <w:szCs w:val="21"/>
          <w:highlight w:val="none"/>
        </w:rPr>
      </w:pPr>
      <w:r>
        <w:rPr>
          <w:rFonts w:hint="eastAsia"/>
          <w:color w:val="auto"/>
          <w:szCs w:val="21"/>
          <w:highlight w:val="none"/>
        </w:rPr>
        <w:t>6．</w:t>
      </w:r>
      <w:r>
        <w:rPr>
          <w:color w:val="auto"/>
          <w:szCs w:val="21"/>
          <w:highlight w:val="none"/>
        </w:rPr>
        <w:t>随同本投标函提交投标保证金一份，金额为人民币（大写）</w:t>
      </w:r>
      <w:r>
        <w:rPr>
          <w:color w:val="auto"/>
          <w:szCs w:val="21"/>
          <w:highlight w:val="none"/>
          <w:u w:val="single"/>
        </w:rPr>
        <w:t xml:space="preserve">        </w:t>
      </w:r>
      <w:r>
        <w:rPr>
          <w:color w:val="auto"/>
          <w:szCs w:val="21"/>
          <w:highlight w:val="none"/>
        </w:rPr>
        <w:t>（¥</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w:t>
      </w:r>
    </w:p>
    <w:p>
      <w:pPr>
        <w:spacing w:line="440" w:lineRule="exact"/>
        <w:ind w:firstLine="420" w:firstLineChars="200"/>
        <w:rPr>
          <w:color w:val="auto"/>
          <w:szCs w:val="21"/>
          <w:highlight w:val="none"/>
        </w:rPr>
      </w:pPr>
      <w:r>
        <w:rPr>
          <w:rFonts w:hint="eastAsia"/>
          <w:color w:val="auto"/>
          <w:szCs w:val="21"/>
          <w:highlight w:val="none"/>
        </w:rPr>
        <w:t>7．</w:t>
      </w:r>
      <w:r>
        <w:rPr>
          <w:color w:val="auto"/>
          <w:szCs w:val="21"/>
          <w:highlight w:val="none"/>
        </w:rPr>
        <w:t>如我方中标：</w:t>
      </w:r>
    </w:p>
    <w:p>
      <w:pPr>
        <w:spacing w:line="440" w:lineRule="exact"/>
        <w:ind w:firstLine="718" w:firstLineChars="342"/>
        <w:rPr>
          <w:color w:val="auto"/>
          <w:szCs w:val="21"/>
          <w:highlight w:val="none"/>
        </w:rPr>
      </w:pPr>
      <w:r>
        <w:rPr>
          <w:color w:val="auto"/>
          <w:szCs w:val="21"/>
          <w:highlight w:val="none"/>
        </w:rPr>
        <w:t>（1）我方承诺在收到中标通知书后，在中标通知书规定的期限内与你方签订合同。</w:t>
      </w:r>
    </w:p>
    <w:p>
      <w:pPr>
        <w:spacing w:line="440" w:lineRule="exact"/>
        <w:ind w:firstLine="718" w:firstLineChars="342"/>
        <w:rPr>
          <w:color w:val="auto"/>
          <w:szCs w:val="21"/>
          <w:highlight w:val="none"/>
        </w:rPr>
      </w:pPr>
      <w:r>
        <w:rPr>
          <w:color w:val="auto"/>
          <w:szCs w:val="21"/>
          <w:highlight w:val="none"/>
        </w:rPr>
        <w:t>（</w:t>
      </w:r>
      <w:r>
        <w:rPr>
          <w:rFonts w:hint="eastAsia"/>
          <w:color w:val="auto"/>
          <w:szCs w:val="21"/>
          <w:highlight w:val="none"/>
        </w:rPr>
        <w:t>2</w:t>
      </w:r>
      <w:r>
        <w:rPr>
          <w:color w:val="auto"/>
          <w:szCs w:val="21"/>
          <w:highlight w:val="none"/>
        </w:rPr>
        <w:t>）我方承诺在合同约定的期限内完成并移交全部合同</w:t>
      </w:r>
      <w:r>
        <w:rPr>
          <w:rFonts w:hint="eastAsia"/>
          <w:color w:val="auto"/>
          <w:szCs w:val="21"/>
          <w:highlight w:val="none"/>
        </w:rPr>
        <w:t>内容</w:t>
      </w:r>
      <w:r>
        <w:rPr>
          <w:color w:val="auto"/>
          <w:szCs w:val="21"/>
          <w:highlight w:val="none"/>
        </w:rPr>
        <w:t>。</w:t>
      </w:r>
    </w:p>
    <w:p>
      <w:pPr>
        <w:spacing w:line="440" w:lineRule="exact"/>
        <w:ind w:firstLine="420" w:firstLineChars="200"/>
        <w:rPr>
          <w:color w:val="auto"/>
          <w:szCs w:val="21"/>
          <w:highlight w:val="none"/>
        </w:rPr>
      </w:pPr>
      <w:r>
        <w:rPr>
          <w:rFonts w:hint="eastAsia"/>
          <w:color w:val="auto"/>
          <w:szCs w:val="21"/>
          <w:highlight w:val="none"/>
        </w:rPr>
        <w:t>8</w:t>
      </w:r>
      <w:r>
        <w:rPr>
          <w:color w:val="auto"/>
          <w:szCs w:val="21"/>
          <w:highlight w:val="none"/>
        </w:rPr>
        <w:t>．</w:t>
      </w:r>
      <w:r>
        <w:rPr>
          <w:rFonts w:hint="eastAsia"/>
          <w:color w:val="auto"/>
          <w:highlight w:val="none"/>
        </w:rPr>
        <w:t>我方在此声明，所递交的投标文件及有关资料内容完整、真实和准确，且不存在第二章“投标人须知”第1.4.2项和第1.4.3项规定的任何一种情形。</w:t>
      </w:r>
    </w:p>
    <w:p>
      <w:pPr>
        <w:spacing w:line="440" w:lineRule="exact"/>
        <w:ind w:firstLine="420" w:firstLineChars="200"/>
        <w:rPr>
          <w:color w:val="auto"/>
          <w:szCs w:val="21"/>
          <w:highlight w:val="none"/>
        </w:rPr>
      </w:pPr>
      <w:r>
        <w:rPr>
          <w:rFonts w:hint="eastAsia"/>
          <w:color w:val="auto"/>
          <w:szCs w:val="21"/>
          <w:highlight w:val="none"/>
        </w:rPr>
        <w:t>9．</w:t>
      </w:r>
      <w:r>
        <w:rPr>
          <w:color w:val="auto"/>
          <w:szCs w:val="21"/>
          <w:highlight w:val="none"/>
          <w:u w:val="single"/>
        </w:rPr>
        <w:t xml:space="preserve">                                       </w:t>
      </w:r>
      <w:r>
        <w:rPr>
          <w:color w:val="auto"/>
          <w:szCs w:val="21"/>
          <w:highlight w:val="none"/>
        </w:rPr>
        <w:t>（</w:t>
      </w:r>
      <w:r>
        <w:rPr>
          <w:rFonts w:hint="eastAsia"/>
          <w:color w:val="auto"/>
          <w:szCs w:val="21"/>
          <w:highlight w:val="none"/>
        </w:rPr>
        <w:t>其他</w:t>
      </w:r>
      <w:r>
        <w:rPr>
          <w:color w:val="auto"/>
          <w:szCs w:val="21"/>
          <w:highlight w:val="none"/>
        </w:rPr>
        <w:t>补充说明）。</w:t>
      </w:r>
    </w:p>
    <w:p>
      <w:pPr>
        <w:spacing w:line="440" w:lineRule="exact"/>
        <w:ind w:firstLine="3675" w:firstLineChars="1750"/>
        <w:rPr>
          <w:color w:val="auto"/>
          <w:szCs w:val="21"/>
          <w:highlight w:val="none"/>
        </w:rPr>
      </w:pPr>
      <w:r>
        <w:rPr>
          <w:color w:val="auto"/>
          <w:szCs w:val="21"/>
          <w:highlight w:val="none"/>
        </w:rPr>
        <w:t>投 标 人：</w:t>
      </w:r>
      <w:r>
        <w:rPr>
          <w:color w:val="auto"/>
          <w:szCs w:val="21"/>
          <w:highlight w:val="none"/>
          <w:u w:val="single"/>
        </w:rPr>
        <w:t xml:space="preserve">                      </w:t>
      </w:r>
      <w:r>
        <w:rPr>
          <w:color w:val="auto"/>
          <w:szCs w:val="21"/>
          <w:highlight w:val="none"/>
        </w:rPr>
        <w:t>（盖单位章）</w:t>
      </w:r>
    </w:p>
    <w:p>
      <w:pPr>
        <w:spacing w:line="440" w:lineRule="exact"/>
        <w:ind w:firstLine="3675" w:firstLineChars="1750"/>
        <w:rPr>
          <w:color w:val="auto"/>
          <w:szCs w:val="21"/>
          <w:highlight w:val="none"/>
        </w:rPr>
      </w:pPr>
      <w:r>
        <w:rPr>
          <w:color w:val="auto"/>
          <w:szCs w:val="21"/>
          <w:highlight w:val="none"/>
        </w:rPr>
        <w:t>法定代表人或其委托代理人：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（签字）</w:t>
      </w:r>
    </w:p>
    <w:p>
      <w:pPr>
        <w:spacing w:line="440" w:lineRule="exact"/>
        <w:ind w:firstLine="3675" w:firstLineChars="1750"/>
        <w:rPr>
          <w:color w:val="auto"/>
          <w:szCs w:val="21"/>
          <w:highlight w:val="none"/>
        </w:rPr>
      </w:pPr>
      <w:r>
        <w:rPr>
          <w:color w:val="auto"/>
          <w:szCs w:val="21"/>
          <w:highlight w:val="none"/>
        </w:rPr>
        <w:t>地址：</w:t>
      </w:r>
      <w:r>
        <w:rPr>
          <w:color w:val="auto"/>
          <w:szCs w:val="21"/>
          <w:highlight w:val="none"/>
          <w:u w:val="single"/>
        </w:rPr>
        <w:t xml:space="preserve">                                     </w:t>
      </w:r>
    </w:p>
    <w:p>
      <w:pPr>
        <w:spacing w:line="440" w:lineRule="exact"/>
        <w:ind w:firstLine="3675" w:firstLineChars="1750"/>
        <w:rPr>
          <w:color w:val="auto"/>
          <w:szCs w:val="21"/>
          <w:highlight w:val="none"/>
        </w:rPr>
      </w:pPr>
      <w:r>
        <w:rPr>
          <w:color w:val="auto"/>
          <w:szCs w:val="21"/>
          <w:highlight w:val="none"/>
        </w:rPr>
        <w:t>网址：</w:t>
      </w:r>
      <w:r>
        <w:rPr>
          <w:color w:val="auto"/>
          <w:szCs w:val="21"/>
          <w:highlight w:val="none"/>
          <w:u w:val="single"/>
        </w:rPr>
        <w:t xml:space="preserve">                                     </w:t>
      </w:r>
    </w:p>
    <w:p>
      <w:pPr>
        <w:spacing w:line="440" w:lineRule="exact"/>
        <w:ind w:firstLine="3675" w:firstLineChars="1750"/>
        <w:rPr>
          <w:color w:val="auto"/>
          <w:szCs w:val="21"/>
          <w:highlight w:val="none"/>
        </w:rPr>
      </w:pPr>
      <w:r>
        <w:rPr>
          <w:color w:val="auto"/>
          <w:szCs w:val="21"/>
          <w:highlight w:val="none"/>
        </w:rPr>
        <w:t>电话：</w:t>
      </w:r>
      <w:r>
        <w:rPr>
          <w:color w:val="auto"/>
          <w:szCs w:val="21"/>
          <w:highlight w:val="none"/>
          <w:u w:val="single"/>
        </w:rPr>
        <w:t xml:space="preserve">                                     </w:t>
      </w:r>
    </w:p>
    <w:p>
      <w:pPr>
        <w:spacing w:line="440" w:lineRule="exact"/>
        <w:ind w:firstLine="3675" w:firstLineChars="1750"/>
        <w:rPr>
          <w:color w:val="auto"/>
          <w:szCs w:val="21"/>
          <w:highlight w:val="none"/>
        </w:rPr>
      </w:pPr>
      <w:r>
        <w:rPr>
          <w:color w:val="auto"/>
          <w:szCs w:val="21"/>
          <w:highlight w:val="none"/>
        </w:rPr>
        <w:t>传真：</w:t>
      </w:r>
      <w:r>
        <w:rPr>
          <w:color w:val="auto"/>
          <w:szCs w:val="21"/>
          <w:highlight w:val="none"/>
          <w:u w:val="single"/>
        </w:rPr>
        <w:t xml:space="preserve">                                     </w:t>
      </w:r>
    </w:p>
    <w:p>
      <w:pPr>
        <w:spacing w:line="440" w:lineRule="exact"/>
        <w:ind w:firstLine="3675" w:firstLineChars="1750"/>
        <w:rPr>
          <w:color w:val="auto"/>
          <w:szCs w:val="21"/>
          <w:highlight w:val="none"/>
        </w:rPr>
      </w:pPr>
      <w:r>
        <w:rPr>
          <w:color w:val="auto"/>
          <w:szCs w:val="21"/>
          <w:highlight w:val="none"/>
        </w:rPr>
        <w:t>邮政编码：</w:t>
      </w:r>
      <w:r>
        <w:rPr>
          <w:color w:val="auto"/>
          <w:szCs w:val="21"/>
          <w:highlight w:val="none"/>
          <w:u w:val="single"/>
        </w:rPr>
        <w:t xml:space="preserve">                                 </w:t>
      </w:r>
    </w:p>
    <w:p>
      <w:pPr>
        <w:spacing w:line="440" w:lineRule="exact"/>
        <w:ind w:firstLine="5040" w:firstLineChars="2400"/>
        <w:rPr>
          <w:color w:val="auto"/>
          <w:szCs w:val="21"/>
          <w:highlight w:val="none"/>
        </w:rPr>
      </w:pPr>
      <w:r>
        <w:rPr>
          <w:rFonts w:hint="eastAsia"/>
          <w:color w:val="auto"/>
          <w:szCs w:val="21"/>
          <w:highlight w:val="none"/>
          <w:u w:val="single"/>
        </w:rPr>
        <w:t xml:space="preserve">        </w:t>
      </w:r>
      <w:r>
        <w:rPr>
          <w:color w:val="auto"/>
          <w:szCs w:val="21"/>
          <w:highlight w:val="none"/>
        </w:rPr>
        <w:t>年</w:t>
      </w:r>
      <w:r>
        <w:rPr>
          <w:rFonts w:hint="eastAsia"/>
          <w:color w:val="auto"/>
          <w:szCs w:val="21"/>
          <w:highlight w:val="none"/>
          <w:u w:val="single"/>
        </w:rPr>
        <w:t xml:space="preserve">        </w:t>
      </w:r>
      <w:r>
        <w:rPr>
          <w:color w:val="auto"/>
          <w:szCs w:val="21"/>
          <w:highlight w:val="none"/>
        </w:rPr>
        <w:t>月</w:t>
      </w:r>
      <w:r>
        <w:rPr>
          <w:rFonts w:hint="eastAsia"/>
          <w:color w:val="auto"/>
          <w:szCs w:val="21"/>
          <w:highlight w:val="none"/>
          <w:u w:val="single"/>
        </w:rPr>
        <w:t xml:space="preserve">        </w:t>
      </w:r>
      <w:r>
        <w:rPr>
          <w:color w:val="auto"/>
          <w:szCs w:val="21"/>
          <w:highlight w:val="none"/>
        </w:rPr>
        <w:t>日</w:t>
      </w:r>
    </w:p>
    <w:p>
      <w:pPr>
        <w:spacing w:line="360" w:lineRule="auto"/>
        <w:rPr>
          <w:rFonts w:eastAsia="黑体"/>
          <w:color w:val="auto"/>
          <w:sz w:val="20"/>
          <w:szCs w:val="20"/>
          <w:highlight w:val="none"/>
        </w:rPr>
      </w:pPr>
    </w:p>
    <w:p>
      <w:pPr>
        <w:pStyle w:val="7"/>
        <w:jc w:val="center"/>
        <w:rPr>
          <w:color w:val="auto"/>
          <w:highlight w:val="none"/>
        </w:rPr>
      </w:pPr>
      <w:bookmarkStart w:id="2164" w:name="_Toc29580"/>
      <w:bookmarkStart w:id="2165" w:name="_Toc12148"/>
      <w:bookmarkStart w:id="2166" w:name="_Toc17089"/>
      <w:bookmarkStart w:id="2167" w:name="_Toc10448"/>
      <w:bookmarkStart w:id="2168" w:name="_Toc25357"/>
      <w:bookmarkStart w:id="2169" w:name="_Toc1789"/>
      <w:bookmarkStart w:id="2170" w:name="_Toc8533"/>
      <w:bookmarkStart w:id="2171" w:name="_Toc15120"/>
      <w:bookmarkStart w:id="2172" w:name="_Toc32090"/>
      <w:bookmarkStart w:id="2173" w:name="_Toc5744"/>
      <w:bookmarkStart w:id="2174" w:name="_Toc24830"/>
      <w:bookmarkStart w:id="2175" w:name="_Toc6188"/>
      <w:bookmarkStart w:id="2176" w:name="_Toc7642"/>
      <w:bookmarkStart w:id="2177" w:name="_Toc31885"/>
      <w:bookmarkStart w:id="2178" w:name="_Toc8769"/>
      <w:bookmarkStart w:id="2179" w:name="_Toc7230"/>
      <w:bookmarkStart w:id="2180" w:name="_Toc30446"/>
      <w:bookmarkStart w:id="2181" w:name="_Toc26751"/>
      <w:bookmarkStart w:id="2182" w:name="_Toc13418"/>
      <w:bookmarkStart w:id="2183" w:name="_Toc27831"/>
      <w:bookmarkStart w:id="2184" w:name="_Toc20595"/>
      <w:bookmarkStart w:id="2185" w:name="_Toc29318"/>
      <w:bookmarkStart w:id="2186" w:name="_Toc13553"/>
      <w:bookmarkStart w:id="2187" w:name="_Toc3718"/>
      <w:bookmarkStart w:id="2188" w:name="_Toc12629"/>
      <w:r>
        <w:rPr>
          <w:rFonts w:hint="eastAsia"/>
          <w:color w:val="auto"/>
          <w:highlight w:val="none"/>
        </w:rPr>
        <w:t>2、</w:t>
      </w:r>
      <w:r>
        <w:rPr>
          <w:color w:val="auto"/>
          <w:highlight w:val="none"/>
        </w:rPr>
        <w:t>法定代表人证明</w:t>
      </w:r>
      <w:r>
        <w:rPr>
          <w:rFonts w:hint="eastAsia"/>
          <w:color w:val="auto"/>
          <w:highlight w:val="none"/>
        </w:rPr>
        <w:t>书</w:t>
      </w:r>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p>
    <w:p>
      <w:pPr>
        <w:spacing w:line="360" w:lineRule="auto"/>
        <w:rPr>
          <w:color w:val="auto"/>
          <w:szCs w:val="21"/>
          <w:highlight w:val="none"/>
        </w:rPr>
      </w:pPr>
      <w:r>
        <w:rPr>
          <w:color w:val="auto"/>
          <w:szCs w:val="21"/>
          <w:highlight w:val="none"/>
        </w:rPr>
        <w:t>投标人名称：</w:t>
      </w:r>
      <w:r>
        <w:rPr>
          <w:color w:val="auto"/>
          <w:szCs w:val="21"/>
          <w:highlight w:val="none"/>
          <w:u w:val="single"/>
        </w:rPr>
        <w:t xml:space="preserve">                            </w:t>
      </w:r>
      <w:r>
        <w:rPr>
          <w:color w:val="auto"/>
          <w:szCs w:val="21"/>
          <w:highlight w:val="none"/>
        </w:rPr>
        <w:t xml:space="preserve"> </w:t>
      </w:r>
    </w:p>
    <w:p>
      <w:pPr>
        <w:spacing w:line="360" w:lineRule="auto"/>
        <w:rPr>
          <w:color w:val="auto"/>
          <w:szCs w:val="21"/>
          <w:highlight w:val="none"/>
        </w:rPr>
      </w:pPr>
      <w:r>
        <w:rPr>
          <w:color w:val="auto"/>
          <w:szCs w:val="21"/>
          <w:highlight w:val="none"/>
        </w:rPr>
        <w:t>单位性质：</w:t>
      </w:r>
      <w:r>
        <w:rPr>
          <w:color w:val="auto"/>
          <w:szCs w:val="21"/>
          <w:highlight w:val="none"/>
          <w:u w:val="single"/>
        </w:rPr>
        <w:t xml:space="preserve">                               </w:t>
      </w:r>
      <w:r>
        <w:rPr>
          <w:color w:val="auto"/>
          <w:szCs w:val="21"/>
          <w:highlight w:val="none"/>
        </w:rPr>
        <w:t xml:space="preserve"> </w:t>
      </w:r>
    </w:p>
    <w:p>
      <w:pPr>
        <w:spacing w:line="360" w:lineRule="auto"/>
        <w:rPr>
          <w:color w:val="auto"/>
          <w:szCs w:val="21"/>
          <w:highlight w:val="none"/>
        </w:rPr>
      </w:pPr>
      <w:r>
        <w:rPr>
          <w:color w:val="auto"/>
          <w:szCs w:val="21"/>
          <w:highlight w:val="none"/>
        </w:rPr>
        <w:t>地址：</w:t>
      </w:r>
      <w:r>
        <w:rPr>
          <w:color w:val="auto"/>
          <w:szCs w:val="21"/>
          <w:highlight w:val="none"/>
          <w:u w:val="single"/>
        </w:rPr>
        <w:t xml:space="preserve">                                   </w:t>
      </w:r>
    </w:p>
    <w:p>
      <w:pPr>
        <w:spacing w:line="360" w:lineRule="auto"/>
        <w:rPr>
          <w:color w:val="auto"/>
          <w:szCs w:val="21"/>
          <w:highlight w:val="none"/>
        </w:rPr>
      </w:pPr>
      <w:r>
        <w:rPr>
          <w:color w:val="auto"/>
          <w:szCs w:val="21"/>
          <w:highlight w:val="none"/>
        </w:rPr>
        <w:t>成立时间：</w:t>
      </w:r>
      <w:r>
        <w:rPr>
          <w:color w:val="auto"/>
          <w:szCs w:val="21"/>
          <w:highlight w:val="none"/>
          <w:u w:val="single"/>
        </w:rPr>
        <w:t xml:space="preserve">          </w:t>
      </w:r>
      <w:r>
        <w:rPr>
          <w:color w:val="auto"/>
          <w:szCs w:val="21"/>
          <w:highlight w:val="none"/>
        </w:rPr>
        <w:t>年</w:t>
      </w:r>
      <w:r>
        <w:rPr>
          <w:color w:val="auto"/>
          <w:szCs w:val="21"/>
          <w:highlight w:val="none"/>
          <w:u w:val="single"/>
        </w:rPr>
        <w:t xml:space="preserve">        </w:t>
      </w:r>
      <w:r>
        <w:rPr>
          <w:color w:val="auto"/>
          <w:szCs w:val="21"/>
          <w:highlight w:val="none"/>
        </w:rPr>
        <w:t>月</w:t>
      </w:r>
      <w:r>
        <w:rPr>
          <w:color w:val="auto"/>
          <w:szCs w:val="21"/>
          <w:highlight w:val="none"/>
          <w:u w:val="single"/>
        </w:rPr>
        <w:t xml:space="preserve">        </w:t>
      </w:r>
      <w:r>
        <w:rPr>
          <w:color w:val="auto"/>
          <w:szCs w:val="21"/>
          <w:highlight w:val="none"/>
        </w:rPr>
        <w:t>日</w:t>
      </w:r>
    </w:p>
    <w:p>
      <w:pPr>
        <w:spacing w:line="360" w:lineRule="auto"/>
        <w:rPr>
          <w:color w:val="auto"/>
          <w:szCs w:val="21"/>
          <w:highlight w:val="none"/>
        </w:rPr>
      </w:pPr>
      <w:r>
        <w:rPr>
          <w:color w:val="auto"/>
          <w:szCs w:val="21"/>
          <w:highlight w:val="none"/>
        </w:rPr>
        <w:t>经营期限：</w:t>
      </w:r>
      <w:r>
        <w:rPr>
          <w:color w:val="auto"/>
          <w:szCs w:val="21"/>
          <w:highlight w:val="none"/>
          <w:u w:val="single"/>
        </w:rPr>
        <w:t xml:space="preserve">                               </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姓名：</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rPr>
        <w:t xml:space="preserve"> 性别：</w:t>
      </w:r>
      <w:r>
        <w:rPr>
          <w:color w:val="auto"/>
          <w:szCs w:val="21"/>
          <w:highlight w:val="none"/>
          <w:u w:val="single"/>
        </w:rPr>
        <w:t xml:space="preserve">         </w:t>
      </w:r>
      <w:r>
        <w:rPr>
          <w:color w:val="auto"/>
          <w:szCs w:val="21"/>
          <w:highlight w:val="none"/>
        </w:rPr>
        <w:t>年龄：</w:t>
      </w:r>
      <w:r>
        <w:rPr>
          <w:color w:val="auto"/>
          <w:szCs w:val="21"/>
          <w:highlight w:val="none"/>
          <w:u w:val="single"/>
        </w:rPr>
        <w:t xml:space="preserve">        </w:t>
      </w:r>
      <w:r>
        <w:rPr>
          <w:color w:val="auto"/>
          <w:szCs w:val="21"/>
          <w:highlight w:val="none"/>
        </w:rPr>
        <w:t>职务：</w:t>
      </w:r>
      <w:r>
        <w:rPr>
          <w:color w:val="auto"/>
          <w:szCs w:val="21"/>
          <w:highlight w:val="none"/>
          <w:u w:val="single"/>
        </w:rPr>
        <w:t xml:space="preserve">        </w:t>
      </w:r>
    </w:p>
    <w:p>
      <w:pPr>
        <w:spacing w:line="360" w:lineRule="auto"/>
        <w:rPr>
          <w:color w:val="auto"/>
          <w:szCs w:val="21"/>
          <w:highlight w:val="none"/>
        </w:rPr>
      </w:pPr>
      <w:r>
        <w:rPr>
          <w:color w:val="auto"/>
          <w:szCs w:val="21"/>
          <w:highlight w:val="none"/>
        </w:rPr>
        <w:t>系</w:t>
      </w:r>
      <w:r>
        <w:rPr>
          <w:color w:val="auto"/>
          <w:szCs w:val="21"/>
          <w:highlight w:val="none"/>
          <w:u w:val="single"/>
        </w:rPr>
        <w:t xml:space="preserve">                             </w:t>
      </w:r>
      <w:r>
        <w:rPr>
          <w:color w:val="auto"/>
          <w:szCs w:val="21"/>
          <w:highlight w:val="none"/>
        </w:rPr>
        <w:t xml:space="preserve"> </w:t>
      </w:r>
      <w:r>
        <w:rPr>
          <w:rFonts w:hint="eastAsia"/>
          <w:color w:val="auto"/>
          <w:szCs w:val="21"/>
          <w:highlight w:val="none"/>
        </w:rPr>
        <w:t>（</w:t>
      </w:r>
      <w:r>
        <w:rPr>
          <w:color w:val="auto"/>
          <w:szCs w:val="21"/>
          <w:highlight w:val="none"/>
        </w:rPr>
        <w:t>投标人名称</w:t>
      </w:r>
      <w:r>
        <w:rPr>
          <w:rFonts w:hint="eastAsia"/>
          <w:color w:val="auto"/>
          <w:szCs w:val="21"/>
          <w:highlight w:val="none"/>
        </w:rPr>
        <w:t>）</w:t>
      </w:r>
      <w:r>
        <w:rPr>
          <w:color w:val="auto"/>
          <w:szCs w:val="21"/>
          <w:highlight w:val="none"/>
        </w:rPr>
        <w:t>的法定代表人。</w:t>
      </w:r>
    </w:p>
    <w:p>
      <w:pPr>
        <w:spacing w:line="360" w:lineRule="auto"/>
        <w:ind w:firstLine="420" w:firstLineChars="200"/>
        <w:rPr>
          <w:color w:val="auto"/>
          <w:szCs w:val="21"/>
          <w:highlight w:val="none"/>
        </w:rPr>
      </w:pPr>
      <w:r>
        <w:rPr>
          <w:color w:val="auto"/>
          <w:szCs w:val="21"/>
          <w:highlight w:val="none"/>
        </w:rPr>
        <w:t>特此证明。</w:t>
      </w:r>
    </w:p>
    <w:p>
      <w:pPr>
        <w:spacing w:line="360" w:lineRule="auto"/>
        <w:jc w:val="right"/>
        <w:rPr>
          <w:color w:val="auto"/>
          <w:highlight w:val="none"/>
        </w:rPr>
      </w:pPr>
      <w:r>
        <w:rPr>
          <w:color w:val="auto"/>
          <w:highlight w:val="none"/>
        </w:rPr>
        <w:t xml:space="preserve">                       </w:t>
      </w:r>
      <w:r>
        <w:rPr>
          <w:rFonts w:hint="eastAsia"/>
          <w:color w:val="auto"/>
          <w:highlight w:val="none"/>
        </w:rPr>
        <w:t xml:space="preserve">              </w:t>
      </w:r>
      <w:r>
        <w:rPr>
          <w:color w:val="auto"/>
          <w:highlight w:val="none"/>
        </w:rPr>
        <w:t xml:space="preserve"> 投标人：</w:t>
      </w:r>
      <w:r>
        <w:rPr>
          <w:color w:val="auto"/>
          <w:highlight w:val="none"/>
          <w:u w:val="single"/>
        </w:rPr>
        <w:t xml:space="preserve">                 </w:t>
      </w:r>
      <w:r>
        <w:rPr>
          <w:color w:val="auto"/>
          <w:highlight w:val="none"/>
        </w:rPr>
        <w:t>（盖单位章）</w:t>
      </w:r>
    </w:p>
    <w:p>
      <w:pPr>
        <w:spacing w:line="360" w:lineRule="auto"/>
        <w:jc w:val="right"/>
        <w:rPr>
          <w:color w:val="auto"/>
          <w:highlight w:val="none"/>
        </w:rPr>
      </w:pPr>
    </w:p>
    <w:p>
      <w:pPr>
        <w:spacing w:line="360" w:lineRule="auto"/>
        <w:jc w:val="right"/>
        <w:rPr>
          <w:color w:val="auto"/>
          <w:highlight w:val="none"/>
        </w:rPr>
      </w:pPr>
      <w:r>
        <w:rPr>
          <w:color w:val="auto"/>
          <w:highlight w:val="none"/>
        </w:rPr>
        <w:t xml:space="preserve">      </w:t>
      </w:r>
      <w:r>
        <w:rPr>
          <w:color w:val="auto"/>
          <w:highlight w:val="none"/>
          <w:u w:val="single"/>
        </w:rPr>
        <w:t xml:space="preserve">       </w:t>
      </w:r>
      <w:r>
        <w:rPr>
          <w:rFonts w:hint="eastAsia"/>
          <w:color w:val="auto"/>
          <w:highlight w:val="none"/>
          <w:u w:val="single"/>
        </w:rPr>
        <w:t xml:space="preserve">  </w:t>
      </w:r>
      <w:r>
        <w:rPr>
          <w:color w:val="auto"/>
          <w:highlight w:val="none"/>
        </w:rPr>
        <w:t>年</w:t>
      </w:r>
      <w:r>
        <w:rPr>
          <w:color w:val="auto"/>
          <w:highlight w:val="none"/>
          <w:u w:val="single"/>
        </w:rPr>
        <w:t xml:space="preserve">       </w:t>
      </w:r>
      <w:r>
        <w:rPr>
          <w:color w:val="auto"/>
          <w:highlight w:val="none"/>
        </w:rPr>
        <w:t>月</w:t>
      </w:r>
      <w:r>
        <w:rPr>
          <w:color w:val="auto"/>
          <w:highlight w:val="none"/>
          <w:u w:val="single"/>
        </w:rPr>
        <w:t xml:space="preserve">       </w:t>
      </w:r>
      <w:r>
        <w:rPr>
          <w:color w:val="auto"/>
          <w:highlight w:val="none"/>
        </w:rPr>
        <w:t>日</w:t>
      </w:r>
    </w:p>
    <w:p>
      <w:pPr>
        <w:pStyle w:val="6"/>
        <w:spacing w:line="360" w:lineRule="auto"/>
        <w:ind w:firstLine="3961" w:firstLineChars="1233"/>
        <w:jc w:val="center"/>
        <w:rPr>
          <w:color w:val="auto"/>
          <w:highlight w:val="none"/>
        </w:rPr>
        <w:sectPr>
          <w:pgSz w:w="11906" w:h="16838"/>
          <w:pgMar w:top="1100" w:right="1797" w:bottom="703" w:left="1797" w:header="851" w:footer="992" w:gutter="0"/>
          <w:cols w:space="720" w:num="1"/>
          <w:docGrid w:type="lines" w:linePitch="312" w:charSpace="0"/>
        </w:sectPr>
      </w:pPr>
    </w:p>
    <w:p>
      <w:pPr>
        <w:pStyle w:val="7"/>
        <w:jc w:val="center"/>
        <w:rPr>
          <w:color w:val="auto"/>
          <w:highlight w:val="none"/>
        </w:rPr>
      </w:pPr>
      <w:bookmarkStart w:id="2189" w:name="_Toc18951"/>
      <w:bookmarkStart w:id="2190" w:name="_Toc20388"/>
      <w:bookmarkStart w:id="2191" w:name="_Toc24255"/>
      <w:bookmarkStart w:id="2192" w:name="_Toc14775"/>
      <w:bookmarkStart w:id="2193" w:name="_Toc4803"/>
      <w:bookmarkStart w:id="2194" w:name="_Toc13158"/>
      <w:bookmarkStart w:id="2195" w:name="_Toc6875"/>
      <w:bookmarkStart w:id="2196" w:name="_Toc24451"/>
      <w:bookmarkStart w:id="2197" w:name="_Toc26341"/>
      <w:bookmarkStart w:id="2198" w:name="_Toc12640"/>
      <w:bookmarkStart w:id="2199" w:name="_Toc25492"/>
      <w:bookmarkStart w:id="2200" w:name="_Toc30872"/>
      <w:bookmarkStart w:id="2201" w:name="_Toc5871"/>
      <w:bookmarkStart w:id="2202" w:name="_Toc28640"/>
      <w:bookmarkStart w:id="2203" w:name="_Toc2721"/>
      <w:bookmarkStart w:id="2204" w:name="_Toc4747"/>
      <w:bookmarkStart w:id="2205" w:name="_Toc7214"/>
      <w:bookmarkStart w:id="2206" w:name="_Toc5863"/>
      <w:bookmarkStart w:id="2207" w:name="_Toc5041"/>
      <w:bookmarkStart w:id="2208" w:name="_Toc27897"/>
      <w:bookmarkStart w:id="2209" w:name="_Toc32073"/>
      <w:bookmarkStart w:id="2210" w:name="_Toc24922"/>
      <w:bookmarkStart w:id="2211" w:name="_Toc15822"/>
      <w:bookmarkStart w:id="2212" w:name="_Toc12579"/>
      <w:bookmarkStart w:id="2213" w:name="_Toc379"/>
      <w:r>
        <w:rPr>
          <w:rFonts w:hint="eastAsia"/>
          <w:color w:val="auto"/>
          <w:highlight w:val="none"/>
        </w:rPr>
        <w:t>3、</w:t>
      </w:r>
      <w:r>
        <w:rPr>
          <w:color w:val="auto"/>
          <w:highlight w:val="none"/>
        </w:rPr>
        <w:t>授权委托书</w:t>
      </w:r>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p>
    <w:p>
      <w:pPr>
        <w:topLinePunct/>
        <w:spacing w:line="360" w:lineRule="auto"/>
        <w:ind w:firstLine="420" w:firstLineChars="200"/>
        <w:rPr>
          <w:color w:val="auto"/>
          <w:szCs w:val="21"/>
          <w:highlight w:val="none"/>
        </w:rPr>
      </w:pPr>
      <w:r>
        <w:rPr>
          <w:color w:val="auto"/>
          <w:szCs w:val="21"/>
          <w:highlight w:val="none"/>
        </w:rPr>
        <w:t>本人</w:t>
      </w:r>
      <w:r>
        <w:rPr>
          <w:color w:val="auto"/>
          <w:szCs w:val="21"/>
          <w:highlight w:val="none"/>
          <w:u w:val="single"/>
        </w:rPr>
        <w:t xml:space="preserve">       </w:t>
      </w:r>
      <w:r>
        <w:rPr>
          <w:color w:val="auto"/>
          <w:szCs w:val="21"/>
          <w:highlight w:val="none"/>
        </w:rPr>
        <w:t>（姓名）系</w:t>
      </w:r>
      <w:r>
        <w:rPr>
          <w:color w:val="auto"/>
          <w:szCs w:val="21"/>
          <w:highlight w:val="none"/>
          <w:u w:val="single"/>
        </w:rPr>
        <w:t xml:space="preserve">        </w:t>
      </w:r>
      <w:r>
        <w:rPr>
          <w:color w:val="auto"/>
          <w:szCs w:val="21"/>
          <w:highlight w:val="none"/>
        </w:rPr>
        <w:t>（投标人名称）的法定代表人，现委托</w:t>
      </w:r>
      <w:r>
        <w:rPr>
          <w:color w:val="auto"/>
          <w:szCs w:val="21"/>
          <w:highlight w:val="none"/>
          <w:u w:val="single"/>
        </w:rPr>
        <w:t xml:space="preserve">        </w:t>
      </w:r>
      <w:r>
        <w:rPr>
          <w:color w:val="auto"/>
          <w:szCs w:val="21"/>
          <w:highlight w:val="none"/>
        </w:rPr>
        <w:t>（姓名）为我方代理人。代理人根据授权，以我方名义签署、澄清</w:t>
      </w:r>
      <w:r>
        <w:rPr>
          <w:rFonts w:hint="eastAsia"/>
          <w:color w:val="auto"/>
          <w:szCs w:val="21"/>
          <w:highlight w:val="none"/>
        </w:rPr>
        <w:t>、说明、补正</w:t>
      </w:r>
      <w:r>
        <w:rPr>
          <w:color w:val="auto"/>
          <w:szCs w:val="21"/>
          <w:highlight w:val="none"/>
        </w:rPr>
        <w:t>、递交、撤回、修改</w:t>
      </w:r>
      <w:r>
        <w:rPr>
          <w:color w:val="auto"/>
          <w:szCs w:val="21"/>
          <w:highlight w:val="none"/>
          <w:u w:val="single"/>
        </w:rPr>
        <w:t xml:space="preserve">           </w:t>
      </w:r>
      <w:r>
        <w:rPr>
          <w:color w:val="auto"/>
          <w:szCs w:val="21"/>
          <w:highlight w:val="none"/>
        </w:rPr>
        <w:t>（项目名称）投标文件、签订合同和处理有关事宜，其法律后果由我方承担。</w:t>
      </w:r>
    </w:p>
    <w:p>
      <w:pPr>
        <w:spacing w:line="360" w:lineRule="auto"/>
        <w:rPr>
          <w:color w:val="auto"/>
          <w:szCs w:val="21"/>
          <w:highlight w:val="none"/>
        </w:rPr>
      </w:pPr>
      <w:r>
        <w:rPr>
          <w:color w:val="auto"/>
          <w:szCs w:val="21"/>
          <w:highlight w:val="none"/>
        </w:rPr>
        <w:t xml:space="preserve">    委托期限：</w:t>
      </w:r>
      <w:r>
        <w:rPr>
          <w:color w:val="auto"/>
          <w:szCs w:val="21"/>
          <w:highlight w:val="none"/>
          <w:u w:val="single"/>
        </w:rPr>
        <w:t xml:space="preserve">             </w:t>
      </w:r>
      <w:r>
        <w:rPr>
          <w:rFonts w:hint="eastAsia"/>
          <w:color w:val="auto"/>
          <w:szCs w:val="21"/>
          <w:highlight w:val="none"/>
        </w:rPr>
        <w:t>。</w:t>
      </w:r>
    </w:p>
    <w:p>
      <w:pPr>
        <w:spacing w:line="360" w:lineRule="auto"/>
        <w:ind w:firstLine="420" w:firstLineChars="200"/>
        <w:rPr>
          <w:color w:val="auto"/>
          <w:szCs w:val="21"/>
          <w:highlight w:val="none"/>
        </w:rPr>
      </w:pPr>
      <w:r>
        <w:rPr>
          <w:color w:val="auto"/>
          <w:szCs w:val="21"/>
          <w:highlight w:val="none"/>
        </w:rPr>
        <w:t>代理人无转委托权。</w:t>
      </w:r>
    </w:p>
    <w:p>
      <w:pPr>
        <w:spacing w:line="360" w:lineRule="auto"/>
        <w:ind w:firstLine="420" w:firstLineChars="200"/>
        <w:rPr>
          <w:color w:val="auto"/>
          <w:szCs w:val="21"/>
          <w:highlight w:val="none"/>
        </w:rPr>
      </w:pPr>
      <w:r>
        <w:rPr>
          <w:rFonts w:hint="eastAsia"/>
          <w:color w:val="auto"/>
          <w:szCs w:val="21"/>
          <w:highlight w:val="none"/>
        </w:rPr>
        <w:t>附：</w:t>
      </w:r>
      <w:r>
        <w:rPr>
          <w:rFonts w:hint="eastAsia"/>
          <w:b/>
          <w:bCs/>
          <w:color w:val="auto"/>
          <w:szCs w:val="21"/>
          <w:highlight w:val="none"/>
        </w:rPr>
        <w:t>法定代表人身份证明复印件、</w:t>
      </w:r>
      <w:r>
        <w:rPr>
          <w:b/>
          <w:bCs/>
          <w:color w:val="auto"/>
          <w:szCs w:val="21"/>
          <w:highlight w:val="none"/>
        </w:rPr>
        <w:t>委托代理人</w:t>
      </w:r>
      <w:r>
        <w:rPr>
          <w:rFonts w:hint="eastAsia"/>
          <w:b/>
          <w:bCs/>
          <w:color w:val="auto"/>
          <w:szCs w:val="21"/>
          <w:highlight w:val="none"/>
        </w:rPr>
        <w:t>身份证明复印件</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投标人：</w:t>
      </w:r>
      <w:r>
        <w:rPr>
          <w:color w:val="auto"/>
          <w:szCs w:val="21"/>
          <w:highlight w:val="none"/>
          <w:u w:val="single"/>
        </w:rPr>
        <w:t xml:space="preserve">                               </w:t>
      </w:r>
      <w:r>
        <w:rPr>
          <w:color w:val="auto"/>
          <w:szCs w:val="21"/>
          <w:highlight w:val="none"/>
        </w:rPr>
        <w:t>（盖单位章）</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法定代表人：</w:t>
      </w:r>
      <w:r>
        <w:rPr>
          <w:color w:val="auto"/>
          <w:szCs w:val="21"/>
          <w:highlight w:val="none"/>
          <w:u w:val="single"/>
        </w:rPr>
        <w:t xml:space="preserve">                               </w:t>
      </w:r>
      <w:r>
        <w:rPr>
          <w:color w:val="auto"/>
          <w:szCs w:val="21"/>
          <w:highlight w:val="none"/>
        </w:rPr>
        <w:t>（签字）</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身份证号码：</w:t>
      </w:r>
      <w:r>
        <w:rPr>
          <w:color w:val="auto"/>
          <w:szCs w:val="21"/>
          <w:highlight w:val="none"/>
          <w:u w:val="single"/>
        </w:rPr>
        <w:t xml:space="preserve">                                     </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委托代理人：</w:t>
      </w:r>
      <w:r>
        <w:rPr>
          <w:color w:val="auto"/>
          <w:szCs w:val="21"/>
          <w:highlight w:val="none"/>
          <w:u w:val="single"/>
        </w:rPr>
        <w:t xml:space="preserve">                                   </w:t>
      </w:r>
      <w:r>
        <w:rPr>
          <w:color w:val="auto"/>
          <w:szCs w:val="21"/>
          <w:highlight w:val="none"/>
        </w:rPr>
        <w:t xml:space="preserve">（签字） </w:t>
      </w:r>
    </w:p>
    <w:p>
      <w:pPr>
        <w:spacing w:line="360" w:lineRule="auto"/>
        <w:rPr>
          <w:color w:val="auto"/>
          <w:szCs w:val="21"/>
          <w:highlight w:val="none"/>
        </w:rPr>
      </w:pPr>
    </w:p>
    <w:p>
      <w:pPr>
        <w:spacing w:line="360" w:lineRule="auto"/>
        <w:rPr>
          <w:color w:val="auto"/>
          <w:szCs w:val="21"/>
          <w:highlight w:val="none"/>
        </w:rPr>
      </w:pPr>
      <w:r>
        <w:rPr>
          <w:color w:val="auto"/>
          <w:szCs w:val="21"/>
          <w:highlight w:val="none"/>
        </w:rPr>
        <w:t>身份证号码：</w:t>
      </w:r>
      <w:r>
        <w:rPr>
          <w:color w:val="auto"/>
          <w:szCs w:val="21"/>
          <w:highlight w:val="none"/>
          <w:u w:val="single"/>
        </w:rPr>
        <w:t xml:space="preserve">                                      </w:t>
      </w:r>
    </w:p>
    <w:p>
      <w:pPr>
        <w:spacing w:line="360" w:lineRule="auto"/>
        <w:rPr>
          <w:color w:val="auto"/>
          <w:szCs w:val="21"/>
          <w:highlight w:val="none"/>
        </w:rPr>
      </w:pPr>
    </w:p>
    <w:p>
      <w:pPr>
        <w:spacing w:line="360" w:lineRule="auto"/>
        <w:ind w:firstLine="2310" w:firstLineChars="1100"/>
        <w:rPr>
          <w:rFonts w:eastAsia="黑体"/>
          <w:color w:val="auto"/>
          <w:szCs w:val="21"/>
          <w:highlight w:val="none"/>
        </w:rPr>
      </w:pPr>
      <w:r>
        <w:rPr>
          <w:color w:val="auto"/>
          <w:szCs w:val="21"/>
          <w:highlight w:val="none"/>
          <w:u w:val="single"/>
        </w:rPr>
        <w:t xml:space="preserve">       </w:t>
      </w:r>
      <w:r>
        <w:rPr>
          <w:color w:val="auto"/>
          <w:szCs w:val="21"/>
          <w:highlight w:val="none"/>
        </w:rPr>
        <w:t>年</w:t>
      </w:r>
      <w:r>
        <w:rPr>
          <w:color w:val="auto"/>
          <w:szCs w:val="21"/>
          <w:highlight w:val="none"/>
          <w:u w:val="single"/>
        </w:rPr>
        <w:t xml:space="preserve">       </w:t>
      </w:r>
      <w:r>
        <w:rPr>
          <w:color w:val="auto"/>
          <w:szCs w:val="21"/>
          <w:highlight w:val="none"/>
        </w:rPr>
        <w:t>月</w:t>
      </w:r>
      <w:r>
        <w:rPr>
          <w:color w:val="auto"/>
          <w:szCs w:val="21"/>
          <w:highlight w:val="none"/>
          <w:u w:val="single"/>
        </w:rPr>
        <w:t xml:space="preserve">       </w:t>
      </w:r>
      <w:r>
        <w:rPr>
          <w:color w:val="auto"/>
          <w:szCs w:val="21"/>
          <w:highlight w:val="none"/>
        </w:rPr>
        <w:t>日</w:t>
      </w:r>
    </w:p>
    <w:p>
      <w:pPr>
        <w:pStyle w:val="91"/>
        <w:spacing w:line="360" w:lineRule="auto"/>
        <w:rPr>
          <w:color w:val="auto"/>
          <w:highlight w:val="none"/>
        </w:rPr>
      </w:pPr>
    </w:p>
    <w:tbl>
      <w:tblPr>
        <w:tblStyle w:val="4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9" w:hRule="atLeast"/>
        </w:trPr>
        <w:tc>
          <w:tcPr>
            <w:tcW w:w="8522" w:type="dxa"/>
          </w:tcPr>
          <w:p>
            <w:pPr>
              <w:spacing w:line="360" w:lineRule="auto"/>
              <w:rPr>
                <w:color w:val="auto"/>
                <w:szCs w:val="21"/>
                <w:highlight w:val="none"/>
              </w:rPr>
            </w:pPr>
            <w:r>
              <w:rPr>
                <w:rFonts w:hint="eastAsia"/>
                <w:color w:val="auto"/>
                <w:highlight w:val="none"/>
              </w:rPr>
              <w:t>此处附</w:t>
            </w:r>
            <w:r>
              <w:rPr>
                <w:rFonts w:hint="eastAsia"/>
                <w:b/>
                <w:bCs/>
                <w:color w:val="auto"/>
                <w:szCs w:val="21"/>
                <w:highlight w:val="none"/>
              </w:rPr>
              <w:t>法定代表人身份证明复印件、</w:t>
            </w:r>
            <w:r>
              <w:rPr>
                <w:b/>
                <w:bCs/>
                <w:color w:val="auto"/>
                <w:szCs w:val="21"/>
                <w:highlight w:val="none"/>
              </w:rPr>
              <w:t>委托代理人</w:t>
            </w:r>
            <w:r>
              <w:rPr>
                <w:rFonts w:hint="eastAsia"/>
                <w:b/>
                <w:bCs/>
                <w:color w:val="auto"/>
                <w:szCs w:val="21"/>
                <w:highlight w:val="none"/>
              </w:rPr>
              <w:t>身份证明复印件</w:t>
            </w:r>
          </w:p>
          <w:p>
            <w:pPr>
              <w:pStyle w:val="91"/>
              <w:spacing w:line="360" w:lineRule="auto"/>
              <w:rPr>
                <w:color w:val="auto"/>
                <w:highlight w:val="none"/>
              </w:rPr>
            </w:pPr>
          </w:p>
        </w:tc>
      </w:tr>
    </w:tbl>
    <w:p>
      <w:pPr>
        <w:pStyle w:val="7"/>
        <w:jc w:val="center"/>
        <w:rPr>
          <w:color w:val="auto"/>
          <w:highlight w:val="none"/>
        </w:rPr>
      </w:pPr>
      <w:bookmarkStart w:id="2214" w:name="_Toc7437"/>
      <w:bookmarkStart w:id="2215" w:name="_Toc24119"/>
      <w:bookmarkStart w:id="2216" w:name="_Toc2421"/>
      <w:bookmarkStart w:id="2217" w:name="_Toc19318"/>
      <w:bookmarkStart w:id="2218" w:name="_Toc18173"/>
      <w:bookmarkStart w:id="2219" w:name="_Toc18236"/>
      <w:bookmarkStart w:id="2220" w:name="_Toc4295"/>
      <w:bookmarkStart w:id="2221" w:name="_Toc8795"/>
      <w:bookmarkStart w:id="2222" w:name="_Toc17440"/>
      <w:bookmarkStart w:id="2223" w:name="_Toc7851"/>
      <w:bookmarkStart w:id="2224" w:name="_Toc32049"/>
      <w:bookmarkStart w:id="2225" w:name="_Toc13550"/>
      <w:bookmarkStart w:id="2226" w:name="_Toc28586"/>
      <w:bookmarkStart w:id="2227" w:name="_Toc20578"/>
      <w:bookmarkStart w:id="2228" w:name="_Toc24468"/>
      <w:bookmarkStart w:id="2229" w:name="_Toc13662"/>
      <w:bookmarkStart w:id="2230" w:name="_Toc9522"/>
      <w:bookmarkStart w:id="2231" w:name="_Toc17532"/>
      <w:bookmarkStart w:id="2232" w:name="_Toc1676"/>
      <w:bookmarkStart w:id="2233" w:name="_Toc1793"/>
      <w:bookmarkStart w:id="2234" w:name="_Toc32251"/>
      <w:bookmarkStart w:id="2235" w:name="_Toc11950"/>
      <w:bookmarkStart w:id="2236" w:name="_Toc24924"/>
      <w:r>
        <w:rPr>
          <w:rFonts w:hint="eastAsia"/>
          <w:color w:val="auto"/>
          <w:highlight w:val="none"/>
        </w:rPr>
        <w:t>4、法定代表人授权书</w:t>
      </w:r>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p>
    <w:p>
      <w:pPr>
        <w:pStyle w:val="6"/>
        <w:jc w:val="center"/>
        <w:rPr>
          <w:b w:val="0"/>
          <w:bCs w:val="0"/>
          <w:color w:val="auto"/>
          <w:highlight w:val="none"/>
        </w:rPr>
      </w:pPr>
      <w:bookmarkStart w:id="2237" w:name="_Toc23455"/>
      <w:bookmarkStart w:id="2238" w:name="_Toc25709"/>
      <w:bookmarkStart w:id="2239" w:name="_Toc7881"/>
      <w:bookmarkStart w:id="2240" w:name="_Toc25873"/>
      <w:bookmarkStart w:id="2241" w:name="_Toc3346"/>
      <w:bookmarkStart w:id="2242" w:name="_Toc3334"/>
      <w:bookmarkStart w:id="2243" w:name="_Toc28600"/>
      <w:bookmarkStart w:id="2244" w:name="_Toc23878"/>
      <w:bookmarkStart w:id="2245" w:name="_Toc14125"/>
      <w:bookmarkStart w:id="2246" w:name="OLE_LINK10"/>
      <w:bookmarkStart w:id="2247" w:name="_Toc10233"/>
      <w:bookmarkStart w:id="2248" w:name="_Toc538"/>
      <w:bookmarkStart w:id="2249" w:name="_Toc8160"/>
      <w:bookmarkStart w:id="2250" w:name="_Toc24434"/>
      <w:bookmarkStart w:id="2251" w:name="_Toc23490"/>
      <w:bookmarkStart w:id="2252" w:name="_Toc23744"/>
      <w:bookmarkStart w:id="2253" w:name="_Toc20325"/>
      <w:bookmarkStart w:id="2254" w:name="_Toc1711"/>
      <w:bookmarkStart w:id="2255" w:name="_Toc352"/>
      <w:bookmarkStart w:id="2256" w:name="_Toc32149"/>
      <w:bookmarkStart w:id="2257" w:name="_Toc17501"/>
      <w:bookmarkStart w:id="2258" w:name="_Toc14990"/>
      <w:bookmarkStart w:id="2259" w:name="_Toc31644"/>
      <w:bookmarkStart w:id="2260" w:name="_Toc5953"/>
      <w:r>
        <w:rPr>
          <w:b w:val="0"/>
          <w:bCs w:val="0"/>
          <w:color w:val="auto"/>
          <w:sz w:val="28"/>
          <w:szCs w:val="28"/>
          <w:highlight w:val="none"/>
        </w:rPr>
        <w:t>（总公司授权分公司投标时使用）</w:t>
      </w:r>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p>
    <w:p>
      <w:pPr>
        <w:spacing w:line="360" w:lineRule="auto"/>
        <w:rPr>
          <w:color w:val="auto"/>
          <w:highlight w:val="none"/>
        </w:rPr>
      </w:pPr>
      <w:r>
        <w:rPr>
          <w:rFonts w:hint="eastAsia"/>
          <w:color w:val="auto"/>
          <w:highlight w:val="none"/>
        </w:rPr>
        <w:t>XXXXXXXXX：</w:t>
      </w:r>
    </w:p>
    <w:p>
      <w:pPr>
        <w:spacing w:line="360" w:lineRule="auto"/>
        <w:ind w:firstLine="420" w:firstLineChars="200"/>
        <w:rPr>
          <w:color w:val="auto"/>
          <w:highlight w:val="none"/>
        </w:rPr>
      </w:pPr>
      <w:r>
        <w:rPr>
          <w:rFonts w:hint="eastAsia"/>
          <w:color w:val="auto"/>
          <w:highlight w:val="none"/>
        </w:rPr>
        <w:t>本人</w:t>
      </w:r>
      <w:r>
        <w:rPr>
          <w:rFonts w:hint="eastAsia"/>
          <w:color w:val="auto"/>
          <w:highlight w:val="none"/>
          <w:u w:val="single"/>
        </w:rPr>
        <w:t>        （姓名）</w:t>
      </w:r>
      <w:r>
        <w:rPr>
          <w:rFonts w:hint="eastAsia"/>
          <w:color w:val="auto"/>
          <w:highlight w:val="none"/>
        </w:rPr>
        <w:t>系</w:t>
      </w:r>
      <w:r>
        <w:rPr>
          <w:rFonts w:hint="eastAsia"/>
          <w:color w:val="auto"/>
          <w:highlight w:val="none"/>
          <w:u w:val="single"/>
        </w:rPr>
        <w:t>             （投标人全称）</w:t>
      </w:r>
      <w:r>
        <w:rPr>
          <w:rFonts w:hint="eastAsia"/>
          <w:color w:val="auto"/>
          <w:highlight w:val="none"/>
        </w:rPr>
        <w:t>法定代表人，现授权委托我方分公司</w:t>
      </w:r>
      <w:r>
        <w:rPr>
          <w:rFonts w:hint="eastAsia"/>
          <w:color w:val="auto"/>
          <w:highlight w:val="none"/>
          <w:u w:val="single"/>
        </w:rPr>
        <w:t>                       （ 分公司名称）</w:t>
      </w:r>
      <w:r>
        <w:rPr>
          <w:rFonts w:hint="eastAsia"/>
          <w:color w:val="auto"/>
          <w:highlight w:val="none"/>
        </w:rPr>
        <w:t>参加贵处组织的</w:t>
      </w:r>
      <w:r>
        <w:rPr>
          <w:rFonts w:hint="eastAsia"/>
          <w:color w:val="auto"/>
          <w:highlight w:val="none"/>
          <w:u w:val="single"/>
        </w:rPr>
        <w:t>               项目（括号内填写招标编号及项目）</w:t>
      </w:r>
      <w:r>
        <w:rPr>
          <w:rFonts w:hint="eastAsia"/>
          <w:color w:val="auto"/>
          <w:highlight w:val="none"/>
        </w:rPr>
        <w:t>投标活动，代表我公司全权办理针对上述项目的投标全程各事项、投标文件及合同中的签署及允许加盖分公司印章、项目实施等涉及的一切事宜。以上行为，与我公司享有同等效力，我公司均予以承认，由此所产生的一切法律后果和法律责任，均由本公司承担。 同时宣布承诺如下：</w:t>
      </w:r>
    </w:p>
    <w:p>
      <w:pPr>
        <w:spacing w:line="360" w:lineRule="auto"/>
        <w:rPr>
          <w:color w:val="auto"/>
          <w:highlight w:val="none"/>
        </w:rPr>
      </w:pPr>
      <w:r>
        <w:rPr>
          <w:rFonts w:hint="eastAsia"/>
          <w:color w:val="auto"/>
          <w:highlight w:val="none"/>
        </w:rPr>
        <w:t>（1）我公司已详细阅读全部招标文件（含补充修改文件），并理解其实质</w:t>
      </w:r>
    </w:p>
    <w:p>
      <w:pPr>
        <w:spacing w:line="360" w:lineRule="auto"/>
        <w:rPr>
          <w:color w:val="auto"/>
          <w:highlight w:val="none"/>
        </w:rPr>
      </w:pPr>
      <w:r>
        <w:rPr>
          <w:rFonts w:hint="eastAsia"/>
          <w:color w:val="auto"/>
          <w:highlight w:val="none"/>
        </w:rPr>
        <w:t>性内容，同意承担招标文件规定的全部义务和相关责任。</w:t>
      </w:r>
    </w:p>
    <w:p>
      <w:pPr>
        <w:spacing w:line="360" w:lineRule="auto"/>
        <w:rPr>
          <w:color w:val="auto"/>
          <w:highlight w:val="none"/>
        </w:rPr>
      </w:pPr>
      <w:r>
        <w:rPr>
          <w:rFonts w:hint="eastAsia"/>
          <w:color w:val="auto"/>
          <w:highlight w:val="none"/>
        </w:rPr>
        <w:t>（2）我公司同意提供招标人可能要求的与其投标有关的一切数据或资料。</w:t>
      </w:r>
    </w:p>
    <w:p>
      <w:pPr>
        <w:spacing w:line="360" w:lineRule="auto"/>
        <w:rPr>
          <w:color w:val="auto"/>
          <w:highlight w:val="none"/>
        </w:rPr>
      </w:pPr>
      <w:r>
        <w:rPr>
          <w:rFonts w:hint="eastAsia"/>
          <w:color w:val="auto"/>
          <w:highlight w:val="none"/>
        </w:rPr>
        <w:t>（3）我公司所提交的一切投标资料均为合法且真实有效。</w:t>
      </w:r>
    </w:p>
    <w:p>
      <w:pPr>
        <w:spacing w:line="360" w:lineRule="auto"/>
        <w:rPr>
          <w:color w:val="auto"/>
          <w:highlight w:val="none"/>
        </w:rPr>
      </w:pPr>
      <w:r>
        <w:rPr>
          <w:rFonts w:hint="eastAsia"/>
          <w:color w:val="auto"/>
          <w:highlight w:val="none"/>
        </w:rPr>
        <w:t>法定代表人签字： </w:t>
      </w:r>
    </w:p>
    <w:p>
      <w:pPr>
        <w:spacing w:line="360" w:lineRule="auto"/>
        <w:rPr>
          <w:color w:val="auto"/>
          <w:highlight w:val="none"/>
        </w:rPr>
      </w:pPr>
      <w:r>
        <w:rPr>
          <w:rFonts w:hint="eastAsia"/>
          <w:color w:val="auto"/>
          <w:highlight w:val="none"/>
        </w:rPr>
        <w:t>投标人全称（公章）：                   </w:t>
      </w:r>
    </w:p>
    <w:p>
      <w:pPr>
        <w:spacing w:line="360" w:lineRule="auto"/>
        <w:rPr>
          <w:color w:val="auto"/>
          <w:highlight w:val="none"/>
        </w:rPr>
      </w:pPr>
      <w:r>
        <w:rPr>
          <w:rFonts w:hint="eastAsia"/>
          <w:color w:val="auto"/>
          <w:highlight w:val="none"/>
        </w:rPr>
        <w:t>日期：</w:t>
      </w:r>
    </w:p>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附：</w:t>
      </w:r>
    </w:p>
    <w:p>
      <w:pPr>
        <w:spacing w:line="360" w:lineRule="auto"/>
        <w:rPr>
          <w:color w:val="auto"/>
          <w:highlight w:val="none"/>
        </w:rPr>
      </w:pPr>
      <w:r>
        <w:rPr>
          <w:rFonts w:hint="eastAsia"/>
          <w:color w:val="auto"/>
          <w:highlight w:val="none"/>
        </w:rPr>
        <w:t>分公司营业执照</w:t>
      </w:r>
    </w:p>
    <w:p>
      <w:pPr>
        <w:spacing w:line="360" w:lineRule="auto"/>
        <w:rPr>
          <w:color w:val="auto"/>
          <w:highlight w:val="none"/>
        </w:rPr>
      </w:pPr>
      <w:r>
        <w:rPr>
          <w:rFonts w:hint="eastAsia"/>
          <w:color w:val="auto"/>
          <w:highlight w:val="none"/>
        </w:rPr>
        <w:t>传真：</w:t>
      </w:r>
    </w:p>
    <w:p>
      <w:pPr>
        <w:spacing w:line="360" w:lineRule="auto"/>
        <w:rPr>
          <w:color w:val="auto"/>
          <w:highlight w:val="none"/>
        </w:rPr>
      </w:pPr>
      <w:r>
        <w:rPr>
          <w:rFonts w:hint="eastAsia"/>
          <w:color w:val="auto"/>
          <w:highlight w:val="none"/>
        </w:rPr>
        <w:t>电话：</w:t>
      </w:r>
    </w:p>
    <w:p>
      <w:pPr>
        <w:spacing w:line="360" w:lineRule="auto"/>
        <w:rPr>
          <w:color w:val="auto"/>
          <w:highlight w:val="none"/>
        </w:rPr>
      </w:pPr>
      <w:r>
        <w:rPr>
          <w:rFonts w:hint="eastAsia"/>
          <w:color w:val="auto"/>
          <w:highlight w:val="none"/>
        </w:rPr>
        <w:t>详细通讯地址：</w:t>
      </w:r>
    </w:p>
    <w:p>
      <w:pPr>
        <w:spacing w:line="360" w:lineRule="auto"/>
        <w:rPr>
          <w:color w:val="auto"/>
          <w:highlight w:val="none"/>
        </w:rPr>
      </w:pPr>
      <w:r>
        <w:rPr>
          <w:rFonts w:hint="eastAsia"/>
          <w:color w:val="auto"/>
          <w:highlight w:val="none"/>
        </w:rPr>
        <w:t>邮政编码：</w:t>
      </w:r>
    </w:p>
    <w:p>
      <w:pPr>
        <w:rPr>
          <w:color w:val="auto"/>
          <w:highlight w:val="none"/>
        </w:rPr>
      </w:pPr>
      <w:r>
        <w:rPr>
          <w:rFonts w:hint="eastAsia"/>
          <w:color w:val="auto"/>
          <w:highlight w:val="none"/>
        </w:rPr>
        <w:t> </w:t>
      </w:r>
    </w:p>
    <w:p>
      <w:pPr>
        <w:pStyle w:val="6"/>
        <w:jc w:val="center"/>
        <w:rPr>
          <w:color w:val="auto"/>
          <w:highlight w:val="none"/>
        </w:rPr>
      </w:pPr>
    </w:p>
    <w:p>
      <w:pPr>
        <w:rPr>
          <w:color w:val="auto"/>
          <w:highlight w:val="none"/>
        </w:rPr>
      </w:pPr>
    </w:p>
    <w:p>
      <w:pPr>
        <w:pStyle w:val="7"/>
        <w:ind w:firstLine="2249" w:firstLineChars="700"/>
        <w:rPr>
          <w:color w:val="auto"/>
          <w:highlight w:val="none"/>
        </w:rPr>
      </w:pPr>
      <w:bookmarkStart w:id="2261" w:name="_Toc23441"/>
      <w:bookmarkStart w:id="2262" w:name="_Toc12156"/>
      <w:bookmarkStart w:id="2263" w:name="_Toc2091"/>
      <w:bookmarkStart w:id="2264" w:name="_Toc27829"/>
      <w:bookmarkStart w:id="2265" w:name="_Toc19235"/>
      <w:bookmarkStart w:id="2266" w:name="_Toc10790"/>
      <w:bookmarkStart w:id="2267" w:name="_Toc23271"/>
      <w:bookmarkStart w:id="2268" w:name="_Toc17178"/>
      <w:bookmarkStart w:id="2269" w:name="_Toc9903"/>
      <w:bookmarkStart w:id="2270" w:name="_Toc30511"/>
      <w:bookmarkStart w:id="2271" w:name="_Toc4256"/>
      <w:bookmarkStart w:id="2272" w:name="_Toc9236"/>
      <w:bookmarkStart w:id="2273" w:name="_Toc19967"/>
      <w:bookmarkStart w:id="2274" w:name="_Toc19986"/>
      <w:bookmarkStart w:id="2275" w:name="_Toc2033"/>
      <w:bookmarkStart w:id="2276" w:name="_Toc21514"/>
      <w:bookmarkStart w:id="2277" w:name="_Toc19089"/>
      <w:bookmarkStart w:id="2278" w:name="_Toc14558"/>
      <w:bookmarkStart w:id="2279" w:name="_Toc2380"/>
      <w:r>
        <w:rPr>
          <w:rFonts w:hint="eastAsia"/>
          <w:color w:val="auto"/>
          <w:highlight w:val="none"/>
        </w:rPr>
        <w:t>5、分公司负责人授权书</w:t>
      </w:r>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p>
    <w:p>
      <w:pPr>
        <w:pStyle w:val="6"/>
        <w:jc w:val="center"/>
        <w:rPr>
          <w:b w:val="0"/>
          <w:bCs w:val="0"/>
          <w:color w:val="auto"/>
          <w:sz w:val="28"/>
          <w:szCs w:val="28"/>
          <w:highlight w:val="none"/>
        </w:rPr>
      </w:pPr>
      <w:bookmarkStart w:id="2280" w:name="_Toc464"/>
      <w:bookmarkStart w:id="2281" w:name="_Toc21080"/>
      <w:bookmarkStart w:id="2282" w:name="_Toc22383"/>
      <w:bookmarkStart w:id="2283" w:name="_Toc21640"/>
      <w:bookmarkStart w:id="2284" w:name="_Toc1280"/>
      <w:bookmarkStart w:id="2285" w:name="_Toc13082"/>
      <w:bookmarkStart w:id="2286" w:name="_Toc10817"/>
      <w:bookmarkStart w:id="2287" w:name="_Toc483"/>
      <w:bookmarkStart w:id="2288" w:name="_Toc11149"/>
      <w:bookmarkStart w:id="2289" w:name="_Toc15962"/>
      <w:bookmarkStart w:id="2290" w:name="_Toc8496"/>
      <w:bookmarkStart w:id="2291" w:name="_Toc5392"/>
      <w:bookmarkStart w:id="2292" w:name="_Toc23073"/>
      <w:bookmarkStart w:id="2293" w:name="_Toc14956"/>
      <w:bookmarkStart w:id="2294" w:name="_Toc27839"/>
      <w:bookmarkStart w:id="2295" w:name="_Toc14534"/>
      <w:bookmarkStart w:id="2296" w:name="_Toc16991"/>
      <w:bookmarkStart w:id="2297" w:name="_Toc9345"/>
      <w:bookmarkStart w:id="2298" w:name="_Toc32711"/>
      <w:r>
        <w:rPr>
          <w:rFonts w:hint="eastAsia"/>
          <w:b w:val="0"/>
          <w:bCs w:val="0"/>
          <w:color w:val="auto"/>
          <w:sz w:val="28"/>
          <w:szCs w:val="28"/>
          <w:highlight w:val="none"/>
        </w:rPr>
        <w:t>（总公司授权分公司投标时使用）</w:t>
      </w:r>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pPr>
        <w:spacing w:line="360" w:lineRule="auto"/>
        <w:rPr>
          <w:color w:val="auto"/>
          <w:highlight w:val="none"/>
        </w:rPr>
      </w:pPr>
      <w:r>
        <w:rPr>
          <w:rFonts w:hint="eastAsia"/>
          <w:color w:val="auto"/>
          <w:highlight w:val="none"/>
        </w:rPr>
        <w:t>XXXXXXXXX：</w:t>
      </w:r>
    </w:p>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本人 </w:t>
      </w:r>
      <w:r>
        <w:rPr>
          <w:rFonts w:hint="eastAsia"/>
          <w:color w:val="auto"/>
          <w:highlight w:val="none"/>
          <w:u w:val="single"/>
        </w:rPr>
        <w:t>       （姓名）</w:t>
      </w:r>
      <w:r>
        <w:rPr>
          <w:rFonts w:hint="eastAsia"/>
          <w:color w:val="auto"/>
          <w:highlight w:val="none"/>
        </w:rPr>
        <w:t>系</w:t>
      </w:r>
      <w:r>
        <w:rPr>
          <w:rFonts w:hint="eastAsia"/>
          <w:color w:val="auto"/>
          <w:highlight w:val="none"/>
          <w:u w:val="single"/>
        </w:rPr>
        <w:t>       （分公司全称）</w:t>
      </w:r>
      <w:r>
        <w:rPr>
          <w:rFonts w:hint="eastAsia"/>
          <w:color w:val="auto"/>
          <w:highlight w:val="none"/>
        </w:rPr>
        <w:t>负责人，现授权委托</w:t>
      </w:r>
      <w:r>
        <w:rPr>
          <w:rFonts w:hint="eastAsia"/>
          <w:color w:val="auto"/>
          <w:highlight w:val="none"/>
          <w:u w:val="single"/>
        </w:rPr>
        <w:t>            （ 投标人代表名称）</w:t>
      </w:r>
      <w:r>
        <w:rPr>
          <w:rFonts w:hint="eastAsia"/>
          <w:color w:val="auto"/>
          <w:highlight w:val="none"/>
        </w:rPr>
        <w:t>为全权代表，参加贵处组织的 </w:t>
      </w:r>
      <w:r>
        <w:rPr>
          <w:rFonts w:hint="eastAsia"/>
          <w:color w:val="auto"/>
          <w:highlight w:val="none"/>
          <w:u w:val="single"/>
        </w:rPr>
        <w:t>      项目（括号内填写招标编号及项目）</w:t>
      </w:r>
      <w:r>
        <w:rPr>
          <w:rFonts w:hint="eastAsia"/>
          <w:color w:val="auto"/>
          <w:highlight w:val="none"/>
        </w:rPr>
        <w:t>投标活动，并代表我公司全权办理针对上述项目的投标全程各事项、投标文件签署、合同签订及项目实施等涉及的一切事宜，我公司对被授权人的签名等行为均予以承认，由此所产生的一切法律后果和法律责任，均由我公司承担。</w:t>
      </w:r>
    </w:p>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负责人签字：</w:t>
      </w:r>
    </w:p>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分公司全称（公章）：</w:t>
      </w:r>
    </w:p>
    <w:p>
      <w:pPr>
        <w:spacing w:line="360" w:lineRule="auto"/>
        <w:rPr>
          <w:color w:val="auto"/>
          <w:highlight w:val="none"/>
        </w:rPr>
      </w:pPr>
      <w:r>
        <w:rPr>
          <w:rFonts w:hint="eastAsia"/>
          <w:color w:val="auto"/>
          <w:highlight w:val="none"/>
        </w:rPr>
        <w:t>日期：</w:t>
      </w:r>
    </w:p>
    <w:p>
      <w:pPr>
        <w:spacing w:line="360" w:lineRule="auto"/>
        <w:rPr>
          <w:color w:val="auto"/>
          <w:highlight w:val="none"/>
        </w:rPr>
      </w:pPr>
    </w:p>
    <w:p>
      <w:pPr>
        <w:spacing w:line="360" w:lineRule="auto"/>
        <w:rPr>
          <w:color w:val="auto"/>
          <w:highlight w:val="none"/>
        </w:rPr>
      </w:pPr>
      <w:r>
        <w:rPr>
          <w:rFonts w:hint="eastAsia"/>
          <w:color w:val="auto"/>
          <w:highlight w:val="none"/>
        </w:rPr>
        <w:t>附：</w:t>
      </w:r>
    </w:p>
    <w:tbl>
      <w:tblPr>
        <w:tblStyle w:val="41"/>
        <w:tblW w:w="7440" w:type="dxa"/>
        <w:tblInd w:w="243" w:type="dxa"/>
        <w:shd w:val="clear" w:color="auto" w:fill="FEFEFE"/>
        <w:tblLayout w:type="fixed"/>
        <w:tblCellMar>
          <w:top w:w="0" w:type="dxa"/>
          <w:left w:w="0" w:type="dxa"/>
          <w:bottom w:w="0" w:type="dxa"/>
          <w:right w:w="0" w:type="dxa"/>
        </w:tblCellMar>
      </w:tblPr>
      <w:tblGrid>
        <w:gridCol w:w="7440"/>
      </w:tblGrid>
      <w:tr>
        <w:tblPrEx>
          <w:shd w:val="clear" w:color="auto" w:fill="FEFEFE"/>
          <w:tblCellMar>
            <w:top w:w="0" w:type="dxa"/>
            <w:left w:w="0" w:type="dxa"/>
            <w:bottom w:w="0" w:type="dxa"/>
            <w:right w:w="0" w:type="dxa"/>
          </w:tblCellMar>
        </w:tblPrEx>
        <w:trPr>
          <w:trHeight w:val="2350" w:hRule="atLeast"/>
        </w:trPr>
        <w:tc>
          <w:tcPr>
            <w:tcW w:w="7440" w:type="dxa"/>
            <w:tcBorders>
              <w:top w:val="single" w:color="000000" w:sz="8" w:space="0"/>
              <w:left w:val="single" w:color="000000" w:sz="8" w:space="0"/>
              <w:bottom w:val="single" w:color="000000" w:sz="8" w:space="0"/>
              <w:right w:val="single" w:color="000000" w:sz="8" w:space="0"/>
            </w:tcBorders>
            <w:shd w:val="clear" w:color="auto" w:fill="FEFEFE"/>
            <w:tcMar>
              <w:left w:w="108" w:type="dxa"/>
              <w:right w:w="108" w:type="dxa"/>
            </w:tcMar>
          </w:tcPr>
          <w:p>
            <w:pPr>
              <w:spacing w:line="360" w:lineRule="auto"/>
              <w:rPr>
                <w:color w:val="auto"/>
                <w:highlight w:val="none"/>
              </w:rPr>
            </w:pPr>
            <w:r>
              <w:rPr>
                <w:rFonts w:hint="eastAsia"/>
                <w:color w:val="auto"/>
                <w:highlight w:val="none"/>
              </w:rPr>
              <w:t> </w:t>
            </w:r>
          </w:p>
          <w:p>
            <w:pPr>
              <w:spacing w:line="360" w:lineRule="auto"/>
              <w:rPr>
                <w:color w:val="auto"/>
                <w:highlight w:val="none"/>
              </w:rPr>
            </w:pPr>
            <w:r>
              <w:rPr>
                <w:rFonts w:hint="eastAsia"/>
                <w:color w:val="auto"/>
                <w:highlight w:val="none"/>
              </w:rPr>
              <w:t>全权代表身份证复印件粘帖处</w:t>
            </w:r>
          </w:p>
        </w:tc>
      </w:tr>
    </w:tbl>
    <w:p>
      <w:pPr>
        <w:spacing w:line="360" w:lineRule="auto"/>
        <w:rPr>
          <w:color w:val="auto"/>
          <w:highlight w:val="none"/>
        </w:rPr>
      </w:pPr>
      <w:r>
        <w:rPr>
          <w:rFonts w:hint="eastAsia"/>
          <w:color w:val="auto"/>
          <w:highlight w:val="none"/>
        </w:rPr>
        <w:t>全权代表姓名：    </w:t>
      </w:r>
    </w:p>
    <w:p>
      <w:pPr>
        <w:spacing w:line="360" w:lineRule="auto"/>
        <w:rPr>
          <w:color w:val="auto"/>
          <w:highlight w:val="none"/>
        </w:rPr>
      </w:pPr>
      <w:r>
        <w:rPr>
          <w:rFonts w:hint="eastAsia"/>
          <w:color w:val="auto"/>
          <w:highlight w:val="none"/>
        </w:rPr>
        <w:t>职务：                          </w:t>
      </w:r>
    </w:p>
    <w:p>
      <w:pPr>
        <w:spacing w:line="360" w:lineRule="auto"/>
        <w:rPr>
          <w:color w:val="auto"/>
          <w:highlight w:val="none"/>
        </w:rPr>
      </w:pPr>
      <w:r>
        <w:rPr>
          <w:rFonts w:hint="eastAsia"/>
          <w:color w:val="auto"/>
          <w:highlight w:val="none"/>
        </w:rPr>
        <w:t>传真：</w:t>
      </w:r>
    </w:p>
    <w:p>
      <w:pPr>
        <w:spacing w:line="360" w:lineRule="auto"/>
        <w:rPr>
          <w:color w:val="auto"/>
          <w:highlight w:val="none"/>
        </w:rPr>
      </w:pPr>
      <w:r>
        <w:rPr>
          <w:rFonts w:hint="eastAsia"/>
          <w:color w:val="auto"/>
          <w:highlight w:val="none"/>
        </w:rPr>
        <w:t>电话：</w:t>
      </w:r>
    </w:p>
    <w:p>
      <w:pPr>
        <w:spacing w:line="360" w:lineRule="auto"/>
        <w:rPr>
          <w:color w:val="auto"/>
          <w:highlight w:val="none"/>
        </w:rPr>
      </w:pPr>
      <w:r>
        <w:rPr>
          <w:rFonts w:hint="eastAsia"/>
          <w:color w:val="auto"/>
          <w:highlight w:val="none"/>
        </w:rPr>
        <w:t>详细通讯地址：</w:t>
      </w:r>
    </w:p>
    <w:p>
      <w:pPr>
        <w:spacing w:line="360" w:lineRule="auto"/>
        <w:rPr>
          <w:color w:val="auto"/>
          <w:highlight w:val="none"/>
        </w:rPr>
      </w:pPr>
      <w:r>
        <w:rPr>
          <w:rFonts w:hint="eastAsia"/>
          <w:color w:val="auto"/>
          <w:highlight w:val="none"/>
        </w:rPr>
        <w:t>邮政编码：</w:t>
      </w:r>
      <w:bookmarkStart w:id="2299" w:name="_Toc3736"/>
      <w:bookmarkStart w:id="2300" w:name="_Toc17759"/>
      <w:bookmarkStart w:id="2301" w:name="_Toc14622"/>
      <w:bookmarkStart w:id="2302" w:name="_Toc20402"/>
      <w:bookmarkStart w:id="2303" w:name="_Toc15880"/>
      <w:bookmarkStart w:id="2304" w:name="_Toc26133"/>
    </w:p>
    <w:bookmarkEnd w:id="2299"/>
    <w:bookmarkEnd w:id="2300"/>
    <w:bookmarkEnd w:id="2301"/>
    <w:bookmarkEnd w:id="2302"/>
    <w:bookmarkEnd w:id="2303"/>
    <w:bookmarkEnd w:id="2304"/>
    <w:p>
      <w:pPr>
        <w:spacing w:line="360" w:lineRule="auto"/>
        <w:rPr>
          <w:color w:val="auto"/>
          <w:sz w:val="24"/>
          <w:highlight w:val="none"/>
        </w:rPr>
      </w:pPr>
    </w:p>
    <w:p>
      <w:pPr>
        <w:pStyle w:val="6"/>
        <w:spacing w:line="360" w:lineRule="auto"/>
        <w:jc w:val="left"/>
        <w:rPr>
          <w:color w:val="auto"/>
          <w:highlight w:val="none"/>
        </w:rPr>
      </w:pPr>
      <w:r>
        <w:rPr>
          <w:color w:val="auto"/>
          <w:szCs w:val="21"/>
          <w:highlight w:val="none"/>
        </w:rPr>
        <w:br w:type="page"/>
      </w:r>
      <w:bookmarkStart w:id="2305" w:name="_Toc27142"/>
      <w:bookmarkStart w:id="2306" w:name="_Toc20616"/>
      <w:bookmarkStart w:id="2307" w:name="_Toc27332"/>
      <w:bookmarkStart w:id="2308" w:name="_Toc13664"/>
      <w:bookmarkStart w:id="2309" w:name="_Toc15201"/>
      <w:bookmarkStart w:id="2310" w:name="_Toc3292"/>
      <w:bookmarkStart w:id="2311" w:name="_Toc153"/>
      <w:bookmarkStart w:id="2312" w:name="_Toc23527"/>
      <w:bookmarkStart w:id="2313" w:name="_Toc19502"/>
      <w:bookmarkStart w:id="2314" w:name="_Toc9288"/>
      <w:bookmarkStart w:id="2315" w:name="_Toc14572"/>
      <w:bookmarkStart w:id="2316" w:name="_Toc9217"/>
      <w:bookmarkStart w:id="2317" w:name="_Toc10090"/>
      <w:bookmarkStart w:id="2318" w:name="_Toc25727"/>
      <w:bookmarkStart w:id="2319" w:name="_Toc13588"/>
      <w:bookmarkStart w:id="2320" w:name="_Toc1570"/>
      <w:bookmarkStart w:id="2321" w:name="_Toc6597"/>
      <w:bookmarkStart w:id="2322" w:name="_Toc15172"/>
      <w:bookmarkStart w:id="2323" w:name="_Toc539"/>
      <w:bookmarkStart w:id="2324" w:name="_Toc1242"/>
      <w:bookmarkStart w:id="2325" w:name="_Toc22116"/>
      <w:bookmarkStart w:id="2326" w:name="_Toc18494"/>
      <w:bookmarkStart w:id="2327" w:name="_Toc26948"/>
      <w:bookmarkStart w:id="2328" w:name="_Toc25199"/>
      <w:bookmarkStart w:id="2329" w:name="_Toc13275"/>
      <w:r>
        <w:rPr>
          <w:rFonts w:hint="eastAsia"/>
          <w:color w:val="auto"/>
          <w:szCs w:val="21"/>
          <w:highlight w:val="none"/>
        </w:rPr>
        <w:t>二、投标书</w:t>
      </w:r>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p>
    <w:p>
      <w:pPr>
        <w:pStyle w:val="7"/>
        <w:jc w:val="center"/>
        <w:rPr>
          <w:color w:val="auto"/>
          <w:highlight w:val="none"/>
        </w:rPr>
      </w:pPr>
      <w:bookmarkStart w:id="2330" w:name="_Toc23517"/>
      <w:bookmarkStart w:id="2331" w:name="_Toc22583"/>
      <w:bookmarkStart w:id="2332" w:name="_Toc95"/>
      <w:bookmarkStart w:id="2333" w:name="_Toc11819"/>
      <w:bookmarkStart w:id="2334" w:name="_Toc22184"/>
      <w:bookmarkStart w:id="2335" w:name="_Toc6923"/>
      <w:bookmarkStart w:id="2336" w:name="_Toc15714"/>
      <w:bookmarkStart w:id="2337" w:name="_Toc30031"/>
      <w:bookmarkStart w:id="2338" w:name="_Toc22499"/>
      <w:bookmarkStart w:id="2339" w:name="_Toc10065"/>
      <w:bookmarkStart w:id="2340" w:name="_Toc21812"/>
      <w:bookmarkStart w:id="2341" w:name="_Toc3435"/>
      <w:bookmarkStart w:id="2342" w:name="_Toc18111"/>
      <w:bookmarkStart w:id="2343" w:name="_Toc5809"/>
      <w:bookmarkStart w:id="2344" w:name="_Toc15028"/>
      <w:bookmarkStart w:id="2345" w:name="_Toc12831"/>
      <w:bookmarkStart w:id="2346" w:name="_Toc32287"/>
      <w:bookmarkStart w:id="2347" w:name="_Toc4483"/>
      <w:bookmarkStart w:id="2348" w:name="_Toc3420"/>
      <w:bookmarkStart w:id="2349" w:name="_Toc19862"/>
      <w:bookmarkStart w:id="2350" w:name="_Toc28176"/>
      <w:bookmarkStart w:id="2351" w:name="_Toc24660"/>
      <w:bookmarkStart w:id="2352" w:name="_Toc3519"/>
      <w:bookmarkStart w:id="2353" w:name="_Toc10934"/>
      <w:bookmarkStart w:id="2354" w:name="_Toc10549"/>
      <w:r>
        <w:rPr>
          <w:rFonts w:hint="eastAsia"/>
          <w:color w:val="auto"/>
          <w:highlight w:val="none"/>
        </w:rPr>
        <w:t>1、标书款及投标保证金缴纳凭证（银行转账证明）</w:t>
      </w:r>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p>
    <w:p>
      <w:pPr>
        <w:rPr>
          <w:color w:val="auto"/>
          <w:highlight w:val="none"/>
        </w:rPr>
      </w:pPr>
      <w:r>
        <w:rPr>
          <w:color w:val="auto"/>
          <w:highlight w:val="none"/>
        </w:rPr>
        <w:pict>
          <v:shape id="_x0000_s1026" o:spid="_x0000_s1026" o:spt="202" type="#_x0000_t202" style="position:absolute;left:0pt;margin-top:0pt;height:162.75pt;width:351.6pt;mso-position-horizontal:center;z-index:251659264;mso-width-relative:page;mso-height-relative:page;" coordsize="21600,21600" o:gfxdata="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8yeINcAAAAFAQAADwAAAAAAAAABACAAAAAiAAAAZHJzL2Rvd25yZXYueG1sUEsBAhQAFAAA&#10;AAgAh07iQAMc7frwAQAA6QMAAA4AAAAAAAAAAQAgAAAAJgEAAGRycy9lMm9Eb2MueG1sUEsFBgAA&#10;AAAGAAYAWQEAAIgFAAAAAA==&#10;">
            <v:path/>
            <v:fill focussize="0,0"/>
            <v:stroke joinstyle="miter"/>
            <v:imagedata o:title=""/>
            <o:lock v:ext="edit"/>
            <v:textbox>
              <w:txbxContent>
                <w:p>
                  <w:pPr>
                    <w:rPr>
                      <w:lang w:val="zh-CN"/>
                    </w:rPr>
                  </w:pPr>
                </w:p>
                <w:p>
                  <w:pPr>
                    <w:rPr>
                      <w:lang w:val="zh-CN"/>
                    </w:rPr>
                  </w:pPr>
                </w:p>
                <w:p>
                  <w:pPr>
                    <w:rPr>
                      <w:lang w:val="zh-CN"/>
                    </w:rPr>
                  </w:pPr>
                </w:p>
                <w:p>
                  <w:pPr>
                    <w:rPr>
                      <w:lang w:val="zh-CN"/>
                    </w:rPr>
                  </w:pPr>
                </w:p>
                <w:p>
                  <w:pPr>
                    <w:jc w:val="center"/>
                  </w:pPr>
                  <w:r>
                    <w:rPr>
                      <w:rFonts w:hint="eastAsia"/>
                      <w:lang w:val="zh-CN"/>
                    </w:rPr>
                    <w:t>请将银行转账证明粘贴在此</w:t>
                  </w:r>
                </w:p>
              </w:txbxContent>
            </v:textbox>
          </v:shape>
        </w:pict>
      </w:r>
    </w:p>
    <w:p>
      <w:pPr>
        <w:pStyle w:val="7"/>
        <w:ind w:left="420"/>
        <w:rPr>
          <w:color w:val="auto"/>
          <w:highlight w:val="none"/>
        </w:rPr>
      </w:pPr>
    </w:p>
    <w:p>
      <w:pPr>
        <w:pStyle w:val="7"/>
        <w:ind w:left="420"/>
        <w:rPr>
          <w:color w:val="auto"/>
          <w:highlight w:val="none"/>
        </w:rPr>
      </w:pPr>
    </w:p>
    <w:p>
      <w:pPr>
        <w:pStyle w:val="7"/>
        <w:ind w:left="420"/>
        <w:rPr>
          <w:color w:val="auto"/>
          <w:highlight w:val="none"/>
        </w:rPr>
      </w:pPr>
    </w:p>
    <w:p>
      <w:pPr>
        <w:pStyle w:val="7"/>
        <w:jc w:val="center"/>
        <w:rPr>
          <w:rFonts w:ascii="宋体" w:hAnsi="宋体"/>
          <w:color w:val="auto"/>
          <w:highlight w:val="none"/>
        </w:rPr>
      </w:pPr>
      <w:bookmarkStart w:id="2355" w:name="_Toc20945"/>
      <w:bookmarkStart w:id="2356" w:name="_Toc6667"/>
      <w:bookmarkStart w:id="2357" w:name="_Toc6158"/>
      <w:bookmarkStart w:id="2358" w:name="_Toc8690"/>
      <w:bookmarkStart w:id="2359" w:name="_Toc27315"/>
      <w:bookmarkStart w:id="2360" w:name="_Toc26288"/>
      <w:bookmarkStart w:id="2361" w:name="_Toc684"/>
      <w:bookmarkStart w:id="2362" w:name="_Toc16103"/>
      <w:bookmarkStart w:id="2363" w:name="_Toc4197"/>
      <w:bookmarkStart w:id="2364" w:name="_Toc4500"/>
      <w:bookmarkStart w:id="2365" w:name="_Toc6320"/>
      <w:bookmarkStart w:id="2366" w:name="_Toc3092"/>
      <w:bookmarkStart w:id="2367" w:name="_Toc21032"/>
      <w:bookmarkStart w:id="2368" w:name="_Toc25077"/>
      <w:bookmarkStart w:id="2369" w:name="_Toc4832"/>
      <w:bookmarkStart w:id="2370" w:name="_Toc17014"/>
      <w:bookmarkStart w:id="2371" w:name="_Toc23713"/>
      <w:bookmarkStart w:id="2372" w:name="_Toc14357"/>
      <w:bookmarkStart w:id="2373" w:name="_Toc12054"/>
      <w:bookmarkStart w:id="2374" w:name="_Toc31829"/>
      <w:bookmarkStart w:id="2375" w:name="_Toc32284"/>
      <w:bookmarkStart w:id="2376" w:name="_Toc17506"/>
      <w:bookmarkStart w:id="2377" w:name="_Toc8761"/>
      <w:bookmarkStart w:id="2378" w:name="_Toc16857"/>
      <w:bookmarkStart w:id="2379" w:name="_Toc5956"/>
      <w:r>
        <w:rPr>
          <w:rFonts w:hint="eastAsia"/>
          <w:color w:val="auto"/>
          <w:highlight w:val="none"/>
        </w:rPr>
        <w:t>2、退</w:t>
      </w:r>
      <w:r>
        <w:rPr>
          <w:color w:val="auto"/>
          <w:highlight w:val="none"/>
        </w:rPr>
        <w:t>投标保证金</w:t>
      </w:r>
      <w:r>
        <w:rPr>
          <w:rFonts w:hint="eastAsia"/>
          <w:color w:val="auto"/>
          <w:highlight w:val="none"/>
        </w:rPr>
        <w:t>说明</w:t>
      </w:r>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p>
    <w:p>
      <w:pPr>
        <w:spacing w:line="360" w:lineRule="auto"/>
        <w:ind w:left="525" w:leftChars="250"/>
        <w:rPr>
          <w:rFonts w:ascii="宋体" w:hAnsi="宋体"/>
          <w:color w:val="auto"/>
          <w:highlight w:val="none"/>
        </w:rPr>
      </w:pPr>
      <w:r>
        <w:rPr>
          <w:rFonts w:hint="eastAsia" w:ascii="宋体" w:hAnsi="宋体"/>
          <w:color w:val="auto"/>
          <w:highlight w:val="none"/>
        </w:rPr>
        <w:t>XXXXXXXXX:</w:t>
      </w:r>
    </w:p>
    <w:p>
      <w:pPr>
        <w:spacing w:line="360" w:lineRule="auto"/>
        <w:ind w:left="525" w:leftChars="250" w:firstLine="420" w:firstLineChars="200"/>
        <w:rPr>
          <w:rFonts w:ascii="宋体" w:hAnsi="宋体"/>
          <w:color w:val="auto"/>
          <w:highlight w:val="none"/>
        </w:rPr>
      </w:pPr>
      <w:r>
        <w:rPr>
          <w:rFonts w:hint="eastAsia" w:ascii="宋体" w:hAnsi="宋体"/>
          <w:color w:val="auto"/>
          <w:highlight w:val="none"/>
        </w:rPr>
        <w:t>我方为</w:t>
      </w:r>
      <w:r>
        <w:rPr>
          <w:rFonts w:hint="eastAsia" w:ascii="宋体" w:hAnsi="宋体"/>
          <w:color w:val="auto"/>
          <w:highlight w:val="none"/>
          <w:u w:val="single"/>
        </w:rPr>
        <w:t xml:space="preserve">   项目名称     </w:t>
      </w:r>
      <w:r>
        <w:rPr>
          <w:rFonts w:hint="eastAsia" w:ascii="宋体" w:hAnsi="宋体"/>
          <w:color w:val="auto"/>
          <w:highlight w:val="none"/>
        </w:rPr>
        <w:t xml:space="preserve">    的投标[项目编号为：</w:t>
      </w:r>
      <w:r>
        <w:rPr>
          <w:rFonts w:hint="eastAsia" w:ascii="宋体" w:hAnsi="宋体"/>
          <w:color w:val="auto"/>
          <w:highlight w:val="none"/>
          <w:u w:val="single"/>
        </w:rPr>
        <w:t xml:space="preserve">        </w:t>
      </w:r>
      <w:r>
        <w:rPr>
          <w:rFonts w:hint="eastAsia" w:ascii="宋体" w:hAnsi="宋体"/>
          <w:color w:val="auto"/>
          <w:highlight w:val="none"/>
        </w:rPr>
        <w:t>]所提交的投标保证金</w:t>
      </w:r>
      <w:r>
        <w:rPr>
          <w:rFonts w:hint="eastAsia" w:ascii="宋体" w:hAnsi="宋体"/>
          <w:color w:val="auto"/>
          <w:highlight w:val="none"/>
          <w:u w:val="single"/>
        </w:rPr>
        <w:t>（大写金额）</w:t>
      </w:r>
      <w:r>
        <w:rPr>
          <w:rFonts w:hint="eastAsia" w:ascii="宋体" w:hAnsi="宋体"/>
          <w:color w:val="auto"/>
          <w:highlight w:val="none"/>
        </w:rPr>
        <w:t>元，请贵公司退还时划到以下账户：</w:t>
      </w:r>
    </w:p>
    <w:p>
      <w:pPr>
        <w:spacing w:line="360" w:lineRule="auto"/>
        <w:ind w:left="525" w:leftChars="250" w:firstLine="420" w:firstLineChars="200"/>
        <w:rPr>
          <w:rFonts w:ascii="宋体" w:hAnsi="宋体"/>
          <w:color w:val="auto"/>
          <w:highlight w:val="none"/>
        </w:rPr>
      </w:pPr>
    </w:p>
    <w:tbl>
      <w:tblPr>
        <w:tblStyle w:val="41"/>
        <w:tblW w:w="8160" w:type="dxa"/>
        <w:tblInd w:w="5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730"/>
        <w:gridCol w:w="2615"/>
        <w:gridCol w:w="1297"/>
        <w:gridCol w:w="176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752" w:type="dxa"/>
            <w:vMerge w:val="restart"/>
            <w:textDirection w:val="tbRlV"/>
            <w:vAlign w:val="center"/>
          </w:tcPr>
          <w:p>
            <w:pPr>
              <w:spacing w:line="360" w:lineRule="auto"/>
              <w:ind w:left="525" w:leftChars="250" w:right="113"/>
              <w:jc w:val="center"/>
              <w:rPr>
                <w:rFonts w:ascii="宋体" w:hAnsi="宋体"/>
                <w:color w:val="auto"/>
                <w:highlight w:val="none"/>
              </w:rPr>
            </w:pPr>
            <w:r>
              <w:rPr>
                <w:rFonts w:hint="eastAsia" w:ascii="宋体" w:hAnsi="宋体"/>
                <w:color w:val="auto"/>
                <w:highlight w:val="none"/>
              </w:rPr>
              <w:t>收 款 人</w:t>
            </w:r>
          </w:p>
        </w:tc>
        <w:tc>
          <w:tcPr>
            <w:tcW w:w="1730" w:type="dxa"/>
            <w:vAlign w:val="center"/>
          </w:tcPr>
          <w:p>
            <w:pPr>
              <w:spacing w:line="360" w:lineRule="auto"/>
              <w:rPr>
                <w:rFonts w:ascii="宋体" w:hAnsi="宋体"/>
                <w:color w:val="auto"/>
                <w:highlight w:val="none"/>
              </w:rPr>
            </w:pPr>
            <w:r>
              <w:rPr>
                <w:rFonts w:hint="eastAsia" w:ascii="宋体" w:hAnsi="宋体"/>
                <w:color w:val="auto"/>
                <w:highlight w:val="none"/>
              </w:rPr>
              <w:t>收款人名称</w:t>
            </w:r>
          </w:p>
        </w:tc>
        <w:tc>
          <w:tcPr>
            <w:tcW w:w="5678" w:type="dxa"/>
            <w:gridSpan w:val="3"/>
            <w:vAlign w:val="center"/>
          </w:tcPr>
          <w:p>
            <w:pPr>
              <w:spacing w:line="360" w:lineRule="auto"/>
              <w:ind w:left="525" w:leftChars="250"/>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752" w:type="dxa"/>
            <w:vMerge w:val="continue"/>
            <w:vAlign w:val="center"/>
          </w:tcPr>
          <w:p>
            <w:pPr>
              <w:spacing w:line="360" w:lineRule="auto"/>
              <w:ind w:left="525" w:leftChars="250"/>
              <w:jc w:val="center"/>
              <w:rPr>
                <w:rFonts w:ascii="宋体" w:hAnsi="宋体"/>
                <w:color w:val="auto"/>
                <w:highlight w:val="none"/>
              </w:rPr>
            </w:pPr>
          </w:p>
        </w:tc>
        <w:tc>
          <w:tcPr>
            <w:tcW w:w="1730" w:type="dxa"/>
            <w:vAlign w:val="center"/>
          </w:tcPr>
          <w:p>
            <w:pPr>
              <w:spacing w:line="360" w:lineRule="auto"/>
              <w:rPr>
                <w:rFonts w:ascii="宋体" w:hAnsi="宋体"/>
                <w:color w:val="auto"/>
                <w:highlight w:val="none"/>
              </w:rPr>
            </w:pPr>
            <w:r>
              <w:rPr>
                <w:rFonts w:hint="eastAsia" w:ascii="宋体" w:hAnsi="宋体"/>
                <w:color w:val="auto"/>
                <w:highlight w:val="none"/>
              </w:rPr>
              <w:t>收款人地址</w:t>
            </w:r>
          </w:p>
        </w:tc>
        <w:tc>
          <w:tcPr>
            <w:tcW w:w="5678" w:type="dxa"/>
            <w:gridSpan w:val="3"/>
            <w:vAlign w:val="center"/>
          </w:tcPr>
          <w:p>
            <w:pPr>
              <w:spacing w:line="360" w:lineRule="auto"/>
              <w:ind w:left="525" w:leftChars="250"/>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60" w:hRule="atLeast"/>
        </w:trPr>
        <w:tc>
          <w:tcPr>
            <w:tcW w:w="752" w:type="dxa"/>
            <w:vMerge w:val="continue"/>
            <w:vAlign w:val="center"/>
          </w:tcPr>
          <w:p>
            <w:pPr>
              <w:spacing w:line="360" w:lineRule="auto"/>
              <w:ind w:left="525" w:leftChars="250"/>
              <w:jc w:val="center"/>
              <w:rPr>
                <w:rFonts w:ascii="宋体" w:hAnsi="宋体"/>
                <w:color w:val="auto"/>
                <w:highlight w:val="none"/>
              </w:rPr>
            </w:pPr>
          </w:p>
        </w:tc>
        <w:tc>
          <w:tcPr>
            <w:tcW w:w="1730" w:type="dxa"/>
            <w:vAlign w:val="center"/>
          </w:tcPr>
          <w:p>
            <w:pPr>
              <w:spacing w:line="360" w:lineRule="auto"/>
              <w:rPr>
                <w:rFonts w:ascii="宋体" w:hAnsi="宋体"/>
                <w:color w:val="auto"/>
                <w:highlight w:val="none"/>
              </w:rPr>
            </w:pPr>
            <w:r>
              <w:rPr>
                <w:rFonts w:hint="eastAsia" w:ascii="宋体" w:hAnsi="宋体"/>
                <w:color w:val="auto"/>
                <w:highlight w:val="none"/>
              </w:rPr>
              <w:t>开户银行</w:t>
            </w:r>
          </w:p>
          <w:p>
            <w:pPr>
              <w:spacing w:line="360" w:lineRule="auto"/>
              <w:rPr>
                <w:rFonts w:ascii="宋体" w:hAnsi="宋体"/>
                <w:color w:val="auto"/>
                <w:highlight w:val="none"/>
              </w:rPr>
            </w:pPr>
            <w:r>
              <w:rPr>
                <w:rFonts w:hint="eastAsia" w:ascii="宋体" w:hAnsi="宋体"/>
                <w:color w:val="auto"/>
                <w:highlight w:val="none"/>
              </w:rPr>
              <w:t>（含汇入地点）</w:t>
            </w:r>
          </w:p>
        </w:tc>
        <w:tc>
          <w:tcPr>
            <w:tcW w:w="2615" w:type="dxa"/>
            <w:vAlign w:val="center"/>
          </w:tcPr>
          <w:p>
            <w:pPr>
              <w:spacing w:line="360" w:lineRule="auto"/>
              <w:rPr>
                <w:rFonts w:ascii="宋体" w:hAnsi="宋体"/>
                <w:color w:val="auto"/>
                <w:highlight w:val="none"/>
              </w:rPr>
            </w:pPr>
            <w:r>
              <w:rPr>
                <w:rFonts w:hint="eastAsia" w:ascii="宋体" w:hAnsi="宋体"/>
                <w:color w:val="auto"/>
                <w:highlight w:val="none"/>
              </w:rPr>
              <w:sym w:font="Wingdings 2" w:char="F0CD"/>
            </w:r>
            <w:r>
              <w:rPr>
                <w:rFonts w:hint="eastAsia" w:ascii="宋体" w:hAnsi="宋体"/>
                <w:color w:val="auto"/>
                <w:highlight w:val="none"/>
              </w:rPr>
              <w:t>省</w:t>
            </w:r>
            <w:r>
              <w:rPr>
                <w:rFonts w:hint="eastAsia" w:ascii="宋体" w:hAnsi="宋体"/>
                <w:color w:val="auto"/>
                <w:highlight w:val="none"/>
              </w:rPr>
              <w:sym w:font="Wingdings 2" w:char="F0CD"/>
            </w:r>
            <w:r>
              <w:rPr>
                <w:rFonts w:hint="eastAsia" w:ascii="宋体" w:hAnsi="宋体"/>
                <w:color w:val="auto"/>
                <w:highlight w:val="none"/>
              </w:rPr>
              <w:t>市（县）</w:t>
            </w:r>
            <w:r>
              <w:rPr>
                <w:rFonts w:hint="eastAsia" w:ascii="宋体" w:hAnsi="宋体"/>
                <w:color w:val="auto"/>
                <w:highlight w:val="none"/>
              </w:rPr>
              <w:sym w:font="Wingdings 2" w:char="F0CD"/>
            </w:r>
            <w:r>
              <w:rPr>
                <w:rFonts w:hint="eastAsia" w:ascii="宋体" w:hAnsi="宋体"/>
                <w:color w:val="auto"/>
                <w:highlight w:val="none"/>
              </w:rPr>
              <w:t>银行</w:t>
            </w:r>
            <w:r>
              <w:rPr>
                <w:rFonts w:hint="eastAsia" w:ascii="宋体" w:hAnsi="宋体"/>
                <w:color w:val="auto"/>
                <w:highlight w:val="none"/>
              </w:rPr>
              <w:sym w:font="Wingdings 2" w:char="F0CD"/>
            </w:r>
            <w:r>
              <w:rPr>
                <w:rFonts w:hint="eastAsia" w:ascii="宋体" w:hAnsi="宋体"/>
                <w:color w:val="auto"/>
                <w:highlight w:val="none"/>
              </w:rPr>
              <w:t>（分支行、处、所）</w:t>
            </w:r>
          </w:p>
        </w:tc>
        <w:tc>
          <w:tcPr>
            <w:tcW w:w="1297" w:type="dxa"/>
            <w:vAlign w:val="center"/>
          </w:tcPr>
          <w:p>
            <w:pPr>
              <w:spacing w:line="360" w:lineRule="auto"/>
              <w:rPr>
                <w:rFonts w:ascii="宋体" w:hAnsi="宋体"/>
                <w:color w:val="auto"/>
                <w:highlight w:val="none"/>
              </w:rPr>
            </w:pPr>
            <w:r>
              <w:rPr>
                <w:rFonts w:hint="eastAsia" w:ascii="宋体" w:hAnsi="宋体"/>
                <w:color w:val="auto"/>
                <w:highlight w:val="none"/>
              </w:rPr>
              <w:t>联系人</w:t>
            </w:r>
          </w:p>
        </w:tc>
        <w:tc>
          <w:tcPr>
            <w:tcW w:w="1766" w:type="dxa"/>
            <w:vAlign w:val="center"/>
          </w:tcPr>
          <w:p>
            <w:pPr>
              <w:spacing w:line="360" w:lineRule="auto"/>
              <w:ind w:left="525" w:leftChars="250"/>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752" w:type="dxa"/>
            <w:vMerge w:val="continue"/>
            <w:vAlign w:val="center"/>
          </w:tcPr>
          <w:p>
            <w:pPr>
              <w:spacing w:line="360" w:lineRule="auto"/>
              <w:ind w:left="525" w:leftChars="250"/>
              <w:jc w:val="center"/>
              <w:rPr>
                <w:rFonts w:ascii="宋体" w:hAnsi="宋体"/>
                <w:color w:val="auto"/>
                <w:highlight w:val="none"/>
              </w:rPr>
            </w:pPr>
          </w:p>
        </w:tc>
        <w:tc>
          <w:tcPr>
            <w:tcW w:w="1730" w:type="dxa"/>
            <w:vAlign w:val="center"/>
          </w:tcPr>
          <w:p>
            <w:pPr>
              <w:spacing w:line="360" w:lineRule="auto"/>
              <w:rPr>
                <w:rFonts w:ascii="宋体" w:hAnsi="宋体"/>
                <w:color w:val="auto"/>
                <w:highlight w:val="none"/>
              </w:rPr>
            </w:pPr>
            <w:r>
              <w:rPr>
                <w:rFonts w:hint="eastAsia" w:ascii="宋体" w:hAnsi="宋体"/>
                <w:color w:val="auto"/>
                <w:highlight w:val="none"/>
              </w:rPr>
              <w:t>账    号</w:t>
            </w:r>
          </w:p>
        </w:tc>
        <w:tc>
          <w:tcPr>
            <w:tcW w:w="2615" w:type="dxa"/>
            <w:vAlign w:val="center"/>
          </w:tcPr>
          <w:p>
            <w:pPr>
              <w:spacing w:line="360" w:lineRule="auto"/>
              <w:ind w:left="525" w:leftChars="250"/>
              <w:jc w:val="center"/>
              <w:rPr>
                <w:rFonts w:ascii="宋体" w:hAnsi="宋体"/>
                <w:color w:val="auto"/>
                <w:highlight w:val="none"/>
              </w:rPr>
            </w:pPr>
          </w:p>
        </w:tc>
        <w:tc>
          <w:tcPr>
            <w:tcW w:w="1297" w:type="dxa"/>
            <w:vAlign w:val="center"/>
          </w:tcPr>
          <w:p>
            <w:pPr>
              <w:spacing w:line="360" w:lineRule="auto"/>
              <w:rPr>
                <w:rFonts w:ascii="宋体" w:hAnsi="宋体"/>
                <w:color w:val="auto"/>
                <w:highlight w:val="none"/>
              </w:rPr>
            </w:pPr>
            <w:r>
              <w:rPr>
                <w:rFonts w:hint="eastAsia" w:ascii="宋体" w:hAnsi="宋体"/>
                <w:color w:val="auto"/>
                <w:highlight w:val="none"/>
              </w:rPr>
              <w:t>联系电话</w:t>
            </w:r>
          </w:p>
        </w:tc>
        <w:tc>
          <w:tcPr>
            <w:tcW w:w="1766" w:type="dxa"/>
            <w:vAlign w:val="center"/>
          </w:tcPr>
          <w:p>
            <w:pPr>
              <w:spacing w:line="360" w:lineRule="auto"/>
              <w:ind w:left="525" w:leftChars="250"/>
              <w:jc w:val="center"/>
              <w:rPr>
                <w:rFonts w:ascii="宋体" w:hAnsi="宋体"/>
                <w:color w:val="auto"/>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87" w:hRule="atLeast"/>
        </w:trPr>
        <w:tc>
          <w:tcPr>
            <w:tcW w:w="8160" w:type="dxa"/>
            <w:gridSpan w:val="5"/>
            <w:vAlign w:val="center"/>
          </w:tcPr>
          <w:p>
            <w:pPr>
              <w:spacing w:line="360" w:lineRule="auto"/>
              <w:ind w:left="525" w:leftChars="250"/>
              <w:rPr>
                <w:rFonts w:ascii="宋体" w:hAnsi="宋体"/>
                <w:color w:val="auto"/>
                <w:highlight w:val="none"/>
              </w:rPr>
            </w:pPr>
            <w:r>
              <w:rPr>
                <w:rFonts w:hint="eastAsia" w:ascii="宋体" w:hAnsi="宋体"/>
                <w:b/>
                <w:bCs/>
                <w:color w:val="auto"/>
                <w:highlight w:val="none"/>
              </w:rPr>
              <w:t>备注：</w:t>
            </w:r>
            <w:r>
              <w:rPr>
                <w:rFonts w:hint="eastAsia" w:ascii="宋体" w:hAnsi="宋体"/>
                <w:color w:val="auto"/>
                <w:highlight w:val="none"/>
              </w:rPr>
              <w:t>1、收款人名称与投标人名称必须一致；2、招标人将根据以上信息退还投标保证金，请投标人确保上述信息填写准确无误，如因投标人填写错误而导致无法退还投标保证金的情形发生，招标人概不负责。</w:t>
            </w:r>
          </w:p>
        </w:tc>
      </w:tr>
    </w:tbl>
    <w:p>
      <w:pPr>
        <w:tabs>
          <w:tab w:val="left" w:pos="676"/>
          <w:tab w:val="left" w:pos="2330"/>
          <w:tab w:val="left" w:pos="9230"/>
        </w:tabs>
        <w:autoSpaceDE w:val="0"/>
        <w:autoSpaceDN w:val="0"/>
        <w:adjustRightInd w:val="0"/>
        <w:spacing w:before="120" w:line="360" w:lineRule="auto"/>
        <w:ind w:left="525" w:leftChars="250"/>
        <w:rPr>
          <w:rFonts w:ascii="宋体" w:hAnsi="宋体"/>
          <w:color w:val="auto"/>
          <w:highlight w:val="none"/>
        </w:rPr>
      </w:pPr>
      <w:r>
        <w:rPr>
          <w:rFonts w:hint="eastAsia" w:ascii="宋体" w:hAnsi="宋体"/>
          <w:b/>
          <w:color w:val="auto"/>
          <w:highlight w:val="none"/>
        </w:rPr>
        <w:t xml:space="preserve">  </w:t>
      </w:r>
      <w:r>
        <w:rPr>
          <w:rFonts w:hint="eastAsia" w:ascii="宋体" w:hAnsi="宋体"/>
          <w:color w:val="auto"/>
          <w:highlight w:val="none"/>
        </w:rPr>
        <w:t xml:space="preserve"> </w:t>
      </w:r>
    </w:p>
    <w:p>
      <w:pPr>
        <w:tabs>
          <w:tab w:val="left" w:pos="676"/>
          <w:tab w:val="left" w:pos="2330"/>
          <w:tab w:val="left" w:pos="9230"/>
        </w:tabs>
        <w:autoSpaceDE w:val="0"/>
        <w:autoSpaceDN w:val="0"/>
        <w:adjustRightInd w:val="0"/>
        <w:spacing w:before="120" w:line="360" w:lineRule="auto"/>
        <w:ind w:left="525" w:leftChars="250"/>
        <w:jc w:val="center"/>
        <w:rPr>
          <w:rFonts w:ascii="宋体" w:hAnsi="宋体"/>
          <w:color w:val="auto"/>
          <w:highlight w:val="none"/>
        </w:rPr>
      </w:pPr>
      <w:r>
        <w:rPr>
          <w:rFonts w:hint="eastAsia" w:ascii="宋体" w:hAnsi="宋体"/>
          <w:color w:val="auto"/>
          <w:highlight w:val="none"/>
        </w:rPr>
        <w:t xml:space="preserve">                            投标人（公章）：</w:t>
      </w:r>
    </w:p>
    <w:p>
      <w:pPr>
        <w:pStyle w:val="2"/>
        <w:spacing w:after="0" w:line="360" w:lineRule="auto"/>
        <w:ind w:left="525" w:leftChars="250" w:firstLine="210"/>
        <w:jc w:val="center"/>
        <w:rPr>
          <w:rFonts w:hAnsi="宋体"/>
          <w:color w:val="auto"/>
          <w:highlight w:val="none"/>
        </w:rPr>
      </w:pPr>
      <w:r>
        <w:rPr>
          <w:rFonts w:hint="eastAsia" w:hAnsi="宋体"/>
          <w:color w:val="auto"/>
          <w:highlight w:val="none"/>
        </w:rPr>
        <w:t xml:space="preserve">                   </w:t>
      </w:r>
      <w:r>
        <w:rPr>
          <w:rFonts w:hAnsi="宋体"/>
          <w:color w:val="auto"/>
          <w:highlight w:val="none"/>
        </w:rPr>
        <w:t>日  期：</w:t>
      </w:r>
    </w:p>
    <w:p>
      <w:pPr>
        <w:pStyle w:val="6"/>
        <w:spacing w:line="360" w:lineRule="auto"/>
        <w:rPr>
          <w:color w:val="auto"/>
          <w:highlight w:val="none"/>
        </w:rPr>
        <w:sectPr>
          <w:pgSz w:w="11906" w:h="16838"/>
          <w:pgMar w:top="1100" w:right="1797" w:bottom="703" w:left="1797" w:header="851" w:footer="992" w:gutter="0"/>
          <w:cols w:space="720" w:num="1"/>
          <w:docGrid w:type="lines" w:linePitch="312" w:charSpace="0"/>
        </w:sectPr>
      </w:pPr>
    </w:p>
    <w:p>
      <w:pPr>
        <w:pStyle w:val="7"/>
        <w:rPr>
          <w:color w:val="auto"/>
          <w:highlight w:val="none"/>
        </w:rPr>
      </w:pPr>
      <w:bookmarkStart w:id="2380" w:name="_Toc10541"/>
      <w:bookmarkStart w:id="2381" w:name="_Toc17074"/>
      <w:bookmarkStart w:id="2382" w:name="_Toc24807"/>
      <w:bookmarkStart w:id="2383" w:name="_Toc24173"/>
      <w:bookmarkStart w:id="2384" w:name="_Toc26336"/>
      <w:bookmarkStart w:id="2385" w:name="_Toc1662"/>
      <w:bookmarkStart w:id="2386" w:name="_Toc17813"/>
      <w:bookmarkStart w:id="2387" w:name="_Toc25628"/>
      <w:bookmarkStart w:id="2388" w:name="_Toc19831"/>
      <w:bookmarkStart w:id="2389" w:name="_Toc25936"/>
      <w:bookmarkStart w:id="2390" w:name="_Toc3843"/>
      <w:bookmarkStart w:id="2391" w:name="_Toc13780"/>
      <w:bookmarkStart w:id="2392" w:name="_Toc8756"/>
      <w:bookmarkStart w:id="2393" w:name="_Toc29709"/>
      <w:bookmarkStart w:id="2394" w:name="_Toc31143"/>
      <w:bookmarkStart w:id="2395" w:name="_Toc27059"/>
      <w:bookmarkStart w:id="2396" w:name="_Toc367"/>
      <w:bookmarkStart w:id="2397" w:name="_Toc5466"/>
      <w:bookmarkStart w:id="2398" w:name="_Toc4239"/>
      <w:bookmarkStart w:id="2399" w:name="_Toc17566"/>
      <w:bookmarkStart w:id="2400" w:name="_Toc20209"/>
      <w:bookmarkStart w:id="2401" w:name="_Toc24170"/>
      <w:bookmarkStart w:id="2402" w:name="_Toc10893"/>
      <w:bookmarkStart w:id="2403" w:name="_Toc13445"/>
      <w:bookmarkStart w:id="2404" w:name="_Toc30862"/>
      <w:r>
        <w:rPr>
          <w:rFonts w:hint="eastAsia"/>
          <w:color w:val="auto"/>
          <w:highlight w:val="none"/>
        </w:rPr>
        <w:t>3、投标报价表（格式见附</w:t>
      </w:r>
      <w:r>
        <w:rPr>
          <w:rFonts w:hint="eastAsia"/>
          <w:color w:val="auto"/>
          <w:highlight w:val="none"/>
          <w:lang w:eastAsia="zh-CN"/>
        </w:rPr>
        <w:t>件</w:t>
      </w:r>
      <w:r>
        <w:rPr>
          <w:rFonts w:hint="eastAsia"/>
          <w:color w:val="auto"/>
          <w:highlight w:val="none"/>
          <w:lang w:val="en-US" w:eastAsia="zh-CN"/>
        </w:rPr>
        <w:t>2</w:t>
      </w:r>
      <w:r>
        <w:rPr>
          <w:rFonts w:hint="eastAsia"/>
          <w:color w:val="auto"/>
          <w:highlight w:val="none"/>
        </w:rPr>
        <w:t>）</w:t>
      </w:r>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p>
    <w:p>
      <w:pPr>
        <w:pStyle w:val="7"/>
        <w:rPr>
          <w:color w:val="auto"/>
          <w:highlight w:val="none"/>
        </w:rPr>
      </w:pPr>
      <w:bookmarkStart w:id="2405" w:name="_Toc26596"/>
      <w:bookmarkStart w:id="2406" w:name="_Toc5207"/>
      <w:bookmarkStart w:id="2407" w:name="_Toc3491"/>
      <w:bookmarkStart w:id="2408" w:name="_Toc11194"/>
      <w:bookmarkStart w:id="2409" w:name="_Toc14686"/>
      <w:bookmarkStart w:id="2410" w:name="_Toc5966"/>
      <w:bookmarkStart w:id="2411" w:name="_Toc7306"/>
      <w:bookmarkStart w:id="2412" w:name="_Toc13558"/>
      <w:bookmarkStart w:id="2413" w:name="_Toc2674"/>
      <w:bookmarkStart w:id="2414" w:name="_Toc31719"/>
      <w:bookmarkStart w:id="2415" w:name="_Toc15494"/>
      <w:bookmarkStart w:id="2416" w:name="_Toc24889"/>
      <w:bookmarkStart w:id="2417" w:name="_Toc26816"/>
      <w:bookmarkStart w:id="2418" w:name="_Toc29384"/>
      <w:bookmarkStart w:id="2419" w:name="_Toc7499"/>
      <w:bookmarkStart w:id="2420" w:name="_Toc22882"/>
      <w:bookmarkStart w:id="2421" w:name="_Toc5024"/>
      <w:bookmarkStart w:id="2422" w:name="_Toc31197"/>
      <w:bookmarkStart w:id="2423" w:name="_Toc5792"/>
      <w:bookmarkStart w:id="2424" w:name="_Toc29270"/>
      <w:bookmarkStart w:id="2425" w:name="_Toc20549"/>
      <w:bookmarkStart w:id="2426" w:name="_Toc8569"/>
      <w:bookmarkStart w:id="2427" w:name="_Toc25841"/>
      <w:bookmarkStart w:id="2428" w:name="_Toc712"/>
      <w:bookmarkStart w:id="2429" w:name="_Toc20338"/>
      <w:r>
        <w:rPr>
          <w:rFonts w:hint="eastAsia"/>
          <w:color w:val="auto"/>
          <w:highlight w:val="none"/>
        </w:rPr>
        <w:t>4、企业简介表（</w:t>
      </w:r>
      <w:r>
        <w:rPr>
          <w:rFonts w:hint="eastAsia" w:ascii="宋体" w:hAnsi="宋体" w:cs="宋体"/>
          <w:color w:val="auto"/>
          <w:szCs w:val="21"/>
          <w:highlight w:val="none"/>
        </w:rPr>
        <w:t>简要介绍企业规模、财务状况情况等资料</w:t>
      </w:r>
      <w:r>
        <w:rPr>
          <w:rFonts w:hint="eastAsia"/>
          <w:color w:val="auto"/>
          <w:highlight w:val="none"/>
        </w:rPr>
        <w:t>）</w:t>
      </w:r>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4"/>
        <w:gridCol w:w="1076"/>
        <w:gridCol w:w="1269"/>
        <w:gridCol w:w="196"/>
        <w:gridCol w:w="1211"/>
        <w:gridCol w:w="222"/>
        <w:gridCol w:w="873"/>
        <w:gridCol w:w="523"/>
        <w:gridCol w:w="549"/>
        <w:gridCol w:w="1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单位名称</w:t>
            </w:r>
          </w:p>
        </w:tc>
        <w:tc>
          <w:tcPr>
            <w:tcW w:w="6964" w:type="dxa"/>
            <w:gridSpan w:val="9"/>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地址</w:t>
            </w:r>
          </w:p>
        </w:tc>
        <w:tc>
          <w:tcPr>
            <w:tcW w:w="6964" w:type="dxa"/>
            <w:gridSpan w:val="9"/>
            <w:vAlign w:val="center"/>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主管部门</w:t>
            </w:r>
          </w:p>
        </w:tc>
        <w:tc>
          <w:tcPr>
            <w:tcW w:w="1076" w:type="dxa"/>
            <w:vAlign w:val="center"/>
          </w:tcPr>
          <w:p>
            <w:pPr>
              <w:rPr>
                <w:rFonts w:ascii="宋体" w:hAnsi="宋体"/>
                <w:color w:val="auto"/>
                <w:szCs w:val="21"/>
                <w:highlight w:val="none"/>
              </w:rPr>
            </w:pPr>
          </w:p>
        </w:tc>
        <w:tc>
          <w:tcPr>
            <w:tcW w:w="1465" w:type="dxa"/>
            <w:gridSpan w:val="2"/>
            <w:vAlign w:val="center"/>
          </w:tcPr>
          <w:p>
            <w:pPr>
              <w:rPr>
                <w:rFonts w:ascii="宋体" w:hAnsi="宋体"/>
                <w:color w:val="auto"/>
                <w:szCs w:val="21"/>
                <w:highlight w:val="none"/>
              </w:rPr>
            </w:pPr>
            <w:r>
              <w:rPr>
                <w:rFonts w:hint="eastAsia" w:ascii="宋体" w:hAnsi="宋体"/>
                <w:color w:val="auto"/>
                <w:szCs w:val="21"/>
                <w:highlight w:val="none"/>
              </w:rPr>
              <w:t>法人代表</w:t>
            </w:r>
          </w:p>
        </w:tc>
        <w:tc>
          <w:tcPr>
            <w:tcW w:w="1433" w:type="dxa"/>
            <w:gridSpan w:val="2"/>
            <w:vAlign w:val="center"/>
          </w:tcPr>
          <w:p>
            <w:pPr>
              <w:rPr>
                <w:rFonts w:ascii="宋体" w:hAnsi="宋体"/>
                <w:color w:val="auto"/>
                <w:szCs w:val="21"/>
                <w:highlight w:val="none"/>
              </w:rPr>
            </w:pPr>
          </w:p>
        </w:tc>
        <w:tc>
          <w:tcPr>
            <w:tcW w:w="1396" w:type="dxa"/>
            <w:gridSpan w:val="2"/>
            <w:vAlign w:val="center"/>
          </w:tcPr>
          <w:p>
            <w:pPr>
              <w:rPr>
                <w:rFonts w:ascii="宋体" w:hAnsi="宋体"/>
                <w:color w:val="auto"/>
                <w:szCs w:val="21"/>
                <w:highlight w:val="none"/>
              </w:rPr>
            </w:pPr>
            <w:r>
              <w:rPr>
                <w:rFonts w:hint="eastAsia" w:ascii="宋体" w:hAnsi="宋体"/>
                <w:color w:val="auto"/>
                <w:szCs w:val="21"/>
                <w:highlight w:val="none"/>
              </w:rPr>
              <w:t>职务</w:t>
            </w:r>
          </w:p>
        </w:tc>
        <w:tc>
          <w:tcPr>
            <w:tcW w:w="1594" w:type="dxa"/>
            <w:gridSpan w:val="2"/>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经济类型</w:t>
            </w:r>
          </w:p>
        </w:tc>
        <w:tc>
          <w:tcPr>
            <w:tcW w:w="1076" w:type="dxa"/>
            <w:vAlign w:val="center"/>
          </w:tcPr>
          <w:p>
            <w:pPr>
              <w:rPr>
                <w:rFonts w:ascii="宋体" w:hAnsi="宋体"/>
                <w:color w:val="auto"/>
                <w:szCs w:val="21"/>
                <w:highlight w:val="none"/>
              </w:rPr>
            </w:pPr>
          </w:p>
        </w:tc>
        <w:tc>
          <w:tcPr>
            <w:tcW w:w="1465" w:type="dxa"/>
            <w:gridSpan w:val="2"/>
            <w:vAlign w:val="center"/>
          </w:tcPr>
          <w:p>
            <w:pPr>
              <w:rPr>
                <w:rFonts w:ascii="宋体" w:hAnsi="宋体"/>
                <w:color w:val="auto"/>
                <w:szCs w:val="21"/>
                <w:highlight w:val="none"/>
              </w:rPr>
            </w:pPr>
            <w:r>
              <w:rPr>
                <w:rFonts w:hint="eastAsia" w:ascii="宋体" w:hAnsi="宋体"/>
                <w:color w:val="auto"/>
                <w:szCs w:val="21"/>
                <w:highlight w:val="none"/>
              </w:rPr>
              <w:t>授权代表</w:t>
            </w:r>
          </w:p>
        </w:tc>
        <w:tc>
          <w:tcPr>
            <w:tcW w:w="1433" w:type="dxa"/>
            <w:gridSpan w:val="2"/>
            <w:vAlign w:val="center"/>
          </w:tcPr>
          <w:p>
            <w:pPr>
              <w:rPr>
                <w:rFonts w:ascii="宋体" w:hAnsi="宋体"/>
                <w:color w:val="auto"/>
                <w:szCs w:val="21"/>
                <w:highlight w:val="none"/>
              </w:rPr>
            </w:pPr>
          </w:p>
        </w:tc>
        <w:tc>
          <w:tcPr>
            <w:tcW w:w="1396" w:type="dxa"/>
            <w:gridSpan w:val="2"/>
            <w:vAlign w:val="center"/>
          </w:tcPr>
          <w:p>
            <w:pPr>
              <w:rPr>
                <w:rFonts w:ascii="宋体" w:hAnsi="宋体"/>
                <w:color w:val="auto"/>
                <w:szCs w:val="21"/>
                <w:highlight w:val="none"/>
              </w:rPr>
            </w:pPr>
            <w:r>
              <w:rPr>
                <w:rFonts w:hint="eastAsia" w:ascii="宋体" w:hAnsi="宋体"/>
                <w:color w:val="auto"/>
                <w:szCs w:val="21"/>
                <w:highlight w:val="none"/>
              </w:rPr>
              <w:t>职务</w:t>
            </w:r>
          </w:p>
        </w:tc>
        <w:tc>
          <w:tcPr>
            <w:tcW w:w="1594" w:type="dxa"/>
            <w:gridSpan w:val="2"/>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邮编</w:t>
            </w:r>
          </w:p>
        </w:tc>
        <w:tc>
          <w:tcPr>
            <w:tcW w:w="1076" w:type="dxa"/>
            <w:vAlign w:val="center"/>
          </w:tcPr>
          <w:p>
            <w:pPr>
              <w:rPr>
                <w:rFonts w:ascii="宋体" w:hAnsi="宋体"/>
                <w:color w:val="auto"/>
                <w:szCs w:val="21"/>
                <w:highlight w:val="none"/>
              </w:rPr>
            </w:pPr>
          </w:p>
        </w:tc>
        <w:tc>
          <w:tcPr>
            <w:tcW w:w="1465" w:type="dxa"/>
            <w:gridSpan w:val="2"/>
            <w:vAlign w:val="center"/>
          </w:tcPr>
          <w:p>
            <w:pPr>
              <w:rPr>
                <w:rFonts w:ascii="宋体" w:hAnsi="宋体"/>
                <w:color w:val="auto"/>
                <w:szCs w:val="21"/>
                <w:highlight w:val="none"/>
              </w:rPr>
            </w:pPr>
            <w:r>
              <w:rPr>
                <w:rFonts w:hint="eastAsia" w:ascii="宋体" w:hAnsi="宋体"/>
                <w:color w:val="auto"/>
                <w:szCs w:val="21"/>
                <w:highlight w:val="none"/>
              </w:rPr>
              <w:t>电话</w:t>
            </w:r>
          </w:p>
        </w:tc>
        <w:tc>
          <w:tcPr>
            <w:tcW w:w="1433" w:type="dxa"/>
            <w:gridSpan w:val="2"/>
            <w:vAlign w:val="center"/>
          </w:tcPr>
          <w:p>
            <w:pPr>
              <w:rPr>
                <w:rFonts w:ascii="宋体" w:hAnsi="宋体"/>
                <w:color w:val="auto"/>
                <w:szCs w:val="21"/>
                <w:highlight w:val="none"/>
              </w:rPr>
            </w:pPr>
          </w:p>
        </w:tc>
        <w:tc>
          <w:tcPr>
            <w:tcW w:w="1396" w:type="dxa"/>
            <w:gridSpan w:val="2"/>
            <w:vAlign w:val="center"/>
          </w:tcPr>
          <w:p>
            <w:pPr>
              <w:rPr>
                <w:rFonts w:ascii="宋体" w:hAnsi="宋体"/>
                <w:color w:val="auto"/>
                <w:szCs w:val="21"/>
                <w:highlight w:val="none"/>
              </w:rPr>
            </w:pPr>
            <w:r>
              <w:rPr>
                <w:rFonts w:hint="eastAsia" w:ascii="宋体" w:hAnsi="宋体"/>
                <w:color w:val="auto"/>
                <w:szCs w:val="21"/>
                <w:highlight w:val="none"/>
              </w:rPr>
              <w:t>传真</w:t>
            </w:r>
          </w:p>
        </w:tc>
        <w:tc>
          <w:tcPr>
            <w:tcW w:w="1594" w:type="dxa"/>
            <w:gridSpan w:val="2"/>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单位简介及机构设置</w:t>
            </w:r>
          </w:p>
        </w:tc>
        <w:tc>
          <w:tcPr>
            <w:tcW w:w="6964" w:type="dxa"/>
            <w:gridSpan w:val="9"/>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Align w:val="center"/>
          </w:tcPr>
          <w:p>
            <w:pPr>
              <w:rPr>
                <w:rFonts w:ascii="宋体" w:hAnsi="宋体"/>
                <w:color w:val="auto"/>
                <w:szCs w:val="21"/>
                <w:highlight w:val="none"/>
              </w:rPr>
            </w:pPr>
            <w:r>
              <w:rPr>
                <w:rFonts w:hint="eastAsia" w:ascii="宋体" w:hAnsi="宋体"/>
                <w:color w:val="auto"/>
                <w:szCs w:val="21"/>
                <w:highlight w:val="none"/>
              </w:rPr>
              <w:t>单位优势及特长</w:t>
            </w:r>
          </w:p>
        </w:tc>
        <w:tc>
          <w:tcPr>
            <w:tcW w:w="6964" w:type="dxa"/>
            <w:gridSpan w:val="9"/>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564" w:type="dxa"/>
            <w:vMerge w:val="restart"/>
            <w:vAlign w:val="center"/>
          </w:tcPr>
          <w:p>
            <w:pPr>
              <w:rPr>
                <w:rFonts w:ascii="宋体" w:hAnsi="宋体"/>
                <w:color w:val="auto"/>
                <w:szCs w:val="21"/>
                <w:highlight w:val="none"/>
              </w:rPr>
            </w:pPr>
            <w:r>
              <w:rPr>
                <w:rFonts w:hint="eastAsia" w:ascii="宋体" w:hAnsi="宋体"/>
                <w:color w:val="auto"/>
                <w:szCs w:val="21"/>
                <w:highlight w:val="none"/>
              </w:rPr>
              <w:t>单位概况</w:t>
            </w:r>
          </w:p>
        </w:tc>
        <w:tc>
          <w:tcPr>
            <w:tcW w:w="1076" w:type="dxa"/>
          </w:tcPr>
          <w:p>
            <w:pPr>
              <w:rPr>
                <w:rFonts w:ascii="宋体" w:hAnsi="宋体"/>
                <w:color w:val="auto"/>
                <w:szCs w:val="21"/>
                <w:highlight w:val="none"/>
              </w:rPr>
            </w:pPr>
            <w:r>
              <w:rPr>
                <w:rFonts w:hint="eastAsia" w:ascii="宋体" w:hAnsi="宋体"/>
                <w:color w:val="auto"/>
                <w:szCs w:val="21"/>
                <w:highlight w:val="none"/>
              </w:rPr>
              <w:t>注册资本</w:t>
            </w:r>
          </w:p>
        </w:tc>
        <w:tc>
          <w:tcPr>
            <w:tcW w:w="1269" w:type="dxa"/>
          </w:tcPr>
          <w:p>
            <w:pPr>
              <w:rPr>
                <w:rFonts w:ascii="宋体" w:hAnsi="宋体"/>
                <w:color w:val="auto"/>
                <w:szCs w:val="21"/>
                <w:highlight w:val="none"/>
              </w:rPr>
            </w:pPr>
            <w:r>
              <w:rPr>
                <w:rFonts w:hint="eastAsia" w:ascii="宋体" w:hAnsi="宋体"/>
                <w:color w:val="auto"/>
                <w:szCs w:val="21"/>
                <w:highlight w:val="none"/>
              </w:rPr>
              <w:t>万元</w:t>
            </w:r>
          </w:p>
        </w:tc>
        <w:tc>
          <w:tcPr>
            <w:tcW w:w="1407" w:type="dxa"/>
            <w:gridSpan w:val="2"/>
          </w:tcPr>
          <w:p>
            <w:pPr>
              <w:rPr>
                <w:rFonts w:ascii="宋体" w:hAnsi="宋体"/>
                <w:color w:val="auto"/>
                <w:szCs w:val="21"/>
                <w:highlight w:val="none"/>
              </w:rPr>
            </w:pPr>
            <w:r>
              <w:rPr>
                <w:rFonts w:hint="eastAsia" w:ascii="宋体" w:hAnsi="宋体"/>
                <w:color w:val="auto"/>
                <w:szCs w:val="21"/>
                <w:highlight w:val="none"/>
              </w:rPr>
              <w:t>占地面积</w:t>
            </w:r>
          </w:p>
        </w:tc>
        <w:tc>
          <w:tcPr>
            <w:tcW w:w="3212" w:type="dxa"/>
            <w:gridSpan w:val="5"/>
          </w:tcPr>
          <w:p>
            <w:pPr>
              <w:rPr>
                <w:rFonts w:ascii="宋体" w:hAnsi="宋体"/>
                <w:color w:val="auto"/>
                <w:szCs w:val="21"/>
                <w:highlight w:val="none"/>
              </w:rPr>
            </w:pPr>
            <w:r>
              <w:rPr>
                <w:rFonts w:hint="eastAsia" w:ascii="宋体" w:hAnsi="宋体"/>
                <w:color w:val="auto"/>
                <w:szCs w:val="21"/>
                <w:highlight w:val="none"/>
              </w:rPr>
              <w:t>M</w:t>
            </w:r>
            <w:r>
              <w:rPr>
                <w:rFonts w:hint="eastAsia" w:ascii="宋体" w:hAnsi="宋体"/>
                <w:color w:val="auto"/>
                <w:szCs w:val="21"/>
                <w:highlight w:val="none"/>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564" w:type="dxa"/>
            <w:vMerge w:val="continue"/>
          </w:tcPr>
          <w:p>
            <w:pPr>
              <w:rPr>
                <w:rFonts w:ascii="宋体" w:hAnsi="宋体"/>
                <w:color w:val="auto"/>
                <w:szCs w:val="21"/>
                <w:highlight w:val="none"/>
              </w:rPr>
            </w:pPr>
          </w:p>
        </w:tc>
        <w:tc>
          <w:tcPr>
            <w:tcW w:w="1076" w:type="dxa"/>
          </w:tcPr>
          <w:p>
            <w:pPr>
              <w:rPr>
                <w:rFonts w:ascii="宋体" w:hAnsi="宋体"/>
                <w:color w:val="auto"/>
                <w:szCs w:val="21"/>
                <w:highlight w:val="none"/>
              </w:rPr>
            </w:pPr>
            <w:r>
              <w:rPr>
                <w:rFonts w:hint="eastAsia" w:ascii="宋体" w:hAnsi="宋体"/>
                <w:color w:val="auto"/>
                <w:szCs w:val="21"/>
                <w:highlight w:val="none"/>
              </w:rPr>
              <w:t>职工总数</w:t>
            </w:r>
          </w:p>
        </w:tc>
        <w:tc>
          <w:tcPr>
            <w:tcW w:w="1269" w:type="dxa"/>
          </w:tcPr>
          <w:p>
            <w:pPr>
              <w:rPr>
                <w:rFonts w:ascii="宋体" w:hAnsi="宋体"/>
                <w:color w:val="auto"/>
                <w:szCs w:val="21"/>
                <w:highlight w:val="none"/>
              </w:rPr>
            </w:pPr>
            <w:r>
              <w:rPr>
                <w:rFonts w:hint="eastAsia" w:ascii="宋体" w:hAnsi="宋体"/>
                <w:color w:val="auto"/>
                <w:szCs w:val="21"/>
                <w:highlight w:val="none"/>
              </w:rPr>
              <w:t>人</w:t>
            </w:r>
          </w:p>
        </w:tc>
        <w:tc>
          <w:tcPr>
            <w:tcW w:w="1407" w:type="dxa"/>
            <w:gridSpan w:val="2"/>
          </w:tcPr>
          <w:p>
            <w:pPr>
              <w:rPr>
                <w:rFonts w:ascii="宋体" w:hAnsi="宋体"/>
                <w:color w:val="auto"/>
                <w:szCs w:val="21"/>
                <w:highlight w:val="none"/>
              </w:rPr>
            </w:pPr>
            <w:r>
              <w:rPr>
                <w:rFonts w:hint="eastAsia" w:ascii="宋体" w:hAnsi="宋体"/>
                <w:color w:val="auto"/>
                <w:szCs w:val="21"/>
                <w:highlight w:val="none"/>
              </w:rPr>
              <w:t>建筑面积</w:t>
            </w:r>
          </w:p>
        </w:tc>
        <w:tc>
          <w:tcPr>
            <w:tcW w:w="3212" w:type="dxa"/>
            <w:gridSpan w:val="5"/>
          </w:tcPr>
          <w:p>
            <w:pPr>
              <w:rPr>
                <w:rFonts w:ascii="宋体" w:hAnsi="宋体"/>
                <w:color w:val="auto"/>
                <w:szCs w:val="21"/>
                <w:highlight w:val="none"/>
              </w:rPr>
            </w:pPr>
            <w:r>
              <w:rPr>
                <w:rFonts w:hint="eastAsia" w:ascii="宋体" w:hAnsi="宋体"/>
                <w:color w:val="auto"/>
                <w:szCs w:val="21"/>
                <w:highlight w:val="none"/>
              </w:rPr>
              <w:t>M</w:t>
            </w:r>
            <w:r>
              <w:rPr>
                <w:rFonts w:hint="eastAsia" w:ascii="宋体" w:hAnsi="宋体"/>
                <w:color w:val="auto"/>
                <w:szCs w:val="21"/>
                <w:highlight w:val="none"/>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564" w:type="dxa"/>
            <w:vMerge w:val="continue"/>
          </w:tcPr>
          <w:p>
            <w:pPr>
              <w:rPr>
                <w:rFonts w:ascii="宋体" w:hAnsi="宋体"/>
                <w:color w:val="auto"/>
                <w:szCs w:val="21"/>
                <w:highlight w:val="none"/>
              </w:rPr>
            </w:pPr>
          </w:p>
        </w:tc>
        <w:tc>
          <w:tcPr>
            <w:tcW w:w="1076" w:type="dxa"/>
            <w:vMerge w:val="restart"/>
            <w:vAlign w:val="center"/>
          </w:tcPr>
          <w:p>
            <w:pPr>
              <w:rPr>
                <w:rFonts w:ascii="宋体" w:hAnsi="宋体"/>
                <w:color w:val="auto"/>
                <w:szCs w:val="21"/>
                <w:highlight w:val="none"/>
              </w:rPr>
            </w:pPr>
            <w:r>
              <w:rPr>
                <w:rFonts w:hint="eastAsia" w:ascii="宋体" w:hAnsi="宋体"/>
                <w:color w:val="auto"/>
                <w:szCs w:val="21"/>
                <w:highlight w:val="none"/>
              </w:rPr>
              <w:t>资产情况</w:t>
            </w:r>
          </w:p>
        </w:tc>
        <w:tc>
          <w:tcPr>
            <w:tcW w:w="1269" w:type="dxa"/>
          </w:tcPr>
          <w:p>
            <w:pPr>
              <w:rPr>
                <w:rFonts w:ascii="宋体" w:hAnsi="宋体"/>
                <w:color w:val="auto"/>
                <w:szCs w:val="21"/>
                <w:highlight w:val="none"/>
              </w:rPr>
            </w:pPr>
            <w:r>
              <w:rPr>
                <w:rFonts w:hint="eastAsia" w:ascii="宋体" w:hAnsi="宋体"/>
                <w:color w:val="auto"/>
                <w:szCs w:val="21"/>
                <w:highlight w:val="none"/>
              </w:rPr>
              <w:t>净资产</w:t>
            </w:r>
          </w:p>
        </w:tc>
        <w:tc>
          <w:tcPr>
            <w:tcW w:w="1407" w:type="dxa"/>
            <w:gridSpan w:val="2"/>
            <w:vAlign w:val="center"/>
          </w:tcPr>
          <w:p>
            <w:pPr>
              <w:rPr>
                <w:rFonts w:ascii="宋体" w:hAnsi="宋体"/>
                <w:color w:val="auto"/>
                <w:szCs w:val="21"/>
                <w:highlight w:val="none"/>
              </w:rPr>
            </w:pPr>
            <w:r>
              <w:rPr>
                <w:rFonts w:hint="eastAsia" w:ascii="宋体" w:hAnsi="宋体"/>
                <w:color w:val="auto"/>
                <w:szCs w:val="21"/>
                <w:highlight w:val="none"/>
              </w:rPr>
              <w:t>万元</w:t>
            </w:r>
          </w:p>
        </w:tc>
        <w:tc>
          <w:tcPr>
            <w:tcW w:w="3212" w:type="dxa"/>
            <w:gridSpan w:val="5"/>
          </w:tcPr>
          <w:p>
            <w:pPr>
              <w:rPr>
                <w:rFonts w:ascii="宋体" w:hAnsi="宋体"/>
                <w:color w:val="auto"/>
                <w:szCs w:val="21"/>
                <w:highlight w:val="none"/>
              </w:rPr>
            </w:pPr>
            <w:r>
              <w:rPr>
                <w:rFonts w:hint="eastAsia" w:ascii="宋体" w:hAnsi="宋体"/>
                <w:color w:val="auto"/>
                <w:szCs w:val="21"/>
                <w:highlight w:val="none"/>
              </w:rPr>
              <w:t>固定资产原值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564" w:type="dxa"/>
            <w:vMerge w:val="continue"/>
          </w:tcPr>
          <w:p>
            <w:pPr>
              <w:rPr>
                <w:rFonts w:ascii="宋体" w:hAnsi="宋体"/>
                <w:color w:val="auto"/>
                <w:szCs w:val="21"/>
                <w:highlight w:val="none"/>
              </w:rPr>
            </w:pPr>
          </w:p>
        </w:tc>
        <w:tc>
          <w:tcPr>
            <w:tcW w:w="1076" w:type="dxa"/>
            <w:vMerge w:val="continue"/>
          </w:tcPr>
          <w:p>
            <w:pPr>
              <w:rPr>
                <w:rFonts w:ascii="宋体" w:hAnsi="宋体"/>
                <w:color w:val="auto"/>
                <w:szCs w:val="21"/>
                <w:highlight w:val="none"/>
              </w:rPr>
            </w:pPr>
          </w:p>
        </w:tc>
        <w:tc>
          <w:tcPr>
            <w:tcW w:w="1269" w:type="dxa"/>
          </w:tcPr>
          <w:p>
            <w:pPr>
              <w:rPr>
                <w:rFonts w:ascii="宋体" w:hAnsi="宋体"/>
                <w:color w:val="auto"/>
                <w:szCs w:val="21"/>
                <w:highlight w:val="none"/>
              </w:rPr>
            </w:pPr>
            <w:r>
              <w:rPr>
                <w:rFonts w:hint="eastAsia" w:ascii="宋体" w:hAnsi="宋体"/>
                <w:color w:val="auto"/>
                <w:szCs w:val="21"/>
                <w:highlight w:val="none"/>
              </w:rPr>
              <w:t>负债</w:t>
            </w:r>
          </w:p>
        </w:tc>
        <w:tc>
          <w:tcPr>
            <w:tcW w:w="1407" w:type="dxa"/>
            <w:gridSpan w:val="2"/>
            <w:vAlign w:val="center"/>
          </w:tcPr>
          <w:p>
            <w:pPr>
              <w:rPr>
                <w:rFonts w:ascii="宋体" w:hAnsi="宋体"/>
                <w:color w:val="auto"/>
                <w:szCs w:val="21"/>
                <w:highlight w:val="none"/>
              </w:rPr>
            </w:pPr>
            <w:r>
              <w:rPr>
                <w:rFonts w:hint="eastAsia" w:ascii="宋体" w:hAnsi="宋体"/>
                <w:color w:val="auto"/>
                <w:szCs w:val="21"/>
                <w:highlight w:val="none"/>
              </w:rPr>
              <w:t>万元</w:t>
            </w:r>
          </w:p>
        </w:tc>
        <w:tc>
          <w:tcPr>
            <w:tcW w:w="3212" w:type="dxa"/>
            <w:gridSpan w:val="5"/>
          </w:tcPr>
          <w:p>
            <w:pPr>
              <w:rPr>
                <w:rFonts w:ascii="宋体" w:hAnsi="宋体"/>
                <w:color w:val="auto"/>
                <w:szCs w:val="21"/>
                <w:highlight w:val="none"/>
              </w:rPr>
            </w:pPr>
            <w:r>
              <w:rPr>
                <w:rFonts w:hint="eastAsia" w:ascii="宋体" w:hAnsi="宋体"/>
                <w:color w:val="auto"/>
                <w:szCs w:val="21"/>
                <w:highlight w:val="none"/>
              </w:rPr>
              <w:t>固定资产净值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64" w:type="dxa"/>
          </w:tcPr>
          <w:p>
            <w:pPr>
              <w:rPr>
                <w:rFonts w:ascii="宋体" w:hAnsi="宋体"/>
                <w:color w:val="auto"/>
                <w:szCs w:val="21"/>
                <w:highlight w:val="none"/>
              </w:rPr>
            </w:pPr>
            <w:r>
              <w:rPr>
                <w:rFonts w:hint="eastAsia" w:ascii="宋体" w:hAnsi="宋体"/>
                <w:color w:val="auto"/>
                <w:szCs w:val="21"/>
                <w:highlight w:val="none"/>
              </w:rPr>
              <w:t>银行信用评级</w:t>
            </w:r>
          </w:p>
        </w:tc>
        <w:tc>
          <w:tcPr>
            <w:tcW w:w="6964" w:type="dxa"/>
            <w:gridSpan w:val="9"/>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4" w:type="dxa"/>
            <w:vMerge w:val="restart"/>
            <w:vAlign w:val="center"/>
          </w:tcPr>
          <w:p>
            <w:pPr>
              <w:rPr>
                <w:rFonts w:ascii="宋体" w:hAnsi="宋体"/>
                <w:color w:val="auto"/>
                <w:szCs w:val="21"/>
                <w:highlight w:val="none"/>
              </w:rPr>
            </w:pPr>
            <w:r>
              <w:rPr>
                <w:rFonts w:hint="eastAsia" w:ascii="宋体" w:hAnsi="宋体"/>
                <w:color w:val="auto"/>
                <w:szCs w:val="21"/>
                <w:highlight w:val="none"/>
              </w:rPr>
              <w:t>财务状况</w:t>
            </w:r>
          </w:p>
        </w:tc>
        <w:tc>
          <w:tcPr>
            <w:tcW w:w="1076" w:type="dxa"/>
            <w:vAlign w:val="center"/>
          </w:tcPr>
          <w:p>
            <w:pPr>
              <w:rPr>
                <w:rFonts w:ascii="宋体" w:hAnsi="宋体"/>
                <w:color w:val="auto"/>
                <w:szCs w:val="21"/>
                <w:highlight w:val="none"/>
              </w:rPr>
            </w:pPr>
            <w:r>
              <w:rPr>
                <w:rFonts w:hint="eastAsia" w:ascii="宋体" w:hAnsi="宋体"/>
                <w:color w:val="auto"/>
                <w:szCs w:val="21"/>
                <w:highlight w:val="none"/>
              </w:rPr>
              <w:t>年度</w:t>
            </w:r>
          </w:p>
        </w:tc>
        <w:tc>
          <w:tcPr>
            <w:tcW w:w="1269" w:type="dxa"/>
            <w:vAlign w:val="center"/>
          </w:tcPr>
          <w:p>
            <w:pPr>
              <w:rPr>
                <w:rFonts w:ascii="宋体" w:hAnsi="宋体"/>
                <w:color w:val="auto"/>
                <w:szCs w:val="21"/>
                <w:highlight w:val="none"/>
              </w:rPr>
            </w:pPr>
            <w:r>
              <w:rPr>
                <w:rFonts w:hint="eastAsia" w:ascii="宋体" w:hAnsi="宋体"/>
                <w:color w:val="auto"/>
                <w:szCs w:val="21"/>
                <w:highlight w:val="none"/>
              </w:rPr>
              <w:t>主营收入</w:t>
            </w:r>
          </w:p>
          <w:p>
            <w:pPr>
              <w:rPr>
                <w:rFonts w:ascii="宋体" w:hAnsi="宋体"/>
                <w:color w:val="auto"/>
                <w:szCs w:val="21"/>
                <w:highlight w:val="none"/>
              </w:rPr>
            </w:pPr>
            <w:r>
              <w:rPr>
                <w:rFonts w:hint="eastAsia" w:ascii="宋体" w:hAnsi="宋体"/>
                <w:color w:val="auto"/>
                <w:szCs w:val="21"/>
                <w:highlight w:val="none"/>
              </w:rPr>
              <w:t>（万元）</w:t>
            </w:r>
          </w:p>
        </w:tc>
        <w:tc>
          <w:tcPr>
            <w:tcW w:w="1407" w:type="dxa"/>
            <w:gridSpan w:val="2"/>
            <w:vAlign w:val="center"/>
          </w:tcPr>
          <w:p>
            <w:pPr>
              <w:rPr>
                <w:rFonts w:ascii="宋体" w:hAnsi="宋体"/>
                <w:color w:val="auto"/>
                <w:szCs w:val="21"/>
                <w:highlight w:val="none"/>
              </w:rPr>
            </w:pPr>
            <w:r>
              <w:rPr>
                <w:rFonts w:hint="eastAsia" w:ascii="宋体" w:hAnsi="宋体"/>
                <w:color w:val="auto"/>
                <w:szCs w:val="21"/>
                <w:highlight w:val="none"/>
              </w:rPr>
              <w:t>收入总额</w:t>
            </w:r>
          </w:p>
          <w:p>
            <w:pPr>
              <w:rPr>
                <w:rFonts w:ascii="宋体" w:hAnsi="宋体"/>
                <w:color w:val="auto"/>
                <w:szCs w:val="21"/>
                <w:highlight w:val="none"/>
              </w:rPr>
            </w:pPr>
            <w:r>
              <w:rPr>
                <w:rFonts w:hint="eastAsia" w:ascii="宋体" w:hAnsi="宋体"/>
                <w:color w:val="auto"/>
                <w:szCs w:val="21"/>
                <w:highlight w:val="none"/>
              </w:rPr>
              <w:t>（万元）</w:t>
            </w:r>
          </w:p>
        </w:tc>
        <w:tc>
          <w:tcPr>
            <w:tcW w:w="1095" w:type="dxa"/>
            <w:gridSpan w:val="2"/>
            <w:vAlign w:val="center"/>
          </w:tcPr>
          <w:p>
            <w:pPr>
              <w:rPr>
                <w:rFonts w:ascii="宋体" w:hAnsi="宋体"/>
                <w:color w:val="auto"/>
                <w:szCs w:val="21"/>
                <w:highlight w:val="none"/>
              </w:rPr>
            </w:pPr>
            <w:r>
              <w:rPr>
                <w:rFonts w:hint="eastAsia" w:ascii="宋体" w:hAnsi="宋体"/>
                <w:color w:val="auto"/>
                <w:szCs w:val="21"/>
                <w:highlight w:val="none"/>
              </w:rPr>
              <w:t>利润总额（万元）</w:t>
            </w:r>
          </w:p>
        </w:tc>
        <w:tc>
          <w:tcPr>
            <w:tcW w:w="1072" w:type="dxa"/>
            <w:gridSpan w:val="2"/>
            <w:vAlign w:val="center"/>
          </w:tcPr>
          <w:p>
            <w:pPr>
              <w:rPr>
                <w:rFonts w:ascii="宋体" w:hAnsi="宋体"/>
                <w:color w:val="auto"/>
                <w:szCs w:val="21"/>
                <w:highlight w:val="none"/>
              </w:rPr>
            </w:pPr>
            <w:r>
              <w:rPr>
                <w:rFonts w:hint="eastAsia" w:ascii="宋体" w:hAnsi="宋体"/>
                <w:color w:val="auto"/>
                <w:szCs w:val="21"/>
                <w:highlight w:val="none"/>
              </w:rPr>
              <w:t>净利润（万元）</w:t>
            </w:r>
          </w:p>
        </w:tc>
        <w:tc>
          <w:tcPr>
            <w:tcW w:w="1045" w:type="dxa"/>
            <w:vAlign w:val="center"/>
          </w:tcPr>
          <w:p>
            <w:pPr>
              <w:rPr>
                <w:rFonts w:ascii="宋体" w:hAnsi="宋体"/>
                <w:color w:val="auto"/>
                <w:szCs w:val="21"/>
                <w:highlight w:val="none"/>
              </w:rPr>
            </w:pPr>
            <w:r>
              <w:rPr>
                <w:rFonts w:hint="eastAsia" w:ascii="宋体" w:hAnsi="宋体"/>
                <w:color w:val="auto"/>
                <w:szCs w:val="21"/>
                <w:highlight w:val="none"/>
              </w:rPr>
              <w:t>资产负债率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564" w:type="dxa"/>
            <w:vMerge w:val="continue"/>
          </w:tcPr>
          <w:p>
            <w:pPr>
              <w:rPr>
                <w:rFonts w:ascii="宋体" w:hAnsi="宋体"/>
                <w:color w:val="auto"/>
                <w:szCs w:val="21"/>
                <w:highlight w:val="none"/>
              </w:rPr>
            </w:pPr>
          </w:p>
        </w:tc>
        <w:tc>
          <w:tcPr>
            <w:tcW w:w="1076" w:type="dxa"/>
            <w:vAlign w:val="center"/>
          </w:tcPr>
          <w:p>
            <w:pPr>
              <w:rPr>
                <w:rFonts w:ascii="宋体" w:hAnsi="宋体"/>
                <w:color w:val="auto"/>
                <w:szCs w:val="21"/>
                <w:highlight w:val="none"/>
              </w:rPr>
            </w:pPr>
            <w:r>
              <w:rPr>
                <w:rFonts w:hint="eastAsia" w:ascii="宋体" w:hAnsi="宋体"/>
                <w:color w:val="auto"/>
                <w:szCs w:val="21"/>
                <w:highlight w:val="none"/>
              </w:rPr>
              <w:t>202</w:t>
            </w:r>
            <w:r>
              <w:rPr>
                <w:rFonts w:hint="eastAsia" w:ascii="宋体" w:hAnsi="宋体"/>
                <w:color w:val="auto"/>
                <w:szCs w:val="21"/>
                <w:highlight w:val="none"/>
                <w:lang w:val="en-US" w:eastAsia="zh-CN"/>
              </w:rPr>
              <w:t>3</w:t>
            </w:r>
            <w:r>
              <w:rPr>
                <w:rFonts w:hint="eastAsia" w:ascii="宋体" w:hAnsi="宋体"/>
                <w:color w:val="auto"/>
                <w:szCs w:val="21"/>
                <w:highlight w:val="none"/>
              </w:rPr>
              <w:t>年</w:t>
            </w:r>
          </w:p>
        </w:tc>
        <w:tc>
          <w:tcPr>
            <w:tcW w:w="1269" w:type="dxa"/>
          </w:tcPr>
          <w:p>
            <w:pPr>
              <w:rPr>
                <w:rFonts w:ascii="宋体" w:hAnsi="宋体"/>
                <w:color w:val="auto"/>
                <w:szCs w:val="21"/>
                <w:highlight w:val="none"/>
              </w:rPr>
            </w:pPr>
          </w:p>
        </w:tc>
        <w:tc>
          <w:tcPr>
            <w:tcW w:w="1407" w:type="dxa"/>
            <w:gridSpan w:val="2"/>
          </w:tcPr>
          <w:p>
            <w:pPr>
              <w:rPr>
                <w:rFonts w:ascii="宋体" w:hAnsi="宋体"/>
                <w:color w:val="auto"/>
                <w:szCs w:val="21"/>
                <w:highlight w:val="none"/>
              </w:rPr>
            </w:pPr>
          </w:p>
        </w:tc>
        <w:tc>
          <w:tcPr>
            <w:tcW w:w="1095" w:type="dxa"/>
            <w:gridSpan w:val="2"/>
          </w:tcPr>
          <w:p>
            <w:pPr>
              <w:rPr>
                <w:rFonts w:ascii="宋体" w:hAnsi="宋体"/>
                <w:color w:val="auto"/>
                <w:szCs w:val="21"/>
                <w:highlight w:val="none"/>
              </w:rPr>
            </w:pPr>
          </w:p>
        </w:tc>
        <w:tc>
          <w:tcPr>
            <w:tcW w:w="1072" w:type="dxa"/>
            <w:gridSpan w:val="2"/>
          </w:tcPr>
          <w:p>
            <w:pPr>
              <w:rPr>
                <w:rFonts w:ascii="宋体" w:hAnsi="宋体"/>
                <w:color w:val="auto"/>
                <w:szCs w:val="21"/>
                <w:highlight w:val="none"/>
              </w:rPr>
            </w:pPr>
          </w:p>
        </w:tc>
        <w:tc>
          <w:tcPr>
            <w:tcW w:w="1045" w:type="dxa"/>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1564" w:type="dxa"/>
            <w:vMerge w:val="continue"/>
          </w:tcPr>
          <w:p>
            <w:pPr>
              <w:rPr>
                <w:rFonts w:ascii="宋体" w:hAnsi="宋体"/>
                <w:color w:val="auto"/>
                <w:szCs w:val="21"/>
                <w:highlight w:val="none"/>
              </w:rPr>
            </w:pPr>
          </w:p>
        </w:tc>
        <w:tc>
          <w:tcPr>
            <w:tcW w:w="1076" w:type="dxa"/>
            <w:vAlign w:val="center"/>
          </w:tcPr>
          <w:p>
            <w:pPr>
              <w:rPr>
                <w:rFonts w:ascii="宋体" w:hAnsi="宋体"/>
                <w:color w:val="auto"/>
                <w:szCs w:val="21"/>
                <w:highlight w:val="none"/>
              </w:rPr>
            </w:pPr>
            <w:r>
              <w:rPr>
                <w:rFonts w:hint="eastAsia" w:ascii="宋体" w:hAnsi="宋体"/>
                <w:color w:val="auto"/>
                <w:szCs w:val="21"/>
                <w:highlight w:val="none"/>
              </w:rPr>
              <w:t>202</w:t>
            </w:r>
            <w:r>
              <w:rPr>
                <w:rFonts w:hint="eastAsia" w:ascii="宋体" w:hAnsi="宋体"/>
                <w:color w:val="auto"/>
                <w:szCs w:val="21"/>
                <w:highlight w:val="none"/>
                <w:lang w:val="en-US" w:eastAsia="zh-CN"/>
              </w:rPr>
              <w:t>2</w:t>
            </w:r>
            <w:r>
              <w:rPr>
                <w:rFonts w:hint="eastAsia" w:ascii="宋体" w:hAnsi="宋体"/>
                <w:color w:val="auto"/>
                <w:szCs w:val="21"/>
                <w:highlight w:val="none"/>
              </w:rPr>
              <w:t>年</w:t>
            </w:r>
          </w:p>
        </w:tc>
        <w:tc>
          <w:tcPr>
            <w:tcW w:w="1269" w:type="dxa"/>
          </w:tcPr>
          <w:p>
            <w:pPr>
              <w:rPr>
                <w:rFonts w:ascii="宋体" w:hAnsi="宋体"/>
                <w:color w:val="auto"/>
                <w:szCs w:val="21"/>
                <w:highlight w:val="none"/>
              </w:rPr>
            </w:pPr>
          </w:p>
        </w:tc>
        <w:tc>
          <w:tcPr>
            <w:tcW w:w="1407" w:type="dxa"/>
            <w:gridSpan w:val="2"/>
          </w:tcPr>
          <w:p>
            <w:pPr>
              <w:rPr>
                <w:rFonts w:ascii="宋体" w:hAnsi="宋体"/>
                <w:color w:val="auto"/>
                <w:szCs w:val="21"/>
                <w:highlight w:val="none"/>
              </w:rPr>
            </w:pPr>
          </w:p>
        </w:tc>
        <w:tc>
          <w:tcPr>
            <w:tcW w:w="1095" w:type="dxa"/>
            <w:gridSpan w:val="2"/>
          </w:tcPr>
          <w:p>
            <w:pPr>
              <w:rPr>
                <w:rFonts w:ascii="宋体" w:hAnsi="宋体"/>
                <w:color w:val="auto"/>
                <w:szCs w:val="21"/>
                <w:highlight w:val="none"/>
              </w:rPr>
            </w:pPr>
          </w:p>
        </w:tc>
        <w:tc>
          <w:tcPr>
            <w:tcW w:w="1072" w:type="dxa"/>
            <w:gridSpan w:val="2"/>
          </w:tcPr>
          <w:p>
            <w:pPr>
              <w:rPr>
                <w:rFonts w:ascii="宋体" w:hAnsi="宋体"/>
                <w:color w:val="auto"/>
                <w:szCs w:val="21"/>
                <w:highlight w:val="none"/>
              </w:rPr>
            </w:pPr>
          </w:p>
        </w:tc>
        <w:tc>
          <w:tcPr>
            <w:tcW w:w="1045" w:type="dxa"/>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564" w:type="dxa"/>
            <w:vMerge w:val="continue"/>
          </w:tcPr>
          <w:p>
            <w:pPr>
              <w:rPr>
                <w:rFonts w:ascii="宋体" w:hAnsi="宋体"/>
                <w:color w:val="auto"/>
                <w:szCs w:val="21"/>
                <w:highlight w:val="none"/>
              </w:rPr>
            </w:pPr>
          </w:p>
        </w:tc>
        <w:tc>
          <w:tcPr>
            <w:tcW w:w="1076" w:type="dxa"/>
            <w:vAlign w:val="center"/>
          </w:tcPr>
          <w:p>
            <w:pPr>
              <w:rPr>
                <w:rFonts w:ascii="宋体" w:hAnsi="宋体"/>
                <w:color w:val="auto"/>
                <w:szCs w:val="21"/>
                <w:highlight w:val="none"/>
              </w:rPr>
            </w:pPr>
            <w:r>
              <w:rPr>
                <w:rFonts w:hint="eastAsia" w:ascii="宋体" w:hAnsi="宋体"/>
                <w:color w:val="auto"/>
                <w:szCs w:val="21"/>
                <w:highlight w:val="none"/>
              </w:rPr>
              <w:t>20</w:t>
            </w:r>
            <w:r>
              <w:rPr>
                <w:rFonts w:hint="eastAsia" w:ascii="宋体" w:hAnsi="宋体"/>
                <w:color w:val="auto"/>
                <w:szCs w:val="21"/>
                <w:highlight w:val="none"/>
                <w:lang w:val="en-US" w:eastAsia="zh-CN"/>
              </w:rPr>
              <w:t>21</w:t>
            </w:r>
            <w:r>
              <w:rPr>
                <w:rFonts w:hint="eastAsia" w:ascii="宋体" w:hAnsi="宋体"/>
                <w:color w:val="auto"/>
                <w:szCs w:val="21"/>
                <w:highlight w:val="none"/>
              </w:rPr>
              <w:t>年</w:t>
            </w:r>
          </w:p>
        </w:tc>
        <w:tc>
          <w:tcPr>
            <w:tcW w:w="1269" w:type="dxa"/>
          </w:tcPr>
          <w:p>
            <w:pPr>
              <w:rPr>
                <w:rFonts w:ascii="宋体" w:hAnsi="宋体"/>
                <w:color w:val="auto"/>
                <w:szCs w:val="21"/>
                <w:highlight w:val="none"/>
              </w:rPr>
            </w:pPr>
          </w:p>
        </w:tc>
        <w:tc>
          <w:tcPr>
            <w:tcW w:w="1407" w:type="dxa"/>
            <w:gridSpan w:val="2"/>
          </w:tcPr>
          <w:p>
            <w:pPr>
              <w:rPr>
                <w:rFonts w:ascii="宋体" w:hAnsi="宋体"/>
                <w:color w:val="auto"/>
                <w:szCs w:val="21"/>
                <w:highlight w:val="none"/>
              </w:rPr>
            </w:pPr>
          </w:p>
        </w:tc>
        <w:tc>
          <w:tcPr>
            <w:tcW w:w="1095" w:type="dxa"/>
            <w:gridSpan w:val="2"/>
          </w:tcPr>
          <w:p>
            <w:pPr>
              <w:rPr>
                <w:rFonts w:ascii="宋体" w:hAnsi="宋体"/>
                <w:color w:val="auto"/>
                <w:szCs w:val="21"/>
                <w:highlight w:val="none"/>
              </w:rPr>
            </w:pPr>
          </w:p>
        </w:tc>
        <w:tc>
          <w:tcPr>
            <w:tcW w:w="1072" w:type="dxa"/>
            <w:gridSpan w:val="2"/>
          </w:tcPr>
          <w:p>
            <w:pPr>
              <w:rPr>
                <w:rFonts w:ascii="宋体" w:hAnsi="宋体"/>
                <w:color w:val="auto"/>
                <w:szCs w:val="21"/>
                <w:highlight w:val="none"/>
              </w:rPr>
            </w:pPr>
          </w:p>
        </w:tc>
        <w:tc>
          <w:tcPr>
            <w:tcW w:w="1045" w:type="dxa"/>
          </w:tcPr>
          <w:p>
            <w:pPr>
              <w:rPr>
                <w:rFonts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8528" w:type="dxa"/>
            <w:gridSpan w:val="10"/>
          </w:tcPr>
          <w:p>
            <w:pPr>
              <w:rPr>
                <w:rFonts w:ascii="宋体" w:hAnsi="宋体"/>
                <w:color w:val="auto"/>
                <w:szCs w:val="21"/>
                <w:highlight w:val="none"/>
              </w:rPr>
            </w:pPr>
            <w:r>
              <w:rPr>
                <w:rFonts w:hint="eastAsia" w:ascii="宋体" w:hAnsi="宋体"/>
                <w:color w:val="auto"/>
                <w:szCs w:val="21"/>
                <w:highlight w:val="none"/>
              </w:rPr>
              <w:t>注：表格后须提供银行信用评级（若有）、财务状况（有财务报表的附财务报表）。此外，表格后可附报价人对企业简介的文字、图片等形式的描述。</w:t>
            </w:r>
          </w:p>
        </w:tc>
      </w:tr>
    </w:tbl>
    <w:p>
      <w:pPr>
        <w:rPr>
          <w:color w:val="auto"/>
          <w:highlight w:val="none"/>
        </w:rPr>
      </w:pPr>
    </w:p>
    <w:p>
      <w:pPr>
        <w:spacing w:line="360" w:lineRule="auto"/>
        <w:rPr>
          <w:color w:val="auto"/>
          <w:highlight w:val="none"/>
        </w:rPr>
      </w:pPr>
      <w:r>
        <w:rPr>
          <w:color w:val="auto"/>
          <w:highlight w:val="none"/>
        </w:rPr>
        <w:br w:type="page"/>
      </w:r>
      <w:bookmarkStart w:id="2430" w:name="_Toc23343"/>
      <w:bookmarkStart w:id="2431" w:name="_Toc4655"/>
      <w:bookmarkStart w:id="2432" w:name="_Toc440288664"/>
      <w:bookmarkStart w:id="2433" w:name="_Toc21234"/>
      <w:bookmarkStart w:id="2434" w:name="_Toc18486"/>
      <w:bookmarkStart w:id="2435" w:name="_Toc16080"/>
      <w:bookmarkStart w:id="2436" w:name="_Toc17137"/>
      <w:bookmarkStart w:id="2437" w:name="_Toc19389"/>
    </w:p>
    <w:bookmarkEnd w:id="2430"/>
    <w:bookmarkEnd w:id="2431"/>
    <w:bookmarkEnd w:id="2432"/>
    <w:bookmarkEnd w:id="2433"/>
    <w:bookmarkEnd w:id="2434"/>
    <w:bookmarkEnd w:id="2435"/>
    <w:bookmarkEnd w:id="2436"/>
    <w:bookmarkEnd w:id="2437"/>
    <w:p>
      <w:pPr>
        <w:pStyle w:val="6"/>
        <w:rPr>
          <w:rFonts w:ascii="仿宋_GB2312" w:eastAsia="仿宋_GB2312"/>
          <w:color w:val="auto"/>
          <w:sz w:val="28"/>
          <w:szCs w:val="28"/>
          <w:highlight w:val="none"/>
        </w:rPr>
      </w:pPr>
      <w:bookmarkStart w:id="2438" w:name="_Toc19293"/>
      <w:bookmarkStart w:id="2439" w:name="_Toc13215"/>
      <w:bookmarkStart w:id="2440" w:name="_Toc18284"/>
      <w:bookmarkStart w:id="2441" w:name="_Toc30856"/>
      <w:bookmarkStart w:id="2442" w:name="_Toc24414"/>
      <w:bookmarkStart w:id="2443" w:name="_Toc27450"/>
      <w:bookmarkStart w:id="2444" w:name="_Toc6304"/>
      <w:bookmarkStart w:id="2445" w:name="_Toc30864"/>
      <w:bookmarkStart w:id="2446" w:name="_Toc6704"/>
      <w:bookmarkStart w:id="2447" w:name="_Toc26172"/>
      <w:bookmarkStart w:id="2448" w:name="_Toc22162"/>
      <w:r>
        <w:rPr>
          <w:rFonts w:hint="eastAsia" w:ascii="宋体" w:hAnsi="宋体" w:eastAsia="宋体"/>
          <w:color w:val="auto"/>
          <w:highlight w:val="none"/>
        </w:rPr>
        <w:t>5、近三年同类项目业绩情况一览表</w:t>
      </w:r>
      <w:bookmarkEnd w:id="2438"/>
      <w:bookmarkEnd w:id="2439"/>
      <w:bookmarkEnd w:id="2440"/>
      <w:bookmarkEnd w:id="2441"/>
    </w:p>
    <w:tbl>
      <w:tblPr>
        <w:tblStyle w:val="41"/>
        <w:tblW w:w="0" w:type="auto"/>
        <w:tblInd w:w="-123"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83"/>
        <w:gridCol w:w="980"/>
        <w:gridCol w:w="1101"/>
        <w:gridCol w:w="1320"/>
        <w:gridCol w:w="969"/>
        <w:gridCol w:w="1415"/>
        <w:gridCol w:w="1586"/>
        <w:gridCol w:w="15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tcBorders>
              <w:top w:val="single" w:color="auto" w:sz="12" w:space="0"/>
              <w:bottom w:val="double" w:color="auto" w:sz="4" w:space="0"/>
            </w:tcBorders>
            <w:shd w:val="clear" w:color="auto" w:fill="D6E3BC"/>
            <w:vAlign w:val="center"/>
          </w:tcPr>
          <w:p>
            <w:pPr>
              <w:adjustRightInd w:val="0"/>
              <w:snapToGrid w:val="0"/>
              <w:ind w:left="-84" w:leftChars="-40" w:right="-107" w:rightChars="-51"/>
              <w:jc w:val="center"/>
              <w:rPr>
                <w:color w:val="auto"/>
                <w:highlight w:val="none"/>
              </w:rPr>
            </w:pPr>
            <w:r>
              <w:rPr>
                <w:rFonts w:hint="eastAsia"/>
                <w:color w:val="auto"/>
                <w:highlight w:val="none"/>
              </w:rPr>
              <w:t>序号</w:t>
            </w:r>
          </w:p>
        </w:tc>
        <w:tc>
          <w:tcPr>
            <w:tcW w:w="980" w:type="dxa"/>
            <w:tcBorders>
              <w:top w:val="single" w:color="auto" w:sz="12" w:space="0"/>
              <w:bottom w:val="double" w:color="auto" w:sz="4" w:space="0"/>
            </w:tcBorders>
            <w:shd w:val="clear" w:color="auto" w:fill="D6E3BC"/>
            <w:vAlign w:val="center"/>
          </w:tcPr>
          <w:p>
            <w:pPr>
              <w:adjustRightInd w:val="0"/>
              <w:snapToGrid w:val="0"/>
              <w:ind w:left="-84" w:leftChars="-40" w:right="-107" w:rightChars="-51"/>
              <w:jc w:val="center"/>
              <w:rPr>
                <w:color w:val="auto"/>
                <w:highlight w:val="none"/>
              </w:rPr>
            </w:pPr>
            <w:r>
              <w:rPr>
                <w:rFonts w:hint="eastAsia"/>
                <w:color w:val="auto"/>
                <w:highlight w:val="none"/>
              </w:rPr>
              <w:t>采购人</w:t>
            </w:r>
          </w:p>
        </w:tc>
        <w:tc>
          <w:tcPr>
            <w:tcW w:w="1101" w:type="dxa"/>
            <w:tcBorders>
              <w:top w:val="single" w:color="auto" w:sz="12" w:space="0"/>
              <w:bottom w:val="double" w:color="auto" w:sz="4" w:space="0"/>
            </w:tcBorders>
            <w:shd w:val="clear" w:color="auto" w:fill="D6E3BC"/>
            <w:vAlign w:val="center"/>
          </w:tcPr>
          <w:p>
            <w:pPr>
              <w:adjustRightInd w:val="0"/>
              <w:snapToGrid w:val="0"/>
              <w:ind w:left="-84" w:leftChars="-40" w:right="-107" w:rightChars="-51"/>
              <w:jc w:val="center"/>
              <w:rPr>
                <w:color w:val="auto"/>
                <w:highlight w:val="none"/>
              </w:rPr>
            </w:pPr>
            <w:r>
              <w:rPr>
                <w:rFonts w:hint="eastAsia"/>
                <w:color w:val="auto"/>
                <w:highlight w:val="none"/>
              </w:rPr>
              <w:t>项目名称</w:t>
            </w:r>
          </w:p>
        </w:tc>
        <w:tc>
          <w:tcPr>
            <w:tcW w:w="1320" w:type="dxa"/>
            <w:tcBorders>
              <w:top w:val="single" w:color="auto" w:sz="12" w:space="0"/>
              <w:bottom w:val="double" w:color="auto" w:sz="4" w:space="0"/>
            </w:tcBorders>
            <w:shd w:val="clear" w:color="auto" w:fill="D6E3BC"/>
            <w:vAlign w:val="center"/>
          </w:tcPr>
          <w:p>
            <w:pPr>
              <w:adjustRightInd w:val="0"/>
              <w:snapToGrid w:val="0"/>
              <w:ind w:left="-84" w:leftChars="-40" w:right="-107" w:rightChars="-51"/>
              <w:jc w:val="center"/>
              <w:rPr>
                <w:color w:val="auto"/>
                <w:highlight w:val="none"/>
              </w:rPr>
            </w:pPr>
            <w:r>
              <w:rPr>
                <w:rFonts w:hint="eastAsia"/>
                <w:color w:val="auto"/>
                <w:highlight w:val="none"/>
              </w:rPr>
              <w:t>合同标的内容</w:t>
            </w:r>
          </w:p>
        </w:tc>
        <w:tc>
          <w:tcPr>
            <w:tcW w:w="969" w:type="dxa"/>
            <w:tcBorders>
              <w:top w:val="single" w:color="auto" w:sz="12" w:space="0"/>
              <w:bottom w:val="double" w:color="auto" w:sz="4" w:space="0"/>
            </w:tcBorders>
            <w:shd w:val="clear" w:color="auto" w:fill="D6E3BC"/>
            <w:vAlign w:val="center"/>
          </w:tcPr>
          <w:p>
            <w:pPr>
              <w:adjustRightInd w:val="0"/>
              <w:snapToGrid w:val="0"/>
              <w:ind w:left="-84" w:leftChars="-40" w:right="-107" w:rightChars="-51"/>
              <w:jc w:val="center"/>
              <w:rPr>
                <w:color w:val="auto"/>
                <w:highlight w:val="none"/>
              </w:rPr>
            </w:pPr>
            <w:r>
              <w:rPr>
                <w:rFonts w:hint="eastAsia"/>
                <w:color w:val="auto"/>
                <w:highlight w:val="none"/>
              </w:rPr>
              <w:t>合同总价</w:t>
            </w:r>
          </w:p>
        </w:tc>
        <w:tc>
          <w:tcPr>
            <w:tcW w:w="1415" w:type="dxa"/>
            <w:tcBorders>
              <w:top w:val="single" w:color="auto" w:sz="12" w:space="0"/>
              <w:bottom w:val="double" w:color="auto" w:sz="4" w:space="0"/>
            </w:tcBorders>
            <w:shd w:val="clear" w:color="auto" w:fill="D6E3BC"/>
            <w:vAlign w:val="center"/>
          </w:tcPr>
          <w:p>
            <w:pPr>
              <w:adjustRightInd w:val="0"/>
              <w:snapToGrid w:val="0"/>
              <w:ind w:left="-84" w:leftChars="-40" w:right="-107" w:rightChars="-51"/>
              <w:jc w:val="center"/>
              <w:rPr>
                <w:color w:val="auto"/>
                <w:highlight w:val="none"/>
              </w:rPr>
            </w:pPr>
            <w:r>
              <w:rPr>
                <w:rFonts w:hint="eastAsia"/>
                <w:color w:val="auto"/>
                <w:highlight w:val="none"/>
              </w:rPr>
              <w:t>合同签订时间</w:t>
            </w:r>
          </w:p>
        </w:tc>
        <w:tc>
          <w:tcPr>
            <w:tcW w:w="1586" w:type="dxa"/>
            <w:tcBorders>
              <w:top w:val="single" w:color="auto" w:sz="12" w:space="0"/>
              <w:bottom w:val="double" w:color="auto" w:sz="4" w:space="0"/>
            </w:tcBorders>
            <w:shd w:val="clear" w:color="auto" w:fill="D6E3BC"/>
            <w:vAlign w:val="center"/>
          </w:tcPr>
          <w:p>
            <w:pPr>
              <w:adjustRightInd w:val="0"/>
              <w:snapToGrid w:val="0"/>
              <w:ind w:left="-84" w:leftChars="-40" w:right="-107" w:rightChars="-51"/>
              <w:jc w:val="center"/>
              <w:rPr>
                <w:color w:val="auto"/>
                <w:highlight w:val="none"/>
              </w:rPr>
            </w:pPr>
            <w:r>
              <w:rPr>
                <w:rFonts w:hint="eastAsia"/>
                <w:color w:val="auto"/>
                <w:highlight w:val="none"/>
              </w:rPr>
              <w:t>联系人及电话</w:t>
            </w:r>
          </w:p>
        </w:tc>
        <w:tc>
          <w:tcPr>
            <w:tcW w:w="1542" w:type="dxa"/>
            <w:tcBorders>
              <w:top w:val="single" w:color="auto" w:sz="12" w:space="0"/>
              <w:bottom w:val="double" w:color="auto" w:sz="4" w:space="0"/>
            </w:tcBorders>
            <w:shd w:val="clear" w:color="auto" w:fill="D6E3BC"/>
            <w:vAlign w:val="center"/>
          </w:tcPr>
          <w:p>
            <w:pPr>
              <w:adjustRightInd w:val="0"/>
              <w:snapToGrid w:val="0"/>
              <w:ind w:left="-84" w:leftChars="-40" w:right="-107" w:rightChars="-51"/>
              <w:jc w:val="center"/>
              <w:rPr>
                <w:color w:val="auto"/>
                <w:highlight w:val="none"/>
              </w:rPr>
            </w:pPr>
            <w:r>
              <w:rPr>
                <w:rFonts w:hint="eastAsia"/>
                <w:color w:val="auto"/>
                <w:highlight w:val="none"/>
              </w:rPr>
              <w:t>证明文件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color w:val="auto"/>
                <w:highlight w:val="none"/>
              </w:rPr>
            </w:pPr>
          </w:p>
        </w:tc>
        <w:tc>
          <w:tcPr>
            <w:tcW w:w="980" w:type="dxa"/>
            <w:vAlign w:val="center"/>
          </w:tcPr>
          <w:p>
            <w:pPr>
              <w:adjustRightInd w:val="0"/>
              <w:snapToGrid w:val="0"/>
              <w:ind w:left="-84" w:leftChars="-40" w:right="-107" w:rightChars="-51"/>
              <w:jc w:val="center"/>
              <w:rPr>
                <w:color w:val="auto"/>
                <w:highlight w:val="none"/>
              </w:rPr>
            </w:pPr>
          </w:p>
        </w:tc>
        <w:tc>
          <w:tcPr>
            <w:tcW w:w="1101" w:type="dxa"/>
            <w:vAlign w:val="center"/>
          </w:tcPr>
          <w:p>
            <w:pPr>
              <w:adjustRightInd w:val="0"/>
              <w:snapToGrid w:val="0"/>
              <w:ind w:left="-84" w:leftChars="-40" w:right="-107" w:rightChars="-51"/>
              <w:jc w:val="center"/>
              <w:rPr>
                <w:color w:val="auto"/>
                <w:highlight w:val="none"/>
              </w:rPr>
            </w:pPr>
          </w:p>
        </w:tc>
        <w:tc>
          <w:tcPr>
            <w:tcW w:w="1320" w:type="dxa"/>
            <w:vAlign w:val="center"/>
          </w:tcPr>
          <w:p>
            <w:pPr>
              <w:adjustRightInd w:val="0"/>
              <w:snapToGrid w:val="0"/>
              <w:ind w:left="-84" w:leftChars="-40" w:right="-107" w:rightChars="-51"/>
              <w:jc w:val="center"/>
              <w:rPr>
                <w:color w:val="auto"/>
                <w:highlight w:val="none"/>
              </w:rPr>
            </w:pPr>
          </w:p>
        </w:tc>
        <w:tc>
          <w:tcPr>
            <w:tcW w:w="969" w:type="dxa"/>
            <w:vAlign w:val="center"/>
          </w:tcPr>
          <w:p>
            <w:pPr>
              <w:adjustRightInd w:val="0"/>
              <w:snapToGrid w:val="0"/>
              <w:ind w:left="-84" w:leftChars="-40" w:right="-107" w:rightChars="-51"/>
              <w:jc w:val="center"/>
              <w:rPr>
                <w:color w:val="auto"/>
                <w:highlight w:val="none"/>
              </w:rPr>
            </w:pPr>
          </w:p>
        </w:tc>
        <w:tc>
          <w:tcPr>
            <w:tcW w:w="1415" w:type="dxa"/>
            <w:vAlign w:val="center"/>
          </w:tcPr>
          <w:p>
            <w:pPr>
              <w:adjustRightInd w:val="0"/>
              <w:snapToGrid w:val="0"/>
              <w:ind w:left="-84" w:leftChars="-40" w:right="-107" w:rightChars="-51"/>
              <w:jc w:val="center"/>
              <w:rPr>
                <w:color w:val="auto"/>
                <w:highlight w:val="none"/>
              </w:rPr>
            </w:pPr>
          </w:p>
        </w:tc>
        <w:tc>
          <w:tcPr>
            <w:tcW w:w="1586" w:type="dxa"/>
            <w:vAlign w:val="center"/>
          </w:tcPr>
          <w:p>
            <w:pPr>
              <w:adjustRightInd w:val="0"/>
              <w:snapToGrid w:val="0"/>
              <w:ind w:left="-84" w:leftChars="-40" w:right="-107" w:rightChars="-51"/>
              <w:jc w:val="center"/>
              <w:rPr>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3" w:type="dxa"/>
            <w:vAlign w:val="center"/>
          </w:tcPr>
          <w:p>
            <w:pPr>
              <w:numPr>
                <w:ilvl w:val="0"/>
                <w:numId w:val="6"/>
              </w:numPr>
              <w:tabs>
                <w:tab w:val="left" w:pos="142"/>
              </w:tabs>
              <w:ind w:left="766"/>
              <w:jc w:val="center"/>
              <w:rPr>
                <w:rFonts w:ascii="宋体" w:hAnsi="宋体"/>
                <w:b/>
                <w:color w:val="auto"/>
                <w:highlight w:val="none"/>
              </w:rPr>
            </w:pPr>
          </w:p>
        </w:tc>
        <w:tc>
          <w:tcPr>
            <w:tcW w:w="980" w:type="dxa"/>
            <w:vAlign w:val="center"/>
          </w:tcPr>
          <w:p>
            <w:pPr>
              <w:adjustRightInd w:val="0"/>
              <w:snapToGrid w:val="0"/>
              <w:ind w:left="-84" w:leftChars="-40" w:right="-107" w:rightChars="-51"/>
              <w:jc w:val="center"/>
              <w:rPr>
                <w:b/>
                <w:color w:val="auto"/>
                <w:highlight w:val="none"/>
              </w:rPr>
            </w:pPr>
          </w:p>
        </w:tc>
        <w:tc>
          <w:tcPr>
            <w:tcW w:w="1101" w:type="dxa"/>
            <w:vAlign w:val="center"/>
          </w:tcPr>
          <w:p>
            <w:pPr>
              <w:adjustRightInd w:val="0"/>
              <w:snapToGrid w:val="0"/>
              <w:ind w:left="-84" w:leftChars="-40" w:right="-107" w:rightChars="-51"/>
              <w:jc w:val="center"/>
              <w:rPr>
                <w:b/>
                <w:color w:val="auto"/>
                <w:highlight w:val="none"/>
              </w:rPr>
            </w:pPr>
          </w:p>
        </w:tc>
        <w:tc>
          <w:tcPr>
            <w:tcW w:w="1320" w:type="dxa"/>
            <w:vAlign w:val="center"/>
          </w:tcPr>
          <w:p>
            <w:pPr>
              <w:adjustRightInd w:val="0"/>
              <w:snapToGrid w:val="0"/>
              <w:ind w:left="-84" w:leftChars="-40" w:right="-107" w:rightChars="-51"/>
              <w:jc w:val="center"/>
              <w:rPr>
                <w:b/>
                <w:color w:val="auto"/>
                <w:highlight w:val="none"/>
              </w:rPr>
            </w:pPr>
          </w:p>
        </w:tc>
        <w:tc>
          <w:tcPr>
            <w:tcW w:w="969" w:type="dxa"/>
            <w:vAlign w:val="center"/>
          </w:tcPr>
          <w:p>
            <w:pPr>
              <w:adjustRightInd w:val="0"/>
              <w:snapToGrid w:val="0"/>
              <w:ind w:left="-84" w:leftChars="-40" w:right="-107" w:rightChars="-51"/>
              <w:jc w:val="center"/>
              <w:rPr>
                <w:b/>
                <w:color w:val="auto"/>
                <w:highlight w:val="none"/>
              </w:rPr>
            </w:pPr>
          </w:p>
        </w:tc>
        <w:tc>
          <w:tcPr>
            <w:tcW w:w="1415" w:type="dxa"/>
            <w:vAlign w:val="center"/>
          </w:tcPr>
          <w:p>
            <w:pPr>
              <w:adjustRightInd w:val="0"/>
              <w:snapToGrid w:val="0"/>
              <w:ind w:left="-84" w:leftChars="-40" w:right="-107" w:rightChars="-51"/>
              <w:jc w:val="center"/>
              <w:rPr>
                <w:b/>
                <w:color w:val="auto"/>
                <w:highlight w:val="none"/>
              </w:rPr>
            </w:pPr>
          </w:p>
        </w:tc>
        <w:tc>
          <w:tcPr>
            <w:tcW w:w="1586" w:type="dxa"/>
            <w:vAlign w:val="center"/>
          </w:tcPr>
          <w:p>
            <w:pPr>
              <w:adjustRightInd w:val="0"/>
              <w:snapToGrid w:val="0"/>
              <w:ind w:left="-84" w:leftChars="-40" w:right="-107" w:rightChars="-51"/>
              <w:jc w:val="center"/>
              <w:rPr>
                <w:b/>
                <w:color w:val="auto"/>
                <w:highlight w:val="none"/>
              </w:rPr>
            </w:pPr>
          </w:p>
        </w:tc>
        <w:tc>
          <w:tcPr>
            <w:tcW w:w="1542" w:type="dxa"/>
            <w:vAlign w:val="center"/>
          </w:tcPr>
          <w:p>
            <w:pPr>
              <w:adjustRightInd w:val="0"/>
              <w:snapToGrid w:val="0"/>
              <w:ind w:left="-84" w:leftChars="-40" w:right="-107" w:rightChars="-51"/>
              <w:jc w:val="center"/>
              <w:rPr>
                <w:color w:val="auto"/>
                <w:highlight w:val="none"/>
              </w:rPr>
            </w:pPr>
            <w:r>
              <w:rPr>
                <w:rFonts w:hint="eastAsia"/>
                <w:color w:val="auto"/>
                <w:highlight w:val="none"/>
              </w:rPr>
              <w:t>见第</w:t>
            </w:r>
            <w:r>
              <w:rPr>
                <w:rFonts w:hint="eastAsia"/>
                <w:color w:val="auto"/>
                <w:highlight w:val="none"/>
                <w:u w:val="single"/>
              </w:rPr>
              <w:t xml:space="preserve">   </w:t>
            </w:r>
            <w:r>
              <w:rPr>
                <w:rFonts w:hint="eastAsia"/>
                <w:color w:val="auto"/>
                <w:highlight w:val="none"/>
              </w:rPr>
              <w:t>页</w:t>
            </w:r>
          </w:p>
        </w:tc>
      </w:tr>
    </w:tbl>
    <w:p>
      <w:pPr>
        <w:spacing w:line="360" w:lineRule="auto"/>
        <w:rPr>
          <w:rFonts w:ascii="宋体" w:hAnsi="宋体"/>
          <w:b/>
          <w:color w:val="auto"/>
          <w:szCs w:val="21"/>
          <w:highlight w:val="none"/>
        </w:rPr>
      </w:pPr>
      <w:r>
        <w:rPr>
          <w:rFonts w:hint="eastAsia" w:ascii="宋体" w:hAnsi="宋体"/>
          <w:b/>
          <w:color w:val="auto"/>
          <w:szCs w:val="21"/>
          <w:highlight w:val="none"/>
        </w:rPr>
        <w:t>注：根据评审表的要求提交相应资料，证明文件附后。</w:t>
      </w:r>
    </w:p>
    <w:p>
      <w:pPr>
        <w:adjustRightInd w:val="0"/>
        <w:snapToGrid w:val="0"/>
        <w:spacing w:line="360" w:lineRule="auto"/>
        <w:jc w:val="left"/>
        <w:rPr>
          <w:rFonts w:ascii="宋体" w:hAnsi="宋体"/>
          <w:color w:val="auto"/>
          <w:sz w:val="24"/>
          <w:highlight w:val="none"/>
        </w:rPr>
      </w:pPr>
    </w:p>
    <w:p>
      <w:pPr>
        <w:adjustRightInd w:val="0"/>
        <w:snapToGrid w:val="0"/>
        <w:spacing w:line="360" w:lineRule="auto"/>
        <w:jc w:val="left"/>
        <w:rPr>
          <w:rFonts w:ascii="宋体" w:hAnsi="宋体"/>
          <w:color w:val="auto"/>
          <w:sz w:val="24"/>
          <w:highlight w:val="none"/>
        </w:rPr>
      </w:pPr>
    </w:p>
    <w:p>
      <w:pPr>
        <w:adjustRightInd w:val="0"/>
        <w:snapToGrid w:val="0"/>
        <w:spacing w:line="360" w:lineRule="auto"/>
        <w:jc w:val="left"/>
        <w:rPr>
          <w:rFonts w:ascii="宋体" w:hAnsi="宋体"/>
          <w:color w:val="auto"/>
          <w:sz w:val="24"/>
          <w:highlight w:val="none"/>
        </w:rPr>
      </w:pPr>
    </w:p>
    <w:p>
      <w:pPr>
        <w:pStyle w:val="3"/>
        <w:rPr>
          <w:rFonts w:ascii="宋体" w:hAnsi="宋体"/>
          <w:b/>
          <w:color w:val="auto"/>
          <w:sz w:val="32"/>
          <w:szCs w:val="32"/>
          <w:highlight w:val="none"/>
        </w:rPr>
      </w:pPr>
    </w:p>
    <w:p>
      <w:pPr>
        <w:pStyle w:val="3"/>
        <w:rPr>
          <w:rFonts w:ascii="宋体" w:hAnsi="宋体"/>
          <w:b/>
          <w:color w:val="auto"/>
          <w:sz w:val="32"/>
          <w:szCs w:val="32"/>
          <w:highlight w:val="none"/>
        </w:rPr>
      </w:pPr>
    </w:p>
    <w:p>
      <w:pPr>
        <w:pStyle w:val="3"/>
        <w:rPr>
          <w:rFonts w:ascii="宋体" w:hAnsi="宋体"/>
          <w:b/>
          <w:color w:val="auto"/>
          <w:sz w:val="32"/>
          <w:szCs w:val="32"/>
          <w:highlight w:val="none"/>
        </w:rPr>
      </w:pPr>
    </w:p>
    <w:p>
      <w:pPr>
        <w:pStyle w:val="4"/>
        <w:rPr>
          <w:rFonts w:ascii="宋体" w:hAnsi="宋体"/>
          <w:color w:val="auto"/>
          <w:sz w:val="32"/>
          <w:szCs w:val="32"/>
          <w:highlight w:val="none"/>
        </w:rPr>
      </w:pPr>
    </w:p>
    <w:p>
      <w:pPr>
        <w:rPr>
          <w:color w:val="auto"/>
          <w:highlight w:val="none"/>
        </w:rPr>
      </w:pPr>
    </w:p>
    <w:p>
      <w:pPr>
        <w:rPr>
          <w:rFonts w:ascii="宋体" w:hAnsi="宋体"/>
          <w:b/>
          <w:color w:val="auto"/>
          <w:sz w:val="32"/>
          <w:szCs w:val="32"/>
          <w:highlight w:val="none"/>
        </w:rPr>
      </w:pPr>
      <w:r>
        <w:rPr>
          <w:rFonts w:hint="eastAsia" w:ascii="宋体" w:hAnsi="宋体"/>
          <w:b/>
          <w:color w:val="auto"/>
          <w:sz w:val="32"/>
          <w:szCs w:val="32"/>
          <w:highlight w:val="none"/>
        </w:rPr>
        <w:br w:type="page"/>
      </w:r>
    </w:p>
    <w:p>
      <w:pPr>
        <w:pStyle w:val="6"/>
        <w:jc w:val="both"/>
        <w:rPr>
          <w:rFonts w:ascii="宋体" w:hAnsi="宋体" w:eastAsia="宋体"/>
          <w:color w:val="auto"/>
          <w:highlight w:val="none"/>
        </w:rPr>
      </w:pPr>
      <w:bookmarkStart w:id="2449" w:name="_Toc21525"/>
      <w:bookmarkStart w:id="2450" w:name="_Toc30852"/>
      <w:bookmarkStart w:id="2451" w:name="_Toc437878970"/>
      <w:bookmarkStart w:id="2452" w:name="_Toc16366"/>
      <w:bookmarkStart w:id="2453" w:name="_Toc24306"/>
      <w:bookmarkStart w:id="2454" w:name="_Toc10567"/>
      <w:bookmarkStart w:id="2455" w:name="_Toc19095"/>
      <w:bookmarkStart w:id="2456" w:name="_Toc10726"/>
      <w:bookmarkStart w:id="2457" w:name="_Toc32565"/>
      <w:bookmarkStart w:id="2458" w:name="_Toc6019"/>
      <w:r>
        <w:rPr>
          <w:rFonts w:hint="eastAsia" w:ascii="宋体" w:hAnsi="宋体" w:eastAsia="宋体"/>
          <w:color w:val="auto"/>
          <w:highlight w:val="none"/>
          <w:lang w:val="en-US" w:eastAsia="zh-CN"/>
        </w:rPr>
        <w:t>6</w:t>
      </w:r>
      <w:r>
        <w:rPr>
          <w:rFonts w:hint="eastAsia" w:ascii="宋体" w:hAnsi="宋体" w:eastAsia="宋体"/>
          <w:color w:val="auto"/>
          <w:highlight w:val="none"/>
        </w:rPr>
        <w:t>、本项目人员配置表</w:t>
      </w:r>
      <w:bookmarkEnd w:id="2449"/>
      <w:bookmarkEnd w:id="2450"/>
      <w:bookmarkEnd w:id="2451"/>
      <w:bookmarkEnd w:id="2452"/>
      <w:bookmarkEnd w:id="2453"/>
      <w:bookmarkEnd w:id="2454"/>
      <w:bookmarkEnd w:id="2455"/>
      <w:bookmarkEnd w:id="2456"/>
      <w:bookmarkEnd w:id="2457"/>
      <w:bookmarkEnd w:id="2458"/>
    </w:p>
    <w:p>
      <w:pPr>
        <w:spacing w:line="440" w:lineRule="exact"/>
        <w:rPr>
          <w:rFonts w:eastAsia="黑体"/>
          <w:b/>
          <w:color w:val="auto"/>
          <w:sz w:val="23"/>
          <w:szCs w:val="23"/>
          <w:highlight w:val="none"/>
        </w:rPr>
      </w:pPr>
      <w:r>
        <w:rPr>
          <w:rFonts w:hint="eastAsia"/>
          <w:b/>
          <w:color w:val="auto"/>
          <w:highlight w:val="none"/>
        </w:rPr>
        <w:t>投标人拟针对本项目的人员配置表（介绍项目负责人、全程跟踪服务等主要人员信息）</w:t>
      </w:r>
    </w:p>
    <w:tbl>
      <w:tblPr>
        <w:tblStyle w:val="41"/>
        <w:tblW w:w="10101" w:type="dxa"/>
        <w:tblInd w:w="-7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6"/>
        <w:gridCol w:w="1277"/>
        <w:gridCol w:w="2014"/>
        <w:gridCol w:w="1079"/>
        <w:gridCol w:w="1083"/>
        <w:gridCol w:w="2394"/>
        <w:gridCol w:w="1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9" w:hRule="atLeast"/>
        </w:trPr>
        <w:tc>
          <w:tcPr>
            <w:tcW w:w="686" w:type="dxa"/>
            <w:vAlign w:val="center"/>
          </w:tcPr>
          <w:p>
            <w:pPr>
              <w:pStyle w:val="23"/>
              <w:spacing w:line="360" w:lineRule="auto"/>
              <w:jc w:val="center"/>
              <w:rPr>
                <w:rFonts w:ascii="宋体" w:hAnsi="宋体"/>
                <w:color w:val="auto"/>
                <w:highlight w:val="none"/>
              </w:rPr>
            </w:pPr>
            <w:r>
              <w:rPr>
                <w:rFonts w:hint="eastAsia" w:ascii="宋体" w:hAnsi="宋体"/>
                <w:color w:val="auto"/>
                <w:highlight w:val="none"/>
              </w:rPr>
              <w:t>序号</w:t>
            </w:r>
          </w:p>
        </w:tc>
        <w:tc>
          <w:tcPr>
            <w:tcW w:w="1277" w:type="dxa"/>
            <w:vAlign w:val="center"/>
          </w:tcPr>
          <w:p>
            <w:pPr>
              <w:pStyle w:val="23"/>
              <w:spacing w:line="360" w:lineRule="auto"/>
              <w:jc w:val="center"/>
              <w:rPr>
                <w:rFonts w:ascii="宋体" w:hAnsi="宋体"/>
                <w:color w:val="auto"/>
                <w:highlight w:val="none"/>
              </w:rPr>
            </w:pPr>
            <w:r>
              <w:rPr>
                <w:rFonts w:hint="eastAsia" w:ascii="宋体" w:hAnsi="宋体"/>
                <w:color w:val="auto"/>
                <w:highlight w:val="none"/>
              </w:rPr>
              <w:t>职务</w:t>
            </w:r>
          </w:p>
        </w:tc>
        <w:tc>
          <w:tcPr>
            <w:tcW w:w="2014" w:type="dxa"/>
            <w:vAlign w:val="center"/>
          </w:tcPr>
          <w:p>
            <w:pPr>
              <w:spacing w:line="360" w:lineRule="auto"/>
              <w:jc w:val="center"/>
              <w:rPr>
                <w:rFonts w:ascii="宋体" w:hAnsi="宋体"/>
                <w:color w:val="auto"/>
                <w:highlight w:val="none"/>
              </w:rPr>
            </w:pPr>
            <w:r>
              <w:rPr>
                <w:rFonts w:hint="eastAsia" w:ascii="宋体" w:hAnsi="宋体"/>
                <w:color w:val="auto"/>
                <w:highlight w:val="none"/>
              </w:rPr>
              <w:t>姓名</w:t>
            </w:r>
          </w:p>
        </w:tc>
        <w:tc>
          <w:tcPr>
            <w:tcW w:w="1079" w:type="dxa"/>
            <w:vAlign w:val="center"/>
          </w:tcPr>
          <w:p>
            <w:pPr>
              <w:spacing w:line="360" w:lineRule="auto"/>
              <w:jc w:val="center"/>
              <w:rPr>
                <w:rFonts w:ascii="宋体" w:hAnsi="宋体"/>
                <w:color w:val="auto"/>
                <w:highlight w:val="none"/>
              </w:rPr>
            </w:pPr>
            <w:r>
              <w:rPr>
                <w:rFonts w:hint="eastAsia" w:ascii="宋体" w:hAnsi="宋体"/>
                <w:color w:val="auto"/>
                <w:highlight w:val="none"/>
              </w:rPr>
              <w:t>公司职务</w:t>
            </w:r>
          </w:p>
        </w:tc>
        <w:tc>
          <w:tcPr>
            <w:tcW w:w="1083" w:type="dxa"/>
            <w:vAlign w:val="center"/>
          </w:tcPr>
          <w:p>
            <w:pPr>
              <w:spacing w:line="360" w:lineRule="auto"/>
              <w:jc w:val="center"/>
              <w:rPr>
                <w:rFonts w:ascii="宋体" w:hAnsi="宋体"/>
                <w:color w:val="auto"/>
                <w:highlight w:val="none"/>
              </w:rPr>
            </w:pPr>
            <w:r>
              <w:rPr>
                <w:rFonts w:hint="eastAsia" w:ascii="宋体" w:hAnsi="宋体"/>
                <w:color w:val="auto"/>
                <w:highlight w:val="none"/>
              </w:rPr>
              <w:t>岗位职责</w:t>
            </w:r>
          </w:p>
        </w:tc>
        <w:tc>
          <w:tcPr>
            <w:tcW w:w="2394" w:type="dxa"/>
            <w:vAlign w:val="center"/>
          </w:tcPr>
          <w:p>
            <w:pPr>
              <w:spacing w:line="360" w:lineRule="auto"/>
              <w:jc w:val="center"/>
              <w:rPr>
                <w:rFonts w:ascii="宋体" w:hAnsi="宋体"/>
                <w:color w:val="auto"/>
                <w:highlight w:val="none"/>
              </w:rPr>
            </w:pPr>
            <w:r>
              <w:rPr>
                <w:rFonts w:hint="eastAsia" w:ascii="宋体" w:hAnsi="宋体"/>
                <w:color w:val="auto"/>
                <w:highlight w:val="none"/>
              </w:rPr>
              <w:t>联系方式</w:t>
            </w:r>
          </w:p>
        </w:tc>
        <w:tc>
          <w:tcPr>
            <w:tcW w:w="1568" w:type="dxa"/>
            <w:vAlign w:val="center"/>
          </w:tcPr>
          <w:p>
            <w:pPr>
              <w:spacing w:line="360" w:lineRule="auto"/>
              <w:jc w:val="center"/>
              <w:rPr>
                <w:rFonts w:ascii="宋体" w:hAnsi="宋体"/>
                <w:color w:val="auto"/>
                <w:highlight w:val="none"/>
              </w:rPr>
            </w:pPr>
            <w:r>
              <w:rPr>
                <w:rFonts w:hint="eastAsia" w:ascii="宋体" w:hAnsi="宋体"/>
                <w:color w:val="auto"/>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9" w:hRule="atLeast"/>
        </w:trPr>
        <w:tc>
          <w:tcPr>
            <w:tcW w:w="686" w:type="dxa"/>
            <w:vAlign w:val="center"/>
          </w:tcPr>
          <w:p>
            <w:pPr>
              <w:spacing w:line="360" w:lineRule="auto"/>
              <w:jc w:val="center"/>
              <w:rPr>
                <w:rFonts w:ascii="宋体" w:hAnsi="宋体"/>
                <w:color w:val="auto"/>
                <w:highlight w:val="none"/>
              </w:rPr>
            </w:pPr>
            <w:r>
              <w:rPr>
                <w:rFonts w:hint="eastAsia" w:ascii="宋体" w:hAnsi="宋体"/>
                <w:color w:val="auto"/>
                <w:highlight w:val="none"/>
              </w:rPr>
              <w:t>1</w:t>
            </w:r>
          </w:p>
        </w:tc>
        <w:tc>
          <w:tcPr>
            <w:tcW w:w="1277" w:type="dxa"/>
            <w:vAlign w:val="center"/>
          </w:tcPr>
          <w:p>
            <w:pPr>
              <w:spacing w:line="360" w:lineRule="auto"/>
              <w:jc w:val="center"/>
              <w:rPr>
                <w:rFonts w:ascii="宋体" w:hAnsi="宋体"/>
                <w:color w:val="auto"/>
                <w:highlight w:val="none"/>
              </w:rPr>
            </w:pPr>
            <w:r>
              <w:rPr>
                <w:rFonts w:hint="eastAsia" w:ascii="宋体" w:hAnsi="宋体"/>
                <w:color w:val="auto"/>
                <w:highlight w:val="none"/>
              </w:rPr>
              <w:t>项目负责人</w:t>
            </w:r>
          </w:p>
        </w:tc>
        <w:tc>
          <w:tcPr>
            <w:tcW w:w="2014" w:type="dxa"/>
            <w:vAlign w:val="center"/>
          </w:tcPr>
          <w:p>
            <w:pPr>
              <w:spacing w:line="360" w:lineRule="auto"/>
              <w:ind w:firstLine="420" w:firstLineChars="200"/>
              <w:rPr>
                <w:rFonts w:ascii="宋体" w:hAnsi="宋体"/>
                <w:color w:val="auto"/>
                <w:highlight w:val="none"/>
              </w:rPr>
            </w:pPr>
          </w:p>
        </w:tc>
        <w:tc>
          <w:tcPr>
            <w:tcW w:w="1079" w:type="dxa"/>
            <w:vAlign w:val="center"/>
          </w:tcPr>
          <w:p>
            <w:pPr>
              <w:spacing w:line="360" w:lineRule="auto"/>
              <w:ind w:firstLine="420" w:firstLineChars="200"/>
              <w:rPr>
                <w:rFonts w:ascii="宋体" w:hAnsi="宋体"/>
                <w:color w:val="auto"/>
                <w:highlight w:val="none"/>
              </w:rPr>
            </w:pPr>
          </w:p>
        </w:tc>
        <w:tc>
          <w:tcPr>
            <w:tcW w:w="1083" w:type="dxa"/>
            <w:vAlign w:val="center"/>
          </w:tcPr>
          <w:p>
            <w:pPr>
              <w:spacing w:line="360" w:lineRule="auto"/>
              <w:ind w:firstLine="420" w:firstLineChars="200"/>
              <w:rPr>
                <w:rFonts w:ascii="宋体" w:hAnsi="宋体"/>
                <w:color w:val="auto"/>
                <w:highlight w:val="none"/>
              </w:rPr>
            </w:pPr>
          </w:p>
        </w:tc>
        <w:tc>
          <w:tcPr>
            <w:tcW w:w="2394" w:type="dxa"/>
            <w:vAlign w:val="center"/>
          </w:tcPr>
          <w:p>
            <w:pPr>
              <w:spacing w:line="360" w:lineRule="auto"/>
              <w:ind w:firstLine="420" w:firstLineChars="200"/>
              <w:rPr>
                <w:rFonts w:ascii="宋体" w:hAnsi="宋体"/>
                <w:color w:val="auto"/>
                <w:highlight w:val="none"/>
              </w:rPr>
            </w:pPr>
          </w:p>
        </w:tc>
        <w:tc>
          <w:tcPr>
            <w:tcW w:w="1568"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86" w:type="dxa"/>
            <w:vMerge w:val="restart"/>
            <w:vAlign w:val="center"/>
          </w:tcPr>
          <w:p>
            <w:pPr>
              <w:spacing w:line="360" w:lineRule="auto"/>
              <w:jc w:val="center"/>
              <w:rPr>
                <w:rFonts w:ascii="宋体" w:hAnsi="宋体"/>
                <w:color w:val="auto"/>
                <w:highlight w:val="none"/>
              </w:rPr>
            </w:pPr>
            <w:r>
              <w:rPr>
                <w:rFonts w:hint="eastAsia" w:ascii="宋体" w:hAnsi="宋体"/>
                <w:color w:val="auto"/>
                <w:highlight w:val="none"/>
              </w:rPr>
              <w:t>2</w:t>
            </w:r>
          </w:p>
        </w:tc>
        <w:tc>
          <w:tcPr>
            <w:tcW w:w="1277" w:type="dxa"/>
            <w:vMerge w:val="restart"/>
            <w:vAlign w:val="center"/>
          </w:tcPr>
          <w:p>
            <w:pPr>
              <w:spacing w:line="360" w:lineRule="auto"/>
              <w:jc w:val="center"/>
              <w:rPr>
                <w:rFonts w:ascii="宋体" w:hAnsi="宋体"/>
                <w:color w:val="auto"/>
                <w:highlight w:val="none"/>
              </w:rPr>
            </w:pPr>
            <w:r>
              <w:rPr>
                <w:rFonts w:hint="eastAsia" w:ascii="宋体" w:hAnsi="宋体"/>
                <w:color w:val="auto"/>
                <w:highlight w:val="none"/>
              </w:rPr>
              <w:t>其他人员</w:t>
            </w:r>
          </w:p>
        </w:tc>
        <w:tc>
          <w:tcPr>
            <w:tcW w:w="2014" w:type="dxa"/>
            <w:vAlign w:val="center"/>
          </w:tcPr>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w:t>
            </w:r>
          </w:p>
        </w:tc>
        <w:tc>
          <w:tcPr>
            <w:tcW w:w="1079" w:type="dxa"/>
            <w:vAlign w:val="center"/>
          </w:tcPr>
          <w:p>
            <w:pPr>
              <w:spacing w:line="360" w:lineRule="auto"/>
              <w:ind w:firstLine="420" w:firstLineChars="200"/>
              <w:rPr>
                <w:rFonts w:ascii="宋体" w:hAnsi="宋体"/>
                <w:color w:val="auto"/>
                <w:highlight w:val="none"/>
              </w:rPr>
            </w:pPr>
          </w:p>
        </w:tc>
        <w:tc>
          <w:tcPr>
            <w:tcW w:w="1083" w:type="dxa"/>
            <w:vAlign w:val="center"/>
          </w:tcPr>
          <w:p>
            <w:pPr>
              <w:spacing w:line="360" w:lineRule="auto"/>
              <w:ind w:firstLine="420" w:firstLineChars="200"/>
              <w:rPr>
                <w:rFonts w:ascii="宋体" w:hAnsi="宋体"/>
                <w:color w:val="auto"/>
                <w:highlight w:val="none"/>
              </w:rPr>
            </w:pPr>
          </w:p>
        </w:tc>
        <w:tc>
          <w:tcPr>
            <w:tcW w:w="2394" w:type="dxa"/>
            <w:vAlign w:val="center"/>
          </w:tcPr>
          <w:p>
            <w:pPr>
              <w:spacing w:line="360" w:lineRule="auto"/>
              <w:ind w:firstLine="420" w:firstLineChars="200"/>
              <w:rPr>
                <w:rFonts w:ascii="宋体" w:hAnsi="宋体"/>
                <w:color w:val="auto"/>
                <w:highlight w:val="none"/>
              </w:rPr>
            </w:pPr>
          </w:p>
        </w:tc>
        <w:tc>
          <w:tcPr>
            <w:tcW w:w="1568"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686" w:type="dxa"/>
            <w:vMerge w:val="continue"/>
            <w:vAlign w:val="center"/>
          </w:tcPr>
          <w:p>
            <w:pPr>
              <w:spacing w:line="360" w:lineRule="auto"/>
              <w:jc w:val="center"/>
              <w:rPr>
                <w:rFonts w:ascii="宋体" w:hAnsi="宋体"/>
                <w:color w:val="auto"/>
                <w:highlight w:val="none"/>
              </w:rPr>
            </w:pPr>
          </w:p>
        </w:tc>
        <w:tc>
          <w:tcPr>
            <w:tcW w:w="1277" w:type="dxa"/>
            <w:vMerge w:val="continue"/>
            <w:vAlign w:val="center"/>
          </w:tcPr>
          <w:p>
            <w:pPr>
              <w:spacing w:line="360" w:lineRule="auto"/>
              <w:jc w:val="center"/>
              <w:rPr>
                <w:rFonts w:ascii="宋体" w:hAnsi="宋体"/>
                <w:color w:val="auto"/>
                <w:highlight w:val="none"/>
              </w:rPr>
            </w:pPr>
          </w:p>
        </w:tc>
        <w:tc>
          <w:tcPr>
            <w:tcW w:w="2014" w:type="dxa"/>
            <w:vAlign w:val="center"/>
          </w:tcPr>
          <w:p>
            <w:pPr>
              <w:spacing w:line="360" w:lineRule="auto"/>
              <w:ind w:firstLine="420" w:firstLineChars="200"/>
              <w:rPr>
                <w:rFonts w:ascii="宋体" w:hAnsi="宋体"/>
                <w:color w:val="auto"/>
                <w:highlight w:val="none"/>
              </w:rPr>
            </w:pPr>
            <w:r>
              <w:rPr>
                <w:rFonts w:ascii="宋体" w:hAnsi="宋体"/>
                <w:color w:val="auto"/>
                <w:highlight w:val="none"/>
              </w:rPr>
              <w:t>…</w:t>
            </w:r>
            <w:r>
              <w:rPr>
                <w:rFonts w:hint="eastAsia" w:ascii="宋体" w:hAnsi="宋体"/>
                <w:color w:val="auto"/>
                <w:highlight w:val="none"/>
              </w:rPr>
              <w:t>.</w:t>
            </w:r>
          </w:p>
        </w:tc>
        <w:tc>
          <w:tcPr>
            <w:tcW w:w="1079" w:type="dxa"/>
            <w:vAlign w:val="center"/>
          </w:tcPr>
          <w:p>
            <w:pPr>
              <w:spacing w:line="360" w:lineRule="auto"/>
              <w:ind w:firstLine="420" w:firstLineChars="200"/>
              <w:rPr>
                <w:rFonts w:ascii="宋体" w:hAnsi="宋体"/>
                <w:color w:val="auto"/>
                <w:highlight w:val="none"/>
              </w:rPr>
            </w:pPr>
          </w:p>
        </w:tc>
        <w:tc>
          <w:tcPr>
            <w:tcW w:w="1083" w:type="dxa"/>
            <w:vAlign w:val="center"/>
          </w:tcPr>
          <w:p>
            <w:pPr>
              <w:spacing w:line="360" w:lineRule="auto"/>
              <w:ind w:firstLine="420" w:firstLineChars="200"/>
              <w:rPr>
                <w:rFonts w:ascii="宋体" w:hAnsi="宋体"/>
                <w:color w:val="auto"/>
                <w:highlight w:val="none"/>
              </w:rPr>
            </w:pPr>
          </w:p>
        </w:tc>
        <w:tc>
          <w:tcPr>
            <w:tcW w:w="2394" w:type="dxa"/>
            <w:vAlign w:val="center"/>
          </w:tcPr>
          <w:p>
            <w:pPr>
              <w:spacing w:line="360" w:lineRule="auto"/>
              <w:ind w:firstLine="420" w:firstLineChars="200"/>
              <w:rPr>
                <w:rFonts w:ascii="宋体" w:hAnsi="宋体"/>
                <w:color w:val="auto"/>
                <w:highlight w:val="none"/>
              </w:rPr>
            </w:pPr>
          </w:p>
        </w:tc>
        <w:tc>
          <w:tcPr>
            <w:tcW w:w="1568" w:type="dxa"/>
            <w:vAlign w:val="center"/>
          </w:tcPr>
          <w:p>
            <w:pPr>
              <w:spacing w:line="360" w:lineRule="auto"/>
              <w:ind w:firstLine="420" w:firstLineChars="200"/>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Pr>
        <w:tc>
          <w:tcPr>
            <w:tcW w:w="10101" w:type="dxa"/>
            <w:gridSpan w:val="7"/>
            <w:vAlign w:val="center"/>
          </w:tcPr>
          <w:p>
            <w:pPr>
              <w:spacing w:line="360" w:lineRule="auto"/>
              <w:ind w:firstLine="420" w:firstLineChars="200"/>
              <w:rPr>
                <w:rFonts w:ascii="宋体" w:hAnsi="宋体"/>
                <w:color w:val="auto"/>
                <w:highlight w:val="none"/>
              </w:rPr>
            </w:pPr>
            <w:r>
              <w:rPr>
                <w:rFonts w:hint="eastAsia" w:ascii="宋体" w:hAnsi="宋体"/>
                <w:color w:val="auto"/>
                <w:highlight w:val="none"/>
              </w:rPr>
              <w:t>表格可扩展。</w:t>
            </w:r>
          </w:p>
        </w:tc>
      </w:tr>
    </w:tbl>
    <w:p>
      <w:pPr>
        <w:pStyle w:val="3"/>
        <w:rPr>
          <w:color w:val="auto"/>
          <w:highlight w:val="none"/>
        </w:rPr>
      </w:pPr>
    </w:p>
    <w:p>
      <w:pPr>
        <w:tabs>
          <w:tab w:val="left" w:pos="1020"/>
        </w:tabs>
        <w:rPr>
          <w:rFonts w:ascii="宋体" w:hAnsi="宋体"/>
          <w:b/>
          <w:color w:val="auto"/>
          <w:sz w:val="32"/>
          <w:szCs w:val="32"/>
          <w:highlight w:val="none"/>
        </w:rPr>
      </w:pPr>
      <w:r>
        <w:rPr>
          <w:rFonts w:hint="eastAsia" w:ascii="宋体" w:hAnsi="宋体"/>
          <w:b/>
          <w:color w:val="auto"/>
          <w:sz w:val="32"/>
          <w:szCs w:val="32"/>
          <w:highlight w:val="none"/>
        </w:rPr>
        <w:t>附件：1</w:t>
      </w:r>
      <w:r>
        <w:rPr>
          <w:rFonts w:hint="eastAsia" w:ascii="宋体" w:hAnsi="宋体"/>
          <w:b/>
          <w:color w:val="auto"/>
          <w:sz w:val="32"/>
          <w:szCs w:val="32"/>
          <w:highlight w:val="none"/>
          <w:lang w:val="en-US" w:eastAsia="zh-CN"/>
        </w:rPr>
        <w:t>.</w:t>
      </w:r>
      <w:r>
        <w:rPr>
          <w:rFonts w:hint="eastAsia" w:ascii="宋体" w:hAnsi="宋体"/>
          <w:b/>
          <w:color w:val="auto"/>
          <w:sz w:val="32"/>
          <w:szCs w:val="32"/>
          <w:highlight w:val="none"/>
          <w:lang w:eastAsia="zh-CN"/>
        </w:rPr>
        <w:t>南方优品纸箱设计图</w:t>
      </w:r>
    </w:p>
    <w:p>
      <w:pPr>
        <w:tabs>
          <w:tab w:val="left" w:pos="1020"/>
        </w:tabs>
        <w:ind w:firstLine="964" w:firstLineChars="300"/>
        <w:rPr>
          <w:rFonts w:hint="eastAsia" w:ascii="宋体" w:hAnsi="宋体" w:eastAsia="宋体"/>
          <w:b/>
          <w:color w:val="auto"/>
          <w:sz w:val="32"/>
          <w:szCs w:val="32"/>
          <w:highlight w:val="none"/>
          <w:lang w:eastAsia="zh-CN"/>
        </w:rPr>
      </w:pPr>
      <w:r>
        <w:rPr>
          <w:rFonts w:ascii="宋体" w:hAnsi="宋体"/>
          <w:b/>
          <w:color w:val="auto"/>
          <w:sz w:val="32"/>
          <w:szCs w:val="32"/>
          <w:highlight w:val="none"/>
        </w:rPr>
        <w:t>2</w:t>
      </w:r>
      <w:r>
        <w:rPr>
          <w:rFonts w:hint="eastAsia" w:ascii="宋体" w:hAnsi="宋体"/>
          <w:b/>
          <w:color w:val="auto"/>
          <w:sz w:val="32"/>
          <w:szCs w:val="32"/>
          <w:highlight w:val="none"/>
          <w:lang w:val="en-US" w:eastAsia="zh-CN"/>
        </w:rPr>
        <w:t>.</w:t>
      </w:r>
      <w:r>
        <w:rPr>
          <w:rFonts w:hint="eastAsia" w:ascii="宋体" w:hAnsi="宋体"/>
          <w:b/>
          <w:color w:val="auto"/>
          <w:sz w:val="32"/>
          <w:szCs w:val="32"/>
          <w:highlight w:val="none"/>
          <w:lang w:eastAsia="zh-CN"/>
        </w:rPr>
        <w:t>投标报价表</w:t>
      </w:r>
    </w:p>
    <w:bookmarkEnd w:id="2442"/>
    <w:bookmarkEnd w:id="2443"/>
    <w:bookmarkEnd w:id="2444"/>
    <w:bookmarkEnd w:id="2445"/>
    <w:bookmarkEnd w:id="2446"/>
    <w:bookmarkEnd w:id="2447"/>
    <w:bookmarkEnd w:id="2448"/>
    <w:p>
      <w:pPr>
        <w:rPr>
          <w:color w:val="auto"/>
          <w:highlight w:val="none"/>
        </w:rPr>
      </w:pPr>
    </w:p>
    <w:p>
      <w:pPr>
        <w:rPr>
          <w:color w:val="auto"/>
          <w:highlight w:val="none"/>
        </w:rPr>
      </w:pPr>
    </w:p>
    <w:p>
      <w:pPr>
        <w:rPr>
          <w:rFonts w:ascii="宋体" w:hAnsi="宋体" w:cs="宋体"/>
          <w:color w:val="auto"/>
          <w:sz w:val="32"/>
          <w:szCs w:val="21"/>
          <w:highlight w:val="none"/>
        </w:rPr>
      </w:pPr>
    </w:p>
    <w:sectPr>
      <w:pgSz w:w="11906" w:h="16838"/>
      <w:pgMar w:top="1100" w:right="1797" w:bottom="703"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昆仑楷体">
    <w:altName w:val="黑体"/>
    <w:panose1 w:val="00000000000000000000"/>
    <w:charset w:val="86"/>
    <w:family w:val="modern"/>
    <w:pitch w:val="default"/>
    <w:sig w:usb0="00000000" w:usb1="00000000" w:usb2="00000010" w:usb3="00000000" w:csb0="00040000" w:csb1="00000000"/>
  </w:font>
  <w:font w:name="PingFang SC">
    <w:altName w:val="Segoe Print"/>
    <w:panose1 w:val="00000000000000000000"/>
    <w:charset w:val="00"/>
    <w:family w:val="auto"/>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20</w:t>
    </w:r>
    <w:r>
      <w:rPr>
        <w:kern w:val="0"/>
        <w:szCs w:val="21"/>
      </w:rPr>
      <w:fldChar w:fldCharType="end"/>
    </w:r>
    <w:r>
      <w:rPr>
        <w:kern w:val="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rPr>
        <w:rStyle w:val="45"/>
      </w:rPr>
      <w:instrText xml:space="preserve"> PAGE </w:instrText>
    </w:r>
    <w:r>
      <w:fldChar w:fldCharType="separate"/>
    </w:r>
    <w:r>
      <w:rPr>
        <w:rStyle w:val="45"/>
      </w:rPr>
      <w:t>44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5"/>
      </w:rPr>
    </w:pPr>
    <w:r>
      <w:fldChar w:fldCharType="begin"/>
    </w:r>
    <w:r>
      <w:rPr>
        <w:rStyle w:val="45"/>
      </w:rPr>
      <w:instrText xml:space="preserve">PAGE  </w:instrText>
    </w:r>
    <w:r>
      <w:fldChar w:fldCharType="end"/>
    </w:r>
  </w:p>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6319FB"/>
    <w:multiLevelType w:val="singleLevel"/>
    <w:tmpl w:val="096319FB"/>
    <w:lvl w:ilvl="0" w:tentative="0">
      <w:start w:val="1"/>
      <w:numFmt w:val="chineseCounting"/>
      <w:suff w:val="nothing"/>
      <w:lvlText w:val="%1、"/>
      <w:lvlJc w:val="left"/>
      <w:rPr>
        <w:rFonts w:hint="eastAsia"/>
      </w:rPr>
    </w:lvl>
  </w:abstractNum>
  <w:abstractNum w:abstractNumId="1">
    <w:nsid w:val="1BB234D7"/>
    <w:multiLevelType w:val="multilevel"/>
    <w:tmpl w:val="1BB234D7"/>
    <w:lvl w:ilvl="0" w:tentative="0">
      <w:start w:val="1"/>
      <w:numFmt w:val="decimal"/>
      <w:lvlText w:val="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DCA0931"/>
    <w:multiLevelType w:val="multilevel"/>
    <w:tmpl w:val="1DCA0931"/>
    <w:lvl w:ilvl="0" w:tentative="0">
      <w:start w:val="1"/>
      <w:numFmt w:val="decimal"/>
      <w:lvlText w:val="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34649CF"/>
    <w:multiLevelType w:val="multilevel"/>
    <w:tmpl w:val="334649CF"/>
    <w:lvl w:ilvl="0" w:tentative="0">
      <w:start w:val="1"/>
      <w:numFmt w:val="decimal"/>
      <w:lvlText w:val="%1."/>
      <w:lvlJc w:val="center"/>
      <w:pPr>
        <w:ind w:left="624" w:hanging="624"/>
      </w:pPr>
      <w:rPr>
        <w:rFonts w:hint="eastAsia" w:ascii="宋体" w:hAnsi="宋体" w:eastAsia="宋体"/>
        <w:b w:val="0"/>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3530C51"/>
    <w:multiLevelType w:val="multilevel"/>
    <w:tmpl w:val="43530C51"/>
    <w:lvl w:ilvl="0" w:tentative="0">
      <w:start w:val="1"/>
      <w:numFmt w:val="decimal"/>
      <w:lvlText w:val="4.%1"/>
      <w:lvlJc w:val="left"/>
      <w:pPr>
        <w:ind w:left="846" w:hanging="420"/>
      </w:pPr>
      <w:rPr>
        <w:rFonts w:hint="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5">
    <w:nsid w:val="52ED0E0F"/>
    <w:multiLevelType w:val="multilevel"/>
    <w:tmpl w:val="52ED0E0F"/>
    <w:lvl w:ilvl="0" w:tentative="0">
      <w:start w:val="1"/>
      <w:numFmt w:val="decimal"/>
      <w:lvlText w:val="3.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3A5"/>
    <w:rsid w:val="00000799"/>
    <w:rsid w:val="00004C98"/>
    <w:rsid w:val="0000685B"/>
    <w:rsid w:val="00010C57"/>
    <w:rsid w:val="00010CDE"/>
    <w:rsid w:val="0001359A"/>
    <w:rsid w:val="00016706"/>
    <w:rsid w:val="00016EEE"/>
    <w:rsid w:val="000203E6"/>
    <w:rsid w:val="0002109A"/>
    <w:rsid w:val="00023088"/>
    <w:rsid w:val="000232DB"/>
    <w:rsid w:val="00024332"/>
    <w:rsid w:val="0002600B"/>
    <w:rsid w:val="000320E0"/>
    <w:rsid w:val="00035ADD"/>
    <w:rsid w:val="00037ACD"/>
    <w:rsid w:val="0004019C"/>
    <w:rsid w:val="00041E87"/>
    <w:rsid w:val="00042417"/>
    <w:rsid w:val="0004599F"/>
    <w:rsid w:val="000467F5"/>
    <w:rsid w:val="00047EB9"/>
    <w:rsid w:val="00051E28"/>
    <w:rsid w:val="00056E92"/>
    <w:rsid w:val="00070DD5"/>
    <w:rsid w:val="00075E94"/>
    <w:rsid w:val="000773D5"/>
    <w:rsid w:val="00080BD2"/>
    <w:rsid w:val="00090CD6"/>
    <w:rsid w:val="00090DCE"/>
    <w:rsid w:val="00091A79"/>
    <w:rsid w:val="00094793"/>
    <w:rsid w:val="00097AF9"/>
    <w:rsid w:val="000A0B9C"/>
    <w:rsid w:val="000A0F18"/>
    <w:rsid w:val="000A1A1E"/>
    <w:rsid w:val="000A48A3"/>
    <w:rsid w:val="000A76D4"/>
    <w:rsid w:val="000C03C3"/>
    <w:rsid w:val="000C20ED"/>
    <w:rsid w:val="000C72D9"/>
    <w:rsid w:val="000C7F99"/>
    <w:rsid w:val="000E43EA"/>
    <w:rsid w:val="000E6443"/>
    <w:rsid w:val="000E72FB"/>
    <w:rsid w:val="000E736F"/>
    <w:rsid w:val="000F4302"/>
    <w:rsid w:val="00101FC4"/>
    <w:rsid w:val="00113ED4"/>
    <w:rsid w:val="00114C12"/>
    <w:rsid w:val="00120BA2"/>
    <w:rsid w:val="001215DC"/>
    <w:rsid w:val="00121657"/>
    <w:rsid w:val="0012292A"/>
    <w:rsid w:val="00123A87"/>
    <w:rsid w:val="00126BEE"/>
    <w:rsid w:val="001270EC"/>
    <w:rsid w:val="0013064C"/>
    <w:rsid w:val="0013412C"/>
    <w:rsid w:val="00134B67"/>
    <w:rsid w:val="00137333"/>
    <w:rsid w:val="00141FDA"/>
    <w:rsid w:val="0014295D"/>
    <w:rsid w:val="00143D98"/>
    <w:rsid w:val="00143EA8"/>
    <w:rsid w:val="001467CA"/>
    <w:rsid w:val="00146E26"/>
    <w:rsid w:val="00152BD7"/>
    <w:rsid w:val="00154274"/>
    <w:rsid w:val="00156EC2"/>
    <w:rsid w:val="00157F0C"/>
    <w:rsid w:val="00172A27"/>
    <w:rsid w:val="00172D89"/>
    <w:rsid w:val="00172F8B"/>
    <w:rsid w:val="00176046"/>
    <w:rsid w:val="00176103"/>
    <w:rsid w:val="00177A7A"/>
    <w:rsid w:val="00177EC0"/>
    <w:rsid w:val="00182049"/>
    <w:rsid w:val="001845EF"/>
    <w:rsid w:val="00186320"/>
    <w:rsid w:val="001866A2"/>
    <w:rsid w:val="00194A29"/>
    <w:rsid w:val="001A0294"/>
    <w:rsid w:val="001A45C2"/>
    <w:rsid w:val="001B3272"/>
    <w:rsid w:val="001B4C02"/>
    <w:rsid w:val="001C24D2"/>
    <w:rsid w:val="001C5D38"/>
    <w:rsid w:val="001D2F6C"/>
    <w:rsid w:val="001D5630"/>
    <w:rsid w:val="001E1258"/>
    <w:rsid w:val="001F125C"/>
    <w:rsid w:val="001F213A"/>
    <w:rsid w:val="001F2242"/>
    <w:rsid w:val="00200222"/>
    <w:rsid w:val="002010B0"/>
    <w:rsid w:val="00202170"/>
    <w:rsid w:val="002036FA"/>
    <w:rsid w:val="002040CB"/>
    <w:rsid w:val="002043B4"/>
    <w:rsid w:val="0020597A"/>
    <w:rsid w:val="00207C8B"/>
    <w:rsid w:val="002100BE"/>
    <w:rsid w:val="002143A9"/>
    <w:rsid w:val="002153B1"/>
    <w:rsid w:val="0022269C"/>
    <w:rsid w:val="002276C5"/>
    <w:rsid w:val="002314CC"/>
    <w:rsid w:val="00231CD3"/>
    <w:rsid w:val="00232DAF"/>
    <w:rsid w:val="002345C8"/>
    <w:rsid w:val="00240756"/>
    <w:rsid w:val="00243A8B"/>
    <w:rsid w:val="00243FAA"/>
    <w:rsid w:val="00245CAC"/>
    <w:rsid w:val="00250481"/>
    <w:rsid w:val="00255441"/>
    <w:rsid w:val="00257984"/>
    <w:rsid w:val="00261743"/>
    <w:rsid w:val="00270860"/>
    <w:rsid w:val="00274716"/>
    <w:rsid w:val="0027671F"/>
    <w:rsid w:val="00277CD9"/>
    <w:rsid w:val="002816DD"/>
    <w:rsid w:val="002856B8"/>
    <w:rsid w:val="00290E1D"/>
    <w:rsid w:val="00297FC8"/>
    <w:rsid w:val="002A5579"/>
    <w:rsid w:val="002A5ED3"/>
    <w:rsid w:val="002B08B5"/>
    <w:rsid w:val="002B3FD6"/>
    <w:rsid w:val="002B4265"/>
    <w:rsid w:val="002B79EB"/>
    <w:rsid w:val="002C19ED"/>
    <w:rsid w:val="002E1B0E"/>
    <w:rsid w:val="002E44F4"/>
    <w:rsid w:val="002E6060"/>
    <w:rsid w:val="002E70BA"/>
    <w:rsid w:val="002F0235"/>
    <w:rsid w:val="002F04DC"/>
    <w:rsid w:val="002F4DCE"/>
    <w:rsid w:val="002F5143"/>
    <w:rsid w:val="002F658D"/>
    <w:rsid w:val="002F7877"/>
    <w:rsid w:val="003042C5"/>
    <w:rsid w:val="00314686"/>
    <w:rsid w:val="00324240"/>
    <w:rsid w:val="00335CD1"/>
    <w:rsid w:val="00336F51"/>
    <w:rsid w:val="0034283A"/>
    <w:rsid w:val="00351944"/>
    <w:rsid w:val="003531BE"/>
    <w:rsid w:val="0035347C"/>
    <w:rsid w:val="00354C7B"/>
    <w:rsid w:val="00360265"/>
    <w:rsid w:val="00361903"/>
    <w:rsid w:val="00361F6D"/>
    <w:rsid w:val="00367F7E"/>
    <w:rsid w:val="00375DA3"/>
    <w:rsid w:val="00380359"/>
    <w:rsid w:val="00381AA9"/>
    <w:rsid w:val="0038355B"/>
    <w:rsid w:val="00385FBE"/>
    <w:rsid w:val="003879AC"/>
    <w:rsid w:val="0039067D"/>
    <w:rsid w:val="00391D50"/>
    <w:rsid w:val="003A1D4E"/>
    <w:rsid w:val="003B170F"/>
    <w:rsid w:val="003B4B63"/>
    <w:rsid w:val="003C20DB"/>
    <w:rsid w:val="003D09F7"/>
    <w:rsid w:val="003D2F54"/>
    <w:rsid w:val="003D506F"/>
    <w:rsid w:val="003D7999"/>
    <w:rsid w:val="003D7C63"/>
    <w:rsid w:val="003E020D"/>
    <w:rsid w:val="003E1E00"/>
    <w:rsid w:val="003E26B1"/>
    <w:rsid w:val="003E2D43"/>
    <w:rsid w:val="003E58E7"/>
    <w:rsid w:val="003E617B"/>
    <w:rsid w:val="003E740C"/>
    <w:rsid w:val="003F0E7E"/>
    <w:rsid w:val="00401144"/>
    <w:rsid w:val="00402826"/>
    <w:rsid w:val="00403866"/>
    <w:rsid w:val="00415427"/>
    <w:rsid w:val="00422944"/>
    <w:rsid w:val="00422995"/>
    <w:rsid w:val="00431A40"/>
    <w:rsid w:val="00435961"/>
    <w:rsid w:val="00444EC7"/>
    <w:rsid w:val="004536E2"/>
    <w:rsid w:val="00454F17"/>
    <w:rsid w:val="004553DD"/>
    <w:rsid w:val="004572BC"/>
    <w:rsid w:val="00460A9B"/>
    <w:rsid w:val="00462111"/>
    <w:rsid w:val="00462CFD"/>
    <w:rsid w:val="00463280"/>
    <w:rsid w:val="00464DA2"/>
    <w:rsid w:val="00464E05"/>
    <w:rsid w:val="00464F12"/>
    <w:rsid w:val="00465939"/>
    <w:rsid w:val="00471103"/>
    <w:rsid w:val="004721C9"/>
    <w:rsid w:val="004724B9"/>
    <w:rsid w:val="004777F7"/>
    <w:rsid w:val="00477FCA"/>
    <w:rsid w:val="0048323F"/>
    <w:rsid w:val="0048574A"/>
    <w:rsid w:val="00487CB0"/>
    <w:rsid w:val="00487F1B"/>
    <w:rsid w:val="004902A1"/>
    <w:rsid w:val="0049132E"/>
    <w:rsid w:val="00491760"/>
    <w:rsid w:val="00497C8B"/>
    <w:rsid w:val="004A0DC7"/>
    <w:rsid w:val="004A2518"/>
    <w:rsid w:val="004A259D"/>
    <w:rsid w:val="004A5D14"/>
    <w:rsid w:val="004A7909"/>
    <w:rsid w:val="004D665F"/>
    <w:rsid w:val="004E03DC"/>
    <w:rsid w:val="004E08C7"/>
    <w:rsid w:val="004E1A09"/>
    <w:rsid w:val="004E2CC3"/>
    <w:rsid w:val="004E4E27"/>
    <w:rsid w:val="004E50A2"/>
    <w:rsid w:val="004E6BF4"/>
    <w:rsid w:val="004E6DCA"/>
    <w:rsid w:val="004E707F"/>
    <w:rsid w:val="004E71CD"/>
    <w:rsid w:val="004F050B"/>
    <w:rsid w:val="004F06D5"/>
    <w:rsid w:val="004F7367"/>
    <w:rsid w:val="004F7F22"/>
    <w:rsid w:val="00502514"/>
    <w:rsid w:val="00503429"/>
    <w:rsid w:val="0050374F"/>
    <w:rsid w:val="0050444E"/>
    <w:rsid w:val="00504A70"/>
    <w:rsid w:val="00504B7B"/>
    <w:rsid w:val="0050665D"/>
    <w:rsid w:val="00511A40"/>
    <w:rsid w:val="005209A8"/>
    <w:rsid w:val="00525105"/>
    <w:rsid w:val="00525A81"/>
    <w:rsid w:val="00531734"/>
    <w:rsid w:val="005327A1"/>
    <w:rsid w:val="005363E6"/>
    <w:rsid w:val="00541C6D"/>
    <w:rsid w:val="005436B3"/>
    <w:rsid w:val="00543DD1"/>
    <w:rsid w:val="0055022F"/>
    <w:rsid w:val="005512B1"/>
    <w:rsid w:val="00553490"/>
    <w:rsid w:val="0055701E"/>
    <w:rsid w:val="005607FD"/>
    <w:rsid w:val="00563193"/>
    <w:rsid w:val="00563F24"/>
    <w:rsid w:val="005715D8"/>
    <w:rsid w:val="00572126"/>
    <w:rsid w:val="00582990"/>
    <w:rsid w:val="00590A06"/>
    <w:rsid w:val="00590F10"/>
    <w:rsid w:val="0059380B"/>
    <w:rsid w:val="00594F8D"/>
    <w:rsid w:val="005A255B"/>
    <w:rsid w:val="005A4AB7"/>
    <w:rsid w:val="005B0350"/>
    <w:rsid w:val="005B15A8"/>
    <w:rsid w:val="005B1697"/>
    <w:rsid w:val="005B1F6E"/>
    <w:rsid w:val="005B586A"/>
    <w:rsid w:val="005C1889"/>
    <w:rsid w:val="005C21A0"/>
    <w:rsid w:val="005C28AD"/>
    <w:rsid w:val="005C458E"/>
    <w:rsid w:val="005E1D01"/>
    <w:rsid w:val="005E1E33"/>
    <w:rsid w:val="005E1F50"/>
    <w:rsid w:val="005E3722"/>
    <w:rsid w:val="005F022A"/>
    <w:rsid w:val="005F3C82"/>
    <w:rsid w:val="00610187"/>
    <w:rsid w:val="00610F56"/>
    <w:rsid w:val="0061293A"/>
    <w:rsid w:val="006135D0"/>
    <w:rsid w:val="00615A9B"/>
    <w:rsid w:val="006228DF"/>
    <w:rsid w:val="00627BB6"/>
    <w:rsid w:val="006305FE"/>
    <w:rsid w:val="00635D65"/>
    <w:rsid w:val="00640959"/>
    <w:rsid w:val="00647CFA"/>
    <w:rsid w:val="00650950"/>
    <w:rsid w:val="006532AF"/>
    <w:rsid w:val="006537C8"/>
    <w:rsid w:val="0066221E"/>
    <w:rsid w:val="006642CD"/>
    <w:rsid w:val="00664BAC"/>
    <w:rsid w:val="006707A9"/>
    <w:rsid w:val="00675115"/>
    <w:rsid w:val="00677523"/>
    <w:rsid w:val="0068519C"/>
    <w:rsid w:val="0068539C"/>
    <w:rsid w:val="00685B14"/>
    <w:rsid w:val="00686079"/>
    <w:rsid w:val="006862DB"/>
    <w:rsid w:val="006868ED"/>
    <w:rsid w:val="00687D66"/>
    <w:rsid w:val="006A036C"/>
    <w:rsid w:val="006A5B93"/>
    <w:rsid w:val="006B0E41"/>
    <w:rsid w:val="006B5786"/>
    <w:rsid w:val="006B79CD"/>
    <w:rsid w:val="006C4905"/>
    <w:rsid w:val="006C575E"/>
    <w:rsid w:val="006C7DB7"/>
    <w:rsid w:val="006D54B6"/>
    <w:rsid w:val="006D6852"/>
    <w:rsid w:val="006E1444"/>
    <w:rsid w:val="006E184E"/>
    <w:rsid w:val="006E40D5"/>
    <w:rsid w:val="006E46A0"/>
    <w:rsid w:val="006E513C"/>
    <w:rsid w:val="007017A4"/>
    <w:rsid w:val="00703A80"/>
    <w:rsid w:val="00703D20"/>
    <w:rsid w:val="007078C8"/>
    <w:rsid w:val="00713002"/>
    <w:rsid w:val="00714A42"/>
    <w:rsid w:val="0071563F"/>
    <w:rsid w:val="00717DD5"/>
    <w:rsid w:val="00722337"/>
    <w:rsid w:val="00722ED5"/>
    <w:rsid w:val="00724564"/>
    <w:rsid w:val="00727753"/>
    <w:rsid w:val="00727A79"/>
    <w:rsid w:val="0073099E"/>
    <w:rsid w:val="0073335C"/>
    <w:rsid w:val="0073339C"/>
    <w:rsid w:val="00733714"/>
    <w:rsid w:val="007364C6"/>
    <w:rsid w:val="00736EF9"/>
    <w:rsid w:val="00743FEA"/>
    <w:rsid w:val="007466BC"/>
    <w:rsid w:val="007468B7"/>
    <w:rsid w:val="00750A50"/>
    <w:rsid w:val="00750B1E"/>
    <w:rsid w:val="00757921"/>
    <w:rsid w:val="00760D80"/>
    <w:rsid w:val="00766106"/>
    <w:rsid w:val="00766CE7"/>
    <w:rsid w:val="00771819"/>
    <w:rsid w:val="00774332"/>
    <w:rsid w:val="00774FC6"/>
    <w:rsid w:val="00776143"/>
    <w:rsid w:val="0078540D"/>
    <w:rsid w:val="007856D8"/>
    <w:rsid w:val="007872D4"/>
    <w:rsid w:val="00787790"/>
    <w:rsid w:val="007916DA"/>
    <w:rsid w:val="00791C50"/>
    <w:rsid w:val="0079280D"/>
    <w:rsid w:val="0079576D"/>
    <w:rsid w:val="00796ECD"/>
    <w:rsid w:val="007A2EA4"/>
    <w:rsid w:val="007A46DD"/>
    <w:rsid w:val="007A7463"/>
    <w:rsid w:val="007B1B88"/>
    <w:rsid w:val="007B2A67"/>
    <w:rsid w:val="007B45F7"/>
    <w:rsid w:val="007B606C"/>
    <w:rsid w:val="007B67B2"/>
    <w:rsid w:val="007B6827"/>
    <w:rsid w:val="007C1EB3"/>
    <w:rsid w:val="007C7F7B"/>
    <w:rsid w:val="007D111C"/>
    <w:rsid w:val="007E643C"/>
    <w:rsid w:val="007E765E"/>
    <w:rsid w:val="007F0F5D"/>
    <w:rsid w:val="007F1EB0"/>
    <w:rsid w:val="007F6F46"/>
    <w:rsid w:val="008103B3"/>
    <w:rsid w:val="00815A98"/>
    <w:rsid w:val="0082353B"/>
    <w:rsid w:val="00824475"/>
    <w:rsid w:val="00825F55"/>
    <w:rsid w:val="008271CB"/>
    <w:rsid w:val="00833674"/>
    <w:rsid w:val="0084097F"/>
    <w:rsid w:val="00841A04"/>
    <w:rsid w:val="00845240"/>
    <w:rsid w:val="0084550C"/>
    <w:rsid w:val="008504FE"/>
    <w:rsid w:val="00855EC7"/>
    <w:rsid w:val="00857868"/>
    <w:rsid w:val="00860C80"/>
    <w:rsid w:val="00870CD0"/>
    <w:rsid w:val="008711B1"/>
    <w:rsid w:val="0087136B"/>
    <w:rsid w:val="00873C17"/>
    <w:rsid w:val="00875785"/>
    <w:rsid w:val="008849C0"/>
    <w:rsid w:val="00891A70"/>
    <w:rsid w:val="00895A64"/>
    <w:rsid w:val="008A6056"/>
    <w:rsid w:val="008B267C"/>
    <w:rsid w:val="008B5B9C"/>
    <w:rsid w:val="008C739D"/>
    <w:rsid w:val="008E5AD0"/>
    <w:rsid w:val="008F2286"/>
    <w:rsid w:val="008F37D4"/>
    <w:rsid w:val="008F3CF0"/>
    <w:rsid w:val="008F4229"/>
    <w:rsid w:val="008F598B"/>
    <w:rsid w:val="0090047C"/>
    <w:rsid w:val="00900710"/>
    <w:rsid w:val="009025F9"/>
    <w:rsid w:val="00903AA2"/>
    <w:rsid w:val="00906556"/>
    <w:rsid w:val="00906E35"/>
    <w:rsid w:val="0090777E"/>
    <w:rsid w:val="00916DBE"/>
    <w:rsid w:val="00920DEC"/>
    <w:rsid w:val="009226C0"/>
    <w:rsid w:val="00924FA4"/>
    <w:rsid w:val="0093002D"/>
    <w:rsid w:val="00930CAC"/>
    <w:rsid w:val="009344EB"/>
    <w:rsid w:val="00936DE7"/>
    <w:rsid w:val="009452FE"/>
    <w:rsid w:val="00945A81"/>
    <w:rsid w:val="00947AE6"/>
    <w:rsid w:val="00947CF9"/>
    <w:rsid w:val="00947DD6"/>
    <w:rsid w:val="00951FC1"/>
    <w:rsid w:val="00953E2A"/>
    <w:rsid w:val="00955A2F"/>
    <w:rsid w:val="00961294"/>
    <w:rsid w:val="0096365D"/>
    <w:rsid w:val="009743FD"/>
    <w:rsid w:val="00975B92"/>
    <w:rsid w:val="00976059"/>
    <w:rsid w:val="00977837"/>
    <w:rsid w:val="009779F3"/>
    <w:rsid w:val="00983A7F"/>
    <w:rsid w:val="009843A1"/>
    <w:rsid w:val="00991359"/>
    <w:rsid w:val="00994121"/>
    <w:rsid w:val="00996FA7"/>
    <w:rsid w:val="009B5F67"/>
    <w:rsid w:val="009C00AC"/>
    <w:rsid w:val="009C42DD"/>
    <w:rsid w:val="009D18D7"/>
    <w:rsid w:val="009D5502"/>
    <w:rsid w:val="009E1F4F"/>
    <w:rsid w:val="009E3291"/>
    <w:rsid w:val="009E7439"/>
    <w:rsid w:val="009F07CC"/>
    <w:rsid w:val="009F1E74"/>
    <w:rsid w:val="009F23AC"/>
    <w:rsid w:val="009F41DB"/>
    <w:rsid w:val="009F6684"/>
    <w:rsid w:val="00A07925"/>
    <w:rsid w:val="00A07B3D"/>
    <w:rsid w:val="00A135AD"/>
    <w:rsid w:val="00A13AD7"/>
    <w:rsid w:val="00A2085E"/>
    <w:rsid w:val="00A2645B"/>
    <w:rsid w:val="00A26F28"/>
    <w:rsid w:val="00A27883"/>
    <w:rsid w:val="00A318F3"/>
    <w:rsid w:val="00A32A5E"/>
    <w:rsid w:val="00A512C8"/>
    <w:rsid w:val="00A57361"/>
    <w:rsid w:val="00A64000"/>
    <w:rsid w:val="00A6446C"/>
    <w:rsid w:val="00A64EFF"/>
    <w:rsid w:val="00A71B9B"/>
    <w:rsid w:val="00A7315A"/>
    <w:rsid w:val="00A73F84"/>
    <w:rsid w:val="00A80235"/>
    <w:rsid w:val="00A84230"/>
    <w:rsid w:val="00A85DC7"/>
    <w:rsid w:val="00A86EC6"/>
    <w:rsid w:val="00A87459"/>
    <w:rsid w:val="00A91720"/>
    <w:rsid w:val="00A91A3D"/>
    <w:rsid w:val="00A938FF"/>
    <w:rsid w:val="00A9402C"/>
    <w:rsid w:val="00A94155"/>
    <w:rsid w:val="00AA1D71"/>
    <w:rsid w:val="00AA2021"/>
    <w:rsid w:val="00AA3AE5"/>
    <w:rsid w:val="00AA7820"/>
    <w:rsid w:val="00AB16FC"/>
    <w:rsid w:val="00AB67B7"/>
    <w:rsid w:val="00AB703F"/>
    <w:rsid w:val="00AC3AE2"/>
    <w:rsid w:val="00AC456E"/>
    <w:rsid w:val="00AC608D"/>
    <w:rsid w:val="00AD1FBD"/>
    <w:rsid w:val="00AD522A"/>
    <w:rsid w:val="00AD5AA7"/>
    <w:rsid w:val="00AE575C"/>
    <w:rsid w:val="00AF07BA"/>
    <w:rsid w:val="00AF162A"/>
    <w:rsid w:val="00AF5A30"/>
    <w:rsid w:val="00AF7750"/>
    <w:rsid w:val="00B01261"/>
    <w:rsid w:val="00B113A6"/>
    <w:rsid w:val="00B12FE2"/>
    <w:rsid w:val="00B150C3"/>
    <w:rsid w:val="00B20193"/>
    <w:rsid w:val="00B20A5C"/>
    <w:rsid w:val="00B215A9"/>
    <w:rsid w:val="00B21A7D"/>
    <w:rsid w:val="00B30CB1"/>
    <w:rsid w:val="00B31212"/>
    <w:rsid w:val="00B3332C"/>
    <w:rsid w:val="00B34614"/>
    <w:rsid w:val="00B35640"/>
    <w:rsid w:val="00B35E71"/>
    <w:rsid w:val="00B371CD"/>
    <w:rsid w:val="00B52AF0"/>
    <w:rsid w:val="00B552DC"/>
    <w:rsid w:val="00B66BB8"/>
    <w:rsid w:val="00B67098"/>
    <w:rsid w:val="00B705BC"/>
    <w:rsid w:val="00B7124D"/>
    <w:rsid w:val="00B74A84"/>
    <w:rsid w:val="00B830CF"/>
    <w:rsid w:val="00B844E0"/>
    <w:rsid w:val="00B9103F"/>
    <w:rsid w:val="00B93F89"/>
    <w:rsid w:val="00B97DF2"/>
    <w:rsid w:val="00BA24D1"/>
    <w:rsid w:val="00BA5A8A"/>
    <w:rsid w:val="00BA6169"/>
    <w:rsid w:val="00BB7AB5"/>
    <w:rsid w:val="00BC2063"/>
    <w:rsid w:val="00BC2277"/>
    <w:rsid w:val="00BC5829"/>
    <w:rsid w:val="00BD04C8"/>
    <w:rsid w:val="00BD5218"/>
    <w:rsid w:val="00BD547E"/>
    <w:rsid w:val="00BE1A83"/>
    <w:rsid w:val="00BE2D58"/>
    <w:rsid w:val="00BE4CD4"/>
    <w:rsid w:val="00BF378D"/>
    <w:rsid w:val="00BF682D"/>
    <w:rsid w:val="00C004FC"/>
    <w:rsid w:val="00C0054E"/>
    <w:rsid w:val="00C01D00"/>
    <w:rsid w:val="00C02364"/>
    <w:rsid w:val="00C040F4"/>
    <w:rsid w:val="00C04C00"/>
    <w:rsid w:val="00C12F33"/>
    <w:rsid w:val="00C14C77"/>
    <w:rsid w:val="00C160AC"/>
    <w:rsid w:val="00C22638"/>
    <w:rsid w:val="00C22C88"/>
    <w:rsid w:val="00C250DA"/>
    <w:rsid w:val="00C341F1"/>
    <w:rsid w:val="00C3554C"/>
    <w:rsid w:val="00C43FF2"/>
    <w:rsid w:val="00C451FA"/>
    <w:rsid w:val="00C46B24"/>
    <w:rsid w:val="00C50887"/>
    <w:rsid w:val="00C542DB"/>
    <w:rsid w:val="00C56800"/>
    <w:rsid w:val="00C57BA2"/>
    <w:rsid w:val="00C659C6"/>
    <w:rsid w:val="00C66BE9"/>
    <w:rsid w:val="00C725B9"/>
    <w:rsid w:val="00C739F6"/>
    <w:rsid w:val="00C767F1"/>
    <w:rsid w:val="00C8351E"/>
    <w:rsid w:val="00C972A5"/>
    <w:rsid w:val="00CA6154"/>
    <w:rsid w:val="00CB1B9A"/>
    <w:rsid w:val="00CB6A6F"/>
    <w:rsid w:val="00CC267C"/>
    <w:rsid w:val="00CC7FFC"/>
    <w:rsid w:val="00CD1374"/>
    <w:rsid w:val="00CD58A8"/>
    <w:rsid w:val="00CD7BFF"/>
    <w:rsid w:val="00CE1DCD"/>
    <w:rsid w:val="00CF0719"/>
    <w:rsid w:val="00CF3006"/>
    <w:rsid w:val="00CF5C53"/>
    <w:rsid w:val="00CF7518"/>
    <w:rsid w:val="00D055F2"/>
    <w:rsid w:val="00D05720"/>
    <w:rsid w:val="00D05FC2"/>
    <w:rsid w:val="00D07DF1"/>
    <w:rsid w:val="00D10E3A"/>
    <w:rsid w:val="00D1193D"/>
    <w:rsid w:val="00D135E2"/>
    <w:rsid w:val="00D15C17"/>
    <w:rsid w:val="00D15FB5"/>
    <w:rsid w:val="00D17EE6"/>
    <w:rsid w:val="00D20530"/>
    <w:rsid w:val="00D25A94"/>
    <w:rsid w:val="00D26030"/>
    <w:rsid w:val="00D26934"/>
    <w:rsid w:val="00D278CC"/>
    <w:rsid w:val="00D3035E"/>
    <w:rsid w:val="00D32944"/>
    <w:rsid w:val="00D372AB"/>
    <w:rsid w:val="00D42839"/>
    <w:rsid w:val="00D43066"/>
    <w:rsid w:val="00D457D8"/>
    <w:rsid w:val="00D46718"/>
    <w:rsid w:val="00D53A8E"/>
    <w:rsid w:val="00D54152"/>
    <w:rsid w:val="00D55320"/>
    <w:rsid w:val="00D634D6"/>
    <w:rsid w:val="00D63682"/>
    <w:rsid w:val="00D63DB8"/>
    <w:rsid w:val="00D665C4"/>
    <w:rsid w:val="00D704E5"/>
    <w:rsid w:val="00D723DC"/>
    <w:rsid w:val="00D72DC9"/>
    <w:rsid w:val="00D74511"/>
    <w:rsid w:val="00D74537"/>
    <w:rsid w:val="00D76ABF"/>
    <w:rsid w:val="00D77D8C"/>
    <w:rsid w:val="00D81670"/>
    <w:rsid w:val="00D819DE"/>
    <w:rsid w:val="00D82196"/>
    <w:rsid w:val="00D8349D"/>
    <w:rsid w:val="00D8514D"/>
    <w:rsid w:val="00D932E0"/>
    <w:rsid w:val="00D93D97"/>
    <w:rsid w:val="00DA04B2"/>
    <w:rsid w:val="00DA3ABD"/>
    <w:rsid w:val="00DA55A4"/>
    <w:rsid w:val="00DA5DA7"/>
    <w:rsid w:val="00DB1E7E"/>
    <w:rsid w:val="00DB510A"/>
    <w:rsid w:val="00DB7F38"/>
    <w:rsid w:val="00DC2771"/>
    <w:rsid w:val="00DC281A"/>
    <w:rsid w:val="00DC467F"/>
    <w:rsid w:val="00DC583F"/>
    <w:rsid w:val="00DC6E7C"/>
    <w:rsid w:val="00DC7D24"/>
    <w:rsid w:val="00DD5A93"/>
    <w:rsid w:val="00DE0582"/>
    <w:rsid w:val="00DE29EC"/>
    <w:rsid w:val="00DE36EE"/>
    <w:rsid w:val="00DE6A16"/>
    <w:rsid w:val="00DE7342"/>
    <w:rsid w:val="00DE7E0D"/>
    <w:rsid w:val="00DF22BF"/>
    <w:rsid w:val="00E062AB"/>
    <w:rsid w:val="00E0717D"/>
    <w:rsid w:val="00E11A15"/>
    <w:rsid w:val="00E1291C"/>
    <w:rsid w:val="00E13C4A"/>
    <w:rsid w:val="00E14F49"/>
    <w:rsid w:val="00E16261"/>
    <w:rsid w:val="00E16DDB"/>
    <w:rsid w:val="00E2419C"/>
    <w:rsid w:val="00E2562D"/>
    <w:rsid w:val="00E27434"/>
    <w:rsid w:val="00E303DD"/>
    <w:rsid w:val="00E308E5"/>
    <w:rsid w:val="00E31266"/>
    <w:rsid w:val="00E31BBB"/>
    <w:rsid w:val="00E31F06"/>
    <w:rsid w:val="00E33294"/>
    <w:rsid w:val="00E33893"/>
    <w:rsid w:val="00E42BC8"/>
    <w:rsid w:val="00E448CA"/>
    <w:rsid w:val="00E50C61"/>
    <w:rsid w:val="00E537E8"/>
    <w:rsid w:val="00E575C1"/>
    <w:rsid w:val="00E57B35"/>
    <w:rsid w:val="00E64541"/>
    <w:rsid w:val="00E718E5"/>
    <w:rsid w:val="00E73E00"/>
    <w:rsid w:val="00E763FC"/>
    <w:rsid w:val="00E8083A"/>
    <w:rsid w:val="00E830D8"/>
    <w:rsid w:val="00E83707"/>
    <w:rsid w:val="00E906BB"/>
    <w:rsid w:val="00E9574C"/>
    <w:rsid w:val="00E96AC6"/>
    <w:rsid w:val="00EB03F7"/>
    <w:rsid w:val="00EB0ECA"/>
    <w:rsid w:val="00EB12E7"/>
    <w:rsid w:val="00EB42E2"/>
    <w:rsid w:val="00EC2392"/>
    <w:rsid w:val="00EC6B90"/>
    <w:rsid w:val="00ED3B28"/>
    <w:rsid w:val="00ED5E91"/>
    <w:rsid w:val="00EE3259"/>
    <w:rsid w:val="00EE5AEF"/>
    <w:rsid w:val="00EF3936"/>
    <w:rsid w:val="00EF4D27"/>
    <w:rsid w:val="00EF4E07"/>
    <w:rsid w:val="00EF5A86"/>
    <w:rsid w:val="00F01B4F"/>
    <w:rsid w:val="00F05ACE"/>
    <w:rsid w:val="00F074A8"/>
    <w:rsid w:val="00F07957"/>
    <w:rsid w:val="00F12BD8"/>
    <w:rsid w:val="00F14435"/>
    <w:rsid w:val="00F1499E"/>
    <w:rsid w:val="00F16ADF"/>
    <w:rsid w:val="00F20722"/>
    <w:rsid w:val="00F24277"/>
    <w:rsid w:val="00F26104"/>
    <w:rsid w:val="00F27C76"/>
    <w:rsid w:val="00F31DCB"/>
    <w:rsid w:val="00F45220"/>
    <w:rsid w:val="00F50F29"/>
    <w:rsid w:val="00F56C87"/>
    <w:rsid w:val="00F57125"/>
    <w:rsid w:val="00F613B2"/>
    <w:rsid w:val="00F65079"/>
    <w:rsid w:val="00F724EB"/>
    <w:rsid w:val="00F7628A"/>
    <w:rsid w:val="00F763AC"/>
    <w:rsid w:val="00F8026B"/>
    <w:rsid w:val="00F81508"/>
    <w:rsid w:val="00F832F1"/>
    <w:rsid w:val="00F9151D"/>
    <w:rsid w:val="00F955FA"/>
    <w:rsid w:val="00F976D8"/>
    <w:rsid w:val="00FA0D4A"/>
    <w:rsid w:val="00FA4D66"/>
    <w:rsid w:val="00FA7F60"/>
    <w:rsid w:val="00FC1A7E"/>
    <w:rsid w:val="00FD19D1"/>
    <w:rsid w:val="00FD1EFF"/>
    <w:rsid w:val="00FD3361"/>
    <w:rsid w:val="00FD44C7"/>
    <w:rsid w:val="00FE2BC2"/>
    <w:rsid w:val="00FE3800"/>
    <w:rsid w:val="00FE5C3F"/>
    <w:rsid w:val="00FF0E7A"/>
    <w:rsid w:val="00FF2F44"/>
    <w:rsid w:val="00FF383C"/>
    <w:rsid w:val="014F3BD1"/>
    <w:rsid w:val="01EC67AD"/>
    <w:rsid w:val="022F4EAB"/>
    <w:rsid w:val="02575D17"/>
    <w:rsid w:val="026558D4"/>
    <w:rsid w:val="02E105D1"/>
    <w:rsid w:val="03542C65"/>
    <w:rsid w:val="03543FB6"/>
    <w:rsid w:val="036F1CD7"/>
    <w:rsid w:val="03D47AD2"/>
    <w:rsid w:val="03EC6B7B"/>
    <w:rsid w:val="04EC3129"/>
    <w:rsid w:val="04EF71AC"/>
    <w:rsid w:val="05C1506E"/>
    <w:rsid w:val="06AB381E"/>
    <w:rsid w:val="07103E3E"/>
    <w:rsid w:val="07204965"/>
    <w:rsid w:val="0730667B"/>
    <w:rsid w:val="0748091C"/>
    <w:rsid w:val="0771539D"/>
    <w:rsid w:val="07F7171E"/>
    <w:rsid w:val="082B4BF1"/>
    <w:rsid w:val="0850684C"/>
    <w:rsid w:val="089A3C9E"/>
    <w:rsid w:val="08AD2FFF"/>
    <w:rsid w:val="08DC0E0E"/>
    <w:rsid w:val="098E452E"/>
    <w:rsid w:val="0A490612"/>
    <w:rsid w:val="0A78677B"/>
    <w:rsid w:val="0A920B67"/>
    <w:rsid w:val="0A9C6C44"/>
    <w:rsid w:val="0B425ECD"/>
    <w:rsid w:val="0B640A67"/>
    <w:rsid w:val="0B6874E1"/>
    <w:rsid w:val="0B761835"/>
    <w:rsid w:val="0C2F6D01"/>
    <w:rsid w:val="0C6E54F3"/>
    <w:rsid w:val="0C9A49B8"/>
    <w:rsid w:val="0CB85281"/>
    <w:rsid w:val="0CDE7996"/>
    <w:rsid w:val="0DBC440D"/>
    <w:rsid w:val="0E776139"/>
    <w:rsid w:val="0ED27CB5"/>
    <w:rsid w:val="0F367A97"/>
    <w:rsid w:val="0F756B52"/>
    <w:rsid w:val="0F952DC3"/>
    <w:rsid w:val="10E032AB"/>
    <w:rsid w:val="110A0422"/>
    <w:rsid w:val="110C766A"/>
    <w:rsid w:val="121A7C76"/>
    <w:rsid w:val="12495E0D"/>
    <w:rsid w:val="12A717DF"/>
    <w:rsid w:val="12F76C2C"/>
    <w:rsid w:val="131F771F"/>
    <w:rsid w:val="139C0C4F"/>
    <w:rsid w:val="139E3CC8"/>
    <w:rsid w:val="140532D3"/>
    <w:rsid w:val="14175A74"/>
    <w:rsid w:val="143A0A8B"/>
    <w:rsid w:val="14C9343C"/>
    <w:rsid w:val="152F050F"/>
    <w:rsid w:val="15A84292"/>
    <w:rsid w:val="15C510A6"/>
    <w:rsid w:val="15E53011"/>
    <w:rsid w:val="165C4E57"/>
    <w:rsid w:val="16B575BC"/>
    <w:rsid w:val="17556323"/>
    <w:rsid w:val="175F667B"/>
    <w:rsid w:val="178150D2"/>
    <w:rsid w:val="1790229A"/>
    <w:rsid w:val="183A2A73"/>
    <w:rsid w:val="185A477D"/>
    <w:rsid w:val="18722D20"/>
    <w:rsid w:val="19067584"/>
    <w:rsid w:val="19171D96"/>
    <w:rsid w:val="1966747E"/>
    <w:rsid w:val="197A0395"/>
    <w:rsid w:val="19D51AE9"/>
    <w:rsid w:val="19E64FCA"/>
    <w:rsid w:val="1A3B30E7"/>
    <w:rsid w:val="1A573146"/>
    <w:rsid w:val="1B434AC2"/>
    <w:rsid w:val="1BAD7A67"/>
    <w:rsid w:val="1BFF62D8"/>
    <w:rsid w:val="1C19603A"/>
    <w:rsid w:val="1C9F7D64"/>
    <w:rsid w:val="1D4A6A3F"/>
    <w:rsid w:val="1D9C24D7"/>
    <w:rsid w:val="1DEB7F03"/>
    <w:rsid w:val="1E1A0C70"/>
    <w:rsid w:val="1E1E753C"/>
    <w:rsid w:val="1E2C5AF7"/>
    <w:rsid w:val="1E39277A"/>
    <w:rsid w:val="1E591D6C"/>
    <w:rsid w:val="1EFF438F"/>
    <w:rsid w:val="20DC02E7"/>
    <w:rsid w:val="211B2035"/>
    <w:rsid w:val="21835A65"/>
    <w:rsid w:val="219C2488"/>
    <w:rsid w:val="22294F2C"/>
    <w:rsid w:val="22971BC9"/>
    <w:rsid w:val="22AD61F8"/>
    <w:rsid w:val="23185E10"/>
    <w:rsid w:val="23221009"/>
    <w:rsid w:val="237B59D7"/>
    <w:rsid w:val="24293022"/>
    <w:rsid w:val="24E233CC"/>
    <w:rsid w:val="254021D2"/>
    <w:rsid w:val="25714260"/>
    <w:rsid w:val="26312CD3"/>
    <w:rsid w:val="264B551A"/>
    <w:rsid w:val="2655592E"/>
    <w:rsid w:val="265627C7"/>
    <w:rsid w:val="26C65E8A"/>
    <w:rsid w:val="26ED1E93"/>
    <w:rsid w:val="27821B52"/>
    <w:rsid w:val="28441A9B"/>
    <w:rsid w:val="2951307B"/>
    <w:rsid w:val="29E21F3B"/>
    <w:rsid w:val="2A3D734A"/>
    <w:rsid w:val="2A626A2C"/>
    <w:rsid w:val="2A940A60"/>
    <w:rsid w:val="2B074298"/>
    <w:rsid w:val="2B196F9F"/>
    <w:rsid w:val="2C41544E"/>
    <w:rsid w:val="2C9B6376"/>
    <w:rsid w:val="2D0245BE"/>
    <w:rsid w:val="2D411E94"/>
    <w:rsid w:val="2D5B26FD"/>
    <w:rsid w:val="2D9B0230"/>
    <w:rsid w:val="2DF30C00"/>
    <w:rsid w:val="2DFE540C"/>
    <w:rsid w:val="2EA8510A"/>
    <w:rsid w:val="2EF247FA"/>
    <w:rsid w:val="2F552640"/>
    <w:rsid w:val="2F9D4AAD"/>
    <w:rsid w:val="2FBB640A"/>
    <w:rsid w:val="2FBF62C9"/>
    <w:rsid w:val="2FCC49F1"/>
    <w:rsid w:val="2FED1747"/>
    <w:rsid w:val="30921CEC"/>
    <w:rsid w:val="319E4F13"/>
    <w:rsid w:val="32084AE6"/>
    <w:rsid w:val="32226BEF"/>
    <w:rsid w:val="32DA1E29"/>
    <w:rsid w:val="332F6AC1"/>
    <w:rsid w:val="33664CBD"/>
    <w:rsid w:val="34224F57"/>
    <w:rsid w:val="349A1FDF"/>
    <w:rsid w:val="34E05C7B"/>
    <w:rsid w:val="34E656A3"/>
    <w:rsid w:val="34E754F7"/>
    <w:rsid w:val="34EC2FDE"/>
    <w:rsid w:val="350F05E7"/>
    <w:rsid w:val="36062EE8"/>
    <w:rsid w:val="360A2F28"/>
    <w:rsid w:val="36480EEE"/>
    <w:rsid w:val="36A94531"/>
    <w:rsid w:val="370563DF"/>
    <w:rsid w:val="372C4D78"/>
    <w:rsid w:val="37810B9F"/>
    <w:rsid w:val="37860D76"/>
    <w:rsid w:val="3798104C"/>
    <w:rsid w:val="37F56027"/>
    <w:rsid w:val="38AD5A39"/>
    <w:rsid w:val="38BB0852"/>
    <w:rsid w:val="391B62C0"/>
    <w:rsid w:val="394F0512"/>
    <w:rsid w:val="394F1570"/>
    <w:rsid w:val="39854FEC"/>
    <w:rsid w:val="39A806C0"/>
    <w:rsid w:val="39C42680"/>
    <w:rsid w:val="39C55187"/>
    <w:rsid w:val="3A6E5507"/>
    <w:rsid w:val="3AE83C68"/>
    <w:rsid w:val="3B334C49"/>
    <w:rsid w:val="3B8C4321"/>
    <w:rsid w:val="3C4A5BD3"/>
    <w:rsid w:val="3C965214"/>
    <w:rsid w:val="3CB6189E"/>
    <w:rsid w:val="3D915A42"/>
    <w:rsid w:val="3DAB5A81"/>
    <w:rsid w:val="3E665630"/>
    <w:rsid w:val="3E8407F6"/>
    <w:rsid w:val="3EA520E1"/>
    <w:rsid w:val="3EB31266"/>
    <w:rsid w:val="3EE46CAE"/>
    <w:rsid w:val="3EE74981"/>
    <w:rsid w:val="3F950A9F"/>
    <w:rsid w:val="3FCC5ED3"/>
    <w:rsid w:val="40DB7E10"/>
    <w:rsid w:val="411304FB"/>
    <w:rsid w:val="415614BF"/>
    <w:rsid w:val="41CD37A3"/>
    <w:rsid w:val="4252375D"/>
    <w:rsid w:val="42F776DD"/>
    <w:rsid w:val="433B613C"/>
    <w:rsid w:val="43462FA6"/>
    <w:rsid w:val="43491B07"/>
    <w:rsid w:val="435E1B14"/>
    <w:rsid w:val="437A641C"/>
    <w:rsid w:val="438C2036"/>
    <w:rsid w:val="43B65131"/>
    <w:rsid w:val="440E0872"/>
    <w:rsid w:val="44336381"/>
    <w:rsid w:val="44525A43"/>
    <w:rsid w:val="446A6AE7"/>
    <w:rsid w:val="44891508"/>
    <w:rsid w:val="44FE735C"/>
    <w:rsid w:val="44FE7BF1"/>
    <w:rsid w:val="45285952"/>
    <w:rsid w:val="45303745"/>
    <w:rsid w:val="45320890"/>
    <w:rsid w:val="45386683"/>
    <w:rsid w:val="453B0DB1"/>
    <w:rsid w:val="45764261"/>
    <w:rsid w:val="45DB462B"/>
    <w:rsid w:val="45E56241"/>
    <w:rsid w:val="462374D0"/>
    <w:rsid w:val="474E208F"/>
    <w:rsid w:val="476E2746"/>
    <w:rsid w:val="47720367"/>
    <w:rsid w:val="47892447"/>
    <w:rsid w:val="48E5557E"/>
    <w:rsid w:val="492C3411"/>
    <w:rsid w:val="49CA7ABE"/>
    <w:rsid w:val="4A775ADD"/>
    <w:rsid w:val="4A7F43BB"/>
    <w:rsid w:val="4AC2209F"/>
    <w:rsid w:val="4AC44211"/>
    <w:rsid w:val="4AD2266D"/>
    <w:rsid w:val="4AE52EA7"/>
    <w:rsid w:val="4B8D4A5C"/>
    <w:rsid w:val="4BD635BB"/>
    <w:rsid w:val="4C9F4807"/>
    <w:rsid w:val="4E6829B2"/>
    <w:rsid w:val="4E9E45C0"/>
    <w:rsid w:val="4EEF265D"/>
    <w:rsid w:val="4F234DB4"/>
    <w:rsid w:val="4F5C08ED"/>
    <w:rsid w:val="4F6075A8"/>
    <w:rsid w:val="4F8F234F"/>
    <w:rsid w:val="500F7DED"/>
    <w:rsid w:val="50120CE9"/>
    <w:rsid w:val="50227957"/>
    <w:rsid w:val="50684928"/>
    <w:rsid w:val="508A5FC5"/>
    <w:rsid w:val="513B638E"/>
    <w:rsid w:val="51546FA0"/>
    <w:rsid w:val="5207320D"/>
    <w:rsid w:val="52811793"/>
    <w:rsid w:val="535F257B"/>
    <w:rsid w:val="539478CE"/>
    <w:rsid w:val="53E73118"/>
    <w:rsid w:val="543128E1"/>
    <w:rsid w:val="54987314"/>
    <w:rsid w:val="54B1460C"/>
    <w:rsid w:val="564F71CB"/>
    <w:rsid w:val="568F3202"/>
    <w:rsid w:val="56D26326"/>
    <w:rsid w:val="571E5841"/>
    <w:rsid w:val="576176AA"/>
    <w:rsid w:val="57F246A2"/>
    <w:rsid w:val="581A249A"/>
    <w:rsid w:val="58412867"/>
    <w:rsid w:val="58675F98"/>
    <w:rsid w:val="58A167F8"/>
    <w:rsid w:val="5986295C"/>
    <w:rsid w:val="59B234BF"/>
    <w:rsid w:val="59F558E5"/>
    <w:rsid w:val="59F9050C"/>
    <w:rsid w:val="5A6A7A5D"/>
    <w:rsid w:val="5A7925B0"/>
    <w:rsid w:val="5AEE37E5"/>
    <w:rsid w:val="5B2B5A3C"/>
    <w:rsid w:val="5B982101"/>
    <w:rsid w:val="5BEA5587"/>
    <w:rsid w:val="5C5B73E8"/>
    <w:rsid w:val="5CB326FD"/>
    <w:rsid w:val="5CC6464E"/>
    <w:rsid w:val="5D72566C"/>
    <w:rsid w:val="5DB73164"/>
    <w:rsid w:val="5DC82B8B"/>
    <w:rsid w:val="5DCF2359"/>
    <w:rsid w:val="5DE76FBC"/>
    <w:rsid w:val="5E035D34"/>
    <w:rsid w:val="5E055C12"/>
    <w:rsid w:val="5E1E6518"/>
    <w:rsid w:val="5E426858"/>
    <w:rsid w:val="5E531854"/>
    <w:rsid w:val="5E577FB2"/>
    <w:rsid w:val="5E6821B2"/>
    <w:rsid w:val="5F2F7819"/>
    <w:rsid w:val="5F5F311A"/>
    <w:rsid w:val="5F6A2E3C"/>
    <w:rsid w:val="5FB97E88"/>
    <w:rsid w:val="5FEF6ABB"/>
    <w:rsid w:val="61AA4B01"/>
    <w:rsid w:val="61E655BB"/>
    <w:rsid w:val="62270C73"/>
    <w:rsid w:val="62954A45"/>
    <w:rsid w:val="631B48A0"/>
    <w:rsid w:val="636E62EF"/>
    <w:rsid w:val="63810D4F"/>
    <w:rsid w:val="639B38A9"/>
    <w:rsid w:val="643D235F"/>
    <w:rsid w:val="650355BB"/>
    <w:rsid w:val="65317D59"/>
    <w:rsid w:val="65561E6B"/>
    <w:rsid w:val="656920A7"/>
    <w:rsid w:val="661A24EC"/>
    <w:rsid w:val="664A44AD"/>
    <w:rsid w:val="67206450"/>
    <w:rsid w:val="673E5B7D"/>
    <w:rsid w:val="677D3858"/>
    <w:rsid w:val="678F7FFB"/>
    <w:rsid w:val="679A27AE"/>
    <w:rsid w:val="67B83E1E"/>
    <w:rsid w:val="67E17A17"/>
    <w:rsid w:val="6823377F"/>
    <w:rsid w:val="68406767"/>
    <w:rsid w:val="68AD09A1"/>
    <w:rsid w:val="68AE5105"/>
    <w:rsid w:val="68AF2E8C"/>
    <w:rsid w:val="68F80186"/>
    <w:rsid w:val="69067F6C"/>
    <w:rsid w:val="69183625"/>
    <w:rsid w:val="69560305"/>
    <w:rsid w:val="6A670A9A"/>
    <w:rsid w:val="6AFD7CD5"/>
    <w:rsid w:val="6B9C3D80"/>
    <w:rsid w:val="6BF912E8"/>
    <w:rsid w:val="6C074A51"/>
    <w:rsid w:val="6CB7795C"/>
    <w:rsid w:val="6CF23552"/>
    <w:rsid w:val="6D7C30E4"/>
    <w:rsid w:val="6DAA42EB"/>
    <w:rsid w:val="6DB05122"/>
    <w:rsid w:val="6E38532A"/>
    <w:rsid w:val="6E463B2B"/>
    <w:rsid w:val="6EC8758E"/>
    <w:rsid w:val="6F654CF8"/>
    <w:rsid w:val="6F656188"/>
    <w:rsid w:val="6FAA7EEA"/>
    <w:rsid w:val="70077109"/>
    <w:rsid w:val="701B3F17"/>
    <w:rsid w:val="70A81122"/>
    <w:rsid w:val="711D0591"/>
    <w:rsid w:val="718B00C9"/>
    <w:rsid w:val="72436A22"/>
    <w:rsid w:val="72782FDB"/>
    <w:rsid w:val="72E165A5"/>
    <w:rsid w:val="73596744"/>
    <w:rsid w:val="736977F3"/>
    <w:rsid w:val="73D93C09"/>
    <w:rsid w:val="74083180"/>
    <w:rsid w:val="74496683"/>
    <w:rsid w:val="744E2846"/>
    <w:rsid w:val="74E92D1D"/>
    <w:rsid w:val="755D5598"/>
    <w:rsid w:val="756D0629"/>
    <w:rsid w:val="758B2634"/>
    <w:rsid w:val="75983025"/>
    <w:rsid w:val="75E403CB"/>
    <w:rsid w:val="763E49FF"/>
    <w:rsid w:val="764C379E"/>
    <w:rsid w:val="767C0253"/>
    <w:rsid w:val="76BF5DB9"/>
    <w:rsid w:val="76E72EFC"/>
    <w:rsid w:val="76EF1467"/>
    <w:rsid w:val="772F43C0"/>
    <w:rsid w:val="77581F94"/>
    <w:rsid w:val="77DF4C10"/>
    <w:rsid w:val="789428C0"/>
    <w:rsid w:val="789833E9"/>
    <w:rsid w:val="78BA2472"/>
    <w:rsid w:val="78EA5024"/>
    <w:rsid w:val="79070A1F"/>
    <w:rsid w:val="7961536B"/>
    <w:rsid w:val="798F67BC"/>
    <w:rsid w:val="79F8584E"/>
    <w:rsid w:val="7A9C0678"/>
    <w:rsid w:val="7B295C9C"/>
    <w:rsid w:val="7B5F4DAE"/>
    <w:rsid w:val="7BB623F6"/>
    <w:rsid w:val="7C0866AB"/>
    <w:rsid w:val="7C217BFC"/>
    <w:rsid w:val="7C672A88"/>
    <w:rsid w:val="7CC62EE7"/>
    <w:rsid w:val="7D1C63E2"/>
    <w:rsid w:val="7D3957F1"/>
    <w:rsid w:val="7D496A4A"/>
    <w:rsid w:val="7D95622D"/>
    <w:rsid w:val="7D986B4C"/>
    <w:rsid w:val="7DD456CD"/>
    <w:rsid w:val="7DDE29D3"/>
    <w:rsid w:val="7DE03143"/>
    <w:rsid w:val="7DF80FEC"/>
    <w:rsid w:val="7E5531F1"/>
    <w:rsid w:val="7E7A4F15"/>
    <w:rsid w:val="7E900DC1"/>
    <w:rsid w:val="7ECA4995"/>
    <w:rsid w:val="7ECC3258"/>
    <w:rsid w:val="7F01210E"/>
    <w:rsid w:val="7F1F201E"/>
    <w:rsid w:val="7F3A48C4"/>
    <w:rsid w:val="7F51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71"/>
    <w:qFormat/>
    <w:uiPriority w:val="0"/>
    <w:pPr>
      <w:keepNext/>
      <w:keepLines/>
      <w:spacing w:before="340" w:after="330" w:line="576" w:lineRule="auto"/>
      <w:outlineLvl w:val="0"/>
    </w:pPr>
    <w:rPr>
      <w:b/>
      <w:bCs/>
      <w:kern w:val="44"/>
      <w:sz w:val="44"/>
      <w:szCs w:val="44"/>
    </w:rPr>
  </w:style>
  <w:style w:type="paragraph" w:styleId="6">
    <w:name w:val="heading 2"/>
    <w:basedOn w:val="1"/>
    <w:next w:val="1"/>
    <w:link w:val="69"/>
    <w:qFormat/>
    <w:uiPriority w:val="0"/>
    <w:pPr>
      <w:keepNext/>
      <w:keepLines/>
      <w:spacing w:before="260" w:after="260" w:line="415" w:lineRule="auto"/>
      <w:outlineLvl w:val="1"/>
    </w:pPr>
    <w:rPr>
      <w:rFonts w:ascii="Arial" w:hAnsi="Arial" w:eastAsia="黑体"/>
      <w:b/>
      <w:bCs/>
      <w:sz w:val="32"/>
      <w:szCs w:val="32"/>
    </w:rPr>
  </w:style>
  <w:style w:type="paragraph" w:styleId="7">
    <w:name w:val="heading 3"/>
    <w:basedOn w:val="1"/>
    <w:next w:val="1"/>
    <w:link w:val="72"/>
    <w:qFormat/>
    <w:uiPriority w:val="0"/>
    <w:pPr>
      <w:keepNext/>
      <w:keepLines/>
      <w:spacing w:before="260" w:after="260" w:line="415" w:lineRule="auto"/>
      <w:outlineLvl w:val="2"/>
    </w:pPr>
    <w:rPr>
      <w:b/>
      <w:bCs/>
      <w:sz w:val="32"/>
      <w:szCs w:val="32"/>
    </w:rPr>
  </w:style>
  <w:style w:type="paragraph" w:styleId="4">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paragraph" w:styleId="8">
    <w:name w:val="heading 6"/>
    <w:basedOn w:val="1"/>
    <w:next w:val="1"/>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pPr>
      <w:spacing w:after="120"/>
    </w:pPr>
  </w:style>
  <w:style w:type="paragraph" w:styleId="12">
    <w:name w:val="toc 7"/>
    <w:basedOn w:val="1"/>
    <w:next w:val="1"/>
    <w:qFormat/>
    <w:uiPriority w:val="39"/>
    <w:pPr>
      <w:ind w:left="1260"/>
      <w:jc w:val="left"/>
    </w:pPr>
    <w:rPr>
      <w:sz w:val="18"/>
      <w:szCs w:val="18"/>
    </w:rPr>
  </w:style>
  <w:style w:type="paragraph" w:styleId="13">
    <w:name w:val="Normal Indent"/>
    <w:basedOn w:val="1"/>
    <w:qFormat/>
    <w:uiPriority w:val="0"/>
    <w:pPr>
      <w:ind w:firstLine="420" w:firstLineChars="200"/>
    </w:pPr>
  </w:style>
  <w:style w:type="paragraph" w:styleId="14">
    <w:name w:val="Document Map"/>
    <w:basedOn w:val="1"/>
    <w:qFormat/>
    <w:uiPriority w:val="0"/>
    <w:pPr>
      <w:shd w:val="clear" w:color="auto" w:fill="000080"/>
    </w:pPr>
  </w:style>
  <w:style w:type="paragraph" w:styleId="15">
    <w:name w:val="annotation text"/>
    <w:basedOn w:val="1"/>
    <w:link w:val="59"/>
    <w:qFormat/>
    <w:uiPriority w:val="0"/>
    <w:pPr>
      <w:jc w:val="left"/>
    </w:pPr>
  </w:style>
  <w:style w:type="paragraph" w:styleId="16">
    <w:name w:val="Body Text 3"/>
    <w:basedOn w:val="1"/>
    <w:qFormat/>
    <w:uiPriority w:val="0"/>
    <w:rPr>
      <w:rFonts w:ascii="宋体"/>
      <w:sz w:val="24"/>
      <w:szCs w:val="20"/>
    </w:rPr>
  </w:style>
  <w:style w:type="paragraph" w:styleId="17">
    <w:name w:val="Body Text Indent"/>
    <w:basedOn w:val="1"/>
    <w:qFormat/>
    <w:uiPriority w:val="0"/>
    <w:pPr>
      <w:spacing w:after="120"/>
      <w:ind w:left="420" w:leftChars="200"/>
    </w:pPr>
  </w:style>
  <w:style w:type="paragraph" w:styleId="18">
    <w:name w:val="List 2"/>
    <w:basedOn w:val="1"/>
    <w:qFormat/>
    <w:uiPriority w:val="0"/>
    <w:pPr>
      <w:autoSpaceDE w:val="0"/>
      <w:autoSpaceDN w:val="0"/>
      <w:adjustRightInd w:val="0"/>
      <w:spacing w:line="315" w:lineRule="atLeast"/>
      <w:ind w:left="200" w:leftChars="200" w:hanging="200" w:hangingChars="200"/>
      <w:jc w:val="left"/>
    </w:pPr>
    <w:rPr>
      <w:rFonts w:hint="eastAsia" w:ascii="昆仑楷体" w:eastAsia="昆仑楷体"/>
      <w:kern w:val="0"/>
      <w:sz w:val="30"/>
      <w:szCs w:val="20"/>
    </w:rPr>
  </w:style>
  <w:style w:type="paragraph" w:styleId="19">
    <w:name w:val="toc 5"/>
    <w:basedOn w:val="1"/>
    <w:next w:val="1"/>
    <w:qFormat/>
    <w:uiPriority w:val="39"/>
    <w:pPr>
      <w:ind w:left="840"/>
      <w:jc w:val="left"/>
    </w:pPr>
    <w:rPr>
      <w:sz w:val="18"/>
      <w:szCs w:val="18"/>
    </w:rPr>
  </w:style>
  <w:style w:type="paragraph" w:styleId="20">
    <w:name w:val="toc 3"/>
    <w:basedOn w:val="1"/>
    <w:next w:val="1"/>
    <w:qFormat/>
    <w:uiPriority w:val="39"/>
    <w:pPr>
      <w:ind w:left="420"/>
      <w:jc w:val="left"/>
    </w:pPr>
    <w:rPr>
      <w:i/>
      <w:iCs/>
      <w:sz w:val="20"/>
      <w:szCs w:val="20"/>
    </w:rPr>
  </w:style>
  <w:style w:type="paragraph" w:styleId="21">
    <w:name w:val="Plain Text"/>
    <w:basedOn w:val="1"/>
    <w:qFormat/>
    <w:uiPriority w:val="0"/>
    <w:rPr>
      <w:rFonts w:ascii="Courier New" w:hAnsi="Courier New"/>
      <w:szCs w:val="20"/>
    </w:rPr>
  </w:style>
  <w:style w:type="paragraph" w:styleId="22">
    <w:name w:val="toc 8"/>
    <w:basedOn w:val="1"/>
    <w:next w:val="1"/>
    <w:qFormat/>
    <w:uiPriority w:val="39"/>
    <w:pPr>
      <w:ind w:left="1470"/>
      <w:jc w:val="left"/>
    </w:pPr>
    <w:rPr>
      <w:sz w:val="18"/>
      <w:szCs w:val="18"/>
    </w:rPr>
  </w:style>
  <w:style w:type="paragraph" w:styleId="23">
    <w:name w:val="Date"/>
    <w:basedOn w:val="1"/>
    <w:next w:val="1"/>
    <w:qFormat/>
    <w:uiPriority w:val="0"/>
    <w:rPr>
      <w:sz w:val="24"/>
      <w:szCs w:val="20"/>
    </w:rPr>
  </w:style>
  <w:style w:type="paragraph" w:styleId="24">
    <w:name w:val="Body Text Indent 2"/>
    <w:basedOn w:val="1"/>
    <w:qFormat/>
    <w:uiPriority w:val="0"/>
    <w:pPr>
      <w:ind w:firstLine="480" w:firstLineChars="200"/>
    </w:pPr>
    <w:rPr>
      <w:sz w:val="24"/>
    </w:rPr>
  </w:style>
  <w:style w:type="paragraph" w:styleId="25">
    <w:name w:val="Balloon Text"/>
    <w:basedOn w:val="1"/>
    <w:qFormat/>
    <w:uiPriority w:val="0"/>
    <w:rPr>
      <w:sz w:val="18"/>
      <w:szCs w:val="18"/>
    </w:rPr>
  </w:style>
  <w:style w:type="paragraph" w:styleId="26">
    <w:name w:val="footer"/>
    <w:basedOn w:val="1"/>
    <w:qFormat/>
    <w:uiPriority w:val="0"/>
    <w:pPr>
      <w:tabs>
        <w:tab w:val="center" w:pos="4153"/>
        <w:tab w:val="right" w:pos="8306"/>
      </w:tabs>
      <w:snapToGrid w:val="0"/>
      <w:jc w:val="left"/>
    </w:pPr>
    <w:rPr>
      <w:sz w:val="18"/>
      <w:szCs w:val="18"/>
    </w:rPr>
  </w:style>
  <w:style w:type="paragraph" w:styleId="2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before="120" w:after="120"/>
      <w:jc w:val="left"/>
    </w:pPr>
    <w:rPr>
      <w:b/>
      <w:bCs/>
      <w:caps/>
      <w:sz w:val="20"/>
      <w:szCs w:val="20"/>
    </w:rPr>
  </w:style>
  <w:style w:type="paragraph" w:styleId="29">
    <w:name w:val="toc 4"/>
    <w:basedOn w:val="1"/>
    <w:next w:val="1"/>
    <w:qFormat/>
    <w:uiPriority w:val="39"/>
    <w:pPr>
      <w:ind w:left="630"/>
      <w:jc w:val="left"/>
    </w:pPr>
    <w:rPr>
      <w:sz w:val="18"/>
      <w:szCs w:val="18"/>
    </w:rPr>
  </w:style>
  <w:style w:type="paragraph" w:styleId="30">
    <w:name w:val="index heading"/>
    <w:basedOn w:val="1"/>
    <w:next w:val="31"/>
    <w:qFormat/>
    <w:uiPriority w:val="0"/>
    <w:rPr>
      <w:szCs w:val="20"/>
    </w:rPr>
  </w:style>
  <w:style w:type="paragraph" w:styleId="31">
    <w:name w:val="index 1"/>
    <w:basedOn w:val="1"/>
    <w:next w:val="1"/>
    <w:qFormat/>
    <w:uiPriority w:val="0"/>
  </w:style>
  <w:style w:type="paragraph" w:styleId="32">
    <w:name w:val="footnote text"/>
    <w:basedOn w:val="1"/>
    <w:qFormat/>
    <w:uiPriority w:val="0"/>
    <w:rPr>
      <w:sz w:val="20"/>
      <w:szCs w:val="20"/>
    </w:rPr>
  </w:style>
  <w:style w:type="paragraph" w:styleId="33">
    <w:name w:val="toc 6"/>
    <w:basedOn w:val="1"/>
    <w:next w:val="1"/>
    <w:qFormat/>
    <w:uiPriority w:val="39"/>
    <w:pPr>
      <w:ind w:left="1050"/>
      <w:jc w:val="left"/>
    </w:pPr>
    <w:rPr>
      <w:sz w:val="18"/>
      <w:szCs w:val="18"/>
    </w:rPr>
  </w:style>
  <w:style w:type="paragraph" w:styleId="34">
    <w:name w:val="Body Text Indent 3"/>
    <w:basedOn w:val="1"/>
    <w:qFormat/>
    <w:uiPriority w:val="0"/>
    <w:pPr>
      <w:spacing w:after="120"/>
      <w:ind w:left="420" w:leftChars="200"/>
    </w:pPr>
    <w:rPr>
      <w:sz w:val="16"/>
      <w:szCs w:val="16"/>
    </w:rPr>
  </w:style>
  <w:style w:type="paragraph" w:styleId="35">
    <w:name w:val="table of figures"/>
    <w:basedOn w:val="1"/>
    <w:next w:val="1"/>
    <w:qFormat/>
    <w:uiPriority w:val="0"/>
    <w:pPr>
      <w:ind w:left="200" w:leftChars="200" w:hanging="200" w:hangingChars="200"/>
    </w:pPr>
  </w:style>
  <w:style w:type="paragraph" w:styleId="36">
    <w:name w:val="toc 2"/>
    <w:basedOn w:val="1"/>
    <w:next w:val="1"/>
    <w:qFormat/>
    <w:uiPriority w:val="39"/>
    <w:pPr>
      <w:ind w:left="210"/>
      <w:jc w:val="left"/>
    </w:pPr>
    <w:rPr>
      <w:smallCaps/>
      <w:sz w:val="20"/>
      <w:szCs w:val="20"/>
    </w:rPr>
  </w:style>
  <w:style w:type="paragraph" w:styleId="37">
    <w:name w:val="toc 9"/>
    <w:basedOn w:val="1"/>
    <w:next w:val="1"/>
    <w:qFormat/>
    <w:uiPriority w:val="39"/>
    <w:pPr>
      <w:ind w:left="1680"/>
      <w:jc w:val="left"/>
    </w:pPr>
    <w:rPr>
      <w:sz w:val="18"/>
      <w:szCs w:val="18"/>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basedOn w:val="43"/>
    <w:qFormat/>
    <w:uiPriority w:val="0"/>
    <w:rPr>
      <w:b/>
      <w:bCs/>
    </w:rPr>
  </w:style>
  <w:style w:type="character" w:styleId="45">
    <w:name w:val="page number"/>
    <w:basedOn w:val="43"/>
    <w:qFormat/>
    <w:uiPriority w:val="0"/>
  </w:style>
  <w:style w:type="character" w:styleId="46">
    <w:name w:val="FollowedHyperlink"/>
    <w:basedOn w:val="43"/>
    <w:qFormat/>
    <w:uiPriority w:val="0"/>
    <w:rPr>
      <w:color w:val="72ACE8"/>
      <w:u w:val="single"/>
    </w:rPr>
  </w:style>
  <w:style w:type="character" w:styleId="47">
    <w:name w:val="Emphasis"/>
    <w:basedOn w:val="43"/>
    <w:qFormat/>
    <w:uiPriority w:val="0"/>
  </w:style>
  <w:style w:type="character" w:styleId="48">
    <w:name w:val="HTML Definition"/>
    <w:basedOn w:val="43"/>
    <w:qFormat/>
    <w:uiPriority w:val="0"/>
  </w:style>
  <w:style w:type="character" w:styleId="49">
    <w:name w:val="HTML Variable"/>
    <w:basedOn w:val="43"/>
    <w:qFormat/>
    <w:uiPriority w:val="0"/>
  </w:style>
  <w:style w:type="character" w:styleId="50">
    <w:name w:val="Hyperlink"/>
    <w:basedOn w:val="43"/>
    <w:qFormat/>
    <w:uiPriority w:val="99"/>
    <w:rPr>
      <w:color w:val="000000"/>
      <w:u w:val="single"/>
    </w:rPr>
  </w:style>
  <w:style w:type="character" w:styleId="51">
    <w:name w:val="HTML Code"/>
    <w:basedOn w:val="43"/>
    <w:qFormat/>
    <w:uiPriority w:val="0"/>
    <w:rPr>
      <w:rFonts w:hint="eastAsia" w:ascii="PingFang SC" w:hAnsi="PingFang SC" w:eastAsia="PingFang SC" w:cs="PingFang SC"/>
      <w:sz w:val="20"/>
    </w:rPr>
  </w:style>
  <w:style w:type="character" w:styleId="52">
    <w:name w:val="annotation reference"/>
    <w:basedOn w:val="43"/>
    <w:qFormat/>
    <w:uiPriority w:val="0"/>
    <w:rPr>
      <w:sz w:val="21"/>
      <w:szCs w:val="21"/>
    </w:rPr>
  </w:style>
  <w:style w:type="character" w:styleId="53">
    <w:name w:val="HTML Cite"/>
    <w:basedOn w:val="43"/>
    <w:qFormat/>
    <w:uiPriority w:val="0"/>
  </w:style>
  <w:style w:type="character" w:styleId="54">
    <w:name w:val="footnote reference"/>
    <w:basedOn w:val="43"/>
    <w:qFormat/>
    <w:uiPriority w:val="0"/>
    <w:rPr>
      <w:vertAlign w:val="superscript"/>
    </w:rPr>
  </w:style>
  <w:style w:type="character" w:styleId="55">
    <w:name w:val="HTML Keyboard"/>
    <w:basedOn w:val="43"/>
    <w:qFormat/>
    <w:uiPriority w:val="0"/>
    <w:rPr>
      <w:rFonts w:hint="default" w:ascii="PingFang SC" w:hAnsi="PingFang SC" w:eastAsia="PingFang SC" w:cs="PingFang SC"/>
      <w:sz w:val="20"/>
    </w:rPr>
  </w:style>
  <w:style w:type="character" w:styleId="56">
    <w:name w:val="HTML Sample"/>
    <w:basedOn w:val="43"/>
    <w:qFormat/>
    <w:uiPriority w:val="0"/>
    <w:rPr>
      <w:rFonts w:hint="default" w:ascii="PingFang SC" w:hAnsi="PingFang SC" w:eastAsia="PingFang SC" w:cs="PingFang SC"/>
    </w:rPr>
  </w:style>
  <w:style w:type="paragraph" w:customStyle="1" w:styleId="57">
    <w:name w:val="Char Char"/>
    <w:basedOn w:val="1"/>
    <w:qFormat/>
    <w:uiPriority w:val="0"/>
    <w:pPr>
      <w:widowControl/>
      <w:spacing w:before="100" w:beforeAutospacing="1" w:after="100" w:afterAutospacing="1" w:line="330" w:lineRule="atLeast"/>
      <w:ind w:left="360"/>
      <w:jc w:val="left"/>
    </w:pPr>
    <w:rPr>
      <w:rFonts w:ascii="ˎ̥" w:hAnsi="ˎ̥" w:cs="宋体"/>
      <w:color w:val="51585D"/>
      <w:kern w:val="0"/>
      <w:sz w:val="24"/>
      <w:szCs w:val="18"/>
    </w:rPr>
  </w:style>
  <w:style w:type="character" w:customStyle="1" w:styleId="58">
    <w:name w:val="edui-unclickable"/>
    <w:basedOn w:val="43"/>
    <w:qFormat/>
    <w:uiPriority w:val="0"/>
    <w:rPr>
      <w:color w:val="808080"/>
    </w:rPr>
  </w:style>
  <w:style w:type="character" w:customStyle="1" w:styleId="59">
    <w:name w:val="批注文字 字符"/>
    <w:basedOn w:val="43"/>
    <w:link w:val="15"/>
    <w:qFormat/>
    <w:uiPriority w:val="0"/>
    <w:rPr>
      <w:rFonts w:eastAsia="宋体"/>
      <w:kern w:val="2"/>
      <w:sz w:val="21"/>
      <w:szCs w:val="24"/>
      <w:lang w:val="en-US" w:eastAsia="zh-CN" w:bidi="ar-SA"/>
    </w:rPr>
  </w:style>
  <w:style w:type="character" w:customStyle="1" w:styleId="60">
    <w:name w:val="first-child"/>
    <w:basedOn w:val="43"/>
    <w:qFormat/>
    <w:uiPriority w:val="0"/>
    <w:rPr>
      <w:vanish/>
    </w:rPr>
  </w:style>
  <w:style w:type="character" w:customStyle="1" w:styleId="61">
    <w:name w:val="answer-title12"/>
    <w:basedOn w:val="43"/>
    <w:qFormat/>
    <w:uiPriority w:val="0"/>
  </w:style>
  <w:style w:type="character" w:customStyle="1" w:styleId="62">
    <w:name w:val="Char Char8"/>
    <w:basedOn w:val="43"/>
    <w:qFormat/>
    <w:uiPriority w:val="0"/>
    <w:rPr>
      <w:rFonts w:ascii="Arial" w:hAnsi="Arial" w:eastAsia="黑体"/>
      <w:b/>
      <w:bCs/>
      <w:kern w:val="2"/>
      <w:sz w:val="32"/>
      <w:szCs w:val="32"/>
      <w:lang w:val="en-US" w:eastAsia="zh-CN" w:bidi="ar-SA"/>
    </w:rPr>
  </w:style>
  <w:style w:type="character" w:customStyle="1" w:styleId="63">
    <w:name w:val="Char Char1"/>
    <w:basedOn w:val="43"/>
    <w:qFormat/>
    <w:uiPriority w:val="0"/>
    <w:rPr>
      <w:rFonts w:ascii="Arial" w:hAnsi="Arial" w:eastAsia="黑体"/>
      <w:b/>
      <w:bCs/>
      <w:kern w:val="2"/>
      <w:sz w:val="32"/>
      <w:szCs w:val="32"/>
      <w:lang w:val="en-US" w:eastAsia="zh-CN" w:bidi="ar-SA"/>
    </w:rPr>
  </w:style>
  <w:style w:type="character" w:customStyle="1" w:styleId="64">
    <w:name w:val="num"/>
    <w:basedOn w:val="43"/>
    <w:qFormat/>
    <w:uiPriority w:val="0"/>
    <w:rPr>
      <w:b/>
      <w:color w:val="FF7800"/>
    </w:rPr>
  </w:style>
  <w:style w:type="character" w:customStyle="1" w:styleId="65">
    <w:name w:val="apple-converted-space"/>
    <w:basedOn w:val="43"/>
    <w:qFormat/>
    <w:uiPriority w:val="0"/>
  </w:style>
  <w:style w:type="character" w:customStyle="1" w:styleId="66">
    <w:name w:val="Char Char7"/>
    <w:basedOn w:val="43"/>
    <w:qFormat/>
    <w:uiPriority w:val="0"/>
    <w:rPr>
      <w:rFonts w:ascii="Arial" w:hAnsi="Arial" w:eastAsia="黑体"/>
      <w:b/>
      <w:bCs/>
      <w:kern w:val="2"/>
      <w:sz w:val="32"/>
      <w:szCs w:val="32"/>
      <w:lang w:val="en-US" w:eastAsia="zh-CN" w:bidi="ar-SA"/>
    </w:rPr>
  </w:style>
  <w:style w:type="character" w:customStyle="1" w:styleId="67">
    <w:name w:val="a0"/>
    <w:basedOn w:val="43"/>
    <w:qFormat/>
    <w:uiPriority w:val="0"/>
  </w:style>
  <w:style w:type="character" w:customStyle="1" w:styleId="68">
    <w:name w:val="edui-clickable2"/>
    <w:basedOn w:val="43"/>
    <w:qFormat/>
    <w:uiPriority w:val="0"/>
    <w:rPr>
      <w:color w:val="0000FF"/>
      <w:u w:val="single"/>
    </w:rPr>
  </w:style>
  <w:style w:type="character" w:customStyle="1" w:styleId="69">
    <w:name w:val="标题 2 字符"/>
    <w:basedOn w:val="43"/>
    <w:link w:val="6"/>
    <w:qFormat/>
    <w:uiPriority w:val="0"/>
    <w:rPr>
      <w:rFonts w:ascii="Arial" w:hAnsi="Arial" w:eastAsia="黑体"/>
      <w:b/>
      <w:bCs/>
      <w:kern w:val="2"/>
      <w:sz w:val="32"/>
      <w:szCs w:val="32"/>
      <w:lang w:val="en-US" w:eastAsia="zh-CN" w:bidi="ar-SA"/>
    </w:rPr>
  </w:style>
  <w:style w:type="character" w:customStyle="1" w:styleId="70">
    <w:name w:val="legend"/>
    <w:basedOn w:val="43"/>
    <w:qFormat/>
    <w:uiPriority w:val="0"/>
    <w:rPr>
      <w:rFonts w:ascii="Arial" w:hAnsi="Arial" w:cs="Arial"/>
      <w:b/>
      <w:color w:val="73B304"/>
      <w:sz w:val="21"/>
      <w:szCs w:val="21"/>
      <w:shd w:val="clear" w:color="auto" w:fill="FFFFFF"/>
    </w:rPr>
  </w:style>
  <w:style w:type="character" w:customStyle="1" w:styleId="71">
    <w:name w:val="标题 1 字符"/>
    <w:basedOn w:val="43"/>
    <w:link w:val="5"/>
    <w:qFormat/>
    <w:uiPriority w:val="0"/>
    <w:rPr>
      <w:rFonts w:eastAsia="宋体"/>
      <w:b/>
      <w:bCs/>
      <w:kern w:val="44"/>
      <w:sz w:val="44"/>
      <w:szCs w:val="44"/>
      <w:lang w:val="en-US" w:eastAsia="zh-CN" w:bidi="ar-SA"/>
    </w:rPr>
  </w:style>
  <w:style w:type="character" w:customStyle="1" w:styleId="72">
    <w:name w:val="标题 3 字符"/>
    <w:basedOn w:val="43"/>
    <w:link w:val="7"/>
    <w:qFormat/>
    <w:uiPriority w:val="0"/>
    <w:rPr>
      <w:rFonts w:eastAsia="宋体"/>
      <w:b/>
      <w:bCs/>
      <w:kern w:val="2"/>
      <w:sz w:val="32"/>
      <w:szCs w:val="32"/>
      <w:lang w:val="en-US" w:eastAsia="zh-CN" w:bidi="ar-SA"/>
    </w:rPr>
  </w:style>
  <w:style w:type="character" w:customStyle="1" w:styleId="73">
    <w:name w:val="Char Char2"/>
    <w:basedOn w:val="43"/>
    <w:qFormat/>
    <w:uiPriority w:val="0"/>
    <w:rPr>
      <w:rFonts w:eastAsia="宋体"/>
      <w:kern w:val="2"/>
      <w:sz w:val="21"/>
      <w:szCs w:val="24"/>
      <w:lang w:val="en-US" w:eastAsia="zh-CN" w:bidi="ar-SA"/>
    </w:rPr>
  </w:style>
  <w:style w:type="character" w:customStyle="1" w:styleId="74">
    <w:name w:val="wuidatespan"/>
    <w:basedOn w:val="43"/>
    <w:qFormat/>
    <w:uiPriority w:val="0"/>
  </w:style>
  <w:style w:type="character" w:customStyle="1" w:styleId="75">
    <w:name w:val="font161"/>
    <w:basedOn w:val="43"/>
    <w:qFormat/>
    <w:uiPriority w:val="0"/>
    <w:rPr>
      <w:b/>
      <w:bCs/>
      <w:sz w:val="32"/>
      <w:szCs w:val="32"/>
    </w:rPr>
  </w:style>
  <w:style w:type="character" w:customStyle="1" w:styleId="76">
    <w:name w:val="release-day"/>
    <w:basedOn w:val="43"/>
    <w:qFormat/>
    <w:uiPriority w:val="0"/>
    <w:rPr>
      <w:bdr w:val="single" w:color="BDEBB0" w:sz="6" w:space="0"/>
      <w:shd w:val="clear" w:color="auto" w:fill="F5FFF1"/>
    </w:rPr>
  </w:style>
  <w:style w:type="character" w:customStyle="1" w:styleId="77">
    <w:name w:val="href"/>
    <w:basedOn w:val="43"/>
    <w:qFormat/>
    <w:uiPriority w:val="0"/>
    <w:rPr>
      <w:color w:val="0000FF"/>
      <w:u w:val="single"/>
    </w:rPr>
  </w:style>
  <w:style w:type="paragraph" w:customStyle="1" w:styleId="78">
    <w:name w:val="List Paragraph1"/>
    <w:basedOn w:val="1"/>
    <w:qFormat/>
    <w:uiPriority w:val="34"/>
    <w:pPr>
      <w:ind w:firstLine="420" w:firstLineChars="200"/>
    </w:pPr>
  </w:style>
  <w:style w:type="paragraph" w:customStyle="1" w:styleId="79">
    <w:name w:val="样式3"/>
    <w:basedOn w:val="7"/>
    <w:qFormat/>
    <w:uiPriority w:val="0"/>
    <w:rPr>
      <w:rFonts w:eastAsia="Arial"/>
    </w:rPr>
  </w:style>
  <w:style w:type="paragraph" w:customStyle="1" w:styleId="80">
    <w:name w:val="样式 标题 1 + 黑体 三号 非加粗 居中 段前: 6 磅 段后: 6 磅 行距: 固定值 20 磅"/>
    <w:basedOn w:val="5"/>
    <w:qFormat/>
    <w:uiPriority w:val="0"/>
    <w:pPr>
      <w:spacing w:before="120" w:after="120" w:line="400" w:lineRule="exact"/>
      <w:jc w:val="center"/>
    </w:pPr>
    <w:rPr>
      <w:rFonts w:ascii="黑体" w:hAnsi="黑体" w:eastAsia="黑体" w:cs="宋体"/>
      <w:b w:val="0"/>
      <w:bCs w:val="0"/>
      <w:sz w:val="32"/>
      <w:szCs w:val="20"/>
    </w:rPr>
  </w:style>
  <w:style w:type="paragraph" w:customStyle="1" w:styleId="81">
    <w:name w:val="样式1"/>
    <w:basedOn w:val="7"/>
    <w:qFormat/>
    <w:uiPriority w:val="0"/>
    <w:rPr>
      <w:rFonts w:eastAsia="Arial"/>
    </w:rPr>
  </w:style>
  <w:style w:type="paragraph" w:customStyle="1" w:styleId="82">
    <w:name w:val="样式 标题 3 + (中文) 黑体 小四 非加粗 段前: 7.8 磅 段后: 0 磅 行距: 固定值 20 磅"/>
    <w:basedOn w:val="7"/>
    <w:qFormat/>
    <w:uiPriority w:val="0"/>
    <w:pPr>
      <w:spacing w:before="0" w:after="0" w:line="400" w:lineRule="exact"/>
    </w:pPr>
    <w:rPr>
      <w:rFonts w:eastAsia="黑体" w:cs="宋体"/>
      <w:b w:val="0"/>
      <w:bCs w:val="0"/>
      <w:sz w:val="24"/>
      <w:szCs w:val="20"/>
    </w:rPr>
  </w:style>
  <w:style w:type="paragraph" w:customStyle="1" w:styleId="83">
    <w:name w:val="Table Paragraph"/>
    <w:basedOn w:val="1"/>
    <w:qFormat/>
    <w:uiPriority w:val="99"/>
  </w:style>
  <w:style w:type="paragraph" w:customStyle="1" w:styleId="84">
    <w:name w:val="样式4"/>
    <w:basedOn w:val="7"/>
    <w:qFormat/>
    <w:uiPriority w:val="0"/>
    <w:rPr>
      <w:rFonts w:eastAsia="Arial"/>
    </w:rPr>
  </w:style>
  <w:style w:type="paragraph" w:customStyle="1" w:styleId="85">
    <w:name w:val="Char"/>
    <w:basedOn w:val="1"/>
    <w:qFormat/>
    <w:uiPriority w:val="0"/>
    <w:pPr>
      <w:tabs>
        <w:tab w:val="left" w:pos="360"/>
      </w:tabs>
    </w:pPr>
    <w:rPr>
      <w:sz w:val="24"/>
    </w:rPr>
  </w:style>
  <w:style w:type="paragraph" w:customStyle="1" w:styleId="86">
    <w:name w:val="纯文本1"/>
    <w:basedOn w:val="1"/>
    <w:qFormat/>
    <w:uiPriority w:val="0"/>
    <w:rPr>
      <w:rFonts w:ascii="宋体" w:hAnsi="Courier New"/>
      <w:kern w:val="0"/>
      <w:sz w:val="20"/>
      <w:szCs w:val="21"/>
    </w:rPr>
  </w:style>
  <w:style w:type="paragraph" w:customStyle="1" w:styleId="87">
    <w:name w:val="表格文字"/>
    <w:basedOn w:val="1"/>
    <w:qFormat/>
    <w:uiPriority w:val="0"/>
    <w:pPr>
      <w:adjustRightInd w:val="0"/>
      <w:spacing w:line="420" w:lineRule="atLeast"/>
      <w:jc w:val="left"/>
      <w:textAlignment w:val="baseline"/>
    </w:pPr>
    <w:rPr>
      <w:kern w:val="0"/>
      <w:szCs w:val="20"/>
    </w:rPr>
  </w:style>
  <w:style w:type="paragraph" w:customStyle="1" w:styleId="88">
    <w:name w:val="段落文字"/>
    <w:basedOn w:val="1"/>
    <w:qFormat/>
    <w:uiPriority w:val="0"/>
    <w:pPr>
      <w:spacing w:line="360" w:lineRule="auto"/>
      <w:ind w:firstLine="200" w:firstLineChars="200"/>
    </w:pPr>
    <w:rPr>
      <w:rFonts w:cs="宋体"/>
      <w:sz w:val="24"/>
      <w:szCs w:val="20"/>
    </w:rPr>
  </w:style>
  <w:style w:type="paragraph" w:customStyle="1" w:styleId="89">
    <w:name w:val="TOC 标题1"/>
    <w:basedOn w:val="5"/>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90">
    <w:name w:val="a docdefaults"/>
    <w:basedOn w:val="1"/>
    <w:qFormat/>
    <w:uiPriority w:val="0"/>
    <w:pPr>
      <w:widowControl/>
      <w:spacing w:before="100" w:beforeAutospacing="1" w:after="100" w:afterAutospacing="1"/>
      <w:jc w:val="left"/>
    </w:pPr>
    <w:rPr>
      <w:rFonts w:ascii="宋体" w:hAnsi="宋体" w:cs="宋体"/>
      <w:kern w:val="0"/>
      <w:sz w:val="24"/>
    </w:rPr>
  </w:style>
  <w:style w:type="paragraph" w:customStyle="1" w:styleId="91">
    <w:name w:val="1"/>
    <w:basedOn w:val="1"/>
    <w:next w:val="1"/>
    <w:qFormat/>
    <w:uiPriority w:val="0"/>
  </w:style>
  <w:style w:type="paragraph" w:customStyle="1" w:styleId="92">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93">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styleId="94">
    <w:name w:val="List Paragraph"/>
    <w:basedOn w:val="1"/>
    <w:qFormat/>
    <w:uiPriority w:val="0"/>
    <w:pPr>
      <w:ind w:firstLine="420" w:firstLineChars="200"/>
    </w:pPr>
    <w:rPr>
      <w:rFonts w:ascii="Calibri" w:hAnsi="Calibri"/>
      <w:szCs w:val="22"/>
    </w:rPr>
  </w:style>
  <w:style w:type="paragraph" w:customStyle="1" w:styleId="9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6">
    <w:name w:val="样式2"/>
    <w:basedOn w:val="7"/>
    <w:qFormat/>
    <w:uiPriority w:val="0"/>
  </w:style>
  <w:style w:type="paragraph" w:customStyle="1" w:styleId="97">
    <w:name w:val="样式 标题 2 + Times New Roman 四号 非加粗 段前: 5 磅 段后: 0 磅 行距: 固定值 20..."/>
    <w:basedOn w:val="6"/>
    <w:qFormat/>
    <w:uiPriority w:val="0"/>
    <w:pPr>
      <w:spacing w:before="100" w:after="0" w:line="400" w:lineRule="exact"/>
    </w:pPr>
    <w:rPr>
      <w:rFonts w:ascii="Times New Roman" w:hAnsi="Times New Roman" w:cs="宋体"/>
      <w:b w:val="0"/>
      <w:bCs w:val="0"/>
      <w:sz w:val="28"/>
      <w:szCs w:val="20"/>
    </w:rPr>
  </w:style>
  <w:style w:type="paragraph" w:customStyle="1" w:styleId="98">
    <w:name w:val="表格"/>
    <w:basedOn w:val="1"/>
    <w:qFormat/>
    <w:uiPriority w:val="0"/>
    <w:pPr>
      <w:jc w:val="center"/>
      <w:textAlignment w:val="center"/>
    </w:pPr>
    <w:rPr>
      <w:rFonts w:ascii="华文细黑" w:hAnsi="华文细黑"/>
      <w:kern w:val="0"/>
      <w:szCs w:val="20"/>
    </w:rPr>
  </w:style>
  <w:style w:type="paragraph" w:customStyle="1" w:styleId="99">
    <w:name w:val="reader-word-layer reader-word-s5-9"/>
    <w:basedOn w:val="1"/>
    <w:qFormat/>
    <w:uiPriority w:val="0"/>
    <w:pPr>
      <w:spacing w:before="100" w:beforeAutospacing="1" w:after="100" w:afterAutospacing="1"/>
    </w:pPr>
    <w:rPr>
      <w:rFonts w:ascii="宋体" w:hAnsi="宋体" w:cs="宋体"/>
      <w:sz w:val="24"/>
    </w:rPr>
  </w:style>
  <w:style w:type="paragraph" w:customStyle="1" w:styleId="100">
    <w:name w:val="列出段落1"/>
    <w:basedOn w:val="1"/>
    <w:qFormat/>
    <w:uiPriority w:val="0"/>
    <w:pPr>
      <w:ind w:firstLine="420" w:firstLineChars="200"/>
    </w:pPr>
    <w:rPr>
      <w:rFonts w:ascii="Calibri" w:hAnsi="Calibri"/>
      <w:szCs w:val="22"/>
    </w:rPr>
  </w:style>
  <w:style w:type="paragraph" w:customStyle="1" w:styleId="101">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02">
    <w:name w:val="s21"/>
    <w:basedOn w:val="43"/>
    <w:qFormat/>
    <w:uiPriority w:val="0"/>
    <w:rPr>
      <w:b/>
      <w:color w:val="00000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4136</Words>
  <Characters>23579</Characters>
  <Lines>196</Lines>
  <Paragraphs>55</Paragraphs>
  <TotalTime>1</TotalTime>
  <ScaleCrop>false</ScaleCrop>
  <LinksUpToDate>false</LinksUpToDate>
  <CharactersWithSpaces>27660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2018-06-12T07:03:00Z</dcterms:created>
  <dc:creator>e510</dc:creator>
  <cp:lastModifiedBy>caiwxi</cp:lastModifiedBy>
  <cp:lastPrinted>2024-04-22T03:43:00Z</cp:lastPrinted>
  <dcterms:modified xsi:type="dcterms:W3CDTF">2024-04-30T07:24:18Z</dcterms:modified>
  <dc:title>中华人民共和国</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E0E08617E0A5408CBDEE71A58F21288B</vt:lpwstr>
  </property>
</Properties>
</file>